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C4DA9" w14:textId="77777777" w:rsidR="0056654D" w:rsidRPr="007678FA" w:rsidRDefault="0056654D" w:rsidP="0056654D">
      <w:pPr>
        <w:spacing w:line="360" w:lineRule="auto"/>
        <w:jc w:val="center"/>
        <w:rPr>
          <w:b/>
          <w:bCs/>
          <w:sz w:val="28"/>
          <w:szCs w:val="28"/>
        </w:rPr>
      </w:pPr>
      <w:r w:rsidRPr="007678FA">
        <w:rPr>
          <w:noProof/>
          <w:lang w:val="en-US"/>
        </w:rPr>
        <w:drawing>
          <wp:inline distT="0" distB="0" distL="0" distR="0" wp14:anchorId="6DA59A2E" wp14:editId="0518D904">
            <wp:extent cx="802005"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005" cy="914400"/>
                    </a:xfrm>
                    <a:prstGeom prst="rect">
                      <a:avLst/>
                    </a:prstGeom>
                    <a:noFill/>
                    <a:ln>
                      <a:noFill/>
                    </a:ln>
                  </pic:spPr>
                </pic:pic>
              </a:graphicData>
            </a:graphic>
          </wp:inline>
        </w:drawing>
      </w:r>
    </w:p>
    <w:p w14:paraId="298C2064" w14:textId="77777777" w:rsidR="0056654D" w:rsidRPr="007678FA" w:rsidRDefault="0056654D" w:rsidP="0056654D">
      <w:pPr>
        <w:spacing w:line="360" w:lineRule="auto"/>
        <w:jc w:val="center"/>
        <w:rPr>
          <w:b/>
          <w:bCs/>
          <w:sz w:val="28"/>
          <w:szCs w:val="28"/>
        </w:rPr>
      </w:pPr>
      <w:r w:rsidRPr="007678FA">
        <w:rPr>
          <w:sz w:val="28"/>
          <w:szCs w:val="28"/>
        </w:rPr>
        <w:tab/>
      </w:r>
    </w:p>
    <w:p w14:paraId="7FC3678D" w14:textId="77777777" w:rsidR="0056654D" w:rsidRPr="007678FA" w:rsidRDefault="0056654D" w:rsidP="0056654D">
      <w:pPr>
        <w:autoSpaceDE w:val="0"/>
        <w:autoSpaceDN w:val="0"/>
        <w:adjustRightInd w:val="0"/>
        <w:spacing w:line="360" w:lineRule="auto"/>
        <w:jc w:val="center"/>
        <w:rPr>
          <w:b/>
          <w:bCs/>
          <w:sz w:val="28"/>
          <w:szCs w:val="28"/>
          <w:lang w:val="en-US"/>
        </w:rPr>
      </w:pPr>
      <w:r w:rsidRPr="007678FA">
        <w:rPr>
          <w:b/>
          <w:bCs/>
          <w:sz w:val="28"/>
          <w:szCs w:val="28"/>
          <w:lang w:val="en-US"/>
        </w:rPr>
        <w:t>THE SUPREME COURT OF APPEAL OF SOUTH AFRICA</w:t>
      </w:r>
    </w:p>
    <w:p w14:paraId="06689A84" w14:textId="7D765AFA" w:rsidR="0056654D" w:rsidRPr="007678FA" w:rsidRDefault="0056654D" w:rsidP="0056654D">
      <w:pPr>
        <w:spacing w:line="360" w:lineRule="auto"/>
        <w:jc w:val="center"/>
        <w:rPr>
          <w:b/>
          <w:bCs/>
          <w:sz w:val="28"/>
          <w:szCs w:val="28"/>
          <w:lang w:eastAsia="en-GB"/>
        </w:rPr>
      </w:pPr>
      <w:r w:rsidRPr="007678FA">
        <w:rPr>
          <w:b/>
          <w:bCs/>
          <w:sz w:val="28"/>
          <w:szCs w:val="28"/>
          <w:lang w:eastAsia="en-GB"/>
        </w:rPr>
        <w:t>JUDGMENT</w:t>
      </w:r>
    </w:p>
    <w:p w14:paraId="408D1A90" w14:textId="77777777" w:rsidR="008465E2" w:rsidRPr="007678FA" w:rsidRDefault="008465E2" w:rsidP="0056654D">
      <w:pPr>
        <w:spacing w:line="360" w:lineRule="auto"/>
        <w:jc w:val="center"/>
        <w:rPr>
          <w:b/>
          <w:bCs/>
          <w:sz w:val="28"/>
          <w:szCs w:val="28"/>
          <w:lang w:eastAsia="en-GB"/>
        </w:rPr>
      </w:pPr>
    </w:p>
    <w:p w14:paraId="75FC6B07" w14:textId="4B9FEC23" w:rsidR="0056654D" w:rsidRPr="007678FA" w:rsidRDefault="0056654D" w:rsidP="005E1023">
      <w:pPr>
        <w:spacing w:line="360" w:lineRule="auto"/>
        <w:jc w:val="right"/>
        <w:rPr>
          <w:b/>
          <w:sz w:val="28"/>
          <w:szCs w:val="28"/>
          <w:lang w:eastAsia="en-GB"/>
        </w:rPr>
      </w:pPr>
      <w:r w:rsidRPr="0037655D">
        <w:rPr>
          <w:b/>
          <w:sz w:val="28"/>
          <w:szCs w:val="28"/>
          <w:lang w:eastAsia="en-GB"/>
        </w:rPr>
        <w:t>Reportable</w:t>
      </w:r>
    </w:p>
    <w:p w14:paraId="6FA2EAC5" w14:textId="77777777" w:rsidR="0056654D" w:rsidRPr="007678FA" w:rsidRDefault="00056E48" w:rsidP="005E1023">
      <w:pPr>
        <w:spacing w:line="360" w:lineRule="auto"/>
        <w:jc w:val="right"/>
        <w:rPr>
          <w:bCs/>
          <w:sz w:val="28"/>
          <w:szCs w:val="28"/>
          <w:lang w:val="en-ZA"/>
        </w:rPr>
      </w:pPr>
      <w:r w:rsidRPr="007678FA">
        <w:rPr>
          <w:sz w:val="28"/>
          <w:szCs w:val="28"/>
          <w:lang w:eastAsia="en-GB"/>
        </w:rPr>
        <w:t xml:space="preserve">Case </w:t>
      </w:r>
      <w:r w:rsidR="003B1661" w:rsidRPr="007678FA">
        <w:rPr>
          <w:sz w:val="28"/>
          <w:szCs w:val="28"/>
          <w:lang w:eastAsia="en-GB"/>
        </w:rPr>
        <w:t>n</w:t>
      </w:r>
      <w:r w:rsidR="0056654D" w:rsidRPr="007678FA">
        <w:rPr>
          <w:sz w:val="28"/>
          <w:szCs w:val="28"/>
          <w:lang w:eastAsia="en-GB"/>
        </w:rPr>
        <w:t>o: 707/2022</w:t>
      </w:r>
    </w:p>
    <w:p w14:paraId="49BF0813" w14:textId="77777777" w:rsidR="0056654D" w:rsidRPr="007678FA" w:rsidRDefault="0056654D" w:rsidP="00EB3944">
      <w:pPr>
        <w:rPr>
          <w:sz w:val="28"/>
          <w:szCs w:val="28"/>
          <w:lang w:eastAsia="en-GB"/>
        </w:rPr>
      </w:pPr>
    </w:p>
    <w:p w14:paraId="40A5AF59" w14:textId="77777777" w:rsidR="0056654D" w:rsidRPr="007678FA" w:rsidRDefault="0056654D">
      <w:pPr>
        <w:spacing w:line="360" w:lineRule="auto"/>
        <w:jc w:val="both"/>
        <w:rPr>
          <w:sz w:val="28"/>
          <w:szCs w:val="28"/>
          <w:lang w:eastAsia="en-GB"/>
        </w:rPr>
      </w:pPr>
      <w:r w:rsidRPr="007678FA">
        <w:rPr>
          <w:sz w:val="28"/>
          <w:szCs w:val="28"/>
          <w:lang w:eastAsia="en-GB"/>
        </w:rPr>
        <w:t>In the matter between:</w:t>
      </w:r>
    </w:p>
    <w:p w14:paraId="7A7F11FC" w14:textId="6A69AB94" w:rsidR="0056654D" w:rsidRPr="007678FA" w:rsidRDefault="0056654D">
      <w:pPr>
        <w:tabs>
          <w:tab w:val="right" w:pos="9480"/>
        </w:tabs>
        <w:spacing w:line="360" w:lineRule="auto"/>
        <w:jc w:val="both"/>
        <w:rPr>
          <w:b/>
          <w:bCs/>
          <w:sz w:val="28"/>
          <w:szCs w:val="28"/>
          <w:lang w:eastAsia="en-GB"/>
        </w:rPr>
      </w:pPr>
      <w:r w:rsidRPr="007678FA">
        <w:rPr>
          <w:b/>
          <w:sz w:val="28"/>
          <w:szCs w:val="28"/>
          <w:lang w:eastAsia="en-GB"/>
        </w:rPr>
        <w:t xml:space="preserve">THE NATIONAL CREDIT REGULATOR </w:t>
      </w:r>
      <w:r w:rsidRPr="007678FA">
        <w:rPr>
          <w:b/>
          <w:sz w:val="28"/>
          <w:szCs w:val="28"/>
          <w:lang w:eastAsia="en-GB"/>
        </w:rPr>
        <w:tab/>
        <w:t xml:space="preserve"> APPELLANT</w:t>
      </w:r>
    </w:p>
    <w:p w14:paraId="2E51705D" w14:textId="72E838E2" w:rsidR="0056654D" w:rsidRPr="007678FA" w:rsidRDefault="0056654D" w:rsidP="008C5B84">
      <w:pPr>
        <w:tabs>
          <w:tab w:val="right" w:pos="9480"/>
        </w:tabs>
        <w:spacing w:before="120" w:after="120" w:line="360" w:lineRule="auto"/>
        <w:jc w:val="both"/>
        <w:rPr>
          <w:b/>
          <w:bCs/>
          <w:sz w:val="28"/>
          <w:szCs w:val="28"/>
          <w:lang w:eastAsia="en-GB"/>
        </w:rPr>
      </w:pPr>
      <w:r w:rsidRPr="007678FA">
        <w:rPr>
          <w:sz w:val="28"/>
          <w:szCs w:val="28"/>
          <w:lang w:eastAsia="en-GB"/>
        </w:rPr>
        <w:t>and</w:t>
      </w:r>
    </w:p>
    <w:p w14:paraId="05507E20" w14:textId="77777777" w:rsidR="0056654D" w:rsidRPr="007678FA" w:rsidRDefault="0056654D" w:rsidP="008C5B84">
      <w:pPr>
        <w:tabs>
          <w:tab w:val="right" w:pos="9480"/>
        </w:tabs>
        <w:spacing w:after="120" w:line="360" w:lineRule="auto"/>
        <w:jc w:val="both"/>
        <w:rPr>
          <w:b/>
          <w:bCs/>
          <w:sz w:val="28"/>
          <w:szCs w:val="28"/>
          <w:lang w:eastAsia="en-GB"/>
        </w:rPr>
      </w:pPr>
      <w:r w:rsidRPr="007678FA">
        <w:rPr>
          <w:b/>
          <w:bCs/>
          <w:sz w:val="28"/>
          <w:szCs w:val="28"/>
          <w:lang w:eastAsia="en-GB"/>
        </w:rPr>
        <w:t>NATIONAL CONSUMER TRIBUNAL</w:t>
      </w:r>
      <w:r w:rsidRPr="007678FA">
        <w:rPr>
          <w:b/>
          <w:bCs/>
          <w:sz w:val="28"/>
          <w:szCs w:val="28"/>
          <w:lang w:eastAsia="en-GB"/>
        </w:rPr>
        <w:tab/>
        <w:t>FIRST RESPONDENT</w:t>
      </w:r>
    </w:p>
    <w:p w14:paraId="7C033909" w14:textId="77777777" w:rsidR="0056654D" w:rsidRPr="007678FA" w:rsidRDefault="0056654D">
      <w:pPr>
        <w:tabs>
          <w:tab w:val="right" w:pos="9480"/>
        </w:tabs>
        <w:spacing w:line="360" w:lineRule="auto"/>
        <w:jc w:val="both"/>
        <w:rPr>
          <w:b/>
          <w:bCs/>
          <w:sz w:val="28"/>
          <w:szCs w:val="28"/>
          <w:lang w:eastAsia="en-GB"/>
        </w:rPr>
      </w:pPr>
      <w:r w:rsidRPr="007678FA">
        <w:rPr>
          <w:b/>
          <w:bCs/>
          <w:sz w:val="28"/>
          <w:szCs w:val="28"/>
          <w:lang w:eastAsia="en-GB"/>
        </w:rPr>
        <w:t xml:space="preserve">ELAVATION TRADING CC t/a </w:t>
      </w:r>
    </w:p>
    <w:p w14:paraId="22AFFCF1" w14:textId="70990067" w:rsidR="0056654D" w:rsidRPr="007678FA" w:rsidRDefault="00D946E5" w:rsidP="008C5B84">
      <w:pPr>
        <w:tabs>
          <w:tab w:val="right" w:pos="9480"/>
        </w:tabs>
        <w:spacing w:after="120" w:line="360" w:lineRule="auto"/>
        <w:jc w:val="both"/>
        <w:rPr>
          <w:b/>
          <w:bCs/>
          <w:sz w:val="28"/>
          <w:szCs w:val="28"/>
          <w:lang w:eastAsia="en-GB"/>
        </w:rPr>
      </w:pPr>
      <w:r>
        <w:rPr>
          <w:b/>
          <w:bCs/>
          <w:sz w:val="28"/>
          <w:szCs w:val="28"/>
          <w:lang w:eastAsia="en-GB"/>
        </w:rPr>
        <w:t>XCELSIOR</w:t>
      </w:r>
      <w:r w:rsidR="0056654D" w:rsidRPr="007678FA">
        <w:rPr>
          <w:b/>
          <w:bCs/>
          <w:sz w:val="28"/>
          <w:szCs w:val="28"/>
          <w:lang w:eastAsia="en-GB"/>
        </w:rPr>
        <w:t xml:space="preserve"> FINANCIAL SERVICES</w:t>
      </w:r>
      <w:r w:rsidR="0056654D" w:rsidRPr="007678FA">
        <w:rPr>
          <w:b/>
          <w:bCs/>
          <w:sz w:val="28"/>
          <w:szCs w:val="28"/>
          <w:lang w:eastAsia="en-GB"/>
        </w:rPr>
        <w:tab/>
        <w:t>SECOND RESPONDENT</w:t>
      </w:r>
    </w:p>
    <w:p w14:paraId="0DD128DA" w14:textId="4C4D81AD" w:rsidR="008465E2" w:rsidRPr="007678FA" w:rsidRDefault="00D946E5" w:rsidP="008C5B84">
      <w:pPr>
        <w:tabs>
          <w:tab w:val="right" w:pos="9480"/>
        </w:tabs>
        <w:spacing w:before="240" w:line="360" w:lineRule="auto"/>
        <w:jc w:val="both"/>
        <w:rPr>
          <w:b/>
          <w:bCs/>
          <w:sz w:val="28"/>
          <w:szCs w:val="28"/>
          <w:lang w:eastAsia="en-GB"/>
        </w:rPr>
      </w:pPr>
      <w:r>
        <w:rPr>
          <w:b/>
          <w:bCs/>
          <w:sz w:val="28"/>
          <w:szCs w:val="28"/>
          <w:lang w:eastAsia="en-GB"/>
        </w:rPr>
        <w:t>XCELSIOR</w:t>
      </w:r>
      <w:r w:rsidR="0056654D" w:rsidRPr="007678FA">
        <w:rPr>
          <w:b/>
          <w:bCs/>
          <w:sz w:val="28"/>
          <w:szCs w:val="28"/>
          <w:lang w:eastAsia="en-GB"/>
        </w:rPr>
        <w:t xml:space="preserve"> FINANCIAL </w:t>
      </w:r>
    </w:p>
    <w:p w14:paraId="548767F7" w14:textId="0A7035EB" w:rsidR="0056654D" w:rsidRPr="007678FA" w:rsidRDefault="0056654D">
      <w:pPr>
        <w:tabs>
          <w:tab w:val="right" w:pos="9480"/>
        </w:tabs>
        <w:spacing w:line="360" w:lineRule="auto"/>
        <w:jc w:val="both"/>
        <w:rPr>
          <w:b/>
          <w:bCs/>
          <w:sz w:val="28"/>
          <w:szCs w:val="28"/>
          <w:lang w:eastAsia="en-GB"/>
        </w:rPr>
      </w:pPr>
      <w:r w:rsidRPr="007678FA">
        <w:rPr>
          <w:b/>
          <w:bCs/>
          <w:sz w:val="28"/>
          <w:szCs w:val="28"/>
          <w:lang w:eastAsia="en-GB"/>
        </w:rPr>
        <w:t>SERVICES (PTY) LTD</w:t>
      </w:r>
      <w:r w:rsidRPr="007678FA">
        <w:rPr>
          <w:b/>
          <w:bCs/>
          <w:sz w:val="28"/>
          <w:szCs w:val="28"/>
          <w:lang w:eastAsia="en-GB"/>
        </w:rPr>
        <w:tab/>
        <w:t>THIRD RESPONDENT</w:t>
      </w:r>
    </w:p>
    <w:p w14:paraId="1FCA4258" w14:textId="77777777" w:rsidR="0056654D" w:rsidRPr="007678FA" w:rsidRDefault="0056654D" w:rsidP="0056654D">
      <w:pPr>
        <w:tabs>
          <w:tab w:val="right" w:pos="9480"/>
        </w:tabs>
        <w:spacing w:line="360" w:lineRule="auto"/>
        <w:jc w:val="both"/>
        <w:rPr>
          <w:bCs/>
          <w:sz w:val="28"/>
          <w:szCs w:val="28"/>
          <w:lang w:eastAsia="en-GB"/>
        </w:rPr>
      </w:pPr>
    </w:p>
    <w:p w14:paraId="2D5FE64A" w14:textId="521CB1D3" w:rsidR="00056E48" w:rsidRPr="007678FA" w:rsidRDefault="0056654D" w:rsidP="00056E48">
      <w:pPr>
        <w:spacing w:line="360" w:lineRule="auto"/>
        <w:ind w:left="2160" w:hanging="2160"/>
        <w:jc w:val="both"/>
        <w:rPr>
          <w:b/>
          <w:bCs/>
          <w:sz w:val="28"/>
          <w:szCs w:val="28"/>
          <w:lang w:eastAsia="en-GB"/>
        </w:rPr>
      </w:pPr>
      <w:r w:rsidRPr="007678FA">
        <w:rPr>
          <w:b/>
          <w:bCs/>
          <w:sz w:val="28"/>
          <w:szCs w:val="28"/>
          <w:lang w:eastAsia="en-GB"/>
        </w:rPr>
        <w:t>Neutral citation:</w:t>
      </w:r>
      <w:r w:rsidRPr="007678FA">
        <w:rPr>
          <w:b/>
          <w:bCs/>
          <w:sz w:val="28"/>
          <w:szCs w:val="28"/>
          <w:lang w:eastAsia="en-GB"/>
        </w:rPr>
        <w:tab/>
      </w:r>
      <w:r w:rsidRPr="007678FA">
        <w:rPr>
          <w:bCs/>
          <w:i/>
          <w:sz w:val="28"/>
          <w:szCs w:val="28"/>
          <w:lang w:eastAsia="en-GB"/>
        </w:rPr>
        <w:t xml:space="preserve">The National Credit Regulator v National Consumer Tribunal and </w:t>
      </w:r>
      <w:r w:rsidR="005A363F">
        <w:rPr>
          <w:bCs/>
          <w:i/>
          <w:sz w:val="28"/>
          <w:szCs w:val="28"/>
          <w:lang w:eastAsia="en-GB"/>
        </w:rPr>
        <w:t>O</w:t>
      </w:r>
      <w:r w:rsidR="00056E48" w:rsidRPr="007678FA">
        <w:rPr>
          <w:bCs/>
          <w:i/>
          <w:sz w:val="28"/>
          <w:szCs w:val="28"/>
          <w:lang w:eastAsia="en-GB"/>
        </w:rPr>
        <w:t>ther</w:t>
      </w:r>
      <w:r w:rsidR="005A363F">
        <w:rPr>
          <w:bCs/>
          <w:i/>
          <w:sz w:val="28"/>
          <w:szCs w:val="28"/>
          <w:lang w:eastAsia="en-GB"/>
        </w:rPr>
        <w:t>s</w:t>
      </w:r>
      <w:r w:rsidR="00056E48" w:rsidRPr="007678FA">
        <w:rPr>
          <w:bCs/>
          <w:i/>
          <w:sz w:val="28"/>
          <w:szCs w:val="28"/>
          <w:lang w:eastAsia="en-GB"/>
        </w:rPr>
        <w:t xml:space="preserve"> </w:t>
      </w:r>
      <w:r w:rsidR="00056E48" w:rsidRPr="007678FA">
        <w:rPr>
          <w:bCs/>
          <w:sz w:val="28"/>
          <w:szCs w:val="28"/>
          <w:lang w:eastAsia="en-GB"/>
        </w:rPr>
        <w:t xml:space="preserve">(707/2022) [2023] </w:t>
      </w:r>
      <w:r w:rsidR="0037655D">
        <w:rPr>
          <w:bCs/>
          <w:sz w:val="28"/>
          <w:szCs w:val="28"/>
          <w:lang w:eastAsia="en-GB"/>
        </w:rPr>
        <w:t>ZASCA 133 (17 October</w:t>
      </w:r>
      <w:r w:rsidR="00056E48" w:rsidRPr="0037655D">
        <w:rPr>
          <w:bCs/>
          <w:sz w:val="28"/>
          <w:szCs w:val="28"/>
          <w:lang w:eastAsia="en-GB"/>
        </w:rPr>
        <w:t xml:space="preserve"> 2023)</w:t>
      </w:r>
    </w:p>
    <w:p w14:paraId="531260D3" w14:textId="78C6BFA9" w:rsidR="0056654D" w:rsidRPr="007678FA" w:rsidRDefault="0056654D" w:rsidP="008465E2">
      <w:pPr>
        <w:spacing w:line="360" w:lineRule="auto"/>
        <w:ind w:left="1440" w:hanging="1440"/>
        <w:jc w:val="both"/>
        <w:rPr>
          <w:b/>
          <w:bCs/>
          <w:sz w:val="28"/>
          <w:szCs w:val="28"/>
          <w:u w:val="single"/>
          <w:lang w:eastAsia="en-GB"/>
        </w:rPr>
      </w:pPr>
      <w:r w:rsidRPr="007678FA">
        <w:rPr>
          <w:b/>
          <w:bCs/>
          <w:sz w:val="28"/>
          <w:szCs w:val="28"/>
          <w:lang w:eastAsia="en-GB"/>
        </w:rPr>
        <w:t>Coram:</w:t>
      </w:r>
      <w:r w:rsidRPr="007678FA">
        <w:rPr>
          <w:b/>
          <w:bCs/>
          <w:sz w:val="28"/>
          <w:szCs w:val="28"/>
          <w:lang w:eastAsia="en-GB"/>
        </w:rPr>
        <w:tab/>
      </w:r>
      <w:r w:rsidRPr="007678FA">
        <w:rPr>
          <w:bCs/>
          <w:sz w:val="28"/>
          <w:szCs w:val="28"/>
          <w:lang w:eastAsia="en-GB"/>
        </w:rPr>
        <w:t xml:space="preserve">PONNAN, MBATHA, HUGHES </w:t>
      </w:r>
      <w:r w:rsidR="0012758B">
        <w:rPr>
          <w:bCs/>
          <w:sz w:val="28"/>
          <w:szCs w:val="28"/>
          <w:lang w:eastAsia="en-GB"/>
        </w:rPr>
        <w:t xml:space="preserve">and </w:t>
      </w:r>
      <w:r w:rsidRPr="007678FA">
        <w:rPr>
          <w:bCs/>
          <w:sz w:val="28"/>
          <w:szCs w:val="28"/>
          <w:lang w:eastAsia="en-GB"/>
        </w:rPr>
        <w:t xml:space="preserve">WEINER JJA </w:t>
      </w:r>
      <w:r w:rsidR="00CD18C6" w:rsidRPr="007678FA">
        <w:rPr>
          <w:bCs/>
          <w:sz w:val="28"/>
          <w:szCs w:val="28"/>
          <w:lang w:eastAsia="en-GB"/>
        </w:rPr>
        <w:t>and</w:t>
      </w:r>
      <w:r w:rsidRPr="007678FA">
        <w:rPr>
          <w:bCs/>
          <w:sz w:val="28"/>
          <w:szCs w:val="28"/>
          <w:lang w:eastAsia="en-GB"/>
        </w:rPr>
        <w:t xml:space="preserve"> NHLANGULELA AJA</w:t>
      </w:r>
    </w:p>
    <w:p w14:paraId="0319647C" w14:textId="625D390B" w:rsidR="0056654D" w:rsidRPr="007678FA" w:rsidRDefault="0056654D" w:rsidP="0056654D">
      <w:pPr>
        <w:spacing w:line="360" w:lineRule="auto"/>
        <w:jc w:val="both"/>
        <w:rPr>
          <w:bCs/>
          <w:sz w:val="28"/>
          <w:szCs w:val="28"/>
          <w:lang w:eastAsia="en-GB"/>
        </w:rPr>
      </w:pPr>
      <w:r w:rsidRPr="007678FA">
        <w:rPr>
          <w:b/>
          <w:bCs/>
          <w:sz w:val="28"/>
          <w:szCs w:val="28"/>
          <w:lang w:eastAsia="en-GB"/>
        </w:rPr>
        <w:t>Heard:</w:t>
      </w:r>
      <w:r w:rsidR="008465E2" w:rsidRPr="007678FA">
        <w:rPr>
          <w:b/>
          <w:bCs/>
          <w:sz w:val="28"/>
          <w:szCs w:val="28"/>
          <w:lang w:eastAsia="en-GB"/>
        </w:rPr>
        <w:tab/>
      </w:r>
      <w:r w:rsidRPr="007678FA">
        <w:rPr>
          <w:bCs/>
          <w:sz w:val="28"/>
          <w:szCs w:val="28"/>
          <w:lang w:eastAsia="en-GB"/>
        </w:rPr>
        <w:t>5 September 2023</w:t>
      </w:r>
    </w:p>
    <w:p w14:paraId="003096C2" w14:textId="45D193D6" w:rsidR="0056654D" w:rsidRPr="007678FA" w:rsidRDefault="0056654D" w:rsidP="0056654D">
      <w:pPr>
        <w:spacing w:line="360" w:lineRule="auto"/>
        <w:jc w:val="both"/>
        <w:outlineLvl w:val="0"/>
        <w:rPr>
          <w:sz w:val="28"/>
          <w:szCs w:val="28"/>
          <w:lang w:val="en-US" w:eastAsia="en-ZA"/>
        </w:rPr>
      </w:pPr>
      <w:r w:rsidRPr="007678FA">
        <w:rPr>
          <w:b/>
          <w:bCs/>
          <w:sz w:val="28"/>
          <w:szCs w:val="28"/>
          <w:lang w:eastAsia="en-GB"/>
        </w:rPr>
        <w:t>Delivered:</w:t>
      </w:r>
      <w:r w:rsidRPr="007678FA">
        <w:rPr>
          <w:b/>
          <w:bCs/>
          <w:sz w:val="28"/>
          <w:szCs w:val="28"/>
          <w:lang w:eastAsia="en-GB"/>
        </w:rPr>
        <w:tab/>
      </w:r>
      <w:r w:rsidR="0037655D">
        <w:rPr>
          <w:bCs/>
          <w:sz w:val="28"/>
          <w:szCs w:val="28"/>
          <w:lang w:eastAsia="en-GB"/>
        </w:rPr>
        <w:t>17 October</w:t>
      </w:r>
      <w:r w:rsidRPr="0037655D">
        <w:rPr>
          <w:bCs/>
          <w:sz w:val="28"/>
          <w:szCs w:val="28"/>
          <w:lang w:eastAsia="en-GB"/>
        </w:rPr>
        <w:t xml:space="preserve"> 2023</w:t>
      </w:r>
    </w:p>
    <w:p w14:paraId="63143C4F" w14:textId="0927DA12" w:rsidR="00E7362B" w:rsidRPr="007678FA" w:rsidRDefault="0056654D" w:rsidP="00E7362B">
      <w:pPr>
        <w:autoSpaceDE w:val="0"/>
        <w:autoSpaceDN w:val="0"/>
        <w:adjustRightInd w:val="0"/>
        <w:spacing w:line="360" w:lineRule="auto"/>
        <w:jc w:val="both"/>
        <w:rPr>
          <w:b/>
          <w:bCs/>
          <w:sz w:val="28"/>
          <w:szCs w:val="28"/>
          <w:lang w:val="en-US"/>
        </w:rPr>
      </w:pPr>
      <w:r w:rsidRPr="007678FA">
        <w:rPr>
          <w:b/>
          <w:sz w:val="28"/>
          <w:szCs w:val="28"/>
          <w:lang w:eastAsia="en-GB"/>
        </w:rPr>
        <w:lastRenderedPageBreak/>
        <w:t>Summary:</w:t>
      </w:r>
      <w:r w:rsidRPr="007678FA">
        <w:rPr>
          <w:b/>
          <w:bCs/>
          <w:sz w:val="28"/>
          <w:szCs w:val="28"/>
          <w:lang w:val="en-US"/>
        </w:rPr>
        <w:t xml:space="preserve"> </w:t>
      </w:r>
      <w:r w:rsidRPr="007678FA">
        <w:rPr>
          <w:b/>
          <w:bCs/>
          <w:sz w:val="28"/>
          <w:szCs w:val="28"/>
          <w:lang w:val="en-US"/>
        </w:rPr>
        <w:tab/>
      </w:r>
      <w:r w:rsidRPr="007678FA">
        <w:rPr>
          <w:bCs/>
          <w:sz w:val="28"/>
          <w:szCs w:val="28"/>
          <w:lang w:val="en-US"/>
        </w:rPr>
        <w:t>Review</w:t>
      </w:r>
      <w:r w:rsidR="0012758B">
        <w:rPr>
          <w:b/>
          <w:bCs/>
          <w:sz w:val="28"/>
          <w:szCs w:val="28"/>
          <w:lang w:val="en-US"/>
        </w:rPr>
        <w:t xml:space="preserve"> </w:t>
      </w:r>
      <w:r w:rsidRPr="007678FA">
        <w:rPr>
          <w:bCs/>
          <w:sz w:val="28"/>
          <w:szCs w:val="28"/>
          <w:lang w:val="en-US"/>
        </w:rPr>
        <w:t>of</w:t>
      </w:r>
      <w:r w:rsidRPr="007678FA">
        <w:rPr>
          <w:b/>
          <w:bCs/>
          <w:sz w:val="28"/>
          <w:szCs w:val="28"/>
          <w:lang w:val="en-US"/>
        </w:rPr>
        <w:t xml:space="preserve"> </w:t>
      </w:r>
      <w:r w:rsidRPr="007678FA">
        <w:rPr>
          <w:bCs/>
          <w:sz w:val="28"/>
          <w:szCs w:val="28"/>
          <w:lang w:val="en-US"/>
        </w:rPr>
        <w:t>National Consumer Tribunal’s</w:t>
      </w:r>
      <w:r w:rsidR="002058A8">
        <w:rPr>
          <w:bCs/>
          <w:sz w:val="28"/>
          <w:szCs w:val="28"/>
          <w:lang w:val="en-US"/>
        </w:rPr>
        <w:t xml:space="preserve"> (Tribunal)</w:t>
      </w:r>
      <w:r w:rsidRPr="007678FA">
        <w:rPr>
          <w:bCs/>
          <w:sz w:val="28"/>
          <w:szCs w:val="28"/>
          <w:lang w:val="en-US"/>
        </w:rPr>
        <w:t xml:space="preserve"> decision granting condonation for late filing of supplementary founding affidavit</w:t>
      </w:r>
      <w:r w:rsidR="008465E2" w:rsidRPr="007678FA">
        <w:rPr>
          <w:bCs/>
          <w:sz w:val="28"/>
          <w:szCs w:val="28"/>
          <w:lang w:val="en-US"/>
        </w:rPr>
        <w:t xml:space="preserve"> –</w:t>
      </w:r>
      <w:r w:rsidRPr="007678FA">
        <w:rPr>
          <w:bCs/>
          <w:sz w:val="28"/>
          <w:szCs w:val="28"/>
          <w:lang w:val="en-US"/>
        </w:rPr>
        <w:t xml:space="preserve"> whether Tribunal had such power</w:t>
      </w:r>
      <w:r w:rsidR="002058A8">
        <w:rPr>
          <w:bCs/>
          <w:sz w:val="28"/>
          <w:szCs w:val="28"/>
          <w:lang w:val="en-US"/>
        </w:rPr>
        <w:t>.</w:t>
      </w:r>
    </w:p>
    <w:p w14:paraId="418216DB" w14:textId="77777777" w:rsidR="00E7362B" w:rsidRPr="007678FA" w:rsidRDefault="00E7362B">
      <w:pPr>
        <w:spacing w:after="160" w:line="259" w:lineRule="auto"/>
        <w:rPr>
          <w:b/>
          <w:bCs/>
          <w:sz w:val="28"/>
          <w:szCs w:val="28"/>
          <w:lang w:val="en-US"/>
        </w:rPr>
      </w:pPr>
      <w:r w:rsidRPr="007678FA">
        <w:rPr>
          <w:b/>
          <w:bCs/>
          <w:sz w:val="28"/>
          <w:szCs w:val="28"/>
          <w:lang w:val="en-US"/>
        </w:rPr>
        <w:br w:type="page"/>
      </w:r>
    </w:p>
    <w:p w14:paraId="21591C48" w14:textId="368B1343" w:rsidR="0056654D" w:rsidRPr="007678FA" w:rsidRDefault="0056654D" w:rsidP="00EB3944">
      <w:pPr>
        <w:shd w:val="clear" w:color="auto" w:fill="FFFFFF"/>
        <w:tabs>
          <w:tab w:val="left" w:pos="900"/>
        </w:tabs>
        <w:spacing w:before="120" w:line="360" w:lineRule="auto"/>
        <w:rPr>
          <w:b/>
          <w:bCs/>
          <w:sz w:val="28"/>
          <w:szCs w:val="28"/>
          <w:lang w:val="en-US"/>
        </w:rPr>
      </w:pPr>
      <w:r w:rsidRPr="007678FA">
        <w:rPr>
          <w:b/>
          <w:bCs/>
          <w:sz w:val="28"/>
          <w:szCs w:val="28"/>
          <w:lang w:val="en-US"/>
        </w:rPr>
        <w:lastRenderedPageBreak/>
        <w:t>_____________________________________________________________</w:t>
      </w:r>
      <w:r w:rsidR="002058A8">
        <w:rPr>
          <w:b/>
          <w:bCs/>
          <w:sz w:val="28"/>
          <w:szCs w:val="28"/>
          <w:lang w:val="en-US"/>
        </w:rPr>
        <w:t>_____</w:t>
      </w:r>
    </w:p>
    <w:p w14:paraId="729EB565" w14:textId="77777777" w:rsidR="0056654D" w:rsidRPr="007678FA" w:rsidRDefault="0056654D" w:rsidP="0056654D">
      <w:pPr>
        <w:shd w:val="clear" w:color="auto" w:fill="FFFFFF"/>
        <w:tabs>
          <w:tab w:val="left" w:pos="900"/>
        </w:tabs>
        <w:spacing w:before="120" w:line="276" w:lineRule="auto"/>
        <w:jc w:val="center"/>
        <w:rPr>
          <w:b/>
          <w:bCs/>
          <w:sz w:val="28"/>
          <w:szCs w:val="28"/>
          <w:lang w:val="en-US"/>
        </w:rPr>
      </w:pPr>
      <w:r w:rsidRPr="007678FA">
        <w:rPr>
          <w:b/>
          <w:bCs/>
          <w:sz w:val="28"/>
          <w:szCs w:val="28"/>
          <w:lang w:val="en-US"/>
        </w:rPr>
        <w:t>ORDER</w:t>
      </w:r>
    </w:p>
    <w:p w14:paraId="52B147FA" w14:textId="5D9809BC" w:rsidR="0056654D" w:rsidRPr="007678FA" w:rsidRDefault="0056654D" w:rsidP="005C0790">
      <w:pPr>
        <w:shd w:val="clear" w:color="auto" w:fill="FFFFFF"/>
        <w:tabs>
          <w:tab w:val="left" w:pos="900"/>
        </w:tabs>
        <w:spacing w:line="276" w:lineRule="auto"/>
        <w:jc w:val="center"/>
        <w:rPr>
          <w:b/>
          <w:bCs/>
          <w:sz w:val="28"/>
          <w:szCs w:val="28"/>
          <w:lang w:val="en-US"/>
        </w:rPr>
      </w:pPr>
      <w:r w:rsidRPr="007678FA">
        <w:rPr>
          <w:b/>
          <w:bCs/>
          <w:sz w:val="28"/>
          <w:szCs w:val="28"/>
          <w:lang w:val="en-US"/>
        </w:rPr>
        <w:t>________________________________</w:t>
      </w:r>
      <w:r w:rsidR="00A94251" w:rsidRPr="007678FA">
        <w:rPr>
          <w:b/>
          <w:bCs/>
          <w:sz w:val="28"/>
          <w:szCs w:val="28"/>
          <w:lang w:val="en-US"/>
        </w:rPr>
        <w:t>_____________________________</w:t>
      </w:r>
      <w:r w:rsidR="002058A8">
        <w:rPr>
          <w:b/>
          <w:bCs/>
          <w:sz w:val="28"/>
          <w:szCs w:val="28"/>
          <w:lang w:val="en-US"/>
        </w:rPr>
        <w:t>_____</w:t>
      </w:r>
    </w:p>
    <w:p w14:paraId="76232B77" w14:textId="77777777" w:rsidR="0056654D" w:rsidRPr="007678FA" w:rsidRDefault="0056654D" w:rsidP="005C0790">
      <w:pPr>
        <w:shd w:val="clear" w:color="auto" w:fill="FFFFFF"/>
        <w:tabs>
          <w:tab w:val="left" w:pos="900"/>
        </w:tabs>
        <w:spacing w:before="160" w:line="360" w:lineRule="auto"/>
        <w:jc w:val="both"/>
        <w:rPr>
          <w:bCs/>
          <w:sz w:val="28"/>
          <w:szCs w:val="28"/>
          <w:lang w:val="en-US"/>
        </w:rPr>
      </w:pPr>
      <w:r w:rsidRPr="007678FA">
        <w:rPr>
          <w:b/>
          <w:bCs/>
          <w:sz w:val="28"/>
          <w:szCs w:val="28"/>
          <w:lang w:val="en-US"/>
        </w:rPr>
        <w:t>On appeal from:</w:t>
      </w:r>
      <w:r w:rsidRPr="007678FA">
        <w:rPr>
          <w:bCs/>
          <w:sz w:val="28"/>
          <w:szCs w:val="28"/>
          <w:lang w:val="en-US"/>
        </w:rPr>
        <w:t xml:space="preserve"> Gauteng Division of the High Court, Pretoria (Lukhaimane J sitting as court of first instance):</w:t>
      </w:r>
    </w:p>
    <w:p w14:paraId="3996CF6C" w14:textId="6A1D075A" w:rsidR="003B1661" w:rsidRPr="002007EB" w:rsidRDefault="00056E48" w:rsidP="00404453">
      <w:pPr>
        <w:pStyle w:val="Normal1"/>
        <w:spacing w:after="0" w:line="360" w:lineRule="auto"/>
        <w:ind w:right="72"/>
        <w:contextualSpacing/>
        <w:jc w:val="both"/>
        <w:rPr>
          <w:rFonts w:ascii="Times New Roman" w:eastAsia="Arial" w:hAnsi="Times New Roman" w:cs="Times New Roman"/>
          <w:color w:val="000000" w:themeColor="text1"/>
          <w:sz w:val="28"/>
          <w:szCs w:val="28"/>
        </w:rPr>
      </w:pPr>
      <w:r w:rsidRPr="007678FA">
        <w:rPr>
          <w:rFonts w:ascii="Times New Roman" w:hAnsi="Times New Roman" w:cs="Times New Roman"/>
          <w:bCs/>
          <w:sz w:val="28"/>
          <w:szCs w:val="28"/>
          <w:lang w:val="en-US"/>
        </w:rPr>
        <w:t xml:space="preserve">The appeal is </w:t>
      </w:r>
      <w:r w:rsidR="002007EB">
        <w:rPr>
          <w:rFonts w:ascii="Times New Roman" w:hAnsi="Times New Roman" w:cs="Times New Roman"/>
          <w:bCs/>
          <w:sz w:val="28"/>
          <w:szCs w:val="28"/>
          <w:lang w:val="en-US"/>
        </w:rPr>
        <w:t>dismissed</w:t>
      </w:r>
      <w:r w:rsidRPr="007678FA">
        <w:rPr>
          <w:rFonts w:ascii="Times New Roman" w:eastAsia="Arial" w:hAnsi="Times New Roman" w:cs="Times New Roman"/>
          <w:color w:val="000000" w:themeColor="text1"/>
          <w:sz w:val="28"/>
          <w:szCs w:val="28"/>
        </w:rPr>
        <w:t>.</w:t>
      </w:r>
    </w:p>
    <w:p w14:paraId="01FA82F2" w14:textId="78D4CD8A" w:rsidR="00243572" w:rsidRPr="007678FA" w:rsidRDefault="00243572" w:rsidP="005C0790">
      <w:pPr>
        <w:shd w:val="clear" w:color="auto" w:fill="FFFFFF"/>
        <w:tabs>
          <w:tab w:val="left" w:pos="900"/>
        </w:tabs>
        <w:spacing w:line="360" w:lineRule="auto"/>
        <w:rPr>
          <w:b/>
          <w:sz w:val="28"/>
          <w:szCs w:val="28"/>
        </w:rPr>
      </w:pPr>
      <w:r w:rsidRPr="007678FA">
        <w:rPr>
          <w:b/>
          <w:bCs/>
          <w:sz w:val="28"/>
          <w:szCs w:val="28"/>
          <w:lang w:val="en-US"/>
        </w:rPr>
        <w:t>_____________________________________________________________</w:t>
      </w:r>
      <w:r w:rsidR="002058A8">
        <w:rPr>
          <w:b/>
          <w:bCs/>
          <w:sz w:val="28"/>
          <w:szCs w:val="28"/>
          <w:lang w:val="en-US"/>
        </w:rPr>
        <w:t>_____</w:t>
      </w:r>
    </w:p>
    <w:p w14:paraId="3F425AB6" w14:textId="1735B201" w:rsidR="0056654D" w:rsidRPr="007678FA" w:rsidRDefault="0056654D">
      <w:pPr>
        <w:spacing w:before="120" w:line="360" w:lineRule="auto"/>
        <w:jc w:val="center"/>
        <w:rPr>
          <w:b/>
          <w:sz w:val="28"/>
          <w:szCs w:val="28"/>
        </w:rPr>
      </w:pPr>
      <w:r w:rsidRPr="007678FA">
        <w:rPr>
          <w:b/>
          <w:sz w:val="28"/>
          <w:szCs w:val="28"/>
        </w:rPr>
        <w:t>JUDGMENT</w:t>
      </w:r>
    </w:p>
    <w:p w14:paraId="356CFFC0" w14:textId="16DE3068" w:rsidR="00243572" w:rsidRPr="007678FA" w:rsidRDefault="00243572" w:rsidP="00243572">
      <w:pPr>
        <w:shd w:val="clear" w:color="auto" w:fill="FFFFFF"/>
        <w:tabs>
          <w:tab w:val="left" w:pos="900"/>
        </w:tabs>
        <w:spacing w:before="120" w:line="360" w:lineRule="auto"/>
        <w:rPr>
          <w:b/>
          <w:bCs/>
          <w:sz w:val="28"/>
          <w:szCs w:val="28"/>
          <w:lang w:val="en-US"/>
        </w:rPr>
      </w:pPr>
      <w:r w:rsidRPr="007678FA">
        <w:rPr>
          <w:b/>
          <w:bCs/>
          <w:sz w:val="28"/>
          <w:szCs w:val="28"/>
          <w:lang w:val="en-US"/>
        </w:rPr>
        <w:t>_____________________________________________________________</w:t>
      </w:r>
      <w:r w:rsidR="002058A8">
        <w:rPr>
          <w:b/>
          <w:bCs/>
          <w:sz w:val="28"/>
          <w:szCs w:val="28"/>
          <w:lang w:val="en-US"/>
        </w:rPr>
        <w:t>_____</w:t>
      </w:r>
    </w:p>
    <w:p w14:paraId="49399094" w14:textId="3EF2D7E3" w:rsidR="00E7362B" w:rsidRPr="007678FA" w:rsidRDefault="0056654D" w:rsidP="008C5B84">
      <w:pPr>
        <w:spacing w:after="120" w:line="360" w:lineRule="auto"/>
        <w:jc w:val="both"/>
        <w:rPr>
          <w:szCs w:val="28"/>
        </w:rPr>
      </w:pPr>
      <w:r w:rsidRPr="007678FA">
        <w:rPr>
          <w:b/>
          <w:sz w:val="28"/>
          <w:szCs w:val="28"/>
        </w:rPr>
        <w:t>Weiner JA (</w:t>
      </w:r>
      <w:r w:rsidR="00F5616D">
        <w:rPr>
          <w:b/>
          <w:sz w:val="28"/>
          <w:szCs w:val="28"/>
        </w:rPr>
        <w:t>Mbatha JA concurring</w:t>
      </w:r>
      <w:r w:rsidRPr="007678FA">
        <w:rPr>
          <w:b/>
          <w:sz w:val="28"/>
          <w:szCs w:val="28"/>
        </w:rPr>
        <w:t>)</w:t>
      </w:r>
      <w:r w:rsidR="002007EB">
        <w:rPr>
          <w:b/>
          <w:sz w:val="28"/>
          <w:szCs w:val="28"/>
        </w:rPr>
        <w:t xml:space="preserve"> </w:t>
      </w:r>
    </w:p>
    <w:p w14:paraId="3A3A5645" w14:textId="77777777" w:rsidR="00A94251" w:rsidRPr="007678FA" w:rsidRDefault="00207C4C" w:rsidP="00B7772D">
      <w:pPr>
        <w:spacing w:line="360" w:lineRule="auto"/>
        <w:jc w:val="both"/>
        <w:rPr>
          <w:b/>
          <w:sz w:val="28"/>
          <w:szCs w:val="28"/>
        </w:rPr>
      </w:pPr>
      <w:r w:rsidRPr="007678FA">
        <w:rPr>
          <w:b/>
          <w:sz w:val="28"/>
          <w:szCs w:val="28"/>
        </w:rPr>
        <w:t>Introduction</w:t>
      </w:r>
    </w:p>
    <w:p w14:paraId="573B49A0" w14:textId="615839D2" w:rsidR="00DC00E7" w:rsidRPr="00DF0119" w:rsidRDefault="00DF0119" w:rsidP="00DF0119">
      <w:pPr>
        <w:spacing w:line="360" w:lineRule="auto"/>
        <w:jc w:val="both"/>
        <w:rPr>
          <w:sz w:val="28"/>
          <w:szCs w:val="28"/>
        </w:rPr>
      </w:pPr>
      <w:r w:rsidRPr="007678FA">
        <w:rPr>
          <w:sz w:val="28"/>
          <w:szCs w:val="28"/>
        </w:rPr>
        <w:t>[</w:t>
      </w:r>
      <w:bookmarkStart w:id="0" w:name="_GoBack"/>
      <w:bookmarkEnd w:id="0"/>
      <w:r w:rsidRPr="007678FA">
        <w:rPr>
          <w:sz w:val="28"/>
          <w:szCs w:val="28"/>
        </w:rPr>
        <w:t>1]</w:t>
      </w:r>
      <w:r w:rsidRPr="007678FA">
        <w:rPr>
          <w:sz w:val="28"/>
          <w:szCs w:val="28"/>
        </w:rPr>
        <w:tab/>
      </w:r>
      <w:r w:rsidR="007F2253" w:rsidRPr="00DF0119">
        <w:rPr>
          <w:sz w:val="28"/>
          <w:szCs w:val="28"/>
        </w:rPr>
        <w:t>This appeal is concerned with whether the first respondent, the National Consumer Tribunal</w:t>
      </w:r>
      <w:r w:rsidR="008C5B84" w:rsidRPr="00DF0119">
        <w:rPr>
          <w:sz w:val="28"/>
          <w:szCs w:val="28"/>
        </w:rPr>
        <w:t xml:space="preserve"> (the Tribunal)</w:t>
      </w:r>
      <w:r w:rsidR="007F2253" w:rsidRPr="00DF0119">
        <w:rPr>
          <w:sz w:val="28"/>
          <w:szCs w:val="28"/>
        </w:rPr>
        <w:t xml:space="preserve"> has the power </w:t>
      </w:r>
      <w:r w:rsidR="002914B2" w:rsidRPr="00DF0119">
        <w:rPr>
          <w:sz w:val="28"/>
          <w:szCs w:val="28"/>
        </w:rPr>
        <w:t xml:space="preserve">to condone the filing of a supplementary founding </w:t>
      </w:r>
      <w:r w:rsidR="00C05558" w:rsidRPr="00DF0119">
        <w:rPr>
          <w:sz w:val="28"/>
          <w:szCs w:val="28"/>
        </w:rPr>
        <w:t>affidavit (</w:t>
      </w:r>
      <w:r w:rsidR="00F246E5" w:rsidRPr="00DF0119">
        <w:rPr>
          <w:sz w:val="28"/>
          <w:szCs w:val="28"/>
        </w:rPr>
        <w:t xml:space="preserve">the supplementary </w:t>
      </w:r>
      <w:r w:rsidR="00C05558" w:rsidRPr="00DF0119">
        <w:rPr>
          <w:sz w:val="28"/>
          <w:szCs w:val="28"/>
        </w:rPr>
        <w:t>affidavit) by</w:t>
      </w:r>
      <w:r w:rsidR="002914B2" w:rsidRPr="00DF0119">
        <w:rPr>
          <w:sz w:val="28"/>
          <w:szCs w:val="28"/>
        </w:rPr>
        <w:t xml:space="preserve"> the </w:t>
      </w:r>
      <w:r w:rsidR="002D6F14" w:rsidRPr="00DF0119">
        <w:rPr>
          <w:sz w:val="28"/>
          <w:szCs w:val="28"/>
        </w:rPr>
        <w:t xml:space="preserve">appellant, the </w:t>
      </w:r>
      <w:r w:rsidR="002914B2" w:rsidRPr="00DF0119">
        <w:rPr>
          <w:sz w:val="28"/>
          <w:szCs w:val="28"/>
        </w:rPr>
        <w:t>National Credit Regulator</w:t>
      </w:r>
      <w:r w:rsidR="008C5B84" w:rsidRPr="00DF0119">
        <w:rPr>
          <w:sz w:val="28"/>
          <w:szCs w:val="28"/>
        </w:rPr>
        <w:t xml:space="preserve"> (the NCR)</w:t>
      </w:r>
      <w:r w:rsidR="00DC00E7" w:rsidRPr="00DF0119">
        <w:rPr>
          <w:sz w:val="28"/>
          <w:szCs w:val="28"/>
        </w:rPr>
        <w:t xml:space="preserve"> </w:t>
      </w:r>
      <w:r w:rsidR="002914B2" w:rsidRPr="00DF0119">
        <w:rPr>
          <w:sz w:val="28"/>
          <w:szCs w:val="28"/>
        </w:rPr>
        <w:t>in proceedings before it. The</w:t>
      </w:r>
      <w:r w:rsidR="0010076C" w:rsidRPr="00DF0119">
        <w:rPr>
          <w:sz w:val="28"/>
          <w:szCs w:val="28"/>
        </w:rPr>
        <w:t>se</w:t>
      </w:r>
      <w:r w:rsidR="002914B2" w:rsidRPr="00DF0119">
        <w:rPr>
          <w:sz w:val="28"/>
          <w:szCs w:val="28"/>
        </w:rPr>
        <w:t xml:space="preserve"> proceedings concerned an application by the </w:t>
      </w:r>
      <w:r w:rsidR="00DC00E7" w:rsidRPr="00DF0119">
        <w:rPr>
          <w:sz w:val="28"/>
          <w:szCs w:val="28"/>
        </w:rPr>
        <w:t xml:space="preserve">NCR </w:t>
      </w:r>
      <w:r w:rsidR="002914B2" w:rsidRPr="00DF0119">
        <w:rPr>
          <w:sz w:val="28"/>
          <w:szCs w:val="28"/>
        </w:rPr>
        <w:t xml:space="preserve">to cancel the registration of the </w:t>
      </w:r>
      <w:r w:rsidR="00DC00E7" w:rsidRPr="00DF0119">
        <w:rPr>
          <w:sz w:val="28"/>
          <w:szCs w:val="28"/>
        </w:rPr>
        <w:t xml:space="preserve">second and third respondents, Elevation Trading CC and </w:t>
      </w:r>
      <w:r w:rsidR="00B15CE2" w:rsidRPr="00DF0119">
        <w:rPr>
          <w:sz w:val="28"/>
          <w:szCs w:val="28"/>
        </w:rPr>
        <w:t>Xcelsior</w:t>
      </w:r>
      <w:r w:rsidR="00DC00E7" w:rsidRPr="00DF0119">
        <w:rPr>
          <w:sz w:val="28"/>
          <w:szCs w:val="28"/>
        </w:rPr>
        <w:t xml:space="preserve"> Financial Services (Pty) Ltd</w:t>
      </w:r>
      <w:r w:rsidR="002914B2" w:rsidRPr="00DF0119">
        <w:rPr>
          <w:sz w:val="28"/>
          <w:szCs w:val="28"/>
        </w:rPr>
        <w:t xml:space="preserve"> as credit providers. </w:t>
      </w:r>
    </w:p>
    <w:p w14:paraId="767C0271" w14:textId="77777777" w:rsidR="00076C6A" w:rsidRPr="007678FA" w:rsidRDefault="00076C6A" w:rsidP="00076C6A">
      <w:pPr>
        <w:pStyle w:val="ListParagraph"/>
        <w:spacing w:line="360" w:lineRule="auto"/>
        <w:ind w:left="0"/>
        <w:jc w:val="both"/>
        <w:rPr>
          <w:sz w:val="28"/>
          <w:szCs w:val="28"/>
        </w:rPr>
      </w:pPr>
    </w:p>
    <w:p w14:paraId="18845B11" w14:textId="5981390C" w:rsidR="00A15DA9" w:rsidRPr="00DF0119" w:rsidRDefault="00DF0119" w:rsidP="00DF0119">
      <w:pPr>
        <w:spacing w:line="360" w:lineRule="auto"/>
        <w:jc w:val="both"/>
        <w:rPr>
          <w:b/>
          <w:sz w:val="28"/>
          <w:szCs w:val="28"/>
        </w:rPr>
      </w:pPr>
      <w:r w:rsidRPr="007678FA">
        <w:rPr>
          <w:sz w:val="28"/>
          <w:szCs w:val="28"/>
        </w:rPr>
        <w:t>[2]</w:t>
      </w:r>
      <w:r w:rsidRPr="007678FA">
        <w:rPr>
          <w:sz w:val="28"/>
          <w:szCs w:val="28"/>
        </w:rPr>
        <w:tab/>
      </w:r>
      <w:r w:rsidR="0056654D" w:rsidRPr="00DF0119">
        <w:rPr>
          <w:sz w:val="28"/>
          <w:szCs w:val="28"/>
        </w:rPr>
        <w:t xml:space="preserve">The </w:t>
      </w:r>
      <w:r w:rsidR="008C5B84" w:rsidRPr="00DF0119">
        <w:rPr>
          <w:sz w:val="28"/>
          <w:szCs w:val="28"/>
        </w:rPr>
        <w:t xml:space="preserve">NCR </w:t>
      </w:r>
      <w:r w:rsidR="00A94251" w:rsidRPr="00DF0119">
        <w:rPr>
          <w:color w:val="242121"/>
          <w:sz w:val="28"/>
          <w:szCs w:val="28"/>
        </w:rPr>
        <w:t>was</w:t>
      </w:r>
      <w:r w:rsidR="00DC00E7" w:rsidRPr="00DF0119">
        <w:rPr>
          <w:color w:val="242121"/>
          <w:sz w:val="28"/>
          <w:szCs w:val="28"/>
        </w:rPr>
        <w:t xml:space="preserve"> established in terms of s </w:t>
      </w:r>
      <w:r w:rsidR="0056654D" w:rsidRPr="00DF0119">
        <w:rPr>
          <w:color w:val="242121"/>
          <w:sz w:val="28"/>
          <w:szCs w:val="28"/>
        </w:rPr>
        <w:t>12 of the </w:t>
      </w:r>
      <w:r w:rsidR="002C3D86" w:rsidRPr="00DF0119">
        <w:rPr>
          <w:color w:val="242121"/>
          <w:sz w:val="28"/>
          <w:szCs w:val="28"/>
        </w:rPr>
        <w:t>National Credit Act 34 of 2005</w:t>
      </w:r>
      <w:r w:rsidR="0056654D" w:rsidRPr="00DF0119">
        <w:rPr>
          <w:color w:val="242121"/>
          <w:sz w:val="28"/>
          <w:szCs w:val="28"/>
        </w:rPr>
        <w:t xml:space="preserve"> (the Act). </w:t>
      </w:r>
      <w:r w:rsidR="0056654D" w:rsidRPr="00DF0119">
        <w:rPr>
          <w:snapToGrid w:val="0"/>
          <w:color w:val="000000"/>
          <w:sz w:val="28"/>
          <w:szCs w:val="28"/>
        </w:rPr>
        <w:t>The NCR</w:t>
      </w:r>
      <w:r w:rsidR="0056654D" w:rsidRPr="00DF0119">
        <w:rPr>
          <w:sz w:val="28"/>
          <w:szCs w:val="28"/>
        </w:rPr>
        <w:t> is responsible </w:t>
      </w:r>
      <w:r w:rsidR="0010076C" w:rsidRPr="00DF0119">
        <w:rPr>
          <w:sz w:val="28"/>
          <w:szCs w:val="28"/>
        </w:rPr>
        <w:t>for</w:t>
      </w:r>
      <w:r w:rsidR="0056654D" w:rsidRPr="00DF0119">
        <w:rPr>
          <w:sz w:val="28"/>
          <w:szCs w:val="28"/>
        </w:rPr>
        <w:t xml:space="preserve"> promot</w:t>
      </w:r>
      <w:r w:rsidR="0010076C" w:rsidRPr="00DF0119">
        <w:rPr>
          <w:sz w:val="28"/>
          <w:szCs w:val="28"/>
        </w:rPr>
        <w:t>ing</w:t>
      </w:r>
      <w:r w:rsidR="0056654D" w:rsidRPr="00DF0119">
        <w:rPr>
          <w:sz w:val="28"/>
          <w:szCs w:val="28"/>
        </w:rPr>
        <w:t xml:space="preserve"> and support</w:t>
      </w:r>
      <w:r w:rsidR="0010076C" w:rsidRPr="00DF0119">
        <w:rPr>
          <w:sz w:val="28"/>
          <w:szCs w:val="28"/>
        </w:rPr>
        <w:t>ing</w:t>
      </w:r>
      <w:r w:rsidR="0056654D" w:rsidRPr="00DF0119">
        <w:rPr>
          <w:sz w:val="28"/>
          <w:szCs w:val="28"/>
        </w:rPr>
        <w:t xml:space="preserve"> the dev</w:t>
      </w:r>
      <w:r w:rsidR="00B3500C" w:rsidRPr="00DF0119">
        <w:rPr>
          <w:sz w:val="28"/>
          <w:szCs w:val="28"/>
        </w:rPr>
        <w:t xml:space="preserve">elopment of a fair, transparent, </w:t>
      </w:r>
      <w:r w:rsidR="0056654D" w:rsidRPr="00DF0119">
        <w:rPr>
          <w:sz w:val="28"/>
          <w:szCs w:val="28"/>
        </w:rPr>
        <w:t xml:space="preserve">competitive, efficient and easily accessible credit </w:t>
      </w:r>
      <w:r w:rsidR="0056654D" w:rsidRPr="00DF0119">
        <w:rPr>
          <w:sz w:val="28"/>
          <w:szCs w:val="28"/>
        </w:rPr>
        <w:lastRenderedPageBreak/>
        <w:t>market to serve the needs of historically disadvantaged</w:t>
      </w:r>
      <w:r w:rsidR="00B3500C" w:rsidRPr="00DF0119">
        <w:rPr>
          <w:sz w:val="28"/>
          <w:szCs w:val="28"/>
        </w:rPr>
        <w:t>,</w:t>
      </w:r>
      <w:r w:rsidR="0056654D" w:rsidRPr="00DF0119">
        <w:rPr>
          <w:sz w:val="28"/>
          <w:szCs w:val="28"/>
        </w:rPr>
        <w:t> and low income persons and communities</w:t>
      </w:r>
      <w:r w:rsidR="00B3500C" w:rsidRPr="00DF0119">
        <w:rPr>
          <w:sz w:val="28"/>
          <w:szCs w:val="28"/>
        </w:rPr>
        <w:t>,</w:t>
      </w:r>
      <w:r w:rsidR="0056654D" w:rsidRPr="00DF0119">
        <w:rPr>
          <w:sz w:val="28"/>
          <w:szCs w:val="28"/>
        </w:rPr>
        <w:t xml:space="preserve"> in a manner consistent with the Act.</w:t>
      </w:r>
      <w:r w:rsidR="00A15729">
        <w:rPr>
          <w:rStyle w:val="FootnoteReference"/>
          <w:sz w:val="28"/>
          <w:szCs w:val="28"/>
        </w:rPr>
        <w:footnoteReference w:id="2"/>
      </w:r>
    </w:p>
    <w:p w14:paraId="28A649C8" w14:textId="77777777" w:rsidR="008512FF" w:rsidRPr="007678FA" w:rsidRDefault="008512FF" w:rsidP="008512FF">
      <w:pPr>
        <w:pStyle w:val="ListParagraph"/>
        <w:spacing w:line="360" w:lineRule="auto"/>
        <w:ind w:left="0"/>
        <w:rPr>
          <w:b/>
          <w:sz w:val="28"/>
          <w:szCs w:val="28"/>
        </w:rPr>
      </w:pPr>
    </w:p>
    <w:p w14:paraId="0E6956C0" w14:textId="2E9EC52D" w:rsidR="008512FF" w:rsidRPr="00DF0119" w:rsidRDefault="00DF0119" w:rsidP="00DF0119">
      <w:pPr>
        <w:spacing w:line="360" w:lineRule="auto"/>
        <w:jc w:val="both"/>
        <w:rPr>
          <w:lang w:val="en-US"/>
        </w:rPr>
      </w:pPr>
      <w:r w:rsidRPr="007678FA">
        <w:rPr>
          <w:sz w:val="28"/>
          <w:szCs w:val="28"/>
          <w:lang w:val="en-US"/>
        </w:rPr>
        <w:t>[3]</w:t>
      </w:r>
      <w:r w:rsidRPr="007678FA">
        <w:rPr>
          <w:sz w:val="28"/>
          <w:szCs w:val="28"/>
          <w:lang w:val="en-US"/>
        </w:rPr>
        <w:tab/>
      </w:r>
      <w:r w:rsidR="00766812" w:rsidRPr="00DF0119">
        <w:rPr>
          <w:sz w:val="28"/>
          <w:szCs w:val="28"/>
        </w:rPr>
        <w:t>The National Consumer Tribunal (t</w:t>
      </w:r>
      <w:r w:rsidR="00DC00E7" w:rsidRPr="00DF0119">
        <w:rPr>
          <w:sz w:val="28"/>
          <w:szCs w:val="28"/>
        </w:rPr>
        <w:t xml:space="preserve">he </w:t>
      </w:r>
      <w:r w:rsidR="008512FF" w:rsidRPr="00DF0119">
        <w:rPr>
          <w:sz w:val="28"/>
          <w:szCs w:val="28"/>
        </w:rPr>
        <w:t>Tribunal</w:t>
      </w:r>
      <w:r w:rsidR="00766812" w:rsidRPr="00DF0119">
        <w:rPr>
          <w:sz w:val="28"/>
          <w:szCs w:val="28"/>
        </w:rPr>
        <w:t>)</w:t>
      </w:r>
      <w:r w:rsidR="008512FF" w:rsidRPr="00DF0119">
        <w:rPr>
          <w:sz w:val="28"/>
          <w:szCs w:val="28"/>
        </w:rPr>
        <w:t xml:space="preserve"> was</w:t>
      </w:r>
      <w:r w:rsidR="00A94251" w:rsidRPr="00DF0119">
        <w:rPr>
          <w:sz w:val="28"/>
          <w:szCs w:val="28"/>
        </w:rPr>
        <w:t xml:space="preserve"> established in terms of </w:t>
      </w:r>
      <w:r w:rsidR="00DC00E7" w:rsidRPr="00DF0119">
        <w:rPr>
          <w:sz w:val="28"/>
          <w:szCs w:val="28"/>
        </w:rPr>
        <w:t>s</w:t>
      </w:r>
      <w:r w:rsidR="00E81B79" w:rsidRPr="00DF0119">
        <w:rPr>
          <w:sz w:val="28"/>
          <w:szCs w:val="28"/>
        </w:rPr>
        <w:t xml:space="preserve"> 26 </w:t>
      </w:r>
      <w:r w:rsidR="00DC00E7" w:rsidRPr="00DF0119">
        <w:rPr>
          <w:sz w:val="28"/>
          <w:szCs w:val="28"/>
        </w:rPr>
        <w:t>of the Act.</w:t>
      </w:r>
      <w:r w:rsidR="008512FF" w:rsidRPr="00DF0119">
        <w:rPr>
          <w:sz w:val="28"/>
          <w:szCs w:val="28"/>
        </w:rPr>
        <w:t xml:space="preserve"> It is an independent adjudicative body, deriving its mandate from the Act. Its mandate is to hear and decide on cases involving, inter alia, consumers and credit providers.</w:t>
      </w:r>
      <w:r w:rsidR="00DC00E7" w:rsidRPr="00DF0119">
        <w:rPr>
          <w:sz w:val="28"/>
          <w:szCs w:val="28"/>
        </w:rPr>
        <w:t xml:space="preserve"> A decision of the Tribunal has the same status as one made by the high court. </w:t>
      </w:r>
    </w:p>
    <w:p w14:paraId="7A31B619" w14:textId="77777777" w:rsidR="00E81B79" w:rsidRPr="005C0790" w:rsidRDefault="00E81B79" w:rsidP="00E81B79">
      <w:pPr>
        <w:pStyle w:val="ListParagraph"/>
        <w:spacing w:line="360" w:lineRule="auto"/>
        <w:ind w:left="0"/>
        <w:jc w:val="both"/>
        <w:rPr>
          <w:sz w:val="28"/>
          <w:lang w:val="en-US"/>
        </w:rPr>
      </w:pPr>
    </w:p>
    <w:p w14:paraId="5B490720" w14:textId="54F8421C" w:rsidR="00DC00E7" w:rsidRPr="00DF0119" w:rsidRDefault="00DF0119" w:rsidP="00DF0119">
      <w:pPr>
        <w:spacing w:line="360" w:lineRule="auto"/>
        <w:jc w:val="both"/>
        <w:rPr>
          <w:sz w:val="28"/>
          <w:szCs w:val="28"/>
        </w:rPr>
      </w:pPr>
      <w:r w:rsidRPr="004E775F">
        <w:rPr>
          <w:sz w:val="28"/>
          <w:szCs w:val="28"/>
        </w:rPr>
        <w:t>[4]</w:t>
      </w:r>
      <w:r w:rsidRPr="004E775F">
        <w:rPr>
          <w:sz w:val="28"/>
          <w:szCs w:val="28"/>
        </w:rPr>
        <w:tab/>
      </w:r>
      <w:r w:rsidR="003A5A85" w:rsidRPr="00DF0119">
        <w:rPr>
          <w:sz w:val="28"/>
          <w:szCs w:val="28"/>
        </w:rPr>
        <w:t xml:space="preserve">The second and third respondents are registered credit providers under the Act. Elevation Trading CC </w:t>
      </w:r>
      <w:r w:rsidR="00A94251" w:rsidRPr="00DF0119">
        <w:rPr>
          <w:sz w:val="28"/>
          <w:szCs w:val="28"/>
        </w:rPr>
        <w:t xml:space="preserve">is </w:t>
      </w:r>
      <w:r w:rsidR="0056654D" w:rsidRPr="00DF0119">
        <w:rPr>
          <w:sz w:val="28"/>
          <w:szCs w:val="28"/>
        </w:rPr>
        <w:t>a close corporation registered under the C</w:t>
      </w:r>
      <w:r w:rsidR="003A5A85" w:rsidRPr="00DF0119">
        <w:rPr>
          <w:sz w:val="28"/>
          <w:szCs w:val="28"/>
        </w:rPr>
        <w:t xml:space="preserve">lose Corporation Act 69 of 1984 and </w:t>
      </w:r>
      <w:r w:rsidR="00D946E5" w:rsidRPr="00DF0119">
        <w:rPr>
          <w:sz w:val="28"/>
          <w:szCs w:val="28"/>
        </w:rPr>
        <w:t>Xcelsior</w:t>
      </w:r>
      <w:r w:rsidR="003A5A85" w:rsidRPr="00DF0119">
        <w:rPr>
          <w:sz w:val="28"/>
          <w:szCs w:val="28"/>
        </w:rPr>
        <w:t xml:space="preserve"> Financial Services (Pty) Ltd</w:t>
      </w:r>
      <w:r w:rsidR="0056654D" w:rsidRPr="00DF0119">
        <w:rPr>
          <w:sz w:val="28"/>
          <w:szCs w:val="28"/>
        </w:rPr>
        <w:t xml:space="preserve"> </w:t>
      </w:r>
      <w:r w:rsidR="00DC00E7" w:rsidRPr="00DF0119">
        <w:rPr>
          <w:sz w:val="28"/>
          <w:szCs w:val="28"/>
        </w:rPr>
        <w:t xml:space="preserve">is </w:t>
      </w:r>
      <w:r w:rsidR="0056654D" w:rsidRPr="00DF0119">
        <w:rPr>
          <w:sz w:val="28"/>
          <w:szCs w:val="28"/>
        </w:rPr>
        <w:t>a company registered under the Companies Act</w:t>
      </w:r>
      <w:r w:rsidR="00A94251" w:rsidRPr="00DF0119">
        <w:rPr>
          <w:sz w:val="28"/>
          <w:szCs w:val="28"/>
        </w:rPr>
        <w:t xml:space="preserve"> 71 of 2008. </w:t>
      </w:r>
      <w:r w:rsidR="00D946E5" w:rsidRPr="00DF0119">
        <w:rPr>
          <w:sz w:val="28"/>
          <w:szCs w:val="28"/>
        </w:rPr>
        <w:t>T</w:t>
      </w:r>
      <w:r w:rsidR="00F246E5" w:rsidRPr="00DF0119">
        <w:rPr>
          <w:sz w:val="28"/>
          <w:szCs w:val="28"/>
        </w:rPr>
        <w:t xml:space="preserve">hese respondents shall be referred to </w:t>
      </w:r>
      <w:r w:rsidR="00D946E5" w:rsidRPr="00DF0119">
        <w:rPr>
          <w:sz w:val="28"/>
          <w:szCs w:val="28"/>
        </w:rPr>
        <w:t>collectively as the respondents.</w:t>
      </w:r>
      <w:r w:rsidR="00F246E5" w:rsidRPr="00DF0119">
        <w:rPr>
          <w:sz w:val="28"/>
          <w:szCs w:val="28"/>
        </w:rPr>
        <w:t xml:space="preserve"> </w:t>
      </w:r>
    </w:p>
    <w:p w14:paraId="5AE8E243" w14:textId="77777777" w:rsidR="00F246E5" w:rsidRPr="00F246E5" w:rsidRDefault="00F246E5" w:rsidP="00F246E5">
      <w:pPr>
        <w:pStyle w:val="ListParagraph"/>
        <w:spacing w:line="360" w:lineRule="auto"/>
        <w:ind w:left="0"/>
        <w:jc w:val="both"/>
        <w:rPr>
          <w:sz w:val="28"/>
          <w:szCs w:val="28"/>
        </w:rPr>
      </w:pPr>
    </w:p>
    <w:p w14:paraId="21B4E95F" w14:textId="0F0D215C" w:rsidR="00466BC5" w:rsidRPr="00DF0119" w:rsidRDefault="00DF0119" w:rsidP="00DF0119">
      <w:pPr>
        <w:spacing w:line="360" w:lineRule="auto"/>
        <w:jc w:val="both"/>
        <w:rPr>
          <w:b/>
          <w:sz w:val="28"/>
          <w:szCs w:val="28"/>
        </w:rPr>
      </w:pPr>
      <w:r w:rsidRPr="00F246E5">
        <w:rPr>
          <w:sz w:val="28"/>
          <w:szCs w:val="28"/>
        </w:rPr>
        <w:t>[5]</w:t>
      </w:r>
      <w:r w:rsidRPr="00F246E5">
        <w:rPr>
          <w:sz w:val="28"/>
          <w:szCs w:val="28"/>
        </w:rPr>
        <w:tab/>
      </w:r>
      <w:r w:rsidR="00DC00E7" w:rsidRPr="00DF0119">
        <w:rPr>
          <w:sz w:val="28"/>
          <w:szCs w:val="28"/>
        </w:rPr>
        <w:t>The Tribunal found t</w:t>
      </w:r>
      <w:r w:rsidR="00E15964" w:rsidRPr="00DF0119">
        <w:rPr>
          <w:sz w:val="28"/>
          <w:szCs w:val="28"/>
        </w:rPr>
        <w:t>hat it had the power</w:t>
      </w:r>
      <w:r w:rsidR="00466BC5" w:rsidRPr="00DF0119">
        <w:rPr>
          <w:sz w:val="28"/>
          <w:szCs w:val="28"/>
        </w:rPr>
        <w:t>,</w:t>
      </w:r>
      <w:r w:rsidR="00E15964" w:rsidRPr="00DF0119">
        <w:rPr>
          <w:sz w:val="28"/>
          <w:szCs w:val="28"/>
        </w:rPr>
        <w:t xml:space="preserve"> in terms of the Act and the </w:t>
      </w:r>
      <w:r w:rsidR="00DC00E7" w:rsidRPr="00DF0119">
        <w:rPr>
          <w:sz w:val="28"/>
          <w:szCs w:val="28"/>
        </w:rPr>
        <w:t xml:space="preserve">Rules for the Conduct of Matters before the National </w:t>
      </w:r>
      <w:r w:rsidR="003A5A85" w:rsidRPr="00DF0119">
        <w:rPr>
          <w:sz w:val="28"/>
          <w:szCs w:val="28"/>
        </w:rPr>
        <w:t>Consumer Tribunal</w:t>
      </w:r>
      <w:r w:rsidR="00DC00E7" w:rsidRPr="00DF0119">
        <w:rPr>
          <w:sz w:val="28"/>
          <w:szCs w:val="28"/>
        </w:rPr>
        <w:t xml:space="preserve"> (the </w:t>
      </w:r>
      <w:r w:rsidR="00504627" w:rsidRPr="00DF0119">
        <w:rPr>
          <w:sz w:val="28"/>
          <w:szCs w:val="28"/>
        </w:rPr>
        <w:t>r</w:t>
      </w:r>
      <w:r w:rsidR="00DC00E7" w:rsidRPr="00DF0119">
        <w:rPr>
          <w:sz w:val="28"/>
          <w:szCs w:val="28"/>
        </w:rPr>
        <w:t>ules)</w:t>
      </w:r>
      <w:r w:rsidR="00466BC5" w:rsidRPr="00DF0119">
        <w:rPr>
          <w:sz w:val="28"/>
          <w:szCs w:val="28"/>
        </w:rPr>
        <w:t>,</w:t>
      </w:r>
      <w:r w:rsidR="00E15964" w:rsidRPr="00DF0119">
        <w:rPr>
          <w:sz w:val="28"/>
          <w:szCs w:val="28"/>
        </w:rPr>
        <w:t xml:space="preserve"> to </w:t>
      </w:r>
      <w:r w:rsidR="00DC00E7" w:rsidRPr="00DF0119">
        <w:rPr>
          <w:sz w:val="28"/>
          <w:szCs w:val="28"/>
        </w:rPr>
        <w:t xml:space="preserve">condone the filing of </w:t>
      </w:r>
      <w:r w:rsidR="003A5A85" w:rsidRPr="00DF0119">
        <w:rPr>
          <w:sz w:val="28"/>
          <w:szCs w:val="28"/>
        </w:rPr>
        <w:t>the supplementary founding</w:t>
      </w:r>
      <w:r w:rsidR="00466BC5" w:rsidRPr="00DF0119">
        <w:rPr>
          <w:sz w:val="28"/>
          <w:szCs w:val="28"/>
        </w:rPr>
        <w:t xml:space="preserve"> affidavit</w:t>
      </w:r>
      <w:r w:rsidR="003A5A85" w:rsidRPr="00DF0119">
        <w:rPr>
          <w:sz w:val="28"/>
          <w:szCs w:val="28"/>
        </w:rPr>
        <w:t xml:space="preserve"> (the supplementary affidavit)</w:t>
      </w:r>
      <w:r w:rsidR="00DC00E7" w:rsidRPr="00DF0119">
        <w:rPr>
          <w:sz w:val="28"/>
          <w:szCs w:val="28"/>
        </w:rPr>
        <w:t xml:space="preserve"> </w:t>
      </w:r>
      <w:r w:rsidR="003A5A85" w:rsidRPr="00DF0119">
        <w:rPr>
          <w:sz w:val="28"/>
          <w:szCs w:val="28"/>
        </w:rPr>
        <w:t xml:space="preserve">on good cause shown. It </w:t>
      </w:r>
      <w:r w:rsidR="00A20F6A" w:rsidRPr="00DF0119">
        <w:rPr>
          <w:sz w:val="28"/>
          <w:szCs w:val="28"/>
        </w:rPr>
        <w:t>granted condonation and permitted</w:t>
      </w:r>
      <w:r w:rsidR="003A5A85" w:rsidRPr="00DF0119">
        <w:rPr>
          <w:sz w:val="28"/>
          <w:szCs w:val="28"/>
        </w:rPr>
        <w:t xml:space="preserve"> </w:t>
      </w:r>
      <w:r w:rsidR="00D946E5" w:rsidRPr="00DF0119">
        <w:rPr>
          <w:sz w:val="28"/>
          <w:szCs w:val="28"/>
        </w:rPr>
        <w:t>the respondents</w:t>
      </w:r>
      <w:r w:rsidR="003A5A85" w:rsidRPr="00DF0119">
        <w:rPr>
          <w:sz w:val="28"/>
          <w:szCs w:val="28"/>
        </w:rPr>
        <w:t xml:space="preserve"> to file an answering affidavit in response to the supplementary affidavit </w:t>
      </w:r>
      <w:r w:rsidR="003A5A85" w:rsidRPr="00DF0119">
        <w:rPr>
          <w:sz w:val="28"/>
          <w:szCs w:val="28"/>
        </w:rPr>
        <w:lastRenderedPageBreak/>
        <w:t>with</w:t>
      </w:r>
      <w:r w:rsidR="004B7F49" w:rsidRPr="00DF0119">
        <w:rPr>
          <w:sz w:val="28"/>
          <w:szCs w:val="28"/>
        </w:rPr>
        <w:t>in</w:t>
      </w:r>
      <w:r w:rsidR="003A5A85" w:rsidRPr="00DF0119">
        <w:rPr>
          <w:sz w:val="28"/>
          <w:szCs w:val="28"/>
        </w:rPr>
        <w:t xml:space="preserve"> 15 days</w:t>
      </w:r>
      <w:r w:rsidR="00A20F6A" w:rsidRPr="00DF0119">
        <w:rPr>
          <w:sz w:val="28"/>
          <w:szCs w:val="28"/>
        </w:rPr>
        <w:t>,</w:t>
      </w:r>
      <w:r w:rsidR="003A5A85" w:rsidRPr="00DF0119">
        <w:rPr>
          <w:sz w:val="28"/>
          <w:szCs w:val="28"/>
        </w:rPr>
        <w:t xml:space="preserve"> and made no order as to costs (the decision).</w:t>
      </w:r>
      <w:r w:rsidR="00265BD1" w:rsidRPr="00DF0119">
        <w:rPr>
          <w:sz w:val="28"/>
          <w:szCs w:val="28"/>
        </w:rPr>
        <w:t xml:space="preserve"> </w:t>
      </w:r>
      <w:r w:rsidR="00D946E5" w:rsidRPr="00DF0119">
        <w:rPr>
          <w:sz w:val="28"/>
          <w:szCs w:val="28"/>
        </w:rPr>
        <w:t>The respondents</w:t>
      </w:r>
      <w:r w:rsidR="00265BD1" w:rsidRPr="00DF0119">
        <w:rPr>
          <w:sz w:val="28"/>
          <w:szCs w:val="28"/>
        </w:rPr>
        <w:t xml:space="preserve"> brought a review to set aside the Tribunal’s decision, which succeeded in the </w:t>
      </w:r>
      <w:r w:rsidR="00F246E5" w:rsidRPr="00DF0119">
        <w:rPr>
          <w:bCs/>
          <w:sz w:val="28"/>
          <w:szCs w:val="28"/>
          <w:lang w:val="en-US"/>
        </w:rPr>
        <w:t>Gauteng Division of the High Court, Pretoria (the</w:t>
      </w:r>
      <w:r w:rsidR="00F246E5" w:rsidRPr="00DF0119">
        <w:rPr>
          <w:sz w:val="28"/>
          <w:szCs w:val="28"/>
        </w:rPr>
        <w:t xml:space="preserve"> high court).</w:t>
      </w:r>
      <w:r w:rsidR="00265BD1" w:rsidRPr="00DF0119">
        <w:rPr>
          <w:sz w:val="28"/>
          <w:szCs w:val="28"/>
        </w:rPr>
        <w:t xml:space="preserve"> This appeal is with the leave of the</w:t>
      </w:r>
      <w:r w:rsidR="001D0444" w:rsidRPr="00DF0119">
        <w:rPr>
          <w:sz w:val="28"/>
          <w:szCs w:val="28"/>
        </w:rPr>
        <w:t xml:space="preserve"> </w:t>
      </w:r>
      <w:r w:rsidR="00F246E5" w:rsidRPr="00DF0119">
        <w:rPr>
          <w:sz w:val="28"/>
          <w:szCs w:val="28"/>
        </w:rPr>
        <w:t>high court.</w:t>
      </w:r>
    </w:p>
    <w:p w14:paraId="5BE70723" w14:textId="77777777" w:rsidR="00F246E5" w:rsidRDefault="00F246E5" w:rsidP="005C0790">
      <w:pPr>
        <w:pStyle w:val="ListParagraph"/>
        <w:rPr>
          <w:b/>
          <w:sz w:val="28"/>
          <w:szCs w:val="28"/>
        </w:rPr>
      </w:pPr>
    </w:p>
    <w:p w14:paraId="08AB924F" w14:textId="69E6F237" w:rsidR="003A5A85" w:rsidRPr="007678FA" w:rsidRDefault="00207C4C" w:rsidP="003A5A85">
      <w:pPr>
        <w:pStyle w:val="ListParagraph"/>
        <w:spacing w:line="360" w:lineRule="auto"/>
        <w:ind w:left="0"/>
        <w:jc w:val="both"/>
        <w:rPr>
          <w:b/>
          <w:sz w:val="28"/>
          <w:szCs w:val="28"/>
        </w:rPr>
      </w:pPr>
      <w:r w:rsidRPr="007678FA">
        <w:rPr>
          <w:b/>
          <w:sz w:val="28"/>
          <w:szCs w:val="28"/>
        </w:rPr>
        <w:t>Background</w:t>
      </w:r>
    </w:p>
    <w:p w14:paraId="3918A1F6" w14:textId="187DD324" w:rsidR="00A20F6A" w:rsidRPr="007678FA" w:rsidRDefault="00DF0119" w:rsidP="00DF0119">
      <w:pPr>
        <w:spacing w:line="360" w:lineRule="auto"/>
        <w:jc w:val="both"/>
        <w:rPr>
          <w:sz w:val="28"/>
          <w:szCs w:val="28"/>
        </w:rPr>
      </w:pPr>
      <w:r w:rsidRPr="007678FA">
        <w:rPr>
          <w:sz w:val="28"/>
          <w:szCs w:val="28"/>
        </w:rPr>
        <w:t>[6]</w:t>
      </w:r>
      <w:r w:rsidRPr="007678FA">
        <w:rPr>
          <w:sz w:val="28"/>
          <w:szCs w:val="28"/>
        </w:rPr>
        <w:tab/>
      </w:r>
      <w:r w:rsidR="00207C4C" w:rsidRPr="007678FA">
        <w:rPr>
          <w:sz w:val="28"/>
          <w:szCs w:val="28"/>
        </w:rPr>
        <w:t xml:space="preserve">Having received complaints from clients of </w:t>
      </w:r>
      <w:r w:rsidR="00D946E5">
        <w:rPr>
          <w:sz w:val="28"/>
          <w:szCs w:val="28"/>
        </w:rPr>
        <w:t>the respondents</w:t>
      </w:r>
      <w:r w:rsidR="00207C4C" w:rsidRPr="007678FA">
        <w:rPr>
          <w:sz w:val="28"/>
          <w:szCs w:val="28"/>
        </w:rPr>
        <w:t xml:space="preserve">, that </w:t>
      </w:r>
      <w:r w:rsidR="00B15CE2">
        <w:rPr>
          <w:sz w:val="28"/>
          <w:szCs w:val="28"/>
        </w:rPr>
        <w:t>they were</w:t>
      </w:r>
      <w:r w:rsidR="00207C4C" w:rsidRPr="007678FA">
        <w:rPr>
          <w:sz w:val="28"/>
          <w:szCs w:val="28"/>
        </w:rPr>
        <w:t xml:space="preserve"> engaged in various contraventions of the Act, the NCR instituted an investigation against </w:t>
      </w:r>
      <w:r w:rsidR="00D946E5">
        <w:rPr>
          <w:sz w:val="28"/>
          <w:szCs w:val="28"/>
        </w:rPr>
        <w:t>the respondents</w:t>
      </w:r>
      <w:r w:rsidR="00207C4C" w:rsidRPr="007678FA">
        <w:rPr>
          <w:sz w:val="28"/>
          <w:szCs w:val="28"/>
        </w:rPr>
        <w:t xml:space="preserve">. The complaints related to </w:t>
      </w:r>
      <w:r w:rsidR="00D946E5">
        <w:rPr>
          <w:sz w:val="28"/>
          <w:szCs w:val="28"/>
        </w:rPr>
        <w:t>the respondents</w:t>
      </w:r>
      <w:r w:rsidR="00207C4C" w:rsidRPr="007678FA">
        <w:rPr>
          <w:sz w:val="28"/>
          <w:szCs w:val="28"/>
        </w:rPr>
        <w:t xml:space="preserve"> charging excessive loan initiation charges, failing to conduct affordability assessments, extending credit recklessly, charging storing fees and insurance illegally, and using the consumers’ motor vehicles as security f</w:t>
      </w:r>
      <w:r w:rsidR="00A20F6A" w:rsidRPr="007678FA">
        <w:rPr>
          <w:sz w:val="28"/>
          <w:szCs w:val="28"/>
        </w:rPr>
        <w:t>or loans granted to its clients.</w:t>
      </w:r>
      <w:r w:rsidR="00E67802" w:rsidRPr="007678FA">
        <w:rPr>
          <w:rStyle w:val="FootnoteReference"/>
          <w:sz w:val="28"/>
          <w:szCs w:val="28"/>
        </w:rPr>
        <w:footnoteReference w:id="3"/>
      </w:r>
    </w:p>
    <w:p w14:paraId="010A3C3A" w14:textId="4BF92D02" w:rsidR="007D422E" w:rsidRPr="007678FA" w:rsidRDefault="007D422E" w:rsidP="00A20F6A">
      <w:pPr>
        <w:spacing w:line="360" w:lineRule="auto"/>
        <w:jc w:val="both"/>
        <w:rPr>
          <w:sz w:val="28"/>
          <w:szCs w:val="28"/>
        </w:rPr>
      </w:pPr>
    </w:p>
    <w:p w14:paraId="75B8D906" w14:textId="3A743E11" w:rsidR="00C173B3" w:rsidRPr="007678FA" w:rsidRDefault="00DF0119" w:rsidP="00DF0119">
      <w:pPr>
        <w:spacing w:line="360" w:lineRule="auto"/>
        <w:jc w:val="both"/>
        <w:rPr>
          <w:b/>
          <w:sz w:val="28"/>
          <w:szCs w:val="28"/>
        </w:rPr>
      </w:pPr>
      <w:r w:rsidRPr="007678FA">
        <w:rPr>
          <w:sz w:val="28"/>
          <w:szCs w:val="28"/>
        </w:rPr>
        <w:t>[7]</w:t>
      </w:r>
      <w:r w:rsidRPr="007678FA">
        <w:rPr>
          <w:sz w:val="28"/>
          <w:szCs w:val="28"/>
        </w:rPr>
        <w:tab/>
      </w:r>
      <w:r w:rsidR="00207C4C" w:rsidRPr="007678FA">
        <w:rPr>
          <w:sz w:val="28"/>
          <w:szCs w:val="28"/>
        </w:rPr>
        <w:t>Upon conclusion of the investigation,</w:t>
      </w:r>
      <w:r w:rsidR="00F81F13">
        <w:rPr>
          <w:sz w:val="28"/>
          <w:szCs w:val="28"/>
        </w:rPr>
        <w:t xml:space="preserve"> a report was produced h</w:t>
      </w:r>
      <w:r w:rsidR="00F246E5">
        <w:rPr>
          <w:sz w:val="28"/>
          <w:szCs w:val="28"/>
        </w:rPr>
        <w:t xml:space="preserve">eaded: </w:t>
      </w:r>
      <w:r w:rsidR="00CA49D7">
        <w:rPr>
          <w:sz w:val="28"/>
          <w:szCs w:val="28"/>
        </w:rPr>
        <w:t>‘</w:t>
      </w:r>
      <w:r w:rsidR="00F246E5">
        <w:rPr>
          <w:sz w:val="28"/>
          <w:szCs w:val="28"/>
        </w:rPr>
        <w:t>Investigations into the A</w:t>
      </w:r>
      <w:r w:rsidR="00F81F13">
        <w:rPr>
          <w:sz w:val="28"/>
          <w:szCs w:val="28"/>
        </w:rPr>
        <w:t xml:space="preserve">ctivities of </w:t>
      </w:r>
      <w:r w:rsidR="00D946E5">
        <w:rPr>
          <w:sz w:val="28"/>
          <w:szCs w:val="28"/>
        </w:rPr>
        <w:t>Xcelsior</w:t>
      </w:r>
      <w:r w:rsidR="00F81F13">
        <w:rPr>
          <w:sz w:val="28"/>
          <w:szCs w:val="28"/>
        </w:rPr>
        <w:t xml:space="preserve"> </w:t>
      </w:r>
      <w:r w:rsidR="00CA29B0">
        <w:rPr>
          <w:sz w:val="28"/>
          <w:szCs w:val="28"/>
        </w:rPr>
        <w:t>Financial</w:t>
      </w:r>
      <w:r w:rsidR="00F81F13">
        <w:rPr>
          <w:sz w:val="28"/>
          <w:szCs w:val="28"/>
        </w:rPr>
        <w:t xml:space="preserve"> </w:t>
      </w:r>
      <w:r w:rsidR="00CA49D7">
        <w:rPr>
          <w:sz w:val="28"/>
          <w:szCs w:val="28"/>
        </w:rPr>
        <w:t>S</w:t>
      </w:r>
      <w:r w:rsidR="00F81F13">
        <w:rPr>
          <w:sz w:val="28"/>
          <w:szCs w:val="28"/>
        </w:rPr>
        <w:t>ervices (Pty) Ltd</w:t>
      </w:r>
      <w:r w:rsidR="00CA49D7">
        <w:rPr>
          <w:sz w:val="28"/>
          <w:szCs w:val="28"/>
        </w:rPr>
        <w:t>’</w:t>
      </w:r>
      <w:r w:rsidR="00F81F13">
        <w:rPr>
          <w:sz w:val="28"/>
          <w:szCs w:val="28"/>
        </w:rPr>
        <w:t xml:space="preserve"> (the report).  Th</w:t>
      </w:r>
      <w:r w:rsidR="002D6F14" w:rsidRPr="007678FA">
        <w:rPr>
          <w:sz w:val="28"/>
          <w:szCs w:val="28"/>
        </w:rPr>
        <w:t xml:space="preserve">e </w:t>
      </w:r>
      <w:r w:rsidR="00845F5E" w:rsidRPr="007678FA">
        <w:rPr>
          <w:sz w:val="28"/>
          <w:szCs w:val="28"/>
        </w:rPr>
        <w:t xml:space="preserve">NCR </w:t>
      </w:r>
      <w:r w:rsidR="00302CF5" w:rsidRPr="007678FA">
        <w:rPr>
          <w:sz w:val="28"/>
          <w:szCs w:val="28"/>
        </w:rPr>
        <w:t xml:space="preserve">referred the matter to the Tribunal and </w:t>
      </w:r>
      <w:r w:rsidR="00207C4C" w:rsidRPr="007678FA">
        <w:rPr>
          <w:sz w:val="28"/>
          <w:szCs w:val="28"/>
        </w:rPr>
        <w:t>filed an application</w:t>
      </w:r>
      <w:r w:rsidR="003D3387" w:rsidRPr="007678FA">
        <w:rPr>
          <w:sz w:val="28"/>
          <w:szCs w:val="28"/>
        </w:rPr>
        <w:t xml:space="preserve"> </w:t>
      </w:r>
      <w:r w:rsidR="00845F5E" w:rsidRPr="007678FA">
        <w:rPr>
          <w:sz w:val="28"/>
          <w:szCs w:val="28"/>
        </w:rPr>
        <w:t>in terms of s 57(1) of the Act,</w:t>
      </w:r>
      <w:r w:rsidR="00845F5E" w:rsidRPr="007678FA">
        <w:rPr>
          <w:rStyle w:val="FootnoteReference"/>
          <w:sz w:val="28"/>
          <w:szCs w:val="28"/>
        </w:rPr>
        <w:footnoteReference w:id="4"/>
      </w:r>
      <w:r w:rsidR="00845F5E" w:rsidRPr="007678FA">
        <w:rPr>
          <w:sz w:val="28"/>
          <w:szCs w:val="28"/>
        </w:rPr>
        <w:t xml:space="preserve"> </w:t>
      </w:r>
      <w:r w:rsidR="0041512E" w:rsidRPr="007678FA">
        <w:rPr>
          <w:sz w:val="28"/>
          <w:szCs w:val="28"/>
        </w:rPr>
        <w:t xml:space="preserve">seeking </w:t>
      </w:r>
      <w:r w:rsidR="00845F5E" w:rsidRPr="007678FA">
        <w:rPr>
          <w:sz w:val="28"/>
          <w:szCs w:val="28"/>
        </w:rPr>
        <w:t xml:space="preserve">the cancellation of </w:t>
      </w:r>
      <w:r w:rsidR="00D946E5">
        <w:rPr>
          <w:sz w:val="28"/>
          <w:szCs w:val="28"/>
        </w:rPr>
        <w:t>the respondents’</w:t>
      </w:r>
      <w:r w:rsidR="00845F5E" w:rsidRPr="007678FA">
        <w:rPr>
          <w:sz w:val="28"/>
          <w:szCs w:val="28"/>
        </w:rPr>
        <w:t xml:space="preserve"> registration as a credit provider. </w:t>
      </w:r>
      <w:r w:rsidR="00D946E5">
        <w:rPr>
          <w:sz w:val="28"/>
          <w:szCs w:val="28"/>
        </w:rPr>
        <w:t>The respondents</w:t>
      </w:r>
      <w:r w:rsidR="00845F5E" w:rsidRPr="007678FA">
        <w:rPr>
          <w:sz w:val="28"/>
          <w:szCs w:val="28"/>
        </w:rPr>
        <w:t xml:space="preserve"> opposed the </w:t>
      </w:r>
      <w:r w:rsidR="00302CF5" w:rsidRPr="007678FA">
        <w:rPr>
          <w:sz w:val="28"/>
          <w:szCs w:val="28"/>
        </w:rPr>
        <w:t xml:space="preserve">referral </w:t>
      </w:r>
      <w:r w:rsidR="00845F5E" w:rsidRPr="007678FA">
        <w:rPr>
          <w:sz w:val="28"/>
          <w:szCs w:val="28"/>
        </w:rPr>
        <w:t xml:space="preserve">application and filed </w:t>
      </w:r>
      <w:r w:rsidR="00302CF5" w:rsidRPr="007678FA">
        <w:rPr>
          <w:sz w:val="28"/>
          <w:szCs w:val="28"/>
        </w:rPr>
        <w:t>an answering affidavit. Thereafter</w:t>
      </w:r>
      <w:r w:rsidR="007974E1" w:rsidRPr="007678FA">
        <w:rPr>
          <w:sz w:val="28"/>
          <w:szCs w:val="28"/>
        </w:rPr>
        <w:t>,</w:t>
      </w:r>
      <w:r w:rsidR="00302CF5" w:rsidRPr="007678FA">
        <w:rPr>
          <w:sz w:val="28"/>
          <w:szCs w:val="28"/>
        </w:rPr>
        <w:t xml:space="preserve"> the NCR filed a replying affidavit</w:t>
      </w:r>
      <w:r w:rsidR="009B3347" w:rsidRPr="007678FA">
        <w:rPr>
          <w:sz w:val="28"/>
          <w:szCs w:val="28"/>
        </w:rPr>
        <w:t>.</w:t>
      </w:r>
      <w:r w:rsidR="009542D3" w:rsidRPr="007678FA">
        <w:rPr>
          <w:rStyle w:val="FootnoteReference"/>
          <w:sz w:val="28"/>
          <w:szCs w:val="28"/>
        </w:rPr>
        <w:t>.</w:t>
      </w:r>
      <w:r w:rsidR="00302CF5" w:rsidRPr="007678FA">
        <w:rPr>
          <w:sz w:val="28"/>
          <w:szCs w:val="28"/>
        </w:rPr>
        <w:t xml:space="preserve"> </w:t>
      </w:r>
      <w:r w:rsidR="00766812" w:rsidRPr="007678FA">
        <w:rPr>
          <w:sz w:val="28"/>
          <w:szCs w:val="28"/>
        </w:rPr>
        <w:t xml:space="preserve">The matter was postponed and re-enrolled for hearing on 15 July 2019. </w:t>
      </w:r>
    </w:p>
    <w:p w14:paraId="1B1B782B" w14:textId="77777777" w:rsidR="00C173B3" w:rsidRPr="007678FA" w:rsidRDefault="00C173B3" w:rsidP="00C173B3">
      <w:pPr>
        <w:spacing w:line="360" w:lineRule="auto"/>
        <w:jc w:val="both"/>
        <w:rPr>
          <w:b/>
          <w:sz w:val="28"/>
          <w:szCs w:val="28"/>
        </w:rPr>
      </w:pPr>
    </w:p>
    <w:p w14:paraId="7DB40714" w14:textId="6FC02C66" w:rsidR="001F79C3" w:rsidRPr="00DF0119" w:rsidRDefault="00DF0119" w:rsidP="00DF0119">
      <w:pPr>
        <w:spacing w:line="360" w:lineRule="auto"/>
        <w:jc w:val="both"/>
        <w:rPr>
          <w:sz w:val="28"/>
          <w:szCs w:val="28"/>
          <w:lang w:val="en-US"/>
        </w:rPr>
      </w:pPr>
      <w:r>
        <w:rPr>
          <w:sz w:val="28"/>
          <w:szCs w:val="28"/>
          <w:lang w:val="en-US"/>
        </w:rPr>
        <w:lastRenderedPageBreak/>
        <w:t>[8]</w:t>
      </w:r>
      <w:r>
        <w:rPr>
          <w:sz w:val="28"/>
          <w:szCs w:val="28"/>
          <w:lang w:val="en-US"/>
        </w:rPr>
        <w:tab/>
      </w:r>
      <w:r w:rsidR="001F79C3" w:rsidRPr="00DF0119">
        <w:rPr>
          <w:sz w:val="28"/>
          <w:szCs w:val="28"/>
        </w:rPr>
        <w:t xml:space="preserve">Shortly prior to the hearing, on 11 July 2019, the NCR delivered the supplementary affidavit together with an application for condonation. </w:t>
      </w:r>
      <w:r w:rsidR="001F79C3" w:rsidRPr="00DF0119">
        <w:rPr>
          <w:sz w:val="28"/>
          <w:szCs w:val="28"/>
          <w:lang w:val="en-US"/>
        </w:rPr>
        <w:t>It applied to the Tribunal for an order to condone a departure from the rules and procedures as follows:</w:t>
      </w:r>
    </w:p>
    <w:p w14:paraId="7E8085F8" w14:textId="57C2EFD7" w:rsidR="001F79C3" w:rsidRPr="001F79C3" w:rsidRDefault="006B1F1E" w:rsidP="005C0790">
      <w:pPr>
        <w:pStyle w:val="ListParagraph"/>
        <w:spacing w:line="360" w:lineRule="auto"/>
        <w:ind w:left="0"/>
        <w:jc w:val="both"/>
        <w:rPr>
          <w:lang w:val="en-US"/>
        </w:rPr>
      </w:pPr>
      <w:r>
        <w:rPr>
          <w:lang w:val="en-US"/>
        </w:rPr>
        <w:t xml:space="preserve">‘1. </w:t>
      </w:r>
      <w:r w:rsidR="001F79C3" w:rsidRPr="001F79C3">
        <w:rPr>
          <w:lang w:val="en-US"/>
        </w:rPr>
        <w:t>Authorising the Applicant to file a supplementary founding affidavit, (which supplementary founding affidavit is attached hereto);</w:t>
      </w:r>
    </w:p>
    <w:p w14:paraId="23A0771A" w14:textId="2214BBFD" w:rsidR="001F79C3" w:rsidRPr="001F79C3" w:rsidRDefault="00B7396D" w:rsidP="005C0790">
      <w:pPr>
        <w:pStyle w:val="ListParagraph"/>
        <w:spacing w:line="360" w:lineRule="auto"/>
        <w:ind w:left="0"/>
        <w:jc w:val="both"/>
        <w:rPr>
          <w:lang w:val="en-US"/>
        </w:rPr>
      </w:pPr>
      <w:r>
        <w:rPr>
          <w:lang w:val="en-US"/>
        </w:rPr>
        <w:t xml:space="preserve">2. </w:t>
      </w:r>
      <w:r w:rsidR="001F79C3" w:rsidRPr="001F79C3">
        <w:rPr>
          <w:lang w:val="en-US"/>
        </w:rPr>
        <w:t>Giving further directions with regard to the delivery of answering and replying affidavits pertaining to the supplementary founding affidavit;</w:t>
      </w:r>
    </w:p>
    <w:p w14:paraId="1A4A8724" w14:textId="58B5EF8E" w:rsidR="00076C6A" w:rsidRPr="00C2637B" w:rsidRDefault="00B7396D" w:rsidP="00404453">
      <w:pPr>
        <w:spacing w:line="360" w:lineRule="auto"/>
        <w:jc w:val="both"/>
        <w:rPr>
          <w:lang w:val="en-US"/>
        </w:rPr>
      </w:pPr>
      <w:r w:rsidRPr="002C7F31">
        <w:rPr>
          <w:lang w:val="en-US"/>
        </w:rPr>
        <w:t xml:space="preserve">3. </w:t>
      </w:r>
      <w:r w:rsidR="001F79C3" w:rsidRPr="002C7F31">
        <w:rPr>
          <w:lang w:val="en-US"/>
        </w:rPr>
        <w:t>Granting the Applicant leave to amend its Notice of motion Dated 4 July 2018, by the insertion in the Table in Part D thereof of the following additional rows.’</w:t>
      </w:r>
    </w:p>
    <w:tbl>
      <w:tblPr>
        <w:tblStyle w:val="TableGrid"/>
        <w:tblW w:w="0" w:type="auto"/>
        <w:tblLook w:val="04A0" w:firstRow="1" w:lastRow="0" w:firstColumn="1" w:lastColumn="0" w:noHBand="0" w:noVBand="1"/>
      </w:tblPr>
      <w:tblGrid>
        <w:gridCol w:w="985"/>
        <w:gridCol w:w="3600"/>
        <w:gridCol w:w="4765"/>
      </w:tblGrid>
      <w:tr w:rsidR="00C2637B" w:rsidRPr="00C2637B" w14:paraId="16596003" w14:textId="77777777" w:rsidTr="00C2637B">
        <w:trPr>
          <w:trHeight w:val="530"/>
        </w:trPr>
        <w:tc>
          <w:tcPr>
            <w:tcW w:w="985" w:type="dxa"/>
            <w:tcBorders>
              <w:top w:val="single" w:sz="4" w:space="0" w:color="auto"/>
              <w:left w:val="single" w:sz="4" w:space="0" w:color="auto"/>
              <w:bottom w:val="single" w:sz="4" w:space="0" w:color="auto"/>
              <w:right w:val="single" w:sz="4" w:space="0" w:color="auto"/>
            </w:tcBorders>
            <w:hideMark/>
          </w:tcPr>
          <w:p w14:paraId="2A61F418" w14:textId="77777777" w:rsidR="00C2637B" w:rsidRPr="00C2637B" w:rsidRDefault="00C2637B">
            <w:pPr>
              <w:rPr>
                <w:i/>
                <w:lang w:val="en-US"/>
              </w:rPr>
            </w:pPr>
            <w:r w:rsidRPr="00C2637B">
              <w:rPr>
                <w:i/>
              </w:rPr>
              <w:t>27.</w:t>
            </w:r>
          </w:p>
        </w:tc>
        <w:tc>
          <w:tcPr>
            <w:tcW w:w="3600" w:type="dxa"/>
            <w:tcBorders>
              <w:top w:val="single" w:sz="4" w:space="0" w:color="auto"/>
              <w:left w:val="single" w:sz="4" w:space="0" w:color="auto"/>
              <w:bottom w:val="single" w:sz="4" w:space="0" w:color="auto"/>
              <w:right w:val="single" w:sz="4" w:space="0" w:color="auto"/>
            </w:tcBorders>
            <w:hideMark/>
          </w:tcPr>
          <w:p w14:paraId="0ADDF5F8" w14:textId="77777777" w:rsidR="00C2637B" w:rsidRPr="00C2637B" w:rsidRDefault="00C2637B">
            <w:pPr>
              <w:rPr>
                <w:i/>
              </w:rPr>
            </w:pPr>
            <w:r w:rsidRPr="00C2637B">
              <w:rPr>
                <w:i/>
              </w:rPr>
              <w:t>CONTINUOUS</w:t>
            </w:r>
          </w:p>
        </w:tc>
        <w:tc>
          <w:tcPr>
            <w:tcW w:w="4765" w:type="dxa"/>
            <w:tcBorders>
              <w:top w:val="single" w:sz="4" w:space="0" w:color="auto"/>
              <w:left w:val="single" w:sz="4" w:space="0" w:color="auto"/>
              <w:bottom w:val="single" w:sz="4" w:space="0" w:color="auto"/>
              <w:right w:val="single" w:sz="4" w:space="0" w:color="auto"/>
            </w:tcBorders>
            <w:hideMark/>
          </w:tcPr>
          <w:p w14:paraId="0031ECE3" w14:textId="77777777" w:rsidR="00C2637B" w:rsidRPr="00C2637B" w:rsidRDefault="00C2637B">
            <w:pPr>
              <w:rPr>
                <w:i/>
              </w:rPr>
            </w:pPr>
            <w:r w:rsidRPr="00C2637B">
              <w:rPr>
                <w:i/>
              </w:rPr>
              <w:t>Contravention of Section 106(5)(c)</w:t>
            </w:r>
          </w:p>
        </w:tc>
      </w:tr>
      <w:tr w:rsidR="00C2637B" w:rsidRPr="00C2637B" w14:paraId="77D86F5B" w14:textId="77777777" w:rsidTr="00C2637B">
        <w:tc>
          <w:tcPr>
            <w:tcW w:w="985" w:type="dxa"/>
            <w:tcBorders>
              <w:top w:val="single" w:sz="4" w:space="0" w:color="auto"/>
              <w:left w:val="single" w:sz="4" w:space="0" w:color="auto"/>
              <w:bottom w:val="single" w:sz="4" w:space="0" w:color="auto"/>
              <w:right w:val="single" w:sz="4" w:space="0" w:color="auto"/>
            </w:tcBorders>
          </w:tcPr>
          <w:p w14:paraId="7DC5189F" w14:textId="77777777" w:rsidR="00C2637B" w:rsidRPr="00C2637B" w:rsidRDefault="00C2637B">
            <w:pPr>
              <w:rPr>
                <w:i/>
              </w:rPr>
            </w:pPr>
            <w:r w:rsidRPr="00C2637B">
              <w:rPr>
                <w:i/>
              </w:rPr>
              <w:t>28.</w:t>
            </w:r>
          </w:p>
          <w:p w14:paraId="0D4E898D" w14:textId="77777777" w:rsidR="00C2637B" w:rsidRPr="00C2637B" w:rsidRDefault="00C2637B">
            <w:pPr>
              <w:rPr>
                <w:i/>
              </w:rPr>
            </w:pPr>
          </w:p>
        </w:tc>
        <w:tc>
          <w:tcPr>
            <w:tcW w:w="3600" w:type="dxa"/>
            <w:tcBorders>
              <w:top w:val="single" w:sz="4" w:space="0" w:color="auto"/>
              <w:left w:val="single" w:sz="4" w:space="0" w:color="auto"/>
              <w:bottom w:val="single" w:sz="4" w:space="0" w:color="auto"/>
              <w:right w:val="single" w:sz="4" w:space="0" w:color="auto"/>
            </w:tcBorders>
            <w:hideMark/>
          </w:tcPr>
          <w:p w14:paraId="18FFA098" w14:textId="77777777" w:rsidR="00C2637B" w:rsidRPr="00C2637B" w:rsidRDefault="00C2637B">
            <w:pPr>
              <w:rPr>
                <w:i/>
              </w:rPr>
            </w:pPr>
            <w:r w:rsidRPr="00C2637B">
              <w:rPr>
                <w:i/>
              </w:rPr>
              <w:t>CONTINUOUS</w:t>
            </w:r>
          </w:p>
        </w:tc>
        <w:tc>
          <w:tcPr>
            <w:tcW w:w="4765" w:type="dxa"/>
            <w:tcBorders>
              <w:top w:val="single" w:sz="4" w:space="0" w:color="auto"/>
              <w:left w:val="single" w:sz="4" w:space="0" w:color="auto"/>
              <w:bottom w:val="single" w:sz="4" w:space="0" w:color="auto"/>
              <w:right w:val="single" w:sz="4" w:space="0" w:color="auto"/>
            </w:tcBorders>
            <w:hideMark/>
          </w:tcPr>
          <w:p w14:paraId="21C0ADCE" w14:textId="77777777" w:rsidR="00C2637B" w:rsidRPr="00C2637B" w:rsidRDefault="00C2637B">
            <w:pPr>
              <w:rPr>
                <w:i/>
              </w:rPr>
            </w:pPr>
            <w:r w:rsidRPr="00C2637B">
              <w:rPr>
                <w:i/>
              </w:rPr>
              <w:t>Contravention of Section 106 (1)(b)(ii)</w:t>
            </w:r>
          </w:p>
        </w:tc>
      </w:tr>
      <w:tr w:rsidR="00C2637B" w:rsidRPr="00C2637B" w14:paraId="2E170B67" w14:textId="77777777" w:rsidTr="00C2637B">
        <w:tc>
          <w:tcPr>
            <w:tcW w:w="985" w:type="dxa"/>
            <w:tcBorders>
              <w:top w:val="single" w:sz="4" w:space="0" w:color="auto"/>
              <w:left w:val="single" w:sz="4" w:space="0" w:color="auto"/>
              <w:bottom w:val="single" w:sz="4" w:space="0" w:color="auto"/>
              <w:right w:val="single" w:sz="4" w:space="0" w:color="auto"/>
            </w:tcBorders>
          </w:tcPr>
          <w:p w14:paraId="4534E6C0" w14:textId="77777777" w:rsidR="00C2637B" w:rsidRPr="00C2637B" w:rsidRDefault="00C2637B">
            <w:pPr>
              <w:rPr>
                <w:i/>
              </w:rPr>
            </w:pPr>
            <w:r w:rsidRPr="00C2637B">
              <w:rPr>
                <w:i/>
              </w:rPr>
              <w:t>29.</w:t>
            </w:r>
          </w:p>
          <w:p w14:paraId="198534C9" w14:textId="77777777" w:rsidR="00C2637B" w:rsidRPr="00C2637B" w:rsidRDefault="00C2637B">
            <w:pPr>
              <w:rPr>
                <w:i/>
              </w:rPr>
            </w:pPr>
          </w:p>
        </w:tc>
        <w:tc>
          <w:tcPr>
            <w:tcW w:w="3600" w:type="dxa"/>
            <w:tcBorders>
              <w:top w:val="single" w:sz="4" w:space="0" w:color="auto"/>
              <w:left w:val="single" w:sz="4" w:space="0" w:color="auto"/>
              <w:bottom w:val="single" w:sz="4" w:space="0" w:color="auto"/>
              <w:right w:val="single" w:sz="4" w:space="0" w:color="auto"/>
            </w:tcBorders>
            <w:hideMark/>
          </w:tcPr>
          <w:p w14:paraId="2646BF1D" w14:textId="77777777" w:rsidR="00C2637B" w:rsidRPr="00C2637B" w:rsidRDefault="00C2637B">
            <w:pPr>
              <w:rPr>
                <w:i/>
              </w:rPr>
            </w:pPr>
            <w:r w:rsidRPr="00C2637B">
              <w:rPr>
                <w:i/>
              </w:rPr>
              <w:t>CONTINUOUS</w:t>
            </w:r>
          </w:p>
        </w:tc>
        <w:tc>
          <w:tcPr>
            <w:tcW w:w="4765" w:type="dxa"/>
            <w:tcBorders>
              <w:top w:val="single" w:sz="4" w:space="0" w:color="auto"/>
              <w:left w:val="single" w:sz="4" w:space="0" w:color="auto"/>
              <w:bottom w:val="single" w:sz="4" w:space="0" w:color="auto"/>
              <w:right w:val="single" w:sz="4" w:space="0" w:color="auto"/>
            </w:tcBorders>
            <w:hideMark/>
          </w:tcPr>
          <w:p w14:paraId="031E88F1" w14:textId="77777777" w:rsidR="00C2637B" w:rsidRPr="00C2637B" w:rsidRDefault="00C2637B">
            <w:pPr>
              <w:rPr>
                <w:i/>
              </w:rPr>
            </w:pPr>
            <w:r w:rsidRPr="00C2637B">
              <w:rPr>
                <w:i/>
              </w:rPr>
              <w:t>Contravention of Section 99(1)(b)</w:t>
            </w:r>
          </w:p>
          <w:p w14:paraId="45782B04" w14:textId="77777777" w:rsidR="00C2637B" w:rsidRPr="00C2637B" w:rsidRDefault="00C2637B">
            <w:pPr>
              <w:rPr>
                <w:i/>
              </w:rPr>
            </w:pPr>
            <w:r w:rsidRPr="00C2637B">
              <w:rPr>
                <w:i/>
              </w:rPr>
              <w:t xml:space="preserve">(Alternative claim in the event that it is found that the respondents’ credit agreements constitute pawn transactions </w:t>
            </w:r>
          </w:p>
        </w:tc>
      </w:tr>
    </w:tbl>
    <w:p w14:paraId="7803E577" w14:textId="1CF20BD7" w:rsidR="001F79C3" w:rsidRPr="0012413C" w:rsidRDefault="001F79C3" w:rsidP="005C0790">
      <w:pPr>
        <w:pStyle w:val="ListParagraph"/>
        <w:spacing w:line="360" w:lineRule="auto"/>
        <w:ind w:left="0"/>
        <w:jc w:val="both"/>
        <w:rPr>
          <w:sz w:val="28"/>
          <w:szCs w:val="28"/>
          <w:lang w:val="en-US"/>
        </w:rPr>
      </w:pPr>
    </w:p>
    <w:p w14:paraId="77D31267" w14:textId="2F94B41A" w:rsidR="00387E92" w:rsidRPr="00DF0119" w:rsidRDefault="00DF0119" w:rsidP="00DF0119">
      <w:pPr>
        <w:spacing w:line="360" w:lineRule="auto"/>
        <w:jc w:val="both"/>
        <w:rPr>
          <w:b/>
          <w:sz w:val="28"/>
          <w:szCs w:val="28"/>
        </w:rPr>
      </w:pPr>
      <w:r w:rsidRPr="004E775F">
        <w:rPr>
          <w:sz w:val="28"/>
          <w:szCs w:val="28"/>
        </w:rPr>
        <w:t>[9]</w:t>
      </w:r>
      <w:r w:rsidRPr="004E775F">
        <w:rPr>
          <w:sz w:val="28"/>
          <w:szCs w:val="28"/>
        </w:rPr>
        <w:tab/>
      </w:r>
      <w:r w:rsidR="00076C6A" w:rsidRPr="00DF0119">
        <w:rPr>
          <w:color w:val="222222"/>
          <w:sz w:val="28"/>
          <w:szCs w:val="28"/>
          <w:shd w:val="clear" w:color="auto" w:fill="FFFFFF"/>
        </w:rPr>
        <w:t>In seeking this relief, t</w:t>
      </w:r>
      <w:r w:rsidR="00766812" w:rsidRPr="00DF0119">
        <w:rPr>
          <w:color w:val="222222"/>
          <w:sz w:val="28"/>
          <w:szCs w:val="28"/>
          <w:shd w:val="clear" w:color="auto" w:fill="FFFFFF"/>
        </w:rPr>
        <w:t xml:space="preserve">he NCR </w:t>
      </w:r>
      <w:r w:rsidR="00076C6A" w:rsidRPr="00DF0119">
        <w:rPr>
          <w:color w:val="222222"/>
          <w:sz w:val="28"/>
          <w:szCs w:val="28"/>
          <w:shd w:val="clear" w:color="auto" w:fill="FFFFFF"/>
        </w:rPr>
        <w:t>explained</w:t>
      </w:r>
      <w:r w:rsidR="00766812" w:rsidRPr="00DF0119">
        <w:rPr>
          <w:color w:val="222222"/>
          <w:sz w:val="28"/>
          <w:szCs w:val="28"/>
          <w:shd w:val="clear" w:color="auto" w:fill="FFFFFF"/>
        </w:rPr>
        <w:t xml:space="preserve"> that</w:t>
      </w:r>
      <w:r w:rsidR="008125D2" w:rsidRPr="00DF0119">
        <w:rPr>
          <w:color w:val="222222"/>
          <w:sz w:val="28"/>
          <w:szCs w:val="28"/>
          <w:shd w:val="clear" w:color="auto" w:fill="FFFFFF"/>
        </w:rPr>
        <w:t>,</w:t>
      </w:r>
      <w:r w:rsidR="00766812" w:rsidRPr="00DF0119">
        <w:rPr>
          <w:color w:val="222222"/>
          <w:sz w:val="28"/>
          <w:szCs w:val="28"/>
          <w:shd w:val="clear" w:color="auto" w:fill="FFFFFF"/>
        </w:rPr>
        <w:t xml:space="preserve"> in preparing for the hearing of the matter on 15 July 2019, it realised that there were some </w:t>
      </w:r>
      <w:r w:rsidR="008125D2" w:rsidRPr="00DF0119">
        <w:rPr>
          <w:color w:val="222222"/>
          <w:sz w:val="28"/>
          <w:szCs w:val="28"/>
          <w:shd w:val="clear" w:color="auto" w:fill="FFFFFF"/>
        </w:rPr>
        <w:t xml:space="preserve">minor </w:t>
      </w:r>
      <w:r w:rsidR="00766812" w:rsidRPr="00DF0119">
        <w:rPr>
          <w:color w:val="222222"/>
          <w:sz w:val="28"/>
          <w:szCs w:val="28"/>
          <w:shd w:val="clear" w:color="auto" w:fill="FFFFFF"/>
        </w:rPr>
        <w:t xml:space="preserve">issues with the </w:t>
      </w:r>
      <w:r w:rsidR="000A1F32" w:rsidRPr="00DF0119">
        <w:rPr>
          <w:color w:val="222222"/>
          <w:sz w:val="28"/>
          <w:szCs w:val="28"/>
          <w:shd w:val="clear" w:color="auto" w:fill="FFFFFF"/>
        </w:rPr>
        <w:t>founding affidavit</w:t>
      </w:r>
      <w:r w:rsidR="00766812" w:rsidRPr="00DF0119">
        <w:rPr>
          <w:color w:val="222222"/>
          <w:sz w:val="28"/>
          <w:szCs w:val="28"/>
          <w:shd w:val="clear" w:color="auto" w:fill="FFFFFF"/>
        </w:rPr>
        <w:t xml:space="preserve"> which needed to be addressed</w:t>
      </w:r>
      <w:r w:rsidR="008125D2" w:rsidRPr="00DF0119">
        <w:rPr>
          <w:color w:val="222222"/>
          <w:sz w:val="28"/>
          <w:szCs w:val="28"/>
          <w:shd w:val="clear" w:color="auto" w:fill="FFFFFF"/>
        </w:rPr>
        <w:t>.</w:t>
      </w:r>
      <w:r w:rsidR="000A1F32" w:rsidRPr="00DF0119">
        <w:rPr>
          <w:color w:val="222222"/>
          <w:sz w:val="28"/>
          <w:szCs w:val="28"/>
          <w:shd w:val="clear" w:color="auto" w:fill="FFFFFF"/>
        </w:rPr>
        <w:t xml:space="preserve"> </w:t>
      </w:r>
      <w:r w:rsidR="00E67802" w:rsidRPr="00DF0119">
        <w:rPr>
          <w:color w:val="222222"/>
          <w:sz w:val="28"/>
          <w:szCs w:val="28"/>
          <w:shd w:val="clear" w:color="auto" w:fill="FFFFFF"/>
        </w:rPr>
        <w:t>Although it had</w:t>
      </w:r>
      <w:r w:rsidR="001F0079" w:rsidRPr="00DF0119">
        <w:rPr>
          <w:color w:val="222222"/>
          <w:sz w:val="28"/>
          <w:szCs w:val="28"/>
          <w:shd w:val="clear" w:color="auto" w:fill="FFFFFF"/>
        </w:rPr>
        <w:t xml:space="preserve"> made the necessary factual allegations in the founding affidavit regarding infringements </w:t>
      </w:r>
      <w:r w:rsidR="00E67802" w:rsidRPr="00DF0119">
        <w:rPr>
          <w:color w:val="222222"/>
          <w:sz w:val="28"/>
          <w:szCs w:val="28"/>
          <w:shd w:val="clear" w:color="auto" w:fill="FFFFFF"/>
        </w:rPr>
        <w:t>of</w:t>
      </w:r>
      <w:r w:rsidR="002C7F31" w:rsidRPr="00DF0119">
        <w:rPr>
          <w:color w:val="222222"/>
          <w:sz w:val="28"/>
          <w:szCs w:val="28"/>
          <w:shd w:val="clear" w:color="auto" w:fill="FFFFFF"/>
        </w:rPr>
        <w:t xml:space="preserve"> </w:t>
      </w:r>
      <w:r w:rsidR="00E67802" w:rsidRPr="00DF0119">
        <w:rPr>
          <w:color w:val="222222"/>
          <w:sz w:val="28"/>
          <w:szCs w:val="28"/>
          <w:shd w:val="clear" w:color="auto" w:fill="FFFFFF"/>
        </w:rPr>
        <w:lastRenderedPageBreak/>
        <w:t>s 106(5)</w:t>
      </w:r>
      <w:r w:rsidR="00E67802" w:rsidRPr="00DF0119">
        <w:rPr>
          <w:i/>
          <w:color w:val="222222"/>
          <w:sz w:val="28"/>
          <w:szCs w:val="28"/>
          <w:shd w:val="clear" w:color="auto" w:fill="FFFFFF"/>
        </w:rPr>
        <w:t>(c)</w:t>
      </w:r>
      <w:r w:rsidR="00E67802" w:rsidRPr="007678FA">
        <w:rPr>
          <w:rStyle w:val="FootnoteReference"/>
          <w:color w:val="222222"/>
          <w:sz w:val="28"/>
          <w:szCs w:val="28"/>
          <w:shd w:val="clear" w:color="auto" w:fill="FFFFFF"/>
        </w:rPr>
        <w:footnoteReference w:id="5"/>
      </w:r>
      <w:r w:rsidR="00E67802" w:rsidRPr="00DF0119">
        <w:rPr>
          <w:color w:val="222222"/>
          <w:sz w:val="28"/>
          <w:szCs w:val="28"/>
          <w:shd w:val="clear" w:color="auto" w:fill="FFFFFF"/>
        </w:rPr>
        <w:t xml:space="preserve"> and 106(1)</w:t>
      </w:r>
      <w:r w:rsidR="00E67802" w:rsidRPr="00DF0119">
        <w:rPr>
          <w:i/>
          <w:color w:val="222222"/>
          <w:sz w:val="28"/>
          <w:szCs w:val="28"/>
          <w:shd w:val="clear" w:color="auto" w:fill="FFFFFF"/>
        </w:rPr>
        <w:t>(b)</w:t>
      </w:r>
      <w:r w:rsidR="00E67802" w:rsidRPr="00DF0119">
        <w:rPr>
          <w:iCs/>
          <w:color w:val="222222"/>
          <w:sz w:val="28"/>
          <w:szCs w:val="28"/>
          <w:shd w:val="clear" w:color="auto" w:fill="FFFFFF"/>
        </w:rPr>
        <w:t>(</w:t>
      </w:r>
      <w:r w:rsidR="00E67802" w:rsidRPr="00DF0119">
        <w:rPr>
          <w:color w:val="222222"/>
          <w:sz w:val="28"/>
          <w:szCs w:val="28"/>
          <w:shd w:val="clear" w:color="auto" w:fill="FFFFFF"/>
        </w:rPr>
        <w:t>ii),</w:t>
      </w:r>
      <w:r w:rsidR="00E67802" w:rsidRPr="007678FA">
        <w:rPr>
          <w:rStyle w:val="FootnoteReference"/>
          <w:color w:val="222222"/>
          <w:sz w:val="28"/>
          <w:szCs w:val="28"/>
          <w:shd w:val="clear" w:color="auto" w:fill="FFFFFF"/>
        </w:rPr>
        <w:footnoteReference w:id="6"/>
      </w:r>
      <w:r w:rsidR="00E67802" w:rsidRPr="00DF0119">
        <w:rPr>
          <w:rFonts w:eastAsiaTheme="minorHAnsi"/>
          <w:lang w:val="en-US"/>
        </w:rPr>
        <w:t xml:space="preserve"> </w:t>
      </w:r>
      <w:r w:rsidR="00E67802" w:rsidRPr="00DF0119">
        <w:rPr>
          <w:rFonts w:eastAsiaTheme="minorHAnsi"/>
          <w:sz w:val="28"/>
          <w:szCs w:val="28"/>
          <w:lang w:val="en-US"/>
        </w:rPr>
        <w:t>alternatively</w:t>
      </w:r>
      <w:r w:rsidR="00E67802" w:rsidRPr="00DF0119">
        <w:rPr>
          <w:rFonts w:eastAsiaTheme="minorHAnsi"/>
          <w:lang w:val="en-US"/>
        </w:rPr>
        <w:t xml:space="preserve"> </w:t>
      </w:r>
      <w:r w:rsidR="00E67802" w:rsidRPr="00DF0119">
        <w:rPr>
          <w:rFonts w:eastAsiaTheme="minorHAnsi"/>
          <w:sz w:val="28"/>
          <w:szCs w:val="28"/>
          <w:lang w:val="en-US"/>
        </w:rPr>
        <w:t>s 99(1</w:t>
      </w:r>
      <w:r w:rsidR="00E67802" w:rsidRPr="00DF0119">
        <w:rPr>
          <w:rFonts w:eastAsiaTheme="minorHAnsi"/>
          <w:i/>
          <w:sz w:val="28"/>
          <w:szCs w:val="28"/>
          <w:lang w:val="en-US"/>
        </w:rPr>
        <w:t>)(b)</w:t>
      </w:r>
      <w:r w:rsidR="00E67802" w:rsidRPr="007678FA">
        <w:rPr>
          <w:rStyle w:val="FootnoteReference"/>
          <w:rFonts w:eastAsiaTheme="minorHAnsi"/>
          <w:sz w:val="28"/>
          <w:szCs w:val="28"/>
          <w:lang w:val="en-US"/>
        </w:rPr>
        <w:footnoteReference w:id="7"/>
      </w:r>
      <w:r w:rsidR="00E67802" w:rsidRPr="00DF0119">
        <w:rPr>
          <w:rFonts w:eastAsiaTheme="minorHAnsi"/>
          <w:sz w:val="28"/>
          <w:szCs w:val="28"/>
          <w:lang w:val="en-US"/>
        </w:rPr>
        <w:t xml:space="preserve"> of the Act, </w:t>
      </w:r>
      <w:r w:rsidR="001F0079" w:rsidRPr="00DF0119">
        <w:rPr>
          <w:rFonts w:eastAsiaTheme="minorHAnsi"/>
          <w:sz w:val="28"/>
          <w:szCs w:val="28"/>
          <w:lang w:val="en-US"/>
        </w:rPr>
        <w:t>it had o</w:t>
      </w:r>
      <w:r w:rsidR="00736441" w:rsidRPr="00DF0119">
        <w:rPr>
          <w:color w:val="222222"/>
          <w:sz w:val="28"/>
          <w:szCs w:val="28"/>
          <w:shd w:val="clear" w:color="auto" w:fill="FFFFFF"/>
        </w:rPr>
        <w:t xml:space="preserve">mitted to ask the </w:t>
      </w:r>
      <w:r w:rsidR="00736441" w:rsidRPr="00DF0119">
        <w:rPr>
          <w:sz w:val="28"/>
          <w:szCs w:val="28"/>
        </w:rPr>
        <w:t>Tribunal</w:t>
      </w:r>
      <w:r w:rsidR="00736441" w:rsidRPr="00DF0119">
        <w:rPr>
          <w:color w:val="222222"/>
          <w:sz w:val="28"/>
          <w:szCs w:val="28"/>
          <w:shd w:val="clear" w:color="auto" w:fill="FFFFFF"/>
        </w:rPr>
        <w:t xml:space="preserve"> to declare that </w:t>
      </w:r>
      <w:r w:rsidR="001F0079" w:rsidRPr="00DF0119">
        <w:rPr>
          <w:color w:val="222222"/>
          <w:sz w:val="28"/>
          <w:szCs w:val="28"/>
          <w:shd w:val="clear" w:color="auto" w:fill="FFFFFF"/>
        </w:rPr>
        <w:t>they</w:t>
      </w:r>
      <w:r w:rsidR="00736441" w:rsidRPr="00DF0119">
        <w:rPr>
          <w:color w:val="222222"/>
          <w:sz w:val="28"/>
          <w:szCs w:val="28"/>
          <w:shd w:val="clear" w:color="auto" w:fill="FFFFFF"/>
        </w:rPr>
        <w:t xml:space="preserve"> </w:t>
      </w:r>
      <w:r w:rsidR="00CF2BB0" w:rsidRPr="00DF0119">
        <w:rPr>
          <w:color w:val="222222"/>
          <w:sz w:val="28"/>
          <w:szCs w:val="28"/>
          <w:shd w:val="clear" w:color="auto" w:fill="FFFFFF"/>
        </w:rPr>
        <w:t xml:space="preserve">were contraventions of the Act. </w:t>
      </w:r>
      <w:r w:rsidR="00537876" w:rsidRPr="00DF0119">
        <w:rPr>
          <w:color w:val="222222"/>
          <w:sz w:val="28"/>
          <w:szCs w:val="28"/>
          <w:shd w:val="clear" w:color="auto" w:fill="FFFFFF"/>
        </w:rPr>
        <w:t>The</w:t>
      </w:r>
      <w:r w:rsidR="00265BD1" w:rsidRPr="00DF0119">
        <w:rPr>
          <w:color w:val="222222"/>
          <w:sz w:val="28"/>
          <w:szCs w:val="28"/>
          <w:shd w:val="clear" w:color="auto" w:fill="FFFFFF"/>
        </w:rPr>
        <w:t xml:space="preserve"> NCR </w:t>
      </w:r>
      <w:r w:rsidR="000A1F32" w:rsidRPr="00DF0119">
        <w:rPr>
          <w:color w:val="222222"/>
          <w:sz w:val="28"/>
          <w:szCs w:val="28"/>
          <w:shd w:val="clear" w:color="auto" w:fill="FFFFFF"/>
        </w:rPr>
        <w:t>s</w:t>
      </w:r>
      <w:r w:rsidR="00265BD1" w:rsidRPr="00DF0119">
        <w:rPr>
          <w:color w:val="222222"/>
          <w:sz w:val="28"/>
          <w:szCs w:val="28"/>
          <w:shd w:val="clear" w:color="auto" w:fill="FFFFFF"/>
        </w:rPr>
        <w:t xml:space="preserve">ought </w:t>
      </w:r>
      <w:r w:rsidR="00BE1D93" w:rsidRPr="00DF0119">
        <w:rPr>
          <w:color w:val="222222"/>
          <w:sz w:val="28"/>
          <w:szCs w:val="28"/>
          <w:shd w:val="clear" w:color="auto" w:fill="FFFFFF"/>
        </w:rPr>
        <w:t xml:space="preserve">to remedy this </w:t>
      </w:r>
      <w:r w:rsidR="00265BD1" w:rsidRPr="00DF0119">
        <w:rPr>
          <w:color w:val="222222"/>
          <w:sz w:val="28"/>
          <w:szCs w:val="28"/>
          <w:shd w:val="clear" w:color="auto" w:fill="FFFFFF"/>
        </w:rPr>
        <w:t>i</w:t>
      </w:r>
      <w:r w:rsidR="00C2123E" w:rsidRPr="00DF0119">
        <w:rPr>
          <w:color w:val="222222"/>
          <w:sz w:val="28"/>
          <w:szCs w:val="28"/>
          <w:shd w:val="clear" w:color="auto" w:fill="FFFFFF"/>
        </w:rPr>
        <w:t xml:space="preserve">n </w:t>
      </w:r>
      <w:r w:rsidR="00736441" w:rsidRPr="00DF0119">
        <w:rPr>
          <w:color w:val="222222"/>
          <w:sz w:val="28"/>
          <w:szCs w:val="28"/>
          <w:shd w:val="clear" w:color="auto" w:fill="FFFFFF"/>
        </w:rPr>
        <w:t>the supplementary affidavit</w:t>
      </w:r>
      <w:r w:rsidR="00C2123E" w:rsidRPr="00DF0119">
        <w:rPr>
          <w:color w:val="222222"/>
          <w:sz w:val="28"/>
          <w:szCs w:val="28"/>
          <w:shd w:val="clear" w:color="auto" w:fill="FFFFFF"/>
        </w:rPr>
        <w:t>.</w:t>
      </w:r>
      <w:r w:rsidR="00207C4C" w:rsidRPr="00DF0119">
        <w:rPr>
          <w:color w:val="222222"/>
          <w:sz w:val="28"/>
          <w:szCs w:val="28"/>
          <w:shd w:val="clear" w:color="auto" w:fill="FFFFFF"/>
        </w:rPr>
        <w:t xml:space="preserve"> </w:t>
      </w:r>
      <w:r w:rsidR="00C2123E" w:rsidRPr="00DF0119">
        <w:rPr>
          <w:color w:val="222222"/>
          <w:sz w:val="28"/>
          <w:szCs w:val="28"/>
          <w:shd w:val="clear" w:color="auto" w:fill="FFFFFF"/>
        </w:rPr>
        <w:t xml:space="preserve">The NCR </w:t>
      </w:r>
      <w:r w:rsidR="00207C4C" w:rsidRPr="00DF0119">
        <w:rPr>
          <w:color w:val="222222"/>
          <w:sz w:val="28"/>
          <w:szCs w:val="28"/>
          <w:shd w:val="clear" w:color="auto" w:fill="FFFFFF"/>
        </w:rPr>
        <w:t xml:space="preserve">also </w:t>
      </w:r>
      <w:r w:rsidR="00736441" w:rsidRPr="00DF0119">
        <w:rPr>
          <w:color w:val="222222"/>
          <w:sz w:val="28"/>
          <w:szCs w:val="28"/>
          <w:shd w:val="clear" w:color="auto" w:fill="FFFFFF"/>
        </w:rPr>
        <w:t>wished</w:t>
      </w:r>
      <w:r w:rsidR="00CF2BB0" w:rsidRPr="00DF0119">
        <w:rPr>
          <w:color w:val="222222"/>
          <w:sz w:val="28"/>
          <w:szCs w:val="28"/>
          <w:shd w:val="clear" w:color="auto" w:fill="FFFFFF"/>
        </w:rPr>
        <w:t xml:space="preserve"> </w:t>
      </w:r>
      <w:r w:rsidR="00736441" w:rsidRPr="00DF0119">
        <w:rPr>
          <w:color w:val="222222"/>
          <w:sz w:val="28"/>
          <w:szCs w:val="28"/>
          <w:shd w:val="clear" w:color="auto" w:fill="FFFFFF"/>
        </w:rPr>
        <w:t xml:space="preserve">to supplement the founding affidavit </w:t>
      </w:r>
      <w:r w:rsidR="00207C4C" w:rsidRPr="00DF0119">
        <w:rPr>
          <w:color w:val="222222"/>
          <w:sz w:val="28"/>
          <w:szCs w:val="28"/>
          <w:shd w:val="clear" w:color="auto" w:fill="FFFFFF"/>
        </w:rPr>
        <w:t>by providing</w:t>
      </w:r>
      <w:r w:rsidR="00736441" w:rsidRPr="00DF0119">
        <w:rPr>
          <w:color w:val="222222"/>
          <w:sz w:val="28"/>
          <w:szCs w:val="28"/>
          <w:shd w:val="clear" w:color="auto" w:fill="FFFFFF"/>
        </w:rPr>
        <w:t xml:space="preserve"> a more detailed explanation of the conclusion it had reached </w:t>
      </w:r>
      <w:r w:rsidR="00265BD1" w:rsidRPr="00DF0119">
        <w:rPr>
          <w:color w:val="222222"/>
          <w:sz w:val="28"/>
          <w:szCs w:val="28"/>
          <w:shd w:val="clear" w:color="auto" w:fill="FFFFFF"/>
        </w:rPr>
        <w:t xml:space="preserve">in the founding affidavit, </w:t>
      </w:r>
      <w:r w:rsidR="00736441" w:rsidRPr="00DF0119">
        <w:rPr>
          <w:color w:val="222222"/>
          <w:sz w:val="28"/>
          <w:szCs w:val="28"/>
          <w:shd w:val="clear" w:color="auto" w:fill="FFFFFF"/>
        </w:rPr>
        <w:t xml:space="preserve">that the agreements that </w:t>
      </w:r>
      <w:r w:rsidR="00D946E5" w:rsidRPr="00DF0119">
        <w:rPr>
          <w:color w:val="222222"/>
          <w:sz w:val="28"/>
          <w:szCs w:val="28"/>
          <w:shd w:val="clear" w:color="auto" w:fill="FFFFFF"/>
        </w:rPr>
        <w:t>the respondents</w:t>
      </w:r>
      <w:r w:rsidR="00736441" w:rsidRPr="00DF0119">
        <w:rPr>
          <w:color w:val="222222"/>
          <w:sz w:val="28"/>
          <w:szCs w:val="28"/>
          <w:shd w:val="clear" w:color="auto" w:fill="FFFFFF"/>
        </w:rPr>
        <w:t xml:space="preserve"> had</w:t>
      </w:r>
      <w:r w:rsidR="004B7F49" w:rsidRPr="00DF0119">
        <w:rPr>
          <w:color w:val="222222"/>
          <w:sz w:val="28"/>
          <w:szCs w:val="28"/>
          <w:shd w:val="clear" w:color="auto" w:fill="FFFFFF"/>
        </w:rPr>
        <w:t xml:space="preserve"> c</w:t>
      </w:r>
      <w:r w:rsidR="00736441" w:rsidRPr="00DF0119">
        <w:rPr>
          <w:color w:val="222222"/>
          <w:sz w:val="28"/>
          <w:szCs w:val="28"/>
          <w:shd w:val="clear" w:color="auto" w:fill="FFFFFF"/>
        </w:rPr>
        <w:t>oncluded with its customers were not ‘pawn transactions</w:t>
      </w:r>
      <w:r w:rsidR="000D230F" w:rsidRPr="00DF0119">
        <w:rPr>
          <w:color w:val="222222"/>
          <w:sz w:val="28"/>
          <w:szCs w:val="28"/>
          <w:shd w:val="clear" w:color="auto" w:fill="FFFFFF"/>
        </w:rPr>
        <w:t>’</w:t>
      </w:r>
      <w:r w:rsidR="008125D2" w:rsidRPr="007678FA">
        <w:rPr>
          <w:rStyle w:val="FootnoteReference"/>
          <w:color w:val="222222"/>
          <w:sz w:val="28"/>
          <w:szCs w:val="28"/>
          <w:shd w:val="clear" w:color="auto" w:fill="FFFFFF"/>
        </w:rPr>
        <w:footnoteReference w:id="8"/>
      </w:r>
      <w:r w:rsidR="000D230F" w:rsidRPr="00DF0119">
        <w:rPr>
          <w:color w:val="222222"/>
          <w:sz w:val="28"/>
          <w:szCs w:val="28"/>
          <w:shd w:val="clear" w:color="auto" w:fill="FFFFFF"/>
        </w:rPr>
        <w:t xml:space="preserve"> but</w:t>
      </w:r>
      <w:r w:rsidR="00736441" w:rsidRPr="00DF0119">
        <w:rPr>
          <w:color w:val="222222"/>
          <w:sz w:val="28"/>
          <w:szCs w:val="28"/>
          <w:shd w:val="clear" w:color="auto" w:fill="FFFFFF"/>
        </w:rPr>
        <w:t xml:space="preserve"> ‘secured loan agreements’</w:t>
      </w:r>
      <w:r w:rsidR="00BE1D93" w:rsidRPr="00DF0119">
        <w:rPr>
          <w:color w:val="222222"/>
          <w:sz w:val="28"/>
          <w:szCs w:val="28"/>
          <w:shd w:val="clear" w:color="auto" w:fill="FFFFFF"/>
        </w:rPr>
        <w:t>.</w:t>
      </w:r>
      <w:r w:rsidR="008125D2" w:rsidRPr="007678FA">
        <w:rPr>
          <w:rStyle w:val="FootnoteReference"/>
          <w:color w:val="222222"/>
          <w:sz w:val="28"/>
          <w:szCs w:val="28"/>
          <w:shd w:val="clear" w:color="auto" w:fill="FFFFFF"/>
        </w:rPr>
        <w:footnoteReference w:id="9"/>
      </w:r>
      <w:r w:rsidR="00C2123E" w:rsidRPr="00DF0119">
        <w:rPr>
          <w:color w:val="222222"/>
          <w:sz w:val="28"/>
          <w:szCs w:val="28"/>
          <w:shd w:val="clear" w:color="auto" w:fill="FFFFFF"/>
        </w:rPr>
        <w:t xml:space="preserve"> </w:t>
      </w:r>
      <w:r w:rsidR="00CF2BB0" w:rsidRPr="00DF0119">
        <w:rPr>
          <w:color w:val="222222"/>
          <w:sz w:val="28"/>
          <w:szCs w:val="28"/>
          <w:shd w:val="clear" w:color="auto" w:fill="FFFFFF"/>
        </w:rPr>
        <w:t xml:space="preserve">Such explanation was provided </w:t>
      </w:r>
      <w:r w:rsidR="00CF2BB0" w:rsidRPr="00DF0119">
        <w:rPr>
          <w:i/>
          <w:color w:val="222222"/>
          <w:sz w:val="28"/>
          <w:szCs w:val="28"/>
          <w:shd w:val="clear" w:color="auto" w:fill="FFFFFF"/>
        </w:rPr>
        <w:t>ex abundante cautela</w:t>
      </w:r>
      <w:r w:rsidR="00F44D55" w:rsidRPr="00DF0119">
        <w:rPr>
          <w:color w:val="222222"/>
          <w:sz w:val="28"/>
          <w:szCs w:val="28"/>
          <w:shd w:val="clear" w:color="auto" w:fill="FFFFFF"/>
        </w:rPr>
        <w:t>, as the NCR believed that it was a matter for legal argument.</w:t>
      </w:r>
    </w:p>
    <w:p w14:paraId="7B342FEA" w14:textId="0E01D849" w:rsidR="000F045B" w:rsidRPr="00DE0326" w:rsidRDefault="00F44D55" w:rsidP="004E775F">
      <w:pPr>
        <w:pStyle w:val="ListParagraph"/>
        <w:spacing w:line="360" w:lineRule="auto"/>
        <w:ind w:left="0"/>
        <w:jc w:val="both"/>
        <w:rPr>
          <w:b/>
          <w:sz w:val="28"/>
          <w:szCs w:val="28"/>
        </w:rPr>
      </w:pPr>
      <w:r w:rsidRPr="00DE0326">
        <w:rPr>
          <w:color w:val="222222"/>
          <w:sz w:val="28"/>
          <w:szCs w:val="28"/>
          <w:shd w:val="clear" w:color="auto" w:fill="FFFFFF"/>
        </w:rPr>
        <w:lastRenderedPageBreak/>
        <w:t xml:space="preserve"> </w:t>
      </w:r>
    </w:p>
    <w:p w14:paraId="4AF164BC" w14:textId="1662C26C" w:rsidR="004F2589" w:rsidRPr="007678FA" w:rsidRDefault="00F5616D" w:rsidP="00F44D55">
      <w:pPr>
        <w:spacing w:line="360" w:lineRule="auto"/>
        <w:jc w:val="both"/>
        <w:rPr>
          <w:b/>
          <w:sz w:val="28"/>
          <w:szCs w:val="28"/>
        </w:rPr>
      </w:pPr>
      <w:r>
        <w:rPr>
          <w:b/>
          <w:sz w:val="28"/>
          <w:szCs w:val="28"/>
        </w:rPr>
        <w:t>The</w:t>
      </w:r>
      <w:r w:rsidR="00F44D55" w:rsidRPr="007678FA">
        <w:rPr>
          <w:b/>
          <w:sz w:val="28"/>
          <w:szCs w:val="28"/>
        </w:rPr>
        <w:t xml:space="preserve"> power </w:t>
      </w:r>
      <w:r>
        <w:rPr>
          <w:b/>
          <w:sz w:val="28"/>
          <w:szCs w:val="28"/>
        </w:rPr>
        <w:t xml:space="preserve">of the Tribunal </w:t>
      </w:r>
      <w:r w:rsidR="00F44D55" w:rsidRPr="007678FA">
        <w:rPr>
          <w:b/>
          <w:sz w:val="28"/>
          <w:szCs w:val="28"/>
        </w:rPr>
        <w:t>to grant condonation for the filing of the supplementary affidavit?</w:t>
      </w:r>
      <w:r w:rsidR="004F2589" w:rsidRPr="007678FA">
        <w:rPr>
          <w:b/>
          <w:sz w:val="28"/>
          <w:szCs w:val="28"/>
        </w:rPr>
        <w:t xml:space="preserve"> </w:t>
      </w:r>
    </w:p>
    <w:p w14:paraId="38CB92CB" w14:textId="032F3110" w:rsidR="00FC06BB" w:rsidRPr="007678FA" w:rsidRDefault="00DF0119" w:rsidP="00DF0119">
      <w:pPr>
        <w:spacing w:line="360" w:lineRule="auto"/>
        <w:jc w:val="both"/>
        <w:rPr>
          <w:b/>
          <w:sz w:val="28"/>
          <w:szCs w:val="28"/>
        </w:rPr>
      </w:pPr>
      <w:r w:rsidRPr="007678FA">
        <w:rPr>
          <w:sz w:val="28"/>
          <w:szCs w:val="28"/>
        </w:rPr>
        <w:t>[10]</w:t>
      </w:r>
      <w:r w:rsidRPr="007678FA">
        <w:rPr>
          <w:sz w:val="28"/>
          <w:szCs w:val="28"/>
        </w:rPr>
        <w:tab/>
      </w:r>
      <w:r w:rsidR="00F44D55" w:rsidRPr="007678FA">
        <w:rPr>
          <w:sz w:val="28"/>
          <w:szCs w:val="28"/>
        </w:rPr>
        <w:t xml:space="preserve">The NCR argued that it did. </w:t>
      </w:r>
      <w:r w:rsidR="00D946E5">
        <w:rPr>
          <w:sz w:val="28"/>
          <w:szCs w:val="28"/>
        </w:rPr>
        <w:t>The respondents</w:t>
      </w:r>
      <w:r w:rsidR="001504F8" w:rsidRPr="007678FA">
        <w:rPr>
          <w:sz w:val="28"/>
          <w:szCs w:val="28"/>
        </w:rPr>
        <w:t xml:space="preserve"> opposed the</w:t>
      </w:r>
      <w:r w:rsidR="00A95858" w:rsidRPr="007678FA">
        <w:rPr>
          <w:sz w:val="28"/>
          <w:szCs w:val="28"/>
        </w:rPr>
        <w:t xml:space="preserve"> application </w:t>
      </w:r>
      <w:r w:rsidR="007D422E" w:rsidRPr="007678FA">
        <w:rPr>
          <w:sz w:val="28"/>
          <w:szCs w:val="28"/>
        </w:rPr>
        <w:t xml:space="preserve">on the basis that, </w:t>
      </w:r>
      <w:r w:rsidR="001504F8" w:rsidRPr="007678FA">
        <w:rPr>
          <w:sz w:val="28"/>
          <w:szCs w:val="28"/>
        </w:rPr>
        <w:t>as a creature of statute, the Tribunal did not have the power to allow the filing</w:t>
      </w:r>
      <w:r w:rsidR="007D422E" w:rsidRPr="007678FA">
        <w:rPr>
          <w:sz w:val="28"/>
          <w:szCs w:val="28"/>
        </w:rPr>
        <w:t xml:space="preserve"> of the supplementary affidavit.</w:t>
      </w:r>
    </w:p>
    <w:p w14:paraId="32F31E99" w14:textId="77777777" w:rsidR="007A76D5" w:rsidRPr="007678FA" w:rsidRDefault="007A76D5" w:rsidP="008C5B84">
      <w:pPr>
        <w:spacing w:line="360" w:lineRule="auto"/>
        <w:jc w:val="both"/>
        <w:rPr>
          <w:b/>
          <w:sz w:val="28"/>
          <w:szCs w:val="28"/>
        </w:rPr>
      </w:pPr>
    </w:p>
    <w:p w14:paraId="6B3FB00B" w14:textId="159B5597" w:rsidR="00F77EE1" w:rsidRPr="007678FA" w:rsidRDefault="00DF0119" w:rsidP="00DF0119">
      <w:pPr>
        <w:spacing w:line="360" w:lineRule="auto"/>
        <w:jc w:val="both"/>
        <w:rPr>
          <w:sz w:val="28"/>
          <w:szCs w:val="28"/>
        </w:rPr>
      </w:pPr>
      <w:r w:rsidRPr="007678FA">
        <w:rPr>
          <w:sz w:val="28"/>
          <w:szCs w:val="28"/>
        </w:rPr>
        <w:t>[11]</w:t>
      </w:r>
      <w:r w:rsidRPr="007678FA">
        <w:rPr>
          <w:sz w:val="28"/>
          <w:szCs w:val="28"/>
        </w:rPr>
        <w:tab/>
      </w:r>
      <w:r w:rsidR="00F77EE1" w:rsidRPr="007678FA">
        <w:rPr>
          <w:sz w:val="28"/>
          <w:szCs w:val="28"/>
        </w:rPr>
        <w:t>The procedures in the rules provide for the NCR to refer the matter to the Tribunal and file an application in terms of rules 6</w:t>
      </w:r>
      <w:r w:rsidR="00F77EE1" w:rsidRPr="007678FA">
        <w:rPr>
          <w:rStyle w:val="FootnoteReference"/>
          <w:sz w:val="28"/>
          <w:szCs w:val="28"/>
        </w:rPr>
        <w:footnoteReference w:id="10"/>
      </w:r>
      <w:r w:rsidR="00F77EE1" w:rsidRPr="007678FA">
        <w:rPr>
          <w:sz w:val="28"/>
          <w:szCs w:val="28"/>
        </w:rPr>
        <w:t xml:space="preserve"> and 7</w:t>
      </w:r>
      <w:r w:rsidR="00F77EE1" w:rsidRPr="007678FA">
        <w:rPr>
          <w:rStyle w:val="FootnoteReference"/>
          <w:sz w:val="28"/>
          <w:szCs w:val="28"/>
        </w:rPr>
        <w:footnoteReference w:id="11"/>
      </w:r>
      <w:r w:rsidR="00F77EE1" w:rsidRPr="007678FA">
        <w:rPr>
          <w:sz w:val="28"/>
          <w:szCs w:val="28"/>
        </w:rPr>
        <w:t xml:space="preserve">, with the requisite documents, including the founding affidavit. </w:t>
      </w:r>
      <w:r w:rsidR="000F045B">
        <w:rPr>
          <w:sz w:val="28"/>
          <w:szCs w:val="28"/>
        </w:rPr>
        <w:t>Rule 13</w:t>
      </w:r>
      <w:r w:rsidR="00F77EE1" w:rsidRPr="007678FA">
        <w:rPr>
          <w:rStyle w:val="FootnoteReference"/>
          <w:sz w:val="28"/>
          <w:szCs w:val="28"/>
        </w:rPr>
        <w:footnoteReference w:id="12"/>
      </w:r>
      <w:r w:rsidR="00F77EE1" w:rsidRPr="007678FA">
        <w:rPr>
          <w:sz w:val="28"/>
          <w:szCs w:val="28"/>
        </w:rPr>
        <w:t xml:space="preserve"> </w:t>
      </w:r>
      <w:r w:rsidR="000F045B">
        <w:rPr>
          <w:sz w:val="28"/>
          <w:szCs w:val="28"/>
        </w:rPr>
        <w:t xml:space="preserve">provides for </w:t>
      </w:r>
      <w:r w:rsidR="00F77EE1" w:rsidRPr="007678FA">
        <w:rPr>
          <w:sz w:val="28"/>
          <w:szCs w:val="28"/>
        </w:rPr>
        <w:t xml:space="preserve">an answering affidavit </w:t>
      </w:r>
      <w:r w:rsidR="000F045B">
        <w:rPr>
          <w:sz w:val="28"/>
          <w:szCs w:val="28"/>
        </w:rPr>
        <w:t xml:space="preserve">to </w:t>
      </w:r>
      <w:r w:rsidR="00F77EE1" w:rsidRPr="007678FA">
        <w:rPr>
          <w:sz w:val="28"/>
          <w:szCs w:val="28"/>
        </w:rPr>
        <w:t>be filed</w:t>
      </w:r>
      <w:r w:rsidR="00504627">
        <w:rPr>
          <w:sz w:val="28"/>
          <w:szCs w:val="28"/>
        </w:rPr>
        <w:t>,</w:t>
      </w:r>
      <w:r w:rsidR="00F77EE1" w:rsidRPr="007678FA">
        <w:rPr>
          <w:sz w:val="28"/>
          <w:szCs w:val="28"/>
        </w:rPr>
        <w:t xml:space="preserve"> </w:t>
      </w:r>
      <w:r w:rsidR="00504627">
        <w:rPr>
          <w:sz w:val="28"/>
          <w:szCs w:val="28"/>
        </w:rPr>
        <w:t>a</w:t>
      </w:r>
      <w:r w:rsidR="00F77EE1" w:rsidRPr="007678FA">
        <w:rPr>
          <w:sz w:val="28"/>
          <w:szCs w:val="28"/>
        </w:rPr>
        <w:t>nd</w:t>
      </w:r>
      <w:r w:rsidR="00504627">
        <w:rPr>
          <w:sz w:val="28"/>
          <w:szCs w:val="28"/>
        </w:rPr>
        <w:t>,</w:t>
      </w:r>
      <w:r w:rsidR="00F77EE1" w:rsidRPr="007678FA">
        <w:rPr>
          <w:sz w:val="28"/>
          <w:szCs w:val="28"/>
        </w:rPr>
        <w:t xml:space="preserve"> a replying affidavit can be filed in  terms of rule 14.</w:t>
      </w:r>
      <w:r w:rsidR="00F77EE1" w:rsidRPr="007678FA">
        <w:rPr>
          <w:rStyle w:val="FootnoteReference"/>
          <w:sz w:val="28"/>
          <w:szCs w:val="28"/>
        </w:rPr>
        <w:footnoteReference w:id="13"/>
      </w:r>
      <w:r w:rsidR="00F77EE1" w:rsidRPr="007678FA">
        <w:rPr>
          <w:sz w:val="28"/>
          <w:szCs w:val="28"/>
        </w:rPr>
        <w:t xml:space="preserve"> </w:t>
      </w:r>
    </w:p>
    <w:p w14:paraId="05517D2D" w14:textId="77777777" w:rsidR="00F77EE1" w:rsidRPr="007678FA" w:rsidRDefault="00F77EE1" w:rsidP="00F77EE1">
      <w:pPr>
        <w:spacing w:line="360" w:lineRule="auto"/>
        <w:jc w:val="both"/>
        <w:rPr>
          <w:sz w:val="28"/>
          <w:szCs w:val="28"/>
        </w:rPr>
      </w:pPr>
    </w:p>
    <w:p w14:paraId="6DF8DA4E" w14:textId="1F944156" w:rsidR="00F77EE1" w:rsidRPr="00F5616D" w:rsidRDefault="00DF0119" w:rsidP="00DF0119">
      <w:pPr>
        <w:spacing w:line="360" w:lineRule="auto"/>
        <w:jc w:val="both"/>
        <w:rPr>
          <w:sz w:val="28"/>
          <w:szCs w:val="28"/>
        </w:rPr>
      </w:pPr>
      <w:r w:rsidRPr="00F5616D">
        <w:rPr>
          <w:sz w:val="28"/>
          <w:szCs w:val="28"/>
        </w:rPr>
        <w:t>[12]</w:t>
      </w:r>
      <w:r w:rsidRPr="00F5616D">
        <w:rPr>
          <w:sz w:val="28"/>
          <w:szCs w:val="28"/>
        </w:rPr>
        <w:tab/>
      </w:r>
      <w:r w:rsidR="000F045B">
        <w:rPr>
          <w:sz w:val="28"/>
          <w:szCs w:val="28"/>
        </w:rPr>
        <w:t xml:space="preserve">Other procedures open to </w:t>
      </w:r>
      <w:r w:rsidR="00076C6A">
        <w:rPr>
          <w:sz w:val="28"/>
          <w:szCs w:val="28"/>
        </w:rPr>
        <w:t>a party</w:t>
      </w:r>
      <w:r w:rsidR="000F045B">
        <w:rPr>
          <w:sz w:val="28"/>
          <w:szCs w:val="28"/>
        </w:rPr>
        <w:t xml:space="preserve"> in the Tribunal include </w:t>
      </w:r>
      <w:r w:rsidR="0091286B">
        <w:rPr>
          <w:sz w:val="28"/>
          <w:szCs w:val="28"/>
        </w:rPr>
        <w:t>r</w:t>
      </w:r>
      <w:r w:rsidR="00F77EE1" w:rsidRPr="007678FA">
        <w:rPr>
          <w:sz w:val="28"/>
          <w:szCs w:val="28"/>
        </w:rPr>
        <w:t xml:space="preserve">ule 15 </w:t>
      </w:r>
      <w:r w:rsidR="000F045B">
        <w:rPr>
          <w:sz w:val="28"/>
          <w:szCs w:val="28"/>
        </w:rPr>
        <w:t xml:space="preserve">which </w:t>
      </w:r>
      <w:r w:rsidR="00F77EE1" w:rsidRPr="007678FA">
        <w:rPr>
          <w:sz w:val="28"/>
          <w:szCs w:val="28"/>
        </w:rPr>
        <w:t>provides for the amendment of documents. It reads:</w:t>
      </w:r>
    </w:p>
    <w:p w14:paraId="7EDBC8C2" w14:textId="18252218" w:rsidR="00F77EE1" w:rsidRPr="007678FA" w:rsidRDefault="00F77EE1" w:rsidP="000F045B">
      <w:pPr>
        <w:pStyle w:val="ListParagraph"/>
        <w:spacing w:line="360" w:lineRule="auto"/>
        <w:ind w:left="0"/>
        <w:jc w:val="both"/>
        <w:rPr>
          <w:lang w:val="en-US"/>
        </w:rPr>
      </w:pPr>
      <w:r w:rsidRPr="007678FA">
        <w:rPr>
          <w:lang w:val="en-US"/>
        </w:rPr>
        <w:t xml:space="preserve">‘(1) An Applicant or Respondent may at any time prior to the conclusion of the hearing of the matter, apply by way of Form TI.r15 for an order authorising an amendment of documents filed in </w:t>
      </w:r>
      <w:r w:rsidRPr="007678FA">
        <w:rPr>
          <w:lang w:val="en-US"/>
        </w:rPr>
        <w:lastRenderedPageBreak/>
        <w:t>connection with the proceedings save that where all parties to the proceedings consent in writing to a proposed amendment, such amendment may be effected by merely delivering the amended documents to the Tribunal and to the parties.</w:t>
      </w:r>
    </w:p>
    <w:p w14:paraId="50B1C65E" w14:textId="77777777" w:rsidR="00F77EE1" w:rsidRPr="007678FA" w:rsidRDefault="00F77EE1" w:rsidP="00F77EE1">
      <w:pPr>
        <w:spacing w:line="360" w:lineRule="auto"/>
        <w:jc w:val="both"/>
        <w:rPr>
          <w:lang w:val="en-US"/>
        </w:rPr>
      </w:pPr>
      <w:r w:rsidRPr="007678FA">
        <w:rPr>
          <w:lang w:val="en-US"/>
        </w:rPr>
        <w:t>(2) A party affected by an amendment may respond within a time allowed by the Tribunal.’</w:t>
      </w:r>
    </w:p>
    <w:p w14:paraId="4F13E2C8" w14:textId="77777777" w:rsidR="00F77EE1" w:rsidRPr="007678FA" w:rsidRDefault="00F77EE1" w:rsidP="00F77EE1">
      <w:pPr>
        <w:spacing w:line="360" w:lineRule="auto"/>
        <w:jc w:val="both"/>
        <w:rPr>
          <w:sz w:val="28"/>
          <w:szCs w:val="28"/>
        </w:rPr>
      </w:pPr>
    </w:p>
    <w:p w14:paraId="08D62DB5" w14:textId="1894CD4A" w:rsidR="007A76D5" w:rsidRPr="007678FA" w:rsidRDefault="00DF0119" w:rsidP="00DF0119">
      <w:pPr>
        <w:spacing w:line="360" w:lineRule="auto"/>
        <w:jc w:val="both"/>
        <w:rPr>
          <w:sz w:val="28"/>
          <w:szCs w:val="28"/>
        </w:rPr>
      </w:pPr>
      <w:r w:rsidRPr="007678FA">
        <w:rPr>
          <w:sz w:val="28"/>
          <w:szCs w:val="28"/>
        </w:rPr>
        <w:t>[13]</w:t>
      </w:r>
      <w:r w:rsidRPr="007678FA">
        <w:rPr>
          <w:sz w:val="28"/>
          <w:szCs w:val="28"/>
        </w:rPr>
        <w:tab/>
      </w:r>
      <w:r w:rsidR="00F77EE1" w:rsidRPr="007678FA">
        <w:rPr>
          <w:sz w:val="28"/>
          <w:szCs w:val="28"/>
        </w:rPr>
        <w:t>In regard to the powers of condonation, s</w:t>
      </w:r>
      <w:r w:rsidR="007A76D5" w:rsidRPr="007678FA">
        <w:rPr>
          <w:sz w:val="28"/>
          <w:szCs w:val="28"/>
        </w:rPr>
        <w:t xml:space="preserve"> 150</w:t>
      </w:r>
      <w:r w:rsidR="00FC06BB" w:rsidRPr="007678FA">
        <w:rPr>
          <w:i/>
          <w:sz w:val="28"/>
          <w:szCs w:val="28"/>
        </w:rPr>
        <w:t>(e)</w:t>
      </w:r>
      <w:r w:rsidR="007A76D5" w:rsidRPr="007678FA">
        <w:rPr>
          <w:sz w:val="28"/>
          <w:szCs w:val="28"/>
        </w:rPr>
        <w:t xml:space="preserve"> of the Act provides:</w:t>
      </w:r>
    </w:p>
    <w:p w14:paraId="0A09C39A" w14:textId="0E3AAA73" w:rsidR="004B7F49" w:rsidRPr="007678FA" w:rsidRDefault="007A76D5" w:rsidP="008C5B84">
      <w:pPr>
        <w:spacing w:line="360" w:lineRule="auto"/>
        <w:jc w:val="both"/>
      </w:pPr>
      <w:r w:rsidRPr="007678FA">
        <w:t>‘</w:t>
      </w:r>
      <w:r w:rsidR="00491E9B" w:rsidRPr="007678FA">
        <w:t>150</w:t>
      </w:r>
      <w:r w:rsidR="00544311" w:rsidRPr="007678FA">
        <w:t xml:space="preserve">. </w:t>
      </w:r>
      <w:r w:rsidR="00491E9B" w:rsidRPr="007678FA">
        <w:t>Orders of Tribunal</w:t>
      </w:r>
    </w:p>
    <w:p w14:paraId="4311F8A7" w14:textId="559B7CDF" w:rsidR="00AE5D3B" w:rsidRPr="007678FA" w:rsidRDefault="00544311" w:rsidP="008C5B84">
      <w:pPr>
        <w:spacing w:line="360" w:lineRule="auto"/>
        <w:jc w:val="both"/>
      </w:pPr>
      <w:r w:rsidRPr="007678FA">
        <w:t xml:space="preserve">In addition to its other powers in terms of this Act, the Tribunal may make an appropriate order in relation to prohibited conduct or required conduct in terms of this Act, or the Consumer Protection Act, 2008, including – </w:t>
      </w:r>
    </w:p>
    <w:p w14:paraId="49126D8C" w14:textId="12382A89" w:rsidR="0081448E" w:rsidRPr="007678FA" w:rsidRDefault="0081448E" w:rsidP="008C5B84">
      <w:pPr>
        <w:spacing w:line="360" w:lineRule="auto"/>
        <w:jc w:val="both"/>
      </w:pPr>
      <w:r w:rsidRPr="007678FA">
        <w:t>…</w:t>
      </w:r>
    </w:p>
    <w:p w14:paraId="6231F536" w14:textId="6399A24C" w:rsidR="004B075D" w:rsidRPr="007678FA" w:rsidRDefault="00FC06BB" w:rsidP="008C5B84">
      <w:pPr>
        <w:pStyle w:val="ListParagraph"/>
        <w:spacing w:line="360" w:lineRule="auto"/>
        <w:ind w:left="0"/>
        <w:jc w:val="both"/>
      </w:pPr>
      <w:r w:rsidRPr="007678FA">
        <w:rPr>
          <w:i/>
        </w:rPr>
        <w:t>(e)</w:t>
      </w:r>
      <w:r w:rsidRPr="007678FA">
        <w:t xml:space="preserve"> </w:t>
      </w:r>
      <w:r w:rsidR="00491E9B" w:rsidRPr="007678FA">
        <w:t>condoning any non</w:t>
      </w:r>
      <w:r w:rsidR="00AE5D3B" w:rsidRPr="007678FA">
        <w:t>-</w:t>
      </w:r>
      <w:r w:rsidR="00491E9B" w:rsidRPr="007678FA">
        <w:softHyphen/>
        <w:t>compliance of its rules and procedures</w:t>
      </w:r>
      <w:r w:rsidR="004B7F49" w:rsidRPr="007678FA">
        <w:t> on good cause shown</w:t>
      </w:r>
      <w:r w:rsidR="004B075D">
        <w:t>. . .</w:t>
      </w:r>
      <w:r w:rsidR="007A76D5" w:rsidRPr="007678FA">
        <w:t>’</w:t>
      </w:r>
    </w:p>
    <w:p w14:paraId="0959C74E" w14:textId="77777777" w:rsidR="006527BA" w:rsidRPr="007678FA" w:rsidRDefault="006527BA" w:rsidP="005C0790">
      <w:pPr>
        <w:pStyle w:val="ListParagraph"/>
        <w:spacing w:line="360" w:lineRule="auto"/>
        <w:ind w:left="0"/>
        <w:jc w:val="both"/>
        <w:rPr>
          <w:sz w:val="28"/>
          <w:szCs w:val="28"/>
        </w:rPr>
      </w:pPr>
    </w:p>
    <w:p w14:paraId="543F9E07" w14:textId="30E692A7" w:rsidR="00491E9B" w:rsidRPr="00DF0119" w:rsidRDefault="00DF0119" w:rsidP="00DF0119">
      <w:pPr>
        <w:spacing w:line="360" w:lineRule="auto"/>
        <w:jc w:val="both"/>
        <w:rPr>
          <w:b/>
          <w:sz w:val="28"/>
          <w:szCs w:val="28"/>
        </w:rPr>
      </w:pPr>
      <w:r w:rsidRPr="007678FA">
        <w:rPr>
          <w:sz w:val="28"/>
          <w:szCs w:val="28"/>
        </w:rPr>
        <w:t>[14]</w:t>
      </w:r>
      <w:r w:rsidRPr="007678FA">
        <w:rPr>
          <w:sz w:val="28"/>
          <w:szCs w:val="28"/>
        </w:rPr>
        <w:tab/>
      </w:r>
      <w:r w:rsidR="00F44D55" w:rsidRPr="00DF0119">
        <w:rPr>
          <w:sz w:val="28"/>
          <w:szCs w:val="28"/>
        </w:rPr>
        <w:t>Rule</w:t>
      </w:r>
      <w:r w:rsidR="00491E9B" w:rsidRPr="00DF0119">
        <w:rPr>
          <w:sz w:val="28"/>
          <w:szCs w:val="28"/>
        </w:rPr>
        <w:t xml:space="preserve"> 3</w:t>
      </w:r>
      <w:r w:rsidR="00F44D55" w:rsidRPr="00DF0119">
        <w:rPr>
          <w:sz w:val="28"/>
          <w:szCs w:val="28"/>
        </w:rPr>
        <w:t xml:space="preserve"> re-iterates,</w:t>
      </w:r>
      <w:r w:rsidR="004F2589" w:rsidRPr="00DF0119">
        <w:rPr>
          <w:sz w:val="28"/>
          <w:szCs w:val="28"/>
        </w:rPr>
        <w:t xml:space="preserve"> in part, s 150</w:t>
      </w:r>
      <w:r w:rsidR="00F44D55" w:rsidRPr="00DF0119">
        <w:rPr>
          <w:sz w:val="28"/>
          <w:szCs w:val="28"/>
        </w:rPr>
        <w:t>.</w:t>
      </w:r>
      <w:r w:rsidR="00491E9B" w:rsidRPr="00DF0119">
        <w:rPr>
          <w:sz w:val="28"/>
          <w:szCs w:val="28"/>
        </w:rPr>
        <w:t xml:space="preserve"> </w:t>
      </w:r>
      <w:r w:rsidR="00F44D55" w:rsidRPr="00DF0119">
        <w:rPr>
          <w:sz w:val="28"/>
          <w:szCs w:val="28"/>
        </w:rPr>
        <w:t xml:space="preserve">It </w:t>
      </w:r>
      <w:r w:rsidR="00491E9B" w:rsidRPr="00DF0119">
        <w:rPr>
          <w:sz w:val="28"/>
          <w:szCs w:val="28"/>
        </w:rPr>
        <w:t>read</w:t>
      </w:r>
      <w:r w:rsidR="00F44D55" w:rsidRPr="00DF0119">
        <w:rPr>
          <w:sz w:val="28"/>
          <w:szCs w:val="28"/>
        </w:rPr>
        <w:t>s:</w:t>
      </w:r>
    </w:p>
    <w:p w14:paraId="279E5035" w14:textId="77777777" w:rsidR="00491E9B" w:rsidRPr="007678FA" w:rsidRDefault="00491E9B" w:rsidP="00EB3944">
      <w:pPr>
        <w:pStyle w:val="FootnoteText"/>
        <w:spacing w:line="360" w:lineRule="auto"/>
        <w:jc w:val="both"/>
        <w:rPr>
          <w:sz w:val="24"/>
          <w:szCs w:val="24"/>
          <w:lang w:val="en-US"/>
        </w:rPr>
      </w:pPr>
      <w:r w:rsidRPr="007678FA">
        <w:rPr>
          <w:sz w:val="24"/>
          <w:szCs w:val="24"/>
          <w:lang w:val="en-US"/>
        </w:rPr>
        <w:t>‘3. Powers of the Tribunal</w:t>
      </w:r>
    </w:p>
    <w:p w14:paraId="7F77B6AD" w14:textId="77777777" w:rsidR="00491E9B" w:rsidRPr="007678FA" w:rsidRDefault="00491E9B" w:rsidP="00FC06BB">
      <w:pPr>
        <w:pStyle w:val="FootnoteText"/>
        <w:spacing w:line="360" w:lineRule="auto"/>
        <w:jc w:val="both"/>
        <w:rPr>
          <w:sz w:val="24"/>
          <w:szCs w:val="24"/>
          <w:lang w:val="en-US"/>
        </w:rPr>
      </w:pPr>
      <w:r w:rsidRPr="007678FA">
        <w:rPr>
          <w:sz w:val="24"/>
          <w:szCs w:val="24"/>
          <w:lang w:val="en-US"/>
        </w:rPr>
        <w:t>…</w:t>
      </w:r>
    </w:p>
    <w:p w14:paraId="2EA7F83F" w14:textId="77777777" w:rsidR="00491E9B" w:rsidRPr="007678FA" w:rsidRDefault="00491E9B" w:rsidP="00FC06BB">
      <w:pPr>
        <w:pStyle w:val="FootnoteText"/>
        <w:spacing w:line="360" w:lineRule="auto"/>
        <w:jc w:val="both"/>
        <w:rPr>
          <w:sz w:val="24"/>
          <w:szCs w:val="24"/>
          <w:lang w:val="en-US"/>
        </w:rPr>
      </w:pPr>
      <w:r w:rsidRPr="007678FA">
        <w:rPr>
          <w:sz w:val="24"/>
          <w:szCs w:val="24"/>
          <w:lang w:val="en-US"/>
        </w:rPr>
        <w:t>(2) The Tribunal may-</w:t>
      </w:r>
    </w:p>
    <w:p w14:paraId="7CEB43DA" w14:textId="77777777" w:rsidR="00491E9B" w:rsidRPr="007678FA" w:rsidRDefault="00491E9B" w:rsidP="00FC06BB">
      <w:pPr>
        <w:pStyle w:val="FootnoteText"/>
        <w:spacing w:line="360" w:lineRule="auto"/>
        <w:jc w:val="both"/>
        <w:rPr>
          <w:sz w:val="24"/>
          <w:szCs w:val="24"/>
          <w:lang w:val="en-US"/>
        </w:rPr>
      </w:pPr>
      <w:r w:rsidRPr="007678FA">
        <w:rPr>
          <w:sz w:val="24"/>
          <w:szCs w:val="24"/>
          <w:lang w:val="en-US"/>
        </w:rPr>
        <w:t>…</w:t>
      </w:r>
    </w:p>
    <w:p w14:paraId="68970086" w14:textId="77777777" w:rsidR="00491E9B" w:rsidRPr="007678FA" w:rsidRDefault="00491E9B" w:rsidP="00FC06BB">
      <w:pPr>
        <w:pStyle w:val="FootnoteText"/>
        <w:spacing w:line="360" w:lineRule="auto"/>
        <w:jc w:val="both"/>
        <w:rPr>
          <w:sz w:val="24"/>
          <w:szCs w:val="24"/>
          <w:lang w:val="en-US"/>
        </w:rPr>
      </w:pPr>
      <w:r w:rsidRPr="007678FA">
        <w:rPr>
          <w:i/>
          <w:iCs/>
          <w:sz w:val="24"/>
          <w:szCs w:val="24"/>
          <w:lang w:val="en-US"/>
        </w:rPr>
        <w:t>(c)</w:t>
      </w:r>
      <w:r w:rsidRPr="007678FA">
        <w:rPr>
          <w:sz w:val="24"/>
          <w:szCs w:val="24"/>
          <w:lang w:val="en-US"/>
        </w:rPr>
        <w:t xml:space="preserve"> consider applications related to an adjudication process-</w:t>
      </w:r>
    </w:p>
    <w:p w14:paraId="03FBF81D" w14:textId="77777777" w:rsidR="00491E9B" w:rsidRPr="007678FA" w:rsidRDefault="00491E9B" w:rsidP="00FC06BB">
      <w:pPr>
        <w:pStyle w:val="FootnoteText"/>
        <w:spacing w:line="360" w:lineRule="auto"/>
        <w:jc w:val="both"/>
        <w:rPr>
          <w:sz w:val="24"/>
          <w:szCs w:val="24"/>
          <w:lang w:val="en-US"/>
        </w:rPr>
      </w:pPr>
      <w:r w:rsidRPr="007678FA">
        <w:rPr>
          <w:sz w:val="24"/>
          <w:szCs w:val="24"/>
          <w:lang w:val="en-US"/>
        </w:rPr>
        <w:t>…</w:t>
      </w:r>
    </w:p>
    <w:p w14:paraId="746A256F" w14:textId="4E3A192E" w:rsidR="00491E9B" w:rsidRPr="007678FA" w:rsidRDefault="00491E9B" w:rsidP="00FC06BB">
      <w:pPr>
        <w:pStyle w:val="FootnoteText"/>
        <w:spacing w:line="360" w:lineRule="auto"/>
        <w:ind w:left="709" w:hanging="720"/>
        <w:jc w:val="both"/>
        <w:rPr>
          <w:sz w:val="24"/>
          <w:szCs w:val="24"/>
          <w:lang w:val="en-US"/>
        </w:rPr>
      </w:pPr>
      <w:r w:rsidRPr="007678FA">
        <w:rPr>
          <w:sz w:val="24"/>
          <w:szCs w:val="24"/>
          <w:lang w:val="en-US"/>
        </w:rPr>
        <w:t>(iv) to condone non-compliance with the rules and proceedings of the Tribunal;</w:t>
      </w:r>
    </w:p>
    <w:p w14:paraId="25E4D619" w14:textId="1B4C480E" w:rsidR="0081448E" w:rsidRPr="007678FA" w:rsidRDefault="0081448E" w:rsidP="008C5B84">
      <w:pPr>
        <w:pStyle w:val="FootnoteText"/>
        <w:spacing w:line="360" w:lineRule="auto"/>
        <w:ind w:left="720" w:hanging="720"/>
        <w:jc w:val="both"/>
        <w:rPr>
          <w:sz w:val="24"/>
          <w:szCs w:val="24"/>
          <w:lang w:val="en-US"/>
        </w:rPr>
      </w:pPr>
      <w:r w:rsidRPr="007678FA">
        <w:rPr>
          <w:sz w:val="24"/>
          <w:szCs w:val="24"/>
          <w:lang w:val="en-US"/>
        </w:rPr>
        <w:t>…</w:t>
      </w:r>
    </w:p>
    <w:p w14:paraId="2A539C91" w14:textId="5E2AF2C2" w:rsidR="000A1F32" w:rsidRDefault="00491E9B" w:rsidP="008C5B84">
      <w:pPr>
        <w:pStyle w:val="FootnoteText"/>
        <w:spacing w:line="360" w:lineRule="auto"/>
        <w:jc w:val="both"/>
        <w:rPr>
          <w:sz w:val="24"/>
          <w:szCs w:val="24"/>
          <w:lang w:val="en-US"/>
        </w:rPr>
      </w:pPr>
      <w:r w:rsidRPr="007678FA">
        <w:rPr>
          <w:sz w:val="24"/>
          <w:szCs w:val="24"/>
          <w:lang w:val="en-US"/>
        </w:rPr>
        <w:t>(vii) relating to other procedural matters</w:t>
      </w:r>
      <w:r w:rsidR="00EE46AE" w:rsidRPr="007678FA">
        <w:rPr>
          <w:sz w:val="24"/>
          <w:szCs w:val="24"/>
          <w:lang w:val="en-US"/>
        </w:rPr>
        <w:t>.</w:t>
      </w:r>
      <w:r w:rsidRPr="007678FA">
        <w:rPr>
          <w:sz w:val="24"/>
          <w:szCs w:val="24"/>
          <w:lang w:val="en-US"/>
        </w:rPr>
        <w:t>’</w:t>
      </w:r>
    </w:p>
    <w:p w14:paraId="30AFEB12" w14:textId="17F42490" w:rsidR="004B075D" w:rsidRPr="007678FA" w:rsidRDefault="004B075D" w:rsidP="008C5B84">
      <w:pPr>
        <w:pStyle w:val="FootnoteText"/>
        <w:spacing w:line="360" w:lineRule="auto"/>
        <w:jc w:val="both"/>
        <w:rPr>
          <w:sz w:val="24"/>
          <w:szCs w:val="24"/>
          <w:lang w:val="en-US"/>
        </w:rPr>
      </w:pPr>
    </w:p>
    <w:p w14:paraId="21FFA55C" w14:textId="4EC2E554" w:rsidR="00F81F13" w:rsidRPr="00F81F13" w:rsidRDefault="00DF0119" w:rsidP="00DF0119">
      <w:pPr>
        <w:pStyle w:val="FootnoteText"/>
        <w:spacing w:line="360" w:lineRule="auto"/>
        <w:jc w:val="both"/>
        <w:rPr>
          <w:sz w:val="28"/>
          <w:szCs w:val="28"/>
          <w:lang w:val="en-US"/>
        </w:rPr>
      </w:pPr>
      <w:r w:rsidRPr="00F81F13">
        <w:rPr>
          <w:sz w:val="28"/>
          <w:szCs w:val="28"/>
          <w:lang w:val="en-US"/>
        </w:rPr>
        <w:t>[15]</w:t>
      </w:r>
      <w:r w:rsidRPr="00F81F13">
        <w:rPr>
          <w:sz w:val="28"/>
          <w:szCs w:val="28"/>
          <w:lang w:val="en-US"/>
        </w:rPr>
        <w:tab/>
      </w:r>
      <w:r w:rsidR="00F81F13" w:rsidRPr="00F81F13">
        <w:rPr>
          <w:color w:val="242121"/>
          <w:sz w:val="28"/>
          <w:szCs w:val="28"/>
          <w:shd w:val="clear" w:color="auto" w:fill="FFFFFF"/>
        </w:rPr>
        <w:t xml:space="preserve">Rule 3 deals with the powers of the Tribunal and gives effect to the provisions of s 145 of the </w:t>
      </w:r>
      <w:r w:rsidR="00F81F13">
        <w:rPr>
          <w:color w:val="242121"/>
          <w:sz w:val="28"/>
          <w:szCs w:val="28"/>
          <w:shd w:val="clear" w:color="auto" w:fill="FFFFFF"/>
        </w:rPr>
        <w:t>Act</w:t>
      </w:r>
      <w:r w:rsidR="004B075D">
        <w:rPr>
          <w:color w:val="242121"/>
          <w:sz w:val="28"/>
          <w:szCs w:val="28"/>
          <w:shd w:val="clear" w:color="auto" w:fill="FFFFFF"/>
        </w:rPr>
        <w:t>,</w:t>
      </w:r>
      <w:r w:rsidR="00F81F13">
        <w:rPr>
          <w:color w:val="242121"/>
          <w:sz w:val="28"/>
          <w:szCs w:val="28"/>
          <w:shd w:val="clear" w:color="auto" w:fill="FFFFFF"/>
        </w:rPr>
        <w:t xml:space="preserve"> which provides </w:t>
      </w:r>
      <w:r w:rsidR="00F81F13">
        <w:rPr>
          <w:sz w:val="28"/>
          <w:szCs w:val="28"/>
        </w:rPr>
        <w:t>for the Rules of procedure. It reads:</w:t>
      </w:r>
    </w:p>
    <w:p w14:paraId="5E43D40C" w14:textId="367054F9" w:rsidR="00F81F13" w:rsidRPr="005C0790" w:rsidRDefault="00F81F13" w:rsidP="000F045B">
      <w:pPr>
        <w:pStyle w:val="ListParagraph"/>
        <w:spacing w:line="360" w:lineRule="auto"/>
        <w:ind w:left="0"/>
        <w:jc w:val="both"/>
        <w:rPr>
          <w:sz w:val="28"/>
          <w:lang w:val="en-US"/>
        </w:rPr>
      </w:pPr>
      <w:r>
        <w:t>‘Subject to the rules of procedure of the Tribunal, the member of the Tribunal presiding at a hearing may determine any matter of procedure for that hearing, </w:t>
      </w:r>
      <w:r w:rsidR="00C05558">
        <w:t>with due</w:t>
      </w:r>
      <w:r>
        <w:t xml:space="preserve"> regard to the circumstances of the case and the requirements of the applicable sections of this Act.’</w:t>
      </w:r>
    </w:p>
    <w:p w14:paraId="0E78B172" w14:textId="77777777" w:rsidR="004B075D" w:rsidRPr="00F81F13" w:rsidRDefault="004B075D" w:rsidP="000F045B">
      <w:pPr>
        <w:pStyle w:val="ListParagraph"/>
        <w:spacing w:line="360" w:lineRule="auto"/>
        <w:ind w:left="0"/>
        <w:jc w:val="both"/>
        <w:rPr>
          <w:sz w:val="28"/>
          <w:szCs w:val="28"/>
          <w:lang w:val="en-US"/>
        </w:rPr>
      </w:pPr>
    </w:p>
    <w:p w14:paraId="0FAB39F3" w14:textId="7FD94F44" w:rsidR="000A1F32" w:rsidRPr="007678FA" w:rsidRDefault="00DF0119" w:rsidP="00DF0119">
      <w:pPr>
        <w:pStyle w:val="FootnoteText"/>
        <w:spacing w:line="360" w:lineRule="auto"/>
        <w:jc w:val="both"/>
        <w:rPr>
          <w:sz w:val="28"/>
          <w:szCs w:val="28"/>
          <w:lang w:val="en-US"/>
        </w:rPr>
      </w:pPr>
      <w:r w:rsidRPr="007678FA">
        <w:rPr>
          <w:sz w:val="28"/>
          <w:szCs w:val="28"/>
          <w:lang w:val="en-US"/>
        </w:rPr>
        <w:t>[16]</w:t>
      </w:r>
      <w:r w:rsidRPr="007678FA">
        <w:rPr>
          <w:sz w:val="28"/>
          <w:szCs w:val="28"/>
          <w:lang w:val="en-US"/>
        </w:rPr>
        <w:tab/>
      </w:r>
      <w:r w:rsidR="00F44D55" w:rsidRPr="007678FA">
        <w:rPr>
          <w:sz w:val="28"/>
          <w:szCs w:val="28"/>
          <w:lang w:val="en-US"/>
        </w:rPr>
        <w:t xml:space="preserve">Rule </w:t>
      </w:r>
      <w:r w:rsidR="0081448E" w:rsidRPr="007678FA">
        <w:rPr>
          <w:sz w:val="28"/>
          <w:szCs w:val="28"/>
          <w:lang w:val="en-US"/>
        </w:rPr>
        <w:t>34</w:t>
      </w:r>
      <w:r w:rsidR="004B075D">
        <w:rPr>
          <w:sz w:val="28"/>
          <w:szCs w:val="28"/>
          <w:lang w:val="en-US"/>
        </w:rPr>
        <w:t>,</w:t>
      </w:r>
      <w:r w:rsidR="00F44D55" w:rsidRPr="007678FA">
        <w:rPr>
          <w:sz w:val="28"/>
          <w:szCs w:val="28"/>
          <w:lang w:val="en-US"/>
        </w:rPr>
        <w:t xml:space="preserve"> </w:t>
      </w:r>
      <w:r w:rsidR="004B075D" w:rsidRPr="007678FA">
        <w:rPr>
          <w:sz w:val="28"/>
          <w:szCs w:val="28"/>
          <w:lang w:val="en-US"/>
        </w:rPr>
        <w:t>in material part</w:t>
      </w:r>
      <w:r w:rsidR="004B075D">
        <w:rPr>
          <w:sz w:val="28"/>
          <w:szCs w:val="28"/>
          <w:lang w:val="en-US"/>
        </w:rPr>
        <w:t>s,</w:t>
      </w:r>
      <w:r w:rsidR="004B075D" w:rsidRPr="007678FA">
        <w:rPr>
          <w:sz w:val="28"/>
          <w:szCs w:val="28"/>
          <w:lang w:val="en-US"/>
        </w:rPr>
        <w:t xml:space="preserve"> </w:t>
      </w:r>
      <w:r w:rsidR="00F44D55" w:rsidRPr="007678FA">
        <w:rPr>
          <w:sz w:val="28"/>
          <w:szCs w:val="28"/>
          <w:lang w:val="en-US"/>
        </w:rPr>
        <w:t>provides</w:t>
      </w:r>
      <w:r w:rsidR="004B075D">
        <w:rPr>
          <w:sz w:val="28"/>
          <w:szCs w:val="28"/>
          <w:lang w:val="en-US"/>
        </w:rPr>
        <w:t xml:space="preserve"> as follows</w:t>
      </w:r>
      <w:r w:rsidR="00F44D55" w:rsidRPr="007678FA">
        <w:rPr>
          <w:sz w:val="28"/>
          <w:szCs w:val="28"/>
          <w:lang w:val="en-US"/>
        </w:rPr>
        <w:t>:</w:t>
      </w:r>
    </w:p>
    <w:p w14:paraId="15A54852" w14:textId="7BE81C5E" w:rsidR="00EE46AE" w:rsidRPr="007678FA" w:rsidRDefault="00EE46AE" w:rsidP="008C5B84">
      <w:pPr>
        <w:spacing w:line="360" w:lineRule="auto"/>
        <w:jc w:val="both"/>
      </w:pPr>
      <w:r w:rsidRPr="007678FA">
        <w:t xml:space="preserve"> </w:t>
      </w:r>
      <w:r w:rsidR="000C3B5A">
        <w:t>‘</w:t>
      </w:r>
      <w:r w:rsidR="00491E9B" w:rsidRPr="007678FA">
        <w:t>34</w:t>
      </w:r>
      <w:r w:rsidRPr="007678FA">
        <w:t xml:space="preserve"> </w:t>
      </w:r>
      <w:r w:rsidR="00491E9B" w:rsidRPr="007678FA">
        <w:t>(1) A party may apply to the tribunal in form TI r.34 for an order to:</w:t>
      </w:r>
    </w:p>
    <w:p w14:paraId="19881B62" w14:textId="3EB044A8" w:rsidR="00491E9B" w:rsidRPr="007678FA" w:rsidRDefault="00EE46AE" w:rsidP="008C5B84">
      <w:pPr>
        <w:spacing w:line="360" w:lineRule="auto"/>
        <w:jc w:val="both"/>
      </w:pPr>
      <w:r w:rsidRPr="007678FA">
        <w:rPr>
          <w:i/>
          <w:iCs/>
        </w:rPr>
        <w:t>…</w:t>
      </w:r>
    </w:p>
    <w:p w14:paraId="343DE7A4" w14:textId="79375C54" w:rsidR="00F44D55" w:rsidRPr="000F045B" w:rsidRDefault="00491E9B" w:rsidP="005C0790">
      <w:pPr>
        <w:spacing w:after="100" w:afterAutospacing="1" w:line="360" w:lineRule="auto"/>
        <w:jc w:val="both"/>
      </w:pPr>
      <w:r w:rsidRPr="000F045B">
        <w:rPr>
          <w:iCs/>
        </w:rPr>
        <w:t>(d)</w:t>
      </w:r>
      <w:r w:rsidRPr="000F045B">
        <w:t xml:space="preserve"> condone any other departure from the rules or procedures.</w:t>
      </w:r>
    </w:p>
    <w:p w14:paraId="31692667" w14:textId="69A1D0EF" w:rsidR="00491E9B" w:rsidRPr="00404453" w:rsidRDefault="00DF0119" w:rsidP="00DF0119">
      <w:pPr>
        <w:tabs>
          <w:tab w:val="left" w:pos="426"/>
        </w:tabs>
        <w:spacing w:line="360" w:lineRule="auto"/>
        <w:jc w:val="both"/>
      </w:pPr>
      <w:r w:rsidRPr="00404453">
        <w:t>(2)</w:t>
      </w:r>
      <w:r w:rsidRPr="00404453">
        <w:tab/>
      </w:r>
      <w:r w:rsidR="00491E9B" w:rsidRPr="007678FA">
        <w:t>The Tribunal may grant the order on good cause shown.’</w:t>
      </w:r>
    </w:p>
    <w:p w14:paraId="44CA2015" w14:textId="560B2C67" w:rsidR="00576A63" w:rsidRPr="00DF0119" w:rsidRDefault="00DF0119" w:rsidP="00DF0119">
      <w:pPr>
        <w:spacing w:line="360" w:lineRule="auto"/>
        <w:jc w:val="both"/>
        <w:rPr>
          <w:sz w:val="28"/>
          <w:szCs w:val="28"/>
        </w:rPr>
      </w:pPr>
      <w:r w:rsidRPr="007678FA">
        <w:rPr>
          <w:sz w:val="28"/>
          <w:szCs w:val="28"/>
        </w:rPr>
        <w:t>[17]</w:t>
      </w:r>
      <w:r w:rsidRPr="007678FA">
        <w:rPr>
          <w:sz w:val="28"/>
          <w:szCs w:val="28"/>
        </w:rPr>
        <w:tab/>
      </w:r>
      <w:r w:rsidR="007D422E" w:rsidRPr="00DF0119">
        <w:rPr>
          <w:sz w:val="28"/>
          <w:szCs w:val="28"/>
        </w:rPr>
        <w:t xml:space="preserve">The Tribunal </w:t>
      </w:r>
      <w:r w:rsidR="00F44D55" w:rsidRPr="00DF0119">
        <w:rPr>
          <w:sz w:val="28"/>
          <w:szCs w:val="28"/>
        </w:rPr>
        <w:t xml:space="preserve">regarded the filing of the supplementary affidavit as a departure from the its </w:t>
      </w:r>
      <w:r w:rsidR="000C3B5A" w:rsidRPr="00DF0119">
        <w:rPr>
          <w:sz w:val="28"/>
          <w:szCs w:val="28"/>
        </w:rPr>
        <w:t>r</w:t>
      </w:r>
      <w:r w:rsidR="00F44D55" w:rsidRPr="00DF0119">
        <w:rPr>
          <w:sz w:val="28"/>
          <w:szCs w:val="28"/>
        </w:rPr>
        <w:t xml:space="preserve">ules and procedures. It </w:t>
      </w:r>
      <w:r w:rsidR="007D422E" w:rsidRPr="00DF0119">
        <w:rPr>
          <w:sz w:val="28"/>
          <w:szCs w:val="28"/>
        </w:rPr>
        <w:t xml:space="preserve">decided that it had </w:t>
      </w:r>
      <w:r w:rsidR="00076C6A" w:rsidRPr="00DF0119">
        <w:rPr>
          <w:sz w:val="28"/>
          <w:szCs w:val="28"/>
        </w:rPr>
        <w:t xml:space="preserve">therefore </w:t>
      </w:r>
      <w:r w:rsidR="007D422E" w:rsidRPr="00DF0119">
        <w:rPr>
          <w:sz w:val="28"/>
          <w:szCs w:val="28"/>
        </w:rPr>
        <w:t xml:space="preserve">the power to grant the application in terms </w:t>
      </w:r>
      <w:r w:rsidR="00EE46AE" w:rsidRPr="00DF0119">
        <w:rPr>
          <w:sz w:val="28"/>
          <w:szCs w:val="28"/>
        </w:rPr>
        <w:t>r</w:t>
      </w:r>
      <w:r w:rsidR="007D422E" w:rsidRPr="00DF0119">
        <w:rPr>
          <w:sz w:val="28"/>
          <w:szCs w:val="28"/>
        </w:rPr>
        <w:t>ule 34(1)</w:t>
      </w:r>
      <w:r w:rsidR="007D422E" w:rsidRPr="00DF0119">
        <w:rPr>
          <w:i/>
          <w:iCs/>
          <w:sz w:val="28"/>
          <w:szCs w:val="28"/>
        </w:rPr>
        <w:t>(d)</w:t>
      </w:r>
      <w:r w:rsidR="007D422E" w:rsidRPr="00DF0119">
        <w:rPr>
          <w:sz w:val="28"/>
          <w:szCs w:val="28"/>
        </w:rPr>
        <w:t xml:space="preserve">, read with </w:t>
      </w:r>
      <w:r w:rsidR="00EE46AE" w:rsidRPr="00DF0119">
        <w:rPr>
          <w:sz w:val="28"/>
          <w:szCs w:val="28"/>
        </w:rPr>
        <w:t>r</w:t>
      </w:r>
      <w:r w:rsidR="007D422E" w:rsidRPr="00DF0119">
        <w:rPr>
          <w:sz w:val="28"/>
          <w:szCs w:val="28"/>
        </w:rPr>
        <w:t>ule 3(2)</w:t>
      </w:r>
      <w:r w:rsidR="007D422E" w:rsidRPr="00DF0119">
        <w:rPr>
          <w:i/>
          <w:sz w:val="28"/>
          <w:szCs w:val="28"/>
        </w:rPr>
        <w:t>(c)</w:t>
      </w:r>
      <w:r w:rsidR="007D422E" w:rsidRPr="00DF0119">
        <w:rPr>
          <w:iCs/>
          <w:sz w:val="28"/>
          <w:szCs w:val="28"/>
        </w:rPr>
        <w:t>(</w:t>
      </w:r>
      <w:r w:rsidR="007D422E" w:rsidRPr="00DF0119">
        <w:rPr>
          <w:sz w:val="28"/>
          <w:szCs w:val="28"/>
        </w:rPr>
        <w:t xml:space="preserve">iv) and (vii). </w:t>
      </w:r>
      <w:r w:rsidR="00576A63" w:rsidRPr="00DF0119">
        <w:rPr>
          <w:sz w:val="28"/>
          <w:szCs w:val="28"/>
        </w:rPr>
        <w:t>It grant</w:t>
      </w:r>
      <w:r w:rsidR="000A1F32" w:rsidRPr="00DF0119">
        <w:rPr>
          <w:sz w:val="28"/>
          <w:szCs w:val="28"/>
        </w:rPr>
        <w:t>ed condonation, finding, in addition,</w:t>
      </w:r>
      <w:r w:rsidR="00576A63" w:rsidRPr="00DF0119">
        <w:rPr>
          <w:sz w:val="28"/>
          <w:szCs w:val="28"/>
        </w:rPr>
        <w:t xml:space="preserve"> that good cause had been shown.</w:t>
      </w:r>
    </w:p>
    <w:p w14:paraId="680D119B" w14:textId="77777777" w:rsidR="00576A63" w:rsidRPr="007678FA" w:rsidRDefault="00576A63" w:rsidP="00576A63">
      <w:pPr>
        <w:pStyle w:val="ListParagraph"/>
        <w:spacing w:line="360" w:lineRule="auto"/>
        <w:ind w:left="0"/>
        <w:jc w:val="both"/>
        <w:rPr>
          <w:sz w:val="28"/>
          <w:szCs w:val="28"/>
        </w:rPr>
      </w:pPr>
    </w:p>
    <w:p w14:paraId="3D438428" w14:textId="7DF344F2" w:rsidR="000C3B5A" w:rsidRPr="007678FA" w:rsidRDefault="00DF0119" w:rsidP="00DF0119">
      <w:pPr>
        <w:spacing w:line="360" w:lineRule="auto"/>
        <w:jc w:val="both"/>
        <w:rPr>
          <w:sz w:val="28"/>
          <w:szCs w:val="28"/>
        </w:rPr>
      </w:pPr>
      <w:r w:rsidRPr="007678FA">
        <w:rPr>
          <w:sz w:val="28"/>
          <w:szCs w:val="28"/>
        </w:rPr>
        <w:t>[18]</w:t>
      </w:r>
      <w:r w:rsidRPr="007678FA">
        <w:rPr>
          <w:sz w:val="28"/>
          <w:szCs w:val="28"/>
        </w:rPr>
        <w:tab/>
      </w:r>
      <w:r w:rsidR="00D946E5">
        <w:rPr>
          <w:sz w:val="28"/>
          <w:szCs w:val="28"/>
        </w:rPr>
        <w:t>The respondents</w:t>
      </w:r>
      <w:r w:rsidR="000A1F32" w:rsidRPr="007678FA">
        <w:rPr>
          <w:sz w:val="28"/>
          <w:szCs w:val="28"/>
        </w:rPr>
        <w:t xml:space="preserve"> launched review proceedings in the high court to set aside the Tribunal’s decision</w:t>
      </w:r>
      <w:r w:rsidR="00F77EE1" w:rsidRPr="007678FA">
        <w:rPr>
          <w:sz w:val="28"/>
          <w:szCs w:val="28"/>
        </w:rPr>
        <w:t>,</w:t>
      </w:r>
      <w:r w:rsidR="000A1F32" w:rsidRPr="007678FA">
        <w:rPr>
          <w:sz w:val="28"/>
          <w:szCs w:val="28"/>
        </w:rPr>
        <w:t xml:space="preserve"> submitting that the Tribunal did not have the power to grant the order that it did and, in any event, good cause was not shown for condonation to be granted.</w:t>
      </w:r>
    </w:p>
    <w:p w14:paraId="519A2AA6" w14:textId="77777777" w:rsidR="000A1F32" w:rsidRPr="00F5616D" w:rsidRDefault="000A1F32" w:rsidP="005C0790">
      <w:pPr>
        <w:spacing w:line="360" w:lineRule="auto"/>
        <w:jc w:val="both"/>
        <w:rPr>
          <w:sz w:val="28"/>
          <w:szCs w:val="28"/>
        </w:rPr>
      </w:pPr>
    </w:p>
    <w:p w14:paraId="7477CBFD" w14:textId="61B87F29" w:rsidR="000C3B5A" w:rsidRPr="007678FA" w:rsidRDefault="00DF0119" w:rsidP="00DF0119">
      <w:pPr>
        <w:spacing w:line="360" w:lineRule="auto"/>
        <w:jc w:val="both"/>
        <w:rPr>
          <w:sz w:val="28"/>
          <w:szCs w:val="28"/>
        </w:rPr>
      </w:pPr>
      <w:r w:rsidRPr="007678FA">
        <w:rPr>
          <w:sz w:val="28"/>
          <w:szCs w:val="28"/>
        </w:rPr>
        <w:t>[19]</w:t>
      </w:r>
      <w:r w:rsidRPr="007678FA">
        <w:rPr>
          <w:sz w:val="28"/>
          <w:szCs w:val="28"/>
        </w:rPr>
        <w:tab/>
      </w:r>
      <w:r w:rsidR="000A1F32" w:rsidRPr="007678FA">
        <w:rPr>
          <w:sz w:val="28"/>
          <w:szCs w:val="28"/>
        </w:rPr>
        <w:t>The high court</w:t>
      </w:r>
      <w:r w:rsidR="000A14CF" w:rsidRPr="007678FA">
        <w:rPr>
          <w:sz w:val="28"/>
          <w:szCs w:val="28"/>
        </w:rPr>
        <w:t xml:space="preserve"> </w:t>
      </w:r>
      <w:r w:rsidR="0037341A" w:rsidRPr="007678FA">
        <w:rPr>
          <w:sz w:val="28"/>
          <w:szCs w:val="28"/>
        </w:rPr>
        <w:t>held that the filing of the</w:t>
      </w:r>
      <w:r w:rsidR="00DF4068" w:rsidRPr="007678FA">
        <w:rPr>
          <w:sz w:val="28"/>
          <w:szCs w:val="28"/>
        </w:rPr>
        <w:t xml:space="preserve"> supplementary affidavit was, in terms of </w:t>
      </w:r>
      <w:r w:rsidR="001D0444" w:rsidRPr="007678FA">
        <w:rPr>
          <w:sz w:val="28"/>
          <w:szCs w:val="28"/>
        </w:rPr>
        <w:t>r</w:t>
      </w:r>
      <w:r w:rsidR="00DF4068" w:rsidRPr="007678FA">
        <w:rPr>
          <w:sz w:val="28"/>
          <w:szCs w:val="28"/>
        </w:rPr>
        <w:t>ule 34(1)</w:t>
      </w:r>
      <w:r w:rsidR="00DF4068" w:rsidRPr="007678FA">
        <w:rPr>
          <w:i/>
          <w:sz w:val="28"/>
          <w:szCs w:val="28"/>
        </w:rPr>
        <w:t>(d</w:t>
      </w:r>
      <w:r w:rsidR="00DF4068" w:rsidRPr="007678FA">
        <w:rPr>
          <w:i/>
          <w:iCs/>
          <w:sz w:val="28"/>
          <w:szCs w:val="28"/>
        </w:rPr>
        <w:t>)</w:t>
      </w:r>
      <w:r w:rsidR="00DF4068" w:rsidRPr="007678FA">
        <w:rPr>
          <w:sz w:val="28"/>
          <w:szCs w:val="28"/>
        </w:rPr>
        <w:t xml:space="preserve">, a departure from the rules and procedures of the Tribunal and that ‘the only circumstance under which such action can be condoned is upon good cause shown.’ </w:t>
      </w:r>
      <w:r w:rsidR="00076C6A">
        <w:rPr>
          <w:sz w:val="28"/>
          <w:szCs w:val="28"/>
        </w:rPr>
        <w:t>But it</w:t>
      </w:r>
      <w:r w:rsidR="00DF4068" w:rsidRPr="007678FA">
        <w:rPr>
          <w:sz w:val="28"/>
          <w:szCs w:val="28"/>
        </w:rPr>
        <w:t xml:space="preserve"> found that because of the </w:t>
      </w:r>
      <w:r w:rsidR="000A14CF" w:rsidRPr="007678FA">
        <w:rPr>
          <w:sz w:val="28"/>
          <w:szCs w:val="28"/>
        </w:rPr>
        <w:t xml:space="preserve">lack of </w:t>
      </w:r>
      <w:r w:rsidR="00F77EE1" w:rsidRPr="007678FA">
        <w:rPr>
          <w:sz w:val="28"/>
          <w:szCs w:val="28"/>
        </w:rPr>
        <w:t xml:space="preserve">a </w:t>
      </w:r>
      <w:r w:rsidR="000A14CF" w:rsidRPr="007678FA">
        <w:rPr>
          <w:sz w:val="28"/>
          <w:szCs w:val="28"/>
        </w:rPr>
        <w:t>detail</w:t>
      </w:r>
      <w:r w:rsidR="00F77EE1" w:rsidRPr="007678FA">
        <w:rPr>
          <w:sz w:val="28"/>
          <w:szCs w:val="28"/>
        </w:rPr>
        <w:t>ed explanation</w:t>
      </w:r>
      <w:r w:rsidR="000A14CF" w:rsidRPr="007678FA">
        <w:rPr>
          <w:sz w:val="28"/>
          <w:szCs w:val="28"/>
        </w:rPr>
        <w:t xml:space="preserve"> relating to the delay,</w:t>
      </w:r>
      <w:r w:rsidR="00DF4068" w:rsidRPr="007678FA">
        <w:rPr>
          <w:sz w:val="28"/>
          <w:szCs w:val="28"/>
        </w:rPr>
        <w:t xml:space="preserve"> good cause had not been shown. It set aside the decision of the Tribunal and remitted it back to the Tribunal to decide whether or not to grant condonation to the NCR for the filing of the supplementary affidavit. Quite what that process would entail, is difficult to comprehend.</w:t>
      </w:r>
    </w:p>
    <w:p w14:paraId="0DFE0D43" w14:textId="77777777" w:rsidR="00DF4068" w:rsidRPr="00F5616D" w:rsidRDefault="00DF4068" w:rsidP="005C0790">
      <w:pPr>
        <w:spacing w:line="360" w:lineRule="auto"/>
        <w:jc w:val="both"/>
        <w:rPr>
          <w:sz w:val="28"/>
          <w:szCs w:val="28"/>
        </w:rPr>
      </w:pPr>
    </w:p>
    <w:p w14:paraId="445BD253" w14:textId="3AEAEDFB" w:rsidR="0024448B" w:rsidRDefault="00DF0119" w:rsidP="00DF0119">
      <w:pPr>
        <w:spacing w:line="360" w:lineRule="auto"/>
        <w:jc w:val="both"/>
        <w:rPr>
          <w:sz w:val="28"/>
          <w:szCs w:val="28"/>
        </w:rPr>
      </w:pPr>
      <w:r>
        <w:rPr>
          <w:sz w:val="28"/>
          <w:szCs w:val="28"/>
        </w:rPr>
        <w:lastRenderedPageBreak/>
        <w:t>[20]</w:t>
      </w:r>
      <w:r>
        <w:rPr>
          <w:sz w:val="28"/>
          <w:szCs w:val="28"/>
        </w:rPr>
        <w:tab/>
      </w:r>
      <w:r w:rsidR="00F77EE1" w:rsidRPr="007678FA">
        <w:rPr>
          <w:sz w:val="28"/>
          <w:szCs w:val="28"/>
        </w:rPr>
        <w:t>In this Court</w:t>
      </w:r>
      <w:r w:rsidR="000F045B">
        <w:rPr>
          <w:sz w:val="28"/>
          <w:szCs w:val="28"/>
        </w:rPr>
        <w:t>,</w:t>
      </w:r>
      <w:r w:rsidR="00F77EE1" w:rsidRPr="007678FA">
        <w:rPr>
          <w:sz w:val="28"/>
          <w:szCs w:val="28"/>
        </w:rPr>
        <w:t xml:space="preserve"> </w:t>
      </w:r>
      <w:r w:rsidR="005F566D" w:rsidRPr="007678FA">
        <w:rPr>
          <w:sz w:val="28"/>
          <w:szCs w:val="28"/>
        </w:rPr>
        <w:t>there wa</w:t>
      </w:r>
      <w:r w:rsidR="0037341A" w:rsidRPr="007678FA">
        <w:rPr>
          <w:sz w:val="28"/>
          <w:szCs w:val="28"/>
        </w:rPr>
        <w:t xml:space="preserve">s no appearance on </w:t>
      </w:r>
      <w:r w:rsidR="00D946E5">
        <w:rPr>
          <w:sz w:val="28"/>
          <w:szCs w:val="28"/>
        </w:rPr>
        <w:t>the respondents</w:t>
      </w:r>
      <w:r w:rsidR="00B15CE2">
        <w:rPr>
          <w:sz w:val="28"/>
          <w:szCs w:val="28"/>
        </w:rPr>
        <w:t>’</w:t>
      </w:r>
      <w:r w:rsidR="00F77EE1" w:rsidRPr="007678FA">
        <w:rPr>
          <w:sz w:val="28"/>
          <w:szCs w:val="28"/>
        </w:rPr>
        <w:t xml:space="preserve"> </w:t>
      </w:r>
      <w:r w:rsidR="0037341A" w:rsidRPr="007678FA">
        <w:rPr>
          <w:sz w:val="28"/>
          <w:szCs w:val="28"/>
        </w:rPr>
        <w:t xml:space="preserve">behalf at the hearing. </w:t>
      </w:r>
      <w:r w:rsidR="00F77EE1" w:rsidRPr="007678FA">
        <w:rPr>
          <w:sz w:val="28"/>
          <w:szCs w:val="28"/>
        </w:rPr>
        <w:t>It had</w:t>
      </w:r>
      <w:r w:rsidR="000C3B5A">
        <w:rPr>
          <w:sz w:val="28"/>
          <w:szCs w:val="28"/>
        </w:rPr>
        <w:t>,</w:t>
      </w:r>
      <w:r w:rsidR="00F77EE1" w:rsidRPr="007678FA">
        <w:rPr>
          <w:sz w:val="28"/>
          <w:szCs w:val="28"/>
        </w:rPr>
        <w:t xml:space="preserve"> however</w:t>
      </w:r>
      <w:r w:rsidR="000C3B5A">
        <w:rPr>
          <w:sz w:val="28"/>
          <w:szCs w:val="28"/>
        </w:rPr>
        <w:t>,</w:t>
      </w:r>
      <w:r w:rsidR="00F77EE1" w:rsidRPr="007678FA">
        <w:rPr>
          <w:sz w:val="28"/>
          <w:szCs w:val="28"/>
        </w:rPr>
        <w:t xml:space="preserve"> filed heads of argument in which it </w:t>
      </w:r>
      <w:r w:rsidR="001B0AEF">
        <w:rPr>
          <w:sz w:val="28"/>
          <w:szCs w:val="28"/>
        </w:rPr>
        <w:t>again</w:t>
      </w:r>
      <w:r w:rsidR="00F77EE1" w:rsidRPr="007678FA">
        <w:rPr>
          <w:sz w:val="28"/>
          <w:szCs w:val="28"/>
        </w:rPr>
        <w:t xml:space="preserve"> </w:t>
      </w:r>
      <w:r w:rsidR="00F64851" w:rsidRPr="007678FA">
        <w:rPr>
          <w:sz w:val="28"/>
          <w:szCs w:val="28"/>
        </w:rPr>
        <w:t xml:space="preserve">submitted that the </w:t>
      </w:r>
      <w:r w:rsidR="00721765" w:rsidRPr="007678FA">
        <w:rPr>
          <w:sz w:val="28"/>
          <w:szCs w:val="28"/>
        </w:rPr>
        <w:t>Tribunal</w:t>
      </w:r>
      <w:r w:rsidR="000C3B5A">
        <w:rPr>
          <w:sz w:val="28"/>
          <w:szCs w:val="28"/>
        </w:rPr>
        <w:t>,</w:t>
      </w:r>
      <w:r w:rsidR="00F64851" w:rsidRPr="007678FA">
        <w:rPr>
          <w:sz w:val="28"/>
          <w:szCs w:val="28"/>
        </w:rPr>
        <w:t xml:space="preserve"> </w:t>
      </w:r>
      <w:r w:rsidR="000F045B">
        <w:rPr>
          <w:sz w:val="28"/>
          <w:szCs w:val="28"/>
        </w:rPr>
        <w:t>as</w:t>
      </w:r>
      <w:r w:rsidR="00A94251" w:rsidRPr="007678FA">
        <w:rPr>
          <w:sz w:val="28"/>
          <w:szCs w:val="28"/>
        </w:rPr>
        <w:t xml:space="preserve"> a creature of statute</w:t>
      </w:r>
      <w:r w:rsidR="000C3B5A">
        <w:rPr>
          <w:sz w:val="28"/>
          <w:szCs w:val="28"/>
        </w:rPr>
        <w:t>,</w:t>
      </w:r>
      <w:r w:rsidR="00A94251" w:rsidRPr="007678FA">
        <w:rPr>
          <w:sz w:val="28"/>
          <w:szCs w:val="28"/>
        </w:rPr>
        <w:t xml:space="preserve"> </w:t>
      </w:r>
      <w:r w:rsidR="00F64851" w:rsidRPr="007678FA">
        <w:rPr>
          <w:sz w:val="28"/>
          <w:szCs w:val="28"/>
        </w:rPr>
        <w:t>cannot determi</w:t>
      </w:r>
      <w:r w:rsidR="00507BCE" w:rsidRPr="007678FA">
        <w:rPr>
          <w:sz w:val="28"/>
          <w:szCs w:val="28"/>
        </w:rPr>
        <w:t xml:space="preserve">ne its own procedures. It </w:t>
      </w:r>
      <w:r w:rsidR="004B3E75" w:rsidRPr="007678FA">
        <w:rPr>
          <w:sz w:val="28"/>
          <w:szCs w:val="28"/>
        </w:rPr>
        <w:t xml:space="preserve">contended </w:t>
      </w:r>
      <w:r w:rsidR="009A54CD" w:rsidRPr="007678FA">
        <w:rPr>
          <w:sz w:val="28"/>
          <w:szCs w:val="28"/>
        </w:rPr>
        <w:t>that the</w:t>
      </w:r>
      <w:r w:rsidR="00F64851" w:rsidRPr="007678FA">
        <w:rPr>
          <w:sz w:val="28"/>
          <w:szCs w:val="28"/>
        </w:rPr>
        <w:t xml:space="preserve"> fi</w:t>
      </w:r>
      <w:r w:rsidR="00A94251" w:rsidRPr="007678FA">
        <w:rPr>
          <w:sz w:val="28"/>
          <w:szCs w:val="28"/>
        </w:rPr>
        <w:t>ling of a supplementary</w:t>
      </w:r>
      <w:r w:rsidR="00F64851" w:rsidRPr="007678FA">
        <w:rPr>
          <w:sz w:val="28"/>
          <w:szCs w:val="28"/>
        </w:rPr>
        <w:t xml:space="preserve"> affidavit is not </w:t>
      </w:r>
      <w:r w:rsidR="009A54CD" w:rsidRPr="007678FA">
        <w:rPr>
          <w:sz w:val="28"/>
          <w:szCs w:val="28"/>
        </w:rPr>
        <w:t xml:space="preserve">provided for under </w:t>
      </w:r>
      <w:r w:rsidR="001D0444" w:rsidRPr="007678FA">
        <w:rPr>
          <w:sz w:val="28"/>
          <w:szCs w:val="28"/>
        </w:rPr>
        <w:t>r</w:t>
      </w:r>
      <w:r w:rsidR="009A54CD" w:rsidRPr="007678FA">
        <w:rPr>
          <w:sz w:val="28"/>
          <w:szCs w:val="28"/>
        </w:rPr>
        <w:t>ule 34</w:t>
      </w:r>
      <w:r w:rsidR="0024448B" w:rsidRPr="007678FA">
        <w:rPr>
          <w:sz w:val="28"/>
          <w:szCs w:val="28"/>
        </w:rPr>
        <w:t xml:space="preserve">, and was not merely ‘a departure from the rules or procedures’, but a process involving the inclusion of additional evidence. It is therefore not covered by </w:t>
      </w:r>
      <w:r w:rsidR="001D0444" w:rsidRPr="007678FA">
        <w:rPr>
          <w:sz w:val="28"/>
          <w:szCs w:val="28"/>
        </w:rPr>
        <w:t>r</w:t>
      </w:r>
      <w:r w:rsidR="0024448B" w:rsidRPr="007678FA">
        <w:rPr>
          <w:sz w:val="28"/>
          <w:szCs w:val="28"/>
        </w:rPr>
        <w:t xml:space="preserve">ule 3, but rather by </w:t>
      </w:r>
      <w:r w:rsidR="001D0444" w:rsidRPr="007678FA">
        <w:rPr>
          <w:sz w:val="28"/>
          <w:szCs w:val="28"/>
        </w:rPr>
        <w:t>r</w:t>
      </w:r>
      <w:r w:rsidR="0024448B" w:rsidRPr="007678FA">
        <w:rPr>
          <w:sz w:val="28"/>
          <w:szCs w:val="28"/>
        </w:rPr>
        <w:t xml:space="preserve">ule 10, which provides that for matters not listed in </w:t>
      </w:r>
      <w:r w:rsidR="001D0444" w:rsidRPr="007678FA">
        <w:rPr>
          <w:sz w:val="28"/>
          <w:szCs w:val="28"/>
        </w:rPr>
        <w:t>r</w:t>
      </w:r>
      <w:r w:rsidR="0024448B" w:rsidRPr="007678FA">
        <w:rPr>
          <w:sz w:val="28"/>
          <w:szCs w:val="28"/>
        </w:rPr>
        <w:t xml:space="preserve">ule 3, or otherwise provided for in the </w:t>
      </w:r>
      <w:r w:rsidR="001D0444" w:rsidRPr="007678FA">
        <w:rPr>
          <w:sz w:val="28"/>
          <w:szCs w:val="28"/>
        </w:rPr>
        <w:t>r</w:t>
      </w:r>
      <w:r w:rsidR="0024448B" w:rsidRPr="007678FA">
        <w:rPr>
          <w:sz w:val="28"/>
          <w:szCs w:val="28"/>
        </w:rPr>
        <w:t>ules, an application to the high court for a declaratory order was required.</w:t>
      </w:r>
      <w:r w:rsidR="0024448B" w:rsidRPr="007678FA">
        <w:rPr>
          <w:rStyle w:val="FootnoteReference"/>
          <w:sz w:val="28"/>
          <w:szCs w:val="28"/>
        </w:rPr>
        <w:footnoteReference w:id="14"/>
      </w:r>
    </w:p>
    <w:p w14:paraId="1C071BF6" w14:textId="77777777" w:rsidR="000C3B5A" w:rsidRPr="005C0790" w:rsidRDefault="000C3B5A" w:rsidP="005C0790">
      <w:pPr>
        <w:pStyle w:val="ListParagraph"/>
        <w:rPr>
          <w:b/>
          <w:sz w:val="28"/>
        </w:rPr>
      </w:pPr>
    </w:p>
    <w:p w14:paraId="3AD0E1D3" w14:textId="1E541DC7" w:rsidR="00E67B06" w:rsidRPr="00E67B06" w:rsidRDefault="00E67B06" w:rsidP="00E67B06">
      <w:pPr>
        <w:spacing w:line="360" w:lineRule="auto"/>
        <w:jc w:val="both"/>
        <w:rPr>
          <w:b/>
          <w:sz w:val="28"/>
          <w:szCs w:val="28"/>
        </w:rPr>
      </w:pPr>
      <w:r w:rsidRPr="00E67B06">
        <w:rPr>
          <w:b/>
          <w:sz w:val="28"/>
          <w:szCs w:val="28"/>
        </w:rPr>
        <w:t>Analysis</w:t>
      </w:r>
    </w:p>
    <w:p w14:paraId="4E15C6EE" w14:textId="278F2E2B" w:rsidR="00E76ADB" w:rsidRPr="00F81F13" w:rsidRDefault="00DF0119" w:rsidP="00DF0119">
      <w:pPr>
        <w:spacing w:line="360" w:lineRule="auto"/>
        <w:jc w:val="both"/>
        <w:rPr>
          <w:sz w:val="28"/>
          <w:szCs w:val="28"/>
        </w:rPr>
      </w:pPr>
      <w:r w:rsidRPr="00F81F13">
        <w:rPr>
          <w:sz w:val="28"/>
          <w:szCs w:val="28"/>
        </w:rPr>
        <w:t>[21]</w:t>
      </w:r>
      <w:r w:rsidRPr="00F81F13">
        <w:rPr>
          <w:sz w:val="28"/>
          <w:szCs w:val="28"/>
        </w:rPr>
        <w:tab/>
      </w:r>
      <w:r w:rsidR="00F03A51">
        <w:rPr>
          <w:sz w:val="28"/>
          <w:szCs w:val="28"/>
        </w:rPr>
        <w:t>I</w:t>
      </w:r>
      <w:r w:rsidR="00F77EE1" w:rsidRPr="00F81F13">
        <w:rPr>
          <w:sz w:val="28"/>
          <w:szCs w:val="28"/>
        </w:rPr>
        <w:t xml:space="preserve">n </w:t>
      </w:r>
      <w:r w:rsidR="00F77EE1" w:rsidRPr="00F81F13">
        <w:rPr>
          <w:i/>
          <w:iCs/>
          <w:sz w:val="28"/>
          <w:szCs w:val="28"/>
          <w:shd w:val="clear" w:color="auto" w:fill="FFFFFF"/>
        </w:rPr>
        <w:t xml:space="preserve">Lewis Stores (Pty) Ltd v Summit Financial Partners (Pty) Ltd and Others </w:t>
      </w:r>
      <w:r w:rsidR="00F77EE1" w:rsidRPr="00F81F13">
        <w:rPr>
          <w:iCs/>
          <w:sz w:val="28"/>
          <w:szCs w:val="28"/>
          <w:shd w:val="clear" w:color="auto" w:fill="FFFFFF"/>
        </w:rPr>
        <w:t>(</w:t>
      </w:r>
      <w:r w:rsidR="00F77EE1" w:rsidRPr="00F81F13">
        <w:rPr>
          <w:i/>
          <w:iCs/>
          <w:sz w:val="28"/>
          <w:szCs w:val="28"/>
          <w:shd w:val="clear" w:color="auto" w:fill="FFFFFF"/>
        </w:rPr>
        <w:t>Lewis</w:t>
      </w:r>
      <w:r w:rsidR="00F77EE1" w:rsidRPr="00F81F13">
        <w:rPr>
          <w:iCs/>
          <w:sz w:val="28"/>
          <w:szCs w:val="28"/>
          <w:shd w:val="clear" w:color="auto" w:fill="FFFFFF"/>
        </w:rPr>
        <w:t>),</w:t>
      </w:r>
      <w:r w:rsidR="00F77EE1" w:rsidRPr="007678FA">
        <w:rPr>
          <w:rStyle w:val="FootnoteReference"/>
          <w:iCs/>
          <w:sz w:val="28"/>
          <w:szCs w:val="28"/>
          <w:shd w:val="clear" w:color="auto" w:fill="FFFFFF"/>
        </w:rPr>
        <w:footnoteReference w:id="15"/>
      </w:r>
      <w:r w:rsidR="00F77EE1" w:rsidRPr="00F81F13">
        <w:rPr>
          <w:iCs/>
          <w:sz w:val="28"/>
          <w:szCs w:val="28"/>
          <w:shd w:val="clear" w:color="auto" w:fill="FFFFFF"/>
        </w:rPr>
        <w:t xml:space="preserve"> this Court held that t</w:t>
      </w:r>
      <w:r w:rsidR="00F77EE1" w:rsidRPr="00F81F13">
        <w:rPr>
          <w:sz w:val="28"/>
          <w:szCs w:val="28"/>
        </w:rPr>
        <w:t xml:space="preserve">he Act </w:t>
      </w:r>
      <w:r w:rsidR="00F77EE1" w:rsidRPr="00F81F13">
        <w:rPr>
          <w:color w:val="242121"/>
          <w:sz w:val="28"/>
          <w:szCs w:val="28"/>
          <w:shd w:val="clear" w:color="auto" w:fill="FFFFFF"/>
        </w:rPr>
        <w:t xml:space="preserve">provides for an ‘expeditious, informal and cost-effective complaints procedure’. </w:t>
      </w:r>
      <w:r w:rsidR="00F77EE1" w:rsidRPr="00F81F13">
        <w:rPr>
          <w:sz w:val="28"/>
          <w:szCs w:val="28"/>
        </w:rPr>
        <w:t xml:space="preserve">Part D of chapter 7 of the Act relates to the consideration by the Tribunal of ‘complaints, applications and referrals’. Section 142 of the Act sets out the powers and obligations of the Tribunal in conducting a hearing. </w:t>
      </w:r>
      <w:r w:rsidR="00773EC3">
        <w:rPr>
          <w:sz w:val="28"/>
          <w:szCs w:val="28"/>
        </w:rPr>
        <w:t>It states that the Tribunal</w:t>
      </w:r>
      <w:r w:rsidR="00F77EE1" w:rsidRPr="00F81F13">
        <w:rPr>
          <w:sz w:val="28"/>
          <w:szCs w:val="28"/>
        </w:rPr>
        <w:t xml:space="preserve"> is required to </w:t>
      </w:r>
      <w:r w:rsidR="00773EC3">
        <w:rPr>
          <w:sz w:val="28"/>
          <w:szCs w:val="28"/>
        </w:rPr>
        <w:t>conduct hearings</w:t>
      </w:r>
      <w:r w:rsidR="00F77EE1" w:rsidRPr="00F81F13">
        <w:rPr>
          <w:sz w:val="28"/>
          <w:szCs w:val="28"/>
        </w:rPr>
        <w:t xml:space="preserve"> in public, in an inquisitorial manner, as expeditiously and informally as possible</w:t>
      </w:r>
      <w:r w:rsidR="00773EC3">
        <w:rPr>
          <w:sz w:val="28"/>
          <w:szCs w:val="28"/>
        </w:rPr>
        <w:t>,</w:t>
      </w:r>
      <w:r w:rsidR="00F77EE1" w:rsidRPr="00F81F13">
        <w:rPr>
          <w:sz w:val="28"/>
          <w:szCs w:val="28"/>
        </w:rPr>
        <w:t xml:space="preserve"> and in accordance with the rules of natural justice.</w:t>
      </w:r>
      <w:r w:rsidR="00F77EE1" w:rsidRPr="007678FA">
        <w:rPr>
          <w:rStyle w:val="FootnoteReference"/>
          <w:sz w:val="28"/>
          <w:szCs w:val="28"/>
        </w:rPr>
        <w:footnoteReference w:id="16"/>
      </w:r>
      <w:r w:rsidR="00F77EE1" w:rsidRPr="00F81F13">
        <w:rPr>
          <w:sz w:val="28"/>
          <w:szCs w:val="28"/>
        </w:rPr>
        <w:t xml:space="preserve"> </w:t>
      </w:r>
    </w:p>
    <w:p w14:paraId="33FDC1F0" w14:textId="77777777" w:rsidR="00E76ADB" w:rsidRPr="007678FA" w:rsidRDefault="00E76ADB" w:rsidP="00E76ADB">
      <w:pPr>
        <w:spacing w:line="360" w:lineRule="auto"/>
        <w:jc w:val="both"/>
        <w:rPr>
          <w:sz w:val="28"/>
          <w:szCs w:val="28"/>
        </w:rPr>
      </w:pPr>
    </w:p>
    <w:p w14:paraId="617453AB" w14:textId="74742A7F" w:rsidR="008C5B84" w:rsidRPr="00DF0119" w:rsidRDefault="00DF0119" w:rsidP="00DF0119">
      <w:pPr>
        <w:spacing w:line="360" w:lineRule="auto"/>
        <w:jc w:val="both"/>
        <w:rPr>
          <w:sz w:val="28"/>
          <w:szCs w:val="28"/>
        </w:rPr>
      </w:pPr>
      <w:r w:rsidRPr="007678FA">
        <w:rPr>
          <w:sz w:val="28"/>
          <w:szCs w:val="28"/>
        </w:rPr>
        <w:lastRenderedPageBreak/>
        <w:t>[22]</w:t>
      </w:r>
      <w:r w:rsidRPr="007678FA">
        <w:rPr>
          <w:sz w:val="28"/>
          <w:szCs w:val="28"/>
        </w:rPr>
        <w:tab/>
      </w:r>
      <w:r w:rsidR="009A0D76" w:rsidRPr="00DF0119">
        <w:rPr>
          <w:sz w:val="28"/>
          <w:szCs w:val="28"/>
        </w:rPr>
        <w:t>The</w:t>
      </w:r>
      <w:r w:rsidR="00C159E3" w:rsidRPr="00DF0119">
        <w:rPr>
          <w:sz w:val="28"/>
          <w:szCs w:val="28"/>
        </w:rPr>
        <w:t xml:space="preserve"> approach adopted </w:t>
      </w:r>
      <w:r w:rsidR="00773EC3" w:rsidRPr="00DF0119">
        <w:rPr>
          <w:sz w:val="28"/>
          <w:szCs w:val="28"/>
        </w:rPr>
        <w:t xml:space="preserve">by </w:t>
      </w:r>
      <w:r w:rsidR="00C159E3" w:rsidRPr="00DF0119">
        <w:rPr>
          <w:sz w:val="28"/>
          <w:szCs w:val="28"/>
        </w:rPr>
        <w:t xml:space="preserve">the Competition Tribunal in </w:t>
      </w:r>
      <w:r w:rsidR="00C159E3" w:rsidRPr="00DF0119">
        <w:rPr>
          <w:i/>
          <w:sz w:val="28"/>
          <w:szCs w:val="28"/>
        </w:rPr>
        <w:t>The Competition Commission v South African Airways</w:t>
      </w:r>
      <w:r w:rsidR="009A0D76" w:rsidRPr="00DF0119">
        <w:rPr>
          <w:sz w:val="28"/>
          <w:szCs w:val="28"/>
        </w:rPr>
        <w:t xml:space="preserve"> was as follows</w:t>
      </w:r>
      <w:r w:rsidR="00133578" w:rsidRPr="00DF0119">
        <w:rPr>
          <w:sz w:val="28"/>
          <w:szCs w:val="28"/>
        </w:rPr>
        <w:t>:</w:t>
      </w:r>
      <w:r w:rsidR="00773EC3">
        <w:rPr>
          <w:rStyle w:val="FootnoteReference"/>
          <w:sz w:val="28"/>
          <w:szCs w:val="28"/>
        </w:rPr>
        <w:footnoteReference w:id="17"/>
      </w:r>
      <w:r w:rsidR="00C159E3" w:rsidRPr="00DF0119">
        <w:rPr>
          <w:sz w:val="28"/>
          <w:szCs w:val="28"/>
        </w:rPr>
        <w:t xml:space="preserve"> </w:t>
      </w:r>
    </w:p>
    <w:p w14:paraId="46BAB318" w14:textId="77777777" w:rsidR="008C5B84" w:rsidRPr="0012413C" w:rsidRDefault="008C5B84" w:rsidP="008C5B84">
      <w:pPr>
        <w:spacing w:line="360" w:lineRule="auto"/>
        <w:jc w:val="both"/>
        <w:rPr>
          <w:snapToGrid w:val="0"/>
          <w:color w:val="000000"/>
        </w:rPr>
      </w:pPr>
      <w:r w:rsidRPr="005C0790">
        <w:rPr>
          <w:sz w:val="28"/>
        </w:rPr>
        <w:t>‘</w:t>
      </w:r>
      <w:r w:rsidRPr="0012413C">
        <w:rPr>
          <w:snapToGrid w:val="0"/>
          <w:color w:val="000000"/>
        </w:rPr>
        <w:t xml:space="preserve">The Tribunal is a creature of a particular statute that has as its principal objective the protection of the public from anti-competitive conduct. This reality accounts for certain of the powers given us by the legislature including our inquisitorial power and it animates our approach to a range of simple and complex matters including the status of pleadings before us. </w:t>
      </w:r>
      <w:r w:rsidRPr="00773EC3">
        <w:rPr>
          <w:i/>
          <w:snapToGrid w:val="0"/>
          <w:color w:val="000000"/>
        </w:rPr>
        <w:t>In short it ensures that we adopt, if anything, a more flexible approach to the pleadings before us than would the High Court in a civil matter</w:t>
      </w:r>
      <w:r w:rsidRPr="00773EC3">
        <w:rPr>
          <w:snapToGrid w:val="0"/>
          <w:color w:val="000000"/>
        </w:rPr>
        <w:t>. We are not refereeing a conflict between two private rivals; we are securing the objectives of the Competition Act. We are not refereeing a conflict between two private rivals; we are securing the objectives of the Competition Act.’</w:t>
      </w:r>
      <w:r w:rsidRPr="0012413C">
        <w:rPr>
          <w:rStyle w:val="FootnoteReference"/>
          <w:snapToGrid w:val="0"/>
          <w:color w:val="000000"/>
        </w:rPr>
        <w:footnoteReference w:id="18"/>
      </w:r>
      <w:r w:rsidRPr="0012413C">
        <w:rPr>
          <w:snapToGrid w:val="0"/>
          <w:color w:val="000000"/>
        </w:rPr>
        <w:t>(Emphasis added.)</w:t>
      </w:r>
    </w:p>
    <w:p w14:paraId="03756FBF" w14:textId="77777777" w:rsidR="008C5B84" w:rsidRPr="007678FA" w:rsidRDefault="008C5B84" w:rsidP="008C5B84">
      <w:pPr>
        <w:spacing w:line="360" w:lineRule="auto"/>
        <w:jc w:val="both"/>
        <w:rPr>
          <w:snapToGrid w:val="0"/>
          <w:color w:val="000000"/>
        </w:rPr>
      </w:pPr>
    </w:p>
    <w:p w14:paraId="634048D4" w14:textId="475F2625" w:rsidR="008C5B84" w:rsidRPr="00DF0119" w:rsidRDefault="00DF0119" w:rsidP="00DF0119">
      <w:pPr>
        <w:spacing w:line="360" w:lineRule="auto"/>
        <w:jc w:val="both"/>
        <w:rPr>
          <w:sz w:val="28"/>
          <w:szCs w:val="28"/>
        </w:rPr>
      </w:pPr>
      <w:r w:rsidRPr="00012A0D">
        <w:rPr>
          <w:sz w:val="28"/>
          <w:szCs w:val="28"/>
        </w:rPr>
        <w:t>[23]</w:t>
      </w:r>
      <w:r w:rsidRPr="00012A0D">
        <w:rPr>
          <w:sz w:val="28"/>
          <w:szCs w:val="28"/>
        </w:rPr>
        <w:tab/>
      </w:r>
      <w:r w:rsidR="00C159E3" w:rsidRPr="00DF0119">
        <w:rPr>
          <w:sz w:val="28"/>
          <w:szCs w:val="28"/>
        </w:rPr>
        <w:t>In</w:t>
      </w:r>
      <w:r w:rsidR="00C159E3" w:rsidRPr="00DF0119">
        <w:rPr>
          <w:snapToGrid w:val="0"/>
          <w:color w:val="000000"/>
          <w:sz w:val="28"/>
          <w:szCs w:val="28"/>
        </w:rPr>
        <w:t xml:space="preserve"> </w:t>
      </w:r>
      <w:r w:rsidR="001B0AEF" w:rsidRPr="00DF0119">
        <w:rPr>
          <w:snapToGrid w:val="0"/>
          <w:color w:val="000000"/>
          <w:sz w:val="28"/>
          <w:szCs w:val="28"/>
        </w:rPr>
        <w:t>my view,</w:t>
      </w:r>
      <w:r w:rsidR="00A537CB" w:rsidRPr="00DF0119">
        <w:rPr>
          <w:snapToGrid w:val="0"/>
          <w:color w:val="000000"/>
          <w:sz w:val="28"/>
          <w:szCs w:val="28"/>
        </w:rPr>
        <w:t xml:space="preserve"> </w:t>
      </w:r>
      <w:r w:rsidR="001B0AEF" w:rsidRPr="00DF0119">
        <w:rPr>
          <w:snapToGrid w:val="0"/>
          <w:color w:val="000000"/>
          <w:sz w:val="28"/>
          <w:szCs w:val="28"/>
        </w:rPr>
        <w:t>the informality of the process</w:t>
      </w:r>
      <w:r w:rsidR="00A537CB" w:rsidRPr="00DF0119">
        <w:rPr>
          <w:snapToGrid w:val="0"/>
          <w:color w:val="000000"/>
          <w:sz w:val="28"/>
          <w:szCs w:val="28"/>
        </w:rPr>
        <w:t xml:space="preserve"> </w:t>
      </w:r>
      <w:r w:rsidR="001B0AEF" w:rsidRPr="00DF0119">
        <w:rPr>
          <w:snapToGrid w:val="0"/>
          <w:color w:val="000000"/>
          <w:sz w:val="28"/>
          <w:szCs w:val="28"/>
        </w:rPr>
        <w:t xml:space="preserve">in the Tribunal </w:t>
      </w:r>
      <w:r w:rsidR="00A537CB" w:rsidRPr="00DF0119">
        <w:rPr>
          <w:snapToGrid w:val="0"/>
          <w:color w:val="000000"/>
          <w:sz w:val="28"/>
          <w:szCs w:val="28"/>
        </w:rPr>
        <w:t>similarly calls for</w:t>
      </w:r>
      <w:r w:rsidR="00C159E3" w:rsidRPr="00DF0119">
        <w:rPr>
          <w:snapToGrid w:val="0"/>
          <w:color w:val="000000"/>
          <w:sz w:val="28"/>
          <w:szCs w:val="28"/>
        </w:rPr>
        <w:t xml:space="preserve"> a more flexible approach in relation to the pleadings filed</w:t>
      </w:r>
      <w:r w:rsidR="001B0AEF" w:rsidRPr="00DF0119">
        <w:rPr>
          <w:snapToGrid w:val="0"/>
          <w:color w:val="000000"/>
          <w:sz w:val="28"/>
          <w:szCs w:val="28"/>
        </w:rPr>
        <w:t>.</w:t>
      </w:r>
      <w:r w:rsidR="00C159E3" w:rsidRPr="00DF0119">
        <w:rPr>
          <w:sz w:val="28"/>
          <w:szCs w:val="28"/>
        </w:rPr>
        <w:t xml:space="preserve"> </w:t>
      </w:r>
      <w:r w:rsidR="00E76ADB" w:rsidRPr="00DF0119">
        <w:rPr>
          <w:sz w:val="28"/>
          <w:szCs w:val="28"/>
        </w:rPr>
        <w:t>As</w:t>
      </w:r>
      <w:r w:rsidR="00FB238D" w:rsidRPr="00DF0119">
        <w:rPr>
          <w:sz w:val="28"/>
          <w:szCs w:val="28"/>
        </w:rPr>
        <w:t xml:space="preserve"> with the Competition Tribunal, t</w:t>
      </w:r>
      <w:r w:rsidR="008C5B84" w:rsidRPr="00DF0119">
        <w:rPr>
          <w:sz w:val="28"/>
          <w:szCs w:val="28"/>
        </w:rPr>
        <w:t xml:space="preserve">he Tribunal has an inquisitorial role to ensure that all relevant and material facts are considered and ventilated. </w:t>
      </w:r>
      <w:r w:rsidR="00012A0D" w:rsidRPr="00DF0119">
        <w:rPr>
          <w:sz w:val="28"/>
          <w:szCs w:val="28"/>
        </w:rPr>
        <w:t xml:space="preserve">It </w:t>
      </w:r>
      <w:r w:rsidR="006E7005" w:rsidRPr="00DF0119">
        <w:rPr>
          <w:sz w:val="28"/>
          <w:szCs w:val="28"/>
        </w:rPr>
        <w:t>i</w:t>
      </w:r>
      <w:r w:rsidR="00012A0D" w:rsidRPr="00DF0119">
        <w:rPr>
          <w:sz w:val="28"/>
          <w:szCs w:val="28"/>
        </w:rPr>
        <w:t xml:space="preserve">s the role of the NCR and the Tribunal to protect the public from unscrupulous conduct. </w:t>
      </w:r>
      <w:r w:rsidR="00A537CB" w:rsidRPr="00DF0119">
        <w:rPr>
          <w:sz w:val="28"/>
          <w:szCs w:val="28"/>
        </w:rPr>
        <w:t>The</w:t>
      </w:r>
      <w:r w:rsidR="00012A0D" w:rsidRPr="00DF0119">
        <w:rPr>
          <w:sz w:val="28"/>
          <w:szCs w:val="28"/>
        </w:rPr>
        <w:t xml:space="preserve"> approach </w:t>
      </w:r>
      <w:r w:rsidR="00A537CB" w:rsidRPr="00DF0119">
        <w:rPr>
          <w:sz w:val="28"/>
          <w:szCs w:val="28"/>
        </w:rPr>
        <w:t xml:space="preserve">adopted in the </w:t>
      </w:r>
      <w:r w:rsidR="005372EA" w:rsidRPr="00DF0119">
        <w:rPr>
          <w:sz w:val="28"/>
          <w:szCs w:val="28"/>
        </w:rPr>
        <w:t>second</w:t>
      </w:r>
      <w:r w:rsidR="00A537CB" w:rsidRPr="00DF0119">
        <w:rPr>
          <w:sz w:val="28"/>
          <w:szCs w:val="28"/>
        </w:rPr>
        <w:t xml:space="preserve"> judgment, seeks to</w:t>
      </w:r>
      <w:r w:rsidR="008C5B84" w:rsidRPr="00DF0119">
        <w:rPr>
          <w:sz w:val="28"/>
          <w:szCs w:val="28"/>
        </w:rPr>
        <w:t xml:space="preserve"> place a restriction on the powers of the Tribunal and adopt</w:t>
      </w:r>
      <w:r w:rsidR="005372EA" w:rsidRPr="00DF0119">
        <w:rPr>
          <w:sz w:val="28"/>
          <w:szCs w:val="28"/>
        </w:rPr>
        <w:t>s</w:t>
      </w:r>
      <w:r w:rsidR="008C5B84" w:rsidRPr="00DF0119">
        <w:rPr>
          <w:sz w:val="28"/>
          <w:szCs w:val="28"/>
        </w:rPr>
        <w:t xml:space="preserve"> a strict approach, as one might do in civil proceedings</w:t>
      </w:r>
      <w:r w:rsidR="00A537CB" w:rsidRPr="00DF0119">
        <w:rPr>
          <w:sz w:val="28"/>
          <w:szCs w:val="28"/>
        </w:rPr>
        <w:t>. This approach</w:t>
      </w:r>
      <w:r w:rsidR="008C5B84" w:rsidRPr="00DF0119">
        <w:rPr>
          <w:sz w:val="28"/>
          <w:szCs w:val="28"/>
        </w:rPr>
        <w:t xml:space="preserve"> flies in the face of the express provisions of the Act which require proceedings to be conducted informally.</w:t>
      </w:r>
      <w:r w:rsidR="00FC53A0" w:rsidRPr="00DF0119">
        <w:rPr>
          <w:sz w:val="28"/>
          <w:szCs w:val="28"/>
        </w:rPr>
        <w:t xml:space="preserve"> </w:t>
      </w:r>
    </w:p>
    <w:p w14:paraId="43B2E7F0" w14:textId="77777777" w:rsidR="00D51C16" w:rsidRPr="007678FA" w:rsidRDefault="00D51C16" w:rsidP="00D51C16">
      <w:pPr>
        <w:pStyle w:val="ListParagraph"/>
        <w:spacing w:line="360" w:lineRule="auto"/>
        <w:ind w:left="0"/>
        <w:jc w:val="both"/>
        <w:rPr>
          <w:sz w:val="28"/>
          <w:szCs w:val="28"/>
        </w:rPr>
      </w:pPr>
    </w:p>
    <w:p w14:paraId="1F0DC420" w14:textId="15DA6601" w:rsidR="00D51C16" w:rsidRPr="00DF0119" w:rsidRDefault="00DF0119" w:rsidP="00DF0119">
      <w:pPr>
        <w:spacing w:line="360" w:lineRule="auto"/>
        <w:jc w:val="both"/>
        <w:rPr>
          <w:sz w:val="28"/>
          <w:szCs w:val="28"/>
        </w:rPr>
      </w:pPr>
      <w:r w:rsidRPr="0012413C">
        <w:rPr>
          <w:sz w:val="28"/>
          <w:szCs w:val="28"/>
        </w:rPr>
        <w:t>[24]</w:t>
      </w:r>
      <w:r w:rsidRPr="0012413C">
        <w:rPr>
          <w:sz w:val="28"/>
          <w:szCs w:val="28"/>
        </w:rPr>
        <w:tab/>
      </w:r>
      <w:r w:rsidR="00D51C16" w:rsidRPr="00DF0119">
        <w:rPr>
          <w:sz w:val="28"/>
          <w:szCs w:val="28"/>
        </w:rPr>
        <w:t xml:space="preserve">The </w:t>
      </w:r>
      <w:r w:rsidR="00F5616D" w:rsidRPr="00DF0119">
        <w:rPr>
          <w:sz w:val="28"/>
          <w:szCs w:val="28"/>
        </w:rPr>
        <w:t xml:space="preserve">second </w:t>
      </w:r>
      <w:r w:rsidR="006E7005" w:rsidRPr="00DF0119">
        <w:rPr>
          <w:sz w:val="28"/>
          <w:szCs w:val="28"/>
        </w:rPr>
        <w:t>judgment</w:t>
      </w:r>
      <w:r w:rsidR="001B0AEF" w:rsidRPr="00DF0119">
        <w:rPr>
          <w:sz w:val="28"/>
          <w:szCs w:val="28"/>
        </w:rPr>
        <w:t>, in finding that the Tribunal did not have the power to condone the filing of the supplementeary affidavit,</w:t>
      </w:r>
      <w:r w:rsidR="006E7005" w:rsidRPr="00DF0119">
        <w:rPr>
          <w:sz w:val="28"/>
          <w:szCs w:val="28"/>
        </w:rPr>
        <w:t xml:space="preserve"> describe</w:t>
      </w:r>
      <w:r w:rsidR="00F5616D" w:rsidRPr="00DF0119">
        <w:rPr>
          <w:sz w:val="28"/>
          <w:szCs w:val="28"/>
        </w:rPr>
        <w:t>s</w:t>
      </w:r>
      <w:r w:rsidR="00D51C16" w:rsidRPr="00DF0119">
        <w:rPr>
          <w:sz w:val="28"/>
          <w:szCs w:val="28"/>
        </w:rPr>
        <w:t xml:space="preserve"> the allegations in the supplementary affidavit as </w:t>
      </w:r>
      <w:r w:rsidR="00773EC3" w:rsidRPr="00DF0119">
        <w:rPr>
          <w:sz w:val="28"/>
          <w:szCs w:val="28"/>
        </w:rPr>
        <w:t>‘</w:t>
      </w:r>
      <w:r w:rsidR="00D51C16" w:rsidRPr="00DF0119">
        <w:rPr>
          <w:sz w:val="28"/>
          <w:szCs w:val="28"/>
        </w:rPr>
        <w:t>new information</w:t>
      </w:r>
      <w:r w:rsidR="00773EC3" w:rsidRPr="00DF0119">
        <w:rPr>
          <w:sz w:val="28"/>
          <w:szCs w:val="28"/>
        </w:rPr>
        <w:t>’</w:t>
      </w:r>
      <w:r w:rsidR="00D51C16" w:rsidRPr="00DF0119">
        <w:rPr>
          <w:sz w:val="28"/>
          <w:szCs w:val="28"/>
        </w:rPr>
        <w:t xml:space="preserve"> </w:t>
      </w:r>
      <w:r w:rsidR="00D51C16" w:rsidRPr="00DF0119">
        <w:rPr>
          <w:sz w:val="28"/>
          <w:szCs w:val="28"/>
          <w:lang w:val="en-US"/>
        </w:rPr>
        <w:t xml:space="preserve">which was not included in the </w:t>
      </w:r>
      <w:r w:rsidR="00F5616D" w:rsidRPr="00DF0119">
        <w:rPr>
          <w:sz w:val="28"/>
          <w:szCs w:val="28"/>
          <w:lang w:val="en-US"/>
        </w:rPr>
        <w:t>founding</w:t>
      </w:r>
      <w:r w:rsidR="00F5616D" w:rsidRPr="00DF0119">
        <w:rPr>
          <w:sz w:val="28"/>
          <w:lang w:val="en-US"/>
        </w:rPr>
        <w:t xml:space="preserve"> affidavit</w:t>
      </w:r>
      <w:r w:rsidR="00D51C16" w:rsidRPr="00DF0119">
        <w:rPr>
          <w:sz w:val="28"/>
          <w:szCs w:val="28"/>
          <w:lang w:val="en-US"/>
        </w:rPr>
        <w:t xml:space="preserve">. It refers to the following excerpts in the supplementary affidavit, </w:t>
      </w:r>
      <w:r w:rsidR="00D51C16" w:rsidRPr="00DF0119">
        <w:rPr>
          <w:sz w:val="28"/>
          <w:szCs w:val="28"/>
          <w:lang w:val="en-US"/>
        </w:rPr>
        <w:lastRenderedPageBreak/>
        <w:t>which it states ‘makes plain, the NCR sought in some respects to advance a ‘new case’ in the supplementary founding affidavit:</w:t>
      </w:r>
    </w:p>
    <w:p w14:paraId="25C74AB0" w14:textId="77777777" w:rsidR="00D51C16" w:rsidRPr="007678FA" w:rsidRDefault="00D51C16" w:rsidP="00D51C16">
      <w:pPr>
        <w:spacing w:line="360" w:lineRule="auto"/>
        <w:jc w:val="both"/>
        <w:rPr>
          <w:sz w:val="22"/>
          <w:szCs w:val="22"/>
          <w:lang w:val="en-US"/>
        </w:rPr>
      </w:pPr>
      <w:r w:rsidRPr="007678FA">
        <w:rPr>
          <w:lang w:val="en-US"/>
        </w:rPr>
        <w:t>‘4.</w:t>
      </w:r>
      <w:r w:rsidRPr="007678FA">
        <w:rPr>
          <w:lang w:val="en-US"/>
        </w:rPr>
        <w:tab/>
        <w:t>I am deposing to this affidavit to include following, which was not included in the Applicant’s original founding affidavit:</w:t>
      </w:r>
    </w:p>
    <w:p w14:paraId="69890FF0" w14:textId="77777777" w:rsidR="00D51C16" w:rsidRPr="007678FA" w:rsidRDefault="00D51C16" w:rsidP="00D51C16">
      <w:pPr>
        <w:spacing w:line="360" w:lineRule="auto"/>
        <w:jc w:val="both"/>
        <w:rPr>
          <w:lang w:val="en-US"/>
        </w:rPr>
      </w:pPr>
      <w:r w:rsidRPr="007678FA">
        <w:rPr>
          <w:lang w:val="en-US"/>
        </w:rPr>
        <w:t>4.1.</w:t>
      </w:r>
      <w:r w:rsidRPr="007678FA">
        <w:rPr>
          <w:lang w:val="en-US"/>
        </w:rPr>
        <w:tab/>
        <w:t>That the Respondents repeatedly contravened Section 106(5)</w:t>
      </w:r>
      <w:r w:rsidRPr="007678FA">
        <w:rPr>
          <w:i/>
          <w:lang w:val="en-US"/>
        </w:rPr>
        <w:t xml:space="preserve">(c) </w:t>
      </w:r>
      <w:r w:rsidRPr="007678FA">
        <w:rPr>
          <w:lang w:val="en-US"/>
        </w:rPr>
        <w:t>and 106(1)</w:t>
      </w:r>
      <w:r w:rsidRPr="007678FA">
        <w:rPr>
          <w:i/>
          <w:lang w:val="en-US"/>
        </w:rPr>
        <w:t xml:space="preserve">(b)(ii) </w:t>
      </w:r>
      <w:r w:rsidRPr="007678FA">
        <w:rPr>
          <w:lang w:val="en-US"/>
        </w:rPr>
        <w:t>of the Act;</w:t>
      </w:r>
    </w:p>
    <w:p w14:paraId="4A354766" w14:textId="77777777" w:rsidR="00D51C16" w:rsidRPr="007678FA" w:rsidRDefault="00D51C16" w:rsidP="00D51C16">
      <w:pPr>
        <w:spacing w:line="360" w:lineRule="auto"/>
        <w:jc w:val="both"/>
        <w:rPr>
          <w:lang w:val="en-US"/>
        </w:rPr>
      </w:pPr>
      <w:r w:rsidRPr="007678FA">
        <w:rPr>
          <w:lang w:val="en-US"/>
        </w:rPr>
        <w:t>4.2.</w:t>
      </w:r>
      <w:r w:rsidRPr="007678FA">
        <w:rPr>
          <w:lang w:val="en-US"/>
        </w:rPr>
        <w:tab/>
        <w:t>That the Respondents have repeatedly contravened section 99(1)</w:t>
      </w:r>
      <w:r w:rsidRPr="007678FA">
        <w:rPr>
          <w:i/>
          <w:lang w:val="en-US"/>
        </w:rPr>
        <w:t>(b)</w:t>
      </w:r>
      <w:r w:rsidRPr="007678FA">
        <w:rPr>
          <w:lang w:val="en-US"/>
        </w:rPr>
        <w:t>, as an alternate contravention in the event that the Tribunal finds that the Respondents’ credit agreements are pawn transactions;</w:t>
      </w:r>
    </w:p>
    <w:p w14:paraId="0445412B" w14:textId="5D7B268D" w:rsidR="00D51C16" w:rsidRDefault="00D51C16" w:rsidP="005C0790">
      <w:pPr>
        <w:spacing w:line="360" w:lineRule="auto"/>
        <w:jc w:val="both"/>
        <w:rPr>
          <w:lang w:val="en-US"/>
        </w:rPr>
      </w:pPr>
      <w:r w:rsidRPr="007678FA">
        <w:rPr>
          <w:lang w:val="en-US"/>
        </w:rPr>
        <w:t>4.3.</w:t>
      </w:r>
      <w:r w:rsidRPr="007678FA">
        <w:rPr>
          <w:lang w:val="en-US"/>
        </w:rPr>
        <w:tab/>
        <w:t>To include a more detailed explanation as to why the Applicant submits that the Respondents’ agreements are secured credit agreements, not pawn transactions.’</w:t>
      </w:r>
    </w:p>
    <w:p w14:paraId="68100334" w14:textId="77777777" w:rsidR="00773EC3" w:rsidRPr="00F5616D" w:rsidRDefault="00773EC3" w:rsidP="00F5616D">
      <w:pPr>
        <w:spacing w:line="360" w:lineRule="auto"/>
        <w:jc w:val="both"/>
        <w:rPr>
          <w:sz w:val="28"/>
          <w:szCs w:val="28"/>
          <w:lang w:val="en-US"/>
        </w:rPr>
      </w:pPr>
    </w:p>
    <w:p w14:paraId="2F8EF6B6" w14:textId="3F256924" w:rsidR="0098072B" w:rsidRPr="00DF0119" w:rsidRDefault="00DF0119" w:rsidP="00DF0119">
      <w:pPr>
        <w:spacing w:line="360" w:lineRule="auto"/>
        <w:jc w:val="both"/>
        <w:rPr>
          <w:sz w:val="28"/>
          <w:szCs w:val="28"/>
        </w:rPr>
      </w:pPr>
      <w:r w:rsidRPr="007678FA">
        <w:rPr>
          <w:sz w:val="28"/>
          <w:szCs w:val="28"/>
        </w:rPr>
        <w:t>[25]</w:t>
      </w:r>
      <w:r w:rsidRPr="007678FA">
        <w:rPr>
          <w:sz w:val="28"/>
          <w:szCs w:val="28"/>
        </w:rPr>
        <w:tab/>
      </w:r>
      <w:r w:rsidR="00866572" w:rsidRPr="00DF0119">
        <w:rPr>
          <w:sz w:val="28"/>
          <w:szCs w:val="28"/>
          <w:lang w:val="en-US"/>
        </w:rPr>
        <w:t xml:space="preserve">However, as the deponent to the </w:t>
      </w:r>
      <w:r w:rsidR="006E7005" w:rsidRPr="00DF0119">
        <w:rPr>
          <w:sz w:val="28"/>
          <w:szCs w:val="28"/>
          <w:lang w:val="en-US"/>
        </w:rPr>
        <w:t>supplementary</w:t>
      </w:r>
      <w:r w:rsidR="00866572" w:rsidRPr="00DF0119">
        <w:rPr>
          <w:sz w:val="28"/>
          <w:szCs w:val="28"/>
          <w:lang w:val="en-US"/>
        </w:rPr>
        <w:t xml:space="preserve"> affidavit explains, the facts relating to each of the contraventions mentioned were contained in</w:t>
      </w:r>
      <w:r w:rsidR="00E67B06" w:rsidRPr="00DF0119">
        <w:rPr>
          <w:sz w:val="28"/>
          <w:szCs w:val="28"/>
          <w:lang w:val="en-US"/>
        </w:rPr>
        <w:t xml:space="preserve"> the founding affidavit and </w:t>
      </w:r>
      <w:r w:rsidR="00866572" w:rsidRPr="00DF0119">
        <w:rPr>
          <w:sz w:val="28"/>
          <w:szCs w:val="28"/>
          <w:lang w:val="en-US"/>
        </w:rPr>
        <w:t xml:space="preserve">the report, </w:t>
      </w:r>
      <w:r w:rsidR="00D51C16" w:rsidRPr="00DF0119">
        <w:rPr>
          <w:sz w:val="28"/>
          <w:szCs w:val="28"/>
          <w:lang w:val="en-US"/>
        </w:rPr>
        <w:t xml:space="preserve">but the </w:t>
      </w:r>
      <w:r w:rsidR="001B432D" w:rsidRPr="00DF0119">
        <w:rPr>
          <w:sz w:val="28"/>
          <w:szCs w:val="28"/>
          <w:lang w:val="en-US"/>
        </w:rPr>
        <w:t xml:space="preserve">conclusions and </w:t>
      </w:r>
      <w:r w:rsidR="00D51C16" w:rsidRPr="00DF0119">
        <w:rPr>
          <w:sz w:val="28"/>
          <w:szCs w:val="28"/>
          <w:lang w:val="en-US"/>
        </w:rPr>
        <w:t>d</w:t>
      </w:r>
      <w:r w:rsidR="00560E48" w:rsidRPr="00DF0119">
        <w:rPr>
          <w:sz w:val="28"/>
          <w:szCs w:val="28"/>
          <w:lang w:val="en-US"/>
        </w:rPr>
        <w:t>eclarator</w:t>
      </w:r>
      <w:r w:rsidR="00D51C16" w:rsidRPr="00DF0119">
        <w:rPr>
          <w:sz w:val="28"/>
          <w:szCs w:val="28"/>
          <w:lang w:val="en-US"/>
        </w:rPr>
        <w:t>s</w:t>
      </w:r>
      <w:r w:rsidR="007678FA" w:rsidRPr="00DF0119">
        <w:rPr>
          <w:sz w:val="28"/>
          <w:szCs w:val="28"/>
          <w:lang w:val="en-US"/>
        </w:rPr>
        <w:t xml:space="preserve"> that they amounted to contraventions of the Act,</w:t>
      </w:r>
      <w:r w:rsidR="00D51C16" w:rsidRPr="00DF0119">
        <w:rPr>
          <w:sz w:val="28"/>
          <w:szCs w:val="28"/>
          <w:lang w:val="en-US"/>
        </w:rPr>
        <w:t xml:space="preserve"> were erroneously omitted. </w:t>
      </w:r>
      <w:r w:rsidR="001B432D" w:rsidRPr="00DF0119">
        <w:rPr>
          <w:sz w:val="28"/>
          <w:szCs w:val="28"/>
          <w:lang w:val="en-US"/>
        </w:rPr>
        <w:t>Thus</w:t>
      </w:r>
      <w:r w:rsidR="00866572" w:rsidRPr="00DF0119">
        <w:rPr>
          <w:sz w:val="28"/>
          <w:szCs w:val="28"/>
          <w:lang w:val="en-US"/>
        </w:rPr>
        <w:t>,</w:t>
      </w:r>
      <w:r w:rsidR="001B432D" w:rsidRPr="00DF0119">
        <w:rPr>
          <w:sz w:val="28"/>
          <w:szCs w:val="28"/>
          <w:lang w:val="en-US"/>
        </w:rPr>
        <w:t xml:space="preserve"> in the notice of motion</w:t>
      </w:r>
      <w:r w:rsidR="00866572" w:rsidRPr="00DF0119">
        <w:rPr>
          <w:sz w:val="28"/>
          <w:szCs w:val="28"/>
          <w:lang w:val="en-US"/>
        </w:rPr>
        <w:t>,</w:t>
      </w:r>
      <w:r w:rsidR="001B432D" w:rsidRPr="00DF0119">
        <w:rPr>
          <w:sz w:val="28"/>
          <w:szCs w:val="28"/>
          <w:lang w:val="en-US"/>
        </w:rPr>
        <w:t xml:space="preserve"> to which the </w:t>
      </w:r>
      <w:r w:rsidR="00866572" w:rsidRPr="00DF0119">
        <w:rPr>
          <w:sz w:val="28"/>
          <w:szCs w:val="28"/>
          <w:lang w:val="en-US"/>
        </w:rPr>
        <w:t xml:space="preserve">founding affidavit in the </w:t>
      </w:r>
      <w:r w:rsidR="001B432D" w:rsidRPr="00DF0119">
        <w:rPr>
          <w:sz w:val="28"/>
          <w:szCs w:val="28"/>
          <w:lang w:val="en-US"/>
        </w:rPr>
        <w:t>condonation</w:t>
      </w:r>
      <w:r w:rsidR="00866572" w:rsidRPr="00DF0119">
        <w:rPr>
          <w:sz w:val="28"/>
          <w:szCs w:val="28"/>
          <w:lang w:val="en-US"/>
        </w:rPr>
        <w:t xml:space="preserve"> </w:t>
      </w:r>
      <w:r w:rsidR="006E7005" w:rsidRPr="00DF0119">
        <w:rPr>
          <w:sz w:val="28"/>
          <w:szCs w:val="28"/>
          <w:lang w:val="en-US"/>
        </w:rPr>
        <w:t>application is</w:t>
      </w:r>
      <w:r w:rsidR="001B432D" w:rsidRPr="00DF0119">
        <w:rPr>
          <w:sz w:val="28"/>
          <w:szCs w:val="28"/>
          <w:lang w:val="en-US"/>
        </w:rPr>
        <w:t xml:space="preserve"> attached</w:t>
      </w:r>
      <w:r w:rsidR="00866572" w:rsidRPr="00DF0119">
        <w:rPr>
          <w:sz w:val="28"/>
          <w:szCs w:val="28"/>
          <w:lang w:val="en-US"/>
        </w:rPr>
        <w:t>,</w:t>
      </w:r>
      <w:r w:rsidR="001B432D" w:rsidRPr="00DF0119">
        <w:rPr>
          <w:sz w:val="28"/>
          <w:szCs w:val="28"/>
          <w:lang w:val="en-US"/>
        </w:rPr>
        <w:t xml:space="preserve"> </w:t>
      </w:r>
      <w:r w:rsidR="00866572" w:rsidRPr="00DF0119">
        <w:rPr>
          <w:sz w:val="28"/>
          <w:szCs w:val="28"/>
          <w:lang w:val="en-US"/>
        </w:rPr>
        <w:t>the NCR seeks relief that th</w:t>
      </w:r>
      <w:r w:rsidR="001B432D" w:rsidRPr="00DF0119">
        <w:rPr>
          <w:sz w:val="28"/>
          <w:szCs w:val="28"/>
          <w:lang w:val="en-US"/>
        </w:rPr>
        <w:t>ese practices be declared as contraventions of the Act.</w:t>
      </w:r>
      <w:r w:rsidR="001B0AEF" w:rsidRPr="00DF0119">
        <w:rPr>
          <w:sz w:val="28"/>
          <w:szCs w:val="28"/>
          <w:lang w:val="en-US"/>
        </w:rPr>
        <w:t xml:space="preserve"> All three of the sections referred to deal with the insurance </w:t>
      </w:r>
      <w:r w:rsidR="004E775F" w:rsidRPr="00DF0119">
        <w:rPr>
          <w:sz w:val="28"/>
          <w:szCs w:val="28"/>
          <w:lang w:val="en-US"/>
        </w:rPr>
        <w:t xml:space="preserve">for which </w:t>
      </w:r>
      <w:r w:rsidR="00D946E5" w:rsidRPr="00DF0119">
        <w:rPr>
          <w:sz w:val="28"/>
          <w:szCs w:val="28"/>
          <w:lang w:val="en-US"/>
        </w:rPr>
        <w:t>the respondents</w:t>
      </w:r>
      <w:r w:rsidR="001B0AEF" w:rsidRPr="00DF0119">
        <w:rPr>
          <w:sz w:val="28"/>
          <w:szCs w:val="28"/>
          <w:lang w:val="en-US"/>
        </w:rPr>
        <w:t xml:space="preserve"> required consumers to pay</w:t>
      </w:r>
      <w:r w:rsidR="004E775F" w:rsidRPr="00DF0119">
        <w:rPr>
          <w:sz w:val="28"/>
          <w:szCs w:val="28"/>
          <w:lang w:val="en-US"/>
        </w:rPr>
        <w:t>.</w:t>
      </w:r>
    </w:p>
    <w:p w14:paraId="03AC85E7" w14:textId="77777777" w:rsidR="00DC20AE" w:rsidRPr="007678FA" w:rsidRDefault="00DC20AE" w:rsidP="005C0790">
      <w:pPr>
        <w:pStyle w:val="ListParagraph"/>
        <w:spacing w:line="360" w:lineRule="auto"/>
        <w:ind w:left="0"/>
        <w:jc w:val="both"/>
        <w:rPr>
          <w:sz w:val="28"/>
          <w:szCs w:val="28"/>
        </w:rPr>
      </w:pPr>
    </w:p>
    <w:p w14:paraId="6914BA4B" w14:textId="2807378A" w:rsidR="0015680B" w:rsidRPr="00DF0119" w:rsidRDefault="00DF0119" w:rsidP="00DF0119">
      <w:pPr>
        <w:spacing w:line="360" w:lineRule="auto"/>
        <w:jc w:val="both"/>
        <w:rPr>
          <w:color w:val="222222"/>
          <w:sz w:val="28"/>
          <w:szCs w:val="28"/>
          <w:shd w:val="clear" w:color="auto" w:fill="FFFFFF"/>
        </w:rPr>
      </w:pPr>
      <w:r w:rsidRPr="00F5616D">
        <w:rPr>
          <w:color w:val="222222"/>
          <w:sz w:val="28"/>
          <w:szCs w:val="28"/>
        </w:rPr>
        <w:t>[26]</w:t>
      </w:r>
      <w:r w:rsidRPr="00F5616D">
        <w:rPr>
          <w:color w:val="222222"/>
          <w:sz w:val="28"/>
          <w:szCs w:val="28"/>
        </w:rPr>
        <w:tab/>
      </w:r>
      <w:r w:rsidR="0098072B" w:rsidRPr="00DF0119">
        <w:rPr>
          <w:color w:val="222222"/>
          <w:sz w:val="28"/>
          <w:szCs w:val="28"/>
          <w:shd w:val="clear" w:color="auto" w:fill="FFFFFF"/>
        </w:rPr>
        <w:t>In regard to the contravention of s106(5)</w:t>
      </w:r>
      <w:r w:rsidR="0098072B" w:rsidRPr="00DF0119">
        <w:rPr>
          <w:i/>
          <w:color w:val="222222"/>
          <w:sz w:val="28"/>
          <w:shd w:val="clear" w:color="auto" w:fill="FFFFFF"/>
        </w:rPr>
        <w:t xml:space="preserve">(c) </w:t>
      </w:r>
      <w:r w:rsidR="0098072B" w:rsidRPr="00DF0119">
        <w:rPr>
          <w:color w:val="222222"/>
          <w:sz w:val="28"/>
          <w:szCs w:val="28"/>
          <w:shd w:val="clear" w:color="auto" w:fill="FFFFFF"/>
        </w:rPr>
        <w:t xml:space="preserve">of the </w:t>
      </w:r>
      <w:r w:rsidR="0015680B" w:rsidRPr="00DF0119">
        <w:rPr>
          <w:color w:val="222222"/>
          <w:sz w:val="28"/>
          <w:szCs w:val="28"/>
          <w:shd w:val="clear" w:color="auto" w:fill="FFFFFF"/>
        </w:rPr>
        <w:t>Act</w:t>
      </w:r>
      <w:r w:rsidR="0098072B" w:rsidRPr="00DF0119">
        <w:rPr>
          <w:color w:val="222222"/>
          <w:sz w:val="28"/>
          <w:szCs w:val="28"/>
          <w:shd w:val="clear" w:color="auto" w:fill="FFFFFF"/>
        </w:rPr>
        <w:t>, the NCR had alleged in the founding affidavit that</w:t>
      </w:r>
      <w:r w:rsidR="006F3698" w:rsidRPr="00DF0119">
        <w:rPr>
          <w:color w:val="222222"/>
          <w:sz w:val="28"/>
          <w:szCs w:val="28"/>
          <w:shd w:val="clear" w:color="auto" w:fill="FFFFFF"/>
        </w:rPr>
        <w:t xml:space="preserve"> ‘</w:t>
      </w:r>
      <w:r w:rsidR="007678FA" w:rsidRPr="00DF0119">
        <w:rPr>
          <w:color w:val="222222"/>
          <w:sz w:val="28"/>
          <w:szCs w:val="28"/>
          <w:shd w:val="clear" w:color="auto" w:fill="FFFFFF"/>
        </w:rPr>
        <w:t>it is a general</w:t>
      </w:r>
      <w:r w:rsidR="006F3698" w:rsidRPr="00DF0119">
        <w:rPr>
          <w:color w:val="222222"/>
          <w:sz w:val="28"/>
          <w:szCs w:val="28"/>
          <w:shd w:val="clear" w:color="auto" w:fill="FFFFFF"/>
        </w:rPr>
        <w:t xml:space="preserve"> business</w:t>
      </w:r>
      <w:r w:rsidR="004E775F" w:rsidRPr="00DF0119">
        <w:rPr>
          <w:color w:val="222222"/>
          <w:sz w:val="28"/>
          <w:szCs w:val="28"/>
          <w:shd w:val="clear" w:color="auto" w:fill="FFFFFF"/>
        </w:rPr>
        <w:t xml:space="preserve"> practic</w:t>
      </w:r>
      <w:r w:rsidR="007678FA" w:rsidRPr="00DF0119">
        <w:rPr>
          <w:color w:val="222222"/>
          <w:sz w:val="28"/>
          <w:szCs w:val="28"/>
          <w:shd w:val="clear" w:color="auto" w:fill="FFFFFF"/>
        </w:rPr>
        <w:t xml:space="preserve">e of </w:t>
      </w:r>
      <w:r w:rsidR="00B15CE2" w:rsidRPr="00DF0119">
        <w:rPr>
          <w:color w:val="222222"/>
          <w:sz w:val="28"/>
          <w:szCs w:val="28"/>
          <w:shd w:val="clear" w:color="auto" w:fill="FFFFFF"/>
        </w:rPr>
        <w:t>t</w:t>
      </w:r>
      <w:r w:rsidR="00D946E5" w:rsidRPr="00DF0119">
        <w:rPr>
          <w:color w:val="222222"/>
          <w:sz w:val="28"/>
          <w:szCs w:val="28"/>
          <w:shd w:val="clear" w:color="auto" w:fill="FFFFFF"/>
        </w:rPr>
        <w:t>he respondents</w:t>
      </w:r>
      <w:r w:rsidR="007678FA" w:rsidRPr="00DF0119">
        <w:rPr>
          <w:color w:val="222222"/>
          <w:sz w:val="28"/>
          <w:szCs w:val="28"/>
          <w:shd w:val="clear" w:color="auto" w:fill="FFFFFF"/>
        </w:rPr>
        <w:t xml:space="preserve"> to advise consumers that insurance i</w:t>
      </w:r>
      <w:r w:rsidR="00E67B06" w:rsidRPr="00DF0119">
        <w:rPr>
          <w:color w:val="222222"/>
          <w:sz w:val="28"/>
          <w:szCs w:val="28"/>
          <w:shd w:val="clear" w:color="auto" w:fill="FFFFFF"/>
        </w:rPr>
        <w:t>s required in terms of the loan</w:t>
      </w:r>
      <w:r w:rsidR="006F3698" w:rsidRPr="00DF0119">
        <w:rPr>
          <w:color w:val="222222"/>
          <w:sz w:val="28"/>
          <w:szCs w:val="28"/>
          <w:shd w:val="clear" w:color="auto" w:fill="FFFFFF"/>
        </w:rPr>
        <w:t>’</w:t>
      </w:r>
      <w:r w:rsidR="00E67B06" w:rsidRPr="00DF0119">
        <w:rPr>
          <w:color w:val="222222"/>
          <w:sz w:val="28"/>
          <w:szCs w:val="28"/>
          <w:shd w:val="clear" w:color="auto" w:fill="FFFFFF"/>
        </w:rPr>
        <w:t>,</w:t>
      </w:r>
      <w:r w:rsidR="007678FA" w:rsidRPr="00DF0119">
        <w:rPr>
          <w:color w:val="222222"/>
          <w:sz w:val="28"/>
          <w:szCs w:val="28"/>
          <w:shd w:val="clear" w:color="auto" w:fill="FFFFFF"/>
        </w:rPr>
        <w:t xml:space="preserve"> </w:t>
      </w:r>
      <w:r w:rsidR="00E67B06" w:rsidRPr="00DF0119">
        <w:rPr>
          <w:color w:val="222222"/>
          <w:sz w:val="28"/>
          <w:szCs w:val="28"/>
          <w:shd w:val="clear" w:color="auto" w:fill="FFFFFF"/>
        </w:rPr>
        <w:t xml:space="preserve">and </w:t>
      </w:r>
      <w:r w:rsidR="006F3698" w:rsidRPr="00DF0119">
        <w:rPr>
          <w:color w:val="222222"/>
          <w:sz w:val="28"/>
          <w:szCs w:val="28"/>
          <w:shd w:val="clear" w:color="auto" w:fill="FFFFFF"/>
        </w:rPr>
        <w:t>‘</w:t>
      </w:r>
      <w:r w:rsidR="00E67B06" w:rsidRPr="00DF0119">
        <w:rPr>
          <w:color w:val="222222"/>
          <w:sz w:val="28"/>
          <w:szCs w:val="28"/>
          <w:shd w:val="clear" w:color="auto" w:fill="FFFFFF"/>
        </w:rPr>
        <w:t xml:space="preserve">they are not given the opportunity or right to waive </w:t>
      </w:r>
      <w:r w:rsidR="001B0AEF" w:rsidRPr="00DF0119">
        <w:rPr>
          <w:color w:val="222222"/>
          <w:sz w:val="28"/>
          <w:szCs w:val="28"/>
          <w:shd w:val="clear" w:color="auto" w:fill="FFFFFF"/>
        </w:rPr>
        <w:t>the</w:t>
      </w:r>
      <w:r w:rsidR="00E67B06" w:rsidRPr="00DF0119">
        <w:rPr>
          <w:color w:val="222222"/>
          <w:sz w:val="28"/>
          <w:szCs w:val="28"/>
          <w:shd w:val="clear" w:color="auto" w:fill="FFFFFF"/>
        </w:rPr>
        <w:t xml:space="preserve"> proposed policy and substitute it for a policy of the consumer’s own choice. </w:t>
      </w:r>
      <w:r w:rsidR="004E775F" w:rsidRPr="00DF0119">
        <w:rPr>
          <w:color w:val="222222"/>
          <w:sz w:val="28"/>
          <w:szCs w:val="28"/>
          <w:shd w:val="clear" w:color="auto" w:fill="FFFFFF"/>
        </w:rPr>
        <w:t>Further, t</w:t>
      </w:r>
      <w:r w:rsidR="00D946E5" w:rsidRPr="00DF0119">
        <w:rPr>
          <w:color w:val="222222"/>
          <w:sz w:val="28"/>
          <w:szCs w:val="28"/>
          <w:shd w:val="clear" w:color="auto" w:fill="FFFFFF"/>
        </w:rPr>
        <w:t>he respondents</w:t>
      </w:r>
      <w:r w:rsidR="007678FA" w:rsidRPr="00DF0119">
        <w:rPr>
          <w:color w:val="222222"/>
          <w:sz w:val="28"/>
          <w:szCs w:val="28"/>
          <w:shd w:val="clear" w:color="auto" w:fill="FFFFFF"/>
        </w:rPr>
        <w:t xml:space="preserve"> </w:t>
      </w:r>
      <w:r w:rsidR="00D946E5" w:rsidRPr="00DF0119">
        <w:rPr>
          <w:color w:val="222222"/>
          <w:sz w:val="28"/>
          <w:szCs w:val="28"/>
          <w:shd w:val="clear" w:color="auto" w:fill="FFFFFF"/>
        </w:rPr>
        <w:t>do</w:t>
      </w:r>
      <w:r w:rsidR="007678FA" w:rsidRPr="00DF0119">
        <w:rPr>
          <w:color w:val="222222"/>
          <w:sz w:val="28"/>
          <w:szCs w:val="28"/>
          <w:shd w:val="clear" w:color="auto" w:fill="FFFFFF"/>
        </w:rPr>
        <w:t xml:space="preserve"> not provide </w:t>
      </w:r>
      <w:r w:rsidR="007678FA" w:rsidRPr="00DF0119">
        <w:rPr>
          <w:color w:val="222222"/>
          <w:sz w:val="28"/>
          <w:szCs w:val="28"/>
          <w:shd w:val="clear" w:color="auto" w:fill="FFFFFF"/>
        </w:rPr>
        <w:lastRenderedPageBreak/>
        <w:t>consumers with a copy of the policy document’</w:t>
      </w:r>
      <w:r w:rsidR="006F3698" w:rsidRPr="00DF0119">
        <w:rPr>
          <w:color w:val="222222"/>
          <w:sz w:val="28"/>
          <w:szCs w:val="28"/>
          <w:shd w:val="clear" w:color="auto" w:fill="FFFFFF"/>
        </w:rPr>
        <w:t>.</w:t>
      </w:r>
      <w:r w:rsidR="007678FA" w:rsidRPr="00DF0119">
        <w:rPr>
          <w:color w:val="222222"/>
          <w:sz w:val="28"/>
          <w:szCs w:val="28"/>
          <w:shd w:val="clear" w:color="auto" w:fill="FFFFFF"/>
        </w:rPr>
        <w:t xml:space="preserve"> </w:t>
      </w:r>
      <w:r w:rsidR="0015680B" w:rsidRPr="00DF0119">
        <w:rPr>
          <w:color w:val="222222"/>
          <w:sz w:val="28"/>
          <w:szCs w:val="28"/>
          <w:shd w:val="clear" w:color="auto" w:fill="FFFFFF"/>
        </w:rPr>
        <w:t>These are clearly contraventions of s 106(5)</w:t>
      </w:r>
      <w:r w:rsidR="0015680B" w:rsidRPr="00DF0119">
        <w:rPr>
          <w:i/>
          <w:color w:val="222222"/>
          <w:sz w:val="28"/>
          <w:shd w:val="clear" w:color="auto" w:fill="FFFFFF"/>
        </w:rPr>
        <w:t xml:space="preserve">(c) </w:t>
      </w:r>
      <w:r w:rsidR="0015680B" w:rsidRPr="00DF0119">
        <w:rPr>
          <w:color w:val="222222"/>
          <w:sz w:val="28"/>
          <w:szCs w:val="28"/>
          <w:shd w:val="clear" w:color="auto" w:fill="FFFFFF"/>
        </w:rPr>
        <w:t>of the Act.</w:t>
      </w:r>
    </w:p>
    <w:p w14:paraId="13716059" w14:textId="77777777" w:rsidR="006040D3" w:rsidRPr="007678FA" w:rsidRDefault="006040D3" w:rsidP="0015680B">
      <w:pPr>
        <w:spacing w:line="360" w:lineRule="auto"/>
        <w:jc w:val="both"/>
        <w:rPr>
          <w:color w:val="222222"/>
          <w:sz w:val="28"/>
          <w:szCs w:val="28"/>
          <w:shd w:val="clear" w:color="auto" w:fill="FFFFFF"/>
        </w:rPr>
      </w:pPr>
    </w:p>
    <w:p w14:paraId="72C22DA3" w14:textId="107E0087" w:rsidR="0015680B" w:rsidRPr="00DF0119" w:rsidRDefault="00DF0119" w:rsidP="00DF0119">
      <w:pPr>
        <w:spacing w:line="360" w:lineRule="auto"/>
        <w:jc w:val="both"/>
        <w:rPr>
          <w:color w:val="222222"/>
          <w:sz w:val="28"/>
          <w:szCs w:val="28"/>
          <w:shd w:val="clear" w:color="auto" w:fill="FFFFFF"/>
        </w:rPr>
      </w:pPr>
      <w:r w:rsidRPr="007678FA">
        <w:rPr>
          <w:color w:val="222222"/>
          <w:sz w:val="28"/>
          <w:szCs w:val="28"/>
        </w:rPr>
        <w:t>[27]</w:t>
      </w:r>
      <w:r w:rsidRPr="007678FA">
        <w:rPr>
          <w:color w:val="222222"/>
          <w:sz w:val="28"/>
          <w:szCs w:val="28"/>
        </w:rPr>
        <w:tab/>
      </w:r>
      <w:r w:rsidR="0015680B" w:rsidRPr="00DF0119">
        <w:rPr>
          <w:color w:val="222222"/>
          <w:sz w:val="28"/>
          <w:szCs w:val="28"/>
          <w:shd w:val="clear" w:color="auto" w:fill="FFFFFF"/>
        </w:rPr>
        <w:t xml:space="preserve">From the investigations referred to in the founding affidavit, </w:t>
      </w:r>
      <w:r w:rsidR="001B0AEF" w:rsidRPr="00DF0119">
        <w:rPr>
          <w:color w:val="222222"/>
          <w:sz w:val="28"/>
          <w:szCs w:val="28"/>
          <w:shd w:val="clear" w:color="auto" w:fill="FFFFFF"/>
        </w:rPr>
        <w:t>in terms of s 106(1)</w:t>
      </w:r>
      <w:r w:rsidR="001B0AEF" w:rsidRPr="00DF0119">
        <w:rPr>
          <w:i/>
          <w:color w:val="222222"/>
          <w:sz w:val="28"/>
          <w:szCs w:val="28"/>
          <w:shd w:val="clear" w:color="auto" w:fill="FFFFFF"/>
        </w:rPr>
        <w:t>(b)</w:t>
      </w:r>
      <w:r w:rsidR="001B0AEF" w:rsidRPr="00DF0119">
        <w:rPr>
          <w:color w:val="222222"/>
          <w:sz w:val="28"/>
          <w:szCs w:val="28"/>
          <w:shd w:val="clear" w:color="auto" w:fill="FFFFFF"/>
        </w:rPr>
        <w:t>(iii) of the Act,</w:t>
      </w:r>
      <w:r w:rsidR="0015680B" w:rsidRPr="00DF0119">
        <w:rPr>
          <w:color w:val="222222"/>
          <w:sz w:val="28"/>
          <w:szCs w:val="28"/>
          <w:shd w:val="clear" w:color="auto" w:fill="FFFFFF"/>
        </w:rPr>
        <w:t xml:space="preserve"> the maximum</w:t>
      </w:r>
      <w:r w:rsidR="0098072B" w:rsidRPr="00DF0119">
        <w:rPr>
          <w:color w:val="222222"/>
          <w:sz w:val="28"/>
          <w:szCs w:val="28"/>
          <w:shd w:val="clear" w:color="auto" w:fill="FFFFFF"/>
        </w:rPr>
        <w:t xml:space="preserve"> of </w:t>
      </w:r>
      <w:r w:rsidR="0015680B" w:rsidRPr="00DF0119">
        <w:rPr>
          <w:color w:val="222222"/>
          <w:sz w:val="28"/>
          <w:szCs w:val="28"/>
          <w:shd w:val="clear" w:color="auto" w:fill="FFFFFF"/>
        </w:rPr>
        <w:t>any loan to a consumer</w:t>
      </w:r>
      <w:r w:rsidR="0098072B" w:rsidRPr="00DF0119">
        <w:rPr>
          <w:color w:val="222222"/>
          <w:sz w:val="28"/>
          <w:szCs w:val="28"/>
          <w:shd w:val="clear" w:color="auto" w:fill="FFFFFF"/>
        </w:rPr>
        <w:t xml:space="preserve"> is fixed at </w:t>
      </w:r>
      <w:r w:rsidR="00363D56" w:rsidRPr="00DF0119">
        <w:rPr>
          <w:color w:val="222222"/>
          <w:sz w:val="28"/>
          <w:szCs w:val="28"/>
          <w:shd w:val="clear" w:color="auto" w:fill="FFFFFF"/>
        </w:rPr>
        <w:t xml:space="preserve">the maximum of </w:t>
      </w:r>
      <w:r w:rsidR="0098072B" w:rsidRPr="00DF0119">
        <w:rPr>
          <w:color w:val="222222"/>
          <w:sz w:val="28"/>
          <w:szCs w:val="28"/>
          <w:shd w:val="clear" w:color="auto" w:fill="FFFFFF"/>
        </w:rPr>
        <w:t>50% of the market value of the consumers’ vehicles.</w:t>
      </w:r>
      <w:r w:rsidR="0015680B" w:rsidRPr="00DF0119">
        <w:rPr>
          <w:color w:val="222222"/>
          <w:sz w:val="28"/>
          <w:szCs w:val="28"/>
          <w:shd w:val="clear" w:color="auto" w:fill="FFFFFF"/>
        </w:rPr>
        <w:t xml:space="preserve"> </w:t>
      </w:r>
      <w:r w:rsidR="006040D3" w:rsidRPr="00DF0119">
        <w:rPr>
          <w:color w:val="222222"/>
          <w:sz w:val="28"/>
          <w:szCs w:val="28"/>
          <w:shd w:val="clear" w:color="auto" w:fill="FFFFFF"/>
        </w:rPr>
        <w:t>All the credit agreements sampled during the NCR’s investigation make provision for cons</w:t>
      </w:r>
      <w:r w:rsidR="004E775F" w:rsidRPr="00DF0119">
        <w:rPr>
          <w:color w:val="222222"/>
          <w:sz w:val="28"/>
          <w:szCs w:val="28"/>
          <w:shd w:val="clear" w:color="auto" w:fill="FFFFFF"/>
        </w:rPr>
        <w:t>umers to pay insurance premiums</w:t>
      </w:r>
      <w:r w:rsidR="006040D3" w:rsidRPr="00DF0119">
        <w:rPr>
          <w:color w:val="222222"/>
          <w:sz w:val="28"/>
          <w:szCs w:val="28"/>
          <w:shd w:val="clear" w:color="auto" w:fill="FFFFFF"/>
        </w:rPr>
        <w:t xml:space="preserve"> </w:t>
      </w:r>
      <w:r w:rsidR="004E775F" w:rsidRPr="00DF0119">
        <w:rPr>
          <w:color w:val="222222"/>
          <w:sz w:val="28"/>
          <w:szCs w:val="28"/>
          <w:shd w:val="clear" w:color="auto" w:fill="FFFFFF"/>
        </w:rPr>
        <w:t>for</w:t>
      </w:r>
      <w:r w:rsidR="0015680B" w:rsidRPr="00DF0119">
        <w:rPr>
          <w:color w:val="222222"/>
          <w:sz w:val="28"/>
          <w:szCs w:val="28"/>
          <w:shd w:val="clear" w:color="auto" w:fill="FFFFFF"/>
        </w:rPr>
        <w:t xml:space="preserve"> insurance which covers the full value of the vehicle. This amounts to </w:t>
      </w:r>
      <w:r w:rsidR="00363D56" w:rsidRPr="00DF0119">
        <w:rPr>
          <w:color w:val="222222"/>
          <w:sz w:val="28"/>
          <w:szCs w:val="28"/>
          <w:shd w:val="clear" w:color="auto" w:fill="FFFFFF"/>
        </w:rPr>
        <w:t>a contravention of s</w:t>
      </w:r>
      <w:r w:rsidR="0015680B" w:rsidRPr="00DF0119">
        <w:rPr>
          <w:color w:val="222222"/>
          <w:sz w:val="28"/>
          <w:szCs w:val="28"/>
          <w:shd w:val="clear" w:color="auto" w:fill="FFFFFF"/>
        </w:rPr>
        <w:t xml:space="preserve"> 106(1)</w:t>
      </w:r>
      <w:r w:rsidR="0015680B" w:rsidRPr="00DF0119">
        <w:rPr>
          <w:i/>
          <w:color w:val="222222"/>
          <w:sz w:val="28"/>
          <w:shd w:val="clear" w:color="auto" w:fill="FFFFFF"/>
        </w:rPr>
        <w:t>(b)</w:t>
      </w:r>
      <w:r w:rsidR="0015680B" w:rsidRPr="00DF0119">
        <w:rPr>
          <w:color w:val="222222"/>
          <w:sz w:val="28"/>
          <w:szCs w:val="28"/>
          <w:shd w:val="clear" w:color="auto" w:fill="FFFFFF"/>
        </w:rPr>
        <w:t>(iii) of the Act.</w:t>
      </w:r>
      <w:r w:rsidR="00D328EF" w:rsidRPr="00DF0119">
        <w:rPr>
          <w:color w:val="222222"/>
          <w:sz w:val="28"/>
          <w:szCs w:val="28"/>
          <w:shd w:val="clear" w:color="auto" w:fill="FFFFFF"/>
        </w:rPr>
        <w:t xml:space="preserve"> </w:t>
      </w:r>
      <w:r w:rsidR="00DC20AE" w:rsidRPr="00DF0119">
        <w:rPr>
          <w:color w:val="222222"/>
          <w:sz w:val="28"/>
          <w:szCs w:val="28"/>
          <w:shd w:val="clear" w:color="auto" w:fill="FFFFFF"/>
        </w:rPr>
        <w:t>This</w:t>
      </w:r>
      <w:r w:rsidR="00D328EF" w:rsidRPr="00DF0119">
        <w:rPr>
          <w:color w:val="222222"/>
          <w:sz w:val="28"/>
          <w:szCs w:val="28"/>
          <w:shd w:val="clear" w:color="auto" w:fill="FFFFFF"/>
        </w:rPr>
        <w:t xml:space="preserve"> section was expressly mentioned in the </w:t>
      </w:r>
      <w:r w:rsidR="00F81F13" w:rsidRPr="00DF0119">
        <w:rPr>
          <w:color w:val="222222"/>
          <w:sz w:val="28"/>
          <w:szCs w:val="28"/>
          <w:shd w:val="clear" w:color="auto" w:fill="FFFFFF"/>
        </w:rPr>
        <w:t>report</w:t>
      </w:r>
      <w:r w:rsidR="002C7F31" w:rsidRPr="00DF0119">
        <w:rPr>
          <w:color w:val="222222"/>
          <w:sz w:val="28"/>
          <w:szCs w:val="28"/>
          <w:shd w:val="clear" w:color="auto" w:fill="FFFFFF"/>
        </w:rPr>
        <w:t xml:space="preserve">, </w:t>
      </w:r>
      <w:r w:rsidR="001B0AEF" w:rsidRPr="00DF0119">
        <w:rPr>
          <w:color w:val="222222"/>
          <w:sz w:val="28"/>
          <w:szCs w:val="28"/>
          <w:shd w:val="clear" w:color="auto" w:fill="FFFFFF"/>
        </w:rPr>
        <w:t xml:space="preserve">and </w:t>
      </w:r>
      <w:r w:rsidR="00E67B06" w:rsidRPr="00DF0119">
        <w:rPr>
          <w:color w:val="222222"/>
          <w:sz w:val="28"/>
          <w:szCs w:val="28"/>
          <w:shd w:val="clear" w:color="auto" w:fill="FFFFFF"/>
        </w:rPr>
        <w:t>is a precursor to s 106</w:t>
      </w:r>
      <w:r w:rsidR="00D328EF" w:rsidRPr="00DF0119">
        <w:rPr>
          <w:color w:val="222222"/>
          <w:sz w:val="28"/>
          <w:szCs w:val="28"/>
          <w:shd w:val="clear" w:color="auto" w:fill="FFFFFF"/>
        </w:rPr>
        <w:t>(2),</w:t>
      </w:r>
      <w:r w:rsidR="00E67B06">
        <w:rPr>
          <w:rStyle w:val="FootnoteReference"/>
          <w:color w:val="222222"/>
          <w:sz w:val="28"/>
          <w:szCs w:val="28"/>
          <w:shd w:val="clear" w:color="auto" w:fill="FFFFFF"/>
        </w:rPr>
        <w:footnoteReference w:id="19"/>
      </w:r>
      <w:r w:rsidR="00D328EF" w:rsidRPr="00DF0119">
        <w:rPr>
          <w:color w:val="222222"/>
          <w:sz w:val="28"/>
          <w:szCs w:val="28"/>
          <w:shd w:val="clear" w:color="auto" w:fill="FFFFFF"/>
        </w:rPr>
        <w:t xml:space="preserve"> which was cited as another section of the Act that was contravened.</w:t>
      </w:r>
    </w:p>
    <w:p w14:paraId="212CD48C" w14:textId="1BDAB398" w:rsidR="001B0AEF" w:rsidRDefault="001B0AEF" w:rsidP="001B0AEF">
      <w:pPr>
        <w:pStyle w:val="ListParagraph"/>
        <w:spacing w:line="360" w:lineRule="auto"/>
        <w:ind w:left="0"/>
        <w:jc w:val="both"/>
        <w:rPr>
          <w:color w:val="222222"/>
          <w:sz w:val="28"/>
          <w:szCs w:val="28"/>
          <w:shd w:val="clear" w:color="auto" w:fill="FFFFFF"/>
        </w:rPr>
      </w:pPr>
    </w:p>
    <w:p w14:paraId="33936659" w14:textId="646735CC" w:rsidR="0098072B" w:rsidRPr="00DF0119" w:rsidRDefault="00DF0119" w:rsidP="00DF0119">
      <w:pPr>
        <w:spacing w:line="360" w:lineRule="auto"/>
        <w:jc w:val="both"/>
        <w:rPr>
          <w:color w:val="222222"/>
          <w:sz w:val="28"/>
          <w:szCs w:val="28"/>
          <w:shd w:val="clear" w:color="auto" w:fill="FFFFFF"/>
        </w:rPr>
      </w:pPr>
      <w:r w:rsidRPr="007678FA">
        <w:rPr>
          <w:color w:val="222222"/>
          <w:sz w:val="28"/>
          <w:szCs w:val="28"/>
        </w:rPr>
        <w:t>[28]</w:t>
      </w:r>
      <w:r w:rsidRPr="007678FA">
        <w:rPr>
          <w:color w:val="222222"/>
          <w:sz w:val="28"/>
          <w:szCs w:val="28"/>
        </w:rPr>
        <w:tab/>
      </w:r>
      <w:r w:rsidR="00D946E5" w:rsidRPr="00DF0119">
        <w:rPr>
          <w:color w:val="222222"/>
          <w:sz w:val="28"/>
          <w:szCs w:val="28"/>
          <w:shd w:val="clear" w:color="auto" w:fill="FFFFFF"/>
        </w:rPr>
        <w:t>The respondents</w:t>
      </w:r>
      <w:r w:rsidR="00D328EF" w:rsidRPr="00DF0119">
        <w:rPr>
          <w:color w:val="222222"/>
          <w:sz w:val="28"/>
          <w:szCs w:val="28"/>
          <w:shd w:val="clear" w:color="auto" w:fill="FFFFFF"/>
        </w:rPr>
        <w:t xml:space="preserve"> contended</w:t>
      </w:r>
      <w:r w:rsidR="00CA7F93" w:rsidRPr="00DF0119">
        <w:rPr>
          <w:color w:val="222222"/>
          <w:sz w:val="28"/>
          <w:szCs w:val="28"/>
          <w:shd w:val="clear" w:color="auto" w:fill="FFFFFF"/>
        </w:rPr>
        <w:t xml:space="preserve"> that the agreements were not secured loan agreements, but pawn transactions</w:t>
      </w:r>
      <w:r w:rsidR="00F5616D" w:rsidRPr="00DF0119">
        <w:rPr>
          <w:color w:val="222222"/>
          <w:sz w:val="28"/>
          <w:szCs w:val="28"/>
          <w:shd w:val="clear" w:color="auto" w:fill="FFFFFF"/>
        </w:rPr>
        <w:t>.</w:t>
      </w:r>
      <w:r w:rsidR="00CA7F93" w:rsidRPr="00DF0119">
        <w:rPr>
          <w:color w:val="222222"/>
          <w:sz w:val="28"/>
          <w:szCs w:val="28"/>
          <w:shd w:val="clear" w:color="auto" w:fill="FFFFFF"/>
        </w:rPr>
        <w:t xml:space="preserve"> If this is so, </w:t>
      </w:r>
      <w:r w:rsidR="006040D3" w:rsidRPr="00DF0119">
        <w:rPr>
          <w:color w:val="222222"/>
          <w:sz w:val="28"/>
          <w:szCs w:val="28"/>
          <w:shd w:val="clear" w:color="auto" w:fill="FFFFFF"/>
        </w:rPr>
        <w:t>the alternative contravention of s 99(1)</w:t>
      </w:r>
      <w:r w:rsidR="006040D3" w:rsidRPr="00DF0119">
        <w:rPr>
          <w:i/>
          <w:color w:val="222222"/>
          <w:sz w:val="28"/>
          <w:shd w:val="clear" w:color="auto" w:fill="FFFFFF"/>
        </w:rPr>
        <w:t>(b)</w:t>
      </w:r>
      <w:r w:rsidR="006040D3" w:rsidRPr="00DF0119">
        <w:rPr>
          <w:color w:val="222222"/>
          <w:sz w:val="28"/>
          <w:szCs w:val="28"/>
          <w:shd w:val="clear" w:color="auto" w:fill="FFFFFF"/>
        </w:rPr>
        <w:t xml:space="preserve"> of the Act</w:t>
      </w:r>
      <w:r w:rsidR="00DC20AE" w:rsidRPr="00DF0119">
        <w:rPr>
          <w:color w:val="222222"/>
          <w:sz w:val="28"/>
          <w:szCs w:val="28"/>
          <w:shd w:val="clear" w:color="auto" w:fill="FFFFFF"/>
        </w:rPr>
        <w:t xml:space="preserve"> becomes applicable.</w:t>
      </w:r>
      <w:r w:rsidR="00CA7F93" w:rsidRPr="00DF0119">
        <w:rPr>
          <w:color w:val="222222"/>
          <w:sz w:val="28"/>
          <w:szCs w:val="28"/>
          <w:shd w:val="clear" w:color="auto" w:fill="FFFFFF"/>
        </w:rPr>
        <w:t xml:space="preserve"> U</w:t>
      </w:r>
      <w:r w:rsidR="0098072B" w:rsidRPr="00DF0119">
        <w:rPr>
          <w:color w:val="222222"/>
          <w:sz w:val="28"/>
          <w:szCs w:val="28"/>
          <w:shd w:val="clear" w:color="auto" w:fill="FFFFFF"/>
        </w:rPr>
        <w:t xml:space="preserve">nder </w:t>
      </w:r>
      <w:r w:rsidR="006040D3" w:rsidRPr="00DF0119">
        <w:rPr>
          <w:color w:val="222222"/>
          <w:sz w:val="28"/>
          <w:szCs w:val="28"/>
          <w:shd w:val="clear" w:color="auto" w:fill="FFFFFF"/>
        </w:rPr>
        <w:t>th</w:t>
      </w:r>
      <w:r w:rsidR="00F81B91" w:rsidRPr="00DF0119">
        <w:rPr>
          <w:color w:val="222222"/>
          <w:sz w:val="28"/>
          <w:szCs w:val="28"/>
          <w:shd w:val="clear" w:color="auto" w:fill="FFFFFF"/>
        </w:rPr>
        <w:t>at</w:t>
      </w:r>
      <w:r w:rsidR="006040D3" w:rsidRPr="00DF0119">
        <w:rPr>
          <w:color w:val="222222"/>
          <w:sz w:val="28"/>
          <w:szCs w:val="28"/>
          <w:shd w:val="clear" w:color="auto" w:fill="FFFFFF"/>
        </w:rPr>
        <w:t xml:space="preserve"> section, </w:t>
      </w:r>
      <w:r w:rsidR="0098072B" w:rsidRPr="00DF0119">
        <w:rPr>
          <w:color w:val="222222"/>
          <w:sz w:val="28"/>
          <w:szCs w:val="28"/>
          <w:shd w:val="clear" w:color="auto" w:fill="FFFFFF"/>
        </w:rPr>
        <w:t>a credit provider under a pawn transaction is prohibited from requiring a consumer to take up or pay for insurance which covers the risk of loss or damage to the consumer’</w:t>
      </w:r>
      <w:r w:rsidR="007A7439" w:rsidRPr="00DF0119">
        <w:rPr>
          <w:color w:val="222222"/>
          <w:sz w:val="28"/>
          <w:szCs w:val="28"/>
          <w:shd w:val="clear" w:color="auto" w:fill="FFFFFF"/>
        </w:rPr>
        <w:t>s</w:t>
      </w:r>
      <w:r w:rsidR="0098072B" w:rsidRPr="00DF0119">
        <w:rPr>
          <w:color w:val="222222"/>
          <w:sz w:val="28"/>
          <w:szCs w:val="28"/>
          <w:shd w:val="clear" w:color="auto" w:fill="FFFFFF"/>
        </w:rPr>
        <w:t xml:space="preserve"> vehicles during the period that the vehicles are held in pledge by </w:t>
      </w:r>
      <w:r w:rsidR="00D946E5" w:rsidRPr="00DF0119">
        <w:rPr>
          <w:color w:val="222222"/>
          <w:sz w:val="28"/>
          <w:szCs w:val="28"/>
          <w:shd w:val="clear" w:color="auto" w:fill="FFFFFF"/>
        </w:rPr>
        <w:t>the respondents</w:t>
      </w:r>
      <w:r w:rsidR="0098072B" w:rsidRPr="00DF0119">
        <w:rPr>
          <w:color w:val="222222"/>
          <w:sz w:val="28"/>
          <w:szCs w:val="28"/>
          <w:shd w:val="clear" w:color="auto" w:fill="FFFFFF"/>
        </w:rPr>
        <w:t xml:space="preserve"> as security </w:t>
      </w:r>
      <w:r w:rsidR="006040D3" w:rsidRPr="00DF0119">
        <w:rPr>
          <w:color w:val="222222"/>
          <w:sz w:val="28"/>
          <w:szCs w:val="28"/>
          <w:shd w:val="clear" w:color="auto" w:fill="FFFFFF"/>
        </w:rPr>
        <w:t>for</w:t>
      </w:r>
      <w:r w:rsidR="0098072B" w:rsidRPr="00DF0119">
        <w:rPr>
          <w:color w:val="222222"/>
          <w:sz w:val="28"/>
          <w:szCs w:val="28"/>
          <w:shd w:val="clear" w:color="auto" w:fill="FFFFFF"/>
        </w:rPr>
        <w:t xml:space="preserve"> the consumers’ indebtedness to </w:t>
      </w:r>
      <w:r w:rsidR="00D946E5" w:rsidRPr="00DF0119">
        <w:rPr>
          <w:color w:val="222222"/>
          <w:sz w:val="28"/>
          <w:szCs w:val="28"/>
          <w:shd w:val="clear" w:color="auto" w:fill="FFFFFF"/>
        </w:rPr>
        <w:t>the respondents</w:t>
      </w:r>
      <w:r w:rsidR="0098072B" w:rsidRPr="00DF0119">
        <w:rPr>
          <w:color w:val="222222"/>
          <w:sz w:val="28"/>
          <w:szCs w:val="28"/>
          <w:shd w:val="clear" w:color="auto" w:fill="FFFFFF"/>
        </w:rPr>
        <w:t>.</w:t>
      </w:r>
      <w:r w:rsidR="004E775F" w:rsidRPr="00DF0119">
        <w:rPr>
          <w:color w:val="222222"/>
          <w:sz w:val="28"/>
          <w:szCs w:val="28"/>
          <w:shd w:val="clear" w:color="auto" w:fill="FFFFFF"/>
        </w:rPr>
        <w:t xml:space="preserve"> As set out above, i</w:t>
      </w:r>
      <w:r w:rsidR="00CA7F93" w:rsidRPr="00DF0119">
        <w:rPr>
          <w:color w:val="222222"/>
          <w:sz w:val="28"/>
          <w:szCs w:val="28"/>
          <w:shd w:val="clear" w:color="auto" w:fill="FFFFFF"/>
        </w:rPr>
        <w:t xml:space="preserve">t is common cause that </w:t>
      </w:r>
      <w:r w:rsidR="00D946E5" w:rsidRPr="00DF0119">
        <w:rPr>
          <w:color w:val="222222"/>
          <w:sz w:val="28"/>
          <w:szCs w:val="28"/>
          <w:shd w:val="clear" w:color="auto" w:fill="FFFFFF"/>
        </w:rPr>
        <w:t>the respondents</w:t>
      </w:r>
      <w:r w:rsidR="00CA7F93" w:rsidRPr="00DF0119">
        <w:rPr>
          <w:color w:val="222222"/>
          <w:sz w:val="28"/>
          <w:szCs w:val="28"/>
          <w:shd w:val="clear" w:color="auto" w:fill="FFFFFF"/>
        </w:rPr>
        <w:t xml:space="preserve"> required their clients to pay for insurance. </w:t>
      </w:r>
      <w:r w:rsidR="0098072B" w:rsidRPr="00DF0119">
        <w:rPr>
          <w:color w:val="222222"/>
          <w:sz w:val="28"/>
          <w:szCs w:val="28"/>
          <w:shd w:val="clear" w:color="auto" w:fill="FFFFFF"/>
        </w:rPr>
        <w:t xml:space="preserve">The NCR thus sought </w:t>
      </w:r>
      <w:r w:rsidR="00CA7F93" w:rsidRPr="00DF0119">
        <w:rPr>
          <w:color w:val="222222"/>
          <w:sz w:val="28"/>
          <w:szCs w:val="28"/>
          <w:shd w:val="clear" w:color="auto" w:fill="FFFFFF"/>
        </w:rPr>
        <w:t xml:space="preserve">to include </w:t>
      </w:r>
      <w:r w:rsidR="0098072B" w:rsidRPr="00DF0119">
        <w:rPr>
          <w:color w:val="222222"/>
          <w:sz w:val="28"/>
          <w:szCs w:val="28"/>
          <w:shd w:val="clear" w:color="auto" w:fill="FFFFFF"/>
        </w:rPr>
        <w:t>an order that, in the event</w:t>
      </w:r>
      <w:r w:rsidR="00CA7F93" w:rsidRPr="00DF0119">
        <w:rPr>
          <w:color w:val="222222"/>
          <w:sz w:val="28"/>
          <w:szCs w:val="28"/>
          <w:shd w:val="clear" w:color="auto" w:fill="FFFFFF"/>
        </w:rPr>
        <w:t xml:space="preserve"> that it is held that </w:t>
      </w:r>
      <w:r w:rsidR="00D946E5" w:rsidRPr="00DF0119">
        <w:rPr>
          <w:color w:val="222222"/>
          <w:sz w:val="28"/>
          <w:szCs w:val="28"/>
          <w:shd w:val="clear" w:color="auto" w:fill="FFFFFF"/>
        </w:rPr>
        <w:t>the respondents</w:t>
      </w:r>
      <w:r w:rsidR="00CA7F93" w:rsidRPr="00DF0119">
        <w:rPr>
          <w:color w:val="222222"/>
          <w:sz w:val="28"/>
          <w:szCs w:val="28"/>
          <w:shd w:val="clear" w:color="auto" w:fill="FFFFFF"/>
        </w:rPr>
        <w:t xml:space="preserve"> </w:t>
      </w:r>
      <w:r w:rsidR="004E775F" w:rsidRPr="00DF0119">
        <w:rPr>
          <w:color w:val="222222"/>
          <w:sz w:val="28"/>
          <w:szCs w:val="28"/>
          <w:shd w:val="clear" w:color="auto" w:fill="FFFFFF"/>
        </w:rPr>
        <w:t>have</w:t>
      </w:r>
      <w:r w:rsidR="0098072B" w:rsidRPr="00DF0119">
        <w:rPr>
          <w:color w:val="222222"/>
          <w:sz w:val="28"/>
          <w:szCs w:val="28"/>
          <w:shd w:val="clear" w:color="auto" w:fill="FFFFFF"/>
        </w:rPr>
        <w:t xml:space="preserve"> </w:t>
      </w:r>
      <w:r w:rsidR="0098072B" w:rsidRPr="00DF0119">
        <w:rPr>
          <w:color w:val="222222"/>
          <w:sz w:val="28"/>
          <w:szCs w:val="28"/>
          <w:shd w:val="clear" w:color="auto" w:fill="FFFFFF"/>
        </w:rPr>
        <w:lastRenderedPageBreak/>
        <w:t xml:space="preserve">concluded pawn transactions as opposed to </w:t>
      </w:r>
      <w:r w:rsidR="00E67B06" w:rsidRPr="00DF0119">
        <w:rPr>
          <w:color w:val="222222"/>
          <w:sz w:val="28"/>
          <w:szCs w:val="28"/>
          <w:shd w:val="clear" w:color="auto" w:fill="FFFFFF"/>
        </w:rPr>
        <w:t>secured loan</w:t>
      </w:r>
      <w:r w:rsidR="0098072B" w:rsidRPr="00DF0119">
        <w:rPr>
          <w:color w:val="222222"/>
          <w:sz w:val="28"/>
          <w:szCs w:val="28"/>
          <w:shd w:val="clear" w:color="auto" w:fill="FFFFFF"/>
        </w:rPr>
        <w:t xml:space="preserve"> agreements, that they had contravened s 99(1)</w:t>
      </w:r>
      <w:r w:rsidR="0098072B" w:rsidRPr="00DF0119">
        <w:rPr>
          <w:i/>
          <w:color w:val="222222"/>
          <w:sz w:val="28"/>
          <w:shd w:val="clear" w:color="auto" w:fill="FFFFFF"/>
        </w:rPr>
        <w:t xml:space="preserve">(b) </w:t>
      </w:r>
      <w:r w:rsidR="0098072B" w:rsidRPr="00DF0119">
        <w:rPr>
          <w:color w:val="222222"/>
          <w:sz w:val="28"/>
          <w:szCs w:val="28"/>
          <w:shd w:val="clear" w:color="auto" w:fill="FFFFFF"/>
        </w:rPr>
        <w:t>of the Act.</w:t>
      </w:r>
    </w:p>
    <w:p w14:paraId="382F1EAB" w14:textId="77777777" w:rsidR="00CA7F93" w:rsidRPr="007678FA" w:rsidRDefault="00CA7F93" w:rsidP="005C0790">
      <w:pPr>
        <w:pStyle w:val="ListParagraph"/>
        <w:rPr>
          <w:color w:val="222222"/>
          <w:sz w:val="28"/>
          <w:szCs w:val="28"/>
          <w:shd w:val="clear" w:color="auto" w:fill="FFFFFF"/>
        </w:rPr>
      </w:pPr>
    </w:p>
    <w:p w14:paraId="72A70F31" w14:textId="4E986F97" w:rsidR="00F81B91" w:rsidRDefault="0098072B" w:rsidP="0098072B">
      <w:pPr>
        <w:spacing w:line="360" w:lineRule="auto"/>
        <w:jc w:val="both"/>
        <w:rPr>
          <w:color w:val="222222"/>
          <w:sz w:val="28"/>
          <w:szCs w:val="28"/>
          <w:shd w:val="clear" w:color="auto" w:fill="FFFFFF"/>
        </w:rPr>
      </w:pPr>
      <w:r w:rsidRPr="007678FA">
        <w:rPr>
          <w:color w:val="222222"/>
          <w:sz w:val="28"/>
          <w:szCs w:val="28"/>
          <w:shd w:val="clear" w:color="auto" w:fill="FFFFFF"/>
        </w:rPr>
        <w:t>[2</w:t>
      </w:r>
      <w:r w:rsidR="003A61E5">
        <w:rPr>
          <w:color w:val="222222"/>
          <w:sz w:val="28"/>
          <w:szCs w:val="28"/>
          <w:shd w:val="clear" w:color="auto" w:fill="FFFFFF"/>
        </w:rPr>
        <w:t>9</w:t>
      </w:r>
      <w:r w:rsidRPr="007678FA">
        <w:rPr>
          <w:color w:val="222222"/>
          <w:sz w:val="28"/>
          <w:szCs w:val="28"/>
          <w:shd w:val="clear" w:color="auto" w:fill="FFFFFF"/>
        </w:rPr>
        <w:t>]</w:t>
      </w:r>
      <w:r w:rsidR="00F81B91">
        <w:rPr>
          <w:color w:val="222222"/>
          <w:sz w:val="28"/>
          <w:szCs w:val="28"/>
          <w:shd w:val="clear" w:color="auto" w:fill="FFFFFF"/>
        </w:rPr>
        <w:tab/>
      </w:r>
      <w:r w:rsidRPr="007678FA">
        <w:rPr>
          <w:color w:val="222222"/>
          <w:sz w:val="28"/>
          <w:szCs w:val="28"/>
          <w:shd w:val="clear" w:color="auto" w:fill="FFFFFF"/>
        </w:rPr>
        <w:t xml:space="preserve">The final issue which was sought to be introduced in the supplementary affidavit was an explanation </w:t>
      </w:r>
      <w:r w:rsidR="00F81B91">
        <w:rPr>
          <w:color w:val="222222"/>
          <w:sz w:val="28"/>
          <w:szCs w:val="28"/>
          <w:shd w:val="clear" w:color="auto" w:fill="FFFFFF"/>
        </w:rPr>
        <w:t xml:space="preserve">as to </w:t>
      </w:r>
      <w:r w:rsidRPr="007678FA">
        <w:rPr>
          <w:color w:val="222222"/>
          <w:sz w:val="28"/>
          <w:szCs w:val="28"/>
          <w:shd w:val="clear" w:color="auto" w:fill="FFFFFF"/>
        </w:rPr>
        <w:t>why the NCR regarded the respondent</w:t>
      </w:r>
      <w:r w:rsidR="00D946E5">
        <w:rPr>
          <w:color w:val="222222"/>
          <w:sz w:val="28"/>
          <w:szCs w:val="28"/>
          <w:shd w:val="clear" w:color="auto" w:fill="FFFFFF"/>
        </w:rPr>
        <w:t>s’</w:t>
      </w:r>
      <w:r w:rsidRPr="007678FA">
        <w:rPr>
          <w:color w:val="222222"/>
          <w:sz w:val="28"/>
          <w:szCs w:val="28"/>
          <w:shd w:val="clear" w:color="auto" w:fill="FFFFFF"/>
        </w:rPr>
        <w:t xml:space="preserve"> </w:t>
      </w:r>
      <w:r w:rsidR="00CA7F93" w:rsidRPr="007678FA">
        <w:rPr>
          <w:color w:val="222222"/>
          <w:sz w:val="28"/>
          <w:szCs w:val="28"/>
          <w:shd w:val="clear" w:color="auto" w:fill="FFFFFF"/>
        </w:rPr>
        <w:t>agreements</w:t>
      </w:r>
      <w:r w:rsidRPr="007678FA">
        <w:rPr>
          <w:color w:val="222222"/>
          <w:sz w:val="28"/>
          <w:szCs w:val="28"/>
          <w:shd w:val="clear" w:color="auto" w:fill="FFFFFF"/>
        </w:rPr>
        <w:t xml:space="preserve"> as </w:t>
      </w:r>
      <w:r w:rsidR="00E67B06">
        <w:rPr>
          <w:color w:val="222222"/>
          <w:sz w:val="28"/>
          <w:szCs w:val="28"/>
          <w:shd w:val="clear" w:color="auto" w:fill="FFFFFF"/>
        </w:rPr>
        <w:t>secured loan</w:t>
      </w:r>
      <w:r w:rsidRPr="007678FA">
        <w:rPr>
          <w:color w:val="222222"/>
          <w:sz w:val="28"/>
          <w:szCs w:val="28"/>
          <w:shd w:val="clear" w:color="auto" w:fill="FFFFFF"/>
        </w:rPr>
        <w:t xml:space="preserve"> agreements, rather than pawn transactions (as defined in the Act)</w:t>
      </w:r>
      <w:r w:rsidR="00866572">
        <w:rPr>
          <w:color w:val="222222"/>
          <w:sz w:val="28"/>
          <w:szCs w:val="28"/>
          <w:shd w:val="clear" w:color="auto" w:fill="FFFFFF"/>
        </w:rPr>
        <w:t>.</w:t>
      </w:r>
      <w:r w:rsidRPr="007678FA">
        <w:rPr>
          <w:color w:val="222222"/>
          <w:sz w:val="28"/>
          <w:szCs w:val="28"/>
          <w:shd w:val="clear" w:color="auto" w:fill="FFFFFF"/>
        </w:rPr>
        <w:t xml:space="preserve"> </w:t>
      </w:r>
      <w:r w:rsidR="000E57BB">
        <w:rPr>
          <w:color w:val="222222"/>
          <w:sz w:val="28"/>
          <w:szCs w:val="28"/>
          <w:shd w:val="clear" w:color="auto" w:fill="FFFFFF"/>
        </w:rPr>
        <w:t xml:space="preserve">This issue was dealt with in detail in the report. In </w:t>
      </w:r>
      <w:r w:rsidR="00B25774">
        <w:rPr>
          <w:color w:val="222222"/>
          <w:sz w:val="28"/>
          <w:szCs w:val="28"/>
          <w:shd w:val="clear" w:color="auto" w:fill="FFFFFF"/>
        </w:rPr>
        <w:t>NCR’s founding affidavit in support of the application for condonation</w:t>
      </w:r>
      <w:r w:rsidR="000E57BB">
        <w:rPr>
          <w:color w:val="222222"/>
          <w:sz w:val="28"/>
          <w:szCs w:val="28"/>
          <w:shd w:val="clear" w:color="auto" w:fill="FFFFFF"/>
        </w:rPr>
        <w:t>, the NCR alleged that</w:t>
      </w:r>
      <w:r w:rsidR="00F81B91">
        <w:rPr>
          <w:color w:val="222222"/>
          <w:sz w:val="28"/>
          <w:szCs w:val="28"/>
          <w:shd w:val="clear" w:color="auto" w:fill="FFFFFF"/>
        </w:rPr>
        <w:t>:</w:t>
      </w:r>
    </w:p>
    <w:p w14:paraId="29858627" w14:textId="3E4FB69B" w:rsidR="009243CB" w:rsidRDefault="000E57BB" w:rsidP="0098072B">
      <w:pPr>
        <w:spacing w:line="360" w:lineRule="auto"/>
        <w:jc w:val="both"/>
        <w:rPr>
          <w:lang w:val="en-US"/>
        </w:rPr>
      </w:pPr>
      <w:r w:rsidRPr="00F5616D">
        <w:rPr>
          <w:color w:val="222222"/>
          <w:shd w:val="clear" w:color="auto" w:fill="FFFFFF"/>
        </w:rPr>
        <w:t>‘</w:t>
      </w:r>
      <w:r w:rsidR="009243CB">
        <w:rPr>
          <w:color w:val="222222"/>
          <w:shd w:val="clear" w:color="auto" w:fill="FFFFFF"/>
        </w:rPr>
        <w:t xml:space="preserve">. . . </w:t>
      </w:r>
      <w:r w:rsidRPr="00F5616D">
        <w:rPr>
          <w:color w:val="222222"/>
          <w:shd w:val="clear" w:color="auto" w:fill="FFFFFF"/>
        </w:rPr>
        <w:t>[t]</w:t>
      </w:r>
      <w:r w:rsidRPr="00F5616D">
        <w:rPr>
          <w:lang w:val="en-US"/>
        </w:rPr>
        <w:t>he issue regarding categorisation of the credit agreements according to the definitions under the National Credit Act is, I submit, central to the dispute between the parties. The Respondents complain that the Applicant’s founding papers do not explain the basis upon which the Applicant claims that the agreements are secured loans as opposed to pawn transactions. The Applicant submits that</w:t>
      </w:r>
      <w:r w:rsidRPr="005C0790">
        <w:rPr>
          <w:color w:val="222222"/>
          <w:sz w:val="28"/>
          <w:shd w:val="clear" w:color="auto" w:fill="FFFFFF"/>
        </w:rPr>
        <w:t xml:space="preserve"> </w:t>
      </w:r>
      <w:r w:rsidRPr="005C0790">
        <w:rPr>
          <w:sz w:val="28"/>
          <w:lang w:val="en-US"/>
        </w:rPr>
        <w:t xml:space="preserve">this </w:t>
      </w:r>
      <w:r w:rsidR="001B0AEF" w:rsidRPr="001B0AEF">
        <w:rPr>
          <w:sz w:val="28"/>
          <w:szCs w:val="28"/>
          <w:lang w:val="en-US"/>
        </w:rPr>
        <w:t>was</w:t>
      </w:r>
      <w:r w:rsidRPr="005C0790">
        <w:rPr>
          <w:sz w:val="28"/>
          <w:lang w:val="en-US"/>
        </w:rPr>
        <w:t xml:space="preserve"> an issue of interpretation of the Act and thus </w:t>
      </w:r>
      <w:r w:rsidR="001B0AEF" w:rsidRPr="001B0AEF">
        <w:rPr>
          <w:sz w:val="28"/>
          <w:szCs w:val="28"/>
          <w:lang w:val="en-US"/>
        </w:rPr>
        <w:t>would</w:t>
      </w:r>
      <w:r w:rsidRPr="005C0790">
        <w:rPr>
          <w:sz w:val="28"/>
          <w:lang w:val="en-US"/>
        </w:rPr>
        <w:t xml:space="preserve"> be addressed </w:t>
      </w:r>
      <w:r w:rsidR="001B0AEF" w:rsidRPr="001B0AEF">
        <w:rPr>
          <w:sz w:val="28"/>
          <w:szCs w:val="28"/>
          <w:lang w:val="en-US"/>
        </w:rPr>
        <w:t>in</w:t>
      </w:r>
      <w:r w:rsidRPr="005C0790">
        <w:rPr>
          <w:sz w:val="28"/>
          <w:lang w:val="en-US"/>
        </w:rPr>
        <w:t xml:space="preserve"> legal argument </w:t>
      </w:r>
      <w:r w:rsidR="001B0AEF" w:rsidRPr="001B0AEF">
        <w:rPr>
          <w:sz w:val="28"/>
          <w:szCs w:val="28"/>
          <w:lang w:val="en-US"/>
        </w:rPr>
        <w:t xml:space="preserve">at the hearing. </w:t>
      </w:r>
      <w:r w:rsidRPr="00F5616D">
        <w:rPr>
          <w:lang w:val="en-US"/>
        </w:rPr>
        <w:t xml:space="preserve">and, therefore, it was not strictly necessary to set out this argument in its founding affidavit.’ </w:t>
      </w:r>
    </w:p>
    <w:p w14:paraId="131D2EEE" w14:textId="77777777" w:rsidR="002C7F31" w:rsidRPr="00F5616D" w:rsidRDefault="002C7F31" w:rsidP="0098072B">
      <w:pPr>
        <w:spacing w:line="360" w:lineRule="auto"/>
        <w:jc w:val="both"/>
        <w:rPr>
          <w:lang w:val="en-US"/>
        </w:rPr>
      </w:pPr>
    </w:p>
    <w:p w14:paraId="38CA3268" w14:textId="147BA559" w:rsidR="0098072B" w:rsidRPr="00DF0119" w:rsidRDefault="00DF0119" w:rsidP="00DF0119">
      <w:pPr>
        <w:spacing w:line="360" w:lineRule="auto"/>
        <w:jc w:val="both"/>
        <w:rPr>
          <w:color w:val="222222"/>
          <w:sz w:val="28"/>
          <w:szCs w:val="28"/>
          <w:shd w:val="clear" w:color="auto" w:fill="FFFFFF"/>
        </w:rPr>
      </w:pPr>
      <w:r w:rsidRPr="007678FA">
        <w:rPr>
          <w:color w:val="222222"/>
          <w:sz w:val="28"/>
          <w:szCs w:val="28"/>
        </w:rPr>
        <w:t>[30]</w:t>
      </w:r>
      <w:r w:rsidRPr="007678FA">
        <w:rPr>
          <w:color w:val="222222"/>
          <w:sz w:val="28"/>
          <w:szCs w:val="28"/>
        </w:rPr>
        <w:tab/>
      </w:r>
      <w:r w:rsidR="0098072B" w:rsidRPr="00DF0119">
        <w:rPr>
          <w:color w:val="222222"/>
          <w:sz w:val="28"/>
          <w:szCs w:val="28"/>
          <w:shd w:val="clear" w:color="auto" w:fill="FFFFFF"/>
        </w:rPr>
        <w:t xml:space="preserve">The NCR </w:t>
      </w:r>
      <w:r w:rsidR="000E57BB" w:rsidRPr="00DF0119">
        <w:rPr>
          <w:color w:val="222222"/>
          <w:sz w:val="28"/>
          <w:szCs w:val="28"/>
          <w:shd w:val="clear" w:color="auto" w:fill="FFFFFF"/>
        </w:rPr>
        <w:t xml:space="preserve">however, </w:t>
      </w:r>
      <w:r w:rsidR="000E57BB" w:rsidRPr="00DF0119">
        <w:rPr>
          <w:i/>
          <w:color w:val="222222"/>
          <w:sz w:val="28"/>
          <w:szCs w:val="28"/>
          <w:shd w:val="clear" w:color="auto" w:fill="FFFFFF"/>
        </w:rPr>
        <w:t>ex abundante cautela</w:t>
      </w:r>
      <w:r w:rsidR="009243CB" w:rsidRPr="00DF0119">
        <w:rPr>
          <w:i/>
          <w:color w:val="222222"/>
          <w:sz w:val="28"/>
          <w:szCs w:val="28"/>
          <w:shd w:val="clear" w:color="auto" w:fill="FFFFFF"/>
        </w:rPr>
        <w:t xml:space="preserve">, </w:t>
      </w:r>
      <w:r w:rsidR="009243CB" w:rsidRPr="00DF0119">
        <w:rPr>
          <w:color w:val="222222"/>
          <w:sz w:val="28"/>
          <w:szCs w:val="28"/>
          <w:shd w:val="clear" w:color="auto" w:fill="FFFFFF"/>
        </w:rPr>
        <w:t>in their supplementary  affidavit,</w:t>
      </w:r>
      <w:r w:rsidR="000E57BB" w:rsidRPr="00DF0119">
        <w:rPr>
          <w:color w:val="222222"/>
          <w:sz w:val="28"/>
          <w:szCs w:val="28"/>
          <w:shd w:val="clear" w:color="auto" w:fill="FFFFFF"/>
        </w:rPr>
        <w:t xml:space="preserve"> </w:t>
      </w:r>
      <w:r w:rsidR="0098072B" w:rsidRPr="00DF0119">
        <w:rPr>
          <w:color w:val="222222"/>
          <w:sz w:val="28"/>
          <w:szCs w:val="28"/>
          <w:shd w:val="clear" w:color="auto" w:fill="FFFFFF"/>
        </w:rPr>
        <w:t xml:space="preserve">referred to three reasons </w:t>
      </w:r>
      <w:r w:rsidR="000E57BB" w:rsidRPr="00DF0119">
        <w:rPr>
          <w:color w:val="222222"/>
          <w:sz w:val="28"/>
          <w:szCs w:val="28"/>
          <w:shd w:val="clear" w:color="auto" w:fill="FFFFFF"/>
        </w:rPr>
        <w:t>for the distinction</w:t>
      </w:r>
      <w:r w:rsidR="009243CB" w:rsidRPr="00DF0119">
        <w:rPr>
          <w:color w:val="222222"/>
          <w:sz w:val="28"/>
          <w:szCs w:val="28"/>
          <w:shd w:val="clear" w:color="auto" w:fill="FFFFFF"/>
        </w:rPr>
        <w:t>. They contended that</w:t>
      </w:r>
      <w:r w:rsidR="000E57BB" w:rsidRPr="00DF0119">
        <w:rPr>
          <w:color w:val="222222"/>
          <w:sz w:val="28"/>
          <w:szCs w:val="28"/>
          <w:shd w:val="clear" w:color="auto" w:fill="FFFFFF"/>
        </w:rPr>
        <w:t>:</w:t>
      </w:r>
    </w:p>
    <w:p w14:paraId="3FFCA3F6" w14:textId="0FD33B2C" w:rsidR="0098072B" w:rsidRPr="00DF0119" w:rsidRDefault="00DF0119" w:rsidP="00DF0119">
      <w:pPr>
        <w:spacing w:line="360" w:lineRule="auto"/>
        <w:ind w:left="567" w:hanging="387"/>
        <w:jc w:val="both"/>
        <w:rPr>
          <w:color w:val="222222"/>
          <w:sz w:val="28"/>
          <w:szCs w:val="28"/>
          <w:shd w:val="clear" w:color="auto" w:fill="FFFFFF"/>
        </w:rPr>
      </w:pPr>
      <w:r>
        <w:rPr>
          <w:color w:val="222222"/>
          <w:sz w:val="28"/>
          <w:szCs w:val="28"/>
        </w:rPr>
        <w:t>(a)</w:t>
      </w:r>
      <w:r>
        <w:rPr>
          <w:color w:val="222222"/>
          <w:sz w:val="28"/>
          <w:szCs w:val="28"/>
        </w:rPr>
        <w:tab/>
      </w:r>
      <w:r w:rsidR="00D946E5" w:rsidRPr="00DF0119">
        <w:rPr>
          <w:color w:val="222222"/>
          <w:sz w:val="28"/>
          <w:szCs w:val="28"/>
          <w:shd w:val="clear" w:color="auto" w:fill="FFFFFF"/>
        </w:rPr>
        <w:t>The respondents were</w:t>
      </w:r>
      <w:r w:rsidR="0098072B" w:rsidRPr="00DF0119">
        <w:rPr>
          <w:color w:val="222222"/>
          <w:sz w:val="28"/>
          <w:szCs w:val="28"/>
          <w:shd w:val="clear" w:color="auto" w:fill="FFFFFF"/>
        </w:rPr>
        <w:t xml:space="preserve"> not entitled to retain all of the proceeds of the sale of the vehicle. If there was a surplus, as required in terms of paragraph (c) of the definition of </w:t>
      </w:r>
      <w:r w:rsidR="009243CB" w:rsidRPr="00DF0119">
        <w:rPr>
          <w:color w:val="222222"/>
          <w:sz w:val="28"/>
          <w:szCs w:val="28"/>
          <w:shd w:val="clear" w:color="auto" w:fill="FFFFFF"/>
        </w:rPr>
        <w:t>‘</w:t>
      </w:r>
      <w:r w:rsidR="0098072B" w:rsidRPr="00DF0119">
        <w:rPr>
          <w:color w:val="222222"/>
          <w:sz w:val="28"/>
          <w:szCs w:val="28"/>
          <w:shd w:val="clear" w:color="auto" w:fill="FFFFFF"/>
        </w:rPr>
        <w:t>pawn transaction</w:t>
      </w:r>
      <w:r w:rsidR="009243CB" w:rsidRPr="00DF0119">
        <w:rPr>
          <w:color w:val="222222"/>
          <w:sz w:val="28"/>
          <w:szCs w:val="28"/>
          <w:shd w:val="clear" w:color="auto" w:fill="FFFFFF"/>
        </w:rPr>
        <w:t>’</w:t>
      </w:r>
      <w:r w:rsidR="0098072B" w:rsidRPr="00DF0119">
        <w:rPr>
          <w:color w:val="222222"/>
          <w:sz w:val="28"/>
          <w:szCs w:val="28"/>
          <w:shd w:val="clear" w:color="auto" w:fill="FFFFFF"/>
        </w:rPr>
        <w:t>;</w:t>
      </w:r>
    </w:p>
    <w:p w14:paraId="5A2AE896" w14:textId="0313861F" w:rsidR="0098072B" w:rsidRPr="00DF0119" w:rsidRDefault="00DF0119" w:rsidP="00DF0119">
      <w:pPr>
        <w:spacing w:line="360" w:lineRule="auto"/>
        <w:ind w:left="567" w:hanging="387"/>
        <w:jc w:val="both"/>
        <w:rPr>
          <w:color w:val="222222"/>
          <w:sz w:val="28"/>
          <w:szCs w:val="28"/>
          <w:shd w:val="clear" w:color="auto" w:fill="FFFFFF"/>
        </w:rPr>
      </w:pPr>
      <w:r>
        <w:rPr>
          <w:color w:val="222222"/>
          <w:sz w:val="28"/>
          <w:szCs w:val="28"/>
        </w:rPr>
        <w:t>(b)</w:t>
      </w:r>
      <w:r>
        <w:rPr>
          <w:color w:val="222222"/>
          <w:sz w:val="28"/>
          <w:szCs w:val="28"/>
        </w:rPr>
        <w:tab/>
      </w:r>
      <w:r w:rsidR="006E7005" w:rsidRPr="00DF0119">
        <w:rPr>
          <w:color w:val="222222"/>
          <w:sz w:val="28"/>
          <w:szCs w:val="28"/>
          <w:shd w:val="clear" w:color="auto" w:fill="FFFFFF"/>
        </w:rPr>
        <w:t>Conversely</w:t>
      </w:r>
      <w:r w:rsidR="0098072B" w:rsidRPr="00DF0119">
        <w:rPr>
          <w:color w:val="222222"/>
          <w:sz w:val="28"/>
          <w:szCs w:val="28"/>
          <w:shd w:val="clear" w:color="auto" w:fill="FFFFFF"/>
        </w:rPr>
        <w:t xml:space="preserve">, if there was a shortfall, the credit agreements do not provide that the proceeds from the sale of the vehicle will constitute full and final settlement of the consumer’s debt. And </w:t>
      </w:r>
      <w:r w:rsidR="00D946E5" w:rsidRPr="00DF0119">
        <w:rPr>
          <w:color w:val="222222"/>
          <w:sz w:val="28"/>
          <w:szCs w:val="28"/>
          <w:shd w:val="clear" w:color="auto" w:fill="FFFFFF"/>
        </w:rPr>
        <w:t>the respondents</w:t>
      </w:r>
      <w:r w:rsidR="0098072B" w:rsidRPr="00DF0119">
        <w:rPr>
          <w:color w:val="222222"/>
          <w:sz w:val="28"/>
          <w:szCs w:val="28"/>
          <w:shd w:val="clear" w:color="auto" w:fill="FFFFFF"/>
        </w:rPr>
        <w:t xml:space="preserve"> do not accept the proceeds of the sale as full and final settlement of the debt (also </w:t>
      </w:r>
      <w:r w:rsidR="00866572" w:rsidRPr="00DF0119">
        <w:rPr>
          <w:color w:val="222222"/>
          <w:sz w:val="28"/>
          <w:szCs w:val="28"/>
          <w:shd w:val="clear" w:color="auto" w:fill="FFFFFF"/>
        </w:rPr>
        <w:t>required in terms of paragraph (c)</w:t>
      </w:r>
      <w:r w:rsidR="0098072B" w:rsidRPr="00DF0119">
        <w:rPr>
          <w:color w:val="222222"/>
          <w:sz w:val="28"/>
          <w:szCs w:val="28"/>
          <w:shd w:val="clear" w:color="auto" w:fill="FFFFFF"/>
        </w:rPr>
        <w:t xml:space="preserve"> of the definition</w:t>
      </w:r>
      <w:r w:rsidR="00866572" w:rsidRPr="00DF0119">
        <w:rPr>
          <w:color w:val="222222"/>
          <w:sz w:val="28"/>
          <w:szCs w:val="28"/>
          <w:shd w:val="clear" w:color="auto" w:fill="FFFFFF"/>
        </w:rPr>
        <w:t>)</w:t>
      </w:r>
      <w:r w:rsidR="0098072B" w:rsidRPr="00DF0119">
        <w:rPr>
          <w:color w:val="222222"/>
          <w:sz w:val="28"/>
          <w:szCs w:val="28"/>
          <w:shd w:val="clear" w:color="auto" w:fill="FFFFFF"/>
        </w:rPr>
        <w:t>;</w:t>
      </w:r>
    </w:p>
    <w:p w14:paraId="7DC528FF" w14:textId="333DCB5D" w:rsidR="00DE0326" w:rsidRPr="00DF0119" w:rsidRDefault="00DF0119" w:rsidP="00DF0119">
      <w:pPr>
        <w:spacing w:line="360" w:lineRule="auto"/>
        <w:ind w:left="567" w:hanging="387"/>
        <w:jc w:val="both"/>
        <w:rPr>
          <w:color w:val="222222"/>
          <w:sz w:val="28"/>
          <w:szCs w:val="28"/>
          <w:shd w:val="clear" w:color="auto" w:fill="FFFFFF"/>
        </w:rPr>
      </w:pPr>
      <w:r w:rsidRPr="000E57BB">
        <w:rPr>
          <w:color w:val="222222"/>
          <w:sz w:val="28"/>
          <w:szCs w:val="28"/>
        </w:rPr>
        <w:lastRenderedPageBreak/>
        <w:t>(c)</w:t>
      </w:r>
      <w:r w:rsidRPr="000E57BB">
        <w:rPr>
          <w:color w:val="222222"/>
          <w:sz w:val="28"/>
          <w:szCs w:val="28"/>
        </w:rPr>
        <w:tab/>
      </w:r>
      <w:r w:rsidR="0098072B" w:rsidRPr="00DF0119">
        <w:rPr>
          <w:color w:val="222222"/>
          <w:sz w:val="28"/>
          <w:szCs w:val="28"/>
          <w:shd w:val="clear" w:color="auto" w:fill="FFFFFF"/>
        </w:rPr>
        <w:t xml:space="preserve">The agreements, on the other hand, meet all of the definitional requirements required to be considered </w:t>
      </w:r>
      <w:r w:rsidR="009243CB" w:rsidRPr="00DF0119">
        <w:rPr>
          <w:color w:val="222222"/>
          <w:sz w:val="28"/>
          <w:szCs w:val="28"/>
          <w:shd w:val="clear" w:color="auto" w:fill="FFFFFF"/>
        </w:rPr>
        <w:t>‘</w:t>
      </w:r>
      <w:r w:rsidR="0098072B" w:rsidRPr="00DF0119">
        <w:rPr>
          <w:color w:val="222222"/>
          <w:sz w:val="28"/>
          <w:szCs w:val="28"/>
          <w:shd w:val="clear" w:color="auto" w:fill="FFFFFF"/>
        </w:rPr>
        <w:t>secured loan</w:t>
      </w:r>
      <w:r w:rsidR="009243CB" w:rsidRPr="00DF0119">
        <w:rPr>
          <w:color w:val="222222"/>
          <w:sz w:val="28"/>
          <w:szCs w:val="28"/>
          <w:shd w:val="clear" w:color="auto" w:fill="FFFFFF"/>
        </w:rPr>
        <w:t>’</w:t>
      </w:r>
      <w:r w:rsidR="0098072B" w:rsidRPr="00DF0119">
        <w:rPr>
          <w:color w:val="222222"/>
          <w:sz w:val="28"/>
          <w:szCs w:val="28"/>
          <w:shd w:val="clear" w:color="auto" w:fill="FFFFFF"/>
        </w:rPr>
        <w:t xml:space="preserve"> agreements.</w:t>
      </w:r>
    </w:p>
    <w:p w14:paraId="6E35C5B8" w14:textId="3E5C652A" w:rsidR="00572B88" w:rsidRDefault="00572B88" w:rsidP="00572B88">
      <w:pPr>
        <w:spacing w:line="360" w:lineRule="auto"/>
        <w:jc w:val="both"/>
        <w:rPr>
          <w:color w:val="222222"/>
          <w:sz w:val="28"/>
          <w:szCs w:val="28"/>
          <w:shd w:val="clear" w:color="auto" w:fill="FFFFFF"/>
        </w:rPr>
      </w:pPr>
      <w:r>
        <w:rPr>
          <w:color w:val="222222"/>
          <w:sz w:val="28"/>
          <w:szCs w:val="28"/>
          <w:shd w:val="clear" w:color="auto" w:fill="FFFFFF"/>
        </w:rPr>
        <w:t>This explanation was based upon the facts set out in the report and the founding affidavit</w:t>
      </w:r>
      <w:r w:rsidR="001B0AEF">
        <w:rPr>
          <w:color w:val="222222"/>
          <w:sz w:val="28"/>
          <w:szCs w:val="28"/>
          <w:shd w:val="clear" w:color="auto" w:fill="FFFFFF"/>
        </w:rPr>
        <w:t xml:space="preserve"> and are </w:t>
      </w:r>
      <w:r w:rsidR="00D946E5">
        <w:rPr>
          <w:color w:val="222222"/>
          <w:sz w:val="28"/>
          <w:szCs w:val="28"/>
          <w:shd w:val="clear" w:color="auto" w:fill="FFFFFF"/>
        </w:rPr>
        <w:t xml:space="preserve">referred to </w:t>
      </w:r>
      <w:r w:rsidR="001B0AEF">
        <w:rPr>
          <w:color w:val="222222"/>
          <w:sz w:val="28"/>
          <w:szCs w:val="28"/>
          <w:shd w:val="clear" w:color="auto" w:fill="FFFFFF"/>
        </w:rPr>
        <w:t>in s 99 (1)</w:t>
      </w:r>
      <w:r w:rsidR="001B0AEF" w:rsidRPr="004E775F">
        <w:rPr>
          <w:i/>
          <w:color w:val="222222"/>
          <w:sz w:val="28"/>
          <w:szCs w:val="28"/>
          <w:shd w:val="clear" w:color="auto" w:fill="FFFFFF"/>
        </w:rPr>
        <w:t>(b)</w:t>
      </w:r>
      <w:r w:rsidR="001B0AEF" w:rsidRPr="00723EF0">
        <w:rPr>
          <w:color w:val="222222"/>
          <w:sz w:val="28"/>
          <w:szCs w:val="28"/>
          <w:shd w:val="clear" w:color="auto" w:fill="FFFFFF"/>
        </w:rPr>
        <w:t>.</w:t>
      </w:r>
    </w:p>
    <w:p w14:paraId="35F11693" w14:textId="2B4D570E" w:rsidR="003A61E5" w:rsidRDefault="003A61E5" w:rsidP="00572B88">
      <w:pPr>
        <w:spacing w:line="360" w:lineRule="auto"/>
        <w:jc w:val="both"/>
        <w:rPr>
          <w:color w:val="222222"/>
          <w:sz w:val="28"/>
          <w:szCs w:val="28"/>
          <w:shd w:val="clear" w:color="auto" w:fill="FFFFFF"/>
        </w:rPr>
      </w:pPr>
    </w:p>
    <w:p w14:paraId="1B069671" w14:textId="69ECC6BF" w:rsidR="0098072B" w:rsidRPr="00DF0119" w:rsidRDefault="00DF0119" w:rsidP="00DF0119">
      <w:pPr>
        <w:spacing w:line="360" w:lineRule="auto"/>
        <w:jc w:val="both"/>
        <w:rPr>
          <w:sz w:val="28"/>
        </w:rPr>
      </w:pPr>
      <w:r w:rsidRPr="00CC33B5">
        <w:rPr>
          <w:sz w:val="28"/>
          <w:szCs w:val="28"/>
        </w:rPr>
        <w:t>[31]</w:t>
      </w:r>
      <w:r w:rsidRPr="00CC33B5">
        <w:rPr>
          <w:sz w:val="28"/>
          <w:szCs w:val="28"/>
        </w:rPr>
        <w:tab/>
      </w:r>
      <w:r w:rsidR="001B432D" w:rsidRPr="00DF0119">
        <w:rPr>
          <w:sz w:val="28"/>
          <w:szCs w:val="28"/>
        </w:rPr>
        <w:t xml:space="preserve">It is thus clear that no new case is made out in the supplementary </w:t>
      </w:r>
      <w:r w:rsidR="002C0F45" w:rsidRPr="00DF0119">
        <w:rPr>
          <w:sz w:val="28"/>
          <w:szCs w:val="28"/>
        </w:rPr>
        <w:t>affidavit. It</w:t>
      </w:r>
      <w:r w:rsidR="001B432D" w:rsidRPr="00DF0119">
        <w:rPr>
          <w:sz w:val="28"/>
          <w:szCs w:val="28"/>
        </w:rPr>
        <w:t xml:space="preserve"> made </w:t>
      </w:r>
      <w:r w:rsidR="00F81F13" w:rsidRPr="00DF0119">
        <w:rPr>
          <w:sz w:val="28"/>
          <w:szCs w:val="28"/>
        </w:rPr>
        <w:t>references</w:t>
      </w:r>
      <w:r w:rsidR="001B432D" w:rsidRPr="00DF0119">
        <w:rPr>
          <w:sz w:val="28"/>
          <w:szCs w:val="28"/>
        </w:rPr>
        <w:t xml:space="preserve"> to the report, which was attached to the founding affidavit. All the facts </w:t>
      </w:r>
      <w:r w:rsidR="00507885" w:rsidRPr="00DF0119">
        <w:rPr>
          <w:sz w:val="28"/>
          <w:szCs w:val="28"/>
        </w:rPr>
        <w:t xml:space="preserve">relating to the contraventions were contained therein. </w:t>
      </w:r>
      <w:r w:rsidR="00F5616D" w:rsidRPr="00DF0119">
        <w:rPr>
          <w:sz w:val="28"/>
          <w:szCs w:val="28"/>
        </w:rPr>
        <w:t xml:space="preserve">The interpretation of  the definitions and descriptions in the Act, of pawn transactions and secured loan agreements, is a matter for legal argument. </w:t>
      </w:r>
      <w:r w:rsidR="00507885" w:rsidRPr="00DF0119">
        <w:rPr>
          <w:sz w:val="28"/>
          <w:szCs w:val="28"/>
        </w:rPr>
        <w:t xml:space="preserve">No new evidence was produced in the supplementary affidavit, and none will be </w:t>
      </w:r>
      <w:r w:rsidR="00507885" w:rsidRPr="00DF0119">
        <w:rPr>
          <w:sz w:val="28"/>
        </w:rPr>
        <w:t>required at the hearing.</w:t>
      </w:r>
      <w:r w:rsidR="001B432D" w:rsidRPr="00DF0119">
        <w:rPr>
          <w:sz w:val="28"/>
        </w:rPr>
        <w:t xml:space="preserve"> </w:t>
      </w:r>
    </w:p>
    <w:p w14:paraId="1E89B2E4" w14:textId="77777777" w:rsidR="00C42D6A" w:rsidRPr="00F5616D" w:rsidRDefault="00C42D6A" w:rsidP="00C42D6A">
      <w:pPr>
        <w:pStyle w:val="ListParagraph"/>
        <w:spacing w:line="360" w:lineRule="auto"/>
        <w:ind w:left="0"/>
        <w:jc w:val="both"/>
        <w:rPr>
          <w:sz w:val="28"/>
          <w:szCs w:val="28"/>
          <w:highlight w:val="green"/>
        </w:rPr>
      </w:pPr>
    </w:p>
    <w:p w14:paraId="5C14425A" w14:textId="57D8EB9E" w:rsidR="008B2F62" w:rsidRPr="00DF0119" w:rsidRDefault="00DF0119" w:rsidP="00DF0119">
      <w:pPr>
        <w:spacing w:line="360" w:lineRule="auto"/>
        <w:jc w:val="both"/>
        <w:rPr>
          <w:rFonts w:eastAsiaTheme="minorHAnsi"/>
          <w:lang w:val="en-US"/>
        </w:rPr>
      </w:pPr>
      <w:r w:rsidRPr="00507885">
        <w:rPr>
          <w:rFonts w:eastAsiaTheme="minorHAnsi"/>
          <w:sz w:val="28"/>
          <w:szCs w:val="28"/>
          <w:lang w:val="en-US"/>
        </w:rPr>
        <w:t>[32]</w:t>
      </w:r>
      <w:r w:rsidRPr="00507885">
        <w:rPr>
          <w:rFonts w:eastAsiaTheme="minorHAnsi"/>
          <w:sz w:val="28"/>
          <w:szCs w:val="28"/>
          <w:lang w:val="en-US"/>
        </w:rPr>
        <w:tab/>
      </w:r>
      <w:r w:rsidR="00507885" w:rsidRPr="00DF0119">
        <w:rPr>
          <w:sz w:val="28"/>
          <w:szCs w:val="28"/>
        </w:rPr>
        <w:t>If one has regard to the nature of the allegations contained in the supplementary affidavit, they seek, in effect, to amend the notice of motion and founding affidavit, by adding the necessary declarators of the contraventions</w:t>
      </w:r>
      <w:r w:rsidR="001B0AEF" w:rsidRPr="00DF0119">
        <w:rPr>
          <w:sz w:val="28"/>
          <w:szCs w:val="28"/>
        </w:rPr>
        <w:t>.</w:t>
      </w:r>
      <w:r w:rsidR="00A537CB" w:rsidRPr="00DF0119">
        <w:rPr>
          <w:sz w:val="28"/>
          <w:szCs w:val="28"/>
        </w:rPr>
        <w:t xml:space="preserve"> </w:t>
      </w:r>
      <w:r w:rsidR="001B0AEF" w:rsidRPr="00DF0119">
        <w:rPr>
          <w:sz w:val="28"/>
          <w:szCs w:val="28"/>
        </w:rPr>
        <w:t xml:space="preserve">The </w:t>
      </w:r>
      <w:r w:rsidR="00A8482D" w:rsidRPr="00DF0119">
        <w:rPr>
          <w:sz w:val="28"/>
          <w:szCs w:val="28"/>
        </w:rPr>
        <w:t>r</w:t>
      </w:r>
      <w:r w:rsidR="001B0AEF" w:rsidRPr="00DF0119">
        <w:rPr>
          <w:sz w:val="28"/>
          <w:szCs w:val="28"/>
        </w:rPr>
        <w:t>ules provide fo</w:t>
      </w:r>
      <w:r w:rsidR="00CA481D" w:rsidRPr="00DF0119">
        <w:rPr>
          <w:sz w:val="28"/>
          <w:szCs w:val="28"/>
        </w:rPr>
        <w:t xml:space="preserve">r three affidvaits to be filed, </w:t>
      </w:r>
      <w:r w:rsidR="001B0AEF" w:rsidRPr="00DF0119">
        <w:rPr>
          <w:sz w:val="28"/>
          <w:szCs w:val="28"/>
        </w:rPr>
        <w:t xml:space="preserve"> thus this application </w:t>
      </w:r>
      <w:r w:rsidR="00CA481D" w:rsidRPr="00DF0119">
        <w:rPr>
          <w:sz w:val="28"/>
          <w:szCs w:val="28"/>
        </w:rPr>
        <w:t>amounted to a departure from those</w:t>
      </w:r>
      <w:r w:rsidR="001B0AEF" w:rsidRPr="00DF0119">
        <w:rPr>
          <w:sz w:val="28"/>
          <w:szCs w:val="28"/>
        </w:rPr>
        <w:t xml:space="preserve"> rules and procedures</w:t>
      </w:r>
      <w:r w:rsidR="00B15CE2" w:rsidRPr="00DF0119">
        <w:rPr>
          <w:sz w:val="28"/>
          <w:szCs w:val="28"/>
        </w:rPr>
        <w:t xml:space="preserve">. The </w:t>
      </w:r>
      <w:r w:rsidR="00507885" w:rsidRPr="00DF0119">
        <w:rPr>
          <w:sz w:val="28"/>
          <w:szCs w:val="28"/>
        </w:rPr>
        <w:t>description of the a</w:t>
      </w:r>
      <w:r w:rsidR="00B15CE2" w:rsidRPr="00DF0119">
        <w:rPr>
          <w:sz w:val="28"/>
          <w:szCs w:val="28"/>
        </w:rPr>
        <w:t>lternative contravention was</w:t>
      </w:r>
      <w:r w:rsidR="00507885" w:rsidRPr="00DF0119">
        <w:rPr>
          <w:sz w:val="28"/>
          <w:szCs w:val="28"/>
        </w:rPr>
        <w:t xml:space="preserve"> already set out in the founding affidavit. The NCR could</w:t>
      </w:r>
      <w:r w:rsidR="001B0AEF" w:rsidRPr="00DF0119">
        <w:rPr>
          <w:sz w:val="28"/>
          <w:szCs w:val="28"/>
        </w:rPr>
        <w:t>, equally,</w:t>
      </w:r>
      <w:r w:rsidR="00507885" w:rsidRPr="00DF0119">
        <w:rPr>
          <w:sz w:val="28"/>
          <w:szCs w:val="28"/>
        </w:rPr>
        <w:t xml:space="preserve"> have sought an amendment to its </w:t>
      </w:r>
      <w:r w:rsidR="00CA481D" w:rsidRPr="00DF0119">
        <w:rPr>
          <w:sz w:val="28"/>
          <w:szCs w:val="28"/>
        </w:rPr>
        <w:t xml:space="preserve">notice of motion and </w:t>
      </w:r>
      <w:r w:rsidR="00507885" w:rsidRPr="00DF0119">
        <w:rPr>
          <w:sz w:val="28"/>
          <w:szCs w:val="28"/>
        </w:rPr>
        <w:t xml:space="preserve">founding papers to effect these insertions, in terms of </w:t>
      </w:r>
      <w:r w:rsidR="008B2F62" w:rsidRPr="00DF0119">
        <w:rPr>
          <w:sz w:val="28"/>
          <w:szCs w:val="28"/>
        </w:rPr>
        <w:t>r</w:t>
      </w:r>
      <w:r w:rsidR="00507885" w:rsidRPr="00DF0119">
        <w:rPr>
          <w:sz w:val="28"/>
          <w:szCs w:val="28"/>
        </w:rPr>
        <w:t xml:space="preserve">ule 15. </w:t>
      </w:r>
      <w:r w:rsidR="00F5616D" w:rsidRPr="00DF0119">
        <w:rPr>
          <w:sz w:val="28"/>
          <w:szCs w:val="28"/>
        </w:rPr>
        <w:t>Whether an amendment to an affidavit would be permissible is not</w:t>
      </w:r>
      <w:r w:rsidR="002C7F31" w:rsidRPr="00DF0119">
        <w:rPr>
          <w:sz w:val="28"/>
          <w:szCs w:val="28"/>
        </w:rPr>
        <w:t xml:space="preserve"> for this Court to decide, but</w:t>
      </w:r>
      <w:r w:rsidR="00F5616D" w:rsidRPr="00DF0119">
        <w:rPr>
          <w:sz w:val="28"/>
          <w:szCs w:val="28"/>
        </w:rPr>
        <w:t xml:space="preserve"> </w:t>
      </w:r>
      <w:r w:rsidR="002C7F31" w:rsidRPr="00DF0119">
        <w:rPr>
          <w:sz w:val="28"/>
          <w:szCs w:val="28"/>
        </w:rPr>
        <w:t xml:space="preserve">NCR </w:t>
      </w:r>
      <w:r w:rsidR="00507885" w:rsidRPr="00DF0119">
        <w:rPr>
          <w:sz w:val="28"/>
          <w:szCs w:val="28"/>
        </w:rPr>
        <w:t>sought instead</w:t>
      </w:r>
      <w:r w:rsidR="008B2F62" w:rsidRPr="00DF0119">
        <w:rPr>
          <w:sz w:val="28"/>
          <w:szCs w:val="28"/>
        </w:rPr>
        <w:t>,</w:t>
      </w:r>
      <w:r w:rsidR="00507885" w:rsidRPr="00DF0119">
        <w:rPr>
          <w:sz w:val="28"/>
          <w:szCs w:val="28"/>
        </w:rPr>
        <w:t xml:space="preserve"> to file a supplementary affidavit</w:t>
      </w:r>
      <w:r w:rsidR="00CA481D" w:rsidRPr="00DF0119">
        <w:rPr>
          <w:sz w:val="28"/>
          <w:szCs w:val="28"/>
        </w:rPr>
        <w:t xml:space="preserve">, </w:t>
      </w:r>
      <w:r w:rsidR="00507885" w:rsidRPr="00DF0119">
        <w:rPr>
          <w:sz w:val="28"/>
          <w:szCs w:val="28"/>
        </w:rPr>
        <w:t xml:space="preserve">a departure from the </w:t>
      </w:r>
      <w:r w:rsidR="00CA481D" w:rsidRPr="00DF0119">
        <w:rPr>
          <w:sz w:val="28"/>
          <w:szCs w:val="28"/>
        </w:rPr>
        <w:t>procedure</w:t>
      </w:r>
      <w:r w:rsidR="00507885" w:rsidRPr="00DF0119">
        <w:rPr>
          <w:sz w:val="28"/>
          <w:szCs w:val="28"/>
        </w:rPr>
        <w:t xml:space="preserve"> set out in </w:t>
      </w:r>
      <w:r w:rsidR="008B2F62" w:rsidRPr="00DF0119">
        <w:rPr>
          <w:sz w:val="28"/>
          <w:szCs w:val="28"/>
        </w:rPr>
        <w:t>r</w:t>
      </w:r>
      <w:r w:rsidR="00507885" w:rsidRPr="00DF0119">
        <w:rPr>
          <w:sz w:val="28"/>
          <w:szCs w:val="28"/>
        </w:rPr>
        <w:t xml:space="preserve">ules 6,7,13,14 and 15. </w:t>
      </w:r>
      <w:r w:rsidR="00CA481D" w:rsidRPr="00DF0119">
        <w:rPr>
          <w:sz w:val="28"/>
          <w:szCs w:val="28"/>
        </w:rPr>
        <w:t>I</w:t>
      </w:r>
      <w:r w:rsidR="00A537CB" w:rsidRPr="00DF0119">
        <w:rPr>
          <w:sz w:val="28"/>
          <w:szCs w:val="28"/>
        </w:rPr>
        <w:t>n</w:t>
      </w:r>
      <w:r w:rsidR="00572B88" w:rsidRPr="00DF0119">
        <w:rPr>
          <w:sz w:val="28"/>
          <w:szCs w:val="28"/>
        </w:rPr>
        <w:t xml:space="preserve"> my view,</w:t>
      </w:r>
      <w:r w:rsidR="00507885" w:rsidRPr="00DF0119">
        <w:rPr>
          <w:sz w:val="28"/>
          <w:szCs w:val="28"/>
        </w:rPr>
        <w:t xml:space="preserve"> </w:t>
      </w:r>
      <w:r w:rsidR="00CA481D" w:rsidRPr="00DF0119">
        <w:rPr>
          <w:sz w:val="28"/>
          <w:szCs w:val="28"/>
        </w:rPr>
        <w:t xml:space="preserve">the application clearly </w:t>
      </w:r>
      <w:r w:rsidR="00A537CB" w:rsidRPr="00DF0119">
        <w:rPr>
          <w:sz w:val="28"/>
          <w:szCs w:val="28"/>
        </w:rPr>
        <w:t>fall</w:t>
      </w:r>
      <w:r w:rsidR="00CA481D" w:rsidRPr="00DF0119">
        <w:rPr>
          <w:sz w:val="28"/>
          <w:szCs w:val="28"/>
        </w:rPr>
        <w:t>s</w:t>
      </w:r>
      <w:r w:rsidR="00507885" w:rsidRPr="00DF0119">
        <w:rPr>
          <w:sz w:val="28"/>
          <w:szCs w:val="28"/>
        </w:rPr>
        <w:t xml:space="preserve"> within the category of ‘any departure from the rules and </w:t>
      </w:r>
      <w:r w:rsidR="00A537CB" w:rsidRPr="00DF0119">
        <w:rPr>
          <w:sz w:val="28"/>
          <w:szCs w:val="28"/>
        </w:rPr>
        <w:t>procedures</w:t>
      </w:r>
      <w:r w:rsidR="00A8482D" w:rsidRPr="00DF0119">
        <w:rPr>
          <w:sz w:val="28"/>
          <w:szCs w:val="28"/>
        </w:rPr>
        <w:t>’.</w:t>
      </w:r>
      <w:r w:rsidR="00A537CB" w:rsidRPr="00DF0119">
        <w:rPr>
          <w:sz w:val="28"/>
          <w:szCs w:val="28"/>
        </w:rPr>
        <w:t xml:space="preserve"> Rule 10 has no application because the condonation sought is listed in </w:t>
      </w:r>
      <w:r w:rsidR="00A8482D" w:rsidRPr="00DF0119">
        <w:rPr>
          <w:sz w:val="28"/>
          <w:szCs w:val="28"/>
        </w:rPr>
        <w:t>r</w:t>
      </w:r>
      <w:r w:rsidR="00A537CB" w:rsidRPr="00DF0119">
        <w:rPr>
          <w:sz w:val="28"/>
          <w:szCs w:val="28"/>
        </w:rPr>
        <w:t xml:space="preserve">ule 3 and contrary to the submissions of </w:t>
      </w:r>
      <w:r w:rsidR="00B15CE2" w:rsidRPr="00DF0119">
        <w:rPr>
          <w:sz w:val="28"/>
          <w:szCs w:val="28"/>
        </w:rPr>
        <w:t>t</w:t>
      </w:r>
      <w:r w:rsidR="00D946E5" w:rsidRPr="00DF0119">
        <w:rPr>
          <w:sz w:val="28"/>
          <w:szCs w:val="28"/>
        </w:rPr>
        <w:t>he respondents</w:t>
      </w:r>
      <w:r w:rsidR="00A537CB" w:rsidRPr="00DF0119">
        <w:rPr>
          <w:sz w:val="28"/>
          <w:szCs w:val="28"/>
        </w:rPr>
        <w:t>, no fu</w:t>
      </w:r>
      <w:r w:rsidR="001B0AEF" w:rsidRPr="00DF0119">
        <w:rPr>
          <w:sz w:val="28"/>
          <w:szCs w:val="28"/>
        </w:rPr>
        <w:t xml:space="preserve">rther evidence will </w:t>
      </w:r>
      <w:r w:rsidR="00A537CB" w:rsidRPr="00DF0119">
        <w:rPr>
          <w:sz w:val="28"/>
          <w:szCs w:val="28"/>
        </w:rPr>
        <w:t>be required</w:t>
      </w:r>
      <w:r w:rsidR="00507885" w:rsidRPr="00DF0119">
        <w:rPr>
          <w:sz w:val="28"/>
          <w:szCs w:val="28"/>
        </w:rPr>
        <w:t xml:space="preserve"> at the hearing</w:t>
      </w:r>
      <w:r w:rsidR="008B2F62" w:rsidRPr="00DF0119">
        <w:rPr>
          <w:sz w:val="28"/>
          <w:szCs w:val="28"/>
        </w:rPr>
        <w:t>.</w:t>
      </w:r>
      <w:r w:rsidR="00507885" w:rsidRPr="00DF0119">
        <w:rPr>
          <w:sz w:val="28"/>
          <w:szCs w:val="28"/>
        </w:rPr>
        <w:t xml:space="preserve"> </w:t>
      </w:r>
    </w:p>
    <w:p w14:paraId="65B8DA3F" w14:textId="72325FFF" w:rsidR="003A61E5" w:rsidRPr="00F03A51" w:rsidRDefault="00DF0119" w:rsidP="00DF0119">
      <w:pPr>
        <w:spacing w:line="360" w:lineRule="auto"/>
        <w:ind w:left="-90"/>
        <w:jc w:val="both"/>
      </w:pPr>
      <w:r w:rsidRPr="00F03A51">
        <w:rPr>
          <w:sz w:val="28"/>
          <w:szCs w:val="28"/>
        </w:rPr>
        <w:lastRenderedPageBreak/>
        <w:t>[33]</w:t>
      </w:r>
      <w:r w:rsidRPr="00F03A51">
        <w:rPr>
          <w:sz w:val="28"/>
          <w:szCs w:val="28"/>
        </w:rPr>
        <w:tab/>
      </w:r>
      <w:r w:rsidR="00507885" w:rsidRPr="00DF0119">
        <w:rPr>
          <w:rFonts w:eastAsiaTheme="minorHAnsi"/>
          <w:sz w:val="28"/>
          <w:szCs w:val="28"/>
          <w:lang w:val="en-US"/>
        </w:rPr>
        <w:t xml:space="preserve">If the appeal is refused </w:t>
      </w:r>
      <w:r w:rsidR="00866572" w:rsidRPr="00DF0119">
        <w:rPr>
          <w:rFonts w:eastAsiaTheme="minorHAnsi"/>
          <w:sz w:val="28"/>
          <w:szCs w:val="28"/>
          <w:lang w:val="en-US"/>
        </w:rPr>
        <w:t>on the basis that the Tribunal did not have the power to make the d</w:t>
      </w:r>
      <w:r w:rsidR="00CA29B0" w:rsidRPr="00DF0119">
        <w:rPr>
          <w:rFonts w:eastAsiaTheme="minorHAnsi"/>
          <w:sz w:val="28"/>
          <w:szCs w:val="28"/>
          <w:lang w:val="en-US"/>
        </w:rPr>
        <w:t xml:space="preserve">ecision </w:t>
      </w:r>
      <w:r w:rsidR="00866572" w:rsidRPr="00DF0119">
        <w:rPr>
          <w:rFonts w:eastAsiaTheme="minorHAnsi"/>
          <w:sz w:val="28"/>
          <w:szCs w:val="28"/>
          <w:lang w:val="en-US"/>
        </w:rPr>
        <w:t xml:space="preserve">which it did, </w:t>
      </w:r>
      <w:r w:rsidR="00507885" w:rsidRPr="00DF0119">
        <w:rPr>
          <w:rFonts w:eastAsiaTheme="minorHAnsi"/>
          <w:sz w:val="28"/>
          <w:szCs w:val="28"/>
          <w:lang w:val="en-US"/>
        </w:rPr>
        <w:t xml:space="preserve">the NCR would be compelled to either bring an </w:t>
      </w:r>
      <w:r w:rsidR="008E039B" w:rsidRPr="00DF0119">
        <w:rPr>
          <w:sz w:val="28"/>
          <w:szCs w:val="28"/>
        </w:rPr>
        <w:t xml:space="preserve">application for an </w:t>
      </w:r>
      <w:r w:rsidR="009B55F2" w:rsidRPr="00DF0119">
        <w:rPr>
          <w:sz w:val="28"/>
          <w:szCs w:val="28"/>
        </w:rPr>
        <w:t>amendment</w:t>
      </w:r>
      <w:r w:rsidR="00507885" w:rsidRPr="00DF0119">
        <w:rPr>
          <w:sz w:val="28"/>
          <w:szCs w:val="28"/>
        </w:rPr>
        <w:t xml:space="preserve"> or one in</w:t>
      </w:r>
      <w:r w:rsidR="00866572" w:rsidRPr="00DF0119">
        <w:rPr>
          <w:sz w:val="28"/>
          <w:szCs w:val="28"/>
        </w:rPr>
        <w:t xml:space="preserve"> </w:t>
      </w:r>
      <w:r w:rsidR="00507885" w:rsidRPr="00DF0119">
        <w:rPr>
          <w:sz w:val="28"/>
          <w:szCs w:val="28"/>
        </w:rPr>
        <w:t xml:space="preserve">terms of </w:t>
      </w:r>
      <w:r w:rsidR="008B2F62" w:rsidRPr="00DF0119">
        <w:rPr>
          <w:sz w:val="28"/>
          <w:szCs w:val="28"/>
        </w:rPr>
        <w:t>r</w:t>
      </w:r>
      <w:r w:rsidR="00507885" w:rsidRPr="00DF0119">
        <w:rPr>
          <w:sz w:val="28"/>
          <w:szCs w:val="28"/>
        </w:rPr>
        <w:t xml:space="preserve">ule 10. </w:t>
      </w:r>
      <w:r w:rsidR="008E039B" w:rsidRPr="00DF0119">
        <w:rPr>
          <w:sz w:val="28"/>
          <w:szCs w:val="28"/>
        </w:rPr>
        <w:t xml:space="preserve">This protracted procedure would have the same result as the condonation now sought, but it would be contrary to the express provisions </w:t>
      </w:r>
      <w:r w:rsidR="00507885" w:rsidRPr="00DF0119">
        <w:rPr>
          <w:sz w:val="28"/>
          <w:szCs w:val="28"/>
        </w:rPr>
        <w:t xml:space="preserve">of the </w:t>
      </w:r>
      <w:r w:rsidR="008B2F62" w:rsidRPr="00DF0119">
        <w:rPr>
          <w:sz w:val="28"/>
          <w:szCs w:val="28"/>
        </w:rPr>
        <w:t>r</w:t>
      </w:r>
      <w:r w:rsidR="00507885" w:rsidRPr="00DF0119">
        <w:rPr>
          <w:sz w:val="28"/>
          <w:szCs w:val="28"/>
        </w:rPr>
        <w:t xml:space="preserve">ules </w:t>
      </w:r>
      <w:r w:rsidR="008E039B" w:rsidRPr="00DF0119">
        <w:rPr>
          <w:sz w:val="28"/>
          <w:szCs w:val="28"/>
        </w:rPr>
        <w:t>for the proceedings to be conducted expeditiously and informally.</w:t>
      </w:r>
    </w:p>
    <w:p w14:paraId="1A168AD3" w14:textId="77777777" w:rsidR="00F03A51" w:rsidRDefault="00F03A51" w:rsidP="00F03A51">
      <w:pPr>
        <w:pStyle w:val="ListParagraph"/>
      </w:pPr>
    </w:p>
    <w:p w14:paraId="7BEA54B2" w14:textId="68EC5774" w:rsidR="00002AE5" w:rsidRPr="003A61E5" w:rsidRDefault="00DF0119" w:rsidP="00DF0119">
      <w:pPr>
        <w:spacing w:line="360" w:lineRule="auto"/>
        <w:jc w:val="both"/>
      </w:pPr>
      <w:r w:rsidRPr="003A61E5">
        <w:rPr>
          <w:sz w:val="28"/>
          <w:szCs w:val="28"/>
        </w:rPr>
        <w:t>[34]</w:t>
      </w:r>
      <w:r w:rsidRPr="003A61E5">
        <w:rPr>
          <w:sz w:val="28"/>
          <w:szCs w:val="28"/>
        </w:rPr>
        <w:tab/>
      </w:r>
      <w:r w:rsidR="00845522" w:rsidRPr="00DF0119">
        <w:rPr>
          <w:sz w:val="28"/>
          <w:szCs w:val="28"/>
        </w:rPr>
        <w:t xml:space="preserve">I am of the view that the Tribunal correctly exercised the general powers of condonation contained in </w:t>
      </w:r>
      <w:r w:rsidR="00F9714C" w:rsidRPr="00DF0119">
        <w:rPr>
          <w:sz w:val="28"/>
          <w:szCs w:val="28"/>
        </w:rPr>
        <w:t>r</w:t>
      </w:r>
      <w:r w:rsidR="00845522" w:rsidRPr="00DF0119">
        <w:rPr>
          <w:sz w:val="28"/>
          <w:szCs w:val="28"/>
        </w:rPr>
        <w:t xml:space="preserve">ules 3, 34 and s 150 of the Act, in </w:t>
      </w:r>
      <w:r w:rsidR="00541A7A" w:rsidRPr="00DF0119">
        <w:rPr>
          <w:sz w:val="28"/>
          <w:szCs w:val="28"/>
        </w:rPr>
        <w:t>holding that the filing of the supplementary affidavit was a</w:t>
      </w:r>
      <w:r w:rsidR="00845522" w:rsidRPr="00DF0119">
        <w:rPr>
          <w:sz w:val="28"/>
          <w:szCs w:val="28"/>
        </w:rPr>
        <w:t xml:space="preserve"> departur</w:t>
      </w:r>
      <w:r w:rsidR="00541A7A" w:rsidRPr="00DF0119">
        <w:rPr>
          <w:sz w:val="28"/>
          <w:szCs w:val="28"/>
        </w:rPr>
        <w:t>e from its rules and procedures, which it could condone.</w:t>
      </w:r>
      <w:r w:rsidR="00845522" w:rsidRPr="00DF0119">
        <w:rPr>
          <w:sz w:val="28"/>
          <w:szCs w:val="28"/>
        </w:rPr>
        <w:t xml:space="preserve"> </w:t>
      </w:r>
    </w:p>
    <w:p w14:paraId="156BCF27" w14:textId="77777777" w:rsidR="003A61E5" w:rsidRDefault="003A61E5" w:rsidP="003A61E5">
      <w:pPr>
        <w:pStyle w:val="ListParagraph"/>
      </w:pPr>
    </w:p>
    <w:p w14:paraId="7DE5AD36" w14:textId="77777777" w:rsidR="003A61E5" w:rsidRDefault="003A61E5" w:rsidP="003A61E5">
      <w:pPr>
        <w:spacing w:line="360" w:lineRule="auto"/>
        <w:jc w:val="both"/>
        <w:rPr>
          <w:b/>
          <w:sz w:val="28"/>
          <w:szCs w:val="28"/>
        </w:rPr>
      </w:pPr>
      <w:r>
        <w:rPr>
          <w:b/>
          <w:sz w:val="28"/>
          <w:szCs w:val="28"/>
        </w:rPr>
        <w:t>Good Cause</w:t>
      </w:r>
    </w:p>
    <w:p w14:paraId="2587D967" w14:textId="1D2A396C" w:rsidR="00541A7A" w:rsidRPr="007678FA" w:rsidRDefault="00DF0119" w:rsidP="00DF0119">
      <w:pPr>
        <w:spacing w:line="360" w:lineRule="auto"/>
        <w:jc w:val="both"/>
      </w:pPr>
      <w:r w:rsidRPr="007678FA">
        <w:rPr>
          <w:sz w:val="28"/>
          <w:szCs w:val="28"/>
        </w:rPr>
        <w:t>[35]</w:t>
      </w:r>
      <w:r w:rsidRPr="007678FA">
        <w:rPr>
          <w:sz w:val="28"/>
          <w:szCs w:val="28"/>
        </w:rPr>
        <w:tab/>
      </w:r>
      <w:r w:rsidR="00541A7A" w:rsidRPr="007678FA">
        <w:rPr>
          <w:sz w:val="28"/>
          <w:szCs w:val="28"/>
        </w:rPr>
        <w:t xml:space="preserve">It is trite that ‘good cause’ is a requirement for condonation and is expressly referred to in </w:t>
      </w:r>
      <w:r w:rsidR="00F9714C" w:rsidRPr="007678FA">
        <w:rPr>
          <w:sz w:val="28"/>
          <w:szCs w:val="28"/>
        </w:rPr>
        <w:t>r</w:t>
      </w:r>
      <w:r w:rsidR="00541A7A" w:rsidRPr="007678FA">
        <w:rPr>
          <w:sz w:val="28"/>
          <w:szCs w:val="28"/>
        </w:rPr>
        <w:t>ule 34(2).</w:t>
      </w:r>
      <w:r w:rsidR="00845522" w:rsidRPr="007678FA">
        <w:rPr>
          <w:sz w:val="28"/>
          <w:szCs w:val="28"/>
        </w:rPr>
        <w:t xml:space="preserve"> </w:t>
      </w:r>
      <w:r w:rsidR="00845522" w:rsidRPr="007678FA">
        <w:rPr>
          <w:color w:val="222222"/>
          <w:sz w:val="28"/>
          <w:szCs w:val="28"/>
          <w:shd w:val="clear" w:color="auto" w:fill="FFFFFF"/>
        </w:rPr>
        <w:t>This requires the exercise of a discretion, on an objective conspectus of all the facts.</w:t>
      </w:r>
      <w:r w:rsidR="00845522" w:rsidRPr="007678FA">
        <w:rPr>
          <w:rStyle w:val="FootnoteReference"/>
          <w:color w:val="222222"/>
          <w:sz w:val="28"/>
          <w:szCs w:val="28"/>
          <w:shd w:val="clear" w:color="auto" w:fill="FFFFFF"/>
        </w:rPr>
        <w:footnoteReference w:id="20"/>
      </w:r>
      <w:r w:rsidR="00845522" w:rsidRPr="007678FA">
        <w:rPr>
          <w:color w:val="222222"/>
          <w:shd w:val="clear" w:color="auto" w:fill="FFFFFF"/>
        </w:rPr>
        <w:t xml:space="preserve"> </w:t>
      </w:r>
      <w:r w:rsidR="00845522" w:rsidRPr="007678FA">
        <w:rPr>
          <w:sz w:val="28"/>
          <w:szCs w:val="28"/>
        </w:rPr>
        <w:t xml:space="preserve">The Constitutional </w:t>
      </w:r>
      <w:r w:rsidR="00541A7A" w:rsidRPr="007678FA">
        <w:rPr>
          <w:sz w:val="28"/>
          <w:szCs w:val="28"/>
        </w:rPr>
        <w:t>Court</w:t>
      </w:r>
      <w:r w:rsidR="00F9714C" w:rsidRPr="007678FA">
        <w:rPr>
          <w:sz w:val="28"/>
          <w:szCs w:val="28"/>
        </w:rPr>
        <w:t>,</w:t>
      </w:r>
      <w:r w:rsidR="00541A7A" w:rsidRPr="007678FA">
        <w:rPr>
          <w:sz w:val="28"/>
          <w:szCs w:val="28"/>
        </w:rPr>
        <w:t xml:space="preserve"> in </w:t>
      </w:r>
      <w:r w:rsidR="00F06E54" w:rsidRPr="00F5616D">
        <w:rPr>
          <w:i/>
          <w:sz w:val="28"/>
          <w:szCs w:val="28"/>
        </w:rPr>
        <w:t>Competition Commission of South Africa v Pickfords Removals SA (Pty) Limited</w:t>
      </w:r>
      <w:r w:rsidR="00F06E54">
        <w:rPr>
          <w:i/>
          <w:sz w:val="28"/>
          <w:szCs w:val="28"/>
        </w:rPr>
        <w:t xml:space="preserve"> (</w:t>
      </w:r>
      <w:r w:rsidR="00882A71" w:rsidRPr="007678FA">
        <w:rPr>
          <w:i/>
          <w:sz w:val="28"/>
          <w:szCs w:val="28"/>
        </w:rPr>
        <w:t>Pickfords</w:t>
      </w:r>
      <w:r w:rsidR="00F06E54">
        <w:rPr>
          <w:i/>
          <w:sz w:val="28"/>
          <w:szCs w:val="28"/>
        </w:rPr>
        <w:t>)</w:t>
      </w:r>
      <w:r w:rsidR="00541A7A" w:rsidRPr="007678FA">
        <w:rPr>
          <w:i/>
          <w:sz w:val="28"/>
          <w:szCs w:val="28"/>
        </w:rPr>
        <w:t>,</w:t>
      </w:r>
      <w:r w:rsidR="00541A7A" w:rsidRPr="007678FA">
        <w:rPr>
          <w:rStyle w:val="FootnoteReference"/>
          <w:sz w:val="28"/>
          <w:szCs w:val="28"/>
        </w:rPr>
        <w:footnoteReference w:id="21"/>
      </w:r>
      <w:r w:rsidR="00541A7A" w:rsidRPr="007678FA">
        <w:rPr>
          <w:i/>
          <w:sz w:val="28"/>
          <w:szCs w:val="28"/>
        </w:rPr>
        <w:t xml:space="preserve"> </w:t>
      </w:r>
      <w:r w:rsidR="00541A7A" w:rsidRPr="007678FA">
        <w:rPr>
          <w:sz w:val="28"/>
          <w:szCs w:val="28"/>
        </w:rPr>
        <w:t>repeated the principles laid down in much jurisprudence on this point. It stated</w:t>
      </w:r>
      <w:r w:rsidR="00F46EC3" w:rsidRPr="007678FA">
        <w:rPr>
          <w:sz w:val="28"/>
          <w:szCs w:val="28"/>
        </w:rPr>
        <w:t xml:space="preserve"> that</w:t>
      </w:r>
      <w:r w:rsidR="00541A7A" w:rsidRPr="007678FA">
        <w:rPr>
          <w:sz w:val="28"/>
          <w:szCs w:val="28"/>
        </w:rPr>
        <w:t>:</w:t>
      </w:r>
    </w:p>
    <w:p w14:paraId="70503BA0" w14:textId="0D9CDCD6" w:rsidR="00A21848" w:rsidRPr="005C0790" w:rsidRDefault="00541A7A" w:rsidP="004E775F">
      <w:pPr>
        <w:pStyle w:val="ListParagraph"/>
        <w:spacing w:line="360" w:lineRule="auto"/>
        <w:ind w:left="0"/>
        <w:jc w:val="both"/>
      </w:pPr>
      <w:r w:rsidRPr="003A61E5">
        <w:rPr>
          <w:sz w:val="28"/>
          <w:szCs w:val="28"/>
        </w:rPr>
        <w:t>‘Courts are afforded a wide discretion in evaluating what constitutes “good cause”, so as to ensure that justice is done.  Ultimately, the overriding consideration is the interests of justice</w:t>
      </w:r>
      <w:r w:rsidR="00A8482D">
        <w:rPr>
          <w:sz w:val="28"/>
          <w:szCs w:val="28"/>
        </w:rPr>
        <w:t>’</w:t>
      </w:r>
      <w:r w:rsidRPr="003A61E5">
        <w:rPr>
          <w:sz w:val="28"/>
          <w:szCs w:val="28"/>
        </w:rPr>
        <w:t>,</w:t>
      </w:r>
      <w:r w:rsidRPr="003A61E5">
        <w:rPr>
          <w:color w:val="222222"/>
          <w:sz w:val="28"/>
          <w:szCs w:val="28"/>
          <w:shd w:val="clear" w:color="auto" w:fill="FFFFFF"/>
        </w:rPr>
        <w:t xml:space="preserve"> which </w:t>
      </w:r>
      <w:r w:rsidR="00A21848" w:rsidRPr="003A61E5">
        <w:rPr>
          <w:color w:val="000000"/>
          <w:sz w:val="28"/>
          <w:szCs w:val="28"/>
        </w:rPr>
        <w:t xml:space="preserve">are </w:t>
      </w:r>
      <w:r w:rsidR="00912742" w:rsidRPr="003A61E5">
        <w:rPr>
          <w:color w:val="000000"/>
          <w:sz w:val="28"/>
          <w:szCs w:val="28"/>
        </w:rPr>
        <w:t>‘</w:t>
      </w:r>
      <w:r w:rsidR="00845522" w:rsidRPr="003A61E5">
        <w:rPr>
          <w:color w:val="000000"/>
          <w:sz w:val="28"/>
          <w:szCs w:val="28"/>
        </w:rPr>
        <w:t xml:space="preserve">inter-related: they are not individually </w:t>
      </w:r>
      <w:r w:rsidR="001B0AEF" w:rsidRPr="003A61E5">
        <w:rPr>
          <w:color w:val="000000"/>
          <w:sz w:val="28"/>
          <w:szCs w:val="28"/>
        </w:rPr>
        <w:t>decisive’</w:t>
      </w:r>
      <w:r w:rsidR="006B3F07">
        <w:rPr>
          <w:color w:val="000000"/>
          <w:sz w:val="28"/>
          <w:szCs w:val="28"/>
        </w:rPr>
        <w:t>.</w:t>
      </w:r>
      <w:r w:rsidR="00845522" w:rsidRPr="007678FA">
        <w:rPr>
          <w:rStyle w:val="FootnoteReference"/>
          <w:color w:val="000000"/>
          <w:sz w:val="28"/>
          <w:szCs w:val="28"/>
        </w:rPr>
        <w:footnoteReference w:id="22"/>
      </w:r>
      <w:r w:rsidR="001B0AEF" w:rsidRPr="00CA481D">
        <w:rPr>
          <w:rStyle w:val="FootnoteReference"/>
          <w:color w:val="000000"/>
          <w:sz w:val="28"/>
          <w:szCs w:val="28"/>
        </w:rPr>
        <w:t xml:space="preserve"> </w:t>
      </w:r>
      <w:r w:rsidR="00845522" w:rsidRPr="005C0790">
        <w:t xml:space="preserve"> </w:t>
      </w:r>
      <w:r w:rsidR="00845522" w:rsidRPr="007678FA">
        <w:rPr>
          <w:sz w:val="28"/>
          <w:szCs w:val="28"/>
        </w:rPr>
        <w:t xml:space="preserve">The importance of the issue and </w:t>
      </w:r>
      <w:r w:rsidR="006B3F07">
        <w:rPr>
          <w:sz w:val="28"/>
          <w:szCs w:val="28"/>
        </w:rPr>
        <w:t xml:space="preserve">the </w:t>
      </w:r>
      <w:r w:rsidR="00845522" w:rsidRPr="007678FA">
        <w:rPr>
          <w:sz w:val="28"/>
          <w:szCs w:val="28"/>
        </w:rPr>
        <w:t xml:space="preserve">strong prospects of success may compensate for </w:t>
      </w:r>
      <w:r w:rsidR="00845522" w:rsidRPr="007678FA">
        <w:rPr>
          <w:sz w:val="28"/>
          <w:szCs w:val="28"/>
        </w:rPr>
        <w:lastRenderedPageBreak/>
        <w:t>a long delay</w:t>
      </w:r>
      <w:r w:rsidR="00845522" w:rsidRPr="00FC53A0">
        <w:rPr>
          <w:sz w:val="28"/>
          <w:szCs w:val="28"/>
        </w:rPr>
        <w:t>.</w:t>
      </w:r>
      <w:r w:rsidR="00E71B6A" w:rsidRPr="00FC53A0">
        <w:rPr>
          <w:rStyle w:val="FootnoteReference"/>
          <w:sz w:val="28"/>
          <w:szCs w:val="28"/>
        </w:rPr>
        <w:footnoteReference w:id="23"/>
      </w:r>
      <w:r w:rsidR="00845522" w:rsidRPr="00FC53A0">
        <w:rPr>
          <w:sz w:val="28"/>
          <w:szCs w:val="28"/>
        </w:rPr>
        <w:t xml:space="preserve"> </w:t>
      </w:r>
      <w:r w:rsidR="009216DB" w:rsidRPr="007678FA">
        <w:rPr>
          <w:sz w:val="28"/>
          <w:szCs w:val="28"/>
        </w:rPr>
        <w:t>Th</w:t>
      </w:r>
      <w:r w:rsidR="00845522" w:rsidRPr="007678FA">
        <w:rPr>
          <w:color w:val="222222"/>
          <w:sz w:val="28"/>
          <w:szCs w:val="28"/>
          <w:shd w:val="clear" w:color="auto" w:fill="FFFFFF"/>
        </w:rPr>
        <w:t xml:space="preserve">e </w:t>
      </w:r>
      <w:r w:rsidR="00845522" w:rsidRPr="007678FA">
        <w:rPr>
          <w:sz w:val="28"/>
          <w:szCs w:val="28"/>
        </w:rPr>
        <w:t>Tribunal</w:t>
      </w:r>
      <w:r w:rsidR="00845522" w:rsidRPr="007678FA">
        <w:rPr>
          <w:color w:val="222222"/>
          <w:sz w:val="28"/>
          <w:szCs w:val="28"/>
          <w:shd w:val="clear" w:color="auto" w:fill="FFFFFF"/>
        </w:rPr>
        <w:t xml:space="preserve"> took into account that the supplementary affidavit did not </w:t>
      </w:r>
      <w:r w:rsidR="00A21848" w:rsidRPr="007678FA">
        <w:rPr>
          <w:color w:val="222222"/>
          <w:sz w:val="28"/>
          <w:szCs w:val="28"/>
          <w:shd w:val="clear" w:color="auto" w:fill="FFFFFF"/>
        </w:rPr>
        <w:t xml:space="preserve">introduce new causes of action and </w:t>
      </w:r>
      <w:r w:rsidR="00845522" w:rsidRPr="007678FA">
        <w:rPr>
          <w:color w:val="222222"/>
          <w:sz w:val="28"/>
          <w:szCs w:val="28"/>
          <w:shd w:val="clear" w:color="auto" w:fill="FFFFFF"/>
        </w:rPr>
        <w:t>n</w:t>
      </w:r>
      <w:r w:rsidR="00542491" w:rsidRPr="007678FA">
        <w:rPr>
          <w:color w:val="222222"/>
          <w:sz w:val="28"/>
          <w:szCs w:val="28"/>
          <w:shd w:val="clear" w:color="auto" w:fill="FFFFFF"/>
        </w:rPr>
        <w:t xml:space="preserve">o further evidence was required. </w:t>
      </w:r>
      <w:r w:rsidR="00A21848" w:rsidRPr="007678FA">
        <w:rPr>
          <w:color w:val="222222"/>
          <w:sz w:val="28"/>
          <w:szCs w:val="28"/>
          <w:shd w:val="clear" w:color="auto" w:fill="FFFFFF"/>
        </w:rPr>
        <w:t>Although</w:t>
      </w:r>
      <w:r w:rsidR="00845522" w:rsidRPr="007678FA">
        <w:rPr>
          <w:color w:val="222222"/>
          <w:sz w:val="28"/>
          <w:szCs w:val="28"/>
          <w:shd w:val="clear" w:color="auto" w:fill="FFFFFF"/>
        </w:rPr>
        <w:t xml:space="preserve"> the explanation for the delay provided by the NCR was lacking in detail, </w:t>
      </w:r>
      <w:r w:rsidR="009216DB" w:rsidRPr="007678FA">
        <w:rPr>
          <w:color w:val="222222"/>
          <w:sz w:val="28"/>
          <w:szCs w:val="28"/>
          <w:shd w:val="clear" w:color="auto" w:fill="FFFFFF"/>
        </w:rPr>
        <w:t>the</w:t>
      </w:r>
      <w:r w:rsidR="00845522" w:rsidRPr="007678FA">
        <w:rPr>
          <w:color w:val="222222"/>
          <w:sz w:val="28"/>
          <w:szCs w:val="28"/>
          <w:shd w:val="clear" w:color="auto" w:fill="FFFFFF"/>
        </w:rPr>
        <w:t xml:space="preserve"> </w:t>
      </w:r>
      <w:r w:rsidR="001B0AEF" w:rsidRPr="00CA481D">
        <w:rPr>
          <w:color w:val="222222"/>
          <w:sz w:val="28"/>
          <w:szCs w:val="28"/>
          <w:shd w:val="clear" w:color="auto" w:fill="FFFFFF"/>
        </w:rPr>
        <w:t xml:space="preserve">prospects of success were good, and the </w:t>
      </w:r>
      <w:r w:rsidR="00542491" w:rsidRPr="007678FA">
        <w:rPr>
          <w:color w:val="222222"/>
          <w:sz w:val="28"/>
          <w:szCs w:val="28"/>
          <w:shd w:val="clear" w:color="auto" w:fill="FFFFFF"/>
        </w:rPr>
        <w:t>matter was of importance as t</w:t>
      </w:r>
      <w:r w:rsidR="00845522" w:rsidRPr="007678FA">
        <w:rPr>
          <w:sz w:val="28"/>
          <w:szCs w:val="28"/>
          <w:lang w:val="en-US"/>
        </w:rPr>
        <w:t>he contraventions impacted on consumers’ rights</w:t>
      </w:r>
      <w:r w:rsidR="001B0AEF" w:rsidRPr="00CA481D">
        <w:rPr>
          <w:sz w:val="28"/>
          <w:szCs w:val="28"/>
          <w:lang w:val="en-US"/>
        </w:rPr>
        <w:t>.</w:t>
      </w:r>
      <w:r w:rsidR="00845522" w:rsidRPr="007678FA">
        <w:rPr>
          <w:sz w:val="28"/>
          <w:szCs w:val="28"/>
          <w:lang w:val="en-US"/>
        </w:rPr>
        <w:t xml:space="preserve"> </w:t>
      </w:r>
      <w:r w:rsidR="00D946E5">
        <w:rPr>
          <w:sz w:val="28"/>
          <w:szCs w:val="28"/>
          <w:lang w:val="en-US"/>
        </w:rPr>
        <w:t>The respondents</w:t>
      </w:r>
      <w:r w:rsidR="00845522" w:rsidRPr="007678FA">
        <w:rPr>
          <w:sz w:val="28"/>
          <w:szCs w:val="28"/>
          <w:lang w:val="en-US"/>
        </w:rPr>
        <w:t xml:space="preserve"> </w:t>
      </w:r>
      <w:r w:rsidR="00B15CE2">
        <w:rPr>
          <w:sz w:val="28"/>
          <w:szCs w:val="28"/>
          <w:lang w:val="en-US"/>
        </w:rPr>
        <w:t>were</w:t>
      </w:r>
      <w:r w:rsidR="00845522" w:rsidRPr="007678FA">
        <w:rPr>
          <w:sz w:val="28"/>
          <w:szCs w:val="28"/>
          <w:lang w:val="en-US"/>
        </w:rPr>
        <w:t xml:space="preserve"> given an opportunity to file an answer to the supplementary affidavit, thus el</w:t>
      </w:r>
      <w:r w:rsidR="00B15CE2">
        <w:rPr>
          <w:sz w:val="28"/>
          <w:szCs w:val="28"/>
          <w:lang w:val="en-US"/>
        </w:rPr>
        <w:t>iminating any prejudice which they</w:t>
      </w:r>
      <w:r w:rsidR="00845522" w:rsidRPr="007678FA">
        <w:rPr>
          <w:sz w:val="28"/>
          <w:szCs w:val="28"/>
          <w:lang w:val="en-US"/>
        </w:rPr>
        <w:t xml:space="preserve"> may have suffered. It was therefore</w:t>
      </w:r>
      <w:r w:rsidR="00845522" w:rsidRPr="007678FA">
        <w:rPr>
          <w:color w:val="222222"/>
          <w:sz w:val="28"/>
          <w:szCs w:val="28"/>
          <w:shd w:val="clear" w:color="auto" w:fill="FFFFFF"/>
        </w:rPr>
        <w:t xml:space="preserve"> in the interests of justice that the NCR be </w:t>
      </w:r>
      <w:r w:rsidR="009079F1" w:rsidRPr="00CA481D">
        <w:rPr>
          <w:color w:val="222222"/>
          <w:sz w:val="28"/>
          <w:szCs w:val="28"/>
          <w:shd w:val="clear" w:color="auto" w:fill="FFFFFF"/>
        </w:rPr>
        <w:t xml:space="preserve">granted condonation and be </w:t>
      </w:r>
      <w:r w:rsidR="00845522" w:rsidRPr="00CA481D">
        <w:rPr>
          <w:color w:val="222222"/>
          <w:sz w:val="28"/>
          <w:szCs w:val="28"/>
          <w:shd w:val="clear" w:color="auto" w:fill="FFFFFF"/>
        </w:rPr>
        <w:t xml:space="preserve">be </w:t>
      </w:r>
      <w:r w:rsidR="00845522" w:rsidRPr="007678FA">
        <w:rPr>
          <w:color w:val="222222"/>
          <w:sz w:val="28"/>
          <w:szCs w:val="28"/>
          <w:shd w:val="clear" w:color="auto" w:fill="FFFFFF"/>
        </w:rPr>
        <w:t xml:space="preserve">permitted to supplement its founding </w:t>
      </w:r>
      <w:r w:rsidR="00A21848" w:rsidRPr="007678FA">
        <w:rPr>
          <w:color w:val="222222"/>
          <w:sz w:val="28"/>
          <w:szCs w:val="28"/>
          <w:shd w:val="clear" w:color="auto" w:fill="FFFFFF"/>
        </w:rPr>
        <w:t>affidavit.</w:t>
      </w:r>
    </w:p>
    <w:p w14:paraId="101AC690" w14:textId="77777777" w:rsidR="004A6DBD" w:rsidRDefault="004A6DBD" w:rsidP="00866572">
      <w:pPr>
        <w:pStyle w:val="ListParagraph"/>
        <w:spacing w:line="360" w:lineRule="auto"/>
        <w:ind w:left="0"/>
        <w:jc w:val="both"/>
        <w:rPr>
          <w:b/>
          <w:color w:val="222222"/>
          <w:sz w:val="28"/>
          <w:szCs w:val="28"/>
          <w:shd w:val="clear" w:color="auto" w:fill="FFFFFF"/>
        </w:rPr>
      </w:pPr>
    </w:p>
    <w:p w14:paraId="0660203F" w14:textId="61B505A0" w:rsidR="004F2589" w:rsidRPr="007678FA" w:rsidRDefault="00866572" w:rsidP="008C5B84">
      <w:pPr>
        <w:pStyle w:val="ListParagraph"/>
        <w:spacing w:line="360" w:lineRule="auto"/>
        <w:ind w:left="0"/>
        <w:jc w:val="both"/>
        <w:rPr>
          <w:color w:val="222222"/>
          <w:sz w:val="28"/>
          <w:szCs w:val="28"/>
          <w:shd w:val="clear" w:color="auto" w:fill="FFFFFF"/>
        </w:rPr>
      </w:pPr>
      <w:r w:rsidRPr="00866572">
        <w:rPr>
          <w:b/>
          <w:color w:val="222222"/>
          <w:sz w:val="28"/>
          <w:szCs w:val="28"/>
          <w:shd w:val="clear" w:color="auto" w:fill="FFFFFF"/>
        </w:rPr>
        <w:t>Discretion</w:t>
      </w:r>
    </w:p>
    <w:p w14:paraId="563A46CD" w14:textId="2081586E" w:rsidR="00A21848" w:rsidRPr="005C0790" w:rsidRDefault="00DF0119" w:rsidP="00DF0119">
      <w:pPr>
        <w:spacing w:line="360" w:lineRule="auto"/>
        <w:jc w:val="both"/>
      </w:pPr>
      <w:r w:rsidRPr="005C0790">
        <w:rPr>
          <w:sz w:val="28"/>
          <w:szCs w:val="28"/>
        </w:rPr>
        <w:t>[36]</w:t>
      </w:r>
      <w:r w:rsidRPr="005C0790">
        <w:rPr>
          <w:sz w:val="28"/>
          <w:szCs w:val="28"/>
        </w:rPr>
        <w:tab/>
      </w:r>
      <w:r w:rsidR="00866572" w:rsidRPr="00DF0119">
        <w:rPr>
          <w:sz w:val="28"/>
          <w:szCs w:val="28"/>
        </w:rPr>
        <w:t xml:space="preserve">In </w:t>
      </w:r>
      <w:r w:rsidR="00A21848" w:rsidRPr="00DF0119">
        <w:rPr>
          <w:sz w:val="28"/>
          <w:szCs w:val="28"/>
        </w:rPr>
        <w:t xml:space="preserve">setting aside the decision of the Tribunal to grant condonation, the high court failed to appreciate that its power to substitute its own determination for that of the high court, is constrained. </w:t>
      </w:r>
      <w:r w:rsidR="00BE7C0B" w:rsidRPr="00DF0119">
        <w:rPr>
          <w:color w:val="242121"/>
          <w:sz w:val="28"/>
          <w:szCs w:val="28"/>
        </w:rPr>
        <w:t>This much was stated as follows by</w:t>
      </w:r>
      <w:r w:rsidR="00A21848" w:rsidRPr="00DF0119">
        <w:rPr>
          <w:color w:val="242121"/>
        </w:rPr>
        <w:t xml:space="preserve"> </w:t>
      </w:r>
      <w:r w:rsidR="00A21848" w:rsidRPr="00DF0119">
        <w:rPr>
          <w:color w:val="242121"/>
          <w:sz w:val="28"/>
          <w:szCs w:val="28"/>
        </w:rPr>
        <w:t xml:space="preserve">Ponnan JA in </w:t>
      </w:r>
      <w:r w:rsidR="00A21848" w:rsidRPr="00DF0119">
        <w:rPr>
          <w:i/>
          <w:sz w:val="28"/>
          <w:szCs w:val="28"/>
          <w:lang w:val="en-ZA"/>
        </w:rPr>
        <w:t>Lieutenant Colonel KB O</w:t>
      </w:r>
      <w:r w:rsidR="006B3F07" w:rsidRPr="00DF0119">
        <w:rPr>
          <w:i/>
          <w:sz w:val="28"/>
          <w:szCs w:val="28"/>
          <w:lang w:val="en-ZA"/>
        </w:rPr>
        <w:t>’</w:t>
      </w:r>
      <w:r w:rsidR="00A21848" w:rsidRPr="00DF0119">
        <w:rPr>
          <w:i/>
          <w:sz w:val="28"/>
          <w:szCs w:val="28"/>
          <w:lang w:val="en-ZA"/>
        </w:rPr>
        <w:t>Brien NO v The Minister of Defence and Military Veterans and Others</w:t>
      </w:r>
      <w:r w:rsidR="00BC65D0" w:rsidRPr="00DF0119">
        <w:rPr>
          <w:i/>
          <w:sz w:val="28"/>
          <w:szCs w:val="28"/>
          <w:lang w:val="en-ZA"/>
        </w:rPr>
        <w:t xml:space="preserve"> (O’Brien)</w:t>
      </w:r>
      <w:r w:rsidR="00127FEE" w:rsidRPr="00DF0119">
        <w:rPr>
          <w:sz w:val="28"/>
          <w:szCs w:val="28"/>
          <w:lang w:val="en-ZA"/>
        </w:rPr>
        <w:t>:</w:t>
      </w:r>
      <w:r w:rsidR="00A21848" w:rsidRPr="007678FA">
        <w:rPr>
          <w:rStyle w:val="FootnoteReference"/>
          <w:iCs/>
          <w:sz w:val="28"/>
          <w:szCs w:val="28"/>
          <w:lang w:val="en-ZA"/>
        </w:rPr>
        <w:footnoteReference w:id="24"/>
      </w:r>
    </w:p>
    <w:p w14:paraId="14BB12F9" w14:textId="77777777" w:rsidR="00A21848" w:rsidRPr="007678FA" w:rsidRDefault="00A21848" w:rsidP="00A21848">
      <w:pPr>
        <w:pStyle w:val="CommentText"/>
        <w:spacing w:line="360" w:lineRule="auto"/>
        <w:jc w:val="both"/>
        <w:rPr>
          <w:color w:val="242121"/>
          <w:sz w:val="24"/>
          <w:szCs w:val="24"/>
          <w:lang w:val="en-US"/>
        </w:rPr>
      </w:pPr>
      <w:r w:rsidRPr="007678FA">
        <w:rPr>
          <w:color w:val="242121"/>
          <w:sz w:val="24"/>
          <w:szCs w:val="24"/>
        </w:rPr>
        <w:t>‘Importantly, we are not simply at large to interfere with the discretion exercised by the high court. In that regard, the distinction as to whether the discretion exercised by the high court in granting condonation was one in the ‘true’ or ‘loose’ sense is important. The importance of the distinction, as the Constitutional Court explained in </w:t>
      </w:r>
      <w:r w:rsidRPr="007678FA">
        <w:rPr>
          <w:i/>
          <w:iCs/>
          <w:color w:val="242121"/>
          <w:sz w:val="24"/>
          <w:szCs w:val="24"/>
        </w:rPr>
        <w:t>Trencon Construction (Pty) Limited v Industrial Development Corporation of South Africa Limited and Another</w:t>
      </w:r>
      <w:r w:rsidRPr="007678FA">
        <w:rPr>
          <w:color w:val="242121"/>
          <w:sz w:val="24"/>
          <w:szCs w:val="24"/>
        </w:rPr>
        <w:t>, is that it dictates the standard of interference by this court.</w:t>
      </w:r>
      <w:bookmarkStart w:id="1" w:name="_ftnref9"/>
      <w:bookmarkEnd w:id="1"/>
      <w:r w:rsidRPr="007678FA">
        <w:rPr>
          <w:color w:val="242121"/>
          <w:sz w:val="24"/>
          <w:szCs w:val="24"/>
        </w:rPr>
        <w:t xml:space="preserve"> However, as the Constitutional Court emphasised, ‘even where a discretion in the loose sense is conferred on a lower court, an appellate court’s power to interfere </w:t>
      </w:r>
      <w:r w:rsidRPr="007678FA">
        <w:rPr>
          <w:color w:val="242121"/>
          <w:sz w:val="24"/>
          <w:szCs w:val="24"/>
        </w:rPr>
        <w:lastRenderedPageBreak/>
        <w:t>may be curtailed by broader policy considerations. Therefore, whenever an appellate court interferes with a discretion in the loose sense, it must be guarded.’</w:t>
      </w:r>
      <w:r w:rsidRPr="007678FA">
        <w:rPr>
          <w:rStyle w:val="FootnoteReference"/>
          <w:color w:val="242121"/>
          <w:sz w:val="24"/>
          <w:szCs w:val="24"/>
        </w:rPr>
        <w:footnoteReference w:id="25"/>
      </w:r>
      <w:r w:rsidRPr="007678FA">
        <w:rPr>
          <w:color w:val="242121"/>
          <w:sz w:val="24"/>
          <w:szCs w:val="24"/>
          <w:lang w:val="en-US"/>
        </w:rPr>
        <w:t xml:space="preserve"> </w:t>
      </w:r>
    </w:p>
    <w:p w14:paraId="67D38E88" w14:textId="4D097640" w:rsidR="00A21848" w:rsidRPr="007678FA" w:rsidRDefault="00A21848" w:rsidP="005C0790">
      <w:pPr>
        <w:pStyle w:val="NormalWeb"/>
        <w:shd w:val="clear" w:color="auto" w:fill="FFFFFF"/>
        <w:spacing w:before="0" w:beforeAutospacing="0" w:after="0" w:afterAutospacing="0" w:line="360" w:lineRule="auto"/>
        <w:jc w:val="both"/>
        <w:rPr>
          <w:color w:val="242121"/>
          <w:sz w:val="28"/>
          <w:szCs w:val="28"/>
        </w:rPr>
      </w:pPr>
      <w:r w:rsidRPr="007678FA">
        <w:rPr>
          <w:color w:val="242121"/>
          <w:sz w:val="28"/>
          <w:szCs w:val="28"/>
        </w:rPr>
        <w:t>Ponnan JA</w:t>
      </w:r>
      <w:r w:rsidR="00BC65D0" w:rsidRPr="007678FA">
        <w:rPr>
          <w:color w:val="242121"/>
          <w:sz w:val="28"/>
          <w:szCs w:val="28"/>
        </w:rPr>
        <w:t xml:space="preserve">, in </w:t>
      </w:r>
      <w:r w:rsidR="00BC65D0" w:rsidRPr="007678FA">
        <w:rPr>
          <w:i/>
          <w:color w:val="242121"/>
          <w:sz w:val="28"/>
          <w:szCs w:val="28"/>
        </w:rPr>
        <w:t>O’Brien,</w:t>
      </w:r>
      <w:r w:rsidR="00BC65D0" w:rsidRPr="007678FA">
        <w:rPr>
          <w:rStyle w:val="FootnoteReference"/>
          <w:color w:val="242121"/>
        </w:rPr>
        <w:footnoteReference w:id="26"/>
      </w:r>
      <w:r w:rsidRPr="007678FA">
        <w:rPr>
          <w:color w:val="242121"/>
          <w:sz w:val="28"/>
          <w:szCs w:val="28"/>
        </w:rPr>
        <w:t xml:space="preserve"> referred to </w:t>
      </w:r>
      <w:r w:rsidRPr="007678FA">
        <w:rPr>
          <w:i/>
          <w:iCs/>
          <w:color w:val="242121"/>
          <w:sz w:val="28"/>
          <w:szCs w:val="28"/>
          <w:shd w:val="clear" w:color="auto" w:fill="FFFFFF"/>
        </w:rPr>
        <w:t>Florence v Government of the Republic of South Africa</w:t>
      </w:r>
      <w:r w:rsidR="006B3F07">
        <w:rPr>
          <w:i/>
          <w:iCs/>
          <w:color w:val="242121"/>
          <w:sz w:val="28"/>
          <w:szCs w:val="28"/>
          <w:shd w:val="clear" w:color="auto" w:fill="FFFFFF"/>
        </w:rPr>
        <w:t xml:space="preserve"> </w:t>
      </w:r>
      <w:r w:rsidR="006B3F07" w:rsidRPr="00F5616D">
        <w:rPr>
          <w:iCs/>
          <w:color w:val="242121"/>
          <w:sz w:val="28"/>
          <w:szCs w:val="28"/>
          <w:shd w:val="clear" w:color="auto" w:fill="FFFFFF"/>
        </w:rPr>
        <w:t>(</w:t>
      </w:r>
      <w:r w:rsidR="006B3F07">
        <w:rPr>
          <w:i/>
          <w:iCs/>
          <w:color w:val="242121"/>
          <w:sz w:val="28"/>
          <w:szCs w:val="28"/>
          <w:shd w:val="clear" w:color="auto" w:fill="FFFFFF"/>
        </w:rPr>
        <w:t>Florence</w:t>
      </w:r>
      <w:r w:rsidR="006B3F07" w:rsidRPr="00F5616D">
        <w:rPr>
          <w:iCs/>
          <w:color w:val="242121"/>
          <w:sz w:val="28"/>
          <w:szCs w:val="28"/>
          <w:shd w:val="clear" w:color="auto" w:fill="FFFFFF"/>
        </w:rPr>
        <w:t>)</w:t>
      </w:r>
      <w:r w:rsidR="00BC65D0" w:rsidRPr="007678FA">
        <w:rPr>
          <w:iCs/>
          <w:color w:val="242121"/>
          <w:sz w:val="28"/>
          <w:szCs w:val="28"/>
          <w:shd w:val="clear" w:color="auto" w:fill="FFFFFF"/>
        </w:rPr>
        <w:t>,</w:t>
      </w:r>
      <w:r w:rsidRPr="007678FA">
        <w:rPr>
          <w:rStyle w:val="FootnoteReference"/>
          <w:color w:val="242121"/>
          <w:sz w:val="28"/>
          <w:szCs w:val="28"/>
          <w:shd w:val="clear" w:color="auto" w:fill="FFFFFF"/>
        </w:rPr>
        <w:footnoteReference w:id="27"/>
      </w:r>
      <w:r w:rsidRPr="007678FA">
        <w:rPr>
          <w:color w:val="242121"/>
          <w:sz w:val="28"/>
          <w:szCs w:val="28"/>
        </w:rPr>
        <w:t xml:space="preserve"> where Moseneke DCJ stated:</w:t>
      </w:r>
    </w:p>
    <w:p w14:paraId="7915E9B9" w14:textId="49B13537" w:rsidR="006B3F07" w:rsidRPr="007678FA" w:rsidRDefault="00A21848" w:rsidP="008C5B84">
      <w:pPr>
        <w:pStyle w:val="NormalWeb"/>
        <w:shd w:val="clear" w:color="auto" w:fill="FFFFFF"/>
        <w:spacing w:before="0" w:beforeAutospacing="0" w:after="0" w:afterAutospacing="0" w:line="360" w:lineRule="auto"/>
        <w:jc w:val="both"/>
        <w:rPr>
          <w:color w:val="242121"/>
        </w:rPr>
      </w:pPr>
      <w:r w:rsidRPr="007678FA">
        <w:rPr>
          <w:color w:val="242121"/>
        </w:rPr>
        <w:t xml:space="preserve">‘Where a court is granted wide decision-making powers with a number of options or variables, an appellate court may not interfere unless it is clear that the choice the court has preferred is at odds with the law. </w:t>
      </w:r>
      <w:r w:rsidRPr="00572B88">
        <w:rPr>
          <w:i/>
          <w:color w:val="242121"/>
        </w:rPr>
        <w:t xml:space="preserve">If the impugned decision lies within a range of permissible decisions, an appeal court may not interfere only because it favours a different option within the range. </w:t>
      </w:r>
      <w:r w:rsidRPr="007678FA">
        <w:rPr>
          <w:color w:val="242121"/>
        </w:rPr>
        <w:t xml:space="preserve">This principle of appellate restraint preserves judicial comity. It fosters certainty in the application of the law and favours finality in judicial decision-making.’ </w:t>
      </w:r>
      <w:r w:rsidR="006B3F07">
        <w:rPr>
          <w:color w:val="242121"/>
        </w:rPr>
        <w:t>(E</w:t>
      </w:r>
      <w:r w:rsidR="00572B88">
        <w:rPr>
          <w:color w:val="242121"/>
        </w:rPr>
        <w:t>mphasis added</w:t>
      </w:r>
      <w:r w:rsidR="006B3F07">
        <w:rPr>
          <w:color w:val="242121"/>
        </w:rPr>
        <w:t>.)</w:t>
      </w:r>
    </w:p>
    <w:p w14:paraId="0D3CBFA8" w14:textId="77777777" w:rsidR="00A21848" w:rsidRPr="005C0790" w:rsidRDefault="00A21848" w:rsidP="005C0790">
      <w:pPr>
        <w:pStyle w:val="NormalWeb"/>
        <w:shd w:val="clear" w:color="auto" w:fill="FFFFFF"/>
        <w:spacing w:before="0" w:beforeAutospacing="0" w:after="0" w:afterAutospacing="0" w:line="360" w:lineRule="auto"/>
        <w:jc w:val="both"/>
        <w:rPr>
          <w:color w:val="242121"/>
          <w:sz w:val="28"/>
        </w:rPr>
      </w:pPr>
    </w:p>
    <w:p w14:paraId="01895B0E" w14:textId="1169E9A5" w:rsidR="00572B88" w:rsidRPr="00DF0119" w:rsidRDefault="00DF0119" w:rsidP="00DF0119">
      <w:pPr>
        <w:spacing w:line="360" w:lineRule="auto"/>
        <w:jc w:val="both"/>
        <w:rPr>
          <w:sz w:val="28"/>
          <w:szCs w:val="28"/>
          <w:lang w:val="en-ZA"/>
        </w:rPr>
      </w:pPr>
      <w:r w:rsidRPr="002C7F31">
        <w:rPr>
          <w:sz w:val="28"/>
          <w:szCs w:val="28"/>
          <w:lang w:val="en-ZA"/>
        </w:rPr>
        <w:t>[37]</w:t>
      </w:r>
      <w:r w:rsidRPr="002C7F31">
        <w:rPr>
          <w:sz w:val="28"/>
          <w:szCs w:val="28"/>
          <w:lang w:val="en-ZA"/>
        </w:rPr>
        <w:tab/>
      </w:r>
      <w:r w:rsidR="00572B88" w:rsidRPr="00DF0119">
        <w:rPr>
          <w:sz w:val="28"/>
          <w:szCs w:val="28"/>
        </w:rPr>
        <w:t xml:space="preserve">It is clear that the discretion in this matter, </w:t>
      </w:r>
      <w:r w:rsidR="006E7005" w:rsidRPr="00DF0119">
        <w:rPr>
          <w:sz w:val="28"/>
          <w:szCs w:val="28"/>
        </w:rPr>
        <w:t xml:space="preserve">is that </w:t>
      </w:r>
      <w:r w:rsidR="00572B88" w:rsidRPr="00DF0119">
        <w:rPr>
          <w:sz w:val="28"/>
          <w:szCs w:val="28"/>
        </w:rPr>
        <w:t xml:space="preserve">referred to by </w:t>
      </w:r>
      <w:r w:rsidR="009079F1" w:rsidRPr="00DF0119">
        <w:rPr>
          <w:sz w:val="28"/>
          <w:szCs w:val="28"/>
        </w:rPr>
        <w:t xml:space="preserve">Ponnan JA </w:t>
      </w:r>
      <w:r w:rsidR="00B15CE2" w:rsidRPr="00DF0119">
        <w:rPr>
          <w:sz w:val="28"/>
          <w:szCs w:val="28"/>
        </w:rPr>
        <w:t>in the preceding paragraph in</w:t>
      </w:r>
      <w:r w:rsidR="009079F1" w:rsidRPr="00DF0119">
        <w:rPr>
          <w:sz w:val="28"/>
          <w:szCs w:val="28"/>
        </w:rPr>
        <w:t xml:space="preserve"> </w:t>
      </w:r>
      <w:r w:rsidR="009079F1" w:rsidRPr="00DF0119">
        <w:rPr>
          <w:i/>
          <w:sz w:val="28"/>
          <w:szCs w:val="28"/>
        </w:rPr>
        <w:t>O’Brien</w:t>
      </w:r>
      <w:r w:rsidR="009079F1" w:rsidRPr="00DF0119">
        <w:rPr>
          <w:sz w:val="28"/>
          <w:szCs w:val="28"/>
        </w:rPr>
        <w:t>.</w:t>
      </w:r>
      <w:r w:rsidR="00572B88" w:rsidRPr="00DF0119">
        <w:rPr>
          <w:sz w:val="28"/>
        </w:rPr>
        <w:t xml:space="preserve"> </w:t>
      </w:r>
      <w:r w:rsidR="00572B88" w:rsidRPr="00DF0119">
        <w:rPr>
          <w:sz w:val="28"/>
          <w:szCs w:val="28"/>
        </w:rPr>
        <w:t>The high court was accordingly, not at large to interfere with discretion, which was not</w:t>
      </w:r>
      <w:r w:rsidR="00572B88" w:rsidRPr="00DF0119">
        <w:rPr>
          <w:i/>
          <w:sz w:val="28"/>
          <w:szCs w:val="28"/>
        </w:rPr>
        <w:t xml:space="preserve"> </w:t>
      </w:r>
      <w:r w:rsidR="00572B88" w:rsidRPr="00DF0119">
        <w:rPr>
          <w:sz w:val="28"/>
        </w:rPr>
        <w:t>‘</w:t>
      </w:r>
      <w:r w:rsidR="00572B88" w:rsidRPr="00DF0119">
        <w:rPr>
          <w:sz w:val="28"/>
          <w:szCs w:val="28"/>
        </w:rPr>
        <w:t>at odds with the law’</w:t>
      </w:r>
      <w:r w:rsidR="00BD4D64" w:rsidRPr="00DF0119">
        <w:rPr>
          <w:sz w:val="28"/>
          <w:szCs w:val="28"/>
        </w:rPr>
        <w:t>.</w:t>
      </w:r>
    </w:p>
    <w:p w14:paraId="36647CCD" w14:textId="77777777" w:rsidR="002C7F31" w:rsidRPr="00002AE5" w:rsidRDefault="002C7F31" w:rsidP="002C7F31">
      <w:pPr>
        <w:pStyle w:val="ListParagraph"/>
        <w:spacing w:line="360" w:lineRule="auto"/>
        <w:ind w:left="0"/>
        <w:jc w:val="both"/>
        <w:rPr>
          <w:sz w:val="28"/>
          <w:szCs w:val="28"/>
          <w:lang w:val="en-ZA"/>
        </w:rPr>
      </w:pPr>
    </w:p>
    <w:p w14:paraId="64CD6DEC" w14:textId="520D7333" w:rsidR="00082342" w:rsidRPr="00DF0119" w:rsidRDefault="00DF0119" w:rsidP="00DF0119">
      <w:pPr>
        <w:spacing w:line="360" w:lineRule="auto"/>
        <w:jc w:val="both"/>
        <w:rPr>
          <w:sz w:val="28"/>
          <w:szCs w:val="28"/>
          <w:lang w:val="en-ZA"/>
        </w:rPr>
      </w:pPr>
      <w:r w:rsidRPr="007678FA">
        <w:rPr>
          <w:sz w:val="28"/>
          <w:szCs w:val="28"/>
          <w:lang w:val="en-ZA"/>
        </w:rPr>
        <w:t>[38]</w:t>
      </w:r>
      <w:r w:rsidRPr="007678FA">
        <w:rPr>
          <w:sz w:val="28"/>
          <w:szCs w:val="28"/>
          <w:lang w:val="en-ZA"/>
        </w:rPr>
        <w:tab/>
      </w:r>
      <w:r w:rsidR="007C038D" w:rsidRPr="00DF0119">
        <w:rPr>
          <w:sz w:val="28"/>
          <w:szCs w:val="28"/>
        </w:rPr>
        <w:t xml:space="preserve">There are two further reasons why the </w:t>
      </w:r>
      <w:r w:rsidR="00BD4D64" w:rsidRPr="00DF0119">
        <w:rPr>
          <w:sz w:val="28"/>
          <w:szCs w:val="28"/>
        </w:rPr>
        <w:t>h</w:t>
      </w:r>
      <w:r w:rsidR="007C038D" w:rsidRPr="00DF0119">
        <w:rPr>
          <w:sz w:val="28"/>
          <w:szCs w:val="28"/>
        </w:rPr>
        <w:t xml:space="preserve">igh </w:t>
      </w:r>
      <w:r w:rsidR="00BD4D64" w:rsidRPr="00DF0119">
        <w:rPr>
          <w:sz w:val="28"/>
          <w:szCs w:val="28"/>
        </w:rPr>
        <w:t>c</w:t>
      </w:r>
      <w:r w:rsidR="007C038D" w:rsidRPr="00DF0119">
        <w:rPr>
          <w:sz w:val="28"/>
          <w:szCs w:val="28"/>
        </w:rPr>
        <w:t>ourt erred. The decision of the Tribunal was clearly interlocutory. I</w:t>
      </w:r>
      <w:r w:rsidR="00012A0D" w:rsidRPr="00DF0119">
        <w:rPr>
          <w:sz w:val="28"/>
          <w:szCs w:val="28"/>
        </w:rPr>
        <w:t>t had no final effect,</w:t>
      </w:r>
      <w:r w:rsidR="007C038D">
        <w:rPr>
          <w:rStyle w:val="FootnoteReference"/>
          <w:sz w:val="28"/>
          <w:szCs w:val="28"/>
        </w:rPr>
        <w:footnoteReference w:id="28"/>
      </w:r>
      <w:r w:rsidR="00012A0D" w:rsidRPr="00DF0119">
        <w:rPr>
          <w:sz w:val="28"/>
          <w:szCs w:val="28"/>
        </w:rPr>
        <w:t xml:space="preserve"> and was therefore not </w:t>
      </w:r>
      <w:r w:rsidR="00F5616D" w:rsidRPr="00DF0119">
        <w:rPr>
          <w:sz w:val="28"/>
          <w:szCs w:val="28"/>
        </w:rPr>
        <w:t>reviewable</w:t>
      </w:r>
      <w:r w:rsidR="00012A0D" w:rsidRPr="00DF0119">
        <w:rPr>
          <w:sz w:val="28"/>
          <w:szCs w:val="28"/>
        </w:rPr>
        <w:t>.</w:t>
      </w:r>
      <w:r w:rsidR="007C038D" w:rsidRPr="00DF0119">
        <w:rPr>
          <w:sz w:val="28"/>
          <w:szCs w:val="28"/>
        </w:rPr>
        <w:t xml:space="preserve"> Secondly, </w:t>
      </w:r>
      <w:r w:rsidR="009079F1" w:rsidRPr="00DF0119">
        <w:rPr>
          <w:sz w:val="28"/>
          <w:szCs w:val="28"/>
        </w:rPr>
        <w:t>if</w:t>
      </w:r>
      <w:r w:rsidR="006549EB" w:rsidRPr="00DF0119">
        <w:rPr>
          <w:sz w:val="28"/>
          <w:szCs w:val="28"/>
        </w:rPr>
        <w:t xml:space="preserve"> th</w:t>
      </w:r>
      <w:r w:rsidR="00FC53A0" w:rsidRPr="00DF0119">
        <w:rPr>
          <w:sz w:val="28"/>
          <w:szCs w:val="28"/>
        </w:rPr>
        <w:t>e</w:t>
      </w:r>
      <w:r w:rsidR="006549EB" w:rsidRPr="00DF0119">
        <w:rPr>
          <w:sz w:val="28"/>
          <w:szCs w:val="28"/>
        </w:rPr>
        <w:t xml:space="preserve"> </w:t>
      </w:r>
      <w:r w:rsidR="00BD4D64" w:rsidRPr="00DF0119">
        <w:rPr>
          <w:sz w:val="28"/>
          <w:szCs w:val="28"/>
        </w:rPr>
        <w:t>T</w:t>
      </w:r>
      <w:r w:rsidR="006549EB" w:rsidRPr="00DF0119">
        <w:rPr>
          <w:sz w:val="28"/>
          <w:szCs w:val="28"/>
        </w:rPr>
        <w:t>ribunal had the po</w:t>
      </w:r>
      <w:r w:rsidR="00FC53A0" w:rsidRPr="00DF0119">
        <w:rPr>
          <w:sz w:val="28"/>
          <w:szCs w:val="28"/>
        </w:rPr>
        <w:t>w</w:t>
      </w:r>
      <w:r w:rsidR="006549EB" w:rsidRPr="00DF0119">
        <w:rPr>
          <w:sz w:val="28"/>
          <w:szCs w:val="28"/>
        </w:rPr>
        <w:t xml:space="preserve">er to grant condonation, </w:t>
      </w:r>
      <w:r w:rsidR="009079F1" w:rsidRPr="00DF0119">
        <w:rPr>
          <w:sz w:val="28"/>
          <w:szCs w:val="28"/>
        </w:rPr>
        <w:t xml:space="preserve">which I find it did, </w:t>
      </w:r>
      <w:r w:rsidR="00B15CE2" w:rsidRPr="00DF0119">
        <w:rPr>
          <w:sz w:val="28"/>
          <w:szCs w:val="28"/>
        </w:rPr>
        <w:t>t</w:t>
      </w:r>
      <w:r w:rsidR="00D946E5" w:rsidRPr="00DF0119">
        <w:rPr>
          <w:sz w:val="28"/>
          <w:szCs w:val="28"/>
        </w:rPr>
        <w:t>he respondents</w:t>
      </w:r>
      <w:r w:rsidR="004E775F" w:rsidRPr="00DF0119">
        <w:rPr>
          <w:sz w:val="28"/>
          <w:szCs w:val="28"/>
        </w:rPr>
        <w:t>’</w:t>
      </w:r>
      <w:r w:rsidR="008E12FC" w:rsidRPr="00DF0119">
        <w:rPr>
          <w:sz w:val="28"/>
          <w:szCs w:val="28"/>
        </w:rPr>
        <w:t xml:space="preserve"> decision to review the Tribunal’s deci</w:t>
      </w:r>
      <w:r w:rsidR="009216DB" w:rsidRPr="00DF0119">
        <w:rPr>
          <w:sz w:val="28"/>
          <w:szCs w:val="28"/>
        </w:rPr>
        <w:t xml:space="preserve">sion should not have succeeded for the reasons stated </w:t>
      </w:r>
      <w:r w:rsidR="00BC65D0" w:rsidRPr="00DF0119">
        <w:rPr>
          <w:sz w:val="28"/>
          <w:szCs w:val="28"/>
        </w:rPr>
        <w:t>by</w:t>
      </w:r>
      <w:r w:rsidR="009216DB" w:rsidRPr="00DF0119">
        <w:rPr>
          <w:sz w:val="28"/>
          <w:szCs w:val="28"/>
        </w:rPr>
        <w:t xml:space="preserve"> </w:t>
      </w:r>
      <w:r w:rsidR="004F2589" w:rsidRPr="00DF0119">
        <w:rPr>
          <w:sz w:val="28"/>
          <w:szCs w:val="28"/>
        </w:rPr>
        <w:t>this Court</w:t>
      </w:r>
      <w:r w:rsidR="00082342" w:rsidRPr="00DF0119">
        <w:rPr>
          <w:sz w:val="28"/>
          <w:szCs w:val="28"/>
        </w:rPr>
        <w:t xml:space="preserve"> in </w:t>
      </w:r>
      <w:r w:rsidR="00082342" w:rsidRPr="00DF0119">
        <w:rPr>
          <w:i/>
          <w:sz w:val="28"/>
          <w:szCs w:val="28"/>
        </w:rPr>
        <w:t>Lewis</w:t>
      </w:r>
      <w:r w:rsidR="009216DB" w:rsidRPr="00DF0119">
        <w:rPr>
          <w:sz w:val="28"/>
          <w:szCs w:val="28"/>
        </w:rPr>
        <w:t>:</w:t>
      </w:r>
    </w:p>
    <w:p w14:paraId="4171DAF9" w14:textId="03A7B7D0" w:rsidR="00082342" w:rsidRPr="007678FA" w:rsidRDefault="00082342" w:rsidP="008C5B84">
      <w:pPr>
        <w:pStyle w:val="ListParagraph"/>
        <w:spacing w:line="360" w:lineRule="auto"/>
        <w:ind w:left="0"/>
        <w:jc w:val="both"/>
      </w:pPr>
      <w:r w:rsidRPr="007678FA">
        <w:t xml:space="preserve">‘The NCA provides for an expeditious, informal and cost-effective complaints procedure. The provisions of the NCA, as I have emphasized, requires a quick informal resolution of complaints. The notion of an appeal to the high court against a ruling by the Tribunal to allow a direct referral </w:t>
      </w:r>
      <w:r w:rsidRPr="007678FA">
        <w:lastRenderedPageBreak/>
        <w:t>of a complaint to it is contrary to the purpose of the NCA. The conclusion to which I have come in respect of the construction of the NCA accords with the approach of the courts to appeals generally, which militates against appeals which do not contribute to the expeditious and cost effective final determination of the main dispute between the parties.’</w:t>
      </w:r>
      <w:r w:rsidRPr="007678FA">
        <w:rPr>
          <w:rStyle w:val="FootnoteReference"/>
        </w:rPr>
        <w:footnoteReference w:id="29"/>
      </w:r>
      <w:r w:rsidRPr="007678FA">
        <w:t xml:space="preserve"> </w:t>
      </w:r>
    </w:p>
    <w:p w14:paraId="03305661" w14:textId="77777777" w:rsidR="00082342" w:rsidRPr="007678FA" w:rsidRDefault="00082342" w:rsidP="00082342">
      <w:pPr>
        <w:pStyle w:val="ListParagraph"/>
        <w:spacing w:line="360" w:lineRule="auto"/>
        <w:ind w:left="0"/>
        <w:rPr>
          <w:sz w:val="28"/>
          <w:szCs w:val="28"/>
        </w:rPr>
      </w:pPr>
    </w:p>
    <w:p w14:paraId="4E1F344D" w14:textId="43595570" w:rsidR="00F64851" w:rsidRPr="007678FA" w:rsidRDefault="00C42D6A" w:rsidP="008C5B84">
      <w:pPr>
        <w:pStyle w:val="ListParagraph"/>
        <w:spacing w:line="360" w:lineRule="auto"/>
        <w:ind w:left="0"/>
        <w:jc w:val="both"/>
        <w:rPr>
          <w:sz w:val="28"/>
          <w:szCs w:val="28"/>
          <w:lang w:val="en-ZA"/>
        </w:rPr>
      </w:pPr>
      <w:r>
        <w:rPr>
          <w:sz w:val="28"/>
          <w:szCs w:val="28"/>
        </w:rPr>
        <w:t>[</w:t>
      </w:r>
      <w:r w:rsidR="00FB2B39">
        <w:rPr>
          <w:sz w:val="28"/>
          <w:szCs w:val="28"/>
        </w:rPr>
        <w:t>39</w:t>
      </w:r>
      <w:r w:rsidR="002C7F31">
        <w:rPr>
          <w:sz w:val="28"/>
          <w:szCs w:val="28"/>
        </w:rPr>
        <w:t xml:space="preserve">] </w:t>
      </w:r>
      <w:r w:rsidR="002C7F31">
        <w:rPr>
          <w:sz w:val="28"/>
          <w:szCs w:val="28"/>
        </w:rPr>
        <w:tab/>
      </w:r>
      <w:r w:rsidR="001C5815" w:rsidRPr="007678FA">
        <w:rPr>
          <w:sz w:val="28"/>
          <w:szCs w:val="28"/>
        </w:rPr>
        <w:t xml:space="preserve">In the result </w:t>
      </w:r>
      <w:r>
        <w:rPr>
          <w:sz w:val="28"/>
          <w:szCs w:val="28"/>
        </w:rPr>
        <w:t>I would have made the following order:</w:t>
      </w:r>
    </w:p>
    <w:p w14:paraId="1E265F57" w14:textId="0CA37ECF" w:rsidR="001C5815" w:rsidRPr="007678FA" w:rsidRDefault="00DF0119" w:rsidP="00DF0119">
      <w:pPr>
        <w:pStyle w:val="Normal1"/>
        <w:spacing w:after="0" w:line="360" w:lineRule="auto"/>
        <w:ind w:right="-7"/>
        <w:contextualSpacing/>
        <w:jc w:val="both"/>
        <w:rPr>
          <w:rFonts w:ascii="Times New Roman" w:eastAsia="Arial" w:hAnsi="Times New Roman" w:cs="Times New Roman"/>
          <w:color w:val="000000" w:themeColor="text1"/>
          <w:sz w:val="28"/>
          <w:szCs w:val="28"/>
        </w:rPr>
      </w:pPr>
      <w:r w:rsidRPr="007678FA">
        <w:rPr>
          <w:rFonts w:ascii="Times New Roman" w:hAnsi="Times New Roman" w:cs="Times New Roman"/>
          <w:sz w:val="28"/>
          <w:szCs w:val="28"/>
        </w:rPr>
        <w:t>1</w:t>
      </w:r>
      <w:r w:rsidRPr="007678FA">
        <w:rPr>
          <w:rFonts w:ascii="Times New Roman" w:hAnsi="Times New Roman" w:cs="Times New Roman"/>
          <w:sz w:val="28"/>
          <w:szCs w:val="28"/>
        </w:rPr>
        <w:tab/>
      </w:r>
      <w:r w:rsidR="001C5815" w:rsidRPr="007678FA">
        <w:rPr>
          <w:rFonts w:ascii="Times New Roman" w:hAnsi="Times New Roman" w:cs="Times New Roman"/>
          <w:bCs/>
          <w:sz w:val="28"/>
          <w:szCs w:val="28"/>
          <w:lang w:val="en-US"/>
        </w:rPr>
        <w:t xml:space="preserve">The appeal is upheld with </w:t>
      </w:r>
      <w:r w:rsidR="001C5815" w:rsidRPr="007678FA">
        <w:rPr>
          <w:rFonts w:ascii="Times New Roman" w:eastAsia="Arial" w:hAnsi="Times New Roman" w:cs="Times New Roman"/>
          <w:color w:val="000000" w:themeColor="text1"/>
          <w:sz w:val="28"/>
          <w:szCs w:val="28"/>
        </w:rPr>
        <w:t>costs.</w:t>
      </w:r>
    </w:p>
    <w:p w14:paraId="41245FA0" w14:textId="157A372D" w:rsidR="001C5815" w:rsidRPr="007678FA" w:rsidRDefault="00DF0119" w:rsidP="00DF0119">
      <w:pPr>
        <w:pStyle w:val="Normal1"/>
        <w:spacing w:after="0" w:line="360" w:lineRule="auto"/>
        <w:ind w:right="72"/>
        <w:contextualSpacing/>
        <w:jc w:val="both"/>
        <w:rPr>
          <w:rFonts w:ascii="Times New Roman" w:eastAsia="Arial" w:hAnsi="Times New Roman" w:cs="Times New Roman"/>
          <w:color w:val="000000" w:themeColor="text1"/>
          <w:sz w:val="28"/>
          <w:szCs w:val="28"/>
        </w:rPr>
      </w:pPr>
      <w:r w:rsidRPr="007678FA">
        <w:rPr>
          <w:rFonts w:ascii="Times New Roman" w:hAnsi="Times New Roman" w:cs="Times New Roman"/>
          <w:sz w:val="28"/>
          <w:szCs w:val="28"/>
        </w:rPr>
        <w:t>2</w:t>
      </w:r>
      <w:r w:rsidRPr="007678FA">
        <w:rPr>
          <w:rFonts w:ascii="Times New Roman" w:hAnsi="Times New Roman" w:cs="Times New Roman"/>
          <w:sz w:val="28"/>
          <w:szCs w:val="28"/>
        </w:rPr>
        <w:tab/>
      </w:r>
      <w:r w:rsidR="001C5815" w:rsidRPr="007678FA">
        <w:rPr>
          <w:rFonts w:ascii="Times New Roman" w:eastAsia="Arial" w:hAnsi="Times New Roman" w:cs="Times New Roman"/>
          <w:color w:val="000000" w:themeColor="text1"/>
          <w:sz w:val="28"/>
          <w:szCs w:val="28"/>
        </w:rPr>
        <w:t xml:space="preserve">The order of the high court is set aside and is substituted with the </w:t>
      </w:r>
      <w:r w:rsidR="00972040" w:rsidRPr="007678FA">
        <w:rPr>
          <w:rFonts w:ascii="Times New Roman" w:eastAsia="Arial" w:hAnsi="Times New Roman" w:cs="Times New Roman"/>
          <w:color w:val="000000" w:themeColor="text1"/>
          <w:sz w:val="28"/>
          <w:szCs w:val="28"/>
        </w:rPr>
        <w:tab/>
      </w:r>
      <w:r w:rsidR="001C5815" w:rsidRPr="007678FA">
        <w:rPr>
          <w:rFonts w:ascii="Times New Roman" w:eastAsia="Arial" w:hAnsi="Times New Roman" w:cs="Times New Roman"/>
          <w:color w:val="000000" w:themeColor="text1"/>
          <w:sz w:val="28"/>
          <w:szCs w:val="28"/>
        </w:rPr>
        <w:t xml:space="preserve">following: </w:t>
      </w:r>
    </w:p>
    <w:p w14:paraId="51118255" w14:textId="192956FD" w:rsidR="001C5815" w:rsidRPr="007678FA" w:rsidRDefault="00972040" w:rsidP="004E775F">
      <w:pPr>
        <w:pStyle w:val="Normal1"/>
        <w:spacing w:after="0" w:line="360" w:lineRule="auto"/>
        <w:ind w:right="-7"/>
        <w:contextualSpacing/>
        <w:jc w:val="both"/>
        <w:rPr>
          <w:rFonts w:ascii="Times New Roman" w:eastAsia="Arial" w:hAnsi="Times New Roman" w:cs="Times New Roman"/>
          <w:color w:val="000000" w:themeColor="text1"/>
          <w:sz w:val="28"/>
          <w:szCs w:val="28"/>
        </w:rPr>
      </w:pPr>
      <w:r w:rsidRPr="007678FA">
        <w:rPr>
          <w:rFonts w:ascii="Times New Roman" w:eastAsia="Arial" w:hAnsi="Times New Roman" w:cs="Times New Roman"/>
          <w:color w:val="000000" w:themeColor="text1"/>
          <w:sz w:val="28"/>
          <w:szCs w:val="28"/>
        </w:rPr>
        <w:tab/>
      </w:r>
      <w:r w:rsidR="009B55F2" w:rsidRPr="007678FA">
        <w:rPr>
          <w:rFonts w:ascii="Times New Roman" w:eastAsia="Arial" w:hAnsi="Times New Roman" w:cs="Times New Roman"/>
          <w:color w:val="000000" w:themeColor="text1"/>
          <w:sz w:val="28"/>
          <w:szCs w:val="28"/>
        </w:rPr>
        <w:t>‘The application is dismissed with costs.’</w:t>
      </w:r>
    </w:p>
    <w:p w14:paraId="3E6CBC0F" w14:textId="77777777" w:rsidR="00225C96" w:rsidRPr="007678FA" w:rsidRDefault="00225C96" w:rsidP="001C5815">
      <w:pPr>
        <w:ind w:left="5556"/>
        <w:rPr>
          <w:sz w:val="28"/>
          <w:szCs w:val="28"/>
          <w:bdr w:val="single" w:sz="4" w:space="0" w:color="auto"/>
        </w:rPr>
      </w:pPr>
    </w:p>
    <w:p w14:paraId="6C775B52" w14:textId="77777777" w:rsidR="00225C96" w:rsidRPr="006B1F1E" w:rsidRDefault="00225C96" w:rsidP="005C0790">
      <w:pPr>
        <w:pBdr>
          <w:bottom w:val="single" w:sz="12" w:space="1" w:color="auto"/>
        </w:pBdr>
        <w:ind w:left="5556"/>
        <w:jc w:val="right"/>
        <w:rPr>
          <w:sz w:val="28"/>
          <w:szCs w:val="28"/>
          <w:bdr w:val="single" w:sz="4" w:space="0" w:color="auto"/>
        </w:rPr>
      </w:pPr>
    </w:p>
    <w:p w14:paraId="39F74AC1" w14:textId="6E98A4E3" w:rsidR="001C5815" w:rsidRPr="0012413C" w:rsidRDefault="001C5815" w:rsidP="0012413C">
      <w:pPr>
        <w:ind w:left="5556"/>
        <w:jc w:val="right"/>
        <w:rPr>
          <w:bCs/>
          <w:sz w:val="28"/>
          <w:szCs w:val="28"/>
        </w:rPr>
      </w:pPr>
      <w:r w:rsidRPr="0012413C">
        <w:rPr>
          <w:bCs/>
          <w:sz w:val="28"/>
          <w:szCs w:val="28"/>
        </w:rPr>
        <w:t>SE WEINER</w:t>
      </w:r>
    </w:p>
    <w:p w14:paraId="5EFBB297" w14:textId="21E40351" w:rsidR="001C5815" w:rsidRPr="0012413C" w:rsidRDefault="001C5815" w:rsidP="006B1F1E">
      <w:pPr>
        <w:ind w:left="5556"/>
        <w:jc w:val="right"/>
        <w:rPr>
          <w:bCs/>
          <w:sz w:val="28"/>
          <w:szCs w:val="28"/>
        </w:rPr>
      </w:pPr>
      <w:r w:rsidRPr="0012413C">
        <w:rPr>
          <w:bCs/>
          <w:sz w:val="28"/>
          <w:szCs w:val="28"/>
        </w:rPr>
        <w:t>JUDGE OF APPEAL</w:t>
      </w:r>
    </w:p>
    <w:p w14:paraId="560588DA" w14:textId="77777777" w:rsidR="00AE497E" w:rsidRDefault="00AE497E" w:rsidP="008C5B84">
      <w:pPr>
        <w:rPr>
          <w:bCs/>
          <w:sz w:val="28"/>
          <w:szCs w:val="28"/>
        </w:rPr>
      </w:pPr>
    </w:p>
    <w:p w14:paraId="30E8235F" w14:textId="77777777" w:rsidR="00AE497E" w:rsidRDefault="00AE497E" w:rsidP="008C5B84">
      <w:pPr>
        <w:rPr>
          <w:bCs/>
          <w:sz w:val="28"/>
          <w:szCs w:val="28"/>
        </w:rPr>
      </w:pPr>
    </w:p>
    <w:p w14:paraId="36338F9D" w14:textId="77777777" w:rsidR="00AE497E" w:rsidRDefault="00AE497E" w:rsidP="008C5B84">
      <w:pPr>
        <w:rPr>
          <w:bCs/>
          <w:sz w:val="28"/>
          <w:szCs w:val="28"/>
        </w:rPr>
      </w:pPr>
    </w:p>
    <w:p w14:paraId="1C4C0924" w14:textId="61FADB29" w:rsidR="00AE497E" w:rsidRPr="003039E5" w:rsidRDefault="00AE497E" w:rsidP="00AE497E">
      <w:pPr>
        <w:spacing w:line="360" w:lineRule="auto"/>
        <w:jc w:val="both"/>
        <w:rPr>
          <w:b/>
          <w:bCs/>
          <w:sz w:val="28"/>
          <w:szCs w:val="28"/>
          <w:lang w:val="en-US"/>
        </w:rPr>
      </w:pPr>
      <w:r w:rsidRPr="003039E5">
        <w:rPr>
          <w:b/>
          <w:bCs/>
          <w:sz w:val="28"/>
          <w:szCs w:val="28"/>
          <w:lang w:val="en-US"/>
        </w:rPr>
        <w:t xml:space="preserve">Ponnan JA (Hughes JA and Nhlangulela AJA concurring) </w:t>
      </w:r>
    </w:p>
    <w:p w14:paraId="2C076978" w14:textId="6FB69706" w:rsidR="00AE497E" w:rsidRPr="003039E5" w:rsidRDefault="00AE497E" w:rsidP="00AE497E">
      <w:pPr>
        <w:spacing w:line="360" w:lineRule="auto"/>
        <w:jc w:val="both"/>
        <w:rPr>
          <w:sz w:val="28"/>
          <w:szCs w:val="28"/>
          <w:lang w:val="en-US"/>
        </w:rPr>
      </w:pPr>
      <w:r w:rsidRPr="003039E5">
        <w:rPr>
          <w:sz w:val="28"/>
          <w:szCs w:val="28"/>
          <w:lang w:val="en-US"/>
        </w:rPr>
        <w:t>[4</w:t>
      </w:r>
      <w:r w:rsidR="008915DD">
        <w:rPr>
          <w:sz w:val="28"/>
          <w:szCs w:val="28"/>
          <w:lang w:val="en-US"/>
        </w:rPr>
        <w:t>0</w:t>
      </w:r>
      <w:r w:rsidRPr="003039E5">
        <w:rPr>
          <w:sz w:val="28"/>
          <w:szCs w:val="28"/>
          <w:lang w:val="en-US"/>
        </w:rPr>
        <w:t>]</w:t>
      </w:r>
      <w:r w:rsidRPr="003039E5">
        <w:rPr>
          <w:sz w:val="28"/>
          <w:szCs w:val="28"/>
          <w:lang w:val="en-US"/>
        </w:rPr>
        <w:tab/>
        <w:t>I have read the judgment of Weiner JA. For the reasons that follow, I find myself unable to agree with either the reasoning or conclusion reached by my learned Colleague.</w:t>
      </w:r>
    </w:p>
    <w:p w14:paraId="3365EDB2" w14:textId="3CE76194" w:rsidR="00AE497E" w:rsidRPr="003039E5" w:rsidRDefault="00AE497E" w:rsidP="00AE497E">
      <w:pPr>
        <w:spacing w:line="360" w:lineRule="auto"/>
        <w:jc w:val="both"/>
        <w:rPr>
          <w:sz w:val="28"/>
          <w:szCs w:val="28"/>
          <w:lang w:val="en-US"/>
        </w:rPr>
      </w:pPr>
    </w:p>
    <w:p w14:paraId="685C9BFB" w14:textId="5E697928" w:rsidR="00AE497E" w:rsidRPr="003039E5" w:rsidRDefault="00AE497E" w:rsidP="00AE497E">
      <w:pPr>
        <w:spacing w:line="360" w:lineRule="auto"/>
        <w:jc w:val="both"/>
        <w:rPr>
          <w:sz w:val="28"/>
          <w:szCs w:val="28"/>
          <w:lang w:val="en-US"/>
        </w:rPr>
      </w:pPr>
      <w:r w:rsidRPr="003039E5">
        <w:rPr>
          <w:sz w:val="28"/>
          <w:szCs w:val="28"/>
          <w:lang w:val="en-US"/>
        </w:rPr>
        <w:t>[4</w:t>
      </w:r>
      <w:r w:rsidR="008915DD">
        <w:rPr>
          <w:sz w:val="28"/>
          <w:szCs w:val="28"/>
          <w:lang w:val="en-US"/>
        </w:rPr>
        <w:t>1</w:t>
      </w:r>
      <w:r w:rsidRPr="003039E5">
        <w:rPr>
          <w:sz w:val="28"/>
          <w:szCs w:val="28"/>
          <w:lang w:val="en-US"/>
        </w:rPr>
        <w:t>]</w:t>
      </w:r>
      <w:r w:rsidRPr="003039E5">
        <w:rPr>
          <w:sz w:val="28"/>
          <w:szCs w:val="28"/>
          <w:lang w:val="en-US"/>
        </w:rPr>
        <w:tab/>
        <w:t xml:space="preserve">The second respondent, Elevation Trading CC t/a </w:t>
      </w:r>
      <w:r w:rsidR="00B15CE2">
        <w:rPr>
          <w:sz w:val="28"/>
          <w:szCs w:val="28"/>
          <w:lang w:val="en-US"/>
        </w:rPr>
        <w:t>Xcelsior</w:t>
      </w:r>
      <w:r w:rsidRPr="003039E5">
        <w:rPr>
          <w:sz w:val="28"/>
          <w:szCs w:val="28"/>
          <w:lang w:val="en-US"/>
        </w:rPr>
        <w:t xml:space="preserve"> Financial Services (Elevation) and the third respondent, </w:t>
      </w:r>
      <w:r w:rsidR="00B15CE2">
        <w:rPr>
          <w:sz w:val="28"/>
          <w:szCs w:val="28"/>
          <w:lang w:val="en-US"/>
        </w:rPr>
        <w:t>Xcelsior</w:t>
      </w:r>
      <w:r w:rsidRPr="003039E5">
        <w:rPr>
          <w:sz w:val="28"/>
          <w:szCs w:val="28"/>
          <w:lang w:val="en-US"/>
        </w:rPr>
        <w:t xml:space="preserve"> Financial Services (Pty) Ltd </w:t>
      </w:r>
      <w:r w:rsidR="00B15CE2">
        <w:rPr>
          <w:sz w:val="28"/>
          <w:szCs w:val="28"/>
          <w:lang w:val="en-US"/>
        </w:rPr>
        <w:t>(Xcelsior</w:t>
      </w:r>
      <w:r w:rsidR="00B15CE2" w:rsidRPr="00F03A51">
        <w:rPr>
          <w:sz w:val="28"/>
          <w:szCs w:val="28"/>
          <w:lang w:val="en-US"/>
        </w:rPr>
        <w:t>)</w:t>
      </w:r>
      <w:r w:rsidRPr="00F03A51">
        <w:rPr>
          <w:sz w:val="28"/>
          <w:szCs w:val="28"/>
          <w:lang w:val="en-US"/>
        </w:rPr>
        <w:t xml:space="preserve"> (collectively referred to as the respondents), are</w:t>
      </w:r>
      <w:r w:rsidRPr="003039E5">
        <w:rPr>
          <w:sz w:val="28"/>
          <w:szCs w:val="28"/>
          <w:lang w:val="en-US"/>
        </w:rPr>
        <w:t xml:space="preserve"> registered credit providers under the National Credit Act 34 of 2005 (the Act). The appellant, the</w:t>
      </w:r>
      <w:r w:rsidR="00FB2B39">
        <w:rPr>
          <w:sz w:val="28"/>
          <w:szCs w:val="28"/>
          <w:lang w:val="en-US"/>
        </w:rPr>
        <w:t xml:space="preserve"> </w:t>
      </w:r>
      <w:r w:rsidRPr="003039E5">
        <w:rPr>
          <w:sz w:val="28"/>
          <w:szCs w:val="28"/>
          <w:lang w:val="en-US"/>
        </w:rPr>
        <w:t xml:space="preserve">the NCR, received complaints against the respondents. It is not necessary to detail the </w:t>
      </w:r>
      <w:r w:rsidRPr="003039E5">
        <w:rPr>
          <w:sz w:val="28"/>
          <w:szCs w:val="28"/>
          <w:lang w:val="en-US"/>
        </w:rPr>
        <w:lastRenderedPageBreak/>
        <w:t>nature of the complaints; it suffices for the present to state that on the strength of them, the NCR initiated an investigation into the conduct of the respondents on 16 March 2017, leading it (the NCR) to the conclusion that the conduct of the respondents repeatedly contravened various provisions of the Act and the Regulations framed thereunder (the regulations).</w:t>
      </w:r>
      <w:r w:rsidRPr="003039E5">
        <w:rPr>
          <w:rStyle w:val="FootnoteReference"/>
          <w:sz w:val="28"/>
          <w:szCs w:val="28"/>
          <w:lang w:val="en-US"/>
        </w:rPr>
        <w:footnoteReference w:id="30"/>
      </w:r>
      <w:r w:rsidRPr="003039E5">
        <w:rPr>
          <w:sz w:val="28"/>
          <w:szCs w:val="28"/>
          <w:lang w:val="en-US"/>
        </w:rPr>
        <w:t xml:space="preserve"> </w:t>
      </w:r>
    </w:p>
    <w:p w14:paraId="43D8CF9D" w14:textId="77777777" w:rsidR="00AE497E" w:rsidRPr="003039E5" w:rsidRDefault="00AE497E" w:rsidP="00AE497E">
      <w:pPr>
        <w:spacing w:line="360" w:lineRule="auto"/>
        <w:jc w:val="both"/>
        <w:rPr>
          <w:sz w:val="28"/>
          <w:szCs w:val="28"/>
          <w:lang w:val="en-US"/>
        </w:rPr>
      </w:pPr>
    </w:p>
    <w:p w14:paraId="6FA1954C" w14:textId="05CA6180" w:rsidR="00AE497E" w:rsidRPr="003039E5" w:rsidRDefault="00AE497E" w:rsidP="00AE497E">
      <w:pPr>
        <w:spacing w:line="360" w:lineRule="auto"/>
        <w:jc w:val="both"/>
        <w:rPr>
          <w:sz w:val="28"/>
          <w:szCs w:val="28"/>
          <w:lang w:val="en-US"/>
        </w:rPr>
      </w:pPr>
      <w:r w:rsidRPr="003039E5">
        <w:rPr>
          <w:sz w:val="28"/>
          <w:szCs w:val="28"/>
          <w:lang w:val="en-US"/>
        </w:rPr>
        <w:t>[4</w:t>
      </w:r>
      <w:r w:rsidR="008915DD">
        <w:rPr>
          <w:sz w:val="28"/>
          <w:szCs w:val="28"/>
          <w:lang w:val="en-US"/>
        </w:rPr>
        <w:t>2</w:t>
      </w:r>
      <w:r w:rsidRPr="003039E5">
        <w:rPr>
          <w:sz w:val="28"/>
          <w:szCs w:val="28"/>
          <w:lang w:val="en-US"/>
        </w:rPr>
        <w:t>]</w:t>
      </w:r>
      <w:r w:rsidRPr="003039E5">
        <w:rPr>
          <w:sz w:val="28"/>
          <w:szCs w:val="28"/>
          <w:lang w:val="en-US"/>
        </w:rPr>
        <w:tab/>
        <w:t>On 4 July 2018, the NCR applied to the first respondent, the Tribunal for the cancellation of the registration of the respondents as credit providers with immediate effect; the imposition of an administrative fine on the respondents; and, an order that the respondents refund their consumers. The application was opposed by the respondents. On 18 September 2018, the respondents filed their answering affidavit together with an application for condonation, which was granted by the Tribunal on 22 October 2018. The NCR thereafter filed its replying affidavit on 5 November 2019.</w:t>
      </w:r>
    </w:p>
    <w:p w14:paraId="24E96797" w14:textId="77777777" w:rsidR="00AE497E" w:rsidRPr="003039E5" w:rsidRDefault="00AE497E" w:rsidP="00AE497E">
      <w:pPr>
        <w:spacing w:line="360" w:lineRule="auto"/>
        <w:jc w:val="both"/>
        <w:rPr>
          <w:sz w:val="28"/>
          <w:szCs w:val="28"/>
          <w:lang w:val="en-US"/>
        </w:rPr>
      </w:pPr>
    </w:p>
    <w:p w14:paraId="2937E3C0" w14:textId="400B1A1B" w:rsidR="00AE497E" w:rsidRPr="003039E5" w:rsidRDefault="00AE497E" w:rsidP="00AE497E">
      <w:pPr>
        <w:spacing w:line="360" w:lineRule="auto"/>
        <w:jc w:val="both"/>
        <w:rPr>
          <w:sz w:val="28"/>
          <w:szCs w:val="28"/>
          <w:lang w:val="en-US"/>
        </w:rPr>
      </w:pPr>
      <w:r w:rsidRPr="003039E5">
        <w:rPr>
          <w:sz w:val="28"/>
          <w:szCs w:val="28"/>
          <w:lang w:val="en-US"/>
        </w:rPr>
        <w:t>[4</w:t>
      </w:r>
      <w:r w:rsidR="008915DD">
        <w:rPr>
          <w:sz w:val="28"/>
          <w:szCs w:val="28"/>
          <w:lang w:val="en-US"/>
        </w:rPr>
        <w:t>3</w:t>
      </w:r>
      <w:r w:rsidRPr="003039E5">
        <w:rPr>
          <w:sz w:val="28"/>
          <w:szCs w:val="28"/>
          <w:lang w:val="en-US"/>
        </w:rPr>
        <w:t>]</w:t>
      </w:r>
      <w:r w:rsidRPr="003039E5">
        <w:rPr>
          <w:sz w:val="28"/>
          <w:szCs w:val="28"/>
          <w:lang w:val="en-US"/>
        </w:rPr>
        <w:tab/>
        <w:t>On 10 July 2019</w:t>
      </w:r>
      <w:r w:rsidR="008915DD">
        <w:rPr>
          <w:sz w:val="28"/>
          <w:szCs w:val="28"/>
          <w:lang w:val="en-US"/>
        </w:rPr>
        <w:t>,</w:t>
      </w:r>
      <w:r w:rsidRPr="003039E5">
        <w:rPr>
          <w:sz w:val="28"/>
          <w:szCs w:val="28"/>
          <w:lang w:val="en-US"/>
        </w:rPr>
        <w:t xml:space="preserve"> the NCR applied to the Tribunal for:</w:t>
      </w:r>
    </w:p>
    <w:p w14:paraId="6028F2B2" w14:textId="77777777" w:rsidR="00AE497E" w:rsidRPr="003039E5" w:rsidRDefault="00AE497E" w:rsidP="00AE497E">
      <w:pPr>
        <w:spacing w:line="360" w:lineRule="auto"/>
        <w:jc w:val="both"/>
        <w:rPr>
          <w:lang w:val="en-US"/>
        </w:rPr>
      </w:pPr>
      <w:r w:rsidRPr="003039E5">
        <w:rPr>
          <w:lang w:val="en-US"/>
        </w:rPr>
        <w:t>‘. . . an order to condone a departure from the rules or procedures as follows:-</w:t>
      </w:r>
    </w:p>
    <w:p w14:paraId="1DF38E7A" w14:textId="77777777" w:rsidR="00AE497E" w:rsidRPr="003039E5" w:rsidRDefault="00AE497E" w:rsidP="00AE497E">
      <w:pPr>
        <w:spacing w:line="360" w:lineRule="auto"/>
        <w:ind w:left="426" w:hanging="426"/>
        <w:jc w:val="both"/>
        <w:rPr>
          <w:lang w:val="en-US"/>
        </w:rPr>
      </w:pPr>
      <w:r w:rsidRPr="003039E5">
        <w:rPr>
          <w:lang w:val="en-US"/>
        </w:rPr>
        <w:t>1.</w:t>
      </w:r>
      <w:r w:rsidRPr="003039E5">
        <w:rPr>
          <w:lang w:val="en-US"/>
        </w:rPr>
        <w:tab/>
        <w:t>Authorising the Applicant to file a supplementary founding affidavit, (which supplementary founding affidavit is attached hereto);</w:t>
      </w:r>
    </w:p>
    <w:p w14:paraId="23ADA2CF" w14:textId="77777777" w:rsidR="00AE497E" w:rsidRPr="003039E5" w:rsidRDefault="00AE497E" w:rsidP="00AE497E">
      <w:pPr>
        <w:spacing w:line="360" w:lineRule="auto"/>
        <w:ind w:left="426" w:hanging="426"/>
        <w:jc w:val="both"/>
        <w:rPr>
          <w:lang w:val="en-US"/>
        </w:rPr>
      </w:pPr>
      <w:r w:rsidRPr="003039E5">
        <w:rPr>
          <w:lang w:val="en-US"/>
        </w:rPr>
        <w:t>2.</w:t>
      </w:r>
      <w:r w:rsidRPr="003039E5">
        <w:rPr>
          <w:lang w:val="en-US"/>
        </w:rPr>
        <w:tab/>
        <w:t>Giving further directions with regard to the delivery of answering and replying affidavits pertaining to the supplementary founding affidavit;</w:t>
      </w:r>
    </w:p>
    <w:p w14:paraId="574B936C" w14:textId="77777777" w:rsidR="00AE497E" w:rsidRPr="003039E5" w:rsidRDefault="00AE497E" w:rsidP="00AE497E">
      <w:pPr>
        <w:spacing w:line="360" w:lineRule="auto"/>
        <w:ind w:left="426" w:hanging="426"/>
        <w:jc w:val="both"/>
        <w:rPr>
          <w:lang w:val="en-US"/>
        </w:rPr>
      </w:pPr>
      <w:r w:rsidRPr="003039E5">
        <w:rPr>
          <w:lang w:val="en-US"/>
        </w:rPr>
        <w:t>3.</w:t>
      </w:r>
      <w:r w:rsidRPr="003039E5">
        <w:rPr>
          <w:lang w:val="en-US"/>
        </w:rPr>
        <w:tab/>
        <w:t>Granting the Applicant leave to amend its Notice of motion Dated 4 July 2018, by the insertion in the Table in Part D thereof of the following additional rows…’</w:t>
      </w:r>
    </w:p>
    <w:p w14:paraId="0963873B" w14:textId="77777777" w:rsidR="00AE497E" w:rsidRPr="003039E5" w:rsidRDefault="00AE497E" w:rsidP="00AE497E">
      <w:pPr>
        <w:spacing w:line="360" w:lineRule="auto"/>
        <w:jc w:val="both"/>
        <w:rPr>
          <w:sz w:val="28"/>
          <w:szCs w:val="28"/>
          <w:lang w:val="en-US"/>
        </w:rPr>
      </w:pPr>
    </w:p>
    <w:p w14:paraId="36D06302" w14:textId="04F556E7" w:rsidR="00AE497E" w:rsidRPr="003039E5" w:rsidRDefault="00AE497E" w:rsidP="00AE497E">
      <w:pPr>
        <w:spacing w:line="360" w:lineRule="auto"/>
        <w:jc w:val="both"/>
        <w:rPr>
          <w:sz w:val="28"/>
          <w:szCs w:val="28"/>
          <w:lang w:val="en-US"/>
        </w:rPr>
      </w:pPr>
      <w:r w:rsidRPr="003039E5">
        <w:rPr>
          <w:sz w:val="28"/>
          <w:szCs w:val="28"/>
          <w:lang w:val="en-US"/>
        </w:rPr>
        <w:t>[4</w:t>
      </w:r>
      <w:r w:rsidR="008915DD">
        <w:rPr>
          <w:sz w:val="28"/>
          <w:szCs w:val="28"/>
          <w:lang w:val="en-US"/>
        </w:rPr>
        <w:t>4</w:t>
      </w:r>
      <w:r w:rsidRPr="003039E5">
        <w:rPr>
          <w:sz w:val="28"/>
          <w:szCs w:val="28"/>
          <w:lang w:val="en-US"/>
        </w:rPr>
        <w:t>]</w:t>
      </w:r>
      <w:r w:rsidRPr="003039E5">
        <w:rPr>
          <w:sz w:val="28"/>
          <w:szCs w:val="28"/>
          <w:lang w:val="en-US"/>
        </w:rPr>
        <w:tab/>
        <w:t xml:space="preserve">In support of the application, it was stated that ‘whilst preparing for the hearing of the matter [it] had come to realise that there were some issues with the </w:t>
      </w:r>
      <w:r w:rsidRPr="003039E5">
        <w:rPr>
          <w:sz w:val="28"/>
          <w:szCs w:val="28"/>
          <w:lang w:val="en-US"/>
        </w:rPr>
        <w:lastRenderedPageBreak/>
        <w:t>current pleadings . . . which need to be addressed’. It was further asserted on behalf of the NCR:</w:t>
      </w:r>
    </w:p>
    <w:p w14:paraId="737312A0" w14:textId="77777777" w:rsidR="00AE497E" w:rsidRPr="003039E5" w:rsidRDefault="00AE497E" w:rsidP="00AE497E">
      <w:pPr>
        <w:spacing w:line="360" w:lineRule="auto"/>
        <w:jc w:val="both"/>
        <w:rPr>
          <w:lang w:val="en-US"/>
        </w:rPr>
      </w:pPr>
      <w:r w:rsidRPr="003039E5">
        <w:rPr>
          <w:lang w:val="en-US"/>
        </w:rPr>
        <w:t>‘11.</w:t>
      </w:r>
      <w:r w:rsidRPr="003039E5">
        <w:rPr>
          <w:lang w:val="en-US"/>
        </w:rPr>
        <w:tab/>
        <w:t xml:space="preserve">I respectfully submit that it is in the interests of justice that condonation be granted and that Applicant be allowed to supplement its founding affidavit papers, for the following reasons:- </w:t>
      </w:r>
    </w:p>
    <w:p w14:paraId="209E683B" w14:textId="77777777" w:rsidR="00AE497E" w:rsidRPr="003039E5" w:rsidRDefault="00AE497E" w:rsidP="00AE497E">
      <w:pPr>
        <w:spacing w:line="360" w:lineRule="auto"/>
        <w:ind w:hanging="142"/>
        <w:jc w:val="both"/>
        <w:rPr>
          <w:lang w:val="en-US"/>
        </w:rPr>
      </w:pPr>
      <w:r w:rsidRPr="003039E5">
        <w:rPr>
          <w:lang w:val="en-US"/>
        </w:rPr>
        <w:tab/>
        <w:t>11.1</w:t>
      </w:r>
      <w:r w:rsidRPr="003039E5">
        <w:rPr>
          <w:lang w:val="en-US"/>
        </w:rPr>
        <w:tab/>
        <w:t xml:space="preserve">By allowing the Applicant to supplement its founding papers, all of the </w:t>
      </w:r>
      <w:r w:rsidRPr="003039E5">
        <w:rPr>
          <w:lang w:val="en-US"/>
        </w:rPr>
        <w:tab/>
      </w:r>
      <w:r w:rsidRPr="003039E5">
        <w:rPr>
          <w:lang w:val="en-US"/>
        </w:rPr>
        <w:tab/>
      </w:r>
      <w:r w:rsidRPr="003039E5">
        <w:rPr>
          <w:lang w:val="en-US"/>
        </w:rPr>
        <w:tab/>
        <w:t xml:space="preserve">contraventions which arise from the facts at hand will be able to be fully </w:t>
      </w:r>
      <w:r w:rsidRPr="003039E5">
        <w:rPr>
          <w:lang w:val="en-US"/>
        </w:rPr>
        <w:tab/>
      </w:r>
      <w:r w:rsidRPr="003039E5">
        <w:rPr>
          <w:lang w:val="en-US"/>
        </w:rPr>
        <w:tab/>
      </w:r>
      <w:r w:rsidRPr="003039E5">
        <w:rPr>
          <w:lang w:val="en-US"/>
        </w:rPr>
        <w:tab/>
        <w:t>ventilated and adjudicated;</w:t>
      </w:r>
    </w:p>
    <w:p w14:paraId="78116CAE" w14:textId="77777777" w:rsidR="00AE497E" w:rsidRPr="003039E5" w:rsidRDefault="00AE497E" w:rsidP="00AE497E">
      <w:pPr>
        <w:spacing w:line="360" w:lineRule="auto"/>
        <w:ind w:hanging="142"/>
        <w:jc w:val="both"/>
        <w:rPr>
          <w:lang w:val="en-US"/>
        </w:rPr>
      </w:pPr>
      <w:r w:rsidRPr="003039E5">
        <w:rPr>
          <w:lang w:val="en-US"/>
        </w:rPr>
        <w:tab/>
        <w:t>11.2</w:t>
      </w:r>
      <w:r w:rsidRPr="003039E5">
        <w:rPr>
          <w:lang w:val="en-US"/>
        </w:rPr>
        <w:tab/>
        <w:t xml:space="preserve">It would not be fair or in the interests of justice that the Respondents be enabled </w:t>
      </w:r>
      <w:r w:rsidRPr="003039E5">
        <w:rPr>
          <w:lang w:val="en-US"/>
        </w:rPr>
        <w:tab/>
      </w:r>
      <w:r w:rsidRPr="003039E5">
        <w:rPr>
          <w:lang w:val="en-US"/>
        </w:rPr>
        <w:tab/>
        <w:t xml:space="preserve">to escape liability for contravening the Act, based purely on minor deficiencies </w:t>
      </w:r>
      <w:r w:rsidRPr="003039E5">
        <w:rPr>
          <w:lang w:val="en-US"/>
        </w:rPr>
        <w:tab/>
      </w:r>
      <w:r w:rsidRPr="003039E5">
        <w:rPr>
          <w:lang w:val="en-US"/>
        </w:rPr>
        <w:tab/>
        <w:t xml:space="preserve">in the founding papers. Such a result would be extremely prejudicial to </w:t>
      </w:r>
      <w:r w:rsidRPr="003039E5">
        <w:rPr>
          <w:lang w:val="en-US"/>
        </w:rPr>
        <w:tab/>
      </w:r>
      <w:r w:rsidRPr="003039E5">
        <w:rPr>
          <w:lang w:val="en-US"/>
        </w:rPr>
        <w:tab/>
      </w:r>
      <w:r w:rsidRPr="003039E5">
        <w:rPr>
          <w:lang w:val="en-US"/>
        </w:rPr>
        <w:tab/>
        <w:t>consumers who were the victims of the Respondent’s unlawful conduct;</w:t>
      </w:r>
    </w:p>
    <w:p w14:paraId="4F8359D4" w14:textId="77777777" w:rsidR="00AE497E" w:rsidRPr="003039E5" w:rsidRDefault="00AE497E" w:rsidP="00AE497E">
      <w:pPr>
        <w:spacing w:line="360" w:lineRule="auto"/>
        <w:ind w:hanging="142"/>
        <w:jc w:val="both"/>
        <w:rPr>
          <w:lang w:val="en-US"/>
        </w:rPr>
      </w:pPr>
      <w:r w:rsidRPr="003039E5">
        <w:rPr>
          <w:lang w:val="en-US"/>
        </w:rPr>
        <w:tab/>
        <w:t>11.3</w:t>
      </w:r>
      <w:r w:rsidRPr="003039E5">
        <w:rPr>
          <w:lang w:val="en-US"/>
        </w:rPr>
        <w:tab/>
        <w:t xml:space="preserve">The issue regarding categorisation of the credit agreements according to the </w:t>
      </w:r>
      <w:r w:rsidRPr="003039E5">
        <w:rPr>
          <w:lang w:val="en-US"/>
        </w:rPr>
        <w:tab/>
      </w:r>
      <w:r w:rsidRPr="003039E5">
        <w:rPr>
          <w:lang w:val="en-US"/>
        </w:rPr>
        <w:tab/>
        <w:t xml:space="preserve">definitions under the National Credit Act is, I submit, central to the dispute </w:t>
      </w:r>
      <w:r w:rsidRPr="003039E5">
        <w:rPr>
          <w:lang w:val="en-US"/>
        </w:rPr>
        <w:tab/>
      </w:r>
      <w:r w:rsidRPr="003039E5">
        <w:rPr>
          <w:lang w:val="en-US"/>
        </w:rPr>
        <w:tab/>
        <w:t xml:space="preserve">between the parties. The Respondents complain that the Applicant’s founding </w:t>
      </w:r>
      <w:r w:rsidRPr="003039E5">
        <w:rPr>
          <w:lang w:val="en-US"/>
        </w:rPr>
        <w:tab/>
      </w:r>
      <w:r w:rsidRPr="003039E5">
        <w:rPr>
          <w:lang w:val="en-US"/>
        </w:rPr>
        <w:tab/>
        <w:t xml:space="preserve">papers do not explain the basis upon which the Applicant claims that the </w:t>
      </w:r>
      <w:r w:rsidRPr="003039E5">
        <w:rPr>
          <w:lang w:val="en-US"/>
        </w:rPr>
        <w:tab/>
      </w:r>
      <w:r w:rsidRPr="003039E5">
        <w:rPr>
          <w:lang w:val="en-US"/>
        </w:rPr>
        <w:tab/>
      </w:r>
      <w:r w:rsidRPr="003039E5">
        <w:rPr>
          <w:lang w:val="en-US"/>
        </w:rPr>
        <w:tab/>
        <w:t xml:space="preserve">agreements are secured loans as opposed to pawn transactions. The Applicant </w:t>
      </w:r>
      <w:r w:rsidRPr="003039E5">
        <w:rPr>
          <w:lang w:val="en-US"/>
        </w:rPr>
        <w:tab/>
      </w:r>
      <w:r w:rsidRPr="003039E5">
        <w:rPr>
          <w:lang w:val="en-US"/>
        </w:rPr>
        <w:tab/>
        <w:t xml:space="preserve">submits that this is an issue of interpretation of the Act and thus is to be </w:t>
      </w:r>
      <w:r w:rsidRPr="003039E5">
        <w:rPr>
          <w:lang w:val="en-US"/>
        </w:rPr>
        <w:tab/>
      </w:r>
      <w:r w:rsidRPr="003039E5">
        <w:rPr>
          <w:lang w:val="en-US"/>
        </w:rPr>
        <w:tab/>
      </w:r>
      <w:r w:rsidRPr="003039E5">
        <w:rPr>
          <w:lang w:val="en-US"/>
        </w:rPr>
        <w:tab/>
        <w:t xml:space="preserve">addressed by legal argument and, therefore, it was not strictly necessary to set </w:t>
      </w:r>
      <w:r w:rsidRPr="003039E5">
        <w:rPr>
          <w:lang w:val="en-US"/>
        </w:rPr>
        <w:tab/>
      </w:r>
      <w:r w:rsidRPr="003039E5">
        <w:rPr>
          <w:lang w:val="en-US"/>
        </w:rPr>
        <w:tab/>
        <w:t xml:space="preserve">out this argument in its founding affidavit. However, it is beneficial for the </w:t>
      </w:r>
      <w:r w:rsidRPr="003039E5">
        <w:rPr>
          <w:lang w:val="en-US"/>
        </w:rPr>
        <w:tab/>
      </w:r>
      <w:r w:rsidRPr="003039E5">
        <w:rPr>
          <w:lang w:val="en-US"/>
        </w:rPr>
        <w:tab/>
      </w:r>
      <w:r w:rsidRPr="003039E5">
        <w:rPr>
          <w:lang w:val="en-US"/>
        </w:rPr>
        <w:tab/>
        <w:t xml:space="preserve">administration of justice that the Applicant be allowed to supplement its </w:t>
      </w:r>
      <w:r w:rsidRPr="003039E5">
        <w:rPr>
          <w:lang w:val="en-US"/>
        </w:rPr>
        <w:tab/>
      </w:r>
      <w:r w:rsidRPr="003039E5">
        <w:rPr>
          <w:lang w:val="en-US"/>
        </w:rPr>
        <w:tab/>
      </w:r>
      <w:r w:rsidRPr="003039E5">
        <w:rPr>
          <w:lang w:val="en-US"/>
        </w:rPr>
        <w:tab/>
        <w:t xml:space="preserve">founding papers to deal with this issue which is central to the dispute between </w:t>
      </w:r>
      <w:r w:rsidRPr="003039E5">
        <w:rPr>
          <w:lang w:val="en-US"/>
        </w:rPr>
        <w:tab/>
      </w:r>
      <w:r w:rsidRPr="003039E5">
        <w:rPr>
          <w:lang w:val="en-US"/>
        </w:rPr>
        <w:tab/>
        <w:t>the parties – this will allow the primary dispute to be fully ventilated.</w:t>
      </w:r>
    </w:p>
    <w:p w14:paraId="7D19F55A" w14:textId="77777777" w:rsidR="00AE497E" w:rsidRPr="003039E5" w:rsidRDefault="00AE497E" w:rsidP="00AE497E">
      <w:pPr>
        <w:spacing w:line="360" w:lineRule="auto"/>
        <w:jc w:val="both"/>
        <w:rPr>
          <w:lang w:val="en-US"/>
        </w:rPr>
      </w:pPr>
      <w:r w:rsidRPr="003039E5">
        <w:rPr>
          <w:lang w:val="en-US"/>
        </w:rPr>
        <w:t>12.</w:t>
      </w:r>
      <w:r w:rsidRPr="003039E5">
        <w:rPr>
          <w:lang w:val="en-US"/>
        </w:rPr>
        <w:tab/>
        <w:t xml:space="preserve">I respectfully submit that the prejudice suffered by the filing of the supplementary founding affidavit will be minimal, if any. In fact, the Applicant and the consumer protection functions which it carries out will be prejudiced if the Applicant is precluded from filing the supplementary papers.’ </w:t>
      </w:r>
    </w:p>
    <w:p w14:paraId="67E667A4" w14:textId="77777777" w:rsidR="00AE497E" w:rsidRPr="003039E5" w:rsidRDefault="00AE497E" w:rsidP="00AE497E">
      <w:pPr>
        <w:spacing w:line="360" w:lineRule="auto"/>
        <w:jc w:val="both"/>
        <w:rPr>
          <w:sz w:val="28"/>
          <w:szCs w:val="28"/>
          <w:lang w:val="en-US"/>
        </w:rPr>
      </w:pPr>
    </w:p>
    <w:p w14:paraId="0D22F8CA" w14:textId="53138E45" w:rsidR="00AE497E" w:rsidRPr="003039E5" w:rsidRDefault="00AE497E" w:rsidP="00AE497E">
      <w:pPr>
        <w:spacing w:line="360" w:lineRule="auto"/>
        <w:jc w:val="both"/>
        <w:rPr>
          <w:sz w:val="28"/>
          <w:szCs w:val="28"/>
          <w:lang w:val="en-US"/>
        </w:rPr>
      </w:pPr>
      <w:r w:rsidRPr="003039E5">
        <w:rPr>
          <w:sz w:val="28"/>
          <w:szCs w:val="28"/>
          <w:lang w:val="en-US"/>
        </w:rPr>
        <w:t>[4</w:t>
      </w:r>
      <w:r w:rsidR="008915DD">
        <w:rPr>
          <w:sz w:val="28"/>
          <w:szCs w:val="28"/>
          <w:lang w:val="en-US"/>
        </w:rPr>
        <w:t>5</w:t>
      </w:r>
      <w:r w:rsidRPr="003039E5">
        <w:rPr>
          <w:sz w:val="28"/>
          <w:szCs w:val="28"/>
          <w:lang w:val="en-US"/>
        </w:rPr>
        <w:t>]</w:t>
      </w:r>
      <w:r w:rsidRPr="003039E5">
        <w:rPr>
          <w:sz w:val="28"/>
          <w:szCs w:val="28"/>
          <w:lang w:val="en-US"/>
        </w:rPr>
        <w:tab/>
        <w:t xml:space="preserve">In opposing the application, Mr Robert Ribeiro, a member of Elevation and a director of </w:t>
      </w:r>
      <w:r w:rsidR="00B15CE2">
        <w:rPr>
          <w:sz w:val="28"/>
          <w:szCs w:val="28"/>
          <w:lang w:val="en-US"/>
        </w:rPr>
        <w:t>Xcelsior</w:t>
      </w:r>
      <w:r w:rsidRPr="003039E5">
        <w:rPr>
          <w:sz w:val="28"/>
          <w:szCs w:val="28"/>
          <w:lang w:val="en-US"/>
        </w:rPr>
        <w:t>, asserted that:</w:t>
      </w:r>
    </w:p>
    <w:p w14:paraId="11AF1AAD" w14:textId="77777777" w:rsidR="00AE497E" w:rsidRPr="003039E5" w:rsidRDefault="00AE497E" w:rsidP="00AE497E">
      <w:pPr>
        <w:spacing w:line="360" w:lineRule="auto"/>
        <w:jc w:val="both"/>
        <w:rPr>
          <w:lang w:val="en-US"/>
        </w:rPr>
      </w:pPr>
      <w:r w:rsidRPr="003039E5">
        <w:rPr>
          <w:lang w:val="en-US"/>
        </w:rPr>
        <w:lastRenderedPageBreak/>
        <w:t>‘The applicant seeks an order that is simply not provided for in the regulations (rules) governing the procedures before the tribunal. The regulations do not provide for the filing of supplementary founding affidavits (or any other supplementary affidavits).’</w:t>
      </w:r>
    </w:p>
    <w:p w14:paraId="059F28A8" w14:textId="77777777" w:rsidR="00AE497E" w:rsidRPr="003039E5" w:rsidRDefault="00AE497E" w:rsidP="00AE497E">
      <w:pPr>
        <w:spacing w:line="360" w:lineRule="auto"/>
        <w:jc w:val="both"/>
        <w:rPr>
          <w:sz w:val="28"/>
          <w:szCs w:val="28"/>
          <w:lang w:val="en-US"/>
        </w:rPr>
      </w:pPr>
    </w:p>
    <w:p w14:paraId="45E76549" w14:textId="00487FD2" w:rsidR="00AE497E" w:rsidRPr="003039E5" w:rsidRDefault="00AE497E" w:rsidP="00AE497E">
      <w:pPr>
        <w:spacing w:line="360" w:lineRule="auto"/>
        <w:jc w:val="both"/>
        <w:rPr>
          <w:sz w:val="28"/>
          <w:szCs w:val="28"/>
          <w:lang w:val="en-US"/>
        </w:rPr>
      </w:pPr>
      <w:r w:rsidRPr="003039E5">
        <w:rPr>
          <w:sz w:val="28"/>
          <w:szCs w:val="28"/>
          <w:lang w:val="en-US"/>
        </w:rPr>
        <w:t>[4</w:t>
      </w:r>
      <w:r w:rsidR="008915DD">
        <w:rPr>
          <w:sz w:val="28"/>
          <w:szCs w:val="28"/>
          <w:lang w:val="en-US"/>
        </w:rPr>
        <w:t>6</w:t>
      </w:r>
      <w:r w:rsidRPr="003039E5">
        <w:rPr>
          <w:sz w:val="28"/>
          <w:szCs w:val="28"/>
          <w:lang w:val="en-US"/>
        </w:rPr>
        <w:t>]</w:t>
      </w:r>
      <w:r w:rsidRPr="003039E5">
        <w:rPr>
          <w:sz w:val="28"/>
          <w:szCs w:val="28"/>
          <w:lang w:val="en-US"/>
        </w:rPr>
        <w:tab/>
        <w:t xml:space="preserve">The application succeeded before the Tribunal, which evidently took the view that the application fell to be considered in terms of </w:t>
      </w:r>
      <w:r w:rsidR="008915DD">
        <w:rPr>
          <w:sz w:val="28"/>
          <w:szCs w:val="28"/>
          <w:lang w:val="en-US"/>
        </w:rPr>
        <w:t>r</w:t>
      </w:r>
      <w:r w:rsidRPr="003039E5">
        <w:rPr>
          <w:sz w:val="28"/>
          <w:szCs w:val="28"/>
          <w:lang w:val="en-US"/>
        </w:rPr>
        <w:t>ule 34(1)</w:t>
      </w:r>
      <w:r w:rsidRPr="003039E5">
        <w:rPr>
          <w:i/>
          <w:sz w:val="28"/>
          <w:szCs w:val="28"/>
          <w:lang w:val="en-US"/>
        </w:rPr>
        <w:t>(d)</w:t>
      </w:r>
      <w:r w:rsidRPr="003039E5">
        <w:rPr>
          <w:sz w:val="28"/>
          <w:szCs w:val="28"/>
          <w:lang w:val="en-US"/>
        </w:rPr>
        <w:t>. It stated:</w:t>
      </w:r>
    </w:p>
    <w:p w14:paraId="0DD7CBA6" w14:textId="785C3D87" w:rsidR="00AE497E" w:rsidRPr="003039E5" w:rsidRDefault="00AE497E" w:rsidP="00AE497E">
      <w:pPr>
        <w:spacing w:line="360" w:lineRule="auto"/>
        <w:jc w:val="both"/>
        <w:rPr>
          <w:sz w:val="28"/>
          <w:szCs w:val="28"/>
          <w:lang w:val="en-US"/>
        </w:rPr>
      </w:pPr>
      <w:r w:rsidRPr="003039E5">
        <w:rPr>
          <w:sz w:val="28"/>
          <w:szCs w:val="28"/>
          <w:lang w:val="en-US"/>
        </w:rPr>
        <w:t xml:space="preserve">‘The Tribunal </w:t>
      </w:r>
      <w:r w:rsidR="002007EB">
        <w:rPr>
          <w:sz w:val="28"/>
          <w:szCs w:val="28"/>
          <w:lang w:val="en-US"/>
        </w:rPr>
        <w:t xml:space="preserve">. . . </w:t>
      </w:r>
      <w:r w:rsidRPr="003039E5">
        <w:rPr>
          <w:sz w:val="28"/>
          <w:szCs w:val="28"/>
          <w:lang w:val="en-US"/>
        </w:rPr>
        <w:t xml:space="preserve"> has previously ruled that a supplementary affidavit can be considered as an application in terms of Rule 34(1)</w:t>
      </w:r>
      <w:r w:rsidRPr="003039E5">
        <w:rPr>
          <w:i/>
          <w:sz w:val="28"/>
          <w:szCs w:val="28"/>
          <w:lang w:val="en-US"/>
        </w:rPr>
        <w:t>(d)</w:t>
      </w:r>
      <w:r w:rsidRPr="003039E5">
        <w:rPr>
          <w:sz w:val="28"/>
          <w:szCs w:val="28"/>
          <w:lang w:val="en-US"/>
        </w:rPr>
        <w:t>; to condone a departure from the Rules and procedures [</w:t>
      </w:r>
      <w:r w:rsidRPr="003039E5">
        <w:rPr>
          <w:i/>
          <w:sz w:val="28"/>
          <w:szCs w:val="28"/>
          <w:lang w:val="en-US"/>
        </w:rPr>
        <w:t xml:space="preserve">Foschini Retail Group (Pty) Ltd v National Credit Regulator </w:t>
      </w:r>
      <w:r w:rsidRPr="003039E5">
        <w:rPr>
          <w:sz w:val="28"/>
          <w:szCs w:val="28"/>
          <w:lang w:val="en-US"/>
        </w:rPr>
        <w:t xml:space="preserve">NCT/84881/2017/140(1) NCA – Rule 34].’ </w:t>
      </w:r>
    </w:p>
    <w:p w14:paraId="2AAC5D6C" w14:textId="74A7BDF5" w:rsidR="00AE497E" w:rsidRPr="003039E5" w:rsidRDefault="00AE497E" w:rsidP="00AE497E">
      <w:pPr>
        <w:spacing w:line="360" w:lineRule="auto"/>
        <w:jc w:val="both"/>
        <w:rPr>
          <w:sz w:val="28"/>
          <w:szCs w:val="28"/>
          <w:lang w:val="en-US"/>
        </w:rPr>
      </w:pPr>
      <w:r w:rsidRPr="003039E5">
        <w:rPr>
          <w:sz w:val="28"/>
          <w:szCs w:val="28"/>
          <w:lang w:val="en-US"/>
        </w:rPr>
        <w:t>[4</w:t>
      </w:r>
      <w:r w:rsidR="008915DD">
        <w:rPr>
          <w:sz w:val="28"/>
          <w:szCs w:val="28"/>
          <w:lang w:val="en-US"/>
        </w:rPr>
        <w:t>7</w:t>
      </w:r>
      <w:r w:rsidRPr="003039E5">
        <w:rPr>
          <w:sz w:val="28"/>
          <w:szCs w:val="28"/>
          <w:lang w:val="en-US"/>
        </w:rPr>
        <w:t>]</w:t>
      </w:r>
      <w:r w:rsidRPr="003039E5">
        <w:rPr>
          <w:sz w:val="28"/>
          <w:szCs w:val="28"/>
          <w:lang w:val="en-US"/>
        </w:rPr>
        <w:tab/>
        <w:t>On 22 January 2020, the respondents applied to the high court for an order in the following terms:</w:t>
      </w:r>
    </w:p>
    <w:p w14:paraId="3188C1F7" w14:textId="77777777" w:rsidR="00AE497E" w:rsidRPr="003039E5" w:rsidRDefault="00AE497E" w:rsidP="00AE497E">
      <w:pPr>
        <w:spacing w:line="360" w:lineRule="auto"/>
        <w:jc w:val="both"/>
        <w:rPr>
          <w:lang w:val="en-US"/>
        </w:rPr>
      </w:pPr>
      <w:r w:rsidRPr="003039E5">
        <w:rPr>
          <w:lang w:val="en-US"/>
        </w:rPr>
        <w:t>‘The order of the first respondent dated 12 September 2019, annexed to the Notice of Motion as annexure “X”, is reviewed and set aside and the decision whether or not to grant condonation to the second respondent for the filing of a supplementary founding affidavit is remitted to the first respondent to consider and decide afresh.’</w:t>
      </w:r>
    </w:p>
    <w:p w14:paraId="6685F061" w14:textId="77777777" w:rsidR="00AE497E" w:rsidRPr="003039E5" w:rsidRDefault="00AE497E" w:rsidP="00AE497E">
      <w:pPr>
        <w:spacing w:line="360" w:lineRule="auto"/>
        <w:jc w:val="both"/>
        <w:rPr>
          <w:sz w:val="28"/>
          <w:szCs w:val="28"/>
          <w:lang w:val="en-US"/>
        </w:rPr>
      </w:pPr>
    </w:p>
    <w:p w14:paraId="3B63964D" w14:textId="622F64DA" w:rsidR="00AE497E" w:rsidRPr="003039E5" w:rsidRDefault="00AE497E" w:rsidP="00AE497E">
      <w:pPr>
        <w:spacing w:line="360" w:lineRule="auto"/>
        <w:jc w:val="both"/>
        <w:rPr>
          <w:sz w:val="28"/>
          <w:szCs w:val="28"/>
          <w:lang w:val="en-US"/>
        </w:rPr>
      </w:pPr>
      <w:r w:rsidRPr="003039E5">
        <w:rPr>
          <w:sz w:val="28"/>
          <w:szCs w:val="28"/>
          <w:lang w:val="en-US"/>
        </w:rPr>
        <w:t>[4</w:t>
      </w:r>
      <w:r w:rsidR="008915DD">
        <w:rPr>
          <w:sz w:val="28"/>
          <w:szCs w:val="28"/>
          <w:lang w:val="en-US"/>
        </w:rPr>
        <w:t>8</w:t>
      </w:r>
      <w:r w:rsidRPr="003039E5">
        <w:rPr>
          <w:sz w:val="28"/>
          <w:szCs w:val="28"/>
          <w:lang w:val="en-US"/>
        </w:rPr>
        <w:t>]</w:t>
      </w:r>
      <w:r w:rsidRPr="003039E5">
        <w:rPr>
          <w:sz w:val="28"/>
          <w:szCs w:val="28"/>
          <w:lang w:val="en-US"/>
        </w:rPr>
        <w:tab/>
        <w:t>Although not very elegantly expressed, the thrust of the respondents’ contention before the high court - as I conceive it - was that: first, as a creature of statute, the powers of the Tribunal are those specifically assigned to it in terms of the Act and the regulations; and, second (and this is linked to the first), that the rules governing proceedings before the Tribunal do not make provision for the filing of a supplementary founding affidavit. Accordingly, so the contention proceeded, the Tribunal’s order permitting the NCR to file a supplementary founding affidavit constituted a nullity and was thus susceptible to review.</w:t>
      </w:r>
      <w:r w:rsidRPr="003039E5">
        <w:rPr>
          <w:rStyle w:val="FootnoteReference"/>
          <w:sz w:val="28"/>
          <w:szCs w:val="28"/>
          <w:lang w:val="en-US"/>
        </w:rPr>
        <w:footnoteReference w:id="31"/>
      </w:r>
      <w:r w:rsidRPr="003039E5">
        <w:rPr>
          <w:sz w:val="28"/>
          <w:szCs w:val="28"/>
          <w:lang w:val="en-US"/>
        </w:rPr>
        <w:t xml:space="preserve"> </w:t>
      </w:r>
    </w:p>
    <w:p w14:paraId="7689D260" w14:textId="77777777" w:rsidR="00AE497E" w:rsidRPr="003039E5" w:rsidRDefault="00AE497E" w:rsidP="00AE497E">
      <w:pPr>
        <w:spacing w:line="360" w:lineRule="auto"/>
        <w:jc w:val="both"/>
        <w:rPr>
          <w:sz w:val="28"/>
          <w:szCs w:val="28"/>
          <w:lang w:val="en-US"/>
        </w:rPr>
      </w:pPr>
    </w:p>
    <w:p w14:paraId="205894E1" w14:textId="4F3CE685" w:rsidR="00AE497E" w:rsidRPr="003039E5" w:rsidRDefault="00AE497E" w:rsidP="00AE497E">
      <w:pPr>
        <w:spacing w:line="360" w:lineRule="auto"/>
        <w:jc w:val="both"/>
        <w:rPr>
          <w:sz w:val="28"/>
          <w:szCs w:val="28"/>
          <w:lang w:val="en-US"/>
        </w:rPr>
      </w:pPr>
      <w:r w:rsidRPr="003039E5">
        <w:rPr>
          <w:sz w:val="28"/>
          <w:szCs w:val="28"/>
          <w:lang w:val="en-US"/>
        </w:rPr>
        <w:t>[</w:t>
      </w:r>
      <w:r w:rsidR="008915DD">
        <w:rPr>
          <w:sz w:val="28"/>
          <w:szCs w:val="28"/>
          <w:lang w:val="en-US"/>
        </w:rPr>
        <w:t>49</w:t>
      </w:r>
      <w:r w:rsidRPr="003039E5">
        <w:rPr>
          <w:sz w:val="28"/>
          <w:szCs w:val="28"/>
          <w:lang w:val="en-US"/>
        </w:rPr>
        <w:t>]</w:t>
      </w:r>
      <w:r w:rsidRPr="003039E5">
        <w:rPr>
          <w:sz w:val="28"/>
          <w:szCs w:val="28"/>
          <w:lang w:val="en-US"/>
        </w:rPr>
        <w:tab/>
        <w:t>In my view, both the NCR and the Tribunal misconceived the enquiry. The NCR was not, in truth, seeking condonation for its failure to comply with one of the Rules for the Conduct of Matters before the Tribunal (the rules). It was not asking the Tribunal to alter a time limit prescribed by the rules or to condone its failure to comply with a rule. It was, properly construed, seeking the leave of the Tribunal to file a further affidavit. The application by the NCR was made on form TI.r34, in terms of which an applicant may apply to ‘condone non-compliance with a rule or procedure in terms of Tribunal rule 34’.</w:t>
      </w:r>
    </w:p>
    <w:p w14:paraId="015433B7" w14:textId="77777777" w:rsidR="00AE497E" w:rsidRPr="003039E5" w:rsidRDefault="00AE497E" w:rsidP="00AE497E">
      <w:pPr>
        <w:spacing w:line="360" w:lineRule="auto"/>
        <w:jc w:val="both"/>
        <w:rPr>
          <w:sz w:val="28"/>
          <w:szCs w:val="28"/>
          <w:lang w:val="en-US"/>
        </w:rPr>
      </w:pPr>
    </w:p>
    <w:p w14:paraId="16509AE5" w14:textId="6E6468A9" w:rsidR="00AE497E" w:rsidRPr="003039E5" w:rsidRDefault="00AE497E" w:rsidP="00AE497E">
      <w:pPr>
        <w:spacing w:line="360" w:lineRule="auto"/>
        <w:jc w:val="both"/>
        <w:rPr>
          <w:sz w:val="28"/>
          <w:szCs w:val="28"/>
        </w:rPr>
      </w:pPr>
      <w:r w:rsidRPr="003039E5">
        <w:rPr>
          <w:sz w:val="28"/>
          <w:szCs w:val="28"/>
          <w:lang w:val="en-US"/>
        </w:rPr>
        <w:t>[5</w:t>
      </w:r>
      <w:r w:rsidR="008915DD">
        <w:rPr>
          <w:sz w:val="28"/>
          <w:szCs w:val="28"/>
          <w:lang w:val="en-US"/>
        </w:rPr>
        <w:t>0</w:t>
      </w:r>
      <w:r w:rsidRPr="003039E5">
        <w:rPr>
          <w:sz w:val="28"/>
          <w:szCs w:val="28"/>
          <w:lang w:val="en-US"/>
        </w:rPr>
        <w:t>]</w:t>
      </w:r>
      <w:r w:rsidRPr="003039E5">
        <w:rPr>
          <w:sz w:val="28"/>
          <w:szCs w:val="28"/>
          <w:lang w:val="en-US"/>
        </w:rPr>
        <w:tab/>
        <w:t>Rule 34, headed ‘</w:t>
      </w:r>
      <w:r w:rsidRPr="003039E5">
        <w:rPr>
          <w:sz w:val="28"/>
          <w:szCs w:val="28"/>
        </w:rPr>
        <w:t>Condonation of late filing and non-compliance with rules’, provides:</w:t>
      </w:r>
    </w:p>
    <w:p w14:paraId="2D530B80" w14:textId="24155EBA" w:rsidR="00AE497E" w:rsidRPr="004E775F" w:rsidRDefault="00D14861" w:rsidP="00AE497E">
      <w:pPr>
        <w:spacing w:line="360" w:lineRule="auto"/>
        <w:jc w:val="both"/>
      </w:pPr>
      <w:r w:rsidRPr="004E775F">
        <w:t>‘</w:t>
      </w:r>
      <w:r w:rsidR="00AE497E" w:rsidRPr="004E775F">
        <w:t>(1) A party may apply to the Tribunal in Form TI.r34 for an order to—</w:t>
      </w:r>
    </w:p>
    <w:p w14:paraId="65ECF757" w14:textId="77777777" w:rsidR="00AE497E" w:rsidRPr="004E775F" w:rsidRDefault="00AE497E" w:rsidP="00AE497E">
      <w:pPr>
        <w:spacing w:line="360" w:lineRule="auto"/>
        <w:jc w:val="both"/>
      </w:pPr>
      <w:r w:rsidRPr="004E775F">
        <w:t>(a) condone late filing of a document or application;</w:t>
      </w:r>
    </w:p>
    <w:p w14:paraId="4ED9B1E3" w14:textId="77777777" w:rsidR="00AE497E" w:rsidRPr="004E775F" w:rsidRDefault="00AE497E" w:rsidP="00AE497E">
      <w:pPr>
        <w:spacing w:line="360" w:lineRule="auto"/>
        <w:jc w:val="both"/>
      </w:pPr>
      <w:r w:rsidRPr="004E775F">
        <w:t>(b) extend or reduce the time allowed for filing or serving;</w:t>
      </w:r>
    </w:p>
    <w:p w14:paraId="108A3B91" w14:textId="77777777" w:rsidR="00AE497E" w:rsidRPr="004E775F" w:rsidRDefault="00AE497E" w:rsidP="00AE497E">
      <w:pPr>
        <w:spacing w:line="360" w:lineRule="auto"/>
        <w:jc w:val="both"/>
      </w:pPr>
      <w:r w:rsidRPr="004E775F">
        <w:t>(c) condone the non-payment of a fee; or</w:t>
      </w:r>
    </w:p>
    <w:p w14:paraId="221BE4F2" w14:textId="77777777" w:rsidR="00AE497E" w:rsidRPr="004E775F" w:rsidRDefault="00AE497E" w:rsidP="00AE497E">
      <w:pPr>
        <w:spacing w:line="360" w:lineRule="auto"/>
        <w:jc w:val="both"/>
      </w:pPr>
      <w:r w:rsidRPr="004E775F">
        <w:t>(d) condone any other departure from the rules or procedures.</w:t>
      </w:r>
    </w:p>
    <w:p w14:paraId="3FAF0020" w14:textId="6A1E48E2" w:rsidR="00AE497E" w:rsidRPr="004E775F" w:rsidRDefault="00AE497E" w:rsidP="00AE497E">
      <w:pPr>
        <w:spacing w:line="360" w:lineRule="auto"/>
        <w:jc w:val="both"/>
      </w:pPr>
      <w:r w:rsidRPr="004E775F">
        <w:t>(2) The Tribunal may grant the order on good cause shown.’</w:t>
      </w:r>
    </w:p>
    <w:p w14:paraId="26DF069B" w14:textId="77777777" w:rsidR="00DA4DDC" w:rsidRPr="003039E5" w:rsidRDefault="00DA4DDC" w:rsidP="00AE497E">
      <w:pPr>
        <w:spacing w:line="360" w:lineRule="auto"/>
        <w:jc w:val="both"/>
        <w:rPr>
          <w:sz w:val="28"/>
          <w:szCs w:val="28"/>
        </w:rPr>
      </w:pPr>
    </w:p>
    <w:p w14:paraId="37A49A73" w14:textId="1D100E43" w:rsidR="00AE497E" w:rsidRPr="003039E5" w:rsidRDefault="00AE497E" w:rsidP="00AE497E">
      <w:pPr>
        <w:spacing w:line="360" w:lineRule="auto"/>
        <w:jc w:val="both"/>
        <w:rPr>
          <w:sz w:val="28"/>
          <w:szCs w:val="28"/>
        </w:rPr>
      </w:pPr>
      <w:r w:rsidRPr="003039E5">
        <w:rPr>
          <w:sz w:val="28"/>
          <w:szCs w:val="28"/>
          <w:lang w:val="en-US"/>
        </w:rPr>
        <w:t>[5</w:t>
      </w:r>
      <w:r w:rsidR="008915DD">
        <w:rPr>
          <w:sz w:val="28"/>
          <w:szCs w:val="28"/>
          <w:lang w:val="en-US"/>
        </w:rPr>
        <w:t>1</w:t>
      </w:r>
      <w:r w:rsidRPr="003039E5">
        <w:rPr>
          <w:sz w:val="28"/>
          <w:szCs w:val="28"/>
          <w:lang w:val="en-US"/>
        </w:rPr>
        <w:t>]</w:t>
      </w:r>
      <w:r w:rsidRPr="003039E5">
        <w:rPr>
          <w:sz w:val="28"/>
          <w:szCs w:val="28"/>
          <w:lang w:val="en-US"/>
        </w:rPr>
        <w:tab/>
        <w:t>In this matter, reliance is sought to be placed on rule 34(1)</w:t>
      </w:r>
      <w:r w:rsidRPr="003039E5">
        <w:rPr>
          <w:i/>
          <w:sz w:val="28"/>
          <w:szCs w:val="28"/>
          <w:lang w:val="en-US"/>
        </w:rPr>
        <w:t>(d)</w:t>
      </w:r>
      <w:r w:rsidRPr="003039E5">
        <w:rPr>
          <w:sz w:val="28"/>
          <w:szCs w:val="28"/>
          <w:lang w:val="en-US"/>
        </w:rPr>
        <w:t xml:space="preserve">. However, I cannot see how that rule can possibly apply to an application such as the present. Under the guise of a condonation application, the NCR was seeking the permission of the Tribunal to do something that may well have fallen outside the scope and ambit of the rules; namely, the admission of a further affidavit. </w:t>
      </w:r>
      <w:r w:rsidRPr="003039E5">
        <w:rPr>
          <w:sz w:val="28"/>
          <w:szCs w:val="28"/>
        </w:rPr>
        <w:t xml:space="preserve">It seems to me doubtful that the Tribunal was empowered to permit the filing of a supplementary founding affidavit. Notably, in the Magistrates Court, which is also a creature of statute, rule 55(1)(i) expressly provides that ‘the court may in its discretion permit </w:t>
      </w:r>
      <w:r w:rsidRPr="003039E5">
        <w:rPr>
          <w:sz w:val="28"/>
          <w:szCs w:val="28"/>
        </w:rPr>
        <w:lastRenderedPageBreak/>
        <w:t>the filing of further affidavits’. I could find no similar provision in the Tribunal’s rules.</w:t>
      </w:r>
    </w:p>
    <w:p w14:paraId="40C60AEA" w14:textId="77777777" w:rsidR="00AE497E" w:rsidRPr="003039E5" w:rsidRDefault="00AE497E" w:rsidP="00AE497E">
      <w:pPr>
        <w:spacing w:line="360" w:lineRule="auto"/>
        <w:jc w:val="both"/>
        <w:rPr>
          <w:sz w:val="28"/>
          <w:szCs w:val="28"/>
        </w:rPr>
      </w:pPr>
    </w:p>
    <w:p w14:paraId="089D8462" w14:textId="0BFFE55A" w:rsidR="00AE497E" w:rsidRPr="003039E5" w:rsidRDefault="00AE497E" w:rsidP="00AE497E">
      <w:pPr>
        <w:spacing w:line="360" w:lineRule="auto"/>
        <w:jc w:val="both"/>
        <w:rPr>
          <w:sz w:val="28"/>
          <w:szCs w:val="28"/>
        </w:rPr>
      </w:pPr>
      <w:r w:rsidRPr="003039E5">
        <w:rPr>
          <w:sz w:val="28"/>
          <w:szCs w:val="28"/>
        </w:rPr>
        <w:t>[5</w:t>
      </w:r>
      <w:r w:rsidR="008915DD">
        <w:rPr>
          <w:sz w:val="28"/>
          <w:szCs w:val="28"/>
        </w:rPr>
        <w:t>2</w:t>
      </w:r>
      <w:r w:rsidRPr="003039E5">
        <w:rPr>
          <w:sz w:val="28"/>
          <w:szCs w:val="28"/>
        </w:rPr>
        <w:t>]</w:t>
      </w:r>
      <w:r w:rsidRPr="003039E5">
        <w:rPr>
          <w:sz w:val="28"/>
          <w:szCs w:val="28"/>
        </w:rPr>
        <w:tab/>
        <w:t>Unlike the high court (as also this Court and the Constitutional Court), the Tribunal (like the Magistrates Court) has no inherent jurisdiction to regulate its own process in the interests of justice. The power of the high court in that regard, is derived from the common law and now entrenched in s 173 of the Constitution. In terms of this power, the high court, which has always been able to regulate its own proceedings for a number of reasons; including, catering for circumstances not adequately covered by the rules, as also, generally ensuring the efficient administration of a court’s judicial functions.</w:t>
      </w:r>
      <w:r w:rsidRPr="003039E5">
        <w:rPr>
          <w:rStyle w:val="FootnoteReference"/>
          <w:sz w:val="28"/>
          <w:szCs w:val="28"/>
        </w:rPr>
        <w:footnoteReference w:id="32"/>
      </w:r>
      <w:r w:rsidRPr="003039E5">
        <w:rPr>
          <w:sz w:val="28"/>
          <w:szCs w:val="28"/>
        </w:rPr>
        <w:t xml:space="preserve"> It also has the power, unlike the Tribunal, in the exercise of its inherent jurisdiction to grant procedural relief where the rules of court make no provision for it.</w:t>
      </w:r>
      <w:r w:rsidRPr="003039E5">
        <w:rPr>
          <w:sz w:val="28"/>
          <w:szCs w:val="28"/>
          <w:vertAlign w:val="superscript"/>
        </w:rPr>
        <w:footnoteReference w:id="33"/>
      </w:r>
      <w:r w:rsidRPr="003039E5">
        <w:rPr>
          <w:sz w:val="28"/>
          <w:szCs w:val="28"/>
        </w:rPr>
        <w:t xml:space="preserve"> </w:t>
      </w:r>
    </w:p>
    <w:p w14:paraId="1DEC611F" w14:textId="77777777" w:rsidR="00AE497E" w:rsidRPr="003039E5" w:rsidRDefault="00AE497E" w:rsidP="00AE497E">
      <w:pPr>
        <w:spacing w:line="360" w:lineRule="auto"/>
        <w:jc w:val="both"/>
        <w:rPr>
          <w:sz w:val="28"/>
          <w:szCs w:val="28"/>
        </w:rPr>
      </w:pPr>
    </w:p>
    <w:p w14:paraId="10569A9C" w14:textId="730E6C55" w:rsidR="00AE497E" w:rsidRPr="003039E5" w:rsidRDefault="003039E5" w:rsidP="00AE497E">
      <w:pPr>
        <w:spacing w:line="360" w:lineRule="auto"/>
        <w:jc w:val="both"/>
        <w:rPr>
          <w:sz w:val="28"/>
          <w:szCs w:val="28"/>
          <w:lang w:val="en-US"/>
        </w:rPr>
      </w:pPr>
      <w:r>
        <w:rPr>
          <w:sz w:val="28"/>
          <w:szCs w:val="28"/>
          <w:lang w:val="en-US"/>
        </w:rPr>
        <w:t>[5</w:t>
      </w:r>
      <w:r w:rsidR="008915DD">
        <w:rPr>
          <w:sz w:val="28"/>
          <w:szCs w:val="28"/>
          <w:lang w:val="en-US"/>
        </w:rPr>
        <w:t>3</w:t>
      </w:r>
      <w:r>
        <w:rPr>
          <w:sz w:val="28"/>
          <w:szCs w:val="28"/>
          <w:lang w:val="en-US"/>
        </w:rPr>
        <w:t>]</w:t>
      </w:r>
      <w:r>
        <w:rPr>
          <w:sz w:val="28"/>
          <w:szCs w:val="28"/>
          <w:lang w:val="en-US"/>
        </w:rPr>
        <w:tab/>
      </w:r>
      <w:r w:rsidR="00AE497E" w:rsidRPr="003039E5">
        <w:rPr>
          <w:sz w:val="28"/>
          <w:szCs w:val="28"/>
          <w:lang w:val="en-US"/>
        </w:rPr>
        <w:t>As far the high court goes, it has come to be accepted that it is in the interests of the administration of justice that the well-known and well-established general rules regarding the number of set of affidavits and the proper sequence of affidavits should ordinarily be observed (</w:t>
      </w:r>
      <w:r w:rsidR="00AE497E" w:rsidRPr="003039E5">
        <w:rPr>
          <w:i/>
          <w:sz w:val="28"/>
          <w:szCs w:val="28"/>
        </w:rPr>
        <w:t>James Brown &amp; Hamer (Pty) Ltd v Simmons NO</w:t>
      </w:r>
      <w:r w:rsidR="00AE497E" w:rsidRPr="003039E5">
        <w:rPr>
          <w:sz w:val="28"/>
          <w:szCs w:val="28"/>
        </w:rPr>
        <w:t>).</w:t>
      </w:r>
      <w:r w:rsidR="00AE497E" w:rsidRPr="003039E5">
        <w:rPr>
          <w:rStyle w:val="FootnoteReference"/>
          <w:sz w:val="28"/>
          <w:szCs w:val="28"/>
          <w:lang w:val="en-US"/>
        </w:rPr>
        <w:footnoteReference w:id="34"/>
      </w:r>
      <w:r w:rsidR="00AE497E" w:rsidRPr="003039E5">
        <w:rPr>
          <w:sz w:val="28"/>
          <w:szCs w:val="28"/>
          <w:lang w:val="en-US"/>
        </w:rPr>
        <w:t xml:space="preserve"> As it was put in the last-mentioned case:</w:t>
      </w:r>
    </w:p>
    <w:p w14:paraId="7F408A28" w14:textId="222B99F0" w:rsidR="00AE497E" w:rsidRDefault="00AE497E" w:rsidP="00AE497E">
      <w:pPr>
        <w:spacing w:line="360" w:lineRule="auto"/>
        <w:jc w:val="both"/>
        <w:rPr>
          <w:lang w:val="en-US"/>
        </w:rPr>
      </w:pPr>
      <w:r w:rsidRPr="00BA3E32">
        <w:rPr>
          <w:lang w:val="en-US"/>
        </w:rPr>
        <w:t xml:space="preserve">‘Where, as in the present case, an affidavit is tendered in motion proceedings both late and out of its ordinary sequence, the party tendering it is seeking, not a right, but an indulgence from the Court: he must both advance his explanation of why the affidavit is out of time and satisfy the Court that, although the affidavit is late, it should, having regard to all the circumstances of the case, nevertheless be received. Attempted definition of the ambit of a discretion is neither easy nor </w:t>
      </w:r>
      <w:r w:rsidRPr="00BA3E32">
        <w:rPr>
          <w:lang w:val="en-US"/>
        </w:rPr>
        <w:lastRenderedPageBreak/>
        <w:t xml:space="preserve">desirable. In any event, I do not find it necessary to enter upon any recital or evaluation of the various considerations which have guided provincial Courts in exercising a discretion to admit or reject a late tendered affidavit (see eg authorities collated in </w:t>
      </w:r>
      <w:r w:rsidRPr="00BA3E32">
        <w:rPr>
          <w:i/>
          <w:lang w:val="en-US"/>
        </w:rPr>
        <w:t xml:space="preserve">Zarug v Parvathie </w:t>
      </w:r>
      <w:r w:rsidRPr="00BA3E32">
        <w:rPr>
          <w:lang w:val="en-US"/>
        </w:rPr>
        <w:t>1962 (3) SA 872 (N)). It is sufficient for the purposes of this appeal to say that, on any approach to the problem, the adequacy or otherwise of the explanation for the late tendering of the affidavit will always be an important factor in the enquiry.’</w:t>
      </w:r>
    </w:p>
    <w:p w14:paraId="7DBD4BE0" w14:textId="77777777" w:rsidR="00BA3E32" w:rsidRPr="00BA3E32" w:rsidRDefault="00BA3E32" w:rsidP="00AE497E">
      <w:pPr>
        <w:spacing w:line="360" w:lineRule="auto"/>
        <w:jc w:val="both"/>
        <w:rPr>
          <w:lang w:val="en-US"/>
        </w:rPr>
      </w:pPr>
    </w:p>
    <w:p w14:paraId="6A012D78" w14:textId="0B5EF364" w:rsidR="00AE497E" w:rsidRPr="003039E5" w:rsidRDefault="003039E5" w:rsidP="00AE497E">
      <w:pPr>
        <w:spacing w:line="360" w:lineRule="auto"/>
        <w:jc w:val="both"/>
        <w:rPr>
          <w:sz w:val="28"/>
          <w:szCs w:val="28"/>
          <w:lang w:val="en-US"/>
        </w:rPr>
      </w:pPr>
      <w:r>
        <w:rPr>
          <w:sz w:val="28"/>
          <w:szCs w:val="28"/>
          <w:lang w:val="en-US"/>
        </w:rPr>
        <w:t>[5</w:t>
      </w:r>
      <w:r w:rsidR="008915DD">
        <w:rPr>
          <w:sz w:val="28"/>
          <w:szCs w:val="28"/>
          <w:lang w:val="en-US"/>
        </w:rPr>
        <w:t>4</w:t>
      </w:r>
      <w:r w:rsidR="00AE497E" w:rsidRPr="003039E5">
        <w:rPr>
          <w:sz w:val="28"/>
          <w:szCs w:val="28"/>
          <w:lang w:val="en-US"/>
        </w:rPr>
        <w:t>]</w:t>
      </w:r>
      <w:r w:rsidR="00AE497E" w:rsidRPr="003039E5">
        <w:rPr>
          <w:sz w:val="28"/>
          <w:szCs w:val="28"/>
          <w:lang w:val="en-US"/>
        </w:rPr>
        <w:tab/>
        <w:t xml:space="preserve">The principles distilled from the cases dealing with the high court practice offer guidance as to the manner in which the magistrates court should exercise its discretion under rule 55(1)(i). The relevant considerations are set out in </w:t>
      </w:r>
      <w:bookmarkStart w:id="2" w:name="_Hlk147841806"/>
      <w:r w:rsidR="00AE497E" w:rsidRPr="003039E5">
        <w:rPr>
          <w:i/>
          <w:sz w:val="28"/>
          <w:szCs w:val="28"/>
        </w:rPr>
        <w:t>Porterstraat 69 Eiendomme v PA Venter Worcester</w:t>
      </w:r>
      <w:bookmarkEnd w:id="2"/>
      <w:r w:rsidR="00AE497E" w:rsidRPr="003039E5">
        <w:rPr>
          <w:i/>
          <w:sz w:val="28"/>
          <w:szCs w:val="28"/>
        </w:rPr>
        <w:t>.</w:t>
      </w:r>
      <w:r w:rsidR="00AE497E" w:rsidRPr="003039E5">
        <w:rPr>
          <w:rStyle w:val="FootnoteReference"/>
          <w:iCs/>
          <w:sz w:val="28"/>
          <w:szCs w:val="28"/>
        </w:rPr>
        <w:footnoteReference w:id="35"/>
      </w:r>
      <w:r w:rsidR="00AE497E" w:rsidRPr="003039E5">
        <w:rPr>
          <w:iCs/>
          <w:sz w:val="28"/>
          <w:szCs w:val="28"/>
        </w:rPr>
        <w:t xml:space="preserve"> </w:t>
      </w:r>
    </w:p>
    <w:p w14:paraId="4A3A480F" w14:textId="77777777" w:rsidR="00AE497E" w:rsidRPr="003039E5" w:rsidRDefault="00AE497E" w:rsidP="00AE497E">
      <w:pPr>
        <w:spacing w:line="360" w:lineRule="auto"/>
        <w:jc w:val="both"/>
        <w:rPr>
          <w:sz w:val="28"/>
          <w:szCs w:val="28"/>
          <w:lang w:val="en-US"/>
        </w:rPr>
      </w:pPr>
    </w:p>
    <w:p w14:paraId="38EB3DC4" w14:textId="54ABF634" w:rsidR="00AE497E" w:rsidRPr="003039E5" w:rsidRDefault="003039E5" w:rsidP="00AE497E">
      <w:pPr>
        <w:spacing w:line="360" w:lineRule="auto"/>
        <w:jc w:val="both"/>
        <w:rPr>
          <w:sz w:val="28"/>
          <w:szCs w:val="28"/>
          <w:lang w:val="en-US"/>
        </w:rPr>
      </w:pPr>
      <w:r>
        <w:rPr>
          <w:sz w:val="28"/>
          <w:szCs w:val="28"/>
          <w:lang w:val="en-US"/>
        </w:rPr>
        <w:t>[5</w:t>
      </w:r>
      <w:r w:rsidR="008915DD">
        <w:rPr>
          <w:sz w:val="28"/>
          <w:szCs w:val="28"/>
          <w:lang w:val="en-US"/>
        </w:rPr>
        <w:t>5</w:t>
      </w:r>
      <w:r w:rsidR="00AE497E" w:rsidRPr="003039E5">
        <w:rPr>
          <w:sz w:val="28"/>
          <w:szCs w:val="28"/>
          <w:lang w:val="en-US"/>
        </w:rPr>
        <w:t>]</w:t>
      </w:r>
      <w:r w:rsidR="00AE497E" w:rsidRPr="003039E5">
        <w:rPr>
          <w:sz w:val="28"/>
          <w:szCs w:val="28"/>
          <w:lang w:val="en-US"/>
        </w:rPr>
        <w:tab/>
        <w:t>Thus, had this matter served before either the high court or the magistrates court, the NCR would not have been entitled as of right to file a further affidavit. Whether such permission would be granted in a given case is basically a question of fairness to both sides.</w:t>
      </w:r>
      <w:r w:rsidR="00AE497E" w:rsidRPr="003039E5">
        <w:rPr>
          <w:rStyle w:val="FootnoteReference"/>
          <w:sz w:val="28"/>
          <w:szCs w:val="28"/>
          <w:lang w:val="en-US"/>
        </w:rPr>
        <w:footnoteReference w:id="36"/>
      </w:r>
      <w:r w:rsidR="00AE497E" w:rsidRPr="003039E5">
        <w:rPr>
          <w:sz w:val="28"/>
          <w:szCs w:val="28"/>
          <w:lang w:val="en-US"/>
        </w:rPr>
        <w:t xml:space="preserve"> Normally, the circumstances would have to be exceptional.</w:t>
      </w:r>
      <w:r w:rsidR="00AE497E" w:rsidRPr="003039E5">
        <w:rPr>
          <w:rStyle w:val="FootnoteReference"/>
          <w:sz w:val="28"/>
          <w:szCs w:val="28"/>
          <w:lang w:val="en-US"/>
        </w:rPr>
        <w:footnoteReference w:id="37"/>
      </w:r>
      <w:r w:rsidR="00AE497E" w:rsidRPr="003039E5">
        <w:rPr>
          <w:sz w:val="28"/>
          <w:szCs w:val="28"/>
          <w:lang w:val="en-US"/>
        </w:rPr>
        <w:t xml:space="preserve"> It has been observed that ‘a litigant who seeks to serve an additional affidavit is under a duty to provide an explanation that negatives </w:t>
      </w:r>
      <w:r w:rsidR="00AE497E" w:rsidRPr="003039E5">
        <w:rPr>
          <w:i/>
          <w:sz w:val="28"/>
          <w:szCs w:val="28"/>
          <w:lang w:val="en-US"/>
        </w:rPr>
        <w:t xml:space="preserve">mala fides </w:t>
      </w:r>
      <w:r w:rsidR="00AE497E" w:rsidRPr="003039E5">
        <w:rPr>
          <w:sz w:val="28"/>
          <w:szCs w:val="28"/>
          <w:lang w:val="en-US"/>
        </w:rPr>
        <w:t>or culpable remissness as the cause of the facts and/or information not being put before the Court at an earlier stage’.</w:t>
      </w:r>
      <w:r w:rsidR="00AE497E" w:rsidRPr="003039E5">
        <w:rPr>
          <w:rStyle w:val="FootnoteReference"/>
          <w:sz w:val="28"/>
          <w:szCs w:val="28"/>
          <w:lang w:val="en-US"/>
        </w:rPr>
        <w:footnoteReference w:id="38"/>
      </w:r>
      <w:r w:rsidR="00AE497E" w:rsidRPr="003039E5">
        <w:rPr>
          <w:sz w:val="28"/>
          <w:szCs w:val="28"/>
          <w:lang w:val="en-US"/>
        </w:rPr>
        <w:t xml:space="preserve"> There must furthermore be a proper and satisfactory explanation as to why the information contained in the affidavit was not put up earlier, and what is more, the Court must be satisfied that no prejudice is caused to the opposite party that cannot be remedied by an appropriate order as to costs.</w:t>
      </w:r>
      <w:r w:rsidR="00AE497E" w:rsidRPr="003039E5">
        <w:rPr>
          <w:rStyle w:val="FootnoteReference"/>
          <w:sz w:val="28"/>
          <w:szCs w:val="28"/>
          <w:lang w:val="en-US"/>
        </w:rPr>
        <w:footnoteReference w:id="39"/>
      </w:r>
    </w:p>
    <w:p w14:paraId="33AD6BA2" w14:textId="77777777" w:rsidR="00AE497E" w:rsidRPr="003039E5" w:rsidRDefault="00AE497E" w:rsidP="00AE497E">
      <w:pPr>
        <w:spacing w:line="360" w:lineRule="auto"/>
        <w:jc w:val="both"/>
        <w:rPr>
          <w:sz w:val="28"/>
          <w:szCs w:val="28"/>
          <w:lang w:val="en-US"/>
        </w:rPr>
      </w:pPr>
    </w:p>
    <w:p w14:paraId="1F07011E" w14:textId="64110F8A" w:rsidR="00AE497E" w:rsidRPr="003039E5" w:rsidRDefault="003039E5" w:rsidP="00AE497E">
      <w:pPr>
        <w:spacing w:line="360" w:lineRule="auto"/>
        <w:jc w:val="both"/>
        <w:rPr>
          <w:sz w:val="28"/>
          <w:szCs w:val="28"/>
          <w:lang w:val="en-US"/>
        </w:rPr>
      </w:pPr>
      <w:r>
        <w:rPr>
          <w:sz w:val="28"/>
          <w:szCs w:val="28"/>
          <w:lang w:val="en-US"/>
        </w:rPr>
        <w:lastRenderedPageBreak/>
        <w:t>[5</w:t>
      </w:r>
      <w:r w:rsidR="008915DD">
        <w:rPr>
          <w:sz w:val="28"/>
          <w:szCs w:val="28"/>
          <w:lang w:val="en-US"/>
        </w:rPr>
        <w:t>6</w:t>
      </w:r>
      <w:r w:rsidR="00AE497E" w:rsidRPr="003039E5">
        <w:rPr>
          <w:sz w:val="28"/>
          <w:szCs w:val="28"/>
          <w:lang w:val="en-US"/>
        </w:rPr>
        <w:t>]</w:t>
      </w:r>
      <w:r w:rsidR="00AE497E" w:rsidRPr="003039E5">
        <w:rPr>
          <w:sz w:val="28"/>
          <w:szCs w:val="28"/>
          <w:lang w:val="en-US"/>
        </w:rPr>
        <w:tab/>
        <w:t>The statements of the NCR in this matter, fall far short of a satisfactory explanation as to why it was unable to secure the information prior to deposing to the founding affidavit, the preparation of the original notice of motion, and the launching of the application for the deregistration of the respondents. By that stage, the investigation by the NCR into the conduct of the respondents had been completed. Still less do they furnish a satisfactory explanation as to why, at any rate, the ‘new’ information was not included in the replying affidavit. What is more, as the following excerpt makes plain, the NCR sought in some respects to advance a ‘new case’ in the supplementary founding affidavit:</w:t>
      </w:r>
    </w:p>
    <w:p w14:paraId="6AC29883" w14:textId="77777777" w:rsidR="00AE497E" w:rsidRPr="00BA3E32" w:rsidRDefault="00AE497E" w:rsidP="00AE497E">
      <w:pPr>
        <w:spacing w:line="360" w:lineRule="auto"/>
        <w:jc w:val="both"/>
        <w:rPr>
          <w:lang w:val="en-US"/>
        </w:rPr>
      </w:pPr>
      <w:r w:rsidRPr="00BA3E32">
        <w:rPr>
          <w:lang w:val="en-US"/>
        </w:rPr>
        <w:t>‘4.</w:t>
      </w:r>
      <w:r w:rsidRPr="00BA3E32">
        <w:rPr>
          <w:lang w:val="en-US"/>
        </w:rPr>
        <w:tab/>
        <w:t xml:space="preserve">I am deposing to this affidavit to include following, which was not included in the </w:t>
      </w:r>
      <w:r w:rsidRPr="00BA3E32">
        <w:rPr>
          <w:lang w:val="en-US"/>
        </w:rPr>
        <w:tab/>
        <w:t>Applicant’s original founding affidavit:</w:t>
      </w:r>
    </w:p>
    <w:p w14:paraId="4661D7C5" w14:textId="77777777" w:rsidR="00AE497E" w:rsidRPr="00BA3E32" w:rsidRDefault="00AE497E" w:rsidP="00AE497E">
      <w:pPr>
        <w:spacing w:line="360" w:lineRule="auto"/>
        <w:ind w:hanging="142"/>
        <w:jc w:val="both"/>
        <w:rPr>
          <w:lang w:val="en-US"/>
        </w:rPr>
      </w:pPr>
      <w:r w:rsidRPr="00BA3E32">
        <w:rPr>
          <w:lang w:val="en-US"/>
        </w:rPr>
        <w:tab/>
        <w:t>4.1.</w:t>
      </w:r>
      <w:r w:rsidRPr="00BA3E32">
        <w:rPr>
          <w:lang w:val="en-US"/>
        </w:rPr>
        <w:tab/>
        <w:t>That the Respondents repeatedly contravened Section 106(5)</w:t>
      </w:r>
      <w:r w:rsidRPr="00BA3E32">
        <w:rPr>
          <w:i/>
          <w:lang w:val="en-US"/>
        </w:rPr>
        <w:t xml:space="preserve">(c) </w:t>
      </w:r>
      <w:r w:rsidRPr="00BA3E32">
        <w:rPr>
          <w:lang w:val="en-US"/>
        </w:rPr>
        <w:t xml:space="preserve">and </w:t>
      </w:r>
      <w:r w:rsidRPr="00BA3E32">
        <w:rPr>
          <w:lang w:val="en-US"/>
        </w:rPr>
        <w:tab/>
      </w:r>
      <w:r w:rsidRPr="00BA3E32">
        <w:rPr>
          <w:lang w:val="en-US"/>
        </w:rPr>
        <w:tab/>
      </w:r>
      <w:r w:rsidRPr="00BA3E32">
        <w:rPr>
          <w:lang w:val="en-US"/>
        </w:rPr>
        <w:tab/>
        <w:t>106(1)</w:t>
      </w:r>
      <w:r w:rsidRPr="00BA3E32">
        <w:rPr>
          <w:i/>
          <w:lang w:val="en-US"/>
        </w:rPr>
        <w:t xml:space="preserve">(b)(ii) </w:t>
      </w:r>
      <w:r w:rsidRPr="00BA3E32">
        <w:rPr>
          <w:lang w:val="en-US"/>
        </w:rPr>
        <w:t>of the Act;</w:t>
      </w:r>
    </w:p>
    <w:p w14:paraId="329F75E9" w14:textId="77777777" w:rsidR="00AE497E" w:rsidRPr="00BA3E32" w:rsidRDefault="00AE497E" w:rsidP="00AE497E">
      <w:pPr>
        <w:spacing w:line="360" w:lineRule="auto"/>
        <w:ind w:hanging="142"/>
        <w:jc w:val="both"/>
        <w:rPr>
          <w:lang w:val="en-US"/>
        </w:rPr>
      </w:pPr>
      <w:r w:rsidRPr="00BA3E32">
        <w:rPr>
          <w:lang w:val="en-US"/>
        </w:rPr>
        <w:tab/>
        <w:t>4.2.</w:t>
      </w:r>
      <w:r w:rsidRPr="00BA3E32">
        <w:rPr>
          <w:lang w:val="en-US"/>
        </w:rPr>
        <w:tab/>
        <w:t>That the Respondents have repeatedly contravened section 99(1)</w:t>
      </w:r>
      <w:r w:rsidRPr="00BA3E32">
        <w:rPr>
          <w:i/>
          <w:lang w:val="en-US"/>
        </w:rPr>
        <w:t>(b)</w:t>
      </w:r>
      <w:r w:rsidRPr="00BA3E32">
        <w:rPr>
          <w:lang w:val="en-US"/>
        </w:rPr>
        <w:t xml:space="preserve">, as an </w:t>
      </w:r>
      <w:r w:rsidRPr="00BA3E32">
        <w:rPr>
          <w:lang w:val="en-US"/>
        </w:rPr>
        <w:tab/>
      </w:r>
      <w:r w:rsidRPr="00BA3E32">
        <w:rPr>
          <w:lang w:val="en-US"/>
        </w:rPr>
        <w:tab/>
        <w:t xml:space="preserve">alternate contravention in the event that the Tribunal finds that the </w:t>
      </w:r>
      <w:r w:rsidRPr="00BA3E32">
        <w:rPr>
          <w:lang w:val="en-US"/>
        </w:rPr>
        <w:tab/>
      </w:r>
      <w:r w:rsidRPr="00BA3E32">
        <w:rPr>
          <w:lang w:val="en-US"/>
        </w:rPr>
        <w:tab/>
      </w:r>
      <w:r w:rsidRPr="00BA3E32">
        <w:rPr>
          <w:lang w:val="en-US"/>
        </w:rPr>
        <w:tab/>
      </w:r>
      <w:r w:rsidRPr="00BA3E32">
        <w:rPr>
          <w:lang w:val="en-US"/>
        </w:rPr>
        <w:tab/>
        <w:t>Respondents’ credit agreements are pawn transactions;</w:t>
      </w:r>
    </w:p>
    <w:p w14:paraId="2A7B4137" w14:textId="77777777" w:rsidR="00AE497E" w:rsidRPr="00BA3E32" w:rsidRDefault="00AE497E" w:rsidP="00AE497E">
      <w:pPr>
        <w:spacing w:line="360" w:lineRule="auto"/>
        <w:ind w:hanging="142"/>
        <w:jc w:val="both"/>
        <w:rPr>
          <w:lang w:val="en-US"/>
        </w:rPr>
      </w:pPr>
      <w:r w:rsidRPr="00BA3E32">
        <w:rPr>
          <w:lang w:val="en-US"/>
        </w:rPr>
        <w:tab/>
        <w:t>4.3.</w:t>
      </w:r>
      <w:r w:rsidRPr="00BA3E32">
        <w:rPr>
          <w:lang w:val="en-US"/>
        </w:rPr>
        <w:tab/>
        <w:t xml:space="preserve">To include a more detailed explanation as to why the Applicant submits that the </w:t>
      </w:r>
      <w:r w:rsidRPr="00BA3E32">
        <w:rPr>
          <w:lang w:val="en-US"/>
        </w:rPr>
        <w:tab/>
      </w:r>
      <w:r w:rsidRPr="00BA3E32">
        <w:rPr>
          <w:lang w:val="en-US"/>
        </w:rPr>
        <w:tab/>
        <w:t xml:space="preserve">Respondents’ agreements are secured credit agreements, not pawn </w:t>
      </w:r>
      <w:r w:rsidRPr="00BA3E32">
        <w:rPr>
          <w:lang w:val="en-US"/>
        </w:rPr>
        <w:tab/>
      </w:r>
      <w:r w:rsidRPr="00BA3E32">
        <w:rPr>
          <w:lang w:val="en-US"/>
        </w:rPr>
        <w:tab/>
      </w:r>
      <w:r w:rsidRPr="00BA3E32">
        <w:rPr>
          <w:lang w:val="en-US"/>
        </w:rPr>
        <w:tab/>
        <w:t>transactions.’</w:t>
      </w:r>
    </w:p>
    <w:p w14:paraId="55819F17" w14:textId="77777777" w:rsidR="00AE497E" w:rsidRPr="003039E5" w:rsidRDefault="00AE497E" w:rsidP="00AE497E">
      <w:pPr>
        <w:spacing w:line="360" w:lineRule="auto"/>
        <w:jc w:val="both"/>
        <w:rPr>
          <w:sz w:val="28"/>
          <w:szCs w:val="28"/>
          <w:lang w:val="en-US"/>
        </w:rPr>
      </w:pPr>
    </w:p>
    <w:p w14:paraId="68C11377" w14:textId="7D8E1B7D" w:rsidR="00AE497E" w:rsidRPr="003039E5" w:rsidRDefault="003039E5" w:rsidP="00AE497E">
      <w:pPr>
        <w:spacing w:line="360" w:lineRule="auto"/>
        <w:jc w:val="both"/>
        <w:rPr>
          <w:sz w:val="28"/>
          <w:szCs w:val="28"/>
          <w:lang w:val="en-US"/>
        </w:rPr>
      </w:pPr>
      <w:r>
        <w:rPr>
          <w:sz w:val="28"/>
          <w:szCs w:val="28"/>
          <w:lang w:val="en-US"/>
        </w:rPr>
        <w:t>[5</w:t>
      </w:r>
      <w:r w:rsidR="008915DD">
        <w:rPr>
          <w:sz w:val="28"/>
          <w:szCs w:val="28"/>
          <w:lang w:val="en-US"/>
        </w:rPr>
        <w:t>7</w:t>
      </w:r>
      <w:r w:rsidR="00AE497E" w:rsidRPr="003039E5">
        <w:rPr>
          <w:sz w:val="28"/>
          <w:szCs w:val="28"/>
          <w:lang w:val="en-US"/>
        </w:rPr>
        <w:t>]</w:t>
      </w:r>
      <w:r w:rsidR="00AE497E" w:rsidRPr="003039E5">
        <w:rPr>
          <w:sz w:val="28"/>
          <w:szCs w:val="28"/>
          <w:lang w:val="en-US"/>
        </w:rPr>
        <w:tab/>
        <w:t>The NCR accordingly sought orders, in addition to those in the initial notice of motion, that the respondents had repeatedly contravened ss 106(5)</w:t>
      </w:r>
      <w:r w:rsidR="00AE497E" w:rsidRPr="003039E5">
        <w:rPr>
          <w:i/>
          <w:sz w:val="28"/>
          <w:szCs w:val="28"/>
          <w:lang w:val="en-US"/>
        </w:rPr>
        <w:t xml:space="preserve">(c) </w:t>
      </w:r>
      <w:r w:rsidR="00AE497E" w:rsidRPr="003039E5">
        <w:rPr>
          <w:sz w:val="28"/>
          <w:szCs w:val="28"/>
          <w:lang w:val="en-US"/>
        </w:rPr>
        <w:t>and 106(1)</w:t>
      </w:r>
      <w:r w:rsidR="00AE497E" w:rsidRPr="003039E5">
        <w:rPr>
          <w:i/>
          <w:sz w:val="28"/>
          <w:szCs w:val="28"/>
          <w:lang w:val="en-US"/>
        </w:rPr>
        <w:t>(b)</w:t>
      </w:r>
      <w:r w:rsidR="00AE497E" w:rsidRPr="003039E5">
        <w:rPr>
          <w:sz w:val="28"/>
          <w:szCs w:val="28"/>
          <w:lang w:val="en-US"/>
        </w:rPr>
        <w:t>(ii) of the Act, and in the alternative, that the respondents repeatedly contravened s 99(1)</w:t>
      </w:r>
      <w:r w:rsidR="00AE497E" w:rsidRPr="003039E5">
        <w:rPr>
          <w:i/>
          <w:sz w:val="28"/>
          <w:szCs w:val="28"/>
          <w:lang w:val="en-US"/>
        </w:rPr>
        <w:t>(b)</w:t>
      </w:r>
      <w:r w:rsidR="00AE497E" w:rsidRPr="003039E5">
        <w:rPr>
          <w:sz w:val="28"/>
          <w:szCs w:val="28"/>
          <w:lang w:val="en-US"/>
        </w:rPr>
        <w:t>.</w:t>
      </w:r>
    </w:p>
    <w:p w14:paraId="52149B77" w14:textId="77777777" w:rsidR="00AE497E" w:rsidRPr="003039E5" w:rsidRDefault="00AE497E" w:rsidP="00AE497E">
      <w:pPr>
        <w:spacing w:line="360" w:lineRule="auto"/>
        <w:jc w:val="both"/>
        <w:rPr>
          <w:sz w:val="28"/>
          <w:szCs w:val="28"/>
          <w:lang w:val="en-US"/>
        </w:rPr>
      </w:pPr>
    </w:p>
    <w:p w14:paraId="50057322" w14:textId="4CBEF3ED" w:rsidR="00AE497E" w:rsidRPr="003039E5" w:rsidRDefault="003039E5" w:rsidP="00AE497E">
      <w:pPr>
        <w:spacing w:line="360" w:lineRule="auto"/>
        <w:jc w:val="both"/>
        <w:rPr>
          <w:sz w:val="28"/>
          <w:szCs w:val="28"/>
        </w:rPr>
      </w:pPr>
      <w:r>
        <w:rPr>
          <w:sz w:val="28"/>
          <w:szCs w:val="28"/>
          <w:lang w:val="en-US"/>
        </w:rPr>
        <w:t>[5</w:t>
      </w:r>
      <w:r w:rsidR="008915DD">
        <w:rPr>
          <w:sz w:val="28"/>
          <w:szCs w:val="28"/>
          <w:lang w:val="en-US"/>
        </w:rPr>
        <w:t>8</w:t>
      </w:r>
      <w:r w:rsidR="00AE497E" w:rsidRPr="003039E5">
        <w:rPr>
          <w:sz w:val="28"/>
          <w:szCs w:val="28"/>
          <w:lang w:val="en-US"/>
        </w:rPr>
        <w:t>]</w:t>
      </w:r>
      <w:r w:rsidR="00AE497E" w:rsidRPr="003039E5">
        <w:rPr>
          <w:sz w:val="28"/>
          <w:szCs w:val="28"/>
          <w:lang w:val="en-US"/>
        </w:rPr>
        <w:tab/>
        <w:t xml:space="preserve">Accordingly, had this matter served before the high court it is doubtful that the prospects of the admission of the supplementary founding affidavit would have </w:t>
      </w:r>
      <w:r w:rsidR="00AE497E" w:rsidRPr="003039E5">
        <w:rPr>
          <w:sz w:val="28"/>
          <w:szCs w:val="28"/>
          <w:lang w:val="en-US"/>
        </w:rPr>
        <w:lastRenderedPageBreak/>
        <w:t xml:space="preserve">necessarily led to a more expeditious resolution of the matter or that admitting it into evidence would not have been unduly prejudicial to the respondents. </w:t>
      </w:r>
      <w:r w:rsidR="00AE497E" w:rsidRPr="003039E5">
        <w:rPr>
          <w:sz w:val="28"/>
          <w:szCs w:val="28"/>
        </w:rPr>
        <w:t xml:space="preserve">As the Tribunal misconceived the nature of the enquiry, it failed to consider whether: firstly, it had the power to permit the NCR to file a supplementary founding affidavit; secondly, the source, nature, extent and scope of such power; and, thirdly, assuming that it had such power, the relevant considerations that it had to have regard to in exercising that power. </w:t>
      </w:r>
    </w:p>
    <w:p w14:paraId="7C1EC89F" w14:textId="31858121" w:rsidR="00AE497E" w:rsidRPr="003039E5" w:rsidRDefault="003039E5" w:rsidP="00AE497E">
      <w:pPr>
        <w:spacing w:line="360" w:lineRule="auto"/>
        <w:jc w:val="both"/>
        <w:rPr>
          <w:sz w:val="28"/>
          <w:szCs w:val="28"/>
        </w:rPr>
      </w:pPr>
      <w:r>
        <w:rPr>
          <w:sz w:val="28"/>
          <w:szCs w:val="28"/>
        </w:rPr>
        <w:t>[</w:t>
      </w:r>
      <w:r w:rsidR="008915DD">
        <w:rPr>
          <w:sz w:val="28"/>
          <w:szCs w:val="28"/>
        </w:rPr>
        <w:t>59</w:t>
      </w:r>
      <w:r w:rsidR="00AE497E" w:rsidRPr="003039E5">
        <w:rPr>
          <w:sz w:val="28"/>
          <w:szCs w:val="28"/>
        </w:rPr>
        <w:t>]</w:t>
      </w:r>
      <w:r w:rsidR="00AE497E" w:rsidRPr="003039E5">
        <w:rPr>
          <w:sz w:val="28"/>
          <w:szCs w:val="28"/>
        </w:rPr>
        <w:tab/>
        <w:t xml:space="preserve">In the circumstances, the order by the high court remitting the matter to the Tribunal, albeit for different reasons, must stand. Accordingly, the appeal must fail. As to costs: There was no appearance on behalf of the </w:t>
      </w:r>
      <w:r w:rsidR="00723EF0">
        <w:rPr>
          <w:sz w:val="28"/>
          <w:szCs w:val="28"/>
        </w:rPr>
        <w:t>respondents</w:t>
      </w:r>
      <w:r w:rsidR="00723EF0" w:rsidRPr="003039E5">
        <w:rPr>
          <w:sz w:val="28"/>
          <w:szCs w:val="28"/>
        </w:rPr>
        <w:t xml:space="preserve"> </w:t>
      </w:r>
      <w:r w:rsidR="00AE497E" w:rsidRPr="003039E5">
        <w:rPr>
          <w:sz w:val="28"/>
          <w:szCs w:val="28"/>
        </w:rPr>
        <w:t>at the hearing of the appeal. Moreover, as the parties had misconceived the issue, the point held to be decisive in the appeal had not been raised by them. Consequently, there should be no or</w:t>
      </w:r>
      <w:r w:rsidR="00BA3E32">
        <w:rPr>
          <w:sz w:val="28"/>
          <w:szCs w:val="28"/>
        </w:rPr>
        <w:t>der as to costs in the appeal.</w:t>
      </w:r>
    </w:p>
    <w:p w14:paraId="440383D5" w14:textId="77777777" w:rsidR="00AE497E" w:rsidRPr="003039E5" w:rsidRDefault="00AE497E" w:rsidP="00AE497E">
      <w:pPr>
        <w:spacing w:line="360" w:lineRule="auto"/>
        <w:jc w:val="both"/>
        <w:rPr>
          <w:sz w:val="28"/>
          <w:szCs w:val="28"/>
        </w:rPr>
      </w:pPr>
    </w:p>
    <w:p w14:paraId="68653A18" w14:textId="69B796EB" w:rsidR="00AE497E" w:rsidRDefault="003039E5" w:rsidP="00AE497E">
      <w:pPr>
        <w:spacing w:line="360" w:lineRule="auto"/>
        <w:jc w:val="both"/>
        <w:rPr>
          <w:sz w:val="28"/>
          <w:szCs w:val="28"/>
        </w:rPr>
      </w:pPr>
      <w:r>
        <w:rPr>
          <w:sz w:val="28"/>
          <w:szCs w:val="28"/>
        </w:rPr>
        <w:t>[6</w:t>
      </w:r>
      <w:r w:rsidR="008915DD">
        <w:rPr>
          <w:sz w:val="28"/>
          <w:szCs w:val="28"/>
        </w:rPr>
        <w:t>0</w:t>
      </w:r>
      <w:r w:rsidR="00AE497E" w:rsidRPr="003039E5">
        <w:rPr>
          <w:sz w:val="28"/>
          <w:szCs w:val="28"/>
        </w:rPr>
        <w:t>]</w:t>
      </w:r>
      <w:r w:rsidR="00AE497E" w:rsidRPr="003039E5">
        <w:rPr>
          <w:sz w:val="28"/>
          <w:szCs w:val="28"/>
        </w:rPr>
        <w:tab/>
        <w:t>In the result, the appeal is dismissed.</w:t>
      </w:r>
    </w:p>
    <w:p w14:paraId="1F84045A" w14:textId="02C936BA" w:rsidR="00404453" w:rsidRDefault="00404453" w:rsidP="00AE497E">
      <w:pPr>
        <w:spacing w:line="360" w:lineRule="auto"/>
        <w:jc w:val="both"/>
        <w:rPr>
          <w:sz w:val="28"/>
          <w:szCs w:val="28"/>
        </w:rPr>
      </w:pPr>
    </w:p>
    <w:p w14:paraId="7C4524FB" w14:textId="098E5FAD" w:rsidR="00404453" w:rsidRDefault="00404453" w:rsidP="00AE497E">
      <w:pPr>
        <w:spacing w:line="360" w:lineRule="auto"/>
        <w:jc w:val="both"/>
        <w:rPr>
          <w:sz w:val="28"/>
          <w:szCs w:val="28"/>
        </w:rPr>
      </w:pPr>
    </w:p>
    <w:p w14:paraId="35F92AF8" w14:textId="77777777" w:rsidR="00404453" w:rsidRPr="003039E5" w:rsidRDefault="00404453" w:rsidP="00AE497E">
      <w:pPr>
        <w:spacing w:line="360" w:lineRule="auto"/>
        <w:jc w:val="both"/>
        <w:rPr>
          <w:sz w:val="28"/>
          <w:szCs w:val="28"/>
        </w:rPr>
      </w:pPr>
    </w:p>
    <w:p w14:paraId="0E728DDA" w14:textId="77777777" w:rsidR="00AE497E" w:rsidRPr="003039E5" w:rsidRDefault="00AE497E" w:rsidP="00AE497E">
      <w:pPr>
        <w:spacing w:line="360" w:lineRule="auto"/>
        <w:jc w:val="right"/>
        <w:rPr>
          <w:sz w:val="28"/>
          <w:szCs w:val="28"/>
        </w:rPr>
      </w:pPr>
      <w:r w:rsidRPr="003039E5">
        <w:rPr>
          <w:sz w:val="28"/>
          <w:szCs w:val="28"/>
        </w:rPr>
        <w:t>__________________</w:t>
      </w:r>
    </w:p>
    <w:p w14:paraId="5BB8A395" w14:textId="77777777" w:rsidR="00AE497E" w:rsidRPr="003039E5" w:rsidRDefault="00AE497E" w:rsidP="00DA4DDC">
      <w:pPr>
        <w:spacing w:line="360" w:lineRule="auto"/>
        <w:jc w:val="right"/>
        <w:rPr>
          <w:sz w:val="28"/>
          <w:szCs w:val="28"/>
        </w:rPr>
      </w:pPr>
      <w:r w:rsidRPr="003039E5">
        <w:rPr>
          <w:sz w:val="28"/>
          <w:szCs w:val="28"/>
        </w:rPr>
        <w:t>V M PONNAN</w:t>
      </w:r>
    </w:p>
    <w:p w14:paraId="04F2E504" w14:textId="55687E98" w:rsidR="008C2D63" w:rsidRPr="007678FA" w:rsidRDefault="00AE497E" w:rsidP="00DA4DDC">
      <w:pPr>
        <w:jc w:val="right"/>
        <w:rPr>
          <w:sz w:val="28"/>
          <w:szCs w:val="28"/>
        </w:rPr>
      </w:pPr>
      <w:r w:rsidRPr="003039E5">
        <w:rPr>
          <w:sz w:val="28"/>
          <w:szCs w:val="28"/>
        </w:rPr>
        <w:t>JUDGE OF APPEAL</w:t>
      </w:r>
      <w:r w:rsidR="0004523B" w:rsidRPr="007678FA">
        <w:rPr>
          <w:bCs/>
          <w:sz w:val="28"/>
          <w:szCs w:val="28"/>
        </w:rPr>
        <w:br w:type="page"/>
      </w:r>
    </w:p>
    <w:p w14:paraId="72854BEC" w14:textId="1E10C8C5" w:rsidR="00A94251" w:rsidRPr="007678FA" w:rsidRDefault="00A94251" w:rsidP="003039E5">
      <w:pPr>
        <w:pStyle w:val="Normal1"/>
        <w:spacing w:line="360" w:lineRule="auto"/>
        <w:ind w:left="-90" w:right="72"/>
        <w:contextualSpacing/>
        <w:jc w:val="both"/>
        <w:rPr>
          <w:rFonts w:ascii="Times New Roman" w:hAnsi="Times New Roman" w:cs="Times New Roman"/>
          <w:sz w:val="28"/>
          <w:szCs w:val="28"/>
        </w:rPr>
      </w:pPr>
      <w:r w:rsidRPr="007678FA">
        <w:rPr>
          <w:rFonts w:ascii="Times New Roman" w:hAnsi="Times New Roman" w:cs="Times New Roman"/>
          <w:sz w:val="28"/>
          <w:szCs w:val="28"/>
        </w:rPr>
        <w:lastRenderedPageBreak/>
        <w:t>Appearances</w:t>
      </w:r>
    </w:p>
    <w:p w14:paraId="7EBEA03B" w14:textId="77777777" w:rsidR="00A94251" w:rsidRPr="007678FA" w:rsidRDefault="00A94251" w:rsidP="003039E5">
      <w:pPr>
        <w:pStyle w:val="Normal1"/>
        <w:spacing w:line="360" w:lineRule="auto"/>
        <w:ind w:left="-90" w:right="72"/>
        <w:contextualSpacing/>
        <w:jc w:val="both"/>
        <w:rPr>
          <w:rFonts w:ascii="Times New Roman" w:hAnsi="Times New Roman" w:cs="Times New Roman"/>
          <w:sz w:val="28"/>
          <w:szCs w:val="28"/>
        </w:rPr>
      </w:pPr>
    </w:p>
    <w:p w14:paraId="7215EF3E" w14:textId="69611616" w:rsidR="00A94251" w:rsidRPr="007678FA" w:rsidRDefault="00A94251" w:rsidP="003039E5">
      <w:pPr>
        <w:pStyle w:val="Normal1"/>
        <w:spacing w:line="360" w:lineRule="auto"/>
        <w:ind w:left="-90" w:right="72"/>
        <w:contextualSpacing/>
        <w:jc w:val="both"/>
        <w:rPr>
          <w:rFonts w:ascii="Times New Roman" w:hAnsi="Times New Roman" w:cs="Times New Roman"/>
          <w:sz w:val="28"/>
          <w:szCs w:val="28"/>
        </w:rPr>
      </w:pPr>
      <w:r w:rsidRPr="007678FA">
        <w:rPr>
          <w:rFonts w:ascii="Times New Roman" w:hAnsi="Times New Roman" w:cs="Times New Roman"/>
          <w:sz w:val="28"/>
          <w:szCs w:val="28"/>
        </w:rPr>
        <w:t xml:space="preserve">For </w:t>
      </w:r>
      <w:r w:rsidR="00672824" w:rsidRPr="007678FA">
        <w:rPr>
          <w:rFonts w:ascii="Times New Roman" w:hAnsi="Times New Roman" w:cs="Times New Roman"/>
          <w:sz w:val="28"/>
          <w:szCs w:val="28"/>
        </w:rPr>
        <w:t>a</w:t>
      </w:r>
      <w:r w:rsidRPr="007678FA">
        <w:rPr>
          <w:rFonts w:ascii="Times New Roman" w:hAnsi="Times New Roman" w:cs="Times New Roman"/>
          <w:sz w:val="28"/>
          <w:szCs w:val="28"/>
        </w:rPr>
        <w:t>ppellant:</w:t>
      </w:r>
      <w:r w:rsidRPr="007678FA">
        <w:rPr>
          <w:rFonts w:ascii="Times New Roman" w:hAnsi="Times New Roman" w:cs="Times New Roman"/>
          <w:sz w:val="28"/>
          <w:szCs w:val="28"/>
        </w:rPr>
        <w:tab/>
      </w:r>
      <w:r w:rsidRPr="007678FA">
        <w:rPr>
          <w:rFonts w:ascii="Times New Roman" w:hAnsi="Times New Roman" w:cs="Times New Roman"/>
          <w:sz w:val="28"/>
          <w:szCs w:val="28"/>
        </w:rPr>
        <w:tab/>
      </w:r>
      <w:r w:rsidRPr="007678FA">
        <w:rPr>
          <w:rFonts w:ascii="Times New Roman" w:hAnsi="Times New Roman" w:cs="Times New Roman"/>
          <w:sz w:val="28"/>
          <w:szCs w:val="28"/>
        </w:rPr>
        <w:tab/>
      </w:r>
      <w:r w:rsidR="00CD01FD" w:rsidRPr="007678FA">
        <w:rPr>
          <w:rFonts w:ascii="Times New Roman" w:hAnsi="Times New Roman" w:cs="Times New Roman"/>
          <w:sz w:val="28"/>
          <w:szCs w:val="28"/>
        </w:rPr>
        <w:tab/>
      </w:r>
      <w:r w:rsidRPr="007678FA">
        <w:rPr>
          <w:rFonts w:ascii="Times New Roman" w:hAnsi="Times New Roman" w:cs="Times New Roman"/>
          <w:sz w:val="28"/>
          <w:szCs w:val="28"/>
        </w:rPr>
        <w:t xml:space="preserve">K Kollapen </w:t>
      </w:r>
    </w:p>
    <w:p w14:paraId="4E880872" w14:textId="2D420E8C" w:rsidR="00A94251" w:rsidRPr="007678FA" w:rsidRDefault="00A94251" w:rsidP="003039E5">
      <w:pPr>
        <w:pStyle w:val="Normal1"/>
        <w:spacing w:line="360" w:lineRule="auto"/>
        <w:ind w:left="-90" w:right="72"/>
        <w:contextualSpacing/>
        <w:jc w:val="both"/>
        <w:rPr>
          <w:rFonts w:ascii="Times New Roman" w:hAnsi="Times New Roman" w:cs="Times New Roman"/>
          <w:sz w:val="28"/>
          <w:szCs w:val="28"/>
        </w:rPr>
      </w:pPr>
      <w:r w:rsidRPr="007678FA">
        <w:rPr>
          <w:rFonts w:ascii="Times New Roman" w:hAnsi="Times New Roman" w:cs="Times New Roman"/>
          <w:sz w:val="28"/>
          <w:szCs w:val="28"/>
        </w:rPr>
        <w:t>Instructed by:</w:t>
      </w:r>
      <w:r w:rsidRPr="007678FA">
        <w:rPr>
          <w:rFonts w:ascii="Times New Roman" w:hAnsi="Times New Roman" w:cs="Times New Roman"/>
          <w:sz w:val="28"/>
          <w:szCs w:val="28"/>
        </w:rPr>
        <w:tab/>
      </w:r>
      <w:r w:rsidRPr="007678FA">
        <w:rPr>
          <w:rFonts w:ascii="Times New Roman" w:hAnsi="Times New Roman" w:cs="Times New Roman"/>
          <w:sz w:val="28"/>
          <w:szCs w:val="28"/>
        </w:rPr>
        <w:tab/>
      </w:r>
      <w:r w:rsidRPr="007678FA">
        <w:rPr>
          <w:rFonts w:ascii="Times New Roman" w:hAnsi="Times New Roman" w:cs="Times New Roman"/>
          <w:sz w:val="28"/>
          <w:szCs w:val="28"/>
        </w:rPr>
        <w:tab/>
      </w:r>
      <w:r w:rsidR="00CD01FD" w:rsidRPr="007678FA">
        <w:rPr>
          <w:rFonts w:ascii="Times New Roman" w:hAnsi="Times New Roman" w:cs="Times New Roman"/>
          <w:sz w:val="28"/>
          <w:szCs w:val="28"/>
        </w:rPr>
        <w:tab/>
      </w:r>
      <w:r w:rsidR="00672824" w:rsidRPr="007678FA">
        <w:rPr>
          <w:rFonts w:ascii="Times New Roman" w:hAnsi="Times New Roman" w:cs="Times New Roman"/>
          <w:sz w:val="28"/>
          <w:szCs w:val="28"/>
        </w:rPr>
        <w:t>VDT Attorneys</w:t>
      </w:r>
      <w:r w:rsidR="0004523B" w:rsidRPr="007678FA">
        <w:rPr>
          <w:rFonts w:ascii="Times New Roman" w:hAnsi="Times New Roman" w:cs="Times New Roman"/>
          <w:sz w:val="28"/>
          <w:szCs w:val="28"/>
        </w:rPr>
        <w:t>,</w:t>
      </w:r>
      <w:r w:rsidR="00672824" w:rsidRPr="007678FA">
        <w:rPr>
          <w:rFonts w:ascii="Times New Roman" w:hAnsi="Times New Roman" w:cs="Times New Roman"/>
          <w:sz w:val="28"/>
          <w:szCs w:val="28"/>
        </w:rPr>
        <w:t xml:space="preserve"> Pretoria</w:t>
      </w:r>
    </w:p>
    <w:p w14:paraId="76519CD5" w14:textId="26193B9A" w:rsidR="00A94251" w:rsidRPr="007678FA" w:rsidRDefault="00A94251" w:rsidP="003039E5">
      <w:pPr>
        <w:pStyle w:val="Normal1"/>
        <w:spacing w:line="360" w:lineRule="auto"/>
        <w:ind w:right="-858"/>
        <w:contextualSpacing/>
        <w:jc w:val="both"/>
        <w:rPr>
          <w:rFonts w:ascii="Times New Roman" w:hAnsi="Times New Roman" w:cs="Times New Roman"/>
          <w:sz w:val="28"/>
          <w:szCs w:val="28"/>
        </w:rPr>
      </w:pPr>
      <w:r w:rsidRPr="007678FA">
        <w:rPr>
          <w:rFonts w:ascii="Times New Roman" w:hAnsi="Times New Roman" w:cs="Times New Roman"/>
          <w:sz w:val="28"/>
          <w:szCs w:val="28"/>
        </w:rPr>
        <w:tab/>
      </w:r>
      <w:r w:rsidRPr="007678FA">
        <w:rPr>
          <w:rFonts w:ascii="Times New Roman" w:hAnsi="Times New Roman" w:cs="Times New Roman"/>
          <w:sz w:val="28"/>
          <w:szCs w:val="28"/>
        </w:rPr>
        <w:tab/>
      </w:r>
      <w:r w:rsidRPr="007678FA">
        <w:rPr>
          <w:rFonts w:ascii="Times New Roman" w:hAnsi="Times New Roman" w:cs="Times New Roman"/>
          <w:sz w:val="28"/>
          <w:szCs w:val="28"/>
        </w:rPr>
        <w:tab/>
      </w:r>
      <w:r w:rsidRPr="007678FA">
        <w:rPr>
          <w:rFonts w:ascii="Times New Roman" w:hAnsi="Times New Roman" w:cs="Times New Roman"/>
          <w:sz w:val="28"/>
          <w:szCs w:val="28"/>
        </w:rPr>
        <w:tab/>
      </w:r>
      <w:r w:rsidRPr="007678FA">
        <w:rPr>
          <w:rFonts w:ascii="Times New Roman" w:hAnsi="Times New Roman" w:cs="Times New Roman"/>
          <w:sz w:val="28"/>
          <w:szCs w:val="28"/>
        </w:rPr>
        <w:tab/>
      </w:r>
      <w:r w:rsidR="00CD01FD" w:rsidRPr="007678FA">
        <w:rPr>
          <w:rFonts w:ascii="Times New Roman" w:hAnsi="Times New Roman" w:cs="Times New Roman"/>
          <w:sz w:val="28"/>
          <w:szCs w:val="28"/>
        </w:rPr>
        <w:tab/>
      </w:r>
      <w:r w:rsidRPr="007678FA">
        <w:rPr>
          <w:rFonts w:ascii="Times New Roman" w:hAnsi="Times New Roman" w:cs="Times New Roman"/>
          <w:sz w:val="28"/>
          <w:szCs w:val="28"/>
        </w:rPr>
        <w:t>Phatshoane Henney Attorneys</w:t>
      </w:r>
      <w:r w:rsidR="00CD01FD" w:rsidRPr="007678FA">
        <w:rPr>
          <w:rFonts w:ascii="Times New Roman" w:hAnsi="Times New Roman" w:cs="Times New Roman"/>
          <w:sz w:val="28"/>
          <w:szCs w:val="28"/>
        </w:rPr>
        <w:t xml:space="preserve">, </w:t>
      </w:r>
      <w:r w:rsidRPr="007678FA">
        <w:rPr>
          <w:rFonts w:ascii="Times New Roman" w:hAnsi="Times New Roman" w:cs="Times New Roman"/>
          <w:sz w:val="28"/>
          <w:szCs w:val="28"/>
        </w:rPr>
        <w:t>Bloemfontein</w:t>
      </w:r>
    </w:p>
    <w:p w14:paraId="33FA908A" w14:textId="77777777" w:rsidR="00A94251" w:rsidRPr="007678FA" w:rsidRDefault="00A94251" w:rsidP="003039E5">
      <w:pPr>
        <w:pStyle w:val="Normal1"/>
        <w:spacing w:line="360" w:lineRule="auto"/>
        <w:ind w:left="-90" w:right="72"/>
        <w:contextualSpacing/>
        <w:jc w:val="both"/>
        <w:rPr>
          <w:rFonts w:ascii="Times New Roman" w:hAnsi="Times New Roman" w:cs="Times New Roman"/>
          <w:sz w:val="28"/>
          <w:szCs w:val="28"/>
        </w:rPr>
      </w:pPr>
    </w:p>
    <w:p w14:paraId="2E87CD09" w14:textId="29DF56C1" w:rsidR="00A94251" w:rsidRPr="007678FA" w:rsidRDefault="00A94251" w:rsidP="003039E5">
      <w:pPr>
        <w:pStyle w:val="Normal1"/>
        <w:spacing w:line="360" w:lineRule="auto"/>
        <w:ind w:left="-90" w:right="72"/>
        <w:contextualSpacing/>
        <w:jc w:val="both"/>
        <w:rPr>
          <w:rFonts w:ascii="Times New Roman" w:hAnsi="Times New Roman" w:cs="Times New Roman"/>
          <w:sz w:val="28"/>
          <w:szCs w:val="28"/>
        </w:rPr>
      </w:pPr>
      <w:r w:rsidRPr="007678FA">
        <w:rPr>
          <w:rFonts w:ascii="Times New Roman" w:hAnsi="Times New Roman" w:cs="Times New Roman"/>
          <w:sz w:val="28"/>
          <w:szCs w:val="28"/>
        </w:rPr>
        <w:t>For</w:t>
      </w:r>
      <w:r w:rsidR="00CD01FD" w:rsidRPr="007678FA">
        <w:rPr>
          <w:rFonts w:ascii="Times New Roman" w:hAnsi="Times New Roman" w:cs="Times New Roman"/>
          <w:sz w:val="28"/>
          <w:szCs w:val="28"/>
        </w:rPr>
        <w:t xml:space="preserve"> second and third</w:t>
      </w:r>
      <w:r w:rsidRPr="007678FA">
        <w:rPr>
          <w:rFonts w:ascii="Times New Roman" w:hAnsi="Times New Roman" w:cs="Times New Roman"/>
          <w:sz w:val="28"/>
          <w:szCs w:val="28"/>
        </w:rPr>
        <w:t xml:space="preserve"> </w:t>
      </w:r>
      <w:r w:rsidR="001810E9" w:rsidRPr="007678FA">
        <w:rPr>
          <w:rFonts w:ascii="Times New Roman" w:hAnsi="Times New Roman" w:cs="Times New Roman"/>
          <w:sz w:val="28"/>
          <w:szCs w:val="28"/>
        </w:rPr>
        <w:t>r</w:t>
      </w:r>
      <w:r w:rsidRPr="007678FA">
        <w:rPr>
          <w:rFonts w:ascii="Times New Roman" w:hAnsi="Times New Roman" w:cs="Times New Roman"/>
          <w:sz w:val="28"/>
          <w:szCs w:val="28"/>
        </w:rPr>
        <w:t>espondent:</w:t>
      </w:r>
      <w:r w:rsidRPr="007678FA">
        <w:rPr>
          <w:rFonts w:ascii="Times New Roman" w:hAnsi="Times New Roman" w:cs="Times New Roman"/>
          <w:sz w:val="28"/>
          <w:szCs w:val="28"/>
        </w:rPr>
        <w:tab/>
      </w:r>
      <w:r w:rsidRPr="007678FA">
        <w:rPr>
          <w:rFonts w:ascii="Times New Roman" w:hAnsi="Times New Roman" w:cs="Times New Roman"/>
          <w:sz w:val="28"/>
          <w:szCs w:val="28"/>
        </w:rPr>
        <w:tab/>
        <w:t>N</w:t>
      </w:r>
      <w:r w:rsidR="00972040" w:rsidRPr="007678FA">
        <w:rPr>
          <w:rFonts w:ascii="Times New Roman" w:hAnsi="Times New Roman" w:cs="Times New Roman"/>
          <w:sz w:val="28"/>
          <w:szCs w:val="28"/>
        </w:rPr>
        <w:t xml:space="preserve">o appearance </w:t>
      </w:r>
    </w:p>
    <w:p w14:paraId="343A709C" w14:textId="780FED9F" w:rsidR="00477060" w:rsidRPr="007678FA" w:rsidRDefault="00A94251" w:rsidP="003039E5">
      <w:pPr>
        <w:pStyle w:val="Normal1"/>
        <w:spacing w:line="360" w:lineRule="auto"/>
        <w:ind w:left="-90" w:right="72"/>
        <w:contextualSpacing/>
        <w:jc w:val="both"/>
        <w:rPr>
          <w:rFonts w:ascii="Times New Roman" w:hAnsi="Times New Roman" w:cs="Times New Roman"/>
          <w:sz w:val="28"/>
          <w:szCs w:val="28"/>
        </w:rPr>
      </w:pPr>
      <w:r w:rsidRPr="007678FA">
        <w:rPr>
          <w:rFonts w:ascii="Times New Roman" w:hAnsi="Times New Roman" w:cs="Times New Roman"/>
          <w:sz w:val="28"/>
          <w:szCs w:val="28"/>
        </w:rPr>
        <w:t>Instructed by:</w:t>
      </w:r>
      <w:r w:rsidRPr="007678FA">
        <w:rPr>
          <w:rFonts w:ascii="Times New Roman" w:hAnsi="Times New Roman" w:cs="Times New Roman"/>
          <w:sz w:val="28"/>
          <w:szCs w:val="28"/>
        </w:rPr>
        <w:tab/>
      </w:r>
      <w:r w:rsidRPr="007678FA">
        <w:rPr>
          <w:rFonts w:ascii="Times New Roman" w:hAnsi="Times New Roman" w:cs="Times New Roman"/>
          <w:sz w:val="28"/>
          <w:szCs w:val="28"/>
        </w:rPr>
        <w:tab/>
      </w:r>
      <w:r w:rsidRPr="007678FA">
        <w:rPr>
          <w:rFonts w:ascii="Times New Roman" w:hAnsi="Times New Roman" w:cs="Times New Roman"/>
          <w:sz w:val="28"/>
          <w:szCs w:val="28"/>
        </w:rPr>
        <w:tab/>
      </w:r>
      <w:r w:rsidR="00CD01FD" w:rsidRPr="007678FA">
        <w:rPr>
          <w:rFonts w:ascii="Times New Roman" w:hAnsi="Times New Roman" w:cs="Times New Roman"/>
          <w:sz w:val="28"/>
          <w:szCs w:val="28"/>
        </w:rPr>
        <w:tab/>
      </w:r>
      <w:r w:rsidR="00477060" w:rsidRPr="007678FA">
        <w:rPr>
          <w:rFonts w:ascii="Times New Roman" w:hAnsi="Times New Roman" w:cs="Times New Roman"/>
          <w:sz w:val="28"/>
          <w:szCs w:val="28"/>
        </w:rPr>
        <w:t>J I Van Niekerk Attorneys, Pretoria</w:t>
      </w:r>
    </w:p>
    <w:p w14:paraId="2AD19003" w14:textId="161BDFDB" w:rsidR="00A94251" w:rsidRPr="007678FA" w:rsidRDefault="00477060" w:rsidP="003039E5">
      <w:pPr>
        <w:pStyle w:val="Normal1"/>
        <w:spacing w:line="360" w:lineRule="auto"/>
        <w:ind w:left="-90" w:right="-999"/>
        <w:contextualSpacing/>
        <w:jc w:val="both"/>
        <w:rPr>
          <w:rFonts w:ascii="Times New Roman" w:hAnsi="Times New Roman" w:cs="Times New Roman"/>
          <w:sz w:val="28"/>
          <w:szCs w:val="28"/>
        </w:rPr>
      </w:pPr>
      <w:r w:rsidRPr="007678FA">
        <w:rPr>
          <w:rFonts w:ascii="Times New Roman" w:hAnsi="Times New Roman" w:cs="Times New Roman"/>
          <w:sz w:val="28"/>
          <w:szCs w:val="28"/>
        </w:rPr>
        <w:tab/>
      </w:r>
      <w:r w:rsidRPr="007678FA">
        <w:rPr>
          <w:rFonts w:ascii="Times New Roman" w:hAnsi="Times New Roman" w:cs="Times New Roman"/>
          <w:sz w:val="28"/>
          <w:szCs w:val="28"/>
        </w:rPr>
        <w:tab/>
      </w:r>
      <w:r w:rsidRPr="007678FA">
        <w:rPr>
          <w:rFonts w:ascii="Times New Roman" w:hAnsi="Times New Roman" w:cs="Times New Roman"/>
          <w:sz w:val="28"/>
          <w:szCs w:val="28"/>
        </w:rPr>
        <w:tab/>
      </w:r>
      <w:r w:rsidRPr="007678FA">
        <w:rPr>
          <w:rFonts w:ascii="Times New Roman" w:hAnsi="Times New Roman" w:cs="Times New Roman"/>
          <w:sz w:val="28"/>
          <w:szCs w:val="28"/>
        </w:rPr>
        <w:tab/>
      </w:r>
      <w:r w:rsidRPr="007678FA">
        <w:rPr>
          <w:rFonts w:ascii="Times New Roman" w:hAnsi="Times New Roman" w:cs="Times New Roman"/>
          <w:sz w:val="28"/>
          <w:szCs w:val="28"/>
        </w:rPr>
        <w:tab/>
      </w:r>
      <w:r w:rsidRPr="007678FA">
        <w:rPr>
          <w:rFonts w:ascii="Times New Roman" w:hAnsi="Times New Roman" w:cs="Times New Roman"/>
          <w:sz w:val="28"/>
          <w:szCs w:val="28"/>
        </w:rPr>
        <w:tab/>
      </w:r>
      <w:r w:rsidR="00CD01FD" w:rsidRPr="007678FA">
        <w:rPr>
          <w:rFonts w:ascii="Times New Roman" w:hAnsi="Times New Roman" w:cs="Times New Roman"/>
          <w:sz w:val="28"/>
          <w:szCs w:val="28"/>
        </w:rPr>
        <w:tab/>
      </w:r>
      <w:r w:rsidRPr="007678FA">
        <w:rPr>
          <w:rFonts w:ascii="Times New Roman" w:hAnsi="Times New Roman" w:cs="Times New Roman"/>
          <w:sz w:val="28"/>
          <w:szCs w:val="28"/>
        </w:rPr>
        <w:t>Van Wyk &amp; Preller A</w:t>
      </w:r>
      <w:r w:rsidR="00265C55" w:rsidRPr="007678FA">
        <w:rPr>
          <w:rFonts w:ascii="Times New Roman" w:hAnsi="Times New Roman" w:cs="Times New Roman"/>
          <w:sz w:val="28"/>
          <w:szCs w:val="28"/>
        </w:rPr>
        <w:t xml:space="preserve">ttorneys, </w:t>
      </w:r>
      <w:r w:rsidRPr="007678FA">
        <w:rPr>
          <w:rFonts w:ascii="Times New Roman" w:hAnsi="Times New Roman" w:cs="Times New Roman"/>
          <w:sz w:val="28"/>
          <w:szCs w:val="28"/>
        </w:rPr>
        <w:t>B</w:t>
      </w:r>
      <w:r w:rsidR="00CD01FD" w:rsidRPr="007678FA">
        <w:rPr>
          <w:rFonts w:ascii="Times New Roman" w:hAnsi="Times New Roman" w:cs="Times New Roman"/>
          <w:sz w:val="28"/>
          <w:szCs w:val="28"/>
        </w:rPr>
        <w:t>loemfontein.</w:t>
      </w:r>
    </w:p>
    <w:p w14:paraId="448E9057" w14:textId="77777777" w:rsidR="00A94251" w:rsidRPr="007678FA" w:rsidRDefault="00A94251" w:rsidP="003039E5">
      <w:pPr>
        <w:pStyle w:val="Normal1"/>
        <w:spacing w:line="360" w:lineRule="auto"/>
        <w:ind w:left="-90" w:right="72"/>
        <w:contextualSpacing/>
        <w:jc w:val="both"/>
        <w:rPr>
          <w:rFonts w:ascii="Times New Roman" w:hAnsi="Times New Roman" w:cs="Times New Roman"/>
          <w:sz w:val="28"/>
          <w:szCs w:val="28"/>
        </w:rPr>
      </w:pPr>
      <w:r w:rsidRPr="007678FA">
        <w:rPr>
          <w:rFonts w:ascii="Times New Roman" w:hAnsi="Times New Roman" w:cs="Times New Roman"/>
          <w:sz w:val="28"/>
          <w:szCs w:val="28"/>
        </w:rPr>
        <w:tab/>
      </w:r>
      <w:r w:rsidRPr="007678FA">
        <w:rPr>
          <w:rFonts w:ascii="Times New Roman" w:hAnsi="Times New Roman" w:cs="Times New Roman"/>
          <w:sz w:val="28"/>
          <w:szCs w:val="28"/>
        </w:rPr>
        <w:tab/>
      </w:r>
      <w:r w:rsidRPr="007678FA">
        <w:rPr>
          <w:rFonts w:ascii="Times New Roman" w:hAnsi="Times New Roman" w:cs="Times New Roman"/>
          <w:sz w:val="28"/>
          <w:szCs w:val="28"/>
        </w:rPr>
        <w:tab/>
      </w:r>
      <w:r w:rsidRPr="007678FA">
        <w:rPr>
          <w:rFonts w:ascii="Times New Roman" w:hAnsi="Times New Roman" w:cs="Times New Roman"/>
          <w:sz w:val="28"/>
          <w:szCs w:val="28"/>
        </w:rPr>
        <w:tab/>
      </w:r>
      <w:r w:rsidRPr="007678FA">
        <w:rPr>
          <w:rFonts w:ascii="Times New Roman" w:hAnsi="Times New Roman" w:cs="Times New Roman"/>
          <w:sz w:val="28"/>
          <w:szCs w:val="28"/>
        </w:rPr>
        <w:tab/>
      </w:r>
      <w:r w:rsidRPr="007678FA">
        <w:rPr>
          <w:rFonts w:ascii="Times New Roman" w:hAnsi="Times New Roman" w:cs="Times New Roman"/>
          <w:sz w:val="28"/>
          <w:szCs w:val="28"/>
        </w:rPr>
        <w:tab/>
      </w:r>
      <w:r w:rsidRPr="007678FA">
        <w:rPr>
          <w:rFonts w:ascii="Times New Roman" w:hAnsi="Times New Roman" w:cs="Times New Roman"/>
          <w:sz w:val="28"/>
          <w:szCs w:val="28"/>
        </w:rPr>
        <w:tab/>
      </w:r>
    </w:p>
    <w:p w14:paraId="2C443DDC" w14:textId="77777777" w:rsidR="00A94251" w:rsidRPr="007678FA" w:rsidRDefault="00A94251" w:rsidP="00A94251">
      <w:pPr>
        <w:pStyle w:val="Normal1"/>
        <w:spacing w:line="360" w:lineRule="auto"/>
        <w:ind w:left="-90" w:right="72"/>
        <w:contextualSpacing/>
        <w:jc w:val="both"/>
        <w:rPr>
          <w:rFonts w:ascii="Times New Roman" w:hAnsi="Times New Roman" w:cs="Times New Roman"/>
          <w:sz w:val="28"/>
          <w:szCs w:val="28"/>
          <w:lang w:val="en-GB"/>
        </w:rPr>
      </w:pPr>
    </w:p>
    <w:p w14:paraId="5105FC1C" w14:textId="77777777" w:rsidR="00A94251" w:rsidRPr="007678FA" w:rsidRDefault="00A94251" w:rsidP="001C5815">
      <w:pPr>
        <w:pStyle w:val="Normal1"/>
        <w:spacing w:after="0" w:line="360" w:lineRule="auto"/>
        <w:ind w:left="-90" w:right="72"/>
        <w:contextualSpacing/>
        <w:jc w:val="both"/>
        <w:rPr>
          <w:rFonts w:ascii="Times New Roman" w:hAnsi="Times New Roman" w:cs="Times New Roman"/>
          <w:sz w:val="28"/>
          <w:szCs w:val="28"/>
        </w:rPr>
      </w:pPr>
    </w:p>
    <w:sectPr w:rsidR="00A94251" w:rsidRPr="007678FA" w:rsidSect="005C0790">
      <w:headerReference w:type="even" r:id="rId9"/>
      <w:headerReference w:type="default" r:id="rId10"/>
      <w:footerReference w:type="default" r:id="rId11"/>
      <w:pgSz w:w="12240" w:h="15840" w:code="1"/>
      <w:pgMar w:top="1701" w:right="1440" w:bottom="1559" w:left="1440"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2A4DA" w14:textId="77777777" w:rsidR="00285F4A" w:rsidRDefault="00285F4A">
      <w:r>
        <w:separator/>
      </w:r>
    </w:p>
  </w:endnote>
  <w:endnote w:type="continuationSeparator" w:id="0">
    <w:p w14:paraId="336241E6" w14:textId="77777777" w:rsidR="00285F4A" w:rsidRDefault="00285F4A">
      <w:r>
        <w:continuationSeparator/>
      </w:r>
    </w:p>
  </w:endnote>
  <w:endnote w:type="continuationNotice" w:id="1">
    <w:p w14:paraId="6126F95D" w14:textId="77777777" w:rsidR="00285F4A" w:rsidRDefault="00285F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D909D" w14:textId="77777777" w:rsidR="008915DD" w:rsidRDefault="00891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622A5" w14:textId="77777777" w:rsidR="00285F4A" w:rsidRDefault="00285F4A">
      <w:r>
        <w:separator/>
      </w:r>
    </w:p>
  </w:footnote>
  <w:footnote w:type="continuationSeparator" w:id="0">
    <w:p w14:paraId="6091396D" w14:textId="77777777" w:rsidR="00285F4A" w:rsidRDefault="00285F4A">
      <w:r>
        <w:continuationSeparator/>
      </w:r>
    </w:p>
  </w:footnote>
  <w:footnote w:type="continuationNotice" w:id="1">
    <w:p w14:paraId="5ADAA234" w14:textId="77777777" w:rsidR="00285F4A" w:rsidRDefault="00285F4A"/>
  </w:footnote>
  <w:footnote w:id="2">
    <w:p w14:paraId="5C2F21B4" w14:textId="519B2E79" w:rsidR="008915DD" w:rsidRPr="00BA3E32" w:rsidRDefault="008915DD" w:rsidP="00387E92">
      <w:pPr>
        <w:pStyle w:val="FootnoteText"/>
        <w:jc w:val="both"/>
        <w:rPr>
          <w:lang w:val="en-US"/>
        </w:rPr>
      </w:pPr>
      <w:r>
        <w:rPr>
          <w:rStyle w:val="FootnoteReference"/>
        </w:rPr>
        <w:footnoteRef/>
      </w:r>
      <w:r>
        <w:t xml:space="preserve"> </w:t>
      </w:r>
      <w:r>
        <w:rPr>
          <w:lang w:val="en-US"/>
        </w:rPr>
        <w:t>The preamble to the Act sets out the objectives:</w:t>
      </w:r>
      <w:r w:rsidRPr="0095028B">
        <w:t xml:space="preserve"> </w:t>
      </w:r>
      <w:r>
        <w:t>‘To promote a fair and non-discriminatory market place for access to consumer credit and for that purpose to provide for the general regulation of consumer credit and improved standards of consumer information; to promote black economic empowerment and ownership within the consumer credit industry; to prohibit certain unfair credit and credit-marketing practices; to promote responsible credit granting and use and for that purpose to prohibit reckless credit granting; to provide for debt re</w:t>
      </w:r>
      <w:r>
        <w:softHyphen/>
        <w:t>organisation in cases of over indebtedness; to regulate credit information; to provide for registration of credit bureaux, credit providers and debt counselling services; to establish national norms and standards relating to consumer credit; to promote a consistent enforcement framework relating to consumer credit; to establish the National Credit Regulator and the National Consumer Tribunal; to repeal the Usury Act, 1968, and the Credit Agreements Act, 1980; and to provide for related incidental matters</w:t>
      </w:r>
      <w:r w:rsidRPr="00BA3E32">
        <w:t>.’</w:t>
      </w:r>
    </w:p>
  </w:footnote>
  <w:footnote w:id="3">
    <w:p w14:paraId="6DF42C9A" w14:textId="4070B79E" w:rsidR="008915DD" w:rsidRPr="00E67802" w:rsidRDefault="008915DD">
      <w:pPr>
        <w:pStyle w:val="FootnoteText"/>
        <w:rPr>
          <w:lang w:val="en-US"/>
        </w:rPr>
      </w:pPr>
      <w:r>
        <w:rPr>
          <w:rStyle w:val="FootnoteReference"/>
        </w:rPr>
        <w:footnoteRef/>
      </w:r>
      <w:r>
        <w:t xml:space="preserve"> </w:t>
      </w:r>
      <w:r>
        <w:rPr>
          <w:lang w:val="en-US"/>
        </w:rPr>
        <w:t>The details of the contraventions are not pertinent to the issues in the appeal</w:t>
      </w:r>
    </w:p>
  </w:footnote>
  <w:footnote w:id="4">
    <w:p w14:paraId="0418FBDF" w14:textId="31EFD142" w:rsidR="008915DD" w:rsidRDefault="008915DD" w:rsidP="00CE3C92">
      <w:pPr>
        <w:pStyle w:val="FootnoteText"/>
        <w:jc w:val="both"/>
      </w:pPr>
      <w:r>
        <w:rPr>
          <w:rStyle w:val="FootnoteReference"/>
        </w:rPr>
        <w:footnoteRef/>
      </w:r>
      <w:r>
        <w:t xml:space="preserve"> Section 57(1) of the National Credit Act 34 of 2005 (the Act) states as follows:</w:t>
      </w:r>
    </w:p>
    <w:p w14:paraId="406FF783" w14:textId="46678809" w:rsidR="008915DD" w:rsidRDefault="008915DD" w:rsidP="00CE3C92">
      <w:pPr>
        <w:pStyle w:val="FootnoteText"/>
        <w:jc w:val="both"/>
        <w:rPr>
          <w:lang w:val="en-US"/>
        </w:rPr>
      </w:pPr>
      <w:r>
        <w:t>‘</w:t>
      </w:r>
      <w:r>
        <w:rPr>
          <w:lang w:val="en-US"/>
        </w:rPr>
        <w:t>(1) Subject to subsection (2), a registration in terms of this Act may be cancelled by the Tribunal on request by the National Credit Regulator, if the registrant repeatedly-</w:t>
      </w:r>
    </w:p>
    <w:p w14:paraId="227735D5" w14:textId="7315408F" w:rsidR="008915DD" w:rsidRDefault="008915DD" w:rsidP="00CE3C92">
      <w:pPr>
        <w:pStyle w:val="FootnoteText"/>
        <w:jc w:val="both"/>
        <w:rPr>
          <w:lang w:val="en-US"/>
        </w:rPr>
      </w:pPr>
      <w:r w:rsidRPr="00EB3944">
        <w:rPr>
          <w:i/>
          <w:iCs/>
          <w:lang w:val="en-US"/>
        </w:rPr>
        <w:t>(a)</w:t>
      </w:r>
      <w:r>
        <w:rPr>
          <w:lang w:val="en-US"/>
        </w:rPr>
        <w:t xml:space="preserve"> fails to comply with any condition of its registration;</w:t>
      </w:r>
    </w:p>
    <w:p w14:paraId="5258ECAB" w14:textId="115A98E0" w:rsidR="008915DD" w:rsidRDefault="008915DD" w:rsidP="00CE3C92">
      <w:pPr>
        <w:pStyle w:val="FootnoteText"/>
        <w:jc w:val="both"/>
        <w:rPr>
          <w:lang w:val="en-US"/>
        </w:rPr>
      </w:pPr>
      <w:r w:rsidRPr="00EB3944">
        <w:rPr>
          <w:i/>
          <w:iCs/>
          <w:lang w:val="en-US"/>
        </w:rPr>
        <w:t>(b)</w:t>
      </w:r>
      <w:r>
        <w:rPr>
          <w:lang w:val="en-US"/>
        </w:rPr>
        <w:t xml:space="preserve"> fails to meet a commitment contemplated in section 48(1); or</w:t>
      </w:r>
    </w:p>
    <w:p w14:paraId="387C301E" w14:textId="5BA784A4" w:rsidR="008915DD" w:rsidRDefault="008915DD" w:rsidP="00CE3C92">
      <w:pPr>
        <w:pStyle w:val="FootnoteText"/>
        <w:jc w:val="both"/>
        <w:rPr>
          <w:lang w:val="en-US"/>
        </w:rPr>
      </w:pPr>
      <w:r w:rsidRPr="00EB3944">
        <w:rPr>
          <w:i/>
          <w:iCs/>
          <w:lang w:val="en-US"/>
        </w:rPr>
        <w:t>(c)</w:t>
      </w:r>
      <w:r>
        <w:rPr>
          <w:lang w:val="en-US"/>
        </w:rPr>
        <w:t xml:space="preserve"> contravenes this Act.’</w:t>
      </w:r>
    </w:p>
  </w:footnote>
  <w:footnote w:id="5">
    <w:p w14:paraId="6C4554DE" w14:textId="77777777" w:rsidR="008915DD" w:rsidRPr="00C173B3" w:rsidRDefault="008915DD" w:rsidP="00E67802">
      <w:pPr>
        <w:pStyle w:val="FootnoteText"/>
        <w:jc w:val="both"/>
      </w:pPr>
      <w:r w:rsidRPr="00C173B3">
        <w:rPr>
          <w:rStyle w:val="FootnoteReference"/>
        </w:rPr>
        <w:footnoteRef/>
      </w:r>
      <w:r w:rsidRPr="00C173B3">
        <w:t xml:space="preserve"> Section 106(5)</w:t>
      </w:r>
      <w:r w:rsidRPr="00C173B3">
        <w:rPr>
          <w:i/>
        </w:rPr>
        <w:t xml:space="preserve">(c) </w:t>
      </w:r>
      <w:r w:rsidRPr="00C173B3">
        <w:t>of the Act</w:t>
      </w:r>
      <w:r w:rsidRPr="00C173B3">
        <w:rPr>
          <w:i/>
        </w:rPr>
        <w:t xml:space="preserve"> </w:t>
      </w:r>
      <w:r w:rsidRPr="00C173B3">
        <w:t>states that:</w:t>
      </w:r>
    </w:p>
    <w:p w14:paraId="3AD5BE70" w14:textId="77777777" w:rsidR="008915DD" w:rsidRPr="00C173B3" w:rsidRDefault="008915DD" w:rsidP="00E67802">
      <w:pPr>
        <w:pStyle w:val="FootnoteText"/>
        <w:jc w:val="both"/>
      </w:pPr>
      <w:r w:rsidRPr="00C173B3">
        <w:t xml:space="preserve">‘(5) With respect to any policy of insurance arranged by a credit provider as contemplated in (4), the credit provider must – </w:t>
      </w:r>
    </w:p>
    <w:p w14:paraId="34F796D8" w14:textId="77777777" w:rsidR="008915DD" w:rsidRPr="00C173B3" w:rsidRDefault="008915DD" w:rsidP="00E67802">
      <w:pPr>
        <w:pStyle w:val="FootnoteText"/>
        <w:jc w:val="both"/>
      </w:pPr>
      <w:r w:rsidRPr="00C173B3">
        <w:t>…</w:t>
      </w:r>
    </w:p>
    <w:p w14:paraId="1962B33D" w14:textId="77777777" w:rsidR="008915DD" w:rsidRPr="00C173B3" w:rsidRDefault="008915DD" w:rsidP="00E67802">
      <w:pPr>
        <w:pStyle w:val="FootnoteText"/>
        <w:jc w:val="both"/>
        <w:rPr>
          <w:lang w:val="en-US"/>
        </w:rPr>
      </w:pPr>
      <w:r w:rsidRPr="00C173B3">
        <w:rPr>
          <w:i/>
          <w:iCs/>
        </w:rPr>
        <w:t>(c)</w:t>
      </w:r>
      <w:r w:rsidRPr="00C173B3">
        <w:t xml:space="preserve"> explain the terms and conditions of the insurance policy to the consumer and provide the consumer with a copy of that policy…’</w:t>
      </w:r>
    </w:p>
  </w:footnote>
  <w:footnote w:id="6">
    <w:p w14:paraId="7A82EBAC" w14:textId="77777777" w:rsidR="008915DD" w:rsidRPr="00C173B3" w:rsidRDefault="008915DD" w:rsidP="00E67802">
      <w:pPr>
        <w:pStyle w:val="FootnoteText"/>
        <w:jc w:val="both"/>
      </w:pPr>
      <w:r w:rsidRPr="00C173B3">
        <w:rPr>
          <w:rStyle w:val="FootnoteReference"/>
        </w:rPr>
        <w:footnoteRef/>
      </w:r>
      <w:r w:rsidRPr="00C173B3">
        <w:t xml:space="preserve"> Section 106(1)</w:t>
      </w:r>
      <w:r w:rsidRPr="00C173B3">
        <w:rPr>
          <w:i/>
        </w:rPr>
        <w:t>(b)</w:t>
      </w:r>
      <w:r w:rsidRPr="00C173B3">
        <w:t>(ii) provides as follows:</w:t>
      </w:r>
    </w:p>
    <w:p w14:paraId="0B980E63" w14:textId="77777777" w:rsidR="008915DD" w:rsidRPr="00C173B3" w:rsidRDefault="008915DD" w:rsidP="00E67802">
      <w:pPr>
        <w:pStyle w:val="FootnoteText"/>
        <w:jc w:val="both"/>
      </w:pPr>
      <w:r w:rsidRPr="00C173B3">
        <w:t xml:space="preserve">‘(1) A credit provider may require a consumer to maintain during the term of their credit agreement – </w:t>
      </w:r>
    </w:p>
    <w:p w14:paraId="636CAAD4" w14:textId="77777777" w:rsidR="008915DD" w:rsidRPr="00C173B3" w:rsidRDefault="008915DD" w:rsidP="00E67802">
      <w:pPr>
        <w:pStyle w:val="FootnoteText"/>
        <w:jc w:val="both"/>
      </w:pPr>
      <w:r w:rsidRPr="00C173B3">
        <w:t>…</w:t>
      </w:r>
    </w:p>
    <w:p w14:paraId="5AE27010" w14:textId="77777777" w:rsidR="008915DD" w:rsidRPr="00C173B3" w:rsidRDefault="008915DD" w:rsidP="00E67802">
      <w:pPr>
        <w:pStyle w:val="FootnoteText"/>
        <w:jc w:val="both"/>
      </w:pPr>
      <w:r w:rsidRPr="00C173B3">
        <w:rPr>
          <w:i/>
          <w:iCs/>
        </w:rPr>
        <w:t>(b)</w:t>
      </w:r>
      <w:r w:rsidRPr="00C173B3">
        <w:t xml:space="preserve"> either – </w:t>
      </w:r>
    </w:p>
    <w:p w14:paraId="3BF208FA" w14:textId="6F2F11AE" w:rsidR="008915DD" w:rsidRPr="00C173B3" w:rsidRDefault="008915DD" w:rsidP="00E67802">
      <w:pPr>
        <w:pStyle w:val="FootnoteText"/>
        <w:jc w:val="both"/>
      </w:pPr>
      <w:r w:rsidRPr="00C173B3">
        <w:t>(i)…)</w:t>
      </w:r>
      <w:r>
        <w:t xml:space="preserve"> </w:t>
      </w:r>
      <w:r w:rsidRPr="00C173B3">
        <w:t>…</w:t>
      </w:r>
    </w:p>
    <w:p w14:paraId="4F4F3FA1" w14:textId="77777777" w:rsidR="008915DD" w:rsidRPr="00C173B3" w:rsidRDefault="008915DD" w:rsidP="00E67802">
      <w:pPr>
        <w:pStyle w:val="FootnoteText"/>
        <w:jc w:val="both"/>
        <w:rPr>
          <w:lang w:val="en-US"/>
        </w:rPr>
      </w:pPr>
      <w:r w:rsidRPr="00C173B3">
        <w:t>(ii) in any other case, insurance cover against damage or loss of any property other than property referred to in subparagraph (i), not exceeding, at any time during the life of the credit agreement, the total of the consumer's outstanding obligations to the credit provider in terms of their agreement.</w:t>
      </w:r>
    </w:p>
  </w:footnote>
  <w:footnote w:id="7">
    <w:p w14:paraId="51A67B55" w14:textId="77777777" w:rsidR="008915DD" w:rsidRDefault="008915DD" w:rsidP="00E67802">
      <w:pPr>
        <w:pStyle w:val="FootnoteText"/>
        <w:jc w:val="both"/>
      </w:pPr>
      <w:r w:rsidRPr="00F246E5">
        <w:rPr>
          <w:rStyle w:val="FootnoteReference"/>
        </w:rPr>
        <w:footnoteRef/>
      </w:r>
      <w:r w:rsidRPr="00F246E5">
        <w:t xml:space="preserve"> </w:t>
      </w:r>
      <w:r>
        <w:t>Section 99</w:t>
      </w:r>
      <w:r w:rsidRPr="00F246E5">
        <w:t>. (</w:t>
      </w:r>
      <w:r>
        <w:t>(1)</w:t>
      </w:r>
      <w:r w:rsidRPr="00F5616D">
        <w:rPr>
          <w:i/>
        </w:rPr>
        <w:t xml:space="preserve">(b) </w:t>
      </w:r>
      <w:r>
        <w:t>states:</w:t>
      </w:r>
    </w:p>
    <w:p w14:paraId="2E48D10A" w14:textId="01464D58" w:rsidR="008915DD" w:rsidRPr="00C173B3" w:rsidRDefault="008915DD" w:rsidP="00E67802">
      <w:pPr>
        <w:pStyle w:val="FootnoteText"/>
        <w:jc w:val="both"/>
      </w:pPr>
      <w:r>
        <w:t>‘</w:t>
      </w:r>
      <w:r w:rsidRPr="00F246E5">
        <w:t>(1) A credit provider who enters into a pawn transaction with a consumer-</w:t>
      </w:r>
      <w:r w:rsidRPr="00C173B3">
        <w:t xml:space="preserve"> </w:t>
      </w:r>
    </w:p>
    <w:p w14:paraId="3A884666" w14:textId="77777777" w:rsidR="008915DD" w:rsidRPr="00C173B3" w:rsidRDefault="008915DD" w:rsidP="00E67802">
      <w:pPr>
        <w:pStyle w:val="FootnoteText"/>
        <w:jc w:val="both"/>
      </w:pPr>
      <w:r w:rsidRPr="00C173B3">
        <w:t>…</w:t>
      </w:r>
    </w:p>
    <w:p w14:paraId="190181C3" w14:textId="0111E54A" w:rsidR="008915DD" w:rsidRPr="00C173B3" w:rsidRDefault="008915DD" w:rsidP="00E67802">
      <w:pPr>
        <w:pStyle w:val="FootnoteText"/>
        <w:jc w:val="both"/>
        <w:rPr>
          <w:lang w:val="en-US"/>
        </w:rPr>
      </w:pPr>
      <w:r w:rsidRPr="00C173B3">
        <w:t>(b) must retain until the end of the credit agreement, and at the risk of the credit provider, any property of the consumer that is delivered to the credit provider as security under the credit agreement-</w:t>
      </w:r>
      <w:r>
        <w:t>. . . .’</w:t>
      </w:r>
    </w:p>
  </w:footnote>
  <w:footnote w:id="8">
    <w:p w14:paraId="0732AA78" w14:textId="77777777" w:rsidR="008915DD" w:rsidRDefault="008915DD" w:rsidP="00FA45EA">
      <w:pPr>
        <w:jc w:val="both"/>
        <w:rPr>
          <w:sz w:val="20"/>
          <w:szCs w:val="20"/>
        </w:rPr>
      </w:pPr>
      <w:r>
        <w:rPr>
          <w:rStyle w:val="FootnoteReference"/>
        </w:rPr>
        <w:footnoteRef/>
      </w:r>
      <w:r>
        <w:t xml:space="preserve"> </w:t>
      </w:r>
      <w:r>
        <w:rPr>
          <w:sz w:val="20"/>
          <w:szCs w:val="20"/>
        </w:rPr>
        <w:t xml:space="preserve">Definition as set out in section 1 of the Act – </w:t>
      </w:r>
    </w:p>
    <w:p w14:paraId="3FC46B41" w14:textId="332E02EA" w:rsidR="008915DD" w:rsidRDefault="008915DD" w:rsidP="00FA45EA">
      <w:pPr>
        <w:jc w:val="both"/>
        <w:rPr>
          <w:sz w:val="20"/>
          <w:szCs w:val="20"/>
        </w:rPr>
      </w:pPr>
      <w:r>
        <w:rPr>
          <w:sz w:val="20"/>
          <w:szCs w:val="20"/>
        </w:rPr>
        <w:t xml:space="preserve">‘“pawn transaction” means an agreement, irrespective of its form, in terms of which – </w:t>
      </w:r>
    </w:p>
    <w:p w14:paraId="7A2581EA" w14:textId="77777777" w:rsidR="008915DD" w:rsidRDefault="008915DD" w:rsidP="00FA45EA">
      <w:pPr>
        <w:jc w:val="both"/>
        <w:rPr>
          <w:sz w:val="20"/>
          <w:szCs w:val="20"/>
        </w:rPr>
      </w:pPr>
      <w:r w:rsidRPr="00EB3944">
        <w:rPr>
          <w:i/>
          <w:iCs/>
          <w:sz w:val="20"/>
          <w:szCs w:val="20"/>
        </w:rPr>
        <w:t>(a)</w:t>
      </w:r>
      <w:r>
        <w:rPr>
          <w:sz w:val="20"/>
          <w:szCs w:val="20"/>
        </w:rPr>
        <w:t xml:space="preserve"> one party advances money or grants credit to another, and at the time of doing so, takes possession of goods as security for the money advanced or credit 20 granted; and </w:t>
      </w:r>
    </w:p>
    <w:p w14:paraId="403557AC" w14:textId="77777777" w:rsidR="008915DD" w:rsidRDefault="008915DD" w:rsidP="00FA45EA">
      <w:pPr>
        <w:jc w:val="both"/>
        <w:rPr>
          <w:sz w:val="20"/>
          <w:szCs w:val="20"/>
        </w:rPr>
      </w:pPr>
      <w:r w:rsidRPr="00EB3944">
        <w:rPr>
          <w:i/>
          <w:iCs/>
          <w:sz w:val="20"/>
          <w:szCs w:val="20"/>
        </w:rPr>
        <w:t>(b)</w:t>
      </w:r>
      <w:r>
        <w:rPr>
          <w:sz w:val="20"/>
          <w:szCs w:val="20"/>
        </w:rPr>
        <w:t xml:space="preserve"> either- </w:t>
      </w:r>
    </w:p>
    <w:p w14:paraId="530D8BCE" w14:textId="77777777" w:rsidR="008915DD" w:rsidRDefault="008915DD" w:rsidP="00FA45EA">
      <w:pPr>
        <w:jc w:val="both"/>
        <w:rPr>
          <w:sz w:val="20"/>
          <w:szCs w:val="20"/>
        </w:rPr>
      </w:pPr>
      <w:r>
        <w:rPr>
          <w:sz w:val="20"/>
          <w:szCs w:val="20"/>
        </w:rPr>
        <w:t xml:space="preserve">(i) the estimated resale value of the goods exceeds the value of the money provided or the credit granted, or </w:t>
      </w:r>
    </w:p>
    <w:p w14:paraId="722EA4FE" w14:textId="77777777" w:rsidR="008915DD" w:rsidRDefault="008915DD" w:rsidP="00FA45EA">
      <w:pPr>
        <w:jc w:val="both"/>
        <w:rPr>
          <w:sz w:val="20"/>
          <w:szCs w:val="20"/>
        </w:rPr>
      </w:pPr>
      <w:r>
        <w:rPr>
          <w:sz w:val="20"/>
          <w:szCs w:val="20"/>
        </w:rPr>
        <w:t xml:space="preserve">(ii) a charge, fee or interest is imposed in respect of the agreement, or in 25 respect of the amount loaned or the credit granted; and </w:t>
      </w:r>
    </w:p>
    <w:p w14:paraId="3F4FF440" w14:textId="269603D4" w:rsidR="008915DD" w:rsidRPr="008125D2" w:rsidRDefault="008915DD" w:rsidP="00FA45EA">
      <w:pPr>
        <w:jc w:val="both"/>
        <w:rPr>
          <w:lang w:val="en-US"/>
        </w:rPr>
      </w:pPr>
      <w:r w:rsidRPr="00EB3944">
        <w:rPr>
          <w:i/>
          <w:iCs/>
          <w:sz w:val="20"/>
          <w:szCs w:val="20"/>
        </w:rPr>
        <w:t>(c)</w:t>
      </w:r>
      <w:r>
        <w:rPr>
          <w:sz w:val="20"/>
          <w:szCs w:val="20"/>
        </w:rPr>
        <w:t xml:space="preserve"> the party that advanced the money or granted the credit is entitled on expiry of a defined period to sell the goods and retain all the proceeds of the sale in settlement of the consumer’s obligations under the agreement;. . .’.</w:t>
      </w:r>
    </w:p>
  </w:footnote>
  <w:footnote w:id="9">
    <w:p w14:paraId="7B28A556" w14:textId="77777777" w:rsidR="008915DD" w:rsidRDefault="008915DD" w:rsidP="00FA45EA">
      <w:pPr>
        <w:pStyle w:val="FootnoteText"/>
        <w:jc w:val="both"/>
      </w:pPr>
      <w:r>
        <w:rPr>
          <w:rStyle w:val="FootnoteReference"/>
        </w:rPr>
        <w:footnoteRef/>
      </w:r>
      <w:r>
        <w:t xml:space="preserve"> Definition as set out in section 1 of the Act – </w:t>
      </w:r>
    </w:p>
    <w:p w14:paraId="795A1AC8" w14:textId="3B4903EE" w:rsidR="008915DD" w:rsidRDefault="008915DD" w:rsidP="00FA45EA">
      <w:pPr>
        <w:pStyle w:val="FootnoteText"/>
        <w:jc w:val="both"/>
      </w:pPr>
      <w:r>
        <w:t xml:space="preserve">‘“secured loan” means an agreement, irrespective of its form    but not including an instalment agreement, in terms of which a person – </w:t>
      </w:r>
    </w:p>
    <w:p w14:paraId="10C25B34" w14:textId="77777777" w:rsidR="008915DD" w:rsidRDefault="008915DD" w:rsidP="00FA45EA">
      <w:pPr>
        <w:pStyle w:val="FootnoteText"/>
        <w:jc w:val="both"/>
      </w:pPr>
      <w:r w:rsidRPr="00EB3944">
        <w:rPr>
          <w:i/>
          <w:iCs/>
        </w:rPr>
        <w:t>(a)</w:t>
      </w:r>
      <w:r>
        <w:t xml:space="preserve"> advances money or grants credit to another, and</w:t>
      </w:r>
    </w:p>
    <w:p w14:paraId="0B3186C7" w14:textId="28C38AAB" w:rsidR="008915DD" w:rsidRDefault="008915DD" w:rsidP="00FA45EA">
      <w:pPr>
        <w:pStyle w:val="FootnoteText"/>
        <w:jc w:val="both"/>
      </w:pPr>
      <w:r w:rsidRPr="00EB3944">
        <w:rPr>
          <w:i/>
          <w:iCs/>
        </w:rPr>
        <w:t>(b)</w:t>
      </w:r>
      <w:r>
        <w:t xml:space="preserve"> retains, or receives a pledge or cession of the title to any movable property or other thing of value as security for all amounts due under that agreement;…’.</w:t>
      </w:r>
    </w:p>
    <w:p w14:paraId="060C2C34" w14:textId="609BB6E6" w:rsidR="008915DD" w:rsidRPr="008125D2" w:rsidRDefault="008915DD" w:rsidP="005C0790">
      <w:pPr>
        <w:pStyle w:val="FootnoteText"/>
        <w:jc w:val="both"/>
        <w:rPr>
          <w:lang w:val="en-US"/>
        </w:rPr>
      </w:pPr>
    </w:p>
  </w:footnote>
  <w:footnote w:id="10">
    <w:p w14:paraId="48EFFC4E" w14:textId="77777777" w:rsidR="008915DD" w:rsidRDefault="008915DD" w:rsidP="00F77EE1">
      <w:pPr>
        <w:pStyle w:val="FootnoteText"/>
        <w:jc w:val="both"/>
      </w:pPr>
      <w:r>
        <w:rPr>
          <w:rStyle w:val="FootnoteReference"/>
        </w:rPr>
        <w:footnoteRef/>
      </w:r>
      <w:r>
        <w:t xml:space="preserve"> Rule 6, which governs notification of parties and service of application documents, provides as follows:</w:t>
      </w:r>
    </w:p>
    <w:p w14:paraId="39AF1A86" w14:textId="77777777" w:rsidR="008915DD" w:rsidRDefault="008915DD" w:rsidP="00F77EE1">
      <w:pPr>
        <w:pStyle w:val="FootnoteText"/>
        <w:jc w:val="both"/>
      </w:pPr>
      <w:r>
        <w:t>‘(a) The Applicant must notify the persons mentioned in column g of Table 2 by serving on them the documents required under column h of that Table.</w:t>
      </w:r>
    </w:p>
    <w:p w14:paraId="0D994686" w14:textId="77777777" w:rsidR="008915DD" w:rsidRDefault="008915DD" w:rsidP="00F77EE1">
      <w:pPr>
        <w:pStyle w:val="FootnoteText"/>
        <w:jc w:val="both"/>
        <w:rPr>
          <w:lang w:val="en-US"/>
        </w:rPr>
      </w:pPr>
      <w:r>
        <w:t>(b) The application documents filed with the Tribunal must include a proof of service for every person requiring notification.’</w:t>
      </w:r>
    </w:p>
  </w:footnote>
  <w:footnote w:id="11">
    <w:p w14:paraId="4C332CDD" w14:textId="77777777" w:rsidR="008915DD" w:rsidRDefault="008915DD" w:rsidP="00F77EE1">
      <w:pPr>
        <w:pStyle w:val="FootnoteText"/>
        <w:jc w:val="both"/>
      </w:pPr>
      <w:r>
        <w:rPr>
          <w:rStyle w:val="FootnoteReference"/>
        </w:rPr>
        <w:footnoteRef/>
      </w:r>
      <w:r>
        <w:t xml:space="preserve"> Rule 7, which deals with filing an application, states that:</w:t>
      </w:r>
    </w:p>
    <w:p w14:paraId="624CFE3D" w14:textId="77777777" w:rsidR="008915DD" w:rsidRDefault="008915DD" w:rsidP="00F77EE1">
      <w:pPr>
        <w:pStyle w:val="FootnoteText"/>
        <w:jc w:val="both"/>
      </w:pPr>
      <w:r>
        <w:t>‘</w:t>
      </w:r>
      <w:r>
        <w:rPr>
          <w:lang w:val="en-ZA"/>
        </w:rPr>
        <w:t>(1) Once notification of an application has been served in terms of rule 6, the application must be filed with the Registrar.</w:t>
      </w:r>
    </w:p>
    <w:p w14:paraId="3EC24FD7" w14:textId="77777777" w:rsidR="008915DD" w:rsidRDefault="008915DD" w:rsidP="00F77EE1">
      <w:pPr>
        <w:pStyle w:val="FootnoteText"/>
        <w:jc w:val="both"/>
        <w:rPr>
          <w:lang w:val="en-US"/>
        </w:rPr>
      </w:pPr>
      <w:r>
        <w:rPr>
          <w:lang w:val="en-ZA"/>
        </w:rPr>
        <w:t xml:space="preserve">(2) An application is filed by delivery of the relevant Form and all the documents listed in column e of Table 2, if applicable, or as required elsewhere in these rules, to the Registrar. </w:t>
      </w:r>
      <w:r>
        <w:t>(5) The filing of an application must comply with the general rules for delivery of documents in terms of these rules.’</w:t>
      </w:r>
    </w:p>
  </w:footnote>
  <w:footnote w:id="12">
    <w:p w14:paraId="3F7DB13D" w14:textId="764A9F96" w:rsidR="008915DD" w:rsidRDefault="008915DD" w:rsidP="00F77EE1">
      <w:pPr>
        <w:autoSpaceDE w:val="0"/>
        <w:autoSpaceDN w:val="0"/>
        <w:adjustRightInd w:val="0"/>
        <w:jc w:val="both"/>
        <w:rPr>
          <w:bCs/>
          <w:sz w:val="20"/>
          <w:szCs w:val="20"/>
          <w:lang w:val="en-US"/>
        </w:rPr>
      </w:pPr>
      <w:r>
        <w:rPr>
          <w:rStyle w:val="FootnoteReference"/>
          <w:sz w:val="20"/>
          <w:szCs w:val="20"/>
        </w:rPr>
        <w:footnoteRef/>
      </w:r>
      <w:r>
        <w:rPr>
          <w:sz w:val="20"/>
          <w:szCs w:val="20"/>
        </w:rPr>
        <w:t xml:space="preserve"> Rule </w:t>
      </w:r>
      <w:r>
        <w:rPr>
          <w:bCs/>
          <w:sz w:val="20"/>
          <w:szCs w:val="20"/>
          <w:lang w:val="en-US"/>
        </w:rPr>
        <w:t>13 (1), headed ‘Opposing an application or referralreferral’, provides that:</w:t>
      </w:r>
    </w:p>
    <w:p w14:paraId="2D6356B9" w14:textId="77777777" w:rsidR="008915DD" w:rsidRDefault="008915DD" w:rsidP="00F77EE1">
      <w:pPr>
        <w:pStyle w:val="FootnoteText"/>
        <w:jc w:val="both"/>
        <w:rPr>
          <w:lang w:val="en-US"/>
        </w:rPr>
      </w:pPr>
      <w:r>
        <w:rPr>
          <w:lang w:val="en-US"/>
        </w:rPr>
        <w:t>(‘(1) Any Respondent to an application or referral to the Tribunal may oppose the application or referral by serving an answering affidavit Any Respondent to anon-</w:t>
      </w:r>
    </w:p>
    <w:p w14:paraId="7A2C1D8E" w14:textId="77777777" w:rsidR="008915DD" w:rsidRDefault="008915DD" w:rsidP="00F77EE1">
      <w:pPr>
        <w:pStyle w:val="FootnoteText"/>
        <w:jc w:val="both"/>
        <w:rPr>
          <w:lang w:val="en-US"/>
        </w:rPr>
      </w:pPr>
      <w:r>
        <w:rPr>
          <w:lang w:val="en-US"/>
        </w:rPr>
        <w:t>(a) the Applicant; and</w:t>
      </w:r>
    </w:p>
    <w:p w14:paraId="54054B99" w14:textId="50C47144" w:rsidR="008915DD" w:rsidRDefault="008915DD" w:rsidP="00F77EE1">
      <w:pPr>
        <w:pStyle w:val="FootnoteText"/>
        <w:jc w:val="both"/>
        <w:rPr>
          <w:lang w:val="en-US"/>
        </w:rPr>
      </w:pPr>
      <w:r>
        <w:rPr>
          <w:lang w:val="en-US"/>
        </w:rPr>
        <w:t>(b) every other person on whom the application or referral to the Tribunalwas served.’</w:t>
      </w:r>
    </w:p>
  </w:footnote>
  <w:footnote w:id="13">
    <w:p w14:paraId="6A320FA3" w14:textId="77777777" w:rsidR="008915DD" w:rsidRDefault="008915DD" w:rsidP="00F77EE1">
      <w:pPr>
        <w:autoSpaceDE w:val="0"/>
        <w:autoSpaceDN w:val="0"/>
        <w:adjustRightInd w:val="0"/>
        <w:jc w:val="both"/>
        <w:rPr>
          <w:bCs/>
          <w:sz w:val="20"/>
          <w:szCs w:val="20"/>
          <w:lang w:val="en-US"/>
        </w:rPr>
      </w:pPr>
      <w:r>
        <w:rPr>
          <w:rStyle w:val="FootnoteReference"/>
          <w:sz w:val="20"/>
          <w:szCs w:val="20"/>
        </w:rPr>
        <w:footnoteRef/>
      </w:r>
      <w:r>
        <w:rPr>
          <w:sz w:val="20"/>
          <w:szCs w:val="20"/>
        </w:rPr>
        <w:t xml:space="preserve"> Rule </w:t>
      </w:r>
      <w:r>
        <w:rPr>
          <w:bCs/>
          <w:sz w:val="20"/>
          <w:szCs w:val="20"/>
          <w:lang w:val="en-US"/>
        </w:rPr>
        <w:t>14, dealing with the reply by the applicant provides that:</w:t>
      </w:r>
    </w:p>
    <w:p w14:paraId="1D8EBF00" w14:textId="77777777" w:rsidR="008915DD" w:rsidRDefault="008915DD" w:rsidP="00F77EE1">
      <w:pPr>
        <w:autoSpaceDE w:val="0"/>
        <w:autoSpaceDN w:val="0"/>
        <w:adjustRightInd w:val="0"/>
        <w:jc w:val="both"/>
        <w:rPr>
          <w:sz w:val="20"/>
          <w:szCs w:val="20"/>
          <w:lang w:val="en-US"/>
        </w:rPr>
      </w:pPr>
      <w:r>
        <w:rPr>
          <w:sz w:val="20"/>
          <w:szCs w:val="20"/>
          <w:lang w:val="en-US"/>
        </w:rPr>
        <w:t>‘(1) The Applicant may within 10 business days of being served with an answering affidavit, lodge</w:t>
      </w:r>
    </w:p>
    <w:p w14:paraId="0842343A" w14:textId="77777777" w:rsidR="008915DD" w:rsidRDefault="008915DD" w:rsidP="00F77EE1">
      <w:pPr>
        <w:autoSpaceDE w:val="0"/>
        <w:autoSpaceDN w:val="0"/>
        <w:adjustRightInd w:val="0"/>
        <w:jc w:val="both"/>
        <w:rPr>
          <w:lang w:val="en-US"/>
        </w:rPr>
      </w:pPr>
      <w:r>
        <w:rPr>
          <w:sz w:val="20"/>
          <w:szCs w:val="20"/>
          <w:lang w:val="en-US"/>
        </w:rPr>
        <w:t>a replying affidavit to any new issues raised in the answering affidavit, other than a point of law.’</w:t>
      </w:r>
    </w:p>
  </w:footnote>
  <w:footnote w:id="14">
    <w:p w14:paraId="0FE002CB" w14:textId="5BF5944F" w:rsidR="008915DD" w:rsidRDefault="008915DD" w:rsidP="0024448B">
      <w:pPr>
        <w:shd w:val="clear" w:color="auto" w:fill="FFFFFF"/>
        <w:jc w:val="both"/>
        <w:rPr>
          <w:sz w:val="20"/>
          <w:szCs w:val="20"/>
        </w:rPr>
      </w:pPr>
      <w:r>
        <w:rPr>
          <w:rStyle w:val="FootnoteReference"/>
          <w:sz w:val="20"/>
          <w:szCs w:val="20"/>
        </w:rPr>
        <w:footnoteRef/>
      </w:r>
      <w:r>
        <w:rPr>
          <w:sz w:val="20"/>
          <w:szCs w:val="20"/>
        </w:rPr>
        <w:t xml:space="preserve"> Rule 10 provides as follows:</w:t>
      </w:r>
    </w:p>
    <w:p w14:paraId="1C088B4D" w14:textId="1F7613BD" w:rsidR="008915DD" w:rsidRDefault="008915DD" w:rsidP="0024448B">
      <w:pPr>
        <w:shd w:val="clear" w:color="auto" w:fill="FFFFFF"/>
        <w:jc w:val="both"/>
        <w:rPr>
          <w:bCs/>
          <w:color w:val="242121"/>
          <w:sz w:val="20"/>
          <w:szCs w:val="20"/>
        </w:rPr>
      </w:pPr>
      <w:r>
        <w:rPr>
          <w:sz w:val="20"/>
          <w:szCs w:val="20"/>
        </w:rPr>
        <w:t>‘</w:t>
      </w:r>
      <w:r>
        <w:rPr>
          <w:bCs/>
          <w:color w:val="242121"/>
          <w:sz w:val="20"/>
          <w:szCs w:val="20"/>
        </w:rPr>
        <w:t>Applications in respect of matters not provided for in the rules</w:t>
      </w:r>
    </w:p>
    <w:p w14:paraId="0ED4DC99" w14:textId="77777777" w:rsidR="008915DD" w:rsidRDefault="008915DD" w:rsidP="001D0444">
      <w:pPr>
        <w:shd w:val="clear" w:color="auto" w:fill="FFFFFF"/>
        <w:jc w:val="both"/>
        <w:rPr>
          <w:color w:val="242121"/>
          <w:sz w:val="20"/>
          <w:szCs w:val="20"/>
        </w:rPr>
      </w:pPr>
      <w:r>
        <w:rPr>
          <w:color w:val="242121"/>
          <w:sz w:val="20"/>
          <w:szCs w:val="20"/>
        </w:rPr>
        <w:t>(1) A person wishing to bring before the Tribunal a matter which is not listed in rule 3, or otherwise provided for in these rules, must first apply to the High Court for a declaratory order confirming the Tribunal’s jurisdiction—</w:t>
      </w:r>
    </w:p>
    <w:p w14:paraId="171F81F9" w14:textId="77777777" w:rsidR="008915DD" w:rsidRDefault="008915DD" w:rsidP="001D0444">
      <w:pPr>
        <w:pStyle w:val="NormalWeb"/>
        <w:shd w:val="clear" w:color="auto" w:fill="FFFFFF"/>
        <w:spacing w:before="0" w:beforeAutospacing="0" w:after="0" w:afterAutospacing="0"/>
        <w:jc w:val="both"/>
        <w:rPr>
          <w:color w:val="242121"/>
          <w:sz w:val="20"/>
          <w:szCs w:val="20"/>
        </w:rPr>
      </w:pPr>
      <w:r w:rsidRPr="00EB3944">
        <w:rPr>
          <w:i/>
          <w:iCs/>
          <w:color w:val="242121"/>
          <w:sz w:val="20"/>
          <w:szCs w:val="20"/>
        </w:rPr>
        <w:t>(a)</w:t>
      </w:r>
      <w:r>
        <w:rPr>
          <w:color w:val="242121"/>
          <w:sz w:val="20"/>
          <w:szCs w:val="20"/>
        </w:rPr>
        <w:t xml:space="preserve"> to deal with the matter;</w:t>
      </w:r>
    </w:p>
    <w:p w14:paraId="2EC9DD43" w14:textId="0EA8EA20" w:rsidR="008915DD" w:rsidRDefault="008915DD" w:rsidP="001D0444">
      <w:pPr>
        <w:pStyle w:val="NormalWeb"/>
        <w:shd w:val="clear" w:color="auto" w:fill="FFFFFF"/>
        <w:spacing w:before="0" w:beforeAutospacing="0" w:after="0" w:afterAutospacing="0"/>
        <w:jc w:val="both"/>
        <w:rPr>
          <w:sz w:val="20"/>
          <w:szCs w:val="20"/>
        </w:rPr>
      </w:pPr>
      <w:r w:rsidRPr="00EB3944">
        <w:rPr>
          <w:i/>
          <w:iCs/>
          <w:color w:val="242121"/>
          <w:sz w:val="20"/>
          <w:szCs w:val="20"/>
        </w:rPr>
        <w:t>(b)</w:t>
      </w:r>
      <w:r>
        <w:rPr>
          <w:color w:val="242121"/>
          <w:sz w:val="20"/>
          <w:szCs w:val="20"/>
        </w:rPr>
        <w:t xml:space="preserve"> to grant the order to be sought from the Tribunal.’</w:t>
      </w:r>
    </w:p>
  </w:footnote>
  <w:footnote w:id="15">
    <w:p w14:paraId="3DBCA437" w14:textId="77777777" w:rsidR="008915DD" w:rsidRDefault="008915DD" w:rsidP="0012413C">
      <w:pPr>
        <w:jc w:val="both"/>
        <w:rPr>
          <w:sz w:val="20"/>
          <w:szCs w:val="20"/>
          <w:lang w:val="en-US"/>
        </w:rPr>
      </w:pPr>
      <w:r>
        <w:rPr>
          <w:rStyle w:val="FootnoteReference"/>
          <w:sz w:val="20"/>
          <w:szCs w:val="20"/>
        </w:rPr>
        <w:footnoteRef/>
      </w:r>
      <w:r>
        <w:rPr>
          <w:sz w:val="20"/>
          <w:szCs w:val="20"/>
        </w:rPr>
        <w:t xml:space="preserve"> </w:t>
      </w:r>
      <w:r>
        <w:rPr>
          <w:i/>
          <w:iCs/>
          <w:sz w:val="20"/>
          <w:szCs w:val="20"/>
          <w:shd w:val="clear" w:color="auto" w:fill="FFFFFF"/>
        </w:rPr>
        <w:t>Lewis Stores (Pty) Ltd v Summit Financial Partners (Pty) Ltd and Others</w:t>
      </w:r>
      <w:r>
        <w:rPr>
          <w:sz w:val="20"/>
          <w:szCs w:val="20"/>
          <w:shd w:val="clear" w:color="auto" w:fill="FFFFFF"/>
        </w:rPr>
        <w:t> </w:t>
      </w:r>
      <w:r>
        <w:rPr>
          <w:sz w:val="20"/>
          <w:szCs w:val="20"/>
        </w:rPr>
        <w:t>[2021] ZASCA 91; 2022 (1) SA 377 (SCA) (</w:t>
      </w:r>
      <w:r>
        <w:rPr>
          <w:i/>
          <w:sz w:val="20"/>
          <w:szCs w:val="20"/>
        </w:rPr>
        <w:t>Lewis</w:t>
      </w:r>
      <w:r>
        <w:rPr>
          <w:sz w:val="20"/>
          <w:szCs w:val="20"/>
        </w:rPr>
        <w:t>)</w:t>
      </w:r>
      <w:r>
        <w:rPr>
          <w:sz w:val="20"/>
          <w:szCs w:val="20"/>
          <w:shd w:val="clear" w:color="auto" w:fill="FFFFFF"/>
        </w:rPr>
        <w:t xml:space="preserve"> para 15; see also s 139</w:t>
      </w:r>
      <w:r>
        <w:rPr>
          <w:i/>
          <w:sz w:val="20"/>
          <w:szCs w:val="20"/>
          <w:shd w:val="clear" w:color="auto" w:fill="FFFFFF"/>
        </w:rPr>
        <w:t>(c)</w:t>
      </w:r>
      <w:r>
        <w:rPr>
          <w:sz w:val="20"/>
          <w:szCs w:val="20"/>
          <w:shd w:val="clear" w:color="auto" w:fill="FFFFFF"/>
        </w:rPr>
        <w:t xml:space="preserve"> and 142</w:t>
      </w:r>
      <w:r>
        <w:rPr>
          <w:i/>
          <w:sz w:val="20"/>
          <w:szCs w:val="20"/>
          <w:shd w:val="clear" w:color="auto" w:fill="FFFFFF"/>
        </w:rPr>
        <w:t>(b)</w:t>
      </w:r>
      <w:r>
        <w:rPr>
          <w:sz w:val="20"/>
          <w:szCs w:val="20"/>
          <w:shd w:val="clear" w:color="auto" w:fill="FFFFFF"/>
        </w:rPr>
        <w:t xml:space="preserve"> of the Act.</w:t>
      </w:r>
    </w:p>
  </w:footnote>
  <w:footnote w:id="16">
    <w:p w14:paraId="08F4B51D" w14:textId="77777777" w:rsidR="008915DD" w:rsidRDefault="008915DD" w:rsidP="0012413C">
      <w:pPr>
        <w:pStyle w:val="FootnoteText"/>
        <w:jc w:val="both"/>
        <w:rPr>
          <w:lang w:val="en-ZA"/>
        </w:rPr>
      </w:pPr>
      <w:r>
        <w:rPr>
          <w:rStyle w:val="FootnoteReference"/>
        </w:rPr>
        <w:footnoteRef/>
      </w:r>
      <w:r>
        <w:t xml:space="preserve"> </w:t>
      </w:r>
      <w:r>
        <w:rPr>
          <w:lang w:val="en-ZA"/>
        </w:rPr>
        <w:t>Section 142</w:t>
      </w:r>
      <w:r>
        <w:rPr>
          <w:i/>
          <w:lang w:val="en-ZA"/>
        </w:rPr>
        <w:t>(a)</w:t>
      </w:r>
      <w:r>
        <w:rPr>
          <w:lang w:val="en-ZA"/>
        </w:rPr>
        <w:t>-</w:t>
      </w:r>
      <w:r>
        <w:rPr>
          <w:i/>
          <w:lang w:val="en-ZA"/>
        </w:rPr>
        <w:t>(d)</w:t>
      </w:r>
      <w:r>
        <w:rPr>
          <w:lang w:val="en-ZA"/>
        </w:rPr>
        <w:t xml:space="preserve"> of the Act.</w:t>
      </w:r>
    </w:p>
  </w:footnote>
  <w:footnote w:id="17">
    <w:p w14:paraId="353466BA" w14:textId="5BA31D05" w:rsidR="008915DD" w:rsidRPr="00F5616D" w:rsidRDefault="008915DD" w:rsidP="00F5616D">
      <w:pPr>
        <w:pStyle w:val="FootnoteText"/>
        <w:jc w:val="both"/>
        <w:rPr>
          <w:lang w:val="en-ZA"/>
        </w:rPr>
      </w:pPr>
      <w:r>
        <w:rPr>
          <w:rStyle w:val="FootnoteReference"/>
        </w:rPr>
        <w:footnoteRef/>
      </w:r>
      <w:r>
        <w:t xml:space="preserve"> </w:t>
      </w:r>
      <w:r w:rsidRPr="00773EC3">
        <w:rPr>
          <w:i/>
        </w:rPr>
        <w:t>The Competition Commission v South African Airways (Pty) Ltd</w:t>
      </w:r>
      <w:r w:rsidRPr="00773EC3">
        <w:t xml:space="preserve"> [2001] ZACT 44</w:t>
      </w:r>
      <w:r>
        <w:t xml:space="preserve"> (</w:t>
      </w:r>
      <w:r w:rsidRPr="004E775F">
        <w:rPr>
          <w:i/>
        </w:rPr>
        <w:t>SAA</w:t>
      </w:r>
      <w:r>
        <w:t>).</w:t>
      </w:r>
    </w:p>
  </w:footnote>
  <w:footnote w:id="18">
    <w:p w14:paraId="2890CA36" w14:textId="7FF84825" w:rsidR="008915DD" w:rsidRDefault="008915DD" w:rsidP="0012413C">
      <w:pPr>
        <w:pStyle w:val="FootnoteText"/>
        <w:ind w:left="142" w:hanging="142"/>
        <w:jc w:val="both"/>
        <w:rPr>
          <w:lang w:val="en-US"/>
        </w:rPr>
      </w:pPr>
      <w:r>
        <w:rPr>
          <w:rStyle w:val="FootnoteReference"/>
        </w:rPr>
        <w:footnoteRef/>
      </w:r>
      <w:r>
        <w:t xml:space="preserve"> </w:t>
      </w:r>
      <w:r>
        <w:rPr>
          <w:i/>
        </w:rPr>
        <w:t>SAA</w:t>
      </w:r>
      <w:r>
        <w:t xml:space="preserve"> at 5-6. </w:t>
      </w:r>
    </w:p>
  </w:footnote>
  <w:footnote w:id="19">
    <w:p w14:paraId="183CE947" w14:textId="0A03BCF9" w:rsidR="008915DD" w:rsidRDefault="008915DD">
      <w:pPr>
        <w:pStyle w:val="FootnoteText"/>
      </w:pPr>
      <w:r>
        <w:rPr>
          <w:rStyle w:val="FootnoteReference"/>
        </w:rPr>
        <w:footnoteRef/>
      </w:r>
      <w:r>
        <w:t xml:space="preserve"> Section 106 (2) of the Act provides that:</w:t>
      </w:r>
    </w:p>
    <w:p w14:paraId="0D44DB24" w14:textId="4C755EC5" w:rsidR="008915DD" w:rsidRDefault="008915DD">
      <w:pPr>
        <w:pStyle w:val="FootnoteText"/>
      </w:pPr>
      <w:r>
        <w:t xml:space="preserve">‘Despite subsection (l), a credit provider must not offer or demand that the consumer purchase or maintain insurance that is- </w:t>
      </w:r>
    </w:p>
    <w:p w14:paraId="6C2668BA" w14:textId="77777777" w:rsidR="008915DD" w:rsidRDefault="008915DD">
      <w:pPr>
        <w:pStyle w:val="FootnoteText"/>
      </w:pPr>
      <w:r>
        <w:t xml:space="preserve">(a) unreasonable; or </w:t>
      </w:r>
    </w:p>
    <w:p w14:paraId="5958832D" w14:textId="7F541761" w:rsidR="008915DD" w:rsidRPr="00E67B06" w:rsidRDefault="008915DD">
      <w:pPr>
        <w:pStyle w:val="FootnoteText"/>
      </w:pPr>
      <w:r>
        <w:t>(b) at an unreasonable cost to the consumer, having regard to the actual risk and liabilities involved in the credit agreement.’</w:t>
      </w:r>
    </w:p>
  </w:footnote>
  <w:footnote w:id="20">
    <w:p w14:paraId="567BB0ED" w14:textId="417810FB" w:rsidR="008915DD" w:rsidRPr="006B3F07" w:rsidRDefault="008915DD">
      <w:pPr>
        <w:pStyle w:val="FootnoteText"/>
        <w:jc w:val="both"/>
        <w:rPr>
          <w:lang w:val="en-US"/>
        </w:rPr>
      </w:pPr>
      <w:r w:rsidRPr="0012413C">
        <w:rPr>
          <w:rStyle w:val="FootnoteReference"/>
        </w:rPr>
        <w:footnoteRef/>
      </w:r>
      <w:r w:rsidRPr="0012413C">
        <w:t xml:space="preserve"> </w:t>
      </w:r>
      <w:r w:rsidRPr="0012413C">
        <w:rPr>
          <w:i/>
          <w:color w:val="222222"/>
          <w:shd w:val="clear" w:color="auto" w:fill="FFFFFF"/>
        </w:rPr>
        <w:t>Head of Department of Education Limpopo Province v Settlers Agricultural High School and Others</w:t>
      </w:r>
      <w:r w:rsidRPr="006B1F1E">
        <w:rPr>
          <w:color w:val="222222"/>
          <w:shd w:val="clear" w:color="auto" w:fill="FFFFFF"/>
        </w:rPr>
        <w:t xml:space="preserve"> [2003] ZACC 15; 2003 (11) BCLR 1212 (CC) para 11; </w:t>
      </w:r>
      <w:r w:rsidRPr="006B3F07">
        <w:rPr>
          <w:i/>
        </w:rPr>
        <w:t xml:space="preserve">Van Wyk v Unitas Hospital and Others </w:t>
      </w:r>
      <w:r w:rsidRPr="006B3F07">
        <w:t>[2007] ZACC 24; 2008 (2) SA 472 (CC)</w:t>
      </w:r>
      <w:r w:rsidRPr="006B3F07">
        <w:rPr>
          <w:i/>
        </w:rPr>
        <w:t>;</w:t>
      </w:r>
      <w:r w:rsidRPr="006B3F07">
        <w:t xml:space="preserve"> 2008 (4) BCLR 442 (CC) para 20.</w:t>
      </w:r>
    </w:p>
  </w:footnote>
  <w:footnote w:id="21">
    <w:p w14:paraId="66058A8F" w14:textId="1DED8B6B" w:rsidR="008915DD" w:rsidRPr="006B3F07" w:rsidRDefault="008915DD">
      <w:pPr>
        <w:pStyle w:val="FootnoteText"/>
        <w:jc w:val="both"/>
        <w:rPr>
          <w:lang w:val="en-US"/>
        </w:rPr>
      </w:pPr>
      <w:r w:rsidRPr="0012413C">
        <w:rPr>
          <w:rStyle w:val="FootnoteReference"/>
        </w:rPr>
        <w:footnoteRef/>
      </w:r>
      <w:r w:rsidRPr="0012413C">
        <w:t xml:space="preserve"> </w:t>
      </w:r>
      <w:r w:rsidRPr="00F5616D">
        <w:rPr>
          <w:i/>
        </w:rPr>
        <w:t xml:space="preserve">Competition Commission of South Africa v Pickfords Removals SA (Pty) Limited </w:t>
      </w:r>
      <w:r w:rsidRPr="0012413C">
        <w:t>[2020] ZACC 14; 2020 (10) BCLR 1204 (CC); 2021 (3) SA 1 (CC); [2020] 1 CPLR 1 (CC).</w:t>
      </w:r>
    </w:p>
  </w:footnote>
  <w:footnote w:id="22">
    <w:p w14:paraId="30EE69C0" w14:textId="3A5DD17D" w:rsidR="008915DD" w:rsidRPr="006B1F1E" w:rsidRDefault="008915DD" w:rsidP="004E775F">
      <w:pPr>
        <w:jc w:val="both"/>
        <w:rPr>
          <w:sz w:val="20"/>
          <w:szCs w:val="20"/>
          <w:lang w:val="en-US"/>
        </w:rPr>
      </w:pPr>
      <w:r w:rsidRPr="005C0790">
        <w:rPr>
          <w:rStyle w:val="FootnoteReference"/>
        </w:rPr>
        <w:footnoteRef/>
      </w:r>
      <w:r w:rsidRPr="0012413C">
        <w:rPr>
          <w:sz w:val="20"/>
          <w:szCs w:val="20"/>
        </w:rPr>
        <w:t xml:space="preserve"> </w:t>
      </w:r>
      <w:r w:rsidRPr="0012413C">
        <w:rPr>
          <w:bCs/>
          <w:i/>
          <w:color w:val="000000"/>
          <w:sz w:val="20"/>
          <w:szCs w:val="20"/>
        </w:rPr>
        <w:t>PAF v SCF</w:t>
      </w:r>
      <w:r w:rsidRPr="006B1F1E">
        <w:rPr>
          <w:bCs/>
          <w:color w:val="000000"/>
          <w:sz w:val="20"/>
          <w:szCs w:val="20"/>
        </w:rPr>
        <w:t xml:space="preserve"> [2022] ZASCA 101;</w:t>
      </w:r>
      <w:r>
        <w:rPr>
          <w:bCs/>
          <w:color w:val="000000"/>
          <w:sz w:val="20"/>
          <w:szCs w:val="20"/>
        </w:rPr>
        <w:t xml:space="preserve"> </w:t>
      </w:r>
      <w:r w:rsidRPr="006B1F1E">
        <w:rPr>
          <w:bCs/>
          <w:color w:val="000000"/>
          <w:sz w:val="20"/>
          <w:szCs w:val="20"/>
        </w:rPr>
        <w:t xml:space="preserve">2022 (6) SA 162 (SCA) at para 15, citing </w:t>
      </w:r>
      <w:r w:rsidRPr="006B3F07">
        <w:rPr>
          <w:bCs/>
          <w:i/>
          <w:color w:val="000000"/>
          <w:sz w:val="20"/>
          <w:szCs w:val="20"/>
        </w:rPr>
        <w:t>Melane v Santam Insurance Company Ltd</w:t>
      </w:r>
      <w:r w:rsidRPr="0012413C">
        <w:rPr>
          <w:bCs/>
          <w:color w:val="000000"/>
          <w:sz w:val="20"/>
          <w:szCs w:val="20"/>
        </w:rPr>
        <w:t xml:space="preserve"> 1962</w:t>
      </w:r>
      <w:r>
        <w:rPr>
          <w:bCs/>
          <w:color w:val="000000"/>
          <w:sz w:val="20"/>
          <w:szCs w:val="20"/>
        </w:rPr>
        <w:t xml:space="preserve"> </w:t>
      </w:r>
      <w:r w:rsidRPr="0012413C">
        <w:rPr>
          <w:bCs/>
          <w:color w:val="000000"/>
          <w:sz w:val="20"/>
          <w:szCs w:val="20"/>
        </w:rPr>
        <w:t xml:space="preserve">(4) SA 531 </w:t>
      </w:r>
      <w:r>
        <w:rPr>
          <w:bCs/>
          <w:color w:val="000000"/>
          <w:sz w:val="20"/>
          <w:szCs w:val="20"/>
        </w:rPr>
        <w:t>(</w:t>
      </w:r>
      <w:r w:rsidRPr="0012413C">
        <w:rPr>
          <w:bCs/>
          <w:color w:val="000000"/>
          <w:sz w:val="20"/>
          <w:szCs w:val="20"/>
        </w:rPr>
        <w:t>A</w:t>
      </w:r>
      <w:r>
        <w:rPr>
          <w:bCs/>
          <w:color w:val="000000"/>
          <w:sz w:val="20"/>
          <w:szCs w:val="20"/>
        </w:rPr>
        <w:t>)</w:t>
      </w:r>
      <w:r w:rsidRPr="0012413C">
        <w:rPr>
          <w:bCs/>
          <w:color w:val="000000"/>
          <w:sz w:val="20"/>
          <w:szCs w:val="20"/>
        </w:rPr>
        <w:t xml:space="preserve"> at 532C-F.</w:t>
      </w:r>
    </w:p>
  </w:footnote>
  <w:footnote w:id="23">
    <w:p w14:paraId="283117ED" w14:textId="1AB03CC3" w:rsidR="008915DD" w:rsidRPr="008C5B84" w:rsidRDefault="008915DD" w:rsidP="004E775F">
      <w:pPr>
        <w:pStyle w:val="FootnoteText"/>
        <w:jc w:val="both"/>
        <w:rPr>
          <w:lang w:val="en-ZA"/>
        </w:rPr>
      </w:pPr>
      <w:r w:rsidRPr="0012413C">
        <w:rPr>
          <w:rStyle w:val="FootnoteReference"/>
        </w:rPr>
        <w:footnoteRef/>
      </w:r>
      <w:r w:rsidRPr="0012413C">
        <w:t xml:space="preserve"> </w:t>
      </w:r>
      <w:r w:rsidRPr="0012413C">
        <w:rPr>
          <w:lang w:val="en-ZA"/>
        </w:rPr>
        <w:t>Ibid.</w:t>
      </w:r>
    </w:p>
  </w:footnote>
  <w:footnote w:id="24">
    <w:p w14:paraId="4315F698" w14:textId="6067367F" w:rsidR="008915DD" w:rsidRPr="00FB2B39" w:rsidRDefault="008915DD" w:rsidP="005C0790">
      <w:pPr>
        <w:pStyle w:val="CommentText"/>
        <w:jc w:val="both"/>
        <w:rPr>
          <w:lang w:val="en-US"/>
        </w:rPr>
      </w:pPr>
      <w:r w:rsidRPr="00723EF0">
        <w:rPr>
          <w:rStyle w:val="FootnoteReference"/>
        </w:rPr>
        <w:footnoteRef/>
      </w:r>
      <w:r w:rsidRPr="00723EF0">
        <w:t xml:space="preserve"> </w:t>
      </w:r>
      <w:r w:rsidRPr="00723EF0">
        <w:rPr>
          <w:i/>
          <w:lang w:val="en-ZA"/>
        </w:rPr>
        <w:t>Lieutenant Colonel KB O'Brien NO v The Minister of Defence and Military Veterans and Others</w:t>
      </w:r>
      <w:r w:rsidRPr="00723EF0">
        <w:rPr>
          <w:lang w:val="en-ZA"/>
        </w:rPr>
        <w:t xml:space="preserve"> [2022] ZASCA 178; [2023] 1 All SA 341 (SCA) (</w:t>
      </w:r>
      <w:r w:rsidRPr="00FB2B39">
        <w:rPr>
          <w:i/>
          <w:lang w:val="en-ZA"/>
        </w:rPr>
        <w:t>O’Brie</w:t>
      </w:r>
      <w:r w:rsidRPr="00FB2B39">
        <w:rPr>
          <w:lang w:val="en-ZA"/>
        </w:rPr>
        <w:t>n).</w:t>
      </w:r>
    </w:p>
  </w:footnote>
  <w:footnote w:id="25">
    <w:p w14:paraId="3CA1F5B1" w14:textId="77777777" w:rsidR="008915DD" w:rsidRPr="00723EF0" w:rsidRDefault="008915DD" w:rsidP="005C0790">
      <w:pPr>
        <w:pStyle w:val="FootnoteText"/>
        <w:jc w:val="both"/>
        <w:rPr>
          <w:lang w:val="en-US"/>
        </w:rPr>
      </w:pPr>
      <w:r w:rsidRPr="00723EF0">
        <w:rPr>
          <w:rStyle w:val="FootnoteReference"/>
        </w:rPr>
        <w:footnoteRef/>
      </w:r>
      <w:r w:rsidRPr="00723EF0">
        <w:t xml:space="preserve"> Ibid para 29.</w:t>
      </w:r>
    </w:p>
  </w:footnote>
  <w:footnote w:id="26">
    <w:p w14:paraId="642A12AB" w14:textId="72F49E83" w:rsidR="008915DD" w:rsidRPr="00723EF0" w:rsidRDefault="008915DD" w:rsidP="0012413C">
      <w:pPr>
        <w:pStyle w:val="FootnoteText"/>
        <w:jc w:val="both"/>
        <w:rPr>
          <w:lang w:val="en-US"/>
        </w:rPr>
      </w:pPr>
      <w:r w:rsidRPr="00723EF0">
        <w:rPr>
          <w:rStyle w:val="FootnoteReference"/>
          <w:i/>
        </w:rPr>
        <w:footnoteRef/>
      </w:r>
      <w:r w:rsidRPr="00723EF0">
        <w:rPr>
          <w:i/>
        </w:rPr>
        <w:t xml:space="preserve"> </w:t>
      </w:r>
      <w:r w:rsidRPr="00723EF0">
        <w:t>Ibid para 30.</w:t>
      </w:r>
    </w:p>
  </w:footnote>
  <w:footnote w:id="27">
    <w:p w14:paraId="2C5B644A" w14:textId="72A28D9C" w:rsidR="008915DD" w:rsidRDefault="008915DD" w:rsidP="005C0790">
      <w:pPr>
        <w:jc w:val="both"/>
        <w:rPr>
          <w:lang w:val="en-US"/>
        </w:rPr>
      </w:pPr>
      <w:r w:rsidRPr="004E775F">
        <w:rPr>
          <w:rStyle w:val="FootnoteReference"/>
          <w:sz w:val="20"/>
          <w:szCs w:val="20"/>
        </w:rPr>
        <w:footnoteRef/>
      </w:r>
      <w:r w:rsidRPr="004E775F">
        <w:rPr>
          <w:sz w:val="20"/>
          <w:szCs w:val="20"/>
        </w:rPr>
        <w:t xml:space="preserve"> </w:t>
      </w:r>
      <w:r w:rsidRPr="00723EF0">
        <w:rPr>
          <w:i/>
          <w:iCs/>
          <w:sz w:val="20"/>
          <w:szCs w:val="20"/>
          <w:shd w:val="clear" w:color="auto" w:fill="FFFFFF"/>
        </w:rPr>
        <w:t>Florence v Government of the Republic of South Africa</w:t>
      </w:r>
      <w:r w:rsidRPr="00723EF0">
        <w:rPr>
          <w:sz w:val="20"/>
          <w:szCs w:val="20"/>
          <w:shd w:val="clear" w:color="auto" w:fill="FFFFFF"/>
        </w:rPr>
        <w:t> </w:t>
      </w:r>
      <w:r w:rsidRPr="00723EF0">
        <w:rPr>
          <w:sz w:val="20"/>
          <w:szCs w:val="20"/>
        </w:rPr>
        <w:t>[2014] ZACC 22</w:t>
      </w:r>
      <w:r w:rsidRPr="00723EF0">
        <w:rPr>
          <w:sz w:val="20"/>
          <w:szCs w:val="20"/>
          <w:shd w:val="clear" w:color="auto" w:fill="FFFFFF"/>
        </w:rPr>
        <w:t>; </w:t>
      </w:r>
      <w:r w:rsidRPr="00723EF0">
        <w:rPr>
          <w:sz w:val="20"/>
          <w:szCs w:val="20"/>
        </w:rPr>
        <w:t>2014 (6) SA 456</w:t>
      </w:r>
      <w:r w:rsidRPr="00723EF0">
        <w:rPr>
          <w:sz w:val="20"/>
          <w:szCs w:val="20"/>
          <w:shd w:val="clear" w:color="auto" w:fill="FFFFFF"/>
        </w:rPr>
        <w:t> (CC); 2014 (10) BCLR 1137 (CC) para 113.</w:t>
      </w:r>
      <w:r>
        <w:rPr>
          <w:rFonts w:eastAsiaTheme="minorHAnsi"/>
          <w:sz w:val="20"/>
          <w:szCs w:val="20"/>
          <w:lang w:val="en-US"/>
        </w:rPr>
        <w:t xml:space="preserve"> </w:t>
      </w:r>
    </w:p>
  </w:footnote>
  <w:footnote w:id="28">
    <w:p w14:paraId="126FFA8E" w14:textId="343FC815" w:rsidR="008915DD" w:rsidRPr="00F246E5" w:rsidRDefault="008915DD" w:rsidP="005C0790">
      <w:pPr>
        <w:pStyle w:val="Heading2"/>
        <w:shd w:val="clear" w:color="auto" w:fill="FFFFFF"/>
        <w:spacing w:before="0"/>
        <w:rPr>
          <w:lang w:val="en-US"/>
        </w:rPr>
      </w:pPr>
      <w:r w:rsidRPr="005C0790">
        <w:rPr>
          <w:rStyle w:val="FootnoteReference"/>
          <w:rFonts w:ascii="Times New Roman" w:hAnsi="Times New Roman"/>
          <w:color w:val="auto"/>
          <w:sz w:val="20"/>
        </w:rPr>
        <w:footnoteRef/>
      </w:r>
      <w:r w:rsidRPr="005C0790">
        <w:rPr>
          <w:rFonts w:ascii="Times New Roman" w:hAnsi="Times New Roman"/>
          <w:color w:val="auto"/>
          <w:sz w:val="20"/>
        </w:rPr>
        <w:t xml:space="preserve"> </w:t>
      </w:r>
      <w:r w:rsidRPr="00C42D6A">
        <w:rPr>
          <w:rFonts w:ascii="Times New Roman" w:hAnsi="Times New Roman" w:cs="Times New Roman"/>
          <w:bCs/>
          <w:i/>
          <w:color w:val="auto"/>
          <w:sz w:val="20"/>
          <w:szCs w:val="20"/>
        </w:rPr>
        <w:t xml:space="preserve">International Trade Administration Commission v SCAW South Africa (Pty) Ltd </w:t>
      </w:r>
      <w:r w:rsidRPr="00F246E5">
        <w:rPr>
          <w:rFonts w:ascii="Times New Roman" w:hAnsi="Times New Roman" w:cs="Times New Roman"/>
          <w:bCs/>
          <w:i/>
          <w:color w:val="auto"/>
          <w:sz w:val="20"/>
          <w:szCs w:val="20"/>
        </w:rPr>
        <w:t>(</w:t>
      </w:r>
      <w:r w:rsidRPr="00F246E5">
        <w:rPr>
          <w:rFonts w:ascii="Times New Roman" w:hAnsi="Times New Roman" w:cs="Times New Roman"/>
          <w:bCs/>
          <w:color w:val="auto"/>
          <w:sz w:val="20"/>
          <w:szCs w:val="20"/>
        </w:rPr>
        <w:t xml:space="preserve">CCT 59/09) </w:t>
      </w:r>
      <w:r w:rsidRPr="00C42D6A">
        <w:rPr>
          <w:rFonts w:ascii="Times New Roman" w:hAnsi="Times New Roman" w:cs="Times New Roman"/>
          <w:bCs/>
          <w:color w:val="auto"/>
          <w:sz w:val="20"/>
          <w:szCs w:val="20"/>
        </w:rPr>
        <w:t xml:space="preserve">[2010] </w:t>
      </w:r>
      <w:r w:rsidRPr="005C0790">
        <w:rPr>
          <w:color w:val="auto"/>
          <w:sz w:val="20"/>
        </w:rPr>
        <w:t>ZACC 6; 2012 (4) SA 618 (CC); 2010 (5) BCLR 457 (CC</w:t>
      </w:r>
      <w:r w:rsidRPr="00F246E5">
        <w:rPr>
          <w:rFonts w:ascii="Times New Roman" w:hAnsi="Times New Roman" w:cs="Times New Roman"/>
          <w:bCs/>
          <w:color w:val="64473A"/>
          <w:sz w:val="20"/>
          <w:szCs w:val="20"/>
        </w:rPr>
        <w:t>) (9 March 2010)</w:t>
      </w:r>
      <w:r w:rsidRPr="00F5616D">
        <w:rPr>
          <w:bCs/>
          <w:color w:val="auto"/>
          <w:sz w:val="20"/>
          <w:szCs w:val="20"/>
        </w:rPr>
        <w:t>)</w:t>
      </w:r>
      <w:r>
        <w:rPr>
          <w:rFonts w:ascii="Times New Roman" w:hAnsi="Times New Roman" w:cs="Times New Roman"/>
          <w:bCs/>
          <w:color w:val="auto"/>
          <w:sz w:val="20"/>
          <w:szCs w:val="20"/>
        </w:rPr>
        <w:t>.</w:t>
      </w:r>
      <w:r w:rsidRPr="00F5616D">
        <w:rPr>
          <w:bCs/>
          <w:color w:val="auto"/>
          <w:sz w:val="20"/>
          <w:szCs w:val="20"/>
        </w:rPr>
        <w:t xml:space="preserve"> </w:t>
      </w:r>
    </w:p>
  </w:footnote>
  <w:footnote w:id="29">
    <w:p w14:paraId="507C3F53" w14:textId="611F93F4" w:rsidR="008915DD" w:rsidRPr="00082342" w:rsidRDefault="008915DD" w:rsidP="0012413C">
      <w:pPr>
        <w:pStyle w:val="FootnoteText"/>
        <w:jc w:val="both"/>
        <w:rPr>
          <w:lang w:val="en-US"/>
        </w:rPr>
      </w:pPr>
      <w:r>
        <w:rPr>
          <w:rStyle w:val="FootnoteReference"/>
        </w:rPr>
        <w:footnoteRef/>
      </w:r>
      <w:r>
        <w:t xml:space="preserve"> </w:t>
      </w:r>
      <w:r w:rsidRPr="008C5B84">
        <w:rPr>
          <w:i/>
          <w:lang w:val="en-US"/>
        </w:rPr>
        <w:t>Lewis</w:t>
      </w:r>
      <w:r>
        <w:rPr>
          <w:lang w:val="en-US"/>
        </w:rPr>
        <w:t xml:space="preserve"> para 19.</w:t>
      </w:r>
    </w:p>
  </w:footnote>
  <w:footnote w:id="30">
    <w:p w14:paraId="24CD638A" w14:textId="77777777" w:rsidR="008915DD" w:rsidRPr="003039E5" w:rsidRDefault="008915DD" w:rsidP="00AE497E">
      <w:pPr>
        <w:pStyle w:val="FootnoteText"/>
        <w:jc w:val="both"/>
      </w:pPr>
      <w:r w:rsidRPr="003039E5">
        <w:rPr>
          <w:rStyle w:val="FootnoteReference"/>
        </w:rPr>
        <w:footnoteRef/>
      </w:r>
      <w:r w:rsidRPr="003039E5">
        <w:t xml:space="preserve"> </w:t>
      </w:r>
      <w:r w:rsidRPr="003039E5">
        <w:rPr>
          <w:lang w:val="en-US"/>
        </w:rPr>
        <w:t>The National Credit Regulations 2006.</w:t>
      </w:r>
    </w:p>
  </w:footnote>
  <w:footnote w:id="31">
    <w:p w14:paraId="76706232" w14:textId="77777777" w:rsidR="008915DD" w:rsidRPr="003039E5" w:rsidRDefault="008915DD" w:rsidP="004E775F">
      <w:pPr>
        <w:pStyle w:val="FootnoteText"/>
        <w:jc w:val="both"/>
        <w:rPr>
          <w:i/>
          <w:iCs/>
          <w:lang w:val="en-US"/>
        </w:rPr>
      </w:pPr>
      <w:r w:rsidRPr="003039E5">
        <w:rPr>
          <w:rStyle w:val="FootnoteReference"/>
        </w:rPr>
        <w:footnoteRef/>
      </w:r>
      <w:r w:rsidRPr="003039E5">
        <w:t xml:space="preserve"> </w:t>
      </w:r>
      <w:r w:rsidRPr="003039E5">
        <w:rPr>
          <w:i/>
          <w:iCs/>
        </w:rPr>
        <w:t>Master of the High Court Northern Gauteng High Court, Pretoria v Motala NO and Others</w:t>
      </w:r>
      <w:r w:rsidRPr="003039E5">
        <w:t xml:space="preserve"> [2011] ZASCA 238; 2012 (3) SA 325 (SCA); </w:t>
      </w:r>
      <w:r w:rsidRPr="003039E5">
        <w:rPr>
          <w:i/>
          <w:iCs/>
        </w:rPr>
        <w:t>Knoop and Another NNO v Gupta (No 1)</w:t>
      </w:r>
      <w:r w:rsidRPr="003039E5">
        <w:t xml:space="preserve"> [2020] ZASCA 149; [2021] 1 All SA 17; 2021 (3) SA 135 (SCA) para 33 and 34.</w:t>
      </w:r>
      <w:r w:rsidRPr="003039E5">
        <w:rPr>
          <w:i/>
          <w:iCs/>
        </w:rPr>
        <w:t xml:space="preserve"> </w:t>
      </w:r>
    </w:p>
  </w:footnote>
  <w:footnote w:id="32">
    <w:p w14:paraId="507419CA" w14:textId="77777777" w:rsidR="008915DD" w:rsidRPr="003039E5" w:rsidRDefault="008915DD" w:rsidP="00AE497E">
      <w:pPr>
        <w:pStyle w:val="FootnoteText"/>
        <w:jc w:val="both"/>
      </w:pPr>
      <w:r w:rsidRPr="003039E5">
        <w:rPr>
          <w:rStyle w:val="FootnoteReference"/>
        </w:rPr>
        <w:footnoteRef/>
      </w:r>
      <w:r w:rsidRPr="003039E5">
        <w:t xml:space="preserve"> </w:t>
      </w:r>
      <w:r w:rsidRPr="003039E5">
        <w:rPr>
          <w:i/>
        </w:rPr>
        <w:t>Eke v Parsons</w:t>
      </w:r>
      <w:r w:rsidRPr="003039E5">
        <w:t xml:space="preserve"> [2015] ZACC 30; 2015 (11) BCLR 1319 (CC); 2016 (3) SA 37 (CC) para 40.</w:t>
      </w:r>
    </w:p>
  </w:footnote>
  <w:footnote w:id="33">
    <w:p w14:paraId="110E3D84" w14:textId="77777777" w:rsidR="008915DD" w:rsidRPr="003039E5" w:rsidRDefault="008915DD" w:rsidP="00AE497E">
      <w:pPr>
        <w:pStyle w:val="FootnoteText"/>
        <w:jc w:val="both"/>
      </w:pPr>
      <w:r w:rsidRPr="003039E5">
        <w:rPr>
          <w:rStyle w:val="FootnoteReference"/>
        </w:rPr>
        <w:footnoteRef/>
      </w:r>
      <w:r w:rsidRPr="003039E5">
        <w:t xml:space="preserve"> </w:t>
      </w:r>
      <w:r w:rsidRPr="003039E5">
        <w:rPr>
          <w:i/>
        </w:rPr>
        <w:t>Carmel Trading Company Ltd v Commissioner for the South African Revenue Services and Others</w:t>
      </w:r>
      <w:r w:rsidRPr="003039E5">
        <w:t xml:space="preserve"> [2007] ZASCA 160; [2007] SCA 160 (RSA); [2008] 2 All SA 125 (SCA); 2008 (2) SA 433 (SCA). </w:t>
      </w:r>
    </w:p>
  </w:footnote>
  <w:footnote w:id="34">
    <w:p w14:paraId="6A5AB057" w14:textId="77777777" w:rsidR="008915DD" w:rsidRPr="003039E5" w:rsidRDefault="008915DD" w:rsidP="00AE497E">
      <w:pPr>
        <w:pStyle w:val="FootnoteText"/>
        <w:jc w:val="both"/>
        <w:rPr>
          <w:i/>
        </w:rPr>
      </w:pPr>
      <w:r w:rsidRPr="003039E5">
        <w:rPr>
          <w:rStyle w:val="FootnoteReference"/>
        </w:rPr>
        <w:footnoteRef/>
      </w:r>
      <w:r w:rsidRPr="003039E5">
        <w:t xml:space="preserve"> </w:t>
      </w:r>
      <w:r w:rsidRPr="003039E5">
        <w:rPr>
          <w:i/>
        </w:rPr>
        <w:t xml:space="preserve">James Brown &amp; Hamer (Pty) Ltd v Simmons NO </w:t>
      </w:r>
      <w:r w:rsidRPr="003039E5">
        <w:t>1963 (4) SA 656 (A) at 660E-H.</w:t>
      </w:r>
      <w:r w:rsidRPr="003039E5">
        <w:rPr>
          <w:i/>
        </w:rPr>
        <w:t xml:space="preserve"> </w:t>
      </w:r>
    </w:p>
  </w:footnote>
  <w:footnote w:id="35">
    <w:p w14:paraId="342BED12" w14:textId="77777777" w:rsidR="008915DD" w:rsidRPr="003039E5" w:rsidRDefault="008915DD" w:rsidP="00AE497E">
      <w:pPr>
        <w:pStyle w:val="FootnoteText"/>
        <w:jc w:val="both"/>
      </w:pPr>
      <w:r w:rsidRPr="003039E5">
        <w:rPr>
          <w:rStyle w:val="FootnoteReference"/>
        </w:rPr>
        <w:footnoteRef/>
      </w:r>
      <w:r w:rsidRPr="003039E5">
        <w:t xml:space="preserve"> </w:t>
      </w:r>
      <w:r w:rsidRPr="003039E5">
        <w:rPr>
          <w:i/>
        </w:rPr>
        <w:t>Porterstraat 69 Eiendomme v PA Venter Worcester</w:t>
      </w:r>
      <w:r w:rsidRPr="003039E5">
        <w:t xml:space="preserve"> 2000 (4) SA 598 (C) at 617B-F.</w:t>
      </w:r>
    </w:p>
  </w:footnote>
  <w:footnote w:id="36">
    <w:p w14:paraId="1432A1DC" w14:textId="77777777" w:rsidR="008915DD" w:rsidRPr="003039E5" w:rsidRDefault="008915DD" w:rsidP="00AE497E">
      <w:pPr>
        <w:pStyle w:val="FootnoteText"/>
        <w:jc w:val="both"/>
      </w:pPr>
      <w:r w:rsidRPr="003039E5">
        <w:rPr>
          <w:rStyle w:val="FootnoteReference"/>
        </w:rPr>
        <w:footnoteRef/>
      </w:r>
      <w:r w:rsidRPr="003039E5">
        <w:t xml:space="preserve"> </w:t>
      </w:r>
      <w:r w:rsidRPr="003039E5">
        <w:rPr>
          <w:i/>
        </w:rPr>
        <w:t xml:space="preserve">Bangtoo Bros. and Others v National Transport Commission </w:t>
      </w:r>
      <w:r w:rsidRPr="003039E5">
        <w:t>1973 (4) SA 667 (N) at 680A-B.</w:t>
      </w:r>
    </w:p>
  </w:footnote>
  <w:footnote w:id="37">
    <w:p w14:paraId="757831FC" w14:textId="77777777" w:rsidR="008915DD" w:rsidRPr="003039E5" w:rsidRDefault="008915DD" w:rsidP="00AE497E">
      <w:pPr>
        <w:pStyle w:val="FootnoteText"/>
        <w:jc w:val="both"/>
      </w:pPr>
      <w:r w:rsidRPr="003039E5">
        <w:rPr>
          <w:rStyle w:val="FootnoteReference"/>
        </w:rPr>
        <w:footnoteRef/>
      </w:r>
      <w:r w:rsidRPr="003039E5">
        <w:t xml:space="preserve"> </w:t>
      </w:r>
      <w:r w:rsidRPr="003039E5">
        <w:rPr>
          <w:i/>
        </w:rPr>
        <w:t xml:space="preserve">Ebrahim (Pty) Ltd v Mahomed and Others </w:t>
      </w:r>
      <w:r w:rsidRPr="003039E5">
        <w:t>1962 (1) SA 90 (D) at 92A-B.</w:t>
      </w:r>
    </w:p>
  </w:footnote>
  <w:footnote w:id="38">
    <w:p w14:paraId="1F22922D" w14:textId="77777777" w:rsidR="008915DD" w:rsidRPr="003039E5" w:rsidRDefault="008915DD" w:rsidP="00AE497E">
      <w:pPr>
        <w:pStyle w:val="FootnoteText"/>
        <w:jc w:val="both"/>
      </w:pPr>
      <w:r w:rsidRPr="003039E5">
        <w:rPr>
          <w:rStyle w:val="FootnoteReference"/>
        </w:rPr>
        <w:footnoteRef/>
      </w:r>
      <w:r w:rsidRPr="003039E5">
        <w:t xml:space="preserve"> </w:t>
      </w:r>
      <w:r w:rsidRPr="003039E5">
        <w:rPr>
          <w:i/>
        </w:rPr>
        <w:t xml:space="preserve">Standard Bank of SA Ltd v Sewpersadh and Another </w:t>
      </w:r>
      <w:r w:rsidRPr="003039E5">
        <w:t>2005 (4) SA 148 (C) para 10 and the cases there cited.</w:t>
      </w:r>
    </w:p>
  </w:footnote>
  <w:footnote w:id="39">
    <w:p w14:paraId="0C4E851E" w14:textId="77777777" w:rsidR="008915DD" w:rsidRPr="003039E5" w:rsidRDefault="008915DD" w:rsidP="00AE497E">
      <w:pPr>
        <w:pStyle w:val="FootnoteText"/>
        <w:jc w:val="both"/>
      </w:pPr>
      <w:r w:rsidRPr="003039E5">
        <w:rPr>
          <w:rStyle w:val="FootnoteReference"/>
        </w:rPr>
        <w:footnoteRef/>
      </w:r>
      <w:r w:rsidRPr="003039E5">
        <w:t xml:space="preserve"> Ibid.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20344" w14:textId="77777777" w:rsidR="008915DD" w:rsidRDefault="008915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23FBA1" w14:textId="77777777" w:rsidR="008915DD" w:rsidRDefault="008915D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E43B9" w14:textId="6C36A0E2" w:rsidR="008915DD" w:rsidRPr="008C5B84" w:rsidRDefault="008915DD">
    <w:pPr>
      <w:pStyle w:val="Header"/>
      <w:framePr w:wrap="around" w:vAnchor="text" w:hAnchor="margin" w:xAlign="right" w:y="1"/>
      <w:rPr>
        <w:rStyle w:val="PageNumber"/>
        <w:sz w:val="28"/>
        <w:szCs w:val="28"/>
      </w:rPr>
    </w:pPr>
    <w:r w:rsidRPr="008C5B84">
      <w:rPr>
        <w:rStyle w:val="PageNumber"/>
        <w:sz w:val="28"/>
        <w:szCs w:val="28"/>
      </w:rPr>
      <w:fldChar w:fldCharType="begin"/>
    </w:r>
    <w:r w:rsidRPr="008C5B84">
      <w:rPr>
        <w:rStyle w:val="PageNumber"/>
        <w:sz w:val="28"/>
        <w:szCs w:val="28"/>
      </w:rPr>
      <w:instrText xml:space="preserve">PAGE  </w:instrText>
    </w:r>
    <w:r w:rsidRPr="008C5B84">
      <w:rPr>
        <w:rStyle w:val="PageNumber"/>
        <w:sz w:val="28"/>
        <w:szCs w:val="28"/>
      </w:rPr>
      <w:fldChar w:fldCharType="separate"/>
    </w:r>
    <w:r w:rsidR="00DF0119">
      <w:rPr>
        <w:rStyle w:val="PageNumber"/>
        <w:noProof/>
        <w:sz w:val="28"/>
        <w:szCs w:val="28"/>
      </w:rPr>
      <w:t>3</w:t>
    </w:r>
    <w:r w:rsidRPr="008C5B84">
      <w:rPr>
        <w:rStyle w:val="PageNumber"/>
        <w:sz w:val="28"/>
        <w:szCs w:val="28"/>
      </w:rPr>
      <w:fldChar w:fldCharType="end"/>
    </w:r>
  </w:p>
  <w:p w14:paraId="2EF8DBE3" w14:textId="77777777" w:rsidR="008915DD" w:rsidRDefault="008915D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A7A26"/>
    <w:multiLevelType w:val="hybridMultilevel"/>
    <w:tmpl w:val="CE02C3EA"/>
    <w:lvl w:ilvl="0" w:tplc="8C4A8C0E">
      <w:start w:val="1"/>
      <w:numFmt w:val="decimal"/>
      <w:pStyle w:val="JUDGMENTNUMBERED"/>
      <w:lvlText w:val="[%1]"/>
      <w:lvlJc w:val="left"/>
      <w:pPr>
        <w:ind w:left="1040" w:hanging="360"/>
      </w:pPr>
      <w:rPr>
        <w:rFonts w:ascii="Times New Roman" w:hAnsi="Times New Roman" w:cs="Times New Roman" w:hint="default"/>
        <w:i w:val="0"/>
        <w:caps w:val="0"/>
        <w:strike w:val="0"/>
        <w:dstrike w:val="0"/>
        <w:vanish w:val="0"/>
        <w:webHidden w:val="0"/>
        <w:sz w:val="26"/>
        <w:u w:val="none"/>
        <w:effect w:val="none"/>
        <w:vertAlign w:val="baseline"/>
        <w:specVanish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9FE7929"/>
    <w:multiLevelType w:val="hybridMultilevel"/>
    <w:tmpl w:val="CBB8DA2A"/>
    <w:lvl w:ilvl="0" w:tplc="DDB4D780">
      <w:start w:val="1"/>
      <w:numFmt w:val="decimal"/>
      <w:lvlText w:val="[%1]"/>
      <w:lvlJc w:val="left"/>
      <w:pPr>
        <w:ind w:left="0" w:firstLine="0"/>
      </w:pPr>
      <w:rPr>
        <w:rFonts w:ascii="Times New Roman" w:hAnsi="Times New Roman" w:hint="default"/>
        <w:b w:val="0"/>
        <w:bCs w:val="0"/>
        <w:i w:val="0"/>
        <w:i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B17BE"/>
    <w:multiLevelType w:val="multilevel"/>
    <w:tmpl w:val="1CC2C42A"/>
    <w:lvl w:ilvl="0">
      <w:start w:val="35"/>
      <w:numFmt w:val="decimal"/>
      <w:lvlText w:val="[%1]"/>
      <w:lvlJc w:val="left"/>
      <w:pPr>
        <w:ind w:left="360" w:hanging="360"/>
      </w:pPr>
      <w:rPr>
        <w:rFonts w:ascii="Times New Roman" w:hAnsi="Times New Roman" w:hint="default"/>
        <w:b w:val="0"/>
        <w:bCs w:val="0"/>
        <w:i w:val="0"/>
        <w:iCs w:val="0"/>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63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i/>
        <w:i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07C7311"/>
    <w:multiLevelType w:val="multilevel"/>
    <w:tmpl w:val="D2885C3E"/>
    <w:lvl w:ilvl="0">
      <w:start w:val="37"/>
      <w:numFmt w:val="decimal"/>
      <w:lvlText w:val="[%1]"/>
      <w:lvlJc w:val="left"/>
      <w:pPr>
        <w:ind w:left="360" w:hanging="360"/>
      </w:pPr>
      <w:rPr>
        <w:rFonts w:ascii="Times New Roman" w:hAnsi="Times New Roman" w:hint="default"/>
        <w:b w:val="0"/>
        <w:bCs w:val="0"/>
        <w:i w:val="0"/>
        <w:iCs w:val="0"/>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63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i/>
        <w:i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E1D5239"/>
    <w:multiLevelType w:val="hybridMultilevel"/>
    <w:tmpl w:val="4156D31C"/>
    <w:lvl w:ilvl="0" w:tplc="E07481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3E41E5"/>
    <w:multiLevelType w:val="hybridMultilevel"/>
    <w:tmpl w:val="6890C53A"/>
    <w:lvl w:ilvl="0" w:tplc="07605410">
      <w:start w:val="30"/>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563727"/>
    <w:multiLevelType w:val="multilevel"/>
    <w:tmpl w:val="53F8A238"/>
    <w:lvl w:ilvl="0">
      <w:start w:val="21"/>
      <w:numFmt w:val="decimal"/>
      <w:lvlText w:val="[%1]"/>
      <w:lvlJc w:val="left"/>
      <w:pPr>
        <w:ind w:left="360" w:hanging="360"/>
      </w:pPr>
      <w:rPr>
        <w:rFonts w:ascii="Times New Roman" w:hAnsi="Times New Roman" w:hint="default"/>
        <w:b w:val="0"/>
        <w:bCs w:val="0"/>
        <w:i w:val="0"/>
        <w:iCs w:val="0"/>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63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i/>
        <w:i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B770CA1"/>
    <w:multiLevelType w:val="hybridMultilevel"/>
    <w:tmpl w:val="C0B6790A"/>
    <w:lvl w:ilvl="0" w:tplc="644046D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8">
    <w:nsid w:val="3F3506E3"/>
    <w:multiLevelType w:val="hybridMultilevel"/>
    <w:tmpl w:val="3CDC3C88"/>
    <w:lvl w:ilvl="0" w:tplc="2A66DE4A">
      <w:start w:val="31"/>
      <w:numFmt w:val="decimal"/>
      <w:lvlText w:val="[%1]"/>
      <w:lvlJc w:val="left"/>
      <w:pPr>
        <w:ind w:left="1953"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FC4E3D"/>
    <w:multiLevelType w:val="hybridMultilevel"/>
    <w:tmpl w:val="97288348"/>
    <w:lvl w:ilvl="0" w:tplc="BF8CF5B2">
      <w:start w:val="1"/>
      <w:numFmt w:val="lowerLetter"/>
      <w:lvlText w:val="(%1)"/>
      <w:lvlJc w:val="center"/>
      <w:pPr>
        <w:ind w:left="2313" w:hanging="360"/>
      </w:pPr>
      <w:rPr>
        <w:rFonts w:hint="default"/>
      </w:rPr>
    </w:lvl>
    <w:lvl w:ilvl="1" w:tplc="04090019">
      <w:start w:val="1"/>
      <w:numFmt w:val="lowerLetter"/>
      <w:lvlText w:val="%2."/>
      <w:lvlJc w:val="left"/>
      <w:pPr>
        <w:ind w:left="3033" w:hanging="360"/>
      </w:pPr>
    </w:lvl>
    <w:lvl w:ilvl="2" w:tplc="0409001B">
      <w:start w:val="1"/>
      <w:numFmt w:val="lowerRoman"/>
      <w:lvlText w:val="%3."/>
      <w:lvlJc w:val="right"/>
      <w:pPr>
        <w:ind w:left="3753" w:hanging="180"/>
      </w:pPr>
    </w:lvl>
    <w:lvl w:ilvl="3" w:tplc="0409000F">
      <w:start w:val="1"/>
      <w:numFmt w:val="decimal"/>
      <w:lvlText w:val="%4."/>
      <w:lvlJc w:val="left"/>
      <w:pPr>
        <w:ind w:left="4473" w:hanging="360"/>
      </w:pPr>
    </w:lvl>
    <w:lvl w:ilvl="4" w:tplc="04090019">
      <w:start w:val="1"/>
      <w:numFmt w:val="lowerLetter"/>
      <w:lvlText w:val="%5."/>
      <w:lvlJc w:val="left"/>
      <w:pPr>
        <w:ind w:left="5193" w:hanging="360"/>
      </w:pPr>
    </w:lvl>
    <w:lvl w:ilvl="5" w:tplc="0409001B">
      <w:start w:val="1"/>
      <w:numFmt w:val="lowerRoman"/>
      <w:lvlText w:val="%6."/>
      <w:lvlJc w:val="right"/>
      <w:pPr>
        <w:ind w:left="5913" w:hanging="180"/>
      </w:pPr>
    </w:lvl>
    <w:lvl w:ilvl="6" w:tplc="0409000F">
      <w:start w:val="1"/>
      <w:numFmt w:val="decimal"/>
      <w:lvlText w:val="%7."/>
      <w:lvlJc w:val="left"/>
      <w:pPr>
        <w:ind w:left="6633" w:hanging="360"/>
      </w:pPr>
    </w:lvl>
    <w:lvl w:ilvl="7" w:tplc="04090019">
      <w:start w:val="1"/>
      <w:numFmt w:val="lowerLetter"/>
      <w:lvlText w:val="%8."/>
      <w:lvlJc w:val="left"/>
      <w:pPr>
        <w:ind w:left="7353" w:hanging="360"/>
      </w:pPr>
    </w:lvl>
    <w:lvl w:ilvl="8" w:tplc="0409001B">
      <w:start w:val="1"/>
      <w:numFmt w:val="lowerRoman"/>
      <w:lvlText w:val="%9."/>
      <w:lvlJc w:val="right"/>
      <w:pPr>
        <w:ind w:left="8073" w:hanging="180"/>
      </w:pPr>
    </w:lvl>
  </w:abstractNum>
  <w:abstractNum w:abstractNumId="10">
    <w:nsid w:val="7D917240"/>
    <w:multiLevelType w:val="hybridMultilevel"/>
    <w:tmpl w:val="6A083164"/>
    <w:lvl w:ilvl="0" w:tplc="67B4E5BC">
      <w:start w:val="25"/>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CC2A3B"/>
    <w:multiLevelType w:val="hybridMultilevel"/>
    <w:tmpl w:val="E068A152"/>
    <w:lvl w:ilvl="0" w:tplc="A07C5E60">
      <w:start w:val="1"/>
      <w:numFmt w:val="decimal"/>
      <w:lvlText w:val="%1"/>
      <w:lvlJc w:val="left"/>
      <w:pPr>
        <w:ind w:left="1080" w:hanging="72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9"/>
  </w:num>
  <w:num w:numId="13">
    <w:abstractNumId w:val="2"/>
  </w:num>
  <w:num w:numId="14">
    <w:abstractNumId w:val="10"/>
  </w:num>
  <w:num w:numId="15">
    <w:abstractNumId w:val="3"/>
  </w:num>
  <w:num w:numId="16">
    <w:abstractNumId w:val="5"/>
  </w:num>
  <w:num w:numId="17">
    <w:abstractNumId w:val="8"/>
  </w:num>
  <w:num w:numId="1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35"/>
    <w:rsid w:val="00002AE5"/>
    <w:rsid w:val="0000571E"/>
    <w:rsid w:val="00012A0D"/>
    <w:rsid w:val="00015220"/>
    <w:rsid w:val="000209EA"/>
    <w:rsid w:val="00022326"/>
    <w:rsid w:val="00034CDC"/>
    <w:rsid w:val="0004523B"/>
    <w:rsid w:val="00047D4B"/>
    <w:rsid w:val="00056E48"/>
    <w:rsid w:val="00061198"/>
    <w:rsid w:val="000626F9"/>
    <w:rsid w:val="00076C6A"/>
    <w:rsid w:val="00082342"/>
    <w:rsid w:val="00083E1A"/>
    <w:rsid w:val="000903CB"/>
    <w:rsid w:val="000975FB"/>
    <w:rsid w:val="000A14CF"/>
    <w:rsid w:val="000A1F32"/>
    <w:rsid w:val="000A45BA"/>
    <w:rsid w:val="000A71AB"/>
    <w:rsid w:val="000A77B7"/>
    <w:rsid w:val="000B60E2"/>
    <w:rsid w:val="000C3B5A"/>
    <w:rsid w:val="000D230F"/>
    <w:rsid w:val="000D499C"/>
    <w:rsid w:val="000D5512"/>
    <w:rsid w:val="000E4F87"/>
    <w:rsid w:val="000E57BB"/>
    <w:rsid w:val="000F045B"/>
    <w:rsid w:val="000F3245"/>
    <w:rsid w:val="0010076C"/>
    <w:rsid w:val="001200A7"/>
    <w:rsid w:val="0012413C"/>
    <w:rsid w:val="0012758B"/>
    <w:rsid w:val="00127FEE"/>
    <w:rsid w:val="00133578"/>
    <w:rsid w:val="001504F8"/>
    <w:rsid w:val="0015680B"/>
    <w:rsid w:val="001810E9"/>
    <w:rsid w:val="001816BC"/>
    <w:rsid w:val="0019603E"/>
    <w:rsid w:val="001A2750"/>
    <w:rsid w:val="001B0AEF"/>
    <w:rsid w:val="001B432D"/>
    <w:rsid w:val="001C5815"/>
    <w:rsid w:val="001D0444"/>
    <w:rsid w:val="001E0F60"/>
    <w:rsid w:val="001E2200"/>
    <w:rsid w:val="001F0079"/>
    <w:rsid w:val="001F5163"/>
    <w:rsid w:val="001F79C3"/>
    <w:rsid w:val="002007EB"/>
    <w:rsid w:val="00200F7E"/>
    <w:rsid w:val="002058A8"/>
    <w:rsid w:val="00207C4C"/>
    <w:rsid w:val="0021020F"/>
    <w:rsid w:val="00210D4C"/>
    <w:rsid w:val="00225C96"/>
    <w:rsid w:val="00243572"/>
    <w:rsid w:val="0024448B"/>
    <w:rsid w:val="00247142"/>
    <w:rsid w:val="00251A71"/>
    <w:rsid w:val="00265BD1"/>
    <w:rsid w:val="00265C55"/>
    <w:rsid w:val="002675BE"/>
    <w:rsid w:val="0027258F"/>
    <w:rsid w:val="00273691"/>
    <w:rsid w:val="00280A8B"/>
    <w:rsid w:val="00284772"/>
    <w:rsid w:val="00285F4A"/>
    <w:rsid w:val="002914B2"/>
    <w:rsid w:val="00291632"/>
    <w:rsid w:val="002A7F88"/>
    <w:rsid w:val="002B42F9"/>
    <w:rsid w:val="002C0F45"/>
    <w:rsid w:val="002C2A58"/>
    <w:rsid w:val="002C3D86"/>
    <w:rsid w:val="002C7F31"/>
    <w:rsid w:val="002D3667"/>
    <w:rsid w:val="002D6F14"/>
    <w:rsid w:val="002F631C"/>
    <w:rsid w:val="002F6F84"/>
    <w:rsid w:val="00302CF5"/>
    <w:rsid w:val="003039E5"/>
    <w:rsid w:val="00310A9C"/>
    <w:rsid w:val="00343126"/>
    <w:rsid w:val="00353967"/>
    <w:rsid w:val="00363D56"/>
    <w:rsid w:val="003653C5"/>
    <w:rsid w:val="00367653"/>
    <w:rsid w:val="0037341A"/>
    <w:rsid w:val="00375739"/>
    <w:rsid w:val="0037655D"/>
    <w:rsid w:val="00377356"/>
    <w:rsid w:val="00387C81"/>
    <w:rsid w:val="00387E92"/>
    <w:rsid w:val="0039291B"/>
    <w:rsid w:val="0039347E"/>
    <w:rsid w:val="003A278F"/>
    <w:rsid w:val="003A3C98"/>
    <w:rsid w:val="003A5A85"/>
    <w:rsid w:val="003A61E5"/>
    <w:rsid w:val="003B1661"/>
    <w:rsid w:val="003D3387"/>
    <w:rsid w:val="00404453"/>
    <w:rsid w:val="0041512E"/>
    <w:rsid w:val="0044407B"/>
    <w:rsid w:val="00462424"/>
    <w:rsid w:val="0046636B"/>
    <w:rsid w:val="00466BC5"/>
    <w:rsid w:val="00477060"/>
    <w:rsid w:val="00490BF7"/>
    <w:rsid w:val="00491E9B"/>
    <w:rsid w:val="00492FD0"/>
    <w:rsid w:val="004A6DBD"/>
    <w:rsid w:val="004B075D"/>
    <w:rsid w:val="004B3E75"/>
    <w:rsid w:val="004B7CEA"/>
    <w:rsid w:val="004B7F49"/>
    <w:rsid w:val="004C6192"/>
    <w:rsid w:val="004C785F"/>
    <w:rsid w:val="004E59B3"/>
    <w:rsid w:val="004E775F"/>
    <w:rsid w:val="004F20D7"/>
    <w:rsid w:val="004F2589"/>
    <w:rsid w:val="00504627"/>
    <w:rsid w:val="00507885"/>
    <w:rsid w:val="00507BCE"/>
    <w:rsid w:val="00522E5F"/>
    <w:rsid w:val="005340B9"/>
    <w:rsid w:val="005372EA"/>
    <w:rsid w:val="00537876"/>
    <w:rsid w:val="00541A7A"/>
    <w:rsid w:val="0054246D"/>
    <w:rsid w:val="00542491"/>
    <w:rsid w:val="005439C2"/>
    <w:rsid w:val="00544311"/>
    <w:rsid w:val="0055352A"/>
    <w:rsid w:val="00560E48"/>
    <w:rsid w:val="00562B56"/>
    <w:rsid w:val="005657DD"/>
    <w:rsid w:val="0056654D"/>
    <w:rsid w:val="00571B4A"/>
    <w:rsid w:val="00572B88"/>
    <w:rsid w:val="00574ACF"/>
    <w:rsid w:val="00576A63"/>
    <w:rsid w:val="00587D16"/>
    <w:rsid w:val="005A125A"/>
    <w:rsid w:val="005A363F"/>
    <w:rsid w:val="005C0790"/>
    <w:rsid w:val="005C2309"/>
    <w:rsid w:val="005C704B"/>
    <w:rsid w:val="005E1023"/>
    <w:rsid w:val="005F18C1"/>
    <w:rsid w:val="005F566D"/>
    <w:rsid w:val="006040D3"/>
    <w:rsid w:val="006069B2"/>
    <w:rsid w:val="00606C76"/>
    <w:rsid w:val="0062162A"/>
    <w:rsid w:val="006425CF"/>
    <w:rsid w:val="00644513"/>
    <w:rsid w:val="00645DBD"/>
    <w:rsid w:val="006527BA"/>
    <w:rsid w:val="006549EB"/>
    <w:rsid w:val="006712AA"/>
    <w:rsid w:val="006712D7"/>
    <w:rsid w:val="00672824"/>
    <w:rsid w:val="0067707E"/>
    <w:rsid w:val="006940EB"/>
    <w:rsid w:val="00694C2B"/>
    <w:rsid w:val="006979F8"/>
    <w:rsid w:val="006B09BC"/>
    <w:rsid w:val="006B0B22"/>
    <w:rsid w:val="006B1F1E"/>
    <w:rsid w:val="006B3355"/>
    <w:rsid w:val="006B3F07"/>
    <w:rsid w:val="006C0F62"/>
    <w:rsid w:val="006E6874"/>
    <w:rsid w:val="006E7005"/>
    <w:rsid w:val="006F3698"/>
    <w:rsid w:val="00701F2A"/>
    <w:rsid w:val="00721765"/>
    <w:rsid w:val="00722FE4"/>
    <w:rsid w:val="00723EF0"/>
    <w:rsid w:val="00736441"/>
    <w:rsid w:val="00737906"/>
    <w:rsid w:val="00737B9A"/>
    <w:rsid w:val="00740EB1"/>
    <w:rsid w:val="0074315B"/>
    <w:rsid w:val="00766812"/>
    <w:rsid w:val="007678FA"/>
    <w:rsid w:val="00773EC3"/>
    <w:rsid w:val="00777BAF"/>
    <w:rsid w:val="007824C0"/>
    <w:rsid w:val="007974E1"/>
    <w:rsid w:val="007A7439"/>
    <w:rsid w:val="007A76D5"/>
    <w:rsid w:val="007B7DD6"/>
    <w:rsid w:val="007C038D"/>
    <w:rsid w:val="007C3BDE"/>
    <w:rsid w:val="007D205F"/>
    <w:rsid w:val="007D422E"/>
    <w:rsid w:val="007D73A9"/>
    <w:rsid w:val="007F2253"/>
    <w:rsid w:val="007F373C"/>
    <w:rsid w:val="00802936"/>
    <w:rsid w:val="008125D2"/>
    <w:rsid w:val="0081448E"/>
    <w:rsid w:val="00833724"/>
    <w:rsid w:val="008340DA"/>
    <w:rsid w:val="008419BA"/>
    <w:rsid w:val="00843D7F"/>
    <w:rsid w:val="008441B4"/>
    <w:rsid w:val="00845522"/>
    <w:rsid w:val="00845F5E"/>
    <w:rsid w:val="008465E2"/>
    <w:rsid w:val="00850AB4"/>
    <w:rsid w:val="00850E29"/>
    <w:rsid w:val="008512FF"/>
    <w:rsid w:val="00854F18"/>
    <w:rsid w:val="00866572"/>
    <w:rsid w:val="00882A71"/>
    <w:rsid w:val="008903DE"/>
    <w:rsid w:val="008915DD"/>
    <w:rsid w:val="008B2F62"/>
    <w:rsid w:val="008B53F6"/>
    <w:rsid w:val="008C16FF"/>
    <w:rsid w:val="008C2D63"/>
    <w:rsid w:val="008C3644"/>
    <w:rsid w:val="008C5B84"/>
    <w:rsid w:val="008E039B"/>
    <w:rsid w:val="008E12FC"/>
    <w:rsid w:val="008E29A8"/>
    <w:rsid w:val="008F234D"/>
    <w:rsid w:val="009079F1"/>
    <w:rsid w:val="00912742"/>
    <w:rsid w:val="0091286B"/>
    <w:rsid w:val="00915CE6"/>
    <w:rsid w:val="009216DB"/>
    <w:rsid w:val="009243CB"/>
    <w:rsid w:val="0092449E"/>
    <w:rsid w:val="00926BD4"/>
    <w:rsid w:val="009405BF"/>
    <w:rsid w:val="00942E96"/>
    <w:rsid w:val="0095028B"/>
    <w:rsid w:val="009542D3"/>
    <w:rsid w:val="0096624E"/>
    <w:rsid w:val="00967011"/>
    <w:rsid w:val="00972040"/>
    <w:rsid w:val="0098072B"/>
    <w:rsid w:val="009857E8"/>
    <w:rsid w:val="00991314"/>
    <w:rsid w:val="00993C2C"/>
    <w:rsid w:val="009A0D76"/>
    <w:rsid w:val="009A54CD"/>
    <w:rsid w:val="009B167F"/>
    <w:rsid w:val="009B1CB6"/>
    <w:rsid w:val="009B3347"/>
    <w:rsid w:val="009B5157"/>
    <w:rsid w:val="009B55F2"/>
    <w:rsid w:val="009D3B20"/>
    <w:rsid w:val="009D45F6"/>
    <w:rsid w:val="009E4F4B"/>
    <w:rsid w:val="009E5AB4"/>
    <w:rsid w:val="009F62BE"/>
    <w:rsid w:val="00A038E6"/>
    <w:rsid w:val="00A15729"/>
    <w:rsid w:val="00A15DA9"/>
    <w:rsid w:val="00A20F6A"/>
    <w:rsid w:val="00A21848"/>
    <w:rsid w:val="00A249C3"/>
    <w:rsid w:val="00A3558D"/>
    <w:rsid w:val="00A5320F"/>
    <w:rsid w:val="00A537CB"/>
    <w:rsid w:val="00A70C6E"/>
    <w:rsid w:val="00A77721"/>
    <w:rsid w:val="00A8482D"/>
    <w:rsid w:val="00A9122D"/>
    <w:rsid w:val="00A93BC1"/>
    <w:rsid w:val="00A94251"/>
    <w:rsid w:val="00A95858"/>
    <w:rsid w:val="00A96A16"/>
    <w:rsid w:val="00AB2610"/>
    <w:rsid w:val="00AC1DCA"/>
    <w:rsid w:val="00AD60BC"/>
    <w:rsid w:val="00AE2140"/>
    <w:rsid w:val="00AE497E"/>
    <w:rsid w:val="00AE5D3B"/>
    <w:rsid w:val="00AF6456"/>
    <w:rsid w:val="00B12492"/>
    <w:rsid w:val="00B126DE"/>
    <w:rsid w:val="00B15CE2"/>
    <w:rsid w:val="00B25774"/>
    <w:rsid w:val="00B3500C"/>
    <w:rsid w:val="00B45CE0"/>
    <w:rsid w:val="00B46FC1"/>
    <w:rsid w:val="00B54B43"/>
    <w:rsid w:val="00B66ED9"/>
    <w:rsid w:val="00B7396D"/>
    <w:rsid w:val="00B7772D"/>
    <w:rsid w:val="00BA3E32"/>
    <w:rsid w:val="00BB18BC"/>
    <w:rsid w:val="00BC08E9"/>
    <w:rsid w:val="00BC65D0"/>
    <w:rsid w:val="00BD4D64"/>
    <w:rsid w:val="00BE1D93"/>
    <w:rsid w:val="00BE4E21"/>
    <w:rsid w:val="00BE7C0B"/>
    <w:rsid w:val="00BF35F9"/>
    <w:rsid w:val="00BF7D37"/>
    <w:rsid w:val="00C04752"/>
    <w:rsid w:val="00C05072"/>
    <w:rsid w:val="00C05558"/>
    <w:rsid w:val="00C06EE0"/>
    <w:rsid w:val="00C121CB"/>
    <w:rsid w:val="00C159E3"/>
    <w:rsid w:val="00C173B3"/>
    <w:rsid w:val="00C17ABD"/>
    <w:rsid w:val="00C2123E"/>
    <w:rsid w:val="00C2637B"/>
    <w:rsid w:val="00C26A3D"/>
    <w:rsid w:val="00C26F74"/>
    <w:rsid w:val="00C42D6A"/>
    <w:rsid w:val="00C6073C"/>
    <w:rsid w:val="00C80F7D"/>
    <w:rsid w:val="00C858FE"/>
    <w:rsid w:val="00C96885"/>
    <w:rsid w:val="00CA29B0"/>
    <w:rsid w:val="00CA4579"/>
    <w:rsid w:val="00CA481D"/>
    <w:rsid w:val="00CA49D7"/>
    <w:rsid w:val="00CA7F93"/>
    <w:rsid w:val="00CB53BF"/>
    <w:rsid w:val="00CC094A"/>
    <w:rsid w:val="00CC33B5"/>
    <w:rsid w:val="00CC6C4D"/>
    <w:rsid w:val="00CD01FD"/>
    <w:rsid w:val="00CD18C6"/>
    <w:rsid w:val="00CE3C92"/>
    <w:rsid w:val="00CE4030"/>
    <w:rsid w:val="00CF2BB0"/>
    <w:rsid w:val="00CF3B16"/>
    <w:rsid w:val="00CF4557"/>
    <w:rsid w:val="00D1318A"/>
    <w:rsid w:val="00D14861"/>
    <w:rsid w:val="00D23235"/>
    <w:rsid w:val="00D23BA0"/>
    <w:rsid w:val="00D262D4"/>
    <w:rsid w:val="00D26728"/>
    <w:rsid w:val="00D328EF"/>
    <w:rsid w:val="00D44D56"/>
    <w:rsid w:val="00D46173"/>
    <w:rsid w:val="00D51C16"/>
    <w:rsid w:val="00D5599A"/>
    <w:rsid w:val="00D81781"/>
    <w:rsid w:val="00D81D96"/>
    <w:rsid w:val="00D946E5"/>
    <w:rsid w:val="00DA00D7"/>
    <w:rsid w:val="00DA4DDC"/>
    <w:rsid w:val="00DB3234"/>
    <w:rsid w:val="00DB3DF4"/>
    <w:rsid w:val="00DC00E7"/>
    <w:rsid w:val="00DC1C36"/>
    <w:rsid w:val="00DC20AE"/>
    <w:rsid w:val="00DC2C50"/>
    <w:rsid w:val="00DC7ED1"/>
    <w:rsid w:val="00DE0326"/>
    <w:rsid w:val="00DF0119"/>
    <w:rsid w:val="00DF4068"/>
    <w:rsid w:val="00E15964"/>
    <w:rsid w:val="00E15E1E"/>
    <w:rsid w:val="00E257CD"/>
    <w:rsid w:val="00E336E4"/>
    <w:rsid w:val="00E436A4"/>
    <w:rsid w:val="00E67802"/>
    <w:rsid w:val="00E67B06"/>
    <w:rsid w:val="00E71B6A"/>
    <w:rsid w:val="00E7362B"/>
    <w:rsid w:val="00E75856"/>
    <w:rsid w:val="00E76ADB"/>
    <w:rsid w:val="00E77F83"/>
    <w:rsid w:val="00E8025B"/>
    <w:rsid w:val="00E81B79"/>
    <w:rsid w:val="00E8398D"/>
    <w:rsid w:val="00E848AB"/>
    <w:rsid w:val="00E84FDA"/>
    <w:rsid w:val="00E95B3E"/>
    <w:rsid w:val="00EA5803"/>
    <w:rsid w:val="00EB16B8"/>
    <w:rsid w:val="00EB3944"/>
    <w:rsid w:val="00EB3A0C"/>
    <w:rsid w:val="00EB6D39"/>
    <w:rsid w:val="00EC7A50"/>
    <w:rsid w:val="00ED0F1B"/>
    <w:rsid w:val="00ED1186"/>
    <w:rsid w:val="00EE46AE"/>
    <w:rsid w:val="00EF22E3"/>
    <w:rsid w:val="00EF4355"/>
    <w:rsid w:val="00EF684C"/>
    <w:rsid w:val="00EF6CD1"/>
    <w:rsid w:val="00F03A51"/>
    <w:rsid w:val="00F061E1"/>
    <w:rsid w:val="00F06E54"/>
    <w:rsid w:val="00F14D1F"/>
    <w:rsid w:val="00F16C26"/>
    <w:rsid w:val="00F246E5"/>
    <w:rsid w:val="00F304B0"/>
    <w:rsid w:val="00F421BF"/>
    <w:rsid w:val="00F44D55"/>
    <w:rsid w:val="00F46EC3"/>
    <w:rsid w:val="00F47F59"/>
    <w:rsid w:val="00F50F84"/>
    <w:rsid w:val="00F5616D"/>
    <w:rsid w:val="00F63035"/>
    <w:rsid w:val="00F64851"/>
    <w:rsid w:val="00F77EE1"/>
    <w:rsid w:val="00F81B91"/>
    <w:rsid w:val="00F81F13"/>
    <w:rsid w:val="00F84565"/>
    <w:rsid w:val="00F9714C"/>
    <w:rsid w:val="00FA45EA"/>
    <w:rsid w:val="00FB238D"/>
    <w:rsid w:val="00FB2B39"/>
    <w:rsid w:val="00FC06BB"/>
    <w:rsid w:val="00FC53A0"/>
    <w:rsid w:val="00FC79DE"/>
    <w:rsid w:val="00FC7D4E"/>
    <w:rsid w:val="00FD61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9FD97"/>
  <w15:chartTrackingRefBased/>
  <w15:docId w15:val="{00A53D7B-F6A2-4486-817D-BB3165CA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03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F63035"/>
    <w:pPr>
      <w:keepNext/>
      <w:spacing w:line="360" w:lineRule="auto"/>
      <w:outlineLvl w:val="0"/>
    </w:pPr>
    <w:rPr>
      <w:rFonts w:ascii="Arial" w:hAnsi="Arial" w:cs="Arial"/>
      <w:b/>
      <w:bCs/>
      <w:sz w:val="28"/>
    </w:rPr>
  </w:style>
  <w:style w:type="paragraph" w:styleId="Heading2">
    <w:name w:val="heading 2"/>
    <w:basedOn w:val="Normal"/>
    <w:next w:val="Normal"/>
    <w:link w:val="Heading2Char"/>
    <w:uiPriority w:val="9"/>
    <w:unhideWhenUsed/>
    <w:qFormat/>
    <w:rsid w:val="00492F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F63035"/>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3035"/>
    <w:rPr>
      <w:rFonts w:ascii="Arial" w:eastAsia="Times New Roman" w:hAnsi="Arial" w:cs="Arial"/>
      <w:b/>
      <w:bCs/>
      <w:sz w:val="28"/>
      <w:szCs w:val="24"/>
      <w:lang w:val="en-GB"/>
    </w:rPr>
  </w:style>
  <w:style w:type="character" w:customStyle="1" w:styleId="Heading3Char">
    <w:name w:val="Heading 3 Char"/>
    <w:basedOn w:val="DefaultParagraphFont"/>
    <w:link w:val="Heading3"/>
    <w:rsid w:val="00F63035"/>
    <w:rPr>
      <w:rFonts w:ascii="Arial" w:eastAsia="Times New Roman" w:hAnsi="Arial" w:cs="Arial"/>
      <w:i/>
      <w:iCs/>
      <w:sz w:val="28"/>
      <w:szCs w:val="24"/>
      <w:lang w:val="en-GB"/>
    </w:rPr>
  </w:style>
  <w:style w:type="paragraph" w:styleId="Header">
    <w:name w:val="header"/>
    <w:basedOn w:val="Normal"/>
    <w:link w:val="HeaderChar"/>
    <w:rsid w:val="00F63035"/>
    <w:pPr>
      <w:tabs>
        <w:tab w:val="center" w:pos="4153"/>
        <w:tab w:val="right" w:pos="8306"/>
      </w:tabs>
    </w:pPr>
  </w:style>
  <w:style w:type="character" w:customStyle="1" w:styleId="HeaderChar">
    <w:name w:val="Header Char"/>
    <w:basedOn w:val="DefaultParagraphFont"/>
    <w:link w:val="Header"/>
    <w:rsid w:val="00F63035"/>
    <w:rPr>
      <w:rFonts w:ascii="Times New Roman" w:eastAsia="Times New Roman" w:hAnsi="Times New Roman" w:cs="Times New Roman"/>
      <w:sz w:val="24"/>
      <w:szCs w:val="24"/>
      <w:lang w:val="en-GB"/>
    </w:rPr>
  </w:style>
  <w:style w:type="character" w:styleId="PageNumber">
    <w:name w:val="page number"/>
    <w:basedOn w:val="DefaultParagraphFont"/>
    <w:rsid w:val="00F63035"/>
    <w:rPr>
      <w:rFonts w:cs="Times New Roman"/>
    </w:rPr>
  </w:style>
  <w:style w:type="paragraph" w:styleId="FootnoteText">
    <w:name w:val="footnote text"/>
    <w:aliases w:val="Footnote Text Char1 Char,Footnote Text Char Char Char,Footnote Text Char1 Char Char Char,Footnote Text Char Char Char Char Char,Footnote Text Char1 Char Char Char Char Char,Footnote Char Char Char Char Char Char"/>
    <w:basedOn w:val="Normal"/>
    <w:link w:val="FootnoteTextChar"/>
    <w:uiPriority w:val="99"/>
    <w:qFormat/>
    <w:rsid w:val="00F63035"/>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
    <w:basedOn w:val="DefaultParagraphFont"/>
    <w:link w:val="FootnoteText"/>
    <w:uiPriority w:val="99"/>
    <w:rsid w:val="00F63035"/>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F63035"/>
    <w:pPr>
      <w:autoSpaceDE w:val="0"/>
      <w:autoSpaceDN w:val="0"/>
      <w:adjustRightInd w:val="0"/>
      <w:spacing w:line="241" w:lineRule="atLeast"/>
    </w:pPr>
    <w:rPr>
      <w:rFonts w:ascii="Arial" w:hAnsi="Arial"/>
    </w:rPr>
  </w:style>
  <w:style w:type="paragraph" w:styleId="NormalIndent">
    <w:name w:val="Normal Indent"/>
    <w:basedOn w:val="Normal"/>
    <w:uiPriority w:val="99"/>
    <w:semiHidden/>
    <w:unhideWhenUsed/>
    <w:rsid w:val="00F63035"/>
    <w:pPr>
      <w:spacing w:line="480" w:lineRule="auto"/>
      <w:ind w:left="720"/>
      <w:jc w:val="both"/>
    </w:pPr>
    <w:rPr>
      <w:sz w:val="28"/>
      <w:szCs w:val="28"/>
    </w:rPr>
  </w:style>
  <w:style w:type="paragraph" w:styleId="ListParagraph">
    <w:name w:val="List Paragraph"/>
    <w:basedOn w:val="Normal"/>
    <w:uiPriority w:val="34"/>
    <w:qFormat/>
    <w:rsid w:val="00F63035"/>
    <w:pPr>
      <w:ind w:left="720"/>
      <w:contextualSpacing/>
    </w:pPr>
  </w:style>
  <w:style w:type="character" w:styleId="FootnoteReference">
    <w:name w:val="footnote reference"/>
    <w:basedOn w:val="DefaultParagraphFont"/>
    <w:uiPriority w:val="99"/>
    <w:semiHidden/>
    <w:unhideWhenUsed/>
    <w:qFormat/>
    <w:rsid w:val="004E59B3"/>
    <w:rPr>
      <w:vertAlign w:val="superscript"/>
    </w:rPr>
  </w:style>
  <w:style w:type="character" w:styleId="Hyperlink">
    <w:name w:val="Hyperlink"/>
    <w:basedOn w:val="DefaultParagraphFont"/>
    <w:uiPriority w:val="99"/>
    <w:semiHidden/>
    <w:unhideWhenUsed/>
    <w:rsid w:val="0056654D"/>
    <w:rPr>
      <w:color w:val="0000FF"/>
      <w:u w:val="single"/>
    </w:rPr>
  </w:style>
  <w:style w:type="paragraph" w:customStyle="1" w:styleId="Normal1">
    <w:name w:val="Normal1"/>
    <w:rsid w:val="0056654D"/>
    <w:pPr>
      <w:spacing w:after="200" w:line="276" w:lineRule="auto"/>
    </w:pPr>
    <w:rPr>
      <w:rFonts w:ascii="Calibri" w:eastAsia="Calibri" w:hAnsi="Calibri" w:cs="Calibri"/>
    </w:rPr>
  </w:style>
  <w:style w:type="paragraph" w:styleId="NormalWeb">
    <w:name w:val="Normal (Web)"/>
    <w:basedOn w:val="Normal"/>
    <w:uiPriority w:val="99"/>
    <w:unhideWhenUsed/>
    <w:rsid w:val="00F64851"/>
    <w:pPr>
      <w:spacing w:before="100" w:beforeAutospacing="1" w:after="100" w:afterAutospacing="1"/>
    </w:pPr>
    <w:rPr>
      <w:lang w:val="en-US"/>
    </w:rPr>
  </w:style>
  <w:style w:type="paragraph" w:customStyle="1" w:styleId="western">
    <w:name w:val="western"/>
    <w:basedOn w:val="Normal"/>
    <w:uiPriority w:val="99"/>
    <w:rsid w:val="00F64851"/>
    <w:pPr>
      <w:spacing w:before="100" w:beforeAutospacing="1" w:after="100" w:afterAutospacing="1"/>
    </w:pPr>
    <w:rPr>
      <w:lang w:val="en-US"/>
    </w:rPr>
  </w:style>
  <w:style w:type="character" w:customStyle="1" w:styleId="Heading2Char">
    <w:name w:val="Heading 2 Char"/>
    <w:basedOn w:val="DefaultParagraphFont"/>
    <w:link w:val="Heading2"/>
    <w:uiPriority w:val="9"/>
    <w:rsid w:val="00492FD0"/>
    <w:rPr>
      <w:rFonts w:asciiTheme="majorHAnsi" w:eastAsiaTheme="majorEastAsia" w:hAnsiTheme="majorHAnsi" w:cstheme="majorBidi"/>
      <w:color w:val="2E74B5" w:themeColor="accent1" w:themeShade="BF"/>
      <w:sz w:val="26"/>
      <w:szCs w:val="26"/>
      <w:lang w:val="en-GB"/>
    </w:rPr>
  </w:style>
  <w:style w:type="paragraph" w:styleId="BalloonText">
    <w:name w:val="Balloon Text"/>
    <w:basedOn w:val="Normal"/>
    <w:link w:val="BalloonTextChar"/>
    <w:uiPriority w:val="99"/>
    <w:semiHidden/>
    <w:unhideWhenUsed/>
    <w:rsid w:val="00B350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00C"/>
    <w:rPr>
      <w:rFonts w:ascii="Segoe UI" w:eastAsia="Times New Roman" w:hAnsi="Segoe UI" w:cs="Segoe UI"/>
      <w:sz w:val="18"/>
      <w:szCs w:val="18"/>
      <w:lang w:val="en-GB"/>
    </w:rPr>
  </w:style>
  <w:style w:type="character" w:customStyle="1" w:styleId="JUDGMENTNUMBEREDChar">
    <w:name w:val="JUDGMENT NUMBERED Char"/>
    <w:basedOn w:val="DefaultParagraphFont"/>
    <w:link w:val="JUDGMENTNUMBERED"/>
    <w:locked/>
    <w:rsid w:val="00EB6D39"/>
    <w:rPr>
      <w:rFonts w:ascii="Times New Roman" w:hAnsi="Times New Roman" w:cs="Times New Roman"/>
      <w:sz w:val="26"/>
    </w:rPr>
  </w:style>
  <w:style w:type="paragraph" w:customStyle="1" w:styleId="JUDGMENTCONTINUED">
    <w:name w:val="JUDGMENT CONTINUED"/>
    <w:basedOn w:val="JUDGMENTNUMBERED"/>
    <w:next w:val="JUDGMENTNUMBERED"/>
    <w:qFormat/>
    <w:rsid w:val="00EB6D39"/>
    <w:pPr>
      <w:numPr>
        <w:numId w:val="0"/>
      </w:numPr>
    </w:pPr>
  </w:style>
  <w:style w:type="paragraph" w:customStyle="1" w:styleId="JUDGMENTNUMBERED">
    <w:name w:val="JUDGMENT NUMBERED"/>
    <w:basedOn w:val="Normal"/>
    <w:next w:val="JUDGMENTCONTINUED"/>
    <w:link w:val="JUDGMENTNUMBEREDChar"/>
    <w:qFormat/>
    <w:rsid w:val="00EB6D39"/>
    <w:pPr>
      <w:numPr>
        <w:numId w:val="6"/>
      </w:numPr>
      <w:tabs>
        <w:tab w:val="left" w:pos="680"/>
      </w:tabs>
      <w:spacing w:line="480" w:lineRule="auto"/>
      <w:jc w:val="both"/>
    </w:pPr>
    <w:rPr>
      <w:rFonts w:eastAsiaTheme="minorHAnsi"/>
      <w:sz w:val="26"/>
      <w:szCs w:val="22"/>
      <w:lang w:val="en-ZA"/>
    </w:rPr>
  </w:style>
  <w:style w:type="paragraph" w:styleId="CommentText">
    <w:name w:val="annotation text"/>
    <w:basedOn w:val="Normal"/>
    <w:link w:val="CommentTextChar"/>
    <w:uiPriority w:val="99"/>
    <w:semiHidden/>
    <w:unhideWhenUsed/>
    <w:rsid w:val="00967011"/>
    <w:rPr>
      <w:sz w:val="20"/>
      <w:szCs w:val="20"/>
    </w:rPr>
  </w:style>
  <w:style w:type="character" w:customStyle="1" w:styleId="CommentTextChar">
    <w:name w:val="Comment Text Char"/>
    <w:basedOn w:val="DefaultParagraphFont"/>
    <w:link w:val="CommentText"/>
    <w:uiPriority w:val="99"/>
    <w:semiHidden/>
    <w:rsid w:val="0096701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AE5D3B"/>
    <w:rPr>
      <w:b/>
      <w:bCs/>
      <w:lang w:val="en-ZA"/>
    </w:rPr>
  </w:style>
  <w:style w:type="character" w:customStyle="1" w:styleId="CommentSubjectChar">
    <w:name w:val="Comment Subject Char"/>
    <w:basedOn w:val="CommentTextChar"/>
    <w:link w:val="CommentSubject"/>
    <w:semiHidden/>
    <w:rsid w:val="00AE5D3B"/>
    <w:rPr>
      <w:rFonts w:ascii="Times New Roman" w:eastAsia="Times New Roman" w:hAnsi="Times New Roman" w:cs="Times New Roman"/>
      <w:b/>
      <w:bCs/>
      <w:sz w:val="20"/>
      <w:szCs w:val="20"/>
      <w:lang w:val="en-GB"/>
    </w:rPr>
  </w:style>
  <w:style w:type="paragraph" w:styleId="Revision">
    <w:name w:val="Revision"/>
    <w:hidden/>
    <w:uiPriority w:val="99"/>
    <w:semiHidden/>
    <w:rsid w:val="00E7362B"/>
    <w:pPr>
      <w:spacing w:after="0" w:line="240" w:lineRule="auto"/>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AC1DCA"/>
    <w:rPr>
      <w:sz w:val="16"/>
      <w:szCs w:val="16"/>
    </w:rPr>
  </w:style>
  <w:style w:type="character" w:customStyle="1" w:styleId="footnotedescriptionChar">
    <w:name w:val="footnote description Char"/>
    <w:link w:val="footnotedescription"/>
    <w:locked/>
    <w:rsid w:val="005A125A"/>
    <w:rPr>
      <w:rFonts w:ascii="Times New Roman" w:eastAsia="Times New Roman" w:hAnsi="Times New Roman" w:cs="Times New Roman"/>
      <w:color w:val="000000"/>
      <w:sz w:val="20"/>
    </w:rPr>
  </w:style>
  <w:style w:type="paragraph" w:customStyle="1" w:styleId="footnotedescription">
    <w:name w:val="footnote description"/>
    <w:next w:val="Normal"/>
    <w:link w:val="footnotedescriptionChar"/>
    <w:rsid w:val="005A125A"/>
    <w:pPr>
      <w:spacing w:after="107" w:line="256" w:lineRule="auto"/>
    </w:pPr>
    <w:rPr>
      <w:rFonts w:ascii="Times New Roman" w:eastAsia="Times New Roman" w:hAnsi="Times New Roman" w:cs="Times New Roman"/>
      <w:color w:val="000000"/>
      <w:sz w:val="20"/>
    </w:rPr>
  </w:style>
  <w:style w:type="character" w:customStyle="1" w:styleId="footnotemark">
    <w:name w:val="footnote mark"/>
    <w:rsid w:val="005A125A"/>
    <w:rPr>
      <w:rFonts w:ascii="Times New Roman" w:eastAsia="Times New Roman" w:hAnsi="Times New Roman" w:cs="Times New Roman" w:hint="default"/>
      <w:color w:val="000000"/>
      <w:sz w:val="20"/>
      <w:vertAlign w:val="superscript"/>
    </w:rPr>
  </w:style>
  <w:style w:type="character" w:styleId="FollowedHyperlink">
    <w:name w:val="FollowedHyperlink"/>
    <w:basedOn w:val="DefaultParagraphFont"/>
    <w:uiPriority w:val="99"/>
    <w:semiHidden/>
    <w:unhideWhenUsed/>
    <w:rsid w:val="009857E8"/>
    <w:rPr>
      <w:color w:val="954F72" w:themeColor="followedHyperlink"/>
      <w:u w:val="single"/>
    </w:rPr>
  </w:style>
  <w:style w:type="paragraph" w:styleId="Footer">
    <w:name w:val="footer"/>
    <w:basedOn w:val="Normal"/>
    <w:link w:val="FooterChar"/>
    <w:uiPriority w:val="99"/>
    <w:unhideWhenUsed/>
    <w:rsid w:val="00DC2C50"/>
    <w:pPr>
      <w:tabs>
        <w:tab w:val="center" w:pos="4513"/>
        <w:tab w:val="right" w:pos="9026"/>
      </w:tabs>
    </w:pPr>
  </w:style>
  <w:style w:type="character" w:customStyle="1" w:styleId="FooterChar">
    <w:name w:val="Footer Char"/>
    <w:basedOn w:val="DefaultParagraphFont"/>
    <w:link w:val="Footer"/>
    <w:uiPriority w:val="99"/>
    <w:rsid w:val="00DC2C50"/>
    <w:rPr>
      <w:rFonts w:ascii="Times New Roman" w:eastAsia="Times New Roman" w:hAnsi="Times New Roman" w:cs="Times New Roman"/>
      <w:sz w:val="24"/>
      <w:szCs w:val="24"/>
      <w:lang w:val="en-GB"/>
    </w:rPr>
  </w:style>
  <w:style w:type="table" w:styleId="TableGrid">
    <w:name w:val="Table Grid"/>
    <w:basedOn w:val="TableNormal"/>
    <w:uiPriority w:val="39"/>
    <w:rsid w:val="005C079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74">
      <w:bodyDiv w:val="1"/>
      <w:marLeft w:val="0"/>
      <w:marRight w:val="0"/>
      <w:marTop w:val="0"/>
      <w:marBottom w:val="0"/>
      <w:divBdr>
        <w:top w:val="none" w:sz="0" w:space="0" w:color="auto"/>
        <w:left w:val="none" w:sz="0" w:space="0" w:color="auto"/>
        <w:bottom w:val="none" w:sz="0" w:space="0" w:color="auto"/>
        <w:right w:val="none" w:sz="0" w:space="0" w:color="auto"/>
      </w:divBdr>
    </w:div>
    <w:div w:id="35283207">
      <w:bodyDiv w:val="1"/>
      <w:marLeft w:val="0"/>
      <w:marRight w:val="0"/>
      <w:marTop w:val="0"/>
      <w:marBottom w:val="0"/>
      <w:divBdr>
        <w:top w:val="none" w:sz="0" w:space="0" w:color="auto"/>
        <w:left w:val="none" w:sz="0" w:space="0" w:color="auto"/>
        <w:bottom w:val="none" w:sz="0" w:space="0" w:color="auto"/>
        <w:right w:val="none" w:sz="0" w:space="0" w:color="auto"/>
      </w:divBdr>
    </w:div>
    <w:div w:id="58019483">
      <w:bodyDiv w:val="1"/>
      <w:marLeft w:val="0"/>
      <w:marRight w:val="0"/>
      <w:marTop w:val="0"/>
      <w:marBottom w:val="0"/>
      <w:divBdr>
        <w:top w:val="none" w:sz="0" w:space="0" w:color="auto"/>
        <w:left w:val="none" w:sz="0" w:space="0" w:color="auto"/>
        <w:bottom w:val="none" w:sz="0" w:space="0" w:color="auto"/>
        <w:right w:val="none" w:sz="0" w:space="0" w:color="auto"/>
      </w:divBdr>
    </w:div>
    <w:div w:id="63796147">
      <w:bodyDiv w:val="1"/>
      <w:marLeft w:val="0"/>
      <w:marRight w:val="0"/>
      <w:marTop w:val="0"/>
      <w:marBottom w:val="0"/>
      <w:divBdr>
        <w:top w:val="none" w:sz="0" w:space="0" w:color="auto"/>
        <w:left w:val="none" w:sz="0" w:space="0" w:color="auto"/>
        <w:bottom w:val="none" w:sz="0" w:space="0" w:color="auto"/>
        <w:right w:val="none" w:sz="0" w:space="0" w:color="auto"/>
      </w:divBdr>
    </w:div>
    <w:div w:id="65956854">
      <w:bodyDiv w:val="1"/>
      <w:marLeft w:val="0"/>
      <w:marRight w:val="0"/>
      <w:marTop w:val="0"/>
      <w:marBottom w:val="0"/>
      <w:divBdr>
        <w:top w:val="none" w:sz="0" w:space="0" w:color="auto"/>
        <w:left w:val="none" w:sz="0" w:space="0" w:color="auto"/>
        <w:bottom w:val="none" w:sz="0" w:space="0" w:color="auto"/>
        <w:right w:val="none" w:sz="0" w:space="0" w:color="auto"/>
      </w:divBdr>
    </w:div>
    <w:div w:id="74212042">
      <w:bodyDiv w:val="1"/>
      <w:marLeft w:val="0"/>
      <w:marRight w:val="0"/>
      <w:marTop w:val="0"/>
      <w:marBottom w:val="0"/>
      <w:divBdr>
        <w:top w:val="none" w:sz="0" w:space="0" w:color="auto"/>
        <w:left w:val="none" w:sz="0" w:space="0" w:color="auto"/>
        <w:bottom w:val="none" w:sz="0" w:space="0" w:color="auto"/>
        <w:right w:val="none" w:sz="0" w:space="0" w:color="auto"/>
      </w:divBdr>
    </w:div>
    <w:div w:id="77413330">
      <w:bodyDiv w:val="1"/>
      <w:marLeft w:val="0"/>
      <w:marRight w:val="0"/>
      <w:marTop w:val="0"/>
      <w:marBottom w:val="0"/>
      <w:divBdr>
        <w:top w:val="none" w:sz="0" w:space="0" w:color="auto"/>
        <w:left w:val="none" w:sz="0" w:space="0" w:color="auto"/>
        <w:bottom w:val="none" w:sz="0" w:space="0" w:color="auto"/>
        <w:right w:val="none" w:sz="0" w:space="0" w:color="auto"/>
      </w:divBdr>
    </w:div>
    <w:div w:id="93477581">
      <w:bodyDiv w:val="1"/>
      <w:marLeft w:val="0"/>
      <w:marRight w:val="0"/>
      <w:marTop w:val="0"/>
      <w:marBottom w:val="0"/>
      <w:divBdr>
        <w:top w:val="none" w:sz="0" w:space="0" w:color="auto"/>
        <w:left w:val="none" w:sz="0" w:space="0" w:color="auto"/>
        <w:bottom w:val="none" w:sz="0" w:space="0" w:color="auto"/>
        <w:right w:val="none" w:sz="0" w:space="0" w:color="auto"/>
      </w:divBdr>
    </w:div>
    <w:div w:id="100880848">
      <w:bodyDiv w:val="1"/>
      <w:marLeft w:val="0"/>
      <w:marRight w:val="0"/>
      <w:marTop w:val="0"/>
      <w:marBottom w:val="0"/>
      <w:divBdr>
        <w:top w:val="none" w:sz="0" w:space="0" w:color="auto"/>
        <w:left w:val="none" w:sz="0" w:space="0" w:color="auto"/>
        <w:bottom w:val="none" w:sz="0" w:space="0" w:color="auto"/>
        <w:right w:val="none" w:sz="0" w:space="0" w:color="auto"/>
      </w:divBdr>
    </w:div>
    <w:div w:id="101001968">
      <w:bodyDiv w:val="1"/>
      <w:marLeft w:val="0"/>
      <w:marRight w:val="0"/>
      <w:marTop w:val="0"/>
      <w:marBottom w:val="0"/>
      <w:divBdr>
        <w:top w:val="none" w:sz="0" w:space="0" w:color="auto"/>
        <w:left w:val="none" w:sz="0" w:space="0" w:color="auto"/>
        <w:bottom w:val="none" w:sz="0" w:space="0" w:color="auto"/>
        <w:right w:val="none" w:sz="0" w:space="0" w:color="auto"/>
      </w:divBdr>
    </w:div>
    <w:div w:id="120349919">
      <w:bodyDiv w:val="1"/>
      <w:marLeft w:val="0"/>
      <w:marRight w:val="0"/>
      <w:marTop w:val="0"/>
      <w:marBottom w:val="0"/>
      <w:divBdr>
        <w:top w:val="none" w:sz="0" w:space="0" w:color="auto"/>
        <w:left w:val="none" w:sz="0" w:space="0" w:color="auto"/>
        <w:bottom w:val="none" w:sz="0" w:space="0" w:color="auto"/>
        <w:right w:val="none" w:sz="0" w:space="0" w:color="auto"/>
      </w:divBdr>
      <w:divsChild>
        <w:div w:id="1211307303">
          <w:marLeft w:val="0"/>
          <w:marRight w:val="0"/>
          <w:marTop w:val="120"/>
          <w:marBottom w:val="0"/>
          <w:divBdr>
            <w:top w:val="none" w:sz="0" w:space="0" w:color="auto"/>
            <w:left w:val="none" w:sz="0" w:space="0" w:color="auto"/>
            <w:bottom w:val="none" w:sz="0" w:space="0" w:color="auto"/>
            <w:right w:val="none" w:sz="0" w:space="0" w:color="auto"/>
          </w:divBdr>
        </w:div>
      </w:divsChild>
    </w:div>
    <w:div w:id="121196711">
      <w:bodyDiv w:val="1"/>
      <w:marLeft w:val="0"/>
      <w:marRight w:val="0"/>
      <w:marTop w:val="0"/>
      <w:marBottom w:val="0"/>
      <w:divBdr>
        <w:top w:val="none" w:sz="0" w:space="0" w:color="auto"/>
        <w:left w:val="none" w:sz="0" w:space="0" w:color="auto"/>
        <w:bottom w:val="none" w:sz="0" w:space="0" w:color="auto"/>
        <w:right w:val="none" w:sz="0" w:space="0" w:color="auto"/>
      </w:divBdr>
    </w:div>
    <w:div w:id="146630613">
      <w:bodyDiv w:val="1"/>
      <w:marLeft w:val="0"/>
      <w:marRight w:val="0"/>
      <w:marTop w:val="0"/>
      <w:marBottom w:val="0"/>
      <w:divBdr>
        <w:top w:val="none" w:sz="0" w:space="0" w:color="auto"/>
        <w:left w:val="none" w:sz="0" w:space="0" w:color="auto"/>
        <w:bottom w:val="none" w:sz="0" w:space="0" w:color="auto"/>
        <w:right w:val="none" w:sz="0" w:space="0" w:color="auto"/>
      </w:divBdr>
    </w:div>
    <w:div w:id="148520663">
      <w:bodyDiv w:val="1"/>
      <w:marLeft w:val="0"/>
      <w:marRight w:val="0"/>
      <w:marTop w:val="0"/>
      <w:marBottom w:val="0"/>
      <w:divBdr>
        <w:top w:val="none" w:sz="0" w:space="0" w:color="auto"/>
        <w:left w:val="none" w:sz="0" w:space="0" w:color="auto"/>
        <w:bottom w:val="none" w:sz="0" w:space="0" w:color="auto"/>
        <w:right w:val="none" w:sz="0" w:space="0" w:color="auto"/>
      </w:divBdr>
    </w:div>
    <w:div w:id="155195205">
      <w:bodyDiv w:val="1"/>
      <w:marLeft w:val="0"/>
      <w:marRight w:val="0"/>
      <w:marTop w:val="0"/>
      <w:marBottom w:val="0"/>
      <w:divBdr>
        <w:top w:val="none" w:sz="0" w:space="0" w:color="auto"/>
        <w:left w:val="none" w:sz="0" w:space="0" w:color="auto"/>
        <w:bottom w:val="none" w:sz="0" w:space="0" w:color="auto"/>
        <w:right w:val="none" w:sz="0" w:space="0" w:color="auto"/>
      </w:divBdr>
    </w:div>
    <w:div w:id="164831652">
      <w:bodyDiv w:val="1"/>
      <w:marLeft w:val="0"/>
      <w:marRight w:val="0"/>
      <w:marTop w:val="0"/>
      <w:marBottom w:val="0"/>
      <w:divBdr>
        <w:top w:val="none" w:sz="0" w:space="0" w:color="auto"/>
        <w:left w:val="none" w:sz="0" w:space="0" w:color="auto"/>
        <w:bottom w:val="none" w:sz="0" w:space="0" w:color="auto"/>
        <w:right w:val="none" w:sz="0" w:space="0" w:color="auto"/>
      </w:divBdr>
    </w:div>
    <w:div w:id="172425702">
      <w:bodyDiv w:val="1"/>
      <w:marLeft w:val="0"/>
      <w:marRight w:val="0"/>
      <w:marTop w:val="0"/>
      <w:marBottom w:val="0"/>
      <w:divBdr>
        <w:top w:val="none" w:sz="0" w:space="0" w:color="auto"/>
        <w:left w:val="none" w:sz="0" w:space="0" w:color="auto"/>
        <w:bottom w:val="none" w:sz="0" w:space="0" w:color="auto"/>
        <w:right w:val="none" w:sz="0" w:space="0" w:color="auto"/>
      </w:divBdr>
    </w:div>
    <w:div w:id="175848043">
      <w:bodyDiv w:val="1"/>
      <w:marLeft w:val="0"/>
      <w:marRight w:val="0"/>
      <w:marTop w:val="0"/>
      <w:marBottom w:val="0"/>
      <w:divBdr>
        <w:top w:val="none" w:sz="0" w:space="0" w:color="auto"/>
        <w:left w:val="none" w:sz="0" w:space="0" w:color="auto"/>
        <w:bottom w:val="none" w:sz="0" w:space="0" w:color="auto"/>
        <w:right w:val="none" w:sz="0" w:space="0" w:color="auto"/>
      </w:divBdr>
    </w:div>
    <w:div w:id="190262017">
      <w:bodyDiv w:val="1"/>
      <w:marLeft w:val="0"/>
      <w:marRight w:val="0"/>
      <w:marTop w:val="0"/>
      <w:marBottom w:val="0"/>
      <w:divBdr>
        <w:top w:val="none" w:sz="0" w:space="0" w:color="auto"/>
        <w:left w:val="none" w:sz="0" w:space="0" w:color="auto"/>
        <w:bottom w:val="none" w:sz="0" w:space="0" w:color="auto"/>
        <w:right w:val="none" w:sz="0" w:space="0" w:color="auto"/>
      </w:divBdr>
    </w:div>
    <w:div w:id="192161228">
      <w:bodyDiv w:val="1"/>
      <w:marLeft w:val="0"/>
      <w:marRight w:val="0"/>
      <w:marTop w:val="0"/>
      <w:marBottom w:val="0"/>
      <w:divBdr>
        <w:top w:val="none" w:sz="0" w:space="0" w:color="auto"/>
        <w:left w:val="none" w:sz="0" w:space="0" w:color="auto"/>
        <w:bottom w:val="none" w:sz="0" w:space="0" w:color="auto"/>
        <w:right w:val="none" w:sz="0" w:space="0" w:color="auto"/>
      </w:divBdr>
    </w:div>
    <w:div w:id="199903348">
      <w:bodyDiv w:val="1"/>
      <w:marLeft w:val="0"/>
      <w:marRight w:val="0"/>
      <w:marTop w:val="0"/>
      <w:marBottom w:val="0"/>
      <w:divBdr>
        <w:top w:val="none" w:sz="0" w:space="0" w:color="auto"/>
        <w:left w:val="none" w:sz="0" w:space="0" w:color="auto"/>
        <w:bottom w:val="none" w:sz="0" w:space="0" w:color="auto"/>
        <w:right w:val="none" w:sz="0" w:space="0" w:color="auto"/>
      </w:divBdr>
    </w:div>
    <w:div w:id="211506914">
      <w:bodyDiv w:val="1"/>
      <w:marLeft w:val="0"/>
      <w:marRight w:val="0"/>
      <w:marTop w:val="0"/>
      <w:marBottom w:val="0"/>
      <w:divBdr>
        <w:top w:val="none" w:sz="0" w:space="0" w:color="auto"/>
        <w:left w:val="none" w:sz="0" w:space="0" w:color="auto"/>
        <w:bottom w:val="none" w:sz="0" w:space="0" w:color="auto"/>
        <w:right w:val="none" w:sz="0" w:space="0" w:color="auto"/>
      </w:divBdr>
    </w:div>
    <w:div w:id="218514225">
      <w:bodyDiv w:val="1"/>
      <w:marLeft w:val="0"/>
      <w:marRight w:val="0"/>
      <w:marTop w:val="0"/>
      <w:marBottom w:val="0"/>
      <w:divBdr>
        <w:top w:val="none" w:sz="0" w:space="0" w:color="auto"/>
        <w:left w:val="none" w:sz="0" w:space="0" w:color="auto"/>
        <w:bottom w:val="none" w:sz="0" w:space="0" w:color="auto"/>
        <w:right w:val="none" w:sz="0" w:space="0" w:color="auto"/>
      </w:divBdr>
    </w:div>
    <w:div w:id="230776426">
      <w:bodyDiv w:val="1"/>
      <w:marLeft w:val="0"/>
      <w:marRight w:val="0"/>
      <w:marTop w:val="0"/>
      <w:marBottom w:val="0"/>
      <w:divBdr>
        <w:top w:val="none" w:sz="0" w:space="0" w:color="auto"/>
        <w:left w:val="none" w:sz="0" w:space="0" w:color="auto"/>
        <w:bottom w:val="none" w:sz="0" w:space="0" w:color="auto"/>
        <w:right w:val="none" w:sz="0" w:space="0" w:color="auto"/>
      </w:divBdr>
    </w:div>
    <w:div w:id="230963578">
      <w:bodyDiv w:val="1"/>
      <w:marLeft w:val="0"/>
      <w:marRight w:val="0"/>
      <w:marTop w:val="0"/>
      <w:marBottom w:val="0"/>
      <w:divBdr>
        <w:top w:val="none" w:sz="0" w:space="0" w:color="auto"/>
        <w:left w:val="none" w:sz="0" w:space="0" w:color="auto"/>
        <w:bottom w:val="none" w:sz="0" w:space="0" w:color="auto"/>
        <w:right w:val="none" w:sz="0" w:space="0" w:color="auto"/>
      </w:divBdr>
    </w:div>
    <w:div w:id="233929451">
      <w:bodyDiv w:val="1"/>
      <w:marLeft w:val="0"/>
      <w:marRight w:val="0"/>
      <w:marTop w:val="0"/>
      <w:marBottom w:val="0"/>
      <w:divBdr>
        <w:top w:val="none" w:sz="0" w:space="0" w:color="auto"/>
        <w:left w:val="none" w:sz="0" w:space="0" w:color="auto"/>
        <w:bottom w:val="none" w:sz="0" w:space="0" w:color="auto"/>
        <w:right w:val="none" w:sz="0" w:space="0" w:color="auto"/>
      </w:divBdr>
    </w:div>
    <w:div w:id="270551435">
      <w:bodyDiv w:val="1"/>
      <w:marLeft w:val="0"/>
      <w:marRight w:val="0"/>
      <w:marTop w:val="0"/>
      <w:marBottom w:val="0"/>
      <w:divBdr>
        <w:top w:val="none" w:sz="0" w:space="0" w:color="auto"/>
        <w:left w:val="none" w:sz="0" w:space="0" w:color="auto"/>
        <w:bottom w:val="none" w:sz="0" w:space="0" w:color="auto"/>
        <w:right w:val="none" w:sz="0" w:space="0" w:color="auto"/>
      </w:divBdr>
    </w:div>
    <w:div w:id="277563046">
      <w:bodyDiv w:val="1"/>
      <w:marLeft w:val="0"/>
      <w:marRight w:val="0"/>
      <w:marTop w:val="0"/>
      <w:marBottom w:val="0"/>
      <w:divBdr>
        <w:top w:val="none" w:sz="0" w:space="0" w:color="auto"/>
        <w:left w:val="none" w:sz="0" w:space="0" w:color="auto"/>
        <w:bottom w:val="none" w:sz="0" w:space="0" w:color="auto"/>
        <w:right w:val="none" w:sz="0" w:space="0" w:color="auto"/>
      </w:divBdr>
    </w:div>
    <w:div w:id="283729393">
      <w:bodyDiv w:val="1"/>
      <w:marLeft w:val="0"/>
      <w:marRight w:val="0"/>
      <w:marTop w:val="0"/>
      <w:marBottom w:val="0"/>
      <w:divBdr>
        <w:top w:val="none" w:sz="0" w:space="0" w:color="auto"/>
        <w:left w:val="none" w:sz="0" w:space="0" w:color="auto"/>
        <w:bottom w:val="none" w:sz="0" w:space="0" w:color="auto"/>
        <w:right w:val="none" w:sz="0" w:space="0" w:color="auto"/>
      </w:divBdr>
    </w:div>
    <w:div w:id="291328584">
      <w:bodyDiv w:val="1"/>
      <w:marLeft w:val="0"/>
      <w:marRight w:val="0"/>
      <w:marTop w:val="0"/>
      <w:marBottom w:val="0"/>
      <w:divBdr>
        <w:top w:val="none" w:sz="0" w:space="0" w:color="auto"/>
        <w:left w:val="none" w:sz="0" w:space="0" w:color="auto"/>
        <w:bottom w:val="none" w:sz="0" w:space="0" w:color="auto"/>
        <w:right w:val="none" w:sz="0" w:space="0" w:color="auto"/>
      </w:divBdr>
    </w:div>
    <w:div w:id="304480925">
      <w:bodyDiv w:val="1"/>
      <w:marLeft w:val="0"/>
      <w:marRight w:val="0"/>
      <w:marTop w:val="0"/>
      <w:marBottom w:val="0"/>
      <w:divBdr>
        <w:top w:val="none" w:sz="0" w:space="0" w:color="auto"/>
        <w:left w:val="none" w:sz="0" w:space="0" w:color="auto"/>
        <w:bottom w:val="none" w:sz="0" w:space="0" w:color="auto"/>
        <w:right w:val="none" w:sz="0" w:space="0" w:color="auto"/>
      </w:divBdr>
    </w:div>
    <w:div w:id="319971431">
      <w:bodyDiv w:val="1"/>
      <w:marLeft w:val="0"/>
      <w:marRight w:val="0"/>
      <w:marTop w:val="0"/>
      <w:marBottom w:val="0"/>
      <w:divBdr>
        <w:top w:val="none" w:sz="0" w:space="0" w:color="auto"/>
        <w:left w:val="none" w:sz="0" w:space="0" w:color="auto"/>
        <w:bottom w:val="none" w:sz="0" w:space="0" w:color="auto"/>
        <w:right w:val="none" w:sz="0" w:space="0" w:color="auto"/>
      </w:divBdr>
    </w:div>
    <w:div w:id="336808254">
      <w:bodyDiv w:val="1"/>
      <w:marLeft w:val="0"/>
      <w:marRight w:val="0"/>
      <w:marTop w:val="0"/>
      <w:marBottom w:val="0"/>
      <w:divBdr>
        <w:top w:val="none" w:sz="0" w:space="0" w:color="auto"/>
        <w:left w:val="none" w:sz="0" w:space="0" w:color="auto"/>
        <w:bottom w:val="none" w:sz="0" w:space="0" w:color="auto"/>
        <w:right w:val="none" w:sz="0" w:space="0" w:color="auto"/>
      </w:divBdr>
    </w:div>
    <w:div w:id="341978866">
      <w:bodyDiv w:val="1"/>
      <w:marLeft w:val="0"/>
      <w:marRight w:val="0"/>
      <w:marTop w:val="0"/>
      <w:marBottom w:val="0"/>
      <w:divBdr>
        <w:top w:val="none" w:sz="0" w:space="0" w:color="auto"/>
        <w:left w:val="none" w:sz="0" w:space="0" w:color="auto"/>
        <w:bottom w:val="none" w:sz="0" w:space="0" w:color="auto"/>
        <w:right w:val="none" w:sz="0" w:space="0" w:color="auto"/>
      </w:divBdr>
    </w:div>
    <w:div w:id="343285924">
      <w:bodyDiv w:val="1"/>
      <w:marLeft w:val="0"/>
      <w:marRight w:val="0"/>
      <w:marTop w:val="0"/>
      <w:marBottom w:val="0"/>
      <w:divBdr>
        <w:top w:val="none" w:sz="0" w:space="0" w:color="auto"/>
        <w:left w:val="none" w:sz="0" w:space="0" w:color="auto"/>
        <w:bottom w:val="none" w:sz="0" w:space="0" w:color="auto"/>
        <w:right w:val="none" w:sz="0" w:space="0" w:color="auto"/>
      </w:divBdr>
    </w:div>
    <w:div w:id="356201614">
      <w:bodyDiv w:val="1"/>
      <w:marLeft w:val="0"/>
      <w:marRight w:val="0"/>
      <w:marTop w:val="0"/>
      <w:marBottom w:val="0"/>
      <w:divBdr>
        <w:top w:val="none" w:sz="0" w:space="0" w:color="auto"/>
        <w:left w:val="none" w:sz="0" w:space="0" w:color="auto"/>
        <w:bottom w:val="none" w:sz="0" w:space="0" w:color="auto"/>
        <w:right w:val="none" w:sz="0" w:space="0" w:color="auto"/>
      </w:divBdr>
    </w:div>
    <w:div w:id="357775203">
      <w:bodyDiv w:val="1"/>
      <w:marLeft w:val="0"/>
      <w:marRight w:val="0"/>
      <w:marTop w:val="0"/>
      <w:marBottom w:val="0"/>
      <w:divBdr>
        <w:top w:val="none" w:sz="0" w:space="0" w:color="auto"/>
        <w:left w:val="none" w:sz="0" w:space="0" w:color="auto"/>
        <w:bottom w:val="none" w:sz="0" w:space="0" w:color="auto"/>
        <w:right w:val="none" w:sz="0" w:space="0" w:color="auto"/>
      </w:divBdr>
    </w:div>
    <w:div w:id="379550791">
      <w:bodyDiv w:val="1"/>
      <w:marLeft w:val="0"/>
      <w:marRight w:val="0"/>
      <w:marTop w:val="0"/>
      <w:marBottom w:val="0"/>
      <w:divBdr>
        <w:top w:val="none" w:sz="0" w:space="0" w:color="auto"/>
        <w:left w:val="none" w:sz="0" w:space="0" w:color="auto"/>
        <w:bottom w:val="none" w:sz="0" w:space="0" w:color="auto"/>
        <w:right w:val="none" w:sz="0" w:space="0" w:color="auto"/>
      </w:divBdr>
    </w:div>
    <w:div w:id="396822652">
      <w:bodyDiv w:val="1"/>
      <w:marLeft w:val="0"/>
      <w:marRight w:val="0"/>
      <w:marTop w:val="0"/>
      <w:marBottom w:val="0"/>
      <w:divBdr>
        <w:top w:val="none" w:sz="0" w:space="0" w:color="auto"/>
        <w:left w:val="none" w:sz="0" w:space="0" w:color="auto"/>
        <w:bottom w:val="none" w:sz="0" w:space="0" w:color="auto"/>
        <w:right w:val="none" w:sz="0" w:space="0" w:color="auto"/>
      </w:divBdr>
    </w:div>
    <w:div w:id="397749262">
      <w:bodyDiv w:val="1"/>
      <w:marLeft w:val="0"/>
      <w:marRight w:val="0"/>
      <w:marTop w:val="0"/>
      <w:marBottom w:val="0"/>
      <w:divBdr>
        <w:top w:val="none" w:sz="0" w:space="0" w:color="auto"/>
        <w:left w:val="none" w:sz="0" w:space="0" w:color="auto"/>
        <w:bottom w:val="none" w:sz="0" w:space="0" w:color="auto"/>
        <w:right w:val="none" w:sz="0" w:space="0" w:color="auto"/>
      </w:divBdr>
    </w:div>
    <w:div w:id="441417584">
      <w:bodyDiv w:val="1"/>
      <w:marLeft w:val="0"/>
      <w:marRight w:val="0"/>
      <w:marTop w:val="0"/>
      <w:marBottom w:val="0"/>
      <w:divBdr>
        <w:top w:val="none" w:sz="0" w:space="0" w:color="auto"/>
        <w:left w:val="none" w:sz="0" w:space="0" w:color="auto"/>
        <w:bottom w:val="none" w:sz="0" w:space="0" w:color="auto"/>
        <w:right w:val="none" w:sz="0" w:space="0" w:color="auto"/>
      </w:divBdr>
    </w:div>
    <w:div w:id="467435382">
      <w:bodyDiv w:val="1"/>
      <w:marLeft w:val="0"/>
      <w:marRight w:val="0"/>
      <w:marTop w:val="0"/>
      <w:marBottom w:val="0"/>
      <w:divBdr>
        <w:top w:val="none" w:sz="0" w:space="0" w:color="auto"/>
        <w:left w:val="none" w:sz="0" w:space="0" w:color="auto"/>
        <w:bottom w:val="none" w:sz="0" w:space="0" w:color="auto"/>
        <w:right w:val="none" w:sz="0" w:space="0" w:color="auto"/>
      </w:divBdr>
    </w:div>
    <w:div w:id="509491275">
      <w:bodyDiv w:val="1"/>
      <w:marLeft w:val="0"/>
      <w:marRight w:val="0"/>
      <w:marTop w:val="0"/>
      <w:marBottom w:val="0"/>
      <w:divBdr>
        <w:top w:val="none" w:sz="0" w:space="0" w:color="auto"/>
        <w:left w:val="none" w:sz="0" w:space="0" w:color="auto"/>
        <w:bottom w:val="none" w:sz="0" w:space="0" w:color="auto"/>
        <w:right w:val="none" w:sz="0" w:space="0" w:color="auto"/>
      </w:divBdr>
    </w:div>
    <w:div w:id="526603598">
      <w:bodyDiv w:val="1"/>
      <w:marLeft w:val="0"/>
      <w:marRight w:val="0"/>
      <w:marTop w:val="0"/>
      <w:marBottom w:val="0"/>
      <w:divBdr>
        <w:top w:val="none" w:sz="0" w:space="0" w:color="auto"/>
        <w:left w:val="none" w:sz="0" w:space="0" w:color="auto"/>
        <w:bottom w:val="none" w:sz="0" w:space="0" w:color="auto"/>
        <w:right w:val="none" w:sz="0" w:space="0" w:color="auto"/>
      </w:divBdr>
    </w:div>
    <w:div w:id="574243607">
      <w:bodyDiv w:val="1"/>
      <w:marLeft w:val="0"/>
      <w:marRight w:val="0"/>
      <w:marTop w:val="0"/>
      <w:marBottom w:val="0"/>
      <w:divBdr>
        <w:top w:val="none" w:sz="0" w:space="0" w:color="auto"/>
        <w:left w:val="none" w:sz="0" w:space="0" w:color="auto"/>
        <w:bottom w:val="none" w:sz="0" w:space="0" w:color="auto"/>
        <w:right w:val="none" w:sz="0" w:space="0" w:color="auto"/>
      </w:divBdr>
    </w:div>
    <w:div w:id="577599050">
      <w:bodyDiv w:val="1"/>
      <w:marLeft w:val="0"/>
      <w:marRight w:val="0"/>
      <w:marTop w:val="0"/>
      <w:marBottom w:val="0"/>
      <w:divBdr>
        <w:top w:val="none" w:sz="0" w:space="0" w:color="auto"/>
        <w:left w:val="none" w:sz="0" w:space="0" w:color="auto"/>
        <w:bottom w:val="none" w:sz="0" w:space="0" w:color="auto"/>
        <w:right w:val="none" w:sz="0" w:space="0" w:color="auto"/>
      </w:divBdr>
    </w:div>
    <w:div w:id="590701820">
      <w:bodyDiv w:val="1"/>
      <w:marLeft w:val="0"/>
      <w:marRight w:val="0"/>
      <w:marTop w:val="0"/>
      <w:marBottom w:val="0"/>
      <w:divBdr>
        <w:top w:val="none" w:sz="0" w:space="0" w:color="auto"/>
        <w:left w:val="none" w:sz="0" w:space="0" w:color="auto"/>
        <w:bottom w:val="none" w:sz="0" w:space="0" w:color="auto"/>
        <w:right w:val="none" w:sz="0" w:space="0" w:color="auto"/>
      </w:divBdr>
    </w:div>
    <w:div w:id="592007412">
      <w:bodyDiv w:val="1"/>
      <w:marLeft w:val="0"/>
      <w:marRight w:val="0"/>
      <w:marTop w:val="0"/>
      <w:marBottom w:val="0"/>
      <w:divBdr>
        <w:top w:val="none" w:sz="0" w:space="0" w:color="auto"/>
        <w:left w:val="none" w:sz="0" w:space="0" w:color="auto"/>
        <w:bottom w:val="none" w:sz="0" w:space="0" w:color="auto"/>
        <w:right w:val="none" w:sz="0" w:space="0" w:color="auto"/>
      </w:divBdr>
    </w:div>
    <w:div w:id="595402058">
      <w:bodyDiv w:val="1"/>
      <w:marLeft w:val="0"/>
      <w:marRight w:val="0"/>
      <w:marTop w:val="0"/>
      <w:marBottom w:val="0"/>
      <w:divBdr>
        <w:top w:val="none" w:sz="0" w:space="0" w:color="auto"/>
        <w:left w:val="none" w:sz="0" w:space="0" w:color="auto"/>
        <w:bottom w:val="none" w:sz="0" w:space="0" w:color="auto"/>
        <w:right w:val="none" w:sz="0" w:space="0" w:color="auto"/>
      </w:divBdr>
    </w:div>
    <w:div w:id="596403212">
      <w:bodyDiv w:val="1"/>
      <w:marLeft w:val="0"/>
      <w:marRight w:val="0"/>
      <w:marTop w:val="0"/>
      <w:marBottom w:val="0"/>
      <w:divBdr>
        <w:top w:val="none" w:sz="0" w:space="0" w:color="auto"/>
        <w:left w:val="none" w:sz="0" w:space="0" w:color="auto"/>
        <w:bottom w:val="none" w:sz="0" w:space="0" w:color="auto"/>
        <w:right w:val="none" w:sz="0" w:space="0" w:color="auto"/>
      </w:divBdr>
    </w:div>
    <w:div w:id="608121976">
      <w:bodyDiv w:val="1"/>
      <w:marLeft w:val="0"/>
      <w:marRight w:val="0"/>
      <w:marTop w:val="0"/>
      <w:marBottom w:val="0"/>
      <w:divBdr>
        <w:top w:val="none" w:sz="0" w:space="0" w:color="auto"/>
        <w:left w:val="none" w:sz="0" w:space="0" w:color="auto"/>
        <w:bottom w:val="none" w:sz="0" w:space="0" w:color="auto"/>
        <w:right w:val="none" w:sz="0" w:space="0" w:color="auto"/>
      </w:divBdr>
    </w:div>
    <w:div w:id="614943858">
      <w:bodyDiv w:val="1"/>
      <w:marLeft w:val="0"/>
      <w:marRight w:val="0"/>
      <w:marTop w:val="0"/>
      <w:marBottom w:val="0"/>
      <w:divBdr>
        <w:top w:val="none" w:sz="0" w:space="0" w:color="auto"/>
        <w:left w:val="none" w:sz="0" w:space="0" w:color="auto"/>
        <w:bottom w:val="none" w:sz="0" w:space="0" w:color="auto"/>
        <w:right w:val="none" w:sz="0" w:space="0" w:color="auto"/>
      </w:divBdr>
    </w:div>
    <w:div w:id="618726070">
      <w:bodyDiv w:val="1"/>
      <w:marLeft w:val="0"/>
      <w:marRight w:val="0"/>
      <w:marTop w:val="0"/>
      <w:marBottom w:val="0"/>
      <w:divBdr>
        <w:top w:val="none" w:sz="0" w:space="0" w:color="auto"/>
        <w:left w:val="none" w:sz="0" w:space="0" w:color="auto"/>
        <w:bottom w:val="none" w:sz="0" w:space="0" w:color="auto"/>
        <w:right w:val="none" w:sz="0" w:space="0" w:color="auto"/>
      </w:divBdr>
    </w:div>
    <w:div w:id="628363082">
      <w:bodyDiv w:val="1"/>
      <w:marLeft w:val="0"/>
      <w:marRight w:val="0"/>
      <w:marTop w:val="0"/>
      <w:marBottom w:val="0"/>
      <w:divBdr>
        <w:top w:val="none" w:sz="0" w:space="0" w:color="auto"/>
        <w:left w:val="none" w:sz="0" w:space="0" w:color="auto"/>
        <w:bottom w:val="none" w:sz="0" w:space="0" w:color="auto"/>
        <w:right w:val="none" w:sz="0" w:space="0" w:color="auto"/>
      </w:divBdr>
    </w:div>
    <w:div w:id="635138789">
      <w:bodyDiv w:val="1"/>
      <w:marLeft w:val="0"/>
      <w:marRight w:val="0"/>
      <w:marTop w:val="0"/>
      <w:marBottom w:val="0"/>
      <w:divBdr>
        <w:top w:val="none" w:sz="0" w:space="0" w:color="auto"/>
        <w:left w:val="none" w:sz="0" w:space="0" w:color="auto"/>
        <w:bottom w:val="none" w:sz="0" w:space="0" w:color="auto"/>
        <w:right w:val="none" w:sz="0" w:space="0" w:color="auto"/>
      </w:divBdr>
    </w:div>
    <w:div w:id="641929738">
      <w:bodyDiv w:val="1"/>
      <w:marLeft w:val="0"/>
      <w:marRight w:val="0"/>
      <w:marTop w:val="0"/>
      <w:marBottom w:val="0"/>
      <w:divBdr>
        <w:top w:val="none" w:sz="0" w:space="0" w:color="auto"/>
        <w:left w:val="none" w:sz="0" w:space="0" w:color="auto"/>
        <w:bottom w:val="none" w:sz="0" w:space="0" w:color="auto"/>
        <w:right w:val="none" w:sz="0" w:space="0" w:color="auto"/>
      </w:divBdr>
    </w:div>
    <w:div w:id="646977880">
      <w:bodyDiv w:val="1"/>
      <w:marLeft w:val="0"/>
      <w:marRight w:val="0"/>
      <w:marTop w:val="0"/>
      <w:marBottom w:val="0"/>
      <w:divBdr>
        <w:top w:val="none" w:sz="0" w:space="0" w:color="auto"/>
        <w:left w:val="none" w:sz="0" w:space="0" w:color="auto"/>
        <w:bottom w:val="none" w:sz="0" w:space="0" w:color="auto"/>
        <w:right w:val="none" w:sz="0" w:space="0" w:color="auto"/>
      </w:divBdr>
    </w:div>
    <w:div w:id="647973415">
      <w:bodyDiv w:val="1"/>
      <w:marLeft w:val="0"/>
      <w:marRight w:val="0"/>
      <w:marTop w:val="0"/>
      <w:marBottom w:val="0"/>
      <w:divBdr>
        <w:top w:val="none" w:sz="0" w:space="0" w:color="auto"/>
        <w:left w:val="none" w:sz="0" w:space="0" w:color="auto"/>
        <w:bottom w:val="none" w:sz="0" w:space="0" w:color="auto"/>
        <w:right w:val="none" w:sz="0" w:space="0" w:color="auto"/>
      </w:divBdr>
    </w:div>
    <w:div w:id="664286219">
      <w:bodyDiv w:val="1"/>
      <w:marLeft w:val="0"/>
      <w:marRight w:val="0"/>
      <w:marTop w:val="0"/>
      <w:marBottom w:val="0"/>
      <w:divBdr>
        <w:top w:val="none" w:sz="0" w:space="0" w:color="auto"/>
        <w:left w:val="none" w:sz="0" w:space="0" w:color="auto"/>
        <w:bottom w:val="none" w:sz="0" w:space="0" w:color="auto"/>
        <w:right w:val="none" w:sz="0" w:space="0" w:color="auto"/>
      </w:divBdr>
    </w:div>
    <w:div w:id="666910051">
      <w:bodyDiv w:val="1"/>
      <w:marLeft w:val="0"/>
      <w:marRight w:val="0"/>
      <w:marTop w:val="0"/>
      <w:marBottom w:val="0"/>
      <w:divBdr>
        <w:top w:val="none" w:sz="0" w:space="0" w:color="auto"/>
        <w:left w:val="none" w:sz="0" w:space="0" w:color="auto"/>
        <w:bottom w:val="none" w:sz="0" w:space="0" w:color="auto"/>
        <w:right w:val="none" w:sz="0" w:space="0" w:color="auto"/>
      </w:divBdr>
    </w:div>
    <w:div w:id="678696043">
      <w:bodyDiv w:val="1"/>
      <w:marLeft w:val="0"/>
      <w:marRight w:val="0"/>
      <w:marTop w:val="0"/>
      <w:marBottom w:val="0"/>
      <w:divBdr>
        <w:top w:val="none" w:sz="0" w:space="0" w:color="auto"/>
        <w:left w:val="none" w:sz="0" w:space="0" w:color="auto"/>
        <w:bottom w:val="none" w:sz="0" w:space="0" w:color="auto"/>
        <w:right w:val="none" w:sz="0" w:space="0" w:color="auto"/>
      </w:divBdr>
    </w:div>
    <w:div w:id="688261961">
      <w:bodyDiv w:val="1"/>
      <w:marLeft w:val="0"/>
      <w:marRight w:val="0"/>
      <w:marTop w:val="0"/>
      <w:marBottom w:val="0"/>
      <w:divBdr>
        <w:top w:val="none" w:sz="0" w:space="0" w:color="auto"/>
        <w:left w:val="none" w:sz="0" w:space="0" w:color="auto"/>
        <w:bottom w:val="none" w:sz="0" w:space="0" w:color="auto"/>
        <w:right w:val="none" w:sz="0" w:space="0" w:color="auto"/>
      </w:divBdr>
    </w:div>
    <w:div w:id="690691846">
      <w:bodyDiv w:val="1"/>
      <w:marLeft w:val="0"/>
      <w:marRight w:val="0"/>
      <w:marTop w:val="0"/>
      <w:marBottom w:val="0"/>
      <w:divBdr>
        <w:top w:val="none" w:sz="0" w:space="0" w:color="auto"/>
        <w:left w:val="none" w:sz="0" w:space="0" w:color="auto"/>
        <w:bottom w:val="none" w:sz="0" w:space="0" w:color="auto"/>
        <w:right w:val="none" w:sz="0" w:space="0" w:color="auto"/>
      </w:divBdr>
    </w:div>
    <w:div w:id="691882056">
      <w:bodyDiv w:val="1"/>
      <w:marLeft w:val="0"/>
      <w:marRight w:val="0"/>
      <w:marTop w:val="0"/>
      <w:marBottom w:val="0"/>
      <w:divBdr>
        <w:top w:val="none" w:sz="0" w:space="0" w:color="auto"/>
        <w:left w:val="none" w:sz="0" w:space="0" w:color="auto"/>
        <w:bottom w:val="none" w:sz="0" w:space="0" w:color="auto"/>
        <w:right w:val="none" w:sz="0" w:space="0" w:color="auto"/>
      </w:divBdr>
    </w:div>
    <w:div w:id="695542546">
      <w:bodyDiv w:val="1"/>
      <w:marLeft w:val="0"/>
      <w:marRight w:val="0"/>
      <w:marTop w:val="0"/>
      <w:marBottom w:val="0"/>
      <w:divBdr>
        <w:top w:val="none" w:sz="0" w:space="0" w:color="auto"/>
        <w:left w:val="none" w:sz="0" w:space="0" w:color="auto"/>
        <w:bottom w:val="none" w:sz="0" w:space="0" w:color="auto"/>
        <w:right w:val="none" w:sz="0" w:space="0" w:color="auto"/>
      </w:divBdr>
    </w:div>
    <w:div w:id="704672562">
      <w:bodyDiv w:val="1"/>
      <w:marLeft w:val="0"/>
      <w:marRight w:val="0"/>
      <w:marTop w:val="0"/>
      <w:marBottom w:val="0"/>
      <w:divBdr>
        <w:top w:val="none" w:sz="0" w:space="0" w:color="auto"/>
        <w:left w:val="none" w:sz="0" w:space="0" w:color="auto"/>
        <w:bottom w:val="none" w:sz="0" w:space="0" w:color="auto"/>
        <w:right w:val="none" w:sz="0" w:space="0" w:color="auto"/>
      </w:divBdr>
    </w:div>
    <w:div w:id="707801033">
      <w:bodyDiv w:val="1"/>
      <w:marLeft w:val="0"/>
      <w:marRight w:val="0"/>
      <w:marTop w:val="0"/>
      <w:marBottom w:val="0"/>
      <w:divBdr>
        <w:top w:val="none" w:sz="0" w:space="0" w:color="auto"/>
        <w:left w:val="none" w:sz="0" w:space="0" w:color="auto"/>
        <w:bottom w:val="none" w:sz="0" w:space="0" w:color="auto"/>
        <w:right w:val="none" w:sz="0" w:space="0" w:color="auto"/>
      </w:divBdr>
    </w:div>
    <w:div w:id="712274495">
      <w:bodyDiv w:val="1"/>
      <w:marLeft w:val="0"/>
      <w:marRight w:val="0"/>
      <w:marTop w:val="0"/>
      <w:marBottom w:val="0"/>
      <w:divBdr>
        <w:top w:val="none" w:sz="0" w:space="0" w:color="auto"/>
        <w:left w:val="none" w:sz="0" w:space="0" w:color="auto"/>
        <w:bottom w:val="none" w:sz="0" w:space="0" w:color="auto"/>
        <w:right w:val="none" w:sz="0" w:space="0" w:color="auto"/>
      </w:divBdr>
    </w:div>
    <w:div w:id="713581404">
      <w:bodyDiv w:val="1"/>
      <w:marLeft w:val="0"/>
      <w:marRight w:val="0"/>
      <w:marTop w:val="0"/>
      <w:marBottom w:val="0"/>
      <w:divBdr>
        <w:top w:val="none" w:sz="0" w:space="0" w:color="auto"/>
        <w:left w:val="none" w:sz="0" w:space="0" w:color="auto"/>
        <w:bottom w:val="none" w:sz="0" w:space="0" w:color="auto"/>
        <w:right w:val="none" w:sz="0" w:space="0" w:color="auto"/>
      </w:divBdr>
    </w:div>
    <w:div w:id="720710786">
      <w:bodyDiv w:val="1"/>
      <w:marLeft w:val="0"/>
      <w:marRight w:val="0"/>
      <w:marTop w:val="0"/>
      <w:marBottom w:val="0"/>
      <w:divBdr>
        <w:top w:val="none" w:sz="0" w:space="0" w:color="auto"/>
        <w:left w:val="none" w:sz="0" w:space="0" w:color="auto"/>
        <w:bottom w:val="none" w:sz="0" w:space="0" w:color="auto"/>
        <w:right w:val="none" w:sz="0" w:space="0" w:color="auto"/>
      </w:divBdr>
    </w:div>
    <w:div w:id="726420683">
      <w:bodyDiv w:val="1"/>
      <w:marLeft w:val="0"/>
      <w:marRight w:val="0"/>
      <w:marTop w:val="0"/>
      <w:marBottom w:val="0"/>
      <w:divBdr>
        <w:top w:val="none" w:sz="0" w:space="0" w:color="auto"/>
        <w:left w:val="none" w:sz="0" w:space="0" w:color="auto"/>
        <w:bottom w:val="none" w:sz="0" w:space="0" w:color="auto"/>
        <w:right w:val="none" w:sz="0" w:space="0" w:color="auto"/>
      </w:divBdr>
    </w:div>
    <w:div w:id="751974309">
      <w:bodyDiv w:val="1"/>
      <w:marLeft w:val="0"/>
      <w:marRight w:val="0"/>
      <w:marTop w:val="0"/>
      <w:marBottom w:val="0"/>
      <w:divBdr>
        <w:top w:val="none" w:sz="0" w:space="0" w:color="auto"/>
        <w:left w:val="none" w:sz="0" w:space="0" w:color="auto"/>
        <w:bottom w:val="none" w:sz="0" w:space="0" w:color="auto"/>
        <w:right w:val="none" w:sz="0" w:space="0" w:color="auto"/>
      </w:divBdr>
    </w:div>
    <w:div w:id="756365671">
      <w:bodyDiv w:val="1"/>
      <w:marLeft w:val="0"/>
      <w:marRight w:val="0"/>
      <w:marTop w:val="0"/>
      <w:marBottom w:val="0"/>
      <w:divBdr>
        <w:top w:val="none" w:sz="0" w:space="0" w:color="auto"/>
        <w:left w:val="none" w:sz="0" w:space="0" w:color="auto"/>
        <w:bottom w:val="none" w:sz="0" w:space="0" w:color="auto"/>
        <w:right w:val="none" w:sz="0" w:space="0" w:color="auto"/>
      </w:divBdr>
    </w:div>
    <w:div w:id="764688758">
      <w:bodyDiv w:val="1"/>
      <w:marLeft w:val="0"/>
      <w:marRight w:val="0"/>
      <w:marTop w:val="0"/>
      <w:marBottom w:val="0"/>
      <w:divBdr>
        <w:top w:val="none" w:sz="0" w:space="0" w:color="auto"/>
        <w:left w:val="none" w:sz="0" w:space="0" w:color="auto"/>
        <w:bottom w:val="none" w:sz="0" w:space="0" w:color="auto"/>
        <w:right w:val="none" w:sz="0" w:space="0" w:color="auto"/>
      </w:divBdr>
    </w:div>
    <w:div w:id="773136703">
      <w:bodyDiv w:val="1"/>
      <w:marLeft w:val="0"/>
      <w:marRight w:val="0"/>
      <w:marTop w:val="0"/>
      <w:marBottom w:val="0"/>
      <w:divBdr>
        <w:top w:val="none" w:sz="0" w:space="0" w:color="auto"/>
        <w:left w:val="none" w:sz="0" w:space="0" w:color="auto"/>
        <w:bottom w:val="none" w:sz="0" w:space="0" w:color="auto"/>
        <w:right w:val="none" w:sz="0" w:space="0" w:color="auto"/>
      </w:divBdr>
    </w:div>
    <w:div w:id="783499793">
      <w:bodyDiv w:val="1"/>
      <w:marLeft w:val="0"/>
      <w:marRight w:val="0"/>
      <w:marTop w:val="0"/>
      <w:marBottom w:val="0"/>
      <w:divBdr>
        <w:top w:val="none" w:sz="0" w:space="0" w:color="auto"/>
        <w:left w:val="none" w:sz="0" w:space="0" w:color="auto"/>
        <w:bottom w:val="none" w:sz="0" w:space="0" w:color="auto"/>
        <w:right w:val="none" w:sz="0" w:space="0" w:color="auto"/>
      </w:divBdr>
    </w:div>
    <w:div w:id="788426641">
      <w:bodyDiv w:val="1"/>
      <w:marLeft w:val="0"/>
      <w:marRight w:val="0"/>
      <w:marTop w:val="0"/>
      <w:marBottom w:val="0"/>
      <w:divBdr>
        <w:top w:val="none" w:sz="0" w:space="0" w:color="auto"/>
        <w:left w:val="none" w:sz="0" w:space="0" w:color="auto"/>
        <w:bottom w:val="none" w:sz="0" w:space="0" w:color="auto"/>
        <w:right w:val="none" w:sz="0" w:space="0" w:color="auto"/>
      </w:divBdr>
    </w:div>
    <w:div w:id="812135294">
      <w:bodyDiv w:val="1"/>
      <w:marLeft w:val="0"/>
      <w:marRight w:val="0"/>
      <w:marTop w:val="0"/>
      <w:marBottom w:val="0"/>
      <w:divBdr>
        <w:top w:val="none" w:sz="0" w:space="0" w:color="auto"/>
        <w:left w:val="none" w:sz="0" w:space="0" w:color="auto"/>
        <w:bottom w:val="none" w:sz="0" w:space="0" w:color="auto"/>
        <w:right w:val="none" w:sz="0" w:space="0" w:color="auto"/>
      </w:divBdr>
    </w:div>
    <w:div w:id="820542968">
      <w:bodyDiv w:val="1"/>
      <w:marLeft w:val="0"/>
      <w:marRight w:val="0"/>
      <w:marTop w:val="0"/>
      <w:marBottom w:val="0"/>
      <w:divBdr>
        <w:top w:val="none" w:sz="0" w:space="0" w:color="auto"/>
        <w:left w:val="none" w:sz="0" w:space="0" w:color="auto"/>
        <w:bottom w:val="none" w:sz="0" w:space="0" w:color="auto"/>
        <w:right w:val="none" w:sz="0" w:space="0" w:color="auto"/>
      </w:divBdr>
    </w:div>
    <w:div w:id="822964059">
      <w:bodyDiv w:val="1"/>
      <w:marLeft w:val="0"/>
      <w:marRight w:val="0"/>
      <w:marTop w:val="0"/>
      <w:marBottom w:val="0"/>
      <w:divBdr>
        <w:top w:val="none" w:sz="0" w:space="0" w:color="auto"/>
        <w:left w:val="none" w:sz="0" w:space="0" w:color="auto"/>
        <w:bottom w:val="none" w:sz="0" w:space="0" w:color="auto"/>
        <w:right w:val="none" w:sz="0" w:space="0" w:color="auto"/>
      </w:divBdr>
    </w:div>
    <w:div w:id="832646472">
      <w:bodyDiv w:val="1"/>
      <w:marLeft w:val="0"/>
      <w:marRight w:val="0"/>
      <w:marTop w:val="0"/>
      <w:marBottom w:val="0"/>
      <w:divBdr>
        <w:top w:val="none" w:sz="0" w:space="0" w:color="auto"/>
        <w:left w:val="none" w:sz="0" w:space="0" w:color="auto"/>
        <w:bottom w:val="none" w:sz="0" w:space="0" w:color="auto"/>
        <w:right w:val="none" w:sz="0" w:space="0" w:color="auto"/>
      </w:divBdr>
    </w:div>
    <w:div w:id="843471621">
      <w:bodyDiv w:val="1"/>
      <w:marLeft w:val="0"/>
      <w:marRight w:val="0"/>
      <w:marTop w:val="0"/>
      <w:marBottom w:val="0"/>
      <w:divBdr>
        <w:top w:val="none" w:sz="0" w:space="0" w:color="auto"/>
        <w:left w:val="none" w:sz="0" w:space="0" w:color="auto"/>
        <w:bottom w:val="none" w:sz="0" w:space="0" w:color="auto"/>
        <w:right w:val="none" w:sz="0" w:space="0" w:color="auto"/>
      </w:divBdr>
    </w:div>
    <w:div w:id="851379410">
      <w:bodyDiv w:val="1"/>
      <w:marLeft w:val="0"/>
      <w:marRight w:val="0"/>
      <w:marTop w:val="0"/>
      <w:marBottom w:val="0"/>
      <w:divBdr>
        <w:top w:val="none" w:sz="0" w:space="0" w:color="auto"/>
        <w:left w:val="none" w:sz="0" w:space="0" w:color="auto"/>
        <w:bottom w:val="none" w:sz="0" w:space="0" w:color="auto"/>
        <w:right w:val="none" w:sz="0" w:space="0" w:color="auto"/>
      </w:divBdr>
    </w:div>
    <w:div w:id="855735042">
      <w:bodyDiv w:val="1"/>
      <w:marLeft w:val="0"/>
      <w:marRight w:val="0"/>
      <w:marTop w:val="0"/>
      <w:marBottom w:val="0"/>
      <w:divBdr>
        <w:top w:val="none" w:sz="0" w:space="0" w:color="auto"/>
        <w:left w:val="none" w:sz="0" w:space="0" w:color="auto"/>
        <w:bottom w:val="none" w:sz="0" w:space="0" w:color="auto"/>
        <w:right w:val="none" w:sz="0" w:space="0" w:color="auto"/>
      </w:divBdr>
    </w:div>
    <w:div w:id="858275403">
      <w:bodyDiv w:val="1"/>
      <w:marLeft w:val="0"/>
      <w:marRight w:val="0"/>
      <w:marTop w:val="0"/>
      <w:marBottom w:val="0"/>
      <w:divBdr>
        <w:top w:val="none" w:sz="0" w:space="0" w:color="auto"/>
        <w:left w:val="none" w:sz="0" w:space="0" w:color="auto"/>
        <w:bottom w:val="none" w:sz="0" w:space="0" w:color="auto"/>
        <w:right w:val="none" w:sz="0" w:space="0" w:color="auto"/>
      </w:divBdr>
    </w:div>
    <w:div w:id="862015395">
      <w:bodyDiv w:val="1"/>
      <w:marLeft w:val="0"/>
      <w:marRight w:val="0"/>
      <w:marTop w:val="0"/>
      <w:marBottom w:val="0"/>
      <w:divBdr>
        <w:top w:val="none" w:sz="0" w:space="0" w:color="auto"/>
        <w:left w:val="none" w:sz="0" w:space="0" w:color="auto"/>
        <w:bottom w:val="none" w:sz="0" w:space="0" w:color="auto"/>
        <w:right w:val="none" w:sz="0" w:space="0" w:color="auto"/>
      </w:divBdr>
    </w:div>
    <w:div w:id="866678605">
      <w:bodyDiv w:val="1"/>
      <w:marLeft w:val="0"/>
      <w:marRight w:val="0"/>
      <w:marTop w:val="0"/>
      <w:marBottom w:val="0"/>
      <w:divBdr>
        <w:top w:val="none" w:sz="0" w:space="0" w:color="auto"/>
        <w:left w:val="none" w:sz="0" w:space="0" w:color="auto"/>
        <w:bottom w:val="none" w:sz="0" w:space="0" w:color="auto"/>
        <w:right w:val="none" w:sz="0" w:space="0" w:color="auto"/>
      </w:divBdr>
    </w:div>
    <w:div w:id="870804235">
      <w:bodyDiv w:val="1"/>
      <w:marLeft w:val="0"/>
      <w:marRight w:val="0"/>
      <w:marTop w:val="0"/>
      <w:marBottom w:val="0"/>
      <w:divBdr>
        <w:top w:val="none" w:sz="0" w:space="0" w:color="auto"/>
        <w:left w:val="none" w:sz="0" w:space="0" w:color="auto"/>
        <w:bottom w:val="none" w:sz="0" w:space="0" w:color="auto"/>
        <w:right w:val="none" w:sz="0" w:space="0" w:color="auto"/>
      </w:divBdr>
    </w:div>
    <w:div w:id="879777735">
      <w:bodyDiv w:val="1"/>
      <w:marLeft w:val="0"/>
      <w:marRight w:val="0"/>
      <w:marTop w:val="0"/>
      <w:marBottom w:val="0"/>
      <w:divBdr>
        <w:top w:val="none" w:sz="0" w:space="0" w:color="auto"/>
        <w:left w:val="none" w:sz="0" w:space="0" w:color="auto"/>
        <w:bottom w:val="none" w:sz="0" w:space="0" w:color="auto"/>
        <w:right w:val="none" w:sz="0" w:space="0" w:color="auto"/>
      </w:divBdr>
    </w:div>
    <w:div w:id="890582338">
      <w:bodyDiv w:val="1"/>
      <w:marLeft w:val="0"/>
      <w:marRight w:val="0"/>
      <w:marTop w:val="0"/>
      <w:marBottom w:val="0"/>
      <w:divBdr>
        <w:top w:val="none" w:sz="0" w:space="0" w:color="auto"/>
        <w:left w:val="none" w:sz="0" w:space="0" w:color="auto"/>
        <w:bottom w:val="none" w:sz="0" w:space="0" w:color="auto"/>
        <w:right w:val="none" w:sz="0" w:space="0" w:color="auto"/>
      </w:divBdr>
    </w:div>
    <w:div w:id="895117723">
      <w:bodyDiv w:val="1"/>
      <w:marLeft w:val="0"/>
      <w:marRight w:val="0"/>
      <w:marTop w:val="0"/>
      <w:marBottom w:val="0"/>
      <w:divBdr>
        <w:top w:val="none" w:sz="0" w:space="0" w:color="auto"/>
        <w:left w:val="none" w:sz="0" w:space="0" w:color="auto"/>
        <w:bottom w:val="none" w:sz="0" w:space="0" w:color="auto"/>
        <w:right w:val="none" w:sz="0" w:space="0" w:color="auto"/>
      </w:divBdr>
    </w:div>
    <w:div w:id="908345910">
      <w:bodyDiv w:val="1"/>
      <w:marLeft w:val="0"/>
      <w:marRight w:val="0"/>
      <w:marTop w:val="0"/>
      <w:marBottom w:val="0"/>
      <w:divBdr>
        <w:top w:val="none" w:sz="0" w:space="0" w:color="auto"/>
        <w:left w:val="none" w:sz="0" w:space="0" w:color="auto"/>
        <w:bottom w:val="none" w:sz="0" w:space="0" w:color="auto"/>
        <w:right w:val="none" w:sz="0" w:space="0" w:color="auto"/>
      </w:divBdr>
    </w:div>
    <w:div w:id="917250841">
      <w:bodyDiv w:val="1"/>
      <w:marLeft w:val="0"/>
      <w:marRight w:val="0"/>
      <w:marTop w:val="0"/>
      <w:marBottom w:val="0"/>
      <w:divBdr>
        <w:top w:val="none" w:sz="0" w:space="0" w:color="auto"/>
        <w:left w:val="none" w:sz="0" w:space="0" w:color="auto"/>
        <w:bottom w:val="none" w:sz="0" w:space="0" w:color="auto"/>
        <w:right w:val="none" w:sz="0" w:space="0" w:color="auto"/>
      </w:divBdr>
    </w:div>
    <w:div w:id="979116372">
      <w:bodyDiv w:val="1"/>
      <w:marLeft w:val="0"/>
      <w:marRight w:val="0"/>
      <w:marTop w:val="0"/>
      <w:marBottom w:val="0"/>
      <w:divBdr>
        <w:top w:val="none" w:sz="0" w:space="0" w:color="auto"/>
        <w:left w:val="none" w:sz="0" w:space="0" w:color="auto"/>
        <w:bottom w:val="none" w:sz="0" w:space="0" w:color="auto"/>
        <w:right w:val="none" w:sz="0" w:space="0" w:color="auto"/>
      </w:divBdr>
      <w:divsChild>
        <w:div w:id="565845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016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5471052">
      <w:bodyDiv w:val="1"/>
      <w:marLeft w:val="0"/>
      <w:marRight w:val="0"/>
      <w:marTop w:val="0"/>
      <w:marBottom w:val="0"/>
      <w:divBdr>
        <w:top w:val="none" w:sz="0" w:space="0" w:color="auto"/>
        <w:left w:val="none" w:sz="0" w:space="0" w:color="auto"/>
        <w:bottom w:val="none" w:sz="0" w:space="0" w:color="auto"/>
        <w:right w:val="none" w:sz="0" w:space="0" w:color="auto"/>
      </w:divBdr>
    </w:div>
    <w:div w:id="992559277">
      <w:bodyDiv w:val="1"/>
      <w:marLeft w:val="0"/>
      <w:marRight w:val="0"/>
      <w:marTop w:val="0"/>
      <w:marBottom w:val="0"/>
      <w:divBdr>
        <w:top w:val="none" w:sz="0" w:space="0" w:color="auto"/>
        <w:left w:val="none" w:sz="0" w:space="0" w:color="auto"/>
        <w:bottom w:val="none" w:sz="0" w:space="0" w:color="auto"/>
        <w:right w:val="none" w:sz="0" w:space="0" w:color="auto"/>
      </w:divBdr>
    </w:div>
    <w:div w:id="1015112771">
      <w:bodyDiv w:val="1"/>
      <w:marLeft w:val="0"/>
      <w:marRight w:val="0"/>
      <w:marTop w:val="0"/>
      <w:marBottom w:val="0"/>
      <w:divBdr>
        <w:top w:val="none" w:sz="0" w:space="0" w:color="auto"/>
        <w:left w:val="none" w:sz="0" w:space="0" w:color="auto"/>
        <w:bottom w:val="none" w:sz="0" w:space="0" w:color="auto"/>
        <w:right w:val="none" w:sz="0" w:space="0" w:color="auto"/>
      </w:divBdr>
    </w:div>
    <w:div w:id="1021661313">
      <w:bodyDiv w:val="1"/>
      <w:marLeft w:val="0"/>
      <w:marRight w:val="0"/>
      <w:marTop w:val="0"/>
      <w:marBottom w:val="0"/>
      <w:divBdr>
        <w:top w:val="none" w:sz="0" w:space="0" w:color="auto"/>
        <w:left w:val="none" w:sz="0" w:space="0" w:color="auto"/>
        <w:bottom w:val="none" w:sz="0" w:space="0" w:color="auto"/>
        <w:right w:val="none" w:sz="0" w:space="0" w:color="auto"/>
      </w:divBdr>
    </w:div>
    <w:div w:id="1023215159">
      <w:bodyDiv w:val="1"/>
      <w:marLeft w:val="0"/>
      <w:marRight w:val="0"/>
      <w:marTop w:val="0"/>
      <w:marBottom w:val="0"/>
      <w:divBdr>
        <w:top w:val="none" w:sz="0" w:space="0" w:color="auto"/>
        <w:left w:val="none" w:sz="0" w:space="0" w:color="auto"/>
        <w:bottom w:val="none" w:sz="0" w:space="0" w:color="auto"/>
        <w:right w:val="none" w:sz="0" w:space="0" w:color="auto"/>
      </w:divBdr>
    </w:div>
    <w:div w:id="1054309623">
      <w:bodyDiv w:val="1"/>
      <w:marLeft w:val="0"/>
      <w:marRight w:val="0"/>
      <w:marTop w:val="0"/>
      <w:marBottom w:val="0"/>
      <w:divBdr>
        <w:top w:val="none" w:sz="0" w:space="0" w:color="auto"/>
        <w:left w:val="none" w:sz="0" w:space="0" w:color="auto"/>
        <w:bottom w:val="none" w:sz="0" w:space="0" w:color="auto"/>
        <w:right w:val="none" w:sz="0" w:space="0" w:color="auto"/>
      </w:divBdr>
    </w:div>
    <w:div w:id="1056047219">
      <w:bodyDiv w:val="1"/>
      <w:marLeft w:val="0"/>
      <w:marRight w:val="0"/>
      <w:marTop w:val="0"/>
      <w:marBottom w:val="0"/>
      <w:divBdr>
        <w:top w:val="none" w:sz="0" w:space="0" w:color="auto"/>
        <w:left w:val="none" w:sz="0" w:space="0" w:color="auto"/>
        <w:bottom w:val="none" w:sz="0" w:space="0" w:color="auto"/>
        <w:right w:val="none" w:sz="0" w:space="0" w:color="auto"/>
      </w:divBdr>
    </w:div>
    <w:div w:id="1077440436">
      <w:bodyDiv w:val="1"/>
      <w:marLeft w:val="0"/>
      <w:marRight w:val="0"/>
      <w:marTop w:val="0"/>
      <w:marBottom w:val="0"/>
      <w:divBdr>
        <w:top w:val="none" w:sz="0" w:space="0" w:color="auto"/>
        <w:left w:val="none" w:sz="0" w:space="0" w:color="auto"/>
        <w:bottom w:val="none" w:sz="0" w:space="0" w:color="auto"/>
        <w:right w:val="none" w:sz="0" w:space="0" w:color="auto"/>
      </w:divBdr>
    </w:div>
    <w:div w:id="1079907240">
      <w:bodyDiv w:val="1"/>
      <w:marLeft w:val="0"/>
      <w:marRight w:val="0"/>
      <w:marTop w:val="0"/>
      <w:marBottom w:val="0"/>
      <w:divBdr>
        <w:top w:val="none" w:sz="0" w:space="0" w:color="auto"/>
        <w:left w:val="none" w:sz="0" w:space="0" w:color="auto"/>
        <w:bottom w:val="none" w:sz="0" w:space="0" w:color="auto"/>
        <w:right w:val="none" w:sz="0" w:space="0" w:color="auto"/>
      </w:divBdr>
    </w:div>
    <w:div w:id="1100906080">
      <w:bodyDiv w:val="1"/>
      <w:marLeft w:val="0"/>
      <w:marRight w:val="0"/>
      <w:marTop w:val="0"/>
      <w:marBottom w:val="0"/>
      <w:divBdr>
        <w:top w:val="none" w:sz="0" w:space="0" w:color="auto"/>
        <w:left w:val="none" w:sz="0" w:space="0" w:color="auto"/>
        <w:bottom w:val="none" w:sz="0" w:space="0" w:color="auto"/>
        <w:right w:val="none" w:sz="0" w:space="0" w:color="auto"/>
      </w:divBdr>
    </w:div>
    <w:div w:id="1112941428">
      <w:bodyDiv w:val="1"/>
      <w:marLeft w:val="0"/>
      <w:marRight w:val="0"/>
      <w:marTop w:val="0"/>
      <w:marBottom w:val="0"/>
      <w:divBdr>
        <w:top w:val="none" w:sz="0" w:space="0" w:color="auto"/>
        <w:left w:val="none" w:sz="0" w:space="0" w:color="auto"/>
        <w:bottom w:val="none" w:sz="0" w:space="0" w:color="auto"/>
        <w:right w:val="none" w:sz="0" w:space="0" w:color="auto"/>
      </w:divBdr>
    </w:div>
    <w:div w:id="1113863850">
      <w:bodyDiv w:val="1"/>
      <w:marLeft w:val="0"/>
      <w:marRight w:val="0"/>
      <w:marTop w:val="0"/>
      <w:marBottom w:val="0"/>
      <w:divBdr>
        <w:top w:val="none" w:sz="0" w:space="0" w:color="auto"/>
        <w:left w:val="none" w:sz="0" w:space="0" w:color="auto"/>
        <w:bottom w:val="none" w:sz="0" w:space="0" w:color="auto"/>
        <w:right w:val="none" w:sz="0" w:space="0" w:color="auto"/>
      </w:divBdr>
    </w:div>
    <w:div w:id="1116563823">
      <w:bodyDiv w:val="1"/>
      <w:marLeft w:val="0"/>
      <w:marRight w:val="0"/>
      <w:marTop w:val="0"/>
      <w:marBottom w:val="0"/>
      <w:divBdr>
        <w:top w:val="none" w:sz="0" w:space="0" w:color="auto"/>
        <w:left w:val="none" w:sz="0" w:space="0" w:color="auto"/>
        <w:bottom w:val="none" w:sz="0" w:space="0" w:color="auto"/>
        <w:right w:val="none" w:sz="0" w:space="0" w:color="auto"/>
      </w:divBdr>
    </w:div>
    <w:div w:id="1117800373">
      <w:bodyDiv w:val="1"/>
      <w:marLeft w:val="0"/>
      <w:marRight w:val="0"/>
      <w:marTop w:val="0"/>
      <w:marBottom w:val="0"/>
      <w:divBdr>
        <w:top w:val="none" w:sz="0" w:space="0" w:color="auto"/>
        <w:left w:val="none" w:sz="0" w:space="0" w:color="auto"/>
        <w:bottom w:val="none" w:sz="0" w:space="0" w:color="auto"/>
        <w:right w:val="none" w:sz="0" w:space="0" w:color="auto"/>
      </w:divBdr>
    </w:div>
    <w:div w:id="1140810503">
      <w:bodyDiv w:val="1"/>
      <w:marLeft w:val="0"/>
      <w:marRight w:val="0"/>
      <w:marTop w:val="0"/>
      <w:marBottom w:val="0"/>
      <w:divBdr>
        <w:top w:val="none" w:sz="0" w:space="0" w:color="auto"/>
        <w:left w:val="none" w:sz="0" w:space="0" w:color="auto"/>
        <w:bottom w:val="none" w:sz="0" w:space="0" w:color="auto"/>
        <w:right w:val="none" w:sz="0" w:space="0" w:color="auto"/>
      </w:divBdr>
    </w:div>
    <w:div w:id="1141196086">
      <w:bodyDiv w:val="1"/>
      <w:marLeft w:val="0"/>
      <w:marRight w:val="0"/>
      <w:marTop w:val="0"/>
      <w:marBottom w:val="0"/>
      <w:divBdr>
        <w:top w:val="none" w:sz="0" w:space="0" w:color="auto"/>
        <w:left w:val="none" w:sz="0" w:space="0" w:color="auto"/>
        <w:bottom w:val="none" w:sz="0" w:space="0" w:color="auto"/>
        <w:right w:val="none" w:sz="0" w:space="0" w:color="auto"/>
      </w:divBdr>
    </w:div>
    <w:div w:id="1148203617">
      <w:bodyDiv w:val="1"/>
      <w:marLeft w:val="0"/>
      <w:marRight w:val="0"/>
      <w:marTop w:val="0"/>
      <w:marBottom w:val="0"/>
      <w:divBdr>
        <w:top w:val="none" w:sz="0" w:space="0" w:color="auto"/>
        <w:left w:val="none" w:sz="0" w:space="0" w:color="auto"/>
        <w:bottom w:val="none" w:sz="0" w:space="0" w:color="auto"/>
        <w:right w:val="none" w:sz="0" w:space="0" w:color="auto"/>
      </w:divBdr>
    </w:div>
    <w:div w:id="1152406341">
      <w:bodyDiv w:val="1"/>
      <w:marLeft w:val="0"/>
      <w:marRight w:val="0"/>
      <w:marTop w:val="0"/>
      <w:marBottom w:val="0"/>
      <w:divBdr>
        <w:top w:val="none" w:sz="0" w:space="0" w:color="auto"/>
        <w:left w:val="none" w:sz="0" w:space="0" w:color="auto"/>
        <w:bottom w:val="none" w:sz="0" w:space="0" w:color="auto"/>
        <w:right w:val="none" w:sz="0" w:space="0" w:color="auto"/>
      </w:divBdr>
    </w:div>
    <w:div w:id="1167283195">
      <w:bodyDiv w:val="1"/>
      <w:marLeft w:val="0"/>
      <w:marRight w:val="0"/>
      <w:marTop w:val="0"/>
      <w:marBottom w:val="0"/>
      <w:divBdr>
        <w:top w:val="none" w:sz="0" w:space="0" w:color="auto"/>
        <w:left w:val="none" w:sz="0" w:space="0" w:color="auto"/>
        <w:bottom w:val="none" w:sz="0" w:space="0" w:color="auto"/>
        <w:right w:val="none" w:sz="0" w:space="0" w:color="auto"/>
      </w:divBdr>
    </w:div>
    <w:div w:id="1170868899">
      <w:bodyDiv w:val="1"/>
      <w:marLeft w:val="0"/>
      <w:marRight w:val="0"/>
      <w:marTop w:val="0"/>
      <w:marBottom w:val="0"/>
      <w:divBdr>
        <w:top w:val="none" w:sz="0" w:space="0" w:color="auto"/>
        <w:left w:val="none" w:sz="0" w:space="0" w:color="auto"/>
        <w:bottom w:val="none" w:sz="0" w:space="0" w:color="auto"/>
        <w:right w:val="none" w:sz="0" w:space="0" w:color="auto"/>
      </w:divBdr>
    </w:div>
    <w:div w:id="1171211850">
      <w:bodyDiv w:val="1"/>
      <w:marLeft w:val="0"/>
      <w:marRight w:val="0"/>
      <w:marTop w:val="0"/>
      <w:marBottom w:val="0"/>
      <w:divBdr>
        <w:top w:val="none" w:sz="0" w:space="0" w:color="auto"/>
        <w:left w:val="none" w:sz="0" w:space="0" w:color="auto"/>
        <w:bottom w:val="none" w:sz="0" w:space="0" w:color="auto"/>
        <w:right w:val="none" w:sz="0" w:space="0" w:color="auto"/>
      </w:divBdr>
    </w:div>
    <w:div w:id="1183787444">
      <w:bodyDiv w:val="1"/>
      <w:marLeft w:val="0"/>
      <w:marRight w:val="0"/>
      <w:marTop w:val="0"/>
      <w:marBottom w:val="0"/>
      <w:divBdr>
        <w:top w:val="none" w:sz="0" w:space="0" w:color="auto"/>
        <w:left w:val="none" w:sz="0" w:space="0" w:color="auto"/>
        <w:bottom w:val="none" w:sz="0" w:space="0" w:color="auto"/>
        <w:right w:val="none" w:sz="0" w:space="0" w:color="auto"/>
      </w:divBdr>
    </w:div>
    <w:div w:id="1194491701">
      <w:bodyDiv w:val="1"/>
      <w:marLeft w:val="0"/>
      <w:marRight w:val="0"/>
      <w:marTop w:val="0"/>
      <w:marBottom w:val="0"/>
      <w:divBdr>
        <w:top w:val="none" w:sz="0" w:space="0" w:color="auto"/>
        <w:left w:val="none" w:sz="0" w:space="0" w:color="auto"/>
        <w:bottom w:val="none" w:sz="0" w:space="0" w:color="auto"/>
        <w:right w:val="none" w:sz="0" w:space="0" w:color="auto"/>
      </w:divBdr>
    </w:div>
    <w:div w:id="1197352580">
      <w:bodyDiv w:val="1"/>
      <w:marLeft w:val="0"/>
      <w:marRight w:val="0"/>
      <w:marTop w:val="0"/>
      <w:marBottom w:val="0"/>
      <w:divBdr>
        <w:top w:val="none" w:sz="0" w:space="0" w:color="auto"/>
        <w:left w:val="none" w:sz="0" w:space="0" w:color="auto"/>
        <w:bottom w:val="none" w:sz="0" w:space="0" w:color="auto"/>
        <w:right w:val="none" w:sz="0" w:space="0" w:color="auto"/>
      </w:divBdr>
    </w:div>
    <w:div w:id="1204562829">
      <w:bodyDiv w:val="1"/>
      <w:marLeft w:val="0"/>
      <w:marRight w:val="0"/>
      <w:marTop w:val="0"/>
      <w:marBottom w:val="0"/>
      <w:divBdr>
        <w:top w:val="none" w:sz="0" w:space="0" w:color="auto"/>
        <w:left w:val="none" w:sz="0" w:space="0" w:color="auto"/>
        <w:bottom w:val="none" w:sz="0" w:space="0" w:color="auto"/>
        <w:right w:val="none" w:sz="0" w:space="0" w:color="auto"/>
      </w:divBdr>
    </w:div>
    <w:div w:id="1209030329">
      <w:bodyDiv w:val="1"/>
      <w:marLeft w:val="0"/>
      <w:marRight w:val="0"/>
      <w:marTop w:val="0"/>
      <w:marBottom w:val="0"/>
      <w:divBdr>
        <w:top w:val="none" w:sz="0" w:space="0" w:color="auto"/>
        <w:left w:val="none" w:sz="0" w:space="0" w:color="auto"/>
        <w:bottom w:val="none" w:sz="0" w:space="0" w:color="auto"/>
        <w:right w:val="none" w:sz="0" w:space="0" w:color="auto"/>
      </w:divBdr>
    </w:div>
    <w:div w:id="1218202039">
      <w:bodyDiv w:val="1"/>
      <w:marLeft w:val="0"/>
      <w:marRight w:val="0"/>
      <w:marTop w:val="0"/>
      <w:marBottom w:val="0"/>
      <w:divBdr>
        <w:top w:val="none" w:sz="0" w:space="0" w:color="auto"/>
        <w:left w:val="none" w:sz="0" w:space="0" w:color="auto"/>
        <w:bottom w:val="none" w:sz="0" w:space="0" w:color="auto"/>
        <w:right w:val="none" w:sz="0" w:space="0" w:color="auto"/>
      </w:divBdr>
    </w:div>
    <w:div w:id="1244603490">
      <w:bodyDiv w:val="1"/>
      <w:marLeft w:val="0"/>
      <w:marRight w:val="0"/>
      <w:marTop w:val="0"/>
      <w:marBottom w:val="0"/>
      <w:divBdr>
        <w:top w:val="none" w:sz="0" w:space="0" w:color="auto"/>
        <w:left w:val="none" w:sz="0" w:space="0" w:color="auto"/>
        <w:bottom w:val="none" w:sz="0" w:space="0" w:color="auto"/>
        <w:right w:val="none" w:sz="0" w:space="0" w:color="auto"/>
      </w:divBdr>
      <w:divsChild>
        <w:div w:id="1475369075">
          <w:marLeft w:val="1134"/>
          <w:marRight w:val="0"/>
          <w:marTop w:val="60"/>
          <w:marBottom w:val="0"/>
          <w:divBdr>
            <w:top w:val="none" w:sz="0" w:space="0" w:color="auto"/>
            <w:left w:val="none" w:sz="0" w:space="0" w:color="auto"/>
            <w:bottom w:val="none" w:sz="0" w:space="0" w:color="auto"/>
            <w:right w:val="none" w:sz="0" w:space="0" w:color="auto"/>
          </w:divBdr>
        </w:div>
      </w:divsChild>
    </w:div>
    <w:div w:id="1246962819">
      <w:bodyDiv w:val="1"/>
      <w:marLeft w:val="0"/>
      <w:marRight w:val="0"/>
      <w:marTop w:val="0"/>
      <w:marBottom w:val="0"/>
      <w:divBdr>
        <w:top w:val="none" w:sz="0" w:space="0" w:color="auto"/>
        <w:left w:val="none" w:sz="0" w:space="0" w:color="auto"/>
        <w:bottom w:val="none" w:sz="0" w:space="0" w:color="auto"/>
        <w:right w:val="none" w:sz="0" w:space="0" w:color="auto"/>
      </w:divBdr>
    </w:div>
    <w:div w:id="1260024089">
      <w:bodyDiv w:val="1"/>
      <w:marLeft w:val="0"/>
      <w:marRight w:val="0"/>
      <w:marTop w:val="0"/>
      <w:marBottom w:val="0"/>
      <w:divBdr>
        <w:top w:val="none" w:sz="0" w:space="0" w:color="auto"/>
        <w:left w:val="none" w:sz="0" w:space="0" w:color="auto"/>
        <w:bottom w:val="none" w:sz="0" w:space="0" w:color="auto"/>
        <w:right w:val="none" w:sz="0" w:space="0" w:color="auto"/>
      </w:divBdr>
    </w:div>
    <w:div w:id="1291403972">
      <w:bodyDiv w:val="1"/>
      <w:marLeft w:val="0"/>
      <w:marRight w:val="0"/>
      <w:marTop w:val="0"/>
      <w:marBottom w:val="0"/>
      <w:divBdr>
        <w:top w:val="none" w:sz="0" w:space="0" w:color="auto"/>
        <w:left w:val="none" w:sz="0" w:space="0" w:color="auto"/>
        <w:bottom w:val="none" w:sz="0" w:space="0" w:color="auto"/>
        <w:right w:val="none" w:sz="0" w:space="0" w:color="auto"/>
      </w:divBdr>
    </w:div>
    <w:div w:id="1297761806">
      <w:bodyDiv w:val="1"/>
      <w:marLeft w:val="0"/>
      <w:marRight w:val="0"/>
      <w:marTop w:val="0"/>
      <w:marBottom w:val="0"/>
      <w:divBdr>
        <w:top w:val="none" w:sz="0" w:space="0" w:color="auto"/>
        <w:left w:val="none" w:sz="0" w:space="0" w:color="auto"/>
        <w:bottom w:val="none" w:sz="0" w:space="0" w:color="auto"/>
        <w:right w:val="none" w:sz="0" w:space="0" w:color="auto"/>
      </w:divBdr>
    </w:div>
    <w:div w:id="1298145217">
      <w:bodyDiv w:val="1"/>
      <w:marLeft w:val="0"/>
      <w:marRight w:val="0"/>
      <w:marTop w:val="0"/>
      <w:marBottom w:val="0"/>
      <w:divBdr>
        <w:top w:val="none" w:sz="0" w:space="0" w:color="auto"/>
        <w:left w:val="none" w:sz="0" w:space="0" w:color="auto"/>
        <w:bottom w:val="none" w:sz="0" w:space="0" w:color="auto"/>
        <w:right w:val="none" w:sz="0" w:space="0" w:color="auto"/>
      </w:divBdr>
    </w:div>
    <w:div w:id="1302005497">
      <w:bodyDiv w:val="1"/>
      <w:marLeft w:val="0"/>
      <w:marRight w:val="0"/>
      <w:marTop w:val="0"/>
      <w:marBottom w:val="0"/>
      <w:divBdr>
        <w:top w:val="none" w:sz="0" w:space="0" w:color="auto"/>
        <w:left w:val="none" w:sz="0" w:space="0" w:color="auto"/>
        <w:bottom w:val="none" w:sz="0" w:space="0" w:color="auto"/>
        <w:right w:val="none" w:sz="0" w:space="0" w:color="auto"/>
      </w:divBdr>
    </w:div>
    <w:div w:id="1306081379">
      <w:bodyDiv w:val="1"/>
      <w:marLeft w:val="0"/>
      <w:marRight w:val="0"/>
      <w:marTop w:val="0"/>
      <w:marBottom w:val="0"/>
      <w:divBdr>
        <w:top w:val="none" w:sz="0" w:space="0" w:color="auto"/>
        <w:left w:val="none" w:sz="0" w:space="0" w:color="auto"/>
        <w:bottom w:val="none" w:sz="0" w:space="0" w:color="auto"/>
        <w:right w:val="none" w:sz="0" w:space="0" w:color="auto"/>
      </w:divBdr>
    </w:div>
    <w:div w:id="1306736884">
      <w:bodyDiv w:val="1"/>
      <w:marLeft w:val="0"/>
      <w:marRight w:val="0"/>
      <w:marTop w:val="0"/>
      <w:marBottom w:val="0"/>
      <w:divBdr>
        <w:top w:val="none" w:sz="0" w:space="0" w:color="auto"/>
        <w:left w:val="none" w:sz="0" w:space="0" w:color="auto"/>
        <w:bottom w:val="none" w:sz="0" w:space="0" w:color="auto"/>
        <w:right w:val="none" w:sz="0" w:space="0" w:color="auto"/>
      </w:divBdr>
    </w:div>
    <w:div w:id="1312901301">
      <w:bodyDiv w:val="1"/>
      <w:marLeft w:val="0"/>
      <w:marRight w:val="0"/>
      <w:marTop w:val="0"/>
      <w:marBottom w:val="0"/>
      <w:divBdr>
        <w:top w:val="none" w:sz="0" w:space="0" w:color="auto"/>
        <w:left w:val="none" w:sz="0" w:space="0" w:color="auto"/>
        <w:bottom w:val="none" w:sz="0" w:space="0" w:color="auto"/>
        <w:right w:val="none" w:sz="0" w:space="0" w:color="auto"/>
      </w:divBdr>
    </w:div>
    <w:div w:id="1314600966">
      <w:bodyDiv w:val="1"/>
      <w:marLeft w:val="0"/>
      <w:marRight w:val="0"/>
      <w:marTop w:val="0"/>
      <w:marBottom w:val="0"/>
      <w:divBdr>
        <w:top w:val="none" w:sz="0" w:space="0" w:color="auto"/>
        <w:left w:val="none" w:sz="0" w:space="0" w:color="auto"/>
        <w:bottom w:val="none" w:sz="0" w:space="0" w:color="auto"/>
        <w:right w:val="none" w:sz="0" w:space="0" w:color="auto"/>
      </w:divBdr>
    </w:div>
    <w:div w:id="1328627741">
      <w:bodyDiv w:val="1"/>
      <w:marLeft w:val="0"/>
      <w:marRight w:val="0"/>
      <w:marTop w:val="0"/>
      <w:marBottom w:val="0"/>
      <w:divBdr>
        <w:top w:val="none" w:sz="0" w:space="0" w:color="auto"/>
        <w:left w:val="none" w:sz="0" w:space="0" w:color="auto"/>
        <w:bottom w:val="none" w:sz="0" w:space="0" w:color="auto"/>
        <w:right w:val="none" w:sz="0" w:space="0" w:color="auto"/>
      </w:divBdr>
    </w:div>
    <w:div w:id="1332635519">
      <w:bodyDiv w:val="1"/>
      <w:marLeft w:val="0"/>
      <w:marRight w:val="0"/>
      <w:marTop w:val="0"/>
      <w:marBottom w:val="0"/>
      <w:divBdr>
        <w:top w:val="none" w:sz="0" w:space="0" w:color="auto"/>
        <w:left w:val="none" w:sz="0" w:space="0" w:color="auto"/>
        <w:bottom w:val="none" w:sz="0" w:space="0" w:color="auto"/>
        <w:right w:val="none" w:sz="0" w:space="0" w:color="auto"/>
      </w:divBdr>
    </w:div>
    <w:div w:id="1333486777">
      <w:bodyDiv w:val="1"/>
      <w:marLeft w:val="0"/>
      <w:marRight w:val="0"/>
      <w:marTop w:val="0"/>
      <w:marBottom w:val="0"/>
      <w:divBdr>
        <w:top w:val="none" w:sz="0" w:space="0" w:color="auto"/>
        <w:left w:val="none" w:sz="0" w:space="0" w:color="auto"/>
        <w:bottom w:val="none" w:sz="0" w:space="0" w:color="auto"/>
        <w:right w:val="none" w:sz="0" w:space="0" w:color="auto"/>
      </w:divBdr>
    </w:div>
    <w:div w:id="1353998991">
      <w:bodyDiv w:val="1"/>
      <w:marLeft w:val="0"/>
      <w:marRight w:val="0"/>
      <w:marTop w:val="0"/>
      <w:marBottom w:val="0"/>
      <w:divBdr>
        <w:top w:val="none" w:sz="0" w:space="0" w:color="auto"/>
        <w:left w:val="none" w:sz="0" w:space="0" w:color="auto"/>
        <w:bottom w:val="none" w:sz="0" w:space="0" w:color="auto"/>
        <w:right w:val="none" w:sz="0" w:space="0" w:color="auto"/>
      </w:divBdr>
    </w:div>
    <w:div w:id="1380128348">
      <w:bodyDiv w:val="1"/>
      <w:marLeft w:val="0"/>
      <w:marRight w:val="0"/>
      <w:marTop w:val="0"/>
      <w:marBottom w:val="0"/>
      <w:divBdr>
        <w:top w:val="none" w:sz="0" w:space="0" w:color="auto"/>
        <w:left w:val="none" w:sz="0" w:space="0" w:color="auto"/>
        <w:bottom w:val="none" w:sz="0" w:space="0" w:color="auto"/>
        <w:right w:val="none" w:sz="0" w:space="0" w:color="auto"/>
      </w:divBdr>
    </w:div>
    <w:div w:id="1428428506">
      <w:bodyDiv w:val="1"/>
      <w:marLeft w:val="0"/>
      <w:marRight w:val="0"/>
      <w:marTop w:val="0"/>
      <w:marBottom w:val="0"/>
      <w:divBdr>
        <w:top w:val="none" w:sz="0" w:space="0" w:color="auto"/>
        <w:left w:val="none" w:sz="0" w:space="0" w:color="auto"/>
        <w:bottom w:val="none" w:sz="0" w:space="0" w:color="auto"/>
        <w:right w:val="none" w:sz="0" w:space="0" w:color="auto"/>
      </w:divBdr>
    </w:div>
    <w:div w:id="1438254671">
      <w:bodyDiv w:val="1"/>
      <w:marLeft w:val="0"/>
      <w:marRight w:val="0"/>
      <w:marTop w:val="0"/>
      <w:marBottom w:val="0"/>
      <w:divBdr>
        <w:top w:val="none" w:sz="0" w:space="0" w:color="auto"/>
        <w:left w:val="none" w:sz="0" w:space="0" w:color="auto"/>
        <w:bottom w:val="none" w:sz="0" w:space="0" w:color="auto"/>
        <w:right w:val="none" w:sz="0" w:space="0" w:color="auto"/>
      </w:divBdr>
    </w:div>
    <w:div w:id="1482041383">
      <w:bodyDiv w:val="1"/>
      <w:marLeft w:val="0"/>
      <w:marRight w:val="0"/>
      <w:marTop w:val="0"/>
      <w:marBottom w:val="0"/>
      <w:divBdr>
        <w:top w:val="none" w:sz="0" w:space="0" w:color="auto"/>
        <w:left w:val="none" w:sz="0" w:space="0" w:color="auto"/>
        <w:bottom w:val="none" w:sz="0" w:space="0" w:color="auto"/>
        <w:right w:val="none" w:sz="0" w:space="0" w:color="auto"/>
      </w:divBdr>
    </w:div>
    <w:div w:id="1483615039">
      <w:bodyDiv w:val="1"/>
      <w:marLeft w:val="0"/>
      <w:marRight w:val="0"/>
      <w:marTop w:val="0"/>
      <w:marBottom w:val="0"/>
      <w:divBdr>
        <w:top w:val="none" w:sz="0" w:space="0" w:color="auto"/>
        <w:left w:val="none" w:sz="0" w:space="0" w:color="auto"/>
        <w:bottom w:val="none" w:sz="0" w:space="0" w:color="auto"/>
        <w:right w:val="none" w:sz="0" w:space="0" w:color="auto"/>
      </w:divBdr>
      <w:divsChild>
        <w:div w:id="64569124">
          <w:marLeft w:val="0"/>
          <w:marRight w:val="0"/>
          <w:marTop w:val="120"/>
          <w:marBottom w:val="0"/>
          <w:divBdr>
            <w:top w:val="none" w:sz="0" w:space="0" w:color="auto"/>
            <w:left w:val="none" w:sz="0" w:space="0" w:color="auto"/>
            <w:bottom w:val="none" w:sz="0" w:space="0" w:color="auto"/>
            <w:right w:val="none" w:sz="0" w:space="0" w:color="auto"/>
          </w:divBdr>
        </w:div>
        <w:div w:id="396973211">
          <w:marLeft w:val="1134"/>
          <w:marRight w:val="0"/>
          <w:marTop w:val="60"/>
          <w:marBottom w:val="0"/>
          <w:divBdr>
            <w:top w:val="none" w:sz="0" w:space="0" w:color="auto"/>
            <w:left w:val="none" w:sz="0" w:space="0" w:color="auto"/>
            <w:bottom w:val="none" w:sz="0" w:space="0" w:color="auto"/>
            <w:right w:val="none" w:sz="0" w:space="0" w:color="auto"/>
          </w:divBdr>
        </w:div>
        <w:div w:id="1385638775">
          <w:marLeft w:val="1134"/>
          <w:marRight w:val="0"/>
          <w:marTop w:val="60"/>
          <w:marBottom w:val="0"/>
          <w:divBdr>
            <w:top w:val="none" w:sz="0" w:space="0" w:color="auto"/>
            <w:left w:val="none" w:sz="0" w:space="0" w:color="auto"/>
            <w:bottom w:val="none" w:sz="0" w:space="0" w:color="auto"/>
            <w:right w:val="none" w:sz="0" w:space="0" w:color="auto"/>
          </w:divBdr>
        </w:div>
        <w:div w:id="1624918814">
          <w:marLeft w:val="1134"/>
          <w:marRight w:val="0"/>
          <w:marTop w:val="60"/>
          <w:marBottom w:val="0"/>
          <w:divBdr>
            <w:top w:val="none" w:sz="0" w:space="0" w:color="auto"/>
            <w:left w:val="none" w:sz="0" w:space="0" w:color="auto"/>
            <w:bottom w:val="none" w:sz="0" w:space="0" w:color="auto"/>
            <w:right w:val="none" w:sz="0" w:space="0" w:color="auto"/>
          </w:divBdr>
        </w:div>
      </w:divsChild>
    </w:div>
    <w:div w:id="1494487481">
      <w:bodyDiv w:val="1"/>
      <w:marLeft w:val="0"/>
      <w:marRight w:val="0"/>
      <w:marTop w:val="0"/>
      <w:marBottom w:val="0"/>
      <w:divBdr>
        <w:top w:val="none" w:sz="0" w:space="0" w:color="auto"/>
        <w:left w:val="none" w:sz="0" w:space="0" w:color="auto"/>
        <w:bottom w:val="none" w:sz="0" w:space="0" w:color="auto"/>
        <w:right w:val="none" w:sz="0" w:space="0" w:color="auto"/>
      </w:divBdr>
    </w:div>
    <w:div w:id="1496607275">
      <w:bodyDiv w:val="1"/>
      <w:marLeft w:val="0"/>
      <w:marRight w:val="0"/>
      <w:marTop w:val="0"/>
      <w:marBottom w:val="0"/>
      <w:divBdr>
        <w:top w:val="none" w:sz="0" w:space="0" w:color="auto"/>
        <w:left w:val="none" w:sz="0" w:space="0" w:color="auto"/>
        <w:bottom w:val="none" w:sz="0" w:space="0" w:color="auto"/>
        <w:right w:val="none" w:sz="0" w:space="0" w:color="auto"/>
      </w:divBdr>
    </w:div>
    <w:div w:id="1503201124">
      <w:bodyDiv w:val="1"/>
      <w:marLeft w:val="0"/>
      <w:marRight w:val="0"/>
      <w:marTop w:val="0"/>
      <w:marBottom w:val="0"/>
      <w:divBdr>
        <w:top w:val="none" w:sz="0" w:space="0" w:color="auto"/>
        <w:left w:val="none" w:sz="0" w:space="0" w:color="auto"/>
        <w:bottom w:val="none" w:sz="0" w:space="0" w:color="auto"/>
        <w:right w:val="none" w:sz="0" w:space="0" w:color="auto"/>
      </w:divBdr>
    </w:div>
    <w:div w:id="1521966750">
      <w:bodyDiv w:val="1"/>
      <w:marLeft w:val="0"/>
      <w:marRight w:val="0"/>
      <w:marTop w:val="0"/>
      <w:marBottom w:val="0"/>
      <w:divBdr>
        <w:top w:val="none" w:sz="0" w:space="0" w:color="auto"/>
        <w:left w:val="none" w:sz="0" w:space="0" w:color="auto"/>
        <w:bottom w:val="none" w:sz="0" w:space="0" w:color="auto"/>
        <w:right w:val="none" w:sz="0" w:space="0" w:color="auto"/>
      </w:divBdr>
    </w:div>
    <w:div w:id="1527790133">
      <w:bodyDiv w:val="1"/>
      <w:marLeft w:val="0"/>
      <w:marRight w:val="0"/>
      <w:marTop w:val="0"/>
      <w:marBottom w:val="0"/>
      <w:divBdr>
        <w:top w:val="none" w:sz="0" w:space="0" w:color="auto"/>
        <w:left w:val="none" w:sz="0" w:space="0" w:color="auto"/>
        <w:bottom w:val="none" w:sz="0" w:space="0" w:color="auto"/>
        <w:right w:val="none" w:sz="0" w:space="0" w:color="auto"/>
      </w:divBdr>
    </w:div>
    <w:div w:id="1530486633">
      <w:bodyDiv w:val="1"/>
      <w:marLeft w:val="0"/>
      <w:marRight w:val="0"/>
      <w:marTop w:val="0"/>
      <w:marBottom w:val="0"/>
      <w:divBdr>
        <w:top w:val="none" w:sz="0" w:space="0" w:color="auto"/>
        <w:left w:val="none" w:sz="0" w:space="0" w:color="auto"/>
        <w:bottom w:val="none" w:sz="0" w:space="0" w:color="auto"/>
        <w:right w:val="none" w:sz="0" w:space="0" w:color="auto"/>
      </w:divBdr>
    </w:div>
    <w:div w:id="1540971805">
      <w:bodyDiv w:val="1"/>
      <w:marLeft w:val="0"/>
      <w:marRight w:val="0"/>
      <w:marTop w:val="0"/>
      <w:marBottom w:val="0"/>
      <w:divBdr>
        <w:top w:val="none" w:sz="0" w:space="0" w:color="auto"/>
        <w:left w:val="none" w:sz="0" w:space="0" w:color="auto"/>
        <w:bottom w:val="none" w:sz="0" w:space="0" w:color="auto"/>
        <w:right w:val="none" w:sz="0" w:space="0" w:color="auto"/>
      </w:divBdr>
    </w:div>
    <w:div w:id="1551453595">
      <w:bodyDiv w:val="1"/>
      <w:marLeft w:val="0"/>
      <w:marRight w:val="0"/>
      <w:marTop w:val="0"/>
      <w:marBottom w:val="0"/>
      <w:divBdr>
        <w:top w:val="none" w:sz="0" w:space="0" w:color="auto"/>
        <w:left w:val="none" w:sz="0" w:space="0" w:color="auto"/>
        <w:bottom w:val="none" w:sz="0" w:space="0" w:color="auto"/>
        <w:right w:val="none" w:sz="0" w:space="0" w:color="auto"/>
      </w:divBdr>
    </w:div>
    <w:div w:id="1560480087">
      <w:bodyDiv w:val="1"/>
      <w:marLeft w:val="0"/>
      <w:marRight w:val="0"/>
      <w:marTop w:val="0"/>
      <w:marBottom w:val="0"/>
      <w:divBdr>
        <w:top w:val="none" w:sz="0" w:space="0" w:color="auto"/>
        <w:left w:val="none" w:sz="0" w:space="0" w:color="auto"/>
        <w:bottom w:val="none" w:sz="0" w:space="0" w:color="auto"/>
        <w:right w:val="none" w:sz="0" w:space="0" w:color="auto"/>
      </w:divBdr>
    </w:div>
    <w:div w:id="1564566283">
      <w:bodyDiv w:val="1"/>
      <w:marLeft w:val="0"/>
      <w:marRight w:val="0"/>
      <w:marTop w:val="0"/>
      <w:marBottom w:val="0"/>
      <w:divBdr>
        <w:top w:val="none" w:sz="0" w:space="0" w:color="auto"/>
        <w:left w:val="none" w:sz="0" w:space="0" w:color="auto"/>
        <w:bottom w:val="none" w:sz="0" w:space="0" w:color="auto"/>
        <w:right w:val="none" w:sz="0" w:space="0" w:color="auto"/>
      </w:divBdr>
    </w:div>
    <w:div w:id="1566796218">
      <w:bodyDiv w:val="1"/>
      <w:marLeft w:val="0"/>
      <w:marRight w:val="0"/>
      <w:marTop w:val="0"/>
      <w:marBottom w:val="0"/>
      <w:divBdr>
        <w:top w:val="none" w:sz="0" w:space="0" w:color="auto"/>
        <w:left w:val="none" w:sz="0" w:space="0" w:color="auto"/>
        <w:bottom w:val="none" w:sz="0" w:space="0" w:color="auto"/>
        <w:right w:val="none" w:sz="0" w:space="0" w:color="auto"/>
      </w:divBdr>
    </w:div>
    <w:div w:id="1567641374">
      <w:bodyDiv w:val="1"/>
      <w:marLeft w:val="0"/>
      <w:marRight w:val="0"/>
      <w:marTop w:val="0"/>
      <w:marBottom w:val="0"/>
      <w:divBdr>
        <w:top w:val="none" w:sz="0" w:space="0" w:color="auto"/>
        <w:left w:val="none" w:sz="0" w:space="0" w:color="auto"/>
        <w:bottom w:val="none" w:sz="0" w:space="0" w:color="auto"/>
        <w:right w:val="none" w:sz="0" w:space="0" w:color="auto"/>
      </w:divBdr>
    </w:div>
    <w:div w:id="1572618874">
      <w:bodyDiv w:val="1"/>
      <w:marLeft w:val="0"/>
      <w:marRight w:val="0"/>
      <w:marTop w:val="0"/>
      <w:marBottom w:val="0"/>
      <w:divBdr>
        <w:top w:val="none" w:sz="0" w:space="0" w:color="auto"/>
        <w:left w:val="none" w:sz="0" w:space="0" w:color="auto"/>
        <w:bottom w:val="none" w:sz="0" w:space="0" w:color="auto"/>
        <w:right w:val="none" w:sz="0" w:space="0" w:color="auto"/>
      </w:divBdr>
    </w:div>
    <w:div w:id="1582448560">
      <w:bodyDiv w:val="1"/>
      <w:marLeft w:val="0"/>
      <w:marRight w:val="0"/>
      <w:marTop w:val="0"/>
      <w:marBottom w:val="0"/>
      <w:divBdr>
        <w:top w:val="none" w:sz="0" w:space="0" w:color="auto"/>
        <w:left w:val="none" w:sz="0" w:space="0" w:color="auto"/>
        <w:bottom w:val="none" w:sz="0" w:space="0" w:color="auto"/>
        <w:right w:val="none" w:sz="0" w:space="0" w:color="auto"/>
      </w:divBdr>
    </w:div>
    <w:div w:id="1589576812">
      <w:bodyDiv w:val="1"/>
      <w:marLeft w:val="0"/>
      <w:marRight w:val="0"/>
      <w:marTop w:val="0"/>
      <w:marBottom w:val="0"/>
      <w:divBdr>
        <w:top w:val="none" w:sz="0" w:space="0" w:color="auto"/>
        <w:left w:val="none" w:sz="0" w:space="0" w:color="auto"/>
        <w:bottom w:val="none" w:sz="0" w:space="0" w:color="auto"/>
        <w:right w:val="none" w:sz="0" w:space="0" w:color="auto"/>
      </w:divBdr>
    </w:div>
    <w:div w:id="1593778395">
      <w:bodyDiv w:val="1"/>
      <w:marLeft w:val="0"/>
      <w:marRight w:val="0"/>
      <w:marTop w:val="0"/>
      <w:marBottom w:val="0"/>
      <w:divBdr>
        <w:top w:val="none" w:sz="0" w:space="0" w:color="auto"/>
        <w:left w:val="none" w:sz="0" w:space="0" w:color="auto"/>
        <w:bottom w:val="none" w:sz="0" w:space="0" w:color="auto"/>
        <w:right w:val="none" w:sz="0" w:space="0" w:color="auto"/>
      </w:divBdr>
    </w:div>
    <w:div w:id="1605307854">
      <w:bodyDiv w:val="1"/>
      <w:marLeft w:val="0"/>
      <w:marRight w:val="0"/>
      <w:marTop w:val="0"/>
      <w:marBottom w:val="0"/>
      <w:divBdr>
        <w:top w:val="none" w:sz="0" w:space="0" w:color="auto"/>
        <w:left w:val="none" w:sz="0" w:space="0" w:color="auto"/>
        <w:bottom w:val="none" w:sz="0" w:space="0" w:color="auto"/>
        <w:right w:val="none" w:sz="0" w:space="0" w:color="auto"/>
      </w:divBdr>
    </w:div>
    <w:div w:id="1614745962">
      <w:bodyDiv w:val="1"/>
      <w:marLeft w:val="0"/>
      <w:marRight w:val="0"/>
      <w:marTop w:val="0"/>
      <w:marBottom w:val="0"/>
      <w:divBdr>
        <w:top w:val="none" w:sz="0" w:space="0" w:color="auto"/>
        <w:left w:val="none" w:sz="0" w:space="0" w:color="auto"/>
        <w:bottom w:val="none" w:sz="0" w:space="0" w:color="auto"/>
        <w:right w:val="none" w:sz="0" w:space="0" w:color="auto"/>
      </w:divBdr>
    </w:div>
    <w:div w:id="1617178325">
      <w:bodyDiv w:val="1"/>
      <w:marLeft w:val="0"/>
      <w:marRight w:val="0"/>
      <w:marTop w:val="0"/>
      <w:marBottom w:val="0"/>
      <w:divBdr>
        <w:top w:val="none" w:sz="0" w:space="0" w:color="auto"/>
        <w:left w:val="none" w:sz="0" w:space="0" w:color="auto"/>
        <w:bottom w:val="none" w:sz="0" w:space="0" w:color="auto"/>
        <w:right w:val="none" w:sz="0" w:space="0" w:color="auto"/>
      </w:divBdr>
    </w:div>
    <w:div w:id="1619138653">
      <w:bodyDiv w:val="1"/>
      <w:marLeft w:val="0"/>
      <w:marRight w:val="0"/>
      <w:marTop w:val="0"/>
      <w:marBottom w:val="0"/>
      <w:divBdr>
        <w:top w:val="none" w:sz="0" w:space="0" w:color="auto"/>
        <w:left w:val="none" w:sz="0" w:space="0" w:color="auto"/>
        <w:bottom w:val="none" w:sz="0" w:space="0" w:color="auto"/>
        <w:right w:val="none" w:sz="0" w:space="0" w:color="auto"/>
      </w:divBdr>
    </w:div>
    <w:div w:id="1620867368">
      <w:bodyDiv w:val="1"/>
      <w:marLeft w:val="0"/>
      <w:marRight w:val="0"/>
      <w:marTop w:val="0"/>
      <w:marBottom w:val="0"/>
      <w:divBdr>
        <w:top w:val="none" w:sz="0" w:space="0" w:color="auto"/>
        <w:left w:val="none" w:sz="0" w:space="0" w:color="auto"/>
        <w:bottom w:val="none" w:sz="0" w:space="0" w:color="auto"/>
        <w:right w:val="none" w:sz="0" w:space="0" w:color="auto"/>
      </w:divBdr>
    </w:div>
    <w:div w:id="1622417133">
      <w:bodyDiv w:val="1"/>
      <w:marLeft w:val="0"/>
      <w:marRight w:val="0"/>
      <w:marTop w:val="0"/>
      <w:marBottom w:val="0"/>
      <w:divBdr>
        <w:top w:val="none" w:sz="0" w:space="0" w:color="auto"/>
        <w:left w:val="none" w:sz="0" w:space="0" w:color="auto"/>
        <w:bottom w:val="none" w:sz="0" w:space="0" w:color="auto"/>
        <w:right w:val="none" w:sz="0" w:space="0" w:color="auto"/>
      </w:divBdr>
    </w:div>
    <w:div w:id="1624730393">
      <w:bodyDiv w:val="1"/>
      <w:marLeft w:val="0"/>
      <w:marRight w:val="0"/>
      <w:marTop w:val="0"/>
      <w:marBottom w:val="0"/>
      <w:divBdr>
        <w:top w:val="none" w:sz="0" w:space="0" w:color="auto"/>
        <w:left w:val="none" w:sz="0" w:space="0" w:color="auto"/>
        <w:bottom w:val="none" w:sz="0" w:space="0" w:color="auto"/>
        <w:right w:val="none" w:sz="0" w:space="0" w:color="auto"/>
      </w:divBdr>
    </w:div>
    <w:div w:id="1627004235">
      <w:bodyDiv w:val="1"/>
      <w:marLeft w:val="0"/>
      <w:marRight w:val="0"/>
      <w:marTop w:val="0"/>
      <w:marBottom w:val="0"/>
      <w:divBdr>
        <w:top w:val="none" w:sz="0" w:space="0" w:color="auto"/>
        <w:left w:val="none" w:sz="0" w:space="0" w:color="auto"/>
        <w:bottom w:val="none" w:sz="0" w:space="0" w:color="auto"/>
        <w:right w:val="none" w:sz="0" w:space="0" w:color="auto"/>
      </w:divBdr>
    </w:div>
    <w:div w:id="1630429153">
      <w:bodyDiv w:val="1"/>
      <w:marLeft w:val="0"/>
      <w:marRight w:val="0"/>
      <w:marTop w:val="0"/>
      <w:marBottom w:val="0"/>
      <w:divBdr>
        <w:top w:val="none" w:sz="0" w:space="0" w:color="auto"/>
        <w:left w:val="none" w:sz="0" w:space="0" w:color="auto"/>
        <w:bottom w:val="none" w:sz="0" w:space="0" w:color="auto"/>
        <w:right w:val="none" w:sz="0" w:space="0" w:color="auto"/>
      </w:divBdr>
    </w:div>
    <w:div w:id="1631012643">
      <w:bodyDiv w:val="1"/>
      <w:marLeft w:val="0"/>
      <w:marRight w:val="0"/>
      <w:marTop w:val="0"/>
      <w:marBottom w:val="0"/>
      <w:divBdr>
        <w:top w:val="none" w:sz="0" w:space="0" w:color="auto"/>
        <w:left w:val="none" w:sz="0" w:space="0" w:color="auto"/>
        <w:bottom w:val="none" w:sz="0" w:space="0" w:color="auto"/>
        <w:right w:val="none" w:sz="0" w:space="0" w:color="auto"/>
      </w:divBdr>
    </w:div>
    <w:div w:id="1632401169">
      <w:bodyDiv w:val="1"/>
      <w:marLeft w:val="0"/>
      <w:marRight w:val="0"/>
      <w:marTop w:val="0"/>
      <w:marBottom w:val="0"/>
      <w:divBdr>
        <w:top w:val="none" w:sz="0" w:space="0" w:color="auto"/>
        <w:left w:val="none" w:sz="0" w:space="0" w:color="auto"/>
        <w:bottom w:val="none" w:sz="0" w:space="0" w:color="auto"/>
        <w:right w:val="none" w:sz="0" w:space="0" w:color="auto"/>
      </w:divBdr>
    </w:div>
    <w:div w:id="1638141711">
      <w:bodyDiv w:val="1"/>
      <w:marLeft w:val="0"/>
      <w:marRight w:val="0"/>
      <w:marTop w:val="0"/>
      <w:marBottom w:val="0"/>
      <w:divBdr>
        <w:top w:val="none" w:sz="0" w:space="0" w:color="auto"/>
        <w:left w:val="none" w:sz="0" w:space="0" w:color="auto"/>
        <w:bottom w:val="none" w:sz="0" w:space="0" w:color="auto"/>
        <w:right w:val="none" w:sz="0" w:space="0" w:color="auto"/>
      </w:divBdr>
    </w:div>
    <w:div w:id="1643970617">
      <w:bodyDiv w:val="1"/>
      <w:marLeft w:val="0"/>
      <w:marRight w:val="0"/>
      <w:marTop w:val="0"/>
      <w:marBottom w:val="0"/>
      <w:divBdr>
        <w:top w:val="none" w:sz="0" w:space="0" w:color="auto"/>
        <w:left w:val="none" w:sz="0" w:space="0" w:color="auto"/>
        <w:bottom w:val="none" w:sz="0" w:space="0" w:color="auto"/>
        <w:right w:val="none" w:sz="0" w:space="0" w:color="auto"/>
      </w:divBdr>
    </w:div>
    <w:div w:id="1649090281">
      <w:bodyDiv w:val="1"/>
      <w:marLeft w:val="0"/>
      <w:marRight w:val="0"/>
      <w:marTop w:val="0"/>
      <w:marBottom w:val="0"/>
      <w:divBdr>
        <w:top w:val="none" w:sz="0" w:space="0" w:color="auto"/>
        <w:left w:val="none" w:sz="0" w:space="0" w:color="auto"/>
        <w:bottom w:val="none" w:sz="0" w:space="0" w:color="auto"/>
        <w:right w:val="none" w:sz="0" w:space="0" w:color="auto"/>
      </w:divBdr>
    </w:div>
    <w:div w:id="1653563506">
      <w:bodyDiv w:val="1"/>
      <w:marLeft w:val="0"/>
      <w:marRight w:val="0"/>
      <w:marTop w:val="0"/>
      <w:marBottom w:val="0"/>
      <w:divBdr>
        <w:top w:val="none" w:sz="0" w:space="0" w:color="auto"/>
        <w:left w:val="none" w:sz="0" w:space="0" w:color="auto"/>
        <w:bottom w:val="none" w:sz="0" w:space="0" w:color="auto"/>
        <w:right w:val="none" w:sz="0" w:space="0" w:color="auto"/>
      </w:divBdr>
    </w:div>
    <w:div w:id="1660034903">
      <w:bodyDiv w:val="1"/>
      <w:marLeft w:val="0"/>
      <w:marRight w:val="0"/>
      <w:marTop w:val="0"/>
      <w:marBottom w:val="0"/>
      <w:divBdr>
        <w:top w:val="none" w:sz="0" w:space="0" w:color="auto"/>
        <w:left w:val="none" w:sz="0" w:space="0" w:color="auto"/>
        <w:bottom w:val="none" w:sz="0" w:space="0" w:color="auto"/>
        <w:right w:val="none" w:sz="0" w:space="0" w:color="auto"/>
      </w:divBdr>
    </w:div>
    <w:div w:id="1667130567">
      <w:bodyDiv w:val="1"/>
      <w:marLeft w:val="0"/>
      <w:marRight w:val="0"/>
      <w:marTop w:val="0"/>
      <w:marBottom w:val="0"/>
      <w:divBdr>
        <w:top w:val="none" w:sz="0" w:space="0" w:color="auto"/>
        <w:left w:val="none" w:sz="0" w:space="0" w:color="auto"/>
        <w:bottom w:val="none" w:sz="0" w:space="0" w:color="auto"/>
        <w:right w:val="none" w:sz="0" w:space="0" w:color="auto"/>
      </w:divBdr>
    </w:div>
    <w:div w:id="1670281242">
      <w:bodyDiv w:val="1"/>
      <w:marLeft w:val="0"/>
      <w:marRight w:val="0"/>
      <w:marTop w:val="0"/>
      <w:marBottom w:val="0"/>
      <w:divBdr>
        <w:top w:val="none" w:sz="0" w:space="0" w:color="auto"/>
        <w:left w:val="none" w:sz="0" w:space="0" w:color="auto"/>
        <w:bottom w:val="none" w:sz="0" w:space="0" w:color="auto"/>
        <w:right w:val="none" w:sz="0" w:space="0" w:color="auto"/>
      </w:divBdr>
    </w:div>
    <w:div w:id="1672021257">
      <w:bodyDiv w:val="1"/>
      <w:marLeft w:val="0"/>
      <w:marRight w:val="0"/>
      <w:marTop w:val="0"/>
      <w:marBottom w:val="0"/>
      <w:divBdr>
        <w:top w:val="none" w:sz="0" w:space="0" w:color="auto"/>
        <w:left w:val="none" w:sz="0" w:space="0" w:color="auto"/>
        <w:bottom w:val="none" w:sz="0" w:space="0" w:color="auto"/>
        <w:right w:val="none" w:sz="0" w:space="0" w:color="auto"/>
      </w:divBdr>
    </w:div>
    <w:div w:id="1679431172">
      <w:bodyDiv w:val="1"/>
      <w:marLeft w:val="0"/>
      <w:marRight w:val="0"/>
      <w:marTop w:val="0"/>
      <w:marBottom w:val="0"/>
      <w:divBdr>
        <w:top w:val="none" w:sz="0" w:space="0" w:color="auto"/>
        <w:left w:val="none" w:sz="0" w:space="0" w:color="auto"/>
        <w:bottom w:val="none" w:sz="0" w:space="0" w:color="auto"/>
        <w:right w:val="none" w:sz="0" w:space="0" w:color="auto"/>
      </w:divBdr>
    </w:div>
    <w:div w:id="1679849154">
      <w:bodyDiv w:val="1"/>
      <w:marLeft w:val="0"/>
      <w:marRight w:val="0"/>
      <w:marTop w:val="0"/>
      <w:marBottom w:val="0"/>
      <w:divBdr>
        <w:top w:val="none" w:sz="0" w:space="0" w:color="auto"/>
        <w:left w:val="none" w:sz="0" w:space="0" w:color="auto"/>
        <w:bottom w:val="none" w:sz="0" w:space="0" w:color="auto"/>
        <w:right w:val="none" w:sz="0" w:space="0" w:color="auto"/>
      </w:divBdr>
    </w:div>
    <w:div w:id="1679962831">
      <w:bodyDiv w:val="1"/>
      <w:marLeft w:val="0"/>
      <w:marRight w:val="0"/>
      <w:marTop w:val="0"/>
      <w:marBottom w:val="0"/>
      <w:divBdr>
        <w:top w:val="none" w:sz="0" w:space="0" w:color="auto"/>
        <w:left w:val="none" w:sz="0" w:space="0" w:color="auto"/>
        <w:bottom w:val="none" w:sz="0" w:space="0" w:color="auto"/>
        <w:right w:val="none" w:sz="0" w:space="0" w:color="auto"/>
      </w:divBdr>
    </w:div>
    <w:div w:id="1691563883">
      <w:bodyDiv w:val="1"/>
      <w:marLeft w:val="0"/>
      <w:marRight w:val="0"/>
      <w:marTop w:val="0"/>
      <w:marBottom w:val="0"/>
      <w:divBdr>
        <w:top w:val="none" w:sz="0" w:space="0" w:color="auto"/>
        <w:left w:val="none" w:sz="0" w:space="0" w:color="auto"/>
        <w:bottom w:val="none" w:sz="0" w:space="0" w:color="auto"/>
        <w:right w:val="none" w:sz="0" w:space="0" w:color="auto"/>
      </w:divBdr>
    </w:div>
    <w:div w:id="1692489369">
      <w:bodyDiv w:val="1"/>
      <w:marLeft w:val="0"/>
      <w:marRight w:val="0"/>
      <w:marTop w:val="0"/>
      <w:marBottom w:val="0"/>
      <w:divBdr>
        <w:top w:val="none" w:sz="0" w:space="0" w:color="auto"/>
        <w:left w:val="none" w:sz="0" w:space="0" w:color="auto"/>
        <w:bottom w:val="none" w:sz="0" w:space="0" w:color="auto"/>
        <w:right w:val="none" w:sz="0" w:space="0" w:color="auto"/>
      </w:divBdr>
    </w:div>
    <w:div w:id="1705982107">
      <w:bodyDiv w:val="1"/>
      <w:marLeft w:val="0"/>
      <w:marRight w:val="0"/>
      <w:marTop w:val="0"/>
      <w:marBottom w:val="0"/>
      <w:divBdr>
        <w:top w:val="none" w:sz="0" w:space="0" w:color="auto"/>
        <w:left w:val="none" w:sz="0" w:space="0" w:color="auto"/>
        <w:bottom w:val="none" w:sz="0" w:space="0" w:color="auto"/>
        <w:right w:val="none" w:sz="0" w:space="0" w:color="auto"/>
      </w:divBdr>
    </w:div>
    <w:div w:id="1708286831">
      <w:bodyDiv w:val="1"/>
      <w:marLeft w:val="0"/>
      <w:marRight w:val="0"/>
      <w:marTop w:val="0"/>
      <w:marBottom w:val="0"/>
      <w:divBdr>
        <w:top w:val="none" w:sz="0" w:space="0" w:color="auto"/>
        <w:left w:val="none" w:sz="0" w:space="0" w:color="auto"/>
        <w:bottom w:val="none" w:sz="0" w:space="0" w:color="auto"/>
        <w:right w:val="none" w:sz="0" w:space="0" w:color="auto"/>
      </w:divBdr>
    </w:div>
    <w:div w:id="1719743279">
      <w:bodyDiv w:val="1"/>
      <w:marLeft w:val="0"/>
      <w:marRight w:val="0"/>
      <w:marTop w:val="0"/>
      <w:marBottom w:val="0"/>
      <w:divBdr>
        <w:top w:val="none" w:sz="0" w:space="0" w:color="auto"/>
        <w:left w:val="none" w:sz="0" w:space="0" w:color="auto"/>
        <w:bottom w:val="none" w:sz="0" w:space="0" w:color="auto"/>
        <w:right w:val="none" w:sz="0" w:space="0" w:color="auto"/>
      </w:divBdr>
    </w:div>
    <w:div w:id="1720394968">
      <w:bodyDiv w:val="1"/>
      <w:marLeft w:val="0"/>
      <w:marRight w:val="0"/>
      <w:marTop w:val="0"/>
      <w:marBottom w:val="0"/>
      <w:divBdr>
        <w:top w:val="none" w:sz="0" w:space="0" w:color="auto"/>
        <w:left w:val="none" w:sz="0" w:space="0" w:color="auto"/>
        <w:bottom w:val="none" w:sz="0" w:space="0" w:color="auto"/>
        <w:right w:val="none" w:sz="0" w:space="0" w:color="auto"/>
      </w:divBdr>
    </w:div>
    <w:div w:id="1723869685">
      <w:bodyDiv w:val="1"/>
      <w:marLeft w:val="0"/>
      <w:marRight w:val="0"/>
      <w:marTop w:val="0"/>
      <w:marBottom w:val="0"/>
      <w:divBdr>
        <w:top w:val="none" w:sz="0" w:space="0" w:color="auto"/>
        <w:left w:val="none" w:sz="0" w:space="0" w:color="auto"/>
        <w:bottom w:val="none" w:sz="0" w:space="0" w:color="auto"/>
        <w:right w:val="none" w:sz="0" w:space="0" w:color="auto"/>
      </w:divBdr>
    </w:div>
    <w:div w:id="1729718577">
      <w:bodyDiv w:val="1"/>
      <w:marLeft w:val="0"/>
      <w:marRight w:val="0"/>
      <w:marTop w:val="0"/>
      <w:marBottom w:val="0"/>
      <w:divBdr>
        <w:top w:val="none" w:sz="0" w:space="0" w:color="auto"/>
        <w:left w:val="none" w:sz="0" w:space="0" w:color="auto"/>
        <w:bottom w:val="none" w:sz="0" w:space="0" w:color="auto"/>
        <w:right w:val="none" w:sz="0" w:space="0" w:color="auto"/>
      </w:divBdr>
    </w:div>
    <w:div w:id="1729911077">
      <w:bodyDiv w:val="1"/>
      <w:marLeft w:val="0"/>
      <w:marRight w:val="0"/>
      <w:marTop w:val="0"/>
      <w:marBottom w:val="0"/>
      <w:divBdr>
        <w:top w:val="none" w:sz="0" w:space="0" w:color="auto"/>
        <w:left w:val="none" w:sz="0" w:space="0" w:color="auto"/>
        <w:bottom w:val="none" w:sz="0" w:space="0" w:color="auto"/>
        <w:right w:val="none" w:sz="0" w:space="0" w:color="auto"/>
      </w:divBdr>
    </w:div>
    <w:div w:id="1730297629">
      <w:bodyDiv w:val="1"/>
      <w:marLeft w:val="0"/>
      <w:marRight w:val="0"/>
      <w:marTop w:val="0"/>
      <w:marBottom w:val="0"/>
      <w:divBdr>
        <w:top w:val="none" w:sz="0" w:space="0" w:color="auto"/>
        <w:left w:val="none" w:sz="0" w:space="0" w:color="auto"/>
        <w:bottom w:val="none" w:sz="0" w:space="0" w:color="auto"/>
        <w:right w:val="none" w:sz="0" w:space="0" w:color="auto"/>
      </w:divBdr>
    </w:div>
    <w:div w:id="1734766674">
      <w:bodyDiv w:val="1"/>
      <w:marLeft w:val="0"/>
      <w:marRight w:val="0"/>
      <w:marTop w:val="0"/>
      <w:marBottom w:val="0"/>
      <w:divBdr>
        <w:top w:val="none" w:sz="0" w:space="0" w:color="auto"/>
        <w:left w:val="none" w:sz="0" w:space="0" w:color="auto"/>
        <w:bottom w:val="none" w:sz="0" w:space="0" w:color="auto"/>
        <w:right w:val="none" w:sz="0" w:space="0" w:color="auto"/>
      </w:divBdr>
    </w:div>
    <w:div w:id="1739398485">
      <w:bodyDiv w:val="1"/>
      <w:marLeft w:val="0"/>
      <w:marRight w:val="0"/>
      <w:marTop w:val="0"/>
      <w:marBottom w:val="0"/>
      <w:divBdr>
        <w:top w:val="none" w:sz="0" w:space="0" w:color="auto"/>
        <w:left w:val="none" w:sz="0" w:space="0" w:color="auto"/>
        <w:bottom w:val="none" w:sz="0" w:space="0" w:color="auto"/>
        <w:right w:val="none" w:sz="0" w:space="0" w:color="auto"/>
      </w:divBdr>
    </w:div>
    <w:div w:id="1740011899">
      <w:bodyDiv w:val="1"/>
      <w:marLeft w:val="0"/>
      <w:marRight w:val="0"/>
      <w:marTop w:val="0"/>
      <w:marBottom w:val="0"/>
      <w:divBdr>
        <w:top w:val="none" w:sz="0" w:space="0" w:color="auto"/>
        <w:left w:val="none" w:sz="0" w:space="0" w:color="auto"/>
        <w:bottom w:val="none" w:sz="0" w:space="0" w:color="auto"/>
        <w:right w:val="none" w:sz="0" w:space="0" w:color="auto"/>
      </w:divBdr>
    </w:div>
    <w:div w:id="1747072869">
      <w:bodyDiv w:val="1"/>
      <w:marLeft w:val="0"/>
      <w:marRight w:val="0"/>
      <w:marTop w:val="0"/>
      <w:marBottom w:val="0"/>
      <w:divBdr>
        <w:top w:val="none" w:sz="0" w:space="0" w:color="auto"/>
        <w:left w:val="none" w:sz="0" w:space="0" w:color="auto"/>
        <w:bottom w:val="none" w:sz="0" w:space="0" w:color="auto"/>
        <w:right w:val="none" w:sz="0" w:space="0" w:color="auto"/>
      </w:divBdr>
    </w:div>
    <w:div w:id="1747452163">
      <w:bodyDiv w:val="1"/>
      <w:marLeft w:val="0"/>
      <w:marRight w:val="0"/>
      <w:marTop w:val="0"/>
      <w:marBottom w:val="0"/>
      <w:divBdr>
        <w:top w:val="none" w:sz="0" w:space="0" w:color="auto"/>
        <w:left w:val="none" w:sz="0" w:space="0" w:color="auto"/>
        <w:bottom w:val="none" w:sz="0" w:space="0" w:color="auto"/>
        <w:right w:val="none" w:sz="0" w:space="0" w:color="auto"/>
      </w:divBdr>
    </w:div>
    <w:div w:id="1749420316">
      <w:bodyDiv w:val="1"/>
      <w:marLeft w:val="0"/>
      <w:marRight w:val="0"/>
      <w:marTop w:val="0"/>
      <w:marBottom w:val="0"/>
      <w:divBdr>
        <w:top w:val="none" w:sz="0" w:space="0" w:color="auto"/>
        <w:left w:val="none" w:sz="0" w:space="0" w:color="auto"/>
        <w:bottom w:val="none" w:sz="0" w:space="0" w:color="auto"/>
        <w:right w:val="none" w:sz="0" w:space="0" w:color="auto"/>
      </w:divBdr>
    </w:div>
    <w:div w:id="1758331552">
      <w:bodyDiv w:val="1"/>
      <w:marLeft w:val="0"/>
      <w:marRight w:val="0"/>
      <w:marTop w:val="0"/>
      <w:marBottom w:val="0"/>
      <w:divBdr>
        <w:top w:val="none" w:sz="0" w:space="0" w:color="auto"/>
        <w:left w:val="none" w:sz="0" w:space="0" w:color="auto"/>
        <w:bottom w:val="none" w:sz="0" w:space="0" w:color="auto"/>
        <w:right w:val="none" w:sz="0" w:space="0" w:color="auto"/>
      </w:divBdr>
    </w:div>
    <w:div w:id="1763598366">
      <w:bodyDiv w:val="1"/>
      <w:marLeft w:val="0"/>
      <w:marRight w:val="0"/>
      <w:marTop w:val="0"/>
      <w:marBottom w:val="0"/>
      <w:divBdr>
        <w:top w:val="none" w:sz="0" w:space="0" w:color="auto"/>
        <w:left w:val="none" w:sz="0" w:space="0" w:color="auto"/>
        <w:bottom w:val="none" w:sz="0" w:space="0" w:color="auto"/>
        <w:right w:val="none" w:sz="0" w:space="0" w:color="auto"/>
      </w:divBdr>
    </w:div>
    <w:div w:id="1763800213">
      <w:bodyDiv w:val="1"/>
      <w:marLeft w:val="0"/>
      <w:marRight w:val="0"/>
      <w:marTop w:val="0"/>
      <w:marBottom w:val="0"/>
      <w:divBdr>
        <w:top w:val="none" w:sz="0" w:space="0" w:color="auto"/>
        <w:left w:val="none" w:sz="0" w:space="0" w:color="auto"/>
        <w:bottom w:val="none" w:sz="0" w:space="0" w:color="auto"/>
        <w:right w:val="none" w:sz="0" w:space="0" w:color="auto"/>
      </w:divBdr>
    </w:div>
    <w:div w:id="1781533028">
      <w:bodyDiv w:val="1"/>
      <w:marLeft w:val="0"/>
      <w:marRight w:val="0"/>
      <w:marTop w:val="0"/>
      <w:marBottom w:val="0"/>
      <w:divBdr>
        <w:top w:val="none" w:sz="0" w:space="0" w:color="auto"/>
        <w:left w:val="none" w:sz="0" w:space="0" w:color="auto"/>
        <w:bottom w:val="none" w:sz="0" w:space="0" w:color="auto"/>
        <w:right w:val="none" w:sz="0" w:space="0" w:color="auto"/>
      </w:divBdr>
    </w:div>
    <w:div w:id="1786385763">
      <w:bodyDiv w:val="1"/>
      <w:marLeft w:val="0"/>
      <w:marRight w:val="0"/>
      <w:marTop w:val="0"/>
      <w:marBottom w:val="0"/>
      <w:divBdr>
        <w:top w:val="none" w:sz="0" w:space="0" w:color="auto"/>
        <w:left w:val="none" w:sz="0" w:space="0" w:color="auto"/>
        <w:bottom w:val="none" w:sz="0" w:space="0" w:color="auto"/>
        <w:right w:val="none" w:sz="0" w:space="0" w:color="auto"/>
      </w:divBdr>
    </w:div>
    <w:div w:id="1791585382">
      <w:bodyDiv w:val="1"/>
      <w:marLeft w:val="0"/>
      <w:marRight w:val="0"/>
      <w:marTop w:val="0"/>
      <w:marBottom w:val="0"/>
      <w:divBdr>
        <w:top w:val="none" w:sz="0" w:space="0" w:color="auto"/>
        <w:left w:val="none" w:sz="0" w:space="0" w:color="auto"/>
        <w:bottom w:val="none" w:sz="0" w:space="0" w:color="auto"/>
        <w:right w:val="none" w:sz="0" w:space="0" w:color="auto"/>
      </w:divBdr>
    </w:div>
    <w:div w:id="1808014714">
      <w:bodyDiv w:val="1"/>
      <w:marLeft w:val="0"/>
      <w:marRight w:val="0"/>
      <w:marTop w:val="0"/>
      <w:marBottom w:val="0"/>
      <w:divBdr>
        <w:top w:val="none" w:sz="0" w:space="0" w:color="auto"/>
        <w:left w:val="none" w:sz="0" w:space="0" w:color="auto"/>
        <w:bottom w:val="none" w:sz="0" w:space="0" w:color="auto"/>
        <w:right w:val="none" w:sz="0" w:space="0" w:color="auto"/>
      </w:divBdr>
    </w:div>
    <w:div w:id="1811439551">
      <w:bodyDiv w:val="1"/>
      <w:marLeft w:val="0"/>
      <w:marRight w:val="0"/>
      <w:marTop w:val="0"/>
      <w:marBottom w:val="0"/>
      <w:divBdr>
        <w:top w:val="none" w:sz="0" w:space="0" w:color="auto"/>
        <w:left w:val="none" w:sz="0" w:space="0" w:color="auto"/>
        <w:bottom w:val="none" w:sz="0" w:space="0" w:color="auto"/>
        <w:right w:val="none" w:sz="0" w:space="0" w:color="auto"/>
      </w:divBdr>
    </w:div>
    <w:div w:id="1816793128">
      <w:bodyDiv w:val="1"/>
      <w:marLeft w:val="0"/>
      <w:marRight w:val="0"/>
      <w:marTop w:val="0"/>
      <w:marBottom w:val="0"/>
      <w:divBdr>
        <w:top w:val="none" w:sz="0" w:space="0" w:color="auto"/>
        <w:left w:val="none" w:sz="0" w:space="0" w:color="auto"/>
        <w:bottom w:val="none" w:sz="0" w:space="0" w:color="auto"/>
        <w:right w:val="none" w:sz="0" w:space="0" w:color="auto"/>
      </w:divBdr>
    </w:div>
    <w:div w:id="1825585240">
      <w:bodyDiv w:val="1"/>
      <w:marLeft w:val="0"/>
      <w:marRight w:val="0"/>
      <w:marTop w:val="0"/>
      <w:marBottom w:val="0"/>
      <w:divBdr>
        <w:top w:val="none" w:sz="0" w:space="0" w:color="auto"/>
        <w:left w:val="none" w:sz="0" w:space="0" w:color="auto"/>
        <w:bottom w:val="none" w:sz="0" w:space="0" w:color="auto"/>
        <w:right w:val="none" w:sz="0" w:space="0" w:color="auto"/>
      </w:divBdr>
    </w:div>
    <w:div w:id="1838761447">
      <w:bodyDiv w:val="1"/>
      <w:marLeft w:val="0"/>
      <w:marRight w:val="0"/>
      <w:marTop w:val="0"/>
      <w:marBottom w:val="0"/>
      <w:divBdr>
        <w:top w:val="none" w:sz="0" w:space="0" w:color="auto"/>
        <w:left w:val="none" w:sz="0" w:space="0" w:color="auto"/>
        <w:bottom w:val="none" w:sz="0" w:space="0" w:color="auto"/>
        <w:right w:val="none" w:sz="0" w:space="0" w:color="auto"/>
      </w:divBdr>
    </w:div>
    <w:div w:id="1866476549">
      <w:bodyDiv w:val="1"/>
      <w:marLeft w:val="0"/>
      <w:marRight w:val="0"/>
      <w:marTop w:val="0"/>
      <w:marBottom w:val="0"/>
      <w:divBdr>
        <w:top w:val="none" w:sz="0" w:space="0" w:color="auto"/>
        <w:left w:val="none" w:sz="0" w:space="0" w:color="auto"/>
        <w:bottom w:val="none" w:sz="0" w:space="0" w:color="auto"/>
        <w:right w:val="none" w:sz="0" w:space="0" w:color="auto"/>
      </w:divBdr>
      <w:divsChild>
        <w:div w:id="714618059">
          <w:marLeft w:val="0"/>
          <w:marRight w:val="0"/>
          <w:marTop w:val="120"/>
          <w:marBottom w:val="0"/>
          <w:divBdr>
            <w:top w:val="none" w:sz="0" w:space="0" w:color="auto"/>
            <w:left w:val="none" w:sz="0" w:space="0" w:color="auto"/>
            <w:bottom w:val="none" w:sz="0" w:space="0" w:color="auto"/>
            <w:right w:val="none" w:sz="0" w:space="0" w:color="auto"/>
          </w:divBdr>
        </w:div>
        <w:div w:id="1485588080">
          <w:marLeft w:val="1134"/>
          <w:marRight w:val="0"/>
          <w:marTop w:val="60"/>
          <w:marBottom w:val="0"/>
          <w:divBdr>
            <w:top w:val="none" w:sz="0" w:space="0" w:color="auto"/>
            <w:left w:val="none" w:sz="0" w:space="0" w:color="auto"/>
            <w:bottom w:val="none" w:sz="0" w:space="0" w:color="auto"/>
            <w:right w:val="none" w:sz="0" w:space="0" w:color="auto"/>
          </w:divBdr>
        </w:div>
        <w:div w:id="1721828555">
          <w:marLeft w:val="1985"/>
          <w:marRight w:val="0"/>
          <w:marTop w:val="60"/>
          <w:marBottom w:val="0"/>
          <w:divBdr>
            <w:top w:val="none" w:sz="0" w:space="0" w:color="auto"/>
            <w:left w:val="none" w:sz="0" w:space="0" w:color="auto"/>
            <w:bottom w:val="none" w:sz="0" w:space="0" w:color="auto"/>
            <w:right w:val="none" w:sz="0" w:space="0" w:color="auto"/>
          </w:divBdr>
        </w:div>
      </w:divsChild>
    </w:div>
    <w:div w:id="1866822121">
      <w:bodyDiv w:val="1"/>
      <w:marLeft w:val="0"/>
      <w:marRight w:val="0"/>
      <w:marTop w:val="0"/>
      <w:marBottom w:val="0"/>
      <w:divBdr>
        <w:top w:val="none" w:sz="0" w:space="0" w:color="auto"/>
        <w:left w:val="none" w:sz="0" w:space="0" w:color="auto"/>
        <w:bottom w:val="none" w:sz="0" w:space="0" w:color="auto"/>
        <w:right w:val="none" w:sz="0" w:space="0" w:color="auto"/>
      </w:divBdr>
    </w:div>
    <w:div w:id="1873031335">
      <w:bodyDiv w:val="1"/>
      <w:marLeft w:val="0"/>
      <w:marRight w:val="0"/>
      <w:marTop w:val="0"/>
      <w:marBottom w:val="0"/>
      <w:divBdr>
        <w:top w:val="none" w:sz="0" w:space="0" w:color="auto"/>
        <w:left w:val="none" w:sz="0" w:space="0" w:color="auto"/>
        <w:bottom w:val="none" w:sz="0" w:space="0" w:color="auto"/>
        <w:right w:val="none" w:sz="0" w:space="0" w:color="auto"/>
      </w:divBdr>
    </w:div>
    <w:div w:id="1887065026">
      <w:bodyDiv w:val="1"/>
      <w:marLeft w:val="0"/>
      <w:marRight w:val="0"/>
      <w:marTop w:val="0"/>
      <w:marBottom w:val="0"/>
      <w:divBdr>
        <w:top w:val="none" w:sz="0" w:space="0" w:color="auto"/>
        <w:left w:val="none" w:sz="0" w:space="0" w:color="auto"/>
        <w:bottom w:val="none" w:sz="0" w:space="0" w:color="auto"/>
        <w:right w:val="none" w:sz="0" w:space="0" w:color="auto"/>
      </w:divBdr>
    </w:div>
    <w:div w:id="1898736169">
      <w:bodyDiv w:val="1"/>
      <w:marLeft w:val="0"/>
      <w:marRight w:val="0"/>
      <w:marTop w:val="0"/>
      <w:marBottom w:val="0"/>
      <w:divBdr>
        <w:top w:val="none" w:sz="0" w:space="0" w:color="auto"/>
        <w:left w:val="none" w:sz="0" w:space="0" w:color="auto"/>
        <w:bottom w:val="none" w:sz="0" w:space="0" w:color="auto"/>
        <w:right w:val="none" w:sz="0" w:space="0" w:color="auto"/>
      </w:divBdr>
    </w:div>
    <w:div w:id="1925993397">
      <w:bodyDiv w:val="1"/>
      <w:marLeft w:val="0"/>
      <w:marRight w:val="0"/>
      <w:marTop w:val="0"/>
      <w:marBottom w:val="0"/>
      <w:divBdr>
        <w:top w:val="none" w:sz="0" w:space="0" w:color="auto"/>
        <w:left w:val="none" w:sz="0" w:space="0" w:color="auto"/>
        <w:bottom w:val="none" w:sz="0" w:space="0" w:color="auto"/>
        <w:right w:val="none" w:sz="0" w:space="0" w:color="auto"/>
      </w:divBdr>
    </w:div>
    <w:div w:id="1940290913">
      <w:bodyDiv w:val="1"/>
      <w:marLeft w:val="0"/>
      <w:marRight w:val="0"/>
      <w:marTop w:val="0"/>
      <w:marBottom w:val="0"/>
      <w:divBdr>
        <w:top w:val="none" w:sz="0" w:space="0" w:color="auto"/>
        <w:left w:val="none" w:sz="0" w:space="0" w:color="auto"/>
        <w:bottom w:val="none" w:sz="0" w:space="0" w:color="auto"/>
        <w:right w:val="none" w:sz="0" w:space="0" w:color="auto"/>
      </w:divBdr>
    </w:div>
    <w:div w:id="1974677832">
      <w:bodyDiv w:val="1"/>
      <w:marLeft w:val="0"/>
      <w:marRight w:val="0"/>
      <w:marTop w:val="0"/>
      <w:marBottom w:val="0"/>
      <w:divBdr>
        <w:top w:val="none" w:sz="0" w:space="0" w:color="auto"/>
        <w:left w:val="none" w:sz="0" w:space="0" w:color="auto"/>
        <w:bottom w:val="none" w:sz="0" w:space="0" w:color="auto"/>
        <w:right w:val="none" w:sz="0" w:space="0" w:color="auto"/>
      </w:divBdr>
    </w:div>
    <w:div w:id="1975984933">
      <w:bodyDiv w:val="1"/>
      <w:marLeft w:val="0"/>
      <w:marRight w:val="0"/>
      <w:marTop w:val="0"/>
      <w:marBottom w:val="0"/>
      <w:divBdr>
        <w:top w:val="none" w:sz="0" w:space="0" w:color="auto"/>
        <w:left w:val="none" w:sz="0" w:space="0" w:color="auto"/>
        <w:bottom w:val="none" w:sz="0" w:space="0" w:color="auto"/>
        <w:right w:val="none" w:sz="0" w:space="0" w:color="auto"/>
      </w:divBdr>
    </w:div>
    <w:div w:id="1986352731">
      <w:bodyDiv w:val="1"/>
      <w:marLeft w:val="0"/>
      <w:marRight w:val="0"/>
      <w:marTop w:val="0"/>
      <w:marBottom w:val="0"/>
      <w:divBdr>
        <w:top w:val="none" w:sz="0" w:space="0" w:color="auto"/>
        <w:left w:val="none" w:sz="0" w:space="0" w:color="auto"/>
        <w:bottom w:val="none" w:sz="0" w:space="0" w:color="auto"/>
        <w:right w:val="none" w:sz="0" w:space="0" w:color="auto"/>
      </w:divBdr>
    </w:div>
    <w:div w:id="2002656856">
      <w:bodyDiv w:val="1"/>
      <w:marLeft w:val="0"/>
      <w:marRight w:val="0"/>
      <w:marTop w:val="0"/>
      <w:marBottom w:val="0"/>
      <w:divBdr>
        <w:top w:val="none" w:sz="0" w:space="0" w:color="auto"/>
        <w:left w:val="none" w:sz="0" w:space="0" w:color="auto"/>
        <w:bottom w:val="none" w:sz="0" w:space="0" w:color="auto"/>
        <w:right w:val="none" w:sz="0" w:space="0" w:color="auto"/>
      </w:divBdr>
      <w:divsChild>
        <w:div w:id="106585222">
          <w:marLeft w:val="567"/>
          <w:marRight w:val="0"/>
          <w:marTop w:val="60"/>
          <w:marBottom w:val="0"/>
          <w:divBdr>
            <w:top w:val="none" w:sz="0" w:space="0" w:color="auto"/>
            <w:left w:val="none" w:sz="0" w:space="0" w:color="auto"/>
            <w:bottom w:val="none" w:sz="0" w:space="0" w:color="auto"/>
            <w:right w:val="none" w:sz="0" w:space="0" w:color="auto"/>
          </w:divBdr>
        </w:div>
        <w:div w:id="675233766">
          <w:marLeft w:val="0"/>
          <w:marRight w:val="0"/>
          <w:marTop w:val="120"/>
          <w:marBottom w:val="0"/>
          <w:divBdr>
            <w:top w:val="none" w:sz="0" w:space="0" w:color="auto"/>
            <w:left w:val="none" w:sz="0" w:space="0" w:color="auto"/>
            <w:bottom w:val="none" w:sz="0" w:space="0" w:color="auto"/>
            <w:right w:val="none" w:sz="0" w:space="0" w:color="auto"/>
          </w:divBdr>
        </w:div>
        <w:div w:id="1412311844">
          <w:marLeft w:val="0"/>
          <w:marRight w:val="0"/>
          <w:marTop w:val="120"/>
          <w:marBottom w:val="0"/>
          <w:divBdr>
            <w:top w:val="none" w:sz="0" w:space="0" w:color="auto"/>
            <w:left w:val="none" w:sz="0" w:space="0" w:color="auto"/>
            <w:bottom w:val="none" w:sz="0" w:space="0" w:color="auto"/>
            <w:right w:val="none" w:sz="0" w:space="0" w:color="auto"/>
          </w:divBdr>
        </w:div>
      </w:divsChild>
    </w:div>
    <w:div w:id="2013986994">
      <w:bodyDiv w:val="1"/>
      <w:marLeft w:val="0"/>
      <w:marRight w:val="0"/>
      <w:marTop w:val="0"/>
      <w:marBottom w:val="0"/>
      <w:divBdr>
        <w:top w:val="none" w:sz="0" w:space="0" w:color="auto"/>
        <w:left w:val="none" w:sz="0" w:space="0" w:color="auto"/>
        <w:bottom w:val="none" w:sz="0" w:space="0" w:color="auto"/>
        <w:right w:val="none" w:sz="0" w:space="0" w:color="auto"/>
      </w:divBdr>
    </w:div>
    <w:div w:id="2015109521">
      <w:bodyDiv w:val="1"/>
      <w:marLeft w:val="0"/>
      <w:marRight w:val="0"/>
      <w:marTop w:val="0"/>
      <w:marBottom w:val="0"/>
      <w:divBdr>
        <w:top w:val="none" w:sz="0" w:space="0" w:color="auto"/>
        <w:left w:val="none" w:sz="0" w:space="0" w:color="auto"/>
        <w:bottom w:val="none" w:sz="0" w:space="0" w:color="auto"/>
        <w:right w:val="none" w:sz="0" w:space="0" w:color="auto"/>
      </w:divBdr>
    </w:div>
    <w:div w:id="2020348670">
      <w:bodyDiv w:val="1"/>
      <w:marLeft w:val="0"/>
      <w:marRight w:val="0"/>
      <w:marTop w:val="0"/>
      <w:marBottom w:val="0"/>
      <w:divBdr>
        <w:top w:val="none" w:sz="0" w:space="0" w:color="auto"/>
        <w:left w:val="none" w:sz="0" w:space="0" w:color="auto"/>
        <w:bottom w:val="none" w:sz="0" w:space="0" w:color="auto"/>
        <w:right w:val="none" w:sz="0" w:space="0" w:color="auto"/>
      </w:divBdr>
    </w:div>
    <w:div w:id="2029596811">
      <w:bodyDiv w:val="1"/>
      <w:marLeft w:val="0"/>
      <w:marRight w:val="0"/>
      <w:marTop w:val="0"/>
      <w:marBottom w:val="0"/>
      <w:divBdr>
        <w:top w:val="none" w:sz="0" w:space="0" w:color="auto"/>
        <w:left w:val="none" w:sz="0" w:space="0" w:color="auto"/>
        <w:bottom w:val="none" w:sz="0" w:space="0" w:color="auto"/>
        <w:right w:val="none" w:sz="0" w:space="0" w:color="auto"/>
      </w:divBdr>
    </w:div>
    <w:div w:id="2042827603">
      <w:bodyDiv w:val="1"/>
      <w:marLeft w:val="0"/>
      <w:marRight w:val="0"/>
      <w:marTop w:val="0"/>
      <w:marBottom w:val="0"/>
      <w:divBdr>
        <w:top w:val="none" w:sz="0" w:space="0" w:color="auto"/>
        <w:left w:val="none" w:sz="0" w:space="0" w:color="auto"/>
        <w:bottom w:val="none" w:sz="0" w:space="0" w:color="auto"/>
        <w:right w:val="none" w:sz="0" w:space="0" w:color="auto"/>
      </w:divBdr>
    </w:div>
    <w:div w:id="2058620240">
      <w:bodyDiv w:val="1"/>
      <w:marLeft w:val="0"/>
      <w:marRight w:val="0"/>
      <w:marTop w:val="0"/>
      <w:marBottom w:val="0"/>
      <w:divBdr>
        <w:top w:val="none" w:sz="0" w:space="0" w:color="auto"/>
        <w:left w:val="none" w:sz="0" w:space="0" w:color="auto"/>
        <w:bottom w:val="none" w:sz="0" w:space="0" w:color="auto"/>
        <w:right w:val="none" w:sz="0" w:space="0" w:color="auto"/>
      </w:divBdr>
    </w:div>
    <w:div w:id="2059162156">
      <w:bodyDiv w:val="1"/>
      <w:marLeft w:val="0"/>
      <w:marRight w:val="0"/>
      <w:marTop w:val="0"/>
      <w:marBottom w:val="0"/>
      <w:divBdr>
        <w:top w:val="none" w:sz="0" w:space="0" w:color="auto"/>
        <w:left w:val="none" w:sz="0" w:space="0" w:color="auto"/>
        <w:bottom w:val="none" w:sz="0" w:space="0" w:color="auto"/>
        <w:right w:val="none" w:sz="0" w:space="0" w:color="auto"/>
      </w:divBdr>
    </w:div>
    <w:div w:id="2074307958">
      <w:bodyDiv w:val="1"/>
      <w:marLeft w:val="0"/>
      <w:marRight w:val="0"/>
      <w:marTop w:val="0"/>
      <w:marBottom w:val="0"/>
      <w:divBdr>
        <w:top w:val="none" w:sz="0" w:space="0" w:color="auto"/>
        <w:left w:val="none" w:sz="0" w:space="0" w:color="auto"/>
        <w:bottom w:val="none" w:sz="0" w:space="0" w:color="auto"/>
        <w:right w:val="none" w:sz="0" w:space="0" w:color="auto"/>
      </w:divBdr>
    </w:div>
    <w:div w:id="2085102368">
      <w:bodyDiv w:val="1"/>
      <w:marLeft w:val="0"/>
      <w:marRight w:val="0"/>
      <w:marTop w:val="0"/>
      <w:marBottom w:val="0"/>
      <w:divBdr>
        <w:top w:val="none" w:sz="0" w:space="0" w:color="auto"/>
        <w:left w:val="none" w:sz="0" w:space="0" w:color="auto"/>
        <w:bottom w:val="none" w:sz="0" w:space="0" w:color="auto"/>
        <w:right w:val="none" w:sz="0" w:space="0" w:color="auto"/>
      </w:divBdr>
    </w:div>
    <w:div w:id="2093354441">
      <w:bodyDiv w:val="1"/>
      <w:marLeft w:val="0"/>
      <w:marRight w:val="0"/>
      <w:marTop w:val="0"/>
      <w:marBottom w:val="0"/>
      <w:divBdr>
        <w:top w:val="none" w:sz="0" w:space="0" w:color="auto"/>
        <w:left w:val="none" w:sz="0" w:space="0" w:color="auto"/>
        <w:bottom w:val="none" w:sz="0" w:space="0" w:color="auto"/>
        <w:right w:val="none" w:sz="0" w:space="0" w:color="auto"/>
      </w:divBdr>
    </w:div>
    <w:div w:id="2094619621">
      <w:bodyDiv w:val="1"/>
      <w:marLeft w:val="0"/>
      <w:marRight w:val="0"/>
      <w:marTop w:val="0"/>
      <w:marBottom w:val="0"/>
      <w:divBdr>
        <w:top w:val="none" w:sz="0" w:space="0" w:color="auto"/>
        <w:left w:val="none" w:sz="0" w:space="0" w:color="auto"/>
        <w:bottom w:val="none" w:sz="0" w:space="0" w:color="auto"/>
        <w:right w:val="none" w:sz="0" w:space="0" w:color="auto"/>
      </w:divBdr>
    </w:div>
    <w:div w:id="2105300643">
      <w:bodyDiv w:val="1"/>
      <w:marLeft w:val="0"/>
      <w:marRight w:val="0"/>
      <w:marTop w:val="0"/>
      <w:marBottom w:val="0"/>
      <w:divBdr>
        <w:top w:val="none" w:sz="0" w:space="0" w:color="auto"/>
        <w:left w:val="none" w:sz="0" w:space="0" w:color="auto"/>
        <w:bottom w:val="none" w:sz="0" w:space="0" w:color="auto"/>
        <w:right w:val="none" w:sz="0" w:space="0" w:color="auto"/>
      </w:divBdr>
    </w:div>
    <w:div w:id="2110807788">
      <w:bodyDiv w:val="1"/>
      <w:marLeft w:val="0"/>
      <w:marRight w:val="0"/>
      <w:marTop w:val="0"/>
      <w:marBottom w:val="0"/>
      <w:divBdr>
        <w:top w:val="none" w:sz="0" w:space="0" w:color="auto"/>
        <w:left w:val="none" w:sz="0" w:space="0" w:color="auto"/>
        <w:bottom w:val="none" w:sz="0" w:space="0" w:color="auto"/>
        <w:right w:val="none" w:sz="0" w:space="0" w:color="auto"/>
      </w:divBdr>
    </w:div>
    <w:div w:id="2122995705">
      <w:bodyDiv w:val="1"/>
      <w:marLeft w:val="0"/>
      <w:marRight w:val="0"/>
      <w:marTop w:val="0"/>
      <w:marBottom w:val="0"/>
      <w:divBdr>
        <w:top w:val="none" w:sz="0" w:space="0" w:color="auto"/>
        <w:left w:val="none" w:sz="0" w:space="0" w:color="auto"/>
        <w:bottom w:val="none" w:sz="0" w:space="0" w:color="auto"/>
        <w:right w:val="none" w:sz="0" w:space="0" w:color="auto"/>
      </w:divBdr>
    </w:div>
    <w:div w:id="213648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D3976-1209-48D3-96D1-EC866B65D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6058</Words>
  <Characters>34536</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Mokone</cp:lastModifiedBy>
  <cp:revision>3</cp:revision>
  <cp:lastPrinted>2023-10-05T14:48:00Z</cp:lastPrinted>
  <dcterms:created xsi:type="dcterms:W3CDTF">2023-10-20T10:06:00Z</dcterms:created>
  <dcterms:modified xsi:type="dcterms:W3CDTF">2023-10-20T10:09:00Z</dcterms:modified>
</cp:coreProperties>
</file>