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DDFF" w14:textId="518BA0AC" w:rsidR="003D5323" w:rsidRDefault="003D5323" w:rsidP="003D5323">
      <w:pPr>
        <w:spacing w:after="0" w:line="360" w:lineRule="auto"/>
        <w:rPr>
          <w:rFonts w:ascii="Arial" w:hAnsi="Arial" w:cs="Arial"/>
          <w:b/>
          <w:bCs/>
          <w:sz w:val="24"/>
          <w:szCs w:val="24"/>
        </w:rPr>
      </w:pPr>
      <w:r w:rsidRPr="00A64137">
        <w:rPr>
          <w:rFonts w:ascii="Arial" w:hAnsi="Arial" w:cs="Arial"/>
          <w:noProof/>
          <w:sz w:val="24"/>
          <w:szCs w:val="24"/>
          <w:lang w:val="en-US"/>
        </w:rPr>
        <w:drawing>
          <wp:anchor distT="0" distB="0" distL="114300" distR="114300" simplePos="0" relativeHeight="251659264" behindDoc="0" locked="0" layoutInCell="1" allowOverlap="1" wp14:anchorId="000F99E6" wp14:editId="7D833E6C">
            <wp:simplePos x="0" y="0"/>
            <wp:positionH relativeFrom="page">
              <wp:posOffset>3380105</wp:posOffset>
            </wp:positionH>
            <wp:positionV relativeFrom="paragraph">
              <wp:posOffset>442</wp:posOffset>
            </wp:positionV>
            <wp:extent cx="799200" cy="914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749FCCAF" w14:textId="77777777" w:rsidR="00E552F0" w:rsidRPr="00A64137" w:rsidRDefault="00E552F0" w:rsidP="003D5323">
      <w:pPr>
        <w:spacing w:after="0" w:line="360" w:lineRule="auto"/>
        <w:rPr>
          <w:rFonts w:ascii="Arial" w:hAnsi="Arial" w:cs="Arial"/>
          <w:b/>
          <w:bCs/>
          <w:sz w:val="24"/>
          <w:szCs w:val="24"/>
        </w:rPr>
      </w:pPr>
    </w:p>
    <w:p w14:paraId="12D8544F" w14:textId="77777777" w:rsidR="003D5323" w:rsidRPr="00A64137" w:rsidRDefault="003D5323" w:rsidP="003D5323">
      <w:pPr>
        <w:spacing w:after="0" w:line="360" w:lineRule="auto"/>
        <w:rPr>
          <w:rFonts w:ascii="Arial" w:hAnsi="Arial" w:cs="Arial"/>
          <w:b/>
          <w:bCs/>
          <w:sz w:val="24"/>
          <w:szCs w:val="24"/>
        </w:rPr>
      </w:pPr>
    </w:p>
    <w:p w14:paraId="102717EB" w14:textId="77777777" w:rsidR="003D5323" w:rsidRPr="00A64137" w:rsidRDefault="003D5323" w:rsidP="003D5323">
      <w:pPr>
        <w:spacing w:after="0" w:line="360" w:lineRule="auto"/>
        <w:rPr>
          <w:rFonts w:ascii="Arial" w:hAnsi="Arial" w:cs="Arial"/>
          <w:bCs/>
          <w:sz w:val="24"/>
          <w:szCs w:val="24"/>
        </w:rPr>
      </w:pPr>
    </w:p>
    <w:p w14:paraId="46CD5535" w14:textId="77777777" w:rsidR="003D5323" w:rsidRPr="00A64137" w:rsidRDefault="003D5323" w:rsidP="003D5323">
      <w:pPr>
        <w:spacing w:after="0" w:line="360" w:lineRule="auto"/>
        <w:jc w:val="center"/>
        <w:rPr>
          <w:rFonts w:ascii="Arial" w:hAnsi="Arial" w:cs="Arial"/>
          <w:b/>
          <w:bCs/>
          <w:sz w:val="24"/>
          <w:szCs w:val="24"/>
        </w:rPr>
      </w:pPr>
      <w:r w:rsidRPr="00A64137">
        <w:rPr>
          <w:rFonts w:ascii="Arial" w:hAnsi="Arial" w:cs="Arial"/>
          <w:b/>
          <w:bCs/>
          <w:sz w:val="24"/>
          <w:szCs w:val="24"/>
        </w:rPr>
        <w:t>THE SUPREME COURT OF</w:t>
      </w:r>
      <w:r w:rsidRPr="00A64137">
        <w:rPr>
          <w:rFonts w:ascii="Arial" w:hAnsi="Arial" w:cs="Arial"/>
          <w:bCs/>
          <w:sz w:val="24"/>
          <w:szCs w:val="24"/>
        </w:rPr>
        <w:t xml:space="preserve"> </w:t>
      </w:r>
      <w:r w:rsidRPr="00A64137">
        <w:rPr>
          <w:rFonts w:ascii="Arial" w:hAnsi="Arial" w:cs="Arial"/>
          <w:b/>
          <w:bCs/>
          <w:sz w:val="24"/>
          <w:szCs w:val="24"/>
        </w:rPr>
        <w:t>APPEAL OF SOUTH AFRICA</w:t>
      </w:r>
    </w:p>
    <w:p w14:paraId="4E4AACFE" w14:textId="77777777" w:rsidR="003D5323" w:rsidRDefault="003D5323" w:rsidP="003D5323">
      <w:pPr>
        <w:pStyle w:val="Heading3"/>
        <w:spacing w:line="360" w:lineRule="auto"/>
        <w:jc w:val="center"/>
        <w:rPr>
          <w:rFonts w:ascii="Arial" w:hAnsi="Arial" w:cs="Arial"/>
          <w:b/>
        </w:rPr>
      </w:pPr>
      <w:r w:rsidRPr="003D5323">
        <w:rPr>
          <w:rFonts w:ascii="Arial" w:hAnsi="Arial" w:cs="Arial"/>
          <w:b/>
        </w:rPr>
        <w:t>JUDGMENT</w:t>
      </w:r>
    </w:p>
    <w:p w14:paraId="0C130AA2" w14:textId="77777777" w:rsidR="00E552F0" w:rsidRPr="00E552F0" w:rsidRDefault="00E552F0" w:rsidP="00E552F0"/>
    <w:p w14:paraId="78B85A67" w14:textId="1D5EFC5F" w:rsidR="003D5323" w:rsidRPr="00A64137" w:rsidRDefault="003D5323" w:rsidP="003D5323">
      <w:pPr>
        <w:spacing w:after="0" w:line="360" w:lineRule="auto"/>
        <w:jc w:val="center"/>
        <w:rPr>
          <w:rFonts w:ascii="Arial" w:hAnsi="Arial" w:cs="Arial"/>
          <w:b/>
          <w:sz w:val="24"/>
          <w:szCs w:val="24"/>
        </w:rPr>
      </w:pPr>
      <w:r w:rsidRPr="00A64137">
        <w:rPr>
          <w:rFonts w:ascii="Arial" w:hAnsi="Arial" w:cs="Arial"/>
          <w:sz w:val="24"/>
          <w:szCs w:val="24"/>
        </w:rPr>
        <w:tab/>
      </w:r>
      <w:r w:rsidRPr="00A64137">
        <w:rPr>
          <w:rFonts w:ascii="Arial" w:hAnsi="Arial" w:cs="Arial"/>
          <w:sz w:val="24"/>
          <w:szCs w:val="24"/>
        </w:rPr>
        <w:tab/>
      </w:r>
      <w:r w:rsidRPr="00A64137">
        <w:rPr>
          <w:rFonts w:ascii="Arial" w:hAnsi="Arial" w:cs="Arial"/>
          <w:sz w:val="24"/>
          <w:szCs w:val="24"/>
        </w:rPr>
        <w:tab/>
      </w:r>
      <w:r w:rsidRPr="00A64137">
        <w:rPr>
          <w:rFonts w:ascii="Arial" w:hAnsi="Arial" w:cs="Arial"/>
          <w:sz w:val="24"/>
          <w:szCs w:val="24"/>
        </w:rPr>
        <w:tab/>
      </w:r>
      <w:r w:rsidRPr="00A64137">
        <w:rPr>
          <w:rFonts w:ascii="Arial" w:hAnsi="Arial" w:cs="Arial"/>
          <w:sz w:val="24"/>
          <w:szCs w:val="24"/>
        </w:rPr>
        <w:tab/>
      </w:r>
      <w:r w:rsidRPr="00A64137">
        <w:rPr>
          <w:rFonts w:ascii="Arial" w:hAnsi="Arial" w:cs="Arial"/>
          <w:sz w:val="24"/>
          <w:szCs w:val="24"/>
        </w:rPr>
        <w:tab/>
      </w:r>
      <w:r w:rsidRPr="00A64137">
        <w:rPr>
          <w:rFonts w:ascii="Arial" w:hAnsi="Arial" w:cs="Arial"/>
          <w:sz w:val="24"/>
          <w:szCs w:val="24"/>
        </w:rPr>
        <w:tab/>
      </w:r>
      <w:r w:rsidRPr="00A64137">
        <w:rPr>
          <w:rFonts w:ascii="Arial" w:hAnsi="Arial" w:cs="Arial"/>
          <w:b/>
          <w:sz w:val="24"/>
          <w:szCs w:val="24"/>
        </w:rPr>
        <w:t xml:space="preserve">            </w:t>
      </w:r>
      <w:r w:rsidR="00143BE1">
        <w:rPr>
          <w:rFonts w:ascii="Arial" w:hAnsi="Arial" w:cs="Arial"/>
          <w:b/>
          <w:sz w:val="24"/>
          <w:szCs w:val="24"/>
        </w:rPr>
        <w:t xml:space="preserve">    </w:t>
      </w:r>
      <w:r w:rsidR="00E953FC">
        <w:rPr>
          <w:rFonts w:ascii="Arial" w:hAnsi="Arial" w:cs="Arial"/>
          <w:b/>
          <w:sz w:val="24"/>
          <w:szCs w:val="24"/>
        </w:rPr>
        <w:t xml:space="preserve">     </w:t>
      </w:r>
      <w:r w:rsidR="00143BE1">
        <w:rPr>
          <w:rFonts w:ascii="Arial" w:hAnsi="Arial" w:cs="Arial"/>
          <w:b/>
          <w:sz w:val="24"/>
          <w:szCs w:val="24"/>
        </w:rPr>
        <w:t xml:space="preserve"> </w:t>
      </w:r>
      <w:r w:rsidR="00E953FC">
        <w:rPr>
          <w:rFonts w:ascii="Arial" w:hAnsi="Arial" w:cs="Arial"/>
          <w:b/>
          <w:sz w:val="24"/>
          <w:szCs w:val="24"/>
        </w:rPr>
        <w:t xml:space="preserve">                  </w:t>
      </w:r>
      <w:r w:rsidRPr="00A64137">
        <w:rPr>
          <w:rFonts w:ascii="Arial" w:hAnsi="Arial" w:cs="Arial"/>
          <w:b/>
          <w:sz w:val="24"/>
          <w:szCs w:val="24"/>
        </w:rPr>
        <w:t>Reportable</w:t>
      </w:r>
    </w:p>
    <w:p w14:paraId="53711A80" w14:textId="32CA9796" w:rsidR="003D5323" w:rsidRPr="00A64137" w:rsidRDefault="003D5323" w:rsidP="003D5323">
      <w:pPr>
        <w:spacing w:after="0" w:line="360" w:lineRule="auto"/>
        <w:ind w:left="5040" w:firstLine="720"/>
        <w:jc w:val="both"/>
        <w:rPr>
          <w:rFonts w:ascii="Arial" w:hAnsi="Arial" w:cs="Arial"/>
          <w:sz w:val="24"/>
          <w:szCs w:val="24"/>
        </w:rPr>
      </w:pPr>
      <w:r w:rsidRPr="00A64137">
        <w:rPr>
          <w:rFonts w:ascii="Arial" w:hAnsi="Arial" w:cs="Arial"/>
          <w:b/>
          <w:sz w:val="24"/>
          <w:szCs w:val="24"/>
        </w:rPr>
        <w:t xml:space="preserve">                  </w:t>
      </w:r>
      <w:r w:rsidRPr="00A64137">
        <w:rPr>
          <w:rFonts w:ascii="Arial" w:hAnsi="Arial" w:cs="Arial"/>
          <w:sz w:val="24"/>
          <w:szCs w:val="24"/>
        </w:rPr>
        <w:t>Case</w:t>
      </w:r>
      <w:r w:rsidR="0028028F">
        <w:rPr>
          <w:rFonts w:ascii="Arial" w:hAnsi="Arial" w:cs="Arial"/>
          <w:sz w:val="24"/>
          <w:szCs w:val="24"/>
        </w:rPr>
        <w:t xml:space="preserve"> </w:t>
      </w:r>
      <w:r w:rsidR="00DB6862">
        <w:rPr>
          <w:rFonts w:ascii="Arial" w:hAnsi="Arial" w:cs="Arial"/>
          <w:sz w:val="24"/>
          <w:szCs w:val="24"/>
        </w:rPr>
        <w:t xml:space="preserve">No. </w:t>
      </w:r>
      <w:r>
        <w:rPr>
          <w:rFonts w:ascii="Arial" w:hAnsi="Arial" w:cs="Arial"/>
          <w:sz w:val="24"/>
          <w:szCs w:val="24"/>
        </w:rPr>
        <w:t>696</w:t>
      </w:r>
      <w:r w:rsidRPr="00A64137">
        <w:rPr>
          <w:rFonts w:ascii="Arial" w:hAnsi="Arial" w:cs="Arial"/>
          <w:sz w:val="24"/>
          <w:szCs w:val="24"/>
        </w:rPr>
        <w:t>/2022</w:t>
      </w:r>
    </w:p>
    <w:p w14:paraId="35128EB8" w14:textId="77777777" w:rsidR="003D5323" w:rsidRPr="00A64137" w:rsidRDefault="003D5323" w:rsidP="003D5323">
      <w:pPr>
        <w:spacing w:after="0" w:line="360" w:lineRule="auto"/>
        <w:jc w:val="both"/>
        <w:rPr>
          <w:rFonts w:ascii="Arial" w:hAnsi="Arial" w:cs="Arial"/>
          <w:sz w:val="24"/>
          <w:szCs w:val="24"/>
        </w:rPr>
      </w:pPr>
    </w:p>
    <w:p w14:paraId="23FA0A1A" w14:textId="77777777" w:rsidR="003D5323" w:rsidRPr="00A64137" w:rsidRDefault="003D5323" w:rsidP="003D5323">
      <w:pPr>
        <w:spacing w:after="0" w:line="360" w:lineRule="auto"/>
        <w:jc w:val="both"/>
        <w:rPr>
          <w:rFonts w:ascii="Arial" w:hAnsi="Arial" w:cs="Arial"/>
          <w:sz w:val="24"/>
          <w:szCs w:val="24"/>
        </w:rPr>
      </w:pPr>
      <w:r w:rsidRPr="00A64137">
        <w:rPr>
          <w:rFonts w:ascii="Arial" w:hAnsi="Arial" w:cs="Arial"/>
          <w:sz w:val="24"/>
          <w:szCs w:val="24"/>
        </w:rPr>
        <w:t>In the matter between:</w:t>
      </w:r>
    </w:p>
    <w:p w14:paraId="39E7CE74" w14:textId="77777777" w:rsidR="003D5323" w:rsidRPr="00A64137" w:rsidRDefault="003D5323" w:rsidP="003D5323">
      <w:pPr>
        <w:spacing w:after="0" w:line="360" w:lineRule="auto"/>
        <w:jc w:val="both"/>
        <w:rPr>
          <w:rFonts w:ascii="Arial" w:hAnsi="Arial" w:cs="Arial"/>
          <w:sz w:val="24"/>
          <w:szCs w:val="24"/>
        </w:rPr>
      </w:pPr>
    </w:p>
    <w:p w14:paraId="0CE80518" w14:textId="77777777" w:rsidR="003D5323" w:rsidRPr="00A64137" w:rsidRDefault="003D5323" w:rsidP="003D5323">
      <w:pPr>
        <w:spacing w:after="0" w:line="360" w:lineRule="auto"/>
        <w:rPr>
          <w:rFonts w:ascii="Arial" w:hAnsi="Arial" w:cs="Arial"/>
          <w:b/>
          <w:sz w:val="24"/>
          <w:szCs w:val="24"/>
        </w:rPr>
      </w:pPr>
      <w:r>
        <w:rPr>
          <w:rFonts w:ascii="Arial" w:hAnsi="Arial" w:cs="Arial"/>
          <w:b/>
          <w:sz w:val="24"/>
          <w:szCs w:val="24"/>
        </w:rPr>
        <w:t>MANTIS INVESTMENTS HOLDINGS (PTY) LIMITED</w:t>
      </w:r>
      <w:r w:rsidRPr="00A64137">
        <w:rPr>
          <w:rFonts w:ascii="Arial" w:hAnsi="Arial" w:cs="Arial"/>
          <w:b/>
          <w:sz w:val="24"/>
          <w:szCs w:val="24"/>
        </w:rPr>
        <w:t xml:space="preserve">             </w:t>
      </w:r>
      <w:r>
        <w:rPr>
          <w:rFonts w:ascii="Arial" w:hAnsi="Arial" w:cs="Arial"/>
          <w:b/>
          <w:sz w:val="24"/>
          <w:szCs w:val="24"/>
        </w:rPr>
        <w:t xml:space="preserve">   FIRST</w:t>
      </w:r>
      <w:r w:rsidRPr="00A64137">
        <w:rPr>
          <w:rFonts w:ascii="Arial" w:hAnsi="Arial" w:cs="Arial"/>
          <w:b/>
          <w:sz w:val="24"/>
          <w:szCs w:val="24"/>
        </w:rPr>
        <w:t xml:space="preserve"> APPELLANT</w:t>
      </w:r>
    </w:p>
    <w:p w14:paraId="3C18321A" w14:textId="77777777" w:rsidR="003D5323" w:rsidRDefault="003D5323" w:rsidP="003D5323">
      <w:pPr>
        <w:spacing w:after="0" w:line="360" w:lineRule="auto"/>
        <w:rPr>
          <w:rFonts w:ascii="Arial" w:hAnsi="Arial" w:cs="Arial"/>
          <w:b/>
          <w:sz w:val="24"/>
          <w:szCs w:val="24"/>
        </w:rPr>
      </w:pPr>
      <w:r>
        <w:rPr>
          <w:rFonts w:ascii="Arial" w:hAnsi="Arial" w:cs="Arial"/>
          <w:b/>
          <w:sz w:val="24"/>
          <w:szCs w:val="24"/>
        </w:rPr>
        <w:t>ADRIAN JOHN FAULKNER GARDINER                               SECOND APPELLANT</w:t>
      </w:r>
    </w:p>
    <w:p w14:paraId="0746D4C2" w14:textId="77777777" w:rsidR="003D5323" w:rsidRPr="00A64137" w:rsidRDefault="003D5323" w:rsidP="003D5323">
      <w:pPr>
        <w:spacing w:after="0" w:line="360" w:lineRule="auto"/>
        <w:rPr>
          <w:rFonts w:ascii="Arial" w:hAnsi="Arial" w:cs="Arial"/>
          <w:b/>
          <w:sz w:val="24"/>
          <w:szCs w:val="24"/>
        </w:rPr>
      </w:pPr>
    </w:p>
    <w:p w14:paraId="435CCAA0" w14:textId="77777777" w:rsidR="003D5323" w:rsidRDefault="003D5323" w:rsidP="003D5323">
      <w:pPr>
        <w:spacing w:after="0" w:line="360" w:lineRule="auto"/>
        <w:rPr>
          <w:rFonts w:ascii="Arial" w:hAnsi="Arial" w:cs="Arial"/>
          <w:sz w:val="24"/>
          <w:szCs w:val="24"/>
        </w:rPr>
      </w:pPr>
      <w:r>
        <w:rPr>
          <w:rFonts w:ascii="Arial" w:hAnsi="Arial" w:cs="Arial"/>
          <w:sz w:val="24"/>
          <w:szCs w:val="24"/>
        </w:rPr>
        <w:t>a</w:t>
      </w:r>
      <w:r w:rsidRPr="00A64137">
        <w:rPr>
          <w:rFonts w:ascii="Arial" w:hAnsi="Arial" w:cs="Arial"/>
          <w:sz w:val="24"/>
          <w:szCs w:val="24"/>
        </w:rPr>
        <w:t>nd</w:t>
      </w:r>
    </w:p>
    <w:p w14:paraId="59D64626" w14:textId="77777777" w:rsidR="003D5323" w:rsidRPr="00A64137" w:rsidRDefault="003D5323" w:rsidP="003D5323">
      <w:pPr>
        <w:spacing w:after="0" w:line="360" w:lineRule="auto"/>
        <w:rPr>
          <w:rFonts w:ascii="Arial" w:hAnsi="Arial" w:cs="Arial"/>
          <w:sz w:val="24"/>
          <w:szCs w:val="24"/>
        </w:rPr>
      </w:pPr>
    </w:p>
    <w:p w14:paraId="0C4DFA79" w14:textId="77777777" w:rsidR="003D5323" w:rsidRPr="00A64137" w:rsidRDefault="003D5323" w:rsidP="003D5323">
      <w:pPr>
        <w:spacing w:after="0" w:line="360" w:lineRule="auto"/>
        <w:rPr>
          <w:rFonts w:ascii="Arial" w:hAnsi="Arial" w:cs="Arial"/>
          <w:b/>
          <w:sz w:val="24"/>
          <w:szCs w:val="24"/>
        </w:rPr>
      </w:pPr>
      <w:r>
        <w:rPr>
          <w:rFonts w:ascii="Arial" w:hAnsi="Arial" w:cs="Arial"/>
          <w:b/>
          <w:sz w:val="24"/>
          <w:szCs w:val="24"/>
        </w:rPr>
        <w:t xml:space="preserve">WERNER DE JAGER N.O.                            </w:t>
      </w:r>
      <w:r w:rsidRPr="00A64137">
        <w:rPr>
          <w:rFonts w:ascii="Arial" w:hAnsi="Arial" w:cs="Arial"/>
          <w:b/>
          <w:sz w:val="24"/>
          <w:szCs w:val="24"/>
        </w:rPr>
        <w:t xml:space="preserve">                           FIRST RESPONDENT</w:t>
      </w:r>
    </w:p>
    <w:p w14:paraId="268E9F31" w14:textId="22479D8C" w:rsidR="003D5323" w:rsidRPr="00A64137" w:rsidRDefault="003D5323" w:rsidP="003D5323">
      <w:pPr>
        <w:spacing w:after="0" w:line="360" w:lineRule="auto"/>
        <w:ind w:left="2160" w:hanging="2160"/>
        <w:jc w:val="both"/>
        <w:rPr>
          <w:rFonts w:ascii="Arial" w:hAnsi="Arial" w:cs="Arial"/>
          <w:b/>
          <w:sz w:val="24"/>
          <w:szCs w:val="24"/>
        </w:rPr>
      </w:pPr>
      <w:r>
        <w:rPr>
          <w:rFonts w:ascii="Arial" w:hAnsi="Arial" w:cs="Arial"/>
          <w:b/>
          <w:sz w:val="24"/>
          <w:szCs w:val="24"/>
        </w:rPr>
        <w:t xml:space="preserve">CAROL-ANN SCHRӦDER N.O.                            </w:t>
      </w:r>
      <w:r w:rsidRPr="00A64137">
        <w:rPr>
          <w:rFonts w:ascii="Arial" w:hAnsi="Arial" w:cs="Arial"/>
          <w:b/>
          <w:sz w:val="24"/>
          <w:szCs w:val="24"/>
        </w:rPr>
        <w:t xml:space="preserve">  </w:t>
      </w:r>
      <w:r w:rsidR="00C01856">
        <w:rPr>
          <w:rFonts w:ascii="Arial" w:hAnsi="Arial" w:cs="Arial"/>
          <w:b/>
          <w:sz w:val="24"/>
          <w:szCs w:val="24"/>
        </w:rPr>
        <w:tab/>
        <w:t xml:space="preserve">    </w:t>
      </w:r>
      <w:r w:rsidRPr="00A64137">
        <w:rPr>
          <w:rFonts w:ascii="Arial" w:hAnsi="Arial" w:cs="Arial"/>
          <w:b/>
          <w:sz w:val="24"/>
          <w:szCs w:val="24"/>
        </w:rPr>
        <w:t xml:space="preserve">   </w:t>
      </w:r>
      <w:r w:rsidR="00C01856">
        <w:rPr>
          <w:rFonts w:ascii="Arial" w:hAnsi="Arial" w:cs="Arial"/>
          <w:b/>
          <w:sz w:val="24"/>
          <w:szCs w:val="24"/>
        </w:rPr>
        <w:t>SECOND RESPONDENT</w:t>
      </w:r>
    </w:p>
    <w:p w14:paraId="487DED39" w14:textId="77777777" w:rsidR="003D5323" w:rsidRPr="00A64137" w:rsidRDefault="003D5323" w:rsidP="003D5323">
      <w:pPr>
        <w:spacing w:after="0" w:line="360" w:lineRule="auto"/>
        <w:ind w:left="2160" w:hanging="2160"/>
        <w:jc w:val="both"/>
        <w:rPr>
          <w:rFonts w:ascii="Arial" w:hAnsi="Arial" w:cs="Arial"/>
          <w:sz w:val="24"/>
          <w:szCs w:val="24"/>
        </w:rPr>
      </w:pPr>
    </w:p>
    <w:p w14:paraId="2202760E" w14:textId="09DAB80B" w:rsidR="003D5323" w:rsidRDefault="003D5323" w:rsidP="003D5323">
      <w:pPr>
        <w:spacing w:after="0" w:line="360" w:lineRule="auto"/>
        <w:ind w:left="2160" w:hanging="2160"/>
        <w:jc w:val="both"/>
        <w:rPr>
          <w:rFonts w:ascii="Arial" w:hAnsi="Arial" w:cs="Arial"/>
          <w:sz w:val="24"/>
          <w:szCs w:val="24"/>
        </w:rPr>
      </w:pPr>
      <w:r w:rsidRPr="00A64137">
        <w:rPr>
          <w:rFonts w:ascii="Arial" w:hAnsi="Arial" w:cs="Arial"/>
          <w:b/>
          <w:sz w:val="24"/>
          <w:szCs w:val="24"/>
        </w:rPr>
        <w:t>Neutral Citation:</w:t>
      </w:r>
      <w:r w:rsidRPr="00A64137">
        <w:rPr>
          <w:rFonts w:ascii="Arial" w:hAnsi="Arial" w:cs="Arial"/>
          <w:b/>
          <w:sz w:val="24"/>
          <w:szCs w:val="24"/>
        </w:rPr>
        <w:tab/>
      </w:r>
      <w:bookmarkStart w:id="0" w:name="_Hlk114215492"/>
      <w:r w:rsidRPr="004D3490">
        <w:rPr>
          <w:rFonts w:ascii="Arial" w:hAnsi="Arial" w:cs="Arial"/>
          <w:i/>
          <w:sz w:val="24"/>
          <w:szCs w:val="24"/>
        </w:rPr>
        <w:t>Mantis Investments Holdings v De Jager N</w:t>
      </w:r>
      <w:r w:rsidR="00587DF5">
        <w:rPr>
          <w:rFonts w:ascii="Arial" w:hAnsi="Arial" w:cs="Arial"/>
          <w:i/>
          <w:sz w:val="24"/>
          <w:szCs w:val="24"/>
        </w:rPr>
        <w:t xml:space="preserve"> </w:t>
      </w:r>
      <w:r w:rsidRPr="004D3490">
        <w:rPr>
          <w:rFonts w:ascii="Arial" w:hAnsi="Arial" w:cs="Arial"/>
          <w:i/>
          <w:sz w:val="24"/>
          <w:szCs w:val="24"/>
        </w:rPr>
        <w:t>O</w:t>
      </w:r>
      <w:r w:rsidRPr="0028028F">
        <w:rPr>
          <w:rFonts w:ascii="Arial" w:hAnsi="Arial" w:cs="Arial"/>
          <w:sz w:val="24"/>
          <w:szCs w:val="24"/>
        </w:rPr>
        <w:t xml:space="preserve"> </w:t>
      </w:r>
      <w:r w:rsidRPr="00501A3C">
        <w:rPr>
          <w:rFonts w:ascii="Arial" w:hAnsi="Arial" w:cs="Arial"/>
          <w:sz w:val="24"/>
          <w:szCs w:val="24"/>
        </w:rPr>
        <w:t>(</w:t>
      </w:r>
      <w:r>
        <w:rPr>
          <w:rFonts w:ascii="Arial" w:hAnsi="Arial" w:cs="Arial"/>
          <w:sz w:val="24"/>
          <w:szCs w:val="24"/>
        </w:rPr>
        <w:t>696</w:t>
      </w:r>
      <w:r w:rsidRPr="00501A3C">
        <w:rPr>
          <w:rFonts w:ascii="Arial" w:hAnsi="Arial" w:cs="Arial"/>
          <w:sz w:val="24"/>
          <w:szCs w:val="24"/>
        </w:rPr>
        <w:t>/2022) [2023] ZASCA</w:t>
      </w:r>
      <w:bookmarkEnd w:id="0"/>
      <w:r w:rsidR="004B159B">
        <w:rPr>
          <w:rFonts w:ascii="Arial" w:hAnsi="Arial" w:cs="Arial"/>
          <w:sz w:val="24"/>
          <w:szCs w:val="24"/>
        </w:rPr>
        <w:t xml:space="preserve"> 134</w:t>
      </w:r>
      <w:r w:rsidRPr="00501A3C">
        <w:rPr>
          <w:rFonts w:ascii="Arial" w:hAnsi="Arial" w:cs="Arial"/>
          <w:sz w:val="24"/>
          <w:szCs w:val="24"/>
        </w:rPr>
        <w:t xml:space="preserve"> (</w:t>
      </w:r>
      <w:r w:rsidR="004B159B">
        <w:rPr>
          <w:rFonts w:ascii="Arial" w:hAnsi="Arial" w:cs="Arial"/>
          <w:sz w:val="24"/>
          <w:szCs w:val="24"/>
        </w:rPr>
        <w:t>18</w:t>
      </w:r>
      <w:r w:rsidRPr="00501A3C">
        <w:rPr>
          <w:rFonts w:ascii="Arial" w:hAnsi="Arial" w:cs="Arial"/>
          <w:sz w:val="24"/>
          <w:szCs w:val="24"/>
        </w:rPr>
        <w:t xml:space="preserve"> </w:t>
      </w:r>
      <w:r w:rsidR="00AD0C57">
        <w:rPr>
          <w:rFonts w:ascii="Arial" w:hAnsi="Arial" w:cs="Arial"/>
          <w:sz w:val="24"/>
          <w:szCs w:val="24"/>
        </w:rPr>
        <w:t>October</w:t>
      </w:r>
      <w:r w:rsidRPr="00501A3C">
        <w:rPr>
          <w:rFonts w:ascii="Arial" w:hAnsi="Arial" w:cs="Arial"/>
          <w:sz w:val="24"/>
          <w:szCs w:val="24"/>
        </w:rPr>
        <w:t xml:space="preserve"> 2023)</w:t>
      </w:r>
    </w:p>
    <w:p w14:paraId="5377C277" w14:textId="77777777" w:rsidR="003D5323" w:rsidRDefault="003D5323" w:rsidP="003D5323">
      <w:pPr>
        <w:spacing w:after="0" w:line="360" w:lineRule="auto"/>
        <w:ind w:left="2160" w:hanging="2160"/>
        <w:jc w:val="both"/>
        <w:rPr>
          <w:rFonts w:ascii="Arial" w:hAnsi="Arial" w:cs="Arial"/>
          <w:sz w:val="24"/>
          <w:szCs w:val="24"/>
        </w:rPr>
      </w:pPr>
    </w:p>
    <w:p w14:paraId="346C1EBB" w14:textId="61C284D0" w:rsidR="003D5323" w:rsidRPr="005A1610" w:rsidRDefault="003D5323" w:rsidP="003D5323">
      <w:pPr>
        <w:spacing w:after="0" w:line="360" w:lineRule="auto"/>
        <w:ind w:left="1440" w:hanging="1440"/>
        <w:jc w:val="both"/>
        <w:rPr>
          <w:rFonts w:ascii="Arial" w:hAnsi="Arial" w:cs="Arial"/>
          <w:sz w:val="24"/>
          <w:szCs w:val="24"/>
        </w:rPr>
      </w:pPr>
      <w:r w:rsidRPr="00501A3C">
        <w:rPr>
          <w:rFonts w:ascii="Arial" w:hAnsi="Arial" w:cs="Arial"/>
          <w:b/>
          <w:sz w:val="24"/>
          <w:szCs w:val="24"/>
        </w:rPr>
        <w:t>Coram:</w:t>
      </w:r>
      <w:r w:rsidRPr="00501A3C">
        <w:rPr>
          <w:rFonts w:ascii="Arial" w:hAnsi="Arial" w:cs="Arial"/>
          <w:b/>
          <w:sz w:val="24"/>
          <w:szCs w:val="24"/>
        </w:rPr>
        <w:tab/>
      </w:r>
      <w:r w:rsidR="00954489">
        <w:rPr>
          <w:rFonts w:ascii="Arial" w:hAnsi="Arial" w:cs="Arial"/>
          <w:sz w:val="24"/>
          <w:szCs w:val="24"/>
        </w:rPr>
        <w:t xml:space="preserve">PONNAN and </w:t>
      </w:r>
      <w:r>
        <w:rPr>
          <w:rFonts w:ascii="Arial" w:hAnsi="Arial" w:cs="Arial"/>
          <w:sz w:val="24"/>
          <w:szCs w:val="24"/>
        </w:rPr>
        <w:t>MBATHA JJA, KATHREE-SETILOANE</w:t>
      </w:r>
      <w:r w:rsidR="00954489">
        <w:rPr>
          <w:rFonts w:ascii="Arial" w:hAnsi="Arial" w:cs="Arial"/>
          <w:sz w:val="24"/>
          <w:szCs w:val="24"/>
        </w:rPr>
        <w:t xml:space="preserve">, </w:t>
      </w:r>
      <w:r w:rsidR="00F82480">
        <w:rPr>
          <w:rFonts w:ascii="Arial" w:hAnsi="Arial" w:cs="Arial"/>
          <w:sz w:val="24"/>
          <w:szCs w:val="24"/>
        </w:rPr>
        <w:t xml:space="preserve">KEIGHTLEY and </w:t>
      </w:r>
      <w:r w:rsidRPr="005A1610">
        <w:rPr>
          <w:rFonts w:ascii="Arial" w:hAnsi="Arial" w:cs="Arial"/>
          <w:sz w:val="24"/>
          <w:szCs w:val="24"/>
        </w:rPr>
        <w:t>UNTERHALTER AJ</w:t>
      </w:r>
      <w:r>
        <w:rPr>
          <w:rFonts w:ascii="Arial" w:hAnsi="Arial" w:cs="Arial"/>
          <w:sz w:val="24"/>
          <w:szCs w:val="24"/>
        </w:rPr>
        <w:t>J</w:t>
      </w:r>
      <w:r w:rsidRPr="005A1610">
        <w:rPr>
          <w:rFonts w:ascii="Arial" w:hAnsi="Arial" w:cs="Arial"/>
          <w:sz w:val="24"/>
          <w:szCs w:val="24"/>
        </w:rPr>
        <w:t>A</w:t>
      </w:r>
    </w:p>
    <w:p w14:paraId="32E3BB0F" w14:textId="77777777" w:rsidR="003D5323" w:rsidRPr="005A1610" w:rsidRDefault="003D5323" w:rsidP="003D5323">
      <w:pPr>
        <w:spacing w:after="0" w:line="360" w:lineRule="auto"/>
        <w:ind w:left="1440" w:hanging="1440"/>
        <w:jc w:val="both"/>
        <w:rPr>
          <w:rFonts w:ascii="Arial" w:hAnsi="Arial" w:cs="Arial"/>
          <w:sz w:val="24"/>
          <w:szCs w:val="24"/>
        </w:rPr>
      </w:pPr>
    </w:p>
    <w:p w14:paraId="658C0118" w14:textId="77777777" w:rsidR="003D5323" w:rsidRDefault="003D5323" w:rsidP="003D5323">
      <w:pPr>
        <w:spacing w:after="0" w:line="360" w:lineRule="auto"/>
        <w:jc w:val="both"/>
        <w:rPr>
          <w:rFonts w:ascii="Arial" w:hAnsi="Arial" w:cs="Arial"/>
          <w:bCs/>
          <w:sz w:val="24"/>
          <w:szCs w:val="24"/>
        </w:rPr>
      </w:pPr>
      <w:r w:rsidRPr="00501A3C">
        <w:rPr>
          <w:rFonts w:ascii="Arial" w:hAnsi="Arial" w:cs="Arial"/>
          <w:b/>
          <w:sz w:val="24"/>
          <w:szCs w:val="24"/>
        </w:rPr>
        <w:t>Heard:</w:t>
      </w:r>
      <w:r w:rsidRPr="00501A3C">
        <w:rPr>
          <w:rFonts w:ascii="Arial" w:hAnsi="Arial" w:cs="Arial"/>
          <w:bCs/>
          <w:sz w:val="24"/>
          <w:szCs w:val="24"/>
        </w:rPr>
        <w:tab/>
      </w:r>
      <w:r>
        <w:rPr>
          <w:rFonts w:ascii="Arial" w:hAnsi="Arial" w:cs="Arial"/>
          <w:bCs/>
          <w:sz w:val="24"/>
          <w:szCs w:val="24"/>
        </w:rPr>
        <w:t>16 August 2023</w:t>
      </w:r>
    </w:p>
    <w:p w14:paraId="4712DCF8" w14:textId="51FBBACB" w:rsidR="003D5323" w:rsidRDefault="003D5323" w:rsidP="000B3907">
      <w:pPr>
        <w:spacing w:after="0" w:line="360" w:lineRule="auto"/>
        <w:jc w:val="both"/>
        <w:rPr>
          <w:rFonts w:ascii="Arial" w:hAnsi="Arial" w:cs="Arial"/>
          <w:sz w:val="24"/>
          <w:szCs w:val="24"/>
        </w:rPr>
      </w:pPr>
      <w:r w:rsidRPr="00501A3C">
        <w:rPr>
          <w:rFonts w:ascii="Arial" w:hAnsi="Arial" w:cs="Arial"/>
          <w:b/>
          <w:sz w:val="24"/>
          <w:szCs w:val="24"/>
        </w:rPr>
        <w:t>Delivered:</w:t>
      </w:r>
      <w:r w:rsidR="000B3907">
        <w:rPr>
          <w:rFonts w:ascii="Arial" w:hAnsi="Arial" w:cs="Arial"/>
          <w:b/>
          <w:sz w:val="24"/>
          <w:szCs w:val="24"/>
        </w:rPr>
        <w:tab/>
      </w:r>
      <w:r w:rsidR="002252C5" w:rsidRPr="000B3907">
        <w:rPr>
          <w:rFonts w:ascii="Arial" w:hAnsi="Arial" w:cs="Arial"/>
          <w:sz w:val="24"/>
          <w:szCs w:val="24"/>
        </w:rPr>
        <w:t>This judgment was handed down electronically by circulation to the parties’ representatives via email, publication on the Supreme Court of Appeal website and release to SAFLII. The date and time for hand-down is deemed to be 11:00</w:t>
      </w:r>
      <w:r w:rsidR="000B3907" w:rsidRPr="000B3907">
        <w:rPr>
          <w:rFonts w:ascii="Arial" w:hAnsi="Arial" w:cs="Arial"/>
          <w:sz w:val="24"/>
          <w:szCs w:val="24"/>
        </w:rPr>
        <w:t xml:space="preserve"> am on </w:t>
      </w:r>
      <w:r w:rsidR="00467045">
        <w:rPr>
          <w:rFonts w:ascii="Arial" w:hAnsi="Arial" w:cs="Arial"/>
          <w:sz w:val="24"/>
          <w:szCs w:val="24"/>
        </w:rPr>
        <w:t xml:space="preserve">18 </w:t>
      </w:r>
      <w:r w:rsidR="006161CB">
        <w:rPr>
          <w:rFonts w:ascii="Arial" w:hAnsi="Arial" w:cs="Arial"/>
          <w:sz w:val="24"/>
          <w:szCs w:val="24"/>
        </w:rPr>
        <w:t>October</w:t>
      </w:r>
      <w:r w:rsidRPr="00E73F74">
        <w:rPr>
          <w:rFonts w:ascii="Arial" w:hAnsi="Arial" w:cs="Arial"/>
          <w:sz w:val="24"/>
          <w:szCs w:val="24"/>
        </w:rPr>
        <w:t xml:space="preserve"> 2023</w:t>
      </w:r>
      <w:r w:rsidR="000B3907">
        <w:rPr>
          <w:rFonts w:ascii="Arial" w:hAnsi="Arial" w:cs="Arial"/>
          <w:sz w:val="24"/>
          <w:szCs w:val="24"/>
        </w:rPr>
        <w:t>.</w:t>
      </w:r>
    </w:p>
    <w:p w14:paraId="0D09191D" w14:textId="77777777" w:rsidR="00FB100E" w:rsidRDefault="00FB100E" w:rsidP="000B3907">
      <w:pPr>
        <w:spacing w:after="0" w:line="360" w:lineRule="auto"/>
        <w:jc w:val="both"/>
        <w:rPr>
          <w:rFonts w:ascii="Arial" w:hAnsi="Arial" w:cs="Arial"/>
          <w:sz w:val="24"/>
          <w:szCs w:val="24"/>
        </w:rPr>
      </w:pPr>
    </w:p>
    <w:p w14:paraId="79E4B325" w14:textId="5889F026" w:rsidR="00FB100E" w:rsidRDefault="003D5323" w:rsidP="00BB4C40">
      <w:pPr>
        <w:spacing w:line="360" w:lineRule="auto"/>
        <w:jc w:val="both"/>
        <w:rPr>
          <w:rFonts w:ascii="Arial" w:hAnsi="Arial" w:cs="Arial"/>
          <w:sz w:val="24"/>
          <w:szCs w:val="24"/>
        </w:rPr>
      </w:pPr>
      <w:r w:rsidRPr="00501A3C">
        <w:rPr>
          <w:rFonts w:ascii="Arial" w:hAnsi="Arial" w:cs="Arial"/>
          <w:b/>
          <w:sz w:val="24"/>
          <w:szCs w:val="24"/>
        </w:rPr>
        <w:lastRenderedPageBreak/>
        <w:t>Summary:</w:t>
      </w:r>
      <w:r w:rsidR="00FB100E">
        <w:rPr>
          <w:rFonts w:ascii="Arial" w:hAnsi="Arial" w:cs="Arial"/>
          <w:b/>
          <w:sz w:val="24"/>
          <w:szCs w:val="24"/>
        </w:rPr>
        <w:tab/>
      </w:r>
      <w:r w:rsidR="00007724" w:rsidRPr="00472D5F">
        <w:rPr>
          <w:rFonts w:ascii="Arial" w:hAnsi="Arial" w:cs="Arial"/>
          <w:sz w:val="24"/>
          <w:szCs w:val="24"/>
        </w:rPr>
        <w:t>Section</w:t>
      </w:r>
      <w:r w:rsidR="00B06585">
        <w:rPr>
          <w:rFonts w:ascii="Arial" w:hAnsi="Arial" w:cs="Arial"/>
          <w:sz w:val="24"/>
          <w:szCs w:val="24"/>
        </w:rPr>
        <w:t>s</w:t>
      </w:r>
      <w:r w:rsidR="00007724" w:rsidRPr="00472D5F">
        <w:rPr>
          <w:rFonts w:ascii="Arial" w:hAnsi="Arial" w:cs="Arial"/>
          <w:sz w:val="24"/>
          <w:szCs w:val="24"/>
        </w:rPr>
        <w:t xml:space="preserve"> 44</w:t>
      </w:r>
      <w:r w:rsidR="00007724">
        <w:rPr>
          <w:rFonts w:ascii="Arial" w:hAnsi="Arial" w:cs="Arial"/>
          <w:b/>
          <w:sz w:val="24"/>
          <w:szCs w:val="24"/>
        </w:rPr>
        <w:t xml:space="preserve"> </w:t>
      </w:r>
      <w:r w:rsidR="00007724" w:rsidRPr="00472D5F">
        <w:rPr>
          <w:rFonts w:ascii="Arial" w:hAnsi="Arial" w:cs="Arial"/>
          <w:sz w:val="24"/>
          <w:szCs w:val="24"/>
        </w:rPr>
        <w:t xml:space="preserve">and </w:t>
      </w:r>
      <w:r w:rsidR="00BB4C40">
        <w:rPr>
          <w:rFonts w:ascii="Arial" w:hAnsi="Arial" w:cs="Arial"/>
          <w:sz w:val="24"/>
          <w:szCs w:val="24"/>
        </w:rPr>
        <w:t xml:space="preserve">151 of </w:t>
      </w:r>
      <w:r w:rsidR="00B06585">
        <w:rPr>
          <w:rFonts w:ascii="Arial" w:hAnsi="Arial" w:cs="Arial"/>
          <w:sz w:val="24"/>
          <w:szCs w:val="24"/>
        </w:rPr>
        <w:t xml:space="preserve">the </w:t>
      </w:r>
      <w:r w:rsidR="00BB4C40">
        <w:rPr>
          <w:rFonts w:ascii="Arial" w:hAnsi="Arial" w:cs="Arial"/>
          <w:sz w:val="24"/>
          <w:szCs w:val="24"/>
        </w:rPr>
        <w:t xml:space="preserve">Insolvency Act – Master’s decision admitting </w:t>
      </w:r>
      <w:r w:rsidR="00211B26">
        <w:rPr>
          <w:rFonts w:ascii="Arial" w:hAnsi="Arial" w:cs="Arial"/>
          <w:sz w:val="24"/>
          <w:szCs w:val="24"/>
        </w:rPr>
        <w:t xml:space="preserve">a creditor’s </w:t>
      </w:r>
      <w:r w:rsidR="00BB4C40">
        <w:rPr>
          <w:rFonts w:ascii="Arial" w:hAnsi="Arial" w:cs="Arial"/>
          <w:sz w:val="24"/>
          <w:szCs w:val="24"/>
        </w:rPr>
        <w:t xml:space="preserve">claim against </w:t>
      </w:r>
      <w:r w:rsidR="00211B26">
        <w:rPr>
          <w:rFonts w:ascii="Arial" w:hAnsi="Arial" w:cs="Arial"/>
          <w:sz w:val="24"/>
          <w:szCs w:val="24"/>
        </w:rPr>
        <w:t xml:space="preserve">a </w:t>
      </w:r>
      <w:r w:rsidR="00BB4C40">
        <w:rPr>
          <w:rFonts w:ascii="Arial" w:hAnsi="Arial" w:cs="Arial"/>
          <w:sz w:val="24"/>
          <w:szCs w:val="24"/>
        </w:rPr>
        <w:t xml:space="preserve">company in liquidation stands unless set aside on review in terms of s 151 </w:t>
      </w:r>
      <w:r w:rsidR="00211B26">
        <w:rPr>
          <w:rFonts w:ascii="Arial" w:hAnsi="Arial" w:cs="Arial"/>
          <w:sz w:val="24"/>
          <w:szCs w:val="24"/>
        </w:rPr>
        <w:t>thereof.</w:t>
      </w:r>
      <w:r w:rsidR="00C43E0A">
        <w:rPr>
          <w:rFonts w:ascii="Arial" w:hAnsi="Arial" w:cs="Arial"/>
          <w:sz w:val="24"/>
          <w:szCs w:val="24"/>
        </w:rPr>
        <w:t xml:space="preserve"> </w:t>
      </w:r>
      <w:r w:rsidR="00D70DB8">
        <w:rPr>
          <w:rFonts w:ascii="Arial" w:hAnsi="Arial" w:cs="Arial"/>
          <w:sz w:val="24"/>
          <w:szCs w:val="24"/>
        </w:rPr>
        <w:t xml:space="preserve">Section 31 of Insolvency Act </w:t>
      </w:r>
      <w:r w:rsidR="00D70DB8" w:rsidRPr="00FA3EDD">
        <w:rPr>
          <w:rFonts w:ascii="Arial" w:hAnsi="Arial" w:cs="Arial"/>
          <w:sz w:val="24"/>
          <w:szCs w:val="24"/>
        </w:rPr>
        <w:t>–</w:t>
      </w:r>
      <w:r w:rsidR="00AD0C57" w:rsidRPr="00FA3EDD">
        <w:rPr>
          <w:rFonts w:ascii="Arial" w:hAnsi="Arial" w:cs="Arial"/>
          <w:sz w:val="24"/>
          <w:szCs w:val="24"/>
        </w:rPr>
        <w:t xml:space="preserve"> </w:t>
      </w:r>
      <w:r w:rsidR="00A6053A" w:rsidRPr="00FA3EDD">
        <w:rPr>
          <w:rFonts w:ascii="Arial" w:hAnsi="Arial" w:cs="Arial"/>
          <w:sz w:val="24"/>
          <w:szCs w:val="24"/>
        </w:rPr>
        <w:t>i</w:t>
      </w:r>
      <w:r w:rsidR="00A6053A">
        <w:rPr>
          <w:rFonts w:ascii="Arial" w:hAnsi="Arial" w:cs="Arial"/>
          <w:sz w:val="24"/>
          <w:szCs w:val="24"/>
        </w:rPr>
        <w:t xml:space="preserve">n </w:t>
      </w:r>
      <w:r w:rsidR="00211B26">
        <w:rPr>
          <w:rFonts w:ascii="Arial" w:hAnsi="Arial" w:cs="Arial"/>
          <w:sz w:val="24"/>
          <w:szCs w:val="24"/>
        </w:rPr>
        <w:t xml:space="preserve">an </w:t>
      </w:r>
      <w:r w:rsidR="00A6053A">
        <w:rPr>
          <w:rFonts w:ascii="Arial" w:hAnsi="Arial" w:cs="Arial"/>
          <w:sz w:val="24"/>
          <w:szCs w:val="24"/>
        </w:rPr>
        <w:t>action to set aside a collusive disposition</w:t>
      </w:r>
      <w:r w:rsidR="00211B26">
        <w:rPr>
          <w:rFonts w:ascii="Arial" w:hAnsi="Arial" w:cs="Arial"/>
          <w:sz w:val="24"/>
          <w:szCs w:val="24"/>
        </w:rPr>
        <w:t xml:space="preserve"> –</w:t>
      </w:r>
      <w:r w:rsidR="00072E15">
        <w:rPr>
          <w:rFonts w:ascii="Arial" w:hAnsi="Arial" w:cs="Arial"/>
          <w:sz w:val="24"/>
          <w:szCs w:val="24"/>
        </w:rPr>
        <w:t xml:space="preserve"> </w:t>
      </w:r>
      <w:r w:rsidR="00072E15" w:rsidRPr="00FA3EDD">
        <w:rPr>
          <w:rFonts w:ascii="Arial" w:hAnsi="Arial" w:cs="Arial"/>
          <w:sz w:val="24"/>
          <w:szCs w:val="24"/>
        </w:rPr>
        <w:t>n</w:t>
      </w:r>
      <w:r w:rsidR="00072E15">
        <w:rPr>
          <w:rFonts w:ascii="Arial" w:hAnsi="Arial" w:cs="Arial"/>
          <w:sz w:val="24"/>
          <w:szCs w:val="24"/>
        </w:rPr>
        <w:t xml:space="preserve">o entitlement </w:t>
      </w:r>
      <w:r w:rsidR="00211B26">
        <w:rPr>
          <w:rFonts w:ascii="Arial" w:hAnsi="Arial" w:cs="Arial"/>
          <w:sz w:val="24"/>
          <w:szCs w:val="24"/>
        </w:rPr>
        <w:t>to con</w:t>
      </w:r>
      <w:r w:rsidR="0028028F">
        <w:rPr>
          <w:rFonts w:ascii="Arial" w:hAnsi="Arial" w:cs="Arial"/>
          <w:sz w:val="24"/>
          <w:szCs w:val="24"/>
        </w:rPr>
        <w:t xml:space="preserve">test </w:t>
      </w:r>
      <w:r w:rsidR="00072E15">
        <w:rPr>
          <w:rFonts w:ascii="Arial" w:hAnsi="Arial" w:cs="Arial"/>
          <w:sz w:val="24"/>
          <w:szCs w:val="24"/>
        </w:rPr>
        <w:t xml:space="preserve">a </w:t>
      </w:r>
      <w:r w:rsidR="0028028F">
        <w:rPr>
          <w:rFonts w:ascii="Arial" w:hAnsi="Arial" w:cs="Arial"/>
          <w:sz w:val="24"/>
          <w:szCs w:val="24"/>
        </w:rPr>
        <w:t>proved claim of creditor.</w:t>
      </w:r>
    </w:p>
    <w:p w14:paraId="3E1AE479" w14:textId="2DE9AEE6" w:rsidR="003D5323" w:rsidRPr="001B701E" w:rsidRDefault="00FB100E" w:rsidP="00D95E8E">
      <w:pPr>
        <w:spacing w:after="0" w:line="360" w:lineRule="auto"/>
        <w:jc w:val="both"/>
        <w:rPr>
          <w:rFonts w:ascii="Arial" w:hAnsi="Arial" w:cs="Arial"/>
          <w:sz w:val="24"/>
          <w:szCs w:val="24"/>
        </w:rPr>
      </w:pPr>
      <w:r>
        <w:rPr>
          <w:rFonts w:ascii="Arial" w:hAnsi="Arial" w:cs="Arial"/>
          <w:sz w:val="24"/>
          <w:szCs w:val="24"/>
        </w:rPr>
        <w:br w:type="column"/>
      </w:r>
      <w:r w:rsidR="003D5323" w:rsidRPr="001B701E">
        <w:rPr>
          <w:rFonts w:ascii="Arial" w:hAnsi="Arial" w:cs="Arial"/>
          <w:sz w:val="24"/>
          <w:szCs w:val="24"/>
        </w:rPr>
        <w:lastRenderedPageBreak/>
        <w:t>___________________________________________________________________</w:t>
      </w:r>
    </w:p>
    <w:p w14:paraId="28BBCA67" w14:textId="77777777" w:rsidR="003D5323" w:rsidRPr="00501A3C" w:rsidRDefault="003D5323" w:rsidP="00D95E8E">
      <w:pPr>
        <w:spacing w:before="240" w:after="0" w:line="240" w:lineRule="auto"/>
        <w:jc w:val="center"/>
        <w:rPr>
          <w:rFonts w:ascii="Arial" w:hAnsi="Arial" w:cs="Arial"/>
          <w:b/>
          <w:sz w:val="24"/>
          <w:szCs w:val="24"/>
        </w:rPr>
      </w:pPr>
      <w:r w:rsidRPr="00501A3C">
        <w:rPr>
          <w:rFonts w:ascii="Arial" w:hAnsi="Arial" w:cs="Arial"/>
          <w:b/>
          <w:sz w:val="24"/>
          <w:szCs w:val="24"/>
        </w:rPr>
        <w:t>ORDER</w:t>
      </w:r>
    </w:p>
    <w:p w14:paraId="4750A018" w14:textId="77777777" w:rsidR="003D5323" w:rsidRPr="001B701E" w:rsidRDefault="003D5323" w:rsidP="00D95E8E">
      <w:pPr>
        <w:spacing w:after="0" w:line="240" w:lineRule="auto"/>
        <w:jc w:val="both"/>
        <w:rPr>
          <w:rFonts w:ascii="Arial" w:hAnsi="Arial" w:cs="Arial"/>
          <w:sz w:val="24"/>
          <w:szCs w:val="24"/>
        </w:rPr>
      </w:pPr>
      <w:r w:rsidRPr="001B701E">
        <w:rPr>
          <w:rFonts w:ascii="Arial" w:hAnsi="Arial" w:cs="Arial"/>
          <w:sz w:val="24"/>
          <w:szCs w:val="24"/>
        </w:rPr>
        <w:t>___________________________________________________________________</w:t>
      </w:r>
    </w:p>
    <w:p w14:paraId="7B1A87EA" w14:textId="77777777" w:rsidR="003D5323" w:rsidRDefault="003D5323" w:rsidP="003D5323">
      <w:pPr>
        <w:tabs>
          <w:tab w:val="right" w:pos="9026"/>
        </w:tabs>
        <w:spacing w:after="0" w:line="240" w:lineRule="auto"/>
        <w:jc w:val="both"/>
        <w:rPr>
          <w:rFonts w:ascii="Arial" w:hAnsi="Arial" w:cs="Arial"/>
          <w:b/>
          <w:bCs/>
          <w:sz w:val="24"/>
          <w:szCs w:val="24"/>
        </w:rPr>
      </w:pPr>
    </w:p>
    <w:p w14:paraId="43DD1BFC" w14:textId="0387D367" w:rsidR="003D5323" w:rsidRPr="00501A3C" w:rsidRDefault="00264203" w:rsidP="00BF16A2">
      <w:pPr>
        <w:tabs>
          <w:tab w:val="right" w:pos="9026"/>
        </w:tabs>
        <w:spacing w:after="0" w:line="360" w:lineRule="auto"/>
        <w:jc w:val="both"/>
        <w:rPr>
          <w:rFonts w:ascii="Arial" w:hAnsi="Arial" w:cs="Arial"/>
          <w:bCs/>
          <w:sz w:val="24"/>
          <w:szCs w:val="24"/>
        </w:rPr>
      </w:pPr>
      <w:r>
        <w:rPr>
          <w:rFonts w:ascii="Arial" w:hAnsi="Arial" w:cs="Arial"/>
          <w:b/>
          <w:bCs/>
          <w:sz w:val="24"/>
          <w:szCs w:val="24"/>
        </w:rPr>
        <w:t>On</w:t>
      </w:r>
      <w:r w:rsidR="003D5323" w:rsidRPr="00501A3C">
        <w:rPr>
          <w:rFonts w:ascii="Arial" w:hAnsi="Arial" w:cs="Arial"/>
          <w:b/>
          <w:bCs/>
          <w:sz w:val="24"/>
          <w:szCs w:val="24"/>
        </w:rPr>
        <w:t xml:space="preserve"> appeal from:</w:t>
      </w:r>
      <w:r w:rsidR="003D5323" w:rsidRPr="00501A3C">
        <w:rPr>
          <w:rFonts w:ascii="Arial" w:hAnsi="Arial" w:cs="Arial"/>
          <w:bCs/>
          <w:sz w:val="24"/>
          <w:szCs w:val="24"/>
        </w:rPr>
        <w:t xml:space="preserve"> </w:t>
      </w:r>
      <w:r w:rsidR="003D5323">
        <w:rPr>
          <w:rFonts w:ascii="Arial" w:hAnsi="Arial" w:cs="Arial"/>
          <w:bCs/>
          <w:sz w:val="24"/>
          <w:szCs w:val="24"/>
        </w:rPr>
        <w:t xml:space="preserve">Eastern Cape Division </w:t>
      </w:r>
      <w:r w:rsidR="003D5323" w:rsidRPr="00501A3C">
        <w:rPr>
          <w:rFonts w:ascii="Arial" w:hAnsi="Arial" w:cs="Arial"/>
          <w:bCs/>
          <w:sz w:val="24"/>
          <w:szCs w:val="24"/>
        </w:rPr>
        <w:t xml:space="preserve">of the High Court, </w:t>
      </w:r>
      <w:r w:rsidR="009B2D1B">
        <w:rPr>
          <w:rFonts w:ascii="Arial" w:hAnsi="Arial" w:cs="Arial"/>
          <w:bCs/>
          <w:sz w:val="24"/>
          <w:szCs w:val="24"/>
        </w:rPr>
        <w:t>Makanda</w:t>
      </w:r>
      <w:r w:rsidR="003D5323" w:rsidRPr="00501A3C">
        <w:rPr>
          <w:rFonts w:ascii="Arial" w:hAnsi="Arial" w:cs="Arial"/>
          <w:bCs/>
          <w:sz w:val="24"/>
          <w:szCs w:val="24"/>
        </w:rPr>
        <w:t xml:space="preserve"> (</w:t>
      </w:r>
      <w:r w:rsidR="003D5323">
        <w:rPr>
          <w:rFonts w:ascii="Arial" w:hAnsi="Arial" w:cs="Arial"/>
          <w:bCs/>
          <w:sz w:val="24"/>
          <w:szCs w:val="24"/>
        </w:rPr>
        <w:t>Beneke AJ</w:t>
      </w:r>
      <w:r w:rsidR="003D5323" w:rsidRPr="00501A3C">
        <w:rPr>
          <w:rFonts w:ascii="Arial" w:hAnsi="Arial" w:cs="Arial"/>
          <w:bCs/>
          <w:sz w:val="24"/>
          <w:szCs w:val="24"/>
        </w:rPr>
        <w:t xml:space="preserve">) sitting as a court of first </w:t>
      </w:r>
      <w:r w:rsidR="00BF16A2">
        <w:rPr>
          <w:rFonts w:ascii="Arial" w:hAnsi="Arial" w:cs="Arial"/>
          <w:bCs/>
          <w:sz w:val="24"/>
          <w:szCs w:val="24"/>
        </w:rPr>
        <w:t>instance</w:t>
      </w:r>
      <w:r w:rsidR="003D5323" w:rsidRPr="00501A3C">
        <w:rPr>
          <w:rFonts w:ascii="Arial" w:hAnsi="Arial" w:cs="Arial"/>
          <w:bCs/>
          <w:sz w:val="24"/>
          <w:szCs w:val="24"/>
        </w:rPr>
        <w:t>:</w:t>
      </w:r>
    </w:p>
    <w:p w14:paraId="148775AE" w14:textId="77777777" w:rsidR="003D5323" w:rsidRDefault="003D5323" w:rsidP="003D5323">
      <w:pPr>
        <w:tabs>
          <w:tab w:val="right" w:pos="9026"/>
        </w:tabs>
        <w:spacing w:after="0" w:line="240" w:lineRule="auto"/>
        <w:jc w:val="both"/>
        <w:rPr>
          <w:rFonts w:ascii="Arial" w:hAnsi="Arial" w:cs="Arial"/>
          <w:bCs/>
          <w:sz w:val="24"/>
          <w:szCs w:val="24"/>
        </w:rPr>
      </w:pPr>
    </w:p>
    <w:p w14:paraId="2BBA539A" w14:textId="5161F33C" w:rsidR="003D5323" w:rsidRDefault="00BF16A2" w:rsidP="00D95E8E">
      <w:pPr>
        <w:tabs>
          <w:tab w:val="right" w:pos="9026"/>
        </w:tabs>
        <w:spacing w:after="0" w:line="240" w:lineRule="auto"/>
        <w:jc w:val="both"/>
        <w:rPr>
          <w:rFonts w:ascii="Arial" w:hAnsi="Arial" w:cs="Arial"/>
          <w:bCs/>
          <w:sz w:val="24"/>
          <w:szCs w:val="24"/>
        </w:rPr>
      </w:pPr>
      <w:r>
        <w:rPr>
          <w:rFonts w:ascii="Arial" w:hAnsi="Arial" w:cs="Arial"/>
          <w:bCs/>
          <w:sz w:val="24"/>
          <w:szCs w:val="24"/>
        </w:rPr>
        <w:t>The appeal is dismissed with costs.</w:t>
      </w:r>
    </w:p>
    <w:p w14:paraId="2626080C" w14:textId="77777777" w:rsidR="003D5323" w:rsidRPr="00501A3C" w:rsidRDefault="003D5323" w:rsidP="00D95E8E">
      <w:pPr>
        <w:tabs>
          <w:tab w:val="right" w:pos="9026"/>
        </w:tabs>
        <w:spacing w:after="0" w:line="240" w:lineRule="auto"/>
        <w:jc w:val="both"/>
        <w:rPr>
          <w:rFonts w:ascii="Arial" w:hAnsi="Arial" w:cs="Arial"/>
          <w:bCs/>
          <w:sz w:val="24"/>
          <w:szCs w:val="24"/>
        </w:rPr>
      </w:pPr>
    </w:p>
    <w:p w14:paraId="1C0F8AAE" w14:textId="77777777" w:rsidR="003D5323" w:rsidRPr="00197249" w:rsidRDefault="003D5323" w:rsidP="00D95E8E">
      <w:pPr>
        <w:spacing w:after="0" w:line="240" w:lineRule="auto"/>
        <w:jc w:val="both"/>
        <w:rPr>
          <w:rFonts w:ascii="Arial" w:hAnsi="Arial" w:cs="Arial"/>
          <w:sz w:val="24"/>
          <w:szCs w:val="24"/>
        </w:rPr>
      </w:pPr>
      <w:r w:rsidRPr="00197249">
        <w:rPr>
          <w:rFonts w:ascii="Arial" w:hAnsi="Arial" w:cs="Arial"/>
          <w:sz w:val="24"/>
          <w:szCs w:val="24"/>
        </w:rPr>
        <w:t>___________________________________________________________________</w:t>
      </w:r>
    </w:p>
    <w:p w14:paraId="1B47F248" w14:textId="77777777" w:rsidR="003D5323" w:rsidRDefault="003D5323" w:rsidP="00211B26">
      <w:pPr>
        <w:spacing w:after="0" w:line="240" w:lineRule="auto"/>
        <w:rPr>
          <w:rFonts w:ascii="Arial" w:hAnsi="Arial" w:cs="Arial"/>
          <w:b/>
          <w:sz w:val="24"/>
          <w:szCs w:val="24"/>
        </w:rPr>
      </w:pPr>
    </w:p>
    <w:p w14:paraId="3226690F" w14:textId="77777777" w:rsidR="003D5323" w:rsidRPr="00501A3C" w:rsidRDefault="003D5323" w:rsidP="003D5323">
      <w:pPr>
        <w:spacing w:after="0" w:line="240" w:lineRule="auto"/>
        <w:jc w:val="center"/>
        <w:rPr>
          <w:rFonts w:ascii="Arial" w:hAnsi="Arial" w:cs="Arial"/>
          <w:b/>
          <w:sz w:val="24"/>
          <w:szCs w:val="24"/>
        </w:rPr>
      </w:pPr>
      <w:r w:rsidRPr="00501A3C">
        <w:rPr>
          <w:rFonts w:ascii="Arial" w:hAnsi="Arial" w:cs="Arial"/>
          <w:b/>
          <w:sz w:val="24"/>
          <w:szCs w:val="24"/>
        </w:rPr>
        <w:t>JUDGMENT</w:t>
      </w:r>
    </w:p>
    <w:p w14:paraId="06992112" w14:textId="77777777" w:rsidR="003D5323" w:rsidRPr="00197249" w:rsidRDefault="003D5323" w:rsidP="003D5323">
      <w:pPr>
        <w:spacing w:after="0" w:line="240" w:lineRule="auto"/>
        <w:jc w:val="both"/>
        <w:rPr>
          <w:rFonts w:ascii="Arial" w:hAnsi="Arial" w:cs="Arial"/>
          <w:sz w:val="24"/>
          <w:szCs w:val="24"/>
        </w:rPr>
      </w:pPr>
      <w:r>
        <w:rPr>
          <w:rFonts w:ascii="Arial" w:hAnsi="Arial" w:cs="Arial"/>
          <w:sz w:val="24"/>
          <w:szCs w:val="24"/>
        </w:rPr>
        <w:t>_</w:t>
      </w:r>
      <w:r w:rsidRPr="00197249">
        <w:rPr>
          <w:rFonts w:ascii="Arial" w:hAnsi="Arial" w:cs="Arial"/>
          <w:sz w:val="24"/>
          <w:szCs w:val="24"/>
        </w:rPr>
        <w:t>__________________________________________________________________</w:t>
      </w:r>
    </w:p>
    <w:p w14:paraId="3B9660FE" w14:textId="77777777" w:rsidR="003D5323" w:rsidRPr="00501A3C" w:rsidRDefault="003D5323" w:rsidP="003D5323">
      <w:pPr>
        <w:tabs>
          <w:tab w:val="left" w:pos="720"/>
          <w:tab w:val="left" w:pos="1440"/>
          <w:tab w:val="left" w:pos="2160"/>
          <w:tab w:val="right" w:pos="9026"/>
        </w:tabs>
        <w:spacing w:after="0" w:line="240" w:lineRule="auto"/>
        <w:jc w:val="both"/>
        <w:rPr>
          <w:rFonts w:ascii="Arial" w:hAnsi="Arial" w:cs="Arial"/>
          <w:sz w:val="24"/>
          <w:szCs w:val="24"/>
        </w:rPr>
      </w:pPr>
    </w:p>
    <w:p w14:paraId="1313C59F" w14:textId="551FBA34" w:rsidR="003D5323" w:rsidRDefault="003D5323" w:rsidP="00FB1387">
      <w:pPr>
        <w:tabs>
          <w:tab w:val="left" w:pos="720"/>
          <w:tab w:val="left" w:pos="1440"/>
          <w:tab w:val="left" w:pos="2160"/>
          <w:tab w:val="right" w:pos="9026"/>
        </w:tabs>
        <w:spacing w:after="0" w:line="360" w:lineRule="auto"/>
        <w:jc w:val="both"/>
        <w:rPr>
          <w:rFonts w:ascii="Arial" w:hAnsi="Arial" w:cs="Arial"/>
          <w:b/>
          <w:sz w:val="24"/>
          <w:szCs w:val="24"/>
        </w:rPr>
      </w:pPr>
      <w:r>
        <w:rPr>
          <w:rFonts w:ascii="Arial" w:hAnsi="Arial" w:cs="Arial"/>
          <w:b/>
          <w:sz w:val="24"/>
          <w:szCs w:val="24"/>
        </w:rPr>
        <w:t>Kathree-Setiloane AJA</w:t>
      </w:r>
      <w:r w:rsidRPr="00501A3C">
        <w:rPr>
          <w:rFonts w:ascii="Arial" w:hAnsi="Arial" w:cs="Arial"/>
          <w:b/>
          <w:sz w:val="24"/>
          <w:szCs w:val="24"/>
        </w:rPr>
        <w:t xml:space="preserve"> (</w:t>
      </w:r>
      <w:r w:rsidR="00144EDB">
        <w:rPr>
          <w:rFonts w:ascii="Arial" w:hAnsi="Arial" w:cs="Arial"/>
          <w:b/>
          <w:sz w:val="24"/>
          <w:szCs w:val="24"/>
        </w:rPr>
        <w:t>P</w:t>
      </w:r>
      <w:r w:rsidR="00BD2260">
        <w:rPr>
          <w:rFonts w:ascii="Arial" w:hAnsi="Arial" w:cs="Arial"/>
          <w:b/>
          <w:sz w:val="24"/>
          <w:szCs w:val="24"/>
        </w:rPr>
        <w:t xml:space="preserve">onnan and Mbatha JJA, Keightley and Unterhalter AJJA </w:t>
      </w:r>
      <w:r w:rsidRPr="00501A3C">
        <w:rPr>
          <w:rFonts w:ascii="Arial" w:hAnsi="Arial" w:cs="Arial"/>
          <w:b/>
          <w:sz w:val="24"/>
          <w:szCs w:val="24"/>
        </w:rPr>
        <w:t>concurring):</w:t>
      </w:r>
    </w:p>
    <w:p w14:paraId="5CFAFD56" w14:textId="71A718D8" w:rsidR="00B11C94" w:rsidRDefault="00B11C94" w:rsidP="003D5323">
      <w:pPr>
        <w:tabs>
          <w:tab w:val="left" w:pos="720"/>
          <w:tab w:val="left" w:pos="1440"/>
          <w:tab w:val="left" w:pos="2160"/>
          <w:tab w:val="right" w:pos="9026"/>
        </w:tabs>
        <w:spacing w:after="0" w:line="240" w:lineRule="auto"/>
        <w:jc w:val="both"/>
        <w:rPr>
          <w:rFonts w:ascii="Arial" w:hAnsi="Arial" w:cs="Arial"/>
          <w:sz w:val="24"/>
          <w:szCs w:val="24"/>
        </w:rPr>
      </w:pPr>
    </w:p>
    <w:p w14:paraId="51BF9226" w14:textId="77777777" w:rsidR="006E623D" w:rsidRPr="00B6016A" w:rsidRDefault="006E623D" w:rsidP="003D5323">
      <w:pPr>
        <w:tabs>
          <w:tab w:val="left" w:pos="720"/>
          <w:tab w:val="left" w:pos="1440"/>
          <w:tab w:val="left" w:pos="2160"/>
          <w:tab w:val="right" w:pos="9026"/>
        </w:tabs>
        <w:spacing w:after="0" w:line="240" w:lineRule="auto"/>
        <w:jc w:val="both"/>
        <w:rPr>
          <w:rFonts w:ascii="Arial" w:hAnsi="Arial" w:cs="Arial"/>
          <w:sz w:val="24"/>
          <w:szCs w:val="24"/>
        </w:rPr>
      </w:pPr>
    </w:p>
    <w:p w14:paraId="04153EE5" w14:textId="77F29F5B" w:rsidR="006F2D36" w:rsidRPr="00EF7CE5" w:rsidRDefault="00EF7CE5" w:rsidP="00EF7CE5">
      <w:pPr>
        <w:tabs>
          <w:tab w:val="left" w:pos="567"/>
        </w:tabs>
        <w:spacing w:after="0" w:line="360" w:lineRule="auto"/>
        <w:jc w:val="both"/>
        <w:rPr>
          <w:rFonts w:ascii="Arial" w:hAnsi="Arial" w:cs="Arial"/>
          <w:sz w:val="24"/>
          <w:szCs w:val="24"/>
          <w:lang w:val="en-US"/>
        </w:rPr>
      </w:pPr>
      <w:r w:rsidRPr="0037642F">
        <w:rPr>
          <w:rFonts w:ascii="Arial" w:hAnsi="Arial" w:cs="Arial"/>
          <w:sz w:val="24"/>
          <w:szCs w:val="24"/>
          <w:lang w:val="en-US"/>
        </w:rPr>
        <w:t>[1]</w:t>
      </w:r>
      <w:r w:rsidRPr="0037642F">
        <w:rPr>
          <w:rFonts w:ascii="Arial" w:hAnsi="Arial" w:cs="Arial"/>
          <w:sz w:val="24"/>
          <w:szCs w:val="24"/>
          <w:lang w:val="en-US"/>
        </w:rPr>
        <w:tab/>
      </w:r>
      <w:r w:rsidR="006F2D36" w:rsidRPr="00EF7CE5">
        <w:rPr>
          <w:rFonts w:ascii="Arial" w:hAnsi="Arial" w:cs="Arial"/>
          <w:sz w:val="24"/>
          <w:szCs w:val="24"/>
          <w:lang w:val="en-US"/>
        </w:rPr>
        <w:t>Werner de Jager, the first respondent and Carol Ann-Schr</w:t>
      </w:r>
      <w:r w:rsidR="00B11C94" w:rsidRPr="00EF7CE5">
        <w:rPr>
          <w:rFonts w:ascii="Arial" w:hAnsi="Arial" w:cs="Arial"/>
          <w:sz w:val="24"/>
          <w:szCs w:val="24"/>
          <w:lang w:val="en-US"/>
        </w:rPr>
        <w:t>ö</w:t>
      </w:r>
      <w:r w:rsidR="006F2D36" w:rsidRPr="00EF7CE5">
        <w:rPr>
          <w:rFonts w:ascii="Arial" w:hAnsi="Arial" w:cs="Arial"/>
          <w:sz w:val="24"/>
          <w:szCs w:val="24"/>
          <w:lang w:val="en-US"/>
        </w:rPr>
        <w:t>der, the second respondent (the liquidators)</w:t>
      </w:r>
      <w:r w:rsidR="00250AEA" w:rsidRPr="00EF7CE5">
        <w:rPr>
          <w:rFonts w:ascii="Arial" w:hAnsi="Arial" w:cs="Arial"/>
          <w:sz w:val="24"/>
          <w:szCs w:val="24"/>
          <w:lang w:val="en-US"/>
        </w:rPr>
        <w:t>,</w:t>
      </w:r>
      <w:r w:rsidR="006F2D36" w:rsidRPr="00EF7CE5">
        <w:rPr>
          <w:rFonts w:ascii="Arial" w:hAnsi="Arial" w:cs="Arial"/>
          <w:sz w:val="24"/>
          <w:szCs w:val="24"/>
          <w:lang w:val="en-US"/>
        </w:rPr>
        <w:t xml:space="preserve"> are the duly appointed joint liquidators of No</w:t>
      </w:r>
      <w:r w:rsidR="00DA2638" w:rsidRPr="00EF7CE5">
        <w:rPr>
          <w:rFonts w:ascii="Arial" w:hAnsi="Arial" w:cs="Arial"/>
          <w:sz w:val="24"/>
          <w:szCs w:val="24"/>
          <w:lang w:val="en-US"/>
        </w:rPr>
        <w:t>.</w:t>
      </w:r>
      <w:r w:rsidR="00136341" w:rsidRPr="00EF7CE5">
        <w:rPr>
          <w:rFonts w:ascii="Arial" w:hAnsi="Arial" w:cs="Arial"/>
          <w:sz w:val="24"/>
          <w:szCs w:val="24"/>
          <w:lang w:val="en-US"/>
        </w:rPr>
        <w:t> 1 Watt </w:t>
      </w:r>
      <w:r w:rsidR="006F2D36" w:rsidRPr="00EF7CE5">
        <w:rPr>
          <w:rFonts w:ascii="Arial" w:hAnsi="Arial" w:cs="Arial"/>
          <w:sz w:val="24"/>
          <w:szCs w:val="24"/>
          <w:lang w:val="en-US"/>
        </w:rPr>
        <w:t>Street (Pty) Ltd (</w:t>
      </w:r>
      <w:r w:rsidR="00181E25" w:rsidRPr="00EF7CE5">
        <w:rPr>
          <w:rFonts w:ascii="Arial" w:hAnsi="Arial" w:cs="Arial"/>
          <w:sz w:val="24"/>
          <w:szCs w:val="24"/>
          <w:lang w:val="en-US"/>
        </w:rPr>
        <w:t>Watt Street</w:t>
      </w:r>
      <w:r w:rsidR="006F2D36" w:rsidRPr="00EF7CE5">
        <w:rPr>
          <w:rFonts w:ascii="Arial" w:hAnsi="Arial" w:cs="Arial"/>
          <w:sz w:val="24"/>
          <w:szCs w:val="24"/>
          <w:lang w:val="en-US"/>
        </w:rPr>
        <w:t>).</w:t>
      </w:r>
      <w:r w:rsidR="006F2D36">
        <w:rPr>
          <w:rStyle w:val="FootnoteReference"/>
          <w:rFonts w:ascii="Arial" w:hAnsi="Arial" w:cs="Arial"/>
          <w:sz w:val="24"/>
          <w:szCs w:val="24"/>
          <w:lang w:val="en-US"/>
        </w:rPr>
        <w:footnoteReference w:id="1"/>
      </w:r>
      <w:r w:rsidR="006F2D36" w:rsidRPr="00EF7CE5">
        <w:rPr>
          <w:rFonts w:ascii="Arial" w:hAnsi="Arial" w:cs="Arial"/>
          <w:sz w:val="24"/>
          <w:szCs w:val="24"/>
          <w:lang w:val="en-US"/>
        </w:rPr>
        <w:t xml:space="preserve"> </w:t>
      </w:r>
      <w:r w:rsidR="008C686B" w:rsidRPr="00EF7CE5">
        <w:rPr>
          <w:rFonts w:ascii="Arial" w:hAnsi="Arial" w:cs="Arial"/>
          <w:sz w:val="24"/>
          <w:szCs w:val="24"/>
          <w:lang w:val="en-US"/>
        </w:rPr>
        <w:t>Mantis Investment Holdings (Pty) Ltd (Mantis),</w:t>
      </w:r>
      <w:r w:rsidR="006D4FF5" w:rsidRPr="00EF7CE5">
        <w:rPr>
          <w:rFonts w:ascii="Arial" w:hAnsi="Arial" w:cs="Arial"/>
          <w:sz w:val="24"/>
          <w:szCs w:val="24"/>
          <w:lang w:val="en-US"/>
        </w:rPr>
        <w:t xml:space="preserve"> </w:t>
      </w:r>
      <w:r w:rsidR="008C686B" w:rsidRPr="00EF7CE5">
        <w:rPr>
          <w:rFonts w:ascii="Arial" w:hAnsi="Arial" w:cs="Arial"/>
          <w:sz w:val="24"/>
          <w:szCs w:val="24"/>
          <w:lang w:val="en-US"/>
        </w:rPr>
        <w:t>the first appellant,</w:t>
      </w:r>
      <w:r w:rsidR="006F2D36" w:rsidRPr="00EF7CE5">
        <w:rPr>
          <w:rFonts w:ascii="Arial" w:hAnsi="Arial" w:cs="Arial"/>
          <w:sz w:val="24"/>
          <w:szCs w:val="24"/>
          <w:lang w:val="en-US"/>
        </w:rPr>
        <w:t xml:space="preserve"> is a shareholder in </w:t>
      </w:r>
      <w:r w:rsidR="00181E25" w:rsidRPr="00EF7CE5">
        <w:rPr>
          <w:rFonts w:ascii="Arial" w:hAnsi="Arial" w:cs="Arial"/>
          <w:sz w:val="24"/>
          <w:szCs w:val="24"/>
          <w:lang w:val="en-US"/>
        </w:rPr>
        <w:t>Watt Street</w:t>
      </w:r>
      <w:r w:rsidR="0028028F" w:rsidRPr="00EF7CE5">
        <w:rPr>
          <w:rFonts w:ascii="Arial" w:hAnsi="Arial" w:cs="Arial"/>
          <w:sz w:val="24"/>
          <w:szCs w:val="24"/>
          <w:lang w:val="en-US"/>
        </w:rPr>
        <w:t xml:space="preserve">. </w:t>
      </w:r>
      <w:r w:rsidR="008C686B" w:rsidRPr="00EF7CE5">
        <w:rPr>
          <w:rFonts w:ascii="Arial" w:hAnsi="Arial" w:cs="Arial"/>
          <w:sz w:val="24"/>
          <w:szCs w:val="24"/>
          <w:lang w:val="en-US"/>
        </w:rPr>
        <w:t>Mr Ad</w:t>
      </w:r>
      <w:r w:rsidR="00E953FC" w:rsidRPr="00EF7CE5">
        <w:rPr>
          <w:rFonts w:ascii="Arial" w:hAnsi="Arial" w:cs="Arial"/>
          <w:sz w:val="24"/>
          <w:szCs w:val="24"/>
          <w:lang w:val="en-US"/>
        </w:rPr>
        <w:t>rian John Faulkner Gardiner (Mr</w:t>
      </w:r>
      <w:r w:rsidR="0037642F" w:rsidRPr="00EF7CE5">
        <w:rPr>
          <w:rFonts w:ascii="Arial" w:hAnsi="Arial" w:cs="Arial"/>
          <w:sz w:val="24"/>
          <w:szCs w:val="24"/>
          <w:lang w:val="en-US"/>
        </w:rPr>
        <w:t> </w:t>
      </w:r>
      <w:r w:rsidR="008C686B" w:rsidRPr="00EF7CE5">
        <w:rPr>
          <w:rFonts w:ascii="Arial" w:hAnsi="Arial" w:cs="Arial"/>
          <w:sz w:val="24"/>
          <w:szCs w:val="24"/>
          <w:lang w:val="en-US"/>
        </w:rPr>
        <w:t>Gardiner</w:t>
      </w:r>
      <w:r w:rsidR="00387F4E" w:rsidRPr="00EF7CE5">
        <w:rPr>
          <w:rFonts w:ascii="Arial" w:hAnsi="Arial" w:cs="Arial"/>
          <w:sz w:val="24"/>
          <w:szCs w:val="24"/>
          <w:lang w:val="en-US"/>
        </w:rPr>
        <w:t>), the</w:t>
      </w:r>
      <w:r w:rsidR="008C686B" w:rsidRPr="00EF7CE5">
        <w:rPr>
          <w:rFonts w:ascii="Arial" w:hAnsi="Arial" w:cs="Arial"/>
          <w:sz w:val="24"/>
          <w:szCs w:val="24"/>
          <w:lang w:val="en-US"/>
        </w:rPr>
        <w:t xml:space="preserve"> second appellant,</w:t>
      </w:r>
      <w:r w:rsidR="006F2D36" w:rsidRPr="00EF7CE5">
        <w:rPr>
          <w:rFonts w:ascii="Arial" w:hAnsi="Arial" w:cs="Arial"/>
          <w:sz w:val="24"/>
          <w:szCs w:val="24"/>
          <w:lang w:val="en-US"/>
        </w:rPr>
        <w:t xml:space="preserve"> is a director of both Mantis and </w:t>
      </w:r>
      <w:r w:rsidR="00181E25" w:rsidRPr="00EF7CE5">
        <w:rPr>
          <w:rFonts w:ascii="Arial" w:hAnsi="Arial" w:cs="Arial"/>
          <w:sz w:val="24"/>
          <w:szCs w:val="24"/>
          <w:lang w:val="en-US"/>
        </w:rPr>
        <w:t>Watt Street</w:t>
      </w:r>
      <w:r w:rsidR="006F2D36" w:rsidRPr="00EF7CE5">
        <w:rPr>
          <w:rFonts w:ascii="Arial" w:hAnsi="Arial" w:cs="Arial"/>
          <w:sz w:val="24"/>
          <w:szCs w:val="24"/>
          <w:lang w:val="en-US"/>
        </w:rPr>
        <w:t>.</w:t>
      </w:r>
      <w:r w:rsidR="008C686B">
        <w:rPr>
          <w:rStyle w:val="FootnoteReference"/>
          <w:rFonts w:ascii="Arial" w:hAnsi="Arial" w:cs="Arial"/>
          <w:sz w:val="24"/>
          <w:szCs w:val="24"/>
          <w:lang w:val="en-US"/>
        </w:rPr>
        <w:footnoteReference w:id="2"/>
      </w:r>
      <w:r w:rsidR="009B6E18" w:rsidRPr="00EF7CE5">
        <w:rPr>
          <w:rFonts w:ascii="Arial" w:hAnsi="Arial" w:cs="Arial"/>
          <w:sz w:val="24"/>
          <w:szCs w:val="24"/>
          <w:lang w:val="en-US"/>
        </w:rPr>
        <w:t xml:space="preserve"> </w:t>
      </w:r>
    </w:p>
    <w:p w14:paraId="3E1A851F" w14:textId="77777777" w:rsidR="006F2D36" w:rsidRDefault="006F2D36" w:rsidP="006F2D36">
      <w:pPr>
        <w:pStyle w:val="ListParagraph"/>
        <w:tabs>
          <w:tab w:val="left" w:pos="567"/>
        </w:tabs>
        <w:spacing w:after="0" w:line="360" w:lineRule="auto"/>
        <w:ind w:left="0"/>
        <w:jc w:val="both"/>
        <w:rPr>
          <w:rFonts w:ascii="Arial" w:hAnsi="Arial" w:cs="Arial"/>
          <w:sz w:val="24"/>
          <w:szCs w:val="24"/>
          <w:lang w:val="en-US"/>
        </w:rPr>
      </w:pPr>
    </w:p>
    <w:p w14:paraId="026DD4FC" w14:textId="36C1AAF3" w:rsidR="00CE0190"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[2</w:t>
      </w:r>
      <w:bookmarkStart w:id="1" w:name="_GoBack"/>
      <w:bookmarkEnd w:id="1"/>
      <w:r>
        <w:rPr>
          <w:rFonts w:ascii="Arial" w:hAnsi="Arial" w:cs="Arial"/>
          <w:sz w:val="24"/>
          <w:szCs w:val="24"/>
          <w:lang w:val="en-US"/>
        </w:rPr>
        <w:t>]</w:t>
      </w:r>
      <w:r>
        <w:rPr>
          <w:rFonts w:ascii="Arial" w:hAnsi="Arial" w:cs="Arial"/>
          <w:sz w:val="24"/>
          <w:szCs w:val="24"/>
          <w:lang w:val="en-US"/>
        </w:rPr>
        <w:tab/>
      </w:r>
      <w:r w:rsidR="006F2D36" w:rsidRPr="00EF7CE5">
        <w:rPr>
          <w:rFonts w:ascii="Arial" w:hAnsi="Arial" w:cs="Arial"/>
          <w:sz w:val="24"/>
          <w:szCs w:val="24"/>
          <w:lang w:val="en-US"/>
        </w:rPr>
        <w:t>Th</w:t>
      </w:r>
      <w:r w:rsidR="009B2D1B" w:rsidRPr="00EF7CE5">
        <w:rPr>
          <w:rFonts w:ascii="Arial" w:hAnsi="Arial" w:cs="Arial"/>
          <w:sz w:val="24"/>
          <w:szCs w:val="24"/>
          <w:lang w:val="en-US"/>
        </w:rPr>
        <w:t>e</w:t>
      </w:r>
      <w:r w:rsidR="006F2D36" w:rsidRPr="00EF7CE5">
        <w:rPr>
          <w:rFonts w:ascii="Arial" w:hAnsi="Arial" w:cs="Arial"/>
          <w:sz w:val="24"/>
          <w:szCs w:val="24"/>
          <w:lang w:val="en-US"/>
        </w:rPr>
        <w:t xml:space="preserve"> appellants appeal against the judgment and order of Beneke AJ in the Eastern Cape Division of the High Court, </w:t>
      </w:r>
      <w:r w:rsidR="00E42897" w:rsidRPr="00EF7CE5">
        <w:rPr>
          <w:rFonts w:ascii="Arial" w:hAnsi="Arial" w:cs="Arial"/>
          <w:sz w:val="24"/>
          <w:szCs w:val="24"/>
          <w:lang w:val="en-US"/>
        </w:rPr>
        <w:t>Ma</w:t>
      </w:r>
      <w:r w:rsidR="006F2D36" w:rsidRPr="00EF7CE5">
        <w:rPr>
          <w:rFonts w:ascii="Arial" w:hAnsi="Arial" w:cs="Arial"/>
          <w:sz w:val="24"/>
          <w:szCs w:val="24"/>
          <w:lang w:val="en-US"/>
        </w:rPr>
        <w:t>kanda (the high court) in which it</w:t>
      </w:r>
      <w:r w:rsidR="007D585F" w:rsidRPr="00EF7CE5">
        <w:rPr>
          <w:rFonts w:ascii="Arial" w:hAnsi="Arial" w:cs="Arial"/>
          <w:sz w:val="24"/>
          <w:szCs w:val="24"/>
          <w:lang w:val="en-US"/>
        </w:rPr>
        <w:t>,</w:t>
      </w:r>
      <w:r w:rsidR="006F2D36" w:rsidRPr="00EF7CE5">
        <w:rPr>
          <w:rFonts w:ascii="Arial" w:hAnsi="Arial" w:cs="Arial"/>
          <w:sz w:val="24"/>
          <w:szCs w:val="24"/>
          <w:lang w:val="en-US"/>
        </w:rPr>
        <w:t xml:space="preserve"> </w:t>
      </w:r>
      <w:r w:rsidR="006F2D36" w:rsidRPr="00EF7CE5">
        <w:rPr>
          <w:rFonts w:ascii="Arial" w:hAnsi="Arial" w:cs="Arial"/>
          <w:i/>
          <w:iCs/>
          <w:sz w:val="24"/>
          <w:szCs w:val="24"/>
          <w:lang w:val="en-US"/>
        </w:rPr>
        <w:t>inter alia</w:t>
      </w:r>
      <w:r w:rsidR="007D585F" w:rsidRPr="00EF7CE5">
        <w:rPr>
          <w:rFonts w:ascii="Arial" w:hAnsi="Arial" w:cs="Arial"/>
          <w:i/>
          <w:iCs/>
          <w:sz w:val="24"/>
          <w:szCs w:val="24"/>
          <w:lang w:val="en-US"/>
        </w:rPr>
        <w:t>,</w:t>
      </w:r>
      <w:r w:rsidR="00E42897" w:rsidRPr="00EF7CE5">
        <w:rPr>
          <w:rFonts w:ascii="Arial" w:hAnsi="Arial" w:cs="Arial"/>
          <w:sz w:val="24"/>
          <w:szCs w:val="24"/>
          <w:lang w:val="en-US"/>
        </w:rPr>
        <w:t xml:space="preserve"> </w:t>
      </w:r>
      <w:r w:rsidR="006F2D36" w:rsidRPr="00EF7CE5">
        <w:rPr>
          <w:rFonts w:ascii="Arial" w:hAnsi="Arial" w:cs="Arial"/>
          <w:sz w:val="24"/>
          <w:szCs w:val="24"/>
          <w:lang w:val="en-US"/>
        </w:rPr>
        <w:t xml:space="preserve">made an order that the appellants are not lawfully entitled to contest the claims proved by the Eastern Cape Development Corporation (ECDC) in the liquidation proceedings of </w:t>
      </w:r>
      <w:r w:rsidR="00105294" w:rsidRPr="00EF7CE5">
        <w:rPr>
          <w:rFonts w:ascii="Arial" w:hAnsi="Arial" w:cs="Arial"/>
          <w:sz w:val="24"/>
          <w:szCs w:val="24"/>
          <w:lang w:val="en-US"/>
        </w:rPr>
        <w:t xml:space="preserve">Watt Street. </w:t>
      </w:r>
      <w:r w:rsidR="006F2D36" w:rsidRPr="00EF7CE5">
        <w:rPr>
          <w:rFonts w:ascii="Arial" w:hAnsi="Arial" w:cs="Arial"/>
          <w:sz w:val="24"/>
          <w:szCs w:val="24"/>
          <w:lang w:val="en-US"/>
        </w:rPr>
        <w:t>The matter before the high court</w:t>
      </w:r>
      <w:r w:rsidR="002208F4" w:rsidRPr="00EF7CE5">
        <w:rPr>
          <w:rFonts w:ascii="Arial" w:hAnsi="Arial" w:cs="Arial"/>
          <w:sz w:val="24"/>
          <w:szCs w:val="24"/>
          <w:lang w:val="en-US"/>
        </w:rPr>
        <w:t xml:space="preserve"> </w:t>
      </w:r>
      <w:r w:rsidR="006F2D36" w:rsidRPr="00EF7CE5">
        <w:rPr>
          <w:rFonts w:ascii="Arial" w:hAnsi="Arial" w:cs="Arial"/>
          <w:sz w:val="24"/>
          <w:szCs w:val="24"/>
          <w:lang w:val="en-US"/>
        </w:rPr>
        <w:t>proceeded by way of a special case</w:t>
      </w:r>
      <w:r w:rsidR="00072E15" w:rsidRPr="00EF7CE5">
        <w:rPr>
          <w:rFonts w:ascii="Arial" w:hAnsi="Arial" w:cs="Arial"/>
          <w:sz w:val="24"/>
          <w:szCs w:val="24"/>
          <w:lang w:val="en-US"/>
        </w:rPr>
        <w:t xml:space="preserve"> in terms of rule 33(1) of the Uniform Rules of Court</w:t>
      </w:r>
      <w:r w:rsidR="00CE0190" w:rsidRPr="00EF7CE5">
        <w:rPr>
          <w:rFonts w:ascii="Arial" w:hAnsi="Arial" w:cs="Arial"/>
          <w:sz w:val="24"/>
          <w:szCs w:val="24"/>
          <w:lang w:val="en-US"/>
        </w:rPr>
        <w:t xml:space="preserve">. </w:t>
      </w:r>
    </w:p>
    <w:p w14:paraId="1A71DD5E" w14:textId="16D117E6" w:rsidR="006F2D36" w:rsidRPr="00581219" w:rsidRDefault="006F2D36" w:rsidP="00CE0190">
      <w:pPr>
        <w:pStyle w:val="ListParagraph"/>
        <w:tabs>
          <w:tab w:val="left" w:pos="567"/>
        </w:tabs>
        <w:spacing w:after="0" w:line="360" w:lineRule="auto"/>
        <w:ind w:left="0"/>
        <w:jc w:val="both"/>
        <w:rPr>
          <w:rFonts w:ascii="Arial" w:hAnsi="Arial" w:cs="Arial"/>
          <w:sz w:val="24"/>
          <w:szCs w:val="24"/>
          <w:lang w:val="en-US"/>
        </w:rPr>
      </w:pPr>
    </w:p>
    <w:p w14:paraId="1D46103B" w14:textId="6464954B"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6F2D36" w:rsidRPr="00EF7CE5">
        <w:rPr>
          <w:rFonts w:ascii="Arial" w:hAnsi="Arial" w:cs="Arial"/>
          <w:sz w:val="24"/>
          <w:szCs w:val="24"/>
          <w:lang w:val="en-US"/>
        </w:rPr>
        <w:t>The special case has its genesis in an action</w:t>
      </w:r>
      <w:r w:rsidR="00FC79F6" w:rsidRPr="00EF7CE5">
        <w:rPr>
          <w:rFonts w:ascii="Arial" w:hAnsi="Arial" w:cs="Arial"/>
          <w:sz w:val="24"/>
          <w:szCs w:val="24"/>
          <w:lang w:val="en-US"/>
        </w:rPr>
        <w:t>,</w:t>
      </w:r>
      <w:r w:rsidR="006F2D36" w:rsidRPr="00EF7CE5">
        <w:rPr>
          <w:rFonts w:ascii="Arial" w:hAnsi="Arial" w:cs="Arial"/>
          <w:sz w:val="24"/>
          <w:szCs w:val="24"/>
          <w:lang w:val="en-US"/>
        </w:rPr>
        <w:t xml:space="preserve"> which the liquidators</w:t>
      </w:r>
      <w:r w:rsidR="00F21D83" w:rsidRPr="00EF7CE5">
        <w:rPr>
          <w:rFonts w:ascii="Arial" w:hAnsi="Arial" w:cs="Arial"/>
          <w:sz w:val="24"/>
          <w:szCs w:val="24"/>
          <w:lang w:val="en-US"/>
        </w:rPr>
        <w:t xml:space="preserve"> instituted </w:t>
      </w:r>
      <w:r w:rsidR="006F2D36" w:rsidRPr="00EF7CE5">
        <w:rPr>
          <w:rFonts w:ascii="Arial" w:hAnsi="Arial" w:cs="Arial"/>
          <w:sz w:val="24"/>
          <w:szCs w:val="24"/>
          <w:lang w:val="en-US"/>
        </w:rPr>
        <w:t xml:space="preserve">against the appellants to set aside a collusive disposition of the assets of </w:t>
      </w:r>
      <w:r w:rsidR="00105294" w:rsidRPr="00EF7CE5">
        <w:rPr>
          <w:rFonts w:ascii="Arial" w:hAnsi="Arial" w:cs="Arial"/>
          <w:sz w:val="24"/>
          <w:szCs w:val="24"/>
          <w:lang w:val="en-US"/>
        </w:rPr>
        <w:t>Watt Street</w:t>
      </w:r>
      <w:r w:rsidR="006F2D36" w:rsidRPr="00EF7CE5">
        <w:rPr>
          <w:rFonts w:ascii="Arial" w:hAnsi="Arial" w:cs="Arial"/>
          <w:sz w:val="24"/>
          <w:szCs w:val="24"/>
          <w:lang w:val="en-US"/>
        </w:rPr>
        <w:t xml:space="preserve">. The </w:t>
      </w:r>
      <w:r w:rsidR="00836B9A" w:rsidRPr="00EF7CE5">
        <w:rPr>
          <w:rFonts w:ascii="Arial" w:hAnsi="Arial" w:cs="Arial"/>
          <w:sz w:val="24"/>
          <w:szCs w:val="24"/>
          <w:lang w:val="en-US"/>
        </w:rPr>
        <w:t xml:space="preserve">agreed facts which form the </w:t>
      </w:r>
      <w:r w:rsidR="006F2D36" w:rsidRPr="00EF7CE5">
        <w:rPr>
          <w:rFonts w:ascii="Arial" w:hAnsi="Arial" w:cs="Arial"/>
          <w:sz w:val="24"/>
          <w:szCs w:val="24"/>
          <w:lang w:val="en-US"/>
        </w:rPr>
        <w:t xml:space="preserve">background to the action </w:t>
      </w:r>
      <w:r w:rsidR="00836B9A" w:rsidRPr="00EF7CE5">
        <w:rPr>
          <w:rFonts w:ascii="Arial" w:hAnsi="Arial" w:cs="Arial"/>
          <w:sz w:val="24"/>
          <w:szCs w:val="24"/>
          <w:lang w:val="en-US"/>
        </w:rPr>
        <w:t>are</w:t>
      </w:r>
      <w:r w:rsidR="006F2D36" w:rsidRPr="00EF7CE5">
        <w:rPr>
          <w:rFonts w:ascii="Arial" w:hAnsi="Arial" w:cs="Arial"/>
          <w:sz w:val="24"/>
          <w:szCs w:val="24"/>
          <w:lang w:val="en-US"/>
        </w:rPr>
        <w:t xml:space="preserve"> that</w:t>
      </w:r>
      <w:r w:rsidR="00D87E95" w:rsidRPr="00EF7CE5">
        <w:rPr>
          <w:rFonts w:ascii="Arial" w:hAnsi="Arial" w:cs="Arial"/>
          <w:sz w:val="24"/>
          <w:szCs w:val="24"/>
          <w:lang w:val="en-US"/>
        </w:rPr>
        <w:t>,</w:t>
      </w:r>
      <w:r w:rsidR="006F2D36" w:rsidRPr="00EF7CE5">
        <w:rPr>
          <w:rFonts w:ascii="Arial" w:hAnsi="Arial" w:cs="Arial"/>
          <w:sz w:val="24"/>
          <w:szCs w:val="24"/>
          <w:lang w:val="en-US"/>
        </w:rPr>
        <w:t xml:space="preserve"> during 2005</w:t>
      </w:r>
      <w:r w:rsidR="00D87E95" w:rsidRPr="00EF7CE5">
        <w:rPr>
          <w:rFonts w:ascii="Arial" w:hAnsi="Arial" w:cs="Arial"/>
          <w:sz w:val="24"/>
          <w:szCs w:val="24"/>
          <w:lang w:val="en-US"/>
        </w:rPr>
        <w:t>,</w:t>
      </w:r>
      <w:r w:rsidR="006F2D36" w:rsidRPr="00EF7CE5">
        <w:rPr>
          <w:rFonts w:ascii="Arial" w:hAnsi="Arial" w:cs="Arial"/>
          <w:sz w:val="24"/>
          <w:szCs w:val="24"/>
          <w:lang w:val="en-US"/>
        </w:rPr>
        <w:t xml:space="preserve"> ECDC </w:t>
      </w:r>
      <w:r w:rsidR="006F2D36" w:rsidRPr="00EF7CE5">
        <w:rPr>
          <w:rFonts w:ascii="Arial" w:hAnsi="Arial" w:cs="Arial"/>
          <w:sz w:val="24"/>
          <w:szCs w:val="24"/>
          <w:lang w:val="en-US"/>
        </w:rPr>
        <w:lastRenderedPageBreak/>
        <w:t>advanced certain monies to Bush</w:t>
      </w:r>
      <w:r w:rsidR="00F21D83" w:rsidRPr="00EF7CE5">
        <w:rPr>
          <w:rFonts w:ascii="Arial" w:hAnsi="Arial" w:cs="Arial"/>
          <w:sz w:val="24"/>
          <w:szCs w:val="24"/>
          <w:lang w:val="en-US"/>
        </w:rPr>
        <w:t>man Sands Development (Pty) Ltd</w:t>
      </w:r>
      <w:r w:rsidR="006F2D36" w:rsidRPr="00EF7CE5">
        <w:rPr>
          <w:rFonts w:ascii="Arial" w:hAnsi="Arial" w:cs="Arial"/>
          <w:sz w:val="24"/>
          <w:szCs w:val="24"/>
          <w:lang w:val="en-US"/>
        </w:rPr>
        <w:t xml:space="preserve"> (Bushman Sands). </w:t>
      </w:r>
      <w:r w:rsidR="00105294" w:rsidRPr="00EF7CE5">
        <w:rPr>
          <w:rFonts w:ascii="Arial" w:hAnsi="Arial" w:cs="Arial"/>
          <w:sz w:val="24"/>
          <w:szCs w:val="24"/>
          <w:lang w:val="en-US"/>
        </w:rPr>
        <w:t xml:space="preserve">Watt Street </w:t>
      </w:r>
      <w:r w:rsidR="006F2D36" w:rsidRPr="00EF7CE5">
        <w:rPr>
          <w:rFonts w:ascii="Arial" w:hAnsi="Arial" w:cs="Arial"/>
          <w:sz w:val="24"/>
          <w:szCs w:val="24"/>
          <w:lang w:val="en-US"/>
        </w:rPr>
        <w:t>bound itself as surety and co-principal debtor</w:t>
      </w:r>
      <w:r w:rsidR="00A25DA5" w:rsidRPr="00EF7CE5">
        <w:rPr>
          <w:rFonts w:ascii="Arial" w:hAnsi="Arial" w:cs="Arial"/>
          <w:sz w:val="24"/>
          <w:szCs w:val="24"/>
          <w:lang w:val="en-US"/>
        </w:rPr>
        <w:t>,</w:t>
      </w:r>
      <w:r w:rsidR="006F2D36" w:rsidRPr="00EF7CE5">
        <w:rPr>
          <w:rFonts w:ascii="Arial" w:hAnsi="Arial" w:cs="Arial"/>
          <w:sz w:val="24"/>
          <w:szCs w:val="24"/>
          <w:lang w:val="en-US"/>
        </w:rPr>
        <w:t xml:space="preserve"> with Bushman Sands</w:t>
      </w:r>
      <w:r w:rsidR="00A25DA5" w:rsidRPr="00EF7CE5">
        <w:rPr>
          <w:rFonts w:ascii="Arial" w:hAnsi="Arial" w:cs="Arial"/>
          <w:sz w:val="24"/>
          <w:szCs w:val="24"/>
          <w:lang w:val="en-US"/>
        </w:rPr>
        <w:t>,</w:t>
      </w:r>
      <w:r w:rsidR="006F2D36" w:rsidRPr="00EF7CE5">
        <w:rPr>
          <w:rFonts w:ascii="Arial" w:hAnsi="Arial" w:cs="Arial"/>
          <w:sz w:val="24"/>
          <w:szCs w:val="24"/>
          <w:lang w:val="en-US"/>
        </w:rPr>
        <w:t xml:space="preserve"> to ECDC.</w:t>
      </w:r>
    </w:p>
    <w:p w14:paraId="1AE896AE" w14:textId="77777777" w:rsidR="002860CE" w:rsidRDefault="002860CE" w:rsidP="002860CE">
      <w:pPr>
        <w:pStyle w:val="ListParagraph"/>
        <w:tabs>
          <w:tab w:val="left" w:pos="567"/>
        </w:tabs>
        <w:spacing w:after="0" w:line="360" w:lineRule="auto"/>
        <w:ind w:left="0"/>
        <w:jc w:val="both"/>
        <w:rPr>
          <w:rFonts w:ascii="Arial" w:hAnsi="Arial" w:cs="Arial"/>
          <w:sz w:val="24"/>
          <w:szCs w:val="24"/>
          <w:lang w:val="en-US"/>
        </w:rPr>
      </w:pPr>
    </w:p>
    <w:p w14:paraId="4A2C0FFF" w14:textId="5B4AD729" w:rsidR="006F2D36" w:rsidRPr="00EF7CE5" w:rsidRDefault="00EF7CE5" w:rsidP="00EF7CE5">
      <w:pPr>
        <w:tabs>
          <w:tab w:val="left" w:pos="567"/>
        </w:tabs>
        <w:spacing w:after="0" w:line="360" w:lineRule="auto"/>
        <w:jc w:val="both"/>
        <w:rPr>
          <w:rFonts w:ascii="Arial" w:hAnsi="Arial" w:cs="Arial"/>
          <w:sz w:val="24"/>
          <w:szCs w:val="24"/>
          <w:lang w:val="en-US"/>
        </w:rPr>
      </w:pPr>
      <w:r w:rsidRPr="000722D6">
        <w:rPr>
          <w:rFonts w:ascii="Arial" w:hAnsi="Arial" w:cs="Arial"/>
          <w:sz w:val="24"/>
          <w:szCs w:val="24"/>
          <w:lang w:val="en-US"/>
        </w:rPr>
        <w:t>[4]</w:t>
      </w:r>
      <w:r w:rsidRPr="000722D6">
        <w:rPr>
          <w:rFonts w:ascii="Arial" w:hAnsi="Arial" w:cs="Arial"/>
          <w:sz w:val="24"/>
          <w:szCs w:val="24"/>
          <w:lang w:val="en-US"/>
        </w:rPr>
        <w:tab/>
      </w:r>
      <w:r w:rsidR="006F2D36" w:rsidRPr="00EF7CE5">
        <w:rPr>
          <w:rFonts w:ascii="Arial" w:hAnsi="Arial" w:cs="Arial"/>
          <w:sz w:val="24"/>
          <w:szCs w:val="24"/>
          <w:lang w:val="en-US"/>
        </w:rPr>
        <w:t>As a result of the failure of Bushman Sands to repay the loan to ECDC,</w:t>
      </w:r>
      <w:r w:rsidR="009B6E18" w:rsidRPr="00EF7CE5">
        <w:rPr>
          <w:rFonts w:ascii="Arial" w:hAnsi="Arial" w:cs="Arial"/>
          <w:sz w:val="24"/>
          <w:szCs w:val="24"/>
          <w:lang w:val="en-US"/>
        </w:rPr>
        <w:t xml:space="preserve"> the latter</w:t>
      </w:r>
      <w:r w:rsidR="00A25DA5" w:rsidRPr="00EF7CE5">
        <w:rPr>
          <w:rFonts w:ascii="Arial" w:hAnsi="Arial" w:cs="Arial"/>
          <w:sz w:val="24"/>
          <w:szCs w:val="24"/>
          <w:lang w:val="en-US"/>
        </w:rPr>
        <w:t xml:space="preserve"> </w:t>
      </w:r>
      <w:r w:rsidR="006F2D36" w:rsidRPr="00EF7CE5">
        <w:rPr>
          <w:rFonts w:ascii="Arial" w:hAnsi="Arial" w:cs="Arial"/>
          <w:sz w:val="24"/>
          <w:szCs w:val="24"/>
          <w:lang w:val="en-US"/>
        </w:rPr>
        <w:t xml:space="preserve">instituted an action in the Eastern Cape Division of the High Court, </w:t>
      </w:r>
      <w:r w:rsidR="007C3E42" w:rsidRPr="00EF7CE5">
        <w:rPr>
          <w:rFonts w:ascii="Arial" w:hAnsi="Arial" w:cs="Arial"/>
          <w:sz w:val="24"/>
          <w:szCs w:val="24"/>
          <w:lang w:val="en-US"/>
        </w:rPr>
        <w:t xml:space="preserve">Gqeberha </w:t>
      </w:r>
      <w:r w:rsidR="00A25DA5" w:rsidRPr="00EF7CE5">
        <w:rPr>
          <w:rFonts w:ascii="Arial" w:hAnsi="Arial" w:cs="Arial"/>
          <w:sz w:val="24"/>
          <w:szCs w:val="24"/>
          <w:lang w:val="en-US"/>
        </w:rPr>
        <w:t>(</w:t>
      </w:r>
      <w:r w:rsidR="00181E25" w:rsidRPr="00EF7CE5">
        <w:rPr>
          <w:rFonts w:ascii="Arial" w:hAnsi="Arial" w:cs="Arial"/>
          <w:sz w:val="24"/>
          <w:szCs w:val="24"/>
          <w:lang w:val="en-US"/>
        </w:rPr>
        <w:t xml:space="preserve">Gqeberha </w:t>
      </w:r>
      <w:r w:rsidR="007C3E42" w:rsidRPr="00EF7CE5">
        <w:rPr>
          <w:rFonts w:ascii="Arial" w:hAnsi="Arial" w:cs="Arial"/>
          <w:sz w:val="24"/>
          <w:szCs w:val="24"/>
          <w:lang w:val="en-US"/>
        </w:rPr>
        <w:t>high court</w:t>
      </w:r>
      <w:r w:rsidR="006F2D36" w:rsidRPr="00EF7CE5">
        <w:rPr>
          <w:rFonts w:ascii="Arial" w:hAnsi="Arial" w:cs="Arial"/>
          <w:sz w:val="24"/>
          <w:szCs w:val="24"/>
          <w:lang w:val="en-US"/>
        </w:rPr>
        <w:t>)</w:t>
      </w:r>
      <w:r w:rsidR="006F2D36">
        <w:rPr>
          <w:rStyle w:val="FootnoteReference"/>
          <w:rFonts w:ascii="Arial" w:hAnsi="Arial" w:cs="Arial"/>
          <w:sz w:val="24"/>
          <w:szCs w:val="24"/>
          <w:lang w:val="en-US"/>
        </w:rPr>
        <w:footnoteReference w:id="3"/>
      </w:r>
      <w:r w:rsidR="006F2D36" w:rsidRPr="00EF7CE5">
        <w:rPr>
          <w:rFonts w:ascii="Arial" w:hAnsi="Arial" w:cs="Arial"/>
          <w:sz w:val="24"/>
          <w:szCs w:val="24"/>
          <w:lang w:val="en-US"/>
        </w:rPr>
        <w:t xml:space="preserve"> </w:t>
      </w:r>
      <w:r w:rsidR="00105294" w:rsidRPr="00EF7CE5">
        <w:rPr>
          <w:rFonts w:ascii="Arial" w:hAnsi="Arial" w:cs="Arial"/>
          <w:sz w:val="24"/>
          <w:szCs w:val="24"/>
          <w:lang w:val="en-US"/>
        </w:rPr>
        <w:t xml:space="preserve">against </w:t>
      </w:r>
      <w:r w:rsidR="00181E25" w:rsidRPr="00EF7CE5">
        <w:rPr>
          <w:rFonts w:ascii="Arial" w:hAnsi="Arial" w:cs="Arial"/>
          <w:sz w:val="24"/>
          <w:szCs w:val="24"/>
          <w:lang w:val="en-US"/>
        </w:rPr>
        <w:t xml:space="preserve">Watt Street </w:t>
      </w:r>
      <w:r w:rsidR="007C3E42" w:rsidRPr="00EF7CE5">
        <w:rPr>
          <w:rFonts w:ascii="Arial" w:hAnsi="Arial" w:cs="Arial"/>
          <w:sz w:val="24"/>
          <w:szCs w:val="24"/>
          <w:lang w:val="en-US"/>
        </w:rPr>
        <w:t xml:space="preserve">and Bushman Sands </w:t>
      </w:r>
      <w:r w:rsidR="006F2D36" w:rsidRPr="00EF7CE5">
        <w:rPr>
          <w:rFonts w:ascii="Arial" w:hAnsi="Arial" w:cs="Arial"/>
          <w:sz w:val="24"/>
          <w:szCs w:val="24"/>
          <w:lang w:val="en-US"/>
        </w:rPr>
        <w:t>for</w:t>
      </w:r>
      <w:r w:rsidR="007D585F" w:rsidRPr="00EF7CE5">
        <w:rPr>
          <w:rFonts w:ascii="Arial" w:hAnsi="Arial" w:cs="Arial"/>
          <w:sz w:val="24"/>
          <w:szCs w:val="24"/>
          <w:lang w:val="en-US"/>
        </w:rPr>
        <w:t>,</w:t>
      </w:r>
      <w:r w:rsidR="006F2D36" w:rsidRPr="00EF7CE5">
        <w:rPr>
          <w:rFonts w:ascii="Arial" w:hAnsi="Arial" w:cs="Arial"/>
          <w:sz w:val="24"/>
          <w:szCs w:val="24"/>
          <w:lang w:val="en-US"/>
        </w:rPr>
        <w:t xml:space="preserve"> </w:t>
      </w:r>
      <w:r w:rsidR="006F2D36" w:rsidRPr="00EF7CE5">
        <w:rPr>
          <w:rFonts w:ascii="Arial" w:hAnsi="Arial" w:cs="Arial"/>
          <w:i/>
          <w:sz w:val="24"/>
          <w:szCs w:val="24"/>
          <w:lang w:val="en-US"/>
        </w:rPr>
        <w:t>inter alia</w:t>
      </w:r>
      <w:r w:rsidR="00ED0375" w:rsidRPr="00EF7CE5">
        <w:rPr>
          <w:rFonts w:ascii="Arial" w:hAnsi="Arial" w:cs="Arial"/>
          <w:sz w:val="24"/>
          <w:szCs w:val="24"/>
          <w:lang w:val="en-US"/>
        </w:rPr>
        <w:t>,</w:t>
      </w:r>
      <w:r w:rsidR="006F2D36" w:rsidRPr="00EF7CE5">
        <w:rPr>
          <w:rFonts w:ascii="Arial" w:hAnsi="Arial" w:cs="Arial"/>
          <w:sz w:val="24"/>
          <w:szCs w:val="24"/>
          <w:lang w:val="en-US"/>
        </w:rPr>
        <w:t xml:space="preserve"> payment of the amount of </w:t>
      </w:r>
      <w:r w:rsidR="00C43E0A" w:rsidRPr="00EF7CE5">
        <w:rPr>
          <w:rFonts w:ascii="Arial" w:hAnsi="Arial" w:cs="Arial"/>
          <w:sz w:val="24"/>
          <w:szCs w:val="24"/>
          <w:lang w:val="en-US"/>
        </w:rPr>
        <w:t xml:space="preserve">about </w:t>
      </w:r>
      <w:r w:rsidR="006F2D36" w:rsidRPr="00EF7CE5">
        <w:rPr>
          <w:rFonts w:ascii="Arial" w:hAnsi="Arial" w:cs="Arial"/>
          <w:sz w:val="24"/>
          <w:szCs w:val="24"/>
          <w:lang w:val="en-US"/>
        </w:rPr>
        <w:t>R19</w:t>
      </w:r>
      <w:r w:rsidR="00C43E0A" w:rsidRPr="00EF7CE5">
        <w:rPr>
          <w:rFonts w:ascii="Arial" w:hAnsi="Arial" w:cs="Arial"/>
          <w:sz w:val="24"/>
          <w:szCs w:val="24"/>
          <w:lang w:val="en-US"/>
        </w:rPr>
        <w:t xml:space="preserve"> million</w:t>
      </w:r>
      <w:r w:rsidR="006F2D36" w:rsidRPr="00EF7CE5">
        <w:rPr>
          <w:rFonts w:ascii="Arial" w:hAnsi="Arial" w:cs="Arial"/>
          <w:sz w:val="24"/>
          <w:szCs w:val="24"/>
          <w:lang w:val="en-US"/>
        </w:rPr>
        <w:t xml:space="preserve"> (the ECDC action). </w:t>
      </w:r>
      <w:r w:rsidR="00181E25" w:rsidRPr="00EF7CE5">
        <w:rPr>
          <w:rFonts w:ascii="Arial" w:hAnsi="Arial" w:cs="Arial"/>
          <w:sz w:val="24"/>
          <w:szCs w:val="24"/>
          <w:lang w:val="en-US"/>
        </w:rPr>
        <w:t xml:space="preserve">Watt Street </w:t>
      </w:r>
      <w:r w:rsidR="006F2D36" w:rsidRPr="00EF7CE5">
        <w:rPr>
          <w:rFonts w:ascii="Arial" w:hAnsi="Arial" w:cs="Arial"/>
          <w:sz w:val="24"/>
          <w:szCs w:val="24"/>
          <w:lang w:val="en-US"/>
        </w:rPr>
        <w:t>defended the ECDC action.</w:t>
      </w:r>
    </w:p>
    <w:p w14:paraId="176E923D" w14:textId="77777777" w:rsidR="006F2D36" w:rsidRDefault="006F2D36" w:rsidP="006F2D36">
      <w:pPr>
        <w:pStyle w:val="ListParagraph"/>
        <w:tabs>
          <w:tab w:val="left" w:pos="567"/>
        </w:tabs>
        <w:spacing w:after="0" w:line="360" w:lineRule="auto"/>
        <w:ind w:left="0"/>
        <w:jc w:val="both"/>
        <w:rPr>
          <w:rFonts w:ascii="Arial" w:hAnsi="Arial" w:cs="Arial"/>
          <w:sz w:val="24"/>
          <w:szCs w:val="24"/>
          <w:lang w:val="en-US"/>
        </w:rPr>
      </w:pPr>
    </w:p>
    <w:p w14:paraId="60B7DFCB" w14:textId="67DB7A02"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6F2D36" w:rsidRPr="00EF7CE5">
        <w:rPr>
          <w:rFonts w:ascii="Arial" w:hAnsi="Arial" w:cs="Arial"/>
          <w:sz w:val="24"/>
          <w:szCs w:val="24"/>
          <w:lang w:val="en-US"/>
        </w:rPr>
        <w:t xml:space="preserve">Shortly before the commencement of the trial </w:t>
      </w:r>
      <w:r w:rsidR="00387F4E" w:rsidRPr="00EF7CE5">
        <w:rPr>
          <w:rFonts w:ascii="Arial" w:hAnsi="Arial" w:cs="Arial"/>
          <w:sz w:val="24"/>
          <w:szCs w:val="24"/>
          <w:lang w:val="en-US"/>
        </w:rPr>
        <w:t>in the</w:t>
      </w:r>
      <w:r w:rsidR="006F2D36" w:rsidRPr="00EF7CE5">
        <w:rPr>
          <w:rFonts w:ascii="Arial" w:hAnsi="Arial" w:cs="Arial"/>
          <w:sz w:val="24"/>
          <w:szCs w:val="24"/>
          <w:lang w:val="en-US"/>
        </w:rPr>
        <w:t xml:space="preserve"> ECDC action,</w:t>
      </w:r>
      <w:r w:rsidR="00AD7988" w:rsidRPr="00EF7CE5">
        <w:rPr>
          <w:rFonts w:ascii="Arial" w:hAnsi="Arial" w:cs="Arial"/>
          <w:sz w:val="24"/>
          <w:szCs w:val="24"/>
          <w:lang w:val="en-US"/>
        </w:rPr>
        <w:t xml:space="preserve"> </w:t>
      </w:r>
      <w:r w:rsidR="006F2D36" w:rsidRPr="00EF7CE5">
        <w:rPr>
          <w:rFonts w:ascii="Arial" w:hAnsi="Arial" w:cs="Arial"/>
          <w:sz w:val="24"/>
          <w:szCs w:val="24"/>
          <w:lang w:val="en-US"/>
        </w:rPr>
        <w:t>Mantis</w:t>
      </w:r>
      <w:r w:rsidR="007D585F" w:rsidRPr="00EF7CE5">
        <w:rPr>
          <w:rFonts w:ascii="Arial" w:hAnsi="Arial" w:cs="Arial"/>
          <w:sz w:val="24"/>
          <w:szCs w:val="24"/>
          <w:lang w:val="en-US"/>
        </w:rPr>
        <w:t>,</w:t>
      </w:r>
      <w:r w:rsidR="006F2D36" w:rsidRPr="00EF7CE5">
        <w:rPr>
          <w:rFonts w:ascii="Arial" w:hAnsi="Arial" w:cs="Arial"/>
          <w:sz w:val="24"/>
          <w:szCs w:val="24"/>
          <w:lang w:val="en-US"/>
        </w:rPr>
        <w:t xml:space="preserve"> represented by Mr Gardiner</w:t>
      </w:r>
      <w:r w:rsidR="00ED0375" w:rsidRPr="00EF7CE5">
        <w:rPr>
          <w:rFonts w:ascii="Arial" w:hAnsi="Arial" w:cs="Arial"/>
          <w:sz w:val="24"/>
          <w:szCs w:val="24"/>
          <w:lang w:val="en-US"/>
        </w:rPr>
        <w:t>,</w:t>
      </w:r>
      <w:r w:rsidR="006F2D36" w:rsidRPr="00EF7CE5">
        <w:rPr>
          <w:rFonts w:ascii="Arial" w:hAnsi="Arial" w:cs="Arial"/>
          <w:sz w:val="24"/>
          <w:szCs w:val="24"/>
          <w:lang w:val="en-US"/>
        </w:rPr>
        <w:t xml:space="preserve"> brought an application in the </w:t>
      </w:r>
      <w:r w:rsidR="00181E25" w:rsidRPr="00EF7CE5">
        <w:rPr>
          <w:rFonts w:ascii="Arial" w:hAnsi="Arial" w:cs="Arial"/>
          <w:sz w:val="24"/>
          <w:szCs w:val="24"/>
          <w:lang w:val="en-US"/>
        </w:rPr>
        <w:t xml:space="preserve">Gqeberha </w:t>
      </w:r>
      <w:r w:rsidR="006F2D36" w:rsidRPr="00EF7CE5">
        <w:rPr>
          <w:rFonts w:ascii="Arial" w:hAnsi="Arial" w:cs="Arial"/>
          <w:sz w:val="24"/>
          <w:szCs w:val="24"/>
          <w:lang w:val="en-US"/>
        </w:rPr>
        <w:t>high court</w:t>
      </w:r>
      <w:r w:rsidR="00ED0375" w:rsidRPr="00EF7CE5">
        <w:rPr>
          <w:rFonts w:ascii="Arial" w:hAnsi="Arial" w:cs="Arial"/>
          <w:sz w:val="24"/>
          <w:szCs w:val="24"/>
          <w:lang w:val="en-US"/>
        </w:rPr>
        <w:t>,</w:t>
      </w:r>
      <w:r w:rsidR="006F2D36">
        <w:rPr>
          <w:rStyle w:val="FootnoteReference"/>
          <w:rFonts w:ascii="Arial" w:hAnsi="Arial" w:cs="Arial"/>
          <w:sz w:val="24"/>
          <w:szCs w:val="24"/>
          <w:lang w:val="en-US"/>
        </w:rPr>
        <w:footnoteReference w:id="4"/>
      </w:r>
      <w:r w:rsidR="006F2D36" w:rsidRPr="00EF7CE5">
        <w:rPr>
          <w:rFonts w:ascii="Arial" w:hAnsi="Arial" w:cs="Arial"/>
          <w:sz w:val="24"/>
          <w:szCs w:val="24"/>
          <w:lang w:val="en-US"/>
        </w:rPr>
        <w:t xml:space="preserve"> for the liquidation of </w:t>
      </w:r>
      <w:r w:rsidR="00181E25" w:rsidRPr="00EF7CE5">
        <w:rPr>
          <w:rFonts w:ascii="Arial" w:hAnsi="Arial" w:cs="Arial"/>
          <w:sz w:val="24"/>
          <w:szCs w:val="24"/>
          <w:lang w:val="en-US"/>
        </w:rPr>
        <w:t>Watt Street</w:t>
      </w:r>
      <w:r w:rsidR="006F2D36" w:rsidRPr="00EF7CE5">
        <w:rPr>
          <w:rFonts w:ascii="Arial" w:hAnsi="Arial" w:cs="Arial"/>
          <w:sz w:val="24"/>
          <w:szCs w:val="24"/>
          <w:lang w:val="en-US"/>
        </w:rPr>
        <w:t>. Mantis contended, in th</w:t>
      </w:r>
      <w:r w:rsidR="00754C1B" w:rsidRPr="00EF7CE5">
        <w:rPr>
          <w:rFonts w:ascii="Arial" w:hAnsi="Arial" w:cs="Arial"/>
          <w:sz w:val="24"/>
          <w:szCs w:val="24"/>
          <w:lang w:val="en-US"/>
        </w:rPr>
        <w:t xml:space="preserve">is </w:t>
      </w:r>
      <w:r w:rsidR="006F2D36" w:rsidRPr="00EF7CE5">
        <w:rPr>
          <w:rFonts w:ascii="Arial" w:hAnsi="Arial" w:cs="Arial"/>
          <w:sz w:val="24"/>
          <w:szCs w:val="24"/>
          <w:lang w:val="en-US"/>
        </w:rPr>
        <w:t xml:space="preserve">application, that it was a creditor </w:t>
      </w:r>
      <w:r w:rsidR="007D585F" w:rsidRPr="00EF7CE5">
        <w:rPr>
          <w:rFonts w:ascii="Arial" w:hAnsi="Arial" w:cs="Arial"/>
          <w:sz w:val="24"/>
          <w:szCs w:val="24"/>
          <w:lang w:val="en-US"/>
        </w:rPr>
        <w:t>of</w:t>
      </w:r>
      <w:r w:rsidR="006F2D36" w:rsidRPr="00EF7CE5">
        <w:rPr>
          <w:rFonts w:ascii="Arial" w:hAnsi="Arial" w:cs="Arial"/>
          <w:sz w:val="24"/>
          <w:szCs w:val="24"/>
          <w:lang w:val="en-US"/>
        </w:rPr>
        <w:t xml:space="preserve"> </w:t>
      </w:r>
      <w:r w:rsidR="00181E25" w:rsidRPr="00EF7CE5">
        <w:rPr>
          <w:rFonts w:ascii="Arial" w:hAnsi="Arial" w:cs="Arial"/>
          <w:sz w:val="24"/>
          <w:szCs w:val="24"/>
          <w:lang w:val="en-US"/>
        </w:rPr>
        <w:t xml:space="preserve">Watt Street </w:t>
      </w:r>
      <w:r w:rsidR="006F2D36" w:rsidRPr="00EF7CE5">
        <w:rPr>
          <w:rFonts w:ascii="Arial" w:hAnsi="Arial" w:cs="Arial"/>
          <w:sz w:val="24"/>
          <w:szCs w:val="24"/>
          <w:lang w:val="en-US"/>
        </w:rPr>
        <w:t xml:space="preserve">for an amount of </w:t>
      </w:r>
      <w:r w:rsidR="00C43E0A" w:rsidRPr="00EF7CE5">
        <w:rPr>
          <w:rFonts w:ascii="Arial" w:hAnsi="Arial" w:cs="Arial"/>
          <w:sz w:val="24"/>
          <w:szCs w:val="24"/>
          <w:lang w:val="en-US"/>
        </w:rPr>
        <w:t xml:space="preserve">about </w:t>
      </w:r>
      <w:r w:rsidR="006F2D36" w:rsidRPr="00EF7CE5">
        <w:rPr>
          <w:rFonts w:ascii="Arial" w:hAnsi="Arial" w:cs="Arial"/>
          <w:sz w:val="24"/>
          <w:szCs w:val="24"/>
          <w:lang w:val="en-US"/>
        </w:rPr>
        <w:t>R2</w:t>
      </w:r>
      <w:r w:rsidR="00C43E0A" w:rsidRPr="00EF7CE5">
        <w:rPr>
          <w:rFonts w:ascii="Arial" w:hAnsi="Arial" w:cs="Arial"/>
          <w:sz w:val="24"/>
          <w:szCs w:val="24"/>
          <w:lang w:val="en-US"/>
        </w:rPr>
        <w:t>.5 million</w:t>
      </w:r>
      <w:r w:rsidR="006F2D36" w:rsidRPr="00EF7CE5">
        <w:rPr>
          <w:rFonts w:ascii="Arial" w:hAnsi="Arial" w:cs="Arial"/>
          <w:sz w:val="24"/>
          <w:szCs w:val="24"/>
          <w:lang w:val="en-US"/>
        </w:rPr>
        <w:t xml:space="preserve"> arising from certain unsecured and interest free loans </w:t>
      </w:r>
      <w:r w:rsidR="00072E15" w:rsidRPr="00EF7CE5">
        <w:rPr>
          <w:rFonts w:ascii="Arial" w:hAnsi="Arial" w:cs="Arial"/>
          <w:sz w:val="24"/>
          <w:szCs w:val="24"/>
          <w:lang w:val="en-US"/>
        </w:rPr>
        <w:t xml:space="preserve">advanced </w:t>
      </w:r>
      <w:r w:rsidR="006F2D36" w:rsidRPr="00EF7CE5">
        <w:rPr>
          <w:rFonts w:ascii="Arial" w:hAnsi="Arial" w:cs="Arial"/>
          <w:sz w:val="24"/>
          <w:szCs w:val="24"/>
          <w:lang w:val="en-US"/>
        </w:rPr>
        <w:t xml:space="preserve">to </w:t>
      </w:r>
      <w:r w:rsidR="00181E25" w:rsidRPr="00EF7CE5">
        <w:rPr>
          <w:rFonts w:ascii="Arial" w:hAnsi="Arial" w:cs="Arial"/>
          <w:sz w:val="24"/>
          <w:szCs w:val="24"/>
          <w:lang w:val="en-US"/>
        </w:rPr>
        <w:t>Watt Street</w:t>
      </w:r>
      <w:r w:rsidR="006F2D36" w:rsidRPr="00EF7CE5">
        <w:rPr>
          <w:rFonts w:ascii="Arial" w:hAnsi="Arial" w:cs="Arial"/>
          <w:sz w:val="24"/>
          <w:szCs w:val="24"/>
          <w:lang w:val="en-US"/>
        </w:rPr>
        <w:t xml:space="preserve">, without specified repayment terms. In November 2014, the Gqeberha </w:t>
      </w:r>
      <w:r w:rsidR="001A6095" w:rsidRPr="00EF7CE5">
        <w:rPr>
          <w:rFonts w:ascii="Arial" w:hAnsi="Arial" w:cs="Arial"/>
          <w:sz w:val="24"/>
          <w:szCs w:val="24"/>
          <w:lang w:val="en-US"/>
        </w:rPr>
        <w:t>h</w:t>
      </w:r>
      <w:r w:rsidR="00105294" w:rsidRPr="00EF7CE5">
        <w:rPr>
          <w:rFonts w:ascii="Arial" w:hAnsi="Arial" w:cs="Arial"/>
          <w:sz w:val="24"/>
          <w:szCs w:val="24"/>
          <w:lang w:val="en-US"/>
        </w:rPr>
        <w:t xml:space="preserve">igh </w:t>
      </w:r>
      <w:r w:rsidR="001A6095" w:rsidRPr="00EF7CE5">
        <w:rPr>
          <w:rFonts w:ascii="Arial" w:hAnsi="Arial" w:cs="Arial"/>
          <w:sz w:val="24"/>
          <w:szCs w:val="24"/>
          <w:lang w:val="en-US"/>
        </w:rPr>
        <w:t>c</w:t>
      </w:r>
      <w:r w:rsidR="00105294" w:rsidRPr="00EF7CE5">
        <w:rPr>
          <w:rFonts w:ascii="Arial" w:hAnsi="Arial" w:cs="Arial"/>
          <w:sz w:val="24"/>
          <w:szCs w:val="24"/>
          <w:lang w:val="en-US"/>
        </w:rPr>
        <w:t xml:space="preserve">ourt </w:t>
      </w:r>
      <w:r w:rsidR="00181E25" w:rsidRPr="00EF7CE5">
        <w:rPr>
          <w:rFonts w:ascii="Arial" w:hAnsi="Arial" w:cs="Arial"/>
          <w:sz w:val="24"/>
          <w:szCs w:val="24"/>
          <w:lang w:val="en-US"/>
        </w:rPr>
        <w:t xml:space="preserve">placed Watt Street in </w:t>
      </w:r>
      <w:r w:rsidR="006F2D36" w:rsidRPr="00EF7CE5">
        <w:rPr>
          <w:rFonts w:ascii="Arial" w:hAnsi="Arial" w:cs="Arial"/>
          <w:sz w:val="24"/>
          <w:szCs w:val="24"/>
          <w:lang w:val="en-US"/>
        </w:rPr>
        <w:t>final winding-up</w:t>
      </w:r>
      <w:r w:rsidR="00181E25" w:rsidRPr="00EF7CE5">
        <w:rPr>
          <w:rFonts w:ascii="Arial" w:hAnsi="Arial" w:cs="Arial"/>
          <w:sz w:val="24"/>
          <w:szCs w:val="24"/>
          <w:lang w:val="en-US"/>
        </w:rPr>
        <w:t>.</w:t>
      </w:r>
    </w:p>
    <w:p w14:paraId="61133C53" w14:textId="77777777" w:rsidR="005D14F7" w:rsidRPr="00D30D6A" w:rsidRDefault="005D14F7" w:rsidP="005D14F7">
      <w:pPr>
        <w:pStyle w:val="ListParagraph"/>
        <w:tabs>
          <w:tab w:val="left" w:pos="567"/>
        </w:tabs>
        <w:spacing w:after="0" w:line="360" w:lineRule="auto"/>
        <w:ind w:left="0"/>
        <w:jc w:val="both"/>
        <w:rPr>
          <w:rFonts w:ascii="Arial" w:hAnsi="Arial" w:cs="Arial"/>
          <w:sz w:val="24"/>
          <w:szCs w:val="24"/>
          <w:lang w:val="en-US"/>
        </w:rPr>
      </w:pPr>
    </w:p>
    <w:p w14:paraId="4154D4EE" w14:textId="2F90A4C4" w:rsidR="006F2D36" w:rsidRPr="00EF7CE5" w:rsidRDefault="00EF7CE5" w:rsidP="00EF7CE5">
      <w:pPr>
        <w:tabs>
          <w:tab w:val="left" w:pos="567"/>
        </w:tabs>
        <w:spacing w:after="0" w:line="360" w:lineRule="auto"/>
        <w:jc w:val="both"/>
        <w:rPr>
          <w:rFonts w:ascii="Arial" w:hAnsi="Arial" w:cs="Arial"/>
          <w:sz w:val="24"/>
          <w:szCs w:val="24"/>
          <w:lang w:val="en-US"/>
        </w:rPr>
      </w:pPr>
      <w:r w:rsidRPr="00F4548F">
        <w:rPr>
          <w:rFonts w:ascii="Arial" w:hAnsi="Arial" w:cs="Arial"/>
          <w:sz w:val="24"/>
          <w:szCs w:val="24"/>
          <w:lang w:val="en-US"/>
        </w:rPr>
        <w:t>[6]</w:t>
      </w:r>
      <w:r w:rsidRPr="00F4548F">
        <w:rPr>
          <w:rFonts w:ascii="Arial" w:hAnsi="Arial" w:cs="Arial"/>
          <w:sz w:val="24"/>
          <w:szCs w:val="24"/>
          <w:lang w:val="en-US"/>
        </w:rPr>
        <w:tab/>
      </w:r>
      <w:r w:rsidR="006F2D36" w:rsidRPr="00EF7CE5">
        <w:rPr>
          <w:rFonts w:ascii="Arial" w:hAnsi="Arial" w:cs="Arial"/>
          <w:sz w:val="24"/>
          <w:szCs w:val="24"/>
          <w:lang w:val="en-US"/>
        </w:rPr>
        <w:t>ECDC and Mantis proved claims against</w:t>
      </w:r>
      <w:r w:rsidR="00181E25" w:rsidRPr="00EF7CE5">
        <w:rPr>
          <w:rFonts w:ascii="Arial" w:hAnsi="Arial" w:cs="Arial"/>
          <w:sz w:val="24"/>
          <w:szCs w:val="24"/>
          <w:lang w:val="en-US"/>
        </w:rPr>
        <w:t xml:space="preserve"> Watt Street </w:t>
      </w:r>
      <w:r w:rsidR="006F2D36" w:rsidRPr="00EF7CE5">
        <w:rPr>
          <w:rFonts w:ascii="Arial" w:hAnsi="Arial" w:cs="Arial"/>
          <w:sz w:val="24"/>
          <w:szCs w:val="24"/>
          <w:lang w:val="en-US"/>
        </w:rPr>
        <w:t>in terms of s 44</w:t>
      </w:r>
      <w:r w:rsidR="00937A82">
        <w:rPr>
          <w:rStyle w:val="FootnoteReference"/>
          <w:rFonts w:ascii="Arial" w:hAnsi="Arial" w:cs="Arial"/>
          <w:sz w:val="24"/>
          <w:szCs w:val="24"/>
          <w:lang w:val="en-US"/>
        </w:rPr>
        <w:footnoteReference w:id="5"/>
      </w:r>
      <w:r w:rsidR="006F2D36" w:rsidRPr="00EF7CE5">
        <w:rPr>
          <w:rFonts w:ascii="Arial" w:hAnsi="Arial" w:cs="Arial"/>
          <w:sz w:val="24"/>
          <w:szCs w:val="24"/>
          <w:lang w:val="en-US"/>
        </w:rPr>
        <w:t xml:space="preserve"> of the Insolvency Act</w:t>
      </w:r>
      <w:r w:rsidR="00B06585" w:rsidRPr="00EF7CE5">
        <w:rPr>
          <w:rFonts w:ascii="Arial" w:hAnsi="Arial" w:cs="Arial"/>
          <w:sz w:val="24"/>
          <w:szCs w:val="24"/>
          <w:lang w:val="en-US"/>
        </w:rPr>
        <w:t xml:space="preserve"> </w:t>
      </w:r>
      <w:r w:rsidR="00C94810" w:rsidRPr="00EF7CE5">
        <w:rPr>
          <w:rFonts w:ascii="Arial" w:hAnsi="Arial" w:cs="Arial"/>
          <w:sz w:val="24"/>
          <w:szCs w:val="24"/>
          <w:lang w:val="en-US"/>
        </w:rPr>
        <w:t xml:space="preserve">24 of 1936 </w:t>
      </w:r>
      <w:r w:rsidR="00B06585" w:rsidRPr="00EF7CE5">
        <w:rPr>
          <w:rFonts w:ascii="Arial" w:hAnsi="Arial" w:cs="Arial"/>
          <w:sz w:val="24"/>
          <w:szCs w:val="24"/>
          <w:lang w:val="en-US"/>
        </w:rPr>
        <w:t>(the Act)</w:t>
      </w:r>
      <w:r w:rsidR="006F2D36" w:rsidRPr="00EF7CE5">
        <w:rPr>
          <w:rFonts w:ascii="Arial" w:hAnsi="Arial" w:cs="Arial"/>
          <w:sz w:val="24"/>
          <w:szCs w:val="24"/>
          <w:lang w:val="en-US"/>
        </w:rPr>
        <w:t>.</w:t>
      </w:r>
      <w:r w:rsidR="0074659E" w:rsidRPr="00EF7CE5" w:rsidDel="0074659E">
        <w:rPr>
          <w:rStyle w:val="FootnoteReference"/>
          <w:rFonts w:ascii="Arial" w:hAnsi="Arial" w:cs="Arial"/>
          <w:sz w:val="24"/>
          <w:szCs w:val="24"/>
          <w:lang w:val="en-US"/>
        </w:rPr>
        <w:t xml:space="preserve"> </w:t>
      </w:r>
      <w:r w:rsidR="006F2D36" w:rsidRPr="00EF7CE5">
        <w:rPr>
          <w:rFonts w:ascii="Arial" w:hAnsi="Arial" w:cs="Arial"/>
          <w:sz w:val="24"/>
          <w:szCs w:val="24"/>
          <w:lang w:val="en-US"/>
        </w:rPr>
        <w:t xml:space="preserve"> Despite Mantis disputing the claim of ECDC, it </w:t>
      </w:r>
      <w:r w:rsidR="006F2D36" w:rsidRPr="00EF7CE5">
        <w:rPr>
          <w:rFonts w:ascii="Arial" w:hAnsi="Arial" w:cs="Arial"/>
          <w:sz w:val="24"/>
          <w:szCs w:val="24"/>
          <w:lang w:val="en-US"/>
        </w:rPr>
        <w:lastRenderedPageBreak/>
        <w:t xml:space="preserve">was proved and accepted by the Master of the </w:t>
      </w:r>
      <w:r w:rsidR="0074659E" w:rsidRPr="00EF7CE5">
        <w:rPr>
          <w:rFonts w:ascii="Arial" w:hAnsi="Arial" w:cs="Arial"/>
          <w:sz w:val="24"/>
          <w:szCs w:val="24"/>
          <w:lang w:val="en-US"/>
        </w:rPr>
        <w:t xml:space="preserve">Gqeberha </w:t>
      </w:r>
      <w:r w:rsidR="00F0509E" w:rsidRPr="00EF7CE5">
        <w:rPr>
          <w:rFonts w:ascii="Arial" w:hAnsi="Arial" w:cs="Arial"/>
          <w:sz w:val="24"/>
          <w:szCs w:val="24"/>
          <w:lang w:val="en-US"/>
        </w:rPr>
        <w:t>h</w:t>
      </w:r>
      <w:r w:rsidR="006F2D36" w:rsidRPr="00EF7CE5">
        <w:rPr>
          <w:rFonts w:ascii="Arial" w:hAnsi="Arial" w:cs="Arial"/>
          <w:sz w:val="24"/>
          <w:szCs w:val="24"/>
          <w:lang w:val="en-US"/>
        </w:rPr>
        <w:t xml:space="preserve">igh </w:t>
      </w:r>
      <w:r w:rsidR="00F0509E" w:rsidRPr="00EF7CE5">
        <w:rPr>
          <w:rFonts w:ascii="Arial" w:hAnsi="Arial" w:cs="Arial"/>
          <w:sz w:val="24"/>
          <w:szCs w:val="24"/>
          <w:lang w:val="en-US"/>
        </w:rPr>
        <w:t>c</w:t>
      </w:r>
      <w:r w:rsidR="006F2D36" w:rsidRPr="00EF7CE5">
        <w:rPr>
          <w:rFonts w:ascii="Arial" w:hAnsi="Arial" w:cs="Arial"/>
          <w:sz w:val="24"/>
          <w:szCs w:val="24"/>
          <w:lang w:val="en-US"/>
        </w:rPr>
        <w:t>ourt (the Master). Mantis’ claim was also accepted by the Master.</w:t>
      </w:r>
    </w:p>
    <w:p w14:paraId="6E7976FD" w14:textId="77777777" w:rsidR="006F2D36" w:rsidRDefault="006F2D36" w:rsidP="006F2D36">
      <w:pPr>
        <w:pStyle w:val="ListParagraph"/>
        <w:tabs>
          <w:tab w:val="left" w:pos="567"/>
        </w:tabs>
        <w:spacing w:after="0" w:line="360" w:lineRule="auto"/>
        <w:ind w:left="0"/>
        <w:jc w:val="both"/>
        <w:rPr>
          <w:rFonts w:ascii="Arial" w:hAnsi="Arial" w:cs="Arial"/>
          <w:sz w:val="24"/>
          <w:szCs w:val="24"/>
          <w:lang w:val="en-US"/>
        </w:rPr>
      </w:pPr>
    </w:p>
    <w:p w14:paraId="44D6C185" w14:textId="7850C588" w:rsidR="006F2D36" w:rsidRPr="00EF7CE5" w:rsidRDefault="00EF7CE5" w:rsidP="00EF7CE5">
      <w:pPr>
        <w:tabs>
          <w:tab w:val="left" w:pos="567"/>
        </w:tabs>
        <w:spacing w:after="0" w:line="360" w:lineRule="auto"/>
        <w:jc w:val="both"/>
        <w:rPr>
          <w:rFonts w:ascii="Arial" w:hAnsi="Arial" w:cs="Arial"/>
          <w:sz w:val="24"/>
          <w:szCs w:val="24"/>
          <w:lang w:val="en-US"/>
        </w:rPr>
      </w:pPr>
      <w:r w:rsidRPr="00670103">
        <w:rPr>
          <w:rFonts w:ascii="Arial" w:hAnsi="Arial" w:cs="Arial"/>
          <w:sz w:val="24"/>
          <w:szCs w:val="24"/>
          <w:lang w:val="en-US"/>
        </w:rPr>
        <w:t>[7]</w:t>
      </w:r>
      <w:r w:rsidRPr="00670103">
        <w:rPr>
          <w:rFonts w:ascii="Arial" w:hAnsi="Arial" w:cs="Arial"/>
          <w:sz w:val="24"/>
          <w:szCs w:val="24"/>
          <w:lang w:val="en-US"/>
        </w:rPr>
        <w:tab/>
      </w:r>
      <w:r w:rsidR="006F2D36" w:rsidRPr="00EF7CE5">
        <w:rPr>
          <w:rFonts w:ascii="Arial" w:hAnsi="Arial" w:cs="Arial"/>
          <w:sz w:val="24"/>
          <w:szCs w:val="24"/>
          <w:lang w:val="en-US"/>
        </w:rPr>
        <w:t xml:space="preserve">The </w:t>
      </w:r>
      <w:r w:rsidR="00AD7988" w:rsidRPr="00EF7CE5">
        <w:rPr>
          <w:rFonts w:ascii="Arial" w:hAnsi="Arial" w:cs="Arial"/>
          <w:sz w:val="24"/>
          <w:szCs w:val="24"/>
          <w:lang w:val="en-US"/>
        </w:rPr>
        <w:t>liquidators’</w:t>
      </w:r>
      <w:r w:rsidR="006F2D36" w:rsidRPr="00EF7CE5">
        <w:rPr>
          <w:rFonts w:ascii="Arial" w:hAnsi="Arial" w:cs="Arial"/>
          <w:sz w:val="24"/>
          <w:szCs w:val="24"/>
          <w:lang w:val="en-US"/>
        </w:rPr>
        <w:t xml:space="preserve"> cause of action </w:t>
      </w:r>
      <w:r w:rsidR="006D4FF5" w:rsidRPr="00EF7CE5">
        <w:rPr>
          <w:rFonts w:ascii="Arial" w:hAnsi="Arial" w:cs="Arial"/>
          <w:sz w:val="24"/>
          <w:szCs w:val="24"/>
          <w:lang w:val="en-US"/>
        </w:rPr>
        <w:t xml:space="preserve">to set aside </w:t>
      </w:r>
      <w:r w:rsidR="00C620CA" w:rsidRPr="00EF7CE5">
        <w:rPr>
          <w:rFonts w:ascii="Arial" w:hAnsi="Arial" w:cs="Arial"/>
          <w:sz w:val="24"/>
          <w:szCs w:val="24"/>
          <w:lang w:val="en-US"/>
        </w:rPr>
        <w:t xml:space="preserve">what it describes as </w:t>
      </w:r>
      <w:r w:rsidR="006D4FF5" w:rsidRPr="00EF7CE5">
        <w:rPr>
          <w:rFonts w:ascii="Arial" w:hAnsi="Arial" w:cs="Arial"/>
          <w:sz w:val="24"/>
          <w:szCs w:val="24"/>
          <w:lang w:val="en-US"/>
        </w:rPr>
        <w:t xml:space="preserve">a </w:t>
      </w:r>
      <w:r w:rsidR="006F2D36" w:rsidRPr="00EF7CE5">
        <w:rPr>
          <w:rFonts w:ascii="Arial" w:hAnsi="Arial" w:cs="Arial"/>
          <w:sz w:val="24"/>
          <w:szCs w:val="24"/>
          <w:lang w:val="en-US"/>
        </w:rPr>
        <w:t>collusive disposition is premised on s 31 of the Act.</w:t>
      </w:r>
      <w:r w:rsidR="00937A82" w:rsidRPr="00753E0A">
        <w:rPr>
          <w:rStyle w:val="FootnoteReference"/>
          <w:rFonts w:ascii="Arial" w:hAnsi="Arial" w:cs="Arial"/>
          <w:sz w:val="24"/>
          <w:szCs w:val="24"/>
          <w:lang w:val="en-US"/>
        </w:rPr>
        <w:footnoteReference w:id="6"/>
      </w:r>
      <w:r w:rsidR="006F2D36" w:rsidRPr="00EF7CE5">
        <w:rPr>
          <w:rFonts w:ascii="Arial" w:hAnsi="Arial" w:cs="Arial"/>
          <w:sz w:val="24"/>
          <w:szCs w:val="24"/>
          <w:lang w:val="en-US"/>
        </w:rPr>
        <w:t xml:space="preserve"> The liquidators pleaded</w:t>
      </w:r>
      <w:r w:rsidR="00E65FBC" w:rsidRPr="00EF7CE5">
        <w:rPr>
          <w:rFonts w:ascii="Arial" w:hAnsi="Arial" w:cs="Arial"/>
          <w:sz w:val="24"/>
          <w:szCs w:val="24"/>
          <w:lang w:val="en-US"/>
        </w:rPr>
        <w:t>,</w:t>
      </w:r>
      <w:r w:rsidR="006F2D36" w:rsidRPr="00EF7CE5">
        <w:rPr>
          <w:rFonts w:ascii="Arial" w:hAnsi="Arial" w:cs="Arial"/>
          <w:sz w:val="24"/>
          <w:szCs w:val="24"/>
          <w:lang w:val="en-US"/>
        </w:rPr>
        <w:t xml:space="preserve"> </w:t>
      </w:r>
      <w:r w:rsidR="006F2D36" w:rsidRPr="00EF7CE5">
        <w:rPr>
          <w:rFonts w:ascii="Arial" w:hAnsi="Arial" w:cs="Arial"/>
          <w:i/>
          <w:iCs/>
          <w:sz w:val="24"/>
          <w:szCs w:val="24"/>
          <w:lang w:val="en-US"/>
        </w:rPr>
        <w:t>inter alia</w:t>
      </w:r>
      <w:r w:rsidR="00E65FBC" w:rsidRPr="00EF7CE5">
        <w:rPr>
          <w:rFonts w:ascii="Arial" w:hAnsi="Arial" w:cs="Arial"/>
          <w:sz w:val="24"/>
          <w:szCs w:val="24"/>
          <w:lang w:val="en-US"/>
        </w:rPr>
        <w:t>,</w:t>
      </w:r>
      <w:r w:rsidR="006F2D36" w:rsidRPr="00EF7CE5">
        <w:rPr>
          <w:rFonts w:ascii="Arial" w:hAnsi="Arial" w:cs="Arial"/>
          <w:sz w:val="24"/>
          <w:szCs w:val="24"/>
          <w:lang w:val="en-US"/>
        </w:rPr>
        <w:t xml:space="preserve"> as follows in the particulars of claim: </w:t>
      </w:r>
    </w:p>
    <w:p w14:paraId="7DCADDA9" w14:textId="31ACDD4B" w:rsidR="006F2D36" w:rsidRPr="00085D08" w:rsidRDefault="00CB17AB" w:rsidP="006F2D36">
      <w:pPr>
        <w:pStyle w:val="ListParagraph"/>
        <w:tabs>
          <w:tab w:val="left" w:pos="567"/>
        </w:tabs>
        <w:spacing w:after="0" w:line="360" w:lineRule="auto"/>
        <w:ind w:left="0"/>
        <w:jc w:val="both"/>
        <w:rPr>
          <w:rFonts w:ascii="Arial" w:hAnsi="Arial" w:cs="Arial"/>
          <w:lang w:val="en-US"/>
        </w:rPr>
      </w:pPr>
      <w:r>
        <w:rPr>
          <w:rFonts w:ascii="Arial" w:hAnsi="Arial" w:cs="Arial"/>
          <w:lang w:val="en-US"/>
        </w:rPr>
        <w:lastRenderedPageBreak/>
        <w:t>‘</w:t>
      </w:r>
      <w:r w:rsidR="006F2D36" w:rsidRPr="00085D08">
        <w:rPr>
          <w:rFonts w:ascii="Arial" w:hAnsi="Arial" w:cs="Arial"/>
          <w:lang w:val="en-US"/>
        </w:rPr>
        <w:t xml:space="preserve">(a) The appellants had embarked upon a restructuring of </w:t>
      </w:r>
      <w:r w:rsidR="00105294">
        <w:rPr>
          <w:rFonts w:ascii="Arial" w:hAnsi="Arial" w:cs="Arial"/>
          <w:lang w:val="en-US"/>
        </w:rPr>
        <w:t xml:space="preserve">Watt Street </w:t>
      </w:r>
      <w:r w:rsidR="006F2D36" w:rsidRPr="00085D08">
        <w:rPr>
          <w:rFonts w:ascii="Arial" w:hAnsi="Arial" w:cs="Arial"/>
          <w:lang w:val="en-US"/>
        </w:rPr>
        <w:t>which resulted in the disposal and transfer of its assets, and a declaration and payment of a dividend in an amount</w:t>
      </w:r>
      <w:r w:rsidR="006D4FF5">
        <w:rPr>
          <w:rFonts w:ascii="Arial" w:hAnsi="Arial" w:cs="Arial"/>
          <w:lang w:val="en-US"/>
        </w:rPr>
        <w:t xml:space="preserve"> exceeding </w:t>
      </w:r>
      <w:r w:rsidR="006F2D36" w:rsidRPr="00085D08">
        <w:rPr>
          <w:rFonts w:ascii="Arial" w:hAnsi="Arial" w:cs="Arial"/>
          <w:lang w:val="en-US"/>
        </w:rPr>
        <w:t xml:space="preserve">R64 million from </w:t>
      </w:r>
      <w:r w:rsidR="00105294">
        <w:rPr>
          <w:rFonts w:ascii="Arial" w:hAnsi="Arial" w:cs="Arial"/>
          <w:lang w:val="en-US"/>
        </w:rPr>
        <w:t xml:space="preserve">Watt Street </w:t>
      </w:r>
      <w:r w:rsidR="006F2D36" w:rsidRPr="00085D08">
        <w:rPr>
          <w:rFonts w:ascii="Arial" w:hAnsi="Arial" w:cs="Arial"/>
          <w:lang w:val="en-US"/>
        </w:rPr>
        <w:t>to Mantis, as its shareholder;</w:t>
      </w:r>
    </w:p>
    <w:p w14:paraId="6AA68E22" w14:textId="0FE538F7" w:rsidR="006F2D36" w:rsidRPr="00085D08" w:rsidRDefault="006F2D36" w:rsidP="006F2D36">
      <w:pPr>
        <w:pStyle w:val="ListParagraph"/>
        <w:tabs>
          <w:tab w:val="left" w:pos="567"/>
        </w:tabs>
        <w:spacing w:after="0" w:line="360" w:lineRule="auto"/>
        <w:ind w:left="0"/>
        <w:jc w:val="both"/>
        <w:rPr>
          <w:rFonts w:ascii="Arial" w:hAnsi="Arial" w:cs="Arial"/>
          <w:lang w:val="en-US"/>
        </w:rPr>
      </w:pPr>
      <w:r w:rsidRPr="00085D08">
        <w:rPr>
          <w:rFonts w:ascii="Arial" w:hAnsi="Arial" w:cs="Arial"/>
          <w:lang w:val="en-US"/>
        </w:rPr>
        <w:t xml:space="preserve">(b) The appellants effectively denuded </w:t>
      </w:r>
      <w:r w:rsidR="00B71C88">
        <w:rPr>
          <w:rFonts w:ascii="Arial" w:hAnsi="Arial" w:cs="Arial"/>
          <w:lang w:val="en-US"/>
        </w:rPr>
        <w:t xml:space="preserve">Watt Street </w:t>
      </w:r>
      <w:r w:rsidRPr="00085D08">
        <w:rPr>
          <w:rFonts w:ascii="Arial" w:hAnsi="Arial" w:cs="Arial"/>
          <w:lang w:val="en-US"/>
        </w:rPr>
        <w:t xml:space="preserve">of all its significant assets despite being aware that there existed an actual or contingent liability due by </w:t>
      </w:r>
      <w:r w:rsidR="00B71C88">
        <w:rPr>
          <w:rFonts w:ascii="Arial" w:hAnsi="Arial" w:cs="Arial"/>
          <w:lang w:val="en-US"/>
        </w:rPr>
        <w:t xml:space="preserve">it </w:t>
      </w:r>
      <w:r w:rsidRPr="00085D08">
        <w:rPr>
          <w:rFonts w:ascii="Arial" w:hAnsi="Arial" w:cs="Arial"/>
          <w:lang w:val="en-US"/>
        </w:rPr>
        <w:t>to ECDC</w:t>
      </w:r>
      <w:r w:rsidR="003F0421">
        <w:rPr>
          <w:rFonts w:ascii="Arial" w:hAnsi="Arial" w:cs="Arial"/>
          <w:lang w:val="en-US"/>
        </w:rPr>
        <w:t>;</w:t>
      </w:r>
    </w:p>
    <w:p w14:paraId="12A7A45E" w14:textId="677D0F52" w:rsidR="006F2D36" w:rsidRPr="00085D08" w:rsidRDefault="006F2D36" w:rsidP="006F2D36">
      <w:pPr>
        <w:pStyle w:val="ListParagraph"/>
        <w:tabs>
          <w:tab w:val="left" w:pos="567"/>
        </w:tabs>
        <w:spacing w:after="0" w:line="360" w:lineRule="auto"/>
        <w:ind w:left="0"/>
        <w:jc w:val="both"/>
        <w:rPr>
          <w:rFonts w:ascii="Arial" w:hAnsi="Arial" w:cs="Arial"/>
          <w:lang w:val="en-US"/>
        </w:rPr>
      </w:pPr>
      <w:r w:rsidRPr="00085D08">
        <w:rPr>
          <w:rFonts w:ascii="Arial" w:hAnsi="Arial" w:cs="Arial"/>
          <w:lang w:val="en-US"/>
        </w:rPr>
        <w:t xml:space="preserve">(c) As a result, </w:t>
      </w:r>
      <w:r w:rsidR="00B71C88">
        <w:rPr>
          <w:rFonts w:ascii="Arial" w:hAnsi="Arial" w:cs="Arial"/>
          <w:lang w:val="en-US"/>
        </w:rPr>
        <w:t xml:space="preserve">Watt Street </w:t>
      </w:r>
      <w:r w:rsidRPr="00085D08">
        <w:rPr>
          <w:rFonts w:ascii="Arial" w:hAnsi="Arial" w:cs="Arial"/>
          <w:lang w:val="en-US"/>
        </w:rPr>
        <w:t xml:space="preserve">was not in a position to meet its obligations to pay an amount purportedly owing to ECDC; </w:t>
      </w:r>
    </w:p>
    <w:p w14:paraId="445960D9" w14:textId="778DEFB2" w:rsidR="006F2D36" w:rsidRDefault="006F2D36" w:rsidP="006F2D36">
      <w:pPr>
        <w:pStyle w:val="ListParagraph"/>
        <w:tabs>
          <w:tab w:val="left" w:pos="567"/>
        </w:tabs>
        <w:spacing w:after="0" w:line="360" w:lineRule="auto"/>
        <w:ind w:left="0"/>
        <w:jc w:val="both"/>
        <w:rPr>
          <w:rFonts w:ascii="Arial" w:hAnsi="Arial" w:cs="Arial"/>
          <w:lang w:val="en-US"/>
        </w:rPr>
      </w:pPr>
      <w:r w:rsidRPr="00C43E0A">
        <w:rPr>
          <w:rFonts w:ascii="Arial" w:hAnsi="Arial" w:cs="Arial"/>
          <w:lang w:val="en-US"/>
        </w:rPr>
        <w:t>(d)</w:t>
      </w:r>
      <w:r w:rsidRPr="00085D08">
        <w:rPr>
          <w:rFonts w:ascii="Arial" w:hAnsi="Arial" w:cs="Arial"/>
          <w:lang w:val="en-US"/>
        </w:rPr>
        <w:t xml:space="preserve"> The disposal</w:t>
      </w:r>
      <w:r w:rsidR="003C0CD1">
        <w:rPr>
          <w:rFonts w:ascii="Arial" w:hAnsi="Arial" w:cs="Arial"/>
          <w:lang w:val="en-US"/>
        </w:rPr>
        <w:t xml:space="preserve"> and transfer</w:t>
      </w:r>
      <w:r w:rsidRPr="00085D08">
        <w:rPr>
          <w:rFonts w:ascii="Arial" w:hAnsi="Arial" w:cs="Arial"/>
          <w:lang w:val="en-US"/>
        </w:rPr>
        <w:t xml:space="preserve"> of assets and the declaration </w:t>
      </w:r>
      <w:r w:rsidR="003C0CD1">
        <w:rPr>
          <w:rFonts w:ascii="Arial" w:hAnsi="Arial" w:cs="Arial"/>
          <w:lang w:val="en-US"/>
        </w:rPr>
        <w:t xml:space="preserve">and payment </w:t>
      </w:r>
      <w:r w:rsidRPr="00085D08">
        <w:rPr>
          <w:rFonts w:ascii="Arial" w:hAnsi="Arial" w:cs="Arial"/>
          <w:lang w:val="en-US"/>
        </w:rPr>
        <w:t>of a dividend</w:t>
      </w:r>
      <w:r w:rsidR="003C0CD1">
        <w:rPr>
          <w:rFonts w:ascii="Arial" w:hAnsi="Arial" w:cs="Arial"/>
          <w:lang w:val="en-US"/>
        </w:rPr>
        <w:t>,</w:t>
      </w:r>
      <w:r w:rsidRPr="00085D08">
        <w:rPr>
          <w:rFonts w:ascii="Arial" w:hAnsi="Arial" w:cs="Arial"/>
          <w:lang w:val="en-US"/>
        </w:rPr>
        <w:t xml:space="preserve"> had the effect of prejudicing the creditors of </w:t>
      </w:r>
      <w:r w:rsidR="00B71C88">
        <w:rPr>
          <w:rFonts w:ascii="Arial" w:hAnsi="Arial" w:cs="Arial"/>
          <w:lang w:val="en-US"/>
        </w:rPr>
        <w:t xml:space="preserve">Watt Street </w:t>
      </w:r>
      <w:r w:rsidRPr="00085D08">
        <w:rPr>
          <w:rFonts w:ascii="Arial" w:hAnsi="Arial" w:cs="Arial"/>
          <w:lang w:val="en-US"/>
        </w:rPr>
        <w:t>and, in particular, ECDC</w:t>
      </w:r>
      <w:r w:rsidR="001A6095">
        <w:rPr>
          <w:rFonts w:ascii="Arial" w:hAnsi="Arial" w:cs="Arial"/>
          <w:lang w:val="en-US"/>
        </w:rPr>
        <w:t>;</w:t>
      </w:r>
    </w:p>
    <w:p w14:paraId="04BCA700" w14:textId="7AF5E44F" w:rsidR="00147FA8" w:rsidRDefault="00147FA8" w:rsidP="006F2D36">
      <w:pPr>
        <w:pStyle w:val="ListParagraph"/>
        <w:tabs>
          <w:tab w:val="left" w:pos="567"/>
        </w:tabs>
        <w:spacing w:after="0" w:line="360" w:lineRule="auto"/>
        <w:ind w:left="0"/>
        <w:jc w:val="both"/>
        <w:rPr>
          <w:rFonts w:ascii="Arial" w:hAnsi="Arial" w:cs="Arial"/>
          <w:lang w:val="en-US"/>
        </w:rPr>
      </w:pPr>
      <w:r>
        <w:rPr>
          <w:rFonts w:ascii="Arial" w:hAnsi="Arial" w:cs="Arial"/>
          <w:lang w:val="en-US"/>
        </w:rPr>
        <w:t>(d)</w:t>
      </w:r>
      <w:r w:rsidR="00E65FBC">
        <w:rPr>
          <w:rFonts w:ascii="Arial" w:hAnsi="Arial" w:cs="Arial"/>
          <w:lang w:val="en-US"/>
        </w:rPr>
        <w:t xml:space="preserve"> </w:t>
      </w:r>
      <w:r w:rsidR="00B71C88">
        <w:rPr>
          <w:rFonts w:ascii="Arial" w:hAnsi="Arial" w:cs="Arial"/>
          <w:lang w:val="en-US"/>
        </w:rPr>
        <w:t>Watt Street</w:t>
      </w:r>
      <w:r>
        <w:rPr>
          <w:rFonts w:ascii="Arial" w:hAnsi="Arial" w:cs="Arial"/>
          <w:lang w:val="en-US"/>
        </w:rPr>
        <w:t xml:space="preserve">, Mantis and Mr Gardiner </w:t>
      </w:r>
      <w:r w:rsidR="003F0421">
        <w:rPr>
          <w:rFonts w:ascii="Arial" w:hAnsi="Arial" w:cs="Arial"/>
          <w:lang w:val="en-US"/>
        </w:rPr>
        <w:t xml:space="preserve">intended </w:t>
      </w:r>
      <w:r>
        <w:rPr>
          <w:rFonts w:ascii="Arial" w:hAnsi="Arial" w:cs="Arial"/>
          <w:lang w:val="en-US"/>
        </w:rPr>
        <w:t xml:space="preserve">to defraud ECDC by deliberately prejudicing and frustrating </w:t>
      </w:r>
      <w:r w:rsidR="003F0421">
        <w:rPr>
          <w:rFonts w:ascii="Arial" w:hAnsi="Arial" w:cs="Arial"/>
          <w:lang w:val="en-US"/>
        </w:rPr>
        <w:t xml:space="preserve">its </w:t>
      </w:r>
      <w:r>
        <w:rPr>
          <w:rFonts w:ascii="Arial" w:hAnsi="Arial" w:cs="Arial"/>
          <w:lang w:val="en-US"/>
        </w:rPr>
        <w:t xml:space="preserve">claims against </w:t>
      </w:r>
      <w:r w:rsidR="00B71C88">
        <w:rPr>
          <w:rFonts w:ascii="Arial" w:hAnsi="Arial" w:cs="Arial"/>
          <w:lang w:val="en-US"/>
        </w:rPr>
        <w:t>Watt Street</w:t>
      </w:r>
      <w:r>
        <w:rPr>
          <w:rFonts w:ascii="Arial" w:hAnsi="Arial" w:cs="Arial"/>
          <w:lang w:val="en-US"/>
        </w:rPr>
        <w:t xml:space="preserve">, such that there is no prospect of any dividend to be paid in </w:t>
      </w:r>
      <w:r w:rsidR="001A6095">
        <w:rPr>
          <w:rFonts w:ascii="Arial" w:hAnsi="Arial" w:cs="Arial"/>
          <w:lang w:val="en-US"/>
        </w:rPr>
        <w:t>Watt Street</w:t>
      </w:r>
      <w:r w:rsidR="00387F4E">
        <w:rPr>
          <w:rFonts w:ascii="Arial" w:hAnsi="Arial" w:cs="Arial"/>
          <w:lang w:val="en-US"/>
        </w:rPr>
        <w:t>;</w:t>
      </w:r>
      <w:r w:rsidR="00B71C88">
        <w:rPr>
          <w:rFonts w:ascii="Arial" w:hAnsi="Arial" w:cs="Arial"/>
          <w:lang w:val="en-US"/>
        </w:rPr>
        <w:t xml:space="preserve"> </w:t>
      </w:r>
      <w:r w:rsidR="00387F4E">
        <w:rPr>
          <w:rFonts w:ascii="Arial" w:hAnsi="Arial" w:cs="Arial"/>
          <w:lang w:val="en-US"/>
        </w:rPr>
        <w:t>and</w:t>
      </w:r>
      <w:r>
        <w:rPr>
          <w:rFonts w:ascii="Arial" w:hAnsi="Arial" w:cs="Arial"/>
          <w:lang w:val="en-US"/>
        </w:rPr>
        <w:t xml:space="preserve"> </w:t>
      </w:r>
    </w:p>
    <w:p w14:paraId="11065165" w14:textId="6783DAAB" w:rsidR="00A41B70" w:rsidRDefault="00147FA8" w:rsidP="006F2D36">
      <w:pPr>
        <w:pStyle w:val="ListParagraph"/>
        <w:tabs>
          <w:tab w:val="left" w:pos="567"/>
        </w:tabs>
        <w:spacing w:after="0" w:line="360" w:lineRule="auto"/>
        <w:ind w:left="0"/>
        <w:jc w:val="both"/>
        <w:rPr>
          <w:rFonts w:ascii="Arial" w:hAnsi="Arial" w:cs="Arial"/>
          <w:lang w:val="en-US"/>
        </w:rPr>
      </w:pPr>
      <w:r>
        <w:rPr>
          <w:rFonts w:ascii="Arial" w:hAnsi="Arial" w:cs="Arial"/>
          <w:lang w:val="en-US"/>
        </w:rPr>
        <w:t xml:space="preserve">(e) </w:t>
      </w:r>
      <w:r w:rsidR="00CC296F">
        <w:rPr>
          <w:rFonts w:ascii="Arial" w:hAnsi="Arial" w:cs="Arial"/>
          <w:lang w:val="en-US"/>
        </w:rPr>
        <w:t xml:space="preserve">As parties to the collusive disposition, </w:t>
      </w:r>
      <w:r>
        <w:rPr>
          <w:rFonts w:ascii="Arial" w:hAnsi="Arial" w:cs="Arial"/>
          <w:lang w:val="en-US"/>
        </w:rPr>
        <w:t xml:space="preserve">Mantis and </w:t>
      </w:r>
      <w:r w:rsidRPr="00C43E0A">
        <w:rPr>
          <w:rFonts w:ascii="Arial" w:hAnsi="Arial" w:cs="Arial"/>
          <w:lang w:val="en-US"/>
        </w:rPr>
        <w:t>Mr</w:t>
      </w:r>
      <w:r>
        <w:rPr>
          <w:rFonts w:ascii="Arial" w:hAnsi="Arial" w:cs="Arial"/>
          <w:lang w:val="en-US"/>
        </w:rPr>
        <w:t xml:space="preserve"> Gardiner are jointly and severally liable to make good </w:t>
      </w:r>
      <w:r w:rsidR="00A41B70">
        <w:rPr>
          <w:rFonts w:ascii="Arial" w:hAnsi="Arial" w:cs="Arial"/>
          <w:lang w:val="en-US"/>
        </w:rPr>
        <w:t xml:space="preserve">the loss caused to </w:t>
      </w:r>
      <w:r w:rsidR="00B71C88">
        <w:rPr>
          <w:rFonts w:ascii="Arial" w:hAnsi="Arial" w:cs="Arial"/>
          <w:lang w:val="en-US"/>
        </w:rPr>
        <w:t xml:space="preserve">Watt </w:t>
      </w:r>
      <w:r w:rsidR="00387F4E">
        <w:rPr>
          <w:rFonts w:ascii="Arial" w:hAnsi="Arial" w:cs="Arial"/>
          <w:lang w:val="en-US"/>
        </w:rPr>
        <w:t>Street and</w:t>
      </w:r>
      <w:r w:rsidR="00A41B70">
        <w:rPr>
          <w:rFonts w:ascii="Arial" w:hAnsi="Arial" w:cs="Arial"/>
          <w:lang w:val="en-US"/>
        </w:rPr>
        <w:t xml:space="preserve"> are obliged to pay a penalty in the amount of R64 million for </w:t>
      </w:r>
      <w:r w:rsidR="00B71C88">
        <w:rPr>
          <w:rFonts w:ascii="Arial" w:hAnsi="Arial" w:cs="Arial"/>
          <w:lang w:val="en-US"/>
        </w:rPr>
        <w:t>its</w:t>
      </w:r>
      <w:r w:rsidR="00A41B70">
        <w:rPr>
          <w:rFonts w:ascii="Arial" w:hAnsi="Arial" w:cs="Arial"/>
          <w:lang w:val="en-US"/>
        </w:rPr>
        <w:t xml:space="preserve"> benefit</w:t>
      </w:r>
      <w:r w:rsidR="00B71C88">
        <w:rPr>
          <w:rFonts w:ascii="Arial" w:hAnsi="Arial" w:cs="Arial"/>
          <w:lang w:val="en-US"/>
        </w:rPr>
        <w:t>.</w:t>
      </w:r>
      <w:r w:rsidR="00CB17AB">
        <w:rPr>
          <w:rFonts w:ascii="Arial" w:hAnsi="Arial" w:cs="Arial"/>
          <w:lang w:val="en-US"/>
        </w:rPr>
        <w:t>’</w:t>
      </w:r>
    </w:p>
    <w:p w14:paraId="33E52F3D" w14:textId="77777777" w:rsidR="006F2D36" w:rsidRPr="00085D08" w:rsidRDefault="006F2D36" w:rsidP="006F2D36">
      <w:pPr>
        <w:rPr>
          <w:rFonts w:ascii="Arial" w:hAnsi="Arial" w:cs="Arial"/>
          <w:lang w:val="en-US"/>
        </w:rPr>
      </w:pPr>
    </w:p>
    <w:p w14:paraId="7A51F8CB" w14:textId="20BE7637"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6F2D36" w:rsidRPr="00EF7CE5">
        <w:rPr>
          <w:rFonts w:ascii="Arial" w:hAnsi="Arial" w:cs="Arial"/>
          <w:sz w:val="24"/>
          <w:szCs w:val="24"/>
          <w:lang w:val="en-US"/>
        </w:rPr>
        <w:t>The</w:t>
      </w:r>
      <w:r w:rsidR="00A41B70" w:rsidRPr="00EF7CE5">
        <w:rPr>
          <w:rFonts w:ascii="Arial" w:hAnsi="Arial" w:cs="Arial"/>
          <w:sz w:val="24"/>
          <w:szCs w:val="24"/>
          <w:lang w:val="en-US"/>
        </w:rPr>
        <w:t xml:space="preserve"> </w:t>
      </w:r>
      <w:r w:rsidR="006F2D36" w:rsidRPr="00EF7CE5">
        <w:rPr>
          <w:rFonts w:ascii="Arial" w:hAnsi="Arial" w:cs="Arial"/>
          <w:sz w:val="24"/>
          <w:szCs w:val="24"/>
          <w:lang w:val="en-US"/>
        </w:rPr>
        <w:t xml:space="preserve">liquidators </w:t>
      </w:r>
      <w:r w:rsidR="00A41B70" w:rsidRPr="00EF7CE5">
        <w:rPr>
          <w:rFonts w:ascii="Arial" w:hAnsi="Arial" w:cs="Arial"/>
          <w:sz w:val="24"/>
          <w:szCs w:val="24"/>
          <w:lang w:val="en-US"/>
        </w:rPr>
        <w:t xml:space="preserve">accordingly </w:t>
      </w:r>
      <w:r w:rsidR="006F2D36" w:rsidRPr="00EF7CE5">
        <w:rPr>
          <w:rFonts w:ascii="Arial" w:hAnsi="Arial" w:cs="Arial"/>
          <w:sz w:val="24"/>
          <w:szCs w:val="24"/>
          <w:lang w:val="en-US"/>
        </w:rPr>
        <w:t>sought an order: (a) setting aside the dispos</w:t>
      </w:r>
      <w:r w:rsidR="00C94810" w:rsidRPr="00EF7CE5">
        <w:rPr>
          <w:rFonts w:ascii="Arial" w:hAnsi="Arial" w:cs="Arial"/>
          <w:sz w:val="24"/>
          <w:szCs w:val="24"/>
          <w:lang w:val="en-US"/>
        </w:rPr>
        <w:t>al and transfer of the assets</w:t>
      </w:r>
      <w:r w:rsidR="006F2D36" w:rsidRPr="00EF7CE5">
        <w:rPr>
          <w:rFonts w:ascii="Arial" w:hAnsi="Arial" w:cs="Arial"/>
          <w:sz w:val="24"/>
          <w:szCs w:val="24"/>
          <w:lang w:val="en-US"/>
        </w:rPr>
        <w:t xml:space="preserve"> and the declaration </w:t>
      </w:r>
      <w:r w:rsidR="00F6201C" w:rsidRPr="00EF7CE5">
        <w:rPr>
          <w:rFonts w:ascii="Arial" w:hAnsi="Arial" w:cs="Arial"/>
          <w:sz w:val="24"/>
          <w:szCs w:val="24"/>
          <w:lang w:val="en-US"/>
        </w:rPr>
        <w:t xml:space="preserve">and payment </w:t>
      </w:r>
      <w:r w:rsidR="006F2D36" w:rsidRPr="00EF7CE5">
        <w:rPr>
          <w:rFonts w:ascii="Arial" w:hAnsi="Arial" w:cs="Arial"/>
          <w:sz w:val="24"/>
          <w:szCs w:val="24"/>
          <w:lang w:val="en-US"/>
        </w:rPr>
        <w:t xml:space="preserve">of </w:t>
      </w:r>
      <w:r w:rsidR="00F6201C" w:rsidRPr="00EF7CE5">
        <w:rPr>
          <w:rFonts w:ascii="Arial" w:hAnsi="Arial" w:cs="Arial"/>
          <w:sz w:val="24"/>
          <w:szCs w:val="24"/>
          <w:lang w:val="en-US"/>
        </w:rPr>
        <w:t xml:space="preserve">a </w:t>
      </w:r>
      <w:r w:rsidR="006F2D36" w:rsidRPr="00EF7CE5">
        <w:rPr>
          <w:rFonts w:ascii="Arial" w:hAnsi="Arial" w:cs="Arial"/>
          <w:sz w:val="24"/>
          <w:szCs w:val="24"/>
          <w:lang w:val="en-US"/>
        </w:rPr>
        <w:t>dividend in an amount of not less than R64 million in terms of s 31 of the Act; (b) that the said sum be paid to the liquidators</w:t>
      </w:r>
      <w:r w:rsidR="00B71C88" w:rsidRPr="00EF7CE5">
        <w:rPr>
          <w:rFonts w:ascii="Arial" w:hAnsi="Arial" w:cs="Arial"/>
          <w:sz w:val="24"/>
          <w:szCs w:val="24"/>
          <w:lang w:val="en-US"/>
        </w:rPr>
        <w:t xml:space="preserve"> of Watt Street</w:t>
      </w:r>
      <w:r w:rsidR="006F2D36" w:rsidRPr="00EF7CE5">
        <w:rPr>
          <w:rFonts w:ascii="Arial" w:hAnsi="Arial" w:cs="Arial"/>
          <w:sz w:val="24"/>
          <w:szCs w:val="24"/>
          <w:lang w:val="en-US"/>
        </w:rPr>
        <w:t xml:space="preserve">; (c) declaring that Mantis is to forfeit any claim it may have against </w:t>
      </w:r>
      <w:r w:rsidR="00D517FC" w:rsidRPr="00EF7CE5">
        <w:rPr>
          <w:rFonts w:ascii="Arial" w:hAnsi="Arial" w:cs="Arial"/>
          <w:sz w:val="24"/>
          <w:szCs w:val="24"/>
          <w:lang w:val="en-US"/>
        </w:rPr>
        <w:t>Watt Street</w:t>
      </w:r>
      <w:r w:rsidR="006F2D36" w:rsidRPr="00EF7CE5">
        <w:rPr>
          <w:rFonts w:ascii="Arial" w:hAnsi="Arial" w:cs="Arial"/>
          <w:sz w:val="24"/>
          <w:szCs w:val="24"/>
          <w:lang w:val="en-US"/>
        </w:rPr>
        <w:t xml:space="preserve">; (d) </w:t>
      </w:r>
      <w:r w:rsidR="00147FA8" w:rsidRPr="00EF7CE5">
        <w:rPr>
          <w:rFonts w:ascii="Arial" w:hAnsi="Arial" w:cs="Arial"/>
          <w:sz w:val="24"/>
          <w:szCs w:val="24"/>
          <w:lang w:val="en-US"/>
        </w:rPr>
        <w:t xml:space="preserve">for </w:t>
      </w:r>
      <w:r w:rsidR="006F2D36" w:rsidRPr="00EF7CE5">
        <w:rPr>
          <w:rFonts w:ascii="Arial" w:hAnsi="Arial" w:cs="Arial"/>
          <w:sz w:val="24"/>
          <w:szCs w:val="24"/>
          <w:lang w:val="en-US"/>
        </w:rPr>
        <w:t xml:space="preserve">payment of </w:t>
      </w:r>
      <w:r w:rsidR="00A41B70" w:rsidRPr="00EF7CE5">
        <w:rPr>
          <w:rFonts w:ascii="Arial" w:hAnsi="Arial" w:cs="Arial"/>
          <w:sz w:val="24"/>
          <w:szCs w:val="24"/>
          <w:lang w:val="en-US"/>
        </w:rPr>
        <w:t xml:space="preserve">compensation and a penalty in the sum of R64 million; and </w:t>
      </w:r>
      <w:r w:rsidR="006F2D36" w:rsidRPr="00EF7CE5">
        <w:rPr>
          <w:rFonts w:ascii="Arial" w:hAnsi="Arial" w:cs="Arial"/>
          <w:sz w:val="24"/>
          <w:szCs w:val="24"/>
          <w:lang w:val="en-US"/>
        </w:rPr>
        <w:t xml:space="preserve">(e) </w:t>
      </w:r>
      <w:r w:rsidR="005600A0" w:rsidRPr="00EF7CE5">
        <w:rPr>
          <w:rFonts w:ascii="Arial" w:hAnsi="Arial" w:cs="Arial"/>
          <w:sz w:val="24"/>
          <w:szCs w:val="24"/>
          <w:lang w:val="en-US"/>
        </w:rPr>
        <w:t>for</w:t>
      </w:r>
      <w:r w:rsidR="00C01856" w:rsidRPr="00EF7CE5">
        <w:rPr>
          <w:rFonts w:ascii="Arial" w:hAnsi="Arial" w:cs="Arial"/>
          <w:sz w:val="24"/>
          <w:szCs w:val="24"/>
          <w:lang w:val="en-US"/>
        </w:rPr>
        <w:t xml:space="preserve"> </w:t>
      </w:r>
      <w:r w:rsidR="006F2D36" w:rsidRPr="00EF7CE5">
        <w:rPr>
          <w:rFonts w:ascii="Arial" w:hAnsi="Arial" w:cs="Arial"/>
          <w:sz w:val="24"/>
          <w:szCs w:val="24"/>
          <w:lang w:val="en-US"/>
        </w:rPr>
        <w:t>costs</w:t>
      </w:r>
      <w:r w:rsidR="00D517FC" w:rsidRPr="00EF7CE5">
        <w:rPr>
          <w:rFonts w:ascii="Arial" w:hAnsi="Arial" w:cs="Arial"/>
          <w:sz w:val="24"/>
          <w:szCs w:val="24"/>
          <w:lang w:val="en-US"/>
        </w:rPr>
        <w:t>.</w:t>
      </w:r>
      <w:r w:rsidR="006F2D36" w:rsidRPr="00EF7CE5">
        <w:rPr>
          <w:rFonts w:ascii="Arial" w:hAnsi="Arial" w:cs="Arial"/>
          <w:sz w:val="24"/>
          <w:szCs w:val="24"/>
          <w:lang w:val="en-US"/>
        </w:rPr>
        <w:t xml:space="preserve"> </w:t>
      </w:r>
    </w:p>
    <w:p w14:paraId="7C5EFEE8" w14:textId="4121671E" w:rsidR="00C01856" w:rsidRDefault="00C01856" w:rsidP="00D70DB8">
      <w:pPr>
        <w:pStyle w:val="ListParagraph"/>
        <w:tabs>
          <w:tab w:val="left" w:pos="567"/>
        </w:tabs>
        <w:spacing w:after="0" w:line="360" w:lineRule="auto"/>
        <w:ind w:left="0"/>
        <w:jc w:val="both"/>
        <w:rPr>
          <w:rFonts w:ascii="Arial" w:hAnsi="Arial" w:cs="Arial"/>
          <w:sz w:val="24"/>
          <w:szCs w:val="24"/>
          <w:lang w:val="en-US"/>
        </w:rPr>
      </w:pPr>
    </w:p>
    <w:p w14:paraId="30C93EFA" w14:textId="06C97167"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6F2D36" w:rsidRPr="00EF7CE5">
        <w:rPr>
          <w:rFonts w:ascii="Arial" w:hAnsi="Arial" w:cs="Arial"/>
          <w:sz w:val="24"/>
          <w:szCs w:val="24"/>
          <w:lang w:val="en-US"/>
        </w:rPr>
        <w:t xml:space="preserve">In answer, the appellants filed a plea in which they admitted that ECDC had proved a claim against </w:t>
      </w:r>
      <w:r w:rsidR="00B71C88" w:rsidRPr="00EF7CE5">
        <w:rPr>
          <w:rFonts w:ascii="Arial" w:hAnsi="Arial" w:cs="Arial"/>
          <w:sz w:val="24"/>
          <w:szCs w:val="24"/>
          <w:lang w:val="en-US"/>
        </w:rPr>
        <w:t xml:space="preserve">Watt Street </w:t>
      </w:r>
      <w:r w:rsidR="006F2D36" w:rsidRPr="00EF7CE5">
        <w:rPr>
          <w:rFonts w:ascii="Arial" w:hAnsi="Arial" w:cs="Arial"/>
          <w:sz w:val="24"/>
          <w:szCs w:val="24"/>
          <w:lang w:val="en-US"/>
        </w:rPr>
        <w:t xml:space="preserve">in the amount of </w:t>
      </w:r>
      <w:r w:rsidR="00C43E0A" w:rsidRPr="00EF7CE5">
        <w:rPr>
          <w:rFonts w:ascii="Arial" w:hAnsi="Arial" w:cs="Arial"/>
          <w:sz w:val="24"/>
          <w:szCs w:val="24"/>
          <w:lang w:val="en-US"/>
        </w:rPr>
        <w:t xml:space="preserve">about </w:t>
      </w:r>
      <w:r w:rsidR="006F2D36" w:rsidRPr="00EF7CE5">
        <w:rPr>
          <w:rFonts w:ascii="Arial" w:hAnsi="Arial" w:cs="Arial"/>
          <w:sz w:val="24"/>
          <w:szCs w:val="24"/>
          <w:lang w:val="en-US"/>
        </w:rPr>
        <w:t xml:space="preserve">R19 </w:t>
      </w:r>
      <w:r w:rsidR="00C43E0A" w:rsidRPr="00EF7CE5">
        <w:rPr>
          <w:rFonts w:ascii="Arial" w:hAnsi="Arial" w:cs="Arial"/>
          <w:sz w:val="24"/>
          <w:szCs w:val="24"/>
          <w:lang w:val="en-US"/>
        </w:rPr>
        <w:t>million.</w:t>
      </w:r>
      <w:r w:rsidR="006F2D36" w:rsidRPr="00EF7CE5">
        <w:rPr>
          <w:rFonts w:ascii="Arial" w:hAnsi="Arial" w:cs="Arial"/>
          <w:sz w:val="24"/>
          <w:szCs w:val="24"/>
          <w:lang w:val="en-US"/>
        </w:rPr>
        <w:t xml:space="preserve"> They</w:t>
      </w:r>
      <w:r w:rsidR="00603E17" w:rsidRPr="00EF7CE5">
        <w:rPr>
          <w:rFonts w:ascii="Arial" w:hAnsi="Arial" w:cs="Arial"/>
          <w:sz w:val="24"/>
          <w:szCs w:val="24"/>
          <w:lang w:val="en-US"/>
        </w:rPr>
        <w:t>,</w:t>
      </w:r>
      <w:r w:rsidR="006F2D36" w:rsidRPr="00EF7CE5">
        <w:rPr>
          <w:rFonts w:ascii="Arial" w:hAnsi="Arial" w:cs="Arial"/>
          <w:sz w:val="24"/>
          <w:szCs w:val="24"/>
          <w:lang w:val="en-US"/>
        </w:rPr>
        <w:t xml:space="preserve"> however</w:t>
      </w:r>
      <w:r w:rsidR="00603E17" w:rsidRPr="00EF7CE5">
        <w:rPr>
          <w:rFonts w:ascii="Arial" w:hAnsi="Arial" w:cs="Arial"/>
          <w:sz w:val="24"/>
          <w:szCs w:val="24"/>
          <w:lang w:val="en-US"/>
        </w:rPr>
        <w:t>,</w:t>
      </w:r>
      <w:r w:rsidR="006F2D36" w:rsidRPr="00EF7CE5">
        <w:rPr>
          <w:rFonts w:ascii="Arial" w:hAnsi="Arial" w:cs="Arial"/>
          <w:sz w:val="24"/>
          <w:szCs w:val="24"/>
          <w:lang w:val="en-US"/>
        </w:rPr>
        <w:t xml:space="preserve"> denied tha</w:t>
      </w:r>
      <w:r w:rsidR="007D585F" w:rsidRPr="00EF7CE5">
        <w:rPr>
          <w:rFonts w:ascii="Arial" w:hAnsi="Arial" w:cs="Arial"/>
          <w:sz w:val="24"/>
          <w:szCs w:val="24"/>
          <w:lang w:val="en-US"/>
        </w:rPr>
        <w:t>t the</w:t>
      </w:r>
      <w:r w:rsidR="006F2D36" w:rsidRPr="00EF7CE5">
        <w:rPr>
          <w:rFonts w:ascii="Arial" w:hAnsi="Arial" w:cs="Arial"/>
          <w:sz w:val="24"/>
          <w:szCs w:val="24"/>
          <w:lang w:val="en-US"/>
        </w:rPr>
        <w:t xml:space="preserve"> amount</w:t>
      </w:r>
      <w:r w:rsidR="007D585F" w:rsidRPr="00EF7CE5">
        <w:rPr>
          <w:rFonts w:ascii="Arial" w:hAnsi="Arial" w:cs="Arial"/>
          <w:sz w:val="24"/>
          <w:szCs w:val="24"/>
          <w:lang w:val="en-US"/>
        </w:rPr>
        <w:t xml:space="preserve"> claimed </w:t>
      </w:r>
      <w:r w:rsidR="006F2D36" w:rsidRPr="00EF7CE5">
        <w:rPr>
          <w:rFonts w:ascii="Arial" w:hAnsi="Arial" w:cs="Arial"/>
          <w:sz w:val="24"/>
          <w:szCs w:val="24"/>
          <w:lang w:val="en-US"/>
        </w:rPr>
        <w:t>(or any lesser amount) was due, owing, and payable</w:t>
      </w:r>
      <w:r w:rsidR="005B30E0" w:rsidRPr="00EF7CE5">
        <w:rPr>
          <w:rFonts w:ascii="Arial" w:hAnsi="Arial" w:cs="Arial"/>
          <w:sz w:val="24"/>
          <w:szCs w:val="24"/>
          <w:lang w:val="en-US"/>
        </w:rPr>
        <w:t xml:space="preserve"> </w:t>
      </w:r>
      <w:r w:rsidR="005B30E0" w:rsidRPr="00EF7CE5">
        <w:rPr>
          <w:rFonts w:ascii="Arial" w:hAnsi="Arial" w:cs="Arial"/>
          <w:sz w:val="24"/>
          <w:szCs w:val="24"/>
          <w:lang w:val="en-US"/>
        </w:rPr>
        <w:lastRenderedPageBreak/>
        <w:t>to ECDC.</w:t>
      </w:r>
      <w:r w:rsidR="006F2D36" w:rsidRPr="00EF7CE5">
        <w:rPr>
          <w:rFonts w:ascii="Arial" w:hAnsi="Arial" w:cs="Arial"/>
          <w:sz w:val="24"/>
          <w:szCs w:val="24"/>
          <w:lang w:val="en-US"/>
        </w:rPr>
        <w:t xml:space="preserve"> They also denied that the restructuring, rationalization and declaration of a dividend constituted a collusive agreement which prejudiced the creditors of </w:t>
      </w:r>
      <w:r w:rsidR="00D517FC" w:rsidRPr="00EF7CE5">
        <w:rPr>
          <w:rFonts w:ascii="Arial" w:hAnsi="Arial" w:cs="Arial"/>
          <w:sz w:val="24"/>
          <w:szCs w:val="24"/>
          <w:lang w:val="en-US"/>
        </w:rPr>
        <w:t>Watt Street</w:t>
      </w:r>
      <w:r w:rsidR="006F2D36" w:rsidRPr="00EF7CE5">
        <w:rPr>
          <w:rFonts w:ascii="Arial" w:hAnsi="Arial" w:cs="Arial"/>
          <w:sz w:val="24"/>
          <w:szCs w:val="24"/>
          <w:lang w:val="en-US"/>
        </w:rPr>
        <w:t xml:space="preserve">, </w:t>
      </w:r>
      <w:r w:rsidR="007D585F" w:rsidRPr="00EF7CE5">
        <w:rPr>
          <w:rFonts w:ascii="Arial" w:hAnsi="Arial" w:cs="Arial"/>
          <w:sz w:val="24"/>
          <w:szCs w:val="24"/>
          <w:lang w:val="en-US"/>
        </w:rPr>
        <w:t xml:space="preserve">and </w:t>
      </w:r>
      <w:r w:rsidR="006F2D36" w:rsidRPr="00EF7CE5">
        <w:rPr>
          <w:rFonts w:ascii="Arial" w:hAnsi="Arial" w:cs="Arial"/>
          <w:sz w:val="24"/>
          <w:szCs w:val="24"/>
          <w:lang w:val="en-US"/>
        </w:rPr>
        <w:t xml:space="preserve">more particularly ECDC. The appellants </w:t>
      </w:r>
      <w:r w:rsidR="005B30E0" w:rsidRPr="00EF7CE5">
        <w:rPr>
          <w:rFonts w:ascii="Arial" w:hAnsi="Arial" w:cs="Arial"/>
          <w:sz w:val="24"/>
          <w:szCs w:val="24"/>
          <w:lang w:val="en-US"/>
        </w:rPr>
        <w:t>furthermore</w:t>
      </w:r>
      <w:r w:rsidR="006F2D36" w:rsidRPr="00EF7CE5">
        <w:rPr>
          <w:rFonts w:ascii="Arial" w:hAnsi="Arial" w:cs="Arial"/>
          <w:sz w:val="24"/>
          <w:szCs w:val="24"/>
          <w:lang w:val="en-US"/>
        </w:rPr>
        <w:t xml:space="preserve"> pleaded that, from time to time, Bushman Sands (the principal debtor) </w:t>
      </w:r>
      <w:r w:rsidR="00F6201C" w:rsidRPr="00EF7CE5">
        <w:rPr>
          <w:rFonts w:ascii="Arial" w:hAnsi="Arial" w:cs="Arial"/>
          <w:sz w:val="24"/>
          <w:szCs w:val="24"/>
          <w:lang w:val="en-US"/>
        </w:rPr>
        <w:t xml:space="preserve">had </w:t>
      </w:r>
      <w:r w:rsidR="006F2D36" w:rsidRPr="00EF7CE5">
        <w:rPr>
          <w:rFonts w:ascii="Arial" w:hAnsi="Arial" w:cs="Arial"/>
          <w:sz w:val="24"/>
          <w:szCs w:val="24"/>
          <w:lang w:val="en-US"/>
        </w:rPr>
        <w:t>effected payments to ECDC and continued to do so.</w:t>
      </w:r>
    </w:p>
    <w:p w14:paraId="305311C5" w14:textId="77777777" w:rsidR="00D70DB8" w:rsidRPr="00756C6C" w:rsidRDefault="00D70DB8" w:rsidP="00756C6C">
      <w:pPr>
        <w:pStyle w:val="ListParagraph"/>
        <w:tabs>
          <w:tab w:val="left" w:pos="567"/>
        </w:tabs>
        <w:spacing w:after="0" w:line="360" w:lineRule="auto"/>
        <w:ind w:left="0"/>
        <w:jc w:val="both"/>
        <w:rPr>
          <w:rFonts w:ascii="Arial" w:hAnsi="Arial" w:cs="Arial"/>
          <w:sz w:val="24"/>
          <w:szCs w:val="24"/>
          <w:lang w:val="en-US"/>
        </w:rPr>
      </w:pPr>
    </w:p>
    <w:p w14:paraId="3381DD68" w14:textId="53CAB17E"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6F2D36" w:rsidRPr="00EF7CE5">
        <w:rPr>
          <w:rFonts w:ascii="Arial" w:hAnsi="Arial" w:cs="Arial"/>
          <w:sz w:val="24"/>
          <w:szCs w:val="24"/>
          <w:lang w:val="en-US"/>
        </w:rPr>
        <w:t xml:space="preserve">The liquidators filed a replication in which they </w:t>
      </w:r>
      <w:r w:rsidR="005B30E0" w:rsidRPr="00EF7CE5">
        <w:rPr>
          <w:rFonts w:ascii="Arial" w:hAnsi="Arial" w:cs="Arial"/>
          <w:sz w:val="24"/>
          <w:szCs w:val="24"/>
          <w:lang w:val="en-US"/>
        </w:rPr>
        <w:t>contended</w:t>
      </w:r>
      <w:r w:rsidR="006F2D36" w:rsidRPr="00EF7CE5">
        <w:rPr>
          <w:rFonts w:ascii="Arial" w:hAnsi="Arial" w:cs="Arial"/>
          <w:sz w:val="24"/>
          <w:szCs w:val="24"/>
          <w:lang w:val="en-US"/>
        </w:rPr>
        <w:t xml:space="preserve"> that</w:t>
      </w:r>
      <w:r w:rsidR="00CE1245" w:rsidRPr="00EF7CE5">
        <w:rPr>
          <w:rFonts w:ascii="Arial" w:hAnsi="Arial" w:cs="Arial"/>
          <w:sz w:val="24"/>
          <w:szCs w:val="24"/>
          <w:lang w:val="en-US"/>
        </w:rPr>
        <w:t>:</w:t>
      </w:r>
      <w:r w:rsidR="006F2D36" w:rsidRPr="00EF7CE5">
        <w:rPr>
          <w:rFonts w:ascii="Arial" w:hAnsi="Arial" w:cs="Arial"/>
          <w:sz w:val="24"/>
          <w:szCs w:val="24"/>
          <w:lang w:val="en-US"/>
        </w:rPr>
        <w:t xml:space="preserve"> (a) the Master’s decision to admit ECDC’s claim constitutes an administrative act which exists as a </w:t>
      </w:r>
      <w:r w:rsidR="00387F4E" w:rsidRPr="00EF7CE5">
        <w:rPr>
          <w:rFonts w:ascii="Arial" w:hAnsi="Arial" w:cs="Arial"/>
          <w:sz w:val="24"/>
          <w:szCs w:val="24"/>
          <w:lang w:val="en-US"/>
        </w:rPr>
        <w:t>fact and</w:t>
      </w:r>
      <w:r w:rsidR="006F2D36" w:rsidRPr="00EF7CE5">
        <w:rPr>
          <w:rFonts w:ascii="Arial" w:hAnsi="Arial" w:cs="Arial"/>
          <w:sz w:val="24"/>
          <w:szCs w:val="24"/>
          <w:lang w:val="en-US"/>
        </w:rPr>
        <w:t xml:space="preserve"> has legal effect until set aside; (b) neither </w:t>
      </w:r>
      <w:r w:rsidR="005B30E0" w:rsidRPr="00EF7CE5">
        <w:rPr>
          <w:rFonts w:ascii="Arial" w:hAnsi="Arial" w:cs="Arial"/>
          <w:sz w:val="24"/>
          <w:szCs w:val="24"/>
          <w:lang w:val="en-US"/>
        </w:rPr>
        <w:t xml:space="preserve">of </w:t>
      </w:r>
      <w:r w:rsidR="006F2D36" w:rsidRPr="00EF7CE5">
        <w:rPr>
          <w:rFonts w:ascii="Arial" w:hAnsi="Arial" w:cs="Arial"/>
          <w:sz w:val="24"/>
          <w:szCs w:val="24"/>
          <w:lang w:val="en-US"/>
        </w:rPr>
        <w:t xml:space="preserve">the appellants sought to review the Master’s decision; (c) consequently, any determination in the action that ECDC does not have a claim against </w:t>
      </w:r>
      <w:r w:rsidR="00D517FC" w:rsidRPr="00EF7CE5">
        <w:rPr>
          <w:rFonts w:ascii="Arial" w:hAnsi="Arial" w:cs="Arial"/>
          <w:sz w:val="24"/>
          <w:szCs w:val="24"/>
          <w:lang w:val="en-US"/>
        </w:rPr>
        <w:t xml:space="preserve">Watt Street </w:t>
      </w:r>
      <w:r w:rsidR="006F2D36" w:rsidRPr="00EF7CE5">
        <w:rPr>
          <w:rFonts w:ascii="Arial" w:hAnsi="Arial" w:cs="Arial"/>
          <w:sz w:val="24"/>
          <w:szCs w:val="24"/>
          <w:lang w:val="en-US"/>
        </w:rPr>
        <w:t xml:space="preserve">is </w:t>
      </w:r>
      <w:r w:rsidR="00F6201C" w:rsidRPr="00EF7CE5">
        <w:rPr>
          <w:rFonts w:ascii="Arial" w:hAnsi="Arial" w:cs="Arial"/>
          <w:sz w:val="24"/>
          <w:szCs w:val="24"/>
          <w:lang w:val="en-US"/>
        </w:rPr>
        <w:t>precluded</w:t>
      </w:r>
      <w:r w:rsidR="006F2D36" w:rsidRPr="00EF7CE5">
        <w:rPr>
          <w:rFonts w:ascii="Arial" w:hAnsi="Arial" w:cs="Arial"/>
          <w:sz w:val="24"/>
          <w:szCs w:val="24"/>
          <w:lang w:val="en-US"/>
        </w:rPr>
        <w:t xml:space="preserve">. In answer, the appellants filed a rejoinder in which they contended that they are not bound, in the action, by the decision of the Master to admit the claim, as it was made in the context of a claim by ECDC against </w:t>
      </w:r>
      <w:r w:rsidR="00D517FC" w:rsidRPr="00EF7CE5">
        <w:rPr>
          <w:rFonts w:ascii="Arial" w:hAnsi="Arial" w:cs="Arial"/>
          <w:sz w:val="24"/>
          <w:szCs w:val="24"/>
          <w:lang w:val="en-US"/>
        </w:rPr>
        <w:t>Watt Street.</w:t>
      </w:r>
      <w:r w:rsidR="006F2D36" w:rsidRPr="00EF7CE5">
        <w:rPr>
          <w:rFonts w:ascii="Arial" w:hAnsi="Arial" w:cs="Arial"/>
          <w:sz w:val="24"/>
          <w:szCs w:val="24"/>
          <w:lang w:val="en-US"/>
        </w:rPr>
        <w:t xml:space="preserve"> They also contended that in law, it was incumbent upon the liquidators to establish, as a prerequisite to a claim based on a collusive disposition that</w:t>
      </w:r>
      <w:r w:rsidR="00503C5E" w:rsidRPr="00EF7CE5">
        <w:rPr>
          <w:rFonts w:ascii="Arial" w:hAnsi="Arial" w:cs="Arial"/>
          <w:sz w:val="24"/>
          <w:szCs w:val="24"/>
          <w:lang w:val="en-US"/>
        </w:rPr>
        <w:t>,</w:t>
      </w:r>
      <w:r w:rsidR="006F2D36" w:rsidRPr="00EF7CE5">
        <w:rPr>
          <w:rFonts w:ascii="Arial" w:hAnsi="Arial" w:cs="Arial"/>
          <w:sz w:val="24"/>
          <w:szCs w:val="24"/>
          <w:lang w:val="en-US"/>
        </w:rPr>
        <w:t xml:space="preserve"> at the date of </w:t>
      </w:r>
      <w:r w:rsidR="00F6201C" w:rsidRPr="00EF7CE5">
        <w:rPr>
          <w:rFonts w:ascii="Arial" w:hAnsi="Arial" w:cs="Arial"/>
          <w:sz w:val="24"/>
          <w:szCs w:val="24"/>
          <w:lang w:val="en-US"/>
        </w:rPr>
        <w:t xml:space="preserve">the </w:t>
      </w:r>
      <w:r w:rsidR="006F2D36" w:rsidRPr="00EF7CE5">
        <w:rPr>
          <w:rFonts w:ascii="Arial" w:hAnsi="Arial" w:cs="Arial"/>
          <w:sz w:val="24"/>
          <w:szCs w:val="24"/>
          <w:lang w:val="en-US"/>
        </w:rPr>
        <w:t>institution of the action</w:t>
      </w:r>
      <w:r w:rsidR="003F0421" w:rsidRPr="00EF7CE5">
        <w:rPr>
          <w:rFonts w:ascii="Arial" w:hAnsi="Arial" w:cs="Arial"/>
          <w:sz w:val="24"/>
          <w:szCs w:val="24"/>
          <w:lang w:val="en-US"/>
        </w:rPr>
        <w:t>,</w:t>
      </w:r>
      <w:r w:rsidR="006F2D36" w:rsidRPr="00EF7CE5">
        <w:rPr>
          <w:rFonts w:ascii="Arial" w:hAnsi="Arial" w:cs="Arial"/>
          <w:sz w:val="24"/>
          <w:szCs w:val="24"/>
          <w:lang w:val="en-US"/>
        </w:rPr>
        <w:t xml:space="preserve"> ECDC was, and is, a creditor of the company in liquidation.</w:t>
      </w:r>
    </w:p>
    <w:p w14:paraId="058D2047" w14:textId="7470C288" w:rsidR="00D70DB8" w:rsidRDefault="00D70DB8" w:rsidP="00756C6C">
      <w:pPr>
        <w:pStyle w:val="ListParagraph"/>
        <w:tabs>
          <w:tab w:val="left" w:pos="567"/>
        </w:tabs>
        <w:spacing w:after="0" w:line="360" w:lineRule="auto"/>
        <w:ind w:left="0"/>
        <w:jc w:val="both"/>
        <w:rPr>
          <w:rFonts w:ascii="Arial" w:hAnsi="Arial" w:cs="Arial"/>
          <w:sz w:val="24"/>
          <w:szCs w:val="24"/>
          <w:lang w:val="en-US"/>
        </w:rPr>
      </w:pPr>
    </w:p>
    <w:p w14:paraId="5F8B8F05" w14:textId="4708F006" w:rsidR="006F2D36" w:rsidRPr="00EF7CE5" w:rsidRDefault="00EF7CE5" w:rsidP="00EF7CE5">
      <w:pPr>
        <w:tabs>
          <w:tab w:val="left" w:pos="567"/>
        </w:tabs>
        <w:spacing w:after="0" w:line="360" w:lineRule="auto"/>
        <w:jc w:val="both"/>
        <w:rPr>
          <w:rFonts w:ascii="Arial" w:hAnsi="Arial" w:cs="Arial"/>
          <w:sz w:val="24"/>
          <w:szCs w:val="24"/>
          <w:lang w:val="en-US"/>
        </w:rPr>
      </w:pPr>
      <w:r w:rsidRPr="002532CB">
        <w:rPr>
          <w:rFonts w:ascii="Arial" w:hAnsi="Arial" w:cs="Arial"/>
          <w:sz w:val="24"/>
          <w:szCs w:val="24"/>
          <w:lang w:val="en-US"/>
        </w:rPr>
        <w:t>[11]</w:t>
      </w:r>
      <w:r w:rsidRPr="002532CB">
        <w:rPr>
          <w:rFonts w:ascii="Arial" w:hAnsi="Arial" w:cs="Arial"/>
          <w:sz w:val="24"/>
          <w:szCs w:val="24"/>
          <w:lang w:val="en-US"/>
        </w:rPr>
        <w:tab/>
      </w:r>
      <w:r w:rsidR="006F2D36" w:rsidRPr="00EF7CE5">
        <w:rPr>
          <w:rFonts w:ascii="Arial" w:hAnsi="Arial" w:cs="Arial"/>
          <w:sz w:val="24"/>
          <w:szCs w:val="24"/>
          <w:lang w:val="en-US"/>
        </w:rPr>
        <w:t>Two questions ar</w:t>
      </w:r>
      <w:r w:rsidR="005B30E0" w:rsidRPr="00EF7CE5">
        <w:rPr>
          <w:rFonts w:ascii="Arial" w:hAnsi="Arial" w:cs="Arial"/>
          <w:sz w:val="24"/>
          <w:szCs w:val="24"/>
          <w:lang w:val="en-US"/>
        </w:rPr>
        <w:t>ose</w:t>
      </w:r>
      <w:r w:rsidR="00F6201C" w:rsidRPr="00EF7CE5">
        <w:rPr>
          <w:rFonts w:ascii="Arial" w:hAnsi="Arial" w:cs="Arial"/>
          <w:sz w:val="24"/>
          <w:szCs w:val="24"/>
          <w:lang w:val="en-US"/>
        </w:rPr>
        <w:t>,</w:t>
      </w:r>
      <w:r w:rsidR="00C01856" w:rsidRPr="00EF7CE5">
        <w:rPr>
          <w:rFonts w:ascii="Arial" w:hAnsi="Arial" w:cs="Arial"/>
          <w:sz w:val="24"/>
          <w:szCs w:val="24"/>
          <w:lang w:val="en-US"/>
        </w:rPr>
        <w:t xml:space="preserve"> </w:t>
      </w:r>
      <w:r w:rsidR="00F6201C" w:rsidRPr="00EF7CE5">
        <w:rPr>
          <w:rFonts w:ascii="Arial" w:hAnsi="Arial" w:cs="Arial"/>
          <w:sz w:val="24"/>
          <w:szCs w:val="24"/>
          <w:lang w:val="en-US"/>
        </w:rPr>
        <w:t xml:space="preserve">namely </w:t>
      </w:r>
      <w:r w:rsidR="00C01856" w:rsidRPr="00EF7CE5">
        <w:rPr>
          <w:rFonts w:ascii="Arial" w:hAnsi="Arial" w:cs="Arial"/>
          <w:sz w:val="24"/>
          <w:szCs w:val="24"/>
          <w:lang w:val="en-US"/>
        </w:rPr>
        <w:t>w</w:t>
      </w:r>
      <w:r w:rsidR="006F2D36" w:rsidRPr="00EF7CE5">
        <w:rPr>
          <w:rFonts w:ascii="Arial" w:hAnsi="Arial" w:cs="Arial"/>
          <w:sz w:val="24"/>
          <w:szCs w:val="24"/>
          <w:lang w:val="en-US"/>
        </w:rPr>
        <w:t>hether the appellants were entitled to</w:t>
      </w:r>
      <w:r w:rsidR="00187C63" w:rsidRPr="00EF7CE5">
        <w:rPr>
          <w:rFonts w:ascii="Arial" w:hAnsi="Arial" w:cs="Arial"/>
          <w:sz w:val="24"/>
          <w:szCs w:val="24"/>
          <w:lang w:val="en-US"/>
        </w:rPr>
        <w:t>:</w:t>
      </w:r>
      <w:r w:rsidR="006F2D36" w:rsidRPr="00EF7CE5">
        <w:rPr>
          <w:rFonts w:ascii="Arial" w:hAnsi="Arial" w:cs="Arial"/>
          <w:sz w:val="24"/>
          <w:szCs w:val="24"/>
          <w:lang w:val="en-US"/>
        </w:rPr>
        <w:t xml:space="preserve"> (a) </w:t>
      </w:r>
      <w:r w:rsidR="00187C63" w:rsidRPr="00EF7CE5">
        <w:rPr>
          <w:rFonts w:ascii="Arial" w:hAnsi="Arial" w:cs="Arial"/>
          <w:sz w:val="24"/>
          <w:szCs w:val="24"/>
          <w:lang w:val="en-US"/>
        </w:rPr>
        <w:t xml:space="preserve">contest </w:t>
      </w:r>
      <w:r w:rsidR="006F2D36" w:rsidRPr="00EF7CE5">
        <w:rPr>
          <w:rFonts w:ascii="Arial" w:hAnsi="Arial" w:cs="Arial"/>
          <w:sz w:val="24"/>
          <w:szCs w:val="24"/>
          <w:lang w:val="en-US"/>
        </w:rPr>
        <w:t>the claim of ECDC as against the principal debtor (Bushman’s Sands)</w:t>
      </w:r>
      <w:r w:rsidR="00CE1245" w:rsidRPr="00EF7CE5">
        <w:rPr>
          <w:rFonts w:ascii="Arial" w:hAnsi="Arial" w:cs="Arial"/>
          <w:sz w:val="24"/>
          <w:szCs w:val="24"/>
          <w:lang w:val="en-US"/>
        </w:rPr>
        <w:t>;</w:t>
      </w:r>
      <w:r w:rsidR="006F2D36" w:rsidRPr="00EF7CE5">
        <w:rPr>
          <w:rFonts w:ascii="Arial" w:hAnsi="Arial" w:cs="Arial"/>
          <w:sz w:val="24"/>
          <w:szCs w:val="24"/>
          <w:lang w:val="en-US"/>
        </w:rPr>
        <w:t xml:space="preserve"> and</w:t>
      </w:r>
      <w:r w:rsidR="00CE1245" w:rsidRPr="00EF7CE5">
        <w:rPr>
          <w:rFonts w:ascii="Arial" w:hAnsi="Arial" w:cs="Arial"/>
          <w:sz w:val="24"/>
          <w:szCs w:val="24"/>
          <w:lang w:val="en-US"/>
        </w:rPr>
        <w:t>,</w:t>
      </w:r>
      <w:r w:rsidR="006F2D36" w:rsidRPr="00EF7CE5">
        <w:rPr>
          <w:rFonts w:ascii="Arial" w:hAnsi="Arial" w:cs="Arial"/>
          <w:sz w:val="24"/>
          <w:szCs w:val="24"/>
          <w:lang w:val="en-US"/>
        </w:rPr>
        <w:t xml:space="preserve"> (b) </w:t>
      </w:r>
      <w:r w:rsidR="00187C63" w:rsidRPr="00EF7CE5">
        <w:rPr>
          <w:rFonts w:ascii="Arial" w:hAnsi="Arial" w:cs="Arial"/>
          <w:sz w:val="24"/>
          <w:szCs w:val="24"/>
          <w:lang w:val="en-US"/>
        </w:rPr>
        <w:t xml:space="preserve">revisit </w:t>
      </w:r>
      <w:r w:rsidR="006F2D36" w:rsidRPr="00EF7CE5">
        <w:rPr>
          <w:rFonts w:ascii="Arial" w:hAnsi="Arial" w:cs="Arial"/>
          <w:sz w:val="24"/>
          <w:szCs w:val="24"/>
          <w:lang w:val="en-US"/>
        </w:rPr>
        <w:t>the indebtedness and quantum of ECDC’s claim ag</w:t>
      </w:r>
      <w:r w:rsidR="00557837" w:rsidRPr="00EF7CE5">
        <w:rPr>
          <w:rFonts w:ascii="Arial" w:hAnsi="Arial" w:cs="Arial"/>
          <w:sz w:val="24"/>
          <w:szCs w:val="24"/>
          <w:lang w:val="en-US"/>
        </w:rPr>
        <w:t>ainst the surety. On 1 December </w:t>
      </w:r>
      <w:r w:rsidR="006F2D36" w:rsidRPr="00EF7CE5">
        <w:rPr>
          <w:rFonts w:ascii="Arial" w:hAnsi="Arial" w:cs="Arial"/>
          <w:sz w:val="24"/>
          <w:szCs w:val="24"/>
          <w:lang w:val="en-US"/>
        </w:rPr>
        <w:t xml:space="preserve">2020, the high court made an order separating </w:t>
      </w:r>
      <w:r w:rsidR="00F6201C" w:rsidRPr="00EF7CE5">
        <w:rPr>
          <w:rFonts w:ascii="Arial" w:hAnsi="Arial" w:cs="Arial"/>
          <w:sz w:val="24"/>
          <w:szCs w:val="24"/>
          <w:lang w:val="en-US"/>
        </w:rPr>
        <w:t xml:space="preserve">those </w:t>
      </w:r>
      <w:r w:rsidR="006F2D36" w:rsidRPr="00EF7CE5">
        <w:rPr>
          <w:rFonts w:ascii="Arial" w:hAnsi="Arial" w:cs="Arial"/>
          <w:sz w:val="24"/>
          <w:szCs w:val="24"/>
          <w:lang w:val="en-US"/>
        </w:rPr>
        <w:t xml:space="preserve">issues from the remainder of the issues in the </w:t>
      </w:r>
      <w:r w:rsidR="005B30E0" w:rsidRPr="00EF7CE5">
        <w:rPr>
          <w:rFonts w:ascii="Arial" w:hAnsi="Arial" w:cs="Arial"/>
          <w:sz w:val="24"/>
          <w:szCs w:val="24"/>
          <w:lang w:val="en-US"/>
        </w:rPr>
        <w:t>action</w:t>
      </w:r>
      <w:r w:rsidR="006F2D36" w:rsidRPr="00EF7CE5">
        <w:rPr>
          <w:rFonts w:ascii="Arial" w:hAnsi="Arial" w:cs="Arial"/>
          <w:sz w:val="24"/>
          <w:szCs w:val="24"/>
          <w:lang w:val="en-US"/>
        </w:rPr>
        <w:t>.</w:t>
      </w:r>
      <w:r w:rsidR="006F2D36">
        <w:rPr>
          <w:rStyle w:val="FootnoteReference"/>
          <w:rFonts w:ascii="Arial" w:hAnsi="Arial" w:cs="Arial"/>
          <w:sz w:val="24"/>
          <w:szCs w:val="24"/>
          <w:lang w:val="en-US"/>
        </w:rPr>
        <w:footnoteReference w:id="7"/>
      </w:r>
    </w:p>
    <w:p w14:paraId="07FAA396" w14:textId="77777777" w:rsidR="006F2D36" w:rsidRDefault="006F2D36" w:rsidP="006F2D36">
      <w:pPr>
        <w:pStyle w:val="ListParagraph"/>
        <w:tabs>
          <w:tab w:val="left" w:pos="567"/>
        </w:tabs>
        <w:spacing w:after="0" w:line="360" w:lineRule="auto"/>
        <w:ind w:left="0"/>
        <w:jc w:val="both"/>
        <w:rPr>
          <w:rFonts w:ascii="Arial" w:hAnsi="Arial" w:cs="Arial"/>
          <w:sz w:val="24"/>
          <w:szCs w:val="24"/>
          <w:lang w:val="en-US"/>
        </w:rPr>
      </w:pPr>
    </w:p>
    <w:p w14:paraId="35627321" w14:textId="3F218994" w:rsidR="006F2D36" w:rsidRPr="00EF7CE5" w:rsidRDefault="00EF7CE5" w:rsidP="00EF7CE5">
      <w:pPr>
        <w:tabs>
          <w:tab w:val="left" w:pos="567"/>
        </w:tabs>
        <w:spacing w:after="0" w:line="360" w:lineRule="auto"/>
        <w:jc w:val="both"/>
        <w:rPr>
          <w:rFonts w:ascii="Arial" w:hAnsi="Arial" w:cs="Arial"/>
          <w:sz w:val="24"/>
          <w:szCs w:val="24"/>
          <w:lang w:val="en-US"/>
        </w:rPr>
      </w:pPr>
      <w:r w:rsidRPr="00477361">
        <w:rPr>
          <w:rFonts w:ascii="Arial" w:hAnsi="Arial" w:cs="Arial"/>
          <w:sz w:val="24"/>
          <w:szCs w:val="24"/>
          <w:lang w:val="en-US"/>
        </w:rPr>
        <w:t>[12]</w:t>
      </w:r>
      <w:r w:rsidRPr="00477361">
        <w:rPr>
          <w:rFonts w:ascii="Arial" w:hAnsi="Arial" w:cs="Arial"/>
          <w:sz w:val="24"/>
          <w:szCs w:val="24"/>
          <w:lang w:val="en-US"/>
        </w:rPr>
        <w:tab/>
      </w:r>
      <w:r w:rsidR="006F2D36" w:rsidRPr="00EF7CE5">
        <w:rPr>
          <w:rFonts w:ascii="Arial" w:hAnsi="Arial" w:cs="Arial"/>
          <w:sz w:val="24"/>
          <w:szCs w:val="24"/>
          <w:lang w:val="en-US"/>
        </w:rPr>
        <w:t>Having heard argument, the high court</w:t>
      </w:r>
      <w:r w:rsidR="00C01856" w:rsidRPr="00EF7CE5">
        <w:rPr>
          <w:rFonts w:ascii="Arial" w:hAnsi="Arial" w:cs="Arial"/>
          <w:sz w:val="24"/>
          <w:szCs w:val="24"/>
          <w:lang w:val="en-US"/>
        </w:rPr>
        <w:t xml:space="preserve"> </w:t>
      </w:r>
      <w:r w:rsidR="006F2D36" w:rsidRPr="00EF7CE5">
        <w:rPr>
          <w:rFonts w:ascii="Arial" w:hAnsi="Arial" w:cs="Arial"/>
          <w:sz w:val="24"/>
          <w:szCs w:val="24"/>
          <w:lang w:val="en-US"/>
        </w:rPr>
        <w:t>found that the decision of the Master to accept a claim under s 44 of the Act constitutes administrative action, which exists and continues to have legal consequences until and unless it is reviewed and set aside in terms of s 151 of the</w:t>
      </w:r>
      <w:r w:rsidR="00417DFE" w:rsidRPr="00EF7CE5">
        <w:rPr>
          <w:rFonts w:ascii="Arial" w:hAnsi="Arial" w:cs="Arial"/>
          <w:sz w:val="24"/>
          <w:szCs w:val="24"/>
          <w:lang w:val="en-US"/>
        </w:rPr>
        <w:t xml:space="preserve"> </w:t>
      </w:r>
      <w:r w:rsidR="006F2D36" w:rsidRPr="00EF7CE5">
        <w:rPr>
          <w:rFonts w:ascii="Arial" w:hAnsi="Arial" w:cs="Arial"/>
          <w:sz w:val="24"/>
          <w:szCs w:val="24"/>
          <w:lang w:val="en-US"/>
        </w:rPr>
        <w:t>Act.</w:t>
      </w:r>
      <w:r w:rsidR="00A431B5">
        <w:rPr>
          <w:rStyle w:val="FootnoteReference"/>
          <w:rFonts w:ascii="Arial" w:hAnsi="Arial" w:cs="Arial"/>
          <w:sz w:val="24"/>
          <w:szCs w:val="24"/>
          <w:lang w:val="en-US"/>
        </w:rPr>
        <w:footnoteReference w:id="8"/>
      </w:r>
      <w:r w:rsidR="006F2D36" w:rsidRPr="00EF7CE5">
        <w:rPr>
          <w:rFonts w:ascii="Arial" w:hAnsi="Arial" w:cs="Arial"/>
          <w:sz w:val="24"/>
          <w:szCs w:val="24"/>
          <w:lang w:val="en-US"/>
        </w:rPr>
        <w:t xml:space="preserve"> Relying for support on the decision of</w:t>
      </w:r>
      <w:r w:rsidR="006F2D36" w:rsidRPr="00EF7CE5">
        <w:rPr>
          <w:rFonts w:ascii="Arial" w:hAnsi="Arial" w:cs="Arial"/>
          <w:i/>
          <w:iCs/>
          <w:sz w:val="24"/>
          <w:szCs w:val="24"/>
          <w:lang w:val="en-US"/>
        </w:rPr>
        <w:t xml:space="preserve"> Bester NO and Others v CTS Trailers (Pty) Ltd and Another</w:t>
      </w:r>
      <w:r w:rsidR="006F2D36" w:rsidRPr="00EF7CE5">
        <w:rPr>
          <w:rFonts w:ascii="Arial" w:hAnsi="Arial" w:cs="Arial"/>
          <w:sz w:val="24"/>
          <w:szCs w:val="24"/>
          <w:lang w:val="en-US"/>
        </w:rPr>
        <w:t>,</w:t>
      </w:r>
      <w:r w:rsidR="006F2D36" w:rsidRPr="00FE3EEA">
        <w:rPr>
          <w:rStyle w:val="FootnoteReference"/>
          <w:rFonts w:ascii="Arial" w:hAnsi="Arial" w:cs="Arial"/>
          <w:sz w:val="24"/>
          <w:szCs w:val="24"/>
          <w:lang w:val="en-US"/>
        </w:rPr>
        <w:footnoteReference w:id="9"/>
      </w:r>
      <w:r w:rsidR="006F2D36" w:rsidRPr="00EF7CE5">
        <w:rPr>
          <w:rFonts w:ascii="Arial" w:hAnsi="Arial" w:cs="Arial"/>
          <w:sz w:val="24"/>
          <w:szCs w:val="24"/>
          <w:lang w:val="en-US"/>
        </w:rPr>
        <w:t xml:space="preserve"> it concluded that ‘</w:t>
      </w:r>
      <w:r w:rsidR="00C572BD" w:rsidRPr="00EF7CE5">
        <w:rPr>
          <w:rFonts w:ascii="Arial" w:hAnsi="Arial" w:cs="Arial"/>
          <w:sz w:val="24"/>
          <w:szCs w:val="24"/>
          <w:lang w:val="en-US"/>
        </w:rPr>
        <w:t>[</w:t>
      </w:r>
      <w:r w:rsidR="006F2D36" w:rsidRPr="00EF7CE5">
        <w:rPr>
          <w:rFonts w:ascii="Arial" w:hAnsi="Arial" w:cs="Arial"/>
          <w:sz w:val="24"/>
          <w:szCs w:val="24"/>
          <w:lang w:val="en-US"/>
        </w:rPr>
        <w:t>a</w:t>
      </w:r>
      <w:r w:rsidR="00C572BD" w:rsidRPr="00EF7CE5">
        <w:rPr>
          <w:rFonts w:ascii="Arial" w:hAnsi="Arial" w:cs="Arial"/>
          <w:sz w:val="24"/>
          <w:szCs w:val="24"/>
          <w:lang w:val="en-US"/>
        </w:rPr>
        <w:t>]</w:t>
      </w:r>
      <w:r w:rsidR="006F2D36" w:rsidRPr="00EF7CE5">
        <w:rPr>
          <w:rFonts w:ascii="Arial" w:hAnsi="Arial" w:cs="Arial"/>
          <w:sz w:val="24"/>
          <w:szCs w:val="24"/>
          <w:lang w:val="en-US"/>
        </w:rPr>
        <w:t xml:space="preserve">bsent a successful </w:t>
      </w:r>
      <w:r w:rsidR="006F2D36" w:rsidRPr="00EF7CE5">
        <w:rPr>
          <w:rFonts w:ascii="Arial" w:hAnsi="Arial" w:cs="Arial"/>
          <w:sz w:val="24"/>
          <w:szCs w:val="24"/>
          <w:lang w:val="en-US"/>
        </w:rPr>
        <w:lastRenderedPageBreak/>
        <w:t>application for the review and setting aside of an acceptance of a claim, and even despite objections to the claim having merit, the decision of the Master to accept a creditor’s claim must stand’.</w:t>
      </w:r>
      <w:r w:rsidR="006F2D36">
        <w:rPr>
          <w:rStyle w:val="FootnoteReference"/>
          <w:rFonts w:ascii="Arial" w:hAnsi="Arial" w:cs="Arial"/>
          <w:sz w:val="24"/>
          <w:szCs w:val="24"/>
          <w:lang w:val="en-US"/>
        </w:rPr>
        <w:footnoteReference w:id="10"/>
      </w:r>
      <w:r w:rsidR="006F2D36" w:rsidRPr="00EF7CE5">
        <w:rPr>
          <w:rFonts w:ascii="Arial" w:hAnsi="Arial" w:cs="Arial"/>
          <w:sz w:val="24"/>
          <w:szCs w:val="24"/>
          <w:lang w:val="en-US"/>
        </w:rPr>
        <w:t xml:space="preserve"> The high court accordingly made the following order:</w:t>
      </w:r>
    </w:p>
    <w:p w14:paraId="1CE79753" w14:textId="77777777" w:rsidR="006F2D36" w:rsidRPr="003D6295" w:rsidRDefault="006F2D36" w:rsidP="006F2D36">
      <w:pPr>
        <w:pStyle w:val="ListParagraph"/>
        <w:tabs>
          <w:tab w:val="left" w:pos="567"/>
        </w:tabs>
        <w:spacing w:after="0" w:line="360" w:lineRule="auto"/>
        <w:ind w:left="0"/>
        <w:jc w:val="both"/>
        <w:rPr>
          <w:rFonts w:ascii="Arial" w:hAnsi="Arial" w:cs="Arial"/>
          <w:lang w:val="en-US"/>
        </w:rPr>
      </w:pPr>
      <w:r w:rsidRPr="003D6295">
        <w:rPr>
          <w:rFonts w:ascii="Arial" w:hAnsi="Arial" w:cs="Arial"/>
          <w:lang w:val="en-US"/>
        </w:rPr>
        <w:t>‘1.The [appellants] are not lawfully entitled to revisit the indebtedness of No. 1 Watt Street (Pty) Ltd (previously known as Mantis Group Holdings (Pty) Ltd</w:t>
      </w:r>
      <w:r>
        <w:rPr>
          <w:rFonts w:ascii="Arial" w:hAnsi="Arial" w:cs="Arial"/>
          <w:lang w:val="en-US"/>
        </w:rPr>
        <w:t>)</w:t>
      </w:r>
      <w:r w:rsidRPr="003D6295">
        <w:rPr>
          <w:rFonts w:ascii="Arial" w:hAnsi="Arial" w:cs="Arial"/>
          <w:lang w:val="en-US"/>
        </w:rPr>
        <w:t xml:space="preserve"> – (and referred hereinafter as “the company in liquidation”) as set out in paragraphs 7.3, 7.4, 7.5, and 7.6 of the particulars of claim read with paragraphs 6 and 7 of the [appellants’</w:t>
      </w:r>
      <w:r>
        <w:rPr>
          <w:rFonts w:ascii="Arial" w:hAnsi="Arial" w:cs="Arial"/>
          <w:lang w:val="en-US"/>
        </w:rPr>
        <w:t>]</w:t>
      </w:r>
      <w:r w:rsidRPr="003D6295">
        <w:rPr>
          <w:rFonts w:ascii="Arial" w:hAnsi="Arial" w:cs="Arial"/>
          <w:lang w:val="en-US"/>
        </w:rPr>
        <w:t xml:space="preserve"> plea, and read further with the </w:t>
      </w:r>
      <w:r>
        <w:rPr>
          <w:rFonts w:ascii="Arial" w:hAnsi="Arial" w:cs="Arial"/>
          <w:lang w:val="en-US"/>
        </w:rPr>
        <w:t>[respondents’]</w:t>
      </w:r>
      <w:r w:rsidRPr="003D6295">
        <w:rPr>
          <w:rFonts w:ascii="Arial" w:hAnsi="Arial" w:cs="Arial"/>
          <w:lang w:val="en-US"/>
        </w:rPr>
        <w:t xml:space="preserve"> replication and the </w:t>
      </w:r>
      <w:r>
        <w:rPr>
          <w:rFonts w:ascii="Arial" w:hAnsi="Arial" w:cs="Arial"/>
          <w:lang w:val="en-US"/>
        </w:rPr>
        <w:t>[</w:t>
      </w:r>
      <w:r w:rsidRPr="003D6295">
        <w:rPr>
          <w:rFonts w:ascii="Arial" w:hAnsi="Arial" w:cs="Arial"/>
          <w:lang w:val="en-US"/>
        </w:rPr>
        <w:t>appellants’</w:t>
      </w:r>
      <w:r>
        <w:rPr>
          <w:rFonts w:ascii="Arial" w:hAnsi="Arial" w:cs="Arial"/>
          <w:lang w:val="en-US"/>
        </w:rPr>
        <w:t>]</w:t>
      </w:r>
      <w:r w:rsidRPr="003D6295">
        <w:rPr>
          <w:rFonts w:ascii="Arial" w:hAnsi="Arial" w:cs="Arial"/>
          <w:lang w:val="en-US"/>
        </w:rPr>
        <w:t xml:space="preserve"> rejoinder and the </w:t>
      </w:r>
      <w:r>
        <w:rPr>
          <w:rFonts w:ascii="Arial" w:hAnsi="Arial" w:cs="Arial"/>
          <w:lang w:val="en-US"/>
        </w:rPr>
        <w:t>[</w:t>
      </w:r>
      <w:r w:rsidRPr="003D6295">
        <w:rPr>
          <w:rFonts w:ascii="Arial" w:hAnsi="Arial" w:cs="Arial"/>
          <w:lang w:val="en-US"/>
        </w:rPr>
        <w:t>respondents’</w:t>
      </w:r>
      <w:r>
        <w:rPr>
          <w:rFonts w:ascii="Arial" w:hAnsi="Arial" w:cs="Arial"/>
          <w:lang w:val="en-US"/>
        </w:rPr>
        <w:t>]</w:t>
      </w:r>
      <w:r w:rsidRPr="003D6295">
        <w:rPr>
          <w:rFonts w:ascii="Arial" w:hAnsi="Arial" w:cs="Arial"/>
          <w:lang w:val="en-US"/>
        </w:rPr>
        <w:t xml:space="preserve"> surrejoinder filed of record;</w:t>
      </w:r>
    </w:p>
    <w:p w14:paraId="7BA518ED" w14:textId="725C4C9B" w:rsidR="006F2D36" w:rsidRPr="003D6295" w:rsidRDefault="006F2D36" w:rsidP="006F2D36">
      <w:pPr>
        <w:pStyle w:val="ListParagraph"/>
        <w:tabs>
          <w:tab w:val="left" w:pos="567"/>
        </w:tabs>
        <w:spacing w:after="0" w:line="360" w:lineRule="auto"/>
        <w:ind w:left="0"/>
        <w:jc w:val="both"/>
        <w:rPr>
          <w:rFonts w:ascii="Arial" w:hAnsi="Arial" w:cs="Arial"/>
          <w:lang w:val="en-US"/>
        </w:rPr>
      </w:pPr>
      <w:r w:rsidRPr="003D6295">
        <w:rPr>
          <w:rFonts w:ascii="Arial" w:hAnsi="Arial" w:cs="Arial"/>
          <w:lang w:val="en-US"/>
        </w:rPr>
        <w:t xml:space="preserve">2. The </w:t>
      </w:r>
      <w:r>
        <w:rPr>
          <w:rFonts w:ascii="Arial" w:hAnsi="Arial" w:cs="Arial"/>
          <w:lang w:val="en-US"/>
        </w:rPr>
        <w:t>[</w:t>
      </w:r>
      <w:r w:rsidRPr="003D6295">
        <w:rPr>
          <w:rFonts w:ascii="Arial" w:hAnsi="Arial" w:cs="Arial"/>
          <w:lang w:val="en-US"/>
        </w:rPr>
        <w:t>appellants</w:t>
      </w:r>
      <w:r>
        <w:rPr>
          <w:rFonts w:ascii="Arial" w:hAnsi="Arial" w:cs="Arial"/>
          <w:lang w:val="en-US"/>
        </w:rPr>
        <w:t>]</w:t>
      </w:r>
      <w:r w:rsidRPr="003D6295">
        <w:rPr>
          <w:rFonts w:ascii="Arial" w:hAnsi="Arial" w:cs="Arial"/>
          <w:lang w:val="en-US"/>
        </w:rPr>
        <w:t xml:space="preserve"> are not lawfully entitled to continue to contest the claims prov</w:t>
      </w:r>
      <w:r>
        <w:rPr>
          <w:rFonts w:ascii="Arial" w:hAnsi="Arial" w:cs="Arial"/>
          <w:lang w:val="en-US"/>
        </w:rPr>
        <w:t>ed</w:t>
      </w:r>
      <w:r w:rsidRPr="003D6295">
        <w:rPr>
          <w:rFonts w:ascii="Arial" w:hAnsi="Arial" w:cs="Arial"/>
          <w:lang w:val="en-US"/>
        </w:rPr>
        <w:t xml:space="preserve"> by ECDC in the liquidation proceedings of the company in liquidation, as set out in paragraph 7.7 and 7.8 of the particulars of claim, read with paragraphs 9 and 10 of the </w:t>
      </w:r>
      <w:r>
        <w:rPr>
          <w:rFonts w:ascii="Arial" w:hAnsi="Arial" w:cs="Arial"/>
          <w:lang w:val="en-US"/>
        </w:rPr>
        <w:t>[</w:t>
      </w:r>
      <w:r w:rsidRPr="003D6295">
        <w:rPr>
          <w:rFonts w:ascii="Arial" w:hAnsi="Arial" w:cs="Arial"/>
          <w:lang w:val="en-US"/>
        </w:rPr>
        <w:t>appellants</w:t>
      </w:r>
      <w:r>
        <w:rPr>
          <w:rFonts w:ascii="Arial" w:hAnsi="Arial" w:cs="Arial"/>
          <w:lang w:val="en-US"/>
        </w:rPr>
        <w:t>]</w:t>
      </w:r>
      <w:r w:rsidRPr="003D6295">
        <w:rPr>
          <w:rFonts w:ascii="Arial" w:hAnsi="Arial" w:cs="Arial"/>
          <w:lang w:val="en-US"/>
        </w:rPr>
        <w:t xml:space="preserve"> plea, and further read with the </w:t>
      </w:r>
      <w:r>
        <w:rPr>
          <w:rFonts w:ascii="Arial" w:hAnsi="Arial" w:cs="Arial"/>
          <w:lang w:val="en-US"/>
        </w:rPr>
        <w:t>[respondents’]</w:t>
      </w:r>
      <w:r w:rsidRPr="003D6295">
        <w:rPr>
          <w:rFonts w:ascii="Arial" w:hAnsi="Arial" w:cs="Arial"/>
          <w:lang w:val="en-US"/>
        </w:rPr>
        <w:t xml:space="preserve"> replication, the </w:t>
      </w:r>
      <w:r>
        <w:rPr>
          <w:rFonts w:ascii="Arial" w:hAnsi="Arial" w:cs="Arial"/>
          <w:lang w:val="en-US"/>
        </w:rPr>
        <w:t>[</w:t>
      </w:r>
      <w:r w:rsidRPr="003D6295">
        <w:rPr>
          <w:rFonts w:ascii="Arial" w:hAnsi="Arial" w:cs="Arial"/>
          <w:lang w:val="en-US"/>
        </w:rPr>
        <w:t>appellants’</w:t>
      </w:r>
      <w:r>
        <w:rPr>
          <w:rFonts w:ascii="Arial" w:hAnsi="Arial" w:cs="Arial"/>
          <w:lang w:val="en-US"/>
        </w:rPr>
        <w:t>]</w:t>
      </w:r>
      <w:r w:rsidRPr="003D6295">
        <w:rPr>
          <w:rFonts w:ascii="Arial" w:hAnsi="Arial" w:cs="Arial"/>
          <w:lang w:val="en-US"/>
        </w:rPr>
        <w:t xml:space="preserve"> rejoinder, and the </w:t>
      </w:r>
      <w:r>
        <w:rPr>
          <w:rFonts w:ascii="Arial" w:hAnsi="Arial" w:cs="Arial"/>
          <w:lang w:val="en-US"/>
        </w:rPr>
        <w:t>[respondents’]</w:t>
      </w:r>
      <w:r w:rsidRPr="003D6295">
        <w:rPr>
          <w:rFonts w:ascii="Arial" w:hAnsi="Arial" w:cs="Arial"/>
          <w:lang w:val="en-US"/>
        </w:rPr>
        <w:t xml:space="preserve"> surrejoinder filed of record; and </w:t>
      </w:r>
    </w:p>
    <w:p w14:paraId="07BA2AC5" w14:textId="5DFB7E67" w:rsidR="006F2D36" w:rsidRPr="003D6295" w:rsidRDefault="006F2D36" w:rsidP="006F2D36">
      <w:pPr>
        <w:pStyle w:val="ListParagraph"/>
        <w:tabs>
          <w:tab w:val="left" w:pos="567"/>
        </w:tabs>
        <w:spacing w:after="0" w:line="360" w:lineRule="auto"/>
        <w:ind w:left="0"/>
        <w:jc w:val="both"/>
        <w:rPr>
          <w:rFonts w:ascii="Arial" w:hAnsi="Arial" w:cs="Arial"/>
          <w:lang w:val="en-US"/>
        </w:rPr>
      </w:pPr>
      <w:r w:rsidRPr="003D6295">
        <w:rPr>
          <w:rFonts w:ascii="Arial" w:hAnsi="Arial" w:cs="Arial"/>
          <w:lang w:val="en-US"/>
        </w:rPr>
        <w:t>3.</w:t>
      </w:r>
      <w:r w:rsidR="002C00B0">
        <w:rPr>
          <w:rFonts w:ascii="Arial" w:hAnsi="Arial" w:cs="Arial"/>
          <w:lang w:val="en-US"/>
        </w:rPr>
        <w:t xml:space="preserve"> </w:t>
      </w:r>
      <w:r w:rsidRPr="003D6295">
        <w:rPr>
          <w:rFonts w:ascii="Arial" w:hAnsi="Arial" w:cs="Arial"/>
          <w:lang w:val="en-US"/>
        </w:rPr>
        <w:t xml:space="preserve">The costs occasioned by the separated special case, including the costs of the application for separation, including the costs of two counsel where so utilized, shall be borne by the </w:t>
      </w:r>
      <w:r>
        <w:rPr>
          <w:rFonts w:ascii="Arial" w:hAnsi="Arial" w:cs="Arial"/>
          <w:lang w:val="en-US"/>
        </w:rPr>
        <w:t>appellants</w:t>
      </w:r>
      <w:r w:rsidRPr="003D6295">
        <w:rPr>
          <w:rFonts w:ascii="Arial" w:hAnsi="Arial" w:cs="Arial"/>
          <w:lang w:val="en-US"/>
        </w:rPr>
        <w:t>.</w:t>
      </w:r>
      <w:r w:rsidR="002C00B0">
        <w:rPr>
          <w:rFonts w:ascii="Arial" w:hAnsi="Arial" w:cs="Arial"/>
          <w:lang w:val="en-US"/>
        </w:rPr>
        <w:t>’</w:t>
      </w:r>
    </w:p>
    <w:p w14:paraId="3CF64915" w14:textId="77777777" w:rsidR="006F2D36" w:rsidRPr="0010609C" w:rsidRDefault="006F2D36" w:rsidP="0010609C">
      <w:pPr>
        <w:rPr>
          <w:rFonts w:ascii="Arial" w:hAnsi="Arial" w:cs="Arial"/>
          <w:sz w:val="24"/>
          <w:szCs w:val="24"/>
          <w:lang w:val="en-US"/>
        </w:rPr>
      </w:pPr>
    </w:p>
    <w:p w14:paraId="4F5E7CD3" w14:textId="76D99D87"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955805" w:rsidRPr="00EF7CE5">
        <w:rPr>
          <w:rFonts w:ascii="Arial" w:hAnsi="Arial" w:cs="Arial"/>
          <w:sz w:val="24"/>
          <w:szCs w:val="24"/>
          <w:lang w:val="en-US"/>
        </w:rPr>
        <w:t xml:space="preserve">The appeal against the order of the high court is before us with the leave of this Court. </w:t>
      </w:r>
      <w:r w:rsidR="006F2D36" w:rsidRPr="00EF7CE5">
        <w:rPr>
          <w:rFonts w:ascii="Arial" w:hAnsi="Arial" w:cs="Arial"/>
          <w:sz w:val="24"/>
          <w:szCs w:val="24"/>
          <w:lang w:val="en-US"/>
        </w:rPr>
        <w:t>In my view, th</w:t>
      </w:r>
      <w:r w:rsidR="00955805" w:rsidRPr="00EF7CE5">
        <w:rPr>
          <w:rFonts w:ascii="Arial" w:hAnsi="Arial" w:cs="Arial"/>
          <w:sz w:val="24"/>
          <w:szCs w:val="24"/>
          <w:lang w:val="en-US"/>
        </w:rPr>
        <w:t>e</w:t>
      </w:r>
      <w:r w:rsidR="006F2D36" w:rsidRPr="00EF7CE5">
        <w:rPr>
          <w:rFonts w:ascii="Arial" w:hAnsi="Arial" w:cs="Arial"/>
          <w:sz w:val="24"/>
          <w:szCs w:val="24"/>
          <w:lang w:val="en-US"/>
        </w:rPr>
        <w:t xml:space="preserve"> appeal can be disposed of on a narrower basis than </w:t>
      </w:r>
      <w:r w:rsidR="007D585F" w:rsidRPr="00EF7CE5">
        <w:rPr>
          <w:rFonts w:ascii="Arial" w:hAnsi="Arial" w:cs="Arial"/>
          <w:sz w:val="24"/>
          <w:szCs w:val="24"/>
          <w:lang w:val="en-US"/>
        </w:rPr>
        <w:t xml:space="preserve">that </w:t>
      </w:r>
      <w:r w:rsidR="006F2D36" w:rsidRPr="00EF7CE5">
        <w:rPr>
          <w:rFonts w:ascii="Arial" w:hAnsi="Arial" w:cs="Arial"/>
          <w:sz w:val="24"/>
          <w:szCs w:val="24"/>
          <w:lang w:val="en-US"/>
        </w:rPr>
        <w:t xml:space="preserve">foreshadowed </w:t>
      </w:r>
      <w:r w:rsidR="004D17A0" w:rsidRPr="00EF7CE5">
        <w:rPr>
          <w:rFonts w:ascii="Arial" w:hAnsi="Arial" w:cs="Arial"/>
          <w:sz w:val="24"/>
          <w:szCs w:val="24"/>
          <w:lang w:val="en-US"/>
        </w:rPr>
        <w:t>i</w:t>
      </w:r>
      <w:r w:rsidR="006F2D36" w:rsidRPr="00EF7CE5">
        <w:rPr>
          <w:rFonts w:ascii="Arial" w:hAnsi="Arial" w:cs="Arial"/>
          <w:sz w:val="24"/>
          <w:szCs w:val="24"/>
          <w:lang w:val="en-US"/>
        </w:rPr>
        <w:t>n the pleadings. Both the appellants and the liquidators appeared to accept this during argument in the appeal.</w:t>
      </w:r>
    </w:p>
    <w:p w14:paraId="4C706054" w14:textId="77777777" w:rsidR="00AE56AF" w:rsidRPr="0059450F" w:rsidRDefault="00AE56AF" w:rsidP="00756C6C">
      <w:pPr>
        <w:pStyle w:val="ListParagraph"/>
        <w:tabs>
          <w:tab w:val="left" w:pos="567"/>
        </w:tabs>
        <w:spacing w:after="0" w:line="360" w:lineRule="auto"/>
        <w:ind w:left="0"/>
        <w:jc w:val="both"/>
        <w:rPr>
          <w:rFonts w:ascii="Arial" w:hAnsi="Arial" w:cs="Arial"/>
          <w:sz w:val="24"/>
          <w:szCs w:val="24"/>
          <w:lang w:val="en-US"/>
        </w:rPr>
      </w:pPr>
    </w:p>
    <w:p w14:paraId="2C50F63F" w14:textId="52A8B0B4"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6F2D36" w:rsidRPr="00EF7CE5">
        <w:rPr>
          <w:rFonts w:ascii="Arial" w:hAnsi="Arial" w:cs="Arial"/>
          <w:sz w:val="24"/>
          <w:szCs w:val="24"/>
          <w:lang w:val="en-US"/>
        </w:rPr>
        <w:t>Section 44</w:t>
      </w:r>
      <w:r w:rsidR="006F2D36">
        <w:rPr>
          <w:rStyle w:val="FootnoteReference"/>
          <w:rFonts w:ascii="Arial" w:hAnsi="Arial" w:cs="Arial"/>
          <w:sz w:val="24"/>
          <w:szCs w:val="24"/>
          <w:lang w:val="en-US"/>
        </w:rPr>
        <w:footnoteReference w:id="11"/>
      </w:r>
      <w:r w:rsidR="006F2D36" w:rsidRPr="00EF7CE5">
        <w:rPr>
          <w:rFonts w:ascii="Arial" w:hAnsi="Arial" w:cs="Arial"/>
          <w:sz w:val="24"/>
          <w:szCs w:val="24"/>
          <w:lang w:val="en-US"/>
        </w:rPr>
        <w:t xml:space="preserve"> </w:t>
      </w:r>
      <w:r w:rsidR="00417DFE" w:rsidRPr="00EF7CE5">
        <w:rPr>
          <w:rFonts w:ascii="Arial" w:hAnsi="Arial" w:cs="Arial"/>
          <w:sz w:val="24"/>
          <w:szCs w:val="24"/>
          <w:lang w:val="en-US"/>
        </w:rPr>
        <w:t xml:space="preserve">of the Act </w:t>
      </w:r>
      <w:r w:rsidR="006F2D36" w:rsidRPr="00EF7CE5">
        <w:rPr>
          <w:rFonts w:ascii="Arial" w:hAnsi="Arial" w:cs="Arial"/>
          <w:sz w:val="24"/>
          <w:szCs w:val="24"/>
          <w:lang w:val="en-US"/>
        </w:rPr>
        <w:t>deals comprehensively with the procedure for the proof of liquidated claims against a</w:t>
      </w:r>
      <w:r w:rsidR="00A25DA5" w:rsidRPr="00EF7CE5">
        <w:rPr>
          <w:rFonts w:ascii="Arial" w:hAnsi="Arial" w:cs="Arial"/>
          <w:sz w:val="24"/>
          <w:szCs w:val="24"/>
          <w:lang w:val="en-US"/>
        </w:rPr>
        <w:t>n insolvent estate</w:t>
      </w:r>
      <w:r w:rsidR="006F2D36" w:rsidRPr="00EF7CE5">
        <w:rPr>
          <w:rFonts w:ascii="Arial" w:hAnsi="Arial" w:cs="Arial"/>
          <w:sz w:val="24"/>
          <w:szCs w:val="24"/>
          <w:lang w:val="en-US"/>
        </w:rPr>
        <w:t>.</w:t>
      </w:r>
      <w:r w:rsidR="00791F98" w:rsidRPr="00EF7CE5">
        <w:rPr>
          <w:rFonts w:ascii="Arial" w:hAnsi="Arial" w:cs="Arial"/>
          <w:sz w:val="24"/>
          <w:szCs w:val="24"/>
          <w:lang w:val="en-US"/>
        </w:rPr>
        <w:t xml:space="preserve"> In</w:t>
      </w:r>
      <w:r w:rsidR="00791F98" w:rsidRPr="00EF7CE5">
        <w:rPr>
          <w:rFonts w:ascii="Arial" w:hAnsi="Arial" w:cs="Arial"/>
          <w:i/>
          <w:iCs/>
          <w:sz w:val="24"/>
          <w:szCs w:val="24"/>
          <w:lang w:val="en-US"/>
        </w:rPr>
        <w:t xml:space="preserve"> Caldeira v The Master and Another</w:t>
      </w:r>
      <w:r w:rsidR="00791F98" w:rsidRPr="00EF7CE5">
        <w:rPr>
          <w:rFonts w:ascii="Arial" w:hAnsi="Arial" w:cs="Arial"/>
          <w:sz w:val="24"/>
          <w:szCs w:val="24"/>
          <w:lang w:val="en-US"/>
        </w:rPr>
        <w:t>, Levinsohn J said that ‘[t]</w:t>
      </w:r>
      <w:r w:rsidR="006F2D36" w:rsidRPr="00EF7CE5">
        <w:rPr>
          <w:rFonts w:ascii="Arial" w:hAnsi="Arial" w:cs="Arial"/>
          <w:sz w:val="24"/>
          <w:szCs w:val="24"/>
          <w:lang w:val="en-US"/>
        </w:rPr>
        <w:t>he proof of claim procedure enables creditors to prove their claims in a relatively simple and expeditious fashion’.</w:t>
      </w:r>
      <w:r w:rsidR="00791F98" w:rsidRPr="00791F98">
        <w:rPr>
          <w:rStyle w:val="FootnoteReference"/>
          <w:rFonts w:ascii="Arial" w:hAnsi="Arial" w:cs="Arial"/>
          <w:sz w:val="24"/>
          <w:szCs w:val="24"/>
          <w:lang w:val="en-US"/>
        </w:rPr>
        <w:footnoteReference w:id="12"/>
      </w:r>
      <w:r w:rsidR="006F2D36" w:rsidRPr="00EF7CE5">
        <w:rPr>
          <w:rFonts w:ascii="Arial" w:hAnsi="Arial" w:cs="Arial"/>
          <w:sz w:val="24"/>
          <w:szCs w:val="24"/>
          <w:lang w:val="en-US"/>
        </w:rPr>
        <w:t xml:space="preserve"> More recently in </w:t>
      </w:r>
      <w:r w:rsidR="006F2D36" w:rsidRPr="00EF7CE5">
        <w:rPr>
          <w:rFonts w:ascii="Arial" w:hAnsi="Arial" w:cs="Arial"/>
          <w:i/>
          <w:iCs/>
          <w:sz w:val="24"/>
          <w:szCs w:val="24"/>
          <w:lang w:val="en-US"/>
        </w:rPr>
        <w:t>Breda N</w:t>
      </w:r>
      <w:r w:rsidR="0094747E" w:rsidRPr="00EF7CE5">
        <w:rPr>
          <w:rFonts w:ascii="Arial" w:hAnsi="Arial" w:cs="Arial"/>
          <w:i/>
          <w:iCs/>
          <w:sz w:val="24"/>
          <w:szCs w:val="24"/>
          <w:lang w:val="en-US"/>
        </w:rPr>
        <w:t xml:space="preserve"> </w:t>
      </w:r>
      <w:r w:rsidR="006F2D36" w:rsidRPr="00EF7CE5">
        <w:rPr>
          <w:rFonts w:ascii="Arial" w:hAnsi="Arial" w:cs="Arial"/>
          <w:i/>
          <w:iCs/>
          <w:sz w:val="24"/>
          <w:szCs w:val="24"/>
          <w:lang w:val="en-US"/>
        </w:rPr>
        <w:t>O v Master of the High Court, Kimberley</w:t>
      </w:r>
      <w:r w:rsidR="006F2D36" w:rsidRPr="00EF7CE5">
        <w:rPr>
          <w:rFonts w:ascii="Arial" w:hAnsi="Arial" w:cs="Arial"/>
          <w:sz w:val="24"/>
          <w:szCs w:val="24"/>
          <w:lang w:val="en-US"/>
        </w:rPr>
        <w:t>,</w:t>
      </w:r>
      <w:r w:rsidR="00893EE2">
        <w:rPr>
          <w:rStyle w:val="FootnoteReference"/>
          <w:rFonts w:ascii="Arial" w:hAnsi="Arial" w:cs="Arial"/>
          <w:sz w:val="24"/>
          <w:szCs w:val="24"/>
          <w:lang w:val="en-US"/>
        </w:rPr>
        <w:footnoteReference w:id="13"/>
      </w:r>
      <w:r w:rsidR="006F2D36" w:rsidRPr="00EF7CE5">
        <w:rPr>
          <w:rFonts w:ascii="Arial" w:hAnsi="Arial" w:cs="Arial"/>
          <w:sz w:val="24"/>
          <w:szCs w:val="24"/>
          <w:lang w:val="en-US"/>
        </w:rPr>
        <w:t xml:space="preserve"> this Court observed that:</w:t>
      </w:r>
      <w:r w:rsidR="00C81A0B" w:rsidRPr="00EF7CE5">
        <w:rPr>
          <w:rFonts w:ascii="Arial" w:hAnsi="Arial" w:cs="Arial"/>
          <w:sz w:val="24"/>
          <w:szCs w:val="24"/>
          <w:lang w:val="en-US"/>
        </w:rPr>
        <w:t xml:space="preserve"> </w:t>
      </w:r>
      <w:r w:rsidR="006F2D36" w:rsidRPr="00EF7CE5">
        <w:rPr>
          <w:rFonts w:ascii="Arial" w:hAnsi="Arial" w:cs="Arial"/>
          <w:sz w:val="24"/>
          <w:szCs w:val="24"/>
          <w:lang w:val="en-US"/>
        </w:rPr>
        <w:t xml:space="preserve">‘[a] presiding officer does not adjudicate upon the claim as a court of law, is not required to examine a </w:t>
      </w:r>
      <w:r w:rsidR="006F2D36" w:rsidRPr="00EF7CE5">
        <w:rPr>
          <w:rFonts w:ascii="Arial" w:hAnsi="Arial" w:cs="Arial"/>
          <w:sz w:val="24"/>
          <w:szCs w:val="24"/>
          <w:lang w:val="en-US"/>
        </w:rPr>
        <w:lastRenderedPageBreak/>
        <w:t xml:space="preserve">claim too critically and only has to be satisfied that the claim is </w:t>
      </w:r>
      <w:r w:rsidR="006F2D36" w:rsidRPr="00EF7CE5">
        <w:rPr>
          <w:rFonts w:ascii="Arial" w:hAnsi="Arial" w:cs="Arial"/>
          <w:i/>
          <w:iCs/>
          <w:sz w:val="24"/>
          <w:szCs w:val="24"/>
          <w:lang w:val="en-US"/>
        </w:rPr>
        <w:t>prima facie</w:t>
      </w:r>
      <w:r w:rsidR="006F2D36" w:rsidRPr="00EF7CE5">
        <w:rPr>
          <w:rFonts w:ascii="Arial" w:hAnsi="Arial" w:cs="Arial"/>
          <w:sz w:val="24"/>
          <w:szCs w:val="24"/>
          <w:lang w:val="en-US"/>
        </w:rPr>
        <w:t xml:space="preserve"> proved’.</w:t>
      </w:r>
      <w:r w:rsidR="00893EE2">
        <w:rPr>
          <w:rStyle w:val="FootnoteReference"/>
          <w:rFonts w:ascii="Arial" w:hAnsi="Arial" w:cs="Arial"/>
          <w:sz w:val="24"/>
          <w:szCs w:val="24"/>
          <w:lang w:val="en-US"/>
        </w:rPr>
        <w:footnoteReference w:id="14"/>
      </w:r>
      <w:r w:rsidR="00675F25" w:rsidRPr="00EF7CE5">
        <w:rPr>
          <w:rFonts w:ascii="Arial" w:hAnsi="Arial" w:cs="Arial"/>
          <w:sz w:val="24"/>
          <w:szCs w:val="24"/>
          <w:lang w:val="en-US"/>
        </w:rPr>
        <w:t xml:space="preserve"> Put differently</w:t>
      </w:r>
      <w:r w:rsidR="006F2D36" w:rsidRPr="00EF7CE5">
        <w:rPr>
          <w:rFonts w:ascii="Arial" w:hAnsi="Arial" w:cs="Arial"/>
          <w:sz w:val="24"/>
          <w:szCs w:val="24"/>
          <w:lang w:val="en-US"/>
        </w:rPr>
        <w:t xml:space="preserve">, the Master </w:t>
      </w:r>
      <w:r w:rsidR="007D585F" w:rsidRPr="00EF7CE5">
        <w:rPr>
          <w:rFonts w:ascii="Arial" w:hAnsi="Arial" w:cs="Arial"/>
          <w:sz w:val="24"/>
          <w:szCs w:val="24"/>
          <w:lang w:val="en-US"/>
        </w:rPr>
        <w:t>must</w:t>
      </w:r>
      <w:r w:rsidR="006F2D36" w:rsidRPr="00EF7CE5">
        <w:rPr>
          <w:rFonts w:ascii="Arial" w:hAnsi="Arial" w:cs="Arial"/>
          <w:sz w:val="24"/>
          <w:szCs w:val="24"/>
          <w:lang w:val="en-US"/>
        </w:rPr>
        <w:t xml:space="preserve"> examine the proof of claims’ documents to determine whether they disclose </w:t>
      </w:r>
      <w:r w:rsidR="006F2D36" w:rsidRPr="00EF7CE5">
        <w:rPr>
          <w:rFonts w:ascii="Arial" w:hAnsi="Arial" w:cs="Arial"/>
          <w:i/>
          <w:iCs/>
          <w:sz w:val="24"/>
          <w:szCs w:val="24"/>
          <w:lang w:val="en-US"/>
        </w:rPr>
        <w:t>prima facie</w:t>
      </w:r>
      <w:r w:rsidR="006F2D36" w:rsidRPr="00EF7CE5">
        <w:rPr>
          <w:rFonts w:ascii="Arial" w:hAnsi="Arial" w:cs="Arial"/>
          <w:sz w:val="24"/>
          <w:szCs w:val="24"/>
          <w:lang w:val="en-US"/>
        </w:rPr>
        <w:t xml:space="preserve"> the existence of an enforceable claim. </w:t>
      </w:r>
    </w:p>
    <w:p w14:paraId="39039D56" w14:textId="77777777" w:rsidR="006F2D36" w:rsidRPr="00890E94" w:rsidRDefault="006F2D36" w:rsidP="00890E94">
      <w:pPr>
        <w:rPr>
          <w:rFonts w:ascii="Arial" w:hAnsi="Arial" w:cs="Arial"/>
          <w:sz w:val="24"/>
          <w:szCs w:val="24"/>
          <w:lang w:val="en-US"/>
        </w:rPr>
      </w:pPr>
    </w:p>
    <w:p w14:paraId="5AB7CCE6" w14:textId="6523D7DA" w:rsidR="006F2D36" w:rsidRPr="00EF7CE5" w:rsidRDefault="00EF7CE5" w:rsidP="00EF7CE5">
      <w:pPr>
        <w:tabs>
          <w:tab w:val="left" w:pos="567"/>
        </w:tabs>
        <w:spacing w:after="0" w:line="360" w:lineRule="auto"/>
        <w:jc w:val="both"/>
        <w:rPr>
          <w:rFonts w:ascii="Arial" w:hAnsi="Arial" w:cs="Arial"/>
          <w:sz w:val="24"/>
          <w:szCs w:val="24"/>
          <w:lang w:val="en-US"/>
        </w:rPr>
      </w:pPr>
      <w:r w:rsidRPr="00B12440">
        <w:rPr>
          <w:rFonts w:ascii="Arial" w:hAnsi="Arial" w:cs="Arial"/>
          <w:sz w:val="24"/>
          <w:szCs w:val="24"/>
          <w:lang w:val="en-US"/>
        </w:rPr>
        <w:t>[15]</w:t>
      </w:r>
      <w:r w:rsidRPr="00B12440">
        <w:rPr>
          <w:rFonts w:ascii="Arial" w:hAnsi="Arial" w:cs="Arial"/>
          <w:sz w:val="24"/>
          <w:szCs w:val="24"/>
          <w:lang w:val="en-US"/>
        </w:rPr>
        <w:tab/>
      </w:r>
      <w:r w:rsidR="006F2D36" w:rsidRPr="00EF7CE5">
        <w:rPr>
          <w:rFonts w:ascii="Arial" w:hAnsi="Arial" w:cs="Arial"/>
          <w:sz w:val="24"/>
          <w:szCs w:val="24"/>
          <w:lang w:val="en-US"/>
        </w:rPr>
        <w:t>Where a Master admits a claim, the Master cannot subsequently alter that decision.</w:t>
      </w:r>
      <w:r w:rsidR="006F2D36">
        <w:rPr>
          <w:rStyle w:val="FootnoteReference"/>
          <w:rFonts w:ascii="Arial" w:hAnsi="Arial" w:cs="Arial"/>
          <w:sz w:val="24"/>
          <w:szCs w:val="24"/>
          <w:lang w:val="en-US"/>
        </w:rPr>
        <w:footnoteReference w:id="15"/>
      </w:r>
      <w:r w:rsidR="006F2D36" w:rsidRPr="00EF7CE5">
        <w:rPr>
          <w:rFonts w:ascii="Arial" w:hAnsi="Arial" w:cs="Arial"/>
          <w:sz w:val="24"/>
          <w:szCs w:val="24"/>
          <w:lang w:val="en-US"/>
        </w:rPr>
        <w:t xml:space="preserve"> </w:t>
      </w:r>
      <w:r w:rsidR="00675F25" w:rsidRPr="00EF7CE5">
        <w:rPr>
          <w:rFonts w:ascii="Arial" w:hAnsi="Arial" w:cs="Arial"/>
          <w:sz w:val="24"/>
          <w:szCs w:val="24"/>
          <w:lang w:val="en-US"/>
        </w:rPr>
        <w:t>T</w:t>
      </w:r>
      <w:r w:rsidR="006F2D36" w:rsidRPr="00EF7CE5">
        <w:rPr>
          <w:rFonts w:ascii="Arial" w:hAnsi="Arial" w:cs="Arial"/>
          <w:sz w:val="24"/>
          <w:szCs w:val="24"/>
          <w:lang w:val="en-US"/>
        </w:rPr>
        <w:t>his does not</w:t>
      </w:r>
      <w:r w:rsidR="00675F25" w:rsidRPr="00EF7CE5">
        <w:rPr>
          <w:rFonts w:ascii="Arial" w:hAnsi="Arial" w:cs="Arial"/>
          <w:sz w:val="24"/>
          <w:szCs w:val="24"/>
          <w:lang w:val="en-US"/>
        </w:rPr>
        <w:t xml:space="preserve">, however, </w:t>
      </w:r>
      <w:r w:rsidR="006F2D36" w:rsidRPr="00EF7CE5">
        <w:rPr>
          <w:rFonts w:ascii="Arial" w:hAnsi="Arial" w:cs="Arial"/>
          <w:sz w:val="24"/>
          <w:szCs w:val="24"/>
          <w:lang w:val="en-US"/>
        </w:rPr>
        <w:t xml:space="preserve">mean that the Master’s decision to admit the claim is conclusive and payable out of property of the </w:t>
      </w:r>
      <w:r w:rsidR="00A25DA5" w:rsidRPr="00EF7CE5">
        <w:rPr>
          <w:rFonts w:ascii="Arial" w:hAnsi="Arial" w:cs="Arial"/>
          <w:sz w:val="24"/>
          <w:szCs w:val="24"/>
          <w:lang w:val="en-US"/>
        </w:rPr>
        <w:t>insolvent estate</w:t>
      </w:r>
      <w:r w:rsidR="006F2D36" w:rsidRPr="00EF7CE5">
        <w:rPr>
          <w:rFonts w:ascii="Arial" w:hAnsi="Arial" w:cs="Arial"/>
          <w:sz w:val="24"/>
          <w:szCs w:val="24"/>
          <w:lang w:val="en-US"/>
        </w:rPr>
        <w:t xml:space="preserve">. </w:t>
      </w:r>
      <w:r w:rsidR="007D585F" w:rsidRPr="00EF7CE5">
        <w:rPr>
          <w:rFonts w:ascii="Arial" w:hAnsi="Arial" w:cs="Arial"/>
          <w:sz w:val="24"/>
          <w:szCs w:val="24"/>
          <w:lang w:val="en-US"/>
        </w:rPr>
        <w:t>That is so</w:t>
      </w:r>
      <w:r w:rsidR="00A60B30" w:rsidRPr="00EF7CE5">
        <w:rPr>
          <w:rFonts w:ascii="Arial" w:hAnsi="Arial" w:cs="Arial"/>
          <w:sz w:val="24"/>
          <w:szCs w:val="24"/>
          <w:lang w:val="en-US"/>
        </w:rPr>
        <w:t xml:space="preserve"> </w:t>
      </w:r>
      <w:r w:rsidR="00FC745D" w:rsidRPr="00EF7CE5">
        <w:rPr>
          <w:rFonts w:ascii="Arial" w:hAnsi="Arial" w:cs="Arial"/>
          <w:sz w:val="24"/>
          <w:szCs w:val="24"/>
          <w:lang w:val="en-US"/>
        </w:rPr>
        <w:t>because</w:t>
      </w:r>
      <w:r w:rsidR="006F2D36" w:rsidRPr="00EF7CE5">
        <w:rPr>
          <w:rFonts w:ascii="Arial" w:hAnsi="Arial" w:cs="Arial"/>
          <w:sz w:val="24"/>
          <w:szCs w:val="24"/>
          <w:lang w:val="en-US"/>
        </w:rPr>
        <w:t>, at this stage, the admission of the claim is provisional</w:t>
      </w:r>
      <w:r w:rsidR="00067612" w:rsidRPr="00EF7CE5">
        <w:rPr>
          <w:rFonts w:ascii="Arial" w:hAnsi="Arial" w:cs="Arial"/>
          <w:sz w:val="24"/>
          <w:szCs w:val="24"/>
          <w:lang w:val="en-US"/>
        </w:rPr>
        <w:t xml:space="preserve">. This means that </w:t>
      </w:r>
      <w:r w:rsidR="006F2D36" w:rsidRPr="00EF7CE5">
        <w:rPr>
          <w:rFonts w:ascii="Arial" w:hAnsi="Arial" w:cs="Arial"/>
          <w:sz w:val="24"/>
          <w:szCs w:val="24"/>
          <w:lang w:val="en-US"/>
        </w:rPr>
        <w:t>it is open to the liquidator to dispute the claim by following the procedure envisaged in s 45</w:t>
      </w:r>
      <w:r w:rsidR="00B06585" w:rsidRPr="00EF7CE5">
        <w:rPr>
          <w:rFonts w:ascii="Arial" w:hAnsi="Arial" w:cs="Arial"/>
          <w:sz w:val="24"/>
          <w:szCs w:val="24"/>
          <w:lang w:val="en-US"/>
        </w:rPr>
        <w:t>(3)</w:t>
      </w:r>
      <w:r w:rsidR="006F2D36" w:rsidRPr="00EF7CE5">
        <w:rPr>
          <w:rFonts w:ascii="Arial" w:hAnsi="Arial" w:cs="Arial"/>
          <w:sz w:val="24"/>
          <w:szCs w:val="24"/>
          <w:lang w:val="en-US"/>
        </w:rPr>
        <w:t xml:space="preserve"> of the Act</w:t>
      </w:r>
      <w:r w:rsidR="00B06585" w:rsidRPr="00EF7CE5">
        <w:rPr>
          <w:rFonts w:ascii="Arial" w:hAnsi="Arial" w:cs="Arial"/>
          <w:sz w:val="24"/>
          <w:szCs w:val="24"/>
          <w:lang w:val="en-US"/>
        </w:rPr>
        <w:t xml:space="preserve"> which</w:t>
      </w:r>
      <w:r w:rsidR="008A3E11" w:rsidRPr="00EF7CE5">
        <w:rPr>
          <w:rFonts w:ascii="Arial" w:hAnsi="Arial" w:cs="Arial"/>
          <w:sz w:val="24"/>
          <w:szCs w:val="24"/>
          <w:lang w:val="en-US"/>
        </w:rPr>
        <w:t xml:space="preserve"> </w:t>
      </w:r>
      <w:r w:rsidR="006F2D36" w:rsidRPr="00EF7CE5">
        <w:rPr>
          <w:rFonts w:ascii="Arial" w:hAnsi="Arial" w:cs="Arial"/>
          <w:sz w:val="24"/>
          <w:szCs w:val="24"/>
          <w:lang w:val="en-US"/>
        </w:rPr>
        <w:t>provides</w:t>
      </w:r>
      <w:r w:rsidR="003A57EC" w:rsidRPr="00EF7CE5">
        <w:rPr>
          <w:rFonts w:ascii="Arial" w:hAnsi="Arial" w:cs="Arial"/>
          <w:sz w:val="24"/>
          <w:szCs w:val="24"/>
          <w:lang w:val="en-US"/>
        </w:rPr>
        <w:t>:</w:t>
      </w:r>
      <w:r w:rsidR="006F2D36" w:rsidRPr="00EF7CE5">
        <w:rPr>
          <w:rFonts w:ascii="Arial" w:hAnsi="Arial" w:cs="Arial"/>
          <w:sz w:val="24"/>
          <w:szCs w:val="24"/>
          <w:lang w:val="en-US"/>
        </w:rPr>
        <w:t xml:space="preserve"> </w:t>
      </w:r>
    </w:p>
    <w:p w14:paraId="583C7988" w14:textId="4E4909FC" w:rsidR="006F2D36" w:rsidRPr="006F3619" w:rsidRDefault="006F2D36" w:rsidP="006F2D36">
      <w:pPr>
        <w:pStyle w:val="ListParagraph"/>
        <w:tabs>
          <w:tab w:val="left" w:pos="567"/>
        </w:tabs>
        <w:spacing w:after="0" w:line="360" w:lineRule="auto"/>
        <w:ind w:left="0"/>
        <w:jc w:val="both"/>
        <w:rPr>
          <w:rFonts w:ascii="Arial" w:hAnsi="Arial" w:cs="Arial"/>
          <w:lang w:val="en-US"/>
        </w:rPr>
      </w:pPr>
      <w:r w:rsidRPr="006F3619">
        <w:rPr>
          <w:rFonts w:ascii="Arial" w:hAnsi="Arial" w:cs="Arial"/>
          <w:lang w:val="en-US"/>
        </w:rPr>
        <w:t xml:space="preserve">‘If the trustee disputes a claim after it has been proved against the estate at a meeting of creditors, he shall report the fact in writing to the </w:t>
      </w:r>
      <w:r>
        <w:rPr>
          <w:rFonts w:ascii="Arial" w:hAnsi="Arial" w:cs="Arial"/>
          <w:lang w:val="en-US"/>
        </w:rPr>
        <w:t>M</w:t>
      </w:r>
      <w:r w:rsidRPr="006F3619">
        <w:rPr>
          <w:rFonts w:ascii="Arial" w:hAnsi="Arial" w:cs="Arial"/>
          <w:lang w:val="en-US"/>
        </w:rPr>
        <w:t>aster and shall state in his report his reasons for disputing the claim. Thereupon the Master may confirm the claim,</w:t>
      </w:r>
      <w:r w:rsidR="006535F7">
        <w:rPr>
          <w:rFonts w:ascii="Arial" w:hAnsi="Arial" w:cs="Arial"/>
          <w:lang w:val="en-US"/>
        </w:rPr>
        <w:t xml:space="preserve"> . . . </w:t>
      </w:r>
      <w:r w:rsidRPr="006F3619">
        <w:rPr>
          <w:rFonts w:ascii="Arial" w:hAnsi="Arial" w:cs="Arial"/>
          <w:lang w:val="en-US"/>
        </w:rPr>
        <w:t xml:space="preserve">reduce or disallow the claim, and if he has done so, he shall forthwith notify the claimant in writing: </w:t>
      </w:r>
      <w:r>
        <w:rPr>
          <w:rFonts w:ascii="Arial" w:hAnsi="Arial" w:cs="Arial"/>
          <w:lang w:val="en-US"/>
        </w:rPr>
        <w:t>P</w:t>
      </w:r>
      <w:r w:rsidRPr="006F3619">
        <w:rPr>
          <w:rFonts w:ascii="Arial" w:hAnsi="Arial" w:cs="Arial"/>
          <w:lang w:val="en-US"/>
        </w:rPr>
        <w:t xml:space="preserve">rovided that such reduction or disallowance shall not debar the claimant from establishing his claim by an action at law, but subject to the provisions of section </w:t>
      </w:r>
      <w:r w:rsidRPr="00831FB2">
        <w:rPr>
          <w:rFonts w:ascii="Arial" w:hAnsi="Arial" w:cs="Arial"/>
          <w:i/>
          <w:iCs/>
          <w:lang w:val="en-US"/>
        </w:rPr>
        <w:t>seventy-five</w:t>
      </w:r>
      <w:r w:rsidRPr="006F3619">
        <w:rPr>
          <w:rFonts w:ascii="Arial" w:hAnsi="Arial" w:cs="Arial"/>
          <w:lang w:val="en-US"/>
        </w:rPr>
        <w:t>’.</w:t>
      </w:r>
    </w:p>
    <w:p w14:paraId="230F386A" w14:textId="5AC1B6C7" w:rsidR="006F2D36" w:rsidRDefault="006F2D36" w:rsidP="006F2D36">
      <w:pPr>
        <w:pStyle w:val="ListParagraph"/>
        <w:tabs>
          <w:tab w:val="left" w:pos="567"/>
        </w:tabs>
        <w:spacing w:after="0" w:line="360" w:lineRule="auto"/>
        <w:ind w:left="0"/>
        <w:jc w:val="both"/>
        <w:rPr>
          <w:rFonts w:ascii="Arial" w:hAnsi="Arial" w:cs="Arial"/>
          <w:sz w:val="24"/>
          <w:szCs w:val="24"/>
          <w:lang w:val="en-US"/>
        </w:rPr>
      </w:pPr>
    </w:p>
    <w:p w14:paraId="19F40477" w14:textId="0CCACD8D" w:rsidR="006F2D36" w:rsidRPr="00EF7CE5" w:rsidRDefault="00EF7CE5" w:rsidP="00EF7CE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6F2D36" w:rsidRPr="00EF7CE5">
        <w:rPr>
          <w:rFonts w:ascii="Arial" w:hAnsi="Arial" w:cs="Arial"/>
          <w:sz w:val="24"/>
          <w:szCs w:val="24"/>
          <w:lang w:val="en-US"/>
        </w:rPr>
        <w:t>If the liquidator is dissatisfied with the Master’s decision to admit the claim of a creditor, he or she may apply to court to review it in terms of s 151 of the</w:t>
      </w:r>
      <w:r w:rsidR="00EB5A82" w:rsidRPr="00EF7CE5">
        <w:rPr>
          <w:rFonts w:ascii="Arial" w:hAnsi="Arial" w:cs="Arial"/>
          <w:sz w:val="24"/>
          <w:szCs w:val="24"/>
          <w:lang w:val="en-US"/>
        </w:rPr>
        <w:t xml:space="preserve"> </w:t>
      </w:r>
      <w:r w:rsidR="006F2D36" w:rsidRPr="00EF7CE5">
        <w:rPr>
          <w:rFonts w:ascii="Arial" w:hAnsi="Arial" w:cs="Arial"/>
          <w:sz w:val="24"/>
          <w:szCs w:val="24"/>
          <w:lang w:val="en-US"/>
        </w:rPr>
        <w:t>Act</w:t>
      </w:r>
      <w:r w:rsidR="00756C6C" w:rsidRPr="00EF7CE5">
        <w:rPr>
          <w:rFonts w:ascii="Arial" w:hAnsi="Arial" w:cs="Arial"/>
          <w:sz w:val="24"/>
          <w:szCs w:val="24"/>
          <w:lang w:val="en-US"/>
        </w:rPr>
        <w:t xml:space="preserve"> which</w:t>
      </w:r>
      <w:r w:rsidR="006F2D36" w:rsidRPr="00EF7CE5">
        <w:rPr>
          <w:rFonts w:ascii="Arial" w:hAnsi="Arial" w:cs="Arial"/>
          <w:sz w:val="24"/>
          <w:szCs w:val="24"/>
          <w:lang w:val="en-US"/>
        </w:rPr>
        <w:t xml:space="preserve"> provides: </w:t>
      </w:r>
    </w:p>
    <w:p w14:paraId="7F88692C" w14:textId="1695CCA0" w:rsidR="00955805" w:rsidRDefault="006F2D36" w:rsidP="00955805">
      <w:pPr>
        <w:pStyle w:val="ListParagraph"/>
        <w:tabs>
          <w:tab w:val="left" w:pos="567"/>
        </w:tabs>
        <w:spacing w:after="0" w:line="360" w:lineRule="auto"/>
        <w:ind w:left="0"/>
        <w:jc w:val="both"/>
        <w:rPr>
          <w:rFonts w:ascii="Arial" w:hAnsi="Arial" w:cs="Arial"/>
          <w:lang w:val="en-US"/>
        </w:rPr>
      </w:pPr>
      <w:r w:rsidRPr="004A4B47">
        <w:rPr>
          <w:rFonts w:ascii="Arial" w:hAnsi="Arial" w:cs="Arial"/>
          <w:lang w:val="en-US"/>
        </w:rPr>
        <w:t xml:space="preserve">‘Subject to the provisions of section </w:t>
      </w:r>
      <w:r w:rsidRPr="009E60B6">
        <w:rPr>
          <w:rFonts w:ascii="Arial" w:hAnsi="Arial" w:cs="Arial"/>
          <w:i/>
          <w:iCs/>
          <w:lang w:val="en-US"/>
        </w:rPr>
        <w:t>fifty-seven</w:t>
      </w:r>
      <w:r w:rsidRPr="004A4B47">
        <w:rPr>
          <w:rFonts w:ascii="Arial" w:hAnsi="Arial" w:cs="Arial"/>
          <w:lang w:val="en-US"/>
        </w:rPr>
        <w:t xml:space="preserve"> any person aggrieved by any decision, ruling, order or taxation of the </w:t>
      </w:r>
      <w:r>
        <w:rPr>
          <w:rFonts w:ascii="Arial" w:hAnsi="Arial" w:cs="Arial"/>
          <w:lang w:val="en-US"/>
        </w:rPr>
        <w:t>M</w:t>
      </w:r>
      <w:r w:rsidRPr="004A4B47">
        <w:rPr>
          <w:rFonts w:ascii="Arial" w:hAnsi="Arial" w:cs="Arial"/>
          <w:lang w:val="en-US"/>
        </w:rPr>
        <w:t xml:space="preserve">aster or by a decision, ruling or order of an officer presiding at a meeting of creditors may bring it under review by the court and to that end may apply to the court by motion, after notice to the </w:t>
      </w:r>
      <w:r>
        <w:rPr>
          <w:rFonts w:ascii="Arial" w:hAnsi="Arial" w:cs="Arial"/>
          <w:lang w:val="en-US"/>
        </w:rPr>
        <w:t>M</w:t>
      </w:r>
      <w:r w:rsidRPr="004A4B47">
        <w:rPr>
          <w:rFonts w:ascii="Arial" w:hAnsi="Arial" w:cs="Arial"/>
          <w:lang w:val="en-US"/>
        </w:rPr>
        <w:t xml:space="preserve">aster or to the presiding officer, as the case may be and to any person whose interests are affected: </w:t>
      </w:r>
      <w:r>
        <w:rPr>
          <w:rFonts w:ascii="Arial" w:hAnsi="Arial" w:cs="Arial"/>
          <w:lang w:val="en-US"/>
        </w:rPr>
        <w:t>P</w:t>
      </w:r>
      <w:r w:rsidRPr="004A4B47">
        <w:rPr>
          <w:rFonts w:ascii="Arial" w:hAnsi="Arial" w:cs="Arial"/>
          <w:lang w:val="en-US"/>
        </w:rPr>
        <w:t xml:space="preserve">rovided that if all or most of the creditors are affected, notice to the trustee shall be deemed to be notice to all such creditors; </w:t>
      </w:r>
      <w:r>
        <w:rPr>
          <w:rFonts w:ascii="Arial" w:hAnsi="Arial" w:cs="Arial"/>
          <w:lang w:val="en-US"/>
        </w:rPr>
        <w:t>a</w:t>
      </w:r>
      <w:r w:rsidRPr="004A4B47">
        <w:rPr>
          <w:rFonts w:ascii="Arial" w:hAnsi="Arial" w:cs="Arial"/>
          <w:lang w:val="en-US"/>
        </w:rPr>
        <w:t>nd provided further that the court shall not re</w:t>
      </w:r>
      <w:r>
        <w:rPr>
          <w:rFonts w:ascii="Arial" w:hAnsi="Arial" w:cs="Arial"/>
          <w:lang w:val="en-US"/>
        </w:rPr>
        <w:t>-</w:t>
      </w:r>
      <w:r w:rsidRPr="004A4B47">
        <w:rPr>
          <w:rFonts w:ascii="Arial" w:hAnsi="Arial" w:cs="Arial"/>
          <w:lang w:val="en-US"/>
        </w:rPr>
        <w:t>open any duly confirmed trustee</w:t>
      </w:r>
      <w:r w:rsidR="006535F7">
        <w:rPr>
          <w:rFonts w:ascii="Arial" w:hAnsi="Arial" w:cs="Arial"/>
          <w:lang w:val="en-US"/>
        </w:rPr>
        <w:t>’</w:t>
      </w:r>
      <w:r w:rsidRPr="004A4B47">
        <w:rPr>
          <w:rFonts w:ascii="Arial" w:hAnsi="Arial" w:cs="Arial"/>
          <w:lang w:val="en-US"/>
        </w:rPr>
        <w:t xml:space="preserve">s account otherwise than as is provided in section </w:t>
      </w:r>
      <w:r w:rsidRPr="001A5229">
        <w:rPr>
          <w:rFonts w:ascii="Arial" w:hAnsi="Arial" w:cs="Arial"/>
          <w:i/>
          <w:iCs/>
          <w:lang w:val="en-US"/>
        </w:rPr>
        <w:t>one hundred and twelve</w:t>
      </w:r>
      <w:r w:rsidRPr="004A4B47">
        <w:rPr>
          <w:rFonts w:ascii="Arial" w:hAnsi="Arial" w:cs="Arial"/>
          <w:lang w:val="en-US"/>
        </w:rPr>
        <w:t>.’</w:t>
      </w:r>
    </w:p>
    <w:p w14:paraId="1CCEF082" w14:textId="77777777" w:rsidR="00955805" w:rsidRDefault="00955805" w:rsidP="00955805">
      <w:pPr>
        <w:pStyle w:val="ListParagraph"/>
        <w:tabs>
          <w:tab w:val="left" w:pos="567"/>
        </w:tabs>
        <w:spacing w:after="0" w:line="360" w:lineRule="auto"/>
        <w:ind w:left="0"/>
        <w:jc w:val="both"/>
        <w:rPr>
          <w:rFonts w:ascii="Arial" w:hAnsi="Arial" w:cs="Arial"/>
          <w:sz w:val="24"/>
          <w:szCs w:val="24"/>
          <w:lang w:val="en-US"/>
        </w:rPr>
      </w:pPr>
    </w:p>
    <w:p w14:paraId="0DAEBF4B" w14:textId="5BF1E89C" w:rsidR="00955805" w:rsidRPr="00EF7CE5" w:rsidRDefault="00EF7CE5" w:rsidP="00EF7CE5">
      <w:pPr>
        <w:tabs>
          <w:tab w:val="left" w:pos="567"/>
        </w:tabs>
        <w:spacing w:after="0" w:line="360" w:lineRule="auto"/>
        <w:jc w:val="both"/>
        <w:rPr>
          <w:rFonts w:ascii="Arial" w:hAnsi="Arial" w:cs="Arial"/>
          <w:sz w:val="24"/>
          <w:szCs w:val="24"/>
          <w:lang w:val="en-US"/>
        </w:rPr>
      </w:pPr>
      <w:r w:rsidRPr="00955805">
        <w:rPr>
          <w:rFonts w:ascii="Arial" w:hAnsi="Arial" w:cs="Arial"/>
          <w:sz w:val="24"/>
          <w:szCs w:val="24"/>
          <w:lang w:val="en-US"/>
        </w:rPr>
        <w:t>[17]</w:t>
      </w:r>
      <w:r w:rsidRPr="00955805">
        <w:rPr>
          <w:rFonts w:ascii="Arial" w:hAnsi="Arial" w:cs="Arial"/>
          <w:sz w:val="24"/>
          <w:szCs w:val="24"/>
          <w:lang w:val="en-US"/>
        </w:rPr>
        <w:tab/>
      </w:r>
      <w:r w:rsidR="00955805" w:rsidRPr="00EF7CE5">
        <w:rPr>
          <w:rFonts w:ascii="Arial" w:hAnsi="Arial" w:cs="Arial"/>
          <w:sz w:val="24"/>
          <w:szCs w:val="24"/>
          <w:lang w:val="en-US"/>
        </w:rPr>
        <w:t xml:space="preserve">A liquidator may not review the decision of the Master to admit the claim, unless the liquidator has followed the procedure contemplated in s 45(3) of the Act, which is </w:t>
      </w:r>
      <w:r w:rsidR="00955805" w:rsidRPr="00EF7CE5">
        <w:rPr>
          <w:rFonts w:ascii="Arial" w:hAnsi="Arial" w:cs="Arial"/>
          <w:sz w:val="24"/>
          <w:szCs w:val="24"/>
          <w:lang w:val="en-US"/>
        </w:rPr>
        <w:lastRenderedPageBreak/>
        <w:t>peremptory.</w:t>
      </w:r>
      <w:r w:rsidR="00955805">
        <w:rPr>
          <w:rStyle w:val="FootnoteReference"/>
          <w:rFonts w:ascii="Arial" w:hAnsi="Arial" w:cs="Arial"/>
          <w:sz w:val="24"/>
          <w:szCs w:val="24"/>
          <w:lang w:val="en-US"/>
        </w:rPr>
        <w:footnoteReference w:id="16"/>
      </w:r>
      <w:r w:rsidR="00955805" w:rsidRPr="00EF7CE5">
        <w:rPr>
          <w:rFonts w:ascii="Arial" w:hAnsi="Arial" w:cs="Arial"/>
          <w:sz w:val="24"/>
          <w:szCs w:val="24"/>
          <w:lang w:val="en-US"/>
        </w:rPr>
        <w:t xml:space="preserve"> A creditor who has unsuccessfully objected to the Master’s decision to admit the claim, may take the Master’s decision on review in terms of s 151 of the Act.</w:t>
      </w:r>
      <w:r w:rsidR="00955805">
        <w:rPr>
          <w:rStyle w:val="FootnoteReference"/>
          <w:rFonts w:ascii="Arial" w:hAnsi="Arial" w:cs="Arial"/>
          <w:sz w:val="24"/>
          <w:szCs w:val="24"/>
          <w:lang w:val="en-US"/>
        </w:rPr>
        <w:footnoteReference w:id="17"/>
      </w:r>
      <w:r w:rsidR="00955805" w:rsidRPr="00EF7CE5">
        <w:rPr>
          <w:rFonts w:ascii="Arial" w:hAnsi="Arial" w:cs="Arial"/>
          <w:sz w:val="24"/>
          <w:szCs w:val="24"/>
          <w:lang w:val="en-US"/>
        </w:rPr>
        <w:t xml:space="preserve"> The Master’s decision to reject a creditor’s proved claim may also be taken on review by the aggrieved creditor. However, where no steps are taken to review the Master’s decision to admit or reject a proved claim, that claim becomes conclusive and enforceable in law against the company in liquidation. In that </w:t>
      </w:r>
      <w:r w:rsidR="00387F4E" w:rsidRPr="00EF7CE5">
        <w:rPr>
          <w:rFonts w:ascii="Arial" w:hAnsi="Arial" w:cs="Arial"/>
          <w:sz w:val="24"/>
          <w:szCs w:val="24"/>
          <w:lang w:val="en-US"/>
        </w:rPr>
        <w:t>event, the</w:t>
      </w:r>
      <w:r w:rsidR="00955805" w:rsidRPr="00EF7CE5">
        <w:rPr>
          <w:rFonts w:ascii="Arial" w:hAnsi="Arial" w:cs="Arial"/>
          <w:sz w:val="24"/>
          <w:szCs w:val="24"/>
          <w:lang w:val="en-US"/>
        </w:rPr>
        <w:t xml:space="preserve"> Master’s decision would stand. </w:t>
      </w:r>
    </w:p>
    <w:p w14:paraId="64CB5875" w14:textId="03ED4A96" w:rsidR="00955805" w:rsidRDefault="00955805" w:rsidP="00955805">
      <w:pPr>
        <w:pStyle w:val="ListParagraph"/>
        <w:tabs>
          <w:tab w:val="left" w:pos="567"/>
        </w:tabs>
        <w:spacing w:after="0" w:line="360" w:lineRule="auto"/>
        <w:ind w:left="0"/>
        <w:jc w:val="both"/>
        <w:rPr>
          <w:rFonts w:ascii="Arial" w:hAnsi="Arial" w:cs="Arial"/>
          <w:sz w:val="24"/>
          <w:szCs w:val="24"/>
          <w:lang w:val="en-US"/>
        </w:rPr>
      </w:pPr>
    </w:p>
    <w:p w14:paraId="6B3ED5B6" w14:textId="1517A62D" w:rsidR="00782F13" w:rsidRPr="00EF7CE5" w:rsidRDefault="00EF7CE5" w:rsidP="00EF7CE5">
      <w:pPr>
        <w:tabs>
          <w:tab w:val="left" w:pos="567"/>
        </w:tabs>
        <w:spacing w:after="0" w:line="360" w:lineRule="auto"/>
        <w:jc w:val="both"/>
        <w:rPr>
          <w:rFonts w:ascii="Arial" w:hAnsi="Arial" w:cs="Arial"/>
          <w:sz w:val="24"/>
          <w:szCs w:val="24"/>
          <w:lang w:val="en-US"/>
        </w:rPr>
      </w:pPr>
      <w:r w:rsidRPr="005312AE">
        <w:rPr>
          <w:rFonts w:ascii="Arial" w:hAnsi="Arial" w:cs="Arial"/>
          <w:sz w:val="24"/>
          <w:szCs w:val="24"/>
          <w:lang w:val="en-US"/>
        </w:rPr>
        <w:t>[18]</w:t>
      </w:r>
      <w:r w:rsidRPr="005312AE">
        <w:rPr>
          <w:rFonts w:ascii="Arial" w:hAnsi="Arial" w:cs="Arial"/>
          <w:sz w:val="24"/>
          <w:szCs w:val="24"/>
          <w:lang w:val="en-US"/>
        </w:rPr>
        <w:tab/>
      </w:r>
      <w:r w:rsidR="006F2D36" w:rsidRPr="00EF7CE5">
        <w:rPr>
          <w:rFonts w:ascii="Arial" w:hAnsi="Arial" w:cs="Arial"/>
          <w:sz w:val="24"/>
          <w:szCs w:val="24"/>
          <w:lang w:val="en-US"/>
        </w:rPr>
        <w:t xml:space="preserve">As the appellants, in the present matter, did not challenge the Master’s decision to admit ECDC’s claim in terms </w:t>
      </w:r>
      <w:r w:rsidR="00EA6E0D" w:rsidRPr="00EF7CE5">
        <w:rPr>
          <w:rFonts w:ascii="Arial" w:hAnsi="Arial" w:cs="Arial"/>
          <w:sz w:val="24"/>
          <w:szCs w:val="24"/>
          <w:lang w:val="en-US"/>
        </w:rPr>
        <w:t>of s 151 of the</w:t>
      </w:r>
      <w:r w:rsidR="00C43E0A" w:rsidRPr="00EF7CE5">
        <w:rPr>
          <w:rFonts w:ascii="Arial" w:hAnsi="Arial" w:cs="Arial"/>
          <w:sz w:val="24"/>
          <w:szCs w:val="24"/>
          <w:lang w:val="en-US"/>
        </w:rPr>
        <w:t xml:space="preserve"> </w:t>
      </w:r>
      <w:r w:rsidR="00EA6E0D" w:rsidRPr="00EF7CE5">
        <w:rPr>
          <w:rFonts w:ascii="Arial" w:hAnsi="Arial" w:cs="Arial"/>
          <w:sz w:val="24"/>
          <w:szCs w:val="24"/>
          <w:lang w:val="en-US"/>
        </w:rPr>
        <w:t>Act,</w:t>
      </w:r>
      <w:r w:rsidR="006F2D36" w:rsidRPr="00EF7CE5">
        <w:rPr>
          <w:rFonts w:ascii="Arial" w:hAnsi="Arial" w:cs="Arial"/>
          <w:sz w:val="24"/>
          <w:szCs w:val="24"/>
          <w:lang w:val="en-US"/>
        </w:rPr>
        <w:t xml:space="preserve"> the Master’s decision stands. </w:t>
      </w:r>
      <w:r w:rsidR="005312AE" w:rsidRPr="00EF7CE5">
        <w:rPr>
          <w:rFonts w:ascii="Arial" w:hAnsi="Arial" w:cs="Arial"/>
          <w:sz w:val="24"/>
          <w:szCs w:val="24"/>
          <w:lang w:val="en-US"/>
        </w:rPr>
        <w:t>The</w:t>
      </w:r>
      <w:r w:rsidR="005312AE" w:rsidRPr="00EF7CE5">
        <w:rPr>
          <w:rFonts w:ascii="Arial" w:hAnsi="Arial" w:cs="Arial"/>
          <w:sz w:val="24"/>
          <w:szCs w:val="24"/>
          <w:highlight w:val="lightGray"/>
          <w:lang w:val="en-US"/>
        </w:rPr>
        <w:t xml:space="preserve"> </w:t>
      </w:r>
      <w:r w:rsidR="005312AE" w:rsidRPr="00EF7CE5">
        <w:rPr>
          <w:rFonts w:ascii="Arial" w:hAnsi="Arial" w:cs="Arial"/>
          <w:sz w:val="24"/>
          <w:szCs w:val="24"/>
          <w:lang w:val="en-US"/>
        </w:rPr>
        <w:t xml:space="preserve">consequence is that </w:t>
      </w:r>
      <w:r w:rsidR="006F2D36" w:rsidRPr="00EF7CE5">
        <w:rPr>
          <w:rFonts w:ascii="Arial" w:hAnsi="Arial" w:cs="Arial"/>
          <w:sz w:val="24"/>
          <w:szCs w:val="24"/>
          <w:lang w:val="en-US"/>
        </w:rPr>
        <w:t xml:space="preserve">ECDC is factually and legally a creditor of the company in liquidation. The appellants had a </w:t>
      </w:r>
      <w:r w:rsidR="005312AE" w:rsidRPr="00EF7CE5">
        <w:rPr>
          <w:rFonts w:ascii="Arial" w:hAnsi="Arial" w:cs="Arial"/>
          <w:sz w:val="24"/>
          <w:szCs w:val="24"/>
          <w:lang w:val="en-US"/>
        </w:rPr>
        <w:t xml:space="preserve">tailor-made </w:t>
      </w:r>
      <w:r w:rsidR="00387F4E" w:rsidRPr="00EF7CE5">
        <w:rPr>
          <w:rFonts w:ascii="Arial" w:hAnsi="Arial" w:cs="Arial"/>
          <w:sz w:val="24"/>
          <w:szCs w:val="24"/>
          <w:lang w:val="en-US"/>
        </w:rPr>
        <w:t>remedy in</w:t>
      </w:r>
      <w:r w:rsidR="005312AE" w:rsidRPr="00EF7CE5">
        <w:rPr>
          <w:rFonts w:ascii="Arial" w:hAnsi="Arial" w:cs="Arial"/>
          <w:sz w:val="24"/>
          <w:szCs w:val="24"/>
          <w:lang w:val="en-US"/>
        </w:rPr>
        <w:t xml:space="preserve"> terms </w:t>
      </w:r>
      <w:r w:rsidR="00387F4E" w:rsidRPr="00EF7CE5">
        <w:rPr>
          <w:rFonts w:ascii="Arial" w:hAnsi="Arial" w:cs="Arial"/>
          <w:sz w:val="24"/>
          <w:szCs w:val="24"/>
          <w:lang w:val="en-US"/>
        </w:rPr>
        <w:t>of the</w:t>
      </w:r>
      <w:r w:rsidR="006F2D36" w:rsidRPr="00EF7CE5">
        <w:rPr>
          <w:rFonts w:ascii="Arial" w:hAnsi="Arial" w:cs="Arial"/>
          <w:sz w:val="24"/>
          <w:szCs w:val="24"/>
          <w:lang w:val="en-US"/>
        </w:rPr>
        <w:t xml:space="preserve"> Act to review the Master’s </w:t>
      </w:r>
      <w:r w:rsidR="00387F4E" w:rsidRPr="00EF7CE5">
        <w:rPr>
          <w:rFonts w:ascii="Arial" w:hAnsi="Arial" w:cs="Arial"/>
          <w:sz w:val="24"/>
          <w:szCs w:val="24"/>
          <w:lang w:val="en-US"/>
        </w:rPr>
        <w:t>decision but</w:t>
      </w:r>
      <w:r w:rsidR="006F2D36" w:rsidRPr="00EF7CE5">
        <w:rPr>
          <w:rFonts w:ascii="Arial" w:hAnsi="Arial" w:cs="Arial"/>
          <w:sz w:val="24"/>
          <w:szCs w:val="24"/>
          <w:lang w:val="en-US"/>
        </w:rPr>
        <w:t xml:space="preserve"> </w:t>
      </w:r>
      <w:r w:rsidR="007D585F" w:rsidRPr="00EF7CE5">
        <w:rPr>
          <w:rFonts w:ascii="Arial" w:hAnsi="Arial" w:cs="Arial"/>
          <w:sz w:val="24"/>
          <w:szCs w:val="24"/>
          <w:lang w:val="en-US"/>
        </w:rPr>
        <w:t>did</w:t>
      </w:r>
      <w:r w:rsidR="006F2D36" w:rsidRPr="00EF7CE5">
        <w:rPr>
          <w:rFonts w:ascii="Arial" w:hAnsi="Arial" w:cs="Arial"/>
          <w:sz w:val="24"/>
          <w:szCs w:val="24"/>
          <w:lang w:val="en-US"/>
        </w:rPr>
        <w:t xml:space="preserve"> not do so. </w:t>
      </w:r>
    </w:p>
    <w:p w14:paraId="6BF025CC" w14:textId="77777777" w:rsidR="00782F13" w:rsidRPr="003C0CD1" w:rsidRDefault="00782F13" w:rsidP="00955805">
      <w:pPr>
        <w:tabs>
          <w:tab w:val="left" w:pos="567"/>
        </w:tabs>
        <w:spacing w:after="0" w:line="360" w:lineRule="auto"/>
        <w:jc w:val="both"/>
        <w:rPr>
          <w:rFonts w:ascii="Arial" w:hAnsi="Arial" w:cs="Arial"/>
          <w:sz w:val="24"/>
          <w:szCs w:val="24"/>
          <w:lang w:val="en-US"/>
        </w:rPr>
      </w:pPr>
    </w:p>
    <w:p w14:paraId="1372D258" w14:textId="2F12FAC8" w:rsidR="006E3738" w:rsidRPr="00955805" w:rsidRDefault="00782F13" w:rsidP="00782F13">
      <w:pPr>
        <w:pStyle w:val="ListParagraph"/>
        <w:tabs>
          <w:tab w:val="left" w:pos="567"/>
        </w:tabs>
        <w:spacing w:after="0" w:line="360" w:lineRule="auto"/>
        <w:ind w:left="0"/>
        <w:jc w:val="both"/>
        <w:rPr>
          <w:rFonts w:ascii="Arial" w:hAnsi="Arial" w:cs="Arial"/>
          <w:color w:val="000000" w:themeColor="text1"/>
          <w:sz w:val="24"/>
          <w:szCs w:val="24"/>
          <w:lang w:val="en-US"/>
        </w:rPr>
      </w:pPr>
      <w:r>
        <w:rPr>
          <w:rFonts w:ascii="Arial" w:hAnsi="Arial" w:cs="Arial"/>
          <w:sz w:val="24"/>
          <w:szCs w:val="24"/>
          <w:lang w:val="en-US"/>
        </w:rPr>
        <w:t>[</w:t>
      </w:r>
      <w:r w:rsidR="008C0DFA">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r>
      <w:r w:rsidR="0095141C" w:rsidRPr="00FA3EDD">
        <w:rPr>
          <w:rFonts w:ascii="Arial" w:hAnsi="Arial" w:cs="Arial"/>
          <w:color w:val="000000" w:themeColor="text1"/>
          <w:sz w:val="24"/>
          <w:szCs w:val="24"/>
          <w:lang w:val="en-US"/>
        </w:rPr>
        <w:t>T</w:t>
      </w:r>
      <w:r w:rsidR="005312AE" w:rsidRPr="00FA3EDD">
        <w:rPr>
          <w:rFonts w:ascii="Arial" w:hAnsi="Arial" w:cs="Arial"/>
          <w:color w:val="000000" w:themeColor="text1"/>
          <w:sz w:val="24"/>
          <w:szCs w:val="24"/>
          <w:lang w:val="en-US"/>
        </w:rPr>
        <w:t xml:space="preserve">he legislature </w:t>
      </w:r>
      <w:r w:rsidR="0095141C" w:rsidRPr="00FA3EDD">
        <w:rPr>
          <w:rFonts w:ascii="Arial" w:hAnsi="Arial" w:cs="Arial"/>
          <w:color w:val="000000" w:themeColor="text1"/>
          <w:sz w:val="24"/>
          <w:szCs w:val="24"/>
          <w:lang w:val="en-US"/>
        </w:rPr>
        <w:t>has provided parties in the position of the appel</w:t>
      </w:r>
      <w:r w:rsidR="00225E22" w:rsidRPr="00FA3EDD">
        <w:rPr>
          <w:rFonts w:ascii="Arial" w:hAnsi="Arial" w:cs="Arial"/>
          <w:color w:val="000000" w:themeColor="text1"/>
          <w:sz w:val="24"/>
          <w:szCs w:val="24"/>
          <w:lang w:val="en-US"/>
        </w:rPr>
        <w:t>l</w:t>
      </w:r>
      <w:r w:rsidR="0095141C" w:rsidRPr="00FA3EDD">
        <w:rPr>
          <w:rFonts w:ascii="Arial" w:hAnsi="Arial" w:cs="Arial"/>
          <w:color w:val="000000" w:themeColor="text1"/>
          <w:sz w:val="24"/>
          <w:szCs w:val="24"/>
          <w:lang w:val="en-US"/>
        </w:rPr>
        <w:t xml:space="preserve">ants with </w:t>
      </w:r>
      <w:r w:rsidR="005B75A5" w:rsidRPr="00FA3EDD">
        <w:rPr>
          <w:rFonts w:ascii="Arial" w:hAnsi="Arial" w:cs="Arial"/>
          <w:color w:val="000000" w:themeColor="text1"/>
          <w:sz w:val="24"/>
          <w:szCs w:val="24"/>
          <w:lang w:val="en-US"/>
        </w:rPr>
        <w:t xml:space="preserve">a </w:t>
      </w:r>
      <w:r w:rsidR="0095141C" w:rsidRPr="00FA3EDD">
        <w:rPr>
          <w:rFonts w:ascii="Arial" w:hAnsi="Arial" w:cs="Arial"/>
          <w:color w:val="000000" w:themeColor="text1"/>
          <w:sz w:val="24"/>
          <w:szCs w:val="24"/>
          <w:lang w:val="en-US"/>
        </w:rPr>
        <w:t>suite of statutory remedies. In argument, t</w:t>
      </w:r>
      <w:r w:rsidR="00067612" w:rsidRPr="00FA3EDD">
        <w:rPr>
          <w:rFonts w:ascii="Arial" w:hAnsi="Arial" w:cs="Arial"/>
          <w:color w:val="000000" w:themeColor="text1"/>
          <w:sz w:val="24"/>
          <w:szCs w:val="24"/>
          <w:lang w:val="en-US"/>
        </w:rPr>
        <w:t>he appellants</w:t>
      </w:r>
      <w:r w:rsidR="00CB2181" w:rsidRPr="00FA3EDD">
        <w:rPr>
          <w:rFonts w:ascii="Arial" w:hAnsi="Arial" w:cs="Arial"/>
          <w:color w:val="000000" w:themeColor="text1"/>
          <w:sz w:val="24"/>
          <w:szCs w:val="24"/>
          <w:lang w:val="en-US"/>
        </w:rPr>
        <w:t xml:space="preserve"> </w:t>
      </w:r>
      <w:r w:rsidR="0095141C" w:rsidRPr="00FA3EDD">
        <w:rPr>
          <w:rFonts w:ascii="Arial" w:hAnsi="Arial" w:cs="Arial"/>
          <w:color w:val="000000" w:themeColor="text1"/>
          <w:sz w:val="24"/>
          <w:szCs w:val="24"/>
          <w:lang w:val="en-US"/>
        </w:rPr>
        <w:t xml:space="preserve">appeared to accept that reliance on the </w:t>
      </w:r>
      <w:r w:rsidR="00CB2181" w:rsidRPr="00FA3EDD">
        <w:rPr>
          <w:rFonts w:ascii="Arial" w:hAnsi="Arial" w:cs="Arial"/>
          <w:color w:val="000000" w:themeColor="text1"/>
          <w:sz w:val="24"/>
          <w:szCs w:val="24"/>
          <w:lang w:val="en-US"/>
        </w:rPr>
        <w:t>common law</w:t>
      </w:r>
      <w:r w:rsidR="0095141C" w:rsidRPr="00FA3EDD">
        <w:rPr>
          <w:rFonts w:ascii="Arial" w:hAnsi="Arial" w:cs="Arial"/>
          <w:color w:val="000000" w:themeColor="text1"/>
          <w:sz w:val="24"/>
          <w:szCs w:val="24"/>
          <w:lang w:val="en-US"/>
        </w:rPr>
        <w:t xml:space="preserve"> as the basis to assert a claim</w:t>
      </w:r>
      <w:r w:rsidR="000C4797" w:rsidRPr="00FA3EDD">
        <w:rPr>
          <w:rFonts w:ascii="Arial" w:hAnsi="Arial" w:cs="Arial"/>
          <w:sz w:val="24"/>
          <w:szCs w:val="24"/>
          <w:lang w:val="en-US"/>
        </w:rPr>
        <w:t>,</w:t>
      </w:r>
      <w:r w:rsidR="00756C6C" w:rsidRPr="00FA3EDD">
        <w:rPr>
          <w:rFonts w:ascii="Arial" w:hAnsi="Arial" w:cs="Arial"/>
          <w:sz w:val="24"/>
          <w:szCs w:val="24"/>
          <w:lang w:val="en-US"/>
        </w:rPr>
        <w:t xml:space="preserve"> </w:t>
      </w:r>
      <w:r w:rsidR="006F2D36" w:rsidRPr="00FA3EDD">
        <w:rPr>
          <w:rFonts w:ascii="Arial" w:hAnsi="Arial" w:cs="Arial"/>
          <w:sz w:val="24"/>
          <w:szCs w:val="24"/>
          <w:lang w:val="en-US"/>
        </w:rPr>
        <w:t xml:space="preserve">is bound to result </w:t>
      </w:r>
      <w:r w:rsidR="007D585F" w:rsidRPr="00FA3EDD">
        <w:rPr>
          <w:rFonts w:ascii="Arial" w:hAnsi="Arial" w:cs="Arial"/>
          <w:sz w:val="24"/>
          <w:szCs w:val="24"/>
          <w:lang w:val="en-US"/>
        </w:rPr>
        <w:t xml:space="preserve">in </w:t>
      </w:r>
      <w:r w:rsidR="00532987" w:rsidRPr="00FA3EDD">
        <w:rPr>
          <w:rFonts w:ascii="Arial" w:hAnsi="Arial" w:cs="Arial"/>
          <w:sz w:val="24"/>
          <w:szCs w:val="24"/>
          <w:lang w:val="en-US"/>
        </w:rPr>
        <w:t xml:space="preserve">an </w:t>
      </w:r>
      <w:r w:rsidR="006F2D36" w:rsidRPr="00FA3EDD">
        <w:rPr>
          <w:rFonts w:ascii="Arial" w:hAnsi="Arial" w:cs="Arial"/>
          <w:sz w:val="24"/>
          <w:szCs w:val="24"/>
          <w:lang w:val="en-US"/>
        </w:rPr>
        <w:t>incongruity</w:t>
      </w:r>
      <w:r w:rsidR="0095141C" w:rsidRPr="00FA3EDD">
        <w:rPr>
          <w:rFonts w:ascii="Arial" w:hAnsi="Arial" w:cs="Arial"/>
          <w:sz w:val="24"/>
          <w:szCs w:val="24"/>
          <w:lang w:val="en-US"/>
        </w:rPr>
        <w:t xml:space="preserve"> with the overall scheme of the Act</w:t>
      </w:r>
      <w:r w:rsidR="000C4797" w:rsidRPr="00FA3EDD">
        <w:rPr>
          <w:rFonts w:ascii="Arial" w:hAnsi="Arial" w:cs="Arial"/>
          <w:sz w:val="24"/>
          <w:szCs w:val="24"/>
          <w:lang w:val="en-US"/>
        </w:rPr>
        <w:t xml:space="preserve">. </w:t>
      </w:r>
      <w:r w:rsidR="0095141C" w:rsidRPr="00FA3EDD">
        <w:rPr>
          <w:rFonts w:ascii="Arial" w:hAnsi="Arial" w:cs="Arial"/>
          <w:sz w:val="24"/>
          <w:szCs w:val="24"/>
          <w:lang w:val="en-US"/>
        </w:rPr>
        <w:t>Any decision on that claim could notionally be at odds with the decision of the Master to admit such claim to proof</w:t>
      </w:r>
      <w:r w:rsidR="005B28B6" w:rsidRPr="00FA3EDD">
        <w:rPr>
          <w:rFonts w:ascii="Arial" w:hAnsi="Arial" w:cs="Arial"/>
          <w:sz w:val="24"/>
          <w:szCs w:val="24"/>
          <w:lang w:val="en-US"/>
        </w:rPr>
        <w:t xml:space="preserve">, where, as here, the Master was not cited nor afforded an opportunity to defend his or her decision. </w:t>
      </w:r>
      <w:r w:rsidR="005B28B6" w:rsidRPr="00FA3EDD">
        <w:rPr>
          <w:rFonts w:ascii="Arial" w:hAnsi="Arial" w:cs="Arial"/>
          <w:color w:val="000000" w:themeColor="text1"/>
          <w:sz w:val="24"/>
          <w:szCs w:val="24"/>
          <w:lang w:val="en-US"/>
        </w:rPr>
        <w:t>It follows that in circumstances such as the present, a litigant, in the position of the appellants, who is aggrieved by a decision of the Master to admit to proof a claim against an insolvent estate, would be restricted to the remedy of a review under s 151 of the Act.</w:t>
      </w:r>
      <w:r w:rsidR="005B28B6" w:rsidRPr="00955805">
        <w:rPr>
          <w:rFonts w:ascii="Arial" w:hAnsi="Arial" w:cs="Arial"/>
          <w:color w:val="000000" w:themeColor="text1"/>
          <w:sz w:val="24"/>
          <w:szCs w:val="24"/>
          <w:lang w:val="en-US"/>
        </w:rPr>
        <w:t xml:space="preserve">    </w:t>
      </w:r>
    </w:p>
    <w:p w14:paraId="1DDA98AA" w14:textId="77777777" w:rsidR="00AE56AF" w:rsidRDefault="00AE56AF" w:rsidP="00756C6C">
      <w:pPr>
        <w:pStyle w:val="ListParagraph"/>
        <w:tabs>
          <w:tab w:val="left" w:pos="567"/>
        </w:tabs>
        <w:spacing w:after="0" w:line="360" w:lineRule="auto"/>
        <w:ind w:left="0"/>
        <w:jc w:val="both"/>
        <w:rPr>
          <w:rFonts w:ascii="Arial" w:hAnsi="Arial" w:cs="Arial"/>
          <w:sz w:val="24"/>
          <w:szCs w:val="24"/>
          <w:lang w:val="en-US"/>
        </w:rPr>
      </w:pPr>
    </w:p>
    <w:p w14:paraId="1CDBC653" w14:textId="29614659" w:rsidR="006F2D36" w:rsidRDefault="00782F13" w:rsidP="0095580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[2</w:t>
      </w:r>
      <w:r w:rsidR="008C0DFA">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387F4E" w:rsidRPr="00955805">
        <w:rPr>
          <w:rFonts w:ascii="Arial" w:hAnsi="Arial" w:cs="Arial"/>
          <w:sz w:val="24"/>
          <w:szCs w:val="24"/>
          <w:lang w:val="en-US"/>
        </w:rPr>
        <w:t>Several</w:t>
      </w:r>
      <w:r w:rsidR="006F2D36" w:rsidRPr="00955805">
        <w:rPr>
          <w:rFonts w:ascii="Arial" w:hAnsi="Arial" w:cs="Arial"/>
          <w:sz w:val="24"/>
          <w:szCs w:val="24"/>
          <w:lang w:val="en-US"/>
        </w:rPr>
        <w:t xml:space="preserve"> consequences arise from the final winding-up of </w:t>
      </w:r>
      <w:r w:rsidR="00225E22">
        <w:rPr>
          <w:rFonts w:ascii="Arial" w:hAnsi="Arial" w:cs="Arial"/>
          <w:sz w:val="24"/>
          <w:szCs w:val="24"/>
          <w:lang w:val="en-US"/>
        </w:rPr>
        <w:t xml:space="preserve">a company. </w:t>
      </w:r>
      <w:r w:rsidR="006F2D36" w:rsidRPr="00955805">
        <w:rPr>
          <w:rFonts w:ascii="Arial" w:hAnsi="Arial" w:cs="Arial"/>
          <w:sz w:val="24"/>
          <w:szCs w:val="24"/>
          <w:lang w:val="en-US"/>
        </w:rPr>
        <w:t xml:space="preserve">Foremost is the creation of a </w:t>
      </w:r>
      <w:r w:rsidR="006F2D36" w:rsidRPr="00955805">
        <w:rPr>
          <w:rFonts w:ascii="Arial" w:hAnsi="Arial" w:cs="Arial"/>
          <w:i/>
          <w:iCs/>
          <w:sz w:val="24"/>
          <w:szCs w:val="24"/>
          <w:lang w:val="en-US"/>
        </w:rPr>
        <w:t xml:space="preserve">concursus creditorum, </w:t>
      </w:r>
      <w:r w:rsidR="006F2D36" w:rsidRPr="00955805">
        <w:rPr>
          <w:rFonts w:ascii="Arial" w:hAnsi="Arial" w:cs="Arial"/>
          <w:sz w:val="24"/>
          <w:szCs w:val="24"/>
          <w:lang w:val="en-US"/>
        </w:rPr>
        <w:t xml:space="preserve">the effect of which was described by this Court in </w:t>
      </w:r>
      <w:r w:rsidR="006F2D36" w:rsidRPr="00955805">
        <w:rPr>
          <w:rFonts w:ascii="Arial" w:hAnsi="Arial" w:cs="Arial"/>
          <w:i/>
          <w:iCs/>
          <w:sz w:val="24"/>
          <w:szCs w:val="24"/>
          <w:lang w:val="en-US"/>
        </w:rPr>
        <w:t>Walker v Syfret N</w:t>
      </w:r>
      <w:r w:rsidR="00321D27">
        <w:rPr>
          <w:rFonts w:ascii="Arial" w:hAnsi="Arial" w:cs="Arial"/>
          <w:i/>
          <w:iCs/>
          <w:sz w:val="24"/>
          <w:szCs w:val="24"/>
          <w:lang w:val="en-US"/>
        </w:rPr>
        <w:t xml:space="preserve"> </w:t>
      </w:r>
      <w:r w:rsidR="006F2D36" w:rsidRPr="00955805">
        <w:rPr>
          <w:rFonts w:ascii="Arial" w:hAnsi="Arial" w:cs="Arial"/>
          <w:i/>
          <w:iCs/>
          <w:sz w:val="24"/>
          <w:szCs w:val="24"/>
          <w:lang w:val="en-US"/>
        </w:rPr>
        <w:t>O</w:t>
      </w:r>
      <w:r w:rsidR="006F2D36" w:rsidRPr="00955805">
        <w:rPr>
          <w:rFonts w:ascii="Arial" w:hAnsi="Arial" w:cs="Arial"/>
          <w:sz w:val="24"/>
          <w:szCs w:val="24"/>
          <w:lang w:val="en-US"/>
        </w:rPr>
        <w:t>:</w:t>
      </w:r>
      <w:r w:rsidR="00EB5A82">
        <w:rPr>
          <w:rStyle w:val="FootnoteReference"/>
          <w:rFonts w:ascii="Arial" w:hAnsi="Arial" w:cs="Arial"/>
          <w:sz w:val="24"/>
          <w:szCs w:val="24"/>
          <w:lang w:val="en-US"/>
        </w:rPr>
        <w:footnoteReference w:id="18"/>
      </w:r>
      <w:r w:rsidR="001F0DF3" w:rsidRPr="00955805">
        <w:rPr>
          <w:rFonts w:ascii="Arial" w:hAnsi="Arial" w:cs="Arial"/>
          <w:sz w:val="24"/>
          <w:szCs w:val="24"/>
          <w:lang w:val="en-US"/>
        </w:rPr>
        <w:t xml:space="preserve"> </w:t>
      </w:r>
      <w:r w:rsidR="006F2D36" w:rsidRPr="00955805">
        <w:rPr>
          <w:rFonts w:ascii="Arial" w:hAnsi="Arial" w:cs="Arial"/>
          <w:lang w:val="en-US"/>
        </w:rPr>
        <w:t>‘</w:t>
      </w:r>
      <w:r w:rsidR="00321D27">
        <w:rPr>
          <w:rFonts w:ascii="Arial" w:hAnsi="Arial" w:cs="Arial"/>
          <w:lang w:val="en-US"/>
        </w:rPr>
        <w:t xml:space="preserve">. . . </w:t>
      </w:r>
      <w:r w:rsidR="006F2D36" w:rsidRPr="00955805">
        <w:rPr>
          <w:rFonts w:ascii="Arial" w:hAnsi="Arial" w:cs="Arial"/>
          <w:lang w:val="en-US"/>
        </w:rPr>
        <w:t xml:space="preserve">the </w:t>
      </w:r>
      <w:r w:rsidR="00387F4E" w:rsidRPr="00955805">
        <w:rPr>
          <w:rFonts w:ascii="Arial" w:hAnsi="Arial" w:cs="Arial"/>
          <w:lang w:val="en-US"/>
        </w:rPr>
        <w:t>hand</w:t>
      </w:r>
      <w:r w:rsidR="006F2D36" w:rsidRPr="00955805">
        <w:rPr>
          <w:rFonts w:ascii="Arial" w:hAnsi="Arial" w:cs="Arial"/>
          <w:lang w:val="en-US"/>
        </w:rPr>
        <w:t xml:space="preserve"> of the law is laid upon the estate, and at once the rights of the general body of creditors have to be taken into consideration. No transaction can thereafter be entered into with regard to estate matters by a single creditor to the prejudice </w:t>
      </w:r>
      <w:r w:rsidR="006F2D36" w:rsidRPr="00955805">
        <w:rPr>
          <w:rFonts w:ascii="Arial" w:hAnsi="Arial" w:cs="Arial"/>
          <w:lang w:val="en-US"/>
        </w:rPr>
        <w:lastRenderedPageBreak/>
        <w:t>of the general body. The claim of each creditor must be dealt with as it exi</w:t>
      </w:r>
      <w:r w:rsidR="00BB1503" w:rsidRPr="00955805">
        <w:rPr>
          <w:rFonts w:ascii="Arial" w:hAnsi="Arial" w:cs="Arial"/>
          <w:lang w:val="en-US"/>
        </w:rPr>
        <w:t>sted at the issue of the order.’</w:t>
      </w:r>
    </w:p>
    <w:p w14:paraId="353BE75E" w14:textId="77777777" w:rsidR="00955805" w:rsidRDefault="00955805" w:rsidP="00955805">
      <w:pPr>
        <w:tabs>
          <w:tab w:val="left" w:pos="567"/>
        </w:tabs>
        <w:spacing w:after="0" w:line="360" w:lineRule="auto"/>
        <w:jc w:val="both"/>
        <w:rPr>
          <w:rFonts w:ascii="Arial" w:hAnsi="Arial" w:cs="Arial"/>
          <w:sz w:val="24"/>
          <w:szCs w:val="24"/>
          <w:lang w:val="en-US"/>
        </w:rPr>
      </w:pPr>
    </w:p>
    <w:p w14:paraId="36543046" w14:textId="128E1FFB" w:rsidR="006F2D36" w:rsidRPr="00955805" w:rsidRDefault="00782F13" w:rsidP="00955805">
      <w:pPr>
        <w:tabs>
          <w:tab w:val="left" w:pos="567"/>
        </w:tabs>
        <w:spacing w:after="0" w:line="360" w:lineRule="auto"/>
        <w:jc w:val="both"/>
        <w:rPr>
          <w:rFonts w:ascii="Arial" w:hAnsi="Arial" w:cs="Arial"/>
          <w:sz w:val="24"/>
          <w:szCs w:val="24"/>
          <w:lang w:val="en-US"/>
        </w:rPr>
      </w:pPr>
      <w:r>
        <w:rPr>
          <w:rFonts w:ascii="Arial" w:hAnsi="Arial" w:cs="Arial"/>
          <w:sz w:val="24"/>
          <w:szCs w:val="24"/>
          <w:lang w:val="en-US"/>
        </w:rPr>
        <w:t>[2</w:t>
      </w:r>
      <w:r w:rsidR="008C0DFA">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06658D" w:rsidRPr="00955805">
        <w:rPr>
          <w:rFonts w:ascii="Arial" w:hAnsi="Arial" w:cs="Arial"/>
          <w:sz w:val="24"/>
          <w:szCs w:val="24"/>
          <w:lang w:val="en-US"/>
        </w:rPr>
        <w:t xml:space="preserve"> </w:t>
      </w:r>
      <w:r w:rsidR="006F2D36" w:rsidRPr="00955805">
        <w:rPr>
          <w:rFonts w:ascii="Arial" w:hAnsi="Arial" w:cs="Arial"/>
          <w:sz w:val="24"/>
          <w:szCs w:val="24"/>
          <w:lang w:val="en-US"/>
        </w:rPr>
        <w:t xml:space="preserve">ECDC is a creditor with a proved claim </w:t>
      </w:r>
      <w:r w:rsidR="00A17B5C" w:rsidRPr="00955805">
        <w:rPr>
          <w:rFonts w:ascii="Arial" w:hAnsi="Arial" w:cs="Arial"/>
          <w:sz w:val="24"/>
          <w:szCs w:val="24"/>
          <w:lang w:val="en-US"/>
        </w:rPr>
        <w:t>that</w:t>
      </w:r>
      <w:r w:rsidR="006F2D36" w:rsidRPr="00955805">
        <w:rPr>
          <w:rFonts w:ascii="Arial" w:hAnsi="Arial" w:cs="Arial"/>
          <w:sz w:val="24"/>
          <w:szCs w:val="24"/>
          <w:lang w:val="en-US"/>
        </w:rPr>
        <w:t xml:space="preserve"> is enforceable against</w:t>
      </w:r>
      <w:r w:rsidR="00955805">
        <w:rPr>
          <w:rFonts w:ascii="Arial" w:hAnsi="Arial" w:cs="Arial"/>
          <w:sz w:val="24"/>
          <w:szCs w:val="24"/>
          <w:lang w:val="en-US"/>
        </w:rPr>
        <w:t xml:space="preserve"> </w:t>
      </w:r>
      <w:r w:rsidR="000B1C3C">
        <w:rPr>
          <w:rFonts w:ascii="Arial" w:hAnsi="Arial" w:cs="Arial"/>
          <w:sz w:val="24"/>
          <w:szCs w:val="24"/>
          <w:lang w:val="en-US"/>
        </w:rPr>
        <w:t>Watt Street</w:t>
      </w:r>
      <w:r w:rsidR="001A6095">
        <w:rPr>
          <w:rFonts w:ascii="Arial" w:hAnsi="Arial" w:cs="Arial"/>
          <w:sz w:val="24"/>
          <w:szCs w:val="24"/>
          <w:lang w:val="en-US"/>
        </w:rPr>
        <w:t>.</w:t>
      </w:r>
      <w:r w:rsidR="006F2D36" w:rsidRPr="00955805">
        <w:rPr>
          <w:rFonts w:ascii="Arial" w:hAnsi="Arial" w:cs="Arial"/>
          <w:sz w:val="24"/>
          <w:szCs w:val="24"/>
          <w:lang w:val="en-US"/>
        </w:rPr>
        <w:t xml:space="preserve"> That decision has not been set aside on review. </w:t>
      </w:r>
      <w:r w:rsidR="009F7C26" w:rsidRPr="001A6095">
        <w:rPr>
          <w:rFonts w:ascii="Arial" w:hAnsi="Arial" w:cs="Arial"/>
          <w:sz w:val="24"/>
          <w:szCs w:val="24"/>
          <w:lang w:val="en-US"/>
        </w:rPr>
        <w:t>It therefore stands</w:t>
      </w:r>
      <w:r w:rsidR="009F7C26">
        <w:rPr>
          <w:rFonts w:ascii="Arial" w:hAnsi="Arial" w:cs="Arial"/>
          <w:sz w:val="24"/>
          <w:szCs w:val="24"/>
          <w:lang w:val="en-US"/>
        </w:rPr>
        <w:t xml:space="preserve">. </w:t>
      </w:r>
      <w:r w:rsidR="006F2D36" w:rsidRPr="00955805">
        <w:rPr>
          <w:rFonts w:ascii="Arial" w:hAnsi="Arial" w:cs="Arial"/>
          <w:sz w:val="24"/>
          <w:szCs w:val="24"/>
          <w:lang w:val="en-US"/>
        </w:rPr>
        <w:t xml:space="preserve">The appellants, however, </w:t>
      </w:r>
      <w:r w:rsidR="000E2E15" w:rsidRPr="00FA3EDD">
        <w:rPr>
          <w:rFonts w:ascii="Arial" w:hAnsi="Arial" w:cs="Arial"/>
          <w:sz w:val="24"/>
          <w:szCs w:val="24"/>
          <w:lang w:val="en-US"/>
        </w:rPr>
        <w:t>seek to avoid this legal consequence</w:t>
      </w:r>
      <w:r w:rsidR="006F2D36" w:rsidRPr="00955805">
        <w:rPr>
          <w:rFonts w:ascii="Arial" w:hAnsi="Arial" w:cs="Arial"/>
          <w:sz w:val="24"/>
          <w:szCs w:val="24"/>
          <w:lang w:val="en-US"/>
        </w:rPr>
        <w:t xml:space="preserve"> </w:t>
      </w:r>
      <w:r w:rsidR="00067612" w:rsidRPr="00955805">
        <w:rPr>
          <w:rFonts w:ascii="Arial" w:hAnsi="Arial" w:cs="Arial"/>
          <w:sz w:val="24"/>
          <w:szCs w:val="24"/>
          <w:lang w:val="en-US"/>
        </w:rPr>
        <w:t>by</w:t>
      </w:r>
      <w:r w:rsidR="006F2D36" w:rsidRPr="00955805">
        <w:rPr>
          <w:rFonts w:ascii="Arial" w:hAnsi="Arial" w:cs="Arial"/>
          <w:sz w:val="24"/>
          <w:szCs w:val="24"/>
          <w:lang w:val="en-US"/>
        </w:rPr>
        <w:t xml:space="preserve"> contending that it is incumbent on the liquidators to establish, as a pre-requisite to their </w:t>
      </w:r>
      <w:r w:rsidR="00387F4E" w:rsidRPr="00955805">
        <w:rPr>
          <w:rFonts w:ascii="Arial" w:hAnsi="Arial" w:cs="Arial"/>
          <w:sz w:val="24"/>
          <w:szCs w:val="24"/>
          <w:lang w:val="en-US"/>
        </w:rPr>
        <w:t>claim that</w:t>
      </w:r>
      <w:r w:rsidR="00B21659" w:rsidRPr="00955805">
        <w:rPr>
          <w:rFonts w:ascii="Arial" w:hAnsi="Arial" w:cs="Arial"/>
          <w:sz w:val="24"/>
          <w:szCs w:val="24"/>
          <w:lang w:val="en-US"/>
        </w:rPr>
        <w:t>,</w:t>
      </w:r>
      <w:r w:rsidR="006F2D36" w:rsidRPr="00955805">
        <w:rPr>
          <w:rFonts w:ascii="Arial" w:hAnsi="Arial" w:cs="Arial"/>
          <w:sz w:val="24"/>
          <w:szCs w:val="24"/>
          <w:lang w:val="en-US"/>
        </w:rPr>
        <w:t xml:space="preserve"> at the date of institution of the action ECDC was, and is</w:t>
      </w:r>
      <w:r w:rsidR="00CE30D6" w:rsidRPr="00955805">
        <w:rPr>
          <w:rFonts w:ascii="Arial" w:hAnsi="Arial" w:cs="Arial"/>
          <w:sz w:val="24"/>
          <w:szCs w:val="24"/>
          <w:lang w:val="en-US"/>
        </w:rPr>
        <w:t>,</w:t>
      </w:r>
      <w:r w:rsidR="006F2D36" w:rsidRPr="00955805">
        <w:rPr>
          <w:rFonts w:ascii="Arial" w:hAnsi="Arial" w:cs="Arial"/>
          <w:sz w:val="24"/>
          <w:szCs w:val="24"/>
          <w:lang w:val="en-US"/>
        </w:rPr>
        <w:t xml:space="preserve"> a creditor </w:t>
      </w:r>
      <w:r w:rsidR="009F7C26" w:rsidRPr="00FA3EDD">
        <w:rPr>
          <w:rFonts w:ascii="Arial" w:hAnsi="Arial" w:cs="Arial"/>
          <w:sz w:val="24"/>
          <w:szCs w:val="24"/>
          <w:lang w:val="en-US"/>
        </w:rPr>
        <w:t>in respect of</w:t>
      </w:r>
      <w:r w:rsidR="009F7C26">
        <w:rPr>
          <w:rFonts w:ascii="Arial" w:hAnsi="Arial" w:cs="Arial"/>
          <w:sz w:val="24"/>
          <w:szCs w:val="24"/>
          <w:lang w:val="en-US"/>
        </w:rPr>
        <w:t xml:space="preserve"> </w:t>
      </w:r>
      <w:r w:rsidR="006F2D36" w:rsidRPr="00955805">
        <w:rPr>
          <w:rFonts w:ascii="Arial" w:hAnsi="Arial" w:cs="Arial"/>
          <w:sz w:val="24"/>
          <w:szCs w:val="24"/>
          <w:lang w:val="en-US"/>
        </w:rPr>
        <w:t>the amount</w:t>
      </w:r>
      <w:r w:rsidR="00955805">
        <w:rPr>
          <w:rFonts w:ascii="Arial" w:hAnsi="Arial" w:cs="Arial"/>
          <w:sz w:val="24"/>
          <w:szCs w:val="24"/>
          <w:lang w:val="en-US"/>
        </w:rPr>
        <w:t xml:space="preserve"> </w:t>
      </w:r>
      <w:r w:rsidR="006F2D36" w:rsidRPr="00955805">
        <w:rPr>
          <w:rFonts w:ascii="Arial" w:hAnsi="Arial" w:cs="Arial"/>
          <w:sz w:val="24"/>
          <w:szCs w:val="24"/>
          <w:lang w:val="en-US"/>
        </w:rPr>
        <w:t>claim</w:t>
      </w:r>
      <w:r w:rsidR="009F7C26">
        <w:rPr>
          <w:rFonts w:ascii="Arial" w:hAnsi="Arial" w:cs="Arial"/>
          <w:sz w:val="24"/>
          <w:szCs w:val="24"/>
          <w:lang w:val="en-US"/>
        </w:rPr>
        <w:t>ed</w:t>
      </w:r>
      <w:r w:rsidR="006F2D36" w:rsidRPr="00955805">
        <w:rPr>
          <w:rFonts w:ascii="Arial" w:hAnsi="Arial" w:cs="Arial"/>
          <w:sz w:val="24"/>
          <w:szCs w:val="24"/>
          <w:lang w:val="en-US"/>
        </w:rPr>
        <w:t xml:space="preserve">. To </w:t>
      </w:r>
      <w:r w:rsidR="00A17B5C" w:rsidRPr="00955805">
        <w:rPr>
          <w:rFonts w:ascii="Arial" w:hAnsi="Arial" w:cs="Arial"/>
          <w:sz w:val="24"/>
          <w:szCs w:val="24"/>
          <w:lang w:val="en-US"/>
        </w:rPr>
        <w:t xml:space="preserve">require this of </w:t>
      </w:r>
      <w:r w:rsidR="00817C7B" w:rsidRPr="00955805">
        <w:rPr>
          <w:rFonts w:ascii="Arial" w:hAnsi="Arial" w:cs="Arial"/>
          <w:sz w:val="24"/>
          <w:szCs w:val="24"/>
          <w:lang w:val="en-US"/>
        </w:rPr>
        <w:t>the liquidators</w:t>
      </w:r>
      <w:r w:rsidR="00A17B5C" w:rsidRPr="00955805">
        <w:rPr>
          <w:rFonts w:ascii="Arial" w:hAnsi="Arial" w:cs="Arial"/>
          <w:sz w:val="24"/>
          <w:szCs w:val="24"/>
          <w:lang w:val="en-US"/>
        </w:rPr>
        <w:t xml:space="preserve">, </w:t>
      </w:r>
      <w:r w:rsidR="006F2D36" w:rsidRPr="00955805">
        <w:rPr>
          <w:rFonts w:ascii="Arial" w:hAnsi="Arial" w:cs="Arial"/>
          <w:sz w:val="24"/>
          <w:szCs w:val="24"/>
          <w:lang w:val="en-US"/>
        </w:rPr>
        <w:t xml:space="preserve">in the face of </w:t>
      </w:r>
      <w:r w:rsidR="00817C7B" w:rsidRPr="00955805">
        <w:rPr>
          <w:rFonts w:ascii="Arial" w:hAnsi="Arial" w:cs="Arial"/>
          <w:sz w:val="24"/>
          <w:szCs w:val="24"/>
          <w:lang w:val="en-US"/>
        </w:rPr>
        <w:t xml:space="preserve">ECDC’s </w:t>
      </w:r>
      <w:r w:rsidR="00BB1503" w:rsidRPr="00955805">
        <w:rPr>
          <w:rFonts w:ascii="Arial" w:hAnsi="Arial" w:cs="Arial"/>
          <w:sz w:val="24"/>
          <w:szCs w:val="24"/>
          <w:lang w:val="en-US"/>
        </w:rPr>
        <w:t>pre-existing proved claim</w:t>
      </w:r>
      <w:r w:rsidR="00A71C2D" w:rsidRPr="00955805">
        <w:rPr>
          <w:rFonts w:ascii="Arial" w:hAnsi="Arial" w:cs="Arial"/>
          <w:sz w:val="24"/>
          <w:szCs w:val="24"/>
          <w:lang w:val="en-US"/>
        </w:rPr>
        <w:t>,</w:t>
      </w:r>
      <w:r w:rsidR="006F2D36" w:rsidRPr="00955805">
        <w:rPr>
          <w:rFonts w:ascii="Arial" w:hAnsi="Arial" w:cs="Arial"/>
          <w:sz w:val="24"/>
          <w:szCs w:val="24"/>
          <w:lang w:val="en-US"/>
        </w:rPr>
        <w:t xml:space="preserve"> is to negate the</w:t>
      </w:r>
      <w:r w:rsidR="00D70DB8" w:rsidRPr="00955805">
        <w:rPr>
          <w:rFonts w:ascii="Arial" w:hAnsi="Arial" w:cs="Arial"/>
          <w:sz w:val="24"/>
          <w:szCs w:val="24"/>
          <w:lang w:val="en-US"/>
        </w:rPr>
        <w:t xml:space="preserve"> </w:t>
      </w:r>
      <w:r w:rsidR="006F2D36" w:rsidRPr="00955805">
        <w:rPr>
          <w:rFonts w:ascii="Arial" w:hAnsi="Arial" w:cs="Arial"/>
          <w:sz w:val="24"/>
          <w:szCs w:val="24"/>
          <w:lang w:val="en-US"/>
        </w:rPr>
        <w:t xml:space="preserve">comprehensive </w:t>
      </w:r>
      <w:r w:rsidR="00A17B5C" w:rsidRPr="00955805">
        <w:rPr>
          <w:rFonts w:ascii="Arial" w:hAnsi="Arial" w:cs="Arial"/>
          <w:sz w:val="24"/>
          <w:szCs w:val="24"/>
          <w:lang w:val="en-US"/>
        </w:rPr>
        <w:t xml:space="preserve">set of </w:t>
      </w:r>
      <w:r w:rsidR="006F2D36" w:rsidRPr="00955805">
        <w:rPr>
          <w:rFonts w:ascii="Arial" w:hAnsi="Arial" w:cs="Arial"/>
          <w:sz w:val="24"/>
          <w:szCs w:val="24"/>
          <w:lang w:val="en-US"/>
        </w:rPr>
        <w:t xml:space="preserve">measures in the Act </w:t>
      </w:r>
      <w:r w:rsidR="00A17B5C" w:rsidRPr="00955805">
        <w:rPr>
          <w:rFonts w:ascii="Arial" w:hAnsi="Arial" w:cs="Arial"/>
          <w:sz w:val="24"/>
          <w:szCs w:val="24"/>
          <w:lang w:val="en-US"/>
        </w:rPr>
        <w:t xml:space="preserve">to </w:t>
      </w:r>
      <w:r w:rsidR="006F2D36" w:rsidRPr="00955805">
        <w:rPr>
          <w:rFonts w:ascii="Arial" w:hAnsi="Arial" w:cs="Arial"/>
          <w:sz w:val="24"/>
          <w:szCs w:val="24"/>
          <w:lang w:val="en-US"/>
        </w:rPr>
        <w:t>protect creditors</w:t>
      </w:r>
      <w:r w:rsidR="00321D27">
        <w:rPr>
          <w:rFonts w:ascii="Arial" w:hAnsi="Arial" w:cs="Arial"/>
          <w:sz w:val="24"/>
          <w:szCs w:val="24"/>
          <w:lang w:val="en-US"/>
        </w:rPr>
        <w:t>.</w:t>
      </w:r>
    </w:p>
    <w:p w14:paraId="6DF167CA" w14:textId="77777777" w:rsidR="006F2D36" w:rsidRPr="00CE1DA1" w:rsidRDefault="006F2D36" w:rsidP="006F2D36">
      <w:pPr>
        <w:pStyle w:val="ListParagraph"/>
        <w:tabs>
          <w:tab w:val="left" w:pos="567"/>
        </w:tabs>
        <w:spacing w:after="0" w:line="360" w:lineRule="auto"/>
        <w:ind w:left="0"/>
        <w:jc w:val="both"/>
        <w:rPr>
          <w:rFonts w:ascii="Arial" w:hAnsi="Arial" w:cs="Arial"/>
          <w:sz w:val="24"/>
          <w:szCs w:val="24"/>
          <w:lang w:val="en-US"/>
        </w:rPr>
      </w:pPr>
    </w:p>
    <w:p w14:paraId="61279024" w14:textId="6EB49422" w:rsidR="006F2D36" w:rsidRDefault="00782F13" w:rsidP="00955805">
      <w:pPr>
        <w:pStyle w:val="ListParagraph"/>
        <w:spacing w:after="0" w:line="360" w:lineRule="auto"/>
        <w:ind w:left="0"/>
        <w:jc w:val="both"/>
        <w:rPr>
          <w:rFonts w:ascii="Arial" w:hAnsi="Arial" w:cs="Arial"/>
          <w:sz w:val="24"/>
          <w:szCs w:val="24"/>
        </w:rPr>
      </w:pPr>
      <w:r>
        <w:rPr>
          <w:rFonts w:ascii="Arial" w:hAnsi="Arial" w:cs="Arial"/>
          <w:sz w:val="24"/>
          <w:szCs w:val="24"/>
        </w:rPr>
        <w:t>[2</w:t>
      </w:r>
      <w:r w:rsidR="008C0DFA">
        <w:rPr>
          <w:rFonts w:ascii="Arial" w:hAnsi="Arial" w:cs="Arial"/>
          <w:sz w:val="24"/>
          <w:szCs w:val="24"/>
        </w:rPr>
        <w:t>2</w:t>
      </w:r>
      <w:r>
        <w:rPr>
          <w:rFonts w:ascii="Arial" w:hAnsi="Arial" w:cs="Arial"/>
          <w:sz w:val="24"/>
          <w:szCs w:val="24"/>
        </w:rPr>
        <w:t>]</w:t>
      </w:r>
      <w:r>
        <w:rPr>
          <w:rFonts w:ascii="Arial" w:hAnsi="Arial" w:cs="Arial"/>
          <w:sz w:val="24"/>
          <w:szCs w:val="24"/>
        </w:rPr>
        <w:tab/>
      </w:r>
      <w:r w:rsidR="006F2D36">
        <w:rPr>
          <w:rFonts w:ascii="Arial" w:hAnsi="Arial" w:cs="Arial"/>
          <w:sz w:val="24"/>
          <w:szCs w:val="24"/>
        </w:rPr>
        <w:t>In the resu</w:t>
      </w:r>
      <w:r w:rsidR="00D30D6A">
        <w:rPr>
          <w:rFonts w:ascii="Arial" w:hAnsi="Arial" w:cs="Arial"/>
          <w:sz w:val="24"/>
          <w:szCs w:val="24"/>
        </w:rPr>
        <w:t xml:space="preserve">lt, </w:t>
      </w:r>
      <w:r w:rsidR="009F7C26" w:rsidRPr="00FA3EDD">
        <w:rPr>
          <w:rFonts w:ascii="Arial" w:hAnsi="Arial" w:cs="Arial"/>
          <w:sz w:val="24"/>
          <w:szCs w:val="24"/>
        </w:rPr>
        <w:t>the appeal must fail.</w:t>
      </w:r>
      <w:r w:rsidR="009F7C26">
        <w:rPr>
          <w:rFonts w:ascii="Arial" w:hAnsi="Arial" w:cs="Arial"/>
          <w:sz w:val="24"/>
          <w:szCs w:val="24"/>
        </w:rPr>
        <w:t xml:space="preserve"> </w:t>
      </w:r>
      <w:r w:rsidR="00D30D6A">
        <w:rPr>
          <w:rFonts w:ascii="Arial" w:hAnsi="Arial" w:cs="Arial"/>
          <w:sz w:val="24"/>
          <w:szCs w:val="24"/>
        </w:rPr>
        <w:t>I make the following order:</w:t>
      </w:r>
    </w:p>
    <w:p w14:paraId="0D86639C" w14:textId="2AC4036A" w:rsidR="006F2D36" w:rsidRPr="005B61CE" w:rsidRDefault="00CE30D6" w:rsidP="008840F6">
      <w:pPr>
        <w:tabs>
          <w:tab w:val="left" w:pos="56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F2D36" w:rsidRPr="00E9184C">
        <w:rPr>
          <w:rFonts w:ascii="Arial" w:hAnsi="Arial" w:cs="Arial"/>
          <w:sz w:val="24"/>
          <w:szCs w:val="24"/>
        </w:rPr>
        <w:t>The appeal is dismissed</w:t>
      </w:r>
      <w:r w:rsidR="006F2D36">
        <w:rPr>
          <w:rFonts w:ascii="Arial" w:hAnsi="Arial" w:cs="Arial"/>
          <w:sz w:val="24"/>
          <w:szCs w:val="24"/>
        </w:rPr>
        <w:t xml:space="preserve"> with </w:t>
      </w:r>
      <w:r w:rsidR="008840F6">
        <w:rPr>
          <w:rFonts w:ascii="Arial" w:hAnsi="Arial" w:cs="Arial"/>
          <w:sz w:val="24"/>
          <w:szCs w:val="24"/>
        </w:rPr>
        <w:t>c</w:t>
      </w:r>
      <w:r w:rsidR="006F2D36">
        <w:rPr>
          <w:rFonts w:ascii="Arial" w:hAnsi="Arial" w:cs="Arial"/>
          <w:sz w:val="24"/>
          <w:szCs w:val="24"/>
        </w:rPr>
        <w:t>osts.</w:t>
      </w:r>
    </w:p>
    <w:p w14:paraId="7C1018C3" w14:textId="1FC59B41" w:rsidR="00BD22A8" w:rsidRDefault="00BD22A8" w:rsidP="00D30D6A">
      <w:pPr>
        <w:rPr>
          <w:rFonts w:ascii="Arial" w:hAnsi="Arial" w:cs="Arial"/>
          <w:sz w:val="24"/>
          <w:szCs w:val="24"/>
        </w:rPr>
      </w:pPr>
    </w:p>
    <w:p w14:paraId="3AA891A1" w14:textId="77777777" w:rsidR="005B61CE" w:rsidRDefault="005B61CE" w:rsidP="00D30D6A">
      <w:pPr>
        <w:rPr>
          <w:rFonts w:ascii="Arial" w:hAnsi="Arial" w:cs="Arial"/>
          <w:sz w:val="24"/>
          <w:szCs w:val="24"/>
        </w:rPr>
      </w:pPr>
    </w:p>
    <w:p w14:paraId="47DF1CA1" w14:textId="12C2C18A" w:rsidR="00782F13" w:rsidRDefault="008840F6" w:rsidP="003D53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878ABF" w14:textId="739A59A1" w:rsidR="00875092" w:rsidRDefault="00586E94" w:rsidP="00B8717F">
      <w:pPr>
        <w:spacing w:after="0" w:line="360" w:lineRule="auto"/>
        <w:ind w:left="5760"/>
        <w:jc w:val="both"/>
        <w:rPr>
          <w:rFonts w:ascii="Arial" w:hAnsi="Arial" w:cs="Arial"/>
          <w:sz w:val="24"/>
          <w:szCs w:val="24"/>
        </w:rPr>
      </w:pPr>
      <w:r>
        <w:rPr>
          <w:rFonts w:ascii="Arial" w:hAnsi="Arial" w:cs="Arial"/>
          <w:sz w:val="24"/>
          <w:szCs w:val="24"/>
        </w:rPr>
        <w:t xml:space="preserve">  </w:t>
      </w:r>
      <w:r w:rsidR="00875092">
        <w:rPr>
          <w:rFonts w:ascii="Arial" w:hAnsi="Arial" w:cs="Arial"/>
          <w:sz w:val="24"/>
          <w:szCs w:val="24"/>
        </w:rPr>
        <w:t>_______________________</w:t>
      </w:r>
    </w:p>
    <w:p w14:paraId="44BE8929" w14:textId="4B586219" w:rsidR="00782F13" w:rsidRDefault="008840F6" w:rsidP="003D53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 KATHREE-SETILOANE</w:t>
      </w:r>
    </w:p>
    <w:p w14:paraId="18B83492" w14:textId="74BFC24F" w:rsidR="008840F6" w:rsidRDefault="008840F6" w:rsidP="003D53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ACTING JUDGE OF APPEAL</w:t>
      </w:r>
    </w:p>
    <w:p w14:paraId="2F9537DD" w14:textId="77777777" w:rsidR="00782F13" w:rsidRDefault="00782F13" w:rsidP="003D5323">
      <w:pPr>
        <w:spacing w:after="0" w:line="360" w:lineRule="auto"/>
        <w:jc w:val="both"/>
        <w:rPr>
          <w:rFonts w:ascii="Arial" w:hAnsi="Arial" w:cs="Arial"/>
          <w:sz w:val="24"/>
          <w:szCs w:val="24"/>
        </w:rPr>
      </w:pPr>
    </w:p>
    <w:p w14:paraId="424D5F41" w14:textId="77777777" w:rsidR="00782F13" w:rsidRDefault="00782F13" w:rsidP="003D5323">
      <w:pPr>
        <w:spacing w:after="0" w:line="360" w:lineRule="auto"/>
        <w:jc w:val="both"/>
        <w:rPr>
          <w:rFonts w:ascii="Arial" w:hAnsi="Arial" w:cs="Arial"/>
          <w:sz w:val="24"/>
          <w:szCs w:val="24"/>
        </w:rPr>
      </w:pPr>
    </w:p>
    <w:p w14:paraId="6A3DA3E5" w14:textId="77777777" w:rsidR="00955805" w:rsidRDefault="00955805" w:rsidP="003D5323">
      <w:pPr>
        <w:spacing w:after="0" w:line="360" w:lineRule="auto"/>
        <w:jc w:val="both"/>
        <w:rPr>
          <w:rFonts w:ascii="Arial" w:hAnsi="Arial" w:cs="Arial"/>
          <w:sz w:val="24"/>
          <w:szCs w:val="24"/>
        </w:rPr>
      </w:pPr>
    </w:p>
    <w:p w14:paraId="457921F9" w14:textId="77777777" w:rsidR="00955805" w:rsidRDefault="00955805" w:rsidP="003D5323">
      <w:pPr>
        <w:spacing w:after="0" w:line="360" w:lineRule="auto"/>
        <w:jc w:val="both"/>
        <w:rPr>
          <w:rFonts w:ascii="Arial" w:hAnsi="Arial" w:cs="Arial"/>
          <w:sz w:val="24"/>
          <w:szCs w:val="24"/>
        </w:rPr>
      </w:pPr>
    </w:p>
    <w:p w14:paraId="260BFC7D" w14:textId="77777777" w:rsidR="00955805" w:rsidRDefault="00955805" w:rsidP="003D5323">
      <w:pPr>
        <w:spacing w:after="0" w:line="360" w:lineRule="auto"/>
        <w:jc w:val="both"/>
        <w:rPr>
          <w:rFonts w:ascii="Arial" w:hAnsi="Arial" w:cs="Arial"/>
          <w:sz w:val="24"/>
          <w:szCs w:val="24"/>
        </w:rPr>
      </w:pPr>
    </w:p>
    <w:p w14:paraId="2A9F4050" w14:textId="77777777" w:rsidR="00955805" w:rsidRDefault="00955805" w:rsidP="003D5323">
      <w:pPr>
        <w:spacing w:after="0" w:line="360" w:lineRule="auto"/>
        <w:jc w:val="both"/>
        <w:rPr>
          <w:rFonts w:ascii="Arial" w:hAnsi="Arial" w:cs="Arial"/>
          <w:sz w:val="24"/>
          <w:szCs w:val="24"/>
        </w:rPr>
      </w:pPr>
    </w:p>
    <w:p w14:paraId="6FFA4A08" w14:textId="77777777" w:rsidR="00955805" w:rsidRDefault="00955805" w:rsidP="003D5323">
      <w:pPr>
        <w:spacing w:after="0" w:line="360" w:lineRule="auto"/>
        <w:jc w:val="both"/>
        <w:rPr>
          <w:rFonts w:ascii="Arial" w:hAnsi="Arial" w:cs="Arial"/>
          <w:sz w:val="24"/>
          <w:szCs w:val="24"/>
        </w:rPr>
      </w:pPr>
    </w:p>
    <w:p w14:paraId="036D625D" w14:textId="77777777" w:rsidR="00586E94" w:rsidRDefault="00586E94" w:rsidP="003D5323">
      <w:pPr>
        <w:spacing w:after="0" w:line="360" w:lineRule="auto"/>
        <w:jc w:val="both"/>
        <w:rPr>
          <w:rFonts w:ascii="Arial" w:hAnsi="Arial" w:cs="Arial"/>
          <w:sz w:val="24"/>
          <w:szCs w:val="24"/>
        </w:rPr>
      </w:pPr>
    </w:p>
    <w:p w14:paraId="16633A6B" w14:textId="77777777" w:rsidR="00586E94" w:rsidRDefault="00586E94" w:rsidP="003D5323">
      <w:pPr>
        <w:spacing w:after="0" w:line="360" w:lineRule="auto"/>
        <w:jc w:val="both"/>
        <w:rPr>
          <w:rFonts w:ascii="Arial" w:hAnsi="Arial" w:cs="Arial"/>
          <w:sz w:val="24"/>
          <w:szCs w:val="24"/>
        </w:rPr>
      </w:pPr>
    </w:p>
    <w:p w14:paraId="77C4C9EC" w14:textId="77777777" w:rsidR="00586E94" w:rsidRDefault="00586E94" w:rsidP="003D5323">
      <w:pPr>
        <w:spacing w:after="0" w:line="360" w:lineRule="auto"/>
        <w:jc w:val="both"/>
        <w:rPr>
          <w:rFonts w:ascii="Arial" w:hAnsi="Arial" w:cs="Arial"/>
          <w:sz w:val="24"/>
          <w:szCs w:val="24"/>
        </w:rPr>
      </w:pPr>
    </w:p>
    <w:p w14:paraId="538365A2" w14:textId="77777777" w:rsidR="00586E94" w:rsidRDefault="00586E94" w:rsidP="003D5323">
      <w:pPr>
        <w:spacing w:after="0" w:line="360" w:lineRule="auto"/>
        <w:jc w:val="both"/>
        <w:rPr>
          <w:rFonts w:ascii="Arial" w:hAnsi="Arial" w:cs="Arial"/>
          <w:sz w:val="24"/>
          <w:szCs w:val="24"/>
        </w:rPr>
      </w:pPr>
    </w:p>
    <w:p w14:paraId="7AE1DA29" w14:textId="77777777" w:rsidR="001D33FA" w:rsidRDefault="001D33FA" w:rsidP="003D5323">
      <w:pPr>
        <w:spacing w:after="0" w:line="360" w:lineRule="auto"/>
        <w:jc w:val="both"/>
        <w:rPr>
          <w:rFonts w:ascii="Arial" w:hAnsi="Arial" w:cs="Arial"/>
          <w:sz w:val="24"/>
          <w:szCs w:val="24"/>
        </w:rPr>
      </w:pPr>
    </w:p>
    <w:p w14:paraId="457B5706" w14:textId="77777777" w:rsidR="001D33FA" w:rsidRDefault="001D33FA" w:rsidP="003D5323">
      <w:pPr>
        <w:spacing w:after="0" w:line="360" w:lineRule="auto"/>
        <w:jc w:val="both"/>
        <w:rPr>
          <w:rFonts w:ascii="Arial" w:hAnsi="Arial" w:cs="Arial"/>
          <w:sz w:val="24"/>
          <w:szCs w:val="24"/>
        </w:rPr>
      </w:pPr>
    </w:p>
    <w:p w14:paraId="27C64C09" w14:textId="77777777" w:rsidR="001D33FA" w:rsidRDefault="001D33FA" w:rsidP="003D5323">
      <w:pPr>
        <w:spacing w:after="0" w:line="360" w:lineRule="auto"/>
        <w:jc w:val="both"/>
        <w:rPr>
          <w:rFonts w:ascii="Arial" w:hAnsi="Arial" w:cs="Arial"/>
          <w:sz w:val="24"/>
          <w:szCs w:val="24"/>
        </w:rPr>
      </w:pPr>
    </w:p>
    <w:p w14:paraId="07F08D63" w14:textId="0365B5C0" w:rsidR="003D5323" w:rsidRDefault="003D5323" w:rsidP="003D5323">
      <w:pPr>
        <w:spacing w:after="0" w:line="360" w:lineRule="auto"/>
        <w:jc w:val="both"/>
        <w:rPr>
          <w:rFonts w:ascii="Arial" w:hAnsi="Arial" w:cs="Arial"/>
          <w:sz w:val="24"/>
          <w:szCs w:val="24"/>
        </w:rPr>
      </w:pPr>
      <w:r w:rsidRPr="00501A3C">
        <w:rPr>
          <w:rFonts w:ascii="Arial" w:hAnsi="Arial" w:cs="Arial"/>
          <w:sz w:val="24"/>
          <w:szCs w:val="24"/>
        </w:rPr>
        <w:lastRenderedPageBreak/>
        <w:t>Appearances</w:t>
      </w:r>
    </w:p>
    <w:p w14:paraId="6085C18B" w14:textId="77777777" w:rsidR="00416B68" w:rsidRPr="00501A3C" w:rsidRDefault="00416B68" w:rsidP="003D5323">
      <w:pPr>
        <w:spacing w:after="0" w:line="360" w:lineRule="auto"/>
        <w:jc w:val="both"/>
        <w:rPr>
          <w:rFonts w:ascii="Arial" w:hAnsi="Arial" w:cs="Arial"/>
          <w:sz w:val="24"/>
          <w:szCs w:val="24"/>
        </w:rPr>
      </w:pPr>
    </w:p>
    <w:p w14:paraId="11667AFC" w14:textId="029856DA" w:rsidR="003D5323" w:rsidRPr="00501A3C" w:rsidRDefault="003D5323" w:rsidP="003D5323">
      <w:pPr>
        <w:spacing w:after="0" w:line="360" w:lineRule="auto"/>
        <w:jc w:val="both"/>
        <w:rPr>
          <w:rFonts w:ascii="Arial" w:hAnsi="Arial" w:cs="Arial"/>
          <w:sz w:val="24"/>
          <w:szCs w:val="24"/>
        </w:rPr>
      </w:pPr>
      <w:r w:rsidRPr="00501A3C">
        <w:rPr>
          <w:rFonts w:ascii="Arial" w:hAnsi="Arial" w:cs="Arial"/>
          <w:sz w:val="24"/>
          <w:szCs w:val="24"/>
        </w:rPr>
        <w:t>For the app</w:t>
      </w:r>
      <w:r>
        <w:rPr>
          <w:rFonts w:ascii="Arial" w:hAnsi="Arial" w:cs="Arial"/>
          <w:sz w:val="24"/>
          <w:szCs w:val="24"/>
        </w:rPr>
        <w:t>ellants</w:t>
      </w:r>
      <w:r w:rsidRPr="00501A3C">
        <w:rPr>
          <w:rFonts w:ascii="Arial" w:hAnsi="Arial" w:cs="Arial"/>
          <w:sz w:val="24"/>
          <w:szCs w:val="24"/>
        </w:rPr>
        <w:t xml:space="preserve">: </w:t>
      </w:r>
      <w:r w:rsidRPr="00501A3C">
        <w:rPr>
          <w:rFonts w:ascii="Arial" w:hAnsi="Arial" w:cs="Arial"/>
          <w:sz w:val="24"/>
          <w:szCs w:val="24"/>
        </w:rPr>
        <w:tab/>
      </w:r>
      <w:r w:rsidRPr="00501A3C">
        <w:rPr>
          <w:rFonts w:ascii="Arial" w:hAnsi="Arial" w:cs="Arial"/>
          <w:sz w:val="24"/>
          <w:szCs w:val="24"/>
        </w:rPr>
        <w:tab/>
      </w:r>
      <w:r>
        <w:rPr>
          <w:rFonts w:ascii="Arial" w:hAnsi="Arial" w:cs="Arial"/>
          <w:sz w:val="24"/>
          <w:szCs w:val="24"/>
        </w:rPr>
        <w:tab/>
      </w:r>
      <w:r w:rsidR="00416B68">
        <w:rPr>
          <w:rFonts w:ascii="Arial" w:hAnsi="Arial" w:cs="Arial"/>
          <w:sz w:val="24"/>
          <w:szCs w:val="24"/>
        </w:rPr>
        <w:t>A Beyleveld SC</w:t>
      </w:r>
    </w:p>
    <w:p w14:paraId="2388D0D1" w14:textId="77777777" w:rsidR="003D5323" w:rsidRPr="00501A3C" w:rsidRDefault="003D5323" w:rsidP="003D5323">
      <w:pPr>
        <w:spacing w:after="0" w:line="360" w:lineRule="auto"/>
        <w:ind w:left="3600" w:hanging="3600"/>
        <w:jc w:val="both"/>
        <w:rPr>
          <w:rFonts w:ascii="Arial" w:hAnsi="Arial" w:cs="Arial"/>
          <w:sz w:val="24"/>
          <w:szCs w:val="24"/>
        </w:rPr>
      </w:pPr>
      <w:r w:rsidRPr="00501A3C">
        <w:rPr>
          <w:rFonts w:ascii="Arial" w:hAnsi="Arial" w:cs="Arial"/>
          <w:sz w:val="24"/>
          <w:szCs w:val="24"/>
        </w:rPr>
        <w:t>Instructed by:</w:t>
      </w:r>
      <w:r w:rsidRPr="00501A3C">
        <w:rPr>
          <w:rFonts w:ascii="Arial" w:hAnsi="Arial" w:cs="Arial"/>
          <w:sz w:val="24"/>
          <w:szCs w:val="24"/>
        </w:rPr>
        <w:tab/>
      </w:r>
      <w:r>
        <w:rPr>
          <w:rFonts w:ascii="Arial" w:hAnsi="Arial" w:cs="Arial"/>
          <w:sz w:val="24"/>
          <w:szCs w:val="24"/>
        </w:rPr>
        <w:t>BLC Attorneys, c/o Wheeldon Rushmere &amp; Cole Inc, Grahamstown</w:t>
      </w:r>
    </w:p>
    <w:p w14:paraId="52BFAF67" w14:textId="77777777" w:rsidR="003D5323" w:rsidRPr="00501A3C" w:rsidRDefault="003D5323" w:rsidP="003D5323">
      <w:pPr>
        <w:spacing w:after="0" w:line="360" w:lineRule="auto"/>
        <w:ind w:left="2880" w:firstLine="720"/>
        <w:jc w:val="both"/>
        <w:rPr>
          <w:rFonts w:ascii="Arial" w:hAnsi="Arial" w:cs="Arial"/>
          <w:sz w:val="24"/>
          <w:szCs w:val="24"/>
        </w:rPr>
      </w:pPr>
      <w:r>
        <w:rPr>
          <w:rFonts w:ascii="Arial" w:hAnsi="Arial" w:cs="Arial"/>
          <w:sz w:val="24"/>
          <w:szCs w:val="24"/>
        </w:rPr>
        <w:t xml:space="preserve">Symington De Kok, </w:t>
      </w:r>
      <w:r w:rsidRPr="00501A3C">
        <w:rPr>
          <w:rFonts w:ascii="Arial" w:hAnsi="Arial" w:cs="Arial"/>
          <w:sz w:val="24"/>
          <w:szCs w:val="24"/>
        </w:rPr>
        <w:t>Bloemfontein</w:t>
      </w:r>
    </w:p>
    <w:p w14:paraId="1EB8D537" w14:textId="77777777" w:rsidR="003D5323" w:rsidRPr="00501A3C" w:rsidRDefault="003D5323" w:rsidP="003D5323">
      <w:pPr>
        <w:spacing w:after="0" w:line="360" w:lineRule="auto"/>
        <w:jc w:val="both"/>
        <w:rPr>
          <w:rFonts w:ascii="Arial" w:hAnsi="Arial" w:cs="Arial"/>
          <w:sz w:val="24"/>
          <w:szCs w:val="24"/>
        </w:rPr>
      </w:pPr>
    </w:p>
    <w:p w14:paraId="33D86DCE" w14:textId="3071306D" w:rsidR="003D5323" w:rsidRDefault="003D5323" w:rsidP="003D5323">
      <w:pPr>
        <w:spacing w:after="0" w:line="360" w:lineRule="auto"/>
        <w:jc w:val="both"/>
        <w:rPr>
          <w:rFonts w:ascii="Arial" w:hAnsi="Arial" w:cs="Arial"/>
          <w:sz w:val="24"/>
          <w:szCs w:val="24"/>
        </w:rPr>
      </w:pPr>
      <w:r w:rsidRPr="00501A3C">
        <w:rPr>
          <w:rFonts w:ascii="Arial" w:hAnsi="Arial" w:cs="Arial"/>
          <w:sz w:val="24"/>
          <w:szCs w:val="24"/>
        </w:rPr>
        <w:t>For the r</w:t>
      </w:r>
      <w:r>
        <w:rPr>
          <w:rFonts w:ascii="Arial" w:hAnsi="Arial" w:cs="Arial"/>
          <w:sz w:val="24"/>
          <w:szCs w:val="24"/>
        </w:rPr>
        <w:t>espondents:</w:t>
      </w:r>
      <w:r>
        <w:rPr>
          <w:rFonts w:ascii="Arial" w:hAnsi="Arial" w:cs="Arial"/>
          <w:sz w:val="24"/>
          <w:szCs w:val="24"/>
        </w:rPr>
        <w:tab/>
      </w:r>
      <w:r>
        <w:rPr>
          <w:rFonts w:ascii="Arial" w:hAnsi="Arial" w:cs="Arial"/>
          <w:sz w:val="24"/>
          <w:szCs w:val="24"/>
        </w:rPr>
        <w:tab/>
      </w:r>
      <w:r w:rsidR="00416B68">
        <w:rPr>
          <w:rFonts w:ascii="Arial" w:hAnsi="Arial" w:cs="Arial"/>
          <w:sz w:val="24"/>
          <w:szCs w:val="24"/>
        </w:rPr>
        <w:t>RG Buchanan SC</w:t>
      </w:r>
    </w:p>
    <w:p w14:paraId="10F954FA" w14:textId="5AB762E5" w:rsidR="003D5323" w:rsidRDefault="003D5323" w:rsidP="003D5323">
      <w:pPr>
        <w:spacing w:after="0" w:line="360" w:lineRule="auto"/>
        <w:ind w:left="3600" w:hanging="3600"/>
        <w:jc w:val="both"/>
        <w:rPr>
          <w:rFonts w:ascii="Arial" w:hAnsi="Arial" w:cs="Arial"/>
          <w:sz w:val="24"/>
          <w:szCs w:val="24"/>
        </w:rPr>
      </w:pPr>
      <w:r>
        <w:rPr>
          <w:rFonts w:ascii="Arial" w:hAnsi="Arial" w:cs="Arial"/>
          <w:sz w:val="24"/>
          <w:szCs w:val="24"/>
        </w:rPr>
        <w:t>Instructed by:</w:t>
      </w:r>
      <w:r>
        <w:rPr>
          <w:rFonts w:ascii="Arial" w:hAnsi="Arial" w:cs="Arial"/>
          <w:sz w:val="24"/>
          <w:szCs w:val="24"/>
        </w:rPr>
        <w:tab/>
        <w:t>Tabata Smith Inc, c/o Nettletons Attorneys, Grahamstown</w:t>
      </w:r>
    </w:p>
    <w:p w14:paraId="483DA5D4" w14:textId="70D97E85" w:rsidR="003D5323" w:rsidRDefault="003D5323" w:rsidP="003D532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Webbers, Bloemfontein</w:t>
      </w:r>
    </w:p>
    <w:p w14:paraId="5B1E7FA7" w14:textId="4C821CD2" w:rsidR="007438EA" w:rsidRPr="00A81CEA" w:rsidRDefault="006F74E9" w:rsidP="00A81CEA">
      <w:pPr>
        <w:spacing w:after="0" w:line="360" w:lineRule="auto"/>
        <w:jc w:val="both"/>
        <w:rPr>
          <w:rFonts w:ascii="Arial" w:hAnsi="Arial" w:cs="Arial"/>
          <w:b/>
          <w:bCs/>
          <w:i/>
          <w:iCs/>
          <w:sz w:val="24"/>
          <w:szCs w:val="24"/>
          <w:lang w:val="en-ZA"/>
        </w:rPr>
      </w:pPr>
      <w:r w:rsidRPr="00EB7911">
        <w:rPr>
          <w:rFonts w:ascii="Arial" w:hAnsi="Arial" w:cs="Arial"/>
          <w:sz w:val="24"/>
          <w:szCs w:val="24"/>
        </w:rPr>
        <w:tab/>
      </w:r>
      <w:r w:rsidRPr="00EB7911">
        <w:rPr>
          <w:rFonts w:ascii="Arial" w:hAnsi="Arial" w:cs="Arial"/>
          <w:sz w:val="24"/>
          <w:szCs w:val="24"/>
        </w:rPr>
        <w:tab/>
      </w:r>
      <w:r w:rsidRPr="00EB7911">
        <w:rPr>
          <w:rFonts w:ascii="Arial" w:hAnsi="Arial" w:cs="Arial"/>
          <w:sz w:val="24"/>
          <w:szCs w:val="24"/>
        </w:rPr>
        <w:tab/>
      </w:r>
      <w:r w:rsidRPr="00EB7911">
        <w:rPr>
          <w:rFonts w:ascii="Arial" w:hAnsi="Arial" w:cs="Arial"/>
          <w:sz w:val="24"/>
          <w:szCs w:val="24"/>
        </w:rPr>
        <w:tab/>
      </w:r>
      <w:r w:rsidRPr="00EB7911">
        <w:rPr>
          <w:rFonts w:ascii="Arial" w:hAnsi="Arial" w:cs="Arial"/>
          <w:sz w:val="24"/>
          <w:szCs w:val="24"/>
        </w:rPr>
        <w:tab/>
      </w:r>
    </w:p>
    <w:p w14:paraId="644F219E" w14:textId="77777777" w:rsidR="003F4628" w:rsidRDefault="003F4628" w:rsidP="005274F7">
      <w:pPr>
        <w:jc w:val="both"/>
        <w:rPr>
          <w:rFonts w:ascii="Arial" w:hAnsi="Arial" w:cs="Arial"/>
          <w:sz w:val="24"/>
          <w:szCs w:val="24"/>
        </w:rPr>
      </w:pPr>
    </w:p>
    <w:p w14:paraId="71D6EF98" w14:textId="77777777" w:rsidR="005D2E5F" w:rsidRPr="00D252C0" w:rsidRDefault="005D2E5F" w:rsidP="005274F7">
      <w:pPr>
        <w:spacing w:after="0" w:line="360" w:lineRule="auto"/>
        <w:rPr>
          <w:rFonts w:ascii="Arial" w:hAnsi="Arial" w:cs="Arial"/>
        </w:rPr>
      </w:pPr>
    </w:p>
    <w:sectPr w:rsidR="005D2E5F" w:rsidRPr="00D252C0" w:rsidSect="00530E13">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DE76" w14:textId="77777777" w:rsidR="00D748E8" w:rsidRDefault="00D748E8" w:rsidP="00A133F5">
      <w:pPr>
        <w:spacing w:after="0" w:line="240" w:lineRule="auto"/>
      </w:pPr>
      <w:r>
        <w:separator/>
      </w:r>
    </w:p>
  </w:endnote>
  <w:endnote w:type="continuationSeparator" w:id="0">
    <w:p w14:paraId="15B4DB46" w14:textId="77777777" w:rsidR="00D748E8" w:rsidRDefault="00D748E8" w:rsidP="00A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947F" w14:textId="77777777" w:rsidR="008B1995" w:rsidRPr="004C00C4" w:rsidRDefault="008B1995">
    <w:pPr>
      <w:pStyle w:val="Footer"/>
      <w:rPr>
        <w:lang w:val="en-ZA"/>
      </w:rPr>
    </w:pPr>
    <w:r>
      <w:rPr>
        <w:lang w:val="en-Z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58611" w14:textId="77777777" w:rsidR="00D748E8" w:rsidRDefault="00D748E8" w:rsidP="00A133F5">
      <w:pPr>
        <w:spacing w:after="0" w:line="240" w:lineRule="auto"/>
      </w:pPr>
      <w:r>
        <w:separator/>
      </w:r>
    </w:p>
  </w:footnote>
  <w:footnote w:type="continuationSeparator" w:id="0">
    <w:p w14:paraId="686C6FE6" w14:textId="77777777" w:rsidR="00D748E8" w:rsidRDefault="00D748E8" w:rsidP="00A133F5">
      <w:pPr>
        <w:spacing w:after="0" w:line="240" w:lineRule="auto"/>
      </w:pPr>
      <w:r>
        <w:continuationSeparator/>
      </w:r>
    </w:p>
  </w:footnote>
  <w:footnote w:id="1">
    <w:p w14:paraId="31028116" w14:textId="6BAAF5EE" w:rsidR="006F2D36" w:rsidRPr="0028028F" w:rsidRDefault="006F2D36"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00105294">
        <w:rPr>
          <w:rFonts w:ascii="Arial" w:hAnsi="Arial" w:cs="Arial"/>
        </w:rPr>
        <w:t xml:space="preserve">Watt Street </w:t>
      </w:r>
      <w:r w:rsidRPr="0028028F">
        <w:rPr>
          <w:rFonts w:ascii="Arial" w:hAnsi="Arial" w:cs="Arial"/>
          <w:lang w:val="en-US"/>
        </w:rPr>
        <w:t>was formerly known as Mantis Group Holdings (Pty) Ltd.</w:t>
      </w:r>
    </w:p>
  </w:footnote>
  <w:footnote w:id="2">
    <w:p w14:paraId="5DC40B05" w14:textId="77777777" w:rsidR="008C686B" w:rsidRPr="0028028F" w:rsidRDefault="008C686B"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lang w:val="en-US"/>
        </w:rPr>
        <w:t>Mantis and Mr Gardiner are referred to collectively as ‘the appellants’ in the judgment.</w:t>
      </w:r>
    </w:p>
  </w:footnote>
  <w:footnote w:id="3">
    <w:p w14:paraId="6B674E89" w14:textId="343EB772" w:rsidR="006F2D36" w:rsidRPr="0028028F" w:rsidRDefault="006F2D36"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lang w:val="en-US"/>
        </w:rPr>
        <w:t xml:space="preserve">Case </w:t>
      </w:r>
      <w:r w:rsidR="00F0509E" w:rsidRPr="0028028F">
        <w:rPr>
          <w:rFonts w:ascii="Arial" w:hAnsi="Arial" w:cs="Arial"/>
          <w:lang w:val="en-US"/>
        </w:rPr>
        <w:t>No.</w:t>
      </w:r>
      <w:r w:rsidRPr="0028028F">
        <w:rPr>
          <w:rFonts w:ascii="Arial" w:hAnsi="Arial" w:cs="Arial"/>
          <w:lang w:val="en-US"/>
        </w:rPr>
        <w:t xml:space="preserve"> 1165/2012.</w:t>
      </w:r>
    </w:p>
  </w:footnote>
  <w:footnote w:id="4">
    <w:p w14:paraId="753CCCCF" w14:textId="21A54E4E" w:rsidR="006F2D36" w:rsidRPr="0028028F" w:rsidRDefault="006F2D36"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C</w:t>
      </w:r>
      <w:r w:rsidRPr="0028028F">
        <w:rPr>
          <w:rFonts w:ascii="Arial" w:hAnsi="Arial" w:cs="Arial"/>
          <w:lang w:val="en-US"/>
        </w:rPr>
        <w:t xml:space="preserve">ase </w:t>
      </w:r>
      <w:r w:rsidR="00F0509E" w:rsidRPr="0028028F">
        <w:rPr>
          <w:rFonts w:ascii="Arial" w:hAnsi="Arial" w:cs="Arial"/>
          <w:lang w:val="en-US"/>
        </w:rPr>
        <w:t>No.</w:t>
      </w:r>
      <w:r w:rsidRPr="0028028F">
        <w:rPr>
          <w:rFonts w:ascii="Arial" w:hAnsi="Arial" w:cs="Arial"/>
          <w:lang w:val="en-US"/>
        </w:rPr>
        <w:t xml:space="preserve"> 3805/14.</w:t>
      </w:r>
    </w:p>
  </w:footnote>
  <w:footnote w:id="5">
    <w:p w14:paraId="47D0E157" w14:textId="040C161F" w:rsidR="00937A82" w:rsidRPr="0028028F" w:rsidRDefault="00937A82"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lang w:val="en-US"/>
        </w:rPr>
        <w:t>Section 44 of the Insolvency Act</w:t>
      </w:r>
      <w:r w:rsidR="00CB17AB">
        <w:rPr>
          <w:rFonts w:ascii="Arial" w:hAnsi="Arial" w:cs="Arial"/>
          <w:lang w:val="en-US"/>
        </w:rPr>
        <w:t>, in relevant part,</w:t>
      </w:r>
      <w:r w:rsidRPr="0028028F">
        <w:rPr>
          <w:rFonts w:ascii="Arial" w:hAnsi="Arial" w:cs="Arial"/>
          <w:lang w:val="en-US"/>
        </w:rPr>
        <w:t xml:space="preserve"> provides:</w:t>
      </w:r>
    </w:p>
    <w:p w14:paraId="3361A46B" w14:textId="16010D16" w:rsidR="00937A82" w:rsidRPr="0028028F" w:rsidRDefault="00937A82" w:rsidP="0036779A">
      <w:pPr>
        <w:spacing w:after="0"/>
        <w:jc w:val="both"/>
        <w:rPr>
          <w:rFonts w:ascii="Arial" w:hAnsi="Arial" w:cs="Arial"/>
          <w:b/>
          <w:sz w:val="20"/>
          <w:szCs w:val="20"/>
        </w:rPr>
      </w:pPr>
      <w:r w:rsidRPr="0028028F">
        <w:rPr>
          <w:rFonts w:ascii="Arial" w:hAnsi="Arial" w:cs="Arial"/>
          <w:sz w:val="20"/>
          <w:szCs w:val="20"/>
        </w:rPr>
        <w:t>‘</w:t>
      </w:r>
      <w:r w:rsidRPr="0028028F">
        <w:rPr>
          <w:rFonts w:ascii="Arial" w:hAnsi="Arial" w:cs="Arial"/>
          <w:b/>
          <w:sz w:val="20"/>
          <w:szCs w:val="20"/>
        </w:rPr>
        <w:t>44 Proof of liquidated claims against estate</w:t>
      </w:r>
    </w:p>
    <w:p w14:paraId="43ED603B"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xml:space="preserve">(1) Any person or the representative of any person who has a liquidated claim against an insolvent estate, the cause of which arose before the sequestration of that estate, may, at any time before the final distribution of that estate in terms of section </w:t>
      </w:r>
      <w:r w:rsidRPr="0028028F">
        <w:rPr>
          <w:rFonts w:ascii="Arial" w:hAnsi="Arial" w:cs="Arial"/>
          <w:i/>
          <w:sz w:val="20"/>
          <w:szCs w:val="20"/>
        </w:rPr>
        <w:t>one hundred and thirteen</w:t>
      </w:r>
      <w:r w:rsidRPr="0028028F">
        <w:rPr>
          <w:rFonts w:ascii="Arial" w:hAnsi="Arial" w:cs="Arial"/>
          <w:sz w:val="20"/>
          <w:szCs w:val="20"/>
        </w:rPr>
        <w:t xml:space="preserve">, but subject to the provisions of section </w:t>
      </w:r>
      <w:r w:rsidRPr="0028028F">
        <w:rPr>
          <w:rFonts w:ascii="Arial" w:hAnsi="Arial" w:cs="Arial"/>
          <w:i/>
          <w:sz w:val="20"/>
          <w:szCs w:val="20"/>
        </w:rPr>
        <w:t>one hundred and four</w:t>
      </w:r>
      <w:r w:rsidRPr="0028028F">
        <w:rPr>
          <w:rFonts w:ascii="Arial" w:hAnsi="Arial" w:cs="Arial"/>
          <w:sz w:val="20"/>
          <w:szCs w:val="20"/>
        </w:rPr>
        <w:t>, prove that claim in the manner hereinafter provided: Provided that no claim shall be proved against an estate after the expiration of a period of three months as from the conclusion of the second meeting of creditors of the estate, except with leave of the Court or the Master, and on payment of such sum to cover the cost or any part thereof, occasioned by the late proof of the claim, as the Court or Master may direct.</w:t>
      </w:r>
    </w:p>
    <w:p w14:paraId="04919C97" w14:textId="7B3A3F81"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 .</w:t>
      </w:r>
    </w:p>
    <w:p w14:paraId="3122C053"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xml:space="preserve">(3) A claim made against an insolvent estate shall be proved at a meeting of the creditors of that estate to the satisfaction of the officer presiding at that meeting, who shall admit or reject the claim: Provided that the rejection of a claim shall not debar the claimant from proving that claim at a subsequent meeting of creditors or from establishing his claim by an action at law, but subject to the provisions of section </w:t>
      </w:r>
      <w:r w:rsidRPr="0028028F">
        <w:rPr>
          <w:rFonts w:ascii="Arial" w:hAnsi="Arial" w:cs="Arial"/>
          <w:i/>
          <w:sz w:val="20"/>
          <w:szCs w:val="20"/>
        </w:rPr>
        <w:t>seventy-five</w:t>
      </w:r>
      <w:r w:rsidRPr="0028028F">
        <w:rPr>
          <w:rFonts w:ascii="Arial" w:hAnsi="Arial" w:cs="Arial"/>
          <w:sz w:val="20"/>
          <w:szCs w:val="20"/>
        </w:rPr>
        <w:t>: and provided further that if a creditor has twenty-four or more hours before the time advertised for the commencement of a meeting of creditors submitted to the officer who is to preside at that meeting the affidavit and other documents mentioned in subsection (4), he shall be deemed to have tendered proof of his claim at that meeting.</w:t>
      </w:r>
    </w:p>
    <w:p w14:paraId="1D391096"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xml:space="preserve">(4) Every such claim shall be proved by affidavit in a form corresponding substantially with Form C or D in the First Schedule to this Act. That affidavit may be made by the creditor or by any person fully cognizant of the claim, who shall set forth in the affidavit the facts upon which his knowledge of the claim is based and the nature and particulars of the claim, whether it was acquired by cession after the institution of the proceedings by which the estate was sequestrated, and if the creditor holds security therefor, the nature and particulars of that security and in the case of security other than movable property which he has realized in terms of section </w:t>
      </w:r>
      <w:r w:rsidRPr="0028028F">
        <w:rPr>
          <w:rFonts w:ascii="Arial" w:hAnsi="Arial" w:cs="Arial"/>
          <w:i/>
          <w:sz w:val="20"/>
          <w:szCs w:val="20"/>
        </w:rPr>
        <w:t>eighty-three</w:t>
      </w:r>
      <w:r w:rsidRPr="0028028F">
        <w:rPr>
          <w:rFonts w:ascii="Arial" w:hAnsi="Arial" w:cs="Arial"/>
          <w:sz w:val="20"/>
          <w:szCs w:val="20"/>
        </w:rPr>
        <w:t>, the amount at which he values the security. The said affidavit or a copy thereof and any documents submitted in support of the claim shall be delivered at the office of the officer who is to preside at the meeting of creditors not later than twenty-four hours before the advertised time of the meeting at which the creditor concerned intends to prove the claim, failing which the claim shall not be admitted to proof at that meeting, unless the presiding officer is of opinion that through no fault of the creditor he has been unable to deliver such evidences of his claim within the prescribed period: Provided that if a creditor has proved an incorrect claim, he may, with the consent in writing of the Master given after consultation with the trustee and on such conditions as the Master may think fit to impose correct his claim or submit a fresh correct claim.</w:t>
      </w:r>
    </w:p>
    <w:p w14:paraId="313E1B91" w14:textId="6AB659DA"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xml:space="preserve">(5) Any document by this section required to be delivered before a meeting of creditors at the office of the officer who is to preside at that meeting, shall be open for inspection at such office during office hours free of charge by any creditor, the trustee or the insolvent or the representative of any of them. </w:t>
      </w:r>
    </w:p>
    <w:p w14:paraId="36B451AF"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 xml:space="preserve">(6) A claim against an insolvent’s estate for payment of the purchase price of goods sold and delivered to the insolvent on an open account shall not be admitted to proof unless a statement is submitted in support of such claim showing the monthly total and a brief description of the purchases and payments for the full period of trading or for the period of twelve months immediately before the date of sequestration, whichever is the lesser. </w:t>
      </w:r>
    </w:p>
    <w:p w14:paraId="3EAE6F68"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(7) The officer presiding at any meeting of creditors may of his own motion or at the request of the trustee or his agent or at the request of any creditor who has proved his claim, or his agent, call upon any person present at the meeting who wishes to prove or who has at any time proved a claim against the estate to take an oath, to be administered by the said officer, and to submit to interrogation by the said officer or by the trustee or his agent or by a creditor or the agent of a creditor whose claim has been proved, in regard to the said claim.</w:t>
      </w:r>
    </w:p>
    <w:p w14:paraId="44F4B189" w14:textId="77777777" w:rsidR="00937A82" w:rsidRPr="0028028F" w:rsidRDefault="00937A82" w:rsidP="003723F8">
      <w:pPr>
        <w:spacing w:after="0"/>
        <w:jc w:val="both"/>
        <w:rPr>
          <w:rFonts w:ascii="Arial" w:hAnsi="Arial" w:cs="Arial"/>
          <w:sz w:val="20"/>
          <w:szCs w:val="20"/>
        </w:rPr>
      </w:pPr>
      <w:r w:rsidRPr="0028028F">
        <w:rPr>
          <w:rFonts w:ascii="Arial" w:hAnsi="Arial" w:cs="Arial"/>
          <w:sz w:val="20"/>
          <w:szCs w:val="20"/>
        </w:rPr>
        <w:t>(8) If any person who wishes to prove or who has at any time proved a claim against the estate is absent from a meeting of creditors the officer who presided or who presides thereat, may summon him in writing to appear before him at a place and time stated in the summons, for the purpose of being interrogated by the said officer or by the trustee or his agent or by a creditor or the agent of a creditor whose claim has been proved, and I he appears in answer to the summons the provisions of subsection (7) shall apply.</w:t>
      </w:r>
    </w:p>
    <w:p w14:paraId="01CD7F6B" w14:textId="7A4BBCEB" w:rsidR="00937A82" w:rsidRPr="0028028F" w:rsidRDefault="00937A82" w:rsidP="003723F8">
      <w:pPr>
        <w:pStyle w:val="FootnoteText"/>
        <w:spacing w:line="276" w:lineRule="auto"/>
        <w:jc w:val="both"/>
        <w:rPr>
          <w:rFonts w:ascii="Arial" w:hAnsi="Arial" w:cs="Arial"/>
          <w:lang w:val="en-US"/>
        </w:rPr>
      </w:pPr>
      <w:r w:rsidRPr="0028028F">
        <w:rPr>
          <w:rFonts w:ascii="Arial" w:hAnsi="Arial" w:cs="Arial"/>
        </w:rPr>
        <w:t>(9) If any such person fails without reasonable excuse to appear in answer to such summons or having appeared or when present at any meeting of creditors refuses to take the oath or to submit to the said interrogation or to answer fully and satisfactorily any lawful question put to him, his claim, if already proved, may be expunged by the Master, and if not yet proved, may be rejected.’</w:t>
      </w:r>
    </w:p>
  </w:footnote>
  <w:footnote w:id="6">
    <w:p w14:paraId="20C413DB" w14:textId="4DE2D0FC" w:rsidR="00D517FC" w:rsidRPr="0028028F" w:rsidRDefault="00937A82" w:rsidP="00D517FC">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00D517FC" w:rsidRPr="0028028F">
        <w:rPr>
          <w:rFonts w:ascii="Arial" w:hAnsi="Arial" w:cs="Arial"/>
          <w:lang w:val="en-US"/>
        </w:rPr>
        <w:t>Section 31 of the Insolvency Act provides:</w:t>
      </w:r>
    </w:p>
    <w:p w14:paraId="1D3A8C8E" w14:textId="5253AF0B" w:rsidR="00D517FC" w:rsidRPr="0028028F" w:rsidRDefault="00D517FC" w:rsidP="00D517FC">
      <w:pPr>
        <w:pStyle w:val="FootnoteText"/>
        <w:spacing w:line="276" w:lineRule="auto"/>
        <w:jc w:val="both"/>
        <w:rPr>
          <w:rFonts w:ascii="Arial" w:hAnsi="Arial" w:cs="Arial"/>
          <w:lang w:val="en-US"/>
        </w:rPr>
      </w:pPr>
      <w:r w:rsidRPr="0028028F">
        <w:rPr>
          <w:rFonts w:ascii="Arial" w:hAnsi="Arial" w:cs="Arial"/>
          <w:b/>
          <w:bCs/>
          <w:lang w:val="en-US"/>
        </w:rPr>
        <w:t>‘31 Collusive dealings before sequestration</w:t>
      </w:r>
      <w:r w:rsidRPr="0028028F">
        <w:rPr>
          <w:rFonts w:ascii="Arial" w:hAnsi="Arial" w:cs="Arial"/>
          <w:lang w:val="en-US"/>
        </w:rPr>
        <w:t xml:space="preserve"> </w:t>
      </w:r>
    </w:p>
    <w:p w14:paraId="6A2EEED0" w14:textId="1B5CCDE6" w:rsidR="00D517FC" w:rsidRPr="0028028F" w:rsidRDefault="00D517FC" w:rsidP="0036779A">
      <w:pPr>
        <w:pStyle w:val="FootnoteText"/>
        <w:spacing w:line="276" w:lineRule="auto"/>
        <w:jc w:val="both"/>
        <w:rPr>
          <w:rFonts w:ascii="Arial" w:hAnsi="Arial" w:cs="Arial"/>
          <w:lang w:val="en-US"/>
        </w:rPr>
      </w:pPr>
      <w:r w:rsidRPr="0028028F">
        <w:rPr>
          <w:rFonts w:ascii="Arial" w:hAnsi="Arial" w:cs="Arial"/>
          <w:lang w:val="en-US"/>
        </w:rPr>
        <w:t>(1) After the sequestration of a debtor’s estate the court may set as</w:t>
      </w:r>
      <w:r w:rsidR="0036779A">
        <w:rPr>
          <w:rFonts w:ascii="Arial" w:hAnsi="Arial" w:cs="Arial"/>
          <w:lang w:val="en-US"/>
        </w:rPr>
        <w:t>ide any transaction entered into</w:t>
      </w:r>
      <w:r w:rsidRPr="0028028F">
        <w:rPr>
          <w:rFonts w:ascii="Arial" w:hAnsi="Arial" w:cs="Arial"/>
          <w:lang w:val="en-US"/>
        </w:rPr>
        <w:t xml:space="preserve"> by the debtor before the sequestration, whereby he, in collusion with another person, disposed of property belonging to him in a manner which had the effect of prejudicing his creditors or of preferring one of his creditors above another.</w:t>
      </w:r>
    </w:p>
    <w:p w14:paraId="258C897D" w14:textId="07FBDC9B" w:rsidR="00D517FC" w:rsidRPr="0028028F" w:rsidRDefault="00D517FC" w:rsidP="00CB6B41">
      <w:pPr>
        <w:pStyle w:val="FootnoteText"/>
        <w:spacing w:line="276" w:lineRule="auto"/>
        <w:jc w:val="both"/>
        <w:rPr>
          <w:rFonts w:ascii="Arial" w:hAnsi="Arial" w:cs="Arial"/>
          <w:lang w:val="en-US"/>
        </w:rPr>
      </w:pPr>
      <w:r w:rsidRPr="0028028F">
        <w:rPr>
          <w:rFonts w:ascii="Arial" w:hAnsi="Arial" w:cs="Arial"/>
          <w:lang w:val="en-US"/>
        </w:rPr>
        <w:t xml:space="preserve">(2) Any person who was a party to such collusive disposition shall be </w:t>
      </w:r>
      <w:r w:rsidR="00A433DE">
        <w:rPr>
          <w:rFonts w:ascii="Arial" w:hAnsi="Arial" w:cs="Arial"/>
          <w:lang w:val="en-US"/>
        </w:rPr>
        <w:t>liable to make good any loss thereby</w:t>
      </w:r>
      <w:r w:rsidRPr="0028028F">
        <w:rPr>
          <w:rFonts w:ascii="Arial" w:hAnsi="Arial" w:cs="Arial"/>
          <w:lang w:val="en-US"/>
        </w:rPr>
        <w:t xml:space="preserve"> caused to the estate, by way of penalty, such sum as the court</w:t>
      </w:r>
      <w:r w:rsidR="00A433DE">
        <w:rPr>
          <w:rFonts w:ascii="Arial" w:hAnsi="Arial" w:cs="Arial"/>
          <w:lang w:val="en-US"/>
        </w:rPr>
        <w:t xml:space="preserve"> may adjudge, not exceeding the</w:t>
      </w:r>
      <w:r w:rsidR="002860CE">
        <w:rPr>
          <w:rFonts w:ascii="Arial" w:hAnsi="Arial" w:cs="Arial"/>
          <w:lang w:val="en-US"/>
        </w:rPr>
        <w:t xml:space="preserve"> </w:t>
      </w:r>
      <w:r w:rsidRPr="0028028F">
        <w:rPr>
          <w:rFonts w:ascii="Arial" w:hAnsi="Arial" w:cs="Arial"/>
          <w:lang w:val="en-US"/>
        </w:rPr>
        <w:t>amount by which he would have benefited by such dealing if it had not</w:t>
      </w:r>
      <w:r w:rsidR="00A433DE">
        <w:rPr>
          <w:rFonts w:ascii="Arial" w:hAnsi="Arial" w:cs="Arial"/>
          <w:lang w:val="en-US"/>
        </w:rPr>
        <w:t xml:space="preserve"> been set aside; and if he is a</w:t>
      </w:r>
      <w:r w:rsidR="00CB6B41">
        <w:rPr>
          <w:rFonts w:ascii="Arial" w:hAnsi="Arial" w:cs="Arial"/>
          <w:lang w:val="en-US"/>
        </w:rPr>
        <w:t xml:space="preserve"> </w:t>
      </w:r>
      <w:r w:rsidRPr="0028028F">
        <w:rPr>
          <w:rFonts w:ascii="Arial" w:hAnsi="Arial" w:cs="Arial"/>
          <w:lang w:val="en-US"/>
        </w:rPr>
        <w:t>creditor he shall also forfeit his claim against the estate.</w:t>
      </w:r>
    </w:p>
    <w:p w14:paraId="1B8357C7" w14:textId="44E77CCD" w:rsidR="00D517FC" w:rsidRPr="0028028F" w:rsidRDefault="00D517FC" w:rsidP="00CB6B41">
      <w:pPr>
        <w:pStyle w:val="FootnoteText"/>
        <w:spacing w:line="276" w:lineRule="auto"/>
        <w:jc w:val="both"/>
        <w:rPr>
          <w:rFonts w:ascii="Arial" w:hAnsi="Arial" w:cs="Arial"/>
          <w:lang w:val="en-US"/>
        </w:rPr>
      </w:pPr>
      <w:r w:rsidRPr="0028028F">
        <w:rPr>
          <w:rFonts w:ascii="Arial" w:hAnsi="Arial" w:cs="Arial"/>
          <w:lang w:val="en-US"/>
        </w:rPr>
        <w:t>(3) Such compensation and penalty may be recovered in any action to set aside the transaction in question.’</w:t>
      </w:r>
      <w:r>
        <w:rPr>
          <w:rFonts w:ascii="Arial" w:hAnsi="Arial" w:cs="Arial"/>
          <w:lang w:val="en-US"/>
        </w:rPr>
        <w:t xml:space="preserve"> </w:t>
      </w:r>
    </w:p>
    <w:p w14:paraId="32CFF0D3" w14:textId="18CB3F31" w:rsidR="00937A82" w:rsidRPr="0028028F" w:rsidRDefault="00937A82" w:rsidP="0028028F">
      <w:pPr>
        <w:pStyle w:val="FootnoteText"/>
        <w:spacing w:line="276" w:lineRule="auto"/>
        <w:jc w:val="both"/>
        <w:rPr>
          <w:rFonts w:ascii="Arial" w:hAnsi="Arial" w:cs="Arial"/>
          <w:lang w:val="en-US"/>
        </w:rPr>
      </w:pPr>
    </w:p>
  </w:footnote>
  <w:footnote w:id="7">
    <w:p w14:paraId="274FB13C" w14:textId="4D8478D5" w:rsidR="006F2D36" w:rsidRPr="0028028F" w:rsidRDefault="006F2D36" w:rsidP="00E50486">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lang w:val="en-US"/>
        </w:rPr>
        <w:t>Order of the Eastern Cape Division of the High Court</w:t>
      </w:r>
      <w:r w:rsidR="00490528" w:rsidRPr="0028028F">
        <w:rPr>
          <w:rFonts w:ascii="Arial" w:hAnsi="Arial" w:cs="Arial"/>
          <w:lang w:val="en-US"/>
        </w:rPr>
        <w:t>, Makhanda</w:t>
      </w:r>
      <w:r w:rsidR="00C14E71">
        <w:rPr>
          <w:rFonts w:ascii="Arial" w:hAnsi="Arial" w:cs="Arial"/>
          <w:lang w:val="en-US"/>
        </w:rPr>
        <w:t xml:space="preserve">: </w:t>
      </w:r>
      <w:r w:rsidR="00C14E71" w:rsidRPr="00467045">
        <w:rPr>
          <w:rFonts w:ascii="Arial" w:hAnsi="Arial" w:cs="Arial"/>
          <w:i/>
          <w:iCs/>
          <w:lang w:val="en-US"/>
        </w:rPr>
        <w:t xml:space="preserve">De Jager N O and Another v Mantis Investments Holdings (Pty) </w:t>
      </w:r>
      <w:r w:rsidR="00D23C67" w:rsidRPr="00467045">
        <w:rPr>
          <w:rFonts w:ascii="Arial" w:hAnsi="Arial" w:cs="Arial"/>
          <w:i/>
          <w:iCs/>
          <w:lang w:val="en-US"/>
        </w:rPr>
        <w:t>Ltd and Another</w:t>
      </w:r>
      <w:r w:rsidR="00D23C67">
        <w:rPr>
          <w:rFonts w:ascii="Arial" w:hAnsi="Arial" w:cs="Arial"/>
          <w:lang w:val="en-US"/>
        </w:rPr>
        <w:t xml:space="preserve"> [2021] ZAECGHC 120. </w:t>
      </w:r>
    </w:p>
  </w:footnote>
  <w:footnote w:id="8">
    <w:p w14:paraId="536CE779" w14:textId="6F8B51DD" w:rsidR="00A431B5" w:rsidRPr="0028028F" w:rsidRDefault="00A431B5"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See para </w:t>
      </w:r>
      <w:r w:rsidRPr="00F731B8">
        <w:rPr>
          <w:rFonts w:ascii="Arial" w:hAnsi="Arial" w:cs="Arial"/>
          <w:color w:val="000000" w:themeColor="text1"/>
        </w:rPr>
        <w:t>1</w:t>
      </w:r>
      <w:r w:rsidR="00A25DA5" w:rsidRPr="00F731B8">
        <w:rPr>
          <w:rFonts w:ascii="Arial" w:hAnsi="Arial" w:cs="Arial"/>
          <w:color w:val="000000" w:themeColor="text1"/>
        </w:rPr>
        <w:t>6</w:t>
      </w:r>
      <w:r w:rsidRPr="0028028F">
        <w:rPr>
          <w:rFonts w:ascii="Arial" w:hAnsi="Arial" w:cs="Arial"/>
        </w:rPr>
        <w:t xml:space="preserve"> below.</w:t>
      </w:r>
      <w:r w:rsidR="005B75A5">
        <w:rPr>
          <w:rFonts w:ascii="Arial" w:hAnsi="Arial" w:cs="Arial"/>
        </w:rPr>
        <w:t xml:space="preserve"> </w:t>
      </w:r>
    </w:p>
  </w:footnote>
  <w:footnote w:id="9">
    <w:p w14:paraId="374F0EAF" w14:textId="184C4D64" w:rsidR="006F2D36" w:rsidRPr="0028028F" w:rsidRDefault="006F2D36"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0260B6">
        <w:rPr>
          <w:rFonts w:ascii="Arial" w:hAnsi="Arial" w:cs="Arial"/>
          <w:i/>
          <w:iCs/>
          <w:lang w:val="en-US"/>
        </w:rPr>
        <w:t>Bester N</w:t>
      </w:r>
      <w:r w:rsidR="00D23C67" w:rsidRPr="000260B6">
        <w:rPr>
          <w:rFonts w:ascii="Arial" w:hAnsi="Arial" w:cs="Arial"/>
          <w:i/>
          <w:iCs/>
          <w:lang w:val="en-US"/>
        </w:rPr>
        <w:t xml:space="preserve"> </w:t>
      </w:r>
      <w:r w:rsidRPr="000260B6">
        <w:rPr>
          <w:rFonts w:ascii="Arial" w:hAnsi="Arial" w:cs="Arial"/>
          <w:i/>
          <w:iCs/>
          <w:lang w:val="en-US"/>
        </w:rPr>
        <w:t>O and Others v CTS Trailers (Pty) Ltd and Another</w:t>
      </w:r>
      <w:r w:rsidR="002C00B0" w:rsidRPr="0028028F">
        <w:rPr>
          <w:rFonts w:ascii="Arial" w:hAnsi="Arial" w:cs="Arial"/>
          <w:lang w:val="en-US"/>
        </w:rPr>
        <w:t xml:space="preserve"> </w:t>
      </w:r>
      <w:r w:rsidR="00D23C67">
        <w:rPr>
          <w:rFonts w:ascii="Arial" w:hAnsi="Arial" w:cs="Arial"/>
          <w:lang w:val="en-US"/>
        </w:rPr>
        <w:t xml:space="preserve">[2020] ZAWCHC 169; </w:t>
      </w:r>
      <w:r w:rsidR="002C00B0" w:rsidRPr="0028028F">
        <w:rPr>
          <w:rFonts w:ascii="Arial" w:hAnsi="Arial" w:cs="Arial"/>
          <w:lang w:val="en-US"/>
        </w:rPr>
        <w:t>2021 (4) SA 167 (WCC)</w:t>
      </w:r>
      <w:r w:rsidR="00041711" w:rsidRPr="0028028F">
        <w:rPr>
          <w:rFonts w:ascii="Arial" w:hAnsi="Arial" w:cs="Arial"/>
          <w:lang w:val="en-US"/>
        </w:rPr>
        <w:t>.</w:t>
      </w:r>
      <w:r w:rsidRPr="0028028F">
        <w:rPr>
          <w:rFonts w:ascii="Arial" w:hAnsi="Arial" w:cs="Arial"/>
          <w:lang w:val="en-US"/>
        </w:rPr>
        <w:t xml:space="preserve"> </w:t>
      </w:r>
    </w:p>
  </w:footnote>
  <w:footnote w:id="10">
    <w:p w14:paraId="7F0A75E3" w14:textId="2B752F77" w:rsidR="006F2D36" w:rsidRPr="0028028F" w:rsidRDefault="006F2D36" w:rsidP="00B038DB">
      <w:pPr>
        <w:pStyle w:val="ListParagraph"/>
        <w:tabs>
          <w:tab w:val="left" w:pos="567"/>
        </w:tabs>
        <w:spacing w:after="0"/>
        <w:ind w:left="0"/>
        <w:jc w:val="both"/>
        <w:rPr>
          <w:rFonts w:ascii="Arial" w:hAnsi="Arial" w:cs="Arial"/>
          <w:sz w:val="20"/>
          <w:szCs w:val="20"/>
          <w:lang w:val="en-US"/>
        </w:rPr>
      </w:pPr>
      <w:r w:rsidRPr="0028028F">
        <w:rPr>
          <w:rStyle w:val="FootnoteReference"/>
          <w:rFonts w:ascii="Arial" w:hAnsi="Arial" w:cs="Arial"/>
          <w:sz w:val="20"/>
          <w:szCs w:val="20"/>
        </w:rPr>
        <w:footnoteRef/>
      </w:r>
      <w:r w:rsidRPr="0028028F">
        <w:rPr>
          <w:rFonts w:ascii="Arial" w:hAnsi="Arial" w:cs="Arial"/>
          <w:sz w:val="20"/>
          <w:szCs w:val="20"/>
        </w:rPr>
        <w:t xml:space="preserve"> </w:t>
      </w:r>
      <w:r w:rsidR="00387F4E" w:rsidRPr="0028028F">
        <w:rPr>
          <w:rFonts w:ascii="Arial" w:hAnsi="Arial" w:cs="Arial"/>
          <w:i/>
          <w:sz w:val="20"/>
          <w:szCs w:val="20"/>
        </w:rPr>
        <w:t xml:space="preserve">Bester </w:t>
      </w:r>
      <w:r w:rsidR="00387F4E" w:rsidRPr="0028028F">
        <w:rPr>
          <w:rFonts w:ascii="Arial" w:hAnsi="Arial" w:cs="Arial"/>
          <w:sz w:val="20"/>
          <w:szCs w:val="20"/>
        </w:rPr>
        <w:t>paras</w:t>
      </w:r>
      <w:r w:rsidR="00041711" w:rsidRPr="0028028F">
        <w:rPr>
          <w:rFonts w:ascii="Arial" w:hAnsi="Arial" w:cs="Arial"/>
          <w:sz w:val="20"/>
          <w:szCs w:val="20"/>
          <w:lang w:val="en-US"/>
        </w:rPr>
        <w:t xml:space="preserve"> 21-27. </w:t>
      </w:r>
      <w:r w:rsidRPr="0028028F">
        <w:rPr>
          <w:rFonts w:ascii="Arial" w:hAnsi="Arial" w:cs="Arial"/>
          <w:sz w:val="20"/>
          <w:szCs w:val="20"/>
          <w:lang w:val="en-US"/>
        </w:rPr>
        <w:t xml:space="preserve">Although </w:t>
      </w:r>
      <w:r w:rsidRPr="0028028F">
        <w:rPr>
          <w:rFonts w:ascii="Arial" w:hAnsi="Arial" w:cs="Arial"/>
          <w:i/>
          <w:iCs/>
          <w:sz w:val="20"/>
          <w:szCs w:val="20"/>
          <w:lang w:val="en-US"/>
        </w:rPr>
        <w:t>Bester</w:t>
      </w:r>
      <w:r w:rsidRPr="0028028F">
        <w:rPr>
          <w:rFonts w:ascii="Arial" w:hAnsi="Arial" w:cs="Arial"/>
          <w:sz w:val="20"/>
          <w:szCs w:val="20"/>
          <w:lang w:val="en-US"/>
        </w:rPr>
        <w:t xml:space="preserve"> deals with a decision made by the Master in terms of s 46</w:t>
      </w:r>
      <w:r w:rsidR="0028028F" w:rsidRPr="0028028F">
        <w:rPr>
          <w:rFonts w:ascii="Arial" w:hAnsi="Arial" w:cs="Arial"/>
          <w:sz w:val="20"/>
          <w:szCs w:val="20"/>
          <w:lang w:val="en-US"/>
        </w:rPr>
        <w:t xml:space="preserve"> </w:t>
      </w:r>
      <w:r w:rsidRPr="0028028F">
        <w:rPr>
          <w:rFonts w:ascii="Arial" w:hAnsi="Arial" w:cs="Arial"/>
          <w:sz w:val="20"/>
          <w:szCs w:val="20"/>
          <w:lang w:val="en-US"/>
        </w:rPr>
        <w:t>of the Insolvency Act and not s 44, it affirms the principle that</w:t>
      </w:r>
      <w:r w:rsidR="00041711" w:rsidRPr="0028028F">
        <w:rPr>
          <w:rFonts w:ascii="Arial" w:hAnsi="Arial" w:cs="Arial"/>
          <w:sz w:val="20"/>
          <w:szCs w:val="20"/>
          <w:lang w:val="en-US"/>
        </w:rPr>
        <w:t>,</w:t>
      </w:r>
      <w:r w:rsidRPr="0028028F">
        <w:rPr>
          <w:rFonts w:ascii="Arial" w:hAnsi="Arial" w:cs="Arial"/>
          <w:sz w:val="20"/>
          <w:szCs w:val="20"/>
          <w:lang w:val="en-US"/>
        </w:rPr>
        <w:t xml:space="preserve"> a decision taken by the Master in terms of the Insolvency Act has legal consequences until set aside.</w:t>
      </w:r>
    </w:p>
  </w:footnote>
  <w:footnote w:id="11">
    <w:p w14:paraId="213675A8" w14:textId="149AD030" w:rsidR="006F2D36" w:rsidRPr="0028028F" w:rsidRDefault="00DB6862" w:rsidP="0028028F">
      <w:pPr>
        <w:spacing w:after="0"/>
        <w:jc w:val="both"/>
        <w:rPr>
          <w:rFonts w:ascii="Arial" w:hAnsi="Arial" w:cs="Arial"/>
          <w:sz w:val="20"/>
          <w:szCs w:val="20"/>
        </w:rPr>
      </w:pPr>
      <w:r>
        <w:rPr>
          <w:rStyle w:val="FootnoteReference"/>
          <w:rFonts w:eastAsiaTheme="minorHAnsi" w:cstheme="minorBidi"/>
          <w:sz w:val="20"/>
          <w:szCs w:val="20"/>
          <w:lang w:val="en-ZA"/>
        </w:rPr>
        <w:footnoteRef/>
      </w:r>
      <w:r>
        <w:rPr>
          <w:rFonts w:ascii="Arial" w:hAnsi="Arial" w:cs="Arial"/>
          <w:sz w:val="20"/>
          <w:szCs w:val="20"/>
        </w:rPr>
        <w:t xml:space="preserve"> See fn 6 above.</w:t>
      </w:r>
    </w:p>
  </w:footnote>
  <w:footnote w:id="12">
    <w:p w14:paraId="1E37B613" w14:textId="77777777" w:rsidR="00791F98" w:rsidRPr="0028028F" w:rsidRDefault="00791F98"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i/>
          <w:iCs/>
          <w:lang w:val="en-US"/>
        </w:rPr>
        <w:t>Caldeira v The Master and Another</w:t>
      </w:r>
      <w:r w:rsidRPr="0028028F">
        <w:rPr>
          <w:rFonts w:ascii="Arial" w:hAnsi="Arial" w:cs="Arial"/>
          <w:lang w:val="en-US"/>
        </w:rPr>
        <w:t xml:space="preserve"> 1996 (1) SA 868 (NPD) at 873H-874F.</w:t>
      </w:r>
    </w:p>
  </w:footnote>
  <w:footnote w:id="13">
    <w:p w14:paraId="3F99CC17" w14:textId="48A263E2" w:rsidR="00893EE2" w:rsidRPr="0028028F" w:rsidRDefault="00893EE2" w:rsidP="0028028F">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i/>
          <w:iCs/>
          <w:lang w:val="en-US"/>
        </w:rPr>
        <w:t xml:space="preserve">Breda </w:t>
      </w:r>
      <w:r w:rsidR="00221894">
        <w:rPr>
          <w:rFonts w:ascii="Arial" w:hAnsi="Arial" w:cs="Arial"/>
          <w:i/>
          <w:iCs/>
          <w:lang w:val="en-US"/>
        </w:rPr>
        <w:t xml:space="preserve">N O </w:t>
      </w:r>
      <w:r w:rsidRPr="0028028F">
        <w:rPr>
          <w:rFonts w:ascii="Arial" w:hAnsi="Arial" w:cs="Arial"/>
          <w:i/>
          <w:iCs/>
          <w:lang w:val="en-US"/>
        </w:rPr>
        <w:t>v Master of the High Court, Kimberley</w:t>
      </w:r>
      <w:r w:rsidRPr="0028028F">
        <w:rPr>
          <w:rFonts w:ascii="Arial" w:hAnsi="Arial" w:cs="Arial"/>
          <w:lang w:val="en-US"/>
        </w:rPr>
        <w:t xml:space="preserve"> </w:t>
      </w:r>
      <w:r w:rsidR="0094747E">
        <w:rPr>
          <w:rFonts w:ascii="Arial" w:hAnsi="Arial" w:cs="Arial"/>
          <w:lang w:val="en-US"/>
        </w:rPr>
        <w:t>[</w:t>
      </w:r>
      <w:r w:rsidRPr="0028028F">
        <w:rPr>
          <w:rFonts w:ascii="Arial" w:hAnsi="Arial" w:cs="Arial"/>
          <w:lang w:val="en-US"/>
        </w:rPr>
        <w:t>2015</w:t>
      </w:r>
      <w:r w:rsidR="0094747E">
        <w:rPr>
          <w:rFonts w:ascii="Arial" w:hAnsi="Arial" w:cs="Arial"/>
          <w:lang w:val="en-US"/>
        </w:rPr>
        <w:t>]</w:t>
      </w:r>
      <w:r w:rsidRPr="0028028F">
        <w:rPr>
          <w:rFonts w:ascii="Arial" w:hAnsi="Arial" w:cs="Arial"/>
          <w:lang w:val="en-US"/>
        </w:rPr>
        <w:t xml:space="preserve"> ZASCA 166.</w:t>
      </w:r>
    </w:p>
  </w:footnote>
  <w:footnote w:id="14">
    <w:p w14:paraId="48D759FC" w14:textId="58B35906" w:rsidR="00893EE2" w:rsidRPr="0028028F" w:rsidRDefault="00893EE2" w:rsidP="0028028F">
      <w:pPr>
        <w:pStyle w:val="FootnoteText"/>
        <w:spacing w:line="276" w:lineRule="auto"/>
        <w:jc w:val="both"/>
        <w:rPr>
          <w:rFonts w:ascii="Arial" w:hAnsi="Arial" w:cs="Arial"/>
        </w:rPr>
      </w:pPr>
      <w:r w:rsidRPr="0028028F">
        <w:rPr>
          <w:rStyle w:val="FootnoteReference"/>
          <w:rFonts w:ascii="Arial" w:hAnsi="Arial" w:cs="Arial"/>
        </w:rPr>
        <w:footnoteRef/>
      </w:r>
      <w:r w:rsidRPr="0028028F">
        <w:rPr>
          <w:rFonts w:ascii="Arial" w:hAnsi="Arial" w:cs="Arial"/>
        </w:rPr>
        <w:t xml:space="preserve"> </w:t>
      </w:r>
      <w:r w:rsidR="0094747E" w:rsidRPr="00467045">
        <w:rPr>
          <w:rFonts w:ascii="Arial" w:hAnsi="Arial" w:cs="Arial"/>
          <w:iCs/>
        </w:rPr>
        <w:t>Ibid</w:t>
      </w:r>
      <w:r w:rsidR="0094747E" w:rsidRPr="0028028F">
        <w:rPr>
          <w:rFonts w:ascii="Arial" w:hAnsi="Arial" w:cs="Arial"/>
        </w:rPr>
        <w:t xml:space="preserve"> </w:t>
      </w:r>
      <w:r w:rsidRPr="0028028F">
        <w:rPr>
          <w:rFonts w:ascii="Arial" w:hAnsi="Arial" w:cs="Arial"/>
        </w:rPr>
        <w:t>para 23.</w:t>
      </w:r>
    </w:p>
  </w:footnote>
  <w:footnote w:id="15">
    <w:p w14:paraId="53B4F9E6" w14:textId="724DB01F" w:rsidR="006F2D36" w:rsidRPr="0028028F" w:rsidRDefault="006F2D36" w:rsidP="00B038DB">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i/>
          <w:iCs/>
          <w:lang w:val="en-US"/>
        </w:rPr>
        <w:t xml:space="preserve">Ben Rossouw Motors v Druker NO and Others </w:t>
      </w:r>
      <w:r w:rsidR="00890E94" w:rsidRPr="0028028F">
        <w:rPr>
          <w:rFonts w:ascii="Arial" w:hAnsi="Arial" w:cs="Arial"/>
          <w:lang w:val="en-US"/>
        </w:rPr>
        <w:t>1975</w:t>
      </w:r>
      <w:r w:rsidR="00221894">
        <w:rPr>
          <w:rFonts w:ascii="Arial" w:hAnsi="Arial" w:cs="Arial"/>
          <w:lang w:val="en-US"/>
        </w:rPr>
        <w:t xml:space="preserve"> </w:t>
      </w:r>
      <w:r w:rsidR="00890E94" w:rsidRPr="0028028F">
        <w:rPr>
          <w:rFonts w:ascii="Arial" w:hAnsi="Arial" w:cs="Arial"/>
          <w:lang w:val="en-US"/>
        </w:rPr>
        <w:t xml:space="preserve">(1) SA </w:t>
      </w:r>
      <w:r w:rsidRPr="0028028F">
        <w:rPr>
          <w:rFonts w:ascii="Arial" w:hAnsi="Arial" w:cs="Arial"/>
          <w:lang w:val="en-US"/>
        </w:rPr>
        <w:t>821 (W) at 823; [1975] 1 All SA 311</w:t>
      </w:r>
      <w:r w:rsidR="00225E22">
        <w:rPr>
          <w:rFonts w:ascii="Arial" w:hAnsi="Arial" w:cs="Arial"/>
          <w:lang w:val="en-US"/>
        </w:rPr>
        <w:t xml:space="preserve"> </w:t>
      </w:r>
      <w:r w:rsidRPr="0028028F">
        <w:rPr>
          <w:rFonts w:ascii="Arial" w:hAnsi="Arial" w:cs="Arial"/>
          <w:lang w:val="en-US"/>
        </w:rPr>
        <w:t>(W)</w:t>
      </w:r>
      <w:r w:rsidR="00225E22">
        <w:rPr>
          <w:rFonts w:ascii="Arial" w:hAnsi="Arial" w:cs="Arial"/>
          <w:lang w:val="en-US"/>
        </w:rPr>
        <w:t xml:space="preserve"> at 314. </w:t>
      </w:r>
    </w:p>
  </w:footnote>
  <w:footnote w:id="16">
    <w:p w14:paraId="415301A8" w14:textId="77777777" w:rsidR="00955805" w:rsidRPr="0028028F" w:rsidRDefault="00955805" w:rsidP="00B038DB">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i/>
          <w:iCs/>
          <w:lang w:val="en-US"/>
        </w:rPr>
        <w:t>Estate Jeewa v The Master and Bukhsh</w:t>
      </w:r>
      <w:r w:rsidRPr="0028028F">
        <w:rPr>
          <w:rFonts w:ascii="Arial" w:hAnsi="Arial" w:cs="Arial"/>
          <w:lang w:val="en-US"/>
        </w:rPr>
        <w:t xml:space="preserve"> (1927) NLR 86; </w:t>
      </w:r>
      <w:r w:rsidRPr="0028028F">
        <w:rPr>
          <w:rFonts w:ascii="Arial" w:hAnsi="Arial" w:cs="Arial"/>
          <w:i/>
          <w:iCs/>
          <w:lang w:val="en-US"/>
        </w:rPr>
        <w:t>Estate Wilson v Estate Giddy, Giddy and White and Others</w:t>
      </w:r>
      <w:r w:rsidRPr="0028028F">
        <w:rPr>
          <w:rFonts w:ascii="Arial" w:hAnsi="Arial" w:cs="Arial"/>
          <w:lang w:val="en-US"/>
        </w:rPr>
        <w:t xml:space="preserve"> 1937 AD 239.</w:t>
      </w:r>
    </w:p>
  </w:footnote>
  <w:footnote w:id="17">
    <w:p w14:paraId="28736778" w14:textId="3EC3C1A3" w:rsidR="00955805" w:rsidRPr="0028028F" w:rsidRDefault="00955805" w:rsidP="00C71578">
      <w:pPr>
        <w:pStyle w:val="FootnoteText"/>
        <w:spacing w:line="276" w:lineRule="auto"/>
        <w:jc w:val="both"/>
        <w:rPr>
          <w:rFonts w:ascii="Arial" w:hAnsi="Arial" w:cs="Arial"/>
          <w:lang w:val="en-US"/>
        </w:rPr>
      </w:pPr>
      <w:r w:rsidRPr="0028028F">
        <w:rPr>
          <w:rStyle w:val="FootnoteReference"/>
          <w:rFonts w:ascii="Arial" w:hAnsi="Arial" w:cs="Arial"/>
        </w:rPr>
        <w:footnoteRef/>
      </w:r>
      <w:r w:rsidRPr="0028028F">
        <w:rPr>
          <w:rFonts w:ascii="Arial" w:hAnsi="Arial" w:cs="Arial"/>
        </w:rPr>
        <w:t xml:space="preserve"> </w:t>
      </w:r>
      <w:r w:rsidRPr="0028028F">
        <w:rPr>
          <w:rFonts w:ascii="Arial" w:hAnsi="Arial" w:cs="Arial"/>
          <w:i/>
          <w:iCs/>
          <w:lang w:val="en-US"/>
        </w:rPr>
        <w:t>Noord</w:t>
      </w:r>
      <w:r w:rsidR="00791157">
        <w:rPr>
          <w:rFonts w:ascii="Arial" w:hAnsi="Arial" w:cs="Arial"/>
          <w:i/>
          <w:iCs/>
          <w:lang w:val="en-US"/>
        </w:rPr>
        <w:t>-k</w:t>
      </w:r>
      <w:r w:rsidRPr="0028028F">
        <w:rPr>
          <w:rFonts w:ascii="Arial" w:hAnsi="Arial" w:cs="Arial"/>
          <w:i/>
          <w:iCs/>
          <w:lang w:val="en-US"/>
        </w:rPr>
        <w:t>aaplandse Ko-op Lewend</w:t>
      </w:r>
      <w:r w:rsidR="00791157">
        <w:rPr>
          <w:rFonts w:ascii="Arial" w:hAnsi="Arial" w:cs="Arial"/>
          <w:i/>
          <w:iCs/>
          <w:lang w:val="en-US"/>
        </w:rPr>
        <w:t>e</w:t>
      </w:r>
      <w:r w:rsidRPr="0028028F">
        <w:rPr>
          <w:rFonts w:ascii="Arial" w:hAnsi="Arial" w:cs="Arial"/>
          <w:i/>
          <w:iCs/>
          <w:lang w:val="en-US"/>
        </w:rPr>
        <w:t>hawe Agentskap Bpk v Van Rooyen and Others</w:t>
      </w:r>
      <w:r w:rsidRPr="0028028F">
        <w:rPr>
          <w:rFonts w:ascii="Arial" w:hAnsi="Arial" w:cs="Arial"/>
          <w:lang w:val="en-US"/>
        </w:rPr>
        <w:t xml:space="preserve"> 1977 (1) SA 403 (NC) at 406-407.</w:t>
      </w:r>
    </w:p>
  </w:footnote>
  <w:footnote w:id="18">
    <w:p w14:paraId="65CD0130" w14:textId="287CE4AD" w:rsidR="00EB5A82" w:rsidRPr="0028028F" w:rsidRDefault="00EB5A82" w:rsidP="0028028F">
      <w:pPr>
        <w:pStyle w:val="FootnoteText"/>
        <w:spacing w:line="276" w:lineRule="auto"/>
        <w:jc w:val="both"/>
        <w:rPr>
          <w:rFonts w:ascii="Arial" w:hAnsi="Arial" w:cs="Arial"/>
        </w:rPr>
      </w:pPr>
      <w:r w:rsidRPr="0028028F">
        <w:rPr>
          <w:rStyle w:val="FootnoteReference"/>
          <w:rFonts w:ascii="Arial" w:hAnsi="Arial" w:cs="Arial"/>
        </w:rPr>
        <w:footnoteRef/>
      </w:r>
      <w:r w:rsidRPr="0028028F">
        <w:rPr>
          <w:rFonts w:ascii="Arial" w:hAnsi="Arial" w:cs="Arial"/>
        </w:rPr>
        <w:t xml:space="preserve"> </w:t>
      </w:r>
      <w:r w:rsidR="00CE30D6" w:rsidRPr="0028028F">
        <w:rPr>
          <w:rFonts w:ascii="Arial" w:hAnsi="Arial" w:cs="Arial"/>
          <w:i/>
        </w:rPr>
        <w:t>Walker v Syfret NO</w:t>
      </w:r>
      <w:r w:rsidR="00CE30D6" w:rsidRPr="0028028F">
        <w:rPr>
          <w:rFonts w:ascii="Arial" w:hAnsi="Arial" w:cs="Arial"/>
        </w:rPr>
        <w:t xml:space="preserve"> 1911 AD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82494689"/>
      <w:docPartObj>
        <w:docPartGallery w:val="Page Numbers (Top of Page)"/>
        <w:docPartUnique/>
      </w:docPartObj>
    </w:sdtPr>
    <w:sdtEndPr>
      <w:rPr>
        <w:noProof/>
      </w:rPr>
    </w:sdtEndPr>
    <w:sdtContent>
      <w:p w14:paraId="593791ED" w14:textId="6D1E56A6" w:rsidR="008B1995" w:rsidRPr="00FE0AAE" w:rsidRDefault="008B1995">
        <w:pPr>
          <w:pStyle w:val="Header"/>
          <w:jc w:val="right"/>
          <w:rPr>
            <w:rFonts w:ascii="Arial" w:hAnsi="Arial" w:cs="Arial"/>
          </w:rPr>
        </w:pPr>
        <w:r w:rsidRPr="00FE0AAE">
          <w:rPr>
            <w:rFonts w:ascii="Arial" w:hAnsi="Arial" w:cs="Arial"/>
          </w:rPr>
          <w:fldChar w:fldCharType="begin"/>
        </w:r>
        <w:r w:rsidRPr="00FE0AAE">
          <w:rPr>
            <w:rFonts w:ascii="Arial" w:hAnsi="Arial" w:cs="Arial"/>
          </w:rPr>
          <w:instrText xml:space="preserve"> PAGE   \* MERGEFORMAT </w:instrText>
        </w:r>
        <w:r w:rsidRPr="00FE0AAE">
          <w:rPr>
            <w:rFonts w:ascii="Arial" w:hAnsi="Arial" w:cs="Arial"/>
          </w:rPr>
          <w:fldChar w:fldCharType="separate"/>
        </w:r>
        <w:r w:rsidR="00EF7CE5">
          <w:rPr>
            <w:rFonts w:ascii="Arial" w:hAnsi="Arial" w:cs="Arial"/>
            <w:noProof/>
          </w:rPr>
          <w:t>3</w:t>
        </w:r>
        <w:r w:rsidRPr="00FE0AAE">
          <w:rPr>
            <w:rFonts w:ascii="Arial" w:hAnsi="Arial" w:cs="Arial"/>
            <w:noProof/>
          </w:rPr>
          <w:fldChar w:fldCharType="end"/>
        </w:r>
      </w:p>
    </w:sdtContent>
  </w:sdt>
  <w:p w14:paraId="43E604A5" w14:textId="77777777" w:rsidR="008B1995" w:rsidRDefault="008B1995" w:rsidP="00AF2987">
    <w:pPr>
      <w:pStyle w:val="Header"/>
      <w:tabs>
        <w:tab w:val="clear" w:pos="4513"/>
        <w:tab w:val="clear" w:pos="9026"/>
        <w:tab w:val="left" w:pos="19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44" w:hanging="1134"/>
      </w:pPr>
      <w:rPr>
        <w:rFonts w:cs="Times New Roman"/>
        <w:b w:val="0"/>
        <w:bCs w:val="0"/>
        <w:spacing w:val="-12"/>
        <w:w w:val="100"/>
      </w:rPr>
    </w:lvl>
    <w:lvl w:ilvl="1">
      <w:start w:val="1"/>
      <w:numFmt w:val="lowerLetter"/>
      <w:lvlText w:val="(%2)"/>
      <w:lvlJc w:val="left"/>
      <w:pPr>
        <w:ind w:left="1584" w:hanging="720"/>
      </w:pPr>
      <w:rPr>
        <w:rFonts w:ascii="Arial" w:hAnsi="Arial" w:cs="Arial"/>
        <w:b w:val="0"/>
        <w:bCs w:val="0"/>
        <w:spacing w:val="-1"/>
        <w:w w:val="100"/>
        <w:sz w:val="22"/>
        <w:szCs w:val="22"/>
      </w:rPr>
    </w:lvl>
    <w:lvl w:ilvl="2">
      <w:numFmt w:val="bullet"/>
      <w:lvlText w:val="•"/>
      <w:lvlJc w:val="left"/>
      <w:pPr>
        <w:ind w:left="2440" w:hanging="720"/>
      </w:pPr>
    </w:lvl>
    <w:lvl w:ilvl="3">
      <w:numFmt w:val="bullet"/>
      <w:lvlText w:val="•"/>
      <w:lvlJc w:val="left"/>
      <w:pPr>
        <w:ind w:left="3301" w:hanging="720"/>
      </w:pPr>
    </w:lvl>
    <w:lvl w:ilvl="4">
      <w:numFmt w:val="bullet"/>
      <w:lvlText w:val="•"/>
      <w:lvlJc w:val="left"/>
      <w:pPr>
        <w:ind w:left="4161" w:hanging="720"/>
      </w:pPr>
    </w:lvl>
    <w:lvl w:ilvl="5">
      <w:numFmt w:val="bullet"/>
      <w:lvlText w:val="•"/>
      <w:lvlJc w:val="left"/>
      <w:pPr>
        <w:ind w:left="5022" w:hanging="720"/>
      </w:pPr>
    </w:lvl>
    <w:lvl w:ilvl="6">
      <w:numFmt w:val="bullet"/>
      <w:lvlText w:val="•"/>
      <w:lvlJc w:val="left"/>
      <w:pPr>
        <w:ind w:left="5883" w:hanging="720"/>
      </w:pPr>
    </w:lvl>
    <w:lvl w:ilvl="7">
      <w:numFmt w:val="bullet"/>
      <w:lvlText w:val="•"/>
      <w:lvlJc w:val="left"/>
      <w:pPr>
        <w:ind w:left="6743" w:hanging="720"/>
      </w:pPr>
    </w:lvl>
    <w:lvl w:ilvl="8">
      <w:numFmt w:val="bullet"/>
      <w:lvlText w:val="•"/>
      <w:lvlJc w:val="left"/>
      <w:pPr>
        <w:ind w:left="7604" w:hanging="720"/>
      </w:pPr>
    </w:lvl>
  </w:abstractNum>
  <w:abstractNum w:abstractNumId="1">
    <w:nsid w:val="00000408"/>
    <w:multiLevelType w:val="multilevel"/>
    <w:tmpl w:val="0000088B"/>
    <w:lvl w:ilvl="0">
      <w:start w:val="14"/>
      <w:numFmt w:val="decimal"/>
      <w:lvlText w:val="[%1]"/>
      <w:lvlJc w:val="left"/>
      <w:pPr>
        <w:ind w:left="1278" w:hanging="490"/>
      </w:pPr>
      <w:rPr>
        <w:rFonts w:ascii="Arial" w:hAnsi="Arial" w:cs="Arial"/>
        <w:b w:val="0"/>
        <w:bCs w:val="0"/>
        <w:spacing w:val="-1"/>
        <w:w w:val="100"/>
        <w:sz w:val="22"/>
        <w:szCs w:val="22"/>
      </w:rPr>
    </w:lvl>
    <w:lvl w:ilvl="1">
      <w:numFmt w:val="bullet"/>
      <w:lvlText w:val="•"/>
      <w:lvlJc w:val="left"/>
      <w:pPr>
        <w:ind w:left="2084" w:hanging="490"/>
      </w:pPr>
    </w:lvl>
    <w:lvl w:ilvl="2">
      <w:numFmt w:val="bullet"/>
      <w:lvlText w:val="•"/>
      <w:lvlJc w:val="left"/>
      <w:pPr>
        <w:ind w:left="2889" w:hanging="490"/>
      </w:pPr>
    </w:lvl>
    <w:lvl w:ilvl="3">
      <w:numFmt w:val="bullet"/>
      <w:lvlText w:val="•"/>
      <w:lvlJc w:val="left"/>
      <w:pPr>
        <w:ind w:left="3693" w:hanging="490"/>
      </w:pPr>
    </w:lvl>
    <w:lvl w:ilvl="4">
      <w:numFmt w:val="bullet"/>
      <w:lvlText w:val="•"/>
      <w:lvlJc w:val="left"/>
      <w:pPr>
        <w:ind w:left="4498" w:hanging="490"/>
      </w:pPr>
    </w:lvl>
    <w:lvl w:ilvl="5">
      <w:numFmt w:val="bullet"/>
      <w:lvlText w:val="•"/>
      <w:lvlJc w:val="left"/>
      <w:pPr>
        <w:ind w:left="5302" w:hanging="490"/>
      </w:pPr>
    </w:lvl>
    <w:lvl w:ilvl="6">
      <w:numFmt w:val="bullet"/>
      <w:lvlText w:val="•"/>
      <w:lvlJc w:val="left"/>
      <w:pPr>
        <w:ind w:left="6107" w:hanging="490"/>
      </w:pPr>
    </w:lvl>
    <w:lvl w:ilvl="7">
      <w:numFmt w:val="bullet"/>
      <w:lvlText w:val="•"/>
      <w:lvlJc w:val="left"/>
      <w:pPr>
        <w:ind w:left="6911" w:hanging="490"/>
      </w:pPr>
    </w:lvl>
    <w:lvl w:ilvl="8">
      <w:numFmt w:val="bullet"/>
      <w:lvlText w:val="•"/>
      <w:lvlJc w:val="left"/>
      <w:pPr>
        <w:ind w:left="7716" w:hanging="490"/>
      </w:pPr>
    </w:lvl>
  </w:abstractNum>
  <w:abstractNum w:abstractNumId="2">
    <w:nsid w:val="00000409"/>
    <w:multiLevelType w:val="multilevel"/>
    <w:tmpl w:val="0000088C"/>
    <w:lvl w:ilvl="0">
      <w:start w:val="9"/>
      <w:numFmt w:val="decimal"/>
      <w:lvlText w:val="[%1]"/>
      <w:lvlJc w:val="left"/>
      <w:pPr>
        <w:ind w:left="1278" w:hanging="319"/>
      </w:pPr>
      <w:rPr>
        <w:rFonts w:ascii="Arial" w:hAnsi="Arial" w:cs="Arial"/>
        <w:b w:val="0"/>
        <w:bCs w:val="0"/>
        <w:color w:val="242121"/>
        <w:spacing w:val="-1"/>
        <w:w w:val="100"/>
        <w:sz w:val="22"/>
        <w:szCs w:val="22"/>
      </w:rPr>
    </w:lvl>
    <w:lvl w:ilvl="1">
      <w:numFmt w:val="bullet"/>
      <w:lvlText w:val="•"/>
      <w:lvlJc w:val="left"/>
      <w:pPr>
        <w:ind w:left="2084" w:hanging="319"/>
      </w:pPr>
    </w:lvl>
    <w:lvl w:ilvl="2">
      <w:numFmt w:val="bullet"/>
      <w:lvlText w:val="•"/>
      <w:lvlJc w:val="left"/>
      <w:pPr>
        <w:ind w:left="2889" w:hanging="319"/>
      </w:pPr>
    </w:lvl>
    <w:lvl w:ilvl="3">
      <w:numFmt w:val="bullet"/>
      <w:lvlText w:val="•"/>
      <w:lvlJc w:val="left"/>
      <w:pPr>
        <w:ind w:left="3693" w:hanging="319"/>
      </w:pPr>
    </w:lvl>
    <w:lvl w:ilvl="4">
      <w:numFmt w:val="bullet"/>
      <w:lvlText w:val="•"/>
      <w:lvlJc w:val="left"/>
      <w:pPr>
        <w:ind w:left="4498" w:hanging="319"/>
      </w:pPr>
    </w:lvl>
    <w:lvl w:ilvl="5">
      <w:numFmt w:val="bullet"/>
      <w:lvlText w:val="•"/>
      <w:lvlJc w:val="left"/>
      <w:pPr>
        <w:ind w:left="5302" w:hanging="319"/>
      </w:pPr>
    </w:lvl>
    <w:lvl w:ilvl="6">
      <w:numFmt w:val="bullet"/>
      <w:lvlText w:val="•"/>
      <w:lvlJc w:val="left"/>
      <w:pPr>
        <w:ind w:left="6107" w:hanging="319"/>
      </w:pPr>
    </w:lvl>
    <w:lvl w:ilvl="7">
      <w:numFmt w:val="bullet"/>
      <w:lvlText w:val="•"/>
      <w:lvlJc w:val="left"/>
      <w:pPr>
        <w:ind w:left="6911" w:hanging="319"/>
      </w:pPr>
    </w:lvl>
    <w:lvl w:ilvl="8">
      <w:numFmt w:val="bullet"/>
      <w:lvlText w:val="•"/>
      <w:lvlJc w:val="left"/>
      <w:pPr>
        <w:ind w:left="7716" w:hanging="319"/>
      </w:pPr>
    </w:lvl>
  </w:abstractNum>
  <w:abstractNum w:abstractNumId="3">
    <w:nsid w:val="0000040A"/>
    <w:multiLevelType w:val="multilevel"/>
    <w:tmpl w:val="0000088D"/>
    <w:lvl w:ilvl="0">
      <w:start w:val="20"/>
      <w:numFmt w:val="decimal"/>
      <w:lvlText w:val="[%1]"/>
      <w:lvlJc w:val="left"/>
      <w:pPr>
        <w:ind w:left="1278" w:hanging="429"/>
      </w:pPr>
      <w:rPr>
        <w:rFonts w:ascii="Arial" w:hAnsi="Arial" w:cs="Arial"/>
        <w:b w:val="0"/>
        <w:bCs w:val="0"/>
        <w:color w:val="242121"/>
        <w:spacing w:val="-1"/>
        <w:w w:val="100"/>
        <w:sz w:val="22"/>
        <w:szCs w:val="22"/>
      </w:rPr>
    </w:lvl>
    <w:lvl w:ilvl="1">
      <w:numFmt w:val="bullet"/>
      <w:lvlText w:val="•"/>
      <w:lvlJc w:val="left"/>
      <w:pPr>
        <w:ind w:left="2084" w:hanging="429"/>
      </w:pPr>
    </w:lvl>
    <w:lvl w:ilvl="2">
      <w:numFmt w:val="bullet"/>
      <w:lvlText w:val="•"/>
      <w:lvlJc w:val="left"/>
      <w:pPr>
        <w:ind w:left="2889" w:hanging="429"/>
      </w:pPr>
    </w:lvl>
    <w:lvl w:ilvl="3">
      <w:numFmt w:val="bullet"/>
      <w:lvlText w:val="•"/>
      <w:lvlJc w:val="left"/>
      <w:pPr>
        <w:ind w:left="3693" w:hanging="429"/>
      </w:pPr>
    </w:lvl>
    <w:lvl w:ilvl="4">
      <w:numFmt w:val="bullet"/>
      <w:lvlText w:val="•"/>
      <w:lvlJc w:val="left"/>
      <w:pPr>
        <w:ind w:left="4498" w:hanging="429"/>
      </w:pPr>
    </w:lvl>
    <w:lvl w:ilvl="5">
      <w:numFmt w:val="bullet"/>
      <w:lvlText w:val="•"/>
      <w:lvlJc w:val="left"/>
      <w:pPr>
        <w:ind w:left="5302" w:hanging="429"/>
      </w:pPr>
    </w:lvl>
    <w:lvl w:ilvl="6">
      <w:numFmt w:val="bullet"/>
      <w:lvlText w:val="•"/>
      <w:lvlJc w:val="left"/>
      <w:pPr>
        <w:ind w:left="6107" w:hanging="429"/>
      </w:pPr>
    </w:lvl>
    <w:lvl w:ilvl="7">
      <w:numFmt w:val="bullet"/>
      <w:lvlText w:val="•"/>
      <w:lvlJc w:val="left"/>
      <w:pPr>
        <w:ind w:left="6911" w:hanging="429"/>
      </w:pPr>
    </w:lvl>
    <w:lvl w:ilvl="8">
      <w:numFmt w:val="bullet"/>
      <w:lvlText w:val="•"/>
      <w:lvlJc w:val="left"/>
      <w:pPr>
        <w:ind w:left="7716" w:hanging="429"/>
      </w:pPr>
    </w:lvl>
  </w:abstractNum>
  <w:abstractNum w:abstractNumId="4">
    <w:nsid w:val="08920022"/>
    <w:multiLevelType w:val="hybridMultilevel"/>
    <w:tmpl w:val="4DF0581E"/>
    <w:lvl w:ilvl="0" w:tplc="0C72CC76">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DE3040"/>
    <w:multiLevelType w:val="hybridMultilevel"/>
    <w:tmpl w:val="49A0D782"/>
    <w:lvl w:ilvl="0" w:tplc="ED766806">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0C6E31"/>
    <w:multiLevelType w:val="hybridMultilevel"/>
    <w:tmpl w:val="D59C3A5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3444C2"/>
    <w:multiLevelType w:val="hybridMultilevel"/>
    <w:tmpl w:val="CB60B4B6"/>
    <w:lvl w:ilvl="0" w:tplc="E1CE2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7022D"/>
    <w:multiLevelType w:val="multilevel"/>
    <w:tmpl w:val="754A04A6"/>
    <w:lvl w:ilvl="0">
      <w:start w:val="1"/>
      <w:numFmt w:val="decimal"/>
      <w:pStyle w:val="Indent"/>
      <w:lvlText w:val="[%1]"/>
      <w:lvlJc w:val="left"/>
      <w:pPr>
        <w:tabs>
          <w:tab w:val="num" w:pos="1134"/>
        </w:tabs>
        <w:ind w:left="567"/>
      </w:pPr>
      <w:rPr>
        <w:rFonts w:ascii="Arial" w:hAnsi="Arial" w:cs="Times New Roman" w:hint="default"/>
        <w:b w:val="0"/>
        <w:i w:val="0"/>
        <w:sz w:val="25"/>
        <w:szCs w:val="25"/>
      </w:rPr>
    </w:lvl>
    <w:lvl w:ilvl="1">
      <w:start w:val="1"/>
      <w:numFmt w:val="decimal"/>
      <w:lvlText w:val="[%1.%2]"/>
      <w:lvlJc w:val="left"/>
      <w:pPr>
        <w:tabs>
          <w:tab w:val="num" w:pos="567"/>
        </w:tabs>
        <w:ind w:left="-284"/>
      </w:pPr>
      <w:rPr>
        <w:rFonts w:cs="Times New Roman" w:hint="default"/>
        <w:i w:val="0"/>
      </w:rPr>
    </w:lvl>
    <w:lvl w:ilvl="2">
      <w:start w:val="1"/>
      <w:numFmt w:val="decimal"/>
      <w:lvlText w:val="[%1.%2.%3]"/>
      <w:lvlJc w:val="left"/>
      <w:pPr>
        <w:tabs>
          <w:tab w:val="num" w:pos="850"/>
        </w:tabs>
        <w:ind w:left="-284"/>
      </w:pPr>
      <w:rPr>
        <w:rFonts w:cs="Times New Roman" w:hint="default"/>
      </w:rPr>
    </w:lvl>
    <w:lvl w:ilvl="3">
      <w:start w:val="1"/>
      <w:numFmt w:val="decimal"/>
      <w:lvlText w:val="%1.%2.%3.%4"/>
      <w:lvlJc w:val="left"/>
      <w:pPr>
        <w:tabs>
          <w:tab w:val="num" w:pos="3685"/>
        </w:tabs>
        <w:ind w:left="3685" w:hanging="1134"/>
      </w:pPr>
      <w:rPr>
        <w:rFonts w:cs="Times New Roman" w:hint="default"/>
      </w:rPr>
    </w:lvl>
    <w:lvl w:ilvl="4">
      <w:start w:val="1"/>
      <w:numFmt w:val="decimal"/>
      <w:lvlText w:val="%1.%2.%3.%4.%5"/>
      <w:lvlJc w:val="left"/>
      <w:pPr>
        <w:tabs>
          <w:tab w:val="num" w:pos="4988"/>
        </w:tabs>
        <w:ind w:left="4988" w:hanging="1303"/>
      </w:pPr>
      <w:rPr>
        <w:rFonts w:cs="Times New Roman" w:hint="default"/>
      </w:rPr>
    </w:lvl>
    <w:lvl w:ilvl="5">
      <w:start w:val="1"/>
      <w:numFmt w:val="decimal"/>
      <w:lvlText w:val="%1.%2.%3.%4.%5.%6"/>
      <w:lvlJc w:val="left"/>
      <w:pPr>
        <w:tabs>
          <w:tab w:val="num" w:pos="7058"/>
        </w:tabs>
        <w:ind w:left="7058" w:hanging="1582"/>
      </w:pPr>
      <w:rPr>
        <w:rFonts w:cs="Times New Roman" w:hint="default"/>
      </w:rPr>
    </w:lvl>
    <w:lvl w:ilvl="6">
      <w:start w:val="1"/>
      <w:numFmt w:val="decimal"/>
      <w:lvlText w:val="%1.%2.%3.%4.%5.%6.%7"/>
      <w:lvlJc w:val="left"/>
      <w:pPr>
        <w:tabs>
          <w:tab w:val="num" w:pos="8787"/>
        </w:tabs>
        <w:ind w:left="8787" w:hanging="1729"/>
      </w:pPr>
      <w:rPr>
        <w:rFonts w:cs="Times New Roman" w:hint="default"/>
      </w:rPr>
    </w:lvl>
    <w:lvl w:ilvl="7">
      <w:start w:val="1"/>
      <w:numFmt w:val="decimal"/>
      <w:lvlText w:val="%1.%2.%3.%4.%5.%6.%7.%8."/>
      <w:lvlJc w:val="left"/>
      <w:pPr>
        <w:tabs>
          <w:tab w:val="num" w:pos="10947"/>
        </w:tabs>
        <w:ind w:left="10516" w:hanging="1729"/>
      </w:pPr>
      <w:rPr>
        <w:rFonts w:cs="Times New Roman" w:hint="default"/>
      </w:rPr>
    </w:lvl>
    <w:lvl w:ilvl="8">
      <w:start w:val="1"/>
      <w:numFmt w:val="decimal"/>
      <w:lvlText w:val="%1.%2.%3.%4.%5.%6.%7.%8.%9."/>
      <w:lvlJc w:val="left"/>
      <w:pPr>
        <w:tabs>
          <w:tab w:val="num" w:pos="12676"/>
        </w:tabs>
        <w:ind w:left="12245" w:hanging="1729"/>
      </w:pPr>
      <w:rPr>
        <w:rFonts w:cs="Times New Roman" w:hint="default"/>
      </w:rPr>
    </w:lvl>
  </w:abstractNum>
  <w:abstractNum w:abstractNumId="10">
    <w:nsid w:val="13AD079E"/>
    <w:multiLevelType w:val="hybridMultilevel"/>
    <w:tmpl w:val="36220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A515E07"/>
    <w:multiLevelType w:val="multilevel"/>
    <w:tmpl w:val="D706AEFC"/>
    <w:lvl w:ilvl="0">
      <w:start w:val="10"/>
      <w:numFmt w:val="decimal"/>
      <w:lvlText w:val="%1"/>
      <w:lvlJc w:val="left"/>
      <w:pPr>
        <w:ind w:left="465" w:hanging="465"/>
      </w:pPr>
      <w:rPr>
        <w:rFonts w:ascii="Arial" w:hAnsi="Arial" w:cs="Arial" w:hint="default"/>
      </w:rPr>
    </w:lvl>
    <w:lvl w:ilvl="1">
      <w:start w:val="2"/>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1B833301"/>
    <w:multiLevelType w:val="hybridMultilevel"/>
    <w:tmpl w:val="4F68AA1A"/>
    <w:lvl w:ilvl="0" w:tplc="15966FF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DD7C92"/>
    <w:multiLevelType w:val="hybridMultilevel"/>
    <w:tmpl w:val="B6044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6F3C8A"/>
    <w:multiLevelType w:val="hybridMultilevel"/>
    <w:tmpl w:val="99E67A6A"/>
    <w:lvl w:ilvl="0" w:tplc="46EC2630">
      <w:start w:val="26"/>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6B3E4B"/>
    <w:multiLevelType w:val="hybridMultilevel"/>
    <w:tmpl w:val="8132C14E"/>
    <w:lvl w:ilvl="0" w:tplc="8556A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F726E"/>
    <w:multiLevelType w:val="hybridMultilevel"/>
    <w:tmpl w:val="4C6E7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511460"/>
    <w:multiLevelType w:val="hybridMultilevel"/>
    <w:tmpl w:val="41AA7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7B199C"/>
    <w:multiLevelType w:val="hybridMultilevel"/>
    <w:tmpl w:val="E7ECDF10"/>
    <w:lvl w:ilvl="0" w:tplc="43F20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F035F40"/>
    <w:multiLevelType w:val="hybridMultilevel"/>
    <w:tmpl w:val="91828E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412B15"/>
    <w:multiLevelType w:val="hybridMultilevel"/>
    <w:tmpl w:val="C73C06EC"/>
    <w:lvl w:ilvl="0" w:tplc="3EC20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D5A7F"/>
    <w:multiLevelType w:val="hybridMultilevel"/>
    <w:tmpl w:val="43A0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DA71A6"/>
    <w:multiLevelType w:val="hybridMultilevel"/>
    <w:tmpl w:val="6862E38A"/>
    <w:lvl w:ilvl="0" w:tplc="E0300D9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172768"/>
    <w:multiLevelType w:val="hybridMultilevel"/>
    <w:tmpl w:val="ADB4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2353A"/>
    <w:multiLevelType w:val="hybridMultilevel"/>
    <w:tmpl w:val="7298B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5135A2"/>
    <w:multiLevelType w:val="hybridMultilevel"/>
    <w:tmpl w:val="ADA2B26A"/>
    <w:lvl w:ilvl="0" w:tplc="FE0EFE5C">
      <w:start w:val="1"/>
      <w:numFmt w:val="decimal"/>
      <w:lvlText w:val="%1."/>
      <w:lvlJc w:val="left"/>
      <w:pPr>
        <w:ind w:left="928"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3B2814"/>
    <w:multiLevelType w:val="hybridMultilevel"/>
    <w:tmpl w:val="367C7D34"/>
    <w:lvl w:ilvl="0" w:tplc="2FF4FF3A">
      <w:start w:val="10"/>
      <w:numFmt w:val="decimal"/>
      <w:lvlText w:val="[%1]"/>
      <w:lvlJc w:val="left"/>
      <w:pPr>
        <w:ind w:left="502"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0B54B8"/>
    <w:multiLevelType w:val="hybridMultilevel"/>
    <w:tmpl w:val="D45678D8"/>
    <w:lvl w:ilvl="0" w:tplc="AE7EC8BE">
      <w:start w:val="2"/>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ED2121"/>
    <w:multiLevelType w:val="hybridMultilevel"/>
    <w:tmpl w:val="89E0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6322E"/>
    <w:multiLevelType w:val="hybridMultilevel"/>
    <w:tmpl w:val="E8F46200"/>
    <w:lvl w:ilvl="0" w:tplc="65C6F058">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D601D4B"/>
    <w:multiLevelType w:val="hybridMultilevel"/>
    <w:tmpl w:val="0446572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6"/>
  </w:num>
  <w:num w:numId="3">
    <w:abstractNumId w:val="7"/>
  </w:num>
  <w:num w:numId="4">
    <w:abstractNumId w:val="13"/>
  </w:num>
  <w:num w:numId="5">
    <w:abstractNumId w:val="31"/>
  </w:num>
  <w:num w:numId="6">
    <w:abstractNumId w:val="22"/>
  </w:num>
  <w:num w:numId="7">
    <w:abstractNumId w:val="6"/>
  </w:num>
  <w:num w:numId="8">
    <w:abstractNumId w:val="28"/>
  </w:num>
  <w:num w:numId="9">
    <w:abstractNumId w:val="4"/>
  </w:num>
  <w:num w:numId="10">
    <w:abstractNumId w:val="30"/>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1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 w:numId="14">
    <w:abstractNumId w:val="3"/>
    <w:lvlOverride w:ilvl="0">
      <w:startOverride w:val="20"/>
    </w:lvlOverride>
    <w:lvlOverride w:ilvl="1"/>
    <w:lvlOverride w:ilvl="2"/>
    <w:lvlOverride w:ilvl="3"/>
    <w:lvlOverride w:ilvl="4"/>
    <w:lvlOverride w:ilvl="5"/>
    <w:lvlOverride w:ilvl="6"/>
    <w:lvlOverride w:ilvl="7"/>
    <w:lvlOverride w:ilvl="8"/>
  </w:num>
  <w:num w:numId="15">
    <w:abstractNumId w:val="10"/>
  </w:num>
  <w:num w:numId="16">
    <w:abstractNumId w:val="25"/>
  </w:num>
  <w:num w:numId="17">
    <w:abstractNumId w:val="17"/>
  </w:num>
  <w:num w:numId="18">
    <w:abstractNumId w:val="26"/>
  </w:num>
  <w:num w:numId="19">
    <w:abstractNumId w:val="9"/>
  </w:num>
  <w:num w:numId="20">
    <w:abstractNumId w:val="11"/>
  </w:num>
  <w:num w:numId="21">
    <w:abstractNumId w:val="18"/>
  </w:num>
  <w:num w:numId="22">
    <w:abstractNumId w:val="23"/>
  </w:num>
  <w:num w:numId="23">
    <w:abstractNumId w:val="19"/>
  </w:num>
  <w:num w:numId="24">
    <w:abstractNumId w:val="5"/>
  </w:num>
  <w:num w:numId="25">
    <w:abstractNumId w:val="14"/>
  </w:num>
  <w:num w:numId="26">
    <w:abstractNumId w:val="29"/>
  </w:num>
  <w:num w:numId="27">
    <w:abstractNumId w:val="20"/>
  </w:num>
  <w:num w:numId="28">
    <w:abstractNumId w:val="21"/>
  </w:num>
  <w:num w:numId="29">
    <w:abstractNumId w:val="24"/>
  </w:num>
  <w:num w:numId="30">
    <w:abstractNumId w:val="8"/>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001AA8"/>
    <w:rsid w:val="00002B5A"/>
    <w:rsid w:val="00003D1A"/>
    <w:rsid w:val="00007724"/>
    <w:rsid w:val="00010BE8"/>
    <w:rsid w:val="00010FE4"/>
    <w:rsid w:val="000114D1"/>
    <w:rsid w:val="00011B6D"/>
    <w:rsid w:val="000134DA"/>
    <w:rsid w:val="0001589E"/>
    <w:rsid w:val="00022DFD"/>
    <w:rsid w:val="00023CC1"/>
    <w:rsid w:val="000257E1"/>
    <w:rsid w:val="000260B6"/>
    <w:rsid w:val="00026372"/>
    <w:rsid w:val="00030C8B"/>
    <w:rsid w:val="00031454"/>
    <w:rsid w:val="0003166C"/>
    <w:rsid w:val="0003353C"/>
    <w:rsid w:val="0003370F"/>
    <w:rsid w:val="00033A98"/>
    <w:rsid w:val="0003492E"/>
    <w:rsid w:val="00034B19"/>
    <w:rsid w:val="00035240"/>
    <w:rsid w:val="000367C8"/>
    <w:rsid w:val="00037899"/>
    <w:rsid w:val="000379B0"/>
    <w:rsid w:val="00041711"/>
    <w:rsid w:val="00041938"/>
    <w:rsid w:val="000439B3"/>
    <w:rsid w:val="0004445C"/>
    <w:rsid w:val="0004484D"/>
    <w:rsid w:val="00044A0B"/>
    <w:rsid w:val="00045850"/>
    <w:rsid w:val="00051102"/>
    <w:rsid w:val="00052998"/>
    <w:rsid w:val="0005680A"/>
    <w:rsid w:val="00056BD6"/>
    <w:rsid w:val="0005706E"/>
    <w:rsid w:val="00060D13"/>
    <w:rsid w:val="000632A2"/>
    <w:rsid w:val="00063683"/>
    <w:rsid w:val="00063DE1"/>
    <w:rsid w:val="0006658D"/>
    <w:rsid w:val="00067612"/>
    <w:rsid w:val="00070C3A"/>
    <w:rsid w:val="00070DAF"/>
    <w:rsid w:val="000722D6"/>
    <w:rsid w:val="00072E15"/>
    <w:rsid w:val="00072F06"/>
    <w:rsid w:val="000739B6"/>
    <w:rsid w:val="0007569D"/>
    <w:rsid w:val="000775EA"/>
    <w:rsid w:val="000777E4"/>
    <w:rsid w:val="00081974"/>
    <w:rsid w:val="00085D08"/>
    <w:rsid w:val="000876CB"/>
    <w:rsid w:val="00087A77"/>
    <w:rsid w:val="000900B9"/>
    <w:rsid w:val="00090888"/>
    <w:rsid w:val="000965A8"/>
    <w:rsid w:val="000974E4"/>
    <w:rsid w:val="000A053A"/>
    <w:rsid w:val="000A2080"/>
    <w:rsid w:val="000A28BB"/>
    <w:rsid w:val="000A2F5E"/>
    <w:rsid w:val="000A3144"/>
    <w:rsid w:val="000A3219"/>
    <w:rsid w:val="000A4074"/>
    <w:rsid w:val="000B027E"/>
    <w:rsid w:val="000B1292"/>
    <w:rsid w:val="000B1B19"/>
    <w:rsid w:val="000B1C12"/>
    <w:rsid w:val="000B1C3C"/>
    <w:rsid w:val="000B3907"/>
    <w:rsid w:val="000B39FD"/>
    <w:rsid w:val="000B58E9"/>
    <w:rsid w:val="000B5EF0"/>
    <w:rsid w:val="000B5FE5"/>
    <w:rsid w:val="000B6407"/>
    <w:rsid w:val="000C011C"/>
    <w:rsid w:val="000C0BFA"/>
    <w:rsid w:val="000C152C"/>
    <w:rsid w:val="000C249A"/>
    <w:rsid w:val="000C4797"/>
    <w:rsid w:val="000C56DE"/>
    <w:rsid w:val="000C588D"/>
    <w:rsid w:val="000C5942"/>
    <w:rsid w:val="000D3317"/>
    <w:rsid w:val="000D5B7F"/>
    <w:rsid w:val="000D790E"/>
    <w:rsid w:val="000D797D"/>
    <w:rsid w:val="000E0809"/>
    <w:rsid w:val="000E0B42"/>
    <w:rsid w:val="000E1292"/>
    <w:rsid w:val="000E2E15"/>
    <w:rsid w:val="000E2ED6"/>
    <w:rsid w:val="000E3533"/>
    <w:rsid w:val="000E53DD"/>
    <w:rsid w:val="000E5D9D"/>
    <w:rsid w:val="000E7FC9"/>
    <w:rsid w:val="000F284D"/>
    <w:rsid w:val="000F458F"/>
    <w:rsid w:val="000F59A6"/>
    <w:rsid w:val="000F59DB"/>
    <w:rsid w:val="000F60E7"/>
    <w:rsid w:val="000F6633"/>
    <w:rsid w:val="000F7557"/>
    <w:rsid w:val="0010100E"/>
    <w:rsid w:val="001028CF"/>
    <w:rsid w:val="00102F79"/>
    <w:rsid w:val="00105294"/>
    <w:rsid w:val="0010609C"/>
    <w:rsid w:val="0010757F"/>
    <w:rsid w:val="001077ED"/>
    <w:rsid w:val="00110561"/>
    <w:rsid w:val="00111CF8"/>
    <w:rsid w:val="00111D2F"/>
    <w:rsid w:val="001121F0"/>
    <w:rsid w:val="00113D4F"/>
    <w:rsid w:val="00113ED9"/>
    <w:rsid w:val="00114B4E"/>
    <w:rsid w:val="00115E87"/>
    <w:rsid w:val="00116373"/>
    <w:rsid w:val="00121F5F"/>
    <w:rsid w:val="00122D0D"/>
    <w:rsid w:val="001231A6"/>
    <w:rsid w:val="001238DE"/>
    <w:rsid w:val="001240FE"/>
    <w:rsid w:val="00124156"/>
    <w:rsid w:val="00125846"/>
    <w:rsid w:val="0013024F"/>
    <w:rsid w:val="001319F1"/>
    <w:rsid w:val="00132287"/>
    <w:rsid w:val="00134E43"/>
    <w:rsid w:val="00136341"/>
    <w:rsid w:val="00137199"/>
    <w:rsid w:val="001430DE"/>
    <w:rsid w:val="00143992"/>
    <w:rsid w:val="00143BE1"/>
    <w:rsid w:val="00144EDB"/>
    <w:rsid w:val="0014559B"/>
    <w:rsid w:val="00145A74"/>
    <w:rsid w:val="00146EE7"/>
    <w:rsid w:val="0014707D"/>
    <w:rsid w:val="00147FA8"/>
    <w:rsid w:val="00150ED3"/>
    <w:rsid w:val="001521F5"/>
    <w:rsid w:val="00152D1C"/>
    <w:rsid w:val="0015575A"/>
    <w:rsid w:val="00155A1E"/>
    <w:rsid w:val="00155D95"/>
    <w:rsid w:val="00160FEE"/>
    <w:rsid w:val="00163163"/>
    <w:rsid w:val="001632FB"/>
    <w:rsid w:val="001640BB"/>
    <w:rsid w:val="00164B3A"/>
    <w:rsid w:val="00165282"/>
    <w:rsid w:val="00165B3F"/>
    <w:rsid w:val="00165D17"/>
    <w:rsid w:val="00166B50"/>
    <w:rsid w:val="00166D86"/>
    <w:rsid w:val="00170459"/>
    <w:rsid w:val="00170460"/>
    <w:rsid w:val="00170755"/>
    <w:rsid w:val="00171160"/>
    <w:rsid w:val="00171B50"/>
    <w:rsid w:val="0017282B"/>
    <w:rsid w:val="001740A8"/>
    <w:rsid w:val="00177382"/>
    <w:rsid w:val="0018066D"/>
    <w:rsid w:val="0018163F"/>
    <w:rsid w:val="00181E25"/>
    <w:rsid w:val="00183A7C"/>
    <w:rsid w:val="00183DDC"/>
    <w:rsid w:val="00187C63"/>
    <w:rsid w:val="001954D2"/>
    <w:rsid w:val="00195918"/>
    <w:rsid w:val="001964CC"/>
    <w:rsid w:val="001965C1"/>
    <w:rsid w:val="00197171"/>
    <w:rsid w:val="00197A8E"/>
    <w:rsid w:val="00197E42"/>
    <w:rsid w:val="001A10E5"/>
    <w:rsid w:val="001A1DC9"/>
    <w:rsid w:val="001A283F"/>
    <w:rsid w:val="001A49C8"/>
    <w:rsid w:val="001A4ACB"/>
    <w:rsid w:val="001A5229"/>
    <w:rsid w:val="001A592A"/>
    <w:rsid w:val="001A6095"/>
    <w:rsid w:val="001A66B0"/>
    <w:rsid w:val="001B206E"/>
    <w:rsid w:val="001B42F4"/>
    <w:rsid w:val="001B61B6"/>
    <w:rsid w:val="001C067A"/>
    <w:rsid w:val="001C0FEA"/>
    <w:rsid w:val="001C1890"/>
    <w:rsid w:val="001C1941"/>
    <w:rsid w:val="001C269F"/>
    <w:rsid w:val="001C528D"/>
    <w:rsid w:val="001D308D"/>
    <w:rsid w:val="001D33FA"/>
    <w:rsid w:val="001D34A4"/>
    <w:rsid w:val="001D52C0"/>
    <w:rsid w:val="001D5ACC"/>
    <w:rsid w:val="001D75E0"/>
    <w:rsid w:val="001D78AB"/>
    <w:rsid w:val="001E1692"/>
    <w:rsid w:val="001E1A13"/>
    <w:rsid w:val="001E2470"/>
    <w:rsid w:val="001E335C"/>
    <w:rsid w:val="001E34F8"/>
    <w:rsid w:val="001E4B25"/>
    <w:rsid w:val="001E7367"/>
    <w:rsid w:val="001F0DF3"/>
    <w:rsid w:val="001F11B1"/>
    <w:rsid w:val="001F1227"/>
    <w:rsid w:val="001F22DF"/>
    <w:rsid w:val="001F2C93"/>
    <w:rsid w:val="001F36DE"/>
    <w:rsid w:val="001F3C65"/>
    <w:rsid w:val="001F4D1B"/>
    <w:rsid w:val="001F5D80"/>
    <w:rsid w:val="001F5FA9"/>
    <w:rsid w:val="0020520F"/>
    <w:rsid w:val="0020533B"/>
    <w:rsid w:val="00205FF7"/>
    <w:rsid w:val="00210061"/>
    <w:rsid w:val="002102D5"/>
    <w:rsid w:val="00211B26"/>
    <w:rsid w:val="00212ABB"/>
    <w:rsid w:val="00212F33"/>
    <w:rsid w:val="00213F8D"/>
    <w:rsid w:val="00215B13"/>
    <w:rsid w:val="00217495"/>
    <w:rsid w:val="002208F4"/>
    <w:rsid w:val="00221609"/>
    <w:rsid w:val="00221894"/>
    <w:rsid w:val="00222BA2"/>
    <w:rsid w:val="0022457E"/>
    <w:rsid w:val="002252C4"/>
    <w:rsid w:val="002252C5"/>
    <w:rsid w:val="0022539C"/>
    <w:rsid w:val="00225788"/>
    <w:rsid w:val="00225E22"/>
    <w:rsid w:val="00225F44"/>
    <w:rsid w:val="00227DF1"/>
    <w:rsid w:val="0023122F"/>
    <w:rsid w:val="00231355"/>
    <w:rsid w:val="00232044"/>
    <w:rsid w:val="00234ED0"/>
    <w:rsid w:val="00235159"/>
    <w:rsid w:val="00237651"/>
    <w:rsid w:val="00237C9D"/>
    <w:rsid w:val="0024178D"/>
    <w:rsid w:val="00243E70"/>
    <w:rsid w:val="00246150"/>
    <w:rsid w:val="00246283"/>
    <w:rsid w:val="002468F7"/>
    <w:rsid w:val="002474CA"/>
    <w:rsid w:val="00250991"/>
    <w:rsid w:val="00250AEA"/>
    <w:rsid w:val="002521E6"/>
    <w:rsid w:val="00252994"/>
    <w:rsid w:val="002532CB"/>
    <w:rsid w:val="0025449D"/>
    <w:rsid w:val="002547D3"/>
    <w:rsid w:val="002550FD"/>
    <w:rsid w:val="00255926"/>
    <w:rsid w:val="00255D06"/>
    <w:rsid w:val="00264203"/>
    <w:rsid w:val="002649F5"/>
    <w:rsid w:val="00264B87"/>
    <w:rsid w:val="00265C37"/>
    <w:rsid w:val="002668E2"/>
    <w:rsid w:val="00271B0A"/>
    <w:rsid w:val="00272CB6"/>
    <w:rsid w:val="002737F9"/>
    <w:rsid w:val="00273F30"/>
    <w:rsid w:val="00274944"/>
    <w:rsid w:val="00275677"/>
    <w:rsid w:val="0028028F"/>
    <w:rsid w:val="00282DCB"/>
    <w:rsid w:val="002836DD"/>
    <w:rsid w:val="002845F6"/>
    <w:rsid w:val="00284F0A"/>
    <w:rsid w:val="002860CE"/>
    <w:rsid w:val="00286588"/>
    <w:rsid w:val="002871A3"/>
    <w:rsid w:val="00290730"/>
    <w:rsid w:val="00292537"/>
    <w:rsid w:val="00297A54"/>
    <w:rsid w:val="002A163F"/>
    <w:rsid w:val="002A3938"/>
    <w:rsid w:val="002A596C"/>
    <w:rsid w:val="002A6B99"/>
    <w:rsid w:val="002A773F"/>
    <w:rsid w:val="002B1B1E"/>
    <w:rsid w:val="002B1B44"/>
    <w:rsid w:val="002B1D34"/>
    <w:rsid w:val="002B3158"/>
    <w:rsid w:val="002B4120"/>
    <w:rsid w:val="002B4DE3"/>
    <w:rsid w:val="002B75E1"/>
    <w:rsid w:val="002B766B"/>
    <w:rsid w:val="002B7840"/>
    <w:rsid w:val="002C00B0"/>
    <w:rsid w:val="002C0667"/>
    <w:rsid w:val="002C4D92"/>
    <w:rsid w:val="002C507A"/>
    <w:rsid w:val="002C52EA"/>
    <w:rsid w:val="002C5F1A"/>
    <w:rsid w:val="002C6360"/>
    <w:rsid w:val="002D5323"/>
    <w:rsid w:val="002D6086"/>
    <w:rsid w:val="002D6659"/>
    <w:rsid w:val="002D775F"/>
    <w:rsid w:val="002D7CA0"/>
    <w:rsid w:val="002E1DF5"/>
    <w:rsid w:val="002E4311"/>
    <w:rsid w:val="002E55A9"/>
    <w:rsid w:val="002F2113"/>
    <w:rsid w:val="002F396F"/>
    <w:rsid w:val="002F5591"/>
    <w:rsid w:val="002F669F"/>
    <w:rsid w:val="002F6AFB"/>
    <w:rsid w:val="002F6F6B"/>
    <w:rsid w:val="00300729"/>
    <w:rsid w:val="00301D10"/>
    <w:rsid w:val="00304D20"/>
    <w:rsid w:val="003102EA"/>
    <w:rsid w:val="00310603"/>
    <w:rsid w:val="003119A5"/>
    <w:rsid w:val="003143BB"/>
    <w:rsid w:val="00314464"/>
    <w:rsid w:val="00321A12"/>
    <w:rsid w:val="00321D27"/>
    <w:rsid w:val="00321D57"/>
    <w:rsid w:val="00324316"/>
    <w:rsid w:val="0032758A"/>
    <w:rsid w:val="0033104B"/>
    <w:rsid w:val="0033163D"/>
    <w:rsid w:val="00332914"/>
    <w:rsid w:val="00333ADA"/>
    <w:rsid w:val="003345BC"/>
    <w:rsid w:val="0034244D"/>
    <w:rsid w:val="00342AFE"/>
    <w:rsid w:val="00344D5B"/>
    <w:rsid w:val="00350DDC"/>
    <w:rsid w:val="003512D0"/>
    <w:rsid w:val="00351A7C"/>
    <w:rsid w:val="00351ECE"/>
    <w:rsid w:val="0035237A"/>
    <w:rsid w:val="00355CA2"/>
    <w:rsid w:val="00355F2F"/>
    <w:rsid w:val="0035632D"/>
    <w:rsid w:val="003607C7"/>
    <w:rsid w:val="00361673"/>
    <w:rsid w:val="0036182A"/>
    <w:rsid w:val="00361A7D"/>
    <w:rsid w:val="00361B24"/>
    <w:rsid w:val="003621CD"/>
    <w:rsid w:val="00362FCE"/>
    <w:rsid w:val="0036317A"/>
    <w:rsid w:val="0036379B"/>
    <w:rsid w:val="00363822"/>
    <w:rsid w:val="00364EE0"/>
    <w:rsid w:val="0036540F"/>
    <w:rsid w:val="0036779A"/>
    <w:rsid w:val="003678B1"/>
    <w:rsid w:val="00367DB1"/>
    <w:rsid w:val="00367E76"/>
    <w:rsid w:val="00370DC0"/>
    <w:rsid w:val="003723F8"/>
    <w:rsid w:val="0037261D"/>
    <w:rsid w:val="00373C4F"/>
    <w:rsid w:val="0037642F"/>
    <w:rsid w:val="00376FD6"/>
    <w:rsid w:val="00380318"/>
    <w:rsid w:val="003828A8"/>
    <w:rsid w:val="00383487"/>
    <w:rsid w:val="003840D0"/>
    <w:rsid w:val="003851B8"/>
    <w:rsid w:val="00385C47"/>
    <w:rsid w:val="00386B34"/>
    <w:rsid w:val="0038781A"/>
    <w:rsid w:val="003878E8"/>
    <w:rsid w:val="00387AEE"/>
    <w:rsid w:val="00387F4E"/>
    <w:rsid w:val="003907EE"/>
    <w:rsid w:val="003938FA"/>
    <w:rsid w:val="00393A02"/>
    <w:rsid w:val="00395A46"/>
    <w:rsid w:val="003963A2"/>
    <w:rsid w:val="003963A6"/>
    <w:rsid w:val="0039650A"/>
    <w:rsid w:val="00397668"/>
    <w:rsid w:val="003A0E42"/>
    <w:rsid w:val="003A3DCA"/>
    <w:rsid w:val="003A4368"/>
    <w:rsid w:val="003A57EC"/>
    <w:rsid w:val="003A7F06"/>
    <w:rsid w:val="003B1B01"/>
    <w:rsid w:val="003B2826"/>
    <w:rsid w:val="003B548F"/>
    <w:rsid w:val="003B7342"/>
    <w:rsid w:val="003B7BDA"/>
    <w:rsid w:val="003C0CD1"/>
    <w:rsid w:val="003C1DF0"/>
    <w:rsid w:val="003C4C16"/>
    <w:rsid w:val="003C5A15"/>
    <w:rsid w:val="003C64E7"/>
    <w:rsid w:val="003C6CAE"/>
    <w:rsid w:val="003C73E6"/>
    <w:rsid w:val="003D019F"/>
    <w:rsid w:val="003D08A3"/>
    <w:rsid w:val="003D1F51"/>
    <w:rsid w:val="003D1F63"/>
    <w:rsid w:val="003D3016"/>
    <w:rsid w:val="003D5323"/>
    <w:rsid w:val="003D6295"/>
    <w:rsid w:val="003D6344"/>
    <w:rsid w:val="003D67DE"/>
    <w:rsid w:val="003D7C94"/>
    <w:rsid w:val="003E115E"/>
    <w:rsid w:val="003E168B"/>
    <w:rsid w:val="003E31FF"/>
    <w:rsid w:val="003E3DD0"/>
    <w:rsid w:val="003E3FFA"/>
    <w:rsid w:val="003E5C71"/>
    <w:rsid w:val="003F0421"/>
    <w:rsid w:val="003F3127"/>
    <w:rsid w:val="003F4628"/>
    <w:rsid w:val="003F46EA"/>
    <w:rsid w:val="003F5DDE"/>
    <w:rsid w:val="003F61B1"/>
    <w:rsid w:val="00400DCC"/>
    <w:rsid w:val="00401381"/>
    <w:rsid w:val="004022BC"/>
    <w:rsid w:val="0040565A"/>
    <w:rsid w:val="00407099"/>
    <w:rsid w:val="00410A03"/>
    <w:rsid w:val="00414A4D"/>
    <w:rsid w:val="00415614"/>
    <w:rsid w:val="00416235"/>
    <w:rsid w:val="004164E1"/>
    <w:rsid w:val="00416B68"/>
    <w:rsid w:val="00417DFE"/>
    <w:rsid w:val="004204E2"/>
    <w:rsid w:val="00421A97"/>
    <w:rsid w:val="00422575"/>
    <w:rsid w:val="00423FE0"/>
    <w:rsid w:val="00425173"/>
    <w:rsid w:val="00427074"/>
    <w:rsid w:val="00434A28"/>
    <w:rsid w:val="004350A0"/>
    <w:rsid w:val="004371F6"/>
    <w:rsid w:val="00440E0C"/>
    <w:rsid w:val="00441DE7"/>
    <w:rsid w:val="0044493B"/>
    <w:rsid w:val="00444D73"/>
    <w:rsid w:val="00447B82"/>
    <w:rsid w:val="00451547"/>
    <w:rsid w:val="004515ED"/>
    <w:rsid w:val="00452C4D"/>
    <w:rsid w:val="00453B27"/>
    <w:rsid w:val="0045701E"/>
    <w:rsid w:val="0045749B"/>
    <w:rsid w:val="004621D9"/>
    <w:rsid w:val="0046244B"/>
    <w:rsid w:val="00462F68"/>
    <w:rsid w:val="004668B3"/>
    <w:rsid w:val="00467045"/>
    <w:rsid w:val="0046738B"/>
    <w:rsid w:val="00467E91"/>
    <w:rsid w:val="0047246F"/>
    <w:rsid w:val="00472D5F"/>
    <w:rsid w:val="00473C95"/>
    <w:rsid w:val="004740C6"/>
    <w:rsid w:val="00475FB6"/>
    <w:rsid w:val="00477361"/>
    <w:rsid w:val="004808E5"/>
    <w:rsid w:val="00480DB0"/>
    <w:rsid w:val="00482B12"/>
    <w:rsid w:val="00482FCB"/>
    <w:rsid w:val="00483942"/>
    <w:rsid w:val="00485A32"/>
    <w:rsid w:val="0048750F"/>
    <w:rsid w:val="00490528"/>
    <w:rsid w:val="00490D6E"/>
    <w:rsid w:val="00492322"/>
    <w:rsid w:val="00494A02"/>
    <w:rsid w:val="004959E6"/>
    <w:rsid w:val="00497623"/>
    <w:rsid w:val="00497645"/>
    <w:rsid w:val="00497EAF"/>
    <w:rsid w:val="004A376F"/>
    <w:rsid w:val="004A4B47"/>
    <w:rsid w:val="004B159B"/>
    <w:rsid w:val="004B4FFF"/>
    <w:rsid w:val="004B61C5"/>
    <w:rsid w:val="004B65D6"/>
    <w:rsid w:val="004C00C4"/>
    <w:rsid w:val="004C285F"/>
    <w:rsid w:val="004C6FC6"/>
    <w:rsid w:val="004D0EC8"/>
    <w:rsid w:val="004D14D2"/>
    <w:rsid w:val="004D17A0"/>
    <w:rsid w:val="004D1D70"/>
    <w:rsid w:val="004D28CE"/>
    <w:rsid w:val="004D2C45"/>
    <w:rsid w:val="004D3620"/>
    <w:rsid w:val="004D502C"/>
    <w:rsid w:val="004D6662"/>
    <w:rsid w:val="004E26DE"/>
    <w:rsid w:val="004E2CC7"/>
    <w:rsid w:val="004E71F8"/>
    <w:rsid w:val="004E799F"/>
    <w:rsid w:val="004F0251"/>
    <w:rsid w:val="004F08CC"/>
    <w:rsid w:val="004F1139"/>
    <w:rsid w:val="004F262F"/>
    <w:rsid w:val="004F3A57"/>
    <w:rsid w:val="004F4486"/>
    <w:rsid w:val="004F4A28"/>
    <w:rsid w:val="004F4C35"/>
    <w:rsid w:val="004F5392"/>
    <w:rsid w:val="004F5AA0"/>
    <w:rsid w:val="004F5B1A"/>
    <w:rsid w:val="004F7C98"/>
    <w:rsid w:val="00500677"/>
    <w:rsid w:val="005019B8"/>
    <w:rsid w:val="00503669"/>
    <w:rsid w:val="00503C5E"/>
    <w:rsid w:val="00504E42"/>
    <w:rsid w:val="005051BC"/>
    <w:rsid w:val="005070DE"/>
    <w:rsid w:val="00513153"/>
    <w:rsid w:val="00517EDE"/>
    <w:rsid w:val="005209DB"/>
    <w:rsid w:val="00520AF3"/>
    <w:rsid w:val="00521F15"/>
    <w:rsid w:val="00522405"/>
    <w:rsid w:val="00523CC7"/>
    <w:rsid w:val="005263C3"/>
    <w:rsid w:val="005274F7"/>
    <w:rsid w:val="0052788F"/>
    <w:rsid w:val="0053035D"/>
    <w:rsid w:val="00530CC6"/>
    <w:rsid w:val="00530E13"/>
    <w:rsid w:val="005312AE"/>
    <w:rsid w:val="005317DE"/>
    <w:rsid w:val="00532987"/>
    <w:rsid w:val="00533DD1"/>
    <w:rsid w:val="005348D8"/>
    <w:rsid w:val="005359AB"/>
    <w:rsid w:val="00535F5C"/>
    <w:rsid w:val="00540B9C"/>
    <w:rsid w:val="00540FD4"/>
    <w:rsid w:val="0054223E"/>
    <w:rsid w:val="00542264"/>
    <w:rsid w:val="005431C3"/>
    <w:rsid w:val="00544CFD"/>
    <w:rsid w:val="00545D79"/>
    <w:rsid w:val="0054794B"/>
    <w:rsid w:val="00551561"/>
    <w:rsid w:val="00555F7F"/>
    <w:rsid w:val="00556808"/>
    <w:rsid w:val="00556FF5"/>
    <w:rsid w:val="00557389"/>
    <w:rsid w:val="00557837"/>
    <w:rsid w:val="00557AB3"/>
    <w:rsid w:val="005600A0"/>
    <w:rsid w:val="00560944"/>
    <w:rsid w:val="00560B8B"/>
    <w:rsid w:val="00560C8A"/>
    <w:rsid w:val="00561B4C"/>
    <w:rsid w:val="00562133"/>
    <w:rsid w:val="005624D6"/>
    <w:rsid w:val="005630A3"/>
    <w:rsid w:val="005634F2"/>
    <w:rsid w:val="005644C1"/>
    <w:rsid w:val="00565986"/>
    <w:rsid w:val="0057439D"/>
    <w:rsid w:val="00575315"/>
    <w:rsid w:val="005809A2"/>
    <w:rsid w:val="00581219"/>
    <w:rsid w:val="00581C51"/>
    <w:rsid w:val="00585646"/>
    <w:rsid w:val="005860B9"/>
    <w:rsid w:val="00586E94"/>
    <w:rsid w:val="00587DF5"/>
    <w:rsid w:val="00590697"/>
    <w:rsid w:val="00590B27"/>
    <w:rsid w:val="005944BE"/>
    <w:rsid w:val="0059450F"/>
    <w:rsid w:val="00594DD3"/>
    <w:rsid w:val="005964FC"/>
    <w:rsid w:val="005A0ABD"/>
    <w:rsid w:val="005A0B75"/>
    <w:rsid w:val="005A20D2"/>
    <w:rsid w:val="005A5459"/>
    <w:rsid w:val="005A6522"/>
    <w:rsid w:val="005A7035"/>
    <w:rsid w:val="005A7F1E"/>
    <w:rsid w:val="005B0B47"/>
    <w:rsid w:val="005B23F3"/>
    <w:rsid w:val="005B28B6"/>
    <w:rsid w:val="005B30E0"/>
    <w:rsid w:val="005B61CE"/>
    <w:rsid w:val="005B75A5"/>
    <w:rsid w:val="005B7C06"/>
    <w:rsid w:val="005C15A9"/>
    <w:rsid w:val="005C3AE1"/>
    <w:rsid w:val="005C4A17"/>
    <w:rsid w:val="005C5F13"/>
    <w:rsid w:val="005C5FAD"/>
    <w:rsid w:val="005C63A4"/>
    <w:rsid w:val="005C7136"/>
    <w:rsid w:val="005D14F7"/>
    <w:rsid w:val="005D2E5F"/>
    <w:rsid w:val="005D6078"/>
    <w:rsid w:val="005D620E"/>
    <w:rsid w:val="005D6695"/>
    <w:rsid w:val="005D716E"/>
    <w:rsid w:val="005D7F9C"/>
    <w:rsid w:val="005E28E4"/>
    <w:rsid w:val="005E31B9"/>
    <w:rsid w:val="005E41AD"/>
    <w:rsid w:val="005E468C"/>
    <w:rsid w:val="005E54E4"/>
    <w:rsid w:val="005E5568"/>
    <w:rsid w:val="005F06C4"/>
    <w:rsid w:val="005F25B4"/>
    <w:rsid w:val="005F2E69"/>
    <w:rsid w:val="005F3AFE"/>
    <w:rsid w:val="005F4DA0"/>
    <w:rsid w:val="00602086"/>
    <w:rsid w:val="00602095"/>
    <w:rsid w:val="006031D3"/>
    <w:rsid w:val="00603B5E"/>
    <w:rsid w:val="00603BB8"/>
    <w:rsid w:val="00603E17"/>
    <w:rsid w:val="00604661"/>
    <w:rsid w:val="00604E12"/>
    <w:rsid w:val="00607CB2"/>
    <w:rsid w:val="006110EE"/>
    <w:rsid w:val="006161CB"/>
    <w:rsid w:val="00616820"/>
    <w:rsid w:val="00617A59"/>
    <w:rsid w:val="00620E5E"/>
    <w:rsid w:val="006219A3"/>
    <w:rsid w:val="006223A0"/>
    <w:rsid w:val="00627129"/>
    <w:rsid w:val="00632603"/>
    <w:rsid w:val="00633E4F"/>
    <w:rsid w:val="0063495B"/>
    <w:rsid w:val="00634D04"/>
    <w:rsid w:val="00636D2F"/>
    <w:rsid w:val="00636DDB"/>
    <w:rsid w:val="00637283"/>
    <w:rsid w:val="00640ECE"/>
    <w:rsid w:val="00646D60"/>
    <w:rsid w:val="00650A2F"/>
    <w:rsid w:val="006526BC"/>
    <w:rsid w:val="006535F7"/>
    <w:rsid w:val="006546C3"/>
    <w:rsid w:val="00656327"/>
    <w:rsid w:val="006574A8"/>
    <w:rsid w:val="00657EF5"/>
    <w:rsid w:val="0066151C"/>
    <w:rsid w:val="0066155C"/>
    <w:rsid w:val="006616BB"/>
    <w:rsid w:val="006626DD"/>
    <w:rsid w:val="00662FA2"/>
    <w:rsid w:val="00663EF6"/>
    <w:rsid w:val="0066418D"/>
    <w:rsid w:val="00665A4E"/>
    <w:rsid w:val="00666804"/>
    <w:rsid w:val="00666B47"/>
    <w:rsid w:val="00666D13"/>
    <w:rsid w:val="00670103"/>
    <w:rsid w:val="006714E1"/>
    <w:rsid w:val="00672422"/>
    <w:rsid w:val="006736C8"/>
    <w:rsid w:val="00675A43"/>
    <w:rsid w:val="00675F25"/>
    <w:rsid w:val="00681889"/>
    <w:rsid w:val="00684DE5"/>
    <w:rsid w:val="006872B1"/>
    <w:rsid w:val="00694939"/>
    <w:rsid w:val="00696D06"/>
    <w:rsid w:val="006A2B60"/>
    <w:rsid w:val="006A3915"/>
    <w:rsid w:val="006A4FCF"/>
    <w:rsid w:val="006A5400"/>
    <w:rsid w:val="006A6059"/>
    <w:rsid w:val="006A71F9"/>
    <w:rsid w:val="006A739E"/>
    <w:rsid w:val="006A7E0B"/>
    <w:rsid w:val="006B003F"/>
    <w:rsid w:val="006B104B"/>
    <w:rsid w:val="006B1165"/>
    <w:rsid w:val="006B1CDB"/>
    <w:rsid w:val="006B24C1"/>
    <w:rsid w:val="006B5AC6"/>
    <w:rsid w:val="006B5EE6"/>
    <w:rsid w:val="006B60A9"/>
    <w:rsid w:val="006B73AE"/>
    <w:rsid w:val="006B7708"/>
    <w:rsid w:val="006C16CA"/>
    <w:rsid w:val="006C2161"/>
    <w:rsid w:val="006C4C22"/>
    <w:rsid w:val="006C4D04"/>
    <w:rsid w:val="006D0B43"/>
    <w:rsid w:val="006D0DFE"/>
    <w:rsid w:val="006D1273"/>
    <w:rsid w:val="006D313A"/>
    <w:rsid w:val="006D35AF"/>
    <w:rsid w:val="006D3960"/>
    <w:rsid w:val="006D4287"/>
    <w:rsid w:val="006D4802"/>
    <w:rsid w:val="006D4FF5"/>
    <w:rsid w:val="006D5069"/>
    <w:rsid w:val="006D75FD"/>
    <w:rsid w:val="006E05BB"/>
    <w:rsid w:val="006E0A57"/>
    <w:rsid w:val="006E1150"/>
    <w:rsid w:val="006E2581"/>
    <w:rsid w:val="006E2E76"/>
    <w:rsid w:val="006E3738"/>
    <w:rsid w:val="006E387B"/>
    <w:rsid w:val="006E623D"/>
    <w:rsid w:val="006E6A08"/>
    <w:rsid w:val="006F0A06"/>
    <w:rsid w:val="006F17FF"/>
    <w:rsid w:val="006F1F2C"/>
    <w:rsid w:val="006F2D36"/>
    <w:rsid w:val="006F3619"/>
    <w:rsid w:val="006F3BD2"/>
    <w:rsid w:val="006F74E9"/>
    <w:rsid w:val="006F7652"/>
    <w:rsid w:val="00700DCE"/>
    <w:rsid w:val="00701486"/>
    <w:rsid w:val="00705A3C"/>
    <w:rsid w:val="0070661A"/>
    <w:rsid w:val="00706C83"/>
    <w:rsid w:val="00712DB8"/>
    <w:rsid w:val="00714AAE"/>
    <w:rsid w:val="007151AA"/>
    <w:rsid w:val="0071677B"/>
    <w:rsid w:val="00716A1B"/>
    <w:rsid w:val="007179CC"/>
    <w:rsid w:val="00717B99"/>
    <w:rsid w:val="00717BBF"/>
    <w:rsid w:val="0072062F"/>
    <w:rsid w:val="00721705"/>
    <w:rsid w:val="0072175E"/>
    <w:rsid w:val="007219E9"/>
    <w:rsid w:val="0072267B"/>
    <w:rsid w:val="00722943"/>
    <w:rsid w:val="00722BF0"/>
    <w:rsid w:val="00722CE6"/>
    <w:rsid w:val="007254B3"/>
    <w:rsid w:val="007255F2"/>
    <w:rsid w:val="0072573C"/>
    <w:rsid w:val="00725E4F"/>
    <w:rsid w:val="00726507"/>
    <w:rsid w:val="00730967"/>
    <w:rsid w:val="00730F25"/>
    <w:rsid w:val="00731683"/>
    <w:rsid w:val="00731801"/>
    <w:rsid w:val="00731CCA"/>
    <w:rsid w:val="00732229"/>
    <w:rsid w:val="0073362C"/>
    <w:rsid w:val="00734268"/>
    <w:rsid w:val="007347BF"/>
    <w:rsid w:val="00735797"/>
    <w:rsid w:val="00737E97"/>
    <w:rsid w:val="0074251D"/>
    <w:rsid w:val="007438EA"/>
    <w:rsid w:val="0074659E"/>
    <w:rsid w:val="007521E6"/>
    <w:rsid w:val="00752A34"/>
    <w:rsid w:val="00753E0A"/>
    <w:rsid w:val="00754C1B"/>
    <w:rsid w:val="00756AC6"/>
    <w:rsid w:val="00756C6C"/>
    <w:rsid w:val="00756E57"/>
    <w:rsid w:val="00757280"/>
    <w:rsid w:val="007612B8"/>
    <w:rsid w:val="00761511"/>
    <w:rsid w:val="00762052"/>
    <w:rsid w:val="00762733"/>
    <w:rsid w:val="00763E34"/>
    <w:rsid w:val="00764538"/>
    <w:rsid w:val="00764AAE"/>
    <w:rsid w:val="00764E4C"/>
    <w:rsid w:val="00765E93"/>
    <w:rsid w:val="00766F9D"/>
    <w:rsid w:val="007673BB"/>
    <w:rsid w:val="00770A90"/>
    <w:rsid w:val="0077132C"/>
    <w:rsid w:val="0077230F"/>
    <w:rsid w:val="00773703"/>
    <w:rsid w:val="00774222"/>
    <w:rsid w:val="0077463C"/>
    <w:rsid w:val="00775973"/>
    <w:rsid w:val="00775EB1"/>
    <w:rsid w:val="00776476"/>
    <w:rsid w:val="007765D8"/>
    <w:rsid w:val="00777D66"/>
    <w:rsid w:val="00777F01"/>
    <w:rsid w:val="00781657"/>
    <w:rsid w:val="00781820"/>
    <w:rsid w:val="00782682"/>
    <w:rsid w:val="00782F13"/>
    <w:rsid w:val="007837A6"/>
    <w:rsid w:val="007843B5"/>
    <w:rsid w:val="00784D5B"/>
    <w:rsid w:val="00784DD2"/>
    <w:rsid w:val="00790B02"/>
    <w:rsid w:val="00791157"/>
    <w:rsid w:val="00791F98"/>
    <w:rsid w:val="00793B38"/>
    <w:rsid w:val="0079478F"/>
    <w:rsid w:val="00794B23"/>
    <w:rsid w:val="00795D95"/>
    <w:rsid w:val="00797EEA"/>
    <w:rsid w:val="007A14F6"/>
    <w:rsid w:val="007A3579"/>
    <w:rsid w:val="007A44BB"/>
    <w:rsid w:val="007A6457"/>
    <w:rsid w:val="007A6880"/>
    <w:rsid w:val="007B05B3"/>
    <w:rsid w:val="007B1554"/>
    <w:rsid w:val="007B3FD4"/>
    <w:rsid w:val="007B5465"/>
    <w:rsid w:val="007B786D"/>
    <w:rsid w:val="007B7DD9"/>
    <w:rsid w:val="007C3E42"/>
    <w:rsid w:val="007C5EBB"/>
    <w:rsid w:val="007C670C"/>
    <w:rsid w:val="007C6CD5"/>
    <w:rsid w:val="007D443D"/>
    <w:rsid w:val="007D532D"/>
    <w:rsid w:val="007D547A"/>
    <w:rsid w:val="007D5813"/>
    <w:rsid w:val="007D585F"/>
    <w:rsid w:val="007D6028"/>
    <w:rsid w:val="007D7394"/>
    <w:rsid w:val="007D74E2"/>
    <w:rsid w:val="007D7E70"/>
    <w:rsid w:val="007E06BA"/>
    <w:rsid w:val="007E15E9"/>
    <w:rsid w:val="007E22BC"/>
    <w:rsid w:val="007E5868"/>
    <w:rsid w:val="007E756F"/>
    <w:rsid w:val="007F14D6"/>
    <w:rsid w:val="007F6A0C"/>
    <w:rsid w:val="007F6B3C"/>
    <w:rsid w:val="00801AC1"/>
    <w:rsid w:val="00801B88"/>
    <w:rsid w:val="0081266F"/>
    <w:rsid w:val="00814B2D"/>
    <w:rsid w:val="00815D40"/>
    <w:rsid w:val="00816639"/>
    <w:rsid w:val="00817C7B"/>
    <w:rsid w:val="008218F1"/>
    <w:rsid w:val="00822564"/>
    <w:rsid w:val="008231B4"/>
    <w:rsid w:val="00823746"/>
    <w:rsid w:val="00825098"/>
    <w:rsid w:val="0082519E"/>
    <w:rsid w:val="0082648B"/>
    <w:rsid w:val="00826FCD"/>
    <w:rsid w:val="00830115"/>
    <w:rsid w:val="00830EBC"/>
    <w:rsid w:val="00831FB2"/>
    <w:rsid w:val="00834348"/>
    <w:rsid w:val="00836B9A"/>
    <w:rsid w:val="00837EEB"/>
    <w:rsid w:val="0084049D"/>
    <w:rsid w:val="00841C85"/>
    <w:rsid w:val="0084225F"/>
    <w:rsid w:val="00842344"/>
    <w:rsid w:val="008427E3"/>
    <w:rsid w:val="00843073"/>
    <w:rsid w:val="008445DC"/>
    <w:rsid w:val="008554B2"/>
    <w:rsid w:val="00856EDB"/>
    <w:rsid w:val="00857A47"/>
    <w:rsid w:val="0086039B"/>
    <w:rsid w:val="00862725"/>
    <w:rsid w:val="008630C1"/>
    <w:rsid w:val="00864C56"/>
    <w:rsid w:val="00864F15"/>
    <w:rsid w:val="00865638"/>
    <w:rsid w:val="00865F88"/>
    <w:rsid w:val="00867CE2"/>
    <w:rsid w:val="00867DAC"/>
    <w:rsid w:val="00867FAB"/>
    <w:rsid w:val="00867FB2"/>
    <w:rsid w:val="00867FB6"/>
    <w:rsid w:val="0087089B"/>
    <w:rsid w:val="00870B7B"/>
    <w:rsid w:val="00874E7A"/>
    <w:rsid w:val="00874FB2"/>
    <w:rsid w:val="00875092"/>
    <w:rsid w:val="00875C78"/>
    <w:rsid w:val="00876DCF"/>
    <w:rsid w:val="00877062"/>
    <w:rsid w:val="00877174"/>
    <w:rsid w:val="008840F6"/>
    <w:rsid w:val="00885D62"/>
    <w:rsid w:val="00886FB5"/>
    <w:rsid w:val="0089022A"/>
    <w:rsid w:val="00890E94"/>
    <w:rsid w:val="008914D5"/>
    <w:rsid w:val="008916CA"/>
    <w:rsid w:val="00893EE2"/>
    <w:rsid w:val="008942A2"/>
    <w:rsid w:val="00894EEB"/>
    <w:rsid w:val="00895722"/>
    <w:rsid w:val="00895A47"/>
    <w:rsid w:val="00896AEE"/>
    <w:rsid w:val="00897751"/>
    <w:rsid w:val="00897C8B"/>
    <w:rsid w:val="008A1886"/>
    <w:rsid w:val="008A3E11"/>
    <w:rsid w:val="008A4DB0"/>
    <w:rsid w:val="008A5B14"/>
    <w:rsid w:val="008B1995"/>
    <w:rsid w:val="008B1D6A"/>
    <w:rsid w:val="008B302F"/>
    <w:rsid w:val="008B3293"/>
    <w:rsid w:val="008B4243"/>
    <w:rsid w:val="008B5C94"/>
    <w:rsid w:val="008B6AE2"/>
    <w:rsid w:val="008B7CCD"/>
    <w:rsid w:val="008C0BEB"/>
    <w:rsid w:val="008C0DFA"/>
    <w:rsid w:val="008C49C0"/>
    <w:rsid w:val="008C58A0"/>
    <w:rsid w:val="008C686B"/>
    <w:rsid w:val="008D20E6"/>
    <w:rsid w:val="008D6C57"/>
    <w:rsid w:val="008D6EA9"/>
    <w:rsid w:val="008E10C4"/>
    <w:rsid w:val="008E330E"/>
    <w:rsid w:val="008E44A4"/>
    <w:rsid w:val="008E6B05"/>
    <w:rsid w:val="008E6B97"/>
    <w:rsid w:val="008E7AC4"/>
    <w:rsid w:val="008F0295"/>
    <w:rsid w:val="008F0C06"/>
    <w:rsid w:val="008F0EE3"/>
    <w:rsid w:val="008F3670"/>
    <w:rsid w:val="008F5CC3"/>
    <w:rsid w:val="0090069E"/>
    <w:rsid w:val="0090158C"/>
    <w:rsid w:val="0090213C"/>
    <w:rsid w:val="0090399D"/>
    <w:rsid w:val="00903B38"/>
    <w:rsid w:val="00904E60"/>
    <w:rsid w:val="00906D4B"/>
    <w:rsid w:val="00910117"/>
    <w:rsid w:val="0091070F"/>
    <w:rsid w:val="009115CD"/>
    <w:rsid w:val="00913508"/>
    <w:rsid w:val="0091403B"/>
    <w:rsid w:val="00914E4F"/>
    <w:rsid w:val="009153DC"/>
    <w:rsid w:val="00916278"/>
    <w:rsid w:val="00917110"/>
    <w:rsid w:val="009172E9"/>
    <w:rsid w:val="0091779C"/>
    <w:rsid w:val="00920F81"/>
    <w:rsid w:val="00922242"/>
    <w:rsid w:val="00922F0D"/>
    <w:rsid w:val="00922FD9"/>
    <w:rsid w:val="00924335"/>
    <w:rsid w:val="00924646"/>
    <w:rsid w:val="00925049"/>
    <w:rsid w:val="00926DD4"/>
    <w:rsid w:val="00926E1A"/>
    <w:rsid w:val="009272FF"/>
    <w:rsid w:val="00927A68"/>
    <w:rsid w:val="009305F5"/>
    <w:rsid w:val="00931956"/>
    <w:rsid w:val="00931CCC"/>
    <w:rsid w:val="00932934"/>
    <w:rsid w:val="009337EB"/>
    <w:rsid w:val="00934938"/>
    <w:rsid w:val="00935E48"/>
    <w:rsid w:val="00936165"/>
    <w:rsid w:val="00937A82"/>
    <w:rsid w:val="00937ACB"/>
    <w:rsid w:val="00940D02"/>
    <w:rsid w:val="00941706"/>
    <w:rsid w:val="00942B18"/>
    <w:rsid w:val="0094747E"/>
    <w:rsid w:val="00951139"/>
    <w:rsid w:val="0095141C"/>
    <w:rsid w:val="00951B57"/>
    <w:rsid w:val="00953901"/>
    <w:rsid w:val="009541C5"/>
    <w:rsid w:val="00954489"/>
    <w:rsid w:val="00955805"/>
    <w:rsid w:val="00955FEB"/>
    <w:rsid w:val="009604BC"/>
    <w:rsid w:val="009630BD"/>
    <w:rsid w:val="0096366D"/>
    <w:rsid w:val="00963979"/>
    <w:rsid w:val="00963C34"/>
    <w:rsid w:val="00964125"/>
    <w:rsid w:val="0096598C"/>
    <w:rsid w:val="0096681E"/>
    <w:rsid w:val="00967966"/>
    <w:rsid w:val="0097162F"/>
    <w:rsid w:val="009732F6"/>
    <w:rsid w:val="00974142"/>
    <w:rsid w:val="009765FC"/>
    <w:rsid w:val="00976C48"/>
    <w:rsid w:val="00977188"/>
    <w:rsid w:val="009809BE"/>
    <w:rsid w:val="0098194A"/>
    <w:rsid w:val="00981C24"/>
    <w:rsid w:val="00983795"/>
    <w:rsid w:val="009849F8"/>
    <w:rsid w:val="00985AD9"/>
    <w:rsid w:val="00985BB5"/>
    <w:rsid w:val="00985E19"/>
    <w:rsid w:val="0098606B"/>
    <w:rsid w:val="00986D17"/>
    <w:rsid w:val="009878E8"/>
    <w:rsid w:val="009907CC"/>
    <w:rsid w:val="00990887"/>
    <w:rsid w:val="00991539"/>
    <w:rsid w:val="0099186E"/>
    <w:rsid w:val="00992041"/>
    <w:rsid w:val="009927F1"/>
    <w:rsid w:val="00994A06"/>
    <w:rsid w:val="009A1206"/>
    <w:rsid w:val="009A381B"/>
    <w:rsid w:val="009A3BEF"/>
    <w:rsid w:val="009A5A6B"/>
    <w:rsid w:val="009A6902"/>
    <w:rsid w:val="009A7538"/>
    <w:rsid w:val="009A7FB3"/>
    <w:rsid w:val="009B081C"/>
    <w:rsid w:val="009B2B8F"/>
    <w:rsid w:val="009B2D1B"/>
    <w:rsid w:val="009B34FC"/>
    <w:rsid w:val="009B4037"/>
    <w:rsid w:val="009B427F"/>
    <w:rsid w:val="009B5DA5"/>
    <w:rsid w:val="009B5FDA"/>
    <w:rsid w:val="009B6E18"/>
    <w:rsid w:val="009B7EFF"/>
    <w:rsid w:val="009C1368"/>
    <w:rsid w:val="009C6232"/>
    <w:rsid w:val="009C71B0"/>
    <w:rsid w:val="009C79F6"/>
    <w:rsid w:val="009C7E89"/>
    <w:rsid w:val="009C7ED0"/>
    <w:rsid w:val="009D23E4"/>
    <w:rsid w:val="009D47B3"/>
    <w:rsid w:val="009D58D4"/>
    <w:rsid w:val="009D75FA"/>
    <w:rsid w:val="009D7B4A"/>
    <w:rsid w:val="009E1129"/>
    <w:rsid w:val="009E46CE"/>
    <w:rsid w:val="009E5F4F"/>
    <w:rsid w:val="009E60B6"/>
    <w:rsid w:val="009E6966"/>
    <w:rsid w:val="009F07F0"/>
    <w:rsid w:val="009F61A6"/>
    <w:rsid w:val="009F6D81"/>
    <w:rsid w:val="009F795A"/>
    <w:rsid w:val="009F7C26"/>
    <w:rsid w:val="00A002FF"/>
    <w:rsid w:val="00A00475"/>
    <w:rsid w:val="00A064E6"/>
    <w:rsid w:val="00A065EB"/>
    <w:rsid w:val="00A07908"/>
    <w:rsid w:val="00A103F7"/>
    <w:rsid w:val="00A11CD4"/>
    <w:rsid w:val="00A133F5"/>
    <w:rsid w:val="00A13A85"/>
    <w:rsid w:val="00A13D20"/>
    <w:rsid w:val="00A13F75"/>
    <w:rsid w:val="00A141C6"/>
    <w:rsid w:val="00A165BC"/>
    <w:rsid w:val="00A16AE8"/>
    <w:rsid w:val="00A17B5C"/>
    <w:rsid w:val="00A200CA"/>
    <w:rsid w:val="00A20E1D"/>
    <w:rsid w:val="00A20F35"/>
    <w:rsid w:val="00A2231C"/>
    <w:rsid w:val="00A23CCF"/>
    <w:rsid w:val="00A247B7"/>
    <w:rsid w:val="00A25315"/>
    <w:rsid w:val="00A25DA5"/>
    <w:rsid w:val="00A301E4"/>
    <w:rsid w:val="00A307DF"/>
    <w:rsid w:val="00A3309E"/>
    <w:rsid w:val="00A339B4"/>
    <w:rsid w:val="00A35055"/>
    <w:rsid w:val="00A35133"/>
    <w:rsid w:val="00A353AA"/>
    <w:rsid w:val="00A369DF"/>
    <w:rsid w:val="00A3789B"/>
    <w:rsid w:val="00A41549"/>
    <w:rsid w:val="00A41B70"/>
    <w:rsid w:val="00A4225A"/>
    <w:rsid w:val="00A431B5"/>
    <w:rsid w:val="00A433DE"/>
    <w:rsid w:val="00A45F9D"/>
    <w:rsid w:val="00A466B6"/>
    <w:rsid w:val="00A50ADE"/>
    <w:rsid w:val="00A52B46"/>
    <w:rsid w:val="00A52C3D"/>
    <w:rsid w:val="00A5392D"/>
    <w:rsid w:val="00A54631"/>
    <w:rsid w:val="00A550E3"/>
    <w:rsid w:val="00A564B6"/>
    <w:rsid w:val="00A6053A"/>
    <w:rsid w:val="00A60B30"/>
    <w:rsid w:val="00A622D0"/>
    <w:rsid w:val="00A632EA"/>
    <w:rsid w:val="00A660E8"/>
    <w:rsid w:val="00A66A36"/>
    <w:rsid w:val="00A71C2D"/>
    <w:rsid w:val="00A73F5B"/>
    <w:rsid w:val="00A7404D"/>
    <w:rsid w:val="00A747D1"/>
    <w:rsid w:val="00A7492B"/>
    <w:rsid w:val="00A7659D"/>
    <w:rsid w:val="00A767A9"/>
    <w:rsid w:val="00A7698F"/>
    <w:rsid w:val="00A77D4E"/>
    <w:rsid w:val="00A81CEA"/>
    <w:rsid w:val="00A83FAB"/>
    <w:rsid w:val="00A85033"/>
    <w:rsid w:val="00A85F1A"/>
    <w:rsid w:val="00A923AD"/>
    <w:rsid w:val="00A938A4"/>
    <w:rsid w:val="00A94036"/>
    <w:rsid w:val="00A9415C"/>
    <w:rsid w:val="00A94174"/>
    <w:rsid w:val="00A9705A"/>
    <w:rsid w:val="00AA0FE3"/>
    <w:rsid w:val="00AA16A7"/>
    <w:rsid w:val="00AA224A"/>
    <w:rsid w:val="00AA325C"/>
    <w:rsid w:val="00AA3782"/>
    <w:rsid w:val="00AA4B77"/>
    <w:rsid w:val="00AA5BD1"/>
    <w:rsid w:val="00AA5FC1"/>
    <w:rsid w:val="00AA7375"/>
    <w:rsid w:val="00AB1161"/>
    <w:rsid w:val="00AB1351"/>
    <w:rsid w:val="00AB1D57"/>
    <w:rsid w:val="00AB2306"/>
    <w:rsid w:val="00AB2315"/>
    <w:rsid w:val="00AB26DC"/>
    <w:rsid w:val="00AB4CC2"/>
    <w:rsid w:val="00AB5222"/>
    <w:rsid w:val="00AC0C9A"/>
    <w:rsid w:val="00AC2E0E"/>
    <w:rsid w:val="00AC4E4E"/>
    <w:rsid w:val="00AC553A"/>
    <w:rsid w:val="00AC66D2"/>
    <w:rsid w:val="00AC6779"/>
    <w:rsid w:val="00AC7633"/>
    <w:rsid w:val="00AC7DCD"/>
    <w:rsid w:val="00AC7F78"/>
    <w:rsid w:val="00AD0C57"/>
    <w:rsid w:val="00AD0D78"/>
    <w:rsid w:val="00AD6685"/>
    <w:rsid w:val="00AD752B"/>
    <w:rsid w:val="00AD7988"/>
    <w:rsid w:val="00AE0C8C"/>
    <w:rsid w:val="00AE56AF"/>
    <w:rsid w:val="00AE5F2F"/>
    <w:rsid w:val="00AE623E"/>
    <w:rsid w:val="00AE632F"/>
    <w:rsid w:val="00AF0191"/>
    <w:rsid w:val="00AF2923"/>
    <w:rsid w:val="00AF2987"/>
    <w:rsid w:val="00AF29ED"/>
    <w:rsid w:val="00AF3444"/>
    <w:rsid w:val="00AF356D"/>
    <w:rsid w:val="00AF3C87"/>
    <w:rsid w:val="00AF4666"/>
    <w:rsid w:val="00AF65EE"/>
    <w:rsid w:val="00AF784E"/>
    <w:rsid w:val="00AF7C12"/>
    <w:rsid w:val="00B012C6"/>
    <w:rsid w:val="00B01D70"/>
    <w:rsid w:val="00B027B0"/>
    <w:rsid w:val="00B02D05"/>
    <w:rsid w:val="00B038DB"/>
    <w:rsid w:val="00B03FA0"/>
    <w:rsid w:val="00B0429E"/>
    <w:rsid w:val="00B04943"/>
    <w:rsid w:val="00B057E2"/>
    <w:rsid w:val="00B06585"/>
    <w:rsid w:val="00B07C96"/>
    <w:rsid w:val="00B10271"/>
    <w:rsid w:val="00B11C94"/>
    <w:rsid w:val="00B12440"/>
    <w:rsid w:val="00B12AB4"/>
    <w:rsid w:val="00B12C3E"/>
    <w:rsid w:val="00B12CB2"/>
    <w:rsid w:val="00B13773"/>
    <w:rsid w:val="00B144D7"/>
    <w:rsid w:val="00B14D90"/>
    <w:rsid w:val="00B20B8B"/>
    <w:rsid w:val="00B21659"/>
    <w:rsid w:val="00B233D6"/>
    <w:rsid w:val="00B25A36"/>
    <w:rsid w:val="00B30020"/>
    <w:rsid w:val="00B3098C"/>
    <w:rsid w:val="00B30BB2"/>
    <w:rsid w:val="00B31C59"/>
    <w:rsid w:val="00B3392C"/>
    <w:rsid w:val="00B33E5E"/>
    <w:rsid w:val="00B35B72"/>
    <w:rsid w:val="00B40A63"/>
    <w:rsid w:val="00B41731"/>
    <w:rsid w:val="00B4188E"/>
    <w:rsid w:val="00B439E9"/>
    <w:rsid w:val="00B43AD4"/>
    <w:rsid w:val="00B532EF"/>
    <w:rsid w:val="00B54B68"/>
    <w:rsid w:val="00B55F7A"/>
    <w:rsid w:val="00B61606"/>
    <w:rsid w:val="00B629B9"/>
    <w:rsid w:val="00B65826"/>
    <w:rsid w:val="00B675E5"/>
    <w:rsid w:val="00B70306"/>
    <w:rsid w:val="00B71249"/>
    <w:rsid w:val="00B71C88"/>
    <w:rsid w:val="00B74855"/>
    <w:rsid w:val="00B77921"/>
    <w:rsid w:val="00B77B4B"/>
    <w:rsid w:val="00B77EC4"/>
    <w:rsid w:val="00B80FEB"/>
    <w:rsid w:val="00B8251F"/>
    <w:rsid w:val="00B82E6A"/>
    <w:rsid w:val="00B864C4"/>
    <w:rsid w:val="00B864D9"/>
    <w:rsid w:val="00B8717F"/>
    <w:rsid w:val="00B87A0D"/>
    <w:rsid w:val="00B87BE6"/>
    <w:rsid w:val="00B92634"/>
    <w:rsid w:val="00B93028"/>
    <w:rsid w:val="00B96F51"/>
    <w:rsid w:val="00B97492"/>
    <w:rsid w:val="00B97E0C"/>
    <w:rsid w:val="00BA2376"/>
    <w:rsid w:val="00BA6FB9"/>
    <w:rsid w:val="00BA7762"/>
    <w:rsid w:val="00BB1503"/>
    <w:rsid w:val="00BB3C1D"/>
    <w:rsid w:val="00BB4C40"/>
    <w:rsid w:val="00BB4D26"/>
    <w:rsid w:val="00BB6B5A"/>
    <w:rsid w:val="00BC04E3"/>
    <w:rsid w:val="00BC060A"/>
    <w:rsid w:val="00BC2357"/>
    <w:rsid w:val="00BC2A08"/>
    <w:rsid w:val="00BC2C50"/>
    <w:rsid w:val="00BC38BA"/>
    <w:rsid w:val="00BC4475"/>
    <w:rsid w:val="00BC5E4A"/>
    <w:rsid w:val="00BD0354"/>
    <w:rsid w:val="00BD2260"/>
    <w:rsid w:val="00BD22A8"/>
    <w:rsid w:val="00BD33A6"/>
    <w:rsid w:val="00BD3C4D"/>
    <w:rsid w:val="00BD473A"/>
    <w:rsid w:val="00BD69FD"/>
    <w:rsid w:val="00BD71D4"/>
    <w:rsid w:val="00BE08D7"/>
    <w:rsid w:val="00BE3034"/>
    <w:rsid w:val="00BE48E8"/>
    <w:rsid w:val="00BE53B7"/>
    <w:rsid w:val="00BE64A2"/>
    <w:rsid w:val="00BE6925"/>
    <w:rsid w:val="00BE7698"/>
    <w:rsid w:val="00BF0E44"/>
    <w:rsid w:val="00BF16A2"/>
    <w:rsid w:val="00BF2525"/>
    <w:rsid w:val="00BF2A8E"/>
    <w:rsid w:val="00BF4B90"/>
    <w:rsid w:val="00BF7B33"/>
    <w:rsid w:val="00C00C8B"/>
    <w:rsid w:val="00C01856"/>
    <w:rsid w:val="00C021A8"/>
    <w:rsid w:val="00C0499C"/>
    <w:rsid w:val="00C060AF"/>
    <w:rsid w:val="00C073FB"/>
    <w:rsid w:val="00C07653"/>
    <w:rsid w:val="00C12D7B"/>
    <w:rsid w:val="00C13B7B"/>
    <w:rsid w:val="00C140D1"/>
    <w:rsid w:val="00C14E71"/>
    <w:rsid w:val="00C1539D"/>
    <w:rsid w:val="00C16C9B"/>
    <w:rsid w:val="00C201D7"/>
    <w:rsid w:val="00C20C62"/>
    <w:rsid w:val="00C21904"/>
    <w:rsid w:val="00C21D5E"/>
    <w:rsid w:val="00C24492"/>
    <w:rsid w:val="00C2455E"/>
    <w:rsid w:val="00C24F22"/>
    <w:rsid w:val="00C2618A"/>
    <w:rsid w:val="00C2661A"/>
    <w:rsid w:val="00C278AA"/>
    <w:rsid w:val="00C30325"/>
    <w:rsid w:val="00C3059F"/>
    <w:rsid w:val="00C31F0E"/>
    <w:rsid w:val="00C31FF0"/>
    <w:rsid w:val="00C3203A"/>
    <w:rsid w:val="00C32A8D"/>
    <w:rsid w:val="00C33604"/>
    <w:rsid w:val="00C354B0"/>
    <w:rsid w:val="00C36548"/>
    <w:rsid w:val="00C36CF2"/>
    <w:rsid w:val="00C37EA5"/>
    <w:rsid w:val="00C405DF"/>
    <w:rsid w:val="00C4139C"/>
    <w:rsid w:val="00C41D36"/>
    <w:rsid w:val="00C42B08"/>
    <w:rsid w:val="00C42EF2"/>
    <w:rsid w:val="00C43E0A"/>
    <w:rsid w:val="00C45963"/>
    <w:rsid w:val="00C45A0B"/>
    <w:rsid w:val="00C4756C"/>
    <w:rsid w:val="00C506AD"/>
    <w:rsid w:val="00C525B0"/>
    <w:rsid w:val="00C52D7E"/>
    <w:rsid w:val="00C53425"/>
    <w:rsid w:val="00C5436C"/>
    <w:rsid w:val="00C572BD"/>
    <w:rsid w:val="00C620CA"/>
    <w:rsid w:val="00C6257A"/>
    <w:rsid w:val="00C6262B"/>
    <w:rsid w:val="00C63A3E"/>
    <w:rsid w:val="00C6595F"/>
    <w:rsid w:val="00C665F7"/>
    <w:rsid w:val="00C67E35"/>
    <w:rsid w:val="00C700EB"/>
    <w:rsid w:val="00C702D4"/>
    <w:rsid w:val="00C70A98"/>
    <w:rsid w:val="00C7154C"/>
    <w:rsid w:val="00C71578"/>
    <w:rsid w:val="00C74766"/>
    <w:rsid w:val="00C7518F"/>
    <w:rsid w:val="00C77011"/>
    <w:rsid w:val="00C80549"/>
    <w:rsid w:val="00C80766"/>
    <w:rsid w:val="00C80E64"/>
    <w:rsid w:val="00C81A0B"/>
    <w:rsid w:val="00C8575A"/>
    <w:rsid w:val="00C85833"/>
    <w:rsid w:val="00C8598D"/>
    <w:rsid w:val="00C86679"/>
    <w:rsid w:val="00C86D95"/>
    <w:rsid w:val="00C92520"/>
    <w:rsid w:val="00C930E8"/>
    <w:rsid w:val="00C94810"/>
    <w:rsid w:val="00C97416"/>
    <w:rsid w:val="00CA0CA3"/>
    <w:rsid w:val="00CA4FE1"/>
    <w:rsid w:val="00CA50F8"/>
    <w:rsid w:val="00CB17AB"/>
    <w:rsid w:val="00CB2181"/>
    <w:rsid w:val="00CB3640"/>
    <w:rsid w:val="00CB5066"/>
    <w:rsid w:val="00CB5DEE"/>
    <w:rsid w:val="00CB6B41"/>
    <w:rsid w:val="00CC06A7"/>
    <w:rsid w:val="00CC0833"/>
    <w:rsid w:val="00CC0E66"/>
    <w:rsid w:val="00CC296F"/>
    <w:rsid w:val="00CC5546"/>
    <w:rsid w:val="00CC55DF"/>
    <w:rsid w:val="00CC5E7F"/>
    <w:rsid w:val="00CC63C4"/>
    <w:rsid w:val="00CC680D"/>
    <w:rsid w:val="00CC6F70"/>
    <w:rsid w:val="00CC7835"/>
    <w:rsid w:val="00CD018A"/>
    <w:rsid w:val="00CD0EF6"/>
    <w:rsid w:val="00CD2909"/>
    <w:rsid w:val="00CD2BA1"/>
    <w:rsid w:val="00CD4D80"/>
    <w:rsid w:val="00CD5009"/>
    <w:rsid w:val="00CE0190"/>
    <w:rsid w:val="00CE0DBF"/>
    <w:rsid w:val="00CE1245"/>
    <w:rsid w:val="00CE1DA1"/>
    <w:rsid w:val="00CE255C"/>
    <w:rsid w:val="00CE25F4"/>
    <w:rsid w:val="00CE30D6"/>
    <w:rsid w:val="00CE3617"/>
    <w:rsid w:val="00CE6881"/>
    <w:rsid w:val="00CE6F27"/>
    <w:rsid w:val="00CE6FF9"/>
    <w:rsid w:val="00CE7314"/>
    <w:rsid w:val="00CE7C1B"/>
    <w:rsid w:val="00CF05F1"/>
    <w:rsid w:val="00CF06D6"/>
    <w:rsid w:val="00CF1ABD"/>
    <w:rsid w:val="00CF369E"/>
    <w:rsid w:val="00D01990"/>
    <w:rsid w:val="00D0356E"/>
    <w:rsid w:val="00D035F0"/>
    <w:rsid w:val="00D03FF7"/>
    <w:rsid w:val="00D04222"/>
    <w:rsid w:val="00D10032"/>
    <w:rsid w:val="00D11163"/>
    <w:rsid w:val="00D11FD2"/>
    <w:rsid w:val="00D13A23"/>
    <w:rsid w:val="00D14638"/>
    <w:rsid w:val="00D15ABB"/>
    <w:rsid w:val="00D15F3F"/>
    <w:rsid w:val="00D2117A"/>
    <w:rsid w:val="00D23C67"/>
    <w:rsid w:val="00D252C0"/>
    <w:rsid w:val="00D267EE"/>
    <w:rsid w:val="00D26911"/>
    <w:rsid w:val="00D305B9"/>
    <w:rsid w:val="00D3074D"/>
    <w:rsid w:val="00D3083E"/>
    <w:rsid w:val="00D30D6A"/>
    <w:rsid w:val="00D30D6E"/>
    <w:rsid w:val="00D31000"/>
    <w:rsid w:val="00D31DC2"/>
    <w:rsid w:val="00D33782"/>
    <w:rsid w:val="00D33A2A"/>
    <w:rsid w:val="00D33DA4"/>
    <w:rsid w:val="00D3496A"/>
    <w:rsid w:val="00D34E1A"/>
    <w:rsid w:val="00D34F9F"/>
    <w:rsid w:val="00D3699D"/>
    <w:rsid w:val="00D375FC"/>
    <w:rsid w:val="00D40871"/>
    <w:rsid w:val="00D441D2"/>
    <w:rsid w:val="00D46001"/>
    <w:rsid w:val="00D46B86"/>
    <w:rsid w:val="00D50C31"/>
    <w:rsid w:val="00D517FC"/>
    <w:rsid w:val="00D518F6"/>
    <w:rsid w:val="00D51BF1"/>
    <w:rsid w:val="00D53314"/>
    <w:rsid w:val="00D5367D"/>
    <w:rsid w:val="00D53806"/>
    <w:rsid w:val="00D54446"/>
    <w:rsid w:val="00D571F9"/>
    <w:rsid w:val="00D57895"/>
    <w:rsid w:val="00D579C1"/>
    <w:rsid w:val="00D61805"/>
    <w:rsid w:val="00D62647"/>
    <w:rsid w:val="00D62652"/>
    <w:rsid w:val="00D62FDE"/>
    <w:rsid w:val="00D6532F"/>
    <w:rsid w:val="00D66C3B"/>
    <w:rsid w:val="00D66E0D"/>
    <w:rsid w:val="00D66FBB"/>
    <w:rsid w:val="00D674ED"/>
    <w:rsid w:val="00D67DB0"/>
    <w:rsid w:val="00D67DE9"/>
    <w:rsid w:val="00D704F6"/>
    <w:rsid w:val="00D70DB8"/>
    <w:rsid w:val="00D725BC"/>
    <w:rsid w:val="00D746F4"/>
    <w:rsid w:val="00D748E8"/>
    <w:rsid w:val="00D74AD6"/>
    <w:rsid w:val="00D75019"/>
    <w:rsid w:val="00D7537C"/>
    <w:rsid w:val="00D80694"/>
    <w:rsid w:val="00D80826"/>
    <w:rsid w:val="00D81959"/>
    <w:rsid w:val="00D82CA8"/>
    <w:rsid w:val="00D83843"/>
    <w:rsid w:val="00D86020"/>
    <w:rsid w:val="00D87E95"/>
    <w:rsid w:val="00D91F1B"/>
    <w:rsid w:val="00D93974"/>
    <w:rsid w:val="00D94337"/>
    <w:rsid w:val="00D95E8E"/>
    <w:rsid w:val="00D9637B"/>
    <w:rsid w:val="00D9756C"/>
    <w:rsid w:val="00D97F0F"/>
    <w:rsid w:val="00DA070B"/>
    <w:rsid w:val="00DA0FBD"/>
    <w:rsid w:val="00DA1966"/>
    <w:rsid w:val="00DA2638"/>
    <w:rsid w:val="00DA269E"/>
    <w:rsid w:val="00DA3B8E"/>
    <w:rsid w:val="00DA7916"/>
    <w:rsid w:val="00DA7C24"/>
    <w:rsid w:val="00DB0677"/>
    <w:rsid w:val="00DB0CCC"/>
    <w:rsid w:val="00DB12B3"/>
    <w:rsid w:val="00DB1867"/>
    <w:rsid w:val="00DB47F4"/>
    <w:rsid w:val="00DB616A"/>
    <w:rsid w:val="00DB6862"/>
    <w:rsid w:val="00DB7EB1"/>
    <w:rsid w:val="00DC041B"/>
    <w:rsid w:val="00DD136D"/>
    <w:rsid w:val="00DD19A8"/>
    <w:rsid w:val="00DD5210"/>
    <w:rsid w:val="00DD526A"/>
    <w:rsid w:val="00DE0750"/>
    <w:rsid w:val="00DE0976"/>
    <w:rsid w:val="00DE118C"/>
    <w:rsid w:val="00DE262C"/>
    <w:rsid w:val="00DE2973"/>
    <w:rsid w:val="00DE31B1"/>
    <w:rsid w:val="00DE39D5"/>
    <w:rsid w:val="00DE474A"/>
    <w:rsid w:val="00DE578F"/>
    <w:rsid w:val="00DE7395"/>
    <w:rsid w:val="00DE7A22"/>
    <w:rsid w:val="00DE7FF6"/>
    <w:rsid w:val="00DF0140"/>
    <w:rsid w:val="00DF0C7F"/>
    <w:rsid w:val="00DF2064"/>
    <w:rsid w:val="00DF78B7"/>
    <w:rsid w:val="00E023C7"/>
    <w:rsid w:val="00E034FF"/>
    <w:rsid w:val="00E04E54"/>
    <w:rsid w:val="00E05A1E"/>
    <w:rsid w:val="00E074F9"/>
    <w:rsid w:val="00E10330"/>
    <w:rsid w:val="00E12788"/>
    <w:rsid w:val="00E129A0"/>
    <w:rsid w:val="00E15553"/>
    <w:rsid w:val="00E229B4"/>
    <w:rsid w:val="00E23A56"/>
    <w:rsid w:val="00E31878"/>
    <w:rsid w:val="00E34A20"/>
    <w:rsid w:val="00E35117"/>
    <w:rsid w:val="00E35456"/>
    <w:rsid w:val="00E355E5"/>
    <w:rsid w:val="00E3560C"/>
    <w:rsid w:val="00E360CA"/>
    <w:rsid w:val="00E41782"/>
    <w:rsid w:val="00E41DBD"/>
    <w:rsid w:val="00E42742"/>
    <w:rsid w:val="00E42897"/>
    <w:rsid w:val="00E42D5E"/>
    <w:rsid w:val="00E44757"/>
    <w:rsid w:val="00E44E8C"/>
    <w:rsid w:val="00E464B0"/>
    <w:rsid w:val="00E47000"/>
    <w:rsid w:val="00E4795B"/>
    <w:rsid w:val="00E50486"/>
    <w:rsid w:val="00E50E66"/>
    <w:rsid w:val="00E51CD5"/>
    <w:rsid w:val="00E53B3E"/>
    <w:rsid w:val="00E544B4"/>
    <w:rsid w:val="00E54D0E"/>
    <w:rsid w:val="00E552F0"/>
    <w:rsid w:val="00E573DC"/>
    <w:rsid w:val="00E60E8E"/>
    <w:rsid w:val="00E60EB4"/>
    <w:rsid w:val="00E61E1F"/>
    <w:rsid w:val="00E61E3F"/>
    <w:rsid w:val="00E62CDA"/>
    <w:rsid w:val="00E63890"/>
    <w:rsid w:val="00E65FBC"/>
    <w:rsid w:val="00E6711D"/>
    <w:rsid w:val="00E704E7"/>
    <w:rsid w:val="00E74002"/>
    <w:rsid w:val="00E74DBF"/>
    <w:rsid w:val="00E81A8A"/>
    <w:rsid w:val="00E835F9"/>
    <w:rsid w:val="00E83F7D"/>
    <w:rsid w:val="00E840D7"/>
    <w:rsid w:val="00E84289"/>
    <w:rsid w:val="00E91200"/>
    <w:rsid w:val="00E9184C"/>
    <w:rsid w:val="00E92CE4"/>
    <w:rsid w:val="00E93118"/>
    <w:rsid w:val="00E94B8F"/>
    <w:rsid w:val="00E953FC"/>
    <w:rsid w:val="00E97309"/>
    <w:rsid w:val="00E97596"/>
    <w:rsid w:val="00E97EBA"/>
    <w:rsid w:val="00EA01CE"/>
    <w:rsid w:val="00EA2B63"/>
    <w:rsid w:val="00EA3ABF"/>
    <w:rsid w:val="00EA50BC"/>
    <w:rsid w:val="00EA53EA"/>
    <w:rsid w:val="00EA6E0D"/>
    <w:rsid w:val="00EA7EFE"/>
    <w:rsid w:val="00EB041F"/>
    <w:rsid w:val="00EB0B54"/>
    <w:rsid w:val="00EB11C6"/>
    <w:rsid w:val="00EB3632"/>
    <w:rsid w:val="00EB571B"/>
    <w:rsid w:val="00EB5A82"/>
    <w:rsid w:val="00EB614E"/>
    <w:rsid w:val="00EB69B2"/>
    <w:rsid w:val="00EB6D3E"/>
    <w:rsid w:val="00EB72F7"/>
    <w:rsid w:val="00EB7911"/>
    <w:rsid w:val="00EC2266"/>
    <w:rsid w:val="00EC3FC1"/>
    <w:rsid w:val="00EC50B3"/>
    <w:rsid w:val="00EC6636"/>
    <w:rsid w:val="00ED0375"/>
    <w:rsid w:val="00ED23AC"/>
    <w:rsid w:val="00ED33F7"/>
    <w:rsid w:val="00ED4E07"/>
    <w:rsid w:val="00ED6093"/>
    <w:rsid w:val="00ED701A"/>
    <w:rsid w:val="00EE1D55"/>
    <w:rsid w:val="00EE3017"/>
    <w:rsid w:val="00EE42B0"/>
    <w:rsid w:val="00EE43B4"/>
    <w:rsid w:val="00EE5061"/>
    <w:rsid w:val="00EE549A"/>
    <w:rsid w:val="00EE6509"/>
    <w:rsid w:val="00EF20A2"/>
    <w:rsid w:val="00EF28A7"/>
    <w:rsid w:val="00EF2CCE"/>
    <w:rsid w:val="00EF3F93"/>
    <w:rsid w:val="00EF7CE5"/>
    <w:rsid w:val="00EF7D76"/>
    <w:rsid w:val="00F00342"/>
    <w:rsid w:val="00F0130B"/>
    <w:rsid w:val="00F015BA"/>
    <w:rsid w:val="00F01D1C"/>
    <w:rsid w:val="00F027BC"/>
    <w:rsid w:val="00F03149"/>
    <w:rsid w:val="00F03721"/>
    <w:rsid w:val="00F03736"/>
    <w:rsid w:val="00F03C1D"/>
    <w:rsid w:val="00F0401A"/>
    <w:rsid w:val="00F0509E"/>
    <w:rsid w:val="00F05403"/>
    <w:rsid w:val="00F05451"/>
    <w:rsid w:val="00F05FA7"/>
    <w:rsid w:val="00F11F1E"/>
    <w:rsid w:val="00F124F1"/>
    <w:rsid w:val="00F13E56"/>
    <w:rsid w:val="00F13F90"/>
    <w:rsid w:val="00F142A3"/>
    <w:rsid w:val="00F143BE"/>
    <w:rsid w:val="00F14C5F"/>
    <w:rsid w:val="00F159D5"/>
    <w:rsid w:val="00F16312"/>
    <w:rsid w:val="00F210FA"/>
    <w:rsid w:val="00F21D6B"/>
    <w:rsid w:val="00F21D83"/>
    <w:rsid w:val="00F21F40"/>
    <w:rsid w:val="00F234DA"/>
    <w:rsid w:val="00F252F4"/>
    <w:rsid w:val="00F25A77"/>
    <w:rsid w:val="00F25AEA"/>
    <w:rsid w:val="00F25B6F"/>
    <w:rsid w:val="00F31D86"/>
    <w:rsid w:val="00F3410A"/>
    <w:rsid w:val="00F37527"/>
    <w:rsid w:val="00F376D9"/>
    <w:rsid w:val="00F4028F"/>
    <w:rsid w:val="00F40619"/>
    <w:rsid w:val="00F408A8"/>
    <w:rsid w:val="00F41B5D"/>
    <w:rsid w:val="00F430C7"/>
    <w:rsid w:val="00F4415A"/>
    <w:rsid w:val="00F444C9"/>
    <w:rsid w:val="00F448A1"/>
    <w:rsid w:val="00F4548F"/>
    <w:rsid w:val="00F460C7"/>
    <w:rsid w:val="00F52E5C"/>
    <w:rsid w:val="00F532BF"/>
    <w:rsid w:val="00F54371"/>
    <w:rsid w:val="00F55719"/>
    <w:rsid w:val="00F56EBC"/>
    <w:rsid w:val="00F57346"/>
    <w:rsid w:val="00F57F1E"/>
    <w:rsid w:val="00F6063F"/>
    <w:rsid w:val="00F60CB5"/>
    <w:rsid w:val="00F61B83"/>
    <w:rsid w:val="00F6201C"/>
    <w:rsid w:val="00F63FA4"/>
    <w:rsid w:val="00F6708F"/>
    <w:rsid w:val="00F6723A"/>
    <w:rsid w:val="00F67FA1"/>
    <w:rsid w:val="00F70A5A"/>
    <w:rsid w:val="00F71B84"/>
    <w:rsid w:val="00F71B92"/>
    <w:rsid w:val="00F7217C"/>
    <w:rsid w:val="00F731B8"/>
    <w:rsid w:val="00F731E9"/>
    <w:rsid w:val="00F77949"/>
    <w:rsid w:val="00F8172D"/>
    <w:rsid w:val="00F81938"/>
    <w:rsid w:val="00F82480"/>
    <w:rsid w:val="00F82729"/>
    <w:rsid w:val="00F8429B"/>
    <w:rsid w:val="00F85511"/>
    <w:rsid w:val="00F85CD3"/>
    <w:rsid w:val="00F86E00"/>
    <w:rsid w:val="00F9283B"/>
    <w:rsid w:val="00F9307F"/>
    <w:rsid w:val="00F9465B"/>
    <w:rsid w:val="00F94C1B"/>
    <w:rsid w:val="00F94F58"/>
    <w:rsid w:val="00F951D5"/>
    <w:rsid w:val="00F953D6"/>
    <w:rsid w:val="00FA09CC"/>
    <w:rsid w:val="00FA298A"/>
    <w:rsid w:val="00FA3EC3"/>
    <w:rsid w:val="00FA3EDD"/>
    <w:rsid w:val="00FA6CAD"/>
    <w:rsid w:val="00FB100E"/>
    <w:rsid w:val="00FB1387"/>
    <w:rsid w:val="00FB192F"/>
    <w:rsid w:val="00FB2F95"/>
    <w:rsid w:val="00FB6E33"/>
    <w:rsid w:val="00FB6F5D"/>
    <w:rsid w:val="00FC0CA8"/>
    <w:rsid w:val="00FC18AA"/>
    <w:rsid w:val="00FC3F1A"/>
    <w:rsid w:val="00FC745D"/>
    <w:rsid w:val="00FC79F6"/>
    <w:rsid w:val="00FD44BC"/>
    <w:rsid w:val="00FD4803"/>
    <w:rsid w:val="00FD4A5C"/>
    <w:rsid w:val="00FD558F"/>
    <w:rsid w:val="00FD5BF7"/>
    <w:rsid w:val="00FD66BE"/>
    <w:rsid w:val="00FE0AAE"/>
    <w:rsid w:val="00FE1C41"/>
    <w:rsid w:val="00FE2072"/>
    <w:rsid w:val="00FE39D7"/>
    <w:rsid w:val="00FE3EEA"/>
    <w:rsid w:val="00FE45E3"/>
    <w:rsid w:val="00FE52AF"/>
    <w:rsid w:val="00FE55F5"/>
    <w:rsid w:val="00FE5F22"/>
    <w:rsid w:val="00FF00D3"/>
    <w:rsid w:val="00FF0883"/>
    <w:rsid w:val="00FF09F5"/>
    <w:rsid w:val="00FF2DA5"/>
    <w:rsid w:val="00FF68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9DD1"/>
  <w15:docId w15:val="{1AA11931-D663-014B-98CB-D44287A4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F"/>
    <w:rPr>
      <w:rFonts w:eastAsia="Times New Roman" w:cs="Times New Roman"/>
      <w:lang w:val="en-GB"/>
    </w:rPr>
  </w:style>
  <w:style w:type="paragraph" w:styleId="Heading1">
    <w:name w:val="heading 1"/>
    <w:basedOn w:val="Normal"/>
    <w:next w:val="Normal"/>
    <w:link w:val="Heading1Char"/>
    <w:uiPriority w:val="9"/>
    <w:qFormat/>
    <w:rsid w:val="0015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55C"/>
    <w:pPr>
      <w:spacing w:before="100" w:beforeAutospacing="1" w:after="100" w:afterAutospacing="1" w:line="240" w:lineRule="auto"/>
      <w:outlineLvl w:val="1"/>
    </w:pPr>
    <w:rPr>
      <w:rFonts w:ascii="Times New Roman" w:hAnsi="Times New Roman"/>
      <w:b/>
      <w:bCs/>
      <w:sz w:val="36"/>
      <w:szCs w:val="36"/>
      <w:lang w:val="en-ZA" w:eastAsia="en-ZA"/>
    </w:rPr>
  </w:style>
  <w:style w:type="paragraph" w:styleId="Heading3">
    <w:name w:val="heading 3"/>
    <w:basedOn w:val="Normal"/>
    <w:next w:val="Normal"/>
    <w:link w:val="Heading3Char"/>
    <w:uiPriority w:val="9"/>
    <w:semiHidden/>
    <w:unhideWhenUsed/>
    <w:qFormat/>
    <w:rsid w:val="003D53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32D"/>
    <w:rPr>
      <w:rFonts w:cs="Times New Roman"/>
      <w:sz w:val="16"/>
      <w:szCs w:val="16"/>
    </w:rPr>
  </w:style>
  <w:style w:type="paragraph" w:styleId="CommentText">
    <w:name w:val="annotation text"/>
    <w:basedOn w:val="Normal"/>
    <w:link w:val="CommentTextChar"/>
    <w:uiPriority w:val="99"/>
    <w:semiHidden/>
    <w:unhideWhenUsed/>
    <w:rsid w:val="0035632D"/>
    <w:pPr>
      <w:spacing w:line="240" w:lineRule="auto"/>
    </w:pPr>
    <w:rPr>
      <w:sz w:val="20"/>
      <w:szCs w:val="20"/>
    </w:rPr>
  </w:style>
  <w:style w:type="character" w:customStyle="1" w:styleId="CommentTextChar">
    <w:name w:val="Comment Text Char"/>
    <w:basedOn w:val="DefaultParagraphFont"/>
    <w:link w:val="CommentText"/>
    <w:uiPriority w:val="99"/>
    <w:semiHidden/>
    <w:rsid w:val="0035632D"/>
    <w:rPr>
      <w:rFonts w:eastAsia="Times New Roman" w:cs="Times New Roman"/>
      <w:sz w:val="20"/>
      <w:szCs w:val="20"/>
      <w:lang w:val="en-GB"/>
    </w:rPr>
  </w:style>
  <w:style w:type="paragraph" w:styleId="BalloonText">
    <w:name w:val="Balloon Text"/>
    <w:basedOn w:val="Normal"/>
    <w:link w:val="BalloonTextChar"/>
    <w:uiPriority w:val="99"/>
    <w:semiHidden/>
    <w:unhideWhenUsed/>
    <w:rsid w:val="0035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lang w:val="en-GB"/>
    </w:rPr>
  </w:style>
  <w:style w:type="paragraph" w:styleId="ListParagraph">
    <w:name w:val="List Paragraph"/>
    <w:basedOn w:val="Normal"/>
    <w:uiPriority w:val="1"/>
    <w:qFormat/>
    <w:rsid w:val="0035632D"/>
    <w:pPr>
      <w:ind w:left="720"/>
      <w:contextualSpacing/>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133F5"/>
    <w:pPr>
      <w:spacing w:after="0" w:line="240" w:lineRule="auto"/>
    </w:pPr>
    <w:rPr>
      <w:rFonts w:eastAsiaTheme="minorHAnsi" w:cstheme="minorBidi"/>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133F5"/>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A133F5"/>
    <w:rPr>
      <w:vertAlign w:val="superscript"/>
    </w:rPr>
  </w:style>
  <w:style w:type="character" w:styleId="Hyperlink">
    <w:name w:val="Hyperlink"/>
    <w:basedOn w:val="DefaultParagraphFont"/>
    <w:uiPriority w:val="99"/>
    <w:unhideWhenUsed/>
    <w:rsid w:val="00A52C3D"/>
    <w:rPr>
      <w:color w:val="0000FF" w:themeColor="hyperlink"/>
      <w:u w:val="single"/>
    </w:rPr>
  </w:style>
  <w:style w:type="character" w:customStyle="1" w:styleId="Heading2Char">
    <w:name w:val="Heading 2 Char"/>
    <w:basedOn w:val="DefaultParagraphFont"/>
    <w:link w:val="Heading2"/>
    <w:uiPriority w:val="9"/>
    <w:rsid w:val="0066155C"/>
    <w:rPr>
      <w:rFonts w:ascii="Times New Roman" w:eastAsia="Times New Roman" w:hAnsi="Times New Roman" w:cs="Times New Roman"/>
      <w:b/>
      <w:bCs/>
      <w:sz w:val="36"/>
      <w:szCs w:val="36"/>
      <w:lang w:eastAsia="en-ZA"/>
    </w:rPr>
  </w:style>
  <w:style w:type="character" w:customStyle="1" w:styleId="Heading1Char">
    <w:name w:val="Heading 1 Char"/>
    <w:basedOn w:val="DefaultParagraphFont"/>
    <w:link w:val="Heading1"/>
    <w:uiPriority w:val="9"/>
    <w:rsid w:val="00155D95"/>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1"/>
    <w:unhideWhenUsed/>
    <w:qFormat/>
    <w:rsid w:val="00155D95"/>
    <w:pPr>
      <w:widowControl w:val="0"/>
      <w:autoSpaceDE w:val="0"/>
      <w:autoSpaceDN w:val="0"/>
      <w:adjustRightInd w:val="0"/>
      <w:spacing w:after="0" w:line="240" w:lineRule="auto"/>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55D95"/>
    <w:rPr>
      <w:rFonts w:ascii="Arial" w:eastAsiaTheme="minorEastAsia" w:hAnsi="Arial" w:cs="Arial"/>
      <w:lang w:eastAsia="en-ZA"/>
    </w:rPr>
  </w:style>
  <w:style w:type="paragraph" w:styleId="NormalWeb">
    <w:name w:val="Normal (Web)"/>
    <w:basedOn w:val="Normal"/>
    <w:uiPriority w:val="99"/>
    <w:unhideWhenUsed/>
    <w:rsid w:val="00451547"/>
    <w:pPr>
      <w:spacing w:before="100" w:beforeAutospacing="1" w:after="100" w:afterAutospacing="1" w:line="240" w:lineRule="auto"/>
    </w:pPr>
    <w:rPr>
      <w:rFonts w:ascii="Times New Roman" w:hAnsi="Times New Roman"/>
      <w:sz w:val="24"/>
      <w:szCs w:val="24"/>
      <w:lang w:val="en-ZA" w:eastAsia="en-ZA"/>
    </w:rPr>
  </w:style>
  <w:style w:type="paragraph" w:customStyle="1" w:styleId="western">
    <w:name w:val="western"/>
    <w:basedOn w:val="Normal"/>
    <w:rsid w:val="00BC2C50"/>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63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04"/>
    <w:rPr>
      <w:rFonts w:eastAsia="Times New Roman" w:cs="Times New Roman"/>
      <w:lang w:val="en-GB"/>
    </w:rPr>
  </w:style>
  <w:style w:type="paragraph" w:styleId="Footer">
    <w:name w:val="footer"/>
    <w:basedOn w:val="Normal"/>
    <w:link w:val="FooterChar"/>
    <w:uiPriority w:val="99"/>
    <w:unhideWhenUsed/>
    <w:rsid w:val="0063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4"/>
    <w:rPr>
      <w:rFonts w:eastAsia="Times New Roman" w:cs="Times New Roman"/>
      <w:lang w:val="en-GB"/>
    </w:rPr>
  </w:style>
  <w:style w:type="paragraph" w:customStyle="1" w:styleId="QUOTEINFOOTNOTE">
    <w:name w:val="QUOTE IN FOOTNOTE"/>
    <w:basedOn w:val="Normal"/>
    <w:next w:val="Normal"/>
    <w:qFormat/>
    <w:rsid w:val="00FF2DA5"/>
    <w:pPr>
      <w:spacing w:after="120" w:line="240" w:lineRule="auto"/>
      <w:ind w:left="720" w:right="720"/>
      <w:jc w:val="both"/>
    </w:pPr>
    <w:rPr>
      <w:rFonts w:ascii="Times New Roman" w:hAnsi="Times New Roman"/>
      <w:sz w:val="20"/>
      <w:lang w:val="en-ZA"/>
    </w:rPr>
  </w:style>
  <w:style w:type="paragraph" w:customStyle="1" w:styleId="Indent">
    <w:name w:val="Indent"/>
    <w:basedOn w:val="Normal"/>
    <w:rsid w:val="00171B50"/>
    <w:pPr>
      <w:numPr>
        <w:numId w:val="19"/>
      </w:numPr>
      <w:tabs>
        <w:tab w:val="num" w:pos="993"/>
      </w:tabs>
      <w:spacing w:after="0" w:line="240" w:lineRule="auto"/>
      <w:ind w:left="426"/>
    </w:pPr>
    <w:rPr>
      <w:rFonts w:ascii="Times New Roman" w:hAnsi="Times New Roman"/>
      <w:sz w:val="24"/>
      <w:szCs w:val="20"/>
      <w:lang w:val="en-US"/>
    </w:rPr>
  </w:style>
  <w:style w:type="paragraph" w:styleId="CommentSubject">
    <w:name w:val="annotation subject"/>
    <w:basedOn w:val="CommentText"/>
    <w:next w:val="CommentText"/>
    <w:link w:val="CommentSubjectChar"/>
    <w:uiPriority w:val="99"/>
    <w:semiHidden/>
    <w:unhideWhenUsed/>
    <w:rsid w:val="002521E6"/>
    <w:rPr>
      <w:b/>
      <w:bCs/>
    </w:rPr>
  </w:style>
  <w:style w:type="character" w:customStyle="1" w:styleId="CommentSubjectChar">
    <w:name w:val="Comment Subject Char"/>
    <w:basedOn w:val="CommentTextChar"/>
    <w:link w:val="CommentSubject"/>
    <w:uiPriority w:val="99"/>
    <w:semiHidden/>
    <w:rsid w:val="002521E6"/>
    <w:rPr>
      <w:rFonts w:eastAsia="Times New Roman" w:cs="Times New Roman"/>
      <w:b/>
      <w:bCs/>
      <w:sz w:val="20"/>
      <w:szCs w:val="20"/>
      <w:lang w:val="en-GB"/>
    </w:rPr>
  </w:style>
  <w:style w:type="paragraph" w:styleId="Revision">
    <w:name w:val="Revision"/>
    <w:hidden/>
    <w:uiPriority w:val="99"/>
    <w:semiHidden/>
    <w:rsid w:val="00604661"/>
    <w:pPr>
      <w:spacing w:after="0" w:line="240" w:lineRule="auto"/>
    </w:pPr>
    <w:rPr>
      <w:rFonts w:eastAsia="Times New Roman" w:cs="Times New Roman"/>
      <w:lang w:val="en-GB"/>
    </w:rPr>
  </w:style>
  <w:style w:type="paragraph" w:customStyle="1" w:styleId="lg-para3">
    <w:name w:val="lg-para3"/>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lg-i">
    <w:name w:val="lg-i"/>
    <w:basedOn w:val="Normal"/>
    <w:rsid w:val="00BF2A8E"/>
    <w:pPr>
      <w:spacing w:before="100" w:beforeAutospacing="1" w:after="100" w:afterAutospacing="1" w:line="240" w:lineRule="auto"/>
    </w:pPr>
    <w:rPr>
      <w:rFonts w:ascii="Times New Roman" w:hAnsi="Times New Roman"/>
      <w:sz w:val="24"/>
      <w:szCs w:val="24"/>
      <w:lang w:val="en-ZA" w:eastAsia="en-ZA"/>
    </w:rPr>
  </w:style>
  <w:style w:type="paragraph" w:customStyle="1" w:styleId="JUDGMENTNUMBERED">
    <w:name w:val="JUDGMENT NUMBERED"/>
    <w:basedOn w:val="Normal"/>
    <w:next w:val="Normal"/>
    <w:link w:val="JUDGMENTNUMBEREDChar"/>
    <w:qFormat/>
    <w:rsid w:val="00EA7EFE"/>
    <w:pPr>
      <w:numPr>
        <w:numId w:val="24"/>
      </w:numPr>
      <w:spacing w:after="0" w:line="360" w:lineRule="auto"/>
      <w:jc w:val="both"/>
    </w:pPr>
    <w:rPr>
      <w:rFonts w:ascii="Times New Roman" w:hAnsi="Times New Roman"/>
      <w:sz w:val="26"/>
      <w:lang w:val="en-ZA"/>
    </w:rPr>
  </w:style>
  <w:style w:type="character" w:customStyle="1" w:styleId="JUDGMENTNUMBEREDChar">
    <w:name w:val="JUDGMENT NUMBERED Char"/>
    <w:basedOn w:val="DefaultParagraphFont"/>
    <w:link w:val="JUDGMENTNUMBERED"/>
    <w:locked/>
    <w:rsid w:val="00EA7EFE"/>
    <w:rPr>
      <w:rFonts w:ascii="Times New Roman" w:eastAsia="Times New Roman" w:hAnsi="Times New Roman" w:cs="Times New Roman"/>
      <w:sz w:val="26"/>
    </w:rPr>
  </w:style>
  <w:style w:type="character" w:styleId="HTMLCite">
    <w:name w:val="HTML Cite"/>
    <w:basedOn w:val="DefaultParagraphFont"/>
    <w:uiPriority w:val="99"/>
    <w:semiHidden/>
    <w:unhideWhenUsed/>
    <w:rsid w:val="00705A3C"/>
    <w:rPr>
      <w:i/>
      <w:iCs/>
    </w:rPr>
  </w:style>
  <w:style w:type="character" w:customStyle="1" w:styleId="Heading3Char">
    <w:name w:val="Heading 3 Char"/>
    <w:basedOn w:val="DefaultParagraphFont"/>
    <w:link w:val="Heading3"/>
    <w:uiPriority w:val="9"/>
    <w:semiHidden/>
    <w:rsid w:val="003D5323"/>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680">
      <w:bodyDiv w:val="1"/>
      <w:marLeft w:val="0"/>
      <w:marRight w:val="0"/>
      <w:marTop w:val="0"/>
      <w:marBottom w:val="0"/>
      <w:divBdr>
        <w:top w:val="none" w:sz="0" w:space="0" w:color="auto"/>
        <w:left w:val="none" w:sz="0" w:space="0" w:color="auto"/>
        <w:bottom w:val="none" w:sz="0" w:space="0" w:color="auto"/>
        <w:right w:val="none" w:sz="0" w:space="0" w:color="auto"/>
      </w:divBdr>
    </w:div>
    <w:div w:id="79715761">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78933995">
      <w:bodyDiv w:val="1"/>
      <w:marLeft w:val="0"/>
      <w:marRight w:val="0"/>
      <w:marTop w:val="0"/>
      <w:marBottom w:val="0"/>
      <w:divBdr>
        <w:top w:val="none" w:sz="0" w:space="0" w:color="auto"/>
        <w:left w:val="none" w:sz="0" w:space="0" w:color="auto"/>
        <w:bottom w:val="none" w:sz="0" w:space="0" w:color="auto"/>
        <w:right w:val="none" w:sz="0" w:space="0" w:color="auto"/>
      </w:divBdr>
    </w:div>
    <w:div w:id="277495282">
      <w:bodyDiv w:val="1"/>
      <w:marLeft w:val="0"/>
      <w:marRight w:val="0"/>
      <w:marTop w:val="0"/>
      <w:marBottom w:val="0"/>
      <w:divBdr>
        <w:top w:val="none" w:sz="0" w:space="0" w:color="auto"/>
        <w:left w:val="none" w:sz="0" w:space="0" w:color="auto"/>
        <w:bottom w:val="none" w:sz="0" w:space="0" w:color="auto"/>
        <w:right w:val="none" w:sz="0" w:space="0" w:color="auto"/>
      </w:divBdr>
    </w:div>
    <w:div w:id="285890269">
      <w:bodyDiv w:val="1"/>
      <w:marLeft w:val="0"/>
      <w:marRight w:val="0"/>
      <w:marTop w:val="0"/>
      <w:marBottom w:val="0"/>
      <w:divBdr>
        <w:top w:val="none" w:sz="0" w:space="0" w:color="auto"/>
        <w:left w:val="none" w:sz="0" w:space="0" w:color="auto"/>
        <w:bottom w:val="none" w:sz="0" w:space="0" w:color="auto"/>
        <w:right w:val="none" w:sz="0" w:space="0" w:color="auto"/>
      </w:divBdr>
    </w:div>
    <w:div w:id="352535969">
      <w:bodyDiv w:val="1"/>
      <w:marLeft w:val="0"/>
      <w:marRight w:val="0"/>
      <w:marTop w:val="0"/>
      <w:marBottom w:val="0"/>
      <w:divBdr>
        <w:top w:val="none" w:sz="0" w:space="0" w:color="auto"/>
        <w:left w:val="none" w:sz="0" w:space="0" w:color="auto"/>
        <w:bottom w:val="none" w:sz="0" w:space="0" w:color="auto"/>
        <w:right w:val="none" w:sz="0" w:space="0" w:color="auto"/>
      </w:divBdr>
    </w:div>
    <w:div w:id="373385838">
      <w:bodyDiv w:val="1"/>
      <w:marLeft w:val="0"/>
      <w:marRight w:val="0"/>
      <w:marTop w:val="0"/>
      <w:marBottom w:val="0"/>
      <w:divBdr>
        <w:top w:val="none" w:sz="0" w:space="0" w:color="auto"/>
        <w:left w:val="none" w:sz="0" w:space="0" w:color="auto"/>
        <w:bottom w:val="none" w:sz="0" w:space="0" w:color="auto"/>
        <w:right w:val="none" w:sz="0" w:space="0" w:color="auto"/>
      </w:divBdr>
    </w:div>
    <w:div w:id="452788881">
      <w:bodyDiv w:val="1"/>
      <w:marLeft w:val="0"/>
      <w:marRight w:val="0"/>
      <w:marTop w:val="0"/>
      <w:marBottom w:val="0"/>
      <w:divBdr>
        <w:top w:val="none" w:sz="0" w:space="0" w:color="auto"/>
        <w:left w:val="none" w:sz="0" w:space="0" w:color="auto"/>
        <w:bottom w:val="none" w:sz="0" w:space="0" w:color="auto"/>
        <w:right w:val="none" w:sz="0" w:space="0" w:color="auto"/>
      </w:divBdr>
    </w:div>
    <w:div w:id="460850157">
      <w:bodyDiv w:val="1"/>
      <w:marLeft w:val="0"/>
      <w:marRight w:val="0"/>
      <w:marTop w:val="0"/>
      <w:marBottom w:val="0"/>
      <w:divBdr>
        <w:top w:val="none" w:sz="0" w:space="0" w:color="auto"/>
        <w:left w:val="none" w:sz="0" w:space="0" w:color="auto"/>
        <w:bottom w:val="none" w:sz="0" w:space="0" w:color="auto"/>
        <w:right w:val="none" w:sz="0" w:space="0" w:color="auto"/>
      </w:divBdr>
    </w:div>
    <w:div w:id="552696309">
      <w:bodyDiv w:val="1"/>
      <w:marLeft w:val="0"/>
      <w:marRight w:val="0"/>
      <w:marTop w:val="0"/>
      <w:marBottom w:val="0"/>
      <w:divBdr>
        <w:top w:val="none" w:sz="0" w:space="0" w:color="auto"/>
        <w:left w:val="none" w:sz="0" w:space="0" w:color="auto"/>
        <w:bottom w:val="none" w:sz="0" w:space="0" w:color="auto"/>
        <w:right w:val="none" w:sz="0" w:space="0" w:color="auto"/>
      </w:divBdr>
    </w:div>
    <w:div w:id="607543317">
      <w:bodyDiv w:val="1"/>
      <w:marLeft w:val="0"/>
      <w:marRight w:val="0"/>
      <w:marTop w:val="0"/>
      <w:marBottom w:val="0"/>
      <w:divBdr>
        <w:top w:val="none" w:sz="0" w:space="0" w:color="auto"/>
        <w:left w:val="none" w:sz="0" w:space="0" w:color="auto"/>
        <w:bottom w:val="none" w:sz="0" w:space="0" w:color="auto"/>
        <w:right w:val="none" w:sz="0" w:space="0" w:color="auto"/>
      </w:divBdr>
    </w:div>
    <w:div w:id="738746257">
      <w:bodyDiv w:val="1"/>
      <w:marLeft w:val="0"/>
      <w:marRight w:val="0"/>
      <w:marTop w:val="0"/>
      <w:marBottom w:val="0"/>
      <w:divBdr>
        <w:top w:val="none" w:sz="0" w:space="0" w:color="auto"/>
        <w:left w:val="none" w:sz="0" w:space="0" w:color="auto"/>
        <w:bottom w:val="none" w:sz="0" w:space="0" w:color="auto"/>
        <w:right w:val="none" w:sz="0" w:space="0" w:color="auto"/>
      </w:divBdr>
    </w:div>
    <w:div w:id="782262484">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845897907">
      <w:bodyDiv w:val="1"/>
      <w:marLeft w:val="0"/>
      <w:marRight w:val="0"/>
      <w:marTop w:val="0"/>
      <w:marBottom w:val="0"/>
      <w:divBdr>
        <w:top w:val="none" w:sz="0" w:space="0" w:color="auto"/>
        <w:left w:val="none" w:sz="0" w:space="0" w:color="auto"/>
        <w:bottom w:val="none" w:sz="0" w:space="0" w:color="auto"/>
        <w:right w:val="none" w:sz="0" w:space="0" w:color="auto"/>
      </w:divBdr>
    </w:div>
    <w:div w:id="885986385">
      <w:bodyDiv w:val="1"/>
      <w:marLeft w:val="0"/>
      <w:marRight w:val="0"/>
      <w:marTop w:val="0"/>
      <w:marBottom w:val="0"/>
      <w:divBdr>
        <w:top w:val="none" w:sz="0" w:space="0" w:color="auto"/>
        <w:left w:val="none" w:sz="0" w:space="0" w:color="auto"/>
        <w:bottom w:val="none" w:sz="0" w:space="0" w:color="auto"/>
        <w:right w:val="none" w:sz="0" w:space="0" w:color="auto"/>
      </w:divBdr>
    </w:div>
    <w:div w:id="1465001028">
      <w:bodyDiv w:val="1"/>
      <w:marLeft w:val="0"/>
      <w:marRight w:val="0"/>
      <w:marTop w:val="0"/>
      <w:marBottom w:val="0"/>
      <w:divBdr>
        <w:top w:val="none" w:sz="0" w:space="0" w:color="auto"/>
        <w:left w:val="none" w:sz="0" w:space="0" w:color="auto"/>
        <w:bottom w:val="none" w:sz="0" w:space="0" w:color="auto"/>
        <w:right w:val="none" w:sz="0" w:space="0" w:color="auto"/>
      </w:divBdr>
    </w:div>
    <w:div w:id="1994330060">
      <w:bodyDiv w:val="1"/>
      <w:marLeft w:val="0"/>
      <w:marRight w:val="0"/>
      <w:marTop w:val="0"/>
      <w:marBottom w:val="0"/>
      <w:divBdr>
        <w:top w:val="none" w:sz="0" w:space="0" w:color="auto"/>
        <w:left w:val="none" w:sz="0" w:space="0" w:color="auto"/>
        <w:bottom w:val="none" w:sz="0" w:space="0" w:color="auto"/>
        <w:right w:val="none" w:sz="0" w:space="0" w:color="auto"/>
      </w:divBdr>
    </w:div>
    <w:div w:id="2003317257">
      <w:bodyDiv w:val="1"/>
      <w:marLeft w:val="0"/>
      <w:marRight w:val="0"/>
      <w:marTop w:val="0"/>
      <w:marBottom w:val="0"/>
      <w:divBdr>
        <w:top w:val="none" w:sz="0" w:space="0" w:color="auto"/>
        <w:left w:val="none" w:sz="0" w:space="0" w:color="auto"/>
        <w:bottom w:val="none" w:sz="0" w:space="0" w:color="auto"/>
        <w:right w:val="none" w:sz="0" w:space="0" w:color="auto"/>
      </w:divBdr>
    </w:div>
    <w:div w:id="2039238067">
      <w:bodyDiv w:val="1"/>
      <w:marLeft w:val="0"/>
      <w:marRight w:val="0"/>
      <w:marTop w:val="0"/>
      <w:marBottom w:val="0"/>
      <w:divBdr>
        <w:top w:val="none" w:sz="0" w:space="0" w:color="auto"/>
        <w:left w:val="none" w:sz="0" w:space="0" w:color="auto"/>
        <w:bottom w:val="none" w:sz="0" w:space="0" w:color="auto"/>
        <w:right w:val="none" w:sz="0" w:space="0" w:color="auto"/>
      </w:divBdr>
    </w:div>
    <w:div w:id="2059475903">
      <w:bodyDiv w:val="1"/>
      <w:marLeft w:val="0"/>
      <w:marRight w:val="0"/>
      <w:marTop w:val="0"/>
      <w:marBottom w:val="0"/>
      <w:divBdr>
        <w:top w:val="none" w:sz="0" w:space="0" w:color="auto"/>
        <w:left w:val="none" w:sz="0" w:space="0" w:color="auto"/>
        <w:bottom w:val="none" w:sz="0" w:space="0" w:color="auto"/>
        <w:right w:val="none" w:sz="0" w:space="0" w:color="auto"/>
      </w:divBdr>
    </w:div>
    <w:div w:id="2075355252">
      <w:bodyDiv w:val="1"/>
      <w:marLeft w:val="0"/>
      <w:marRight w:val="0"/>
      <w:marTop w:val="0"/>
      <w:marBottom w:val="0"/>
      <w:divBdr>
        <w:top w:val="none" w:sz="0" w:space="0" w:color="auto"/>
        <w:left w:val="none" w:sz="0" w:space="0" w:color="auto"/>
        <w:bottom w:val="none" w:sz="0" w:space="0" w:color="auto"/>
        <w:right w:val="none" w:sz="0" w:space="0" w:color="auto"/>
      </w:divBdr>
    </w:div>
    <w:div w:id="2090151355">
      <w:bodyDiv w:val="1"/>
      <w:marLeft w:val="0"/>
      <w:marRight w:val="0"/>
      <w:marTop w:val="0"/>
      <w:marBottom w:val="0"/>
      <w:divBdr>
        <w:top w:val="none" w:sz="0" w:space="0" w:color="auto"/>
        <w:left w:val="none" w:sz="0" w:space="0" w:color="auto"/>
        <w:bottom w:val="none" w:sz="0" w:space="0" w:color="auto"/>
        <w:right w:val="none" w:sz="0" w:space="0" w:color="auto"/>
      </w:divBdr>
    </w:div>
    <w:div w:id="2130969413">
      <w:bodyDiv w:val="1"/>
      <w:marLeft w:val="0"/>
      <w:marRight w:val="0"/>
      <w:marTop w:val="0"/>
      <w:marBottom w:val="0"/>
      <w:divBdr>
        <w:top w:val="none" w:sz="0" w:space="0" w:color="auto"/>
        <w:left w:val="none" w:sz="0" w:space="0" w:color="auto"/>
        <w:bottom w:val="none" w:sz="0" w:space="0" w:color="auto"/>
        <w:right w:val="none" w:sz="0" w:space="0" w:color="auto"/>
      </w:divBdr>
      <w:divsChild>
        <w:div w:id="113868042">
          <w:marLeft w:val="0"/>
          <w:marRight w:val="0"/>
          <w:marTop w:val="0"/>
          <w:marBottom w:val="285"/>
          <w:divBdr>
            <w:top w:val="none" w:sz="0" w:space="0" w:color="auto"/>
            <w:left w:val="none" w:sz="0" w:space="0" w:color="auto"/>
            <w:bottom w:val="none" w:sz="0" w:space="0" w:color="auto"/>
            <w:right w:val="none" w:sz="0" w:space="0" w:color="auto"/>
          </w:divBdr>
          <w:divsChild>
            <w:div w:id="904030048">
              <w:marLeft w:val="0"/>
              <w:marRight w:val="0"/>
              <w:marTop w:val="0"/>
              <w:marBottom w:val="0"/>
              <w:divBdr>
                <w:top w:val="none" w:sz="0" w:space="0" w:color="auto"/>
                <w:left w:val="none" w:sz="0" w:space="0" w:color="auto"/>
                <w:bottom w:val="none" w:sz="0" w:space="0" w:color="auto"/>
                <w:right w:val="none" w:sz="0" w:space="0" w:color="auto"/>
              </w:divBdr>
            </w:div>
          </w:divsChild>
        </w:div>
        <w:div w:id="2123064497">
          <w:marLeft w:val="-360"/>
          <w:marRight w:val="-360"/>
          <w:marTop w:val="0"/>
          <w:marBottom w:val="0"/>
          <w:divBdr>
            <w:top w:val="none" w:sz="0" w:space="0" w:color="auto"/>
            <w:left w:val="none" w:sz="0" w:space="0" w:color="auto"/>
            <w:bottom w:val="none" w:sz="0" w:space="0" w:color="auto"/>
            <w:right w:val="none" w:sz="0" w:space="0" w:color="auto"/>
          </w:divBdr>
          <w:divsChild>
            <w:div w:id="1237088017">
              <w:marLeft w:val="0"/>
              <w:marRight w:val="0"/>
              <w:marTop w:val="0"/>
              <w:marBottom w:val="0"/>
              <w:divBdr>
                <w:top w:val="none" w:sz="0" w:space="0" w:color="auto"/>
                <w:left w:val="none" w:sz="0" w:space="0" w:color="auto"/>
                <w:bottom w:val="none" w:sz="0" w:space="0" w:color="auto"/>
                <w:right w:val="none" w:sz="0" w:space="0" w:color="auto"/>
              </w:divBdr>
              <w:divsChild>
                <w:div w:id="1878347503">
                  <w:marLeft w:val="0"/>
                  <w:marRight w:val="0"/>
                  <w:marTop w:val="0"/>
                  <w:marBottom w:val="0"/>
                  <w:divBdr>
                    <w:top w:val="none" w:sz="0" w:space="0" w:color="auto"/>
                    <w:left w:val="none" w:sz="0" w:space="0" w:color="auto"/>
                    <w:bottom w:val="none" w:sz="0" w:space="0" w:color="auto"/>
                    <w:right w:val="none" w:sz="0" w:space="0" w:color="auto"/>
                  </w:divBdr>
                  <w:divsChild>
                    <w:div w:id="1715691169">
                      <w:marLeft w:val="0"/>
                      <w:marRight w:val="0"/>
                      <w:marTop w:val="0"/>
                      <w:marBottom w:val="0"/>
                      <w:divBdr>
                        <w:top w:val="none" w:sz="0" w:space="0" w:color="auto"/>
                        <w:left w:val="none" w:sz="0" w:space="0" w:color="auto"/>
                        <w:bottom w:val="none" w:sz="0" w:space="0" w:color="auto"/>
                        <w:right w:val="none" w:sz="0" w:space="0" w:color="auto"/>
                      </w:divBdr>
                      <w:divsChild>
                        <w:div w:id="811169650">
                          <w:marLeft w:val="0"/>
                          <w:marRight w:val="0"/>
                          <w:marTop w:val="0"/>
                          <w:marBottom w:val="240"/>
                          <w:divBdr>
                            <w:top w:val="none" w:sz="0" w:space="0" w:color="auto"/>
                            <w:left w:val="none" w:sz="0" w:space="0" w:color="auto"/>
                            <w:bottom w:val="none" w:sz="0" w:space="0" w:color="auto"/>
                            <w:right w:val="none" w:sz="0" w:space="0" w:color="auto"/>
                          </w:divBdr>
                          <w:divsChild>
                            <w:div w:id="1998729301">
                              <w:marLeft w:val="0"/>
                              <w:marRight w:val="0"/>
                              <w:marTop w:val="0"/>
                              <w:marBottom w:val="0"/>
                              <w:divBdr>
                                <w:top w:val="none" w:sz="0" w:space="0" w:color="auto"/>
                                <w:left w:val="none" w:sz="0" w:space="0" w:color="auto"/>
                                <w:bottom w:val="none" w:sz="0" w:space="0" w:color="auto"/>
                                <w:right w:val="none" w:sz="0" w:space="0" w:color="auto"/>
                              </w:divBdr>
                              <w:divsChild>
                                <w:div w:id="32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0936-791F-4C04-AD51-386E2823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 Chetty</dc:creator>
  <cp:keywords/>
  <dc:description/>
  <cp:lastModifiedBy>Mokone</cp:lastModifiedBy>
  <cp:revision>3</cp:revision>
  <cp:lastPrinted>2023-10-17T10:58:00Z</cp:lastPrinted>
  <dcterms:created xsi:type="dcterms:W3CDTF">2023-10-20T09:51:00Z</dcterms:created>
  <dcterms:modified xsi:type="dcterms:W3CDTF">2023-10-20T09:51:00Z</dcterms:modified>
</cp:coreProperties>
</file>