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05E9" w14:textId="77777777" w:rsidR="000D0870" w:rsidRDefault="000D0870" w:rsidP="000D0870">
      <w:pPr>
        <w:jc w:val="center"/>
      </w:pPr>
      <w:r w:rsidRPr="002C5B77">
        <w:rPr>
          <w:noProof/>
          <w:highlight w:val="magenta"/>
          <w:lang w:val="en-US"/>
        </w:rPr>
        <w:drawing>
          <wp:anchor distT="0" distB="0" distL="114300" distR="114300" simplePos="0" relativeHeight="251659264" behindDoc="0" locked="0" layoutInCell="1" allowOverlap="0" wp14:anchorId="6E8D936B" wp14:editId="485D61B0">
            <wp:simplePos x="3375660" y="914400"/>
            <wp:positionH relativeFrom="page">
              <wp:align>center</wp:align>
            </wp:positionH>
            <wp:positionV relativeFrom="paragraph">
              <wp:posOffset>0</wp:posOffset>
            </wp:positionV>
            <wp:extent cx="806400" cy="916508"/>
            <wp:effectExtent l="0" t="0" r="0" b="0"/>
            <wp:wrapSquare wrapText="bothSides"/>
            <wp:docPr id="335320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00" cy="916508"/>
                    </a:xfrm>
                    <a:prstGeom prst="rect">
                      <a:avLst/>
                    </a:prstGeom>
                    <a:noFill/>
                  </pic:spPr>
                </pic:pic>
              </a:graphicData>
            </a:graphic>
            <wp14:sizeRelH relativeFrom="margin">
              <wp14:pctWidth>0</wp14:pctWidth>
            </wp14:sizeRelH>
          </wp:anchor>
        </w:drawing>
      </w:r>
    </w:p>
    <w:p w14:paraId="6CBD8093" w14:textId="77777777" w:rsidR="000D0870" w:rsidRDefault="000D0870" w:rsidP="000D0870">
      <w:pPr>
        <w:spacing w:after="0" w:line="360" w:lineRule="auto"/>
        <w:jc w:val="center"/>
        <w:rPr>
          <w:rFonts w:ascii="Arial" w:hAnsi="Arial" w:cs="Arial"/>
          <w:b/>
          <w:sz w:val="24"/>
          <w:szCs w:val="24"/>
        </w:rPr>
      </w:pPr>
    </w:p>
    <w:p w14:paraId="3CFA8BCD" w14:textId="77777777" w:rsidR="000D0870" w:rsidRDefault="000D0870" w:rsidP="000D0870">
      <w:pPr>
        <w:spacing w:after="0" w:line="360" w:lineRule="auto"/>
        <w:jc w:val="center"/>
        <w:rPr>
          <w:rFonts w:ascii="Arial" w:hAnsi="Arial" w:cs="Arial"/>
          <w:b/>
          <w:sz w:val="24"/>
          <w:szCs w:val="24"/>
        </w:rPr>
      </w:pPr>
    </w:p>
    <w:p w14:paraId="72D20FCF" w14:textId="77777777" w:rsidR="000D0870" w:rsidRDefault="000D0870" w:rsidP="000D0870">
      <w:pPr>
        <w:spacing w:after="0" w:line="360" w:lineRule="auto"/>
        <w:jc w:val="center"/>
        <w:rPr>
          <w:rFonts w:ascii="Arial" w:hAnsi="Arial" w:cs="Arial"/>
          <w:b/>
          <w:sz w:val="24"/>
          <w:szCs w:val="24"/>
        </w:rPr>
      </w:pPr>
    </w:p>
    <w:p w14:paraId="7FB57E51" w14:textId="77777777" w:rsidR="000D0870" w:rsidRDefault="000D0870" w:rsidP="000D0870">
      <w:pPr>
        <w:spacing w:after="0" w:line="360" w:lineRule="auto"/>
        <w:jc w:val="center"/>
        <w:rPr>
          <w:rFonts w:ascii="Arial" w:hAnsi="Arial" w:cs="Arial"/>
          <w:b/>
          <w:sz w:val="24"/>
          <w:szCs w:val="24"/>
        </w:rPr>
      </w:pPr>
      <w:r w:rsidRPr="001020F7">
        <w:rPr>
          <w:rFonts w:ascii="Arial" w:hAnsi="Arial" w:cs="Arial"/>
          <w:b/>
          <w:sz w:val="24"/>
          <w:szCs w:val="24"/>
        </w:rPr>
        <w:t xml:space="preserve">THE SUPREME COURT OF APPEAL OF SOUTH AFRICA </w:t>
      </w:r>
      <w:r w:rsidRPr="001020F7">
        <w:rPr>
          <w:rFonts w:ascii="Arial" w:hAnsi="Arial" w:cs="Arial"/>
          <w:b/>
          <w:sz w:val="24"/>
          <w:szCs w:val="24"/>
        </w:rPr>
        <w:tab/>
      </w:r>
    </w:p>
    <w:p w14:paraId="70BBEF05" w14:textId="77777777" w:rsidR="000D0870" w:rsidRDefault="000D0870" w:rsidP="000D0870">
      <w:pPr>
        <w:spacing w:after="0" w:line="360" w:lineRule="auto"/>
        <w:jc w:val="center"/>
        <w:rPr>
          <w:rFonts w:ascii="Arial" w:hAnsi="Arial" w:cs="Arial"/>
          <w:b/>
          <w:sz w:val="24"/>
          <w:szCs w:val="24"/>
        </w:rPr>
      </w:pPr>
      <w:r w:rsidRPr="001020F7">
        <w:rPr>
          <w:rFonts w:ascii="Arial" w:hAnsi="Arial" w:cs="Arial"/>
          <w:b/>
          <w:sz w:val="24"/>
          <w:szCs w:val="24"/>
        </w:rPr>
        <w:t>JUDGMENT</w:t>
      </w:r>
    </w:p>
    <w:p w14:paraId="74CD8DEC" w14:textId="76A79087" w:rsidR="000D0870" w:rsidRPr="001020F7" w:rsidRDefault="000D0870" w:rsidP="000D0870">
      <w:pPr>
        <w:spacing w:after="0" w:line="360" w:lineRule="auto"/>
        <w:jc w:val="right"/>
        <w:rPr>
          <w:rFonts w:ascii="Arial" w:hAnsi="Arial" w:cs="Arial"/>
          <w:b/>
          <w:sz w:val="24"/>
          <w:szCs w:val="24"/>
        </w:rPr>
      </w:pPr>
      <w:r>
        <w:rPr>
          <w:rFonts w:ascii="Arial" w:hAnsi="Arial" w:cs="Arial"/>
          <w:b/>
          <w:sz w:val="24"/>
          <w:szCs w:val="24"/>
        </w:rPr>
        <w:t>Reportable</w:t>
      </w:r>
    </w:p>
    <w:p w14:paraId="0CCA815C" w14:textId="77777777" w:rsidR="000D0870" w:rsidRPr="001020F7" w:rsidRDefault="000D0870" w:rsidP="000D0870">
      <w:pPr>
        <w:spacing w:after="0" w:line="360" w:lineRule="auto"/>
        <w:jc w:val="right"/>
        <w:rPr>
          <w:rFonts w:ascii="Arial" w:hAnsi="Arial" w:cs="Arial"/>
          <w:bCs/>
          <w:sz w:val="24"/>
          <w:szCs w:val="24"/>
        </w:rPr>
      </w:pP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sidRPr="001020F7">
        <w:rPr>
          <w:rFonts w:ascii="Arial" w:hAnsi="Arial" w:cs="Arial"/>
          <w:b/>
          <w:sz w:val="24"/>
          <w:szCs w:val="24"/>
        </w:rPr>
        <w:tab/>
      </w:r>
      <w:r>
        <w:rPr>
          <w:rFonts w:ascii="Arial" w:hAnsi="Arial" w:cs="Arial"/>
          <w:bCs/>
          <w:sz w:val="24"/>
          <w:szCs w:val="24"/>
        </w:rPr>
        <w:t xml:space="preserve">    Case n</w:t>
      </w:r>
      <w:r w:rsidRPr="001020F7">
        <w:rPr>
          <w:rFonts w:ascii="Arial" w:hAnsi="Arial" w:cs="Arial"/>
          <w:bCs/>
          <w:sz w:val="24"/>
          <w:szCs w:val="24"/>
        </w:rPr>
        <w:t>o:</w:t>
      </w:r>
      <w:r>
        <w:rPr>
          <w:rFonts w:ascii="Arial" w:hAnsi="Arial" w:cs="Arial"/>
          <w:bCs/>
          <w:sz w:val="24"/>
          <w:szCs w:val="24"/>
        </w:rPr>
        <w:t xml:space="preserve"> 916/2022</w:t>
      </w:r>
    </w:p>
    <w:p w14:paraId="4FD16C2E" w14:textId="77777777" w:rsidR="000D0870" w:rsidRPr="0054062D" w:rsidRDefault="000D0870" w:rsidP="000D0870">
      <w:pPr>
        <w:spacing w:after="0" w:line="360" w:lineRule="auto"/>
        <w:jc w:val="both"/>
        <w:rPr>
          <w:rFonts w:ascii="Arial" w:hAnsi="Arial" w:cs="Arial"/>
          <w:bCs/>
          <w:sz w:val="24"/>
          <w:szCs w:val="24"/>
        </w:rPr>
      </w:pPr>
      <w:r w:rsidRPr="0054062D">
        <w:rPr>
          <w:rFonts w:ascii="Arial" w:hAnsi="Arial" w:cs="Arial"/>
          <w:bCs/>
          <w:sz w:val="24"/>
          <w:szCs w:val="24"/>
        </w:rPr>
        <w:t xml:space="preserve">In the matter between: </w:t>
      </w:r>
    </w:p>
    <w:p w14:paraId="302FFEAC" w14:textId="77777777" w:rsidR="000D0870" w:rsidRPr="0054062D" w:rsidRDefault="000D0870" w:rsidP="000D0870">
      <w:pPr>
        <w:spacing w:after="0" w:line="360" w:lineRule="auto"/>
        <w:jc w:val="both"/>
        <w:rPr>
          <w:rFonts w:ascii="Arial" w:hAnsi="Arial" w:cs="Arial"/>
          <w:b/>
          <w:sz w:val="24"/>
          <w:szCs w:val="24"/>
        </w:rPr>
      </w:pPr>
    </w:p>
    <w:p w14:paraId="3C49DDC8" w14:textId="77777777" w:rsidR="000D0870" w:rsidRPr="0054062D" w:rsidRDefault="000D0870" w:rsidP="000D0870">
      <w:pPr>
        <w:spacing w:after="0" w:line="360" w:lineRule="auto"/>
        <w:jc w:val="both"/>
        <w:rPr>
          <w:rFonts w:ascii="Arial" w:hAnsi="Arial" w:cs="Arial"/>
          <w:b/>
          <w:sz w:val="24"/>
          <w:szCs w:val="24"/>
        </w:rPr>
      </w:pPr>
      <w:r w:rsidRPr="0054062D">
        <w:rPr>
          <w:rFonts w:ascii="Arial" w:hAnsi="Arial" w:cs="Arial"/>
          <w:b/>
          <w:sz w:val="24"/>
          <w:szCs w:val="24"/>
        </w:rPr>
        <w:t>WILLEM FRANCOIS BOUWER NO</w:t>
      </w:r>
    </w:p>
    <w:p w14:paraId="78CE1E90" w14:textId="002E5613" w:rsidR="000D0870" w:rsidRPr="0054062D" w:rsidRDefault="000D0870" w:rsidP="000D0870">
      <w:pPr>
        <w:spacing w:after="0" w:line="360" w:lineRule="auto"/>
        <w:jc w:val="both"/>
        <w:rPr>
          <w:rFonts w:ascii="Arial" w:hAnsi="Arial" w:cs="Arial"/>
          <w:b/>
          <w:sz w:val="24"/>
          <w:szCs w:val="24"/>
        </w:rPr>
      </w:pPr>
      <w:r w:rsidRPr="0054062D">
        <w:rPr>
          <w:rFonts w:ascii="Arial" w:hAnsi="Arial" w:cs="Arial"/>
          <w:b/>
          <w:sz w:val="24"/>
          <w:szCs w:val="24"/>
        </w:rPr>
        <w:t xml:space="preserve">(In his capacity as </w:t>
      </w:r>
      <w:r w:rsidR="002C5B77" w:rsidRPr="0054062D">
        <w:rPr>
          <w:rFonts w:ascii="Arial" w:hAnsi="Arial" w:cs="Arial"/>
          <w:b/>
          <w:sz w:val="24"/>
          <w:szCs w:val="24"/>
        </w:rPr>
        <w:t xml:space="preserve">the </w:t>
      </w:r>
      <w:r w:rsidRPr="0054062D">
        <w:rPr>
          <w:rFonts w:ascii="Arial" w:hAnsi="Arial" w:cs="Arial"/>
          <w:b/>
          <w:sz w:val="24"/>
          <w:szCs w:val="24"/>
        </w:rPr>
        <w:t xml:space="preserve">appointed co-curator </w:t>
      </w:r>
      <w:r w:rsidRPr="0054062D">
        <w:rPr>
          <w:rFonts w:ascii="Arial" w:hAnsi="Arial" w:cs="Arial"/>
          <w:b/>
          <w:i/>
          <w:sz w:val="24"/>
          <w:szCs w:val="24"/>
        </w:rPr>
        <w:t>bonis</w:t>
      </w:r>
      <w:r w:rsidRPr="0054062D">
        <w:rPr>
          <w:rFonts w:ascii="Arial" w:hAnsi="Arial" w:cs="Arial"/>
          <w:b/>
          <w:sz w:val="24"/>
          <w:szCs w:val="24"/>
        </w:rPr>
        <w:t xml:space="preserve"> of</w:t>
      </w:r>
    </w:p>
    <w:p w14:paraId="16778382" w14:textId="77777777" w:rsidR="000D0870" w:rsidRPr="0054062D" w:rsidRDefault="000D0870" w:rsidP="000D0870">
      <w:pPr>
        <w:spacing w:after="0" w:line="360" w:lineRule="auto"/>
        <w:jc w:val="both"/>
        <w:rPr>
          <w:rFonts w:ascii="Arial" w:hAnsi="Arial" w:cs="Arial"/>
          <w:b/>
          <w:sz w:val="24"/>
          <w:szCs w:val="24"/>
        </w:rPr>
      </w:pPr>
      <w:r w:rsidRPr="0054062D">
        <w:rPr>
          <w:rFonts w:ascii="Arial" w:hAnsi="Arial" w:cs="Arial"/>
          <w:b/>
          <w:sz w:val="24"/>
          <w:szCs w:val="24"/>
        </w:rPr>
        <w:t xml:space="preserve">J H J van Dyk, Ref: MC751/2017) </w:t>
      </w:r>
      <w:r w:rsidRPr="0054062D">
        <w:rPr>
          <w:rFonts w:ascii="Arial" w:hAnsi="Arial" w:cs="Arial"/>
          <w:b/>
          <w:sz w:val="24"/>
          <w:szCs w:val="24"/>
        </w:rPr>
        <w:tab/>
        <w:t xml:space="preserve">                                     FIRST APPELLANT</w:t>
      </w:r>
    </w:p>
    <w:p w14:paraId="01FCDC2F" w14:textId="77777777" w:rsidR="000D0870" w:rsidRPr="0054062D" w:rsidRDefault="000D0870" w:rsidP="000D0870">
      <w:pPr>
        <w:spacing w:after="0" w:line="360" w:lineRule="auto"/>
        <w:jc w:val="both"/>
        <w:rPr>
          <w:rFonts w:ascii="Arial" w:hAnsi="Arial" w:cs="Arial"/>
          <w:b/>
          <w:sz w:val="24"/>
          <w:szCs w:val="24"/>
        </w:rPr>
      </w:pPr>
    </w:p>
    <w:p w14:paraId="5C97B543" w14:textId="77777777" w:rsidR="000D0870" w:rsidRPr="0054062D" w:rsidRDefault="000D0870" w:rsidP="000D0870">
      <w:pPr>
        <w:spacing w:after="0" w:line="360" w:lineRule="auto"/>
        <w:jc w:val="both"/>
        <w:rPr>
          <w:rFonts w:ascii="Arial" w:hAnsi="Arial" w:cs="Arial"/>
          <w:b/>
          <w:sz w:val="24"/>
          <w:szCs w:val="24"/>
        </w:rPr>
      </w:pPr>
      <w:r w:rsidRPr="0054062D">
        <w:rPr>
          <w:rFonts w:ascii="Arial" w:hAnsi="Arial" w:cs="Arial"/>
          <w:b/>
          <w:sz w:val="24"/>
          <w:szCs w:val="24"/>
        </w:rPr>
        <w:t>ANNALI CHRISTELLE BASSON NO</w:t>
      </w:r>
    </w:p>
    <w:p w14:paraId="4311C267" w14:textId="3CE334D5" w:rsidR="000D0870" w:rsidRPr="0054062D" w:rsidRDefault="000D0870" w:rsidP="000D0870">
      <w:pPr>
        <w:spacing w:after="0" w:line="360" w:lineRule="auto"/>
        <w:jc w:val="both"/>
        <w:rPr>
          <w:rFonts w:ascii="Arial" w:hAnsi="Arial" w:cs="Arial"/>
          <w:b/>
          <w:sz w:val="24"/>
          <w:szCs w:val="24"/>
        </w:rPr>
      </w:pPr>
      <w:r w:rsidRPr="0054062D">
        <w:rPr>
          <w:rFonts w:ascii="Arial" w:hAnsi="Arial" w:cs="Arial"/>
          <w:b/>
          <w:sz w:val="24"/>
          <w:szCs w:val="24"/>
        </w:rPr>
        <w:t>(In her capacity as</w:t>
      </w:r>
      <w:r w:rsidR="002C5B77" w:rsidRPr="0054062D">
        <w:rPr>
          <w:rFonts w:ascii="Arial" w:hAnsi="Arial" w:cs="Arial"/>
          <w:b/>
          <w:sz w:val="24"/>
          <w:szCs w:val="24"/>
        </w:rPr>
        <w:t xml:space="preserve"> the</w:t>
      </w:r>
      <w:r w:rsidRPr="0054062D">
        <w:rPr>
          <w:rFonts w:ascii="Arial" w:hAnsi="Arial" w:cs="Arial"/>
          <w:b/>
          <w:sz w:val="24"/>
          <w:szCs w:val="24"/>
        </w:rPr>
        <w:t xml:space="preserve"> appointed co-curator </w:t>
      </w:r>
      <w:r w:rsidRPr="0054062D">
        <w:rPr>
          <w:rFonts w:ascii="Arial" w:hAnsi="Arial" w:cs="Arial"/>
          <w:b/>
          <w:i/>
          <w:sz w:val="24"/>
          <w:szCs w:val="24"/>
        </w:rPr>
        <w:t>bonis</w:t>
      </w:r>
      <w:r w:rsidRPr="0054062D">
        <w:rPr>
          <w:rFonts w:ascii="Arial" w:hAnsi="Arial" w:cs="Arial"/>
          <w:b/>
          <w:sz w:val="24"/>
          <w:szCs w:val="24"/>
        </w:rPr>
        <w:t xml:space="preserve"> of</w:t>
      </w:r>
    </w:p>
    <w:p w14:paraId="1B5BCBF4" w14:textId="77777777" w:rsidR="000D0870" w:rsidRPr="0054062D" w:rsidRDefault="000D0870" w:rsidP="000D0870">
      <w:pPr>
        <w:spacing w:after="0" w:line="360" w:lineRule="auto"/>
        <w:jc w:val="both"/>
        <w:rPr>
          <w:rFonts w:ascii="Arial" w:hAnsi="Arial" w:cs="Arial"/>
          <w:b/>
          <w:sz w:val="24"/>
          <w:szCs w:val="24"/>
        </w:rPr>
      </w:pPr>
      <w:r w:rsidRPr="0054062D">
        <w:rPr>
          <w:rFonts w:ascii="Arial" w:hAnsi="Arial" w:cs="Arial"/>
          <w:b/>
          <w:sz w:val="24"/>
          <w:szCs w:val="24"/>
        </w:rPr>
        <w:t>J H J van Dyk, Ref: MC751/2017)                                                SECOND APPELLANT</w:t>
      </w:r>
    </w:p>
    <w:p w14:paraId="2BABFDA6" w14:textId="77777777" w:rsidR="000D0870" w:rsidRPr="0054062D" w:rsidRDefault="000D0870" w:rsidP="000D0870">
      <w:pPr>
        <w:spacing w:after="0" w:line="360" w:lineRule="auto"/>
        <w:jc w:val="both"/>
        <w:rPr>
          <w:rFonts w:ascii="Arial" w:hAnsi="Arial" w:cs="Arial"/>
          <w:bCs/>
          <w:sz w:val="24"/>
          <w:szCs w:val="24"/>
        </w:rPr>
      </w:pPr>
    </w:p>
    <w:p w14:paraId="002E9104" w14:textId="77777777" w:rsidR="000D0870" w:rsidRPr="0054062D" w:rsidRDefault="000D0870" w:rsidP="000D0870">
      <w:pPr>
        <w:spacing w:after="0" w:line="360" w:lineRule="auto"/>
        <w:jc w:val="both"/>
        <w:rPr>
          <w:rFonts w:ascii="Arial" w:hAnsi="Arial" w:cs="Arial"/>
          <w:bCs/>
          <w:sz w:val="24"/>
          <w:szCs w:val="24"/>
        </w:rPr>
      </w:pPr>
      <w:r w:rsidRPr="0054062D">
        <w:rPr>
          <w:rFonts w:ascii="Arial" w:hAnsi="Arial" w:cs="Arial"/>
          <w:bCs/>
          <w:sz w:val="24"/>
          <w:szCs w:val="24"/>
        </w:rPr>
        <w:t>and</w:t>
      </w:r>
    </w:p>
    <w:p w14:paraId="157DF36A" w14:textId="77777777" w:rsidR="000D0870" w:rsidRPr="0054062D" w:rsidRDefault="000D0870" w:rsidP="000D0870">
      <w:pPr>
        <w:spacing w:after="0" w:line="360" w:lineRule="auto"/>
        <w:jc w:val="both"/>
        <w:rPr>
          <w:rFonts w:ascii="Arial" w:hAnsi="Arial" w:cs="Arial"/>
          <w:b/>
          <w:sz w:val="24"/>
          <w:szCs w:val="24"/>
        </w:rPr>
      </w:pPr>
    </w:p>
    <w:p w14:paraId="1BEFDC63" w14:textId="77777777" w:rsidR="000D0870" w:rsidRPr="0054062D" w:rsidRDefault="000D0870" w:rsidP="000D0870">
      <w:pPr>
        <w:tabs>
          <w:tab w:val="right" w:pos="9026"/>
        </w:tabs>
        <w:spacing w:after="0" w:line="360" w:lineRule="auto"/>
        <w:jc w:val="both"/>
        <w:rPr>
          <w:rFonts w:ascii="Arial" w:hAnsi="Arial" w:cs="Arial"/>
          <w:b/>
          <w:sz w:val="24"/>
          <w:szCs w:val="24"/>
        </w:rPr>
      </w:pPr>
      <w:r w:rsidRPr="0054062D">
        <w:rPr>
          <w:rFonts w:ascii="Arial" w:hAnsi="Arial" w:cs="Arial"/>
          <w:b/>
          <w:sz w:val="24"/>
          <w:szCs w:val="24"/>
        </w:rPr>
        <w:t xml:space="preserve">MASTER OF THE HIGH COURT, PRETORIA </w:t>
      </w:r>
      <w:r w:rsidRPr="0054062D">
        <w:rPr>
          <w:rFonts w:ascii="Arial" w:hAnsi="Arial" w:cs="Arial"/>
          <w:b/>
          <w:sz w:val="24"/>
          <w:szCs w:val="24"/>
        </w:rPr>
        <w:tab/>
        <w:t xml:space="preserve">                RESPONDENT</w:t>
      </w:r>
    </w:p>
    <w:p w14:paraId="5BE6909F" w14:textId="77777777" w:rsidR="000D0870" w:rsidRPr="0054062D" w:rsidRDefault="000D0870" w:rsidP="000D0870">
      <w:pPr>
        <w:spacing w:after="0" w:line="360" w:lineRule="auto"/>
        <w:jc w:val="both"/>
        <w:rPr>
          <w:rFonts w:ascii="Arial" w:hAnsi="Arial" w:cs="Arial"/>
          <w:b/>
          <w:sz w:val="24"/>
          <w:szCs w:val="24"/>
        </w:rPr>
      </w:pPr>
    </w:p>
    <w:p w14:paraId="3746FAD4" w14:textId="2445DA10" w:rsidR="000D0870" w:rsidRPr="0054062D" w:rsidRDefault="000D0870" w:rsidP="000D0870">
      <w:pPr>
        <w:spacing w:after="0" w:line="360" w:lineRule="auto"/>
        <w:jc w:val="both"/>
        <w:rPr>
          <w:rFonts w:ascii="Arial" w:hAnsi="Arial" w:cs="Arial"/>
          <w:sz w:val="24"/>
          <w:szCs w:val="24"/>
        </w:rPr>
      </w:pPr>
      <w:r w:rsidRPr="0054062D">
        <w:rPr>
          <w:rFonts w:ascii="Arial" w:hAnsi="Arial" w:cs="Arial"/>
          <w:b/>
          <w:sz w:val="24"/>
          <w:szCs w:val="24"/>
        </w:rPr>
        <w:t>Neutral citation:</w:t>
      </w:r>
      <w:r w:rsidRPr="0054062D">
        <w:rPr>
          <w:rFonts w:ascii="Arial" w:hAnsi="Arial" w:cs="Arial"/>
          <w:i/>
          <w:sz w:val="24"/>
          <w:szCs w:val="24"/>
        </w:rPr>
        <w:t xml:space="preserve"> Bouwer and Another NNO</w:t>
      </w:r>
      <w:r w:rsidRPr="0054062D" w:rsidDel="00933515">
        <w:rPr>
          <w:rFonts w:ascii="Arial" w:hAnsi="Arial" w:cs="Arial"/>
          <w:i/>
          <w:sz w:val="24"/>
          <w:szCs w:val="24"/>
        </w:rPr>
        <w:t xml:space="preserve"> </w:t>
      </w:r>
      <w:r w:rsidRPr="0054062D">
        <w:rPr>
          <w:rFonts w:ascii="Arial" w:hAnsi="Arial" w:cs="Arial"/>
          <w:i/>
          <w:sz w:val="24"/>
          <w:szCs w:val="24"/>
        </w:rPr>
        <w:t xml:space="preserve">v Master of the High Court, Pretoria </w:t>
      </w:r>
      <w:r w:rsidRPr="0054062D">
        <w:rPr>
          <w:rFonts w:ascii="Arial" w:hAnsi="Arial" w:cs="Arial"/>
          <w:sz w:val="24"/>
          <w:szCs w:val="24"/>
        </w:rPr>
        <w:t xml:space="preserve">(916/2022) [2023] ZASCA </w:t>
      </w:r>
      <w:r w:rsidR="0098706E">
        <w:rPr>
          <w:rFonts w:ascii="Arial" w:hAnsi="Arial" w:cs="Arial"/>
          <w:sz w:val="24"/>
          <w:szCs w:val="24"/>
        </w:rPr>
        <w:t>135</w:t>
      </w:r>
      <w:r w:rsidRPr="0054062D">
        <w:rPr>
          <w:rFonts w:ascii="Arial" w:hAnsi="Arial" w:cs="Arial"/>
          <w:sz w:val="24"/>
          <w:szCs w:val="24"/>
        </w:rPr>
        <w:t xml:space="preserve"> (</w:t>
      </w:r>
      <w:r w:rsidR="0098706E">
        <w:rPr>
          <w:rFonts w:ascii="Arial" w:hAnsi="Arial" w:cs="Arial"/>
          <w:sz w:val="24"/>
          <w:szCs w:val="24"/>
        </w:rPr>
        <w:t>19</w:t>
      </w:r>
      <w:r w:rsidRPr="0054062D">
        <w:rPr>
          <w:rFonts w:ascii="Arial" w:hAnsi="Arial" w:cs="Arial"/>
          <w:sz w:val="24"/>
          <w:szCs w:val="24"/>
        </w:rPr>
        <w:t xml:space="preserve"> </w:t>
      </w:r>
      <w:r w:rsidR="00E61733" w:rsidRPr="0054062D">
        <w:rPr>
          <w:rFonts w:ascii="Arial" w:hAnsi="Arial" w:cs="Arial"/>
          <w:sz w:val="24"/>
          <w:szCs w:val="24"/>
        </w:rPr>
        <w:t>October</w:t>
      </w:r>
      <w:r w:rsidRPr="0054062D">
        <w:rPr>
          <w:rFonts w:ascii="Arial" w:hAnsi="Arial" w:cs="Arial"/>
          <w:sz w:val="24"/>
          <w:szCs w:val="24"/>
        </w:rPr>
        <w:t xml:space="preserve"> 2023)</w:t>
      </w:r>
    </w:p>
    <w:p w14:paraId="39117367" w14:textId="77777777" w:rsidR="000D0870" w:rsidRPr="0054062D" w:rsidRDefault="000D0870" w:rsidP="000D0870">
      <w:pPr>
        <w:spacing w:after="0" w:line="360" w:lineRule="auto"/>
        <w:jc w:val="both"/>
        <w:rPr>
          <w:rFonts w:ascii="Arial" w:hAnsi="Arial" w:cs="Arial"/>
          <w:b/>
          <w:sz w:val="24"/>
          <w:szCs w:val="24"/>
        </w:rPr>
      </w:pPr>
    </w:p>
    <w:p w14:paraId="6D850ED5" w14:textId="77777777" w:rsidR="000D0870" w:rsidRPr="0054062D" w:rsidRDefault="000D0870" w:rsidP="000D0870">
      <w:pPr>
        <w:spacing w:after="0" w:line="360" w:lineRule="auto"/>
        <w:ind w:left="1440" w:hanging="1440"/>
        <w:jc w:val="both"/>
        <w:rPr>
          <w:rFonts w:ascii="Arial" w:hAnsi="Arial" w:cs="Arial"/>
          <w:bCs/>
          <w:sz w:val="24"/>
          <w:szCs w:val="24"/>
        </w:rPr>
      </w:pPr>
      <w:r w:rsidRPr="0054062D">
        <w:rPr>
          <w:rFonts w:ascii="Arial" w:hAnsi="Arial" w:cs="Arial"/>
          <w:b/>
          <w:sz w:val="24"/>
          <w:szCs w:val="24"/>
        </w:rPr>
        <w:t xml:space="preserve">Coram: </w:t>
      </w:r>
      <w:r w:rsidRPr="0054062D">
        <w:rPr>
          <w:rFonts w:ascii="Arial" w:hAnsi="Arial" w:cs="Arial"/>
          <w:b/>
          <w:sz w:val="24"/>
          <w:szCs w:val="24"/>
        </w:rPr>
        <w:tab/>
      </w:r>
      <w:r w:rsidRPr="0054062D">
        <w:rPr>
          <w:rFonts w:ascii="Arial" w:hAnsi="Arial" w:cs="Arial"/>
          <w:bCs/>
          <w:sz w:val="24"/>
          <w:szCs w:val="24"/>
        </w:rPr>
        <w:t>SALDULKER, MBATHA and CARELSE JJA and NHLANGULELA and WINDELL AJJA</w:t>
      </w:r>
    </w:p>
    <w:p w14:paraId="2496E81C" w14:textId="77777777" w:rsidR="000D0870" w:rsidRPr="0054062D" w:rsidRDefault="000D0870" w:rsidP="000D0870">
      <w:pPr>
        <w:spacing w:after="0" w:line="360" w:lineRule="auto"/>
        <w:jc w:val="both"/>
        <w:rPr>
          <w:rFonts w:ascii="Arial" w:hAnsi="Arial" w:cs="Arial"/>
          <w:b/>
          <w:sz w:val="24"/>
          <w:szCs w:val="24"/>
        </w:rPr>
      </w:pPr>
    </w:p>
    <w:p w14:paraId="4C532ED9" w14:textId="77777777" w:rsidR="000D0870" w:rsidRPr="0054062D" w:rsidRDefault="000D0870" w:rsidP="000D0870">
      <w:pPr>
        <w:spacing w:after="0" w:line="360" w:lineRule="auto"/>
        <w:jc w:val="both"/>
        <w:rPr>
          <w:rFonts w:ascii="Arial" w:hAnsi="Arial" w:cs="Arial"/>
          <w:bCs/>
          <w:sz w:val="24"/>
          <w:szCs w:val="24"/>
        </w:rPr>
      </w:pPr>
      <w:r w:rsidRPr="0054062D">
        <w:rPr>
          <w:rFonts w:ascii="Arial" w:hAnsi="Arial" w:cs="Arial"/>
          <w:b/>
          <w:sz w:val="24"/>
          <w:szCs w:val="24"/>
        </w:rPr>
        <w:t xml:space="preserve">Heard: </w:t>
      </w:r>
      <w:r w:rsidRPr="0054062D">
        <w:rPr>
          <w:rFonts w:ascii="Arial" w:hAnsi="Arial" w:cs="Arial"/>
          <w:b/>
          <w:sz w:val="24"/>
          <w:szCs w:val="24"/>
        </w:rPr>
        <w:tab/>
      </w:r>
      <w:r w:rsidRPr="0054062D">
        <w:rPr>
          <w:rFonts w:ascii="Arial" w:hAnsi="Arial" w:cs="Arial"/>
          <w:bCs/>
          <w:sz w:val="24"/>
          <w:szCs w:val="24"/>
        </w:rPr>
        <w:t>12 September 2023</w:t>
      </w:r>
    </w:p>
    <w:p w14:paraId="2E3908E9" w14:textId="77777777" w:rsidR="000D0870" w:rsidRPr="0054062D" w:rsidRDefault="000D0870" w:rsidP="000D0870">
      <w:pPr>
        <w:spacing w:after="0" w:line="360" w:lineRule="auto"/>
        <w:jc w:val="both"/>
        <w:rPr>
          <w:rFonts w:ascii="Arial" w:hAnsi="Arial" w:cs="Arial"/>
          <w:b/>
          <w:sz w:val="24"/>
          <w:szCs w:val="24"/>
        </w:rPr>
      </w:pPr>
    </w:p>
    <w:p w14:paraId="5D179075" w14:textId="687BCF2A" w:rsidR="000D0870" w:rsidRPr="0054062D" w:rsidRDefault="000D0870" w:rsidP="000D0870">
      <w:pPr>
        <w:spacing w:after="0" w:line="360" w:lineRule="auto"/>
        <w:jc w:val="both"/>
        <w:rPr>
          <w:rFonts w:ascii="Arial" w:hAnsi="Arial" w:cs="Arial"/>
          <w:b/>
          <w:sz w:val="24"/>
          <w:szCs w:val="24"/>
        </w:rPr>
      </w:pPr>
      <w:r w:rsidRPr="0054062D">
        <w:rPr>
          <w:rFonts w:ascii="Arial" w:hAnsi="Arial" w:cs="Arial"/>
          <w:b/>
          <w:sz w:val="24"/>
          <w:szCs w:val="24"/>
        </w:rPr>
        <w:t xml:space="preserve">Delivered: </w:t>
      </w:r>
      <w:r w:rsidRPr="0054062D">
        <w:rPr>
          <w:rFonts w:ascii="Arial" w:hAnsi="Arial" w:cs="Arial"/>
          <w:b/>
          <w:sz w:val="24"/>
          <w:szCs w:val="24"/>
        </w:rPr>
        <w:tab/>
      </w:r>
      <w:r w:rsidRPr="0054062D">
        <w:rPr>
          <w:rFonts w:ascii="Arial" w:hAnsi="Arial" w:cs="Arial"/>
          <w:sz w:val="24"/>
          <w:szCs w:val="24"/>
        </w:rPr>
        <w:t xml:space="preserve"> </w:t>
      </w:r>
      <w:r w:rsidR="004D7C46" w:rsidRPr="004D7C46">
        <w:rPr>
          <w:rFonts w:ascii="Arial" w:hAnsi="Arial" w:cs="Arial"/>
          <w:sz w:val="24"/>
          <w:szCs w:val="24"/>
        </w:rPr>
        <w:t xml:space="preserve">This judgment was handed down electronically by circulation to the parties’ legal representatives via email. It has been published on the Supreme Court </w:t>
      </w:r>
      <w:r w:rsidR="004D7C46" w:rsidRPr="004D7C46">
        <w:rPr>
          <w:rFonts w:ascii="Arial" w:hAnsi="Arial" w:cs="Arial"/>
          <w:sz w:val="24"/>
          <w:szCs w:val="24"/>
        </w:rPr>
        <w:lastRenderedPageBreak/>
        <w:t>of Appeal website and released to SAFLII. The date and time for hand-down is deemed to be at 1</w:t>
      </w:r>
      <w:r w:rsidR="00FD76F3">
        <w:rPr>
          <w:rFonts w:ascii="Arial" w:hAnsi="Arial" w:cs="Arial"/>
          <w:sz w:val="24"/>
          <w:szCs w:val="24"/>
        </w:rPr>
        <w:t>1</w:t>
      </w:r>
      <w:r w:rsidR="004D7C46" w:rsidRPr="004D7C46">
        <w:rPr>
          <w:rFonts w:ascii="Arial" w:hAnsi="Arial" w:cs="Arial"/>
          <w:sz w:val="24"/>
          <w:szCs w:val="24"/>
        </w:rPr>
        <w:t xml:space="preserve">h00 on </w:t>
      </w:r>
      <w:r w:rsidR="0098706E">
        <w:rPr>
          <w:rFonts w:ascii="Arial" w:hAnsi="Arial" w:cs="Arial"/>
          <w:sz w:val="24"/>
          <w:szCs w:val="24"/>
        </w:rPr>
        <w:t>19</w:t>
      </w:r>
      <w:r w:rsidR="004D7C46">
        <w:rPr>
          <w:rFonts w:ascii="Arial" w:hAnsi="Arial" w:cs="Arial"/>
          <w:sz w:val="24"/>
          <w:szCs w:val="24"/>
        </w:rPr>
        <w:t xml:space="preserve"> October 2023</w:t>
      </w:r>
      <w:r w:rsidR="004D7C46" w:rsidRPr="004D7C46">
        <w:rPr>
          <w:rFonts w:ascii="Arial" w:hAnsi="Arial" w:cs="Arial"/>
          <w:sz w:val="24"/>
          <w:szCs w:val="24"/>
        </w:rPr>
        <w:t>.</w:t>
      </w:r>
    </w:p>
    <w:p w14:paraId="6C0DD316" w14:textId="77777777" w:rsidR="000D0870" w:rsidRPr="0054062D" w:rsidRDefault="000D0870" w:rsidP="000D0870">
      <w:pPr>
        <w:spacing w:after="0" w:line="360" w:lineRule="auto"/>
        <w:jc w:val="both"/>
        <w:rPr>
          <w:rFonts w:ascii="Arial" w:hAnsi="Arial" w:cs="Arial"/>
          <w:b/>
          <w:sz w:val="24"/>
          <w:szCs w:val="24"/>
        </w:rPr>
      </w:pPr>
    </w:p>
    <w:p w14:paraId="6967D31F" w14:textId="331C5206" w:rsidR="000D0870" w:rsidRDefault="000D0870" w:rsidP="000D0870">
      <w:pPr>
        <w:spacing w:after="0" w:line="360" w:lineRule="auto"/>
        <w:jc w:val="both"/>
        <w:rPr>
          <w:rFonts w:ascii="Arial" w:hAnsi="Arial" w:cs="Arial"/>
          <w:sz w:val="24"/>
          <w:szCs w:val="24"/>
        </w:rPr>
      </w:pPr>
      <w:r w:rsidRPr="0054062D">
        <w:rPr>
          <w:rFonts w:ascii="Arial" w:hAnsi="Arial" w:cs="Arial"/>
          <w:b/>
          <w:sz w:val="24"/>
          <w:szCs w:val="24"/>
        </w:rPr>
        <w:t>Summary:</w:t>
      </w:r>
      <w:r w:rsidRPr="0054062D">
        <w:rPr>
          <w:rFonts w:ascii="Arial" w:hAnsi="Arial" w:cs="Arial"/>
          <w:sz w:val="24"/>
          <w:szCs w:val="24"/>
        </w:rPr>
        <w:tab/>
        <w:t>Administration of estates – annual curator’s account in terms of s</w:t>
      </w:r>
      <w:r w:rsidR="00042D58">
        <w:rPr>
          <w:rFonts w:ascii="Arial" w:hAnsi="Arial" w:cs="Arial"/>
          <w:sz w:val="24"/>
          <w:szCs w:val="24"/>
        </w:rPr>
        <w:t>s</w:t>
      </w:r>
      <w:r w:rsidRPr="0054062D">
        <w:rPr>
          <w:rFonts w:ascii="Arial" w:hAnsi="Arial" w:cs="Arial"/>
          <w:sz w:val="24"/>
          <w:szCs w:val="24"/>
        </w:rPr>
        <w:t xml:space="preserve"> 83</w:t>
      </w:r>
      <w:r w:rsidR="00CC05D5">
        <w:rPr>
          <w:rFonts w:ascii="Arial" w:hAnsi="Arial" w:cs="Arial"/>
          <w:sz w:val="24"/>
          <w:szCs w:val="24"/>
        </w:rPr>
        <w:t xml:space="preserve"> </w:t>
      </w:r>
      <w:r w:rsidR="00042D58">
        <w:rPr>
          <w:rFonts w:ascii="Arial" w:hAnsi="Arial" w:cs="Arial"/>
          <w:sz w:val="24"/>
          <w:szCs w:val="24"/>
        </w:rPr>
        <w:t>and 84</w:t>
      </w:r>
      <w:r w:rsidRPr="0054062D">
        <w:rPr>
          <w:rFonts w:ascii="Arial" w:hAnsi="Arial" w:cs="Arial"/>
          <w:sz w:val="24"/>
          <w:szCs w:val="24"/>
        </w:rPr>
        <w:t xml:space="preserve"> of the Administration of Estates Act 66 of 1965 – realised capital asset reflected as income, not capital asset in the patient’s estate – remuneration of curator – applicable tariff in terms of regulation</w:t>
      </w:r>
      <w:r w:rsidR="00042D58">
        <w:rPr>
          <w:rFonts w:ascii="Arial" w:hAnsi="Arial" w:cs="Arial"/>
          <w:sz w:val="24"/>
          <w:szCs w:val="24"/>
        </w:rPr>
        <w:t>s</w:t>
      </w:r>
      <w:r w:rsidRPr="0054062D">
        <w:rPr>
          <w:rFonts w:ascii="Arial" w:hAnsi="Arial" w:cs="Arial"/>
          <w:sz w:val="24"/>
          <w:szCs w:val="24"/>
        </w:rPr>
        <w:t xml:space="preserve"> </w:t>
      </w:r>
      <w:r w:rsidR="00CC05D5">
        <w:rPr>
          <w:rFonts w:ascii="Arial" w:hAnsi="Arial" w:cs="Arial"/>
          <w:sz w:val="24"/>
          <w:szCs w:val="24"/>
        </w:rPr>
        <w:t xml:space="preserve">7 and </w:t>
      </w:r>
      <w:r w:rsidRPr="0054062D">
        <w:rPr>
          <w:rFonts w:ascii="Arial" w:hAnsi="Arial" w:cs="Arial"/>
          <w:sz w:val="24"/>
          <w:szCs w:val="24"/>
        </w:rPr>
        <w:t xml:space="preserve">8 – curator entitled to 6% fee on all funds reflected in the income account of annual curators’ account as collected, regardless of origin. </w:t>
      </w:r>
    </w:p>
    <w:p w14:paraId="6EC8219B" w14:textId="40FD0CCB" w:rsidR="00912CAF" w:rsidRDefault="00912CAF" w:rsidP="000D0870">
      <w:pPr>
        <w:spacing w:after="0" w:line="360" w:lineRule="auto"/>
        <w:jc w:val="both"/>
        <w:rPr>
          <w:rFonts w:ascii="Arial" w:hAnsi="Arial" w:cs="Arial"/>
          <w:sz w:val="24"/>
          <w:szCs w:val="24"/>
        </w:rPr>
      </w:pPr>
    </w:p>
    <w:p w14:paraId="46E09320" w14:textId="70E71C65" w:rsidR="00912CAF" w:rsidRDefault="00912CAF" w:rsidP="000D0870">
      <w:pPr>
        <w:spacing w:after="0" w:line="360" w:lineRule="auto"/>
        <w:jc w:val="both"/>
        <w:rPr>
          <w:rFonts w:ascii="Arial" w:hAnsi="Arial" w:cs="Arial"/>
          <w:sz w:val="24"/>
          <w:szCs w:val="24"/>
        </w:rPr>
      </w:pPr>
    </w:p>
    <w:p w14:paraId="6D3935F1" w14:textId="12F90E35" w:rsidR="00912CAF" w:rsidRDefault="00912CAF" w:rsidP="000D0870">
      <w:pPr>
        <w:spacing w:after="0" w:line="360" w:lineRule="auto"/>
        <w:jc w:val="both"/>
        <w:rPr>
          <w:rFonts w:ascii="Arial" w:hAnsi="Arial" w:cs="Arial"/>
          <w:sz w:val="24"/>
          <w:szCs w:val="24"/>
        </w:rPr>
      </w:pPr>
    </w:p>
    <w:p w14:paraId="77A2BF13" w14:textId="23E930FD" w:rsidR="00912CAF" w:rsidRDefault="00912CAF" w:rsidP="000D0870">
      <w:pPr>
        <w:spacing w:after="0" w:line="360" w:lineRule="auto"/>
        <w:jc w:val="both"/>
        <w:rPr>
          <w:rFonts w:ascii="Arial" w:hAnsi="Arial" w:cs="Arial"/>
          <w:sz w:val="24"/>
          <w:szCs w:val="24"/>
        </w:rPr>
      </w:pPr>
    </w:p>
    <w:p w14:paraId="44092417" w14:textId="50BBC3F9" w:rsidR="00912CAF" w:rsidRDefault="00912CAF" w:rsidP="000D0870">
      <w:pPr>
        <w:spacing w:after="0" w:line="360" w:lineRule="auto"/>
        <w:jc w:val="both"/>
        <w:rPr>
          <w:rFonts w:ascii="Arial" w:hAnsi="Arial" w:cs="Arial"/>
          <w:sz w:val="24"/>
          <w:szCs w:val="24"/>
        </w:rPr>
      </w:pPr>
    </w:p>
    <w:p w14:paraId="4E59FA54" w14:textId="3886465E" w:rsidR="00912CAF" w:rsidRDefault="00912CAF" w:rsidP="000D0870">
      <w:pPr>
        <w:spacing w:after="0" w:line="360" w:lineRule="auto"/>
        <w:jc w:val="both"/>
        <w:rPr>
          <w:rFonts w:ascii="Arial" w:hAnsi="Arial" w:cs="Arial"/>
          <w:sz w:val="24"/>
          <w:szCs w:val="24"/>
        </w:rPr>
      </w:pPr>
    </w:p>
    <w:p w14:paraId="12464677" w14:textId="77DBE699" w:rsidR="00912CAF" w:rsidRDefault="00912CAF" w:rsidP="000D0870">
      <w:pPr>
        <w:spacing w:after="0" w:line="360" w:lineRule="auto"/>
        <w:jc w:val="both"/>
        <w:rPr>
          <w:rFonts w:ascii="Arial" w:hAnsi="Arial" w:cs="Arial"/>
          <w:sz w:val="24"/>
          <w:szCs w:val="24"/>
        </w:rPr>
      </w:pPr>
    </w:p>
    <w:p w14:paraId="4A2A7B09" w14:textId="35FE107B" w:rsidR="00912CAF" w:rsidRDefault="00912CAF" w:rsidP="000D0870">
      <w:pPr>
        <w:spacing w:after="0" w:line="360" w:lineRule="auto"/>
        <w:jc w:val="both"/>
        <w:rPr>
          <w:rFonts w:ascii="Arial" w:hAnsi="Arial" w:cs="Arial"/>
          <w:sz w:val="24"/>
          <w:szCs w:val="24"/>
        </w:rPr>
      </w:pPr>
    </w:p>
    <w:p w14:paraId="6ECB0B2F" w14:textId="13FA6EBB" w:rsidR="00912CAF" w:rsidRDefault="00912CAF" w:rsidP="000D0870">
      <w:pPr>
        <w:spacing w:after="0" w:line="360" w:lineRule="auto"/>
        <w:jc w:val="both"/>
        <w:rPr>
          <w:rFonts w:ascii="Arial" w:hAnsi="Arial" w:cs="Arial"/>
          <w:sz w:val="24"/>
          <w:szCs w:val="24"/>
        </w:rPr>
      </w:pPr>
    </w:p>
    <w:p w14:paraId="0976AA9E" w14:textId="28CF6779" w:rsidR="00912CAF" w:rsidRDefault="00912CAF" w:rsidP="000D0870">
      <w:pPr>
        <w:spacing w:after="0" w:line="360" w:lineRule="auto"/>
        <w:jc w:val="both"/>
        <w:rPr>
          <w:rFonts w:ascii="Arial" w:hAnsi="Arial" w:cs="Arial"/>
          <w:sz w:val="24"/>
          <w:szCs w:val="24"/>
        </w:rPr>
      </w:pPr>
    </w:p>
    <w:p w14:paraId="37C165D3" w14:textId="11B7051F" w:rsidR="00912CAF" w:rsidRDefault="00912CAF" w:rsidP="000D0870">
      <w:pPr>
        <w:spacing w:after="0" w:line="360" w:lineRule="auto"/>
        <w:jc w:val="both"/>
        <w:rPr>
          <w:rFonts w:ascii="Arial" w:hAnsi="Arial" w:cs="Arial"/>
          <w:sz w:val="24"/>
          <w:szCs w:val="24"/>
        </w:rPr>
      </w:pPr>
    </w:p>
    <w:p w14:paraId="354C2A6A" w14:textId="50859835" w:rsidR="00912CAF" w:rsidRDefault="00912CAF" w:rsidP="000D0870">
      <w:pPr>
        <w:spacing w:after="0" w:line="360" w:lineRule="auto"/>
        <w:jc w:val="both"/>
        <w:rPr>
          <w:rFonts w:ascii="Arial" w:hAnsi="Arial" w:cs="Arial"/>
          <w:sz w:val="24"/>
          <w:szCs w:val="24"/>
        </w:rPr>
      </w:pPr>
    </w:p>
    <w:p w14:paraId="302CF755" w14:textId="50E669E9" w:rsidR="00912CAF" w:rsidRDefault="00912CAF" w:rsidP="000D0870">
      <w:pPr>
        <w:spacing w:after="0" w:line="360" w:lineRule="auto"/>
        <w:jc w:val="both"/>
        <w:rPr>
          <w:rFonts w:ascii="Arial" w:hAnsi="Arial" w:cs="Arial"/>
          <w:sz w:val="24"/>
          <w:szCs w:val="24"/>
        </w:rPr>
      </w:pPr>
    </w:p>
    <w:p w14:paraId="3279FD57" w14:textId="3FD36F02" w:rsidR="00912CAF" w:rsidRDefault="00912CAF" w:rsidP="000D0870">
      <w:pPr>
        <w:spacing w:after="0" w:line="360" w:lineRule="auto"/>
        <w:jc w:val="both"/>
        <w:rPr>
          <w:rFonts w:ascii="Arial" w:hAnsi="Arial" w:cs="Arial"/>
          <w:sz w:val="24"/>
          <w:szCs w:val="24"/>
        </w:rPr>
      </w:pPr>
    </w:p>
    <w:p w14:paraId="2D567E4A" w14:textId="1C93CFD2" w:rsidR="00912CAF" w:rsidRDefault="00912CAF" w:rsidP="000D0870">
      <w:pPr>
        <w:spacing w:after="0" w:line="360" w:lineRule="auto"/>
        <w:jc w:val="both"/>
        <w:rPr>
          <w:rFonts w:ascii="Arial" w:hAnsi="Arial" w:cs="Arial"/>
          <w:sz w:val="24"/>
          <w:szCs w:val="24"/>
        </w:rPr>
      </w:pPr>
    </w:p>
    <w:p w14:paraId="6D986CA0" w14:textId="3B6E4A5A" w:rsidR="00912CAF" w:rsidRDefault="00912CAF" w:rsidP="000D0870">
      <w:pPr>
        <w:spacing w:after="0" w:line="360" w:lineRule="auto"/>
        <w:jc w:val="both"/>
        <w:rPr>
          <w:rFonts w:ascii="Arial" w:hAnsi="Arial" w:cs="Arial"/>
          <w:sz w:val="24"/>
          <w:szCs w:val="24"/>
        </w:rPr>
      </w:pPr>
    </w:p>
    <w:p w14:paraId="11273D55" w14:textId="7BC1DE3F" w:rsidR="00912CAF" w:rsidRDefault="00912CAF" w:rsidP="000D0870">
      <w:pPr>
        <w:spacing w:after="0" w:line="360" w:lineRule="auto"/>
        <w:jc w:val="both"/>
        <w:rPr>
          <w:rFonts w:ascii="Arial" w:hAnsi="Arial" w:cs="Arial"/>
          <w:sz w:val="24"/>
          <w:szCs w:val="24"/>
        </w:rPr>
      </w:pPr>
    </w:p>
    <w:p w14:paraId="5777FF69" w14:textId="293A6658" w:rsidR="00912CAF" w:rsidRDefault="00912CAF" w:rsidP="000D0870">
      <w:pPr>
        <w:spacing w:after="0" w:line="360" w:lineRule="auto"/>
        <w:jc w:val="both"/>
        <w:rPr>
          <w:rFonts w:ascii="Arial" w:hAnsi="Arial" w:cs="Arial"/>
          <w:sz w:val="24"/>
          <w:szCs w:val="24"/>
        </w:rPr>
      </w:pPr>
    </w:p>
    <w:p w14:paraId="4074F44B" w14:textId="595DD4D6" w:rsidR="00912CAF" w:rsidRDefault="00912CAF" w:rsidP="000D0870">
      <w:pPr>
        <w:spacing w:after="0" w:line="360" w:lineRule="auto"/>
        <w:jc w:val="both"/>
        <w:rPr>
          <w:rFonts w:ascii="Arial" w:hAnsi="Arial" w:cs="Arial"/>
          <w:sz w:val="24"/>
          <w:szCs w:val="24"/>
        </w:rPr>
      </w:pPr>
    </w:p>
    <w:p w14:paraId="7FBAE96F" w14:textId="6E03DAAD" w:rsidR="00912CAF" w:rsidRDefault="00912CAF" w:rsidP="000D0870">
      <w:pPr>
        <w:spacing w:after="0" w:line="360" w:lineRule="auto"/>
        <w:jc w:val="both"/>
        <w:rPr>
          <w:rFonts w:ascii="Arial" w:hAnsi="Arial" w:cs="Arial"/>
          <w:sz w:val="24"/>
          <w:szCs w:val="24"/>
        </w:rPr>
      </w:pPr>
    </w:p>
    <w:p w14:paraId="24E901E8" w14:textId="20C91CDB" w:rsidR="00912CAF" w:rsidRDefault="00912CAF" w:rsidP="000D0870">
      <w:pPr>
        <w:spacing w:after="0" w:line="360" w:lineRule="auto"/>
        <w:jc w:val="both"/>
        <w:rPr>
          <w:rFonts w:ascii="Arial" w:hAnsi="Arial" w:cs="Arial"/>
          <w:sz w:val="24"/>
          <w:szCs w:val="24"/>
        </w:rPr>
      </w:pPr>
    </w:p>
    <w:p w14:paraId="5E64BC93" w14:textId="501AFC36" w:rsidR="00912CAF" w:rsidRDefault="00912CAF" w:rsidP="000D0870">
      <w:pPr>
        <w:spacing w:after="0" w:line="360" w:lineRule="auto"/>
        <w:jc w:val="both"/>
        <w:rPr>
          <w:rFonts w:ascii="Arial" w:hAnsi="Arial" w:cs="Arial"/>
          <w:sz w:val="24"/>
          <w:szCs w:val="24"/>
        </w:rPr>
      </w:pPr>
    </w:p>
    <w:p w14:paraId="364A7630" w14:textId="527A21C9" w:rsidR="00912CAF" w:rsidRDefault="00912CAF" w:rsidP="000D0870">
      <w:pPr>
        <w:spacing w:after="0" w:line="360" w:lineRule="auto"/>
        <w:jc w:val="both"/>
        <w:rPr>
          <w:rFonts w:ascii="Arial" w:hAnsi="Arial" w:cs="Arial"/>
          <w:sz w:val="24"/>
          <w:szCs w:val="24"/>
        </w:rPr>
      </w:pPr>
    </w:p>
    <w:p w14:paraId="326F0A04" w14:textId="0E43D63B" w:rsidR="00912CAF" w:rsidRDefault="00912CAF" w:rsidP="000D0870">
      <w:pPr>
        <w:spacing w:after="0" w:line="360" w:lineRule="auto"/>
        <w:jc w:val="both"/>
        <w:rPr>
          <w:rFonts w:ascii="Arial" w:hAnsi="Arial" w:cs="Arial"/>
          <w:sz w:val="24"/>
          <w:szCs w:val="24"/>
        </w:rPr>
      </w:pPr>
    </w:p>
    <w:p w14:paraId="5B7E4C34" w14:textId="77C21098" w:rsidR="00912CAF" w:rsidRDefault="00912CAF" w:rsidP="000D0870">
      <w:pPr>
        <w:spacing w:after="0" w:line="360" w:lineRule="auto"/>
        <w:jc w:val="both"/>
        <w:rPr>
          <w:rFonts w:ascii="Arial" w:hAnsi="Arial" w:cs="Arial"/>
          <w:sz w:val="24"/>
          <w:szCs w:val="24"/>
        </w:rPr>
      </w:pPr>
    </w:p>
    <w:p w14:paraId="4106A68D" w14:textId="77777777" w:rsidR="00912CAF" w:rsidRPr="0054062D" w:rsidRDefault="00912CAF" w:rsidP="000D0870">
      <w:pPr>
        <w:spacing w:after="0" w:line="360" w:lineRule="auto"/>
        <w:jc w:val="both"/>
      </w:pPr>
    </w:p>
    <w:p w14:paraId="4F1B4E43" w14:textId="77777777" w:rsidR="000D0870" w:rsidRPr="0054062D" w:rsidRDefault="000D0870" w:rsidP="000D0870">
      <w:pPr>
        <w:spacing w:after="0" w:line="360" w:lineRule="auto"/>
        <w:jc w:val="both"/>
        <w:rPr>
          <w:rFonts w:ascii="Arial" w:hAnsi="Arial" w:cs="Arial"/>
          <w:b/>
          <w:sz w:val="24"/>
          <w:szCs w:val="24"/>
        </w:rPr>
      </w:pPr>
      <w:r w:rsidRPr="0054062D">
        <w:rPr>
          <w:rFonts w:ascii="Arial" w:hAnsi="Arial" w:cs="Arial"/>
          <w:b/>
          <w:sz w:val="24"/>
          <w:szCs w:val="24"/>
        </w:rPr>
        <w:t>___________________________________________________________________</w:t>
      </w:r>
    </w:p>
    <w:p w14:paraId="65963FCC" w14:textId="77777777" w:rsidR="000D0870" w:rsidRPr="0054062D" w:rsidRDefault="000D0870" w:rsidP="000D0870">
      <w:pPr>
        <w:spacing w:after="0" w:line="360" w:lineRule="auto"/>
        <w:jc w:val="both"/>
        <w:rPr>
          <w:rFonts w:ascii="Arial" w:hAnsi="Arial" w:cs="Arial"/>
          <w:b/>
          <w:sz w:val="24"/>
          <w:szCs w:val="24"/>
        </w:rPr>
      </w:pPr>
    </w:p>
    <w:p w14:paraId="501A5EAF" w14:textId="77777777" w:rsidR="000D0870" w:rsidRPr="0054062D" w:rsidRDefault="000D0870" w:rsidP="000D0870">
      <w:pPr>
        <w:spacing w:after="0" w:line="360" w:lineRule="auto"/>
        <w:jc w:val="center"/>
        <w:rPr>
          <w:rFonts w:ascii="Arial" w:hAnsi="Arial" w:cs="Arial"/>
          <w:b/>
          <w:sz w:val="24"/>
          <w:szCs w:val="24"/>
        </w:rPr>
      </w:pPr>
      <w:r w:rsidRPr="0054062D">
        <w:rPr>
          <w:rFonts w:ascii="Arial" w:hAnsi="Arial" w:cs="Arial"/>
          <w:b/>
          <w:sz w:val="24"/>
          <w:szCs w:val="24"/>
        </w:rPr>
        <w:t>ORDER</w:t>
      </w:r>
    </w:p>
    <w:p w14:paraId="1EAF36CB" w14:textId="77777777" w:rsidR="000D0870" w:rsidRPr="0054062D" w:rsidRDefault="000D0870" w:rsidP="000D0870">
      <w:pPr>
        <w:spacing w:line="360" w:lineRule="auto"/>
        <w:jc w:val="both"/>
        <w:rPr>
          <w:rFonts w:ascii="Arial" w:hAnsi="Arial" w:cs="Arial"/>
          <w:b/>
          <w:sz w:val="24"/>
          <w:szCs w:val="24"/>
        </w:rPr>
      </w:pPr>
      <w:r w:rsidRPr="0054062D">
        <w:rPr>
          <w:rFonts w:ascii="Arial" w:hAnsi="Arial" w:cs="Arial"/>
          <w:b/>
          <w:sz w:val="24"/>
          <w:szCs w:val="24"/>
        </w:rPr>
        <w:t>___________________________________________________________________</w:t>
      </w:r>
    </w:p>
    <w:p w14:paraId="227BAC71" w14:textId="77777777" w:rsidR="002A78DA" w:rsidRPr="0054062D" w:rsidRDefault="002A78DA" w:rsidP="002A78DA">
      <w:pPr>
        <w:pStyle w:val="Header"/>
        <w:spacing w:line="360" w:lineRule="auto"/>
        <w:jc w:val="both"/>
        <w:rPr>
          <w:rFonts w:ascii="Arial" w:hAnsi="Arial" w:cs="Arial"/>
          <w:sz w:val="24"/>
          <w:szCs w:val="24"/>
        </w:rPr>
      </w:pPr>
      <w:r w:rsidRPr="0054062D">
        <w:rPr>
          <w:rFonts w:ascii="Arial" w:hAnsi="Arial" w:cs="Arial"/>
          <w:b/>
          <w:bCs/>
          <w:sz w:val="24"/>
          <w:szCs w:val="24"/>
        </w:rPr>
        <w:t>On appeal from:</w:t>
      </w:r>
      <w:r w:rsidRPr="0054062D">
        <w:rPr>
          <w:rFonts w:ascii="Arial" w:hAnsi="Arial" w:cs="Arial"/>
          <w:sz w:val="24"/>
          <w:szCs w:val="24"/>
        </w:rPr>
        <w:t xml:space="preserve"> Gauteng Division of the High Court, Pretoria (Skosana AJ, sitting as a court of first instance): </w:t>
      </w:r>
    </w:p>
    <w:p w14:paraId="7D933ED1" w14:textId="1B4EF3A2" w:rsidR="002A78DA" w:rsidRPr="0054062D" w:rsidRDefault="00267882" w:rsidP="00267882">
      <w:pPr>
        <w:pStyle w:val="Header"/>
        <w:tabs>
          <w:tab w:val="clear" w:pos="4513"/>
          <w:tab w:val="clear" w:pos="9026"/>
        </w:tabs>
        <w:spacing w:line="360" w:lineRule="auto"/>
        <w:jc w:val="both"/>
        <w:rPr>
          <w:rFonts w:ascii="Arial" w:hAnsi="Arial" w:cs="Arial"/>
          <w:sz w:val="24"/>
          <w:szCs w:val="24"/>
        </w:rPr>
      </w:pPr>
      <w:r w:rsidRPr="0054062D">
        <w:rPr>
          <w:rFonts w:ascii="Arial" w:hAnsi="Arial" w:cs="Arial"/>
          <w:sz w:val="24"/>
          <w:szCs w:val="24"/>
        </w:rPr>
        <w:t>1</w:t>
      </w:r>
      <w:r w:rsidRPr="0054062D">
        <w:rPr>
          <w:rFonts w:ascii="Arial" w:hAnsi="Arial" w:cs="Arial"/>
          <w:sz w:val="24"/>
          <w:szCs w:val="24"/>
        </w:rPr>
        <w:tab/>
      </w:r>
      <w:r w:rsidR="002A78DA" w:rsidRPr="0054062D">
        <w:rPr>
          <w:rFonts w:ascii="Arial" w:hAnsi="Arial" w:cs="Arial"/>
          <w:sz w:val="24"/>
          <w:szCs w:val="24"/>
        </w:rPr>
        <w:t>The appeal is upheld with costs, such costs to include the costs of two counsel, where so employed.</w:t>
      </w:r>
    </w:p>
    <w:p w14:paraId="14DDDAFA" w14:textId="1587F1AB" w:rsidR="002A78DA" w:rsidRPr="0054062D" w:rsidRDefault="00267882" w:rsidP="00267882">
      <w:pPr>
        <w:pStyle w:val="Header"/>
        <w:tabs>
          <w:tab w:val="clear" w:pos="4513"/>
          <w:tab w:val="clear" w:pos="9026"/>
        </w:tabs>
        <w:spacing w:line="360" w:lineRule="auto"/>
        <w:jc w:val="both"/>
        <w:rPr>
          <w:rFonts w:ascii="Arial" w:hAnsi="Arial" w:cs="Arial"/>
          <w:sz w:val="24"/>
          <w:szCs w:val="24"/>
        </w:rPr>
      </w:pPr>
      <w:r w:rsidRPr="0054062D">
        <w:rPr>
          <w:rFonts w:ascii="Arial" w:hAnsi="Arial" w:cs="Arial"/>
          <w:sz w:val="24"/>
          <w:szCs w:val="24"/>
        </w:rPr>
        <w:t>2</w:t>
      </w:r>
      <w:bookmarkStart w:id="0" w:name="_GoBack"/>
      <w:bookmarkEnd w:id="0"/>
      <w:r w:rsidRPr="0054062D">
        <w:rPr>
          <w:rFonts w:ascii="Arial" w:hAnsi="Arial" w:cs="Arial"/>
          <w:sz w:val="24"/>
          <w:szCs w:val="24"/>
        </w:rPr>
        <w:tab/>
      </w:r>
      <w:r w:rsidR="002A78DA" w:rsidRPr="0054062D">
        <w:rPr>
          <w:rFonts w:ascii="Arial" w:hAnsi="Arial" w:cs="Arial"/>
          <w:sz w:val="24"/>
          <w:szCs w:val="24"/>
        </w:rPr>
        <w:t xml:space="preserve">The order of the high court is set aside and replaced with the following: </w:t>
      </w:r>
    </w:p>
    <w:p w14:paraId="1E2676D3" w14:textId="77777777" w:rsidR="002A78DA" w:rsidRPr="0054062D" w:rsidRDefault="002A78DA" w:rsidP="002A78DA">
      <w:pPr>
        <w:pStyle w:val="Header"/>
        <w:tabs>
          <w:tab w:val="clear" w:pos="4513"/>
          <w:tab w:val="clear" w:pos="9026"/>
        </w:tabs>
        <w:spacing w:line="360" w:lineRule="auto"/>
        <w:ind w:left="720"/>
        <w:jc w:val="both"/>
        <w:rPr>
          <w:rFonts w:ascii="Arial" w:hAnsi="Arial" w:cs="Arial"/>
          <w:sz w:val="24"/>
          <w:szCs w:val="24"/>
        </w:rPr>
      </w:pPr>
      <w:r w:rsidRPr="0054062D">
        <w:rPr>
          <w:rFonts w:ascii="Arial" w:hAnsi="Arial" w:cs="Arial"/>
          <w:sz w:val="24"/>
          <w:szCs w:val="24"/>
        </w:rPr>
        <w:t>‘1.</w:t>
      </w:r>
      <w:r w:rsidRPr="0054062D">
        <w:rPr>
          <w:rFonts w:ascii="Arial" w:hAnsi="Arial" w:cs="Arial"/>
          <w:sz w:val="24"/>
          <w:szCs w:val="24"/>
        </w:rPr>
        <w:tab/>
        <w:t>It is declared that the proceeds of the Absa current account, the sale of the vehicle and the debt collected from Dr Rita Nel, as reflected in the First Annual Curator’s Account in respect of the patient J H J van Dyk (Ref: MC751/2017), are correctly reflected as income and that these assets are not capital assets in the patient’s estate.</w:t>
      </w:r>
    </w:p>
    <w:p w14:paraId="44A93380" w14:textId="314A96CD" w:rsidR="002A78DA" w:rsidRPr="0054062D" w:rsidRDefault="00267882" w:rsidP="00267882">
      <w:pPr>
        <w:pStyle w:val="Header"/>
        <w:tabs>
          <w:tab w:val="clear" w:pos="4513"/>
          <w:tab w:val="clear" w:pos="9026"/>
        </w:tabs>
        <w:spacing w:line="360" w:lineRule="auto"/>
        <w:ind w:left="709" w:firstLine="11"/>
        <w:jc w:val="both"/>
        <w:rPr>
          <w:rFonts w:ascii="Arial" w:hAnsi="Arial" w:cs="Arial"/>
          <w:sz w:val="24"/>
          <w:szCs w:val="24"/>
        </w:rPr>
      </w:pPr>
      <w:r w:rsidRPr="0054062D">
        <w:rPr>
          <w:rFonts w:ascii="Arial" w:hAnsi="Arial" w:cs="Arial"/>
          <w:sz w:val="24"/>
          <w:szCs w:val="24"/>
        </w:rPr>
        <w:t>2.</w:t>
      </w:r>
      <w:r w:rsidRPr="0054062D">
        <w:rPr>
          <w:rFonts w:ascii="Arial" w:hAnsi="Arial" w:cs="Arial"/>
          <w:sz w:val="24"/>
          <w:szCs w:val="24"/>
        </w:rPr>
        <w:tab/>
      </w:r>
      <w:r w:rsidR="002A78DA" w:rsidRPr="0054062D">
        <w:rPr>
          <w:rFonts w:ascii="Arial" w:hAnsi="Arial" w:cs="Arial"/>
          <w:sz w:val="24"/>
          <w:szCs w:val="24"/>
        </w:rPr>
        <w:t xml:space="preserve">A curator </w:t>
      </w:r>
      <w:r w:rsidR="002A78DA" w:rsidRPr="0054062D">
        <w:rPr>
          <w:rFonts w:ascii="Arial" w:hAnsi="Arial" w:cs="Arial"/>
          <w:i/>
          <w:sz w:val="24"/>
          <w:szCs w:val="24"/>
        </w:rPr>
        <w:t>bonis</w:t>
      </w:r>
      <w:r w:rsidR="002A78DA" w:rsidRPr="0054062D">
        <w:rPr>
          <w:rFonts w:ascii="Arial" w:hAnsi="Arial" w:cs="Arial"/>
          <w:sz w:val="24"/>
          <w:szCs w:val="24"/>
        </w:rPr>
        <w:t xml:space="preserve"> is entitled to a 6% fee on all funds reflected in the income account of an annual curators’ account as collected or actually collected, regardless of the origin thereof.</w:t>
      </w:r>
    </w:p>
    <w:p w14:paraId="01D17E32" w14:textId="3645DD61" w:rsidR="000D0870" w:rsidRPr="0054062D" w:rsidRDefault="00267882" w:rsidP="00267882">
      <w:pPr>
        <w:pStyle w:val="Header"/>
        <w:tabs>
          <w:tab w:val="clear" w:pos="4513"/>
          <w:tab w:val="clear" w:pos="9026"/>
        </w:tabs>
        <w:spacing w:line="360" w:lineRule="auto"/>
        <w:ind w:left="709" w:firstLine="11"/>
        <w:jc w:val="both"/>
        <w:rPr>
          <w:rFonts w:ascii="Times New Roman" w:hAnsi="Times New Roman" w:cs="Times New Roman"/>
          <w:sz w:val="28"/>
          <w:szCs w:val="28"/>
        </w:rPr>
      </w:pPr>
      <w:r w:rsidRPr="0054062D">
        <w:rPr>
          <w:rFonts w:ascii="Arial" w:hAnsi="Arial" w:cs="Arial"/>
          <w:sz w:val="24"/>
          <w:szCs w:val="24"/>
        </w:rPr>
        <w:t>3.</w:t>
      </w:r>
      <w:r w:rsidRPr="0054062D">
        <w:rPr>
          <w:rFonts w:ascii="Arial" w:hAnsi="Arial" w:cs="Arial"/>
          <w:sz w:val="24"/>
          <w:szCs w:val="24"/>
        </w:rPr>
        <w:tab/>
      </w:r>
      <w:r w:rsidR="002A78DA" w:rsidRPr="0054062D">
        <w:rPr>
          <w:rFonts w:ascii="Arial" w:hAnsi="Arial" w:cs="Arial"/>
          <w:sz w:val="24"/>
          <w:szCs w:val="24"/>
        </w:rPr>
        <w:t>The respondent is ordered to pay the costs of this application, which includes the costs of two counsel where so employed.’</w:t>
      </w:r>
    </w:p>
    <w:p w14:paraId="5CE2F4F1" w14:textId="77777777" w:rsidR="000D0870" w:rsidRPr="0054062D" w:rsidRDefault="000D0870" w:rsidP="000D0870">
      <w:pPr>
        <w:pStyle w:val="ListBullet"/>
        <w:numPr>
          <w:ilvl w:val="0"/>
          <w:numId w:val="0"/>
        </w:numPr>
        <w:spacing w:after="0" w:line="360" w:lineRule="auto"/>
        <w:jc w:val="both"/>
        <w:rPr>
          <w:rFonts w:ascii="Arial" w:hAnsi="Arial" w:cs="Arial"/>
          <w:b/>
          <w:sz w:val="24"/>
          <w:szCs w:val="24"/>
        </w:rPr>
      </w:pPr>
      <w:r w:rsidRPr="0054062D">
        <w:rPr>
          <w:rFonts w:ascii="Arial" w:hAnsi="Arial" w:cs="Arial"/>
          <w:b/>
          <w:sz w:val="24"/>
          <w:szCs w:val="24"/>
        </w:rPr>
        <w:t>___________________________________________________________________</w:t>
      </w:r>
    </w:p>
    <w:p w14:paraId="09DBA4E9" w14:textId="77777777" w:rsidR="000D0870" w:rsidRPr="0054062D" w:rsidRDefault="000D0870" w:rsidP="000D0870">
      <w:pPr>
        <w:pStyle w:val="ListBullet"/>
        <w:numPr>
          <w:ilvl w:val="0"/>
          <w:numId w:val="0"/>
        </w:numPr>
        <w:spacing w:after="0" w:line="360" w:lineRule="auto"/>
        <w:jc w:val="center"/>
        <w:rPr>
          <w:rFonts w:ascii="Arial" w:hAnsi="Arial" w:cs="Arial"/>
          <w:b/>
          <w:sz w:val="24"/>
          <w:szCs w:val="24"/>
        </w:rPr>
      </w:pPr>
    </w:p>
    <w:p w14:paraId="4A524394" w14:textId="77777777" w:rsidR="000D0870" w:rsidRPr="0054062D" w:rsidRDefault="000D0870" w:rsidP="000D0870">
      <w:pPr>
        <w:pStyle w:val="ListBullet"/>
        <w:numPr>
          <w:ilvl w:val="0"/>
          <w:numId w:val="0"/>
        </w:numPr>
        <w:spacing w:after="0" w:line="360" w:lineRule="auto"/>
        <w:jc w:val="center"/>
        <w:rPr>
          <w:rFonts w:ascii="Arial" w:hAnsi="Arial" w:cs="Arial"/>
          <w:b/>
          <w:sz w:val="24"/>
          <w:szCs w:val="24"/>
        </w:rPr>
      </w:pPr>
      <w:r w:rsidRPr="0054062D">
        <w:rPr>
          <w:rFonts w:ascii="Arial" w:hAnsi="Arial" w:cs="Arial"/>
          <w:b/>
          <w:sz w:val="24"/>
          <w:szCs w:val="24"/>
        </w:rPr>
        <w:t>JUDGMENT</w:t>
      </w:r>
    </w:p>
    <w:p w14:paraId="50F762CD" w14:textId="77777777" w:rsidR="000D0870" w:rsidRPr="0054062D" w:rsidRDefault="000D0870" w:rsidP="000D0870">
      <w:pPr>
        <w:pStyle w:val="ListBullet"/>
        <w:numPr>
          <w:ilvl w:val="0"/>
          <w:numId w:val="0"/>
        </w:numPr>
        <w:spacing w:after="0" w:line="360" w:lineRule="auto"/>
        <w:jc w:val="both"/>
        <w:rPr>
          <w:rFonts w:ascii="Arial" w:hAnsi="Arial" w:cs="Arial"/>
          <w:b/>
          <w:sz w:val="24"/>
          <w:szCs w:val="24"/>
        </w:rPr>
      </w:pPr>
      <w:r w:rsidRPr="0054062D">
        <w:rPr>
          <w:rFonts w:ascii="Arial" w:hAnsi="Arial" w:cs="Arial"/>
          <w:b/>
          <w:sz w:val="24"/>
          <w:szCs w:val="24"/>
        </w:rPr>
        <w:t>___________________________________________________________________</w:t>
      </w:r>
    </w:p>
    <w:p w14:paraId="3D962ABD" w14:textId="77777777" w:rsidR="000D0870" w:rsidRPr="0054062D" w:rsidRDefault="000D0870" w:rsidP="000D0870">
      <w:pPr>
        <w:spacing w:before="240" w:line="360" w:lineRule="auto"/>
        <w:jc w:val="both"/>
        <w:rPr>
          <w:rFonts w:ascii="Arial" w:hAnsi="Arial" w:cs="Arial"/>
          <w:b/>
          <w:sz w:val="24"/>
          <w:szCs w:val="24"/>
        </w:rPr>
      </w:pPr>
      <w:r w:rsidRPr="0054062D">
        <w:rPr>
          <w:rFonts w:ascii="Arial" w:hAnsi="Arial" w:cs="Arial"/>
          <w:b/>
          <w:sz w:val="24"/>
          <w:szCs w:val="24"/>
        </w:rPr>
        <w:t>Carelse JA (Saldulker and Mbatha JJA and Nhlangulela and Windell AJJA concurring):</w:t>
      </w:r>
    </w:p>
    <w:p w14:paraId="44F26D73" w14:textId="7312E0C5"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[1]</w:t>
      </w:r>
      <w:r w:rsidRPr="0054062D">
        <w:rPr>
          <w:rFonts w:ascii="Arial" w:hAnsi="Arial" w:cs="Arial"/>
          <w:sz w:val="24"/>
          <w:szCs w:val="24"/>
        </w:rPr>
        <w:tab/>
      </w:r>
      <w:r w:rsidR="000D0870" w:rsidRPr="00267882">
        <w:rPr>
          <w:rFonts w:ascii="Arial" w:hAnsi="Arial" w:cs="Arial"/>
          <w:sz w:val="24"/>
          <w:szCs w:val="24"/>
        </w:rPr>
        <w:t>This is an appeal against the judgment of the Gauteng Division of the High Court, Pretoria, per Skosana AJ (the high court).</w:t>
      </w:r>
      <w:r w:rsidR="000212FE" w:rsidRPr="00267882">
        <w:rPr>
          <w:rFonts w:ascii="Arial" w:hAnsi="Arial" w:cs="Arial"/>
          <w:sz w:val="24"/>
          <w:szCs w:val="24"/>
        </w:rPr>
        <w:t xml:space="preserve"> </w:t>
      </w:r>
      <w:r w:rsidR="000D0870" w:rsidRPr="00267882">
        <w:rPr>
          <w:rFonts w:ascii="Arial" w:hAnsi="Arial" w:cs="Arial"/>
          <w:sz w:val="24"/>
          <w:szCs w:val="24"/>
        </w:rPr>
        <w:t xml:space="preserve">The high court dismissed an </w:t>
      </w:r>
      <w:r w:rsidR="007A453F" w:rsidRPr="00267882">
        <w:rPr>
          <w:rFonts w:ascii="Arial" w:hAnsi="Arial" w:cs="Arial"/>
          <w:sz w:val="24"/>
          <w:szCs w:val="24"/>
        </w:rPr>
        <w:t>application for</w:t>
      </w:r>
      <w:r w:rsidR="001639D8" w:rsidRPr="00267882">
        <w:rPr>
          <w:rFonts w:ascii="Arial" w:hAnsi="Arial" w:cs="Arial"/>
          <w:sz w:val="24"/>
          <w:szCs w:val="24"/>
        </w:rPr>
        <w:t xml:space="preserve"> declaratory order</w:t>
      </w:r>
      <w:r w:rsidR="007A453F" w:rsidRPr="00267882">
        <w:rPr>
          <w:rFonts w:ascii="Arial" w:hAnsi="Arial" w:cs="Arial"/>
          <w:sz w:val="24"/>
          <w:szCs w:val="24"/>
        </w:rPr>
        <w:t>s</w:t>
      </w:r>
      <w:r w:rsidR="001639D8" w:rsidRPr="00267882">
        <w:rPr>
          <w:rFonts w:ascii="Arial" w:hAnsi="Arial" w:cs="Arial"/>
          <w:sz w:val="24"/>
          <w:szCs w:val="24"/>
        </w:rPr>
        <w:t xml:space="preserve"> </w:t>
      </w:r>
      <w:r w:rsidR="000D0870" w:rsidRPr="00267882">
        <w:rPr>
          <w:rFonts w:ascii="Arial" w:hAnsi="Arial" w:cs="Arial"/>
          <w:sz w:val="24"/>
          <w:szCs w:val="24"/>
        </w:rPr>
        <w:t>by the appellants, the curator</w:t>
      </w:r>
      <w:r w:rsidR="008439D2" w:rsidRPr="00267882">
        <w:rPr>
          <w:rFonts w:ascii="Arial" w:hAnsi="Arial" w:cs="Arial"/>
          <w:sz w:val="24"/>
          <w:szCs w:val="24"/>
        </w:rPr>
        <w:t>s</w:t>
      </w:r>
      <w:r w:rsidR="000D0870" w:rsidRPr="00267882">
        <w:rPr>
          <w:rFonts w:ascii="Arial" w:hAnsi="Arial" w:cs="Arial"/>
          <w:sz w:val="24"/>
          <w:szCs w:val="24"/>
        </w:rPr>
        <w:t xml:space="preserve"> </w:t>
      </w:r>
      <w:r w:rsidR="000D0870" w:rsidRPr="00267882">
        <w:rPr>
          <w:rFonts w:ascii="Arial" w:hAnsi="Arial" w:cs="Arial"/>
          <w:i/>
          <w:iCs/>
          <w:sz w:val="24"/>
          <w:szCs w:val="24"/>
        </w:rPr>
        <w:t>boni</w:t>
      </w:r>
      <w:r w:rsidR="008439D2" w:rsidRPr="00267882">
        <w:rPr>
          <w:rFonts w:ascii="Arial" w:hAnsi="Arial" w:cs="Arial"/>
          <w:i/>
          <w:iCs/>
          <w:sz w:val="24"/>
          <w:szCs w:val="24"/>
        </w:rPr>
        <w:t>s</w:t>
      </w:r>
      <w:r w:rsidR="000D0870" w:rsidRPr="00267882">
        <w:rPr>
          <w:rFonts w:ascii="Arial" w:hAnsi="Arial" w:cs="Arial"/>
          <w:sz w:val="24"/>
          <w:szCs w:val="24"/>
        </w:rPr>
        <w:t xml:space="preserve"> of Ms Johanna Helena Josina </w:t>
      </w:r>
      <w:r w:rsidR="007A453F" w:rsidRPr="00267882">
        <w:rPr>
          <w:rFonts w:ascii="Arial" w:hAnsi="Arial" w:cs="Arial"/>
          <w:sz w:val="24"/>
          <w:szCs w:val="24"/>
        </w:rPr>
        <w:t>v</w:t>
      </w:r>
      <w:r w:rsidR="000D0870" w:rsidRPr="00267882">
        <w:rPr>
          <w:rFonts w:ascii="Arial" w:hAnsi="Arial" w:cs="Arial"/>
          <w:sz w:val="24"/>
          <w:szCs w:val="24"/>
        </w:rPr>
        <w:t xml:space="preserve">an </w:t>
      </w:r>
      <w:r w:rsidR="00001AC3" w:rsidRPr="00267882">
        <w:rPr>
          <w:rFonts w:ascii="Arial" w:hAnsi="Arial" w:cs="Arial"/>
          <w:sz w:val="24"/>
          <w:szCs w:val="24"/>
        </w:rPr>
        <w:t>D</w:t>
      </w:r>
      <w:r w:rsidR="000D0870" w:rsidRPr="00267882">
        <w:rPr>
          <w:rFonts w:ascii="Arial" w:hAnsi="Arial" w:cs="Arial"/>
          <w:sz w:val="24"/>
          <w:szCs w:val="24"/>
        </w:rPr>
        <w:t xml:space="preserve">yk (the patient), </w:t>
      </w:r>
      <w:r w:rsidR="001639D8" w:rsidRPr="00267882">
        <w:rPr>
          <w:rFonts w:ascii="Arial" w:hAnsi="Arial" w:cs="Arial"/>
          <w:sz w:val="24"/>
          <w:szCs w:val="24"/>
        </w:rPr>
        <w:t>a</w:t>
      </w:r>
      <w:r w:rsidR="000D0870" w:rsidRPr="00267882">
        <w:rPr>
          <w:rFonts w:ascii="Arial" w:hAnsi="Arial" w:cs="Arial"/>
          <w:sz w:val="24"/>
          <w:szCs w:val="24"/>
        </w:rPr>
        <w:t>gainst the respondent, the Master of the High Court, Pretoria</w:t>
      </w:r>
      <w:r w:rsidR="007A453F" w:rsidRPr="00267882">
        <w:rPr>
          <w:rFonts w:ascii="Arial" w:hAnsi="Arial" w:cs="Arial"/>
          <w:sz w:val="24"/>
          <w:szCs w:val="24"/>
        </w:rPr>
        <w:t>.</w:t>
      </w:r>
      <w:r w:rsidR="000E76F4" w:rsidRPr="00267882">
        <w:rPr>
          <w:rFonts w:ascii="Arial" w:hAnsi="Arial" w:cs="Arial"/>
          <w:sz w:val="24"/>
          <w:szCs w:val="24"/>
        </w:rPr>
        <w:t xml:space="preserve"> The declaratory orders involved the consideration </w:t>
      </w:r>
      <w:r w:rsidR="00853D1D" w:rsidRPr="00267882">
        <w:rPr>
          <w:rFonts w:ascii="Arial" w:hAnsi="Arial" w:cs="Arial"/>
          <w:sz w:val="24"/>
          <w:szCs w:val="24"/>
        </w:rPr>
        <w:t>of ss</w:t>
      </w:r>
      <w:r w:rsidR="000D0870" w:rsidRPr="00267882">
        <w:rPr>
          <w:rFonts w:ascii="Arial" w:hAnsi="Arial" w:cs="Arial"/>
          <w:sz w:val="24"/>
          <w:szCs w:val="24"/>
        </w:rPr>
        <w:t xml:space="preserve"> 83 and 84 of </w:t>
      </w:r>
      <w:r w:rsidR="000D0870" w:rsidRPr="00267882">
        <w:rPr>
          <w:rFonts w:ascii="Arial" w:hAnsi="Arial" w:cs="Arial"/>
          <w:sz w:val="24"/>
          <w:szCs w:val="24"/>
        </w:rPr>
        <w:lastRenderedPageBreak/>
        <w:t>the Administration of Estates Act 66 of 1965 (the Act), read with regulations 7 and 8, promulgated under s 103 of the Act</w:t>
      </w:r>
      <w:r w:rsidR="00AF256D" w:rsidRPr="00267882">
        <w:rPr>
          <w:rFonts w:ascii="Arial" w:hAnsi="Arial" w:cs="Arial"/>
          <w:sz w:val="24"/>
          <w:szCs w:val="24"/>
        </w:rPr>
        <w:t>.</w:t>
      </w:r>
      <w:r w:rsidR="000D0870" w:rsidRPr="0054062D">
        <w:rPr>
          <w:rStyle w:val="FootnoteReference"/>
          <w:rFonts w:ascii="Arial" w:hAnsi="Arial" w:cs="Arial"/>
          <w:sz w:val="24"/>
          <w:szCs w:val="24"/>
        </w:rPr>
        <w:footnoteReference w:id="1"/>
      </w:r>
      <w:r w:rsidR="00AF256D" w:rsidRPr="00267882">
        <w:rPr>
          <w:rFonts w:ascii="Arial" w:hAnsi="Arial" w:cs="Arial"/>
          <w:sz w:val="24"/>
          <w:szCs w:val="24"/>
        </w:rPr>
        <w:t xml:space="preserve"> </w:t>
      </w:r>
      <w:r w:rsidR="000D0870" w:rsidRPr="00267882">
        <w:rPr>
          <w:rFonts w:ascii="Arial" w:hAnsi="Arial" w:cs="Arial"/>
          <w:sz w:val="24"/>
          <w:szCs w:val="24"/>
        </w:rPr>
        <w:t>The appeal is with leave of the high court.</w:t>
      </w:r>
    </w:p>
    <w:p w14:paraId="235DB7FC" w14:textId="77777777" w:rsidR="000D0870" w:rsidRPr="0054062D" w:rsidRDefault="000D0870" w:rsidP="0016576C">
      <w:pPr>
        <w:pStyle w:val="ListParagraph"/>
        <w:spacing w:after="0" w:line="360" w:lineRule="auto"/>
        <w:jc w:val="both"/>
        <w:rPr>
          <w:rFonts w:ascii="Arial" w:hAnsi="Arial" w:cs="Arial"/>
          <w:sz w:val="24"/>
          <w:szCs w:val="24"/>
        </w:rPr>
      </w:pPr>
      <w:r w:rsidRPr="0054062D">
        <w:rPr>
          <w:rFonts w:ascii="Arial" w:hAnsi="Arial" w:cs="Arial"/>
          <w:sz w:val="24"/>
          <w:szCs w:val="24"/>
        </w:rPr>
        <w:t xml:space="preserve"> </w:t>
      </w:r>
    </w:p>
    <w:p w14:paraId="5D6804E7" w14:textId="4DA84511"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[2]</w:t>
      </w:r>
      <w:r w:rsidRPr="0054062D">
        <w:rPr>
          <w:rFonts w:ascii="Arial" w:hAnsi="Arial" w:cs="Arial"/>
          <w:sz w:val="24"/>
          <w:szCs w:val="24"/>
        </w:rPr>
        <w:tab/>
      </w:r>
      <w:r w:rsidR="00853D1D" w:rsidRPr="00267882">
        <w:rPr>
          <w:rFonts w:ascii="Arial" w:hAnsi="Arial" w:cs="Arial"/>
          <w:sz w:val="24"/>
          <w:szCs w:val="24"/>
        </w:rPr>
        <w:t>On 8 June 2018, a court order was granted declaring the patient of unsound mind and incapable of managing her affairs in terms of rule 57 of the Uniform Rules of Court.</w:t>
      </w:r>
      <w:r w:rsidR="00853D1D" w:rsidRPr="0054062D">
        <w:rPr>
          <w:rStyle w:val="FootnoteReference"/>
          <w:rFonts w:ascii="Arial" w:hAnsi="Arial" w:cs="Arial"/>
          <w:sz w:val="24"/>
          <w:szCs w:val="24"/>
        </w:rPr>
        <w:footnoteReference w:id="2"/>
      </w:r>
      <w:r w:rsidR="00853D1D" w:rsidRPr="00267882">
        <w:rPr>
          <w:rFonts w:ascii="Arial" w:hAnsi="Arial" w:cs="Arial"/>
          <w:sz w:val="24"/>
          <w:szCs w:val="24"/>
        </w:rPr>
        <w:t xml:space="preserve"> On 13 June 2018, Mr W F Bouwer, a male practising attorney and </w:t>
      </w:r>
      <w:r w:rsidR="00C7392C" w:rsidRPr="00267882">
        <w:rPr>
          <w:rFonts w:ascii="Arial" w:hAnsi="Arial" w:cs="Arial"/>
          <w:sz w:val="24"/>
          <w:szCs w:val="24"/>
        </w:rPr>
        <w:t xml:space="preserve">Annali Christelle </w:t>
      </w:r>
      <w:r w:rsidR="00853D1D" w:rsidRPr="00267882">
        <w:rPr>
          <w:rFonts w:ascii="Arial" w:hAnsi="Arial" w:cs="Arial"/>
          <w:sz w:val="24"/>
          <w:szCs w:val="24"/>
        </w:rPr>
        <w:t xml:space="preserve">Basson, a Judge of the Gauteng Division of the High Court, Pretoria, were appointed co-curators </w:t>
      </w:r>
      <w:r w:rsidR="00853D1D" w:rsidRPr="00267882">
        <w:rPr>
          <w:rFonts w:ascii="Arial" w:hAnsi="Arial" w:cs="Arial"/>
          <w:i/>
          <w:sz w:val="24"/>
          <w:szCs w:val="24"/>
        </w:rPr>
        <w:t>boni</w:t>
      </w:r>
      <w:r w:rsidR="00AF256D" w:rsidRPr="00267882">
        <w:rPr>
          <w:rFonts w:ascii="Arial" w:hAnsi="Arial" w:cs="Arial"/>
          <w:i/>
          <w:sz w:val="24"/>
          <w:szCs w:val="24"/>
        </w:rPr>
        <w:t>s</w:t>
      </w:r>
      <w:r w:rsidR="00853D1D" w:rsidRPr="00267882">
        <w:rPr>
          <w:rFonts w:ascii="Arial" w:hAnsi="Arial" w:cs="Arial"/>
          <w:sz w:val="24"/>
          <w:szCs w:val="24"/>
        </w:rPr>
        <w:t>, the first and second appellants respectively. The second appellant is</w:t>
      </w:r>
      <w:r w:rsidR="00853D1D" w:rsidRPr="00267882">
        <w:rPr>
          <w:rFonts w:ascii="Arial" w:hAnsi="Arial" w:cs="Arial"/>
          <w:b/>
          <w:sz w:val="24"/>
          <w:szCs w:val="24"/>
        </w:rPr>
        <w:t xml:space="preserve"> </w:t>
      </w:r>
      <w:r w:rsidR="00853D1D" w:rsidRPr="00267882">
        <w:rPr>
          <w:rFonts w:ascii="Arial" w:hAnsi="Arial" w:cs="Arial"/>
          <w:sz w:val="24"/>
          <w:szCs w:val="24"/>
        </w:rPr>
        <w:t>the daughter of the patient. The respondent is the Master of the High Court, Pretoria.</w:t>
      </w:r>
    </w:p>
    <w:p w14:paraId="7A910142" w14:textId="77777777" w:rsidR="000D0870" w:rsidRPr="0054062D" w:rsidRDefault="000D0870" w:rsidP="0016576C">
      <w:pPr>
        <w:pStyle w:val="ListParagraph"/>
        <w:spacing w:after="0" w:line="360" w:lineRule="auto"/>
        <w:jc w:val="both"/>
        <w:rPr>
          <w:rFonts w:ascii="Arial" w:hAnsi="Arial" w:cs="Arial"/>
          <w:sz w:val="24"/>
          <w:szCs w:val="24"/>
        </w:rPr>
      </w:pPr>
    </w:p>
    <w:p w14:paraId="27EA3E09" w14:textId="6E88441E"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[3]</w:t>
      </w:r>
      <w:r w:rsidRPr="0054062D">
        <w:rPr>
          <w:rFonts w:ascii="Arial" w:hAnsi="Arial" w:cs="Arial"/>
          <w:sz w:val="24"/>
          <w:szCs w:val="24"/>
        </w:rPr>
        <w:tab/>
      </w:r>
      <w:r w:rsidR="000D0870" w:rsidRPr="00267882">
        <w:rPr>
          <w:rFonts w:ascii="Arial" w:hAnsi="Arial" w:cs="Arial"/>
          <w:sz w:val="24"/>
          <w:szCs w:val="24"/>
        </w:rPr>
        <w:t>In terms of s 83 of the Act, a curator is obliged to lodge</w:t>
      </w:r>
      <w:r w:rsidR="003C1EF5" w:rsidRPr="00267882">
        <w:rPr>
          <w:rFonts w:ascii="Arial" w:hAnsi="Arial" w:cs="Arial"/>
          <w:sz w:val="24"/>
          <w:szCs w:val="24"/>
        </w:rPr>
        <w:t xml:space="preserve"> </w:t>
      </w:r>
      <w:r w:rsidR="00853D1D" w:rsidRPr="00267882">
        <w:rPr>
          <w:rFonts w:ascii="Arial" w:hAnsi="Arial" w:cs="Arial"/>
          <w:sz w:val="24"/>
          <w:szCs w:val="24"/>
        </w:rPr>
        <w:t>annually ‘</w:t>
      </w:r>
      <w:r w:rsidR="000D0870" w:rsidRPr="00267882">
        <w:rPr>
          <w:rFonts w:ascii="Arial" w:hAnsi="Arial" w:cs="Arial"/>
          <w:sz w:val="24"/>
          <w:szCs w:val="24"/>
        </w:rPr>
        <w:t>a complete account in the prescribed form of his administration’. Section 83 of the Act provides:</w:t>
      </w:r>
    </w:p>
    <w:p w14:paraId="605A98E3" w14:textId="6084206F" w:rsidR="000D0870" w:rsidRPr="0054062D" w:rsidRDefault="000D0870" w:rsidP="0016576C">
      <w:pPr>
        <w:spacing w:after="0" w:line="360" w:lineRule="auto"/>
        <w:jc w:val="both"/>
        <w:rPr>
          <w:rFonts w:ascii="Arial" w:hAnsi="Arial" w:cs="Arial"/>
        </w:rPr>
      </w:pPr>
      <w:r w:rsidRPr="0054062D">
        <w:rPr>
          <w:rFonts w:ascii="Arial" w:hAnsi="Arial" w:cs="Arial"/>
        </w:rPr>
        <w:t>‘(1)</w:t>
      </w:r>
      <w:r w:rsidRPr="0054062D">
        <w:rPr>
          <w:rFonts w:ascii="Arial" w:hAnsi="Arial" w:cs="Arial"/>
        </w:rPr>
        <w:tab/>
        <w:t>Every tutor or curator shall-</w:t>
      </w:r>
    </w:p>
    <w:p w14:paraId="0EA83075" w14:textId="0CC0A9BE" w:rsidR="000D0870" w:rsidRPr="0054062D" w:rsidRDefault="000D0870" w:rsidP="0016576C">
      <w:pPr>
        <w:spacing w:after="0" w:line="360" w:lineRule="auto"/>
        <w:jc w:val="both"/>
        <w:rPr>
          <w:rFonts w:ascii="Arial" w:hAnsi="Arial" w:cs="Arial"/>
        </w:rPr>
      </w:pPr>
      <w:r w:rsidRPr="0054062D">
        <w:rPr>
          <w:rFonts w:ascii="Arial" w:hAnsi="Arial" w:cs="Arial"/>
          <w:i/>
        </w:rPr>
        <w:t>(a)</w:t>
      </w:r>
      <w:r w:rsidRPr="0054062D">
        <w:rPr>
          <w:rFonts w:ascii="Arial" w:hAnsi="Arial" w:cs="Arial"/>
        </w:rPr>
        <w:tab/>
        <w:t>on or before the date in every year which the Master may in each case determine, lodge with the Master a complete account in the prescribed form of his administration during the year ending upon a date three months prior to the date so determined, supported by vouchers, receipts and acquittances and including a statement of all property under his control at the end of such last-mentioned year, and if he carries on any business or undertaking in his capacity as tutor or curator, also a statement relating to such business or undertaking; and</w:t>
      </w:r>
    </w:p>
    <w:p w14:paraId="6557B2DF" w14:textId="77777777" w:rsidR="000D0870" w:rsidRPr="0054062D" w:rsidRDefault="000D0870" w:rsidP="0016576C">
      <w:pPr>
        <w:spacing w:after="0" w:line="360" w:lineRule="auto"/>
        <w:jc w:val="both"/>
        <w:rPr>
          <w:rFonts w:ascii="Arial" w:hAnsi="Arial" w:cs="Arial"/>
        </w:rPr>
      </w:pPr>
      <w:r w:rsidRPr="0054062D">
        <w:rPr>
          <w:rFonts w:ascii="Arial" w:hAnsi="Arial" w:cs="Arial"/>
          <w:i/>
        </w:rPr>
        <w:t>(b)</w:t>
      </w:r>
      <w:r w:rsidRPr="0054062D">
        <w:rPr>
          <w:rFonts w:ascii="Arial" w:hAnsi="Arial" w:cs="Arial"/>
        </w:rPr>
        <w:t xml:space="preserve"> </w:t>
      </w:r>
      <w:r w:rsidRPr="0054062D">
        <w:rPr>
          <w:rFonts w:ascii="Arial" w:hAnsi="Arial" w:cs="Arial"/>
        </w:rPr>
        <w:tab/>
        <w:t>if required to do so by the Master by notice in writing, produce, within a period specified in the notice, for inspection by the Master or by any person nominated by him for the purpose, any securities held by him as tutor or curator.</w:t>
      </w:r>
    </w:p>
    <w:p w14:paraId="707601F4" w14:textId="662BFD24" w:rsidR="000D0870" w:rsidRPr="0054062D" w:rsidRDefault="000D0870" w:rsidP="0016576C">
      <w:pPr>
        <w:spacing w:after="0" w:line="360" w:lineRule="auto"/>
        <w:jc w:val="both"/>
        <w:rPr>
          <w:rFonts w:ascii="Arial" w:hAnsi="Arial" w:cs="Arial"/>
        </w:rPr>
      </w:pPr>
      <w:r w:rsidRPr="0054062D">
        <w:rPr>
          <w:rFonts w:ascii="Arial" w:hAnsi="Arial" w:cs="Arial"/>
        </w:rPr>
        <w:t xml:space="preserve">(2) </w:t>
      </w:r>
      <w:r w:rsidRPr="0054062D">
        <w:rPr>
          <w:rFonts w:ascii="Arial" w:hAnsi="Arial" w:cs="Arial"/>
        </w:rPr>
        <w:tab/>
        <w:t>Any person who ceases to be tutor or curator shall, not later than thirty days thereafter, or within such further period as the Master may allow, lodge with the Master a complete account, in the prescribed form, of his administration between the date up to which his last account was rendered under subsection (1) and the date on which he ceased to be tutor or curator, supported by vouchers, receipts and acqu</w:t>
      </w:r>
      <w:r w:rsidR="00EA59E1" w:rsidRPr="0054062D">
        <w:rPr>
          <w:rFonts w:ascii="Arial" w:hAnsi="Arial" w:cs="Arial"/>
        </w:rPr>
        <w:t>it</w:t>
      </w:r>
      <w:r w:rsidRPr="0054062D">
        <w:rPr>
          <w:rFonts w:ascii="Arial" w:hAnsi="Arial" w:cs="Arial"/>
        </w:rPr>
        <w:t>tances, and including a statement of all property under his control immediately before he ceased to be tutor or curator.’</w:t>
      </w:r>
    </w:p>
    <w:p w14:paraId="7A35F1E3" w14:textId="77777777" w:rsidR="000D0870" w:rsidRPr="009C7899" w:rsidRDefault="000D0870" w:rsidP="0016576C">
      <w:pPr>
        <w:spacing w:after="0" w:line="360" w:lineRule="auto"/>
        <w:jc w:val="both"/>
        <w:rPr>
          <w:rFonts w:ascii="Arial" w:hAnsi="Arial" w:cs="Arial"/>
          <w:sz w:val="24"/>
          <w:szCs w:val="24"/>
        </w:rPr>
      </w:pPr>
    </w:p>
    <w:p w14:paraId="028D823C" w14:textId="226D59B9"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lastRenderedPageBreak/>
        <w:t>[4]</w:t>
      </w:r>
      <w:r w:rsidRPr="0054062D">
        <w:rPr>
          <w:rFonts w:ascii="Arial" w:hAnsi="Arial" w:cs="Arial"/>
          <w:sz w:val="24"/>
          <w:szCs w:val="24"/>
        </w:rPr>
        <w:tab/>
      </w:r>
      <w:r w:rsidR="000D0870" w:rsidRPr="00267882">
        <w:rPr>
          <w:rFonts w:ascii="Arial" w:hAnsi="Arial" w:cs="Arial"/>
          <w:sz w:val="24"/>
          <w:szCs w:val="24"/>
        </w:rPr>
        <w:t xml:space="preserve">On 1 July 2019, the first appellant (with the consent of the second appellant) lodged the first curator’s account for the period 2018/2019 with the respondent in the prescribed format set out in regulation 7. Regulation 7 of the Estates Regulations provides: </w:t>
      </w:r>
    </w:p>
    <w:p w14:paraId="09C9F983" w14:textId="77777777" w:rsidR="000D0870" w:rsidRPr="0054062D" w:rsidRDefault="000D0870" w:rsidP="0016576C">
      <w:pPr>
        <w:spacing w:after="0" w:line="360" w:lineRule="auto"/>
        <w:jc w:val="both"/>
        <w:rPr>
          <w:rFonts w:ascii="Arial" w:hAnsi="Arial" w:cs="Arial"/>
        </w:rPr>
      </w:pPr>
      <w:r w:rsidRPr="0054062D">
        <w:rPr>
          <w:rFonts w:ascii="Arial" w:hAnsi="Arial" w:cs="Arial"/>
        </w:rPr>
        <w:t>‘The account referred to in section 83(1) and (2) of the Act shall-</w:t>
      </w:r>
    </w:p>
    <w:p w14:paraId="2475D589" w14:textId="689D5093" w:rsidR="000D0870" w:rsidRPr="00267882" w:rsidRDefault="00267882" w:rsidP="00267882">
      <w:pPr>
        <w:spacing w:after="0" w:line="360" w:lineRule="auto"/>
        <w:jc w:val="both"/>
        <w:rPr>
          <w:rFonts w:ascii="Arial" w:hAnsi="Arial" w:cs="Arial"/>
        </w:rPr>
      </w:pPr>
      <w:r w:rsidRPr="0054062D">
        <w:rPr>
          <w:rFonts w:ascii="Arial" w:hAnsi="Arial" w:cs="Arial"/>
        </w:rPr>
        <w:t>(1)</w:t>
      </w:r>
      <w:r w:rsidRPr="0054062D">
        <w:rPr>
          <w:rFonts w:ascii="Arial" w:hAnsi="Arial" w:cs="Arial"/>
        </w:rPr>
        <w:tab/>
      </w:r>
      <w:r w:rsidR="000D0870" w:rsidRPr="00267882">
        <w:rPr>
          <w:rFonts w:ascii="Arial" w:hAnsi="Arial" w:cs="Arial"/>
        </w:rPr>
        <w:t>contain a heading which shall-</w:t>
      </w:r>
    </w:p>
    <w:p w14:paraId="578DA30E" w14:textId="77777777" w:rsidR="000D0870" w:rsidRPr="0054062D" w:rsidRDefault="000D0870" w:rsidP="0016576C">
      <w:pPr>
        <w:pStyle w:val="ListParagraph"/>
        <w:spacing w:after="0" w:line="360" w:lineRule="auto"/>
        <w:ind w:left="0"/>
        <w:jc w:val="both"/>
        <w:rPr>
          <w:rFonts w:ascii="Arial" w:hAnsi="Arial" w:cs="Arial"/>
        </w:rPr>
      </w:pPr>
      <w:r w:rsidRPr="0054062D">
        <w:rPr>
          <w:rFonts w:ascii="Arial" w:hAnsi="Arial" w:cs="Arial"/>
        </w:rPr>
        <w:t>. . .</w:t>
      </w:r>
    </w:p>
    <w:p w14:paraId="6FB526D0" w14:textId="77777777" w:rsidR="000D0870" w:rsidRPr="0054062D" w:rsidRDefault="000D0870" w:rsidP="0016576C">
      <w:pPr>
        <w:pStyle w:val="ListParagraph"/>
        <w:spacing w:after="0" w:line="360" w:lineRule="auto"/>
        <w:ind w:left="0"/>
        <w:jc w:val="both"/>
        <w:rPr>
          <w:rFonts w:ascii="Arial" w:hAnsi="Arial" w:cs="Arial"/>
        </w:rPr>
      </w:pPr>
      <w:r w:rsidRPr="0054062D">
        <w:rPr>
          <w:rFonts w:ascii="Arial" w:hAnsi="Arial" w:cs="Arial"/>
          <w:i/>
        </w:rPr>
        <w:t>(d)</w:t>
      </w:r>
      <w:r w:rsidRPr="0054062D">
        <w:rPr>
          <w:rFonts w:ascii="Arial" w:hAnsi="Arial" w:cs="Arial"/>
        </w:rPr>
        <w:t xml:space="preserve"> </w:t>
      </w:r>
      <w:r w:rsidRPr="0054062D">
        <w:rPr>
          <w:rFonts w:ascii="Arial" w:hAnsi="Arial" w:cs="Arial"/>
        </w:rPr>
        <w:tab/>
        <w:t>specify the period in respect of which the account is rendered and state whether it is an account in terms of section 83(1) or (2) of the Act; and</w:t>
      </w:r>
    </w:p>
    <w:p w14:paraId="139EF01A" w14:textId="77777777" w:rsidR="000D0870" w:rsidRPr="0054062D" w:rsidRDefault="000D0870" w:rsidP="0016576C">
      <w:pPr>
        <w:pStyle w:val="ListParagraph"/>
        <w:spacing w:after="0" w:line="360" w:lineRule="auto"/>
        <w:ind w:left="0"/>
        <w:jc w:val="both"/>
        <w:rPr>
          <w:rFonts w:ascii="Arial" w:hAnsi="Arial" w:cs="Arial"/>
        </w:rPr>
      </w:pPr>
      <w:r w:rsidRPr="0054062D">
        <w:rPr>
          <w:rFonts w:ascii="Arial" w:hAnsi="Arial" w:cs="Arial"/>
        </w:rPr>
        <w:t xml:space="preserve">. . . </w:t>
      </w:r>
    </w:p>
    <w:p w14:paraId="536DD6B5" w14:textId="77777777" w:rsidR="000D0870" w:rsidRPr="0054062D" w:rsidRDefault="000D0870" w:rsidP="0016576C">
      <w:pPr>
        <w:spacing w:after="0" w:line="360" w:lineRule="auto"/>
        <w:jc w:val="both"/>
        <w:rPr>
          <w:rFonts w:ascii="Arial" w:hAnsi="Arial" w:cs="Arial"/>
        </w:rPr>
      </w:pPr>
      <w:r w:rsidRPr="0054062D">
        <w:rPr>
          <w:rFonts w:ascii="Arial" w:hAnsi="Arial" w:cs="Arial"/>
        </w:rPr>
        <w:t xml:space="preserve">(2) </w:t>
      </w:r>
      <w:r w:rsidRPr="0054062D">
        <w:rPr>
          <w:rFonts w:ascii="Arial" w:hAnsi="Arial" w:cs="Arial"/>
        </w:rPr>
        <w:tab/>
        <w:t>contain a money column;</w:t>
      </w:r>
    </w:p>
    <w:p w14:paraId="37D2BF9C" w14:textId="77777777" w:rsidR="000D0870" w:rsidRPr="0054062D" w:rsidRDefault="000D0870" w:rsidP="0016576C">
      <w:pPr>
        <w:spacing w:after="0" w:line="360" w:lineRule="auto"/>
        <w:jc w:val="both"/>
        <w:rPr>
          <w:rFonts w:ascii="Arial" w:hAnsi="Arial" w:cs="Arial"/>
        </w:rPr>
      </w:pPr>
      <w:r w:rsidRPr="0054062D">
        <w:rPr>
          <w:rFonts w:ascii="Arial" w:hAnsi="Arial" w:cs="Arial"/>
        </w:rPr>
        <w:t xml:space="preserve">(3) </w:t>
      </w:r>
      <w:r w:rsidRPr="0054062D">
        <w:rPr>
          <w:rFonts w:ascii="Arial" w:hAnsi="Arial" w:cs="Arial"/>
        </w:rPr>
        <w:tab/>
        <w:t>specify under a subheading “Income and expenditure account”-</w:t>
      </w:r>
    </w:p>
    <w:p w14:paraId="2B0DA60E" w14:textId="77777777" w:rsidR="000D0870" w:rsidRPr="0054062D" w:rsidRDefault="000D0870" w:rsidP="0016576C">
      <w:pPr>
        <w:spacing w:after="0" w:line="360" w:lineRule="auto"/>
        <w:jc w:val="both"/>
        <w:rPr>
          <w:rFonts w:ascii="Arial" w:hAnsi="Arial" w:cs="Arial"/>
        </w:rPr>
      </w:pPr>
      <w:r w:rsidRPr="0054062D">
        <w:rPr>
          <w:rFonts w:ascii="Arial" w:hAnsi="Arial" w:cs="Arial"/>
        </w:rPr>
        <w:t>. . .</w:t>
      </w:r>
    </w:p>
    <w:p w14:paraId="45A82D85" w14:textId="77777777" w:rsidR="000D0870" w:rsidRPr="0054062D" w:rsidRDefault="000D0870" w:rsidP="0016576C">
      <w:pPr>
        <w:spacing w:after="0" w:line="360" w:lineRule="auto"/>
        <w:jc w:val="both"/>
        <w:rPr>
          <w:rFonts w:ascii="Arial" w:hAnsi="Arial" w:cs="Arial"/>
        </w:rPr>
      </w:pPr>
      <w:r w:rsidRPr="0054062D">
        <w:rPr>
          <w:rFonts w:ascii="Arial" w:hAnsi="Arial" w:cs="Arial"/>
          <w:i/>
        </w:rPr>
        <w:t>(b)</w:t>
      </w:r>
      <w:r w:rsidRPr="0054062D">
        <w:rPr>
          <w:rFonts w:ascii="Arial" w:hAnsi="Arial" w:cs="Arial"/>
        </w:rPr>
        <w:tab/>
        <w:t>all income actually collected reflecting the source from which it is derived;</w:t>
      </w:r>
    </w:p>
    <w:p w14:paraId="5FE71743" w14:textId="77777777" w:rsidR="000D0870" w:rsidRPr="0054062D" w:rsidRDefault="000D0870" w:rsidP="0016576C">
      <w:pPr>
        <w:spacing w:after="0" w:line="360" w:lineRule="auto"/>
        <w:jc w:val="both"/>
        <w:rPr>
          <w:rFonts w:ascii="Arial" w:hAnsi="Arial" w:cs="Arial"/>
        </w:rPr>
      </w:pPr>
      <w:r w:rsidRPr="0054062D">
        <w:rPr>
          <w:rFonts w:ascii="Arial" w:hAnsi="Arial" w:cs="Arial"/>
          <w:i/>
        </w:rPr>
        <w:t>(c)</w:t>
      </w:r>
      <w:r w:rsidRPr="0054062D">
        <w:rPr>
          <w:rFonts w:ascii="Arial" w:hAnsi="Arial" w:cs="Arial"/>
        </w:rPr>
        <w:tab/>
        <w:t>any money transferred from the “Capital Account” referred to in subregulation (4) to meet debts and charges;</w:t>
      </w:r>
    </w:p>
    <w:p w14:paraId="3F745E46" w14:textId="77777777" w:rsidR="000D0870" w:rsidRPr="0054062D" w:rsidRDefault="000D0870" w:rsidP="0016576C">
      <w:pPr>
        <w:spacing w:after="0" w:line="360" w:lineRule="auto"/>
        <w:jc w:val="both"/>
        <w:rPr>
          <w:rFonts w:ascii="Arial" w:hAnsi="Arial" w:cs="Arial"/>
        </w:rPr>
      </w:pPr>
      <w:r w:rsidRPr="0054062D">
        <w:rPr>
          <w:rFonts w:ascii="Arial" w:hAnsi="Arial" w:cs="Arial"/>
        </w:rPr>
        <w:t xml:space="preserve">. . . </w:t>
      </w:r>
    </w:p>
    <w:p w14:paraId="6E5183B6" w14:textId="77777777" w:rsidR="000D0870" w:rsidRPr="0054062D" w:rsidRDefault="000D0870" w:rsidP="0016576C">
      <w:pPr>
        <w:spacing w:after="0" w:line="360" w:lineRule="auto"/>
        <w:jc w:val="both"/>
        <w:rPr>
          <w:rFonts w:ascii="Arial" w:hAnsi="Arial" w:cs="Arial"/>
        </w:rPr>
      </w:pPr>
      <w:r w:rsidRPr="0054062D">
        <w:rPr>
          <w:rFonts w:ascii="Arial" w:hAnsi="Arial" w:cs="Arial"/>
        </w:rPr>
        <w:t xml:space="preserve">(4) </w:t>
      </w:r>
      <w:r w:rsidRPr="0054062D">
        <w:rPr>
          <w:rFonts w:ascii="Arial" w:hAnsi="Arial" w:cs="Arial"/>
        </w:rPr>
        <w:tab/>
        <w:t>specify under a subheading “Capital Account”-</w:t>
      </w:r>
    </w:p>
    <w:p w14:paraId="4836C69E" w14:textId="77777777" w:rsidR="000D0870" w:rsidRPr="0054062D" w:rsidRDefault="000D0870" w:rsidP="0016576C">
      <w:pPr>
        <w:spacing w:after="0" w:line="360" w:lineRule="auto"/>
        <w:jc w:val="both"/>
        <w:rPr>
          <w:rFonts w:ascii="Arial" w:hAnsi="Arial" w:cs="Arial"/>
        </w:rPr>
      </w:pPr>
      <w:r w:rsidRPr="0054062D">
        <w:rPr>
          <w:rFonts w:ascii="Arial" w:hAnsi="Arial" w:cs="Arial"/>
        </w:rPr>
        <w:t xml:space="preserve">. . . </w:t>
      </w:r>
    </w:p>
    <w:p w14:paraId="786E6BA5" w14:textId="77777777" w:rsidR="000D0870" w:rsidRPr="0054062D" w:rsidRDefault="000D0870" w:rsidP="0016576C">
      <w:pPr>
        <w:spacing w:after="0" w:line="360" w:lineRule="auto"/>
        <w:jc w:val="both"/>
        <w:rPr>
          <w:rFonts w:ascii="Arial" w:hAnsi="Arial" w:cs="Arial"/>
        </w:rPr>
      </w:pPr>
      <w:r w:rsidRPr="0054062D">
        <w:rPr>
          <w:rFonts w:ascii="Arial" w:hAnsi="Arial" w:cs="Arial"/>
          <w:i/>
        </w:rPr>
        <w:t>(e)</w:t>
      </w:r>
      <w:r w:rsidRPr="0054062D">
        <w:rPr>
          <w:rFonts w:ascii="Arial" w:hAnsi="Arial" w:cs="Arial"/>
        </w:rPr>
        <w:t xml:space="preserve"> </w:t>
      </w:r>
      <w:r w:rsidRPr="0054062D">
        <w:rPr>
          <w:rFonts w:ascii="Arial" w:hAnsi="Arial" w:cs="Arial"/>
        </w:rPr>
        <w:tab/>
        <w:t>the amount of any capital asset or part thereof realised, with a description of such asset, and the amount of any money transferred to the “Income and Expenditure Account” as provided in subregulation (3)</w:t>
      </w:r>
      <w:r w:rsidRPr="0054062D">
        <w:rPr>
          <w:rFonts w:ascii="Arial" w:hAnsi="Arial" w:cs="Arial"/>
          <w:i/>
        </w:rPr>
        <w:t>(c)</w:t>
      </w:r>
      <w:r w:rsidRPr="0054062D">
        <w:rPr>
          <w:rFonts w:ascii="Arial" w:hAnsi="Arial" w:cs="Arial"/>
        </w:rPr>
        <w:t>, with reasons for such transfer.’</w:t>
      </w:r>
    </w:p>
    <w:p w14:paraId="3F248763" w14:textId="77777777" w:rsidR="000D0870" w:rsidRPr="009C7899" w:rsidRDefault="000D0870" w:rsidP="0016576C">
      <w:pPr>
        <w:spacing w:after="0" w:line="360" w:lineRule="auto"/>
        <w:jc w:val="both"/>
        <w:rPr>
          <w:rFonts w:ascii="Arial" w:hAnsi="Arial" w:cs="Arial"/>
          <w:sz w:val="24"/>
          <w:szCs w:val="24"/>
        </w:rPr>
      </w:pPr>
    </w:p>
    <w:p w14:paraId="776AB0E9" w14:textId="5BD7D903"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[5]</w:t>
      </w:r>
      <w:r w:rsidRPr="0054062D">
        <w:rPr>
          <w:rFonts w:ascii="Arial" w:hAnsi="Arial" w:cs="Arial"/>
          <w:sz w:val="24"/>
          <w:szCs w:val="24"/>
        </w:rPr>
        <w:tab/>
      </w:r>
      <w:r w:rsidR="000D0870" w:rsidRPr="00267882">
        <w:rPr>
          <w:rFonts w:ascii="Arial" w:hAnsi="Arial" w:cs="Arial"/>
          <w:sz w:val="24"/>
          <w:szCs w:val="24"/>
        </w:rPr>
        <w:t xml:space="preserve">According to the first curator’s account, the income reflected in the ‘income and expenditure’ section comprised of the following amounts: interest earned on a Standard Bank account; pension received from the Department of Justice; Government Employees Pension Income; an Absa cheque deposit from an Absa current account; a vehicle that was sold; and a debt collected from a Dr Rita Nel. The Absa current account, the vehicle and the outstanding debt were assets of the patient that were realised by the appellants for the purpose of using the proceeds to cover the patient’s monthly expenses. The total amount realised was R423 084.60. The first curator’s account reflected the total income collected, being R1 311 392.94, wherein provision was made for </w:t>
      </w:r>
      <w:r w:rsidR="00E75C7A" w:rsidRPr="00267882">
        <w:rPr>
          <w:rFonts w:ascii="Arial" w:hAnsi="Arial" w:cs="Arial"/>
          <w:sz w:val="24"/>
          <w:szCs w:val="24"/>
        </w:rPr>
        <w:t>remuneration</w:t>
      </w:r>
      <w:r w:rsidR="000D0870" w:rsidRPr="00267882">
        <w:rPr>
          <w:rFonts w:ascii="Arial" w:hAnsi="Arial" w:cs="Arial"/>
          <w:sz w:val="24"/>
          <w:szCs w:val="24"/>
        </w:rPr>
        <w:t xml:space="preserve"> for the curators at the prescribed tariff provided for in regulation 8(3)</w:t>
      </w:r>
      <w:r w:rsidR="000D0870" w:rsidRPr="00267882">
        <w:rPr>
          <w:rFonts w:ascii="Arial" w:hAnsi="Arial" w:cs="Arial"/>
          <w:i/>
          <w:sz w:val="24"/>
          <w:szCs w:val="24"/>
        </w:rPr>
        <w:t>(a)</w:t>
      </w:r>
      <w:r w:rsidR="000D0870" w:rsidRPr="00267882">
        <w:rPr>
          <w:rFonts w:ascii="Arial" w:hAnsi="Arial" w:cs="Arial"/>
          <w:sz w:val="24"/>
          <w:szCs w:val="24"/>
        </w:rPr>
        <w:t>, being 6% of the total income collected for the period 2018/2019, which was an amount of R78 683.58.</w:t>
      </w:r>
    </w:p>
    <w:p w14:paraId="5311D394" w14:textId="77777777" w:rsidR="000D0870" w:rsidRPr="0054062D" w:rsidRDefault="000D0870" w:rsidP="0016576C">
      <w:pPr>
        <w:pStyle w:val="ListParagraph"/>
        <w:spacing w:after="0" w:line="360" w:lineRule="auto"/>
        <w:jc w:val="both"/>
        <w:rPr>
          <w:rFonts w:ascii="Arial" w:hAnsi="Arial" w:cs="Arial"/>
          <w:sz w:val="24"/>
          <w:szCs w:val="24"/>
        </w:rPr>
      </w:pPr>
    </w:p>
    <w:p w14:paraId="6DEEB532" w14:textId="22C62746"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[6]</w:t>
      </w:r>
      <w:r w:rsidRPr="0054062D">
        <w:rPr>
          <w:rFonts w:ascii="Arial" w:hAnsi="Arial" w:cs="Arial"/>
          <w:sz w:val="24"/>
          <w:szCs w:val="24"/>
        </w:rPr>
        <w:tab/>
      </w:r>
      <w:r w:rsidR="000D0870" w:rsidRPr="00267882">
        <w:rPr>
          <w:rFonts w:ascii="Arial" w:hAnsi="Arial" w:cs="Arial"/>
          <w:sz w:val="24"/>
          <w:szCs w:val="24"/>
        </w:rPr>
        <w:t xml:space="preserve">The respondent disputed </w:t>
      </w:r>
      <w:r w:rsidR="00682395" w:rsidRPr="00267882">
        <w:rPr>
          <w:rFonts w:ascii="Arial" w:hAnsi="Arial" w:cs="Arial"/>
          <w:sz w:val="24"/>
          <w:szCs w:val="24"/>
        </w:rPr>
        <w:t>that the</w:t>
      </w:r>
      <w:r w:rsidR="000D0870" w:rsidRPr="00267882">
        <w:rPr>
          <w:rFonts w:ascii="Arial" w:hAnsi="Arial" w:cs="Arial"/>
          <w:sz w:val="24"/>
          <w:szCs w:val="24"/>
        </w:rPr>
        <w:t xml:space="preserve"> </w:t>
      </w:r>
      <w:r w:rsidR="00FD2F23" w:rsidRPr="00267882">
        <w:rPr>
          <w:rFonts w:ascii="Arial" w:hAnsi="Arial" w:cs="Arial"/>
          <w:sz w:val="24"/>
          <w:szCs w:val="24"/>
        </w:rPr>
        <w:t xml:space="preserve">realised assets </w:t>
      </w:r>
      <w:r w:rsidR="000E2ABA" w:rsidRPr="00267882">
        <w:rPr>
          <w:rFonts w:ascii="Arial" w:hAnsi="Arial" w:cs="Arial"/>
          <w:sz w:val="24"/>
          <w:szCs w:val="24"/>
        </w:rPr>
        <w:t>were correctly</w:t>
      </w:r>
      <w:r w:rsidR="000D0870" w:rsidRPr="00267882">
        <w:rPr>
          <w:rFonts w:ascii="Arial" w:hAnsi="Arial" w:cs="Arial"/>
          <w:sz w:val="24"/>
          <w:szCs w:val="24"/>
        </w:rPr>
        <w:t xml:space="preserve"> reflected as income collected, and alleged that the curators </w:t>
      </w:r>
      <w:r w:rsidR="000D0870" w:rsidRPr="00267882">
        <w:rPr>
          <w:rFonts w:ascii="Arial" w:hAnsi="Arial" w:cs="Arial"/>
          <w:i/>
          <w:sz w:val="24"/>
          <w:szCs w:val="24"/>
        </w:rPr>
        <w:t>boni</w:t>
      </w:r>
      <w:r w:rsidR="00135985" w:rsidRPr="00267882">
        <w:rPr>
          <w:rFonts w:ascii="Arial" w:hAnsi="Arial" w:cs="Arial"/>
          <w:i/>
          <w:sz w:val="24"/>
          <w:szCs w:val="24"/>
        </w:rPr>
        <w:t>s</w:t>
      </w:r>
      <w:r w:rsidR="000D0870" w:rsidRPr="00267882">
        <w:rPr>
          <w:rFonts w:ascii="Arial" w:hAnsi="Arial" w:cs="Arial"/>
          <w:sz w:val="24"/>
          <w:szCs w:val="24"/>
        </w:rPr>
        <w:t xml:space="preserve"> </w:t>
      </w:r>
      <w:r w:rsidR="000E2ABA" w:rsidRPr="00267882">
        <w:rPr>
          <w:rFonts w:ascii="Arial" w:hAnsi="Arial" w:cs="Arial"/>
          <w:sz w:val="24"/>
          <w:szCs w:val="24"/>
        </w:rPr>
        <w:t>were not</w:t>
      </w:r>
      <w:r w:rsidR="000D0870" w:rsidRPr="00267882">
        <w:rPr>
          <w:rFonts w:ascii="Arial" w:hAnsi="Arial" w:cs="Arial"/>
          <w:sz w:val="24"/>
          <w:szCs w:val="24"/>
        </w:rPr>
        <w:t xml:space="preserve"> entitled to </w:t>
      </w:r>
      <w:r w:rsidR="00682395" w:rsidRPr="00267882">
        <w:rPr>
          <w:rFonts w:ascii="Arial" w:hAnsi="Arial" w:cs="Arial"/>
          <w:sz w:val="24"/>
          <w:szCs w:val="24"/>
        </w:rPr>
        <w:t>claim</w:t>
      </w:r>
      <w:r w:rsidR="000D0870" w:rsidRPr="00267882">
        <w:rPr>
          <w:rFonts w:ascii="Arial" w:hAnsi="Arial" w:cs="Arial"/>
          <w:sz w:val="24"/>
          <w:szCs w:val="24"/>
        </w:rPr>
        <w:t xml:space="preserve"> 6% </w:t>
      </w:r>
      <w:r w:rsidR="00AD0FDF" w:rsidRPr="00267882">
        <w:rPr>
          <w:rFonts w:ascii="Arial" w:hAnsi="Arial" w:cs="Arial"/>
          <w:sz w:val="24"/>
          <w:szCs w:val="24"/>
        </w:rPr>
        <w:t>remuneration</w:t>
      </w:r>
      <w:r w:rsidR="000D0870" w:rsidRPr="00267882">
        <w:rPr>
          <w:rFonts w:ascii="Arial" w:hAnsi="Arial" w:cs="Arial"/>
          <w:sz w:val="24"/>
          <w:szCs w:val="24"/>
        </w:rPr>
        <w:t xml:space="preserve"> in respect of the </w:t>
      </w:r>
      <w:r w:rsidR="00F6399C" w:rsidRPr="00267882">
        <w:rPr>
          <w:rFonts w:ascii="Arial" w:hAnsi="Arial" w:cs="Arial"/>
          <w:sz w:val="24"/>
          <w:szCs w:val="24"/>
        </w:rPr>
        <w:t>three realised</w:t>
      </w:r>
      <w:r w:rsidR="00682395" w:rsidRPr="00267882">
        <w:rPr>
          <w:rFonts w:ascii="Arial" w:hAnsi="Arial" w:cs="Arial"/>
          <w:sz w:val="24"/>
          <w:szCs w:val="24"/>
        </w:rPr>
        <w:t xml:space="preserve"> </w:t>
      </w:r>
      <w:r w:rsidR="000D0870" w:rsidRPr="00267882">
        <w:rPr>
          <w:rFonts w:ascii="Arial" w:hAnsi="Arial" w:cs="Arial"/>
          <w:sz w:val="24"/>
          <w:szCs w:val="24"/>
        </w:rPr>
        <w:t>assets. On 2 October 2019, the respondent sent a letter to the first appellant instructing him to amend the first curator’s account to exclude the amount of R423 084.60 (the realised capital assets), reflected in the ‘income and expenditure’ section of the first curator’s account. This was on the basis that it was not income collected but capital assets which remained same, even if the assets were realised. For these reasons, the respondent directed the appellants to calculate its fees on the amount of R885 503.41 and not R1 311 392.94 as reflected in the first curator’s account. Simply put, the respondent contended that the appellants were not entitled to receive a 6% fee on the realised capital assets, as the 6% curator fees would only accrue once the proceeds thereof, when invested, started earning interest. This was disputed by the appellants, who as a result of the impasse, sought declaratory relief.</w:t>
      </w:r>
    </w:p>
    <w:p w14:paraId="79AA3699" w14:textId="77777777" w:rsidR="000D0870" w:rsidRPr="0054062D" w:rsidRDefault="000D0870" w:rsidP="0016576C">
      <w:pPr>
        <w:pStyle w:val="ListParagraph"/>
        <w:spacing w:after="0" w:line="360" w:lineRule="auto"/>
        <w:jc w:val="both"/>
        <w:rPr>
          <w:rFonts w:ascii="Arial" w:hAnsi="Arial" w:cs="Arial"/>
          <w:sz w:val="24"/>
          <w:szCs w:val="24"/>
        </w:rPr>
      </w:pPr>
      <w:r w:rsidRPr="0054062D">
        <w:rPr>
          <w:rFonts w:ascii="Arial" w:hAnsi="Arial" w:cs="Arial"/>
          <w:sz w:val="24"/>
          <w:szCs w:val="24"/>
        </w:rPr>
        <w:t xml:space="preserve"> </w:t>
      </w:r>
    </w:p>
    <w:p w14:paraId="11FD7A1B" w14:textId="4D3422D5"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[7]</w:t>
      </w:r>
      <w:r w:rsidRPr="0054062D">
        <w:rPr>
          <w:rFonts w:ascii="Arial" w:hAnsi="Arial" w:cs="Arial"/>
          <w:sz w:val="24"/>
          <w:szCs w:val="24"/>
        </w:rPr>
        <w:tab/>
      </w:r>
      <w:r w:rsidR="000F2FA6" w:rsidRPr="00267882">
        <w:rPr>
          <w:rFonts w:ascii="Arial" w:hAnsi="Arial" w:cs="Arial"/>
          <w:sz w:val="24"/>
          <w:szCs w:val="24"/>
        </w:rPr>
        <w:t xml:space="preserve">In determining the issues, the high court sought to interpret the relevant legislation. It was not necessary to do </w:t>
      </w:r>
      <w:r w:rsidR="0055421E" w:rsidRPr="00267882">
        <w:rPr>
          <w:rFonts w:ascii="Arial" w:hAnsi="Arial" w:cs="Arial"/>
          <w:sz w:val="24"/>
          <w:szCs w:val="24"/>
        </w:rPr>
        <w:t xml:space="preserve">so, </w:t>
      </w:r>
      <w:r w:rsidR="0054062D" w:rsidRPr="00267882">
        <w:rPr>
          <w:rFonts w:ascii="Arial" w:hAnsi="Arial" w:cs="Arial"/>
          <w:sz w:val="24"/>
          <w:szCs w:val="24"/>
        </w:rPr>
        <w:t>because on</w:t>
      </w:r>
      <w:r w:rsidR="007C1252" w:rsidRPr="00267882">
        <w:rPr>
          <w:rFonts w:ascii="Arial" w:hAnsi="Arial" w:cs="Arial"/>
          <w:sz w:val="24"/>
          <w:szCs w:val="24"/>
        </w:rPr>
        <w:t xml:space="preserve"> </w:t>
      </w:r>
      <w:r w:rsidR="002C01A1" w:rsidRPr="00267882">
        <w:rPr>
          <w:rFonts w:ascii="Arial" w:hAnsi="Arial" w:cs="Arial"/>
          <w:sz w:val="24"/>
          <w:szCs w:val="24"/>
        </w:rPr>
        <w:t xml:space="preserve">a close scrutiny of </w:t>
      </w:r>
      <w:r w:rsidR="000D0870" w:rsidRPr="00267882">
        <w:rPr>
          <w:rFonts w:ascii="Arial" w:hAnsi="Arial" w:cs="Arial"/>
          <w:sz w:val="24"/>
          <w:szCs w:val="24"/>
        </w:rPr>
        <w:t>regulations 7 and 8 of the Estates Regulations</w:t>
      </w:r>
      <w:r w:rsidR="002C01A1" w:rsidRPr="00267882">
        <w:rPr>
          <w:rFonts w:ascii="Arial" w:hAnsi="Arial" w:cs="Arial"/>
          <w:sz w:val="24"/>
          <w:szCs w:val="24"/>
        </w:rPr>
        <w:t xml:space="preserve"> read with s</w:t>
      </w:r>
      <w:r w:rsidR="00135985" w:rsidRPr="00267882">
        <w:rPr>
          <w:rFonts w:ascii="Arial" w:hAnsi="Arial" w:cs="Arial"/>
          <w:sz w:val="24"/>
          <w:szCs w:val="24"/>
        </w:rPr>
        <w:t>s</w:t>
      </w:r>
      <w:r w:rsidR="002C01A1" w:rsidRPr="00267882">
        <w:rPr>
          <w:rFonts w:ascii="Arial" w:hAnsi="Arial" w:cs="Arial"/>
          <w:sz w:val="24"/>
          <w:szCs w:val="24"/>
        </w:rPr>
        <w:t xml:space="preserve"> 83 </w:t>
      </w:r>
      <w:r w:rsidR="00B7250C" w:rsidRPr="00267882">
        <w:rPr>
          <w:rFonts w:ascii="Arial" w:hAnsi="Arial" w:cs="Arial"/>
          <w:sz w:val="24"/>
          <w:szCs w:val="24"/>
        </w:rPr>
        <w:t xml:space="preserve">and 84 </w:t>
      </w:r>
      <w:r w:rsidR="002C01A1" w:rsidRPr="00267882">
        <w:rPr>
          <w:rFonts w:ascii="Arial" w:hAnsi="Arial" w:cs="Arial"/>
          <w:sz w:val="24"/>
          <w:szCs w:val="24"/>
        </w:rPr>
        <w:t>of the Act</w:t>
      </w:r>
      <w:r w:rsidR="00135985" w:rsidRPr="00267882">
        <w:rPr>
          <w:rFonts w:ascii="Arial" w:hAnsi="Arial" w:cs="Arial"/>
          <w:sz w:val="24"/>
          <w:szCs w:val="24"/>
        </w:rPr>
        <w:t xml:space="preserve">, </w:t>
      </w:r>
      <w:r w:rsidR="00C27449" w:rsidRPr="00267882">
        <w:rPr>
          <w:rFonts w:ascii="Arial" w:hAnsi="Arial" w:cs="Arial"/>
          <w:sz w:val="24"/>
          <w:szCs w:val="24"/>
        </w:rPr>
        <w:t xml:space="preserve">it is apparent that </w:t>
      </w:r>
      <w:r w:rsidR="00135985" w:rsidRPr="00267882">
        <w:rPr>
          <w:rFonts w:ascii="Arial" w:hAnsi="Arial" w:cs="Arial"/>
          <w:sz w:val="24"/>
          <w:szCs w:val="24"/>
        </w:rPr>
        <w:t>these provisions</w:t>
      </w:r>
      <w:r w:rsidR="002C01A1" w:rsidRPr="00267882">
        <w:rPr>
          <w:rFonts w:ascii="Arial" w:hAnsi="Arial" w:cs="Arial"/>
          <w:sz w:val="24"/>
          <w:szCs w:val="24"/>
        </w:rPr>
        <w:t xml:space="preserve"> </w:t>
      </w:r>
      <w:r w:rsidR="0055421E" w:rsidRPr="00267882">
        <w:rPr>
          <w:rFonts w:ascii="Arial" w:hAnsi="Arial" w:cs="Arial"/>
          <w:sz w:val="24"/>
          <w:szCs w:val="24"/>
        </w:rPr>
        <w:t>are clear and express.</w:t>
      </w:r>
      <w:r w:rsidR="000D0870" w:rsidRPr="00267882">
        <w:rPr>
          <w:rFonts w:ascii="Arial" w:hAnsi="Arial" w:cs="Arial"/>
          <w:sz w:val="24"/>
          <w:szCs w:val="24"/>
        </w:rPr>
        <w:t xml:space="preserve"> </w:t>
      </w:r>
      <w:r w:rsidR="0055421E" w:rsidRPr="00267882">
        <w:rPr>
          <w:rFonts w:ascii="Arial" w:hAnsi="Arial" w:cs="Arial"/>
          <w:sz w:val="24"/>
          <w:szCs w:val="24"/>
        </w:rPr>
        <w:t xml:space="preserve">That being so, </w:t>
      </w:r>
      <w:r w:rsidR="003B2208" w:rsidRPr="00267882">
        <w:rPr>
          <w:rFonts w:ascii="Arial" w:hAnsi="Arial" w:cs="Arial"/>
          <w:sz w:val="24"/>
          <w:szCs w:val="24"/>
        </w:rPr>
        <w:t>t</w:t>
      </w:r>
      <w:r w:rsidR="0055421E" w:rsidRPr="00267882">
        <w:rPr>
          <w:rFonts w:ascii="Arial" w:hAnsi="Arial" w:cs="Arial"/>
          <w:sz w:val="24"/>
          <w:szCs w:val="24"/>
        </w:rPr>
        <w:t>he issues</w:t>
      </w:r>
      <w:r w:rsidR="000D0870" w:rsidRPr="00267882">
        <w:rPr>
          <w:rFonts w:ascii="Arial" w:hAnsi="Arial" w:cs="Arial"/>
          <w:sz w:val="24"/>
          <w:szCs w:val="24"/>
        </w:rPr>
        <w:t xml:space="preserve"> in this appeal are</w:t>
      </w:r>
      <w:r w:rsidR="0055421E" w:rsidRPr="00267882">
        <w:rPr>
          <w:rFonts w:ascii="Arial" w:hAnsi="Arial" w:cs="Arial"/>
          <w:sz w:val="24"/>
          <w:szCs w:val="24"/>
        </w:rPr>
        <w:t xml:space="preserve"> narrow and </w:t>
      </w:r>
      <w:r w:rsidR="000D0870" w:rsidRPr="00267882">
        <w:rPr>
          <w:rFonts w:ascii="Arial" w:hAnsi="Arial" w:cs="Arial"/>
          <w:sz w:val="24"/>
          <w:szCs w:val="24"/>
        </w:rPr>
        <w:t xml:space="preserve">crisp. The </w:t>
      </w:r>
      <w:r w:rsidR="007A1562" w:rsidRPr="00267882">
        <w:rPr>
          <w:rFonts w:ascii="Arial" w:hAnsi="Arial" w:cs="Arial"/>
          <w:sz w:val="24"/>
          <w:szCs w:val="24"/>
        </w:rPr>
        <w:t>first is</w:t>
      </w:r>
      <w:r w:rsidR="000D0870" w:rsidRPr="00267882">
        <w:rPr>
          <w:rFonts w:ascii="Arial" w:hAnsi="Arial" w:cs="Arial"/>
          <w:sz w:val="24"/>
          <w:szCs w:val="24"/>
        </w:rPr>
        <w:t xml:space="preserve"> whether the proceeds of capital assets that have been realised should be reflected in the income and expenditure section in the first curator’s account, or reflected as a capital asset instead. Pertinently, </w:t>
      </w:r>
      <w:r w:rsidR="0054062D" w:rsidRPr="00267882">
        <w:rPr>
          <w:rFonts w:ascii="Arial" w:hAnsi="Arial" w:cs="Arial"/>
          <w:sz w:val="24"/>
          <w:szCs w:val="24"/>
        </w:rPr>
        <w:t xml:space="preserve">the crux of the matter is, </w:t>
      </w:r>
      <w:r w:rsidR="000D0870" w:rsidRPr="00267882">
        <w:rPr>
          <w:rFonts w:ascii="Arial" w:hAnsi="Arial" w:cs="Arial"/>
          <w:sz w:val="24"/>
          <w:szCs w:val="24"/>
        </w:rPr>
        <w:t xml:space="preserve">whether the moment an investment is collected and deposited into the patient’s estate’s bank account, the assets change in nature and identity from a capital asset to income received. The second, which is inter-related to the first issue, is whether the proceeds of the realised assets will attract the 6% tariff, or whether the curator is only entitled to 6% </w:t>
      </w:r>
      <w:r w:rsidR="000E2ABA" w:rsidRPr="00267882">
        <w:rPr>
          <w:rFonts w:ascii="Arial" w:hAnsi="Arial" w:cs="Arial"/>
          <w:sz w:val="24"/>
          <w:szCs w:val="24"/>
        </w:rPr>
        <w:t>remuneration</w:t>
      </w:r>
      <w:r w:rsidR="000D0870" w:rsidRPr="00267882">
        <w:rPr>
          <w:rFonts w:ascii="Arial" w:hAnsi="Arial" w:cs="Arial"/>
          <w:sz w:val="24"/>
          <w:szCs w:val="24"/>
        </w:rPr>
        <w:t xml:space="preserve"> on the interest collected from the realised capital assets, when</w:t>
      </w:r>
      <w:r w:rsidR="0055421E" w:rsidRPr="00267882">
        <w:rPr>
          <w:rFonts w:ascii="Arial" w:hAnsi="Arial" w:cs="Arial"/>
          <w:sz w:val="24"/>
          <w:szCs w:val="24"/>
        </w:rPr>
        <w:t xml:space="preserve"> invested.</w:t>
      </w:r>
      <w:r w:rsidR="000D0870" w:rsidRPr="00267882">
        <w:rPr>
          <w:rFonts w:ascii="Arial" w:hAnsi="Arial" w:cs="Arial"/>
          <w:sz w:val="24"/>
          <w:szCs w:val="24"/>
        </w:rPr>
        <w:t xml:space="preserve"> </w:t>
      </w:r>
    </w:p>
    <w:p w14:paraId="44420E4A" w14:textId="77777777" w:rsidR="000D0870" w:rsidRPr="0054062D" w:rsidRDefault="000D0870" w:rsidP="0016576C">
      <w:pPr>
        <w:pStyle w:val="ListParagraph"/>
        <w:spacing w:after="0" w:line="360" w:lineRule="auto"/>
        <w:jc w:val="both"/>
        <w:rPr>
          <w:rFonts w:ascii="Arial" w:hAnsi="Arial" w:cs="Arial"/>
          <w:sz w:val="24"/>
          <w:szCs w:val="24"/>
        </w:rPr>
      </w:pPr>
    </w:p>
    <w:p w14:paraId="352AF45E" w14:textId="62AF7C52" w:rsidR="000D0870" w:rsidRPr="00267882" w:rsidRDefault="00267882" w:rsidP="00267882">
      <w:pPr>
        <w:spacing w:after="0" w:line="360" w:lineRule="auto"/>
        <w:jc w:val="both"/>
        <w:rPr>
          <w:b/>
        </w:rPr>
      </w:pPr>
      <w:r w:rsidRPr="0054062D">
        <w:rPr>
          <w:rFonts w:ascii="Arial" w:hAnsi="Arial" w:cs="Arial"/>
          <w:sz w:val="24"/>
          <w:szCs w:val="24"/>
        </w:rPr>
        <w:t>[8]</w:t>
      </w:r>
      <w:r w:rsidRPr="0054062D">
        <w:rPr>
          <w:rFonts w:ascii="Arial" w:hAnsi="Arial" w:cs="Arial"/>
          <w:sz w:val="24"/>
          <w:szCs w:val="24"/>
        </w:rPr>
        <w:tab/>
      </w:r>
      <w:r w:rsidR="000D0870" w:rsidRPr="00267882">
        <w:rPr>
          <w:rFonts w:ascii="Arial" w:hAnsi="Arial" w:cs="Arial"/>
          <w:sz w:val="24"/>
          <w:szCs w:val="24"/>
        </w:rPr>
        <w:t xml:space="preserve">The heads of argument raised several points </w:t>
      </w:r>
      <w:r w:rsidR="000D0870" w:rsidRPr="00267882">
        <w:rPr>
          <w:rFonts w:ascii="Arial" w:hAnsi="Arial" w:cs="Arial"/>
          <w:i/>
          <w:sz w:val="24"/>
          <w:szCs w:val="24"/>
        </w:rPr>
        <w:t>in limine</w:t>
      </w:r>
      <w:r w:rsidR="000D0870" w:rsidRPr="00267882">
        <w:rPr>
          <w:rFonts w:ascii="Arial" w:hAnsi="Arial" w:cs="Arial"/>
          <w:sz w:val="24"/>
          <w:szCs w:val="24"/>
        </w:rPr>
        <w:t xml:space="preserve">. The respondent, correctly in our view, did not persist with the points </w:t>
      </w:r>
      <w:r w:rsidR="000D0870" w:rsidRPr="00267882">
        <w:rPr>
          <w:rFonts w:ascii="Arial" w:hAnsi="Arial" w:cs="Arial"/>
          <w:i/>
          <w:sz w:val="24"/>
          <w:szCs w:val="24"/>
        </w:rPr>
        <w:t>in</w:t>
      </w:r>
      <w:r w:rsidR="000D0870" w:rsidRPr="00267882">
        <w:rPr>
          <w:rFonts w:ascii="Arial" w:hAnsi="Arial" w:cs="Arial"/>
          <w:sz w:val="24"/>
          <w:szCs w:val="24"/>
        </w:rPr>
        <w:t xml:space="preserve"> </w:t>
      </w:r>
      <w:r w:rsidR="000D0870" w:rsidRPr="00267882">
        <w:rPr>
          <w:rFonts w:ascii="Arial" w:hAnsi="Arial" w:cs="Arial"/>
          <w:i/>
          <w:sz w:val="24"/>
          <w:szCs w:val="24"/>
        </w:rPr>
        <w:t>limine</w:t>
      </w:r>
      <w:r w:rsidR="000D0870" w:rsidRPr="00267882">
        <w:rPr>
          <w:rFonts w:ascii="Arial" w:hAnsi="Arial" w:cs="Arial"/>
          <w:sz w:val="24"/>
          <w:szCs w:val="24"/>
        </w:rPr>
        <w:t xml:space="preserve">. </w:t>
      </w:r>
    </w:p>
    <w:p w14:paraId="4BED7890" w14:textId="77777777" w:rsidR="000D0870" w:rsidRPr="0054062D" w:rsidRDefault="000D0870" w:rsidP="0016576C">
      <w:pPr>
        <w:pStyle w:val="ListParagraph"/>
        <w:spacing w:after="0" w:line="360" w:lineRule="auto"/>
        <w:ind w:left="0"/>
        <w:jc w:val="both"/>
        <w:rPr>
          <w:rFonts w:ascii="Arial" w:hAnsi="Arial" w:cs="Arial"/>
          <w:sz w:val="24"/>
          <w:szCs w:val="24"/>
        </w:rPr>
      </w:pPr>
    </w:p>
    <w:p w14:paraId="703711EA" w14:textId="77777777" w:rsidR="000D0870" w:rsidRPr="0054062D" w:rsidRDefault="000D0870" w:rsidP="0016576C">
      <w:pPr>
        <w:pStyle w:val="ListParagraph"/>
        <w:spacing w:after="0" w:line="360" w:lineRule="auto"/>
        <w:ind w:left="0"/>
        <w:jc w:val="both"/>
        <w:rPr>
          <w:rFonts w:ascii="Arial" w:hAnsi="Arial" w:cs="Arial"/>
          <w:b/>
          <w:sz w:val="24"/>
          <w:szCs w:val="24"/>
        </w:rPr>
      </w:pPr>
      <w:r w:rsidRPr="0054062D">
        <w:rPr>
          <w:rFonts w:ascii="Arial" w:hAnsi="Arial" w:cs="Arial"/>
          <w:b/>
          <w:sz w:val="24"/>
          <w:szCs w:val="24"/>
        </w:rPr>
        <w:t xml:space="preserve">The first issue </w:t>
      </w:r>
    </w:p>
    <w:p w14:paraId="0444204F" w14:textId="4BE2BA7B" w:rsidR="00F13C53" w:rsidRPr="00267882" w:rsidRDefault="00267882" w:rsidP="00267882">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0D0870" w:rsidRPr="00267882">
        <w:rPr>
          <w:rFonts w:ascii="Arial" w:hAnsi="Arial" w:cs="Arial"/>
          <w:sz w:val="24"/>
          <w:szCs w:val="24"/>
        </w:rPr>
        <w:t>It is the appellants case that regulation 7(3)</w:t>
      </w:r>
      <w:r w:rsidR="000D0870" w:rsidRPr="00267882">
        <w:rPr>
          <w:rFonts w:ascii="Arial" w:hAnsi="Arial" w:cs="Arial"/>
          <w:i/>
          <w:sz w:val="24"/>
          <w:szCs w:val="24"/>
        </w:rPr>
        <w:t>(b)</w:t>
      </w:r>
      <w:r w:rsidR="000D0870" w:rsidRPr="00267882">
        <w:rPr>
          <w:rFonts w:ascii="Arial" w:hAnsi="Arial" w:cs="Arial"/>
          <w:sz w:val="24"/>
          <w:szCs w:val="24"/>
        </w:rPr>
        <w:t xml:space="preserve"> of the Estate</w:t>
      </w:r>
      <w:r w:rsidR="00AF1D1F" w:rsidRPr="00267882">
        <w:rPr>
          <w:rFonts w:ascii="Arial" w:hAnsi="Arial" w:cs="Arial"/>
          <w:sz w:val="24"/>
          <w:szCs w:val="24"/>
        </w:rPr>
        <w:t>s</w:t>
      </w:r>
      <w:r w:rsidR="000D0870" w:rsidRPr="00267882">
        <w:rPr>
          <w:rFonts w:ascii="Arial" w:hAnsi="Arial" w:cs="Arial"/>
          <w:sz w:val="24"/>
          <w:szCs w:val="24"/>
        </w:rPr>
        <w:t xml:space="preserve"> Regulations</w:t>
      </w:r>
      <w:r w:rsidR="00E10E3E" w:rsidRPr="0054062D">
        <w:rPr>
          <w:rStyle w:val="FootnoteReference"/>
          <w:rFonts w:ascii="Arial" w:hAnsi="Arial" w:cs="Arial"/>
          <w:sz w:val="24"/>
          <w:szCs w:val="24"/>
        </w:rPr>
        <w:footnoteReference w:id="3"/>
      </w:r>
      <w:r w:rsidR="004F35D7" w:rsidRPr="00267882">
        <w:rPr>
          <w:rFonts w:ascii="Arial" w:hAnsi="Arial" w:cs="Arial"/>
          <w:sz w:val="24"/>
          <w:szCs w:val="24"/>
        </w:rPr>
        <w:t xml:space="preserve"> expressly provides that once</w:t>
      </w:r>
      <w:r w:rsidR="000D0870" w:rsidRPr="00267882">
        <w:rPr>
          <w:rFonts w:ascii="Arial" w:hAnsi="Arial" w:cs="Arial"/>
          <w:sz w:val="24"/>
          <w:szCs w:val="24"/>
        </w:rPr>
        <w:t xml:space="preserve"> capital assets are realised, they lose their identity as capital assets and the proceeds thereon become income actually collected</w:t>
      </w:r>
      <w:r w:rsidR="00926A61" w:rsidRPr="00267882">
        <w:rPr>
          <w:rFonts w:ascii="Arial" w:hAnsi="Arial" w:cs="Arial"/>
          <w:sz w:val="24"/>
          <w:szCs w:val="24"/>
        </w:rPr>
        <w:t xml:space="preserve"> </w:t>
      </w:r>
      <w:r w:rsidR="000D0870" w:rsidRPr="00267882">
        <w:rPr>
          <w:rFonts w:ascii="Arial" w:hAnsi="Arial" w:cs="Arial"/>
          <w:sz w:val="24"/>
          <w:szCs w:val="24"/>
        </w:rPr>
        <w:t xml:space="preserve">and must be reflected under the heading ‘income and expenditure’ in the curators’ account. Although the respondent agrees with this proposition, she simultaneously advocates for a ‘third category’ to reflect the origin of the income. </w:t>
      </w:r>
      <w:r w:rsidR="000D0870" w:rsidRPr="00267882" w:rsidDel="001F7137">
        <w:rPr>
          <w:rFonts w:ascii="Arial" w:hAnsi="Arial" w:cs="Arial"/>
          <w:sz w:val="24"/>
          <w:szCs w:val="24"/>
        </w:rPr>
        <w:t>The appellants accept that the capital asset will be reflected in the capital account, but contend that once realised, it should be reflected in the income account.</w:t>
      </w:r>
      <w:r w:rsidR="00F028DB" w:rsidRPr="00267882">
        <w:rPr>
          <w:rFonts w:ascii="Arial" w:hAnsi="Arial" w:cs="Arial"/>
          <w:sz w:val="24"/>
          <w:szCs w:val="24"/>
        </w:rPr>
        <w:t xml:space="preserve"> </w:t>
      </w:r>
    </w:p>
    <w:p w14:paraId="69911E30" w14:textId="77777777" w:rsidR="00F13C53" w:rsidRDefault="00F13C53" w:rsidP="00A24A50">
      <w:pPr>
        <w:pStyle w:val="ListParagraph"/>
        <w:spacing w:after="0" w:line="360" w:lineRule="auto"/>
        <w:ind w:left="0"/>
        <w:jc w:val="both"/>
        <w:rPr>
          <w:rFonts w:ascii="Arial" w:hAnsi="Arial" w:cs="Arial"/>
          <w:sz w:val="24"/>
          <w:szCs w:val="24"/>
        </w:rPr>
      </w:pPr>
    </w:p>
    <w:p w14:paraId="7003E210" w14:textId="47F1F9CE"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[10]</w:t>
      </w:r>
      <w:r w:rsidRPr="0054062D">
        <w:rPr>
          <w:rFonts w:ascii="Arial" w:hAnsi="Arial" w:cs="Arial"/>
          <w:sz w:val="24"/>
          <w:szCs w:val="24"/>
        </w:rPr>
        <w:tab/>
      </w:r>
      <w:r w:rsidR="000D0870" w:rsidRPr="00267882">
        <w:rPr>
          <w:rFonts w:ascii="Arial" w:hAnsi="Arial" w:cs="Arial"/>
          <w:sz w:val="24"/>
          <w:szCs w:val="24"/>
        </w:rPr>
        <w:t>The regulations do not provide for a third category of account, as the respondent contend</w:t>
      </w:r>
      <w:r w:rsidR="00827DEC" w:rsidRPr="00267882">
        <w:rPr>
          <w:rFonts w:ascii="Arial" w:hAnsi="Arial" w:cs="Arial"/>
          <w:sz w:val="24"/>
          <w:szCs w:val="24"/>
        </w:rPr>
        <w:t>ed</w:t>
      </w:r>
      <w:r w:rsidR="000D0870" w:rsidRPr="00267882">
        <w:rPr>
          <w:rFonts w:ascii="Arial" w:hAnsi="Arial" w:cs="Arial"/>
          <w:sz w:val="24"/>
          <w:szCs w:val="24"/>
        </w:rPr>
        <w:t xml:space="preserve">. In our view, the wording in regulation 7 is mandatory and expressly provides for two accounts. </w:t>
      </w:r>
      <w:r w:rsidR="00F13C53" w:rsidRPr="00267882">
        <w:rPr>
          <w:rFonts w:ascii="Arial" w:hAnsi="Arial" w:cs="Arial"/>
          <w:sz w:val="24"/>
          <w:szCs w:val="24"/>
        </w:rPr>
        <w:t>R</w:t>
      </w:r>
      <w:r w:rsidR="000D0870" w:rsidRPr="00267882">
        <w:rPr>
          <w:rFonts w:ascii="Arial" w:hAnsi="Arial" w:cs="Arial"/>
          <w:sz w:val="24"/>
          <w:szCs w:val="24"/>
        </w:rPr>
        <w:t>egulation 7(3)</w:t>
      </w:r>
      <w:r w:rsidR="000D0870" w:rsidRPr="00267882">
        <w:rPr>
          <w:rFonts w:ascii="Arial" w:hAnsi="Arial" w:cs="Arial"/>
          <w:i/>
          <w:sz w:val="24"/>
          <w:szCs w:val="24"/>
        </w:rPr>
        <w:t>(b)</w:t>
      </w:r>
      <w:r w:rsidR="000D0870" w:rsidRPr="00267882">
        <w:rPr>
          <w:rFonts w:ascii="Arial" w:hAnsi="Arial" w:cs="Arial"/>
          <w:sz w:val="24"/>
          <w:szCs w:val="24"/>
        </w:rPr>
        <w:t xml:space="preserve"> requires all income actually collected to be entered in the money column under the sub-heading ‘income and expenditure account’. And regulations 7(3)</w:t>
      </w:r>
      <w:r w:rsidR="000D0870" w:rsidRPr="00267882">
        <w:rPr>
          <w:rFonts w:ascii="Arial" w:hAnsi="Arial" w:cs="Arial"/>
          <w:i/>
          <w:sz w:val="24"/>
          <w:szCs w:val="24"/>
        </w:rPr>
        <w:t>(c)</w:t>
      </w:r>
      <w:r w:rsidR="000D0870" w:rsidRPr="00267882">
        <w:rPr>
          <w:rFonts w:ascii="Arial" w:hAnsi="Arial" w:cs="Arial"/>
          <w:sz w:val="24"/>
          <w:szCs w:val="24"/>
        </w:rPr>
        <w:t xml:space="preserve"> and 7(4)</w:t>
      </w:r>
      <w:r w:rsidR="000D0870" w:rsidRPr="00267882">
        <w:rPr>
          <w:rFonts w:ascii="Arial" w:hAnsi="Arial" w:cs="Arial"/>
          <w:i/>
          <w:sz w:val="24"/>
          <w:szCs w:val="24"/>
        </w:rPr>
        <w:t>(</w:t>
      </w:r>
      <w:r w:rsidR="00926A61" w:rsidRPr="00267882">
        <w:rPr>
          <w:rFonts w:ascii="Arial" w:hAnsi="Arial" w:cs="Arial"/>
          <w:i/>
          <w:sz w:val="24"/>
          <w:szCs w:val="24"/>
        </w:rPr>
        <w:t>e)</w:t>
      </w:r>
      <w:r w:rsidR="00926A61" w:rsidRPr="00267882">
        <w:rPr>
          <w:rFonts w:ascii="Arial" w:hAnsi="Arial" w:cs="Arial"/>
          <w:sz w:val="24"/>
          <w:szCs w:val="24"/>
        </w:rPr>
        <w:t xml:space="preserve"> provide</w:t>
      </w:r>
      <w:r w:rsidR="000D0870" w:rsidRPr="00267882">
        <w:rPr>
          <w:rFonts w:ascii="Arial" w:hAnsi="Arial" w:cs="Arial"/>
          <w:sz w:val="24"/>
          <w:szCs w:val="24"/>
        </w:rPr>
        <w:t xml:space="preserve"> that any capital assets realised, should be transferred from the ‘capital account’ into the 'income and expenditure account' with reasons for such transfer.</w:t>
      </w:r>
      <w:r w:rsidR="000D0870" w:rsidRPr="00267882">
        <w:rPr>
          <w:rFonts w:ascii="Arial" w:hAnsi="Arial" w:cs="Arial"/>
          <w:b/>
          <w:sz w:val="24"/>
          <w:szCs w:val="24"/>
        </w:rPr>
        <w:t xml:space="preserve"> </w:t>
      </w:r>
    </w:p>
    <w:p w14:paraId="6004845C" w14:textId="77777777" w:rsidR="000D0870" w:rsidRPr="0054062D" w:rsidRDefault="000D0870" w:rsidP="0016576C">
      <w:pPr>
        <w:pStyle w:val="ListParagraph"/>
        <w:spacing w:after="0" w:line="360" w:lineRule="auto"/>
        <w:jc w:val="both"/>
        <w:rPr>
          <w:rFonts w:ascii="Arial" w:hAnsi="Arial" w:cs="Arial"/>
          <w:sz w:val="24"/>
          <w:szCs w:val="24"/>
        </w:rPr>
      </w:pPr>
    </w:p>
    <w:p w14:paraId="2856A3B3" w14:textId="529483A6" w:rsidR="000D0870" w:rsidRPr="00267882" w:rsidRDefault="00267882" w:rsidP="00267882">
      <w:pPr>
        <w:spacing w:after="0" w:line="360" w:lineRule="auto"/>
        <w:jc w:val="both"/>
        <w:rPr>
          <w:rFonts w:ascii="Arial" w:hAnsi="Arial" w:cs="Arial"/>
        </w:rPr>
      </w:pPr>
      <w:r w:rsidRPr="0054062D">
        <w:rPr>
          <w:rFonts w:ascii="Arial" w:hAnsi="Arial" w:cs="Arial"/>
          <w:sz w:val="24"/>
          <w:szCs w:val="24"/>
        </w:rPr>
        <w:t>[11]</w:t>
      </w:r>
      <w:r w:rsidRPr="0054062D">
        <w:rPr>
          <w:rFonts w:ascii="Arial" w:hAnsi="Arial" w:cs="Arial"/>
          <w:sz w:val="24"/>
          <w:szCs w:val="24"/>
        </w:rPr>
        <w:tab/>
      </w:r>
      <w:r w:rsidR="000D0870" w:rsidRPr="00267882">
        <w:rPr>
          <w:rFonts w:ascii="Arial" w:hAnsi="Arial" w:cs="Arial"/>
          <w:sz w:val="24"/>
          <w:szCs w:val="24"/>
        </w:rPr>
        <w:t xml:space="preserve">Once capital assets are realised, it changes in nature and identity. The capital asset no longer exists, and to reflect the asset in the capital account will result in a distorted financial statement. That being so, the curator has no choice but to enter the realised asset in the ‘income and expenditure account’. </w:t>
      </w:r>
    </w:p>
    <w:p w14:paraId="1ED2E18C" w14:textId="77777777" w:rsidR="000D0870" w:rsidRPr="0054062D" w:rsidRDefault="000D0870" w:rsidP="0016576C">
      <w:pPr>
        <w:pStyle w:val="ListParagraph"/>
        <w:spacing w:after="0" w:line="360" w:lineRule="auto"/>
        <w:ind w:left="0"/>
        <w:jc w:val="both"/>
        <w:rPr>
          <w:rFonts w:ascii="Arial" w:hAnsi="Arial" w:cs="Arial"/>
          <w:sz w:val="24"/>
          <w:szCs w:val="24"/>
        </w:rPr>
      </w:pPr>
    </w:p>
    <w:p w14:paraId="1B237155" w14:textId="77777777" w:rsidR="000D0870" w:rsidRPr="0054062D" w:rsidRDefault="000D0870" w:rsidP="0016576C">
      <w:pPr>
        <w:pStyle w:val="ListParagraph"/>
        <w:spacing w:after="0" w:line="360" w:lineRule="auto"/>
        <w:ind w:left="0"/>
        <w:jc w:val="both"/>
        <w:rPr>
          <w:rFonts w:ascii="Arial" w:hAnsi="Arial" w:cs="Arial"/>
          <w:b/>
          <w:sz w:val="24"/>
          <w:szCs w:val="24"/>
        </w:rPr>
      </w:pPr>
      <w:r w:rsidRPr="0054062D">
        <w:rPr>
          <w:rFonts w:ascii="Arial" w:hAnsi="Arial" w:cs="Arial"/>
          <w:b/>
          <w:sz w:val="24"/>
          <w:szCs w:val="24"/>
        </w:rPr>
        <w:t>The second issue</w:t>
      </w:r>
    </w:p>
    <w:p w14:paraId="39BF8992" w14:textId="3BE6AAA2" w:rsidR="000D0870" w:rsidRPr="00267882" w:rsidRDefault="00267882" w:rsidP="00267882">
      <w:pPr>
        <w:spacing w:after="0" w:line="360" w:lineRule="auto"/>
        <w:jc w:val="both"/>
        <w:rPr>
          <w:rFonts w:ascii="Arial" w:hAnsi="Arial" w:cs="Arial"/>
        </w:rPr>
      </w:pPr>
      <w:r w:rsidRPr="0054062D">
        <w:rPr>
          <w:rFonts w:ascii="Arial" w:hAnsi="Arial" w:cs="Arial"/>
          <w:sz w:val="24"/>
          <w:szCs w:val="24"/>
        </w:rPr>
        <w:t>[12]</w:t>
      </w:r>
      <w:r w:rsidRPr="0054062D">
        <w:rPr>
          <w:rFonts w:ascii="Arial" w:hAnsi="Arial" w:cs="Arial"/>
          <w:sz w:val="24"/>
          <w:szCs w:val="24"/>
        </w:rPr>
        <w:tab/>
      </w:r>
      <w:r w:rsidR="000D0870" w:rsidRPr="00267882">
        <w:rPr>
          <w:rFonts w:ascii="Arial" w:hAnsi="Arial" w:cs="Arial"/>
          <w:sz w:val="24"/>
          <w:szCs w:val="24"/>
        </w:rPr>
        <w:t xml:space="preserve">The second issue deals with the </w:t>
      </w:r>
      <w:r w:rsidR="00FB774A" w:rsidRPr="00267882">
        <w:rPr>
          <w:rFonts w:ascii="Arial" w:hAnsi="Arial" w:cs="Arial"/>
          <w:sz w:val="24"/>
          <w:szCs w:val="24"/>
        </w:rPr>
        <w:t>remuneration</w:t>
      </w:r>
      <w:r w:rsidR="000D0870" w:rsidRPr="00267882">
        <w:rPr>
          <w:rFonts w:ascii="Arial" w:hAnsi="Arial" w:cs="Arial"/>
          <w:sz w:val="24"/>
          <w:szCs w:val="24"/>
        </w:rPr>
        <w:t xml:space="preserve"> of the curators </w:t>
      </w:r>
      <w:r w:rsidR="000D0870" w:rsidRPr="00267882">
        <w:rPr>
          <w:rFonts w:ascii="Arial" w:hAnsi="Arial" w:cs="Arial"/>
          <w:i/>
          <w:sz w:val="24"/>
          <w:szCs w:val="24"/>
        </w:rPr>
        <w:t>boni</w:t>
      </w:r>
      <w:r w:rsidR="00F13C53" w:rsidRPr="00267882">
        <w:rPr>
          <w:rFonts w:ascii="Arial" w:hAnsi="Arial" w:cs="Arial"/>
          <w:i/>
          <w:sz w:val="24"/>
          <w:szCs w:val="24"/>
        </w:rPr>
        <w:t>s</w:t>
      </w:r>
      <w:r w:rsidR="000D0870" w:rsidRPr="00267882">
        <w:rPr>
          <w:rFonts w:ascii="Arial" w:hAnsi="Arial" w:cs="Arial"/>
          <w:sz w:val="24"/>
          <w:szCs w:val="24"/>
        </w:rPr>
        <w:t xml:space="preserve"> and the applicable tariff that should be applied. Section 84 of the Act provides: </w:t>
      </w:r>
    </w:p>
    <w:p w14:paraId="040D68A8" w14:textId="77777777" w:rsidR="000D0870" w:rsidRPr="0054062D" w:rsidRDefault="000D0870" w:rsidP="0016576C">
      <w:pPr>
        <w:spacing w:after="0" w:line="360" w:lineRule="auto"/>
        <w:jc w:val="both"/>
        <w:rPr>
          <w:rFonts w:ascii="Arial" w:hAnsi="Arial" w:cs="Arial"/>
        </w:rPr>
      </w:pPr>
      <w:r w:rsidRPr="0054062D">
        <w:rPr>
          <w:rFonts w:ascii="Arial" w:hAnsi="Arial" w:cs="Arial"/>
        </w:rPr>
        <w:t xml:space="preserve">‘(1) </w:t>
      </w:r>
      <w:r w:rsidRPr="0054062D">
        <w:rPr>
          <w:rFonts w:ascii="Arial" w:hAnsi="Arial" w:cs="Arial"/>
        </w:rPr>
        <w:tab/>
        <w:t>Every tutor and curator shall, subject to the provisions of subsection (2), be entitled to receive out of the income derived from the property concerned or out of the property itself-</w:t>
      </w:r>
    </w:p>
    <w:p w14:paraId="11749481" w14:textId="77777777" w:rsidR="000D0870" w:rsidRPr="0054062D" w:rsidRDefault="000D0870" w:rsidP="0016576C">
      <w:pPr>
        <w:spacing w:after="0" w:line="360" w:lineRule="auto"/>
        <w:jc w:val="both"/>
        <w:rPr>
          <w:rFonts w:ascii="Arial" w:hAnsi="Arial" w:cs="Arial"/>
        </w:rPr>
      </w:pPr>
      <w:r w:rsidRPr="0054062D">
        <w:rPr>
          <w:rFonts w:ascii="Arial" w:hAnsi="Arial" w:cs="Arial"/>
          <w:i/>
        </w:rPr>
        <w:t>(a)</w:t>
      </w:r>
      <w:r w:rsidRPr="0054062D">
        <w:rPr>
          <w:rFonts w:ascii="Arial" w:hAnsi="Arial" w:cs="Arial"/>
        </w:rPr>
        <w:t xml:space="preserve"> </w:t>
      </w:r>
      <w:r w:rsidRPr="0054062D">
        <w:rPr>
          <w:rFonts w:ascii="Arial" w:hAnsi="Arial" w:cs="Arial"/>
        </w:rPr>
        <w:tab/>
        <w:t>such remuneration as may have been fixed by any will or written instrument by which he has been nominated; or</w:t>
      </w:r>
    </w:p>
    <w:p w14:paraId="4071D76E" w14:textId="77777777" w:rsidR="000D0870" w:rsidRPr="0054062D" w:rsidRDefault="000D0870" w:rsidP="0016576C">
      <w:pPr>
        <w:spacing w:after="0" w:line="360" w:lineRule="auto"/>
        <w:jc w:val="both"/>
        <w:rPr>
          <w:rFonts w:ascii="Arial" w:hAnsi="Arial" w:cs="Arial"/>
        </w:rPr>
      </w:pPr>
      <w:r w:rsidRPr="0054062D">
        <w:rPr>
          <w:rFonts w:ascii="Arial" w:hAnsi="Arial" w:cs="Arial"/>
          <w:i/>
        </w:rPr>
        <w:t>(b)</w:t>
      </w:r>
      <w:r w:rsidRPr="0054062D">
        <w:rPr>
          <w:rFonts w:ascii="Arial" w:hAnsi="Arial" w:cs="Arial"/>
        </w:rPr>
        <w:t xml:space="preserve"> </w:t>
      </w:r>
      <w:r w:rsidRPr="0054062D">
        <w:rPr>
          <w:rFonts w:ascii="Arial" w:hAnsi="Arial" w:cs="Arial"/>
        </w:rPr>
        <w:tab/>
        <w:t>if no such remuneration has been fixed, a remuneration which shall be assessed according to a prescribed tariff and shall be taxed by the Master.</w:t>
      </w:r>
    </w:p>
    <w:p w14:paraId="6A626423" w14:textId="77777777" w:rsidR="000D0870" w:rsidRPr="0054062D" w:rsidRDefault="000D0870" w:rsidP="0016576C">
      <w:pPr>
        <w:spacing w:after="0" w:line="360" w:lineRule="auto"/>
        <w:jc w:val="both"/>
        <w:rPr>
          <w:rFonts w:ascii="Arial" w:hAnsi="Arial" w:cs="Arial"/>
        </w:rPr>
      </w:pPr>
      <w:r w:rsidRPr="0054062D">
        <w:rPr>
          <w:rFonts w:ascii="Arial" w:hAnsi="Arial" w:cs="Arial"/>
        </w:rPr>
        <w:t xml:space="preserve">(2) </w:t>
      </w:r>
      <w:r w:rsidRPr="0054062D">
        <w:rPr>
          <w:rFonts w:ascii="Arial" w:hAnsi="Arial" w:cs="Arial"/>
        </w:rPr>
        <w:tab/>
        <w:t>The Master may-</w:t>
      </w:r>
    </w:p>
    <w:p w14:paraId="5BA87000" w14:textId="77777777" w:rsidR="000D0870" w:rsidRPr="0054062D" w:rsidRDefault="000D0870" w:rsidP="0016576C">
      <w:pPr>
        <w:spacing w:after="0" w:line="360" w:lineRule="auto"/>
        <w:jc w:val="both"/>
        <w:rPr>
          <w:rFonts w:ascii="Arial" w:hAnsi="Arial" w:cs="Arial"/>
        </w:rPr>
      </w:pPr>
      <w:r w:rsidRPr="0054062D">
        <w:rPr>
          <w:rFonts w:ascii="Arial" w:hAnsi="Arial" w:cs="Arial"/>
          <w:i/>
        </w:rPr>
        <w:lastRenderedPageBreak/>
        <w:t>(a)</w:t>
      </w:r>
      <w:r w:rsidRPr="0054062D">
        <w:rPr>
          <w:rFonts w:ascii="Arial" w:hAnsi="Arial" w:cs="Arial"/>
        </w:rPr>
        <w:t xml:space="preserve"> </w:t>
      </w:r>
      <w:r w:rsidRPr="0054062D">
        <w:rPr>
          <w:rFonts w:ascii="Arial" w:hAnsi="Arial" w:cs="Arial"/>
        </w:rPr>
        <w:tab/>
        <w:t>if there are in any particular case special reasons for doing so, reduce or increase any such remuneration; or</w:t>
      </w:r>
    </w:p>
    <w:p w14:paraId="67DD8F4F" w14:textId="77777777" w:rsidR="000D0870" w:rsidRPr="0054062D" w:rsidRDefault="000D0870" w:rsidP="0016576C">
      <w:pPr>
        <w:spacing w:after="0" w:line="360" w:lineRule="auto"/>
        <w:jc w:val="both"/>
        <w:rPr>
          <w:rFonts w:ascii="Arial" w:hAnsi="Arial" w:cs="Arial"/>
          <w:b/>
        </w:rPr>
      </w:pPr>
      <w:r w:rsidRPr="0054062D">
        <w:rPr>
          <w:rFonts w:ascii="Arial" w:hAnsi="Arial" w:cs="Arial"/>
          <w:i/>
        </w:rPr>
        <w:t>(b)</w:t>
      </w:r>
      <w:r w:rsidRPr="0054062D">
        <w:rPr>
          <w:rFonts w:ascii="Arial" w:hAnsi="Arial" w:cs="Arial"/>
        </w:rPr>
        <w:t xml:space="preserve"> </w:t>
      </w:r>
      <w:r w:rsidRPr="0054062D">
        <w:rPr>
          <w:rFonts w:ascii="Arial" w:hAnsi="Arial" w:cs="Arial"/>
        </w:rPr>
        <w:tab/>
        <w:t>if the tutor or curator has failed to discharge his duties or has discharged them in an unsatisfactory manner, disallow any such remuneration, either wholly or in part.’</w:t>
      </w:r>
    </w:p>
    <w:p w14:paraId="39CFA556" w14:textId="77777777" w:rsidR="000D0870" w:rsidRPr="0054062D" w:rsidRDefault="000D0870" w:rsidP="0016576C">
      <w:pPr>
        <w:spacing w:after="0" w:line="360" w:lineRule="auto"/>
        <w:ind w:left="284"/>
        <w:jc w:val="both"/>
        <w:rPr>
          <w:rFonts w:ascii="Arial" w:hAnsi="Arial" w:cs="Arial"/>
          <w:sz w:val="24"/>
          <w:szCs w:val="24"/>
        </w:rPr>
      </w:pPr>
    </w:p>
    <w:p w14:paraId="6E06B3B3" w14:textId="75789800" w:rsidR="000D0870" w:rsidRPr="00267882" w:rsidRDefault="00267882" w:rsidP="00267882">
      <w:pPr>
        <w:spacing w:after="0" w:line="360" w:lineRule="auto"/>
        <w:jc w:val="both"/>
        <w:rPr>
          <w:rFonts w:ascii="Arial" w:hAnsi="Arial" w:cs="Arial"/>
        </w:rPr>
      </w:pPr>
      <w:r w:rsidRPr="0054062D">
        <w:rPr>
          <w:rFonts w:ascii="Arial" w:hAnsi="Arial" w:cs="Arial"/>
          <w:sz w:val="24"/>
          <w:szCs w:val="24"/>
        </w:rPr>
        <w:t>[13]</w:t>
      </w:r>
      <w:r w:rsidRPr="0054062D">
        <w:rPr>
          <w:rFonts w:ascii="Arial" w:hAnsi="Arial" w:cs="Arial"/>
          <w:sz w:val="24"/>
          <w:szCs w:val="24"/>
        </w:rPr>
        <w:tab/>
      </w:r>
      <w:r w:rsidR="000D0870" w:rsidRPr="00267882">
        <w:rPr>
          <w:rFonts w:ascii="Arial" w:hAnsi="Arial" w:cs="Arial"/>
          <w:sz w:val="24"/>
          <w:szCs w:val="24"/>
        </w:rPr>
        <w:t xml:space="preserve">The applicable tariff that the curator is entitled to is set out in </w:t>
      </w:r>
      <w:r w:rsidR="000D0870" w:rsidRPr="00267882">
        <w:rPr>
          <w:rFonts w:ascii="Arial" w:hAnsi="Arial" w:cs="Arial"/>
          <w:bCs/>
          <w:sz w:val="24"/>
          <w:szCs w:val="24"/>
        </w:rPr>
        <w:t xml:space="preserve">regulation 8(3), which provides as follows: </w:t>
      </w:r>
    </w:p>
    <w:p w14:paraId="1228C39B" w14:textId="77777777" w:rsidR="000D0870" w:rsidRPr="0054062D" w:rsidRDefault="000D0870" w:rsidP="0016576C">
      <w:pPr>
        <w:spacing w:after="0" w:line="360" w:lineRule="auto"/>
        <w:jc w:val="both"/>
        <w:rPr>
          <w:rFonts w:ascii="Arial" w:hAnsi="Arial" w:cs="Arial"/>
          <w:bCs/>
        </w:rPr>
      </w:pPr>
      <w:r w:rsidRPr="0054062D">
        <w:rPr>
          <w:rFonts w:ascii="Arial" w:hAnsi="Arial" w:cs="Arial"/>
          <w:bCs/>
        </w:rPr>
        <w:t xml:space="preserve">‘(3) </w:t>
      </w:r>
      <w:r w:rsidRPr="0054062D">
        <w:rPr>
          <w:rFonts w:ascii="Arial" w:hAnsi="Arial" w:cs="Arial"/>
          <w:bCs/>
        </w:rPr>
        <w:tab/>
        <w:t>The remuneration of tutors and curators referred to in section 84(1)</w:t>
      </w:r>
      <w:r w:rsidRPr="0054062D">
        <w:rPr>
          <w:rFonts w:ascii="Arial" w:hAnsi="Arial" w:cs="Arial"/>
          <w:bCs/>
          <w:i/>
        </w:rPr>
        <w:t>(b)</w:t>
      </w:r>
      <w:r w:rsidRPr="0054062D">
        <w:rPr>
          <w:rFonts w:ascii="Arial" w:hAnsi="Arial" w:cs="Arial"/>
          <w:bCs/>
        </w:rPr>
        <w:t xml:space="preserve"> of the Act shall be assessed according to the following tariff:</w:t>
      </w:r>
    </w:p>
    <w:p w14:paraId="40E4C23D" w14:textId="77777777" w:rsidR="000D0870" w:rsidRPr="0054062D" w:rsidRDefault="000D0870" w:rsidP="0016576C">
      <w:pPr>
        <w:spacing w:after="0" w:line="360" w:lineRule="auto"/>
        <w:jc w:val="both"/>
        <w:rPr>
          <w:rFonts w:ascii="Arial" w:hAnsi="Arial" w:cs="Arial"/>
          <w:bCs/>
        </w:rPr>
      </w:pPr>
      <w:r w:rsidRPr="0054062D">
        <w:rPr>
          <w:rFonts w:ascii="Arial" w:hAnsi="Arial" w:cs="Arial"/>
          <w:bCs/>
          <w:i/>
        </w:rPr>
        <w:t>(a)</w:t>
      </w:r>
      <w:r w:rsidRPr="0054062D">
        <w:rPr>
          <w:rFonts w:ascii="Arial" w:hAnsi="Arial" w:cs="Arial"/>
          <w:bCs/>
        </w:rPr>
        <w:t xml:space="preserve"> </w:t>
      </w:r>
      <w:r w:rsidRPr="0054062D">
        <w:rPr>
          <w:rFonts w:ascii="Arial" w:hAnsi="Arial" w:cs="Arial"/>
          <w:bCs/>
        </w:rPr>
        <w:tab/>
      </w:r>
      <w:r w:rsidRPr="0054062D">
        <w:rPr>
          <w:rFonts w:ascii="Arial" w:hAnsi="Arial" w:cs="Arial"/>
          <w:bCs/>
          <w:i/>
        </w:rPr>
        <w:t>On income collected</w:t>
      </w:r>
      <w:r w:rsidRPr="0054062D">
        <w:rPr>
          <w:rFonts w:ascii="Arial" w:hAnsi="Arial" w:cs="Arial"/>
          <w:bCs/>
        </w:rPr>
        <w:t xml:space="preserve"> during the existence of the tutorship or curatorship: </w:t>
      </w:r>
      <w:r w:rsidRPr="0054062D">
        <w:rPr>
          <w:rFonts w:ascii="Arial" w:hAnsi="Arial" w:cs="Arial"/>
          <w:bCs/>
          <w:i/>
        </w:rPr>
        <w:t>6 per cent</w:t>
      </w:r>
      <w:r w:rsidRPr="0054062D">
        <w:rPr>
          <w:rFonts w:ascii="Arial" w:hAnsi="Arial" w:cs="Arial"/>
          <w:bCs/>
        </w:rPr>
        <w:t>;</w:t>
      </w:r>
    </w:p>
    <w:p w14:paraId="22FC6917" w14:textId="77777777" w:rsidR="000D0870" w:rsidRPr="0054062D" w:rsidRDefault="000D0870" w:rsidP="0016576C">
      <w:pPr>
        <w:spacing w:after="0" w:line="360" w:lineRule="auto"/>
        <w:jc w:val="both"/>
        <w:rPr>
          <w:rFonts w:ascii="Arial" w:hAnsi="Arial" w:cs="Arial"/>
          <w:bCs/>
        </w:rPr>
      </w:pPr>
      <w:r w:rsidRPr="0054062D">
        <w:rPr>
          <w:rFonts w:ascii="Arial" w:hAnsi="Arial" w:cs="Arial"/>
          <w:bCs/>
          <w:i/>
        </w:rPr>
        <w:t>(b)</w:t>
      </w:r>
      <w:r w:rsidRPr="0054062D">
        <w:rPr>
          <w:rFonts w:ascii="Arial" w:hAnsi="Arial" w:cs="Arial"/>
          <w:bCs/>
        </w:rPr>
        <w:t xml:space="preserve"> </w:t>
      </w:r>
      <w:r w:rsidRPr="0054062D">
        <w:rPr>
          <w:rFonts w:ascii="Arial" w:hAnsi="Arial" w:cs="Arial"/>
          <w:bCs/>
        </w:rPr>
        <w:tab/>
        <w:t xml:space="preserve">on the value of capital assets on distribution, delivery or payment thereof </w:t>
      </w:r>
      <w:r w:rsidRPr="0054062D">
        <w:rPr>
          <w:rFonts w:ascii="Arial" w:hAnsi="Arial" w:cs="Arial"/>
          <w:bCs/>
          <w:i/>
        </w:rPr>
        <w:t xml:space="preserve">on termination of the </w:t>
      </w:r>
      <w:r w:rsidRPr="0054062D">
        <w:rPr>
          <w:rFonts w:ascii="Arial" w:hAnsi="Arial" w:cs="Arial"/>
          <w:bCs/>
        </w:rPr>
        <w:t>tutorship or</w:t>
      </w:r>
      <w:r w:rsidRPr="0054062D">
        <w:rPr>
          <w:rFonts w:ascii="Arial" w:hAnsi="Arial" w:cs="Arial"/>
          <w:bCs/>
          <w:i/>
        </w:rPr>
        <w:t xml:space="preserve"> curatorship</w:t>
      </w:r>
      <w:r w:rsidRPr="0054062D">
        <w:rPr>
          <w:rFonts w:ascii="Arial" w:hAnsi="Arial" w:cs="Arial"/>
          <w:bCs/>
        </w:rPr>
        <w:t xml:space="preserve">: </w:t>
      </w:r>
      <w:r w:rsidRPr="0054062D">
        <w:rPr>
          <w:rFonts w:ascii="Arial" w:hAnsi="Arial" w:cs="Arial"/>
          <w:bCs/>
          <w:i/>
        </w:rPr>
        <w:t>2 per cent</w:t>
      </w:r>
      <w:r w:rsidRPr="0054062D">
        <w:rPr>
          <w:rFonts w:ascii="Arial" w:hAnsi="Arial" w:cs="Arial"/>
          <w:bCs/>
        </w:rPr>
        <w:t>.’ (My emphasis.)</w:t>
      </w:r>
    </w:p>
    <w:p w14:paraId="48586368" w14:textId="77777777" w:rsidR="000D0870" w:rsidRPr="0054062D" w:rsidRDefault="000D0870" w:rsidP="0016576C">
      <w:pPr>
        <w:spacing w:after="0" w:line="360" w:lineRule="auto"/>
        <w:jc w:val="both"/>
        <w:rPr>
          <w:rFonts w:ascii="Arial" w:hAnsi="Arial" w:cs="Arial"/>
          <w:b/>
          <w:sz w:val="24"/>
          <w:szCs w:val="24"/>
        </w:rPr>
      </w:pPr>
    </w:p>
    <w:p w14:paraId="01EA74A3" w14:textId="5F60C4CB" w:rsidR="000D0870" w:rsidRPr="00267882" w:rsidRDefault="00267882" w:rsidP="00267882">
      <w:pPr>
        <w:spacing w:after="0" w:line="360" w:lineRule="auto"/>
        <w:jc w:val="both"/>
        <w:rPr>
          <w:rFonts w:ascii="Arial" w:hAnsi="Arial" w:cs="Arial"/>
        </w:rPr>
      </w:pPr>
      <w:r w:rsidRPr="0054062D">
        <w:rPr>
          <w:rFonts w:ascii="Arial" w:hAnsi="Arial" w:cs="Arial"/>
          <w:sz w:val="24"/>
          <w:szCs w:val="24"/>
        </w:rPr>
        <w:t>[14]</w:t>
      </w:r>
      <w:r w:rsidRPr="0054062D">
        <w:rPr>
          <w:rFonts w:ascii="Arial" w:hAnsi="Arial" w:cs="Arial"/>
          <w:sz w:val="24"/>
          <w:szCs w:val="24"/>
        </w:rPr>
        <w:tab/>
      </w:r>
      <w:r w:rsidR="000D0870" w:rsidRPr="00267882">
        <w:rPr>
          <w:rFonts w:ascii="Arial" w:hAnsi="Arial" w:cs="Arial"/>
          <w:sz w:val="24"/>
          <w:szCs w:val="24"/>
        </w:rPr>
        <w:t xml:space="preserve">The appellants contend that because capital assets were realised, the applicable tariff is 6% of the income received and should be entered under the sub-heading ‘income and expenditure account’. The respondent, on the other hand, contends that realised capital assets should not attract a tariff of 6% because the origin of the income collected is from capital assets. Instead, so it is argued, the applicable tariff is 6% of the interest collected from when the proceeds of the realised asset are invested. </w:t>
      </w:r>
    </w:p>
    <w:p w14:paraId="1A893B41" w14:textId="77777777" w:rsidR="000D0870" w:rsidRPr="006975DA" w:rsidRDefault="000D0870" w:rsidP="0016576C">
      <w:pPr>
        <w:pStyle w:val="ListParagraph"/>
        <w:spacing w:after="0" w:line="360" w:lineRule="auto"/>
        <w:ind w:left="0"/>
        <w:jc w:val="both"/>
        <w:rPr>
          <w:rFonts w:ascii="Arial" w:hAnsi="Arial" w:cs="Arial"/>
          <w:sz w:val="24"/>
          <w:szCs w:val="24"/>
        </w:rPr>
      </w:pPr>
    </w:p>
    <w:p w14:paraId="1DB2DC46" w14:textId="39E94837"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[15]</w:t>
      </w:r>
      <w:r w:rsidRPr="0054062D">
        <w:rPr>
          <w:rFonts w:ascii="Arial" w:hAnsi="Arial" w:cs="Arial"/>
          <w:sz w:val="24"/>
          <w:szCs w:val="24"/>
        </w:rPr>
        <w:tab/>
      </w:r>
      <w:r w:rsidR="000D0870" w:rsidRPr="00267882">
        <w:rPr>
          <w:rFonts w:ascii="Arial" w:hAnsi="Arial" w:cs="Arial"/>
          <w:sz w:val="24"/>
          <w:szCs w:val="24"/>
        </w:rPr>
        <w:t xml:space="preserve">The </w:t>
      </w:r>
      <w:r w:rsidR="006975DA" w:rsidRPr="00267882">
        <w:rPr>
          <w:rFonts w:ascii="Arial" w:hAnsi="Arial" w:cs="Arial"/>
          <w:sz w:val="24"/>
          <w:szCs w:val="24"/>
        </w:rPr>
        <w:t xml:space="preserve">legislative </w:t>
      </w:r>
      <w:r w:rsidR="000D0870" w:rsidRPr="00267882">
        <w:rPr>
          <w:rFonts w:ascii="Arial" w:hAnsi="Arial" w:cs="Arial"/>
          <w:sz w:val="24"/>
          <w:szCs w:val="24"/>
        </w:rPr>
        <w:t>scheme (the Act and the Estates Regulations) clearly envisages two sets of tariffs, namely 6% on the income collected annually and a 2% tariff at the end of the curatorship when the patient’s capital is distributed. Regulation 8(3)</w:t>
      </w:r>
      <w:r w:rsidR="000D0870" w:rsidRPr="00267882">
        <w:rPr>
          <w:rFonts w:ascii="Arial" w:hAnsi="Arial" w:cs="Arial"/>
          <w:i/>
          <w:sz w:val="24"/>
          <w:szCs w:val="24"/>
        </w:rPr>
        <w:t>(b)</w:t>
      </w:r>
      <w:r w:rsidR="000D0870" w:rsidRPr="00267882">
        <w:rPr>
          <w:rFonts w:ascii="Arial" w:hAnsi="Arial" w:cs="Arial"/>
          <w:sz w:val="24"/>
          <w:szCs w:val="24"/>
        </w:rPr>
        <w:t xml:space="preserve"> is only triggered when the curatorship is terminated and not during the curatorship. </w:t>
      </w:r>
    </w:p>
    <w:p w14:paraId="71B921A0" w14:textId="77777777" w:rsidR="000D0870" w:rsidRPr="0054062D" w:rsidRDefault="000D0870" w:rsidP="0016576C">
      <w:pPr>
        <w:pStyle w:val="ListParagraph"/>
        <w:spacing w:after="0" w:line="360" w:lineRule="auto"/>
        <w:ind w:left="0"/>
        <w:jc w:val="both"/>
        <w:rPr>
          <w:rFonts w:ascii="Arial" w:hAnsi="Arial" w:cs="Arial"/>
          <w:sz w:val="24"/>
          <w:szCs w:val="24"/>
        </w:rPr>
      </w:pPr>
    </w:p>
    <w:p w14:paraId="4B9B8E5B" w14:textId="41B12F71" w:rsidR="003D6BA2" w:rsidRPr="00267882" w:rsidRDefault="00267882" w:rsidP="00267882">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D0870" w:rsidRPr="00267882">
        <w:rPr>
          <w:rFonts w:ascii="Arial" w:hAnsi="Arial" w:cs="Arial"/>
          <w:sz w:val="24"/>
          <w:szCs w:val="24"/>
        </w:rPr>
        <w:t>The effect of the respondent’s contention would be to leave the curator bereft of recompense.</w:t>
      </w:r>
      <w:r w:rsidR="001238CB" w:rsidRPr="00267882">
        <w:rPr>
          <w:rFonts w:ascii="Arial" w:hAnsi="Arial" w:cs="Arial"/>
          <w:sz w:val="24"/>
          <w:szCs w:val="24"/>
        </w:rPr>
        <w:t xml:space="preserve"> If the curator must be paid, </w:t>
      </w:r>
      <w:r w:rsidR="001E3511" w:rsidRPr="00267882">
        <w:rPr>
          <w:rFonts w:ascii="Arial" w:hAnsi="Arial" w:cs="Arial"/>
          <w:sz w:val="24"/>
          <w:szCs w:val="24"/>
        </w:rPr>
        <w:t>‘</w:t>
      </w:r>
      <w:r w:rsidR="001E3511" w:rsidRPr="00267882">
        <w:rPr>
          <w:rFonts w:ascii="Arial" w:hAnsi="Arial" w:cs="Arial"/>
          <w:i/>
          <w:iCs/>
          <w:sz w:val="24"/>
          <w:szCs w:val="24"/>
        </w:rPr>
        <w:t>in terms of section 84(1) of the Act, a curator is to receive some of his remuneration out of the “income collected” from the estate concerned, and the rest of the capital assets of such estate when these are realised and the proceeds paid or the assets are delivered or distributed at the end of the curatorship</w:t>
      </w:r>
      <w:r w:rsidR="001E3511" w:rsidRPr="00267882">
        <w:rPr>
          <w:rFonts w:ascii="Arial" w:hAnsi="Arial" w:cs="Arial"/>
          <w:iCs/>
          <w:sz w:val="24"/>
          <w:szCs w:val="24"/>
        </w:rPr>
        <w:t>’.</w:t>
      </w:r>
      <w:r w:rsidR="001238CB" w:rsidRPr="00A24A50">
        <w:rPr>
          <w:vertAlign w:val="superscript"/>
        </w:rPr>
        <w:footnoteReference w:id="4"/>
      </w:r>
      <w:r w:rsidR="001238CB" w:rsidRPr="00267882">
        <w:rPr>
          <w:rFonts w:ascii="Arial" w:hAnsi="Arial" w:cs="Arial"/>
          <w:sz w:val="24"/>
          <w:szCs w:val="24"/>
        </w:rPr>
        <w:t xml:space="preserve"> </w:t>
      </w:r>
    </w:p>
    <w:p w14:paraId="244A127A" w14:textId="77777777" w:rsidR="003D6BA2" w:rsidRPr="00A24A50" w:rsidRDefault="003D6BA2" w:rsidP="00A24A50">
      <w:pPr>
        <w:pStyle w:val="ListParagraph"/>
        <w:spacing w:after="0" w:line="360" w:lineRule="auto"/>
        <w:jc w:val="both"/>
        <w:rPr>
          <w:rFonts w:ascii="Arial" w:hAnsi="Arial" w:cs="Arial"/>
          <w:sz w:val="24"/>
          <w:szCs w:val="24"/>
        </w:rPr>
      </w:pPr>
    </w:p>
    <w:p w14:paraId="664BD9CE" w14:textId="65575C6A"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[17]</w:t>
      </w:r>
      <w:r w:rsidRPr="0054062D">
        <w:rPr>
          <w:rFonts w:ascii="Arial" w:hAnsi="Arial" w:cs="Arial"/>
          <w:sz w:val="24"/>
          <w:szCs w:val="24"/>
        </w:rPr>
        <w:tab/>
      </w:r>
      <w:r w:rsidR="000D0870" w:rsidRPr="00267882">
        <w:rPr>
          <w:rFonts w:ascii="Arial" w:hAnsi="Arial" w:cs="Arial"/>
          <w:sz w:val="24"/>
          <w:szCs w:val="24"/>
        </w:rPr>
        <w:t>The 2% tariff is not applicable for the reasons set out above. If the respondent has concerns that the 6% tariff is out of proportion, its remedy lies in s 84(2)</w:t>
      </w:r>
      <w:r w:rsidR="000D0870" w:rsidRPr="00267882">
        <w:rPr>
          <w:rFonts w:ascii="Arial" w:hAnsi="Arial" w:cs="Arial"/>
          <w:i/>
          <w:sz w:val="24"/>
          <w:szCs w:val="24"/>
        </w:rPr>
        <w:t>(a)</w:t>
      </w:r>
      <w:r w:rsidR="000D0870" w:rsidRPr="00267882">
        <w:rPr>
          <w:rFonts w:ascii="Arial" w:hAnsi="Arial" w:cs="Arial"/>
          <w:sz w:val="24"/>
          <w:szCs w:val="24"/>
        </w:rPr>
        <w:t xml:space="preserve"> or </w:t>
      </w:r>
      <w:r w:rsidR="000D0870" w:rsidRPr="00267882">
        <w:rPr>
          <w:rFonts w:ascii="Arial" w:hAnsi="Arial" w:cs="Arial"/>
          <w:i/>
          <w:sz w:val="24"/>
          <w:szCs w:val="24"/>
        </w:rPr>
        <w:t>(b)</w:t>
      </w:r>
      <w:r w:rsidR="000D0870" w:rsidRPr="00267882">
        <w:rPr>
          <w:rFonts w:ascii="Arial" w:hAnsi="Arial" w:cs="Arial"/>
          <w:sz w:val="24"/>
          <w:szCs w:val="24"/>
        </w:rPr>
        <w:t xml:space="preserve"> of the Act, in that the respondent can reduce, increase, or disallow a curator’s remuneration, where there are ‘special reasons’ for doing so. In this matter, the curatorship has not been terminated, therefore, regulation 8(3)</w:t>
      </w:r>
      <w:r w:rsidR="000D0870" w:rsidRPr="00267882">
        <w:rPr>
          <w:rFonts w:ascii="Arial" w:hAnsi="Arial" w:cs="Arial"/>
          <w:i/>
          <w:sz w:val="24"/>
          <w:szCs w:val="24"/>
        </w:rPr>
        <w:t>(b)</w:t>
      </w:r>
      <w:r w:rsidR="000D0870" w:rsidRPr="00267882">
        <w:rPr>
          <w:rFonts w:ascii="Arial" w:hAnsi="Arial" w:cs="Arial"/>
          <w:sz w:val="24"/>
          <w:szCs w:val="24"/>
        </w:rPr>
        <w:t xml:space="preserve"> finds no application. Accordingly, the appellants are entitled to 6% of the income received from the realised capital assets. </w:t>
      </w:r>
    </w:p>
    <w:p w14:paraId="06EF9638" w14:textId="77777777" w:rsidR="000D0870" w:rsidRPr="0054062D" w:rsidRDefault="000D0870" w:rsidP="0016576C">
      <w:pPr>
        <w:spacing w:after="0" w:line="360" w:lineRule="auto"/>
        <w:jc w:val="both"/>
        <w:rPr>
          <w:rFonts w:ascii="Arial" w:hAnsi="Arial" w:cs="Arial"/>
          <w:sz w:val="24"/>
          <w:szCs w:val="24"/>
        </w:rPr>
      </w:pPr>
    </w:p>
    <w:p w14:paraId="3062A8C7" w14:textId="77777777" w:rsidR="000D0870" w:rsidRPr="0054062D" w:rsidRDefault="000D0870" w:rsidP="0016576C">
      <w:pPr>
        <w:spacing w:after="0" w:line="360" w:lineRule="auto"/>
        <w:jc w:val="both"/>
        <w:rPr>
          <w:rFonts w:ascii="Arial" w:hAnsi="Arial" w:cs="Arial"/>
          <w:b/>
          <w:sz w:val="24"/>
          <w:szCs w:val="24"/>
        </w:rPr>
      </w:pPr>
      <w:r w:rsidRPr="0054062D">
        <w:rPr>
          <w:rFonts w:ascii="Arial" w:hAnsi="Arial" w:cs="Arial"/>
          <w:b/>
          <w:sz w:val="24"/>
          <w:szCs w:val="24"/>
        </w:rPr>
        <w:t xml:space="preserve">Costs </w:t>
      </w:r>
    </w:p>
    <w:p w14:paraId="74D37D53" w14:textId="4EF41F9D" w:rsidR="001238CB"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[18]</w:t>
      </w:r>
      <w:r w:rsidRPr="0054062D">
        <w:rPr>
          <w:rFonts w:ascii="Arial" w:hAnsi="Arial" w:cs="Arial"/>
          <w:sz w:val="24"/>
          <w:szCs w:val="24"/>
        </w:rPr>
        <w:tab/>
      </w:r>
      <w:r w:rsidR="001238CB" w:rsidRPr="00267882">
        <w:rPr>
          <w:rFonts w:ascii="Arial" w:hAnsi="Arial" w:cs="Arial"/>
          <w:sz w:val="24"/>
          <w:szCs w:val="24"/>
        </w:rPr>
        <w:t xml:space="preserve">The court </w:t>
      </w:r>
      <w:r w:rsidR="001238CB" w:rsidRPr="00267882">
        <w:rPr>
          <w:rFonts w:ascii="Arial" w:hAnsi="Arial" w:cs="Arial"/>
          <w:i/>
          <w:sz w:val="24"/>
          <w:szCs w:val="24"/>
        </w:rPr>
        <w:t xml:space="preserve">a quo </w:t>
      </w:r>
      <w:r w:rsidR="001238CB" w:rsidRPr="00267882">
        <w:rPr>
          <w:rFonts w:ascii="Arial" w:hAnsi="Arial" w:cs="Arial"/>
          <w:sz w:val="24"/>
          <w:szCs w:val="24"/>
        </w:rPr>
        <w:t>made</w:t>
      </w:r>
      <w:r w:rsidR="001238CB" w:rsidRPr="00267882">
        <w:rPr>
          <w:rFonts w:ascii="Arial" w:hAnsi="Arial" w:cs="Arial"/>
          <w:i/>
          <w:sz w:val="24"/>
          <w:szCs w:val="24"/>
        </w:rPr>
        <w:t xml:space="preserve"> </w:t>
      </w:r>
      <w:r w:rsidR="001238CB" w:rsidRPr="00267882">
        <w:rPr>
          <w:rFonts w:ascii="Arial" w:hAnsi="Arial" w:cs="Arial"/>
          <w:sz w:val="24"/>
          <w:szCs w:val="24"/>
        </w:rPr>
        <w:t xml:space="preserve">no order as to costs because the matter raised fairly complex issues of law. However, in this </w:t>
      </w:r>
      <w:r w:rsidR="008E70F4" w:rsidRPr="00267882">
        <w:rPr>
          <w:rFonts w:ascii="Arial" w:hAnsi="Arial" w:cs="Arial"/>
          <w:sz w:val="24"/>
          <w:szCs w:val="24"/>
        </w:rPr>
        <w:t>C</w:t>
      </w:r>
      <w:r w:rsidR="001238CB" w:rsidRPr="00267882">
        <w:rPr>
          <w:rFonts w:ascii="Arial" w:hAnsi="Arial" w:cs="Arial"/>
          <w:sz w:val="24"/>
          <w:szCs w:val="24"/>
        </w:rPr>
        <w:t>ourt, the appellants seek costs of two counsel, where so employed. The respondent contend</w:t>
      </w:r>
      <w:r w:rsidR="000721B5" w:rsidRPr="00267882">
        <w:rPr>
          <w:rFonts w:ascii="Arial" w:hAnsi="Arial" w:cs="Arial"/>
          <w:sz w:val="24"/>
          <w:szCs w:val="24"/>
        </w:rPr>
        <w:t>s</w:t>
      </w:r>
      <w:r w:rsidR="001238CB" w:rsidRPr="00267882">
        <w:rPr>
          <w:rFonts w:ascii="Arial" w:hAnsi="Arial" w:cs="Arial"/>
          <w:sz w:val="24"/>
          <w:szCs w:val="24"/>
        </w:rPr>
        <w:t xml:space="preserve"> that the usual costs order, that costs follow the result, should not apply. It must be borne in mind that the appellants instituted proceedings in their official capacities as curators, relating to their fees for the period 2018/2019. Because of the deadlock between the appellants and the respondent, the appellants launched an application for declaratory relief on 25 January 2021, which was served on the respondent on 2 February 2021.</w:t>
      </w:r>
    </w:p>
    <w:p w14:paraId="791CDF17" w14:textId="77777777" w:rsidR="000D0870" w:rsidRPr="0054062D" w:rsidRDefault="000D0870" w:rsidP="0016576C">
      <w:pPr>
        <w:pStyle w:val="ListParagraph"/>
        <w:spacing w:after="0" w:line="360" w:lineRule="auto"/>
        <w:ind w:left="0"/>
        <w:jc w:val="both"/>
        <w:rPr>
          <w:rFonts w:ascii="Arial" w:hAnsi="Arial" w:cs="Arial"/>
          <w:sz w:val="24"/>
          <w:szCs w:val="24"/>
        </w:rPr>
      </w:pPr>
    </w:p>
    <w:p w14:paraId="63A77C00" w14:textId="7F416E7A"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[19]</w:t>
      </w:r>
      <w:r w:rsidRPr="0054062D">
        <w:rPr>
          <w:rFonts w:ascii="Arial" w:hAnsi="Arial" w:cs="Arial"/>
          <w:sz w:val="24"/>
          <w:szCs w:val="24"/>
        </w:rPr>
        <w:tab/>
      </w:r>
      <w:r w:rsidR="000D0870" w:rsidRPr="00267882">
        <w:rPr>
          <w:rFonts w:ascii="Arial" w:hAnsi="Arial" w:cs="Arial"/>
          <w:sz w:val="24"/>
          <w:szCs w:val="24"/>
        </w:rPr>
        <w:t xml:space="preserve">On 23 February 2021, the respondent filed a notice of its intention to oppose the relief sought. The answering affidavit had to be filed on or before 12 March 2021, but was served in August 2021, some 100 court days later. The explanation for the delay appears to have been caused by the tender process involving the appointment of senior counsel and the unavailability of senior counsel. In this Court, the heads of argument were only filed on 7 September 2023, five days before the hearing of the appeal. The reason proffered for the delay was that the state attorney was unaware that an email was sent by this Court in April 2023. The email was discovered only on 21 August 2023. There is no explanation for the delay from 21 August 2023 until 7 September 2023. The explanation for the delays </w:t>
      </w:r>
      <w:r w:rsidR="003C2F72" w:rsidRPr="00267882">
        <w:rPr>
          <w:rFonts w:ascii="Arial" w:hAnsi="Arial" w:cs="Arial"/>
          <w:sz w:val="24"/>
          <w:szCs w:val="24"/>
        </w:rPr>
        <w:t>is</w:t>
      </w:r>
      <w:r w:rsidR="000D0870" w:rsidRPr="00267882">
        <w:rPr>
          <w:rFonts w:ascii="Arial" w:hAnsi="Arial" w:cs="Arial"/>
          <w:sz w:val="24"/>
          <w:szCs w:val="24"/>
        </w:rPr>
        <w:t xml:space="preserve"> unconvincing.  </w:t>
      </w:r>
    </w:p>
    <w:p w14:paraId="2B4CF593" w14:textId="77777777" w:rsidR="000D0870" w:rsidRPr="0054062D" w:rsidRDefault="000D0870" w:rsidP="0016576C">
      <w:pPr>
        <w:pStyle w:val="ListParagraph"/>
        <w:spacing w:after="0" w:line="360" w:lineRule="auto"/>
        <w:jc w:val="both"/>
        <w:rPr>
          <w:rFonts w:ascii="Arial" w:hAnsi="Arial" w:cs="Arial"/>
          <w:sz w:val="24"/>
          <w:szCs w:val="24"/>
        </w:rPr>
      </w:pPr>
    </w:p>
    <w:p w14:paraId="4275DF9E" w14:textId="37B10F0A"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[20]</w:t>
      </w:r>
      <w:r w:rsidRPr="0054062D">
        <w:rPr>
          <w:rFonts w:ascii="Arial" w:hAnsi="Arial" w:cs="Arial"/>
          <w:sz w:val="24"/>
          <w:szCs w:val="24"/>
        </w:rPr>
        <w:tab/>
      </w:r>
      <w:r w:rsidR="000D0870" w:rsidRPr="00267882">
        <w:rPr>
          <w:rFonts w:ascii="Arial" w:hAnsi="Arial" w:cs="Arial"/>
          <w:sz w:val="24"/>
          <w:szCs w:val="24"/>
        </w:rPr>
        <w:t xml:space="preserve">The respondent raised several points </w:t>
      </w:r>
      <w:r w:rsidR="000D0870" w:rsidRPr="00267882">
        <w:rPr>
          <w:rFonts w:ascii="Arial" w:hAnsi="Arial" w:cs="Arial"/>
          <w:i/>
          <w:sz w:val="24"/>
          <w:szCs w:val="24"/>
        </w:rPr>
        <w:t>in limine</w:t>
      </w:r>
      <w:r w:rsidR="000D0870" w:rsidRPr="00267882">
        <w:rPr>
          <w:rFonts w:ascii="Arial" w:hAnsi="Arial" w:cs="Arial"/>
          <w:sz w:val="24"/>
          <w:szCs w:val="24"/>
        </w:rPr>
        <w:t xml:space="preserve"> in the court </w:t>
      </w:r>
      <w:r w:rsidR="000D0870" w:rsidRPr="00267882">
        <w:rPr>
          <w:rFonts w:ascii="Arial" w:hAnsi="Arial" w:cs="Arial"/>
          <w:i/>
          <w:sz w:val="24"/>
          <w:szCs w:val="24"/>
        </w:rPr>
        <w:t>a quo</w:t>
      </w:r>
      <w:r w:rsidR="000D0870" w:rsidRPr="00267882">
        <w:rPr>
          <w:rFonts w:ascii="Arial" w:hAnsi="Arial" w:cs="Arial"/>
          <w:sz w:val="24"/>
          <w:szCs w:val="24"/>
        </w:rPr>
        <w:t xml:space="preserve">, all of which were dismissed. These points were repeated in the respondent’s heads of argument. </w:t>
      </w:r>
      <w:r w:rsidR="003C2F72" w:rsidRPr="00267882">
        <w:rPr>
          <w:rFonts w:ascii="Arial" w:hAnsi="Arial" w:cs="Arial"/>
          <w:sz w:val="24"/>
          <w:szCs w:val="24"/>
        </w:rPr>
        <w:t xml:space="preserve">Regrettably, it was only on the morning of this hearing that counsel for the respondent </w:t>
      </w:r>
      <w:r w:rsidR="003C2F72" w:rsidRPr="00267882">
        <w:rPr>
          <w:rFonts w:ascii="Arial" w:hAnsi="Arial" w:cs="Arial"/>
          <w:sz w:val="24"/>
          <w:szCs w:val="24"/>
        </w:rPr>
        <w:lastRenderedPageBreak/>
        <w:t>informed the appellant</w:t>
      </w:r>
      <w:r w:rsidR="00C7392C" w:rsidRPr="00267882">
        <w:rPr>
          <w:rFonts w:ascii="Arial" w:hAnsi="Arial" w:cs="Arial"/>
          <w:sz w:val="24"/>
          <w:szCs w:val="24"/>
        </w:rPr>
        <w:t>s</w:t>
      </w:r>
      <w:r w:rsidR="003C2F72" w:rsidRPr="00267882">
        <w:rPr>
          <w:rFonts w:ascii="Arial" w:hAnsi="Arial" w:cs="Arial"/>
          <w:sz w:val="24"/>
          <w:szCs w:val="24"/>
        </w:rPr>
        <w:t xml:space="preserve"> counsel that he was not persisting with the points </w:t>
      </w:r>
      <w:r w:rsidR="003C2F72" w:rsidRPr="00267882">
        <w:rPr>
          <w:rFonts w:ascii="Arial" w:hAnsi="Arial" w:cs="Arial"/>
          <w:i/>
          <w:sz w:val="24"/>
          <w:szCs w:val="24"/>
        </w:rPr>
        <w:t>in limine</w:t>
      </w:r>
      <w:r w:rsidR="003C2F72" w:rsidRPr="00267882">
        <w:rPr>
          <w:rFonts w:ascii="Arial" w:hAnsi="Arial" w:cs="Arial"/>
          <w:sz w:val="24"/>
          <w:szCs w:val="24"/>
        </w:rPr>
        <w:t xml:space="preserve">, and was only briefed to argue the matter on the merits.  </w:t>
      </w:r>
    </w:p>
    <w:p w14:paraId="3F109AB9" w14:textId="77777777" w:rsidR="000D0870" w:rsidRPr="0054062D" w:rsidRDefault="000D0870" w:rsidP="0016576C">
      <w:pPr>
        <w:pStyle w:val="ListParagraph"/>
        <w:spacing w:after="0" w:line="360" w:lineRule="auto"/>
        <w:jc w:val="both"/>
        <w:rPr>
          <w:rFonts w:ascii="Arial" w:hAnsi="Arial" w:cs="Arial"/>
          <w:sz w:val="24"/>
          <w:szCs w:val="24"/>
        </w:rPr>
      </w:pPr>
    </w:p>
    <w:p w14:paraId="7B0C7B61" w14:textId="3E440B9D"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[21]</w:t>
      </w:r>
      <w:r w:rsidRPr="0054062D">
        <w:rPr>
          <w:rFonts w:ascii="Arial" w:hAnsi="Arial" w:cs="Arial"/>
          <w:sz w:val="24"/>
          <w:szCs w:val="24"/>
        </w:rPr>
        <w:tab/>
      </w:r>
      <w:r w:rsidR="000D0870" w:rsidRPr="00267882">
        <w:rPr>
          <w:rFonts w:ascii="Arial" w:hAnsi="Arial" w:cs="Arial"/>
          <w:sz w:val="24"/>
          <w:szCs w:val="24"/>
        </w:rPr>
        <w:t xml:space="preserve">Another disturbing feature of this case is the statement of the respondent that the appellants are busy with some </w:t>
      </w:r>
      <w:r w:rsidR="00D456F3" w:rsidRPr="00267882">
        <w:rPr>
          <w:rFonts w:ascii="Arial" w:hAnsi="Arial" w:cs="Arial"/>
          <w:sz w:val="24"/>
          <w:szCs w:val="24"/>
        </w:rPr>
        <w:t xml:space="preserve">dubious </w:t>
      </w:r>
      <w:r w:rsidR="000D0870" w:rsidRPr="00267882">
        <w:rPr>
          <w:rFonts w:ascii="Arial" w:hAnsi="Arial" w:cs="Arial"/>
          <w:sz w:val="24"/>
          <w:szCs w:val="24"/>
        </w:rPr>
        <w:t>‘scheme’,</w:t>
      </w:r>
      <w:r w:rsidR="00D456F3" w:rsidRPr="0054062D">
        <w:t xml:space="preserve"> </w:t>
      </w:r>
      <w:r w:rsidR="00D456F3" w:rsidRPr="00267882">
        <w:rPr>
          <w:rFonts w:ascii="Arial" w:hAnsi="Arial" w:cs="Arial"/>
          <w:sz w:val="24"/>
          <w:szCs w:val="24"/>
        </w:rPr>
        <w:t>a serious allegation which is</w:t>
      </w:r>
      <w:r w:rsidR="000D0870" w:rsidRPr="00267882">
        <w:rPr>
          <w:rFonts w:ascii="Arial" w:hAnsi="Arial" w:cs="Arial"/>
          <w:sz w:val="24"/>
          <w:szCs w:val="24"/>
        </w:rPr>
        <w:t xml:space="preserve"> without any foundatio</w:t>
      </w:r>
      <w:r w:rsidR="00D456F3" w:rsidRPr="00267882">
        <w:rPr>
          <w:rFonts w:ascii="Arial" w:hAnsi="Arial" w:cs="Arial"/>
          <w:sz w:val="24"/>
          <w:szCs w:val="24"/>
        </w:rPr>
        <w:t>n or substance</w:t>
      </w:r>
      <w:r w:rsidR="000D0870" w:rsidRPr="00267882">
        <w:rPr>
          <w:rFonts w:ascii="Arial" w:hAnsi="Arial" w:cs="Arial"/>
          <w:sz w:val="24"/>
          <w:szCs w:val="24"/>
        </w:rPr>
        <w:t>. The first appellant is an attorney and the second appellant is a Judge of the High Court. One would expect that if scandalous allegations were made against officers of the court, there would be sound justification</w:t>
      </w:r>
      <w:r w:rsidR="00D456F3" w:rsidRPr="00267882">
        <w:rPr>
          <w:rFonts w:ascii="Arial" w:hAnsi="Arial" w:cs="Arial"/>
          <w:sz w:val="24"/>
          <w:szCs w:val="24"/>
        </w:rPr>
        <w:t xml:space="preserve"> for it</w:t>
      </w:r>
      <w:r w:rsidR="000D0870" w:rsidRPr="00267882">
        <w:rPr>
          <w:rFonts w:ascii="Arial" w:hAnsi="Arial" w:cs="Arial"/>
          <w:sz w:val="24"/>
          <w:szCs w:val="24"/>
        </w:rPr>
        <w:t>. It is the duty of this Court to protect the integrity of the legal system and to dissuade unwarranted attacks that undermine the administration of justice.</w:t>
      </w:r>
    </w:p>
    <w:p w14:paraId="28E61FB7" w14:textId="77777777" w:rsidR="000D0870" w:rsidRPr="0054062D" w:rsidRDefault="000D0870" w:rsidP="0016576C">
      <w:pPr>
        <w:pStyle w:val="ListParagraph"/>
        <w:spacing w:after="0" w:line="360" w:lineRule="auto"/>
        <w:jc w:val="both"/>
        <w:rPr>
          <w:rFonts w:ascii="Arial" w:hAnsi="Arial" w:cs="Arial"/>
          <w:sz w:val="24"/>
          <w:szCs w:val="24"/>
        </w:rPr>
      </w:pPr>
    </w:p>
    <w:p w14:paraId="1F5B837A" w14:textId="336FB786"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[22]</w:t>
      </w:r>
      <w:r w:rsidRPr="0054062D">
        <w:rPr>
          <w:rFonts w:ascii="Arial" w:hAnsi="Arial" w:cs="Arial"/>
          <w:sz w:val="24"/>
          <w:szCs w:val="24"/>
        </w:rPr>
        <w:tab/>
      </w:r>
      <w:r w:rsidR="000D0870" w:rsidRPr="00267882">
        <w:rPr>
          <w:rFonts w:ascii="Arial" w:hAnsi="Arial" w:cs="Arial"/>
          <w:sz w:val="24"/>
          <w:szCs w:val="24"/>
        </w:rPr>
        <w:t>It is trite that a court must exercise its discretion judicially when it awards costs. As a general rule the successful party should have his or her costs awarded. There are exceptions where a successful party is deprived of his or her costs. Depriving successful parties of their costs can depend on circumstances such as: the conduct of the parties; the conduct of the legal representative; whether a party has had only a technical success; and the nature of the litigation.</w:t>
      </w:r>
      <w:r w:rsidR="000D0870" w:rsidRPr="0054062D">
        <w:rPr>
          <w:rStyle w:val="FootnoteReference"/>
          <w:rFonts w:ascii="Arial" w:hAnsi="Arial" w:cs="Arial"/>
          <w:sz w:val="24"/>
          <w:szCs w:val="24"/>
        </w:rPr>
        <w:footnoteReference w:id="5"/>
      </w:r>
    </w:p>
    <w:p w14:paraId="14CFAA8D" w14:textId="77777777" w:rsidR="000D0870" w:rsidRPr="0054062D" w:rsidRDefault="000D0870" w:rsidP="0016576C">
      <w:pPr>
        <w:pStyle w:val="ListParagraph"/>
        <w:spacing w:after="0" w:line="360" w:lineRule="auto"/>
        <w:jc w:val="both"/>
        <w:rPr>
          <w:rFonts w:ascii="Arial" w:hAnsi="Arial" w:cs="Arial"/>
          <w:sz w:val="24"/>
          <w:szCs w:val="24"/>
        </w:rPr>
      </w:pPr>
    </w:p>
    <w:p w14:paraId="7DCEA4C8" w14:textId="7879FD40"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[23]</w:t>
      </w:r>
      <w:r w:rsidRPr="0054062D">
        <w:rPr>
          <w:rFonts w:ascii="Arial" w:hAnsi="Arial" w:cs="Arial"/>
          <w:sz w:val="24"/>
          <w:szCs w:val="24"/>
        </w:rPr>
        <w:tab/>
      </w:r>
      <w:r w:rsidR="000D0870" w:rsidRPr="00267882">
        <w:rPr>
          <w:rFonts w:ascii="Arial" w:hAnsi="Arial" w:cs="Arial"/>
          <w:sz w:val="24"/>
          <w:szCs w:val="24"/>
        </w:rPr>
        <w:t xml:space="preserve">Because the State and the government are considered legal </w:t>
      </w:r>
      <w:r w:rsidR="000D0870" w:rsidRPr="00267882">
        <w:rPr>
          <w:rFonts w:ascii="Arial" w:hAnsi="Arial" w:cs="Arial"/>
          <w:i/>
          <w:sz w:val="24"/>
          <w:szCs w:val="24"/>
        </w:rPr>
        <w:t>personae</w:t>
      </w:r>
      <w:r w:rsidR="000D0870" w:rsidRPr="00267882">
        <w:rPr>
          <w:rFonts w:ascii="Arial" w:hAnsi="Arial" w:cs="Arial"/>
          <w:sz w:val="24"/>
          <w:szCs w:val="24"/>
        </w:rPr>
        <w:t>,</w:t>
      </w:r>
      <w:r w:rsidR="000D0870" w:rsidRPr="0054062D">
        <w:rPr>
          <w:rStyle w:val="FootnoteReference"/>
          <w:rFonts w:ascii="Arial" w:hAnsi="Arial" w:cs="Arial"/>
          <w:sz w:val="24"/>
          <w:szCs w:val="24"/>
        </w:rPr>
        <w:footnoteReference w:id="6"/>
      </w:r>
      <w:r w:rsidR="000D0870" w:rsidRPr="00267882">
        <w:rPr>
          <w:rFonts w:ascii="Arial" w:hAnsi="Arial" w:cs="Arial"/>
          <w:sz w:val="24"/>
          <w:szCs w:val="24"/>
        </w:rPr>
        <w:t xml:space="preserve"> they can be held liable for the costs of litigation.</w:t>
      </w:r>
      <w:r w:rsidR="000D0870" w:rsidRPr="0054062D">
        <w:rPr>
          <w:rStyle w:val="FootnoteReference"/>
          <w:rFonts w:ascii="Arial" w:hAnsi="Arial" w:cs="Arial"/>
          <w:sz w:val="24"/>
          <w:szCs w:val="24"/>
        </w:rPr>
        <w:footnoteReference w:id="7"/>
      </w:r>
      <w:r w:rsidR="000D0870" w:rsidRPr="00267882">
        <w:rPr>
          <w:rFonts w:ascii="Arial" w:hAnsi="Arial" w:cs="Arial"/>
          <w:sz w:val="24"/>
          <w:szCs w:val="24"/>
        </w:rPr>
        <w:t xml:space="preserve"> There are, however, special rules relating to an award of costs involving statutory, quasi-judicial bodies and public officers.</w:t>
      </w:r>
      <w:r w:rsidR="000D0870" w:rsidRPr="0054062D">
        <w:rPr>
          <w:rStyle w:val="FootnoteReference"/>
          <w:rFonts w:ascii="Arial" w:hAnsi="Arial" w:cs="Arial"/>
          <w:sz w:val="24"/>
          <w:szCs w:val="24"/>
        </w:rPr>
        <w:footnoteReference w:id="8"/>
      </w:r>
      <w:r w:rsidR="000D0870" w:rsidRPr="00267882">
        <w:rPr>
          <w:rFonts w:ascii="Arial" w:hAnsi="Arial" w:cs="Arial"/>
          <w:sz w:val="24"/>
          <w:szCs w:val="24"/>
        </w:rPr>
        <w:t xml:space="preserve"> Statutory, quasi-judicial bodies and public officials, even if mistaken but </w:t>
      </w:r>
      <w:r w:rsidR="000D0870" w:rsidRPr="00267882">
        <w:rPr>
          <w:rFonts w:ascii="Arial" w:hAnsi="Arial" w:cs="Arial"/>
          <w:i/>
          <w:sz w:val="24"/>
          <w:szCs w:val="24"/>
        </w:rPr>
        <w:t>bona fide</w:t>
      </w:r>
      <w:r w:rsidR="000D0870" w:rsidRPr="00267882">
        <w:rPr>
          <w:rFonts w:ascii="Arial" w:hAnsi="Arial" w:cs="Arial"/>
          <w:sz w:val="24"/>
          <w:szCs w:val="24"/>
        </w:rPr>
        <w:t>, generally should not have costs awarded against them.</w:t>
      </w:r>
      <w:r w:rsidR="000D0870" w:rsidRPr="0054062D">
        <w:rPr>
          <w:rStyle w:val="FootnoteReference"/>
          <w:rFonts w:ascii="Arial" w:hAnsi="Arial" w:cs="Arial"/>
          <w:sz w:val="24"/>
          <w:szCs w:val="24"/>
        </w:rPr>
        <w:footnoteReference w:id="9"/>
      </w:r>
      <w:r w:rsidR="000D0870" w:rsidRPr="00267882">
        <w:rPr>
          <w:rFonts w:ascii="Arial" w:hAnsi="Arial" w:cs="Arial"/>
          <w:sz w:val="24"/>
          <w:szCs w:val="24"/>
        </w:rPr>
        <w:t xml:space="preserve"> Nevertheless, this general rule is subject to qualification.</w:t>
      </w:r>
      <w:r w:rsidR="000D0870" w:rsidRPr="0054062D">
        <w:rPr>
          <w:rStyle w:val="FootnoteReference"/>
          <w:rFonts w:ascii="Arial" w:hAnsi="Arial" w:cs="Arial"/>
          <w:sz w:val="24"/>
          <w:szCs w:val="24"/>
        </w:rPr>
        <w:footnoteReference w:id="10"/>
      </w:r>
      <w:r w:rsidR="000D0870" w:rsidRPr="00267882">
        <w:rPr>
          <w:rFonts w:ascii="Arial" w:hAnsi="Arial" w:cs="Arial"/>
          <w:sz w:val="24"/>
          <w:szCs w:val="24"/>
        </w:rPr>
        <w:t xml:space="preserve"> Where a public official’s conduct is anything but </w:t>
      </w:r>
      <w:r w:rsidR="000D0870" w:rsidRPr="00267882">
        <w:rPr>
          <w:rFonts w:ascii="Arial" w:hAnsi="Arial" w:cs="Arial"/>
          <w:i/>
          <w:sz w:val="24"/>
          <w:szCs w:val="24"/>
        </w:rPr>
        <w:t xml:space="preserve">mala </w:t>
      </w:r>
      <w:r w:rsidR="000D0870" w:rsidRPr="00267882">
        <w:rPr>
          <w:rFonts w:ascii="Arial" w:hAnsi="Arial" w:cs="Arial"/>
          <w:i/>
          <w:sz w:val="24"/>
          <w:szCs w:val="24"/>
        </w:rPr>
        <w:lastRenderedPageBreak/>
        <w:t>fide</w:t>
      </w:r>
      <w:r w:rsidR="000D0870" w:rsidRPr="00267882">
        <w:rPr>
          <w:rFonts w:ascii="Arial" w:hAnsi="Arial" w:cs="Arial"/>
          <w:sz w:val="24"/>
          <w:szCs w:val="24"/>
        </w:rPr>
        <w:t xml:space="preserve"> or grossly irregular, a court can exercise its discretion and award costs against a public official, where the circumstances justify such.</w:t>
      </w:r>
      <w:r w:rsidR="000D0870" w:rsidRPr="0054062D">
        <w:rPr>
          <w:rStyle w:val="FootnoteReference"/>
          <w:rFonts w:ascii="Arial" w:hAnsi="Arial" w:cs="Arial"/>
          <w:sz w:val="24"/>
          <w:szCs w:val="24"/>
        </w:rPr>
        <w:footnoteReference w:id="11"/>
      </w:r>
    </w:p>
    <w:p w14:paraId="7B948A62" w14:textId="77777777" w:rsidR="000D0870" w:rsidRPr="0054062D" w:rsidRDefault="000D0870" w:rsidP="0016576C">
      <w:pPr>
        <w:pStyle w:val="ListParagraph"/>
        <w:spacing w:after="0" w:line="360" w:lineRule="auto"/>
        <w:jc w:val="both"/>
        <w:rPr>
          <w:rFonts w:ascii="Arial" w:hAnsi="Arial" w:cs="Arial"/>
          <w:sz w:val="24"/>
          <w:szCs w:val="24"/>
        </w:rPr>
      </w:pPr>
    </w:p>
    <w:p w14:paraId="368BAB09" w14:textId="203C02A0" w:rsidR="000D0870"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[24]</w:t>
      </w:r>
      <w:r w:rsidRPr="0054062D">
        <w:rPr>
          <w:rFonts w:ascii="Arial" w:hAnsi="Arial" w:cs="Arial"/>
          <w:sz w:val="24"/>
          <w:szCs w:val="24"/>
        </w:rPr>
        <w:tab/>
      </w:r>
      <w:r w:rsidR="000D0870" w:rsidRPr="00267882">
        <w:rPr>
          <w:rFonts w:ascii="Arial" w:hAnsi="Arial" w:cs="Arial"/>
          <w:sz w:val="24"/>
          <w:szCs w:val="24"/>
        </w:rPr>
        <w:t>In this case the long delay in filing the answering affidavit, the lateness of the heads of argument, for flimsy reasons, and the unfounded scandalous statement that was made against the appellants, an attorney and a Judge of the High Court, are relevant circumstances. M</w:t>
      </w:r>
      <w:r w:rsidR="00054A95" w:rsidRPr="00267882">
        <w:rPr>
          <w:rFonts w:ascii="Arial" w:hAnsi="Arial" w:cs="Arial"/>
          <w:sz w:val="24"/>
          <w:szCs w:val="24"/>
        </w:rPr>
        <w:t>oreover, it would be unjust</w:t>
      </w:r>
      <w:r w:rsidR="000D0870" w:rsidRPr="00267882">
        <w:rPr>
          <w:rFonts w:ascii="Arial" w:hAnsi="Arial" w:cs="Arial"/>
          <w:sz w:val="24"/>
          <w:szCs w:val="24"/>
        </w:rPr>
        <w:t xml:space="preserve"> for the costs to be borne by the estate of the patient. The fact that the respondent was acting in </w:t>
      </w:r>
      <w:r w:rsidR="002F7E10" w:rsidRPr="00267882">
        <w:rPr>
          <w:rFonts w:ascii="Arial" w:hAnsi="Arial" w:cs="Arial"/>
          <w:sz w:val="24"/>
          <w:szCs w:val="24"/>
        </w:rPr>
        <w:t>its</w:t>
      </w:r>
      <w:r w:rsidR="000D0870" w:rsidRPr="00267882">
        <w:rPr>
          <w:rFonts w:ascii="Arial" w:hAnsi="Arial" w:cs="Arial"/>
          <w:sz w:val="24"/>
          <w:szCs w:val="24"/>
        </w:rPr>
        <w:t xml:space="preserve"> official capacity is not a sufficient reason to deprive the appellants of their costs. The conduct of the respondent during the proceedings to the extent that </w:t>
      </w:r>
      <w:r w:rsidR="002F7E10" w:rsidRPr="00267882">
        <w:rPr>
          <w:rFonts w:ascii="Arial" w:hAnsi="Arial" w:cs="Arial"/>
          <w:sz w:val="24"/>
          <w:szCs w:val="24"/>
        </w:rPr>
        <w:t>the respondent chose to raise points that were unhelpful, its opposition on the merits which was a bare denial,</w:t>
      </w:r>
      <w:r w:rsidR="000D0870" w:rsidRPr="00267882">
        <w:rPr>
          <w:rFonts w:ascii="Arial" w:hAnsi="Arial" w:cs="Arial"/>
          <w:sz w:val="24"/>
          <w:szCs w:val="24"/>
        </w:rPr>
        <w:t xml:space="preserve"> instead of assisting the court to reach a just decision</w:t>
      </w:r>
      <w:r w:rsidR="002F7E10" w:rsidRPr="00267882">
        <w:rPr>
          <w:rFonts w:ascii="Arial" w:hAnsi="Arial" w:cs="Arial"/>
          <w:sz w:val="24"/>
          <w:szCs w:val="24"/>
        </w:rPr>
        <w:t>,</w:t>
      </w:r>
      <w:r w:rsidR="000D0870" w:rsidRPr="00267882">
        <w:rPr>
          <w:rFonts w:ascii="Arial" w:hAnsi="Arial" w:cs="Arial"/>
          <w:sz w:val="24"/>
          <w:szCs w:val="24"/>
        </w:rPr>
        <w:t xml:space="preserve"> </w:t>
      </w:r>
      <w:r w:rsidR="002F7E10" w:rsidRPr="00267882">
        <w:rPr>
          <w:rFonts w:ascii="Arial" w:hAnsi="Arial" w:cs="Arial"/>
          <w:sz w:val="24"/>
          <w:szCs w:val="24"/>
        </w:rPr>
        <w:t>is worthy of this Court’s rebuke. The respondent could have abided the decision of this Court. Accordingly, this is an extraordinary case where a costs order should be made against the respondent.</w:t>
      </w:r>
    </w:p>
    <w:p w14:paraId="48C0B747" w14:textId="77777777" w:rsidR="002F7E10" w:rsidRPr="0054062D" w:rsidRDefault="002F7E10" w:rsidP="0016576C">
      <w:pPr>
        <w:pStyle w:val="ListParagraph"/>
        <w:spacing w:after="0" w:line="360" w:lineRule="auto"/>
        <w:jc w:val="both"/>
        <w:rPr>
          <w:rFonts w:ascii="Arial" w:hAnsi="Arial" w:cs="Arial"/>
          <w:sz w:val="24"/>
          <w:szCs w:val="24"/>
        </w:rPr>
      </w:pPr>
    </w:p>
    <w:p w14:paraId="48911EE4" w14:textId="106FE761" w:rsidR="00AA4617" w:rsidRPr="00267882" w:rsidRDefault="00267882" w:rsidP="00267882">
      <w:pPr>
        <w:spacing w:after="0" w:line="360" w:lineRule="auto"/>
        <w:jc w:val="both"/>
        <w:rPr>
          <w:rFonts w:ascii="Arial" w:hAnsi="Arial" w:cs="Arial"/>
          <w:sz w:val="24"/>
          <w:szCs w:val="24"/>
        </w:rPr>
      </w:pPr>
      <w:r w:rsidRPr="0054062D">
        <w:rPr>
          <w:rFonts w:ascii="Arial" w:hAnsi="Arial" w:cs="Arial"/>
          <w:sz w:val="24"/>
          <w:szCs w:val="24"/>
        </w:rPr>
        <w:t>[25]</w:t>
      </w:r>
      <w:r w:rsidRPr="0054062D">
        <w:rPr>
          <w:rFonts w:ascii="Arial" w:hAnsi="Arial" w:cs="Arial"/>
          <w:sz w:val="24"/>
          <w:szCs w:val="24"/>
        </w:rPr>
        <w:tab/>
      </w:r>
      <w:r w:rsidR="00AA4617" w:rsidRPr="00267882">
        <w:rPr>
          <w:rFonts w:ascii="Arial" w:hAnsi="Arial" w:cs="Arial"/>
          <w:sz w:val="24"/>
          <w:szCs w:val="24"/>
        </w:rPr>
        <w:t xml:space="preserve">In the result, the following order is made:   </w:t>
      </w:r>
    </w:p>
    <w:p w14:paraId="025AE593" w14:textId="77777777" w:rsidR="00AA4617" w:rsidRPr="0054062D" w:rsidRDefault="00AA4617" w:rsidP="0016576C">
      <w:pPr>
        <w:spacing w:after="0" w:line="360" w:lineRule="auto"/>
        <w:jc w:val="both"/>
        <w:rPr>
          <w:rFonts w:ascii="Arial" w:hAnsi="Arial" w:cs="Arial"/>
          <w:sz w:val="24"/>
          <w:szCs w:val="24"/>
        </w:rPr>
      </w:pPr>
      <w:r w:rsidRPr="0054062D">
        <w:rPr>
          <w:rFonts w:ascii="Arial" w:hAnsi="Arial" w:cs="Arial"/>
          <w:sz w:val="24"/>
          <w:szCs w:val="24"/>
        </w:rPr>
        <w:t>1</w:t>
      </w:r>
      <w:r w:rsidRPr="0054062D">
        <w:rPr>
          <w:rFonts w:ascii="Arial" w:hAnsi="Arial" w:cs="Arial"/>
          <w:sz w:val="24"/>
          <w:szCs w:val="24"/>
        </w:rPr>
        <w:tab/>
        <w:t>The appeal is upheld with costs, such costs to include the costs of two counsel, where so employed.</w:t>
      </w:r>
    </w:p>
    <w:p w14:paraId="7425FC96" w14:textId="77777777" w:rsidR="00AA4617" w:rsidRPr="0054062D" w:rsidRDefault="00AA4617" w:rsidP="0016576C">
      <w:pPr>
        <w:spacing w:after="0" w:line="360" w:lineRule="auto"/>
        <w:jc w:val="both"/>
        <w:rPr>
          <w:rFonts w:ascii="Arial" w:hAnsi="Arial" w:cs="Arial"/>
          <w:sz w:val="24"/>
          <w:szCs w:val="24"/>
        </w:rPr>
      </w:pPr>
      <w:r w:rsidRPr="0054062D">
        <w:rPr>
          <w:rFonts w:ascii="Arial" w:hAnsi="Arial" w:cs="Arial"/>
          <w:sz w:val="24"/>
          <w:szCs w:val="24"/>
        </w:rPr>
        <w:t>2</w:t>
      </w:r>
      <w:r w:rsidRPr="0054062D">
        <w:rPr>
          <w:rFonts w:ascii="Arial" w:hAnsi="Arial" w:cs="Arial"/>
          <w:sz w:val="24"/>
          <w:szCs w:val="24"/>
        </w:rPr>
        <w:tab/>
        <w:t xml:space="preserve">The order of the high court is set aside and replaced with the following: </w:t>
      </w:r>
    </w:p>
    <w:p w14:paraId="7057EB92" w14:textId="5626554A" w:rsidR="00AA4617" w:rsidRPr="0054062D" w:rsidRDefault="00AA4617" w:rsidP="0016576C">
      <w:pPr>
        <w:spacing w:after="0" w:line="360" w:lineRule="auto"/>
        <w:ind w:left="720"/>
        <w:jc w:val="both"/>
        <w:rPr>
          <w:rFonts w:ascii="Arial" w:hAnsi="Arial" w:cs="Arial"/>
          <w:sz w:val="24"/>
          <w:szCs w:val="24"/>
        </w:rPr>
      </w:pPr>
      <w:r w:rsidRPr="0054062D">
        <w:rPr>
          <w:rFonts w:ascii="Arial" w:hAnsi="Arial" w:cs="Arial"/>
          <w:sz w:val="24"/>
          <w:szCs w:val="24"/>
        </w:rPr>
        <w:t xml:space="preserve">‘1. </w:t>
      </w:r>
      <w:r w:rsidRPr="0054062D">
        <w:rPr>
          <w:rFonts w:ascii="Arial" w:hAnsi="Arial" w:cs="Arial"/>
          <w:sz w:val="24"/>
          <w:szCs w:val="24"/>
        </w:rPr>
        <w:tab/>
        <w:t>It is declared that the proceeds of the Absa current account, the sale of the vehicle and the debt collected from Dr Rita Nel, as reflected in the First Annual Curator’s Account in respect of the patient J</w:t>
      </w:r>
      <w:r w:rsidR="00E62F17">
        <w:rPr>
          <w:rFonts w:ascii="Arial" w:hAnsi="Arial" w:cs="Arial"/>
          <w:sz w:val="24"/>
          <w:szCs w:val="24"/>
        </w:rPr>
        <w:t xml:space="preserve"> </w:t>
      </w:r>
      <w:r w:rsidRPr="0054062D">
        <w:rPr>
          <w:rFonts w:ascii="Arial" w:hAnsi="Arial" w:cs="Arial"/>
          <w:sz w:val="24"/>
          <w:szCs w:val="24"/>
        </w:rPr>
        <w:t>H</w:t>
      </w:r>
      <w:r w:rsidR="00E62F17">
        <w:rPr>
          <w:rFonts w:ascii="Arial" w:hAnsi="Arial" w:cs="Arial"/>
          <w:sz w:val="24"/>
          <w:szCs w:val="24"/>
        </w:rPr>
        <w:t xml:space="preserve"> </w:t>
      </w:r>
      <w:r w:rsidRPr="0054062D">
        <w:rPr>
          <w:rFonts w:ascii="Arial" w:hAnsi="Arial" w:cs="Arial"/>
          <w:sz w:val="24"/>
          <w:szCs w:val="24"/>
        </w:rPr>
        <w:t>J van Dyk (Ref: MC751/2017), are correctly reflected as income and that these assets are not capital assets in the patient’s estate.</w:t>
      </w:r>
    </w:p>
    <w:p w14:paraId="77F53227" w14:textId="77777777" w:rsidR="00AA4617" w:rsidRPr="0054062D" w:rsidRDefault="00AA4617" w:rsidP="0016576C">
      <w:pPr>
        <w:spacing w:after="0" w:line="360" w:lineRule="auto"/>
        <w:ind w:left="720"/>
        <w:jc w:val="both"/>
        <w:rPr>
          <w:rFonts w:ascii="Arial" w:hAnsi="Arial" w:cs="Arial"/>
          <w:sz w:val="24"/>
          <w:szCs w:val="24"/>
        </w:rPr>
      </w:pPr>
      <w:r w:rsidRPr="0054062D">
        <w:rPr>
          <w:rFonts w:ascii="Arial" w:hAnsi="Arial" w:cs="Arial"/>
          <w:sz w:val="24"/>
          <w:szCs w:val="24"/>
        </w:rPr>
        <w:t>2.</w:t>
      </w:r>
      <w:r w:rsidRPr="0054062D">
        <w:rPr>
          <w:rFonts w:ascii="Arial" w:hAnsi="Arial" w:cs="Arial"/>
          <w:sz w:val="24"/>
          <w:szCs w:val="24"/>
        </w:rPr>
        <w:tab/>
        <w:t xml:space="preserve">A curator </w:t>
      </w:r>
      <w:r w:rsidRPr="00A24A50">
        <w:rPr>
          <w:rFonts w:ascii="Arial" w:hAnsi="Arial" w:cs="Arial"/>
          <w:i/>
          <w:sz w:val="24"/>
          <w:szCs w:val="24"/>
        </w:rPr>
        <w:t>bonis</w:t>
      </w:r>
      <w:r w:rsidRPr="0054062D">
        <w:rPr>
          <w:rFonts w:ascii="Arial" w:hAnsi="Arial" w:cs="Arial"/>
          <w:sz w:val="24"/>
          <w:szCs w:val="24"/>
        </w:rPr>
        <w:t xml:space="preserve"> is entitled to a 6% fee on all funds reflected in the income account of an annual curators’ account as collected or actually collected, regardless of the origin thereof.</w:t>
      </w:r>
    </w:p>
    <w:p w14:paraId="475BEA9E" w14:textId="6708459E" w:rsidR="000D0870" w:rsidRDefault="00AA4617" w:rsidP="007A28F4">
      <w:pPr>
        <w:spacing w:after="0" w:line="360" w:lineRule="auto"/>
        <w:ind w:left="720"/>
        <w:jc w:val="both"/>
        <w:rPr>
          <w:rFonts w:ascii="Arial" w:hAnsi="Arial" w:cs="Arial"/>
          <w:sz w:val="24"/>
          <w:szCs w:val="24"/>
        </w:rPr>
      </w:pPr>
      <w:r w:rsidRPr="0054062D">
        <w:rPr>
          <w:rFonts w:ascii="Arial" w:hAnsi="Arial" w:cs="Arial"/>
          <w:sz w:val="24"/>
          <w:szCs w:val="24"/>
        </w:rPr>
        <w:t>3.</w:t>
      </w:r>
      <w:r w:rsidRPr="0054062D">
        <w:rPr>
          <w:rFonts w:ascii="Arial" w:hAnsi="Arial" w:cs="Arial"/>
          <w:sz w:val="24"/>
          <w:szCs w:val="24"/>
        </w:rPr>
        <w:tab/>
        <w:t>The respondent is ordered to pay the costs of this application, which includes the costs of two counsel where so employed.’</w:t>
      </w:r>
    </w:p>
    <w:p w14:paraId="6396F6FF" w14:textId="77777777" w:rsidR="007A28F4" w:rsidRDefault="007A28F4" w:rsidP="007A28F4">
      <w:pPr>
        <w:spacing w:after="0" w:line="360" w:lineRule="auto"/>
        <w:ind w:left="720"/>
        <w:jc w:val="both"/>
        <w:rPr>
          <w:rFonts w:ascii="Arial" w:hAnsi="Arial" w:cs="Arial"/>
          <w:sz w:val="24"/>
          <w:szCs w:val="24"/>
        </w:rPr>
      </w:pPr>
    </w:p>
    <w:p w14:paraId="42BAB2C4" w14:textId="77777777" w:rsidR="007A28F4" w:rsidRDefault="007A28F4" w:rsidP="007A28F4">
      <w:pPr>
        <w:spacing w:after="0" w:line="360" w:lineRule="auto"/>
        <w:ind w:left="720"/>
        <w:jc w:val="both"/>
        <w:rPr>
          <w:rFonts w:ascii="Arial" w:hAnsi="Arial" w:cs="Arial"/>
          <w:sz w:val="24"/>
          <w:szCs w:val="24"/>
        </w:rPr>
      </w:pPr>
    </w:p>
    <w:p w14:paraId="443181CF" w14:textId="1DD9DF20" w:rsidR="007A28F4" w:rsidRDefault="007A28F4" w:rsidP="0098706E">
      <w:pPr>
        <w:tabs>
          <w:tab w:val="left" w:pos="6937"/>
        </w:tabs>
        <w:spacing w:after="0" w:line="360" w:lineRule="auto"/>
        <w:ind w:left="720"/>
        <w:jc w:val="both"/>
        <w:rPr>
          <w:rFonts w:ascii="Arial" w:hAnsi="Arial" w:cs="Arial"/>
          <w:sz w:val="24"/>
          <w:szCs w:val="24"/>
        </w:rPr>
      </w:pPr>
    </w:p>
    <w:p w14:paraId="15E1D057" w14:textId="77777777" w:rsidR="0098706E" w:rsidRDefault="0098706E" w:rsidP="0098706E">
      <w:pPr>
        <w:tabs>
          <w:tab w:val="left" w:pos="6937"/>
        </w:tabs>
        <w:spacing w:after="0" w:line="360" w:lineRule="auto"/>
        <w:ind w:left="720"/>
        <w:jc w:val="both"/>
        <w:rPr>
          <w:rFonts w:ascii="Arial" w:hAnsi="Arial" w:cs="Arial"/>
          <w:sz w:val="24"/>
          <w:szCs w:val="24"/>
        </w:rPr>
      </w:pPr>
    </w:p>
    <w:p w14:paraId="5A11D346" w14:textId="77777777" w:rsidR="0098706E" w:rsidRDefault="0098706E" w:rsidP="0098706E">
      <w:pPr>
        <w:tabs>
          <w:tab w:val="left" w:pos="6937"/>
        </w:tabs>
        <w:spacing w:after="0" w:line="360" w:lineRule="auto"/>
        <w:ind w:left="720"/>
        <w:jc w:val="both"/>
        <w:rPr>
          <w:rFonts w:ascii="Arial" w:hAnsi="Arial" w:cs="Arial"/>
          <w:sz w:val="24"/>
          <w:szCs w:val="24"/>
        </w:rPr>
      </w:pPr>
    </w:p>
    <w:p w14:paraId="39E4F059" w14:textId="77777777" w:rsidR="0098706E" w:rsidRPr="007A28F4" w:rsidRDefault="0098706E" w:rsidP="0098706E">
      <w:pPr>
        <w:tabs>
          <w:tab w:val="left" w:pos="6937"/>
        </w:tabs>
        <w:spacing w:after="0" w:line="360" w:lineRule="auto"/>
        <w:ind w:left="720"/>
        <w:jc w:val="both"/>
        <w:rPr>
          <w:rFonts w:ascii="Arial" w:hAnsi="Arial" w:cs="Arial"/>
          <w:sz w:val="24"/>
          <w:szCs w:val="24"/>
        </w:rPr>
      </w:pPr>
    </w:p>
    <w:p w14:paraId="2C44862B" w14:textId="4CA1876D" w:rsidR="000D0870" w:rsidRPr="0054062D" w:rsidRDefault="000D0870" w:rsidP="000D0870">
      <w:pPr>
        <w:tabs>
          <w:tab w:val="left" w:pos="6807"/>
        </w:tabs>
        <w:spacing w:after="0" w:line="360" w:lineRule="auto"/>
        <w:jc w:val="right"/>
        <w:rPr>
          <w:rFonts w:ascii="Arial" w:hAnsi="Arial" w:cs="Arial"/>
          <w:sz w:val="24"/>
          <w:szCs w:val="24"/>
        </w:rPr>
      </w:pPr>
      <w:r w:rsidRPr="0054062D">
        <w:rPr>
          <w:rFonts w:ascii="Arial" w:hAnsi="Arial" w:cs="Arial"/>
          <w:sz w:val="24"/>
          <w:szCs w:val="24"/>
        </w:rPr>
        <w:t>___________________</w:t>
      </w:r>
    </w:p>
    <w:p w14:paraId="5BDBE022" w14:textId="77777777" w:rsidR="000D0870" w:rsidRPr="0054062D" w:rsidRDefault="000D0870" w:rsidP="000D0870">
      <w:pPr>
        <w:tabs>
          <w:tab w:val="left" w:pos="6807"/>
        </w:tabs>
        <w:spacing w:after="0" w:line="360" w:lineRule="auto"/>
        <w:jc w:val="right"/>
        <w:rPr>
          <w:rFonts w:ascii="Arial" w:hAnsi="Arial" w:cs="Arial"/>
          <w:sz w:val="24"/>
          <w:szCs w:val="24"/>
        </w:rPr>
      </w:pPr>
      <w:r w:rsidRPr="0054062D">
        <w:rPr>
          <w:rFonts w:ascii="Arial" w:hAnsi="Arial" w:cs="Arial"/>
          <w:sz w:val="24"/>
          <w:szCs w:val="24"/>
        </w:rPr>
        <w:t>Z CARELSE</w:t>
      </w:r>
    </w:p>
    <w:p w14:paraId="1D326141" w14:textId="77777777" w:rsidR="000D0870" w:rsidRPr="0054062D" w:rsidRDefault="000D0870" w:rsidP="000D0870">
      <w:pPr>
        <w:tabs>
          <w:tab w:val="left" w:pos="6807"/>
        </w:tabs>
        <w:spacing w:after="0" w:line="360" w:lineRule="auto"/>
        <w:jc w:val="right"/>
        <w:rPr>
          <w:rFonts w:ascii="Arial" w:hAnsi="Arial" w:cs="Arial"/>
          <w:sz w:val="24"/>
          <w:szCs w:val="24"/>
        </w:rPr>
      </w:pPr>
      <w:r w:rsidRPr="0054062D">
        <w:rPr>
          <w:rFonts w:ascii="Arial" w:hAnsi="Arial" w:cs="Arial"/>
          <w:sz w:val="24"/>
          <w:szCs w:val="24"/>
        </w:rPr>
        <w:t>JUDGE OF APPEAL</w:t>
      </w:r>
    </w:p>
    <w:p w14:paraId="30C9B97B" w14:textId="77777777" w:rsidR="000D0870" w:rsidRPr="0054062D" w:rsidRDefault="000D0870" w:rsidP="000D0870">
      <w:pPr>
        <w:spacing w:after="0" w:line="360" w:lineRule="auto"/>
        <w:jc w:val="both"/>
        <w:rPr>
          <w:rFonts w:ascii="Arial" w:hAnsi="Arial" w:cs="Arial"/>
          <w:sz w:val="24"/>
          <w:szCs w:val="24"/>
        </w:rPr>
      </w:pPr>
    </w:p>
    <w:p w14:paraId="45DD665F" w14:textId="77777777" w:rsidR="000D0870" w:rsidRPr="0054062D" w:rsidRDefault="000D0870" w:rsidP="000D0870">
      <w:pPr>
        <w:spacing w:line="360" w:lineRule="auto"/>
        <w:jc w:val="both"/>
        <w:rPr>
          <w:rFonts w:ascii="Arial" w:hAnsi="Arial" w:cs="Arial"/>
          <w:sz w:val="24"/>
          <w:szCs w:val="24"/>
        </w:rPr>
      </w:pPr>
    </w:p>
    <w:p w14:paraId="606438DE" w14:textId="08677FDA" w:rsidR="000D0870" w:rsidRPr="0054062D" w:rsidRDefault="000D0870" w:rsidP="00E61733">
      <w:pPr>
        <w:rPr>
          <w:rFonts w:ascii="Arial" w:hAnsi="Arial" w:cs="Arial"/>
          <w:sz w:val="24"/>
          <w:szCs w:val="24"/>
          <w:lang w:val="en-GB"/>
        </w:rPr>
      </w:pPr>
      <w:r w:rsidRPr="0054062D">
        <w:rPr>
          <w:rFonts w:ascii="Arial" w:hAnsi="Arial" w:cs="Arial"/>
          <w:sz w:val="24"/>
          <w:szCs w:val="24"/>
          <w:lang w:val="en-GB"/>
        </w:rPr>
        <w:br w:type="page"/>
      </w:r>
      <w:r w:rsidRPr="0054062D">
        <w:rPr>
          <w:rFonts w:ascii="Arial" w:hAnsi="Arial" w:cs="Arial"/>
          <w:sz w:val="24"/>
          <w:szCs w:val="24"/>
          <w:lang w:val="en-GB"/>
        </w:rPr>
        <w:lastRenderedPageBreak/>
        <w:t>Appearances</w:t>
      </w:r>
    </w:p>
    <w:p w14:paraId="7FE6908F" w14:textId="77777777" w:rsidR="000D0870" w:rsidRPr="0054062D" w:rsidRDefault="000D0870" w:rsidP="000D0870">
      <w:pPr>
        <w:spacing w:after="0" w:line="360" w:lineRule="auto"/>
        <w:jc w:val="both"/>
        <w:rPr>
          <w:rFonts w:ascii="Arial" w:hAnsi="Arial" w:cs="Arial"/>
          <w:sz w:val="24"/>
          <w:szCs w:val="24"/>
        </w:rPr>
      </w:pPr>
    </w:p>
    <w:p w14:paraId="4B44BE14" w14:textId="77777777" w:rsidR="000D0870" w:rsidRPr="0054062D" w:rsidRDefault="000D0870" w:rsidP="000D0870">
      <w:pPr>
        <w:spacing w:after="0" w:line="360" w:lineRule="auto"/>
        <w:jc w:val="both"/>
        <w:rPr>
          <w:rFonts w:ascii="Arial" w:hAnsi="Arial" w:cs="Arial"/>
          <w:sz w:val="24"/>
          <w:szCs w:val="24"/>
        </w:rPr>
      </w:pPr>
      <w:r w:rsidRPr="0054062D">
        <w:rPr>
          <w:rFonts w:ascii="Arial" w:hAnsi="Arial" w:cs="Arial"/>
          <w:sz w:val="24"/>
          <w:szCs w:val="24"/>
        </w:rPr>
        <w:t>For the appellants:</w:t>
      </w:r>
      <w:r w:rsidRPr="0054062D">
        <w:rPr>
          <w:rFonts w:ascii="Arial" w:hAnsi="Arial" w:cs="Arial"/>
          <w:sz w:val="24"/>
          <w:szCs w:val="24"/>
        </w:rPr>
        <w:tab/>
      </w:r>
      <w:r w:rsidRPr="0054062D">
        <w:rPr>
          <w:rFonts w:ascii="Arial" w:hAnsi="Arial" w:cs="Arial"/>
          <w:sz w:val="24"/>
          <w:szCs w:val="24"/>
        </w:rPr>
        <w:tab/>
        <w:t>P G Cilliers SC and A P J Bouwer</w:t>
      </w:r>
    </w:p>
    <w:p w14:paraId="273CD01F" w14:textId="77777777" w:rsidR="000D0870" w:rsidRPr="0054062D" w:rsidRDefault="000D0870" w:rsidP="000D0870">
      <w:pPr>
        <w:spacing w:after="0" w:line="360" w:lineRule="auto"/>
        <w:jc w:val="both"/>
        <w:rPr>
          <w:rFonts w:ascii="Arial" w:hAnsi="Arial" w:cs="Arial"/>
          <w:sz w:val="24"/>
          <w:szCs w:val="24"/>
        </w:rPr>
      </w:pPr>
      <w:r w:rsidRPr="0054062D">
        <w:rPr>
          <w:rFonts w:ascii="Arial" w:hAnsi="Arial" w:cs="Arial"/>
          <w:sz w:val="24"/>
          <w:szCs w:val="24"/>
        </w:rPr>
        <w:t>Instructed by:</w:t>
      </w:r>
      <w:r w:rsidRPr="0054062D">
        <w:rPr>
          <w:rFonts w:ascii="Arial" w:hAnsi="Arial" w:cs="Arial"/>
          <w:sz w:val="24"/>
          <w:szCs w:val="24"/>
        </w:rPr>
        <w:tab/>
      </w:r>
      <w:r w:rsidRPr="0054062D">
        <w:rPr>
          <w:rFonts w:ascii="Arial" w:hAnsi="Arial" w:cs="Arial"/>
          <w:sz w:val="24"/>
          <w:szCs w:val="24"/>
        </w:rPr>
        <w:tab/>
        <w:t xml:space="preserve">WF Bouwer Attorneys Incorporated, Pretoria </w:t>
      </w:r>
    </w:p>
    <w:p w14:paraId="6308FA58" w14:textId="77777777" w:rsidR="000D0870" w:rsidRPr="0054062D" w:rsidRDefault="000D0870" w:rsidP="000D0870">
      <w:pPr>
        <w:spacing w:after="0" w:line="360" w:lineRule="auto"/>
        <w:ind w:left="2160" w:firstLine="720"/>
        <w:jc w:val="both"/>
        <w:rPr>
          <w:rFonts w:ascii="Arial" w:hAnsi="Arial" w:cs="Arial"/>
          <w:sz w:val="24"/>
          <w:szCs w:val="24"/>
        </w:rPr>
      </w:pPr>
      <w:r w:rsidRPr="0054062D">
        <w:rPr>
          <w:rFonts w:ascii="Arial" w:hAnsi="Arial" w:cs="Arial"/>
          <w:sz w:val="24"/>
          <w:szCs w:val="24"/>
        </w:rPr>
        <w:t>Symington De Kok, Bloemfontein</w:t>
      </w:r>
    </w:p>
    <w:p w14:paraId="6A78EDF0" w14:textId="77777777" w:rsidR="000D0870" w:rsidRPr="0054062D" w:rsidRDefault="000D0870" w:rsidP="000D0870">
      <w:pPr>
        <w:spacing w:after="0" w:line="360" w:lineRule="auto"/>
        <w:jc w:val="both"/>
        <w:rPr>
          <w:rFonts w:ascii="Arial" w:hAnsi="Arial" w:cs="Arial"/>
          <w:sz w:val="24"/>
          <w:szCs w:val="24"/>
        </w:rPr>
      </w:pPr>
    </w:p>
    <w:p w14:paraId="3C4D0693" w14:textId="77777777" w:rsidR="000D0870" w:rsidRPr="0054062D" w:rsidRDefault="000D0870" w:rsidP="000D0870">
      <w:pPr>
        <w:spacing w:after="0" w:line="360" w:lineRule="auto"/>
        <w:jc w:val="both"/>
        <w:rPr>
          <w:rFonts w:ascii="Arial" w:hAnsi="Arial" w:cs="Arial"/>
          <w:sz w:val="24"/>
          <w:szCs w:val="24"/>
        </w:rPr>
      </w:pPr>
      <w:r w:rsidRPr="0054062D">
        <w:rPr>
          <w:rFonts w:ascii="Arial" w:hAnsi="Arial" w:cs="Arial"/>
          <w:sz w:val="24"/>
          <w:szCs w:val="24"/>
        </w:rPr>
        <w:t>For the respondent:</w:t>
      </w:r>
      <w:r w:rsidRPr="0054062D">
        <w:rPr>
          <w:rFonts w:ascii="Arial" w:hAnsi="Arial" w:cs="Arial"/>
          <w:sz w:val="24"/>
          <w:szCs w:val="24"/>
        </w:rPr>
        <w:tab/>
      </w:r>
      <w:r w:rsidRPr="0054062D">
        <w:rPr>
          <w:rFonts w:ascii="Arial" w:hAnsi="Arial" w:cs="Arial"/>
          <w:sz w:val="24"/>
          <w:szCs w:val="24"/>
        </w:rPr>
        <w:tab/>
        <w:t>M Malowa SC and P Dube</w:t>
      </w:r>
    </w:p>
    <w:p w14:paraId="72020EF0" w14:textId="77777777" w:rsidR="000D0870" w:rsidRPr="0054062D" w:rsidRDefault="000D0870" w:rsidP="000D0870">
      <w:pPr>
        <w:spacing w:after="0" w:line="360" w:lineRule="auto"/>
        <w:jc w:val="both"/>
        <w:rPr>
          <w:rFonts w:ascii="Arial" w:hAnsi="Arial" w:cs="Arial"/>
          <w:sz w:val="24"/>
          <w:szCs w:val="24"/>
        </w:rPr>
      </w:pPr>
      <w:r w:rsidRPr="0054062D">
        <w:rPr>
          <w:rFonts w:ascii="Arial" w:hAnsi="Arial" w:cs="Arial"/>
          <w:sz w:val="24"/>
          <w:szCs w:val="24"/>
        </w:rPr>
        <w:t xml:space="preserve">Instructed by: </w:t>
      </w:r>
      <w:r w:rsidRPr="0054062D">
        <w:rPr>
          <w:rFonts w:ascii="Arial" w:hAnsi="Arial" w:cs="Arial"/>
          <w:sz w:val="24"/>
          <w:szCs w:val="24"/>
        </w:rPr>
        <w:tab/>
      </w:r>
      <w:r w:rsidRPr="0054062D">
        <w:rPr>
          <w:rFonts w:ascii="Arial" w:hAnsi="Arial" w:cs="Arial"/>
          <w:sz w:val="24"/>
          <w:szCs w:val="24"/>
        </w:rPr>
        <w:tab/>
        <w:t>State Attorney, Pretoria</w:t>
      </w:r>
    </w:p>
    <w:p w14:paraId="54040FB6" w14:textId="77777777" w:rsidR="000D0870" w:rsidRPr="00EA4260" w:rsidRDefault="000D0870" w:rsidP="000D0870">
      <w:pPr>
        <w:spacing w:after="0" w:line="360" w:lineRule="auto"/>
        <w:ind w:left="2160" w:firstLine="720"/>
        <w:jc w:val="both"/>
        <w:rPr>
          <w:rFonts w:ascii="Arial" w:hAnsi="Arial" w:cs="Arial"/>
          <w:sz w:val="24"/>
          <w:szCs w:val="24"/>
        </w:rPr>
      </w:pPr>
      <w:r w:rsidRPr="0054062D">
        <w:rPr>
          <w:rFonts w:ascii="Arial" w:hAnsi="Arial" w:cs="Arial"/>
          <w:sz w:val="24"/>
          <w:szCs w:val="24"/>
        </w:rPr>
        <w:t>State Attorney, Bloemfontein</w:t>
      </w:r>
    </w:p>
    <w:p w14:paraId="3ADBA324" w14:textId="77777777" w:rsidR="000D0870" w:rsidRPr="00E30EDB" w:rsidRDefault="000D0870" w:rsidP="000D0870">
      <w:pPr>
        <w:spacing w:line="360" w:lineRule="auto"/>
        <w:jc w:val="both"/>
        <w:rPr>
          <w:rFonts w:ascii="Arial" w:hAnsi="Arial" w:cs="Arial"/>
          <w:sz w:val="24"/>
          <w:szCs w:val="24"/>
        </w:rPr>
      </w:pPr>
    </w:p>
    <w:p w14:paraId="170E76BF" w14:textId="77777777" w:rsidR="000D0870" w:rsidRPr="00E30EDB" w:rsidRDefault="000D0870" w:rsidP="000D0870">
      <w:pPr>
        <w:spacing w:line="360" w:lineRule="auto"/>
        <w:jc w:val="both"/>
        <w:rPr>
          <w:rFonts w:ascii="Arial" w:hAnsi="Arial" w:cs="Arial"/>
          <w:sz w:val="24"/>
          <w:szCs w:val="24"/>
        </w:rPr>
      </w:pPr>
    </w:p>
    <w:p w14:paraId="20EE289F" w14:textId="77777777" w:rsidR="000D0870" w:rsidRPr="00E30EDB" w:rsidRDefault="000D0870" w:rsidP="000D0870">
      <w:pPr>
        <w:spacing w:line="360" w:lineRule="auto"/>
        <w:jc w:val="both"/>
        <w:rPr>
          <w:rFonts w:ascii="Arial" w:hAnsi="Arial" w:cs="Arial"/>
          <w:sz w:val="24"/>
          <w:szCs w:val="24"/>
        </w:rPr>
      </w:pPr>
    </w:p>
    <w:p w14:paraId="6B992E2E" w14:textId="77777777" w:rsidR="000D0870" w:rsidRPr="00E30EDB" w:rsidRDefault="000D0870" w:rsidP="000D0870">
      <w:pPr>
        <w:spacing w:line="360" w:lineRule="auto"/>
        <w:jc w:val="both"/>
        <w:rPr>
          <w:rFonts w:ascii="Arial" w:hAnsi="Arial" w:cs="Arial"/>
        </w:rPr>
      </w:pPr>
    </w:p>
    <w:p w14:paraId="64F54973" w14:textId="77777777" w:rsidR="008B14D4" w:rsidRDefault="008B14D4"/>
    <w:sectPr w:rsidR="008B14D4" w:rsidSect="00E30ED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722B5" w14:textId="77777777" w:rsidR="00CB03A3" w:rsidRDefault="00CB03A3" w:rsidP="000D0870">
      <w:pPr>
        <w:spacing w:after="0" w:line="240" w:lineRule="auto"/>
      </w:pPr>
      <w:r>
        <w:separator/>
      </w:r>
    </w:p>
  </w:endnote>
  <w:endnote w:type="continuationSeparator" w:id="0">
    <w:p w14:paraId="0128DAE8" w14:textId="77777777" w:rsidR="00CB03A3" w:rsidRDefault="00CB03A3" w:rsidP="000D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3C393" w14:textId="77777777" w:rsidR="00CB03A3" w:rsidRDefault="00CB03A3" w:rsidP="000D0870">
      <w:pPr>
        <w:spacing w:after="0" w:line="240" w:lineRule="auto"/>
      </w:pPr>
      <w:r>
        <w:separator/>
      </w:r>
    </w:p>
  </w:footnote>
  <w:footnote w:type="continuationSeparator" w:id="0">
    <w:p w14:paraId="2EC9DE5B" w14:textId="77777777" w:rsidR="00CB03A3" w:rsidRDefault="00CB03A3" w:rsidP="000D0870">
      <w:pPr>
        <w:spacing w:after="0" w:line="240" w:lineRule="auto"/>
      </w:pPr>
      <w:r>
        <w:continuationSeparator/>
      </w:r>
    </w:p>
  </w:footnote>
  <w:footnote w:id="1">
    <w:p w14:paraId="784286ED" w14:textId="4DB23D5D" w:rsidR="000D0870" w:rsidRPr="0054062D" w:rsidRDefault="000D0870" w:rsidP="000D0870">
      <w:pPr>
        <w:pStyle w:val="FootnoteText"/>
        <w:jc w:val="both"/>
        <w:rPr>
          <w:rFonts w:ascii="Arial" w:hAnsi="Arial" w:cs="Arial"/>
        </w:rPr>
      </w:pPr>
      <w:r w:rsidRPr="0054062D">
        <w:rPr>
          <w:rStyle w:val="FootnoteReference"/>
        </w:rPr>
        <w:footnoteRef/>
      </w:r>
      <w:r w:rsidRPr="0054062D">
        <w:t xml:space="preserve"> </w:t>
      </w:r>
      <w:r w:rsidRPr="0054062D">
        <w:rPr>
          <w:rFonts w:ascii="Arial" w:hAnsi="Arial" w:cs="Arial"/>
        </w:rPr>
        <w:t xml:space="preserve"> Regulations promulgated under s 103 of Act 66 of 1965, GNR 473, </w:t>
      </w:r>
      <w:r w:rsidRPr="0054062D">
        <w:rPr>
          <w:rFonts w:ascii="Arial" w:hAnsi="Arial" w:cs="Arial"/>
          <w:i/>
        </w:rPr>
        <w:t>GG</w:t>
      </w:r>
      <w:r w:rsidRPr="0054062D">
        <w:rPr>
          <w:rFonts w:ascii="Arial" w:hAnsi="Arial" w:cs="Arial"/>
        </w:rPr>
        <w:t xml:space="preserve"> 3425, 24 March 1972</w:t>
      </w:r>
      <w:r w:rsidR="00AF256D">
        <w:rPr>
          <w:rFonts w:ascii="Arial" w:hAnsi="Arial" w:cs="Arial"/>
        </w:rPr>
        <w:t xml:space="preserve"> </w:t>
      </w:r>
      <w:r w:rsidR="00AF256D" w:rsidRPr="00AF256D">
        <w:rPr>
          <w:rFonts w:ascii="Arial" w:hAnsi="Arial" w:cs="Arial"/>
        </w:rPr>
        <w:t>(the Estates Regulations).</w:t>
      </w:r>
    </w:p>
  </w:footnote>
  <w:footnote w:id="2">
    <w:p w14:paraId="09EF5A13" w14:textId="77777777" w:rsidR="00853D1D" w:rsidRPr="00114B63" w:rsidRDefault="00853D1D" w:rsidP="00853D1D">
      <w:pPr>
        <w:pStyle w:val="FootnoteText"/>
        <w:jc w:val="both"/>
        <w:rPr>
          <w:rFonts w:ascii="Arial" w:hAnsi="Arial" w:cs="Arial"/>
        </w:rPr>
      </w:pPr>
      <w:r w:rsidRPr="00FE7853">
        <w:rPr>
          <w:rStyle w:val="FootnoteReference"/>
          <w:rFonts w:ascii="Arial" w:hAnsi="Arial" w:cs="Arial"/>
        </w:rPr>
        <w:footnoteRef/>
      </w:r>
      <w:r w:rsidRPr="00FE7853">
        <w:rPr>
          <w:rFonts w:ascii="Arial" w:hAnsi="Arial" w:cs="Arial"/>
        </w:rPr>
        <w:t xml:space="preserve"> Rule 57(</w:t>
      </w:r>
      <w:r w:rsidRPr="00114B63">
        <w:rPr>
          <w:rFonts w:ascii="Arial" w:hAnsi="Arial" w:cs="Arial"/>
        </w:rPr>
        <w:t>1) of the Uniform Rules of Court provides:</w:t>
      </w:r>
    </w:p>
    <w:p w14:paraId="3E5F4C51" w14:textId="77777777" w:rsidR="00853D1D" w:rsidRPr="00114B63" w:rsidRDefault="00853D1D" w:rsidP="00853D1D">
      <w:pPr>
        <w:pStyle w:val="FootnoteText"/>
        <w:jc w:val="both"/>
        <w:rPr>
          <w:rFonts w:ascii="Arial" w:hAnsi="Arial" w:cs="Arial"/>
        </w:rPr>
      </w:pPr>
      <w:r w:rsidRPr="00CF6D94">
        <w:rPr>
          <w:rFonts w:ascii="Arial" w:hAnsi="Arial" w:cs="Arial"/>
        </w:rPr>
        <w:t xml:space="preserve">‘Any person desirous of making an application to the court for an order declaring another person (hereinafter referred to as “the patient”) to be of unsound mind and consequently incapable of managing his or her own affairs, and appointing a curator to the person or property of such patient shall in the first instance apply to the court for the appointment of a curator </w:t>
      </w:r>
      <w:r w:rsidRPr="00FF1117">
        <w:rPr>
          <w:rFonts w:ascii="Arial" w:hAnsi="Arial" w:cs="Arial"/>
          <w:i/>
        </w:rPr>
        <w:t>ad litem</w:t>
      </w:r>
      <w:r w:rsidRPr="00FE7853">
        <w:rPr>
          <w:rFonts w:ascii="Arial" w:hAnsi="Arial" w:cs="Arial"/>
        </w:rPr>
        <w:t xml:space="preserve"> to such patient.’</w:t>
      </w:r>
    </w:p>
  </w:footnote>
  <w:footnote w:id="3">
    <w:p w14:paraId="732D3B44" w14:textId="1FED1045" w:rsidR="00E10E3E" w:rsidRPr="00A24A50" w:rsidRDefault="00E10E3E" w:rsidP="00A24A50">
      <w:pPr>
        <w:pStyle w:val="FootnoteText"/>
        <w:jc w:val="both"/>
        <w:rPr>
          <w:rFonts w:ascii="Arial" w:hAnsi="Arial" w:cs="Arial"/>
        </w:rPr>
      </w:pPr>
      <w:r w:rsidRPr="00A24A50">
        <w:rPr>
          <w:rStyle w:val="FootnoteReference"/>
          <w:rFonts w:ascii="Arial" w:hAnsi="Arial" w:cs="Arial"/>
        </w:rPr>
        <w:footnoteRef/>
      </w:r>
      <w:r w:rsidRPr="00A24A50">
        <w:rPr>
          <w:rFonts w:ascii="Arial" w:hAnsi="Arial" w:cs="Arial"/>
        </w:rPr>
        <w:t xml:space="preserve"> See para 4 above</w:t>
      </w:r>
      <w:r w:rsidR="002A04C9">
        <w:rPr>
          <w:rFonts w:ascii="Arial" w:hAnsi="Arial" w:cs="Arial"/>
        </w:rPr>
        <w:t>.</w:t>
      </w:r>
    </w:p>
  </w:footnote>
  <w:footnote w:id="4">
    <w:p w14:paraId="29328D1F" w14:textId="305ED6C6" w:rsidR="001238CB" w:rsidRPr="00A24A50" w:rsidRDefault="001238CB" w:rsidP="00A24A50">
      <w:pPr>
        <w:pStyle w:val="FootnoteText"/>
        <w:jc w:val="both"/>
        <w:rPr>
          <w:rFonts w:ascii="Arial" w:hAnsi="Arial" w:cs="Arial"/>
          <w:lang w:val="en-GB"/>
        </w:rPr>
      </w:pPr>
      <w:r w:rsidRPr="00A24A50">
        <w:rPr>
          <w:rStyle w:val="FootnoteReference"/>
          <w:rFonts w:ascii="Arial" w:hAnsi="Arial" w:cs="Arial"/>
        </w:rPr>
        <w:footnoteRef/>
      </w:r>
      <w:r w:rsidRPr="00A24A50">
        <w:rPr>
          <w:rFonts w:ascii="Arial" w:hAnsi="Arial" w:cs="Arial"/>
        </w:rPr>
        <w:t xml:space="preserve"> </w:t>
      </w:r>
      <w:r w:rsidRPr="006975DA">
        <w:rPr>
          <w:rFonts w:ascii="Arial" w:hAnsi="Arial" w:cs="Arial"/>
          <w:i/>
          <w:iCs/>
        </w:rPr>
        <w:t>Burne</w:t>
      </w:r>
      <w:r w:rsidR="001E3511">
        <w:rPr>
          <w:rFonts w:ascii="Arial" w:hAnsi="Arial" w:cs="Arial"/>
          <w:i/>
          <w:iCs/>
        </w:rPr>
        <w:t xml:space="preserve"> and Another</w:t>
      </w:r>
      <w:r w:rsidRPr="006975DA">
        <w:rPr>
          <w:rFonts w:ascii="Arial" w:hAnsi="Arial" w:cs="Arial"/>
          <w:i/>
          <w:iCs/>
        </w:rPr>
        <w:t xml:space="preserve"> </w:t>
      </w:r>
      <w:r w:rsidR="001E3511">
        <w:rPr>
          <w:rFonts w:ascii="Arial" w:hAnsi="Arial" w:cs="Arial"/>
          <w:i/>
          <w:iCs/>
        </w:rPr>
        <w:t>N</w:t>
      </w:r>
      <w:r w:rsidRPr="006975DA">
        <w:rPr>
          <w:rFonts w:ascii="Arial" w:hAnsi="Arial" w:cs="Arial"/>
          <w:i/>
          <w:iCs/>
        </w:rPr>
        <w:t>NO v Master of the High Court, Natal Provincial Division</w:t>
      </w:r>
      <w:r w:rsidR="001E3511">
        <w:rPr>
          <w:rFonts w:ascii="Arial" w:hAnsi="Arial" w:cs="Arial"/>
          <w:i/>
          <w:iCs/>
        </w:rPr>
        <w:t xml:space="preserve"> </w:t>
      </w:r>
      <w:r w:rsidR="001E3511" w:rsidRPr="00A24A50">
        <w:rPr>
          <w:rFonts w:ascii="Arial" w:hAnsi="Arial" w:cs="Arial"/>
          <w:iCs/>
        </w:rPr>
        <w:t>(</w:t>
      </w:r>
      <w:r w:rsidRPr="006975DA">
        <w:rPr>
          <w:rFonts w:ascii="Arial" w:hAnsi="Arial" w:cs="Arial"/>
        </w:rPr>
        <w:t>2937/97</w:t>
      </w:r>
      <w:r w:rsidR="001E3511">
        <w:rPr>
          <w:rFonts w:ascii="Arial" w:hAnsi="Arial" w:cs="Arial"/>
        </w:rPr>
        <w:t xml:space="preserve">) (an unreported judgment from </w:t>
      </w:r>
      <w:r w:rsidR="001E3511" w:rsidRPr="001E3511">
        <w:rPr>
          <w:rFonts w:ascii="Arial" w:hAnsi="Arial" w:cs="Arial"/>
        </w:rPr>
        <w:t>the</w:t>
      </w:r>
      <w:r w:rsidR="001E3511" w:rsidRPr="00A24A50">
        <w:rPr>
          <w:rFonts w:ascii="Arial" w:hAnsi="Arial" w:cs="Arial"/>
          <w:iCs/>
        </w:rPr>
        <w:t xml:space="preserve"> Natal Provincial Division</w:t>
      </w:r>
      <w:r w:rsidR="001E3511">
        <w:rPr>
          <w:rFonts w:ascii="Arial" w:hAnsi="Arial" w:cs="Arial"/>
        </w:rPr>
        <w:t xml:space="preserve"> delivered on 14 September 1998)</w:t>
      </w:r>
      <w:r w:rsidR="00C34598">
        <w:rPr>
          <w:rFonts w:ascii="Arial" w:hAnsi="Arial" w:cs="Arial"/>
        </w:rPr>
        <w:t xml:space="preserve"> at 9</w:t>
      </w:r>
      <w:r w:rsidRPr="006975DA">
        <w:rPr>
          <w:rFonts w:ascii="Arial" w:hAnsi="Arial" w:cs="Arial"/>
        </w:rPr>
        <w:t>.</w:t>
      </w:r>
    </w:p>
  </w:footnote>
  <w:footnote w:id="5">
    <w:p w14:paraId="549604FA" w14:textId="77777777" w:rsidR="000D0870" w:rsidRPr="003F4CBA" w:rsidRDefault="000D0870" w:rsidP="003F4CBA">
      <w:pPr>
        <w:pStyle w:val="FootnoteText"/>
        <w:jc w:val="both"/>
        <w:rPr>
          <w:rFonts w:ascii="Arial" w:hAnsi="Arial" w:cs="Arial"/>
          <w:lang w:val="en-GB"/>
        </w:rPr>
      </w:pPr>
      <w:r w:rsidRPr="003F4CBA">
        <w:rPr>
          <w:rStyle w:val="FootnoteReference"/>
          <w:rFonts w:ascii="Arial" w:hAnsi="Arial" w:cs="Arial"/>
        </w:rPr>
        <w:footnoteRef/>
      </w:r>
      <w:r w:rsidRPr="003F4CBA">
        <w:rPr>
          <w:rFonts w:ascii="Arial" w:hAnsi="Arial" w:cs="Arial"/>
          <w:i/>
        </w:rPr>
        <w:t xml:space="preserve"> </w:t>
      </w:r>
      <w:r w:rsidRPr="003F4CBA">
        <w:rPr>
          <w:rFonts w:ascii="Arial" w:hAnsi="Arial" w:cs="Arial"/>
        </w:rPr>
        <w:t xml:space="preserve">A C Cilliers </w:t>
      </w:r>
      <w:r w:rsidRPr="003F4CBA">
        <w:rPr>
          <w:rFonts w:ascii="Arial" w:hAnsi="Arial" w:cs="Arial"/>
          <w:i/>
        </w:rPr>
        <w:t>Law of Costs</w:t>
      </w:r>
      <w:r w:rsidRPr="003F4CBA">
        <w:rPr>
          <w:rFonts w:ascii="Arial" w:hAnsi="Arial" w:cs="Arial"/>
        </w:rPr>
        <w:t xml:space="preserve"> (2019) SI 40 at 3-3–3-4</w:t>
      </w:r>
      <w:r w:rsidRPr="003F4CBA">
        <w:rPr>
          <w:rFonts w:ascii="Arial" w:hAnsi="Arial" w:cs="Arial"/>
          <w:lang w:val="en-GB"/>
        </w:rPr>
        <w:t xml:space="preserve">.  </w:t>
      </w:r>
    </w:p>
  </w:footnote>
  <w:footnote w:id="6">
    <w:p w14:paraId="1A49C3C3" w14:textId="77777777" w:rsidR="000D0870" w:rsidRPr="003F4CBA" w:rsidRDefault="000D0870" w:rsidP="003F4CBA">
      <w:pPr>
        <w:pStyle w:val="FootnoteText"/>
        <w:jc w:val="both"/>
        <w:rPr>
          <w:rFonts w:ascii="Arial" w:hAnsi="Arial" w:cs="Arial"/>
          <w:lang w:val="en-GB"/>
        </w:rPr>
      </w:pPr>
      <w:r w:rsidRPr="003F4CBA">
        <w:rPr>
          <w:rStyle w:val="FootnoteReference"/>
          <w:rFonts w:ascii="Arial" w:hAnsi="Arial" w:cs="Arial"/>
        </w:rPr>
        <w:footnoteRef/>
      </w:r>
      <w:r w:rsidRPr="003F4CBA">
        <w:rPr>
          <w:rFonts w:ascii="Arial" w:hAnsi="Arial" w:cs="Arial"/>
        </w:rPr>
        <w:t xml:space="preserve"> Ibid at 10-4. </w:t>
      </w:r>
    </w:p>
  </w:footnote>
  <w:footnote w:id="7">
    <w:p w14:paraId="1AE7DA9F" w14:textId="77777777" w:rsidR="000D0870" w:rsidRPr="003F4CBA" w:rsidRDefault="000D0870" w:rsidP="003F4CBA">
      <w:pPr>
        <w:pStyle w:val="FootnoteText"/>
        <w:jc w:val="both"/>
        <w:rPr>
          <w:rFonts w:ascii="Arial" w:hAnsi="Arial" w:cs="Arial"/>
          <w:lang w:val="en-GB"/>
        </w:rPr>
      </w:pPr>
      <w:r w:rsidRPr="003F4CBA">
        <w:rPr>
          <w:rStyle w:val="FootnoteReference"/>
          <w:rFonts w:ascii="Arial" w:hAnsi="Arial" w:cs="Arial"/>
        </w:rPr>
        <w:footnoteRef/>
      </w:r>
      <w:r w:rsidRPr="003F4CBA">
        <w:rPr>
          <w:rFonts w:ascii="Arial" w:hAnsi="Arial" w:cs="Arial"/>
        </w:rPr>
        <w:t xml:space="preserve"> </w:t>
      </w:r>
      <w:r w:rsidRPr="003F4CBA">
        <w:rPr>
          <w:rFonts w:ascii="Arial" w:hAnsi="Arial" w:cs="Arial"/>
          <w:i/>
          <w:lang w:val="en-GB"/>
        </w:rPr>
        <w:t>Die Regering van die Republiek van Suid-Afrika v Santam Versekeringsmaatskappy Bpk</w:t>
      </w:r>
      <w:r w:rsidRPr="003F4CBA">
        <w:rPr>
          <w:rFonts w:ascii="Arial" w:hAnsi="Arial" w:cs="Arial"/>
          <w:lang w:val="en-GB"/>
        </w:rPr>
        <w:t xml:space="preserve"> 1964 (1) SA 546 (W) at 549.</w:t>
      </w:r>
    </w:p>
  </w:footnote>
  <w:footnote w:id="8">
    <w:p w14:paraId="4BBAC3E0" w14:textId="77777777" w:rsidR="000D0870" w:rsidRPr="003F4CBA" w:rsidRDefault="000D0870" w:rsidP="003F4CBA">
      <w:pPr>
        <w:pStyle w:val="FootnoteText"/>
        <w:jc w:val="both"/>
        <w:rPr>
          <w:rFonts w:ascii="Arial" w:hAnsi="Arial" w:cs="Arial"/>
        </w:rPr>
      </w:pPr>
      <w:r w:rsidRPr="003F4CBA">
        <w:rPr>
          <w:rStyle w:val="FootnoteReference"/>
          <w:rFonts w:ascii="Arial" w:hAnsi="Arial" w:cs="Arial"/>
        </w:rPr>
        <w:footnoteRef/>
      </w:r>
      <w:r w:rsidRPr="003F4CBA">
        <w:rPr>
          <w:rFonts w:ascii="Arial" w:hAnsi="Arial" w:cs="Arial"/>
        </w:rPr>
        <w:t xml:space="preserve"> Cilliers at 10-6.</w:t>
      </w:r>
    </w:p>
  </w:footnote>
  <w:footnote w:id="9">
    <w:p w14:paraId="56F95877" w14:textId="77777777" w:rsidR="000D0870" w:rsidRPr="003F4CBA" w:rsidRDefault="000D0870" w:rsidP="003F4CBA">
      <w:pPr>
        <w:pStyle w:val="FootnoteText"/>
        <w:jc w:val="both"/>
        <w:rPr>
          <w:rFonts w:ascii="Arial" w:hAnsi="Arial" w:cs="Arial"/>
        </w:rPr>
      </w:pPr>
      <w:r w:rsidRPr="003F4CBA">
        <w:rPr>
          <w:rStyle w:val="FootnoteReference"/>
          <w:rFonts w:ascii="Arial" w:hAnsi="Arial" w:cs="Arial"/>
        </w:rPr>
        <w:footnoteRef/>
      </w:r>
      <w:r w:rsidRPr="003F4CBA">
        <w:rPr>
          <w:rFonts w:ascii="Arial" w:hAnsi="Arial" w:cs="Arial"/>
          <w:i/>
        </w:rPr>
        <w:t xml:space="preserve"> Coetzeestroom Estate and GM Co v Registrar of Deeds </w:t>
      </w:r>
      <w:r w:rsidRPr="003F4CBA">
        <w:rPr>
          <w:rFonts w:ascii="Arial" w:hAnsi="Arial" w:cs="Arial"/>
        </w:rPr>
        <w:t>1902 TS 216 at 223-224, where Innes CJ stated the following:</w:t>
      </w:r>
    </w:p>
    <w:p w14:paraId="36C3C33E" w14:textId="77777777" w:rsidR="000D0870" w:rsidRPr="003F4CBA" w:rsidRDefault="000D0870" w:rsidP="003F4CBA">
      <w:pPr>
        <w:pStyle w:val="FootnoteText"/>
        <w:jc w:val="both"/>
        <w:rPr>
          <w:rFonts w:ascii="Arial" w:hAnsi="Arial" w:cs="Arial"/>
          <w:lang w:val="en-GB"/>
        </w:rPr>
      </w:pPr>
      <w:r w:rsidRPr="003F4CBA">
        <w:rPr>
          <w:rFonts w:ascii="Arial" w:hAnsi="Arial" w:cs="Arial"/>
        </w:rPr>
        <w:t xml:space="preserve">‘With respect to the question of costs, the Court should lay down a general rule in regard to all applications against the Registrar arising on matters of practice. To mulct that official in costs where his action or attitude, though mistaken, was </w:t>
      </w:r>
      <w:r w:rsidRPr="003F4CBA">
        <w:rPr>
          <w:rFonts w:ascii="Arial" w:hAnsi="Arial" w:cs="Arial"/>
          <w:i/>
        </w:rPr>
        <w:t>bona fide</w:t>
      </w:r>
      <w:r w:rsidRPr="003F4CBA">
        <w:rPr>
          <w:rFonts w:ascii="Arial" w:hAnsi="Arial" w:cs="Arial"/>
        </w:rPr>
        <w:t xml:space="preserve"> would in my opinion be inequitable. And it would be detrimental to that vigilance in the administration of the Deeds Office, which is so essential in the public interest to maintain. . . The rule will not apply to cases in which the Registrar may be sued for damages caused to a third party by a negligent or improper discharge of his duties. </w:t>
      </w:r>
      <w:r w:rsidRPr="003F4CBA">
        <w:rPr>
          <w:rFonts w:ascii="Arial" w:hAnsi="Arial" w:cs="Arial"/>
          <w:i/>
        </w:rPr>
        <w:t>In all such cases the question of costs will have to be decided simply on the facts before the Court</w:t>
      </w:r>
      <w:r w:rsidRPr="003F4CBA">
        <w:rPr>
          <w:rFonts w:ascii="Arial" w:hAnsi="Arial" w:cs="Arial"/>
        </w:rPr>
        <w:t>.’ (My emphasis.)</w:t>
      </w:r>
    </w:p>
  </w:footnote>
  <w:footnote w:id="10">
    <w:p w14:paraId="0F25FE96" w14:textId="77777777" w:rsidR="000D0870" w:rsidRPr="00291D08" w:rsidRDefault="000D0870" w:rsidP="003F4CBA">
      <w:pPr>
        <w:pStyle w:val="FootnoteText"/>
        <w:jc w:val="both"/>
        <w:rPr>
          <w:rFonts w:ascii="Arial" w:hAnsi="Arial" w:cs="Arial"/>
        </w:rPr>
      </w:pPr>
      <w:r w:rsidRPr="003F4CBA">
        <w:rPr>
          <w:rStyle w:val="FootnoteReference"/>
          <w:rFonts w:ascii="Arial" w:hAnsi="Arial" w:cs="Arial"/>
        </w:rPr>
        <w:footnoteRef/>
      </w:r>
      <w:r w:rsidRPr="003F4CBA">
        <w:rPr>
          <w:rFonts w:ascii="Arial" w:hAnsi="Arial" w:cs="Arial"/>
        </w:rPr>
        <w:t xml:space="preserve"> </w:t>
      </w:r>
      <w:r w:rsidRPr="003F4CBA">
        <w:rPr>
          <w:rFonts w:ascii="Arial" w:hAnsi="Arial" w:cs="Arial"/>
          <w:i/>
        </w:rPr>
        <w:t>Deneysville Estates Ltd v Surveyor-General</w:t>
      </w:r>
      <w:r w:rsidRPr="003F4CBA">
        <w:rPr>
          <w:rFonts w:ascii="Arial" w:hAnsi="Arial" w:cs="Arial"/>
        </w:rPr>
        <w:t xml:space="preserve"> [1951] 2 All SA 202 (C); 1951 (2) SA 68 (C).</w:t>
      </w:r>
    </w:p>
  </w:footnote>
  <w:footnote w:id="11">
    <w:p w14:paraId="3FA48AE5" w14:textId="77777777" w:rsidR="000D0870" w:rsidRDefault="000D0870" w:rsidP="000D0870">
      <w:pPr>
        <w:pStyle w:val="FootnoteText"/>
        <w:jc w:val="both"/>
        <w:rPr>
          <w:rFonts w:ascii="Arial" w:hAnsi="Arial" w:cs="Arial"/>
        </w:rPr>
      </w:pPr>
      <w:r w:rsidRPr="00291D08">
        <w:rPr>
          <w:rStyle w:val="FootnoteReference"/>
          <w:rFonts w:ascii="Arial" w:hAnsi="Arial" w:cs="Arial"/>
        </w:rPr>
        <w:footnoteRef/>
      </w:r>
      <w:r w:rsidRPr="00291D08">
        <w:rPr>
          <w:rFonts w:ascii="Arial" w:hAnsi="Arial" w:cs="Arial"/>
        </w:rPr>
        <w:t xml:space="preserve"> See </w:t>
      </w:r>
      <w:r w:rsidRPr="00EE4722">
        <w:rPr>
          <w:rFonts w:ascii="Arial" w:hAnsi="Arial" w:cs="Arial"/>
        </w:rPr>
        <w:t>Cilliers para 10.07.</w:t>
      </w:r>
    </w:p>
    <w:p w14:paraId="307583E2" w14:textId="77777777" w:rsidR="0098706E" w:rsidRPr="00291D08" w:rsidRDefault="0098706E" w:rsidP="000D0870">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746496473"/>
      <w:docPartObj>
        <w:docPartGallery w:val="Page Numbers (Top of Page)"/>
        <w:docPartUnique/>
      </w:docPartObj>
    </w:sdtPr>
    <w:sdtEndPr>
      <w:rPr>
        <w:noProof/>
      </w:rPr>
    </w:sdtEndPr>
    <w:sdtContent>
      <w:p w14:paraId="26715B32" w14:textId="189799D9" w:rsidR="00EA4F2A" w:rsidRPr="005C3840" w:rsidRDefault="000F5784">
        <w:pPr>
          <w:pStyle w:val="Header"/>
          <w:jc w:val="right"/>
          <w:rPr>
            <w:rFonts w:ascii="Arial" w:hAnsi="Arial" w:cs="Arial"/>
            <w:sz w:val="24"/>
            <w:szCs w:val="24"/>
          </w:rPr>
        </w:pPr>
        <w:r w:rsidRPr="005C3840">
          <w:rPr>
            <w:rFonts w:ascii="Arial" w:hAnsi="Arial" w:cs="Arial"/>
            <w:sz w:val="24"/>
            <w:szCs w:val="24"/>
          </w:rPr>
          <w:fldChar w:fldCharType="begin"/>
        </w:r>
        <w:r w:rsidRPr="005C3840">
          <w:rPr>
            <w:rFonts w:ascii="Arial" w:hAnsi="Arial" w:cs="Arial"/>
            <w:sz w:val="24"/>
            <w:szCs w:val="24"/>
          </w:rPr>
          <w:instrText xml:space="preserve"> PAGE   \* MERGEFORMAT </w:instrText>
        </w:r>
        <w:r w:rsidRPr="005C3840">
          <w:rPr>
            <w:rFonts w:ascii="Arial" w:hAnsi="Arial" w:cs="Arial"/>
            <w:sz w:val="24"/>
            <w:szCs w:val="24"/>
          </w:rPr>
          <w:fldChar w:fldCharType="separate"/>
        </w:r>
        <w:r w:rsidR="00267882">
          <w:rPr>
            <w:rFonts w:ascii="Arial" w:hAnsi="Arial" w:cs="Arial"/>
            <w:noProof/>
            <w:sz w:val="24"/>
            <w:szCs w:val="24"/>
          </w:rPr>
          <w:t>3</w:t>
        </w:r>
        <w:r w:rsidRPr="005C3840">
          <w:rPr>
            <w:rFonts w:ascii="Arial" w:hAnsi="Arial" w:cs="Arial"/>
            <w:noProof/>
            <w:sz w:val="24"/>
            <w:szCs w:val="24"/>
          </w:rPr>
          <w:fldChar w:fldCharType="end"/>
        </w:r>
      </w:p>
    </w:sdtContent>
  </w:sdt>
  <w:p w14:paraId="65C44522" w14:textId="77777777" w:rsidR="00EA4F2A" w:rsidRPr="005C3840" w:rsidRDefault="00EA4F2A">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CD092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EE69CE"/>
    <w:multiLevelType w:val="multilevel"/>
    <w:tmpl w:val="4224AE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56C09BC"/>
    <w:multiLevelType w:val="hybridMultilevel"/>
    <w:tmpl w:val="5102462E"/>
    <w:lvl w:ilvl="0" w:tplc="A6BAD944">
      <w:start w:val="19"/>
      <w:numFmt w:val="decimal"/>
      <w:lvlText w:val="[%1]"/>
      <w:lvlJc w:val="left"/>
      <w:pPr>
        <w:ind w:left="36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1876571"/>
    <w:multiLevelType w:val="hybridMultilevel"/>
    <w:tmpl w:val="C1A6B58C"/>
    <w:lvl w:ilvl="0" w:tplc="D012D264">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5E570570"/>
    <w:multiLevelType w:val="hybridMultilevel"/>
    <w:tmpl w:val="44AE472C"/>
    <w:lvl w:ilvl="0" w:tplc="CD7A4130">
      <w:start w:val="1"/>
      <w:numFmt w:val="decimal"/>
      <w:lvlText w:val="[%1]"/>
      <w:lvlJc w:val="left"/>
      <w:pPr>
        <w:ind w:left="502"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C8541B"/>
    <w:multiLevelType w:val="hybridMultilevel"/>
    <w:tmpl w:val="AD96D8D6"/>
    <w:lvl w:ilvl="0" w:tplc="298E7320">
      <w:start w:val="2"/>
      <w:numFmt w:val="decimal"/>
      <w:lvlText w:val="%1."/>
      <w:lvlJc w:val="left"/>
      <w:pPr>
        <w:ind w:left="1080" w:hanging="360"/>
      </w:pPr>
      <w:rPr>
        <w:rFonts w:ascii="Arial" w:hAnsi="Arial" w:cs="Arial" w:hint="default"/>
        <w:b w:val="0"/>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4401EA8"/>
    <w:multiLevelType w:val="hybridMultilevel"/>
    <w:tmpl w:val="7CC05F94"/>
    <w:lvl w:ilvl="0" w:tplc="1D8600E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70"/>
    <w:rsid w:val="00001AC3"/>
    <w:rsid w:val="0001628B"/>
    <w:rsid w:val="000212FE"/>
    <w:rsid w:val="00042D58"/>
    <w:rsid w:val="00054A95"/>
    <w:rsid w:val="000721B5"/>
    <w:rsid w:val="000A44C5"/>
    <w:rsid w:val="000B3EB8"/>
    <w:rsid w:val="000C48B9"/>
    <w:rsid w:val="000D0870"/>
    <w:rsid w:val="000D100C"/>
    <w:rsid w:val="000E2ABA"/>
    <w:rsid w:val="000E76F4"/>
    <w:rsid w:val="000F2FA6"/>
    <w:rsid w:val="000F5784"/>
    <w:rsid w:val="000F7659"/>
    <w:rsid w:val="00120030"/>
    <w:rsid w:val="001238CB"/>
    <w:rsid w:val="00135985"/>
    <w:rsid w:val="00140921"/>
    <w:rsid w:val="001639D8"/>
    <w:rsid w:val="0016576C"/>
    <w:rsid w:val="001E3511"/>
    <w:rsid w:val="001F664D"/>
    <w:rsid w:val="00203E76"/>
    <w:rsid w:val="00215778"/>
    <w:rsid w:val="00267882"/>
    <w:rsid w:val="00283538"/>
    <w:rsid w:val="002A04C9"/>
    <w:rsid w:val="002A78DA"/>
    <w:rsid w:val="002C01A1"/>
    <w:rsid w:val="002C5B77"/>
    <w:rsid w:val="002F7E10"/>
    <w:rsid w:val="00324D1C"/>
    <w:rsid w:val="00327AA1"/>
    <w:rsid w:val="00362003"/>
    <w:rsid w:val="00386E6C"/>
    <w:rsid w:val="003A08EF"/>
    <w:rsid w:val="003B2208"/>
    <w:rsid w:val="003C1EF5"/>
    <w:rsid w:val="003C2F72"/>
    <w:rsid w:val="003D6BA2"/>
    <w:rsid w:val="003F4CBA"/>
    <w:rsid w:val="003F7BFD"/>
    <w:rsid w:val="00401BDC"/>
    <w:rsid w:val="00421F87"/>
    <w:rsid w:val="0043732F"/>
    <w:rsid w:val="00473C7A"/>
    <w:rsid w:val="004A04DF"/>
    <w:rsid w:val="004D155B"/>
    <w:rsid w:val="004D7C46"/>
    <w:rsid w:val="004F35D7"/>
    <w:rsid w:val="0054062D"/>
    <w:rsid w:val="00552881"/>
    <w:rsid w:val="0055421E"/>
    <w:rsid w:val="0055638D"/>
    <w:rsid w:val="00563A63"/>
    <w:rsid w:val="00565890"/>
    <w:rsid w:val="005961F5"/>
    <w:rsid w:val="00625C66"/>
    <w:rsid w:val="00626BF9"/>
    <w:rsid w:val="00654B10"/>
    <w:rsid w:val="006657F7"/>
    <w:rsid w:val="00682395"/>
    <w:rsid w:val="00690D34"/>
    <w:rsid w:val="006975DA"/>
    <w:rsid w:val="006A4BC0"/>
    <w:rsid w:val="007333FD"/>
    <w:rsid w:val="007375FB"/>
    <w:rsid w:val="007A1562"/>
    <w:rsid w:val="007A28F4"/>
    <w:rsid w:val="007A453F"/>
    <w:rsid w:val="007C1252"/>
    <w:rsid w:val="007D0B77"/>
    <w:rsid w:val="00827DEC"/>
    <w:rsid w:val="008439D2"/>
    <w:rsid w:val="00845FC9"/>
    <w:rsid w:val="00853D1D"/>
    <w:rsid w:val="008678FA"/>
    <w:rsid w:val="0088415B"/>
    <w:rsid w:val="00884DC5"/>
    <w:rsid w:val="00884F23"/>
    <w:rsid w:val="008B14D4"/>
    <w:rsid w:val="008D3C42"/>
    <w:rsid w:val="008E70F4"/>
    <w:rsid w:val="00912CAF"/>
    <w:rsid w:val="0092124E"/>
    <w:rsid w:val="00926A61"/>
    <w:rsid w:val="0093260F"/>
    <w:rsid w:val="00957C36"/>
    <w:rsid w:val="00974C60"/>
    <w:rsid w:val="0098706E"/>
    <w:rsid w:val="009C7899"/>
    <w:rsid w:val="009E7C42"/>
    <w:rsid w:val="00A24A50"/>
    <w:rsid w:val="00A57EE9"/>
    <w:rsid w:val="00A64AE8"/>
    <w:rsid w:val="00AA2EF3"/>
    <w:rsid w:val="00AA4617"/>
    <w:rsid w:val="00AD0FDF"/>
    <w:rsid w:val="00AF1D1F"/>
    <w:rsid w:val="00AF256D"/>
    <w:rsid w:val="00AF4EBE"/>
    <w:rsid w:val="00B0317F"/>
    <w:rsid w:val="00B617CF"/>
    <w:rsid w:val="00B7250C"/>
    <w:rsid w:val="00BD1A3D"/>
    <w:rsid w:val="00BF72CA"/>
    <w:rsid w:val="00C27449"/>
    <w:rsid w:val="00C34598"/>
    <w:rsid w:val="00C55462"/>
    <w:rsid w:val="00C7392C"/>
    <w:rsid w:val="00C81F80"/>
    <w:rsid w:val="00C864E4"/>
    <w:rsid w:val="00CB03A3"/>
    <w:rsid w:val="00CC05D5"/>
    <w:rsid w:val="00D00A34"/>
    <w:rsid w:val="00D108F2"/>
    <w:rsid w:val="00D436CC"/>
    <w:rsid w:val="00D456F3"/>
    <w:rsid w:val="00D64FB5"/>
    <w:rsid w:val="00DB71C7"/>
    <w:rsid w:val="00DC2F74"/>
    <w:rsid w:val="00E10E3E"/>
    <w:rsid w:val="00E61733"/>
    <w:rsid w:val="00E62F17"/>
    <w:rsid w:val="00E657B1"/>
    <w:rsid w:val="00E75C7A"/>
    <w:rsid w:val="00EA4F2A"/>
    <w:rsid w:val="00EA59E1"/>
    <w:rsid w:val="00EF2E37"/>
    <w:rsid w:val="00F028DB"/>
    <w:rsid w:val="00F13C53"/>
    <w:rsid w:val="00F6399C"/>
    <w:rsid w:val="00F707F8"/>
    <w:rsid w:val="00FA1B36"/>
    <w:rsid w:val="00FB774A"/>
    <w:rsid w:val="00FB7B81"/>
    <w:rsid w:val="00FD2F23"/>
    <w:rsid w:val="00FD76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6093"/>
  <w15:chartTrackingRefBased/>
  <w15:docId w15:val="{432388E7-CB9B-469B-ACCC-3BC288F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D0870"/>
    <w:pPr>
      <w:numPr>
        <w:numId w:val="1"/>
      </w:numPr>
      <w:contextualSpacing/>
    </w:pPr>
    <w:rPr>
      <w:kern w:val="0"/>
    </w:rPr>
  </w:style>
  <w:style w:type="paragraph" w:styleId="Header">
    <w:name w:val="header"/>
    <w:basedOn w:val="Normal"/>
    <w:link w:val="HeaderChar"/>
    <w:uiPriority w:val="99"/>
    <w:unhideWhenUsed/>
    <w:rsid w:val="000D0870"/>
    <w:pPr>
      <w:tabs>
        <w:tab w:val="center" w:pos="4513"/>
        <w:tab w:val="right" w:pos="9026"/>
      </w:tabs>
      <w:spacing w:after="0" w:line="240" w:lineRule="auto"/>
    </w:pPr>
    <w:rPr>
      <w:kern w:val="0"/>
    </w:rPr>
  </w:style>
  <w:style w:type="character" w:customStyle="1" w:styleId="HeaderChar">
    <w:name w:val="Header Char"/>
    <w:basedOn w:val="DefaultParagraphFont"/>
    <w:link w:val="Header"/>
    <w:uiPriority w:val="99"/>
    <w:rsid w:val="000D0870"/>
    <w:rPr>
      <w:kern w:val="0"/>
    </w:rPr>
  </w:style>
  <w:style w:type="paragraph" w:styleId="FootnoteText">
    <w:name w:val="footnote text"/>
    <w:basedOn w:val="Normal"/>
    <w:link w:val="FootnoteTextChar"/>
    <w:uiPriority w:val="99"/>
    <w:semiHidden/>
    <w:unhideWhenUsed/>
    <w:rsid w:val="000D0870"/>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0D0870"/>
    <w:rPr>
      <w:kern w:val="0"/>
      <w:sz w:val="20"/>
      <w:szCs w:val="20"/>
    </w:rPr>
  </w:style>
  <w:style w:type="character" w:styleId="FootnoteReference">
    <w:name w:val="footnote reference"/>
    <w:basedOn w:val="DefaultParagraphFont"/>
    <w:uiPriority w:val="99"/>
    <w:semiHidden/>
    <w:unhideWhenUsed/>
    <w:rsid w:val="000D0870"/>
    <w:rPr>
      <w:vertAlign w:val="superscript"/>
    </w:rPr>
  </w:style>
  <w:style w:type="paragraph" w:styleId="ListParagraph">
    <w:name w:val="List Paragraph"/>
    <w:basedOn w:val="Normal"/>
    <w:uiPriority w:val="34"/>
    <w:qFormat/>
    <w:rsid w:val="000D0870"/>
    <w:pPr>
      <w:ind w:left="720"/>
      <w:contextualSpacing/>
    </w:pPr>
  </w:style>
  <w:style w:type="character" w:styleId="CommentReference">
    <w:name w:val="annotation reference"/>
    <w:basedOn w:val="DefaultParagraphFont"/>
    <w:uiPriority w:val="99"/>
    <w:semiHidden/>
    <w:unhideWhenUsed/>
    <w:rsid w:val="000D0870"/>
    <w:rPr>
      <w:sz w:val="16"/>
      <w:szCs w:val="16"/>
    </w:rPr>
  </w:style>
  <w:style w:type="paragraph" w:styleId="CommentText">
    <w:name w:val="annotation text"/>
    <w:basedOn w:val="Normal"/>
    <w:link w:val="CommentTextChar"/>
    <w:uiPriority w:val="99"/>
    <w:unhideWhenUsed/>
    <w:rsid w:val="000D0870"/>
    <w:pPr>
      <w:spacing w:line="240" w:lineRule="auto"/>
    </w:pPr>
    <w:rPr>
      <w:sz w:val="20"/>
      <w:szCs w:val="20"/>
    </w:rPr>
  </w:style>
  <w:style w:type="character" w:customStyle="1" w:styleId="CommentTextChar">
    <w:name w:val="Comment Text Char"/>
    <w:basedOn w:val="DefaultParagraphFont"/>
    <w:link w:val="CommentText"/>
    <w:uiPriority w:val="99"/>
    <w:rsid w:val="000D0870"/>
    <w:rPr>
      <w:sz w:val="20"/>
      <w:szCs w:val="20"/>
    </w:rPr>
  </w:style>
  <w:style w:type="paragraph" w:styleId="Revision">
    <w:name w:val="Revision"/>
    <w:hidden/>
    <w:uiPriority w:val="99"/>
    <w:semiHidden/>
    <w:rsid w:val="000D0870"/>
    <w:pPr>
      <w:spacing w:after="0" w:line="240" w:lineRule="auto"/>
    </w:pPr>
  </w:style>
  <w:style w:type="paragraph" w:styleId="CommentSubject">
    <w:name w:val="annotation subject"/>
    <w:basedOn w:val="CommentText"/>
    <w:next w:val="CommentText"/>
    <w:link w:val="CommentSubjectChar"/>
    <w:uiPriority w:val="99"/>
    <w:semiHidden/>
    <w:unhideWhenUsed/>
    <w:rsid w:val="00926A61"/>
    <w:rPr>
      <w:b/>
      <w:bCs/>
    </w:rPr>
  </w:style>
  <w:style w:type="character" w:customStyle="1" w:styleId="CommentSubjectChar">
    <w:name w:val="Comment Subject Char"/>
    <w:basedOn w:val="CommentTextChar"/>
    <w:link w:val="CommentSubject"/>
    <w:uiPriority w:val="99"/>
    <w:semiHidden/>
    <w:rsid w:val="00926A61"/>
    <w:rPr>
      <w:b/>
      <w:bCs/>
      <w:sz w:val="20"/>
      <w:szCs w:val="20"/>
    </w:rPr>
  </w:style>
  <w:style w:type="paragraph" w:styleId="BalloonText">
    <w:name w:val="Balloon Text"/>
    <w:basedOn w:val="Normal"/>
    <w:link w:val="BalloonTextChar"/>
    <w:uiPriority w:val="99"/>
    <w:semiHidden/>
    <w:unhideWhenUsed/>
    <w:rsid w:val="007A4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3F"/>
    <w:rPr>
      <w:rFonts w:ascii="Segoe UI" w:hAnsi="Segoe UI" w:cs="Segoe UI"/>
      <w:sz w:val="18"/>
      <w:szCs w:val="18"/>
    </w:rPr>
  </w:style>
  <w:style w:type="paragraph" w:styleId="Footer">
    <w:name w:val="footer"/>
    <w:basedOn w:val="Normal"/>
    <w:link w:val="FooterChar"/>
    <w:uiPriority w:val="99"/>
    <w:unhideWhenUsed/>
    <w:rsid w:val="00E6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E38D-2F55-4FC9-A63B-365B26C3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Mokone</cp:lastModifiedBy>
  <cp:revision>3</cp:revision>
  <cp:lastPrinted>2023-10-19T09:22:00Z</cp:lastPrinted>
  <dcterms:created xsi:type="dcterms:W3CDTF">2023-10-20T09:38:00Z</dcterms:created>
  <dcterms:modified xsi:type="dcterms:W3CDTF">2023-10-20T09:39:00Z</dcterms:modified>
</cp:coreProperties>
</file>