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0D2A" w14:textId="77777777" w:rsidR="00B83FA5" w:rsidRPr="00587E6D" w:rsidRDefault="00B83FA5" w:rsidP="0016595D">
      <w:pPr>
        <w:rPr>
          <w:b/>
          <w:bCs/>
          <w:sz w:val="28"/>
          <w:szCs w:val="28"/>
        </w:rPr>
      </w:pPr>
      <w:bookmarkStart w:id="0" w:name="_GoBack"/>
      <w:bookmarkEnd w:id="0"/>
      <w:r w:rsidRPr="00587E6D">
        <w:rPr>
          <w:noProof/>
          <w:sz w:val="28"/>
          <w:szCs w:val="28"/>
          <w:lang w:val="en-ZA" w:eastAsia="en-ZA"/>
        </w:rPr>
        <w:drawing>
          <wp:anchor distT="0" distB="0" distL="114300" distR="114300" simplePos="0" relativeHeight="251659264" behindDoc="0" locked="0" layoutInCell="1" allowOverlap="1" wp14:anchorId="3A94D217" wp14:editId="7A4C80C3">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025C239" w14:textId="77777777" w:rsidR="00B83FA5" w:rsidRPr="00587E6D" w:rsidRDefault="00B83FA5" w:rsidP="0016595D">
      <w:pPr>
        <w:jc w:val="center"/>
        <w:rPr>
          <w:b/>
          <w:bCs/>
          <w:sz w:val="28"/>
          <w:szCs w:val="28"/>
        </w:rPr>
      </w:pPr>
    </w:p>
    <w:p w14:paraId="5398E6DD" w14:textId="77777777" w:rsidR="00B83FA5" w:rsidRPr="00587E6D" w:rsidRDefault="00B83FA5" w:rsidP="0016595D">
      <w:pPr>
        <w:jc w:val="center"/>
        <w:rPr>
          <w:b/>
          <w:bCs/>
          <w:sz w:val="28"/>
          <w:szCs w:val="28"/>
        </w:rPr>
      </w:pPr>
    </w:p>
    <w:p w14:paraId="2BDD842D" w14:textId="77777777" w:rsidR="00B83FA5" w:rsidRPr="00587E6D" w:rsidRDefault="00B83FA5" w:rsidP="0016595D">
      <w:pPr>
        <w:jc w:val="center"/>
        <w:rPr>
          <w:b/>
          <w:bCs/>
          <w:sz w:val="16"/>
          <w:szCs w:val="16"/>
        </w:rPr>
      </w:pPr>
    </w:p>
    <w:p w14:paraId="6C248EA8" w14:textId="77777777" w:rsidR="00B83FA5" w:rsidRPr="00587E6D" w:rsidRDefault="00B83FA5" w:rsidP="0016595D">
      <w:pPr>
        <w:jc w:val="center"/>
        <w:rPr>
          <w:b/>
          <w:bCs/>
          <w:sz w:val="28"/>
          <w:szCs w:val="28"/>
        </w:rPr>
      </w:pPr>
      <w:r w:rsidRPr="00587E6D">
        <w:rPr>
          <w:b/>
          <w:bCs/>
          <w:sz w:val="28"/>
          <w:szCs w:val="28"/>
        </w:rPr>
        <w:t>THE SUPREME COURT OF APPEAL OF SOUTH AFRICA</w:t>
      </w:r>
    </w:p>
    <w:p w14:paraId="5181BAD7" w14:textId="77777777" w:rsidR="00B83FA5" w:rsidRPr="00587E6D" w:rsidRDefault="00B83FA5" w:rsidP="0016595D">
      <w:pPr>
        <w:pStyle w:val="Heading3"/>
        <w:jc w:val="center"/>
        <w:rPr>
          <w:rFonts w:ascii="Times New Roman" w:hAnsi="Times New Roman" w:cs="Times New Roman"/>
          <w:b/>
          <w:i w:val="0"/>
          <w:szCs w:val="28"/>
        </w:rPr>
      </w:pPr>
      <w:r w:rsidRPr="00587E6D">
        <w:rPr>
          <w:rFonts w:ascii="Times New Roman" w:hAnsi="Times New Roman" w:cs="Times New Roman"/>
          <w:b/>
          <w:i w:val="0"/>
          <w:szCs w:val="28"/>
        </w:rPr>
        <w:t>JUDGMENT</w:t>
      </w:r>
    </w:p>
    <w:p w14:paraId="78E9B506" w14:textId="1415C292" w:rsidR="00B83FA5" w:rsidRPr="00587E6D" w:rsidRDefault="00B83FA5" w:rsidP="0016595D">
      <w:pPr>
        <w:spacing w:before="120"/>
        <w:jc w:val="right"/>
        <w:rPr>
          <w:b/>
          <w:sz w:val="28"/>
          <w:szCs w:val="28"/>
        </w:rPr>
      </w:pPr>
      <w:r w:rsidRPr="00587E6D">
        <w:rPr>
          <w:b/>
          <w:sz w:val="28"/>
          <w:szCs w:val="28"/>
        </w:rPr>
        <w:t>Not Reportable</w:t>
      </w:r>
    </w:p>
    <w:p w14:paraId="38D2AF1A" w14:textId="77777777" w:rsidR="00B83FA5" w:rsidRPr="00587E6D" w:rsidRDefault="00B83FA5" w:rsidP="0016595D">
      <w:pPr>
        <w:jc w:val="right"/>
        <w:rPr>
          <w:sz w:val="16"/>
          <w:szCs w:val="16"/>
        </w:rPr>
      </w:pPr>
      <w:r w:rsidRPr="00587E6D">
        <w:rPr>
          <w:sz w:val="28"/>
          <w:szCs w:val="28"/>
        </w:rPr>
        <w:t xml:space="preserve">Case no: </w:t>
      </w:r>
      <w:r w:rsidR="009B1AE9" w:rsidRPr="00587E6D">
        <w:rPr>
          <w:sz w:val="28"/>
          <w:szCs w:val="28"/>
        </w:rPr>
        <w:t>511/2022</w:t>
      </w:r>
    </w:p>
    <w:p w14:paraId="05943F1B" w14:textId="77777777" w:rsidR="00B83FA5" w:rsidRPr="00587E6D" w:rsidRDefault="00B83FA5" w:rsidP="0016595D">
      <w:pPr>
        <w:spacing w:after="120"/>
        <w:rPr>
          <w:sz w:val="28"/>
          <w:szCs w:val="28"/>
        </w:rPr>
      </w:pPr>
      <w:r w:rsidRPr="00587E6D">
        <w:rPr>
          <w:sz w:val="28"/>
          <w:szCs w:val="28"/>
        </w:rPr>
        <w:t>In the matter between:</w:t>
      </w:r>
    </w:p>
    <w:p w14:paraId="2345AD4D" w14:textId="77777777" w:rsidR="009B1AE9" w:rsidRPr="00587E6D" w:rsidRDefault="009B1AE9" w:rsidP="0016595D">
      <w:pPr>
        <w:tabs>
          <w:tab w:val="right" w:pos="9356"/>
        </w:tabs>
        <w:rPr>
          <w:b/>
          <w:sz w:val="28"/>
          <w:szCs w:val="28"/>
        </w:rPr>
      </w:pPr>
      <w:r w:rsidRPr="00587E6D">
        <w:rPr>
          <w:b/>
          <w:sz w:val="28"/>
          <w:szCs w:val="28"/>
        </w:rPr>
        <w:t>BA-GAT MOTORS CC T/A</w:t>
      </w:r>
    </w:p>
    <w:p w14:paraId="4316292E" w14:textId="77777777" w:rsidR="00B83FA5" w:rsidRPr="00587E6D" w:rsidRDefault="009B1AE9" w:rsidP="0016595D">
      <w:pPr>
        <w:tabs>
          <w:tab w:val="right" w:pos="9356"/>
        </w:tabs>
        <w:rPr>
          <w:b/>
          <w:sz w:val="28"/>
          <w:szCs w:val="28"/>
        </w:rPr>
      </w:pPr>
      <w:r w:rsidRPr="00587E6D">
        <w:rPr>
          <w:b/>
          <w:sz w:val="28"/>
          <w:szCs w:val="28"/>
        </w:rPr>
        <w:t xml:space="preserve">GYS PITZER MOTORING </w:t>
      </w:r>
      <w:r w:rsidR="00B83FA5" w:rsidRPr="00587E6D">
        <w:rPr>
          <w:b/>
          <w:sz w:val="28"/>
          <w:szCs w:val="28"/>
        </w:rPr>
        <w:t xml:space="preserve">                                         </w:t>
      </w:r>
      <w:r w:rsidR="00B83FA5" w:rsidRPr="00587E6D">
        <w:rPr>
          <w:b/>
          <w:sz w:val="28"/>
          <w:szCs w:val="28"/>
        </w:rPr>
        <w:tab/>
        <w:t>FIRST APPELLANT</w:t>
      </w:r>
    </w:p>
    <w:p w14:paraId="004F7CD6" w14:textId="77777777" w:rsidR="00B83FA5" w:rsidRPr="00587E6D" w:rsidRDefault="009B1AE9" w:rsidP="005F2F9B">
      <w:pPr>
        <w:tabs>
          <w:tab w:val="right" w:pos="9356"/>
        </w:tabs>
        <w:spacing w:before="240" w:after="240"/>
        <w:rPr>
          <w:bCs/>
          <w:sz w:val="28"/>
          <w:szCs w:val="28"/>
        </w:rPr>
      </w:pPr>
      <w:r w:rsidRPr="00587E6D">
        <w:rPr>
          <w:b/>
          <w:sz w:val="28"/>
          <w:szCs w:val="28"/>
        </w:rPr>
        <w:t>GYBERTUS PITZER</w:t>
      </w:r>
      <w:r w:rsidR="00B83FA5" w:rsidRPr="00587E6D">
        <w:rPr>
          <w:b/>
          <w:sz w:val="28"/>
          <w:szCs w:val="28"/>
        </w:rPr>
        <w:tab/>
        <w:t>SECOND APPELLANT</w:t>
      </w:r>
    </w:p>
    <w:p w14:paraId="5A529673" w14:textId="6687D9B4" w:rsidR="00B83FA5" w:rsidRPr="00587E6D" w:rsidRDefault="00B83FA5" w:rsidP="0016595D">
      <w:pPr>
        <w:spacing w:after="240"/>
        <w:rPr>
          <w:sz w:val="28"/>
          <w:szCs w:val="28"/>
        </w:rPr>
      </w:pPr>
      <w:r w:rsidRPr="00587E6D">
        <w:rPr>
          <w:sz w:val="28"/>
          <w:szCs w:val="28"/>
        </w:rPr>
        <w:t xml:space="preserve">and </w:t>
      </w:r>
    </w:p>
    <w:p w14:paraId="2D62AD48" w14:textId="77777777" w:rsidR="00B83FA5" w:rsidRPr="00587E6D" w:rsidRDefault="009B1AE9" w:rsidP="0016595D">
      <w:pPr>
        <w:tabs>
          <w:tab w:val="right" w:pos="9356"/>
        </w:tabs>
        <w:rPr>
          <w:b/>
          <w:sz w:val="28"/>
          <w:szCs w:val="28"/>
        </w:rPr>
      </w:pPr>
      <w:r w:rsidRPr="00587E6D">
        <w:rPr>
          <w:b/>
          <w:sz w:val="28"/>
          <w:szCs w:val="28"/>
        </w:rPr>
        <w:t xml:space="preserve">KEMPSTER SEDGWICK (PTY) LTD                                           </w:t>
      </w:r>
      <w:r w:rsidR="00B83FA5" w:rsidRPr="00587E6D">
        <w:rPr>
          <w:b/>
          <w:sz w:val="28"/>
          <w:szCs w:val="28"/>
        </w:rPr>
        <w:t>RESPONDENT</w:t>
      </w:r>
    </w:p>
    <w:p w14:paraId="3D9E69BD" w14:textId="77777777" w:rsidR="00B83FA5" w:rsidRPr="00587E6D" w:rsidRDefault="00B83FA5" w:rsidP="0016595D">
      <w:pPr>
        <w:rPr>
          <w:b/>
          <w:sz w:val="28"/>
          <w:szCs w:val="28"/>
        </w:rPr>
      </w:pPr>
    </w:p>
    <w:p w14:paraId="067D607A" w14:textId="1BCFA27A" w:rsidR="00B83FA5" w:rsidRPr="00587E6D" w:rsidRDefault="00B83FA5" w:rsidP="0016595D">
      <w:pPr>
        <w:ind w:left="2160" w:hanging="2160"/>
        <w:contextualSpacing/>
        <w:rPr>
          <w:bCs/>
          <w:sz w:val="28"/>
          <w:szCs w:val="28"/>
        </w:rPr>
      </w:pPr>
      <w:r w:rsidRPr="00587E6D">
        <w:rPr>
          <w:b/>
          <w:bCs/>
          <w:sz w:val="28"/>
          <w:szCs w:val="28"/>
        </w:rPr>
        <w:t>Neutral citation:</w:t>
      </w:r>
      <w:r w:rsidRPr="00587E6D">
        <w:rPr>
          <w:bCs/>
          <w:i/>
          <w:sz w:val="28"/>
          <w:szCs w:val="28"/>
        </w:rPr>
        <w:tab/>
      </w:r>
      <w:r w:rsidR="009B1AE9" w:rsidRPr="00587E6D">
        <w:rPr>
          <w:bCs/>
          <w:i/>
          <w:sz w:val="28"/>
          <w:szCs w:val="28"/>
        </w:rPr>
        <w:t xml:space="preserve">Ba-Gat Motors CC t/a Gys Pitzer Motoring </w:t>
      </w:r>
      <w:r w:rsidR="002C6917" w:rsidRPr="00587E6D">
        <w:rPr>
          <w:bCs/>
          <w:i/>
          <w:sz w:val="28"/>
          <w:szCs w:val="28"/>
        </w:rPr>
        <w:t>and</w:t>
      </w:r>
      <w:r w:rsidR="009B1AE9" w:rsidRPr="00587E6D">
        <w:rPr>
          <w:bCs/>
          <w:i/>
          <w:sz w:val="28"/>
          <w:szCs w:val="28"/>
        </w:rPr>
        <w:t xml:space="preserve"> Another v Kempster Sedgwick (Pty) Ltd</w:t>
      </w:r>
      <w:r w:rsidRPr="00587E6D">
        <w:rPr>
          <w:bCs/>
          <w:i/>
          <w:sz w:val="28"/>
          <w:szCs w:val="28"/>
        </w:rPr>
        <w:t xml:space="preserve"> </w:t>
      </w:r>
      <w:r w:rsidRPr="00587E6D">
        <w:rPr>
          <w:bCs/>
          <w:sz w:val="28"/>
          <w:szCs w:val="28"/>
        </w:rPr>
        <w:t>(</w:t>
      </w:r>
      <w:r w:rsidR="009B1AE9" w:rsidRPr="00587E6D">
        <w:rPr>
          <w:bCs/>
          <w:sz w:val="28"/>
          <w:szCs w:val="28"/>
        </w:rPr>
        <w:t>511/2022</w:t>
      </w:r>
      <w:r w:rsidRPr="00587E6D">
        <w:rPr>
          <w:bCs/>
          <w:sz w:val="28"/>
          <w:szCs w:val="28"/>
        </w:rPr>
        <w:t>) [202</w:t>
      </w:r>
      <w:r w:rsidR="00487C76" w:rsidRPr="00587E6D">
        <w:rPr>
          <w:bCs/>
          <w:sz w:val="28"/>
          <w:szCs w:val="28"/>
        </w:rPr>
        <w:t>3</w:t>
      </w:r>
      <w:r w:rsidRPr="00587E6D">
        <w:rPr>
          <w:bCs/>
          <w:sz w:val="28"/>
          <w:szCs w:val="28"/>
        </w:rPr>
        <w:t xml:space="preserve">] ZASCA </w:t>
      </w:r>
      <w:r w:rsidR="005762E4" w:rsidRPr="00587E6D">
        <w:rPr>
          <w:bCs/>
          <w:sz w:val="28"/>
          <w:szCs w:val="28"/>
        </w:rPr>
        <w:t xml:space="preserve">137 </w:t>
      </w:r>
      <w:r w:rsidRPr="00587E6D">
        <w:rPr>
          <w:bCs/>
          <w:sz w:val="28"/>
          <w:szCs w:val="28"/>
        </w:rPr>
        <w:t>(</w:t>
      </w:r>
      <w:r w:rsidR="00281B3A" w:rsidRPr="00587E6D">
        <w:rPr>
          <w:bCs/>
          <w:sz w:val="28"/>
          <w:szCs w:val="28"/>
        </w:rPr>
        <w:t>25 October 2023</w:t>
      </w:r>
      <w:r w:rsidRPr="00587E6D">
        <w:rPr>
          <w:bCs/>
          <w:sz w:val="28"/>
          <w:szCs w:val="28"/>
        </w:rPr>
        <w:t>)</w:t>
      </w:r>
    </w:p>
    <w:p w14:paraId="3FCF4FB4" w14:textId="77777777" w:rsidR="004F7145" w:rsidRPr="00587E6D" w:rsidRDefault="004F7145" w:rsidP="004F7145">
      <w:pPr>
        <w:spacing w:line="240" w:lineRule="auto"/>
        <w:ind w:left="2160" w:hanging="2160"/>
        <w:contextualSpacing/>
        <w:rPr>
          <w:bCs/>
          <w:strike/>
          <w:sz w:val="16"/>
          <w:szCs w:val="16"/>
        </w:rPr>
      </w:pPr>
    </w:p>
    <w:p w14:paraId="54419256" w14:textId="171FD44B" w:rsidR="00B83FA5" w:rsidRPr="00587E6D" w:rsidRDefault="00B83FA5" w:rsidP="002C2EF3">
      <w:pPr>
        <w:ind w:left="1440" w:hanging="1440"/>
        <w:contextualSpacing/>
        <w:rPr>
          <w:sz w:val="28"/>
          <w:szCs w:val="28"/>
        </w:rPr>
      </w:pPr>
      <w:r w:rsidRPr="00587E6D">
        <w:rPr>
          <w:b/>
          <w:bCs/>
          <w:sz w:val="28"/>
          <w:szCs w:val="28"/>
        </w:rPr>
        <w:t>Coram:</w:t>
      </w:r>
      <w:r w:rsidRPr="00587E6D">
        <w:rPr>
          <w:sz w:val="28"/>
          <w:szCs w:val="28"/>
        </w:rPr>
        <w:tab/>
      </w:r>
      <w:r w:rsidR="00BC6D40" w:rsidRPr="00587E6D">
        <w:rPr>
          <w:sz w:val="28"/>
          <w:szCs w:val="28"/>
        </w:rPr>
        <w:t xml:space="preserve">DAMBUZA, CARELSE, </w:t>
      </w:r>
      <w:r w:rsidRPr="00587E6D">
        <w:rPr>
          <w:sz w:val="28"/>
          <w:szCs w:val="28"/>
        </w:rPr>
        <w:t xml:space="preserve">MABINDLA-BOQWANA </w:t>
      </w:r>
      <w:r w:rsidR="00BC6D40" w:rsidRPr="00587E6D">
        <w:rPr>
          <w:sz w:val="28"/>
          <w:szCs w:val="28"/>
        </w:rPr>
        <w:t xml:space="preserve">and MEYER </w:t>
      </w:r>
      <w:r w:rsidRPr="00587E6D">
        <w:rPr>
          <w:sz w:val="28"/>
          <w:szCs w:val="28"/>
        </w:rPr>
        <w:t xml:space="preserve">JJA and </w:t>
      </w:r>
      <w:r w:rsidR="00BC6D40" w:rsidRPr="00587E6D">
        <w:rPr>
          <w:sz w:val="28"/>
          <w:szCs w:val="28"/>
        </w:rPr>
        <w:t xml:space="preserve">NHLANGULELA </w:t>
      </w:r>
      <w:r w:rsidRPr="00587E6D">
        <w:rPr>
          <w:sz w:val="28"/>
          <w:szCs w:val="28"/>
        </w:rPr>
        <w:t>AJA</w:t>
      </w:r>
    </w:p>
    <w:p w14:paraId="3B1FFF4A" w14:textId="77777777" w:rsidR="004F7145" w:rsidRPr="00587E6D" w:rsidRDefault="004F7145" w:rsidP="004F7145">
      <w:pPr>
        <w:spacing w:line="240" w:lineRule="auto"/>
        <w:ind w:left="1440" w:hanging="1440"/>
        <w:contextualSpacing/>
        <w:rPr>
          <w:sz w:val="16"/>
          <w:szCs w:val="16"/>
        </w:rPr>
      </w:pPr>
    </w:p>
    <w:p w14:paraId="44E2751C" w14:textId="678ED8EC" w:rsidR="00B83FA5" w:rsidRPr="00587E6D" w:rsidRDefault="00B83FA5" w:rsidP="0016595D">
      <w:pPr>
        <w:contextualSpacing/>
        <w:rPr>
          <w:sz w:val="28"/>
          <w:szCs w:val="28"/>
        </w:rPr>
      </w:pPr>
      <w:r w:rsidRPr="00587E6D">
        <w:rPr>
          <w:b/>
          <w:bCs/>
          <w:sz w:val="28"/>
          <w:szCs w:val="28"/>
        </w:rPr>
        <w:t>Heard</w:t>
      </w:r>
      <w:r w:rsidRPr="00587E6D">
        <w:rPr>
          <w:b/>
          <w:sz w:val="28"/>
          <w:szCs w:val="28"/>
        </w:rPr>
        <w:t>:</w:t>
      </w:r>
      <w:r w:rsidRPr="00587E6D">
        <w:rPr>
          <w:sz w:val="28"/>
          <w:szCs w:val="28"/>
        </w:rPr>
        <w:tab/>
      </w:r>
      <w:r w:rsidR="00BC6D40" w:rsidRPr="00587E6D">
        <w:rPr>
          <w:sz w:val="28"/>
          <w:szCs w:val="28"/>
        </w:rPr>
        <w:t>16 August 2023</w:t>
      </w:r>
    </w:p>
    <w:p w14:paraId="6E24CB5F" w14:textId="77777777" w:rsidR="004F7145" w:rsidRPr="00587E6D" w:rsidRDefault="004F7145" w:rsidP="004F7145">
      <w:pPr>
        <w:spacing w:line="240" w:lineRule="auto"/>
        <w:contextualSpacing/>
        <w:rPr>
          <w:sz w:val="16"/>
          <w:szCs w:val="16"/>
        </w:rPr>
      </w:pPr>
    </w:p>
    <w:p w14:paraId="09637BB2" w14:textId="0A98D260" w:rsidR="00B83FA5" w:rsidRPr="00587E6D" w:rsidRDefault="00B83FA5" w:rsidP="0016595D">
      <w:pPr>
        <w:contextualSpacing/>
        <w:rPr>
          <w:sz w:val="28"/>
          <w:szCs w:val="28"/>
        </w:rPr>
      </w:pPr>
      <w:r w:rsidRPr="00587E6D">
        <w:rPr>
          <w:b/>
          <w:bCs/>
          <w:sz w:val="28"/>
          <w:szCs w:val="28"/>
        </w:rPr>
        <w:t>Delivered</w:t>
      </w:r>
      <w:r w:rsidRPr="00587E6D">
        <w:rPr>
          <w:b/>
          <w:sz w:val="28"/>
          <w:szCs w:val="28"/>
        </w:rPr>
        <w:t>:</w:t>
      </w:r>
      <w:r w:rsidRPr="00587E6D">
        <w:rPr>
          <w:sz w:val="28"/>
          <w:szCs w:val="28"/>
        </w:rPr>
        <w:tab/>
      </w:r>
      <w:r w:rsidR="004F7145" w:rsidRPr="00587E6D">
        <w:rPr>
          <w:sz w:val="28"/>
          <w:szCs w:val="28"/>
        </w:rPr>
        <w:t xml:space="preserve">This judgment was handed down electronically by circulation to the parties’ legal representatives by email, publication on the Supreme Court of Appeal </w:t>
      </w:r>
      <w:r w:rsidR="004F7145" w:rsidRPr="00587E6D">
        <w:rPr>
          <w:sz w:val="28"/>
          <w:szCs w:val="28"/>
        </w:rPr>
        <w:lastRenderedPageBreak/>
        <w:t xml:space="preserve">website and release to SAFLII. The date and time for hand-down is deemed to be 11h00 on </w:t>
      </w:r>
      <w:r w:rsidR="00FD2B32" w:rsidRPr="00587E6D">
        <w:rPr>
          <w:sz w:val="28"/>
          <w:szCs w:val="28"/>
        </w:rPr>
        <w:t>25 October</w:t>
      </w:r>
      <w:r w:rsidR="004F7145" w:rsidRPr="00587E6D">
        <w:rPr>
          <w:sz w:val="28"/>
          <w:szCs w:val="28"/>
        </w:rPr>
        <w:t xml:space="preserve"> 2023.</w:t>
      </w:r>
    </w:p>
    <w:p w14:paraId="65A48B55" w14:textId="77777777" w:rsidR="004F7145" w:rsidRPr="00587E6D" w:rsidRDefault="004F7145" w:rsidP="004F7145">
      <w:pPr>
        <w:spacing w:line="240" w:lineRule="auto"/>
        <w:contextualSpacing/>
        <w:rPr>
          <w:b/>
          <w:sz w:val="16"/>
          <w:szCs w:val="16"/>
        </w:rPr>
      </w:pPr>
    </w:p>
    <w:p w14:paraId="630659E8" w14:textId="7B8A2C08" w:rsidR="00D77065" w:rsidRPr="00587E6D" w:rsidRDefault="00B83FA5" w:rsidP="0016595D">
      <w:pPr>
        <w:contextualSpacing/>
        <w:rPr>
          <w:bCs/>
          <w:sz w:val="28"/>
          <w:szCs w:val="28"/>
        </w:rPr>
      </w:pPr>
      <w:r w:rsidRPr="00587E6D">
        <w:rPr>
          <w:b/>
          <w:bCs/>
          <w:sz w:val="28"/>
          <w:szCs w:val="28"/>
        </w:rPr>
        <w:t>Summary:</w:t>
      </w:r>
      <w:r w:rsidRPr="00587E6D">
        <w:rPr>
          <w:b/>
          <w:bCs/>
          <w:sz w:val="28"/>
          <w:szCs w:val="28"/>
        </w:rPr>
        <w:tab/>
      </w:r>
      <w:r w:rsidR="001B4E93" w:rsidRPr="00587E6D">
        <w:rPr>
          <w:bCs/>
          <w:sz w:val="28"/>
          <w:szCs w:val="28"/>
        </w:rPr>
        <w:t>Summary judgment – non-</w:t>
      </w:r>
      <w:r w:rsidR="00D77065" w:rsidRPr="00587E6D">
        <w:rPr>
          <w:bCs/>
          <w:sz w:val="28"/>
          <w:szCs w:val="28"/>
        </w:rPr>
        <w:t xml:space="preserve">variation clause – oral agreement alleged – application of the </w:t>
      </w:r>
      <w:r w:rsidR="00D77065" w:rsidRPr="00587E6D">
        <w:rPr>
          <w:bCs/>
          <w:i/>
          <w:sz w:val="28"/>
          <w:szCs w:val="28"/>
        </w:rPr>
        <w:t>Shifren</w:t>
      </w:r>
      <w:r w:rsidR="00D77065" w:rsidRPr="00587E6D">
        <w:rPr>
          <w:bCs/>
          <w:sz w:val="28"/>
          <w:szCs w:val="28"/>
        </w:rPr>
        <w:t xml:space="preserve"> principle and estoppel.    </w:t>
      </w:r>
    </w:p>
    <w:p w14:paraId="79CEA6C6" w14:textId="77777777" w:rsidR="0016595D" w:rsidRPr="00587E6D" w:rsidRDefault="0016595D" w:rsidP="0016595D">
      <w:pPr>
        <w:contextualSpacing/>
        <w:rPr>
          <w:bCs/>
          <w:sz w:val="28"/>
          <w:szCs w:val="28"/>
        </w:rPr>
      </w:pPr>
    </w:p>
    <w:p w14:paraId="3E5E9821" w14:textId="77777777" w:rsidR="004F7145" w:rsidRPr="00587E6D" w:rsidRDefault="004F7145">
      <w:pPr>
        <w:spacing w:after="160" w:line="259" w:lineRule="auto"/>
        <w:jc w:val="left"/>
        <w:rPr>
          <w:sz w:val="28"/>
          <w:szCs w:val="28"/>
        </w:rPr>
      </w:pPr>
      <w:r w:rsidRPr="00587E6D">
        <w:rPr>
          <w:sz w:val="28"/>
          <w:szCs w:val="28"/>
        </w:rPr>
        <w:br w:type="page"/>
      </w:r>
    </w:p>
    <w:p w14:paraId="6691E348" w14:textId="09312B81" w:rsidR="00B83FA5" w:rsidRPr="00587E6D" w:rsidRDefault="00B83FA5" w:rsidP="00627002">
      <w:pPr>
        <w:pBdr>
          <w:bottom w:val="single" w:sz="12" w:space="1" w:color="auto"/>
        </w:pBdr>
        <w:spacing w:line="240" w:lineRule="auto"/>
        <w:rPr>
          <w:sz w:val="28"/>
          <w:szCs w:val="28"/>
        </w:rPr>
      </w:pPr>
      <w:r w:rsidRPr="00587E6D">
        <w:rPr>
          <w:noProof/>
          <w:lang w:val="en-ZA" w:eastAsia="en-ZA"/>
        </w:rPr>
        <w:lastRenderedPageBreak/>
        <mc:AlternateContent>
          <mc:Choice Requires="wps">
            <w:drawing>
              <wp:anchor distT="0" distB="0" distL="114300" distR="114300" simplePos="0" relativeHeight="251660288" behindDoc="0" locked="0" layoutInCell="1" allowOverlap="1" wp14:anchorId="63F4B2D2" wp14:editId="3D7D1767">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76C77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05C94004" w14:textId="77777777" w:rsidR="00B83FA5" w:rsidRPr="00587E6D" w:rsidRDefault="00B83FA5" w:rsidP="0016595D">
      <w:pPr>
        <w:pStyle w:val="Heading3"/>
        <w:pBdr>
          <w:bottom w:val="single" w:sz="12" w:space="12" w:color="auto"/>
        </w:pBdr>
        <w:jc w:val="center"/>
        <w:rPr>
          <w:rFonts w:ascii="Times New Roman" w:hAnsi="Times New Roman" w:cs="Times New Roman"/>
          <w:b/>
          <w:i w:val="0"/>
          <w:szCs w:val="28"/>
        </w:rPr>
      </w:pPr>
    </w:p>
    <w:p w14:paraId="14A97A6D" w14:textId="77777777" w:rsidR="00B83FA5" w:rsidRPr="00587E6D" w:rsidRDefault="00B83FA5" w:rsidP="0016595D">
      <w:pPr>
        <w:pStyle w:val="Heading3"/>
        <w:pBdr>
          <w:bottom w:val="single" w:sz="12" w:space="12" w:color="auto"/>
        </w:pBdr>
        <w:jc w:val="center"/>
        <w:rPr>
          <w:rFonts w:ascii="Times New Roman" w:hAnsi="Times New Roman" w:cs="Times New Roman"/>
          <w:b/>
          <w:i w:val="0"/>
          <w:szCs w:val="28"/>
        </w:rPr>
      </w:pPr>
      <w:r w:rsidRPr="00587E6D">
        <w:rPr>
          <w:rFonts w:ascii="Times New Roman" w:hAnsi="Times New Roman" w:cs="Times New Roman"/>
          <w:b/>
          <w:i w:val="0"/>
          <w:szCs w:val="28"/>
        </w:rPr>
        <w:t>ORDER</w:t>
      </w:r>
    </w:p>
    <w:p w14:paraId="44CA5814" w14:textId="77777777" w:rsidR="00B83FA5" w:rsidRPr="00587E6D" w:rsidRDefault="00B83FA5" w:rsidP="0016595D">
      <w:pPr>
        <w:rPr>
          <w:sz w:val="28"/>
          <w:szCs w:val="28"/>
        </w:rPr>
      </w:pPr>
    </w:p>
    <w:p w14:paraId="21A1BEC0" w14:textId="77777777" w:rsidR="00B83FA5" w:rsidRPr="00587E6D" w:rsidRDefault="00B83FA5" w:rsidP="0016595D">
      <w:pPr>
        <w:rPr>
          <w:bCs/>
          <w:sz w:val="28"/>
          <w:szCs w:val="28"/>
        </w:rPr>
      </w:pPr>
      <w:r w:rsidRPr="00587E6D">
        <w:rPr>
          <w:b/>
          <w:bCs/>
          <w:sz w:val="28"/>
          <w:szCs w:val="28"/>
        </w:rPr>
        <w:t xml:space="preserve">On appeal from: </w:t>
      </w:r>
      <w:r w:rsidRPr="00587E6D">
        <w:rPr>
          <w:bCs/>
          <w:sz w:val="28"/>
          <w:szCs w:val="28"/>
        </w:rPr>
        <w:t>Gauteng Division of the High Court, Pretoria (</w:t>
      </w:r>
      <w:r w:rsidR="00BC6D40" w:rsidRPr="00587E6D">
        <w:rPr>
          <w:bCs/>
          <w:sz w:val="28"/>
          <w:szCs w:val="28"/>
        </w:rPr>
        <w:t>Mabuse J</w:t>
      </w:r>
      <w:r w:rsidRPr="00587E6D">
        <w:rPr>
          <w:bCs/>
          <w:sz w:val="28"/>
          <w:szCs w:val="28"/>
        </w:rPr>
        <w:t xml:space="preserve">, sitting as court of first instance): </w:t>
      </w:r>
    </w:p>
    <w:p w14:paraId="551F8A2A" w14:textId="21420783" w:rsidR="00B83FA5" w:rsidRPr="00587E6D" w:rsidRDefault="00090B79" w:rsidP="0016595D">
      <w:pPr>
        <w:tabs>
          <w:tab w:val="left" w:pos="0"/>
        </w:tabs>
        <w:rPr>
          <w:sz w:val="28"/>
          <w:szCs w:val="28"/>
        </w:rPr>
      </w:pPr>
      <w:r w:rsidRPr="00587E6D">
        <w:rPr>
          <w:sz w:val="28"/>
          <w:szCs w:val="28"/>
        </w:rPr>
        <w:t>The appeal is dismissed with costs.</w:t>
      </w:r>
    </w:p>
    <w:p w14:paraId="360452DD" w14:textId="77777777" w:rsidR="00B83FA5" w:rsidRPr="00587E6D" w:rsidRDefault="00B83FA5" w:rsidP="0016595D">
      <w:pPr>
        <w:pBdr>
          <w:bottom w:val="single" w:sz="12" w:space="1" w:color="auto"/>
        </w:pBdr>
        <w:rPr>
          <w:sz w:val="28"/>
          <w:szCs w:val="28"/>
        </w:rPr>
      </w:pPr>
      <w:r w:rsidRPr="00587E6D">
        <w:rPr>
          <w:noProof/>
          <w:sz w:val="28"/>
          <w:szCs w:val="28"/>
          <w:lang w:val="en-ZA" w:eastAsia="en-ZA"/>
        </w:rPr>
        <mc:AlternateContent>
          <mc:Choice Requires="wps">
            <w:drawing>
              <wp:anchor distT="0" distB="0" distL="114300" distR="114300" simplePos="0" relativeHeight="251661312" behindDoc="0" locked="0" layoutInCell="1" allowOverlap="1" wp14:anchorId="02F7A097" wp14:editId="70D86FFC">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E7B0A1"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5EEBA773" w14:textId="77777777" w:rsidR="00B83FA5" w:rsidRPr="00587E6D" w:rsidRDefault="00B83FA5" w:rsidP="0016595D">
      <w:pPr>
        <w:pStyle w:val="Heading3"/>
        <w:pBdr>
          <w:bottom w:val="single" w:sz="12" w:space="12" w:color="auto"/>
        </w:pBdr>
        <w:jc w:val="center"/>
        <w:rPr>
          <w:rFonts w:ascii="Times New Roman" w:hAnsi="Times New Roman" w:cs="Times New Roman"/>
          <w:b/>
          <w:i w:val="0"/>
          <w:szCs w:val="28"/>
        </w:rPr>
      </w:pPr>
    </w:p>
    <w:p w14:paraId="1183C557" w14:textId="77777777" w:rsidR="00B83FA5" w:rsidRPr="00587E6D" w:rsidRDefault="00B83FA5" w:rsidP="0016595D">
      <w:pPr>
        <w:pStyle w:val="Heading3"/>
        <w:pBdr>
          <w:bottom w:val="single" w:sz="12" w:space="12" w:color="auto"/>
        </w:pBdr>
        <w:jc w:val="center"/>
        <w:rPr>
          <w:rFonts w:ascii="Times New Roman" w:hAnsi="Times New Roman" w:cs="Times New Roman"/>
        </w:rPr>
      </w:pPr>
      <w:r w:rsidRPr="00587E6D">
        <w:rPr>
          <w:rFonts w:ascii="Times New Roman" w:hAnsi="Times New Roman" w:cs="Times New Roman"/>
          <w:b/>
          <w:i w:val="0"/>
          <w:szCs w:val="28"/>
        </w:rPr>
        <w:t>JUDGMENT</w:t>
      </w:r>
    </w:p>
    <w:p w14:paraId="073656ED" w14:textId="4FDEFED3" w:rsidR="00B83FA5" w:rsidRPr="00587E6D" w:rsidRDefault="00B83FA5" w:rsidP="0016595D">
      <w:pPr>
        <w:spacing w:before="240"/>
        <w:rPr>
          <w:b/>
          <w:sz w:val="28"/>
          <w:szCs w:val="28"/>
        </w:rPr>
      </w:pPr>
      <w:r w:rsidRPr="00587E6D">
        <w:rPr>
          <w:b/>
          <w:sz w:val="28"/>
          <w:szCs w:val="28"/>
        </w:rPr>
        <w:t>Mabindla-Boqwana JA (</w:t>
      </w:r>
      <w:r w:rsidR="009F245A" w:rsidRPr="00587E6D">
        <w:rPr>
          <w:b/>
          <w:sz w:val="28"/>
          <w:szCs w:val="28"/>
        </w:rPr>
        <w:t xml:space="preserve">Meyer JA and Nhlangulela AJA </w:t>
      </w:r>
      <w:r w:rsidRPr="00587E6D">
        <w:rPr>
          <w:b/>
          <w:sz w:val="28"/>
          <w:szCs w:val="28"/>
        </w:rPr>
        <w:t>concurring):</w:t>
      </w:r>
    </w:p>
    <w:p w14:paraId="4AB17E0A" w14:textId="77777777" w:rsidR="00B83FA5" w:rsidRPr="00587E6D" w:rsidRDefault="00B83FA5" w:rsidP="0004044D">
      <w:pPr>
        <w:rPr>
          <w:b/>
          <w:sz w:val="28"/>
          <w:szCs w:val="28"/>
        </w:rPr>
      </w:pPr>
    </w:p>
    <w:p w14:paraId="128D24D8" w14:textId="400CFE6B" w:rsidR="0016595D" w:rsidRPr="00587E6D" w:rsidRDefault="009D1414" w:rsidP="009D1414">
      <w:pPr>
        <w:tabs>
          <w:tab w:val="left" w:pos="0"/>
        </w:tabs>
        <w:rPr>
          <w:sz w:val="28"/>
          <w:szCs w:val="28"/>
        </w:rPr>
      </w:pPr>
      <w:r w:rsidRPr="00587E6D">
        <w:rPr>
          <w:sz w:val="28"/>
          <w:szCs w:val="28"/>
        </w:rPr>
        <w:t>[1]</w:t>
      </w:r>
      <w:r w:rsidRPr="00587E6D">
        <w:rPr>
          <w:sz w:val="28"/>
          <w:szCs w:val="28"/>
        </w:rPr>
        <w:tab/>
      </w:r>
      <w:r w:rsidR="003F5DBA" w:rsidRPr="00587E6D">
        <w:rPr>
          <w:sz w:val="28"/>
          <w:szCs w:val="28"/>
        </w:rPr>
        <w:t xml:space="preserve">The issue in this appeal is whether the Gauteng Division of the High Court, Pretoria (the high court) properly </w:t>
      </w:r>
      <w:r w:rsidR="0042613F" w:rsidRPr="00587E6D">
        <w:rPr>
          <w:sz w:val="28"/>
          <w:szCs w:val="28"/>
        </w:rPr>
        <w:t xml:space="preserve">rejected a defence of estoppel relied upon by the appellants in resisting a summary judgment application. In this regard, the high court applied the </w:t>
      </w:r>
      <w:r w:rsidR="0042613F" w:rsidRPr="00587E6D">
        <w:rPr>
          <w:i/>
          <w:sz w:val="28"/>
          <w:szCs w:val="28"/>
        </w:rPr>
        <w:t>Shifren</w:t>
      </w:r>
      <w:r w:rsidR="0042613F" w:rsidRPr="00587E6D">
        <w:rPr>
          <w:sz w:val="28"/>
          <w:szCs w:val="28"/>
        </w:rPr>
        <w:t xml:space="preserve"> principle, adopted by this Court in </w:t>
      </w:r>
      <w:r w:rsidR="0042613F" w:rsidRPr="00587E6D">
        <w:rPr>
          <w:i/>
          <w:sz w:val="28"/>
          <w:szCs w:val="28"/>
        </w:rPr>
        <w:t>SA Sentrale Ko-op Graan</w:t>
      </w:r>
      <w:r w:rsidR="001954FB" w:rsidRPr="00587E6D">
        <w:rPr>
          <w:i/>
          <w:sz w:val="28"/>
          <w:szCs w:val="28"/>
        </w:rPr>
        <w:t>m</w:t>
      </w:r>
      <w:r w:rsidR="0042613F" w:rsidRPr="00587E6D">
        <w:rPr>
          <w:i/>
          <w:sz w:val="28"/>
          <w:szCs w:val="28"/>
        </w:rPr>
        <w:t>aatskappy Bpk v Shifren en Andere</w:t>
      </w:r>
      <w:r w:rsidR="003604C5" w:rsidRPr="00587E6D">
        <w:rPr>
          <w:iCs/>
          <w:sz w:val="28"/>
          <w:szCs w:val="28"/>
        </w:rPr>
        <w:t>.</w:t>
      </w:r>
      <w:r w:rsidR="0042613F" w:rsidRPr="00587E6D">
        <w:rPr>
          <w:rStyle w:val="FootnoteReference"/>
          <w:iCs/>
          <w:sz w:val="28"/>
          <w:szCs w:val="28"/>
        </w:rPr>
        <w:footnoteReference w:id="1"/>
      </w:r>
      <w:r w:rsidR="0042613F" w:rsidRPr="00587E6D">
        <w:rPr>
          <w:i/>
          <w:sz w:val="28"/>
          <w:szCs w:val="28"/>
        </w:rPr>
        <w:t xml:space="preserve"> </w:t>
      </w:r>
      <w:r w:rsidR="00EA094B" w:rsidRPr="00587E6D">
        <w:rPr>
          <w:sz w:val="28"/>
          <w:szCs w:val="28"/>
        </w:rPr>
        <w:t>In terms of this principle,</w:t>
      </w:r>
      <w:r w:rsidR="000672D8" w:rsidRPr="00587E6D">
        <w:rPr>
          <w:sz w:val="28"/>
          <w:szCs w:val="28"/>
        </w:rPr>
        <w:t xml:space="preserve"> if a written contract provides that any variation of its terms must be in writing, any purported variation </w:t>
      </w:r>
      <w:r w:rsidR="00EB14F6" w:rsidRPr="00587E6D">
        <w:rPr>
          <w:sz w:val="28"/>
          <w:szCs w:val="28"/>
        </w:rPr>
        <w:t xml:space="preserve">by the parties </w:t>
      </w:r>
      <w:r w:rsidR="000672D8" w:rsidRPr="00587E6D">
        <w:rPr>
          <w:sz w:val="28"/>
          <w:szCs w:val="28"/>
        </w:rPr>
        <w:t>which is not in writing will be void</w:t>
      </w:r>
      <w:r w:rsidR="00EB14F6" w:rsidRPr="00587E6D">
        <w:rPr>
          <w:sz w:val="28"/>
          <w:szCs w:val="28"/>
        </w:rPr>
        <w:t>.</w:t>
      </w:r>
      <w:r w:rsidR="00EB14F6" w:rsidRPr="00587E6D">
        <w:rPr>
          <w:rStyle w:val="FootnoteReference"/>
          <w:sz w:val="28"/>
          <w:szCs w:val="28"/>
        </w:rPr>
        <w:footnoteReference w:id="2"/>
      </w:r>
      <w:r w:rsidR="00EA094B" w:rsidRPr="00587E6D">
        <w:rPr>
          <w:sz w:val="28"/>
          <w:szCs w:val="28"/>
        </w:rPr>
        <w:t xml:space="preserve"> </w:t>
      </w:r>
    </w:p>
    <w:p w14:paraId="3A0107BD" w14:textId="77777777" w:rsidR="00CC3F50" w:rsidRPr="00587E6D" w:rsidRDefault="00CC3F50" w:rsidP="00CC3F50">
      <w:pPr>
        <w:tabs>
          <w:tab w:val="left" w:pos="0"/>
        </w:tabs>
        <w:rPr>
          <w:sz w:val="28"/>
          <w:szCs w:val="28"/>
        </w:rPr>
      </w:pPr>
    </w:p>
    <w:p w14:paraId="2CAD8496" w14:textId="12ED98D6" w:rsidR="009A2626" w:rsidRPr="00587E6D" w:rsidRDefault="009D1414" w:rsidP="009D1414">
      <w:pPr>
        <w:tabs>
          <w:tab w:val="left" w:pos="0"/>
        </w:tabs>
        <w:rPr>
          <w:sz w:val="28"/>
          <w:szCs w:val="28"/>
        </w:rPr>
      </w:pPr>
      <w:r w:rsidRPr="00587E6D">
        <w:rPr>
          <w:sz w:val="28"/>
          <w:szCs w:val="28"/>
        </w:rPr>
        <w:t>[2]</w:t>
      </w:r>
      <w:r w:rsidRPr="00587E6D">
        <w:rPr>
          <w:sz w:val="28"/>
          <w:szCs w:val="28"/>
        </w:rPr>
        <w:tab/>
      </w:r>
      <w:r w:rsidR="00DC3F7A" w:rsidRPr="00587E6D">
        <w:rPr>
          <w:sz w:val="28"/>
          <w:szCs w:val="28"/>
        </w:rPr>
        <w:t xml:space="preserve">The first appellant, Ba-Gat Motors CC trading as Gys Pitzer Motoring operates a </w:t>
      </w:r>
      <w:r w:rsidR="00AB1A97" w:rsidRPr="00587E6D">
        <w:rPr>
          <w:sz w:val="28"/>
          <w:szCs w:val="28"/>
        </w:rPr>
        <w:t>used-car</w:t>
      </w:r>
      <w:r w:rsidR="005C6E58" w:rsidRPr="00587E6D">
        <w:rPr>
          <w:sz w:val="28"/>
          <w:szCs w:val="28"/>
        </w:rPr>
        <w:t xml:space="preserve"> dealership</w:t>
      </w:r>
      <w:r w:rsidR="00DC3F7A" w:rsidRPr="00587E6D">
        <w:rPr>
          <w:sz w:val="28"/>
          <w:szCs w:val="28"/>
        </w:rPr>
        <w:t xml:space="preserve">. The second appellant, Gybertus Pitzer is the sole </w:t>
      </w:r>
      <w:r w:rsidR="00DC3F7A" w:rsidRPr="00587E6D">
        <w:rPr>
          <w:sz w:val="28"/>
          <w:szCs w:val="28"/>
        </w:rPr>
        <w:lastRenderedPageBreak/>
        <w:t>member of the first appellant. The respondent, Kempster Sedgwick (Pty)</w:t>
      </w:r>
      <w:r w:rsidR="003604C5" w:rsidRPr="00587E6D">
        <w:rPr>
          <w:sz w:val="28"/>
          <w:szCs w:val="28"/>
        </w:rPr>
        <w:t xml:space="preserve"> </w:t>
      </w:r>
      <w:r w:rsidR="00DC3F7A" w:rsidRPr="00587E6D">
        <w:rPr>
          <w:sz w:val="28"/>
          <w:szCs w:val="28"/>
        </w:rPr>
        <w:t>Ltd</w:t>
      </w:r>
      <w:r w:rsidR="00C00EC6" w:rsidRPr="00587E6D">
        <w:rPr>
          <w:sz w:val="28"/>
          <w:szCs w:val="28"/>
        </w:rPr>
        <w:t xml:space="preserve"> operates a Volvo franchise from leased premises. </w:t>
      </w:r>
    </w:p>
    <w:p w14:paraId="176055E9" w14:textId="77777777" w:rsidR="00DC3F7A" w:rsidRPr="00587E6D" w:rsidRDefault="00DC3F7A" w:rsidP="0004044D">
      <w:pPr>
        <w:tabs>
          <w:tab w:val="left" w:pos="0"/>
        </w:tabs>
        <w:rPr>
          <w:sz w:val="28"/>
          <w:szCs w:val="28"/>
        </w:rPr>
      </w:pPr>
    </w:p>
    <w:p w14:paraId="71D3EC45" w14:textId="7E86C2D6" w:rsidR="006E09D7" w:rsidRPr="00587E6D" w:rsidRDefault="009D1414" w:rsidP="009D1414">
      <w:pPr>
        <w:tabs>
          <w:tab w:val="left" w:pos="0"/>
        </w:tabs>
        <w:rPr>
          <w:sz w:val="28"/>
          <w:szCs w:val="28"/>
        </w:rPr>
      </w:pPr>
      <w:r w:rsidRPr="00587E6D">
        <w:rPr>
          <w:sz w:val="28"/>
          <w:szCs w:val="28"/>
        </w:rPr>
        <w:t>[3]</w:t>
      </w:r>
      <w:r w:rsidRPr="00587E6D">
        <w:rPr>
          <w:sz w:val="28"/>
          <w:szCs w:val="28"/>
        </w:rPr>
        <w:tab/>
      </w:r>
      <w:r w:rsidR="006E09D7" w:rsidRPr="00587E6D">
        <w:rPr>
          <w:sz w:val="28"/>
          <w:szCs w:val="28"/>
        </w:rPr>
        <w:t xml:space="preserve">On 21 February 2017, the </w:t>
      </w:r>
      <w:r w:rsidR="000A2DC3" w:rsidRPr="00587E6D">
        <w:rPr>
          <w:sz w:val="28"/>
          <w:szCs w:val="28"/>
        </w:rPr>
        <w:t xml:space="preserve">respondent </w:t>
      </w:r>
      <w:r w:rsidR="006E09D7" w:rsidRPr="00587E6D">
        <w:rPr>
          <w:sz w:val="28"/>
          <w:szCs w:val="28"/>
        </w:rPr>
        <w:t xml:space="preserve">concluded </w:t>
      </w:r>
      <w:r w:rsidR="000A2DC3" w:rsidRPr="00587E6D">
        <w:rPr>
          <w:sz w:val="28"/>
          <w:szCs w:val="28"/>
        </w:rPr>
        <w:t xml:space="preserve">a </w:t>
      </w:r>
      <w:r w:rsidR="006E09D7" w:rsidRPr="00587E6D">
        <w:rPr>
          <w:sz w:val="28"/>
          <w:szCs w:val="28"/>
        </w:rPr>
        <w:t xml:space="preserve">written agreement </w:t>
      </w:r>
      <w:r w:rsidR="00B979A1" w:rsidRPr="00587E6D">
        <w:rPr>
          <w:sz w:val="28"/>
          <w:szCs w:val="28"/>
        </w:rPr>
        <w:t>to</w:t>
      </w:r>
      <w:r w:rsidR="006E09D7" w:rsidRPr="00587E6D">
        <w:rPr>
          <w:sz w:val="28"/>
          <w:szCs w:val="28"/>
        </w:rPr>
        <w:t xml:space="preserve"> sub</w:t>
      </w:r>
      <w:r w:rsidR="000A2DC3" w:rsidRPr="00587E6D">
        <w:rPr>
          <w:sz w:val="28"/>
          <w:szCs w:val="28"/>
        </w:rPr>
        <w:t>-</w:t>
      </w:r>
      <w:r w:rsidR="006E09D7" w:rsidRPr="00587E6D">
        <w:rPr>
          <w:sz w:val="28"/>
          <w:szCs w:val="28"/>
        </w:rPr>
        <w:t>lease</w:t>
      </w:r>
      <w:r w:rsidR="00CC3813" w:rsidRPr="00587E6D">
        <w:rPr>
          <w:sz w:val="28"/>
          <w:szCs w:val="28"/>
        </w:rPr>
        <w:t xml:space="preserve"> </w:t>
      </w:r>
      <w:r w:rsidR="00B979A1" w:rsidRPr="00587E6D">
        <w:rPr>
          <w:sz w:val="28"/>
          <w:szCs w:val="28"/>
        </w:rPr>
        <w:t xml:space="preserve">a portion of the premises to </w:t>
      </w:r>
      <w:r w:rsidR="000A2DC3" w:rsidRPr="00587E6D">
        <w:rPr>
          <w:sz w:val="28"/>
          <w:szCs w:val="28"/>
        </w:rPr>
        <w:t>the first</w:t>
      </w:r>
      <w:r w:rsidR="00D67EFA" w:rsidRPr="00587E6D">
        <w:rPr>
          <w:sz w:val="28"/>
          <w:szCs w:val="28"/>
        </w:rPr>
        <w:t xml:space="preserve"> appellant</w:t>
      </w:r>
      <w:r w:rsidR="006E09D7" w:rsidRPr="00587E6D">
        <w:rPr>
          <w:sz w:val="28"/>
          <w:szCs w:val="28"/>
        </w:rPr>
        <w:t xml:space="preserve"> commenc</w:t>
      </w:r>
      <w:r w:rsidR="000A2DC3" w:rsidRPr="00587E6D">
        <w:rPr>
          <w:sz w:val="28"/>
          <w:szCs w:val="28"/>
        </w:rPr>
        <w:t>ing</w:t>
      </w:r>
      <w:r w:rsidR="006E09D7" w:rsidRPr="00587E6D">
        <w:rPr>
          <w:sz w:val="28"/>
          <w:szCs w:val="28"/>
        </w:rPr>
        <w:t xml:space="preserve"> on 15 March 2017 </w:t>
      </w:r>
      <w:r w:rsidR="000A2DC3" w:rsidRPr="00587E6D">
        <w:rPr>
          <w:sz w:val="28"/>
          <w:szCs w:val="28"/>
        </w:rPr>
        <w:t xml:space="preserve">to </w:t>
      </w:r>
      <w:r w:rsidR="006E09D7" w:rsidRPr="00587E6D">
        <w:rPr>
          <w:sz w:val="28"/>
          <w:szCs w:val="28"/>
        </w:rPr>
        <w:t xml:space="preserve">30 September 2020. </w:t>
      </w:r>
      <w:r w:rsidR="000A2DC3" w:rsidRPr="00587E6D">
        <w:rPr>
          <w:sz w:val="28"/>
          <w:szCs w:val="28"/>
        </w:rPr>
        <w:t>T</w:t>
      </w:r>
      <w:r w:rsidR="006E09D7" w:rsidRPr="00587E6D">
        <w:rPr>
          <w:sz w:val="28"/>
          <w:szCs w:val="28"/>
        </w:rPr>
        <w:t xml:space="preserve">he first </w:t>
      </w:r>
      <w:r w:rsidR="00EC0A61" w:rsidRPr="00587E6D">
        <w:rPr>
          <w:sz w:val="28"/>
          <w:szCs w:val="28"/>
        </w:rPr>
        <w:t xml:space="preserve">appellant </w:t>
      </w:r>
      <w:r w:rsidR="000A2DC3" w:rsidRPr="00587E6D">
        <w:rPr>
          <w:sz w:val="28"/>
          <w:szCs w:val="28"/>
        </w:rPr>
        <w:t xml:space="preserve">agreed to pay </w:t>
      </w:r>
      <w:r w:rsidR="006E09D7" w:rsidRPr="00587E6D">
        <w:rPr>
          <w:sz w:val="28"/>
          <w:szCs w:val="28"/>
        </w:rPr>
        <w:t xml:space="preserve">a rental amount of R100 000 plus </w:t>
      </w:r>
      <w:r w:rsidR="000A2DC3" w:rsidRPr="00587E6D">
        <w:rPr>
          <w:sz w:val="28"/>
          <w:szCs w:val="28"/>
        </w:rPr>
        <w:t>VAT, per</w:t>
      </w:r>
      <w:r w:rsidR="006E09D7" w:rsidRPr="00587E6D">
        <w:rPr>
          <w:sz w:val="28"/>
          <w:szCs w:val="28"/>
        </w:rPr>
        <w:t xml:space="preserve"> month for the initial 12 months and thereafter </w:t>
      </w:r>
      <w:r w:rsidR="00CC3813" w:rsidRPr="00587E6D">
        <w:rPr>
          <w:sz w:val="28"/>
          <w:szCs w:val="28"/>
        </w:rPr>
        <w:t xml:space="preserve">rental </w:t>
      </w:r>
      <w:r w:rsidR="006E09D7" w:rsidRPr="00587E6D">
        <w:rPr>
          <w:sz w:val="28"/>
          <w:szCs w:val="28"/>
        </w:rPr>
        <w:t>increase</w:t>
      </w:r>
      <w:r w:rsidR="00CC3813" w:rsidRPr="00587E6D">
        <w:rPr>
          <w:sz w:val="28"/>
          <w:szCs w:val="28"/>
        </w:rPr>
        <w:t>d</w:t>
      </w:r>
      <w:r w:rsidR="006E09D7" w:rsidRPr="00587E6D">
        <w:rPr>
          <w:sz w:val="28"/>
          <w:szCs w:val="28"/>
        </w:rPr>
        <w:t xml:space="preserve"> by 8% on the anniversary of the commencement date. </w:t>
      </w:r>
      <w:r w:rsidR="00AB1A97" w:rsidRPr="00587E6D">
        <w:rPr>
          <w:sz w:val="28"/>
          <w:szCs w:val="28"/>
        </w:rPr>
        <w:t>Notably, the sub-lease agreement (the agreement) contained a non-variation clause. C</w:t>
      </w:r>
      <w:r w:rsidR="006E09D7" w:rsidRPr="00587E6D">
        <w:rPr>
          <w:sz w:val="28"/>
          <w:szCs w:val="28"/>
        </w:rPr>
        <w:t xml:space="preserve">lause 13.3 </w:t>
      </w:r>
      <w:r w:rsidR="000A2DC3" w:rsidRPr="00587E6D">
        <w:rPr>
          <w:sz w:val="28"/>
          <w:szCs w:val="28"/>
        </w:rPr>
        <w:t>of</w:t>
      </w:r>
      <w:r w:rsidR="00AB1A97" w:rsidRPr="00587E6D">
        <w:rPr>
          <w:sz w:val="28"/>
          <w:szCs w:val="28"/>
        </w:rPr>
        <w:t xml:space="preserve"> the agreement read</w:t>
      </w:r>
      <w:r w:rsidR="006E09D7" w:rsidRPr="00587E6D">
        <w:rPr>
          <w:sz w:val="28"/>
          <w:szCs w:val="28"/>
        </w:rPr>
        <w:t>:</w:t>
      </w:r>
    </w:p>
    <w:p w14:paraId="6A1C0FE5" w14:textId="5BEE527D" w:rsidR="006E09D7" w:rsidRPr="00587E6D" w:rsidRDefault="006E09D7" w:rsidP="0004044D">
      <w:pPr>
        <w:pStyle w:val="ListParagraph"/>
        <w:ind w:left="0"/>
      </w:pPr>
      <w:r w:rsidRPr="00587E6D">
        <w:t>‘</w:t>
      </w:r>
      <w:r w:rsidRPr="00587E6D">
        <w:rPr>
          <w:i/>
        </w:rPr>
        <w:t>No agreement varying</w:t>
      </w:r>
      <w:r w:rsidRPr="00587E6D">
        <w:t xml:space="preserve">, adding to, deleting from or </w:t>
      </w:r>
      <w:r w:rsidRPr="00587E6D">
        <w:rPr>
          <w:i/>
        </w:rPr>
        <w:t>cancelling this Sub-Lease</w:t>
      </w:r>
      <w:r w:rsidRPr="00587E6D">
        <w:t xml:space="preserve"> (including this clause) and no waiver of any right under this Sub-Lease shall be effective unless in writing and signed by or on behalf of the parties.’</w:t>
      </w:r>
      <w:r w:rsidR="00CC3813" w:rsidRPr="00587E6D">
        <w:t xml:space="preserve"> (My emphasis.)</w:t>
      </w:r>
    </w:p>
    <w:p w14:paraId="519AB5B5" w14:textId="77777777" w:rsidR="006E09D7" w:rsidRPr="00587E6D" w:rsidRDefault="006E09D7" w:rsidP="0004044D">
      <w:pPr>
        <w:pStyle w:val="ListParagraph"/>
        <w:rPr>
          <w:sz w:val="28"/>
          <w:szCs w:val="28"/>
        </w:rPr>
      </w:pPr>
    </w:p>
    <w:p w14:paraId="3739C1B6" w14:textId="53DA7351" w:rsidR="006E09D7" w:rsidRPr="00587E6D" w:rsidRDefault="009D1414" w:rsidP="009D1414">
      <w:pPr>
        <w:tabs>
          <w:tab w:val="left" w:pos="0"/>
        </w:tabs>
        <w:rPr>
          <w:sz w:val="28"/>
          <w:szCs w:val="28"/>
        </w:rPr>
      </w:pPr>
      <w:r w:rsidRPr="00587E6D">
        <w:rPr>
          <w:sz w:val="28"/>
          <w:szCs w:val="28"/>
        </w:rPr>
        <w:t>[4]</w:t>
      </w:r>
      <w:r w:rsidRPr="00587E6D">
        <w:rPr>
          <w:sz w:val="28"/>
          <w:szCs w:val="28"/>
        </w:rPr>
        <w:tab/>
      </w:r>
      <w:r w:rsidR="00AB1A97" w:rsidRPr="00587E6D">
        <w:rPr>
          <w:sz w:val="28"/>
          <w:szCs w:val="28"/>
        </w:rPr>
        <w:t>In addition, c</w:t>
      </w:r>
      <w:r w:rsidR="006E09D7" w:rsidRPr="00587E6D">
        <w:rPr>
          <w:sz w:val="28"/>
          <w:szCs w:val="28"/>
        </w:rPr>
        <w:t>lause 13.4</w:t>
      </w:r>
      <w:r w:rsidR="000A2DC3" w:rsidRPr="00587E6D">
        <w:rPr>
          <w:sz w:val="28"/>
          <w:szCs w:val="28"/>
        </w:rPr>
        <w:t xml:space="preserve"> </w:t>
      </w:r>
      <w:r w:rsidR="00CC3813" w:rsidRPr="00587E6D">
        <w:rPr>
          <w:sz w:val="28"/>
          <w:szCs w:val="28"/>
        </w:rPr>
        <w:t xml:space="preserve">of the agreement </w:t>
      </w:r>
      <w:r w:rsidR="000A2DC3" w:rsidRPr="00587E6D">
        <w:rPr>
          <w:sz w:val="28"/>
          <w:szCs w:val="28"/>
        </w:rPr>
        <w:t>stated</w:t>
      </w:r>
      <w:r w:rsidR="006E09D7" w:rsidRPr="00587E6D">
        <w:rPr>
          <w:sz w:val="28"/>
          <w:szCs w:val="28"/>
        </w:rPr>
        <w:t>:</w:t>
      </w:r>
    </w:p>
    <w:p w14:paraId="3DC93E9B" w14:textId="77BBAAF7" w:rsidR="006E09D7" w:rsidRPr="00587E6D" w:rsidRDefault="006E09D7" w:rsidP="0004044D">
      <w:pPr>
        <w:tabs>
          <w:tab w:val="left" w:pos="0"/>
        </w:tabs>
      </w:pPr>
      <w:r w:rsidRPr="00587E6D">
        <w:t xml:space="preserve">‘No relaxation by a party of any of its rights in terms of this Sub-Lease at any time shall prejudice or be a waiver of its rights (unless it is a signed written waiver), and it shall be entitled to exercise </w:t>
      </w:r>
      <w:r w:rsidR="002D3E5F" w:rsidRPr="00587E6D">
        <w:t xml:space="preserve">its </w:t>
      </w:r>
      <w:r w:rsidRPr="00587E6D">
        <w:t>rights thereafter as if such relaxation had not taken place.’</w:t>
      </w:r>
    </w:p>
    <w:p w14:paraId="6C7391D4" w14:textId="77777777" w:rsidR="006E09D7" w:rsidRPr="00587E6D" w:rsidRDefault="006E09D7" w:rsidP="0004044D">
      <w:pPr>
        <w:tabs>
          <w:tab w:val="left" w:pos="0"/>
        </w:tabs>
        <w:rPr>
          <w:sz w:val="28"/>
          <w:szCs w:val="28"/>
        </w:rPr>
      </w:pPr>
    </w:p>
    <w:p w14:paraId="28AE63D5" w14:textId="293AE7C7" w:rsidR="006E09D7" w:rsidRPr="00587E6D" w:rsidRDefault="009D1414" w:rsidP="009D1414">
      <w:pPr>
        <w:tabs>
          <w:tab w:val="left" w:pos="0"/>
        </w:tabs>
        <w:rPr>
          <w:sz w:val="28"/>
          <w:szCs w:val="28"/>
        </w:rPr>
      </w:pPr>
      <w:r w:rsidRPr="00587E6D">
        <w:rPr>
          <w:sz w:val="28"/>
          <w:szCs w:val="28"/>
        </w:rPr>
        <w:t>[5]</w:t>
      </w:r>
      <w:r w:rsidRPr="00587E6D">
        <w:rPr>
          <w:sz w:val="28"/>
          <w:szCs w:val="28"/>
        </w:rPr>
        <w:tab/>
      </w:r>
      <w:r w:rsidR="006E09D7" w:rsidRPr="00587E6D">
        <w:rPr>
          <w:sz w:val="28"/>
          <w:szCs w:val="28"/>
        </w:rPr>
        <w:t>The second</w:t>
      </w:r>
      <w:r w:rsidR="00D67EFA" w:rsidRPr="00587E6D">
        <w:rPr>
          <w:sz w:val="28"/>
          <w:szCs w:val="28"/>
        </w:rPr>
        <w:t xml:space="preserve"> appellant</w:t>
      </w:r>
      <w:r w:rsidR="00CC3813" w:rsidRPr="00587E6D">
        <w:rPr>
          <w:sz w:val="28"/>
          <w:szCs w:val="28"/>
        </w:rPr>
        <w:t xml:space="preserve"> </w:t>
      </w:r>
      <w:r w:rsidR="006E09D7" w:rsidRPr="00587E6D">
        <w:rPr>
          <w:sz w:val="28"/>
          <w:szCs w:val="28"/>
        </w:rPr>
        <w:t xml:space="preserve">bound himself jointly and severally as surety and co-principal debtor with the first </w:t>
      </w:r>
      <w:r w:rsidR="00EC0A61" w:rsidRPr="00587E6D">
        <w:rPr>
          <w:sz w:val="28"/>
          <w:szCs w:val="28"/>
        </w:rPr>
        <w:t xml:space="preserve">appellant in favour </w:t>
      </w:r>
      <w:r w:rsidR="006E09D7" w:rsidRPr="00587E6D">
        <w:rPr>
          <w:sz w:val="28"/>
          <w:szCs w:val="28"/>
        </w:rPr>
        <w:t xml:space="preserve">of the </w:t>
      </w:r>
      <w:r w:rsidR="00EC0A61" w:rsidRPr="00587E6D">
        <w:rPr>
          <w:sz w:val="28"/>
          <w:szCs w:val="28"/>
        </w:rPr>
        <w:t>respondent</w:t>
      </w:r>
      <w:r w:rsidR="006E09D7" w:rsidRPr="00587E6D">
        <w:rPr>
          <w:sz w:val="28"/>
          <w:szCs w:val="28"/>
        </w:rPr>
        <w:t xml:space="preserve"> for all or any obligations of the first </w:t>
      </w:r>
      <w:r w:rsidR="00EC0A61" w:rsidRPr="00587E6D">
        <w:rPr>
          <w:sz w:val="28"/>
          <w:szCs w:val="28"/>
        </w:rPr>
        <w:t xml:space="preserve">appellant </w:t>
      </w:r>
      <w:r w:rsidR="006E09D7" w:rsidRPr="00587E6D">
        <w:rPr>
          <w:sz w:val="28"/>
          <w:szCs w:val="28"/>
        </w:rPr>
        <w:t>arising out of or in any way connected to the sub</w:t>
      </w:r>
      <w:r w:rsidR="00EC0A61" w:rsidRPr="00587E6D">
        <w:rPr>
          <w:sz w:val="28"/>
          <w:szCs w:val="28"/>
        </w:rPr>
        <w:t>-</w:t>
      </w:r>
      <w:r w:rsidR="006E09D7" w:rsidRPr="00587E6D">
        <w:rPr>
          <w:sz w:val="28"/>
          <w:szCs w:val="28"/>
        </w:rPr>
        <w:t>lease.</w:t>
      </w:r>
    </w:p>
    <w:p w14:paraId="4538B8EC" w14:textId="77777777" w:rsidR="006E09D7" w:rsidRPr="00587E6D" w:rsidRDefault="006E09D7" w:rsidP="0004044D">
      <w:pPr>
        <w:tabs>
          <w:tab w:val="left" w:pos="0"/>
        </w:tabs>
        <w:rPr>
          <w:sz w:val="28"/>
          <w:szCs w:val="28"/>
        </w:rPr>
      </w:pPr>
    </w:p>
    <w:p w14:paraId="6B879E3E" w14:textId="34973E39" w:rsidR="00EC0A61" w:rsidRPr="00627002" w:rsidRDefault="009D1414" w:rsidP="009D1414">
      <w:pPr>
        <w:tabs>
          <w:tab w:val="left" w:pos="0"/>
        </w:tabs>
        <w:rPr>
          <w:sz w:val="28"/>
          <w:szCs w:val="28"/>
        </w:rPr>
      </w:pPr>
      <w:r w:rsidRPr="00627002">
        <w:rPr>
          <w:sz w:val="28"/>
          <w:szCs w:val="28"/>
        </w:rPr>
        <w:t>[6]</w:t>
      </w:r>
      <w:r w:rsidRPr="00627002">
        <w:rPr>
          <w:sz w:val="28"/>
          <w:szCs w:val="28"/>
        </w:rPr>
        <w:tab/>
      </w:r>
      <w:r w:rsidR="006E09D7" w:rsidRPr="00587E6D">
        <w:rPr>
          <w:sz w:val="28"/>
          <w:szCs w:val="28"/>
        </w:rPr>
        <w:t xml:space="preserve">The first </w:t>
      </w:r>
      <w:r w:rsidR="00EC0A61" w:rsidRPr="00587E6D">
        <w:rPr>
          <w:sz w:val="28"/>
          <w:szCs w:val="28"/>
        </w:rPr>
        <w:t xml:space="preserve">appellant </w:t>
      </w:r>
      <w:r w:rsidR="006E09D7" w:rsidRPr="00587E6D">
        <w:rPr>
          <w:sz w:val="28"/>
          <w:szCs w:val="28"/>
        </w:rPr>
        <w:t xml:space="preserve">paid escalated rent up to and including April 2019 </w:t>
      </w:r>
      <w:r w:rsidR="004619A8" w:rsidRPr="00587E6D">
        <w:rPr>
          <w:sz w:val="28"/>
          <w:szCs w:val="28"/>
        </w:rPr>
        <w:t>and</w:t>
      </w:r>
      <w:r w:rsidR="006E09D7" w:rsidRPr="00587E6D">
        <w:rPr>
          <w:sz w:val="28"/>
          <w:szCs w:val="28"/>
        </w:rPr>
        <w:t xml:space="preserve"> refused to pay any rent thereafter. </w:t>
      </w:r>
      <w:r w:rsidR="00064576" w:rsidRPr="00587E6D">
        <w:rPr>
          <w:sz w:val="28"/>
          <w:szCs w:val="28"/>
        </w:rPr>
        <w:t>This prompted the respondent to institute action against the appellants</w:t>
      </w:r>
      <w:r w:rsidR="00FF46D7" w:rsidRPr="00587E6D">
        <w:rPr>
          <w:sz w:val="28"/>
          <w:szCs w:val="28"/>
        </w:rPr>
        <w:t xml:space="preserve"> </w:t>
      </w:r>
      <w:r w:rsidR="001B4E93" w:rsidRPr="00587E6D">
        <w:rPr>
          <w:sz w:val="28"/>
          <w:szCs w:val="28"/>
        </w:rPr>
        <w:t>in the high court, claiming</w:t>
      </w:r>
      <w:r w:rsidR="004619A8" w:rsidRPr="00587E6D">
        <w:rPr>
          <w:sz w:val="28"/>
          <w:szCs w:val="28"/>
        </w:rPr>
        <w:t xml:space="preserve"> </w:t>
      </w:r>
      <w:r w:rsidR="00FF46D7" w:rsidRPr="00587E6D">
        <w:rPr>
          <w:sz w:val="28"/>
          <w:szCs w:val="28"/>
        </w:rPr>
        <w:t>payment of an amount of R938</w:t>
      </w:r>
      <w:r w:rsidR="004619A8" w:rsidRPr="00587E6D">
        <w:rPr>
          <w:sz w:val="28"/>
          <w:szCs w:val="28"/>
        </w:rPr>
        <w:t> </w:t>
      </w:r>
      <w:r w:rsidR="00FF46D7" w:rsidRPr="00587E6D">
        <w:rPr>
          <w:sz w:val="28"/>
          <w:szCs w:val="28"/>
        </w:rPr>
        <w:t>952</w:t>
      </w:r>
      <w:r w:rsidR="004619A8" w:rsidRPr="00587E6D">
        <w:rPr>
          <w:sz w:val="28"/>
          <w:szCs w:val="28"/>
        </w:rPr>
        <w:t xml:space="preserve"> for arrear rental</w:t>
      </w:r>
      <w:r w:rsidR="00B87804" w:rsidRPr="00587E6D">
        <w:rPr>
          <w:sz w:val="28"/>
          <w:szCs w:val="28"/>
        </w:rPr>
        <w:t>,</w:t>
      </w:r>
      <w:r w:rsidR="004619A8" w:rsidRPr="00587E6D">
        <w:rPr>
          <w:sz w:val="28"/>
          <w:szCs w:val="28"/>
        </w:rPr>
        <w:t xml:space="preserve"> for the months of May 2019 to October 2019</w:t>
      </w:r>
      <w:r w:rsidR="00FF46D7" w:rsidRPr="00587E6D">
        <w:rPr>
          <w:sz w:val="28"/>
          <w:szCs w:val="28"/>
        </w:rPr>
        <w:t xml:space="preserve">. </w:t>
      </w:r>
    </w:p>
    <w:p w14:paraId="345EDFC6" w14:textId="4E086F00" w:rsidR="006E09D7" w:rsidRPr="00587E6D" w:rsidRDefault="009D1414" w:rsidP="009D1414">
      <w:pPr>
        <w:tabs>
          <w:tab w:val="left" w:pos="0"/>
        </w:tabs>
        <w:rPr>
          <w:sz w:val="28"/>
          <w:szCs w:val="28"/>
        </w:rPr>
      </w:pPr>
      <w:r w:rsidRPr="00587E6D">
        <w:rPr>
          <w:sz w:val="28"/>
          <w:szCs w:val="28"/>
        </w:rPr>
        <w:lastRenderedPageBreak/>
        <w:t>[7]</w:t>
      </w:r>
      <w:r w:rsidRPr="00587E6D">
        <w:rPr>
          <w:sz w:val="28"/>
          <w:szCs w:val="28"/>
        </w:rPr>
        <w:tab/>
      </w:r>
      <w:r w:rsidR="004619A8" w:rsidRPr="00587E6D">
        <w:rPr>
          <w:sz w:val="28"/>
          <w:szCs w:val="28"/>
        </w:rPr>
        <w:t>T</w:t>
      </w:r>
      <w:r w:rsidR="006E09D7" w:rsidRPr="00587E6D">
        <w:rPr>
          <w:sz w:val="28"/>
          <w:szCs w:val="28"/>
        </w:rPr>
        <w:t xml:space="preserve">he </w:t>
      </w:r>
      <w:r w:rsidR="00FF46D7" w:rsidRPr="00587E6D">
        <w:rPr>
          <w:sz w:val="28"/>
          <w:szCs w:val="28"/>
        </w:rPr>
        <w:t>appellants</w:t>
      </w:r>
      <w:r w:rsidR="004619A8" w:rsidRPr="00587E6D">
        <w:rPr>
          <w:sz w:val="28"/>
          <w:szCs w:val="28"/>
        </w:rPr>
        <w:t xml:space="preserve"> delivered a plea</w:t>
      </w:r>
      <w:r w:rsidR="00FF46D7" w:rsidRPr="00587E6D">
        <w:rPr>
          <w:sz w:val="28"/>
          <w:szCs w:val="28"/>
        </w:rPr>
        <w:t xml:space="preserve"> </w:t>
      </w:r>
      <w:r w:rsidR="006E09D7" w:rsidRPr="00587E6D">
        <w:rPr>
          <w:sz w:val="28"/>
          <w:szCs w:val="28"/>
        </w:rPr>
        <w:t>den</w:t>
      </w:r>
      <w:r w:rsidR="004619A8" w:rsidRPr="00587E6D">
        <w:rPr>
          <w:sz w:val="28"/>
          <w:szCs w:val="28"/>
        </w:rPr>
        <w:t>ying</w:t>
      </w:r>
      <w:r w:rsidR="006E09D7" w:rsidRPr="00587E6D">
        <w:rPr>
          <w:sz w:val="28"/>
          <w:szCs w:val="28"/>
        </w:rPr>
        <w:t xml:space="preserve"> </w:t>
      </w:r>
      <w:r w:rsidR="004619A8" w:rsidRPr="00587E6D">
        <w:rPr>
          <w:sz w:val="28"/>
          <w:szCs w:val="28"/>
        </w:rPr>
        <w:t xml:space="preserve">any </w:t>
      </w:r>
      <w:r w:rsidR="006E09D7" w:rsidRPr="00587E6D">
        <w:rPr>
          <w:sz w:val="28"/>
          <w:szCs w:val="28"/>
        </w:rPr>
        <w:t>oblig</w:t>
      </w:r>
      <w:r w:rsidR="004619A8" w:rsidRPr="00587E6D">
        <w:rPr>
          <w:sz w:val="28"/>
          <w:szCs w:val="28"/>
        </w:rPr>
        <w:t>ation</w:t>
      </w:r>
      <w:r w:rsidR="006E09D7" w:rsidRPr="00587E6D">
        <w:rPr>
          <w:sz w:val="28"/>
          <w:szCs w:val="28"/>
        </w:rPr>
        <w:t xml:space="preserve"> to pay rent</w:t>
      </w:r>
      <w:r w:rsidR="004619A8" w:rsidRPr="00587E6D">
        <w:rPr>
          <w:sz w:val="28"/>
          <w:szCs w:val="28"/>
        </w:rPr>
        <w:t>al</w:t>
      </w:r>
      <w:r w:rsidR="006E09D7" w:rsidRPr="00587E6D">
        <w:rPr>
          <w:sz w:val="28"/>
          <w:szCs w:val="28"/>
        </w:rPr>
        <w:t xml:space="preserve"> </w:t>
      </w:r>
      <w:r w:rsidR="00FF46D7" w:rsidRPr="00587E6D">
        <w:rPr>
          <w:sz w:val="28"/>
          <w:szCs w:val="28"/>
        </w:rPr>
        <w:t xml:space="preserve">beyond </w:t>
      </w:r>
      <w:r w:rsidR="006E09D7" w:rsidRPr="00587E6D">
        <w:rPr>
          <w:sz w:val="28"/>
          <w:szCs w:val="28"/>
        </w:rPr>
        <w:t>April 2019</w:t>
      </w:r>
      <w:r w:rsidR="00FF46D7" w:rsidRPr="00587E6D">
        <w:rPr>
          <w:sz w:val="28"/>
          <w:szCs w:val="28"/>
        </w:rPr>
        <w:t>. A</w:t>
      </w:r>
      <w:r w:rsidR="006E09D7" w:rsidRPr="00587E6D">
        <w:rPr>
          <w:sz w:val="28"/>
          <w:szCs w:val="28"/>
        </w:rPr>
        <w:t>ccording to the</w:t>
      </w:r>
      <w:r w:rsidR="00FF46D7" w:rsidRPr="00587E6D">
        <w:rPr>
          <w:sz w:val="28"/>
          <w:szCs w:val="28"/>
        </w:rPr>
        <w:t xml:space="preserve"> appellants</w:t>
      </w:r>
      <w:r w:rsidR="006E09D7" w:rsidRPr="00587E6D">
        <w:rPr>
          <w:sz w:val="28"/>
          <w:szCs w:val="28"/>
        </w:rPr>
        <w:t>, the sub</w:t>
      </w:r>
      <w:r w:rsidR="00FF46D7" w:rsidRPr="00587E6D">
        <w:rPr>
          <w:sz w:val="28"/>
          <w:szCs w:val="28"/>
        </w:rPr>
        <w:t>-</w:t>
      </w:r>
      <w:r w:rsidR="006E09D7" w:rsidRPr="00587E6D">
        <w:rPr>
          <w:sz w:val="28"/>
          <w:szCs w:val="28"/>
        </w:rPr>
        <w:t>lease</w:t>
      </w:r>
      <w:r w:rsidR="004619A8" w:rsidRPr="00587E6D">
        <w:rPr>
          <w:sz w:val="28"/>
          <w:szCs w:val="28"/>
        </w:rPr>
        <w:t xml:space="preserve"> between the first appellant and the respondent</w:t>
      </w:r>
      <w:r w:rsidR="006E09D7" w:rsidRPr="00587E6D">
        <w:rPr>
          <w:sz w:val="28"/>
          <w:szCs w:val="28"/>
        </w:rPr>
        <w:t xml:space="preserve"> no longer subsisted</w:t>
      </w:r>
      <w:r w:rsidR="004619A8" w:rsidRPr="00587E6D">
        <w:rPr>
          <w:sz w:val="28"/>
          <w:szCs w:val="28"/>
        </w:rPr>
        <w:t>. They alleged that</w:t>
      </w:r>
      <w:r w:rsidR="00FF46D7" w:rsidRPr="00587E6D">
        <w:rPr>
          <w:sz w:val="28"/>
          <w:szCs w:val="28"/>
        </w:rPr>
        <w:t xml:space="preserve"> it was cancelled in terms of an oral agreement concluded between the </w:t>
      </w:r>
      <w:r w:rsidR="004619A8" w:rsidRPr="00587E6D">
        <w:rPr>
          <w:sz w:val="28"/>
          <w:szCs w:val="28"/>
        </w:rPr>
        <w:t xml:space="preserve">first appellant and the </w:t>
      </w:r>
      <w:r w:rsidR="00FF46D7" w:rsidRPr="00587E6D">
        <w:rPr>
          <w:sz w:val="28"/>
          <w:szCs w:val="28"/>
        </w:rPr>
        <w:t>respondent during or about May/June 2018</w:t>
      </w:r>
      <w:r w:rsidR="004619A8" w:rsidRPr="00587E6D">
        <w:rPr>
          <w:sz w:val="28"/>
          <w:szCs w:val="28"/>
        </w:rPr>
        <w:t>. In this regard, they alleged that</w:t>
      </w:r>
      <w:r w:rsidR="00BF0830" w:rsidRPr="00587E6D">
        <w:rPr>
          <w:sz w:val="28"/>
          <w:szCs w:val="28"/>
        </w:rPr>
        <w:t xml:space="preserve"> </w:t>
      </w:r>
      <w:r w:rsidR="006E09D7" w:rsidRPr="00587E6D">
        <w:rPr>
          <w:sz w:val="28"/>
          <w:szCs w:val="28"/>
        </w:rPr>
        <w:t>‘</w:t>
      </w:r>
      <w:r w:rsidR="00BF0830" w:rsidRPr="00587E6D">
        <w:rPr>
          <w:sz w:val="28"/>
          <w:szCs w:val="28"/>
        </w:rPr>
        <w:t>i</w:t>
      </w:r>
      <w:r w:rsidR="006E09D7" w:rsidRPr="00587E6D">
        <w:rPr>
          <w:sz w:val="28"/>
          <w:szCs w:val="28"/>
        </w:rPr>
        <w:t>t was agreed that the sub</w:t>
      </w:r>
      <w:r w:rsidR="00920FA3" w:rsidRPr="00587E6D">
        <w:rPr>
          <w:sz w:val="28"/>
          <w:szCs w:val="28"/>
        </w:rPr>
        <w:t>-</w:t>
      </w:r>
      <w:r w:rsidR="006E09D7" w:rsidRPr="00587E6D">
        <w:rPr>
          <w:sz w:val="28"/>
          <w:szCs w:val="28"/>
        </w:rPr>
        <w:t>lease would terminate upon the [f</w:t>
      </w:r>
      <w:r w:rsidR="00920FA3" w:rsidRPr="00587E6D">
        <w:rPr>
          <w:sz w:val="28"/>
          <w:szCs w:val="28"/>
        </w:rPr>
        <w:t xml:space="preserve">irst appellant] </w:t>
      </w:r>
      <w:r w:rsidR="006E09D7" w:rsidRPr="00587E6D">
        <w:rPr>
          <w:sz w:val="28"/>
          <w:szCs w:val="28"/>
        </w:rPr>
        <w:t>s</w:t>
      </w:r>
      <w:r w:rsidR="00BF0830" w:rsidRPr="00587E6D">
        <w:rPr>
          <w:sz w:val="28"/>
          <w:szCs w:val="28"/>
        </w:rPr>
        <w:t xml:space="preserve">ecuring an alternative premises </w:t>
      </w:r>
      <w:r w:rsidR="006E09D7" w:rsidRPr="00587E6D">
        <w:rPr>
          <w:sz w:val="28"/>
          <w:szCs w:val="28"/>
        </w:rPr>
        <w:t>(</w:t>
      </w:r>
      <w:r w:rsidR="00920FA3" w:rsidRPr="00587E6D">
        <w:rPr>
          <w:sz w:val="28"/>
          <w:szCs w:val="28"/>
        </w:rPr>
        <w:t>“</w:t>
      </w:r>
      <w:r w:rsidR="006E09D7" w:rsidRPr="00587E6D">
        <w:rPr>
          <w:sz w:val="28"/>
          <w:szCs w:val="28"/>
        </w:rPr>
        <w:t xml:space="preserve">the new premises”), from which the </w:t>
      </w:r>
      <w:r w:rsidR="00920FA3" w:rsidRPr="00587E6D">
        <w:rPr>
          <w:sz w:val="28"/>
          <w:szCs w:val="28"/>
        </w:rPr>
        <w:t>[</w:t>
      </w:r>
      <w:r w:rsidR="006E09D7" w:rsidRPr="00587E6D">
        <w:rPr>
          <w:sz w:val="28"/>
          <w:szCs w:val="28"/>
        </w:rPr>
        <w:t xml:space="preserve">first </w:t>
      </w:r>
      <w:r w:rsidR="00920FA3" w:rsidRPr="00587E6D">
        <w:rPr>
          <w:sz w:val="28"/>
          <w:szCs w:val="28"/>
        </w:rPr>
        <w:t xml:space="preserve">appellant] </w:t>
      </w:r>
      <w:r w:rsidR="006E09D7" w:rsidRPr="00587E6D">
        <w:rPr>
          <w:sz w:val="28"/>
          <w:szCs w:val="28"/>
        </w:rPr>
        <w:t>would continue with its business activities, alternatively, the sub</w:t>
      </w:r>
      <w:r w:rsidR="00920FA3" w:rsidRPr="00587E6D">
        <w:rPr>
          <w:sz w:val="28"/>
          <w:szCs w:val="28"/>
        </w:rPr>
        <w:t>-</w:t>
      </w:r>
      <w:r w:rsidR="006E09D7" w:rsidRPr="00587E6D">
        <w:rPr>
          <w:sz w:val="28"/>
          <w:szCs w:val="28"/>
        </w:rPr>
        <w:t xml:space="preserve">lease would terminate on a date to be provided to the </w:t>
      </w:r>
      <w:r w:rsidR="00920FA3" w:rsidRPr="00587E6D">
        <w:rPr>
          <w:sz w:val="28"/>
          <w:szCs w:val="28"/>
        </w:rPr>
        <w:t xml:space="preserve">[respondent] </w:t>
      </w:r>
      <w:r w:rsidR="006E09D7" w:rsidRPr="00587E6D">
        <w:rPr>
          <w:sz w:val="28"/>
          <w:szCs w:val="28"/>
        </w:rPr>
        <w:t xml:space="preserve">by the </w:t>
      </w:r>
      <w:r w:rsidR="00DA7B56" w:rsidRPr="00587E6D">
        <w:rPr>
          <w:sz w:val="28"/>
          <w:szCs w:val="28"/>
        </w:rPr>
        <w:t>[</w:t>
      </w:r>
      <w:r w:rsidR="00920FA3" w:rsidRPr="00587E6D">
        <w:rPr>
          <w:sz w:val="28"/>
          <w:szCs w:val="28"/>
        </w:rPr>
        <w:t xml:space="preserve">first appellant] </w:t>
      </w:r>
      <w:r w:rsidR="006E09D7" w:rsidRPr="00587E6D">
        <w:rPr>
          <w:sz w:val="28"/>
          <w:szCs w:val="28"/>
        </w:rPr>
        <w:t>by notice’</w:t>
      </w:r>
      <w:r w:rsidR="00BF0830" w:rsidRPr="00587E6D">
        <w:rPr>
          <w:sz w:val="28"/>
          <w:szCs w:val="28"/>
        </w:rPr>
        <w:t>.</w:t>
      </w:r>
    </w:p>
    <w:p w14:paraId="36BB7C2F" w14:textId="77777777" w:rsidR="006E09D7" w:rsidRPr="00587E6D" w:rsidRDefault="006E09D7" w:rsidP="0004044D">
      <w:pPr>
        <w:pStyle w:val="ListParagraph"/>
        <w:rPr>
          <w:sz w:val="28"/>
          <w:szCs w:val="28"/>
        </w:rPr>
      </w:pPr>
    </w:p>
    <w:p w14:paraId="5197D4F7" w14:textId="6F1D31B2" w:rsidR="006E09D7" w:rsidRPr="00587E6D" w:rsidRDefault="009D1414" w:rsidP="009D1414">
      <w:pPr>
        <w:tabs>
          <w:tab w:val="left" w:pos="0"/>
        </w:tabs>
        <w:rPr>
          <w:sz w:val="28"/>
          <w:szCs w:val="28"/>
        </w:rPr>
      </w:pPr>
      <w:r w:rsidRPr="00587E6D">
        <w:rPr>
          <w:sz w:val="28"/>
          <w:szCs w:val="28"/>
        </w:rPr>
        <w:t>[8]</w:t>
      </w:r>
      <w:r w:rsidRPr="00587E6D">
        <w:rPr>
          <w:sz w:val="28"/>
          <w:szCs w:val="28"/>
        </w:rPr>
        <w:tab/>
      </w:r>
      <w:r w:rsidR="006E09D7" w:rsidRPr="00587E6D">
        <w:rPr>
          <w:sz w:val="28"/>
          <w:szCs w:val="28"/>
        </w:rPr>
        <w:t xml:space="preserve">The </w:t>
      </w:r>
      <w:r w:rsidR="00920FA3" w:rsidRPr="00587E6D">
        <w:rPr>
          <w:sz w:val="28"/>
          <w:szCs w:val="28"/>
        </w:rPr>
        <w:t xml:space="preserve">appellants further pleaded </w:t>
      </w:r>
      <w:r w:rsidR="006E09D7" w:rsidRPr="00587E6D">
        <w:rPr>
          <w:sz w:val="28"/>
          <w:szCs w:val="28"/>
        </w:rPr>
        <w:t xml:space="preserve">that the </w:t>
      </w:r>
      <w:r w:rsidR="004619A8" w:rsidRPr="00587E6D">
        <w:rPr>
          <w:sz w:val="28"/>
          <w:szCs w:val="28"/>
        </w:rPr>
        <w:t>respondent</w:t>
      </w:r>
      <w:r w:rsidR="00BF0830" w:rsidRPr="00587E6D">
        <w:rPr>
          <w:sz w:val="28"/>
          <w:szCs w:val="28"/>
        </w:rPr>
        <w:t xml:space="preserve"> ‘i</w:t>
      </w:r>
      <w:r w:rsidR="004619A8" w:rsidRPr="00587E6D">
        <w:rPr>
          <w:sz w:val="28"/>
          <w:szCs w:val="28"/>
        </w:rPr>
        <w:t>s</w:t>
      </w:r>
      <w:r w:rsidR="00920FA3" w:rsidRPr="00587E6D">
        <w:rPr>
          <w:sz w:val="28"/>
          <w:szCs w:val="28"/>
        </w:rPr>
        <w:t xml:space="preserve"> </w:t>
      </w:r>
      <w:r w:rsidR="006E09D7" w:rsidRPr="00587E6D">
        <w:rPr>
          <w:sz w:val="28"/>
          <w:szCs w:val="28"/>
        </w:rPr>
        <w:t>estopped from denying that the sub</w:t>
      </w:r>
      <w:r w:rsidR="00920FA3" w:rsidRPr="00587E6D">
        <w:rPr>
          <w:sz w:val="28"/>
          <w:szCs w:val="28"/>
        </w:rPr>
        <w:t>-</w:t>
      </w:r>
      <w:r w:rsidR="006E09D7" w:rsidRPr="00587E6D">
        <w:rPr>
          <w:sz w:val="28"/>
          <w:szCs w:val="28"/>
        </w:rPr>
        <w:t xml:space="preserve">lease was cancelled in terms of </w:t>
      </w:r>
      <w:r w:rsidR="001B4E93" w:rsidRPr="00587E6D">
        <w:rPr>
          <w:sz w:val="28"/>
          <w:szCs w:val="28"/>
        </w:rPr>
        <w:t xml:space="preserve">the </w:t>
      </w:r>
      <w:r w:rsidR="006E09D7" w:rsidRPr="00587E6D">
        <w:rPr>
          <w:sz w:val="28"/>
          <w:szCs w:val="28"/>
        </w:rPr>
        <w:t xml:space="preserve">aforesaid oral agreement and/or </w:t>
      </w:r>
      <w:r w:rsidR="00C2312C" w:rsidRPr="00587E6D">
        <w:rPr>
          <w:sz w:val="28"/>
          <w:szCs w:val="28"/>
        </w:rPr>
        <w:t xml:space="preserve">contending </w:t>
      </w:r>
      <w:r w:rsidR="006E09D7" w:rsidRPr="00587E6D">
        <w:rPr>
          <w:sz w:val="28"/>
          <w:szCs w:val="28"/>
        </w:rPr>
        <w:t xml:space="preserve">that the cancellation agreement relied upon by the </w:t>
      </w:r>
      <w:r w:rsidR="00920FA3" w:rsidRPr="00587E6D">
        <w:rPr>
          <w:sz w:val="28"/>
          <w:szCs w:val="28"/>
        </w:rPr>
        <w:t xml:space="preserve">[appellants] </w:t>
      </w:r>
      <w:r w:rsidR="006E09D7" w:rsidRPr="00587E6D">
        <w:rPr>
          <w:sz w:val="28"/>
          <w:szCs w:val="28"/>
        </w:rPr>
        <w:t xml:space="preserve">is </w:t>
      </w:r>
      <w:r w:rsidR="001B4E93" w:rsidRPr="00587E6D">
        <w:rPr>
          <w:sz w:val="28"/>
          <w:szCs w:val="28"/>
        </w:rPr>
        <w:t xml:space="preserve">of </w:t>
      </w:r>
      <w:r w:rsidR="006E09D7" w:rsidRPr="00587E6D">
        <w:rPr>
          <w:sz w:val="28"/>
          <w:szCs w:val="28"/>
        </w:rPr>
        <w:t xml:space="preserve">no force and effect as it </w:t>
      </w:r>
      <w:r w:rsidR="00C2312C" w:rsidRPr="00587E6D">
        <w:rPr>
          <w:sz w:val="28"/>
          <w:szCs w:val="28"/>
        </w:rPr>
        <w:t>[</w:t>
      </w:r>
      <w:r w:rsidR="006E09D7" w:rsidRPr="00587E6D">
        <w:rPr>
          <w:sz w:val="28"/>
          <w:szCs w:val="28"/>
        </w:rPr>
        <w:t>d</w:t>
      </w:r>
      <w:r w:rsidR="00920FA3" w:rsidRPr="00587E6D">
        <w:rPr>
          <w:sz w:val="28"/>
          <w:szCs w:val="28"/>
        </w:rPr>
        <w:t>id</w:t>
      </w:r>
      <w:r w:rsidR="00C2312C" w:rsidRPr="00587E6D">
        <w:rPr>
          <w:sz w:val="28"/>
          <w:szCs w:val="28"/>
        </w:rPr>
        <w:t>]</w:t>
      </w:r>
      <w:r w:rsidR="006E09D7" w:rsidRPr="00587E6D">
        <w:rPr>
          <w:sz w:val="28"/>
          <w:szCs w:val="28"/>
        </w:rPr>
        <w:t xml:space="preserve"> not comply with the requirements of clause 13.3 of the sub</w:t>
      </w:r>
      <w:r w:rsidR="00920FA3" w:rsidRPr="00587E6D">
        <w:rPr>
          <w:sz w:val="28"/>
          <w:szCs w:val="28"/>
        </w:rPr>
        <w:t>-</w:t>
      </w:r>
      <w:r w:rsidR="006E09D7" w:rsidRPr="00587E6D">
        <w:rPr>
          <w:sz w:val="28"/>
          <w:szCs w:val="28"/>
        </w:rPr>
        <w:t xml:space="preserve">lease and/or </w:t>
      </w:r>
      <w:r w:rsidR="00A4586E" w:rsidRPr="00587E6D">
        <w:rPr>
          <w:sz w:val="28"/>
          <w:szCs w:val="28"/>
        </w:rPr>
        <w:t xml:space="preserve">that </w:t>
      </w:r>
      <w:r w:rsidR="006E09D7" w:rsidRPr="00587E6D">
        <w:rPr>
          <w:sz w:val="28"/>
          <w:szCs w:val="28"/>
        </w:rPr>
        <w:t xml:space="preserve">the </w:t>
      </w:r>
      <w:r w:rsidR="00920FA3" w:rsidRPr="00587E6D">
        <w:rPr>
          <w:sz w:val="28"/>
          <w:szCs w:val="28"/>
        </w:rPr>
        <w:t>[appellants]</w:t>
      </w:r>
      <w:r w:rsidR="00A4586E" w:rsidRPr="00587E6D">
        <w:rPr>
          <w:sz w:val="28"/>
          <w:szCs w:val="28"/>
        </w:rPr>
        <w:t xml:space="preserve"> </w:t>
      </w:r>
      <w:r w:rsidR="006E09D7" w:rsidRPr="00587E6D">
        <w:rPr>
          <w:sz w:val="28"/>
          <w:szCs w:val="28"/>
        </w:rPr>
        <w:t>are precluded from relying on an oral cancellation agreement by the provisions of clause 13.3</w:t>
      </w:r>
      <w:r w:rsidR="003D37CD" w:rsidRPr="00587E6D">
        <w:rPr>
          <w:sz w:val="28"/>
          <w:szCs w:val="28"/>
        </w:rPr>
        <w:t xml:space="preserve"> of the</w:t>
      </w:r>
      <w:r w:rsidR="006E09D7" w:rsidRPr="00587E6D">
        <w:rPr>
          <w:sz w:val="28"/>
          <w:szCs w:val="28"/>
        </w:rPr>
        <w:t xml:space="preserve"> sub</w:t>
      </w:r>
      <w:r w:rsidR="00920FA3" w:rsidRPr="00587E6D">
        <w:rPr>
          <w:sz w:val="28"/>
          <w:szCs w:val="28"/>
        </w:rPr>
        <w:t>-</w:t>
      </w:r>
      <w:r w:rsidR="006E09D7" w:rsidRPr="00587E6D">
        <w:rPr>
          <w:sz w:val="28"/>
          <w:szCs w:val="28"/>
        </w:rPr>
        <w:t>lease</w:t>
      </w:r>
      <w:r w:rsidR="00920FA3" w:rsidRPr="00587E6D">
        <w:rPr>
          <w:sz w:val="28"/>
          <w:szCs w:val="28"/>
        </w:rPr>
        <w:t>’</w:t>
      </w:r>
      <w:r w:rsidR="00BF0830" w:rsidRPr="00587E6D">
        <w:rPr>
          <w:sz w:val="28"/>
          <w:szCs w:val="28"/>
        </w:rPr>
        <w:t>.</w:t>
      </w:r>
      <w:r w:rsidR="00A4586E" w:rsidRPr="00587E6D">
        <w:rPr>
          <w:sz w:val="28"/>
          <w:szCs w:val="28"/>
        </w:rPr>
        <w:t xml:space="preserve"> </w:t>
      </w:r>
    </w:p>
    <w:p w14:paraId="48D1E2EB" w14:textId="77777777" w:rsidR="006E09D7" w:rsidRPr="00587E6D" w:rsidRDefault="006E09D7" w:rsidP="0004044D">
      <w:pPr>
        <w:pStyle w:val="ListParagraph"/>
        <w:rPr>
          <w:sz w:val="28"/>
          <w:szCs w:val="28"/>
        </w:rPr>
      </w:pPr>
    </w:p>
    <w:p w14:paraId="3BA1C84A" w14:textId="29F31FF1" w:rsidR="00404B91" w:rsidRPr="00587E6D" w:rsidRDefault="009D1414" w:rsidP="009D1414">
      <w:pPr>
        <w:tabs>
          <w:tab w:val="left" w:pos="0"/>
        </w:tabs>
        <w:rPr>
          <w:sz w:val="28"/>
          <w:szCs w:val="28"/>
        </w:rPr>
      </w:pPr>
      <w:r w:rsidRPr="00587E6D">
        <w:rPr>
          <w:sz w:val="28"/>
          <w:szCs w:val="28"/>
        </w:rPr>
        <w:t>[9]</w:t>
      </w:r>
      <w:r w:rsidRPr="00587E6D">
        <w:rPr>
          <w:sz w:val="28"/>
          <w:szCs w:val="28"/>
        </w:rPr>
        <w:tab/>
      </w:r>
      <w:r w:rsidR="006E09D7" w:rsidRPr="00587E6D">
        <w:rPr>
          <w:sz w:val="28"/>
          <w:szCs w:val="28"/>
        </w:rPr>
        <w:t xml:space="preserve">The basis for this </w:t>
      </w:r>
      <w:r w:rsidR="00404B91" w:rsidRPr="00587E6D">
        <w:rPr>
          <w:sz w:val="28"/>
          <w:szCs w:val="28"/>
        </w:rPr>
        <w:t xml:space="preserve">defence </w:t>
      </w:r>
      <w:r w:rsidR="006E09D7" w:rsidRPr="00587E6D">
        <w:rPr>
          <w:sz w:val="28"/>
          <w:szCs w:val="28"/>
        </w:rPr>
        <w:t>is that during or about May/June 2018</w:t>
      </w:r>
      <w:r w:rsidR="00404B91" w:rsidRPr="00587E6D">
        <w:rPr>
          <w:sz w:val="28"/>
          <w:szCs w:val="28"/>
        </w:rPr>
        <w:t>, the</w:t>
      </w:r>
      <w:r w:rsidR="006E09D7" w:rsidRPr="00587E6D">
        <w:rPr>
          <w:sz w:val="28"/>
          <w:szCs w:val="28"/>
        </w:rPr>
        <w:t xml:space="preserve"> </w:t>
      </w:r>
      <w:r w:rsidR="00404B91" w:rsidRPr="00587E6D">
        <w:rPr>
          <w:sz w:val="28"/>
          <w:szCs w:val="28"/>
        </w:rPr>
        <w:t>respondent</w:t>
      </w:r>
      <w:r w:rsidR="00FA71B9" w:rsidRPr="00587E6D">
        <w:rPr>
          <w:sz w:val="28"/>
          <w:szCs w:val="28"/>
        </w:rPr>
        <w:t>,</w:t>
      </w:r>
      <w:r w:rsidR="00404B91" w:rsidRPr="00587E6D">
        <w:rPr>
          <w:sz w:val="28"/>
          <w:szCs w:val="28"/>
        </w:rPr>
        <w:t xml:space="preserve"> </w:t>
      </w:r>
      <w:r w:rsidR="006E09D7" w:rsidRPr="00587E6D">
        <w:rPr>
          <w:sz w:val="28"/>
          <w:szCs w:val="28"/>
        </w:rPr>
        <w:t>represented by one Thomas Reyneke (Reyneke)</w:t>
      </w:r>
      <w:r w:rsidR="00FA71B9" w:rsidRPr="00587E6D">
        <w:rPr>
          <w:sz w:val="28"/>
          <w:szCs w:val="28"/>
        </w:rPr>
        <w:t>,</w:t>
      </w:r>
      <w:r w:rsidR="006E09D7" w:rsidRPr="00587E6D">
        <w:rPr>
          <w:sz w:val="28"/>
          <w:szCs w:val="28"/>
        </w:rPr>
        <w:t xml:space="preserve"> an employee of the</w:t>
      </w:r>
      <w:r w:rsidR="00404B91" w:rsidRPr="00587E6D">
        <w:rPr>
          <w:sz w:val="28"/>
          <w:szCs w:val="28"/>
        </w:rPr>
        <w:t xml:space="preserve"> respondent</w:t>
      </w:r>
      <w:r w:rsidR="006E09D7" w:rsidRPr="00587E6D">
        <w:rPr>
          <w:sz w:val="28"/>
          <w:szCs w:val="28"/>
        </w:rPr>
        <w:t>’s landlord in the main lease agreement</w:t>
      </w:r>
      <w:r w:rsidR="00404B91" w:rsidRPr="00587E6D">
        <w:rPr>
          <w:sz w:val="28"/>
          <w:szCs w:val="28"/>
        </w:rPr>
        <w:t>, S</w:t>
      </w:r>
      <w:r w:rsidR="006E09D7" w:rsidRPr="00587E6D">
        <w:rPr>
          <w:sz w:val="28"/>
          <w:szCs w:val="28"/>
        </w:rPr>
        <w:t>teve Atkinson (Atkinson)</w:t>
      </w:r>
      <w:r w:rsidR="00D0615E" w:rsidRPr="00587E6D">
        <w:rPr>
          <w:sz w:val="28"/>
          <w:szCs w:val="28"/>
        </w:rPr>
        <w:t>, the director of the respondent</w:t>
      </w:r>
      <w:r w:rsidR="006E09D7" w:rsidRPr="00587E6D">
        <w:rPr>
          <w:sz w:val="28"/>
          <w:szCs w:val="28"/>
        </w:rPr>
        <w:t xml:space="preserve"> and </w:t>
      </w:r>
      <w:r w:rsidR="00D0615E" w:rsidRPr="00587E6D">
        <w:rPr>
          <w:sz w:val="28"/>
          <w:szCs w:val="28"/>
        </w:rPr>
        <w:t xml:space="preserve">one </w:t>
      </w:r>
      <w:r w:rsidR="006E09D7" w:rsidRPr="00587E6D">
        <w:rPr>
          <w:sz w:val="28"/>
          <w:szCs w:val="28"/>
        </w:rPr>
        <w:t>Org Robertse (Robertse)</w:t>
      </w:r>
      <w:r w:rsidR="00404B91" w:rsidRPr="00587E6D">
        <w:rPr>
          <w:sz w:val="28"/>
          <w:szCs w:val="28"/>
        </w:rPr>
        <w:t>,</w:t>
      </w:r>
      <w:r w:rsidR="006E09D7" w:rsidRPr="00587E6D">
        <w:rPr>
          <w:sz w:val="28"/>
          <w:szCs w:val="28"/>
        </w:rPr>
        <w:t xml:space="preserve"> informed the second </w:t>
      </w:r>
      <w:r w:rsidR="00404B91" w:rsidRPr="00587E6D">
        <w:rPr>
          <w:sz w:val="28"/>
          <w:szCs w:val="28"/>
        </w:rPr>
        <w:t xml:space="preserve">appellant, </w:t>
      </w:r>
      <w:r w:rsidR="006E09D7" w:rsidRPr="00587E6D">
        <w:rPr>
          <w:sz w:val="28"/>
          <w:szCs w:val="28"/>
        </w:rPr>
        <w:t>who represented the first</w:t>
      </w:r>
      <w:r w:rsidR="00404B91" w:rsidRPr="00587E6D">
        <w:rPr>
          <w:sz w:val="28"/>
          <w:szCs w:val="28"/>
        </w:rPr>
        <w:t xml:space="preserve"> appellant, of a</w:t>
      </w:r>
      <w:r w:rsidR="006E09D7" w:rsidRPr="00587E6D">
        <w:rPr>
          <w:sz w:val="28"/>
          <w:szCs w:val="28"/>
        </w:rPr>
        <w:t xml:space="preserve"> request to vacate the premises</w:t>
      </w:r>
      <w:r w:rsidR="00FA71B9" w:rsidRPr="00587E6D">
        <w:rPr>
          <w:sz w:val="28"/>
          <w:szCs w:val="28"/>
        </w:rPr>
        <w:t>,</w:t>
      </w:r>
      <w:r w:rsidR="006E09D7" w:rsidRPr="00587E6D">
        <w:rPr>
          <w:sz w:val="28"/>
          <w:szCs w:val="28"/>
        </w:rPr>
        <w:t xml:space="preserve"> as the </w:t>
      </w:r>
      <w:r w:rsidR="00404B91" w:rsidRPr="00587E6D">
        <w:rPr>
          <w:sz w:val="28"/>
          <w:szCs w:val="28"/>
        </w:rPr>
        <w:t xml:space="preserve">respondent </w:t>
      </w:r>
      <w:r w:rsidR="006E09D7" w:rsidRPr="00587E6D">
        <w:rPr>
          <w:sz w:val="28"/>
          <w:szCs w:val="28"/>
        </w:rPr>
        <w:t xml:space="preserve">required </w:t>
      </w:r>
      <w:r w:rsidR="00404B91" w:rsidRPr="00587E6D">
        <w:rPr>
          <w:sz w:val="28"/>
          <w:szCs w:val="28"/>
        </w:rPr>
        <w:t xml:space="preserve">them </w:t>
      </w:r>
      <w:r w:rsidR="006E09D7" w:rsidRPr="00587E6D">
        <w:rPr>
          <w:sz w:val="28"/>
          <w:szCs w:val="28"/>
        </w:rPr>
        <w:t xml:space="preserve">for a Subaru dealership. </w:t>
      </w:r>
    </w:p>
    <w:p w14:paraId="769B6D19" w14:textId="77777777" w:rsidR="0016595D" w:rsidRPr="00587E6D" w:rsidRDefault="0016595D" w:rsidP="0004044D">
      <w:pPr>
        <w:tabs>
          <w:tab w:val="left" w:pos="0"/>
        </w:tabs>
        <w:rPr>
          <w:sz w:val="28"/>
          <w:szCs w:val="28"/>
        </w:rPr>
      </w:pPr>
    </w:p>
    <w:p w14:paraId="0925C64C" w14:textId="7E700169" w:rsidR="00F40D90" w:rsidRPr="00587E6D" w:rsidRDefault="009D1414" w:rsidP="009D1414">
      <w:pPr>
        <w:tabs>
          <w:tab w:val="left" w:pos="0"/>
        </w:tabs>
        <w:rPr>
          <w:sz w:val="28"/>
          <w:szCs w:val="28"/>
        </w:rPr>
      </w:pPr>
      <w:r w:rsidRPr="00587E6D">
        <w:rPr>
          <w:sz w:val="28"/>
          <w:szCs w:val="28"/>
        </w:rPr>
        <w:t>[10]</w:t>
      </w:r>
      <w:r w:rsidRPr="00587E6D">
        <w:rPr>
          <w:sz w:val="28"/>
          <w:szCs w:val="28"/>
        </w:rPr>
        <w:tab/>
      </w:r>
      <w:r w:rsidR="006E09D7" w:rsidRPr="00587E6D">
        <w:rPr>
          <w:sz w:val="28"/>
          <w:szCs w:val="28"/>
        </w:rPr>
        <w:t xml:space="preserve">The second </w:t>
      </w:r>
      <w:r w:rsidR="00404B91" w:rsidRPr="00587E6D">
        <w:rPr>
          <w:sz w:val="28"/>
          <w:szCs w:val="28"/>
        </w:rPr>
        <w:t xml:space="preserve">appellant </w:t>
      </w:r>
      <w:r w:rsidR="006E09D7" w:rsidRPr="00587E6D">
        <w:rPr>
          <w:sz w:val="28"/>
          <w:szCs w:val="28"/>
        </w:rPr>
        <w:t xml:space="preserve">informed the </w:t>
      </w:r>
      <w:r w:rsidR="00D62370" w:rsidRPr="00587E6D">
        <w:rPr>
          <w:sz w:val="28"/>
          <w:szCs w:val="28"/>
        </w:rPr>
        <w:t>said ‘</w:t>
      </w:r>
      <w:r w:rsidR="006E09D7" w:rsidRPr="00587E6D">
        <w:rPr>
          <w:sz w:val="28"/>
          <w:szCs w:val="28"/>
        </w:rPr>
        <w:t>representatives</w:t>
      </w:r>
      <w:r w:rsidR="00D62370" w:rsidRPr="00587E6D">
        <w:rPr>
          <w:sz w:val="28"/>
          <w:szCs w:val="28"/>
        </w:rPr>
        <w:t>’</w:t>
      </w:r>
      <w:r w:rsidR="00404B91" w:rsidRPr="00587E6D">
        <w:rPr>
          <w:sz w:val="28"/>
          <w:szCs w:val="28"/>
        </w:rPr>
        <w:t xml:space="preserve"> </w:t>
      </w:r>
      <w:r w:rsidR="006E09D7" w:rsidRPr="00587E6D">
        <w:rPr>
          <w:sz w:val="28"/>
          <w:szCs w:val="28"/>
        </w:rPr>
        <w:t>that the first</w:t>
      </w:r>
      <w:r w:rsidR="00404B91" w:rsidRPr="00587E6D">
        <w:rPr>
          <w:sz w:val="28"/>
          <w:szCs w:val="28"/>
        </w:rPr>
        <w:t xml:space="preserve"> appellant</w:t>
      </w:r>
      <w:r w:rsidR="006E09D7" w:rsidRPr="00587E6D">
        <w:rPr>
          <w:sz w:val="28"/>
          <w:szCs w:val="28"/>
        </w:rPr>
        <w:t xml:space="preserve"> was not interested in vacating the premises</w:t>
      </w:r>
      <w:r w:rsidR="00404B91" w:rsidRPr="00587E6D">
        <w:rPr>
          <w:sz w:val="28"/>
          <w:szCs w:val="28"/>
        </w:rPr>
        <w:t xml:space="preserve">. In an </w:t>
      </w:r>
      <w:r w:rsidR="00F40D90" w:rsidRPr="00587E6D">
        <w:rPr>
          <w:sz w:val="28"/>
          <w:szCs w:val="28"/>
        </w:rPr>
        <w:t>endeavour</w:t>
      </w:r>
      <w:r w:rsidR="00404B91" w:rsidRPr="00587E6D">
        <w:rPr>
          <w:sz w:val="28"/>
          <w:szCs w:val="28"/>
        </w:rPr>
        <w:t xml:space="preserve"> to convinc</w:t>
      </w:r>
      <w:r w:rsidR="00D62370" w:rsidRPr="00587E6D">
        <w:rPr>
          <w:sz w:val="28"/>
          <w:szCs w:val="28"/>
        </w:rPr>
        <w:t>e</w:t>
      </w:r>
      <w:r w:rsidR="00404B91" w:rsidRPr="00587E6D">
        <w:rPr>
          <w:sz w:val="28"/>
          <w:szCs w:val="28"/>
        </w:rPr>
        <w:t xml:space="preserve"> </w:t>
      </w:r>
      <w:r w:rsidR="00404B91" w:rsidRPr="00587E6D">
        <w:rPr>
          <w:sz w:val="28"/>
          <w:szCs w:val="28"/>
        </w:rPr>
        <w:lastRenderedPageBreak/>
        <w:t xml:space="preserve">him, </w:t>
      </w:r>
      <w:r w:rsidR="00D62370" w:rsidRPr="00587E6D">
        <w:rPr>
          <w:sz w:val="28"/>
          <w:szCs w:val="28"/>
        </w:rPr>
        <w:t xml:space="preserve">they </w:t>
      </w:r>
      <w:r w:rsidR="006E09D7" w:rsidRPr="00587E6D">
        <w:rPr>
          <w:sz w:val="28"/>
          <w:szCs w:val="28"/>
        </w:rPr>
        <w:t xml:space="preserve">took </w:t>
      </w:r>
      <w:r w:rsidR="00404B91" w:rsidRPr="00587E6D">
        <w:rPr>
          <w:sz w:val="28"/>
          <w:szCs w:val="28"/>
        </w:rPr>
        <w:t xml:space="preserve">the second appellant </w:t>
      </w:r>
      <w:r w:rsidR="006E09D7" w:rsidRPr="00587E6D">
        <w:rPr>
          <w:sz w:val="28"/>
          <w:szCs w:val="28"/>
        </w:rPr>
        <w:t>to view</w:t>
      </w:r>
      <w:r w:rsidR="00F40D90" w:rsidRPr="00587E6D">
        <w:rPr>
          <w:sz w:val="28"/>
          <w:szCs w:val="28"/>
        </w:rPr>
        <w:t xml:space="preserve"> </w:t>
      </w:r>
      <w:r w:rsidR="006E09D7" w:rsidRPr="00587E6D">
        <w:rPr>
          <w:sz w:val="28"/>
          <w:szCs w:val="28"/>
        </w:rPr>
        <w:t>alternative premises</w:t>
      </w:r>
      <w:r w:rsidR="00D62370" w:rsidRPr="00587E6D">
        <w:rPr>
          <w:sz w:val="28"/>
          <w:szCs w:val="28"/>
        </w:rPr>
        <w:t xml:space="preserve"> offered to the first appellant</w:t>
      </w:r>
      <w:r w:rsidR="006E09D7" w:rsidRPr="00587E6D">
        <w:rPr>
          <w:sz w:val="28"/>
          <w:szCs w:val="28"/>
        </w:rPr>
        <w:t xml:space="preserve">. </w:t>
      </w:r>
      <w:r w:rsidR="00D62370" w:rsidRPr="00587E6D">
        <w:rPr>
          <w:sz w:val="28"/>
          <w:szCs w:val="28"/>
        </w:rPr>
        <w:t>The second appellant</w:t>
      </w:r>
      <w:r w:rsidR="00F40D90" w:rsidRPr="00587E6D">
        <w:rPr>
          <w:sz w:val="28"/>
          <w:szCs w:val="28"/>
        </w:rPr>
        <w:t xml:space="preserve"> </w:t>
      </w:r>
      <w:r w:rsidR="006E09D7" w:rsidRPr="00587E6D">
        <w:rPr>
          <w:sz w:val="28"/>
          <w:szCs w:val="28"/>
        </w:rPr>
        <w:t>was however not satisfied with the</w:t>
      </w:r>
      <w:r w:rsidR="00D62370" w:rsidRPr="00587E6D">
        <w:rPr>
          <w:sz w:val="28"/>
          <w:szCs w:val="28"/>
        </w:rPr>
        <w:t xml:space="preserve"> alternative</w:t>
      </w:r>
      <w:r w:rsidR="006E09D7" w:rsidRPr="00587E6D">
        <w:rPr>
          <w:sz w:val="28"/>
          <w:szCs w:val="28"/>
        </w:rPr>
        <w:t xml:space="preserve"> premises</w:t>
      </w:r>
      <w:r w:rsidR="00D62370" w:rsidRPr="00587E6D">
        <w:rPr>
          <w:sz w:val="28"/>
          <w:szCs w:val="28"/>
        </w:rPr>
        <w:t xml:space="preserve"> </w:t>
      </w:r>
      <w:r w:rsidR="00FA6A1B" w:rsidRPr="00587E6D">
        <w:rPr>
          <w:sz w:val="28"/>
          <w:szCs w:val="28"/>
        </w:rPr>
        <w:t>shown</w:t>
      </w:r>
      <w:r w:rsidR="00D62370" w:rsidRPr="00587E6D">
        <w:rPr>
          <w:sz w:val="28"/>
          <w:szCs w:val="28"/>
        </w:rPr>
        <w:t xml:space="preserve"> to him</w:t>
      </w:r>
      <w:r w:rsidR="006E09D7" w:rsidRPr="00587E6D">
        <w:rPr>
          <w:sz w:val="28"/>
          <w:szCs w:val="28"/>
        </w:rPr>
        <w:t xml:space="preserve">. Reyneke </w:t>
      </w:r>
      <w:r w:rsidR="00D62370" w:rsidRPr="00587E6D">
        <w:rPr>
          <w:sz w:val="28"/>
          <w:szCs w:val="28"/>
        </w:rPr>
        <w:t xml:space="preserve">then </w:t>
      </w:r>
      <w:r w:rsidR="006E09D7" w:rsidRPr="00587E6D">
        <w:rPr>
          <w:sz w:val="28"/>
          <w:szCs w:val="28"/>
        </w:rPr>
        <w:t xml:space="preserve">showed </w:t>
      </w:r>
      <w:r w:rsidR="00F40D90" w:rsidRPr="00587E6D">
        <w:rPr>
          <w:sz w:val="28"/>
          <w:szCs w:val="28"/>
        </w:rPr>
        <w:t xml:space="preserve">him </w:t>
      </w:r>
      <w:r w:rsidR="006E09D7" w:rsidRPr="00587E6D">
        <w:rPr>
          <w:sz w:val="28"/>
          <w:szCs w:val="28"/>
        </w:rPr>
        <w:t xml:space="preserve">an empty stand next to a McDonald’s outlet, which </w:t>
      </w:r>
      <w:r w:rsidR="00F40D90" w:rsidRPr="00587E6D">
        <w:rPr>
          <w:sz w:val="28"/>
          <w:szCs w:val="28"/>
        </w:rPr>
        <w:t xml:space="preserve">he </w:t>
      </w:r>
      <w:r w:rsidR="006E09D7" w:rsidRPr="00587E6D">
        <w:rPr>
          <w:sz w:val="28"/>
          <w:szCs w:val="28"/>
        </w:rPr>
        <w:t xml:space="preserve">considered </w:t>
      </w:r>
      <w:r w:rsidR="00F40D90" w:rsidRPr="00587E6D">
        <w:rPr>
          <w:sz w:val="28"/>
          <w:szCs w:val="28"/>
        </w:rPr>
        <w:t xml:space="preserve">as </w:t>
      </w:r>
      <w:r w:rsidR="00D62370" w:rsidRPr="00587E6D">
        <w:rPr>
          <w:sz w:val="28"/>
          <w:szCs w:val="28"/>
        </w:rPr>
        <w:t xml:space="preserve">a </w:t>
      </w:r>
      <w:r w:rsidR="00F40D90" w:rsidRPr="00587E6D">
        <w:rPr>
          <w:sz w:val="28"/>
          <w:szCs w:val="28"/>
        </w:rPr>
        <w:t>viable</w:t>
      </w:r>
      <w:r w:rsidR="00CC39CC" w:rsidRPr="00587E6D">
        <w:rPr>
          <w:sz w:val="28"/>
          <w:szCs w:val="28"/>
        </w:rPr>
        <w:t xml:space="preserve"> option upon</w:t>
      </w:r>
      <w:r w:rsidR="00D62370" w:rsidRPr="00587E6D">
        <w:rPr>
          <w:sz w:val="28"/>
          <w:szCs w:val="28"/>
        </w:rPr>
        <w:t xml:space="preserve"> which to</w:t>
      </w:r>
      <w:r w:rsidR="006E09D7" w:rsidRPr="00587E6D">
        <w:rPr>
          <w:sz w:val="28"/>
          <w:szCs w:val="28"/>
        </w:rPr>
        <w:t xml:space="preserve"> erect new premises. Reyneke </w:t>
      </w:r>
      <w:r w:rsidR="00D62370" w:rsidRPr="00587E6D">
        <w:rPr>
          <w:sz w:val="28"/>
          <w:szCs w:val="28"/>
        </w:rPr>
        <w:t xml:space="preserve">subsequently </w:t>
      </w:r>
      <w:r w:rsidR="006E09D7" w:rsidRPr="00587E6D">
        <w:rPr>
          <w:sz w:val="28"/>
          <w:szCs w:val="28"/>
        </w:rPr>
        <w:t xml:space="preserve">approached </w:t>
      </w:r>
      <w:r w:rsidR="00F40D90" w:rsidRPr="00587E6D">
        <w:rPr>
          <w:sz w:val="28"/>
          <w:szCs w:val="28"/>
        </w:rPr>
        <w:t xml:space="preserve">him </w:t>
      </w:r>
      <w:r w:rsidR="006E09D7" w:rsidRPr="00587E6D">
        <w:rPr>
          <w:sz w:val="28"/>
          <w:szCs w:val="28"/>
        </w:rPr>
        <w:t xml:space="preserve">with suggestions and preliminary plans for the new premises. </w:t>
      </w:r>
    </w:p>
    <w:p w14:paraId="6CE92E02" w14:textId="77777777" w:rsidR="00F40D90" w:rsidRPr="00587E6D" w:rsidRDefault="00F40D90" w:rsidP="0004044D">
      <w:pPr>
        <w:pStyle w:val="ListParagraph"/>
        <w:rPr>
          <w:sz w:val="28"/>
          <w:szCs w:val="28"/>
        </w:rPr>
      </w:pPr>
    </w:p>
    <w:p w14:paraId="0DF75CC5" w14:textId="37882E96" w:rsidR="007004D9" w:rsidRPr="00587E6D" w:rsidRDefault="009D1414" w:rsidP="009D1414">
      <w:pPr>
        <w:tabs>
          <w:tab w:val="left" w:pos="0"/>
        </w:tabs>
        <w:rPr>
          <w:sz w:val="28"/>
          <w:szCs w:val="28"/>
        </w:rPr>
      </w:pPr>
      <w:r w:rsidRPr="00587E6D">
        <w:rPr>
          <w:sz w:val="28"/>
          <w:szCs w:val="28"/>
        </w:rPr>
        <w:t>[11]</w:t>
      </w:r>
      <w:r w:rsidRPr="00587E6D">
        <w:rPr>
          <w:sz w:val="28"/>
          <w:szCs w:val="28"/>
        </w:rPr>
        <w:tab/>
      </w:r>
      <w:r w:rsidR="006E09D7" w:rsidRPr="00587E6D">
        <w:rPr>
          <w:sz w:val="28"/>
          <w:szCs w:val="28"/>
        </w:rPr>
        <w:t xml:space="preserve">These actions persuaded </w:t>
      </w:r>
      <w:r w:rsidR="00F40D90" w:rsidRPr="00587E6D">
        <w:rPr>
          <w:sz w:val="28"/>
          <w:szCs w:val="28"/>
        </w:rPr>
        <w:t>him</w:t>
      </w:r>
      <w:r w:rsidR="007D2972" w:rsidRPr="00587E6D">
        <w:rPr>
          <w:sz w:val="28"/>
          <w:szCs w:val="28"/>
        </w:rPr>
        <w:t>,</w:t>
      </w:r>
      <w:r w:rsidR="00F40D90" w:rsidRPr="00587E6D">
        <w:rPr>
          <w:sz w:val="28"/>
          <w:szCs w:val="28"/>
        </w:rPr>
        <w:t xml:space="preserve"> </w:t>
      </w:r>
      <w:r w:rsidR="006E09D7" w:rsidRPr="00587E6D">
        <w:rPr>
          <w:sz w:val="28"/>
          <w:szCs w:val="28"/>
        </w:rPr>
        <w:t xml:space="preserve">as the representative of the first </w:t>
      </w:r>
      <w:r w:rsidR="00F40D90" w:rsidRPr="00587E6D">
        <w:rPr>
          <w:sz w:val="28"/>
          <w:szCs w:val="28"/>
        </w:rPr>
        <w:t>appellant</w:t>
      </w:r>
      <w:r w:rsidR="007D2972" w:rsidRPr="00587E6D">
        <w:rPr>
          <w:sz w:val="28"/>
          <w:szCs w:val="28"/>
        </w:rPr>
        <w:t>,</w:t>
      </w:r>
      <w:r w:rsidR="00F40D90" w:rsidRPr="00587E6D">
        <w:rPr>
          <w:sz w:val="28"/>
          <w:szCs w:val="28"/>
        </w:rPr>
        <w:t xml:space="preserve"> </w:t>
      </w:r>
      <w:r w:rsidR="006E09D7" w:rsidRPr="00587E6D">
        <w:rPr>
          <w:sz w:val="28"/>
          <w:szCs w:val="28"/>
        </w:rPr>
        <w:t>to agree to vacate the premises and move the first</w:t>
      </w:r>
      <w:r w:rsidR="00F40D90" w:rsidRPr="00587E6D">
        <w:rPr>
          <w:sz w:val="28"/>
          <w:szCs w:val="28"/>
        </w:rPr>
        <w:t xml:space="preserve"> appellant</w:t>
      </w:r>
      <w:r w:rsidR="006E09D7" w:rsidRPr="00587E6D">
        <w:rPr>
          <w:sz w:val="28"/>
          <w:szCs w:val="28"/>
        </w:rPr>
        <w:t>’s business to new premises. The construction of the</w:t>
      </w:r>
      <w:r w:rsidR="00FC28B7" w:rsidRPr="00587E6D">
        <w:rPr>
          <w:sz w:val="28"/>
          <w:szCs w:val="28"/>
        </w:rPr>
        <w:t>se</w:t>
      </w:r>
      <w:r w:rsidR="006E09D7" w:rsidRPr="00587E6D">
        <w:rPr>
          <w:sz w:val="28"/>
          <w:szCs w:val="28"/>
        </w:rPr>
        <w:t xml:space="preserve"> new premises proceeded</w:t>
      </w:r>
      <w:r w:rsidR="00FC28B7" w:rsidRPr="00587E6D">
        <w:rPr>
          <w:sz w:val="28"/>
          <w:szCs w:val="28"/>
        </w:rPr>
        <w:t xml:space="preserve"> and it</w:t>
      </w:r>
      <w:r w:rsidR="006E09D7" w:rsidRPr="00587E6D">
        <w:rPr>
          <w:sz w:val="28"/>
          <w:szCs w:val="28"/>
        </w:rPr>
        <w:t xml:space="preserve"> </w:t>
      </w:r>
      <w:r w:rsidR="00F40D90" w:rsidRPr="00587E6D">
        <w:rPr>
          <w:sz w:val="28"/>
          <w:szCs w:val="28"/>
        </w:rPr>
        <w:t xml:space="preserve">was envisaged </w:t>
      </w:r>
      <w:r w:rsidR="006E09D7" w:rsidRPr="00587E6D">
        <w:rPr>
          <w:sz w:val="28"/>
          <w:szCs w:val="28"/>
        </w:rPr>
        <w:t xml:space="preserve">that the first </w:t>
      </w:r>
      <w:r w:rsidR="00F40D90" w:rsidRPr="00587E6D">
        <w:rPr>
          <w:sz w:val="28"/>
          <w:szCs w:val="28"/>
        </w:rPr>
        <w:t xml:space="preserve">appellant </w:t>
      </w:r>
      <w:r w:rsidR="006E09D7" w:rsidRPr="00587E6D">
        <w:rPr>
          <w:sz w:val="28"/>
          <w:szCs w:val="28"/>
        </w:rPr>
        <w:t xml:space="preserve">would vacate the premises and move its business to </w:t>
      </w:r>
      <w:r w:rsidR="00FC28B7" w:rsidRPr="00587E6D">
        <w:rPr>
          <w:sz w:val="28"/>
          <w:szCs w:val="28"/>
        </w:rPr>
        <w:t>the</w:t>
      </w:r>
      <w:r w:rsidR="006E09D7" w:rsidRPr="00587E6D">
        <w:rPr>
          <w:sz w:val="28"/>
          <w:szCs w:val="28"/>
        </w:rPr>
        <w:t xml:space="preserve"> new</w:t>
      </w:r>
      <w:r w:rsidR="00FC28B7" w:rsidRPr="00587E6D">
        <w:rPr>
          <w:sz w:val="28"/>
          <w:szCs w:val="28"/>
        </w:rPr>
        <w:t xml:space="preserve">ly constructed one, </w:t>
      </w:r>
      <w:r w:rsidR="006E09D7" w:rsidRPr="00587E6D">
        <w:rPr>
          <w:sz w:val="28"/>
          <w:szCs w:val="28"/>
        </w:rPr>
        <w:t xml:space="preserve">once </w:t>
      </w:r>
      <w:r w:rsidR="00FC28B7" w:rsidRPr="00587E6D">
        <w:rPr>
          <w:sz w:val="28"/>
          <w:szCs w:val="28"/>
        </w:rPr>
        <w:t xml:space="preserve">they were </w:t>
      </w:r>
      <w:r w:rsidR="006E09D7" w:rsidRPr="00587E6D">
        <w:rPr>
          <w:sz w:val="28"/>
          <w:szCs w:val="28"/>
        </w:rPr>
        <w:t xml:space="preserve">completed. </w:t>
      </w:r>
      <w:r w:rsidR="00CC39CC" w:rsidRPr="00587E6D">
        <w:rPr>
          <w:sz w:val="28"/>
          <w:szCs w:val="28"/>
        </w:rPr>
        <w:t xml:space="preserve">According to </w:t>
      </w:r>
      <w:r w:rsidR="00052699" w:rsidRPr="00587E6D">
        <w:rPr>
          <w:sz w:val="28"/>
          <w:szCs w:val="28"/>
        </w:rPr>
        <w:t xml:space="preserve">the </w:t>
      </w:r>
      <w:r w:rsidR="00CC39CC" w:rsidRPr="00587E6D">
        <w:rPr>
          <w:sz w:val="28"/>
          <w:szCs w:val="28"/>
        </w:rPr>
        <w:t>second appellant, h</w:t>
      </w:r>
      <w:r w:rsidR="00F40D90" w:rsidRPr="00587E6D">
        <w:rPr>
          <w:sz w:val="28"/>
          <w:szCs w:val="28"/>
        </w:rPr>
        <w:t xml:space="preserve">ad it not been </w:t>
      </w:r>
      <w:r w:rsidR="006E09D7" w:rsidRPr="00587E6D">
        <w:rPr>
          <w:sz w:val="28"/>
          <w:szCs w:val="28"/>
        </w:rPr>
        <w:t>for the request made by the</w:t>
      </w:r>
      <w:r w:rsidR="00F40D90" w:rsidRPr="00587E6D">
        <w:rPr>
          <w:sz w:val="28"/>
          <w:szCs w:val="28"/>
        </w:rPr>
        <w:t xml:space="preserve"> respondent</w:t>
      </w:r>
      <w:r w:rsidR="006E09D7" w:rsidRPr="00587E6D">
        <w:rPr>
          <w:sz w:val="28"/>
          <w:szCs w:val="28"/>
        </w:rPr>
        <w:t xml:space="preserve">’s representatives, the first </w:t>
      </w:r>
      <w:r w:rsidR="00F40D90" w:rsidRPr="00587E6D">
        <w:rPr>
          <w:sz w:val="28"/>
          <w:szCs w:val="28"/>
        </w:rPr>
        <w:t xml:space="preserve">appellant </w:t>
      </w:r>
      <w:r w:rsidR="006E09D7" w:rsidRPr="00587E6D">
        <w:rPr>
          <w:sz w:val="28"/>
          <w:szCs w:val="28"/>
        </w:rPr>
        <w:t xml:space="preserve">would not have proceeded to secure the new premises and incur the expenses in regard thereto. </w:t>
      </w:r>
      <w:r w:rsidR="007004D9" w:rsidRPr="00587E6D">
        <w:rPr>
          <w:sz w:val="28"/>
          <w:szCs w:val="28"/>
        </w:rPr>
        <w:t xml:space="preserve"> </w:t>
      </w:r>
    </w:p>
    <w:p w14:paraId="6ADD79F4" w14:textId="77777777" w:rsidR="007004D9" w:rsidRPr="00587E6D" w:rsidRDefault="007004D9" w:rsidP="0004044D">
      <w:pPr>
        <w:pStyle w:val="ListParagraph"/>
        <w:rPr>
          <w:sz w:val="28"/>
          <w:szCs w:val="28"/>
        </w:rPr>
      </w:pPr>
    </w:p>
    <w:p w14:paraId="6BCA13ED" w14:textId="436C9475" w:rsidR="00BD1B99" w:rsidRDefault="009D1414" w:rsidP="009D1414">
      <w:pPr>
        <w:tabs>
          <w:tab w:val="left" w:pos="0"/>
        </w:tabs>
        <w:rPr>
          <w:sz w:val="28"/>
          <w:szCs w:val="28"/>
        </w:rPr>
      </w:pPr>
      <w:r>
        <w:rPr>
          <w:sz w:val="28"/>
          <w:szCs w:val="28"/>
        </w:rPr>
        <w:t>[12]</w:t>
      </w:r>
      <w:r>
        <w:rPr>
          <w:sz w:val="28"/>
          <w:szCs w:val="28"/>
        </w:rPr>
        <w:tab/>
      </w:r>
      <w:r w:rsidR="007D2972" w:rsidRPr="00587E6D">
        <w:rPr>
          <w:sz w:val="28"/>
          <w:szCs w:val="28"/>
        </w:rPr>
        <w:t>The appellants contend that it</w:t>
      </w:r>
      <w:r w:rsidR="006E09D7" w:rsidRPr="00587E6D">
        <w:rPr>
          <w:sz w:val="28"/>
          <w:szCs w:val="28"/>
        </w:rPr>
        <w:t xml:space="preserve"> is against th</w:t>
      </w:r>
      <w:r w:rsidR="007004D9" w:rsidRPr="00587E6D">
        <w:rPr>
          <w:sz w:val="28"/>
          <w:szCs w:val="28"/>
        </w:rPr>
        <w:t>at</w:t>
      </w:r>
      <w:r w:rsidR="006E09D7" w:rsidRPr="00587E6D">
        <w:rPr>
          <w:sz w:val="28"/>
          <w:szCs w:val="28"/>
        </w:rPr>
        <w:t xml:space="preserve"> backdrop that the first </w:t>
      </w:r>
      <w:r w:rsidR="00F40D90" w:rsidRPr="00587E6D">
        <w:rPr>
          <w:sz w:val="28"/>
          <w:szCs w:val="28"/>
        </w:rPr>
        <w:t>appellant ‘</w:t>
      </w:r>
      <w:r w:rsidR="006E09D7" w:rsidRPr="00587E6D">
        <w:rPr>
          <w:sz w:val="28"/>
          <w:szCs w:val="28"/>
        </w:rPr>
        <w:t>entered into the oral cancellation agreement with the</w:t>
      </w:r>
      <w:r w:rsidR="00F40D90" w:rsidRPr="00587E6D">
        <w:rPr>
          <w:sz w:val="28"/>
          <w:szCs w:val="28"/>
        </w:rPr>
        <w:t xml:space="preserve"> [respondent]</w:t>
      </w:r>
      <w:r w:rsidR="007D2972" w:rsidRPr="00587E6D">
        <w:rPr>
          <w:sz w:val="28"/>
          <w:szCs w:val="28"/>
        </w:rPr>
        <w:t xml:space="preserve"> . . </w:t>
      </w:r>
      <w:r w:rsidR="006E09D7" w:rsidRPr="00587E6D">
        <w:rPr>
          <w:sz w:val="28"/>
          <w:szCs w:val="28"/>
        </w:rPr>
        <w:t xml:space="preserve">. </w:t>
      </w:r>
      <w:r w:rsidR="007D2972" w:rsidRPr="00587E6D">
        <w:rPr>
          <w:sz w:val="28"/>
          <w:szCs w:val="28"/>
        </w:rPr>
        <w:t xml:space="preserve">[who] </w:t>
      </w:r>
      <w:r w:rsidR="00DD1167" w:rsidRPr="00587E6D">
        <w:rPr>
          <w:sz w:val="28"/>
          <w:szCs w:val="28"/>
        </w:rPr>
        <w:t>as</w:t>
      </w:r>
      <w:r w:rsidR="006E09D7" w:rsidRPr="00587E6D">
        <w:rPr>
          <w:sz w:val="28"/>
          <w:szCs w:val="28"/>
        </w:rPr>
        <w:t xml:space="preserve">sured the first </w:t>
      </w:r>
      <w:r w:rsidR="00BD1B99" w:rsidRPr="00587E6D">
        <w:rPr>
          <w:sz w:val="28"/>
          <w:szCs w:val="28"/>
        </w:rPr>
        <w:t xml:space="preserve">appellant </w:t>
      </w:r>
      <w:r w:rsidR="006E09D7" w:rsidRPr="00587E6D">
        <w:rPr>
          <w:sz w:val="28"/>
          <w:szCs w:val="28"/>
        </w:rPr>
        <w:t>that the sub</w:t>
      </w:r>
      <w:r w:rsidR="00BD1B99" w:rsidRPr="00587E6D">
        <w:rPr>
          <w:sz w:val="28"/>
          <w:szCs w:val="28"/>
        </w:rPr>
        <w:t>-l</w:t>
      </w:r>
      <w:r w:rsidR="006E09D7" w:rsidRPr="00587E6D">
        <w:rPr>
          <w:sz w:val="28"/>
          <w:szCs w:val="28"/>
        </w:rPr>
        <w:t xml:space="preserve">ease </w:t>
      </w:r>
      <w:r w:rsidR="007D2972" w:rsidRPr="00587E6D">
        <w:rPr>
          <w:sz w:val="28"/>
          <w:szCs w:val="28"/>
        </w:rPr>
        <w:t>would</w:t>
      </w:r>
      <w:r w:rsidR="006E09D7" w:rsidRPr="00587E6D">
        <w:rPr>
          <w:sz w:val="28"/>
          <w:szCs w:val="28"/>
        </w:rPr>
        <w:t xml:space="preserve"> be validly cancelled in terms of the oral agreement that </w:t>
      </w:r>
      <w:r w:rsidR="00BD1B99" w:rsidRPr="00587E6D">
        <w:rPr>
          <w:sz w:val="28"/>
          <w:szCs w:val="28"/>
        </w:rPr>
        <w:t xml:space="preserve">was </w:t>
      </w:r>
      <w:r w:rsidR="006E09D7" w:rsidRPr="00587E6D">
        <w:rPr>
          <w:sz w:val="28"/>
          <w:szCs w:val="28"/>
        </w:rPr>
        <w:t xml:space="preserve">concluded during </w:t>
      </w:r>
      <w:r w:rsidR="00BD1B99" w:rsidRPr="00587E6D">
        <w:rPr>
          <w:sz w:val="28"/>
          <w:szCs w:val="28"/>
        </w:rPr>
        <w:t xml:space="preserve">or about </w:t>
      </w:r>
      <w:r w:rsidR="006E09D7" w:rsidRPr="00587E6D">
        <w:rPr>
          <w:sz w:val="28"/>
          <w:szCs w:val="28"/>
        </w:rPr>
        <w:t>May/June 2018</w:t>
      </w:r>
      <w:r w:rsidR="00BD1B99" w:rsidRPr="00587E6D">
        <w:rPr>
          <w:sz w:val="28"/>
          <w:szCs w:val="28"/>
        </w:rPr>
        <w:t>’</w:t>
      </w:r>
      <w:r w:rsidR="007D2972" w:rsidRPr="00587E6D">
        <w:rPr>
          <w:sz w:val="28"/>
          <w:szCs w:val="28"/>
        </w:rPr>
        <w:t>.</w:t>
      </w:r>
      <w:r w:rsidR="007004D9" w:rsidRPr="00587E6D">
        <w:rPr>
          <w:sz w:val="28"/>
          <w:szCs w:val="28"/>
        </w:rPr>
        <w:t xml:space="preserve"> </w:t>
      </w:r>
      <w:r w:rsidR="006E09D7" w:rsidRPr="00587E6D">
        <w:rPr>
          <w:sz w:val="28"/>
          <w:szCs w:val="28"/>
        </w:rPr>
        <w:t xml:space="preserve">The first </w:t>
      </w:r>
      <w:r w:rsidR="00BD1B99" w:rsidRPr="00587E6D">
        <w:rPr>
          <w:sz w:val="28"/>
          <w:szCs w:val="28"/>
        </w:rPr>
        <w:t xml:space="preserve">appellant </w:t>
      </w:r>
      <w:r w:rsidR="006E09D7" w:rsidRPr="00587E6D">
        <w:rPr>
          <w:sz w:val="28"/>
          <w:szCs w:val="28"/>
        </w:rPr>
        <w:t>acted on the correctness of the facts represented by the</w:t>
      </w:r>
      <w:r w:rsidR="00BD1B99" w:rsidRPr="00587E6D">
        <w:rPr>
          <w:sz w:val="28"/>
          <w:szCs w:val="28"/>
        </w:rPr>
        <w:t xml:space="preserve"> respondent’s</w:t>
      </w:r>
      <w:r w:rsidR="006E09D7" w:rsidRPr="00587E6D">
        <w:rPr>
          <w:sz w:val="28"/>
          <w:szCs w:val="28"/>
        </w:rPr>
        <w:t xml:space="preserve"> representatives and proceeded with the construction of the new premises and vacated the leased premises to take occupation of the newly constructed premises</w:t>
      </w:r>
      <w:r w:rsidR="00BD3C19" w:rsidRPr="00587E6D">
        <w:rPr>
          <w:sz w:val="28"/>
          <w:szCs w:val="28"/>
        </w:rPr>
        <w:t>, according to the appellants.</w:t>
      </w:r>
    </w:p>
    <w:p w14:paraId="6F4E078F" w14:textId="77777777" w:rsidR="00E460E4" w:rsidRPr="00627002" w:rsidRDefault="00E460E4" w:rsidP="00BF7383">
      <w:pPr>
        <w:tabs>
          <w:tab w:val="left" w:pos="0"/>
        </w:tabs>
        <w:rPr>
          <w:sz w:val="28"/>
          <w:szCs w:val="28"/>
        </w:rPr>
      </w:pPr>
    </w:p>
    <w:p w14:paraId="3934571A" w14:textId="784D2AB7" w:rsidR="006E09D7" w:rsidRPr="00587E6D" w:rsidRDefault="009D1414" w:rsidP="009D1414">
      <w:pPr>
        <w:tabs>
          <w:tab w:val="left" w:pos="0"/>
        </w:tabs>
        <w:rPr>
          <w:sz w:val="28"/>
          <w:szCs w:val="28"/>
        </w:rPr>
      </w:pPr>
      <w:r w:rsidRPr="00587E6D">
        <w:rPr>
          <w:sz w:val="28"/>
          <w:szCs w:val="28"/>
        </w:rPr>
        <w:lastRenderedPageBreak/>
        <w:t>[13]</w:t>
      </w:r>
      <w:r w:rsidRPr="00587E6D">
        <w:rPr>
          <w:sz w:val="28"/>
          <w:szCs w:val="28"/>
        </w:rPr>
        <w:tab/>
      </w:r>
      <w:r w:rsidR="007004D9" w:rsidRPr="00587E6D">
        <w:rPr>
          <w:sz w:val="28"/>
          <w:szCs w:val="28"/>
        </w:rPr>
        <w:t>The appellants further allege that, a</w:t>
      </w:r>
      <w:r w:rsidR="006E09D7" w:rsidRPr="00587E6D">
        <w:rPr>
          <w:sz w:val="28"/>
          <w:szCs w:val="28"/>
        </w:rPr>
        <w:t>t no point during the construction of the new premises, which happened with the full knowledge of the</w:t>
      </w:r>
      <w:r w:rsidR="00BD1B99" w:rsidRPr="00587E6D">
        <w:rPr>
          <w:sz w:val="28"/>
          <w:szCs w:val="28"/>
        </w:rPr>
        <w:t xml:space="preserve"> respondent’s</w:t>
      </w:r>
      <w:r w:rsidR="006E09D7" w:rsidRPr="00587E6D">
        <w:rPr>
          <w:sz w:val="28"/>
          <w:szCs w:val="28"/>
        </w:rPr>
        <w:t xml:space="preserve"> representatives, did the </w:t>
      </w:r>
      <w:r w:rsidR="00BD1B99" w:rsidRPr="00587E6D">
        <w:rPr>
          <w:sz w:val="28"/>
          <w:szCs w:val="28"/>
        </w:rPr>
        <w:t xml:space="preserve">respondent </w:t>
      </w:r>
      <w:r w:rsidR="006E09D7" w:rsidRPr="00587E6D">
        <w:rPr>
          <w:sz w:val="28"/>
          <w:szCs w:val="28"/>
        </w:rPr>
        <w:t xml:space="preserve">inform the </w:t>
      </w:r>
      <w:r w:rsidR="00BD1B99" w:rsidRPr="00587E6D">
        <w:rPr>
          <w:sz w:val="28"/>
          <w:szCs w:val="28"/>
        </w:rPr>
        <w:t xml:space="preserve">appellants </w:t>
      </w:r>
      <w:r w:rsidR="006E09D7" w:rsidRPr="00587E6D">
        <w:rPr>
          <w:sz w:val="28"/>
          <w:szCs w:val="28"/>
        </w:rPr>
        <w:t xml:space="preserve">that the first </w:t>
      </w:r>
      <w:r w:rsidR="00BD1B99" w:rsidRPr="00587E6D">
        <w:rPr>
          <w:sz w:val="28"/>
          <w:szCs w:val="28"/>
        </w:rPr>
        <w:t xml:space="preserve">appellant </w:t>
      </w:r>
      <w:r w:rsidR="006E09D7" w:rsidRPr="00587E6D">
        <w:rPr>
          <w:sz w:val="28"/>
          <w:szCs w:val="28"/>
        </w:rPr>
        <w:t xml:space="preserve">remained bound by the </w:t>
      </w:r>
      <w:r w:rsidR="00BD3C19" w:rsidRPr="00587E6D">
        <w:rPr>
          <w:sz w:val="28"/>
          <w:szCs w:val="28"/>
        </w:rPr>
        <w:t xml:space="preserve">agreement </w:t>
      </w:r>
      <w:r w:rsidR="006E09D7" w:rsidRPr="00587E6D">
        <w:rPr>
          <w:sz w:val="28"/>
          <w:szCs w:val="28"/>
        </w:rPr>
        <w:t xml:space="preserve">for the full term </w:t>
      </w:r>
      <w:r w:rsidR="009F245A" w:rsidRPr="00587E6D">
        <w:rPr>
          <w:sz w:val="28"/>
          <w:szCs w:val="28"/>
        </w:rPr>
        <w:t>there</w:t>
      </w:r>
      <w:r w:rsidR="006E09D7" w:rsidRPr="00587E6D">
        <w:rPr>
          <w:sz w:val="28"/>
          <w:szCs w:val="28"/>
        </w:rPr>
        <w:t>of. The first</w:t>
      </w:r>
      <w:r w:rsidR="00BD1B99" w:rsidRPr="00587E6D">
        <w:rPr>
          <w:sz w:val="28"/>
          <w:szCs w:val="28"/>
        </w:rPr>
        <w:t xml:space="preserve"> appellant</w:t>
      </w:r>
      <w:r w:rsidR="006E09D7" w:rsidRPr="00587E6D">
        <w:rPr>
          <w:sz w:val="28"/>
          <w:szCs w:val="28"/>
        </w:rPr>
        <w:t xml:space="preserve"> acted to its detriment, as a result of the intentional, alternative</w:t>
      </w:r>
      <w:r w:rsidR="006B101A" w:rsidRPr="00587E6D">
        <w:rPr>
          <w:sz w:val="28"/>
          <w:szCs w:val="28"/>
        </w:rPr>
        <w:t>ly</w:t>
      </w:r>
      <w:r w:rsidR="006E09D7" w:rsidRPr="00587E6D">
        <w:rPr>
          <w:sz w:val="28"/>
          <w:szCs w:val="28"/>
        </w:rPr>
        <w:t xml:space="preserve"> negligent representations made by the</w:t>
      </w:r>
      <w:r w:rsidR="00BD1B99" w:rsidRPr="00587E6D">
        <w:rPr>
          <w:sz w:val="28"/>
          <w:szCs w:val="28"/>
        </w:rPr>
        <w:t xml:space="preserve"> respondent’s</w:t>
      </w:r>
      <w:r w:rsidR="006E09D7" w:rsidRPr="00587E6D">
        <w:rPr>
          <w:sz w:val="28"/>
          <w:szCs w:val="28"/>
        </w:rPr>
        <w:t xml:space="preserve"> representatives. Had the first </w:t>
      </w:r>
      <w:r w:rsidR="00BD1B99" w:rsidRPr="00587E6D">
        <w:rPr>
          <w:sz w:val="28"/>
          <w:szCs w:val="28"/>
        </w:rPr>
        <w:t xml:space="preserve">appellant </w:t>
      </w:r>
      <w:r w:rsidR="006E09D7" w:rsidRPr="00587E6D">
        <w:rPr>
          <w:sz w:val="28"/>
          <w:szCs w:val="28"/>
        </w:rPr>
        <w:t xml:space="preserve">known that the </w:t>
      </w:r>
      <w:r w:rsidR="00BD1B99" w:rsidRPr="00587E6D">
        <w:rPr>
          <w:sz w:val="28"/>
          <w:szCs w:val="28"/>
        </w:rPr>
        <w:t xml:space="preserve">respondent </w:t>
      </w:r>
      <w:r w:rsidR="006E09D7" w:rsidRPr="00587E6D">
        <w:rPr>
          <w:sz w:val="28"/>
          <w:szCs w:val="28"/>
        </w:rPr>
        <w:t xml:space="preserve">intended to invoke the provisions of clause 13.3 of the </w:t>
      </w:r>
      <w:r w:rsidR="00BD3C19" w:rsidRPr="00587E6D">
        <w:rPr>
          <w:sz w:val="28"/>
          <w:szCs w:val="28"/>
        </w:rPr>
        <w:t>agreement</w:t>
      </w:r>
      <w:r w:rsidR="006E09D7" w:rsidRPr="00587E6D">
        <w:rPr>
          <w:sz w:val="28"/>
          <w:szCs w:val="28"/>
        </w:rPr>
        <w:t xml:space="preserve"> and/or insisted on written cancellation of the </w:t>
      </w:r>
      <w:r w:rsidR="00BD3C19" w:rsidRPr="00587E6D">
        <w:rPr>
          <w:sz w:val="28"/>
          <w:szCs w:val="28"/>
        </w:rPr>
        <w:t>agreement</w:t>
      </w:r>
      <w:r w:rsidR="006E09D7" w:rsidRPr="00587E6D">
        <w:rPr>
          <w:sz w:val="28"/>
          <w:szCs w:val="28"/>
        </w:rPr>
        <w:t>,</w:t>
      </w:r>
      <w:r w:rsidR="00F7304A" w:rsidRPr="00587E6D">
        <w:rPr>
          <w:sz w:val="28"/>
          <w:szCs w:val="28"/>
        </w:rPr>
        <w:t xml:space="preserve"> </w:t>
      </w:r>
      <w:r w:rsidR="006E09D7" w:rsidRPr="00587E6D">
        <w:rPr>
          <w:sz w:val="28"/>
          <w:szCs w:val="28"/>
        </w:rPr>
        <w:t xml:space="preserve">the first </w:t>
      </w:r>
      <w:r w:rsidR="00BD1B99" w:rsidRPr="00587E6D">
        <w:rPr>
          <w:sz w:val="28"/>
          <w:szCs w:val="28"/>
        </w:rPr>
        <w:t xml:space="preserve">appellant </w:t>
      </w:r>
      <w:r w:rsidR="006E09D7" w:rsidRPr="00587E6D">
        <w:rPr>
          <w:sz w:val="28"/>
          <w:szCs w:val="28"/>
        </w:rPr>
        <w:t xml:space="preserve">would not have proceeded to secure the new premises and </w:t>
      </w:r>
      <w:r w:rsidR="007004D9" w:rsidRPr="00587E6D">
        <w:rPr>
          <w:sz w:val="28"/>
          <w:szCs w:val="28"/>
        </w:rPr>
        <w:t xml:space="preserve">incur </w:t>
      </w:r>
      <w:r w:rsidR="006E09D7" w:rsidRPr="00587E6D">
        <w:rPr>
          <w:sz w:val="28"/>
          <w:szCs w:val="28"/>
        </w:rPr>
        <w:t>costs in relation thereto.</w:t>
      </w:r>
    </w:p>
    <w:p w14:paraId="4776EF4A" w14:textId="77777777" w:rsidR="002E0415" w:rsidRPr="00587E6D" w:rsidRDefault="002E0415" w:rsidP="0004044D">
      <w:pPr>
        <w:pStyle w:val="ListParagraph"/>
        <w:rPr>
          <w:sz w:val="28"/>
          <w:szCs w:val="28"/>
        </w:rPr>
      </w:pPr>
    </w:p>
    <w:p w14:paraId="68D956EE" w14:textId="32A4D35B" w:rsidR="002E0415" w:rsidRPr="00587E6D" w:rsidRDefault="009D1414" w:rsidP="009D1414">
      <w:pPr>
        <w:tabs>
          <w:tab w:val="left" w:pos="0"/>
        </w:tabs>
        <w:rPr>
          <w:sz w:val="28"/>
          <w:szCs w:val="28"/>
        </w:rPr>
      </w:pPr>
      <w:r w:rsidRPr="00587E6D">
        <w:rPr>
          <w:sz w:val="28"/>
          <w:szCs w:val="28"/>
        </w:rPr>
        <w:t>[14]</w:t>
      </w:r>
      <w:r w:rsidRPr="00587E6D">
        <w:rPr>
          <w:sz w:val="28"/>
          <w:szCs w:val="28"/>
        </w:rPr>
        <w:tab/>
      </w:r>
      <w:r w:rsidR="007129E3" w:rsidRPr="00587E6D">
        <w:rPr>
          <w:sz w:val="28"/>
          <w:szCs w:val="28"/>
        </w:rPr>
        <w:t>The respondent applied for summary judgment, which was resisted by the appellants. In considering the application, the high court found</w:t>
      </w:r>
      <w:r w:rsidR="007004D9" w:rsidRPr="00587E6D">
        <w:rPr>
          <w:sz w:val="28"/>
          <w:szCs w:val="28"/>
        </w:rPr>
        <w:t xml:space="preserve"> as follows</w:t>
      </w:r>
      <w:r w:rsidR="007129E3" w:rsidRPr="00587E6D">
        <w:rPr>
          <w:sz w:val="28"/>
          <w:szCs w:val="28"/>
        </w:rPr>
        <w:t>:</w:t>
      </w:r>
    </w:p>
    <w:p w14:paraId="707A732C" w14:textId="36AEA6D2" w:rsidR="007129E3" w:rsidRPr="00587E6D" w:rsidRDefault="00CF3F63" w:rsidP="0004044D">
      <w:pPr>
        <w:pStyle w:val="ListParagraph"/>
        <w:ind w:left="0"/>
      </w:pPr>
      <w:r w:rsidRPr="00587E6D">
        <w:t>‘A contract with a non</w:t>
      </w:r>
      <w:r w:rsidR="007004D9" w:rsidRPr="00587E6D">
        <w:t xml:space="preserve"> variation</w:t>
      </w:r>
      <w:r w:rsidRPr="00587E6D">
        <w:t xml:space="preserve"> clause cannot be amended orally</w:t>
      </w:r>
      <w:r w:rsidR="00331230" w:rsidRPr="00587E6D">
        <w:t>.</w:t>
      </w:r>
    </w:p>
    <w:p w14:paraId="4FA636B0" w14:textId="3D2979AD" w:rsidR="00331230" w:rsidRPr="00587E6D" w:rsidRDefault="00331230" w:rsidP="0004044D">
      <w:pPr>
        <w:pStyle w:val="ListParagraph"/>
        <w:ind w:left="0"/>
      </w:pPr>
      <w:r w:rsidRPr="00587E6D">
        <w:t>. . .</w:t>
      </w:r>
    </w:p>
    <w:p w14:paraId="7B2DB11E" w14:textId="0DBCACB5" w:rsidR="00331230" w:rsidRPr="00587E6D" w:rsidRDefault="00331230" w:rsidP="0004044D">
      <w:pPr>
        <w:pStyle w:val="ListParagraph"/>
        <w:ind w:left="0"/>
      </w:pPr>
      <w:r w:rsidRPr="00587E6D">
        <w:t xml:space="preserve">I am satisfied that on the basis of the authorities that I have cited, such a </w:t>
      </w:r>
      <w:r w:rsidR="007004D9" w:rsidRPr="00587E6D">
        <w:t xml:space="preserve">cancellation </w:t>
      </w:r>
      <w:r w:rsidRPr="00587E6D">
        <w:t>is [in]valid, because it is not in keeping with the non variation clause. Therefore, if a party raises an oral cancellation or variation of an agreement, such defence is invalid</w:t>
      </w:r>
      <w:r w:rsidR="005A3EC4" w:rsidRPr="00587E6D">
        <w:t xml:space="preserve"> and such a party can be regarded as having raised no defence at all.</w:t>
      </w:r>
    </w:p>
    <w:p w14:paraId="37BF8BDC" w14:textId="1EB3C68A" w:rsidR="005A3EC4" w:rsidRPr="00587E6D" w:rsidRDefault="005A3EC4" w:rsidP="0004044D">
      <w:pPr>
        <w:pStyle w:val="ListParagraph"/>
        <w:ind w:left="0"/>
      </w:pPr>
      <w:r w:rsidRPr="00587E6D">
        <w:t>. . .</w:t>
      </w:r>
    </w:p>
    <w:p w14:paraId="71D4536D" w14:textId="70A08D09" w:rsidR="005A3EC4" w:rsidRPr="00587E6D" w:rsidRDefault="005A3EC4" w:rsidP="0004044D">
      <w:pPr>
        <w:pStyle w:val="ListParagraph"/>
        <w:ind w:left="0"/>
      </w:pPr>
      <w:r w:rsidRPr="00587E6D">
        <w:t>There is, however, another aspect that this Court should turn its mind to</w:t>
      </w:r>
      <w:r w:rsidR="00AF1729" w:rsidRPr="00587E6D">
        <w:t>, and that is the date of termination of the agreement. It will be recalled that in this matter, even after the purported oral cancellation of the agreement, the [appellants]</w:t>
      </w:r>
      <w:r w:rsidR="008D1007" w:rsidRPr="00587E6D">
        <w:t xml:space="preserve"> retained the keys to the building. In terms of the law, even if the </w:t>
      </w:r>
      <w:r w:rsidR="00AA67D5" w:rsidRPr="00587E6D">
        <w:t>[appellants]</w:t>
      </w:r>
      <w:r w:rsidR="008D1007" w:rsidRPr="00587E6D">
        <w:t xml:space="preserve"> did not occupy the premises</w:t>
      </w:r>
      <w:r w:rsidR="005512DC" w:rsidRPr="00587E6D">
        <w:t xml:space="preserve"> concerned, the mere fact that they had in their possession the keys to the premises, it means that the agreement only terminated [when] the [appellants] returned the keys to the [respondent].</w:t>
      </w:r>
      <w:r w:rsidR="00BD3C19" w:rsidRPr="00587E6D">
        <w:t>’</w:t>
      </w:r>
    </w:p>
    <w:p w14:paraId="1DD57893" w14:textId="5E00FFE8" w:rsidR="007129E3" w:rsidRPr="00587E6D" w:rsidRDefault="007129E3" w:rsidP="0004044D">
      <w:pPr>
        <w:tabs>
          <w:tab w:val="left" w:pos="0"/>
        </w:tabs>
        <w:rPr>
          <w:sz w:val="28"/>
          <w:szCs w:val="28"/>
        </w:rPr>
      </w:pPr>
    </w:p>
    <w:p w14:paraId="637F48C8" w14:textId="548FFB34" w:rsidR="001044A2" w:rsidRPr="009D1414" w:rsidRDefault="009D1414" w:rsidP="009D1414">
      <w:pPr>
        <w:tabs>
          <w:tab w:val="left" w:pos="0"/>
        </w:tabs>
        <w:rPr>
          <w:sz w:val="28"/>
          <w:szCs w:val="28"/>
        </w:rPr>
      </w:pPr>
      <w:r w:rsidRPr="00587E6D">
        <w:rPr>
          <w:sz w:val="28"/>
          <w:szCs w:val="28"/>
        </w:rPr>
        <w:lastRenderedPageBreak/>
        <w:t>[15]</w:t>
      </w:r>
      <w:r w:rsidRPr="00587E6D">
        <w:rPr>
          <w:sz w:val="28"/>
          <w:szCs w:val="28"/>
        </w:rPr>
        <w:tab/>
      </w:r>
      <w:r w:rsidR="00CC275B" w:rsidRPr="009D1414">
        <w:rPr>
          <w:sz w:val="28"/>
          <w:szCs w:val="28"/>
        </w:rPr>
        <w:t>T</w:t>
      </w:r>
      <w:r w:rsidR="00E01C94" w:rsidRPr="009D1414">
        <w:rPr>
          <w:sz w:val="28"/>
          <w:szCs w:val="28"/>
        </w:rPr>
        <w:t xml:space="preserve">he </w:t>
      </w:r>
      <w:r w:rsidR="005D54ED" w:rsidRPr="009D1414">
        <w:rPr>
          <w:sz w:val="28"/>
          <w:szCs w:val="28"/>
        </w:rPr>
        <w:t xml:space="preserve">high </w:t>
      </w:r>
      <w:r w:rsidR="009F245A" w:rsidRPr="009D1414">
        <w:rPr>
          <w:sz w:val="28"/>
          <w:szCs w:val="28"/>
        </w:rPr>
        <w:t>court did not consider</w:t>
      </w:r>
      <w:r w:rsidR="00E01C94" w:rsidRPr="009D1414">
        <w:rPr>
          <w:sz w:val="28"/>
          <w:szCs w:val="28"/>
        </w:rPr>
        <w:t xml:space="preserve"> </w:t>
      </w:r>
      <w:r w:rsidR="00CC275B" w:rsidRPr="009D1414">
        <w:rPr>
          <w:sz w:val="28"/>
          <w:szCs w:val="28"/>
        </w:rPr>
        <w:t xml:space="preserve">it necessary </w:t>
      </w:r>
      <w:r w:rsidR="00E01C94" w:rsidRPr="009D1414">
        <w:rPr>
          <w:sz w:val="28"/>
          <w:szCs w:val="28"/>
        </w:rPr>
        <w:t>to deal with estoppel</w:t>
      </w:r>
      <w:r w:rsidR="005A309F" w:rsidRPr="009D1414">
        <w:rPr>
          <w:sz w:val="28"/>
          <w:szCs w:val="28"/>
        </w:rPr>
        <w:t xml:space="preserve"> </w:t>
      </w:r>
      <w:r w:rsidR="00E76D08" w:rsidRPr="009D1414">
        <w:rPr>
          <w:sz w:val="28"/>
          <w:szCs w:val="28"/>
        </w:rPr>
        <w:t>considering</w:t>
      </w:r>
      <w:r w:rsidR="00CC275B" w:rsidRPr="009D1414">
        <w:rPr>
          <w:sz w:val="28"/>
          <w:szCs w:val="28"/>
        </w:rPr>
        <w:t xml:space="preserve"> its findings on the </w:t>
      </w:r>
      <w:r w:rsidR="005D54ED" w:rsidRPr="009D1414">
        <w:rPr>
          <w:sz w:val="28"/>
          <w:szCs w:val="28"/>
        </w:rPr>
        <w:t xml:space="preserve">purported </w:t>
      </w:r>
      <w:r w:rsidR="00CC275B" w:rsidRPr="009D1414">
        <w:rPr>
          <w:sz w:val="28"/>
          <w:szCs w:val="28"/>
        </w:rPr>
        <w:t xml:space="preserve">oral </w:t>
      </w:r>
      <w:r w:rsidR="005D54ED" w:rsidRPr="009D1414">
        <w:rPr>
          <w:sz w:val="28"/>
          <w:szCs w:val="28"/>
        </w:rPr>
        <w:t xml:space="preserve">cancellation of the </w:t>
      </w:r>
      <w:r w:rsidR="00CC275B" w:rsidRPr="009D1414">
        <w:rPr>
          <w:sz w:val="28"/>
          <w:szCs w:val="28"/>
        </w:rPr>
        <w:t>agreement</w:t>
      </w:r>
      <w:r w:rsidR="00E01C94" w:rsidRPr="009D1414">
        <w:rPr>
          <w:sz w:val="28"/>
          <w:szCs w:val="28"/>
        </w:rPr>
        <w:t xml:space="preserve">. </w:t>
      </w:r>
      <w:r w:rsidR="005B1692" w:rsidRPr="009D1414">
        <w:rPr>
          <w:sz w:val="28"/>
          <w:szCs w:val="28"/>
        </w:rPr>
        <w:t>The appeal is before us with the leave of this Court.</w:t>
      </w:r>
    </w:p>
    <w:p w14:paraId="49C84D71" w14:textId="77777777" w:rsidR="00E40B9A" w:rsidRPr="00587E6D" w:rsidRDefault="00E40B9A" w:rsidP="0004044D">
      <w:pPr>
        <w:tabs>
          <w:tab w:val="left" w:pos="0"/>
        </w:tabs>
        <w:rPr>
          <w:sz w:val="28"/>
          <w:szCs w:val="28"/>
        </w:rPr>
      </w:pPr>
    </w:p>
    <w:p w14:paraId="54FBAFD6" w14:textId="4DA0DB4E" w:rsidR="00734BCC" w:rsidRPr="009D1414" w:rsidRDefault="009D1414" w:rsidP="009D1414">
      <w:pPr>
        <w:tabs>
          <w:tab w:val="left" w:pos="0"/>
        </w:tabs>
        <w:rPr>
          <w:sz w:val="28"/>
          <w:szCs w:val="28"/>
        </w:rPr>
      </w:pPr>
      <w:r w:rsidRPr="00587E6D">
        <w:rPr>
          <w:sz w:val="28"/>
          <w:szCs w:val="28"/>
        </w:rPr>
        <w:t>[16]</w:t>
      </w:r>
      <w:r w:rsidRPr="00587E6D">
        <w:rPr>
          <w:sz w:val="28"/>
          <w:szCs w:val="28"/>
        </w:rPr>
        <w:tab/>
      </w:r>
      <w:r w:rsidR="00873D07" w:rsidRPr="009D1414">
        <w:rPr>
          <w:sz w:val="28"/>
          <w:szCs w:val="28"/>
        </w:rPr>
        <w:t>In</w:t>
      </w:r>
      <w:r w:rsidR="00EF46EE" w:rsidRPr="009D1414">
        <w:rPr>
          <w:sz w:val="28"/>
          <w:szCs w:val="28"/>
        </w:rPr>
        <w:t xml:space="preserve"> </w:t>
      </w:r>
      <w:r w:rsidR="00873D07" w:rsidRPr="009D1414">
        <w:rPr>
          <w:i/>
          <w:sz w:val="28"/>
          <w:szCs w:val="28"/>
        </w:rPr>
        <w:t>Brisley v Drosky</w:t>
      </w:r>
      <w:r w:rsidR="00DC3E1C" w:rsidRPr="009D1414">
        <w:rPr>
          <w:sz w:val="28"/>
          <w:szCs w:val="28"/>
        </w:rPr>
        <w:t>,</w:t>
      </w:r>
      <w:r w:rsidR="00DC3E1C" w:rsidRPr="00587E6D">
        <w:rPr>
          <w:rStyle w:val="FootnoteReference"/>
          <w:sz w:val="28"/>
          <w:szCs w:val="28"/>
        </w:rPr>
        <w:footnoteReference w:id="3"/>
      </w:r>
      <w:r w:rsidR="00873D07" w:rsidRPr="009D1414">
        <w:rPr>
          <w:sz w:val="28"/>
          <w:szCs w:val="28"/>
        </w:rPr>
        <w:t xml:space="preserve"> this Court endorsed the </w:t>
      </w:r>
      <w:r w:rsidR="00EF46EE" w:rsidRPr="009D1414">
        <w:rPr>
          <w:i/>
          <w:sz w:val="28"/>
          <w:szCs w:val="28"/>
        </w:rPr>
        <w:t>Shifren</w:t>
      </w:r>
      <w:r w:rsidR="00873D07" w:rsidRPr="009D1414">
        <w:rPr>
          <w:i/>
          <w:sz w:val="28"/>
          <w:szCs w:val="28"/>
        </w:rPr>
        <w:t xml:space="preserve"> </w:t>
      </w:r>
      <w:r w:rsidR="00873D07" w:rsidRPr="009D1414">
        <w:rPr>
          <w:sz w:val="28"/>
          <w:szCs w:val="28"/>
        </w:rPr>
        <w:t>decision as representing ‘a doctrinal and policy choice which, on balance, was sound</w:t>
      </w:r>
      <w:r w:rsidR="0005142C" w:rsidRPr="009D1414">
        <w:rPr>
          <w:sz w:val="28"/>
          <w:szCs w:val="28"/>
        </w:rPr>
        <w:t>’.</w:t>
      </w:r>
      <w:r w:rsidR="0005142C" w:rsidRPr="00587E6D">
        <w:rPr>
          <w:rStyle w:val="FootnoteReference"/>
          <w:sz w:val="28"/>
          <w:szCs w:val="28"/>
        </w:rPr>
        <w:footnoteReference w:id="4"/>
      </w:r>
      <w:r w:rsidR="0005142C" w:rsidRPr="009D1414">
        <w:rPr>
          <w:sz w:val="28"/>
          <w:szCs w:val="28"/>
        </w:rPr>
        <w:t xml:space="preserve"> It, however, recognised that ‘in addition to the fraud exception, there may be circumstances in which an agreement, unobjectionable in itself, will not be enforced because the object it </w:t>
      </w:r>
      <w:r w:rsidR="006F0664" w:rsidRPr="009D1414">
        <w:rPr>
          <w:sz w:val="28"/>
          <w:szCs w:val="28"/>
        </w:rPr>
        <w:t>seeks</w:t>
      </w:r>
      <w:r w:rsidR="0005142C" w:rsidRPr="009D1414">
        <w:rPr>
          <w:sz w:val="28"/>
          <w:szCs w:val="28"/>
        </w:rPr>
        <w:t xml:space="preserve"> to achieve is contrary to public policy’</w:t>
      </w:r>
      <w:r w:rsidR="00DC3E1C" w:rsidRPr="009D1414">
        <w:rPr>
          <w:sz w:val="28"/>
          <w:szCs w:val="28"/>
        </w:rPr>
        <w:t>.</w:t>
      </w:r>
      <w:r w:rsidR="0005142C" w:rsidRPr="00587E6D">
        <w:rPr>
          <w:rStyle w:val="FootnoteReference"/>
          <w:sz w:val="28"/>
          <w:szCs w:val="28"/>
        </w:rPr>
        <w:footnoteReference w:id="5"/>
      </w:r>
      <w:r w:rsidR="00873D07" w:rsidRPr="009D1414">
        <w:rPr>
          <w:sz w:val="28"/>
          <w:szCs w:val="28"/>
        </w:rPr>
        <w:t xml:space="preserve"> </w:t>
      </w:r>
    </w:p>
    <w:p w14:paraId="10E10387" w14:textId="77777777" w:rsidR="00734BCC" w:rsidRPr="00587E6D" w:rsidRDefault="00734BCC" w:rsidP="0004044D">
      <w:pPr>
        <w:pStyle w:val="ListParagraph"/>
        <w:rPr>
          <w:sz w:val="28"/>
          <w:szCs w:val="28"/>
        </w:rPr>
      </w:pPr>
    </w:p>
    <w:p w14:paraId="17024C90" w14:textId="23289C47" w:rsidR="00EF46EE" w:rsidRPr="009D1414" w:rsidRDefault="009D1414" w:rsidP="009D1414">
      <w:pPr>
        <w:tabs>
          <w:tab w:val="left" w:pos="0"/>
        </w:tabs>
        <w:rPr>
          <w:sz w:val="28"/>
          <w:szCs w:val="28"/>
        </w:rPr>
      </w:pPr>
      <w:r w:rsidRPr="00587E6D">
        <w:rPr>
          <w:sz w:val="28"/>
          <w:szCs w:val="28"/>
        </w:rPr>
        <w:t>[17]</w:t>
      </w:r>
      <w:r w:rsidRPr="00587E6D">
        <w:rPr>
          <w:sz w:val="28"/>
          <w:szCs w:val="28"/>
        </w:rPr>
        <w:tab/>
      </w:r>
      <w:r w:rsidR="001F4F14" w:rsidRPr="009D1414">
        <w:rPr>
          <w:sz w:val="28"/>
          <w:szCs w:val="28"/>
        </w:rPr>
        <w:t xml:space="preserve">The appellants </w:t>
      </w:r>
      <w:r w:rsidR="006031A9" w:rsidRPr="009D1414">
        <w:rPr>
          <w:sz w:val="28"/>
          <w:szCs w:val="28"/>
        </w:rPr>
        <w:t xml:space="preserve">do </w:t>
      </w:r>
      <w:r w:rsidR="001F4F14" w:rsidRPr="009D1414">
        <w:rPr>
          <w:sz w:val="28"/>
          <w:szCs w:val="28"/>
        </w:rPr>
        <w:t>not rel</w:t>
      </w:r>
      <w:r w:rsidR="006031A9" w:rsidRPr="009D1414">
        <w:rPr>
          <w:sz w:val="28"/>
          <w:szCs w:val="28"/>
        </w:rPr>
        <w:t>y</w:t>
      </w:r>
      <w:r w:rsidR="001F4F14" w:rsidRPr="009D1414">
        <w:rPr>
          <w:sz w:val="28"/>
          <w:szCs w:val="28"/>
        </w:rPr>
        <w:t xml:space="preserve"> on</w:t>
      </w:r>
      <w:r w:rsidR="006031A9" w:rsidRPr="009D1414">
        <w:rPr>
          <w:sz w:val="28"/>
          <w:szCs w:val="28"/>
        </w:rPr>
        <w:t xml:space="preserve"> the defence that the </w:t>
      </w:r>
      <w:r w:rsidR="00A84E8B" w:rsidRPr="009D1414">
        <w:rPr>
          <w:sz w:val="28"/>
          <w:szCs w:val="28"/>
        </w:rPr>
        <w:t>agreement</w:t>
      </w:r>
      <w:r w:rsidR="006031A9" w:rsidRPr="009D1414">
        <w:rPr>
          <w:sz w:val="28"/>
          <w:szCs w:val="28"/>
        </w:rPr>
        <w:t xml:space="preserve"> or </w:t>
      </w:r>
      <w:r w:rsidR="00A84E8B" w:rsidRPr="009D1414">
        <w:rPr>
          <w:sz w:val="28"/>
          <w:szCs w:val="28"/>
        </w:rPr>
        <w:t>clause 13.3 (</w:t>
      </w:r>
      <w:r w:rsidR="006031A9" w:rsidRPr="009D1414">
        <w:rPr>
          <w:sz w:val="28"/>
          <w:szCs w:val="28"/>
        </w:rPr>
        <w:t>the non-variation clause</w:t>
      </w:r>
      <w:r w:rsidR="00A84E8B" w:rsidRPr="009D1414">
        <w:rPr>
          <w:sz w:val="28"/>
          <w:szCs w:val="28"/>
        </w:rPr>
        <w:t>)</w:t>
      </w:r>
      <w:r w:rsidR="006031A9" w:rsidRPr="009D1414">
        <w:rPr>
          <w:sz w:val="28"/>
          <w:szCs w:val="28"/>
        </w:rPr>
        <w:t xml:space="preserve"> offends </w:t>
      </w:r>
      <w:r w:rsidR="001F4F14" w:rsidRPr="009D1414">
        <w:rPr>
          <w:sz w:val="28"/>
          <w:szCs w:val="28"/>
        </w:rPr>
        <w:t xml:space="preserve">public policy. </w:t>
      </w:r>
      <w:r w:rsidR="006031A9" w:rsidRPr="009D1414">
        <w:rPr>
          <w:sz w:val="28"/>
          <w:szCs w:val="28"/>
        </w:rPr>
        <w:t>Nor do they allege</w:t>
      </w:r>
      <w:r w:rsidR="001F4F14" w:rsidRPr="009D1414">
        <w:rPr>
          <w:sz w:val="28"/>
          <w:szCs w:val="28"/>
        </w:rPr>
        <w:t xml:space="preserve"> fraud or deceit.</w:t>
      </w:r>
      <w:r w:rsidR="00734BCC" w:rsidRPr="009D1414">
        <w:rPr>
          <w:sz w:val="28"/>
          <w:szCs w:val="28"/>
        </w:rPr>
        <w:t xml:space="preserve"> </w:t>
      </w:r>
      <w:r w:rsidR="001F4F14" w:rsidRPr="009D1414">
        <w:rPr>
          <w:sz w:val="28"/>
          <w:szCs w:val="28"/>
        </w:rPr>
        <w:t>The</w:t>
      </w:r>
      <w:r w:rsidR="00D679DA" w:rsidRPr="009D1414">
        <w:rPr>
          <w:sz w:val="28"/>
          <w:szCs w:val="28"/>
        </w:rPr>
        <w:t xml:space="preserve">y contend for </w:t>
      </w:r>
      <w:r w:rsidR="001F4F14" w:rsidRPr="009D1414">
        <w:rPr>
          <w:sz w:val="28"/>
          <w:szCs w:val="28"/>
        </w:rPr>
        <w:t>estoppel</w:t>
      </w:r>
      <w:r w:rsidR="00D679DA" w:rsidRPr="009D1414">
        <w:rPr>
          <w:sz w:val="28"/>
          <w:szCs w:val="28"/>
        </w:rPr>
        <w:t xml:space="preserve"> by representation</w:t>
      </w:r>
      <w:r w:rsidR="006F1AAB" w:rsidRPr="009D1414">
        <w:rPr>
          <w:sz w:val="28"/>
          <w:szCs w:val="28"/>
        </w:rPr>
        <w:t>. Apart from the fact that th</w:t>
      </w:r>
      <w:r w:rsidR="00734BCC" w:rsidRPr="009D1414">
        <w:rPr>
          <w:sz w:val="28"/>
          <w:szCs w:val="28"/>
        </w:rPr>
        <w:t>e alleged</w:t>
      </w:r>
      <w:r w:rsidR="006F1AAB" w:rsidRPr="009D1414">
        <w:rPr>
          <w:sz w:val="28"/>
          <w:szCs w:val="28"/>
        </w:rPr>
        <w:t xml:space="preserve"> representation is obscurely pleaded</w:t>
      </w:r>
      <w:r w:rsidR="00734BCC" w:rsidRPr="009D1414">
        <w:rPr>
          <w:sz w:val="28"/>
          <w:szCs w:val="28"/>
        </w:rPr>
        <w:t>, i</w:t>
      </w:r>
      <w:r w:rsidR="006F1AAB" w:rsidRPr="009D1414">
        <w:rPr>
          <w:sz w:val="28"/>
          <w:szCs w:val="28"/>
        </w:rPr>
        <w:t>t seems to be this</w:t>
      </w:r>
      <w:r w:rsidR="0023195C" w:rsidRPr="009D1414">
        <w:rPr>
          <w:sz w:val="28"/>
          <w:szCs w:val="28"/>
        </w:rPr>
        <w:t>:</w:t>
      </w:r>
      <w:r w:rsidR="006F1AAB" w:rsidRPr="009D1414">
        <w:rPr>
          <w:sz w:val="28"/>
          <w:szCs w:val="28"/>
        </w:rPr>
        <w:t xml:space="preserve"> t</w:t>
      </w:r>
      <w:r w:rsidR="001F4F14" w:rsidRPr="009D1414">
        <w:rPr>
          <w:sz w:val="28"/>
          <w:szCs w:val="28"/>
        </w:rPr>
        <w:t xml:space="preserve">he respondent’s representatives represented to the second appellant that the </w:t>
      </w:r>
      <w:r w:rsidR="0023195C" w:rsidRPr="009D1414">
        <w:rPr>
          <w:sz w:val="28"/>
          <w:szCs w:val="28"/>
        </w:rPr>
        <w:t>agreement</w:t>
      </w:r>
      <w:r w:rsidR="001F4F14" w:rsidRPr="009D1414">
        <w:rPr>
          <w:sz w:val="28"/>
          <w:szCs w:val="28"/>
        </w:rPr>
        <w:t xml:space="preserve"> would be cancelled upon</w:t>
      </w:r>
      <w:r w:rsidR="006031A9" w:rsidRPr="009D1414">
        <w:rPr>
          <w:sz w:val="28"/>
          <w:szCs w:val="28"/>
        </w:rPr>
        <w:t xml:space="preserve"> </w:t>
      </w:r>
      <w:r w:rsidR="009120CA" w:rsidRPr="009D1414">
        <w:rPr>
          <w:sz w:val="28"/>
          <w:szCs w:val="28"/>
        </w:rPr>
        <w:t>the first appellant</w:t>
      </w:r>
      <w:r w:rsidR="00D679DA" w:rsidRPr="009D1414">
        <w:rPr>
          <w:sz w:val="28"/>
          <w:szCs w:val="28"/>
        </w:rPr>
        <w:t xml:space="preserve"> securing</w:t>
      </w:r>
      <w:r w:rsidR="009120CA" w:rsidRPr="009D1414">
        <w:rPr>
          <w:sz w:val="28"/>
          <w:szCs w:val="28"/>
        </w:rPr>
        <w:t xml:space="preserve"> alternative premises and </w:t>
      </w:r>
      <w:r w:rsidR="00D679DA" w:rsidRPr="009D1414">
        <w:rPr>
          <w:sz w:val="28"/>
          <w:szCs w:val="28"/>
        </w:rPr>
        <w:t xml:space="preserve">the second appellant was led to believe that </w:t>
      </w:r>
      <w:r w:rsidR="009120CA" w:rsidRPr="009D1414">
        <w:rPr>
          <w:sz w:val="28"/>
          <w:szCs w:val="28"/>
        </w:rPr>
        <w:t>the non-variation clause would not be enforced.</w:t>
      </w:r>
    </w:p>
    <w:p w14:paraId="2631E427" w14:textId="77777777" w:rsidR="00E65060" w:rsidRPr="00587E6D" w:rsidRDefault="00E65060" w:rsidP="0004044D">
      <w:pPr>
        <w:pStyle w:val="ListParagraph"/>
        <w:rPr>
          <w:sz w:val="28"/>
          <w:szCs w:val="28"/>
        </w:rPr>
      </w:pPr>
    </w:p>
    <w:p w14:paraId="5A22297C" w14:textId="61729EFB" w:rsidR="00D679DA" w:rsidRPr="009D1414" w:rsidRDefault="009D1414" w:rsidP="009D1414">
      <w:pPr>
        <w:tabs>
          <w:tab w:val="left" w:pos="0"/>
        </w:tabs>
        <w:rPr>
          <w:i/>
          <w:sz w:val="28"/>
          <w:szCs w:val="28"/>
          <w:lang w:val="en-ZA"/>
        </w:rPr>
      </w:pPr>
      <w:r w:rsidRPr="00587E6D">
        <w:rPr>
          <w:sz w:val="28"/>
          <w:szCs w:val="28"/>
          <w:lang w:val="en-ZA"/>
        </w:rPr>
        <w:t>[18]</w:t>
      </w:r>
      <w:r w:rsidRPr="00587E6D">
        <w:rPr>
          <w:sz w:val="28"/>
          <w:szCs w:val="28"/>
          <w:lang w:val="en-ZA"/>
        </w:rPr>
        <w:tab/>
      </w:r>
      <w:r w:rsidR="00E65060" w:rsidRPr="009D1414">
        <w:rPr>
          <w:sz w:val="28"/>
          <w:szCs w:val="28"/>
        </w:rPr>
        <w:t xml:space="preserve">The appellants specifically stated that they do not rely on the respondent’s waiver of its rights to enforce the non-variation clause. The oral agreement, therefore, is not pleaded as a </w:t>
      </w:r>
      <w:r w:rsidR="00E65060" w:rsidRPr="009D1414">
        <w:rPr>
          <w:i/>
          <w:sz w:val="28"/>
          <w:szCs w:val="28"/>
        </w:rPr>
        <w:t>pactum de non</w:t>
      </w:r>
      <w:r w:rsidR="00EB04F1" w:rsidRPr="009D1414">
        <w:rPr>
          <w:i/>
          <w:sz w:val="28"/>
          <w:szCs w:val="28"/>
        </w:rPr>
        <w:t xml:space="preserve"> </w:t>
      </w:r>
      <w:r w:rsidR="00E65060" w:rsidRPr="009D1414">
        <w:rPr>
          <w:i/>
          <w:sz w:val="28"/>
          <w:szCs w:val="28"/>
        </w:rPr>
        <w:t>petendo</w:t>
      </w:r>
      <w:r w:rsidR="009B53B5" w:rsidRPr="009D1414">
        <w:rPr>
          <w:i/>
          <w:sz w:val="28"/>
          <w:szCs w:val="28"/>
        </w:rPr>
        <w:t xml:space="preserve"> </w:t>
      </w:r>
      <w:r w:rsidR="00B41D93" w:rsidRPr="009D1414">
        <w:rPr>
          <w:i/>
          <w:sz w:val="28"/>
          <w:szCs w:val="28"/>
          <w:lang w:val="en-ZA"/>
        </w:rPr>
        <w:t>in anticipando</w:t>
      </w:r>
      <w:r w:rsidR="00E65060" w:rsidRPr="009D1414">
        <w:rPr>
          <w:sz w:val="28"/>
          <w:szCs w:val="28"/>
        </w:rPr>
        <w:t xml:space="preserve"> </w:t>
      </w:r>
      <w:r w:rsidR="00B41D93" w:rsidRPr="009D1414">
        <w:rPr>
          <w:sz w:val="28"/>
          <w:szCs w:val="28"/>
        </w:rPr>
        <w:t xml:space="preserve">(agreement not to sue) </w:t>
      </w:r>
      <w:r w:rsidR="00E65060" w:rsidRPr="009D1414">
        <w:rPr>
          <w:sz w:val="28"/>
          <w:szCs w:val="28"/>
        </w:rPr>
        <w:t xml:space="preserve">that </w:t>
      </w:r>
      <w:r w:rsidR="00734BCC" w:rsidRPr="009D1414">
        <w:rPr>
          <w:sz w:val="28"/>
          <w:szCs w:val="28"/>
        </w:rPr>
        <w:t xml:space="preserve">may </w:t>
      </w:r>
      <w:r w:rsidR="00E65060" w:rsidRPr="009D1414">
        <w:rPr>
          <w:sz w:val="28"/>
          <w:szCs w:val="28"/>
        </w:rPr>
        <w:t>stand alongside the non-variatio</w:t>
      </w:r>
      <w:r w:rsidR="00CC39CC" w:rsidRPr="009D1414">
        <w:rPr>
          <w:sz w:val="28"/>
          <w:szCs w:val="28"/>
        </w:rPr>
        <w:t>n clause. It is not denied that</w:t>
      </w:r>
      <w:r w:rsidR="00E65060" w:rsidRPr="009D1414">
        <w:rPr>
          <w:sz w:val="28"/>
          <w:szCs w:val="28"/>
        </w:rPr>
        <w:t xml:space="preserve"> the </w:t>
      </w:r>
      <w:r w:rsidR="00CC39CC" w:rsidRPr="009D1414">
        <w:rPr>
          <w:sz w:val="28"/>
          <w:szCs w:val="28"/>
        </w:rPr>
        <w:t xml:space="preserve">alleged oral cancellation </w:t>
      </w:r>
      <w:r w:rsidR="00E65060" w:rsidRPr="009D1414">
        <w:rPr>
          <w:sz w:val="28"/>
          <w:szCs w:val="28"/>
        </w:rPr>
        <w:t>amount</w:t>
      </w:r>
      <w:r w:rsidR="00CC39CC" w:rsidRPr="009D1414">
        <w:rPr>
          <w:sz w:val="28"/>
          <w:szCs w:val="28"/>
        </w:rPr>
        <w:t>s</w:t>
      </w:r>
      <w:r w:rsidR="00E65060" w:rsidRPr="009D1414">
        <w:rPr>
          <w:sz w:val="28"/>
          <w:szCs w:val="28"/>
        </w:rPr>
        <w:t xml:space="preserve"> to a variation</w:t>
      </w:r>
      <w:r w:rsidR="00734BCC" w:rsidRPr="009D1414">
        <w:rPr>
          <w:sz w:val="28"/>
          <w:szCs w:val="28"/>
        </w:rPr>
        <w:t>, deletion or cancellation</w:t>
      </w:r>
      <w:r w:rsidR="00E65060" w:rsidRPr="009D1414">
        <w:rPr>
          <w:sz w:val="28"/>
          <w:szCs w:val="28"/>
        </w:rPr>
        <w:t xml:space="preserve"> of the </w:t>
      </w:r>
      <w:r w:rsidR="009B53B5" w:rsidRPr="009D1414">
        <w:rPr>
          <w:sz w:val="28"/>
          <w:szCs w:val="28"/>
        </w:rPr>
        <w:t>agreement,</w:t>
      </w:r>
      <w:r w:rsidR="00CC39CC" w:rsidRPr="009D1414">
        <w:rPr>
          <w:sz w:val="28"/>
          <w:szCs w:val="28"/>
        </w:rPr>
        <w:t xml:space="preserve"> as contemplated</w:t>
      </w:r>
      <w:r w:rsidR="00734BCC" w:rsidRPr="009D1414">
        <w:rPr>
          <w:sz w:val="28"/>
          <w:szCs w:val="28"/>
        </w:rPr>
        <w:t xml:space="preserve"> </w:t>
      </w:r>
      <w:r w:rsidR="00CC39CC" w:rsidRPr="009D1414">
        <w:rPr>
          <w:sz w:val="28"/>
          <w:szCs w:val="28"/>
        </w:rPr>
        <w:t xml:space="preserve">in </w:t>
      </w:r>
      <w:r w:rsidR="00734BCC" w:rsidRPr="009D1414">
        <w:rPr>
          <w:sz w:val="28"/>
          <w:szCs w:val="28"/>
        </w:rPr>
        <w:t>the non-variation clause</w:t>
      </w:r>
      <w:r w:rsidR="006B101A" w:rsidRPr="009D1414">
        <w:rPr>
          <w:sz w:val="28"/>
          <w:szCs w:val="28"/>
        </w:rPr>
        <w:t>,</w:t>
      </w:r>
      <w:r w:rsidR="00734BCC" w:rsidRPr="009D1414">
        <w:rPr>
          <w:sz w:val="28"/>
          <w:szCs w:val="28"/>
        </w:rPr>
        <w:t xml:space="preserve"> which clause 13.3 </w:t>
      </w:r>
      <w:r w:rsidR="009B53B5" w:rsidRPr="009D1414">
        <w:rPr>
          <w:sz w:val="28"/>
          <w:szCs w:val="28"/>
        </w:rPr>
        <w:t xml:space="preserve">is </w:t>
      </w:r>
      <w:r w:rsidR="00502023" w:rsidRPr="009D1414">
        <w:rPr>
          <w:sz w:val="28"/>
          <w:szCs w:val="28"/>
        </w:rPr>
        <w:lastRenderedPageBreak/>
        <w:t>designed to guard against</w:t>
      </w:r>
      <w:r w:rsidR="00E65060" w:rsidRPr="009D1414">
        <w:rPr>
          <w:sz w:val="28"/>
          <w:szCs w:val="28"/>
        </w:rPr>
        <w:t xml:space="preserve">. </w:t>
      </w:r>
      <w:r w:rsidR="00502023" w:rsidRPr="009D1414">
        <w:rPr>
          <w:sz w:val="28"/>
          <w:szCs w:val="28"/>
        </w:rPr>
        <w:t>W</w:t>
      </w:r>
      <w:r w:rsidR="00E65060" w:rsidRPr="009D1414">
        <w:rPr>
          <w:sz w:val="28"/>
          <w:szCs w:val="28"/>
        </w:rPr>
        <w:t xml:space="preserve">hat is raised is that the respondent is estopped from relying on </w:t>
      </w:r>
      <w:r w:rsidR="00C002EA" w:rsidRPr="009D1414">
        <w:rPr>
          <w:sz w:val="28"/>
          <w:szCs w:val="28"/>
        </w:rPr>
        <w:t>the non</w:t>
      </w:r>
      <w:r w:rsidR="00E65060" w:rsidRPr="009D1414">
        <w:rPr>
          <w:sz w:val="28"/>
          <w:szCs w:val="28"/>
        </w:rPr>
        <w:t xml:space="preserve">-variation clause. </w:t>
      </w:r>
    </w:p>
    <w:p w14:paraId="1C75C43F" w14:textId="77777777" w:rsidR="00E65060" w:rsidRPr="00587E6D" w:rsidRDefault="00E65060" w:rsidP="0004044D">
      <w:pPr>
        <w:pStyle w:val="ListParagraph"/>
        <w:rPr>
          <w:sz w:val="28"/>
          <w:szCs w:val="28"/>
        </w:rPr>
      </w:pPr>
    </w:p>
    <w:p w14:paraId="77213883" w14:textId="4924A727" w:rsidR="00D679DA" w:rsidRPr="00587E6D" w:rsidRDefault="009D1414" w:rsidP="009D1414">
      <w:pPr>
        <w:pStyle w:val="NormalWeb"/>
        <w:shd w:val="clear" w:color="auto" w:fill="FFFFFF"/>
        <w:spacing w:before="0" w:beforeAutospacing="0" w:after="0" w:afterAutospacing="0" w:line="360" w:lineRule="auto"/>
        <w:jc w:val="both"/>
        <w:rPr>
          <w:color w:val="242121"/>
          <w:sz w:val="28"/>
          <w:szCs w:val="28"/>
        </w:rPr>
      </w:pPr>
      <w:r w:rsidRPr="00587E6D">
        <w:rPr>
          <w:sz w:val="28"/>
          <w:szCs w:val="28"/>
        </w:rPr>
        <w:t>[19]</w:t>
      </w:r>
      <w:r w:rsidRPr="00587E6D">
        <w:rPr>
          <w:sz w:val="28"/>
          <w:szCs w:val="28"/>
        </w:rPr>
        <w:tab/>
      </w:r>
      <w:r w:rsidR="00502023" w:rsidRPr="00587E6D">
        <w:rPr>
          <w:iCs/>
          <w:color w:val="242121"/>
          <w:sz w:val="28"/>
          <w:szCs w:val="28"/>
          <w:shd w:val="clear" w:color="auto" w:fill="FFFFFF"/>
        </w:rPr>
        <w:t>This Court in</w:t>
      </w:r>
      <w:r w:rsidR="00502023" w:rsidRPr="00587E6D">
        <w:rPr>
          <w:i/>
          <w:iCs/>
          <w:color w:val="242121"/>
          <w:sz w:val="28"/>
          <w:szCs w:val="28"/>
          <w:shd w:val="clear" w:color="auto" w:fill="FFFFFF"/>
        </w:rPr>
        <w:t xml:space="preserve"> Aris Enterprises (Finance)</w:t>
      </w:r>
      <w:r w:rsidR="00502023" w:rsidRPr="00587E6D">
        <w:rPr>
          <w:i/>
          <w:color w:val="242121"/>
          <w:sz w:val="28"/>
          <w:szCs w:val="28"/>
          <w:shd w:val="clear" w:color="auto" w:fill="FFFFFF"/>
        </w:rPr>
        <w:t> </w:t>
      </w:r>
      <w:r w:rsidR="009B53B5" w:rsidRPr="00587E6D">
        <w:rPr>
          <w:i/>
          <w:color w:val="242121"/>
          <w:sz w:val="28"/>
          <w:szCs w:val="28"/>
          <w:shd w:val="clear" w:color="auto" w:fill="FFFFFF"/>
        </w:rPr>
        <w:t xml:space="preserve">(Pty) Ltd </w:t>
      </w:r>
      <w:r w:rsidR="00502023" w:rsidRPr="00587E6D">
        <w:rPr>
          <w:i/>
          <w:iCs/>
          <w:color w:val="242121"/>
          <w:sz w:val="28"/>
          <w:szCs w:val="28"/>
          <w:shd w:val="clear" w:color="auto" w:fill="FFFFFF"/>
        </w:rPr>
        <w:t>v Protea Assurance</w:t>
      </w:r>
      <w:r w:rsidR="009B53B5" w:rsidRPr="00587E6D">
        <w:rPr>
          <w:i/>
          <w:iCs/>
          <w:color w:val="242121"/>
          <w:sz w:val="28"/>
          <w:szCs w:val="28"/>
          <w:shd w:val="clear" w:color="auto" w:fill="FFFFFF"/>
        </w:rPr>
        <w:t xml:space="preserve"> Co Ltd</w:t>
      </w:r>
      <w:r w:rsidR="009B53B5" w:rsidRPr="00587E6D">
        <w:rPr>
          <w:iCs/>
          <w:color w:val="242121"/>
          <w:sz w:val="28"/>
          <w:szCs w:val="28"/>
          <w:shd w:val="clear" w:color="auto" w:fill="FFFFFF"/>
        </w:rPr>
        <w:t>,</w:t>
      </w:r>
      <w:r w:rsidR="00502023" w:rsidRPr="00587E6D">
        <w:rPr>
          <w:rStyle w:val="FootnoteReference"/>
          <w:color w:val="242121"/>
          <w:sz w:val="28"/>
          <w:szCs w:val="28"/>
          <w:shd w:val="clear" w:color="auto" w:fill="FFFFFF"/>
        </w:rPr>
        <w:footnoteReference w:id="6"/>
      </w:r>
      <w:r w:rsidR="00502023" w:rsidRPr="00587E6D">
        <w:rPr>
          <w:i/>
          <w:iCs/>
          <w:color w:val="242121"/>
          <w:sz w:val="28"/>
          <w:szCs w:val="28"/>
          <w:shd w:val="clear" w:color="auto" w:fill="FFFFFF"/>
        </w:rPr>
        <w:t xml:space="preserve"> </w:t>
      </w:r>
      <w:r w:rsidR="00502023" w:rsidRPr="00587E6D">
        <w:rPr>
          <w:iCs/>
          <w:color w:val="242121"/>
          <w:sz w:val="28"/>
          <w:szCs w:val="28"/>
          <w:shd w:val="clear" w:color="auto" w:fill="FFFFFF"/>
        </w:rPr>
        <w:t xml:space="preserve">defined </w:t>
      </w:r>
      <w:r w:rsidR="00747E5D" w:rsidRPr="00587E6D">
        <w:rPr>
          <w:color w:val="242121"/>
          <w:sz w:val="28"/>
          <w:szCs w:val="28"/>
        </w:rPr>
        <w:t>e</w:t>
      </w:r>
      <w:r w:rsidR="00D679DA" w:rsidRPr="00587E6D">
        <w:rPr>
          <w:color w:val="242121"/>
          <w:sz w:val="28"/>
          <w:szCs w:val="28"/>
        </w:rPr>
        <w:t>stoppel</w:t>
      </w:r>
      <w:r w:rsidR="00502023" w:rsidRPr="00587E6D">
        <w:rPr>
          <w:color w:val="242121"/>
          <w:sz w:val="28"/>
          <w:szCs w:val="28"/>
        </w:rPr>
        <w:t xml:space="preserve"> as</w:t>
      </w:r>
      <w:r w:rsidR="00D679DA" w:rsidRPr="00587E6D">
        <w:rPr>
          <w:color w:val="242121"/>
          <w:sz w:val="28"/>
          <w:szCs w:val="28"/>
        </w:rPr>
        <w:t>:</w:t>
      </w:r>
    </w:p>
    <w:p w14:paraId="205F30E9" w14:textId="303C963A" w:rsidR="00D679DA" w:rsidRPr="00587E6D" w:rsidRDefault="00D679DA" w:rsidP="0004044D">
      <w:pPr>
        <w:pStyle w:val="NormalWeb"/>
        <w:shd w:val="clear" w:color="auto" w:fill="FFFFFF"/>
        <w:spacing w:before="0" w:beforeAutospacing="0" w:after="0" w:afterAutospacing="0" w:line="360" w:lineRule="auto"/>
        <w:jc w:val="both"/>
        <w:rPr>
          <w:color w:val="242121"/>
          <w:sz w:val="28"/>
          <w:szCs w:val="28"/>
        </w:rPr>
      </w:pPr>
      <w:r w:rsidRPr="00587E6D">
        <w:rPr>
          <w:color w:val="242121"/>
        </w:rPr>
        <w:t xml:space="preserve">‘The essence of the doctrine of estoppel by representation is that a person is precluded, </w:t>
      </w:r>
      <w:r w:rsidR="003713E1" w:rsidRPr="00587E6D">
        <w:rPr>
          <w:color w:val="242121"/>
        </w:rPr>
        <w:t>ie</w:t>
      </w:r>
      <w:r w:rsidRPr="00587E6D">
        <w:rPr>
          <w:color w:val="242121"/>
        </w:rPr>
        <w:t xml:space="preserve"> estopped, from denying the truth of a representation previously made by him to another person if the latter, believing in the truth of the representation, acted thereon to his prejudice</w:t>
      </w:r>
      <w:r w:rsidR="009B53B5" w:rsidRPr="00587E6D">
        <w:rPr>
          <w:color w:val="242121"/>
        </w:rPr>
        <w:t xml:space="preserve"> </w:t>
      </w:r>
      <w:r w:rsidR="009B53B5" w:rsidRPr="00587E6D">
        <w:rPr>
          <w:color w:val="242121"/>
          <w:lang w:val="en-GB"/>
        </w:rPr>
        <w:t>(see Joubert </w:t>
      </w:r>
      <w:r w:rsidR="009B53B5" w:rsidRPr="00587E6D">
        <w:rPr>
          <w:i/>
          <w:iCs/>
          <w:color w:val="242121"/>
          <w:lang w:val="en-GB"/>
        </w:rPr>
        <w:t>The Law of South Africa </w:t>
      </w:r>
      <w:r w:rsidR="009B53B5" w:rsidRPr="00587E6D">
        <w:rPr>
          <w:color w:val="242121"/>
          <w:lang w:val="en-GB"/>
        </w:rPr>
        <w:t>vol 9 para 367 and the authorities there cited). </w:t>
      </w:r>
      <w:r w:rsidRPr="00587E6D">
        <w:rPr>
          <w:color w:val="242121"/>
        </w:rPr>
        <w:t>The representation may be made in words, ie expressly, or it may be made by conduct, including silence or inaction, ie tacitly</w:t>
      </w:r>
      <w:r w:rsidR="009B53B5" w:rsidRPr="00587E6D">
        <w:t xml:space="preserve"> </w:t>
      </w:r>
      <w:r w:rsidR="009B53B5" w:rsidRPr="00587E6D">
        <w:rPr>
          <w:color w:val="242121"/>
        </w:rPr>
        <w:t>(</w:t>
      </w:r>
      <w:r w:rsidR="009B53B5" w:rsidRPr="00587E6D">
        <w:rPr>
          <w:i/>
          <w:color w:val="242121"/>
        </w:rPr>
        <w:t xml:space="preserve">ibid </w:t>
      </w:r>
      <w:r w:rsidR="009B53B5" w:rsidRPr="00587E6D">
        <w:rPr>
          <w:color w:val="242121"/>
        </w:rPr>
        <w:t>para 371)</w:t>
      </w:r>
      <w:r w:rsidRPr="00587E6D">
        <w:rPr>
          <w:color w:val="242121"/>
        </w:rPr>
        <w:t>; and in general it must relate to an existing fact</w:t>
      </w:r>
      <w:r w:rsidR="009B53B5" w:rsidRPr="00587E6D">
        <w:rPr>
          <w:color w:val="242121"/>
        </w:rPr>
        <w:t xml:space="preserve"> (</w:t>
      </w:r>
      <w:r w:rsidR="009B53B5" w:rsidRPr="00587E6D">
        <w:rPr>
          <w:i/>
          <w:color w:val="242121"/>
        </w:rPr>
        <w:t xml:space="preserve">ibid </w:t>
      </w:r>
      <w:r w:rsidR="009B53B5" w:rsidRPr="00587E6D">
        <w:rPr>
          <w:color w:val="242121"/>
        </w:rPr>
        <w:t>para 372)</w:t>
      </w:r>
      <w:r w:rsidRPr="00587E6D">
        <w:rPr>
          <w:color w:val="242121"/>
        </w:rPr>
        <w:t>.’</w:t>
      </w:r>
      <w:r w:rsidRPr="00587E6D">
        <w:rPr>
          <w:color w:val="242121"/>
          <w:sz w:val="28"/>
          <w:szCs w:val="28"/>
        </w:rPr>
        <w:t xml:space="preserve"> </w:t>
      </w:r>
    </w:p>
    <w:p w14:paraId="0E6FB7EC" w14:textId="77777777" w:rsidR="003604C5" w:rsidRPr="00587E6D" w:rsidRDefault="003604C5" w:rsidP="0004044D">
      <w:pPr>
        <w:pStyle w:val="NormalWeb"/>
        <w:shd w:val="clear" w:color="auto" w:fill="FFFFFF"/>
        <w:spacing w:before="0" w:beforeAutospacing="0" w:after="0" w:afterAutospacing="0" w:line="360" w:lineRule="auto"/>
        <w:jc w:val="both"/>
        <w:rPr>
          <w:color w:val="242121"/>
          <w:sz w:val="28"/>
          <w:szCs w:val="28"/>
        </w:rPr>
      </w:pPr>
    </w:p>
    <w:p w14:paraId="1B33F4AC" w14:textId="18E5F640" w:rsidR="00D679DA" w:rsidRPr="009D1414" w:rsidRDefault="009D1414" w:rsidP="009D1414">
      <w:pPr>
        <w:tabs>
          <w:tab w:val="left" w:pos="0"/>
        </w:tabs>
        <w:rPr>
          <w:sz w:val="28"/>
          <w:szCs w:val="28"/>
        </w:rPr>
      </w:pPr>
      <w:r w:rsidRPr="00587E6D">
        <w:rPr>
          <w:sz w:val="28"/>
          <w:szCs w:val="28"/>
        </w:rPr>
        <w:t>[20]</w:t>
      </w:r>
      <w:r w:rsidRPr="00587E6D">
        <w:rPr>
          <w:sz w:val="28"/>
          <w:szCs w:val="28"/>
        </w:rPr>
        <w:tab/>
      </w:r>
      <w:r w:rsidR="003713E1" w:rsidRPr="009D1414">
        <w:rPr>
          <w:color w:val="242121"/>
          <w:sz w:val="28"/>
          <w:szCs w:val="28"/>
          <w:shd w:val="clear" w:color="auto" w:fill="FFFFFF"/>
        </w:rPr>
        <w:t xml:space="preserve">It follows that if a party reasonably believes in a misrepresentation made by another and relies on it to </w:t>
      </w:r>
      <w:r w:rsidR="00907EA4" w:rsidRPr="009D1414">
        <w:rPr>
          <w:color w:val="242121"/>
          <w:sz w:val="28"/>
          <w:szCs w:val="28"/>
          <w:shd w:val="clear" w:color="auto" w:fill="FFFFFF"/>
        </w:rPr>
        <w:t>its</w:t>
      </w:r>
      <w:r w:rsidR="003713E1" w:rsidRPr="009D1414">
        <w:rPr>
          <w:color w:val="242121"/>
          <w:sz w:val="28"/>
          <w:szCs w:val="28"/>
          <w:shd w:val="clear" w:color="auto" w:fill="FFFFFF"/>
        </w:rPr>
        <w:t xml:space="preserve"> own detriment</w:t>
      </w:r>
      <w:r w:rsidR="001D23A1" w:rsidRPr="009D1414">
        <w:rPr>
          <w:color w:val="242121"/>
          <w:sz w:val="28"/>
          <w:szCs w:val="28"/>
          <w:shd w:val="clear" w:color="auto" w:fill="FFFFFF"/>
        </w:rPr>
        <w:t>,</w:t>
      </w:r>
      <w:r w:rsidR="003713E1" w:rsidRPr="009D1414">
        <w:rPr>
          <w:color w:val="242121"/>
          <w:sz w:val="28"/>
          <w:szCs w:val="28"/>
          <w:shd w:val="clear" w:color="auto" w:fill="FFFFFF"/>
        </w:rPr>
        <w:t xml:space="preserve"> such a party may hold the latter to the misrepresentation and prevent th</w:t>
      </w:r>
      <w:r w:rsidR="005A08C7" w:rsidRPr="009D1414">
        <w:rPr>
          <w:color w:val="242121"/>
          <w:sz w:val="28"/>
          <w:szCs w:val="28"/>
          <w:shd w:val="clear" w:color="auto" w:fill="FFFFFF"/>
        </w:rPr>
        <w:t>e representor</w:t>
      </w:r>
      <w:r w:rsidR="003713E1" w:rsidRPr="009D1414">
        <w:rPr>
          <w:color w:val="242121"/>
          <w:sz w:val="28"/>
          <w:szCs w:val="28"/>
          <w:shd w:val="clear" w:color="auto" w:fill="FFFFFF"/>
        </w:rPr>
        <w:t xml:space="preserve"> from relying on the true state of affairs.</w:t>
      </w:r>
      <w:r w:rsidR="003713E1" w:rsidRPr="00587E6D">
        <w:rPr>
          <w:rStyle w:val="FootnoteReference"/>
          <w:color w:val="242121"/>
          <w:sz w:val="28"/>
          <w:szCs w:val="28"/>
          <w:shd w:val="clear" w:color="auto" w:fill="FFFFFF"/>
        </w:rPr>
        <w:footnoteReference w:id="7"/>
      </w:r>
      <w:r w:rsidR="003713E1" w:rsidRPr="009D1414">
        <w:rPr>
          <w:color w:val="242121"/>
          <w:sz w:val="28"/>
          <w:szCs w:val="28"/>
          <w:shd w:val="clear" w:color="auto" w:fill="FFFFFF"/>
        </w:rPr>
        <w:t xml:space="preserve"> </w:t>
      </w:r>
      <w:r w:rsidR="00CE2E1B" w:rsidRPr="009D1414">
        <w:rPr>
          <w:color w:val="242121"/>
          <w:sz w:val="28"/>
          <w:szCs w:val="28"/>
          <w:shd w:val="clear" w:color="auto" w:fill="FFFFFF"/>
        </w:rPr>
        <w:t xml:space="preserve">‘[A] </w:t>
      </w:r>
      <w:r w:rsidR="003713E1" w:rsidRPr="009D1414">
        <w:rPr>
          <w:color w:val="242121"/>
          <w:sz w:val="28"/>
          <w:szCs w:val="28"/>
          <w:shd w:val="clear" w:color="auto" w:fill="FFFFFF"/>
        </w:rPr>
        <w:t>party may only rely on estoppel if the reasonable person on the street would also have been misled by the conduct on which the estoppel is founded</w:t>
      </w:r>
      <w:r w:rsidR="00CE2E1B" w:rsidRPr="009D1414">
        <w:rPr>
          <w:color w:val="242121"/>
          <w:sz w:val="28"/>
          <w:szCs w:val="28"/>
          <w:shd w:val="clear" w:color="auto" w:fill="FFFFFF"/>
        </w:rPr>
        <w:t>’</w:t>
      </w:r>
      <w:r w:rsidR="00271501" w:rsidRPr="009D1414">
        <w:rPr>
          <w:color w:val="242121"/>
          <w:sz w:val="28"/>
          <w:szCs w:val="28"/>
          <w:shd w:val="clear" w:color="auto" w:fill="FFFFFF"/>
        </w:rPr>
        <w:t>.</w:t>
      </w:r>
      <w:r w:rsidR="00CE2E1B" w:rsidRPr="00587E6D">
        <w:rPr>
          <w:rStyle w:val="FootnoteReference"/>
          <w:color w:val="242121"/>
          <w:sz w:val="28"/>
          <w:szCs w:val="28"/>
          <w:shd w:val="clear" w:color="auto" w:fill="FFFFFF"/>
        </w:rPr>
        <w:footnoteReference w:id="8"/>
      </w:r>
    </w:p>
    <w:p w14:paraId="548FE05E" w14:textId="77777777" w:rsidR="00B206B4" w:rsidRPr="00587E6D" w:rsidRDefault="00B206B4" w:rsidP="0004044D">
      <w:pPr>
        <w:pStyle w:val="ListParagraph"/>
        <w:rPr>
          <w:sz w:val="28"/>
          <w:szCs w:val="28"/>
        </w:rPr>
      </w:pPr>
    </w:p>
    <w:p w14:paraId="185D4FD8" w14:textId="71802011" w:rsidR="00F43846" w:rsidRPr="009D1414" w:rsidRDefault="009D1414" w:rsidP="009D1414">
      <w:pPr>
        <w:tabs>
          <w:tab w:val="left" w:pos="0"/>
        </w:tabs>
        <w:rPr>
          <w:sz w:val="28"/>
          <w:szCs w:val="28"/>
        </w:rPr>
      </w:pPr>
      <w:r w:rsidRPr="00587E6D">
        <w:rPr>
          <w:sz w:val="28"/>
          <w:szCs w:val="28"/>
        </w:rPr>
        <w:t>[21]</w:t>
      </w:r>
      <w:r w:rsidRPr="00587E6D">
        <w:rPr>
          <w:sz w:val="28"/>
          <w:szCs w:val="28"/>
        </w:rPr>
        <w:tab/>
      </w:r>
      <w:r w:rsidR="003F6DA2" w:rsidRPr="009D1414">
        <w:rPr>
          <w:sz w:val="28"/>
          <w:szCs w:val="28"/>
        </w:rPr>
        <w:t>However, b</w:t>
      </w:r>
      <w:r w:rsidR="006F1AAB" w:rsidRPr="009D1414">
        <w:rPr>
          <w:sz w:val="28"/>
          <w:szCs w:val="28"/>
        </w:rPr>
        <w:t xml:space="preserve">efore </w:t>
      </w:r>
      <w:r w:rsidR="006F73D8" w:rsidRPr="009D1414">
        <w:rPr>
          <w:sz w:val="28"/>
          <w:szCs w:val="28"/>
        </w:rPr>
        <w:t xml:space="preserve">one gets to </w:t>
      </w:r>
      <w:r w:rsidR="006F1AAB" w:rsidRPr="009D1414">
        <w:rPr>
          <w:sz w:val="28"/>
          <w:szCs w:val="28"/>
        </w:rPr>
        <w:t xml:space="preserve">whether the pleaded </w:t>
      </w:r>
      <w:r w:rsidR="006F1AAB" w:rsidRPr="009D1414">
        <w:rPr>
          <w:color w:val="000000"/>
          <w:sz w:val="28"/>
          <w:szCs w:val="28"/>
          <w:shd w:val="clear" w:color="auto" w:fill="FFFFFF"/>
        </w:rPr>
        <w:t>facts reveal conduct on the part of</w:t>
      </w:r>
      <w:r w:rsidR="008C0F2F" w:rsidRPr="009D1414">
        <w:rPr>
          <w:color w:val="000000"/>
          <w:sz w:val="28"/>
          <w:szCs w:val="28"/>
          <w:shd w:val="clear" w:color="auto" w:fill="FFFFFF"/>
        </w:rPr>
        <w:t xml:space="preserve"> the</w:t>
      </w:r>
      <w:r w:rsidR="006F1AAB" w:rsidRPr="009D1414">
        <w:rPr>
          <w:color w:val="000000"/>
          <w:sz w:val="28"/>
          <w:szCs w:val="28"/>
          <w:shd w:val="clear" w:color="auto" w:fill="FFFFFF"/>
        </w:rPr>
        <w:t xml:space="preserve"> respondent’s alleged representatives</w:t>
      </w:r>
      <w:r w:rsidR="003F6DA2" w:rsidRPr="009D1414">
        <w:rPr>
          <w:color w:val="000000"/>
          <w:sz w:val="28"/>
          <w:szCs w:val="28"/>
          <w:shd w:val="clear" w:color="auto" w:fill="FFFFFF"/>
        </w:rPr>
        <w:t>,</w:t>
      </w:r>
      <w:r w:rsidR="006F73D8" w:rsidRPr="009D1414">
        <w:rPr>
          <w:color w:val="000000"/>
          <w:sz w:val="28"/>
          <w:szCs w:val="28"/>
          <w:shd w:val="clear" w:color="auto" w:fill="FFFFFF"/>
        </w:rPr>
        <w:t xml:space="preserve"> that</w:t>
      </w:r>
      <w:r w:rsidR="006F1AAB" w:rsidRPr="009D1414">
        <w:rPr>
          <w:color w:val="000000"/>
          <w:sz w:val="28"/>
          <w:szCs w:val="28"/>
          <w:shd w:val="clear" w:color="auto" w:fill="FFFFFF"/>
        </w:rPr>
        <w:t xml:space="preserve"> would have led a reasonable</w:t>
      </w:r>
      <w:r w:rsidR="00D02C8C" w:rsidRPr="009D1414">
        <w:rPr>
          <w:color w:val="000000"/>
          <w:sz w:val="28"/>
          <w:szCs w:val="28"/>
          <w:shd w:val="clear" w:color="auto" w:fill="FFFFFF"/>
        </w:rPr>
        <w:t xml:space="preserve"> person</w:t>
      </w:r>
      <w:r w:rsidR="006F1AAB" w:rsidRPr="009D1414">
        <w:rPr>
          <w:color w:val="000000"/>
          <w:sz w:val="28"/>
          <w:szCs w:val="28"/>
          <w:shd w:val="clear" w:color="auto" w:fill="FFFFFF"/>
        </w:rPr>
        <w:t xml:space="preserve"> in the position of </w:t>
      </w:r>
      <w:r w:rsidR="00353D92" w:rsidRPr="009D1414">
        <w:rPr>
          <w:color w:val="000000"/>
          <w:sz w:val="28"/>
          <w:szCs w:val="28"/>
          <w:shd w:val="clear" w:color="auto" w:fill="FFFFFF"/>
        </w:rPr>
        <w:t xml:space="preserve">the </w:t>
      </w:r>
      <w:r w:rsidR="006F1AAB" w:rsidRPr="009D1414">
        <w:rPr>
          <w:color w:val="000000"/>
          <w:sz w:val="28"/>
          <w:szCs w:val="28"/>
          <w:shd w:val="clear" w:color="auto" w:fill="FFFFFF"/>
        </w:rPr>
        <w:t>appellant</w:t>
      </w:r>
      <w:r w:rsidR="006F73D8" w:rsidRPr="009D1414">
        <w:rPr>
          <w:color w:val="000000"/>
          <w:sz w:val="28"/>
          <w:szCs w:val="28"/>
          <w:shd w:val="clear" w:color="auto" w:fill="FFFFFF"/>
        </w:rPr>
        <w:t>s</w:t>
      </w:r>
      <w:r w:rsidR="006F1AAB" w:rsidRPr="009D1414">
        <w:rPr>
          <w:color w:val="000000"/>
          <w:sz w:val="28"/>
          <w:szCs w:val="28"/>
          <w:shd w:val="clear" w:color="auto" w:fill="FFFFFF"/>
        </w:rPr>
        <w:t xml:space="preserve"> to </w:t>
      </w:r>
      <w:r w:rsidR="005D0F0D" w:rsidRPr="009D1414">
        <w:rPr>
          <w:color w:val="000000"/>
          <w:sz w:val="28"/>
          <w:szCs w:val="28"/>
          <w:shd w:val="clear" w:color="auto" w:fill="FFFFFF"/>
        </w:rPr>
        <w:t>believe</w:t>
      </w:r>
      <w:r w:rsidR="006F1AAB" w:rsidRPr="009D1414">
        <w:rPr>
          <w:color w:val="000000"/>
          <w:sz w:val="28"/>
          <w:szCs w:val="28"/>
          <w:shd w:val="clear" w:color="auto" w:fill="FFFFFF"/>
        </w:rPr>
        <w:t xml:space="preserve"> that </w:t>
      </w:r>
      <w:r w:rsidR="00353D92" w:rsidRPr="009D1414">
        <w:rPr>
          <w:color w:val="000000"/>
          <w:sz w:val="28"/>
          <w:szCs w:val="28"/>
          <w:shd w:val="clear" w:color="auto" w:fill="FFFFFF"/>
        </w:rPr>
        <w:t xml:space="preserve">the </w:t>
      </w:r>
      <w:r w:rsidR="006F1AAB" w:rsidRPr="009D1414">
        <w:rPr>
          <w:color w:val="000000"/>
          <w:sz w:val="28"/>
          <w:szCs w:val="28"/>
          <w:shd w:val="clear" w:color="auto" w:fill="FFFFFF"/>
        </w:rPr>
        <w:t>respondent would not rely on the non-variation clause</w:t>
      </w:r>
      <w:r w:rsidR="006F73D8" w:rsidRPr="009D1414">
        <w:rPr>
          <w:color w:val="000000"/>
          <w:sz w:val="28"/>
          <w:szCs w:val="28"/>
          <w:shd w:val="clear" w:color="auto" w:fill="FFFFFF"/>
        </w:rPr>
        <w:t xml:space="preserve">, an antecedent question </w:t>
      </w:r>
      <w:r w:rsidR="003F6DA2" w:rsidRPr="009D1414">
        <w:rPr>
          <w:color w:val="000000"/>
          <w:sz w:val="28"/>
          <w:szCs w:val="28"/>
          <w:shd w:val="clear" w:color="auto" w:fill="FFFFFF"/>
        </w:rPr>
        <w:t>is</w:t>
      </w:r>
      <w:r w:rsidR="006F73D8" w:rsidRPr="009D1414">
        <w:rPr>
          <w:color w:val="000000"/>
          <w:sz w:val="28"/>
          <w:szCs w:val="28"/>
          <w:shd w:val="clear" w:color="auto" w:fill="FFFFFF"/>
        </w:rPr>
        <w:t xml:space="preserve"> whether the appellants’ reliance on the defence of estoppel as pleaded is sustainable in law. </w:t>
      </w:r>
    </w:p>
    <w:p w14:paraId="69C94E21" w14:textId="77777777" w:rsidR="00F43846" w:rsidRPr="00587E6D" w:rsidRDefault="00F43846" w:rsidP="0004044D">
      <w:pPr>
        <w:pStyle w:val="ListParagraph"/>
        <w:rPr>
          <w:sz w:val="28"/>
          <w:szCs w:val="28"/>
        </w:rPr>
      </w:pPr>
    </w:p>
    <w:p w14:paraId="6EB763E4" w14:textId="5FF74456" w:rsidR="00BA73C9" w:rsidRPr="009D1414" w:rsidRDefault="009D1414" w:rsidP="009D1414">
      <w:pPr>
        <w:tabs>
          <w:tab w:val="left" w:pos="0"/>
        </w:tabs>
        <w:rPr>
          <w:sz w:val="28"/>
          <w:szCs w:val="28"/>
        </w:rPr>
      </w:pPr>
      <w:r w:rsidRPr="00587E6D">
        <w:rPr>
          <w:sz w:val="28"/>
          <w:szCs w:val="28"/>
        </w:rPr>
        <w:lastRenderedPageBreak/>
        <w:t>[22]</w:t>
      </w:r>
      <w:r w:rsidRPr="00587E6D">
        <w:rPr>
          <w:sz w:val="28"/>
          <w:szCs w:val="28"/>
        </w:rPr>
        <w:tab/>
      </w:r>
      <w:r w:rsidR="00EF661C" w:rsidRPr="009D1414">
        <w:rPr>
          <w:sz w:val="28"/>
          <w:szCs w:val="28"/>
        </w:rPr>
        <w:t xml:space="preserve">This Court </w:t>
      </w:r>
      <w:r w:rsidR="002871BE" w:rsidRPr="009D1414">
        <w:rPr>
          <w:sz w:val="28"/>
          <w:szCs w:val="28"/>
        </w:rPr>
        <w:t xml:space="preserve">in </w:t>
      </w:r>
      <w:r w:rsidR="002871BE" w:rsidRPr="009D1414">
        <w:rPr>
          <w:i/>
          <w:sz w:val="28"/>
          <w:szCs w:val="28"/>
        </w:rPr>
        <w:t>HNR Properties CC</w:t>
      </w:r>
      <w:r w:rsidR="006160F3" w:rsidRPr="009D1414">
        <w:rPr>
          <w:i/>
          <w:sz w:val="28"/>
          <w:szCs w:val="28"/>
        </w:rPr>
        <w:t xml:space="preserve"> and Another</w:t>
      </w:r>
      <w:r w:rsidR="002871BE" w:rsidRPr="009D1414">
        <w:rPr>
          <w:i/>
          <w:sz w:val="28"/>
          <w:szCs w:val="28"/>
        </w:rPr>
        <w:t xml:space="preserve"> v Standard </w:t>
      </w:r>
      <w:r w:rsidR="00960C1D" w:rsidRPr="009D1414">
        <w:rPr>
          <w:i/>
          <w:sz w:val="28"/>
          <w:szCs w:val="28"/>
        </w:rPr>
        <w:t>B</w:t>
      </w:r>
      <w:r w:rsidR="002871BE" w:rsidRPr="009D1414">
        <w:rPr>
          <w:i/>
          <w:sz w:val="28"/>
          <w:szCs w:val="28"/>
        </w:rPr>
        <w:t>ank of SA Ltd</w:t>
      </w:r>
      <w:r w:rsidR="002871BE" w:rsidRPr="00587E6D">
        <w:rPr>
          <w:rStyle w:val="FootnoteReference"/>
          <w:iCs/>
          <w:sz w:val="28"/>
          <w:szCs w:val="28"/>
        </w:rPr>
        <w:footnoteReference w:id="9"/>
      </w:r>
      <w:r w:rsidR="002871BE" w:rsidRPr="009D1414">
        <w:rPr>
          <w:i/>
          <w:sz w:val="28"/>
          <w:szCs w:val="28"/>
        </w:rPr>
        <w:t xml:space="preserve"> </w:t>
      </w:r>
      <w:r w:rsidR="00EF661C" w:rsidRPr="009D1414">
        <w:rPr>
          <w:sz w:val="28"/>
          <w:szCs w:val="28"/>
        </w:rPr>
        <w:t>had occasion to deal with whether a debtor was released from a suretyship agreement by waiver or estoppel when a suretyship agreement required the release by a creditor in writing</w:t>
      </w:r>
      <w:r w:rsidR="002871BE" w:rsidRPr="009D1414">
        <w:rPr>
          <w:sz w:val="28"/>
          <w:szCs w:val="28"/>
        </w:rPr>
        <w:t xml:space="preserve">. The appellants </w:t>
      </w:r>
      <w:r w:rsidR="00F43846" w:rsidRPr="009D1414">
        <w:rPr>
          <w:sz w:val="28"/>
          <w:szCs w:val="28"/>
        </w:rPr>
        <w:t>the</w:t>
      </w:r>
      <w:r w:rsidR="002871BE" w:rsidRPr="009D1414">
        <w:rPr>
          <w:sz w:val="28"/>
          <w:szCs w:val="28"/>
        </w:rPr>
        <w:t>re</w:t>
      </w:r>
      <w:r w:rsidR="00711079" w:rsidRPr="009D1414">
        <w:rPr>
          <w:sz w:val="28"/>
          <w:szCs w:val="28"/>
        </w:rPr>
        <w:t>in</w:t>
      </w:r>
      <w:r w:rsidR="002871BE" w:rsidRPr="009D1414">
        <w:rPr>
          <w:sz w:val="28"/>
          <w:szCs w:val="28"/>
        </w:rPr>
        <w:t xml:space="preserve"> had</w:t>
      </w:r>
      <w:r w:rsidR="00F43846" w:rsidRPr="009D1414">
        <w:rPr>
          <w:sz w:val="28"/>
          <w:szCs w:val="28"/>
        </w:rPr>
        <w:t xml:space="preserve"> relied on waiver and estoppel, amongst other grounds, to advance a defence that they were released from</w:t>
      </w:r>
      <w:r w:rsidR="003574D8" w:rsidRPr="009D1414">
        <w:rPr>
          <w:sz w:val="28"/>
          <w:szCs w:val="28"/>
        </w:rPr>
        <w:t xml:space="preserve"> </w:t>
      </w:r>
      <w:r w:rsidR="00B6204A" w:rsidRPr="009D1414">
        <w:rPr>
          <w:sz w:val="28"/>
          <w:szCs w:val="28"/>
        </w:rPr>
        <w:t xml:space="preserve">the </w:t>
      </w:r>
      <w:r w:rsidR="003574D8" w:rsidRPr="009D1414">
        <w:rPr>
          <w:sz w:val="28"/>
          <w:szCs w:val="28"/>
        </w:rPr>
        <w:t>suretyship agreements</w:t>
      </w:r>
      <w:r w:rsidR="00F43846" w:rsidRPr="009D1414">
        <w:rPr>
          <w:sz w:val="28"/>
          <w:szCs w:val="28"/>
        </w:rPr>
        <w:t xml:space="preserve">, which contained </w:t>
      </w:r>
      <w:r w:rsidR="00BA73C9" w:rsidRPr="009D1414">
        <w:rPr>
          <w:sz w:val="28"/>
          <w:szCs w:val="28"/>
        </w:rPr>
        <w:t>a no</w:t>
      </w:r>
      <w:r w:rsidR="00A545E5" w:rsidRPr="009D1414">
        <w:rPr>
          <w:sz w:val="28"/>
          <w:szCs w:val="28"/>
        </w:rPr>
        <w:t>-</w:t>
      </w:r>
      <w:r w:rsidR="00BA73C9" w:rsidRPr="009D1414">
        <w:rPr>
          <w:sz w:val="28"/>
          <w:szCs w:val="28"/>
        </w:rPr>
        <w:t xml:space="preserve">cancellation or </w:t>
      </w:r>
      <w:r w:rsidR="00A545E5" w:rsidRPr="009D1414">
        <w:rPr>
          <w:sz w:val="28"/>
          <w:szCs w:val="28"/>
        </w:rPr>
        <w:t>no</w:t>
      </w:r>
      <w:r w:rsidR="00FA6A1B" w:rsidRPr="009D1414">
        <w:rPr>
          <w:sz w:val="28"/>
          <w:szCs w:val="28"/>
        </w:rPr>
        <w:t>n</w:t>
      </w:r>
      <w:r w:rsidR="00A545E5" w:rsidRPr="009D1414">
        <w:rPr>
          <w:sz w:val="28"/>
          <w:szCs w:val="28"/>
        </w:rPr>
        <w:t>-</w:t>
      </w:r>
      <w:r w:rsidR="00BA73C9" w:rsidRPr="009D1414">
        <w:rPr>
          <w:sz w:val="28"/>
          <w:szCs w:val="28"/>
        </w:rPr>
        <w:t>variation clause</w:t>
      </w:r>
      <w:r w:rsidR="003574D8" w:rsidRPr="009D1414">
        <w:rPr>
          <w:sz w:val="28"/>
          <w:szCs w:val="28"/>
        </w:rPr>
        <w:t xml:space="preserve"> </w:t>
      </w:r>
      <w:r w:rsidR="005422D7" w:rsidRPr="009D1414">
        <w:rPr>
          <w:sz w:val="28"/>
          <w:szCs w:val="28"/>
        </w:rPr>
        <w:t>like</w:t>
      </w:r>
      <w:r w:rsidR="003574D8" w:rsidRPr="009D1414">
        <w:rPr>
          <w:sz w:val="28"/>
          <w:szCs w:val="28"/>
        </w:rPr>
        <w:t xml:space="preserve"> the one in this case</w:t>
      </w:r>
      <w:r w:rsidR="00F43846" w:rsidRPr="009D1414">
        <w:rPr>
          <w:sz w:val="28"/>
          <w:szCs w:val="28"/>
        </w:rPr>
        <w:t>.</w:t>
      </w:r>
      <w:r w:rsidR="003574D8" w:rsidRPr="00587E6D">
        <w:rPr>
          <w:rStyle w:val="FootnoteReference"/>
          <w:sz w:val="28"/>
          <w:szCs w:val="28"/>
        </w:rPr>
        <w:footnoteReference w:id="10"/>
      </w:r>
      <w:r w:rsidR="00F43846" w:rsidRPr="009D1414">
        <w:rPr>
          <w:sz w:val="28"/>
          <w:szCs w:val="28"/>
        </w:rPr>
        <w:t xml:space="preserve"> </w:t>
      </w:r>
      <w:r w:rsidR="002871BE" w:rsidRPr="009D1414">
        <w:rPr>
          <w:sz w:val="28"/>
          <w:szCs w:val="28"/>
        </w:rPr>
        <w:t>Th</w:t>
      </w:r>
      <w:r w:rsidR="00AC0A4C" w:rsidRPr="009D1414">
        <w:rPr>
          <w:sz w:val="28"/>
          <w:szCs w:val="28"/>
        </w:rPr>
        <w:t>is</w:t>
      </w:r>
      <w:r w:rsidR="002871BE" w:rsidRPr="009D1414">
        <w:rPr>
          <w:sz w:val="28"/>
          <w:szCs w:val="28"/>
        </w:rPr>
        <w:t xml:space="preserve"> </w:t>
      </w:r>
      <w:r w:rsidR="00BA73C9" w:rsidRPr="009D1414">
        <w:rPr>
          <w:sz w:val="28"/>
          <w:szCs w:val="28"/>
        </w:rPr>
        <w:t xml:space="preserve">Court </w:t>
      </w:r>
      <w:r w:rsidR="00E535D9" w:rsidRPr="009D1414">
        <w:rPr>
          <w:sz w:val="28"/>
          <w:szCs w:val="28"/>
        </w:rPr>
        <w:t>had this to say</w:t>
      </w:r>
      <w:r w:rsidR="00BA73C9" w:rsidRPr="009D1414">
        <w:rPr>
          <w:sz w:val="28"/>
          <w:szCs w:val="28"/>
        </w:rPr>
        <w:t>:</w:t>
      </w:r>
    </w:p>
    <w:p w14:paraId="553E69D2" w14:textId="53BB3B93" w:rsidR="00BA73C9" w:rsidRPr="00587E6D" w:rsidRDefault="00BA73C9" w:rsidP="0004044D">
      <w:pPr>
        <w:pStyle w:val="normaltext"/>
        <w:shd w:val="clear" w:color="auto" w:fill="FFFFFF"/>
        <w:spacing w:before="0" w:beforeAutospacing="0" w:after="0" w:afterAutospacing="0" w:line="360" w:lineRule="auto"/>
        <w:jc w:val="both"/>
        <w:rPr>
          <w:color w:val="000000"/>
        </w:rPr>
      </w:pPr>
      <w:r w:rsidRPr="00587E6D">
        <w:rPr>
          <w:sz w:val="28"/>
          <w:szCs w:val="28"/>
        </w:rPr>
        <w:t>‘</w:t>
      </w:r>
      <w:r w:rsidRPr="00587E6D">
        <w:t>C</w:t>
      </w:r>
      <w:r w:rsidRPr="00587E6D">
        <w:rPr>
          <w:color w:val="000000"/>
        </w:rPr>
        <w:t>ourts have in the past, often on dubious grounds,</w:t>
      </w:r>
      <w:r w:rsidR="00E535D9" w:rsidRPr="00587E6D">
        <w:rPr>
          <w:color w:val="000000"/>
        </w:rPr>
        <w:t xml:space="preserve"> </w:t>
      </w:r>
      <w:r w:rsidRPr="00587E6D">
        <w:rPr>
          <w:color w:val="000000"/>
        </w:rPr>
        <w:t>attempted to avoid the </w:t>
      </w:r>
      <w:r w:rsidRPr="00587E6D">
        <w:rPr>
          <w:i/>
          <w:iCs/>
          <w:color w:val="000000"/>
        </w:rPr>
        <w:t>Shifren </w:t>
      </w:r>
      <w:r w:rsidRPr="00587E6D">
        <w:rPr>
          <w:color w:val="000000"/>
        </w:rPr>
        <w:t xml:space="preserve">principle where its application would result in what has been perceived to be a harsh result. Typically, reliance has been placed on waiver and estoppel. </w:t>
      </w:r>
      <w:r w:rsidRPr="00587E6D">
        <w:rPr>
          <w:i/>
          <w:color w:val="000000"/>
        </w:rPr>
        <w:t>No doubt in particular circumstances a waiver of rights under a contract containing a non-variation clause may not involve a violation of the </w:t>
      </w:r>
      <w:r w:rsidRPr="00587E6D">
        <w:rPr>
          <w:i/>
          <w:iCs/>
          <w:color w:val="000000"/>
        </w:rPr>
        <w:t>Shifren </w:t>
      </w:r>
      <w:r w:rsidRPr="00587E6D">
        <w:rPr>
          <w:i/>
          <w:color w:val="000000"/>
        </w:rPr>
        <w:t>principle,</w:t>
      </w:r>
      <w:r w:rsidRPr="00587E6D">
        <w:rPr>
          <w:color w:val="000000"/>
        </w:rPr>
        <w:t xml:space="preserve"> eg where it amounts to a </w:t>
      </w:r>
      <w:r w:rsidRPr="00587E6D">
        <w:rPr>
          <w:i/>
          <w:iCs/>
          <w:color w:val="000000"/>
        </w:rPr>
        <w:t>pactum de non petendo </w:t>
      </w:r>
      <w:r w:rsidRPr="00587E6D">
        <w:rPr>
          <w:color w:val="000000"/>
        </w:rPr>
        <w:t>or an indulgence in relation to previous imperfect performance. (For an interesting discussion on the topic, see Dale Hutchison </w:t>
      </w:r>
      <w:r w:rsidRPr="00587E6D">
        <w:rPr>
          <w:i/>
          <w:iCs/>
          <w:color w:val="000000"/>
        </w:rPr>
        <w:t>Non-variation Clauses in Contract: Any Escape from the Shifren Straitjacket </w:t>
      </w:r>
      <w:r w:rsidRPr="00587E6D">
        <w:rPr>
          <w:color w:val="000000"/>
        </w:rPr>
        <w:t>(2001) 118 </w:t>
      </w:r>
      <w:r w:rsidRPr="00587E6D">
        <w:rPr>
          <w:i/>
          <w:iCs/>
          <w:color w:val="000000"/>
        </w:rPr>
        <w:t>SALJ </w:t>
      </w:r>
      <w:r w:rsidRPr="00587E6D">
        <w:rPr>
          <w:color w:val="000000"/>
        </w:rPr>
        <w:t>720.) But nothing like that arises in the present case.</w:t>
      </w:r>
    </w:p>
    <w:p w14:paraId="566E77E0" w14:textId="0E58272B" w:rsidR="00BA73C9" w:rsidRPr="00587E6D" w:rsidRDefault="00BA73C9" w:rsidP="0004044D">
      <w:pPr>
        <w:pStyle w:val="normaltext"/>
        <w:shd w:val="clear" w:color="auto" w:fill="FFFFFF"/>
        <w:spacing w:before="0" w:beforeAutospacing="0" w:after="0" w:afterAutospacing="0" w:line="360" w:lineRule="auto"/>
        <w:jc w:val="both"/>
        <w:rPr>
          <w:i/>
          <w:color w:val="000000"/>
        </w:rPr>
      </w:pPr>
      <w:r w:rsidRPr="00587E6D">
        <w:rPr>
          <w:color w:val="000000"/>
        </w:rPr>
        <w:t xml:space="preserve">The appellants contend that they were released as sureties </w:t>
      </w:r>
      <w:r w:rsidRPr="00587E6D">
        <w:rPr>
          <w:i/>
          <w:color w:val="000000"/>
        </w:rPr>
        <w:t>by virtue of the conduct of the bank,</w:t>
      </w:r>
      <w:r w:rsidRPr="00587E6D">
        <w:rPr>
          <w:color w:val="000000"/>
        </w:rPr>
        <w:t xml:space="preserve"> coupled with a consensual waiver of the provisions of clause 15. In my view, a factual basis for such a contention was not established on the evidence. </w:t>
      </w:r>
      <w:r w:rsidRPr="00587E6D">
        <w:rPr>
          <w:i/>
          <w:color w:val="000000"/>
        </w:rPr>
        <w:t>But even if it had been, it would have amounted, in the circumstances of the present case, to no more than a variation of clause 15 which was not in writing. This is precluded by clause 16. To hold otherwise, would be to render the principle in </w:t>
      </w:r>
      <w:r w:rsidRPr="00587E6D">
        <w:rPr>
          <w:i/>
          <w:iCs/>
          <w:color w:val="000000"/>
        </w:rPr>
        <w:t>Shifren </w:t>
      </w:r>
      <w:r w:rsidRPr="00587E6D">
        <w:rPr>
          <w:i/>
          <w:color w:val="000000"/>
        </w:rPr>
        <w:t>wholly ineffective.</w:t>
      </w:r>
      <w:r w:rsidR="006F73D8" w:rsidRPr="00587E6D">
        <w:rPr>
          <w:i/>
          <w:color w:val="000000"/>
        </w:rPr>
        <w:t xml:space="preserve"> </w:t>
      </w:r>
    </w:p>
    <w:p w14:paraId="30957946" w14:textId="258A54A8" w:rsidR="00BA73C9" w:rsidRPr="00587E6D" w:rsidRDefault="00BA73C9" w:rsidP="0004044D">
      <w:pPr>
        <w:pStyle w:val="normaltext"/>
        <w:shd w:val="clear" w:color="auto" w:fill="FFFFFF"/>
        <w:spacing w:before="0" w:beforeAutospacing="0" w:after="0" w:afterAutospacing="0" w:line="360" w:lineRule="auto"/>
        <w:jc w:val="both"/>
        <w:rPr>
          <w:color w:val="000000"/>
        </w:rPr>
      </w:pPr>
      <w:r w:rsidRPr="00587E6D">
        <w:rPr>
          <w:i/>
          <w:color w:val="000000"/>
        </w:rPr>
        <w:t>The same applies to the appellants</w:t>
      </w:r>
      <w:r w:rsidR="006F73D8" w:rsidRPr="00587E6D">
        <w:rPr>
          <w:i/>
          <w:color w:val="000000"/>
        </w:rPr>
        <w:t>’</w:t>
      </w:r>
      <w:r w:rsidRPr="00587E6D">
        <w:rPr>
          <w:i/>
          <w:color w:val="000000"/>
        </w:rPr>
        <w:t xml:space="preserve"> reliance on estoppel.</w:t>
      </w:r>
      <w:r w:rsidRPr="00587E6D">
        <w:rPr>
          <w:color w:val="000000"/>
        </w:rPr>
        <w:t xml:space="preserve"> In their plea, the appellants alleged that Linnell had represented to</w:t>
      </w:r>
      <w:r w:rsidR="00E535D9" w:rsidRPr="00587E6D">
        <w:rPr>
          <w:color w:val="000000"/>
        </w:rPr>
        <w:t xml:space="preserve"> </w:t>
      </w:r>
      <w:r w:rsidRPr="00587E6D">
        <w:rPr>
          <w:color w:val="000000"/>
        </w:rPr>
        <w:t>Berthold that the appellants were released from their suretyship obligations and that, relying on such a representation, the appellants had acted to their prejudice. The representation was clearly not established and in argument counsel sought to rely on a representation based more generally on the bank</w:t>
      </w:r>
      <w:r w:rsidR="006F73D8" w:rsidRPr="00587E6D">
        <w:rPr>
          <w:color w:val="000000"/>
        </w:rPr>
        <w:t>’</w:t>
      </w:r>
      <w:r w:rsidRPr="00587E6D">
        <w:rPr>
          <w:color w:val="000000"/>
        </w:rPr>
        <w:t xml:space="preserve">s conduct together with the letter dated 20 April 1998. </w:t>
      </w:r>
      <w:r w:rsidRPr="00587E6D">
        <w:rPr>
          <w:i/>
          <w:color w:val="000000"/>
        </w:rPr>
        <w:t xml:space="preserve">But even if there had been such a representation, it would not assist the appellants. Where </w:t>
      </w:r>
      <w:r w:rsidRPr="00587E6D">
        <w:rPr>
          <w:i/>
          <w:color w:val="000000"/>
        </w:rPr>
        <w:lastRenderedPageBreak/>
        <w:t>a release is required to be in writing, as in the present case, it may perhaps be possible, in limited circumstances, to frame an estoppel in such a way as not to violate the </w:t>
      </w:r>
      <w:r w:rsidRPr="00587E6D">
        <w:rPr>
          <w:i/>
          <w:iCs/>
          <w:color w:val="000000"/>
        </w:rPr>
        <w:t>Shifren </w:t>
      </w:r>
      <w:r w:rsidRPr="00587E6D">
        <w:rPr>
          <w:i/>
          <w:color w:val="000000"/>
        </w:rPr>
        <w:t xml:space="preserve">principle. It is unnecessary to consider what those circumstances would have to be. What is clear is that an estoppel cannot be upheld when the effect would be to sanction a non-compliance with provisions in a suretyship agreement of the kind contained in clauses 15 and 16. </w:t>
      </w:r>
      <w:r w:rsidRPr="00587E6D">
        <w:rPr>
          <w:color w:val="000000"/>
        </w:rPr>
        <w:t>It follows that the appellants' reliance on waiver and estoppel must similarly fail.</w:t>
      </w:r>
      <w:r w:rsidR="00ED7AE7" w:rsidRPr="00587E6D">
        <w:rPr>
          <w:color w:val="000000"/>
        </w:rPr>
        <w:t>’</w:t>
      </w:r>
      <w:r w:rsidR="00ED7AE7" w:rsidRPr="00587E6D">
        <w:rPr>
          <w:rStyle w:val="FootnoteReference"/>
          <w:color w:val="000000"/>
        </w:rPr>
        <w:footnoteReference w:id="11"/>
      </w:r>
      <w:r w:rsidR="00190F8A" w:rsidRPr="00587E6D">
        <w:rPr>
          <w:color w:val="000000"/>
        </w:rPr>
        <w:t xml:space="preserve"> (My emphasis.)</w:t>
      </w:r>
    </w:p>
    <w:p w14:paraId="703D8380" w14:textId="1D147741" w:rsidR="00BA73C9" w:rsidRPr="00587E6D" w:rsidRDefault="00BA73C9" w:rsidP="0004044D">
      <w:pPr>
        <w:pStyle w:val="ListParagraph"/>
        <w:ind w:left="0"/>
        <w:rPr>
          <w:sz w:val="28"/>
          <w:szCs w:val="28"/>
        </w:rPr>
      </w:pPr>
    </w:p>
    <w:p w14:paraId="5FE3D4F8" w14:textId="69308DB1" w:rsidR="00276369" w:rsidRPr="009D1414" w:rsidRDefault="009D1414" w:rsidP="009D1414">
      <w:pPr>
        <w:tabs>
          <w:tab w:val="left" w:pos="0"/>
        </w:tabs>
        <w:rPr>
          <w:sz w:val="28"/>
          <w:szCs w:val="28"/>
        </w:rPr>
      </w:pPr>
      <w:r w:rsidRPr="00587E6D">
        <w:rPr>
          <w:sz w:val="28"/>
          <w:szCs w:val="28"/>
        </w:rPr>
        <w:t>[23]</w:t>
      </w:r>
      <w:r w:rsidRPr="00587E6D">
        <w:rPr>
          <w:sz w:val="28"/>
          <w:szCs w:val="28"/>
        </w:rPr>
        <w:tab/>
      </w:r>
      <w:r w:rsidR="00133FF8" w:rsidRPr="009D1414">
        <w:rPr>
          <w:sz w:val="28"/>
          <w:szCs w:val="28"/>
        </w:rPr>
        <w:t>Considering</w:t>
      </w:r>
      <w:r w:rsidR="00424E5C" w:rsidRPr="009D1414">
        <w:rPr>
          <w:sz w:val="28"/>
          <w:szCs w:val="28"/>
        </w:rPr>
        <w:t xml:space="preserve"> </w:t>
      </w:r>
      <w:r w:rsidR="001F4F14" w:rsidRPr="009D1414">
        <w:rPr>
          <w:sz w:val="28"/>
          <w:szCs w:val="28"/>
        </w:rPr>
        <w:t xml:space="preserve">these principles, </w:t>
      </w:r>
      <w:r w:rsidR="00424E5C" w:rsidRPr="009D1414">
        <w:rPr>
          <w:sz w:val="28"/>
          <w:szCs w:val="28"/>
        </w:rPr>
        <w:t xml:space="preserve">the question is, </w:t>
      </w:r>
      <w:r w:rsidR="00E84082" w:rsidRPr="009D1414">
        <w:rPr>
          <w:sz w:val="28"/>
          <w:szCs w:val="28"/>
        </w:rPr>
        <w:t xml:space="preserve">were </w:t>
      </w:r>
      <w:r w:rsidR="001F4F14" w:rsidRPr="009D1414">
        <w:rPr>
          <w:sz w:val="28"/>
          <w:szCs w:val="28"/>
        </w:rPr>
        <w:t xml:space="preserve">the plea of estoppel </w:t>
      </w:r>
      <w:r w:rsidR="00F37795" w:rsidRPr="009D1414">
        <w:rPr>
          <w:sz w:val="28"/>
          <w:szCs w:val="28"/>
        </w:rPr>
        <w:t xml:space="preserve">by the appellants </w:t>
      </w:r>
      <w:r w:rsidR="00E84082" w:rsidRPr="009D1414">
        <w:rPr>
          <w:sz w:val="28"/>
          <w:szCs w:val="28"/>
        </w:rPr>
        <w:t xml:space="preserve">to be </w:t>
      </w:r>
      <w:r w:rsidR="009120CA" w:rsidRPr="009D1414">
        <w:rPr>
          <w:sz w:val="28"/>
          <w:szCs w:val="28"/>
        </w:rPr>
        <w:t>up</w:t>
      </w:r>
      <w:r w:rsidR="001F4F14" w:rsidRPr="009D1414">
        <w:rPr>
          <w:sz w:val="28"/>
          <w:szCs w:val="28"/>
        </w:rPr>
        <w:t>held</w:t>
      </w:r>
      <w:r w:rsidR="00424E5C" w:rsidRPr="009D1414">
        <w:rPr>
          <w:sz w:val="28"/>
          <w:szCs w:val="28"/>
        </w:rPr>
        <w:t>, will</w:t>
      </w:r>
      <w:r w:rsidR="00E84082" w:rsidRPr="009D1414">
        <w:rPr>
          <w:sz w:val="28"/>
          <w:szCs w:val="28"/>
        </w:rPr>
        <w:t xml:space="preserve"> </w:t>
      </w:r>
      <w:r w:rsidR="00424E5C" w:rsidRPr="009D1414">
        <w:rPr>
          <w:sz w:val="28"/>
          <w:szCs w:val="28"/>
        </w:rPr>
        <w:t xml:space="preserve">it not </w:t>
      </w:r>
      <w:r w:rsidR="00E84082" w:rsidRPr="009D1414">
        <w:rPr>
          <w:sz w:val="28"/>
          <w:szCs w:val="28"/>
        </w:rPr>
        <w:t xml:space="preserve">have </w:t>
      </w:r>
      <w:r w:rsidR="009120CA" w:rsidRPr="009D1414">
        <w:rPr>
          <w:sz w:val="28"/>
          <w:szCs w:val="28"/>
        </w:rPr>
        <w:t xml:space="preserve">the effect </w:t>
      </w:r>
      <w:r w:rsidR="00E84082" w:rsidRPr="009D1414">
        <w:rPr>
          <w:sz w:val="28"/>
          <w:szCs w:val="28"/>
        </w:rPr>
        <w:t xml:space="preserve">of </w:t>
      </w:r>
      <w:r w:rsidR="009120CA" w:rsidRPr="009D1414">
        <w:rPr>
          <w:sz w:val="28"/>
          <w:szCs w:val="28"/>
        </w:rPr>
        <w:t>sanction</w:t>
      </w:r>
      <w:r w:rsidR="00E84082" w:rsidRPr="009D1414">
        <w:rPr>
          <w:sz w:val="28"/>
          <w:szCs w:val="28"/>
        </w:rPr>
        <w:t>ing</w:t>
      </w:r>
      <w:r w:rsidR="009120CA" w:rsidRPr="009D1414">
        <w:rPr>
          <w:sz w:val="28"/>
          <w:szCs w:val="28"/>
        </w:rPr>
        <w:t xml:space="preserve"> non-compliance with the provisions of the</w:t>
      </w:r>
      <w:r w:rsidR="00E84082" w:rsidRPr="009D1414">
        <w:rPr>
          <w:sz w:val="28"/>
          <w:szCs w:val="28"/>
        </w:rPr>
        <w:t xml:space="preserve"> </w:t>
      </w:r>
      <w:r w:rsidR="00F37795" w:rsidRPr="009D1414">
        <w:rPr>
          <w:sz w:val="28"/>
          <w:szCs w:val="28"/>
        </w:rPr>
        <w:t>agreement</w:t>
      </w:r>
      <w:r w:rsidR="00E84082" w:rsidRPr="009D1414">
        <w:rPr>
          <w:sz w:val="28"/>
          <w:szCs w:val="28"/>
        </w:rPr>
        <w:t xml:space="preserve"> of the kind contained in clause 13</w:t>
      </w:r>
      <w:r w:rsidR="00F37795" w:rsidRPr="009D1414">
        <w:rPr>
          <w:sz w:val="28"/>
          <w:szCs w:val="28"/>
        </w:rPr>
        <w:t>.3</w:t>
      </w:r>
      <w:r w:rsidR="00424E5C" w:rsidRPr="009D1414">
        <w:rPr>
          <w:sz w:val="28"/>
          <w:szCs w:val="28"/>
        </w:rPr>
        <w:t>?</w:t>
      </w:r>
      <w:r w:rsidR="009120CA" w:rsidRPr="009D1414">
        <w:rPr>
          <w:sz w:val="28"/>
          <w:szCs w:val="28"/>
        </w:rPr>
        <w:t xml:space="preserve"> Given</w:t>
      </w:r>
      <w:r w:rsidR="00E84082" w:rsidRPr="009D1414">
        <w:rPr>
          <w:sz w:val="28"/>
          <w:szCs w:val="28"/>
        </w:rPr>
        <w:t xml:space="preserve"> that prevailing position</w:t>
      </w:r>
      <w:r w:rsidR="009120CA" w:rsidRPr="009D1414">
        <w:rPr>
          <w:sz w:val="28"/>
          <w:szCs w:val="28"/>
        </w:rPr>
        <w:t xml:space="preserve">, it is difficult to see how </w:t>
      </w:r>
      <w:r w:rsidR="00E84082" w:rsidRPr="009D1414">
        <w:rPr>
          <w:sz w:val="28"/>
          <w:szCs w:val="28"/>
        </w:rPr>
        <w:t xml:space="preserve">the defence of </w:t>
      </w:r>
      <w:r w:rsidR="009120CA" w:rsidRPr="009D1414">
        <w:rPr>
          <w:sz w:val="28"/>
          <w:szCs w:val="28"/>
        </w:rPr>
        <w:t xml:space="preserve">estoppel would </w:t>
      </w:r>
      <w:r w:rsidR="00424E5C" w:rsidRPr="009D1414">
        <w:rPr>
          <w:sz w:val="28"/>
          <w:szCs w:val="28"/>
        </w:rPr>
        <w:t xml:space="preserve">work out </w:t>
      </w:r>
      <w:r w:rsidR="009120CA" w:rsidRPr="009D1414">
        <w:rPr>
          <w:sz w:val="28"/>
          <w:szCs w:val="28"/>
        </w:rPr>
        <w:t>in this kind of situation.</w:t>
      </w:r>
      <w:r w:rsidR="00F37795" w:rsidRPr="009D1414">
        <w:rPr>
          <w:sz w:val="28"/>
          <w:szCs w:val="28"/>
        </w:rPr>
        <w:t xml:space="preserve"> To uphold an estoppel in such circumstances would negate the very purpose and effect of the non-variation clause.</w:t>
      </w:r>
      <w:r w:rsidR="00E84082" w:rsidRPr="009D1414">
        <w:rPr>
          <w:sz w:val="28"/>
          <w:szCs w:val="28"/>
        </w:rPr>
        <w:t xml:space="preserve"> </w:t>
      </w:r>
      <w:r w:rsidR="00C53899" w:rsidRPr="009D1414">
        <w:rPr>
          <w:sz w:val="28"/>
          <w:szCs w:val="28"/>
        </w:rPr>
        <w:t xml:space="preserve">Estoppel may only be framed on limited grounds. Although the Court in </w:t>
      </w:r>
      <w:r w:rsidR="00E84082" w:rsidRPr="009D1414">
        <w:rPr>
          <w:i/>
          <w:sz w:val="28"/>
          <w:szCs w:val="28"/>
        </w:rPr>
        <w:t xml:space="preserve">HNR Properties CC </w:t>
      </w:r>
      <w:r w:rsidR="00C53899" w:rsidRPr="009D1414">
        <w:rPr>
          <w:sz w:val="28"/>
          <w:szCs w:val="28"/>
        </w:rPr>
        <w:t xml:space="preserve">did not say what those could be, it </w:t>
      </w:r>
      <w:r w:rsidR="00F37795" w:rsidRPr="009D1414">
        <w:rPr>
          <w:sz w:val="28"/>
          <w:szCs w:val="28"/>
        </w:rPr>
        <w:t>did</w:t>
      </w:r>
      <w:r w:rsidR="00C53899" w:rsidRPr="009D1414">
        <w:rPr>
          <w:sz w:val="28"/>
          <w:szCs w:val="28"/>
        </w:rPr>
        <w:t xml:space="preserve"> stress that such reliance </w:t>
      </w:r>
      <w:r w:rsidR="00E84082" w:rsidRPr="009D1414">
        <w:rPr>
          <w:sz w:val="28"/>
          <w:szCs w:val="28"/>
        </w:rPr>
        <w:t xml:space="preserve">must not violate the </w:t>
      </w:r>
      <w:r w:rsidR="00E84082" w:rsidRPr="009D1414">
        <w:rPr>
          <w:i/>
          <w:sz w:val="28"/>
          <w:szCs w:val="28"/>
        </w:rPr>
        <w:t xml:space="preserve">Shifren </w:t>
      </w:r>
      <w:r w:rsidR="00276369" w:rsidRPr="009D1414">
        <w:rPr>
          <w:sz w:val="28"/>
          <w:szCs w:val="28"/>
        </w:rPr>
        <w:t>principle</w:t>
      </w:r>
      <w:r w:rsidR="00E84082" w:rsidRPr="009D1414">
        <w:rPr>
          <w:sz w:val="28"/>
          <w:szCs w:val="28"/>
        </w:rPr>
        <w:t>.</w:t>
      </w:r>
      <w:r w:rsidR="00C53899" w:rsidRPr="009D1414">
        <w:rPr>
          <w:sz w:val="28"/>
          <w:szCs w:val="28"/>
        </w:rPr>
        <w:t xml:space="preserve"> </w:t>
      </w:r>
    </w:p>
    <w:p w14:paraId="5CF2FF38" w14:textId="77777777" w:rsidR="00276369" w:rsidRPr="00587E6D" w:rsidRDefault="00276369" w:rsidP="002C2EF3">
      <w:pPr>
        <w:pStyle w:val="ListParagraph"/>
        <w:tabs>
          <w:tab w:val="left" w:pos="0"/>
        </w:tabs>
        <w:ind w:left="0"/>
        <w:rPr>
          <w:sz w:val="28"/>
          <w:szCs w:val="28"/>
        </w:rPr>
      </w:pPr>
    </w:p>
    <w:p w14:paraId="5D69B85F" w14:textId="5C13927B" w:rsidR="00E84082" w:rsidRPr="009D1414" w:rsidRDefault="009D1414" w:rsidP="009D1414">
      <w:pPr>
        <w:tabs>
          <w:tab w:val="left" w:pos="0"/>
        </w:tabs>
        <w:rPr>
          <w:sz w:val="28"/>
          <w:szCs w:val="28"/>
        </w:rPr>
      </w:pPr>
      <w:r w:rsidRPr="00587E6D">
        <w:rPr>
          <w:sz w:val="28"/>
          <w:szCs w:val="28"/>
        </w:rPr>
        <w:t>[24]</w:t>
      </w:r>
      <w:r w:rsidRPr="00587E6D">
        <w:rPr>
          <w:sz w:val="28"/>
          <w:szCs w:val="28"/>
        </w:rPr>
        <w:tab/>
      </w:r>
      <w:r w:rsidR="00C53899" w:rsidRPr="009D1414">
        <w:rPr>
          <w:sz w:val="28"/>
          <w:szCs w:val="28"/>
        </w:rPr>
        <w:t xml:space="preserve">In my opinion, upholding the defence of estoppel in the present matter would be to do so on dubious grounds and </w:t>
      </w:r>
      <w:r w:rsidR="002E521F" w:rsidRPr="009D1414">
        <w:rPr>
          <w:sz w:val="28"/>
          <w:szCs w:val="28"/>
        </w:rPr>
        <w:t xml:space="preserve">only </w:t>
      </w:r>
      <w:r w:rsidR="004B2C56" w:rsidRPr="009D1414">
        <w:rPr>
          <w:sz w:val="28"/>
          <w:szCs w:val="28"/>
        </w:rPr>
        <w:t>because</w:t>
      </w:r>
      <w:r w:rsidR="00C53899" w:rsidRPr="009D1414">
        <w:rPr>
          <w:sz w:val="28"/>
          <w:szCs w:val="28"/>
        </w:rPr>
        <w:t xml:space="preserve"> the rejection of such would appear harsh to the appellants, something the Court in </w:t>
      </w:r>
      <w:r w:rsidR="00C53899" w:rsidRPr="009D1414">
        <w:rPr>
          <w:i/>
          <w:sz w:val="28"/>
          <w:szCs w:val="28"/>
        </w:rPr>
        <w:t xml:space="preserve">HNR Properties CC </w:t>
      </w:r>
      <w:r w:rsidR="00C53899" w:rsidRPr="009D1414">
        <w:rPr>
          <w:sz w:val="28"/>
          <w:szCs w:val="28"/>
        </w:rPr>
        <w:t>cautioned against.</w:t>
      </w:r>
      <w:r w:rsidR="00276369" w:rsidRPr="009D1414">
        <w:rPr>
          <w:sz w:val="28"/>
          <w:szCs w:val="28"/>
        </w:rPr>
        <w:t xml:space="preserve"> To find otherwise would violate the </w:t>
      </w:r>
      <w:r w:rsidR="00276369" w:rsidRPr="009D1414">
        <w:rPr>
          <w:i/>
          <w:sz w:val="28"/>
          <w:szCs w:val="28"/>
        </w:rPr>
        <w:t xml:space="preserve">Shifren </w:t>
      </w:r>
      <w:r w:rsidR="00276369" w:rsidRPr="009D1414">
        <w:rPr>
          <w:sz w:val="28"/>
          <w:szCs w:val="28"/>
        </w:rPr>
        <w:t xml:space="preserve">principle. Further, it would render clause 13.3 of the agreement nugatory; this could not have been the intention of the parties when they concluded the agreement. </w:t>
      </w:r>
    </w:p>
    <w:p w14:paraId="1E7EA06A" w14:textId="77777777" w:rsidR="00E84082" w:rsidRPr="00587E6D" w:rsidRDefault="00E84082" w:rsidP="0004044D">
      <w:pPr>
        <w:tabs>
          <w:tab w:val="left" w:pos="0"/>
        </w:tabs>
        <w:rPr>
          <w:sz w:val="28"/>
          <w:szCs w:val="28"/>
        </w:rPr>
      </w:pPr>
    </w:p>
    <w:p w14:paraId="5A567CFE" w14:textId="3EC6A086" w:rsidR="00B46CEA" w:rsidRPr="009D1414" w:rsidRDefault="009D1414" w:rsidP="009D1414">
      <w:pPr>
        <w:tabs>
          <w:tab w:val="left" w:pos="0"/>
        </w:tabs>
        <w:rPr>
          <w:sz w:val="28"/>
          <w:szCs w:val="28"/>
        </w:rPr>
      </w:pPr>
      <w:r w:rsidRPr="00587E6D">
        <w:rPr>
          <w:sz w:val="28"/>
          <w:szCs w:val="28"/>
        </w:rPr>
        <w:t>[25]</w:t>
      </w:r>
      <w:r w:rsidRPr="00587E6D">
        <w:rPr>
          <w:sz w:val="28"/>
          <w:szCs w:val="28"/>
        </w:rPr>
        <w:tab/>
      </w:r>
      <w:r w:rsidR="00B46CEA" w:rsidRPr="009D1414">
        <w:rPr>
          <w:sz w:val="28"/>
          <w:szCs w:val="28"/>
        </w:rPr>
        <w:t xml:space="preserve">I have considered the decision of </w:t>
      </w:r>
      <w:r w:rsidR="009F245A" w:rsidRPr="009D1414">
        <w:rPr>
          <w:sz w:val="28"/>
          <w:szCs w:val="28"/>
        </w:rPr>
        <w:t xml:space="preserve">this Court in </w:t>
      </w:r>
      <w:r w:rsidR="00B46CEA" w:rsidRPr="009D1414">
        <w:rPr>
          <w:i/>
          <w:sz w:val="28"/>
          <w:szCs w:val="28"/>
        </w:rPr>
        <w:t>BMW Financial Services (SA)</w:t>
      </w:r>
      <w:r w:rsidR="00BF3A04" w:rsidRPr="009D1414">
        <w:rPr>
          <w:i/>
          <w:sz w:val="28"/>
          <w:szCs w:val="28"/>
        </w:rPr>
        <w:t xml:space="preserve"> (Pty) Ltd</w:t>
      </w:r>
      <w:r w:rsidR="00B46CEA" w:rsidRPr="009D1414">
        <w:rPr>
          <w:i/>
          <w:sz w:val="28"/>
          <w:szCs w:val="28"/>
        </w:rPr>
        <w:t xml:space="preserve"> v Tabata</w:t>
      </w:r>
      <w:r w:rsidR="003604C5" w:rsidRPr="009D1414">
        <w:rPr>
          <w:iCs/>
          <w:sz w:val="28"/>
          <w:szCs w:val="28"/>
        </w:rPr>
        <w:t>,</w:t>
      </w:r>
      <w:r w:rsidR="00B46CEA" w:rsidRPr="00587E6D">
        <w:rPr>
          <w:rStyle w:val="FootnoteReference"/>
          <w:iCs/>
          <w:sz w:val="28"/>
          <w:szCs w:val="28"/>
        </w:rPr>
        <w:footnoteReference w:id="12"/>
      </w:r>
      <w:r w:rsidR="009F7BAE" w:rsidRPr="009D1414">
        <w:rPr>
          <w:i/>
          <w:sz w:val="28"/>
          <w:szCs w:val="28"/>
        </w:rPr>
        <w:t xml:space="preserve"> </w:t>
      </w:r>
      <w:r w:rsidR="009F7BAE" w:rsidRPr="009D1414">
        <w:rPr>
          <w:sz w:val="28"/>
          <w:szCs w:val="28"/>
        </w:rPr>
        <w:t xml:space="preserve">which also dealt with suretyship and in which estoppel was </w:t>
      </w:r>
      <w:r w:rsidR="009F7BAE" w:rsidRPr="009D1414">
        <w:rPr>
          <w:sz w:val="28"/>
          <w:szCs w:val="28"/>
        </w:rPr>
        <w:lastRenderedPageBreak/>
        <w:t>raised as a defence. In that case, BMW claimed some R9.5 million from three individuals, including Mr Tabata, the respondent in that case</w:t>
      </w:r>
      <w:r w:rsidR="00D02C8C" w:rsidRPr="009D1414">
        <w:rPr>
          <w:sz w:val="28"/>
          <w:szCs w:val="28"/>
        </w:rPr>
        <w:t>,</w:t>
      </w:r>
      <w:r w:rsidR="009F7BAE" w:rsidRPr="009D1414">
        <w:rPr>
          <w:sz w:val="28"/>
          <w:szCs w:val="28"/>
        </w:rPr>
        <w:t xml:space="preserve"> and two companies in terms of suretyship agreements. Mr Tabata held shares in a company called Vu</w:t>
      </w:r>
      <w:r w:rsidR="003838C5" w:rsidRPr="009D1414">
        <w:rPr>
          <w:sz w:val="28"/>
          <w:szCs w:val="28"/>
        </w:rPr>
        <w:t>w</w:t>
      </w:r>
      <w:r w:rsidR="009F7BAE" w:rsidRPr="009D1414">
        <w:rPr>
          <w:sz w:val="28"/>
          <w:szCs w:val="28"/>
        </w:rPr>
        <w:t>a Motor Group (Pty) Ltd (VMG). He sold his shares in VMG. The sale of shares agreement had a clause that</w:t>
      </w:r>
      <w:r w:rsidR="00CB52B5" w:rsidRPr="009D1414">
        <w:rPr>
          <w:sz w:val="28"/>
          <w:szCs w:val="28"/>
        </w:rPr>
        <w:t xml:space="preserve"> read</w:t>
      </w:r>
      <w:r w:rsidR="009F7BAE" w:rsidRPr="009D1414">
        <w:rPr>
          <w:sz w:val="28"/>
          <w:szCs w:val="28"/>
        </w:rPr>
        <w:t>:</w:t>
      </w:r>
    </w:p>
    <w:p w14:paraId="1BF1B5EA" w14:textId="12D1A382" w:rsidR="009F7BAE" w:rsidRPr="00587E6D" w:rsidRDefault="009F7BAE" w:rsidP="0004044D">
      <w:pPr>
        <w:pStyle w:val="ListParagraph"/>
        <w:ind w:left="0"/>
      </w:pPr>
      <w:r w:rsidRPr="00587E6D">
        <w:t>‘</w:t>
      </w:r>
      <w:r w:rsidR="007B6ECC" w:rsidRPr="00587E6D">
        <w:t>[T]</w:t>
      </w:r>
      <w:r w:rsidRPr="00587E6D">
        <w:t>he Purchasers undertak</w:t>
      </w:r>
      <w:r w:rsidR="00D02C8C" w:rsidRPr="00587E6D">
        <w:t>e in</w:t>
      </w:r>
      <w:r w:rsidRPr="00587E6D">
        <w:t xml:space="preserve"> favour of the Sellers to procure the written release of Vuwa and/or Tabata from all guarantees</w:t>
      </w:r>
      <w:r w:rsidR="00375E75" w:rsidRPr="00587E6D">
        <w:t>/deeds of suretyship contemplated above and to deliver such written releases to the attorneys by the date and in the manner contemplated in clause 7.2.3 of this contract.’</w:t>
      </w:r>
    </w:p>
    <w:p w14:paraId="35FB8C54" w14:textId="77777777" w:rsidR="00B46CEA" w:rsidRPr="00587E6D" w:rsidRDefault="00B46CEA" w:rsidP="0004044D">
      <w:pPr>
        <w:pStyle w:val="ListParagraph"/>
        <w:rPr>
          <w:sz w:val="28"/>
          <w:szCs w:val="28"/>
        </w:rPr>
      </w:pPr>
    </w:p>
    <w:p w14:paraId="14F2F9E7" w14:textId="0DB807A5" w:rsidR="00375E75" w:rsidRPr="009D1414" w:rsidRDefault="009D1414" w:rsidP="009D1414">
      <w:pPr>
        <w:tabs>
          <w:tab w:val="left" w:pos="0"/>
        </w:tabs>
        <w:rPr>
          <w:sz w:val="28"/>
          <w:szCs w:val="28"/>
        </w:rPr>
      </w:pPr>
      <w:r w:rsidRPr="00587E6D">
        <w:rPr>
          <w:sz w:val="28"/>
          <w:szCs w:val="28"/>
        </w:rPr>
        <w:t>[26]</w:t>
      </w:r>
      <w:r w:rsidRPr="00587E6D">
        <w:rPr>
          <w:sz w:val="28"/>
          <w:szCs w:val="28"/>
        </w:rPr>
        <w:tab/>
      </w:r>
      <w:r w:rsidR="00375E75" w:rsidRPr="009D1414">
        <w:rPr>
          <w:sz w:val="28"/>
          <w:szCs w:val="28"/>
        </w:rPr>
        <w:t>The deeds of suretyship were given in favour of various creditors, including BMW. An attorney</w:t>
      </w:r>
      <w:r w:rsidR="00A2332D" w:rsidRPr="009D1414">
        <w:rPr>
          <w:sz w:val="28"/>
          <w:szCs w:val="28"/>
        </w:rPr>
        <w:t>, Mr Dixon,</w:t>
      </w:r>
      <w:r w:rsidR="00375E75" w:rsidRPr="009D1414">
        <w:rPr>
          <w:sz w:val="28"/>
          <w:szCs w:val="28"/>
        </w:rPr>
        <w:t xml:space="preserve"> entrusted to secure Mr </w:t>
      </w:r>
      <w:r w:rsidR="00A2332D" w:rsidRPr="009D1414">
        <w:rPr>
          <w:sz w:val="28"/>
          <w:szCs w:val="28"/>
        </w:rPr>
        <w:t>Tabata and</w:t>
      </w:r>
      <w:r w:rsidR="00375E75" w:rsidRPr="009D1414">
        <w:rPr>
          <w:sz w:val="28"/>
          <w:szCs w:val="28"/>
        </w:rPr>
        <w:t xml:space="preserve"> Vuwa’s release from the deeds of suretyship, wrote a letter to various creditors, including BMW,</w:t>
      </w:r>
      <w:r w:rsidR="00A2332D" w:rsidRPr="009D1414">
        <w:rPr>
          <w:sz w:val="28"/>
          <w:szCs w:val="28"/>
        </w:rPr>
        <w:t xml:space="preserve"> addressed to Mr Steyn, </w:t>
      </w:r>
      <w:r w:rsidR="00375E75" w:rsidRPr="009D1414">
        <w:rPr>
          <w:sz w:val="28"/>
          <w:szCs w:val="28"/>
        </w:rPr>
        <w:t xml:space="preserve">stating that their consent was a precondition to the release of Mr Tabata and Vuwa and </w:t>
      </w:r>
      <w:r w:rsidR="002E521F" w:rsidRPr="009D1414">
        <w:rPr>
          <w:sz w:val="28"/>
          <w:szCs w:val="28"/>
        </w:rPr>
        <w:t xml:space="preserve">that </w:t>
      </w:r>
      <w:r w:rsidR="00375E75" w:rsidRPr="009D1414">
        <w:rPr>
          <w:sz w:val="28"/>
          <w:szCs w:val="28"/>
        </w:rPr>
        <w:t xml:space="preserve">those creditors will </w:t>
      </w:r>
      <w:r w:rsidR="002E521F" w:rsidRPr="009D1414">
        <w:rPr>
          <w:sz w:val="28"/>
          <w:szCs w:val="28"/>
        </w:rPr>
        <w:t xml:space="preserve">be </w:t>
      </w:r>
      <w:r w:rsidR="00375E75" w:rsidRPr="009D1414">
        <w:rPr>
          <w:sz w:val="28"/>
          <w:szCs w:val="28"/>
        </w:rPr>
        <w:t>required to advise of their ‘requirements with a view to securing the necessary releases by</w:t>
      </w:r>
      <w:r w:rsidR="00FB1B28" w:rsidRPr="009D1414">
        <w:rPr>
          <w:sz w:val="28"/>
          <w:szCs w:val="28"/>
        </w:rPr>
        <w:t xml:space="preserve"> </w:t>
      </w:r>
      <w:r w:rsidR="00C87A71" w:rsidRPr="009D1414">
        <w:rPr>
          <w:sz w:val="28"/>
          <w:szCs w:val="28"/>
        </w:rPr>
        <w:t>[</w:t>
      </w:r>
      <w:r w:rsidR="00DD47AA" w:rsidRPr="009D1414">
        <w:rPr>
          <w:sz w:val="28"/>
          <w:szCs w:val="28"/>
        </w:rPr>
        <w:t>the</w:t>
      </w:r>
      <w:r w:rsidR="00C87A71" w:rsidRPr="009D1414">
        <w:rPr>
          <w:sz w:val="28"/>
          <w:szCs w:val="28"/>
        </w:rPr>
        <w:t>]</w:t>
      </w:r>
      <w:r w:rsidR="00DD47AA" w:rsidRPr="009D1414">
        <w:rPr>
          <w:sz w:val="28"/>
          <w:szCs w:val="28"/>
        </w:rPr>
        <w:t xml:space="preserve"> </w:t>
      </w:r>
      <w:r w:rsidR="00FB1B28" w:rsidRPr="009D1414">
        <w:rPr>
          <w:sz w:val="28"/>
          <w:szCs w:val="28"/>
        </w:rPr>
        <w:t xml:space="preserve">. . . </w:t>
      </w:r>
      <w:r w:rsidR="00375E75" w:rsidRPr="009D1414">
        <w:rPr>
          <w:sz w:val="28"/>
          <w:szCs w:val="28"/>
        </w:rPr>
        <w:t>deadline’</w:t>
      </w:r>
      <w:r w:rsidR="00FB1B28" w:rsidRPr="009D1414">
        <w:rPr>
          <w:sz w:val="28"/>
          <w:szCs w:val="28"/>
        </w:rPr>
        <w:t>.</w:t>
      </w:r>
      <w:r w:rsidR="00A2332D" w:rsidRPr="009D1414">
        <w:rPr>
          <w:sz w:val="28"/>
          <w:szCs w:val="28"/>
        </w:rPr>
        <w:t xml:space="preserve"> Mr Dixon called Mr Steyn to inquire about the process to be followed for the release, </w:t>
      </w:r>
      <w:r w:rsidR="002E521F" w:rsidRPr="009D1414">
        <w:rPr>
          <w:sz w:val="28"/>
          <w:szCs w:val="28"/>
        </w:rPr>
        <w:t xml:space="preserve">but </w:t>
      </w:r>
      <w:r w:rsidR="00A2332D" w:rsidRPr="009D1414">
        <w:rPr>
          <w:sz w:val="28"/>
          <w:szCs w:val="28"/>
        </w:rPr>
        <w:t>Mr Steyn told him that BMW held no suretyships from Vu</w:t>
      </w:r>
      <w:r w:rsidR="00FB1B28" w:rsidRPr="009D1414">
        <w:rPr>
          <w:sz w:val="28"/>
          <w:szCs w:val="28"/>
        </w:rPr>
        <w:t>w</w:t>
      </w:r>
      <w:r w:rsidR="00A2332D" w:rsidRPr="009D1414">
        <w:rPr>
          <w:sz w:val="28"/>
          <w:szCs w:val="28"/>
        </w:rPr>
        <w:t>a or Mr Tabata</w:t>
      </w:r>
      <w:r w:rsidR="00F821FD" w:rsidRPr="009D1414">
        <w:rPr>
          <w:sz w:val="28"/>
          <w:szCs w:val="28"/>
        </w:rPr>
        <w:t>. Mr S</w:t>
      </w:r>
      <w:r w:rsidR="00D02C8C" w:rsidRPr="009D1414">
        <w:rPr>
          <w:sz w:val="28"/>
          <w:szCs w:val="28"/>
        </w:rPr>
        <w:t>t</w:t>
      </w:r>
      <w:r w:rsidR="00F821FD" w:rsidRPr="009D1414">
        <w:rPr>
          <w:sz w:val="28"/>
          <w:szCs w:val="28"/>
        </w:rPr>
        <w:t>eyn</w:t>
      </w:r>
      <w:r w:rsidR="00A2332D" w:rsidRPr="009D1414">
        <w:rPr>
          <w:sz w:val="28"/>
          <w:szCs w:val="28"/>
        </w:rPr>
        <w:t xml:space="preserve"> </w:t>
      </w:r>
      <w:r w:rsidR="00F821FD" w:rsidRPr="009D1414">
        <w:rPr>
          <w:sz w:val="28"/>
          <w:szCs w:val="28"/>
        </w:rPr>
        <w:t>conveyed this representation to Mr Tabata and Vu</w:t>
      </w:r>
      <w:r w:rsidR="00FB1B28" w:rsidRPr="009D1414">
        <w:rPr>
          <w:sz w:val="28"/>
          <w:szCs w:val="28"/>
        </w:rPr>
        <w:t>w</w:t>
      </w:r>
      <w:r w:rsidR="00F821FD" w:rsidRPr="009D1414">
        <w:rPr>
          <w:sz w:val="28"/>
          <w:szCs w:val="28"/>
        </w:rPr>
        <w:t>a, who accepted such</w:t>
      </w:r>
      <w:r w:rsidR="00A2332D" w:rsidRPr="009D1414">
        <w:rPr>
          <w:sz w:val="28"/>
          <w:szCs w:val="28"/>
        </w:rPr>
        <w:t xml:space="preserve"> to be</w:t>
      </w:r>
      <w:r w:rsidR="000B489D" w:rsidRPr="009D1414">
        <w:rPr>
          <w:sz w:val="28"/>
          <w:szCs w:val="28"/>
        </w:rPr>
        <w:t xml:space="preserve"> the</w:t>
      </w:r>
      <w:r w:rsidR="00A2332D" w:rsidRPr="009D1414">
        <w:rPr>
          <w:sz w:val="28"/>
          <w:szCs w:val="28"/>
        </w:rPr>
        <w:t xml:space="preserve"> position and acted according to this representation.</w:t>
      </w:r>
    </w:p>
    <w:p w14:paraId="7BE36CA4" w14:textId="77777777" w:rsidR="00232738" w:rsidRPr="00587E6D" w:rsidRDefault="00232738" w:rsidP="00232738">
      <w:pPr>
        <w:tabs>
          <w:tab w:val="left" w:pos="0"/>
        </w:tabs>
        <w:rPr>
          <w:sz w:val="28"/>
          <w:szCs w:val="28"/>
        </w:rPr>
      </w:pPr>
    </w:p>
    <w:p w14:paraId="7AA0BBB4" w14:textId="4112DFA8" w:rsidR="00A2332D" w:rsidRPr="009D1414" w:rsidRDefault="009D1414" w:rsidP="009D1414">
      <w:pPr>
        <w:tabs>
          <w:tab w:val="left" w:pos="0"/>
        </w:tabs>
        <w:rPr>
          <w:sz w:val="28"/>
          <w:szCs w:val="28"/>
        </w:rPr>
      </w:pPr>
      <w:r>
        <w:rPr>
          <w:sz w:val="28"/>
          <w:szCs w:val="28"/>
        </w:rPr>
        <w:t>[27]</w:t>
      </w:r>
      <w:r>
        <w:rPr>
          <w:sz w:val="28"/>
          <w:szCs w:val="28"/>
        </w:rPr>
        <w:tab/>
      </w:r>
      <w:r w:rsidR="00A2332D" w:rsidRPr="009D1414">
        <w:rPr>
          <w:sz w:val="28"/>
          <w:szCs w:val="28"/>
        </w:rPr>
        <w:t xml:space="preserve">The distinction between </w:t>
      </w:r>
      <w:r w:rsidR="00A2332D" w:rsidRPr="009D1414">
        <w:rPr>
          <w:i/>
          <w:sz w:val="28"/>
          <w:szCs w:val="28"/>
        </w:rPr>
        <w:t>BMW</w:t>
      </w:r>
      <w:r w:rsidR="00D300E2" w:rsidRPr="009D1414">
        <w:rPr>
          <w:i/>
          <w:sz w:val="28"/>
          <w:szCs w:val="28"/>
        </w:rPr>
        <w:t xml:space="preserve"> Financial Services (SA) </w:t>
      </w:r>
      <w:r w:rsidR="00A2332D" w:rsidRPr="009D1414">
        <w:rPr>
          <w:sz w:val="28"/>
          <w:szCs w:val="28"/>
        </w:rPr>
        <w:t xml:space="preserve">and the present matter is </w:t>
      </w:r>
      <w:r w:rsidR="00BE1406" w:rsidRPr="009D1414">
        <w:rPr>
          <w:sz w:val="28"/>
          <w:szCs w:val="28"/>
        </w:rPr>
        <w:t>manifest:</w:t>
      </w:r>
      <w:r w:rsidR="00806B8F" w:rsidRPr="009D1414">
        <w:rPr>
          <w:sz w:val="28"/>
          <w:szCs w:val="28"/>
        </w:rPr>
        <w:t xml:space="preserve"> </w:t>
      </w:r>
      <w:r w:rsidR="00A2332D" w:rsidRPr="009D1414">
        <w:rPr>
          <w:sz w:val="28"/>
          <w:szCs w:val="28"/>
        </w:rPr>
        <w:t>there</w:t>
      </w:r>
      <w:r w:rsidR="00FA6A1B" w:rsidRPr="009D1414">
        <w:rPr>
          <w:sz w:val="28"/>
          <w:szCs w:val="28"/>
        </w:rPr>
        <w:t>,</w:t>
      </w:r>
      <w:r w:rsidR="00A2332D" w:rsidRPr="009D1414">
        <w:rPr>
          <w:sz w:val="28"/>
          <w:szCs w:val="28"/>
        </w:rPr>
        <w:t xml:space="preserve"> </w:t>
      </w:r>
      <w:r w:rsidR="008B2C73" w:rsidRPr="009D1414">
        <w:rPr>
          <w:sz w:val="28"/>
          <w:szCs w:val="28"/>
        </w:rPr>
        <w:t>the representation did not concern the</w:t>
      </w:r>
      <w:r w:rsidR="00A2332D" w:rsidRPr="009D1414">
        <w:rPr>
          <w:sz w:val="28"/>
          <w:szCs w:val="28"/>
        </w:rPr>
        <w:t xml:space="preserve"> non-variation clause</w:t>
      </w:r>
      <w:r w:rsidR="00A57044" w:rsidRPr="009D1414">
        <w:rPr>
          <w:sz w:val="28"/>
          <w:szCs w:val="28"/>
        </w:rPr>
        <w:t xml:space="preserve">. </w:t>
      </w:r>
      <w:r w:rsidR="00A2332D" w:rsidRPr="009D1414">
        <w:rPr>
          <w:sz w:val="28"/>
          <w:szCs w:val="28"/>
        </w:rPr>
        <w:t xml:space="preserve">In other words, BMW’s </w:t>
      </w:r>
      <w:r w:rsidR="000B489D" w:rsidRPr="009D1414">
        <w:rPr>
          <w:sz w:val="28"/>
          <w:szCs w:val="28"/>
        </w:rPr>
        <w:t xml:space="preserve">case </w:t>
      </w:r>
      <w:r w:rsidR="00A2332D" w:rsidRPr="009D1414">
        <w:rPr>
          <w:sz w:val="28"/>
          <w:szCs w:val="28"/>
        </w:rPr>
        <w:t>was not that</w:t>
      </w:r>
      <w:r w:rsidR="00144A50" w:rsidRPr="009D1414">
        <w:rPr>
          <w:sz w:val="28"/>
          <w:szCs w:val="28"/>
        </w:rPr>
        <w:t>,</w:t>
      </w:r>
      <w:r w:rsidR="00A2332D" w:rsidRPr="009D1414">
        <w:rPr>
          <w:sz w:val="28"/>
          <w:szCs w:val="28"/>
        </w:rPr>
        <w:t xml:space="preserve"> </w:t>
      </w:r>
      <w:r w:rsidR="002E4BFA" w:rsidRPr="009D1414">
        <w:rPr>
          <w:sz w:val="28"/>
          <w:szCs w:val="28"/>
        </w:rPr>
        <w:t>for</w:t>
      </w:r>
      <w:r w:rsidR="00A2332D" w:rsidRPr="009D1414">
        <w:rPr>
          <w:sz w:val="28"/>
          <w:szCs w:val="28"/>
        </w:rPr>
        <w:t xml:space="preserve"> the release to </w:t>
      </w:r>
      <w:r w:rsidR="00144A50" w:rsidRPr="009D1414">
        <w:rPr>
          <w:sz w:val="28"/>
          <w:szCs w:val="28"/>
        </w:rPr>
        <w:t xml:space="preserve">have </w:t>
      </w:r>
      <w:r w:rsidR="00A2332D" w:rsidRPr="009D1414">
        <w:rPr>
          <w:sz w:val="28"/>
          <w:szCs w:val="28"/>
        </w:rPr>
        <w:t>be</w:t>
      </w:r>
      <w:r w:rsidR="00144A50" w:rsidRPr="009D1414">
        <w:rPr>
          <w:sz w:val="28"/>
          <w:szCs w:val="28"/>
        </w:rPr>
        <w:t>en</w:t>
      </w:r>
      <w:r w:rsidR="00A2332D" w:rsidRPr="009D1414">
        <w:rPr>
          <w:sz w:val="28"/>
          <w:szCs w:val="28"/>
        </w:rPr>
        <w:t xml:space="preserve"> effective, it </w:t>
      </w:r>
      <w:r w:rsidR="00144A50" w:rsidRPr="009D1414">
        <w:rPr>
          <w:sz w:val="28"/>
          <w:szCs w:val="28"/>
        </w:rPr>
        <w:t xml:space="preserve">had to </w:t>
      </w:r>
      <w:r w:rsidR="00A2332D" w:rsidRPr="009D1414">
        <w:rPr>
          <w:sz w:val="28"/>
          <w:szCs w:val="28"/>
        </w:rPr>
        <w:t xml:space="preserve">be reduced </w:t>
      </w:r>
      <w:r w:rsidR="000B489D" w:rsidRPr="009D1414">
        <w:rPr>
          <w:sz w:val="28"/>
          <w:szCs w:val="28"/>
        </w:rPr>
        <w:t>to</w:t>
      </w:r>
      <w:r w:rsidR="00A2332D" w:rsidRPr="009D1414">
        <w:rPr>
          <w:sz w:val="28"/>
          <w:szCs w:val="28"/>
        </w:rPr>
        <w:t xml:space="preserve"> writing. The dispute turned on the telephonic conversation</w:t>
      </w:r>
      <w:r w:rsidR="00AC791D" w:rsidRPr="009D1414">
        <w:rPr>
          <w:sz w:val="28"/>
          <w:szCs w:val="28"/>
        </w:rPr>
        <w:t xml:space="preserve"> between Mr Dixon and Mr Steyn</w:t>
      </w:r>
      <w:r w:rsidR="00A2332D" w:rsidRPr="009D1414">
        <w:rPr>
          <w:sz w:val="28"/>
          <w:szCs w:val="28"/>
        </w:rPr>
        <w:t xml:space="preserve"> and its contents. </w:t>
      </w:r>
      <w:r w:rsidR="009F245A" w:rsidRPr="009D1414">
        <w:rPr>
          <w:sz w:val="28"/>
          <w:szCs w:val="28"/>
        </w:rPr>
        <w:t>On appeal, this</w:t>
      </w:r>
      <w:r w:rsidR="00144A50" w:rsidRPr="009D1414">
        <w:rPr>
          <w:sz w:val="28"/>
          <w:szCs w:val="28"/>
        </w:rPr>
        <w:t xml:space="preserve"> Court accepted that the telephone conversation occurred. Accordingly, </w:t>
      </w:r>
      <w:r w:rsidR="00F821FD" w:rsidRPr="009D1414">
        <w:rPr>
          <w:sz w:val="28"/>
          <w:szCs w:val="28"/>
        </w:rPr>
        <w:t xml:space="preserve">the representation </w:t>
      </w:r>
      <w:r w:rsidR="00144A50" w:rsidRPr="009D1414">
        <w:rPr>
          <w:sz w:val="28"/>
          <w:szCs w:val="28"/>
        </w:rPr>
        <w:t>there was</w:t>
      </w:r>
      <w:r w:rsidR="0014368A" w:rsidRPr="009D1414">
        <w:rPr>
          <w:sz w:val="28"/>
          <w:szCs w:val="28"/>
        </w:rPr>
        <w:t xml:space="preserve"> that</w:t>
      </w:r>
      <w:r w:rsidR="00144A50" w:rsidRPr="009D1414">
        <w:rPr>
          <w:sz w:val="28"/>
          <w:szCs w:val="28"/>
        </w:rPr>
        <w:t xml:space="preserve"> </w:t>
      </w:r>
      <w:r w:rsidR="00F821FD" w:rsidRPr="009D1414">
        <w:rPr>
          <w:sz w:val="28"/>
          <w:szCs w:val="28"/>
        </w:rPr>
        <w:lastRenderedPageBreak/>
        <w:t xml:space="preserve">there were </w:t>
      </w:r>
      <w:r w:rsidR="00144A50" w:rsidRPr="009D1414">
        <w:rPr>
          <w:sz w:val="28"/>
          <w:szCs w:val="28"/>
        </w:rPr>
        <w:t>no suretyship</w:t>
      </w:r>
      <w:r w:rsidR="00F821FD" w:rsidRPr="009D1414">
        <w:rPr>
          <w:sz w:val="28"/>
          <w:szCs w:val="28"/>
        </w:rPr>
        <w:t>s</w:t>
      </w:r>
      <w:r w:rsidR="00144A50" w:rsidRPr="009D1414">
        <w:rPr>
          <w:sz w:val="28"/>
          <w:szCs w:val="28"/>
        </w:rPr>
        <w:t xml:space="preserve">. </w:t>
      </w:r>
      <w:r w:rsidR="00F821FD" w:rsidRPr="009D1414">
        <w:rPr>
          <w:sz w:val="28"/>
          <w:szCs w:val="28"/>
        </w:rPr>
        <w:t>A</w:t>
      </w:r>
      <w:r w:rsidR="003311B6" w:rsidRPr="009D1414">
        <w:rPr>
          <w:sz w:val="28"/>
          <w:szCs w:val="28"/>
        </w:rPr>
        <w:t xml:space="preserve"> non-variation</w:t>
      </w:r>
      <w:r w:rsidR="00AC791D" w:rsidRPr="009D1414">
        <w:rPr>
          <w:sz w:val="28"/>
          <w:szCs w:val="28"/>
        </w:rPr>
        <w:t xml:space="preserve"> </w:t>
      </w:r>
      <w:r w:rsidR="00F821FD" w:rsidRPr="009D1414">
        <w:rPr>
          <w:sz w:val="28"/>
          <w:szCs w:val="28"/>
        </w:rPr>
        <w:t>clause or</w:t>
      </w:r>
      <w:r w:rsidR="00144A50" w:rsidRPr="009D1414">
        <w:rPr>
          <w:sz w:val="28"/>
          <w:szCs w:val="28"/>
        </w:rPr>
        <w:t xml:space="preserve"> its violation </w:t>
      </w:r>
      <w:r w:rsidR="00E53DF4" w:rsidRPr="009D1414">
        <w:rPr>
          <w:sz w:val="28"/>
          <w:szCs w:val="28"/>
        </w:rPr>
        <w:t>by the alleged representation</w:t>
      </w:r>
      <w:r w:rsidR="00F821FD" w:rsidRPr="009D1414">
        <w:rPr>
          <w:sz w:val="28"/>
          <w:szCs w:val="28"/>
        </w:rPr>
        <w:t>,</w:t>
      </w:r>
      <w:r w:rsidR="00E53DF4" w:rsidRPr="009D1414">
        <w:rPr>
          <w:sz w:val="28"/>
          <w:szCs w:val="28"/>
        </w:rPr>
        <w:t xml:space="preserve"> </w:t>
      </w:r>
      <w:r w:rsidR="00144A50" w:rsidRPr="009D1414">
        <w:rPr>
          <w:sz w:val="28"/>
          <w:szCs w:val="28"/>
        </w:rPr>
        <w:t xml:space="preserve">was not in issue in that case. </w:t>
      </w:r>
    </w:p>
    <w:p w14:paraId="4E3529BD" w14:textId="77777777" w:rsidR="00C0301F" w:rsidRPr="00260778" w:rsidRDefault="00C0301F" w:rsidP="00C0301F">
      <w:pPr>
        <w:pStyle w:val="ListParagraph"/>
        <w:tabs>
          <w:tab w:val="left" w:pos="0"/>
        </w:tabs>
        <w:ind w:left="0"/>
        <w:rPr>
          <w:sz w:val="28"/>
          <w:szCs w:val="28"/>
        </w:rPr>
      </w:pPr>
    </w:p>
    <w:p w14:paraId="0DF5788C" w14:textId="3DC20D84" w:rsidR="00AB5850" w:rsidRPr="009D1414" w:rsidRDefault="009D1414" w:rsidP="009D1414">
      <w:pPr>
        <w:tabs>
          <w:tab w:val="left" w:pos="0"/>
        </w:tabs>
        <w:rPr>
          <w:sz w:val="28"/>
          <w:szCs w:val="28"/>
        </w:rPr>
      </w:pPr>
      <w:r w:rsidRPr="00587E6D">
        <w:rPr>
          <w:sz w:val="28"/>
          <w:szCs w:val="28"/>
        </w:rPr>
        <w:t>[28]</w:t>
      </w:r>
      <w:r w:rsidRPr="00587E6D">
        <w:rPr>
          <w:sz w:val="28"/>
          <w:szCs w:val="28"/>
        </w:rPr>
        <w:tab/>
      </w:r>
      <w:r w:rsidR="002F075E" w:rsidRPr="009D1414">
        <w:rPr>
          <w:sz w:val="28"/>
          <w:szCs w:val="28"/>
        </w:rPr>
        <w:t xml:space="preserve">The appellants’ pleaded case </w:t>
      </w:r>
      <w:r w:rsidR="00C53899" w:rsidRPr="009D1414">
        <w:rPr>
          <w:sz w:val="28"/>
          <w:szCs w:val="28"/>
        </w:rPr>
        <w:t xml:space="preserve">also </w:t>
      </w:r>
      <w:r w:rsidR="002F075E" w:rsidRPr="009D1414">
        <w:rPr>
          <w:sz w:val="28"/>
          <w:szCs w:val="28"/>
        </w:rPr>
        <w:t>fa</w:t>
      </w:r>
      <w:r w:rsidR="00C53899" w:rsidRPr="009D1414">
        <w:rPr>
          <w:sz w:val="28"/>
          <w:szCs w:val="28"/>
        </w:rPr>
        <w:t>ils at another level</w:t>
      </w:r>
      <w:r w:rsidR="002F075E" w:rsidRPr="009D1414">
        <w:rPr>
          <w:sz w:val="28"/>
          <w:szCs w:val="28"/>
        </w:rPr>
        <w:t xml:space="preserve">. The </w:t>
      </w:r>
      <w:r w:rsidR="003D5526" w:rsidRPr="009D1414">
        <w:rPr>
          <w:sz w:val="28"/>
          <w:szCs w:val="28"/>
        </w:rPr>
        <w:t xml:space="preserve">conclusion of the alleged </w:t>
      </w:r>
      <w:r w:rsidR="002F075E" w:rsidRPr="009D1414">
        <w:rPr>
          <w:sz w:val="28"/>
          <w:szCs w:val="28"/>
        </w:rPr>
        <w:t>oral agreement</w:t>
      </w:r>
      <w:r w:rsidR="003D5526" w:rsidRPr="009D1414">
        <w:rPr>
          <w:sz w:val="28"/>
          <w:szCs w:val="28"/>
        </w:rPr>
        <w:t xml:space="preserve"> is based on the following facts</w:t>
      </w:r>
      <w:r w:rsidR="00A51F91" w:rsidRPr="009D1414">
        <w:rPr>
          <w:sz w:val="28"/>
          <w:szCs w:val="28"/>
        </w:rPr>
        <w:t>:</w:t>
      </w:r>
      <w:r w:rsidR="00C53899" w:rsidRPr="009D1414">
        <w:rPr>
          <w:sz w:val="28"/>
          <w:szCs w:val="28"/>
        </w:rPr>
        <w:t xml:space="preserve"> (a) </w:t>
      </w:r>
      <w:r w:rsidR="00074134" w:rsidRPr="009D1414">
        <w:rPr>
          <w:sz w:val="28"/>
          <w:szCs w:val="28"/>
        </w:rPr>
        <w:t>the respondent</w:t>
      </w:r>
      <w:r w:rsidR="00FA6A1B" w:rsidRPr="009D1414">
        <w:rPr>
          <w:sz w:val="28"/>
          <w:szCs w:val="28"/>
        </w:rPr>
        <w:t>’</w:t>
      </w:r>
      <w:r w:rsidR="00074134" w:rsidRPr="009D1414">
        <w:rPr>
          <w:sz w:val="28"/>
          <w:szCs w:val="28"/>
        </w:rPr>
        <w:t>s</w:t>
      </w:r>
      <w:r w:rsidR="002F075E" w:rsidRPr="009D1414">
        <w:rPr>
          <w:sz w:val="28"/>
          <w:szCs w:val="28"/>
        </w:rPr>
        <w:t xml:space="preserve"> representatives approach</w:t>
      </w:r>
      <w:r w:rsidR="003D5526" w:rsidRPr="009D1414">
        <w:rPr>
          <w:sz w:val="28"/>
          <w:szCs w:val="28"/>
        </w:rPr>
        <w:t>ed</w:t>
      </w:r>
      <w:r w:rsidR="002F075E" w:rsidRPr="009D1414">
        <w:rPr>
          <w:sz w:val="28"/>
          <w:szCs w:val="28"/>
        </w:rPr>
        <w:t xml:space="preserve"> the second appellant to</w:t>
      </w:r>
      <w:r w:rsidR="003D5526" w:rsidRPr="009D1414">
        <w:rPr>
          <w:sz w:val="28"/>
          <w:szCs w:val="28"/>
        </w:rPr>
        <w:t xml:space="preserve"> vacate the premises and</w:t>
      </w:r>
      <w:r w:rsidR="002F075E" w:rsidRPr="009D1414">
        <w:rPr>
          <w:sz w:val="28"/>
          <w:szCs w:val="28"/>
        </w:rPr>
        <w:t xml:space="preserve"> take alternative </w:t>
      </w:r>
      <w:r w:rsidR="0072529B" w:rsidRPr="009D1414">
        <w:rPr>
          <w:sz w:val="28"/>
          <w:szCs w:val="28"/>
        </w:rPr>
        <w:t>premises</w:t>
      </w:r>
      <w:r w:rsidR="003D5526" w:rsidRPr="009D1414">
        <w:rPr>
          <w:sz w:val="28"/>
          <w:szCs w:val="28"/>
        </w:rPr>
        <w:t>,</w:t>
      </w:r>
      <w:r w:rsidR="0072529B" w:rsidRPr="009D1414">
        <w:rPr>
          <w:sz w:val="28"/>
          <w:szCs w:val="28"/>
        </w:rPr>
        <w:t xml:space="preserve"> which</w:t>
      </w:r>
      <w:r w:rsidR="002F075E" w:rsidRPr="009D1414">
        <w:rPr>
          <w:sz w:val="28"/>
          <w:szCs w:val="28"/>
        </w:rPr>
        <w:t xml:space="preserve"> were not to his liking</w:t>
      </w:r>
      <w:r w:rsidR="00C53899" w:rsidRPr="009D1414">
        <w:rPr>
          <w:sz w:val="28"/>
          <w:szCs w:val="28"/>
        </w:rPr>
        <w:t xml:space="preserve">; (b) the </w:t>
      </w:r>
      <w:r w:rsidR="0072529B" w:rsidRPr="009D1414">
        <w:rPr>
          <w:sz w:val="28"/>
          <w:szCs w:val="28"/>
        </w:rPr>
        <w:t>representatives showed him vacant land where new premises could be constructed</w:t>
      </w:r>
      <w:r w:rsidR="00C53899" w:rsidRPr="009D1414">
        <w:rPr>
          <w:sz w:val="28"/>
          <w:szCs w:val="28"/>
        </w:rPr>
        <w:t>; (c) t</w:t>
      </w:r>
      <w:r w:rsidR="0072529B" w:rsidRPr="009D1414">
        <w:rPr>
          <w:sz w:val="28"/>
          <w:szCs w:val="28"/>
        </w:rPr>
        <w:t>he second appellant</w:t>
      </w:r>
      <w:r w:rsidR="00A51F91" w:rsidRPr="009D1414">
        <w:rPr>
          <w:sz w:val="28"/>
          <w:szCs w:val="28"/>
        </w:rPr>
        <w:t>,</w:t>
      </w:r>
      <w:r w:rsidR="0072529B" w:rsidRPr="009D1414">
        <w:rPr>
          <w:sz w:val="28"/>
          <w:szCs w:val="28"/>
        </w:rPr>
        <w:t xml:space="preserve"> on behalf of the first appellant, w</w:t>
      </w:r>
      <w:r w:rsidR="00AB5850" w:rsidRPr="009D1414">
        <w:rPr>
          <w:sz w:val="28"/>
          <w:szCs w:val="28"/>
        </w:rPr>
        <w:t>ent</w:t>
      </w:r>
      <w:r w:rsidR="0072529B" w:rsidRPr="009D1414">
        <w:rPr>
          <w:sz w:val="28"/>
          <w:szCs w:val="28"/>
        </w:rPr>
        <w:t xml:space="preserve"> </w:t>
      </w:r>
      <w:r w:rsidR="00AB5850" w:rsidRPr="009D1414">
        <w:rPr>
          <w:sz w:val="28"/>
          <w:szCs w:val="28"/>
        </w:rPr>
        <w:t>a</w:t>
      </w:r>
      <w:r w:rsidR="0072529B" w:rsidRPr="009D1414">
        <w:rPr>
          <w:sz w:val="28"/>
          <w:szCs w:val="28"/>
        </w:rPr>
        <w:t>head</w:t>
      </w:r>
      <w:r w:rsidR="00AB5850" w:rsidRPr="009D1414">
        <w:rPr>
          <w:sz w:val="28"/>
          <w:szCs w:val="28"/>
        </w:rPr>
        <w:t xml:space="preserve"> to construct these new premises</w:t>
      </w:r>
      <w:r w:rsidR="003D5526" w:rsidRPr="009D1414">
        <w:rPr>
          <w:sz w:val="28"/>
          <w:szCs w:val="28"/>
        </w:rPr>
        <w:t>;</w:t>
      </w:r>
      <w:r w:rsidR="00AB5850" w:rsidRPr="009D1414">
        <w:rPr>
          <w:sz w:val="28"/>
          <w:szCs w:val="28"/>
        </w:rPr>
        <w:t xml:space="preserve"> </w:t>
      </w:r>
      <w:r w:rsidR="003D5526" w:rsidRPr="009D1414">
        <w:rPr>
          <w:sz w:val="28"/>
          <w:szCs w:val="28"/>
        </w:rPr>
        <w:t>(d)</w:t>
      </w:r>
      <w:r w:rsidR="00A51F91" w:rsidRPr="009D1414">
        <w:rPr>
          <w:sz w:val="28"/>
          <w:szCs w:val="28"/>
        </w:rPr>
        <w:t xml:space="preserve"> </w:t>
      </w:r>
      <w:r w:rsidR="003D5526" w:rsidRPr="009D1414">
        <w:rPr>
          <w:sz w:val="28"/>
          <w:szCs w:val="28"/>
        </w:rPr>
        <w:t>w</w:t>
      </w:r>
      <w:r w:rsidR="00AB5850" w:rsidRPr="009D1414">
        <w:rPr>
          <w:sz w:val="28"/>
          <w:szCs w:val="28"/>
        </w:rPr>
        <w:t>hile all this was taking place the respondent w</w:t>
      </w:r>
      <w:r w:rsidR="003D5526" w:rsidRPr="009D1414">
        <w:rPr>
          <w:sz w:val="28"/>
          <w:szCs w:val="28"/>
        </w:rPr>
        <w:t>as</w:t>
      </w:r>
      <w:r w:rsidR="00AB5850" w:rsidRPr="009D1414">
        <w:rPr>
          <w:sz w:val="28"/>
          <w:szCs w:val="28"/>
        </w:rPr>
        <w:t xml:space="preserve"> silent and never advised that the non-variation clause would be relied upon. </w:t>
      </w:r>
    </w:p>
    <w:p w14:paraId="6A79D564" w14:textId="77777777" w:rsidR="00787784" w:rsidRPr="00587E6D" w:rsidRDefault="00787784" w:rsidP="0004044D">
      <w:pPr>
        <w:pStyle w:val="ListParagraph"/>
        <w:rPr>
          <w:sz w:val="28"/>
          <w:szCs w:val="28"/>
        </w:rPr>
      </w:pPr>
    </w:p>
    <w:p w14:paraId="7B3A99FA" w14:textId="6F671C4E" w:rsidR="00E65060" w:rsidRPr="009D1414" w:rsidRDefault="009D1414" w:rsidP="009D1414">
      <w:pPr>
        <w:tabs>
          <w:tab w:val="left" w:pos="0"/>
        </w:tabs>
        <w:rPr>
          <w:sz w:val="28"/>
          <w:szCs w:val="28"/>
        </w:rPr>
      </w:pPr>
      <w:r w:rsidRPr="00587E6D">
        <w:rPr>
          <w:sz w:val="28"/>
          <w:szCs w:val="28"/>
        </w:rPr>
        <w:t>[29]</w:t>
      </w:r>
      <w:r w:rsidRPr="00587E6D">
        <w:rPr>
          <w:sz w:val="28"/>
          <w:szCs w:val="28"/>
        </w:rPr>
        <w:tab/>
      </w:r>
      <w:r w:rsidR="00AB5850" w:rsidRPr="009D1414">
        <w:rPr>
          <w:sz w:val="28"/>
          <w:szCs w:val="28"/>
        </w:rPr>
        <w:t>Th</w:t>
      </w:r>
      <w:r w:rsidR="003D5526" w:rsidRPr="009D1414">
        <w:rPr>
          <w:sz w:val="28"/>
          <w:szCs w:val="28"/>
        </w:rPr>
        <w:t>ese facts</w:t>
      </w:r>
      <w:r w:rsidR="00AB5850" w:rsidRPr="009D1414">
        <w:rPr>
          <w:sz w:val="28"/>
          <w:szCs w:val="28"/>
        </w:rPr>
        <w:t xml:space="preserve">, in my opinion, </w:t>
      </w:r>
      <w:r w:rsidR="003D5526" w:rsidRPr="009D1414">
        <w:rPr>
          <w:sz w:val="28"/>
          <w:szCs w:val="28"/>
        </w:rPr>
        <w:t>are</w:t>
      </w:r>
      <w:r w:rsidR="00AB5850" w:rsidRPr="009D1414">
        <w:rPr>
          <w:sz w:val="28"/>
          <w:szCs w:val="28"/>
        </w:rPr>
        <w:t xml:space="preserve"> a far cry</w:t>
      </w:r>
      <w:r w:rsidR="00787784" w:rsidRPr="009D1414">
        <w:rPr>
          <w:sz w:val="28"/>
          <w:szCs w:val="28"/>
        </w:rPr>
        <w:t xml:space="preserve"> from </w:t>
      </w:r>
      <w:r w:rsidR="003D5526" w:rsidRPr="009D1414">
        <w:rPr>
          <w:sz w:val="28"/>
          <w:szCs w:val="28"/>
        </w:rPr>
        <w:t xml:space="preserve">demonstrating </w:t>
      </w:r>
      <w:r w:rsidR="00F821FD" w:rsidRPr="009D1414">
        <w:rPr>
          <w:sz w:val="28"/>
          <w:szCs w:val="28"/>
        </w:rPr>
        <w:t xml:space="preserve">the </w:t>
      </w:r>
      <w:r w:rsidR="0027207A" w:rsidRPr="009D1414">
        <w:rPr>
          <w:sz w:val="28"/>
          <w:szCs w:val="28"/>
        </w:rPr>
        <w:t xml:space="preserve">conclusion of </w:t>
      </w:r>
      <w:r w:rsidR="00787784" w:rsidRPr="009D1414">
        <w:rPr>
          <w:sz w:val="28"/>
          <w:szCs w:val="28"/>
        </w:rPr>
        <w:t>an agreement</w:t>
      </w:r>
      <w:r w:rsidR="00A51F91" w:rsidRPr="009D1414">
        <w:rPr>
          <w:sz w:val="28"/>
          <w:szCs w:val="28"/>
        </w:rPr>
        <w:t xml:space="preserve"> to the effect that the</w:t>
      </w:r>
      <w:r w:rsidR="00232738" w:rsidRPr="009D1414">
        <w:rPr>
          <w:sz w:val="28"/>
          <w:szCs w:val="28"/>
        </w:rPr>
        <w:t xml:space="preserve"> agreement was cancelled</w:t>
      </w:r>
      <w:r w:rsidR="003D5526" w:rsidRPr="009D1414">
        <w:rPr>
          <w:sz w:val="28"/>
          <w:szCs w:val="28"/>
        </w:rPr>
        <w:t xml:space="preserve">. </w:t>
      </w:r>
      <w:r w:rsidR="00C53A48" w:rsidRPr="009D1414">
        <w:rPr>
          <w:sz w:val="28"/>
          <w:szCs w:val="28"/>
        </w:rPr>
        <w:t xml:space="preserve">I do not see </w:t>
      </w:r>
      <w:r w:rsidR="0027207A" w:rsidRPr="009D1414">
        <w:rPr>
          <w:sz w:val="28"/>
          <w:szCs w:val="28"/>
        </w:rPr>
        <w:t xml:space="preserve">how a reasonable </w:t>
      </w:r>
      <w:r w:rsidR="000B489D" w:rsidRPr="009D1414">
        <w:rPr>
          <w:sz w:val="28"/>
          <w:szCs w:val="28"/>
        </w:rPr>
        <w:t xml:space="preserve">person </w:t>
      </w:r>
      <w:r w:rsidR="0027207A" w:rsidRPr="009D1414">
        <w:rPr>
          <w:sz w:val="28"/>
          <w:szCs w:val="28"/>
        </w:rPr>
        <w:t xml:space="preserve">in the position of the second appellant would, having knowledge of the true facts, believe that the first appellant would be released from the </w:t>
      </w:r>
      <w:r w:rsidR="00A51F91" w:rsidRPr="009D1414">
        <w:rPr>
          <w:sz w:val="28"/>
          <w:szCs w:val="28"/>
        </w:rPr>
        <w:t>agreement</w:t>
      </w:r>
      <w:r w:rsidR="003D5526" w:rsidRPr="009D1414">
        <w:rPr>
          <w:sz w:val="28"/>
          <w:szCs w:val="28"/>
        </w:rPr>
        <w:t xml:space="preserve"> to occupy premises </w:t>
      </w:r>
      <w:r w:rsidR="0027207A" w:rsidRPr="009D1414">
        <w:rPr>
          <w:sz w:val="28"/>
          <w:szCs w:val="28"/>
        </w:rPr>
        <w:t>where</w:t>
      </w:r>
      <w:r w:rsidR="00E65060" w:rsidRPr="009D1414">
        <w:rPr>
          <w:sz w:val="28"/>
          <w:szCs w:val="28"/>
        </w:rPr>
        <w:t xml:space="preserve"> the respondent would no longer receive any rental income.</w:t>
      </w:r>
      <w:r w:rsidR="003D5526" w:rsidRPr="009D1414">
        <w:rPr>
          <w:sz w:val="28"/>
          <w:szCs w:val="28"/>
        </w:rPr>
        <w:t xml:space="preserve"> We however do not need to</w:t>
      </w:r>
      <w:r w:rsidR="00A51F91" w:rsidRPr="009D1414">
        <w:rPr>
          <w:sz w:val="28"/>
          <w:szCs w:val="28"/>
        </w:rPr>
        <w:t xml:space="preserve"> </w:t>
      </w:r>
      <w:r w:rsidR="00232738" w:rsidRPr="009D1414">
        <w:rPr>
          <w:sz w:val="28"/>
          <w:szCs w:val="28"/>
        </w:rPr>
        <w:t xml:space="preserve">traverse this point any </w:t>
      </w:r>
      <w:r w:rsidR="00A51F91" w:rsidRPr="009D1414">
        <w:rPr>
          <w:sz w:val="28"/>
          <w:szCs w:val="28"/>
        </w:rPr>
        <w:t>further</w:t>
      </w:r>
      <w:r w:rsidR="003D5526" w:rsidRPr="009D1414">
        <w:rPr>
          <w:sz w:val="28"/>
          <w:szCs w:val="28"/>
        </w:rPr>
        <w:t xml:space="preserve">. </w:t>
      </w:r>
    </w:p>
    <w:p w14:paraId="0FF0BAC8" w14:textId="77777777" w:rsidR="00232738" w:rsidRPr="00587E6D" w:rsidRDefault="00232738" w:rsidP="00232738">
      <w:pPr>
        <w:pStyle w:val="ListParagraph"/>
        <w:rPr>
          <w:sz w:val="28"/>
          <w:szCs w:val="28"/>
        </w:rPr>
      </w:pPr>
    </w:p>
    <w:p w14:paraId="5E69DCED" w14:textId="40C709C2" w:rsidR="00E65060" w:rsidRPr="009D1414" w:rsidRDefault="009D1414" w:rsidP="009D1414">
      <w:pPr>
        <w:tabs>
          <w:tab w:val="left" w:pos="0"/>
        </w:tabs>
        <w:rPr>
          <w:sz w:val="28"/>
          <w:szCs w:val="28"/>
        </w:rPr>
      </w:pPr>
      <w:r w:rsidRPr="00587E6D">
        <w:rPr>
          <w:sz w:val="28"/>
          <w:szCs w:val="28"/>
        </w:rPr>
        <w:t>[30]</w:t>
      </w:r>
      <w:r w:rsidRPr="00587E6D">
        <w:rPr>
          <w:sz w:val="28"/>
          <w:szCs w:val="28"/>
        </w:rPr>
        <w:tab/>
      </w:r>
      <w:r w:rsidR="00F821FD" w:rsidRPr="009D1414">
        <w:rPr>
          <w:sz w:val="28"/>
          <w:szCs w:val="28"/>
        </w:rPr>
        <w:t>In the circumstances, oral</w:t>
      </w:r>
      <w:r w:rsidR="00121A60" w:rsidRPr="009D1414">
        <w:rPr>
          <w:sz w:val="28"/>
          <w:szCs w:val="28"/>
        </w:rPr>
        <w:t xml:space="preserve"> evidence will not assist the appellants. I am impelled</w:t>
      </w:r>
      <w:r w:rsidR="003D5526" w:rsidRPr="009D1414">
        <w:rPr>
          <w:sz w:val="28"/>
          <w:szCs w:val="28"/>
        </w:rPr>
        <w:t>, therefore,</w:t>
      </w:r>
      <w:r w:rsidR="00121A60" w:rsidRPr="009D1414">
        <w:rPr>
          <w:sz w:val="28"/>
          <w:szCs w:val="28"/>
        </w:rPr>
        <w:t xml:space="preserve"> to find that the defence raised fall</w:t>
      </w:r>
      <w:r w:rsidR="003D5526" w:rsidRPr="009D1414">
        <w:rPr>
          <w:sz w:val="28"/>
          <w:szCs w:val="28"/>
        </w:rPr>
        <w:t>s</w:t>
      </w:r>
      <w:r w:rsidR="00121A60" w:rsidRPr="009D1414">
        <w:rPr>
          <w:sz w:val="28"/>
          <w:szCs w:val="28"/>
        </w:rPr>
        <w:t xml:space="preserve"> short of a </w:t>
      </w:r>
      <w:r w:rsidR="00121A60" w:rsidRPr="009D1414">
        <w:rPr>
          <w:i/>
          <w:sz w:val="28"/>
          <w:szCs w:val="28"/>
        </w:rPr>
        <w:t>bona fide</w:t>
      </w:r>
      <w:r w:rsidR="00121A60" w:rsidRPr="009D1414">
        <w:rPr>
          <w:sz w:val="28"/>
          <w:szCs w:val="28"/>
        </w:rPr>
        <w:t xml:space="preserve"> defence that is good in law. Accordingly, the high court’s order granting summary judgment in favour of the respondent </w:t>
      </w:r>
      <w:r w:rsidR="003D5526" w:rsidRPr="009D1414">
        <w:rPr>
          <w:sz w:val="28"/>
          <w:szCs w:val="28"/>
        </w:rPr>
        <w:t xml:space="preserve">must </w:t>
      </w:r>
      <w:r w:rsidR="00121A60" w:rsidRPr="009D1414">
        <w:rPr>
          <w:sz w:val="28"/>
          <w:szCs w:val="28"/>
        </w:rPr>
        <w:t>stand.</w:t>
      </w:r>
    </w:p>
    <w:p w14:paraId="450FDA72" w14:textId="77777777" w:rsidR="00121A60" w:rsidRPr="00587E6D" w:rsidRDefault="00121A60" w:rsidP="0004044D">
      <w:pPr>
        <w:pStyle w:val="ListParagraph"/>
        <w:rPr>
          <w:sz w:val="28"/>
          <w:szCs w:val="28"/>
        </w:rPr>
      </w:pPr>
    </w:p>
    <w:p w14:paraId="2F1AD653" w14:textId="7AF8E5A9" w:rsidR="00121A60" w:rsidRPr="009D1414" w:rsidRDefault="009D1414" w:rsidP="009D1414">
      <w:pPr>
        <w:tabs>
          <w:tab w:val="left" w:pos="0"/>
        </w:tabs>
        <w:rPr>
          <w:sz w:val="28"/>
          <w:szCs w:val="28"/>
        </w:rPr>
      </w:pPr>
      <w:r w:rsidRPr="00587E6D">
        <w:rPr>
          <w:sz w:val="28"/>
          <w:szCs w:val="28"/>
        </w:rPr>
        <w:t>[31]</w:t>
      </w:r>
      <w:r w:rsidRPr="00587E6D">
        <w:rPr>
          <w:sz w:val="28"/>
          <w:szCs w:val="28"/>
        </w:rPr>
        <w:tab/>
      </w:r>
      <w:r w:rsidR="00121A60" w:rsidRPr="009D1414">
        <w:rPr>
          <w:sz w:val="28"/>
          <w:szCs w:val="28"/>
        </w:rPr>
        <w:t xml:space="preserve">For </w:t>
      </w:r>
      <w:r w:rsidR="00272412" w:rsidRPr="009D1414">
        <w:rPr>
          <w:sz w:val="28"/>
          <w:szCs w:val="28"/>
        </w:rPr>
        <w:t>these</w:t>
      </w:r>
      <w:r w:rsidR="00121A60" w:rsidRPr="009D1414">
        <w:rPr>
          <w:sz w:val="28"/>
          <w:szCs w:val="28"/>
        </w:rPr>
        <w:t xml:space="preserve"> reasons, the appeal is dismissed with costs.</w:t>
      </w:r>
    </w:p>
    <w:p w14:paraId="644E1292" w14:textId="77777777" w:rsidR="00A94A5E" w:rsidRPr="00587E6D" w:rsidRDefault="00A94A5E" w:rsidP="00A94A5E">
      <w:pPr>
        <w:pStyle w:val="ListParagraph"/>
        <w:rPr>
          <w:sz w:val="28"/>
          <w:szCs w:val="28"/>
        </w:rPr>
      </w:pPr>
    </w:p>
    <w:p w14:paraId="5B4D5117" w14:textId="100456C9" w:rsidR="007E36F6" w:rsidRPr="00814CAD" w:rsidRDefault="007E36F6" w:rsidP="00814CAD">
      <w:pPr>
        <w:rPr>
          <w:sz w:val="28"/>
          <w:szCs w:val="28"/>
        </w:rPr>
      </w:pPr>
    </w:p>
    <w:p w14:paraId="69EB7B88" w14:textId="34185D21" w:rsidR="00A94A5E" w:rsidRPr="00587E6D" w:rsidRDefault="00A94A5E" w:rsidP="00A94A5E">
      <w:pPr>
        <w:ind w:firstLine="4860"/>
        <w:jc w:val="right"/>
        <w:rPr>
          <w:sz w:val="28"/>
          <w:szCs w:val="28"/>
        </w:rPr>
      </w:pPr>
      <w:bookmarkStart w:id="1" w:name="_Hlk148682913"/>
      <w:r w:rsidRPr="00587E6D">
        <w:rPr>
          <w:sz w:val="28"/>
          <w:szCs w:val="28"/>
        </w:rPr>
        <w:t>__________________________</w:t>
      </w:r>
    </w:p>
    <w:p w14:paraId="09EF1230" w14:textId="77777777" w:rsidR="00A94A5E" w:rsidRPr="00587E6D" w:rsidRDefault="00A94A5E" w:rsidP="00A94A5E">
      <w:pPr>
        <w:ind w:firstLine="4860"/>
        <w:jc w:val="right"/>
        <w:rPr>
          <w:sz w:val="28"/>
          <w:szCs w:val="28"/>
        </w:rPr>
      </w:pPr>
      <w:r w:rsidRPr="00587E6D">
        <w:rPr>
          <w:sz w:val="28"/>
          <w:szCs w:val="28"/>
        </w:rPr>
        <w:t>N P MABINDLA-BOQWANA</w:t>
      </w:r>
    </w:p>
    <w:p w14:paraId="6C2BB866" w14:textId="10E6B574" w:rsidR="00A94A5E" w:rsidRPr="00587E6D" w:rsidRDefault="00A94A5E" w:rsidP="00F63474">
      <w:pPr>
        <w:ind w:firstLine="4860"/>
        <w:jc w:val="right"/>
        <w:rPr>
          <w:sz w:val="28"/>
          <w:szCs w:val="28"/>
        </w:rPr>
      </w:pPr>
      <w:r w:rsidRPr="00587E6D">
        <w:rPr>
          <w:sz w:val="28"/>
          <w:szCs w:val="28"/>
        </w:rPr>
        <w:t>JUDGE OF APPEAL</w:t>
      </w:r>
      <w:bookmarkEnd w:id="1"/>
    </w:p>
    <w:p w14:paraId="0CA6A4EA" w14:textId="77777777" w:rsidR="00D661D2" w:rsidRPr="00587E6D" w:rsidRDefault="00D661D2" w:rsidP="00D661D2">
      <w:pPr>
        <w:pStyle w:val="ListParagraph"/>
        <w:rPr>
          <w:sz w:val="28"/>
          <w:szCs w:val="28"/>
        </w:rPr>
      </w:pPr>
    </w:p>
    <w:p w14:paraId="13E2C052" w14:textId="28299E29" w:rsidR="00D661D2" w:rsidRPr="00587E6D" w:rsidRDefault="00D661D2" w:rsidP="00A94A5E">
      <w:pPr>
        <w:pStyle w:val="ListParagraph"/>
        <w:ind w:left="0"/>
        <w:rPr>
          <w:b/>
          <w:sz w:val="28"/>
          <w:szCs w:val="28"/>
          <w:lang w:val="en-US"/>
        </w:rPr>
      </w:pPr>
      <w:r w:rsidRPr="00587E6D">
        <w:rPr>
          <w:b/>
          <w:sz w:val="28"/>
          <w:szCs w:val="28"/>
          <w:lang w:val="en-US"/>
        </w:rPr>
        <w:t>Dambuza JA</w:t>
      </w:r>
      <w:r w:rsidR="00A9136B" w:rsidRPr="00587E6D">
        <w:rPr>
          <w:b/>
          <w:sz w:val="28"/>
          <w:szCs w:val="28"/>
          <w:lang w:val="en-US"/>
        </w:rPr>
        <w:t xml:space="preserve"> </w:t>
      </w:r>
      <w:r w:rsidRPr="00587E6D">
        <w:rPr>
          <w:b/>
          <w:sz w:val="28"/>
          <w:szCs w:val="28"/>
          <w:lang w:val="en-US"/>
        </w:rPr>
        <w:t>(</w:t>
      </w:r>
      <w:r w:rsidR="009F245A" w:rsidRPr="00587E6D">
        <w:rPr>
          <w:b/>
          <w:sz w:val="28"/>
          <w:szCs w:val="28"/>
          <w:lang w:val="en-US"/>
        </w:rPr>
        <w:t xml:space="preserve">Carelse JA </w:t>
      </w:r>
      <w:r w:rsidR="00A94A5E" w:rsidRPr="00587E6D">
        <w:rPr>
          <w:b/>
          <w:sz w:val="28"/>
          <w:szCs w:val="28"/>
          <w:lang w:val="en-US"/>
        </w:rPr>
        <w:t>concurring</w:t>
      </w:r>
      <w:r w:rsidRPr="00587E6D">
        <w:rPr>
          <w:b/>
          <w:sz w:val="28"/>
          <w:szCs w:val="28"/>
          <w:lang w:val="en-US"/>
        </w:rPr>
        <w:t>):</w:t>
      </w:r>
    </w:p>
    <w:p w14:paraId="7CF8D563" w14:textId="52C01986" w:rsidR="00D661D2" w:rsidRPr="009D1414" w:rsidRDefault="009D1414" w:rsidP="009D1414">
      <w:pPr>
        <w:rPr>
          <w:sz w:val="28"/>
          <w:szCs w:val="28"/>
          <w:lang w:val="en-US"/>
        </w:rPr>
      </w:pPr>
      <w:r w:rsidRPr="00587E6D">
        <w:rPr>
          <w:sz w:val="28"/>
          <w:szCs w:val="28"/>
          <w:lang w:val="en-US"/>
        </w:rPr>
        <w:t>[32]</w:t>
      </w:r>
      <w:r w:rsidRPr="00587E6D">
        <w:rPr>
          <w:sz w:val="28"/>
          <w:szCs w:val="28"/>
          <w:lang w:val="en-US"/>
        </w:rPr>
        <w:tab/>
      </w:r>
      <w:r w:rsidR="00D661D2" w:rsidRPr="009D1414">
        <w:rPr>
          <w:sz w:val="28"/>
          <w:szCs w:val="28"/>
          <w:lang w:val="en-US"/>
        </w:rPr>
        <w:t>I have had the benefit of reading the judgment prepared by my colleague Mabindla-Boqwana JA. Regrettably</w:t>
      </w:r>
      <w:r w:rsidR="00C12105" w:rsidRPr="009D1414">
        <w:rPr>
          <w:sz w:val="28"/>
          <w:szCs w:val="28"/>
          <w:lang w:val="en-US"/>
        </w:rPr>
        <w:t>,</w:t>
      </w:r>
      <w:r w:rsidR="00D661D2" w:rsidRPr="009D1414">
        <w:rPr>
          <w:sz w:val="28"/>
          <w:szCs w:val="28"/>
          <w:lang w:val="en-US"/>
        </w:rPr>
        <w:t xml:space="preserve"> I am unable to agree with the outcome reached therein. At summary judgment stage the inquiry in the high court was, in the main, whether the appellant</w:t>
      </w:r>
      <w:r w:rsidR="009F245A" w:rsidRPr="009D1414">
        <w:rPr>
          <w:sz w:val="28"/>
          <w:szCs w:val="28"/>
          <w:lang w:val="en-US"/>
        </w:rPr>
        <w:t>s</w:t>
      </w:r>
      <w:r w:rsidR="00D661D2" w:rsidRPr="009D1414">
        <w:rPr>
          <w:sz w:val="28"/>
          <w:szCs w:val="28"/>
          <w:lang w:val="en-US"/>
        </w:rPr>
        <w:t xml:space="preserve"> had </w:t>
      </w:r>
      <w:r w:rsidR="009F245A" w:rsidRPr="009D1414">
        <w:rPr>
          <w:sz w:val="28"/>
          <w:szCs w:val="28"/>
          <w:lang w:val="en-US"/>
        </w:rPr>
        <w:t xml:space="preserve">raised </w:t>
      </w:r>
      <w:r w:rsidR="00D661D2" w:rsidRPr="009D1414">
        <w:rPr>
          <w:sz w:val="28"/>
          <w:szCs w:val="28"/>
          <w:lang w:val="en-US"/>
        </w:rPr>
        <w:t xml:space="preserve">a </w:t>
      </w:r>
      <w:r w:rsidR="00D661D2" w:rsidRPr="009D1414">
        <w:rPr>
          <w:i/>
          <w:sz w:val="28"/>
          <w:szCs w:val="28"/>
          <w:lang w:val="en-US"/>
        </w:rPr>
        <w:t>bona fide</w:t>
      </w:r>
      <w:r w:rsidR="00D661D2" w:rsidRPr="009D1414">
        <w:rPr>
          <w:sz w:val="28"/>
          <w:szCs w:val="28"/>
          <w:lang w:val="en-US"/>
        </w:rPr>
        <w:t xml:space="preserve"> defence or a defence good in law, to the respondent’s claim. Importantly, the respondent had admitted having initiated the proposal that the first appellant vacate the leased premises. There were several disputes of fact</w:t>
      </w:r>
      <w:r w:rsidR="00C12105" w:rsidRPr="009D1414">
        <w:rPr>
          <w:sz w:val="28"/>
          <w:szCs w:val="28"/>
          <w:lang w:val="en-US"/>
        </w:rPr>
        <w:t>,</w:t>
      </w:r>
      <w:r w:rsidR="00D661D2" w:rsidRPr="009D1414">
        <w:rPr>
          <w:sz w:val="28"/>
          <w:szCs w:val="28"/>
          <w:lang w:val="en-US"/>
        </w:rPr>
        <w:t xml:space="preserve"> including the veracity of the authority of one of the respondent’s alleged representatives at the discussions that resulted in the first appellant vacating the leased premises. These disputes would ordinarily be determined at trial. </w:t>
      </w:r>
    </w:p>
    <w:p w14:paraId="70877355" w14:textId="77777777" w:rsidR="00A94A5E" w:rsidRPr="00587E6D" w:rsidRDefault="00A94A5E" w:rsidP="00A94A5E">
      <w:pPr>
        <w:pStyle w:val="ListParagraph"/>
        <w:ind w:left="0"/>
        <w:rPr>
          <w:sz w:val="28"/>
          <w:szCs w:val="28"/>
          <w:lang w:val="en-US"/>
        </w:rPr>
      </w:pPr>
    </w:p>
    <w:p w14:paraId="711F41BB" w14:textId="71B025A4" w:rsidR="00D661D2" w:rsidRPr="009D1414" w:rsidRDefault="009D1414" w:rsidP="009D1414">
      <w:pPr>
        <w:rPr>
          <w:sz w:val="28"/>
          <w:szCs w:val="28"/>
          <w:lang w:val="en-US"/>
        </w:rPr>
      </w:pPr>
      <w:r w:rsidRPr="00587E6D">
        <w:rPr>
          <w:sz w:val="28"/>
          <w:szCs w:val="28"/>
          <w:lang w:val="en-US"/>
        </w:rPr>
        <w:t>[33]</w:t>
      </w:r>
      <w:r w:rsidRPr="00587E6D">
        <w:rPr>
          <w:sz w:val="28"/>
          <w:szCs w:val="28"/>
          <w:lang w:val="en-US"/>
        </w:rPr>
        <w:tab/>
      </w:r>
      <w:r w:rsidR="00D661D2" w:rsidRPr="009D1414">
        <w:rPr>
          <w:sz w:val="28"/>
          <w:szCs w:val="28"/>
          <w:lang w:val="en-US"/>
        </w:rPr>
        <w:t>Assuming that the appellants’ version was prove</w:t>
      </w:r>
      <w:r w:rsidR="00C12105" w:rsidRPr="009D1414">
        <w:rPr>
          <w:sz w:val="28"/>
          <w:szCs w:val="28"/>
          <w:lang w:val="en-US"/>
        </w:rPr>
        <w:t>n</w:t>
      </w:r>
      <w:r w:rsidR="00D661D2" w:rsidRPr="009D1414">
        <w:rPr>
          <w:sz w:val="28"/>
          <w:szCs w:val="28"/>
          <w:lang w:val="en-US"/>
        </w:rPr>
        <w:t xml:space="preserve"> to be true, was the defence raised </w:t>
      </w:r>
      <w:r w:rsidR="00C12105" w:rsidRPr="009D1414">
        <w:rPr>
          <w:sz w:val="28"/>
          <w:szCs w:val="28"/>
          <w:lang w:val="en-US"/>
        </w:rPr>
        <w:t xml:space="preserve">good </w:t>
      </w:r>
      <w:r w:rsidR="00D661D2" w:rsidRPr="009D1414">
        <w:rPr>
          <w:sz w:val="28"/>
          <w:szCs w:val="28"/>
          <w:lang w:val="en-US"/>
        </w:rPr>
        <w:t xml:space="preserve">in law? As set out in the main judgment, this Court accepted in </w:t>
      </w:r>
      <w:r w:rsidR="00D661D2" w:rsidRPr="009D1414">
        <w:rPr>
          <w:i/>
          <w:sz w:val="28"/>
          <w:szCs w:val="28"/>
          <w:lang w:val="en-US"/>
        </w:rPr>
        <w:t>HNR Properties</w:t>
      </w:r>
      <w:r w:rsidR="00D661D2" w:rsidRPr="00587E6D">
        <w:rPr>
          <w:rStyle w:val="FootnoteReference"/>
          <w:sz w:val="28"/>
          <w:szCs w:val="28"/>
          <w:lang w:val="en-US"/>
        </w:rPr>
        <w:footnoteReference w:id="13"/>
      </w:r>
      <w:r w:rsidR="00D661D2" w:rsidRPr="009D1414">
        <w:rPr>
          <w:sz w:val="28"/>
          <w:szCs w:val="28"/>
          <w:lang w:val="en-US"/>
        </w:rPr>
        <w:t xml:space="preserve"> that there is room, though small, for the defence of estoppel to claims founded on non-variation clauses. The nature or extent of that narrow window has not been defined by our courts, save to say that </w:t>
      </w:r>
      <w:r w:rsidR="00D661D2" w:rsidRPr="009D1414">
        <w:rPr>
          <w:i/>
          <w:sz w:val="28"/>
          <w:szCs w:val="28"/>
          <w:lang w:val="en-US"/>
        </w:rPr>
        <w:t xml:space="preserve">Shifren </w:t>
      </w:r>
      <w:r w:rsidR="00D661D2" w:rsidRPr="009D1414">
        <w:rPr>
          <w:sz w:val="28"/>
          <w:szCs w:val="28"/>
          <w:lang w:val="en-US"/>
        </w:rPr>
        <w:t xml:space="preserve">must not be violated. But in the past this Court has, in similar cases, considered the plea of estoppel within the context of the evidence tendered. It did so in both </w:t>
      </w:r>
      <w:r w:rsidR="00D661D2" w:rsidRPr="009D1414">
        <w:rPr>
          <w:i/>
          <w:sz w:val="28"/>
          <w:szCs w:val="28"/>
          <w:lang w:val="en-US"/>
        </w:rPr>
        <w:t xml:space="preserve">HNR Properties </w:t>
      </w:r>
      <w:r w:rsidR="00D661D2" w:rsidRPr="009D1414">
        <w:rPr>
          <w:sz w:val="28"/>
          <w:szCs w:val="28"/>
          <w:lang w:val="en-US"/>
        </w:rPr>
        <w:t xml:space="preserve">and in </w:t>
      </w:r>
      <w:r w:rsidR="00D661D2" w:rsidRPr="009D1414">
        <w:rPr>
          <w:i/>
          <w:sz w:val="28"/>
          <w:szCs w:val="28"/>
          <w:lang w:val="en-US"/>
        </w:rPr>
        <w:t>Tabata</w:t>
      </w:r>
      <w:r w:rsidR="00D661D2" w:rsidRPr="009D1414">
        <w:rPr>
          <w:sz w:val="28"/>
          <w:szCs w:val="28"/>
          <w:lang w:val="en-US"/>
        </w:rPr>
        <w:t>.</w:t>
      </w:r>
      <w:r w:rsidR="00D661D2" w:rsidRPr="00587E6D">
        <w:rPr>
          <w:rStyle w:val="FootnoteReference"/>
          <w:sz w:val="28"/>
          <w:szCs w:val="28"/>
          <w:lang w:val="en-US"/>
        </w:rPr>
        <w:footnoteReference w:id="14"/>
      </w:r>
      <w:r w:rsidR="00D661D2" w:rsidRPr="009D1414">
        <w:rPr>
          <w:sz w:val="28"/>
          <w:szCs w:val="28"/>
          <w:lang w:val="en-US"/>
        </w:rPr>
        <w:t xml:space="preserve"> </w:t>
      </w:r>
    </w:p>
    <w:p w14:paraId="6A7ED085" w14:textId="77777777" w:rsidR="00A94A5E" w:rsidRPr="00587E6D" w:rsidRDefault="00A94A5E" w:rsidP="00A94A5E">
      <w:pPr>
        <w:pStyle w:val="ListParagraph"/>
        <w:ind w:left="0"/>
        <w:rPr>
          <w:sz w:val="28"/>
          <w:szCs w:val="28"/>
          <w:lang w:val="en-US"/>
        </w:rPr>
      </w:pPr>
    </w:p>
    <w:p w14:paraId="57298C0F" w14:textId="6B1EB9F8" w:rsidR="00D661D2" w:rsidRPr="009D1414" w:rsidRDefault="009D1414" w:rsidP="009D1414">
      <w:pPr>
        <w:rPr>
          <w:sz w:val="28"/>
          <w:szCs w:val="28"/>
          <w:lang w:val="en-US"/>
        </w:rPr>
      </w:pPr>
      <w:r w:rsidRPr="00587E6D">
        <w:rPr>
          <w:sz w:val="28"/>
          <w:szCs w:val="28"/>
          <w:lang w:val="en-US"/>
        </w:rPr>
        <w:lastRenderedPageBreak/>
        <w:t>[34]</w:t>
      </w:r>
      <w:r w:rsidRPr="00587E6D">
        <w:rPr>
          <w:sz w:val="28"/>
          <w:szCs w:val="28"/>
          <w:lang w:val="en-US"/>
        </w:rPr>
        <w:tab/>
      </w:r>
      <w:r w:rsidR="00D661D2" w:rsidRPr="009D1414">
        <w:rPr>
          <w:sz w:val="28"/>
          <w:szCs w:val="28"/>
          <w:lang w:val="en-US"/>
        </w:rPr>
        <w:t xml:space="preserve">Estoppel essentially operates to prevent a party that has made a representation from denying the truth thereof where the representee has acted thereon to his detriment. The objective is to prevent litigants from seeking to escape, for opportunistic reasons, agreements which they concluded.  </w:t>
      </w:r>
    </w:p>
    <w:p w14:paraId="6660D242" w14:textId="77777777" w:rsidR="00A94A5E" w:rsidRPr="00587E6D" w:rsidRDefault="00A94A5E" w:rsidP="00A94A5E">
      <w:pPr>
        <w:pStyle w:val="ListParagraph"/>
        <w:ind w:left="0"/>
        <w:rPr>
          <w:sz w:val="28"/>
          <w:szCs w:val="28"/>
          <w:lang w:val="en-US"/>
        </w:rPr>
      </w:pPr>
    </w:p>
    <w:p w14:paraId="6FEEEF4B" w14:textId="0CB09DC4" w:rsidR="00D661D2" w:rsidRPr="009D1414" w:rsidRDefault="009D1414" w:rsidP="009D1414">
      <w:pPr>
        <w:rPr>
          <w:sz w:val="28"/>
          <w:szCs w:val="28"/>
          <w:lang w:val="en-US"/>
        </w:rPr>
      </w:pPr>
      <w:r w:rsidRPr="00587E6D">
        <w:rPr>
          <w:sz w:val="28"/>
          <w:szCs w:val="28"/>
          <w:lang w:val="en-US"/>
        </w:rPr>
        <w:t>[35]</w:t>
      </w:r>
      <w:r w:rsidRPr="00587E6D">
        <w:rPr>
          <w:sz w:val="28"/>
          <w:szCs w:val="28"/>
          <w:lang w:val="en-US"/>
        </w:rPr>
        <w:tab/>
      </w:r>
      <w:r w:rsidR="00D661D2" w:rsidRPr="009D1414">
        <w:rPr>
          <w:sz w:val="28"/>
          <w:szCs w:val="28"/>
          <w:lang w:val="en-US"/>
        </w:rPr>
        <w:t xml:space="preserve">In my view the reliance on representation in this case is comparable to that which was pleaded in </w:t>
      </w:r>
      <w:r w:rsidR="00D661D2" w:rsidRPr="009D1414">
        <w:rPr>
          <w:i/>
          <w:sz w:val="28"/>
          <w:szCs w:val="28"/>
          <w:lang w:val="en-US"/>
        </w:rPr>
        <w:t>Tabata</w:t>
      </w:r>
      <w:r w:rsidR="00D661D2" w:rsidRPr="009D1414">
        <w:rPr>
          <w:sz w:val="28"/>
          <w:szCs w:val="28"/>
          <w:lang w:val="en-US"/>
        </w:rPr>
        <w:t xml:space="preserve"> and in </w:t>
      </w:r>
      <w:r w:rsidR="00D661D2" w:rsidRPr="009D1414">
        <w:rPr>
          <w:i/>
          <w:sz w:val="28"/>
          <w:szCs w:val="28"/>
          <w:lang w:val="en-US"/>
        </w:rPr>
        <w:t>HNP Properties</w:t>
      </w:r>
      <w:r w:rsidR="00D661D2" w:rsidRPr="009D1414">
        <w:rPr>
          <w:sz w:val="28"/>
          <w:szCs w:val="28"/>
          <w:lang w:val="en-US"/>
        </w:rPr>
        <w:t xml:space="preserve">. The clauses of the suretyship that were under consideration in </w:t>
      </w:r>
      <w:r w:rsidR="00D661D2" w:rsidRPr="009D1414">
        <w:rPr>
          <w:i/>
          <w:sz w:val="28"/>
          <w:szCs w:val="28"/>
          <w:lang w:val="en-US"/>
        </w:rPr>
        <w:t>Tabata</w:t>
      </w:r>
      <w:r w:rsidR="00D661D2" w:rsidRPr="009D1414">
        <w:rPr>
          <w:sz w:val="28"/>
          <w:szCs w:val="28"/>
          <w:lang w:val="en-US"/>
        </w:rPr>
        <w:t xml:space="preserve"> appear in </w:t>
      </w:r>
      <w:r w:rsidR="00D661D2" w:rsidRPr="009D1414">
        <w:rPr>
          <w:i/>
          <w:sz w:val="28"/>
          <w:szCs w:val="28"/>
          <w:lang w:val="en-US"/>
        </w:rPr>
        <w:t>BMW Financial Services (SA) (P</w:t>
      </w:r>
      <w:r w:rsidR="00C12105" w:rsidRPr="009D1414">
        <w:rPr>
          <w:i/>
          <w:sz w:val="28"/>
          <w:szCs w:val="28"/>
          <w:lang w:val="en-US"/>
        </w:rPr>
        <w:t>ty</w:t>
      </w:r>
      <w:r w:rsidR="00D661D2" w:rsidRPr="009D1414">
        <w:rPr>
          <w:i/>
          <w:sz w:val="28"/>
          <w:szCs w:val="28"/>
          <w:lang w:val="en-US"/>
        </w:rPr>
        <w:t>) L</w:t>
      </w:r>
      <w:r w:rsidR="00C12105" w:rsidRPr="009D1414">
        <w:rPr>
          <w:i/>
          <w:sz w:val="28"/>
          <w:szCs w:val="28"/>
          <w:lang w:val="en-US"/>
        </w:rPr>
        <w:t>td</w:t>
      </w:r>
      <w:r w:rsidR="00D661D2" w:rsidRPr="009D1414">
        <w:rPr>
          <w:i/>
          <w:sz w:val="28"/>
          <w:szCs w:val="28"/>
          <w:lang w:val="en-US"/>
        </w:rPr>
        <w:t xml:space="preserve"> v Finlay and Others</w:t>
      </w:r>
      <w:r w:rsidR="00D661D2" w:rsidRPr="00587E6D">
        <w:rPr>
          <w:rStyle w:val="FootnoteReference"/>
          <w:sz w:val="28"/>
          <w:szCs w:val="28"/>
          <w:lang w:val="en-US"/>
        </w:rPr>
        <w:footnoteReference w:id="15"/>
      </w:r>
      <w:r w:rsidR="00D661D2" w:rsidRPr="009D1414">
        <w:rPr>
          <w:sz w:val="28"/>
          <w:szCs w:val="28"/>
          <w:lang w:val="en-US"/>
        </w:rPr>
        <w:t xml:space="preserve"> (</w:t>
      </w:r>
      <w:r w:rsidR="00F05C33" w:rsidRPr="009D1414">
        <w:rPr>
          <w:i/>
          <w:sz w:val="28"/>
          <w:szCs w:val="28"/>
          <w:lang w:val="en-US"/>
        </w:rPr>
        <w:t>Finlay</w:t>
      </w:r>
      <w:r w:rsidR="00F05C33" w:rsidRPr="009D1414">
        <w:rPr>
          <w:sz w:val="28"/>
          <w:szCs w:val="28"/>
          <w:lang w:val="en-US"/>
        </w:rPr>
        <w:t xml:space="preserve">, the court </w:t>
      </w:r>
      <w:r w:rsidR="00F05C33" w:rsidRPr="009D1414">
        <w:rPr>
          <w:i/>
          <w:sz w:val="28"/>
          <w:szCs w:val="28"/>
          <w:lang w:val="en-US"/>
        </w:rPr>
        <w:t>a quo</w:t>
      </w:r>
      <w:r w:rsidR="00F05C33" w:rsidRPr="009D1414">
        <w:rPr>
          <w:sz w:val="28"/>
          <w:szCs w:val="28"/>
          <w:lang w:val="en-US"/>
        </w:rPr>
        <w:t xml:space="preserve"> in </w:t>
      </w:r>
      <w:r w:rsidR="00F05C33" w:rsidRPr="009D1414">
        <w:rPr>
          <w:i/>
          <w:sz w:val="28"/>
          <w:szCs w:val="28"/>
          <w:lang w:val="en-US"/>
        </w:rPr>
        <w:t>Tabata</w:t>
      </w:r>
      <w:r w:rsidR="00D661D2" w:rsidRPr="009D1414">
        <w:rPr>
          <w:sz w:val="28"/>
          <w:szCs w:val="28"/>
          <w:lang w:val="en-US"/>
        </w:rPr>
        <w:t>) as follows:</w:t>
      </w:r>
    </w:p>
    <w:p w14:paraId="3C5EF3E7" w14:textId="1D43479F" w:rsidR="00D661D2" w:rsidRPr="00587E6D" w:rsidRDefault="00D661D2" w:rsidP="00A94A5E">
      <w:pPr>
        <w:pStyle w:val="ListParagraph"/>
        <w:ind w:left="0"/>
      </w:pPr>
      <w:r w:rsidRPr="00587E6D">
        <w:t xml:space="preserve">‘3.6 </w:t>
      </w:r>
      <w:r w:rsidR="00C12105" w:rsidRPr="00587E6D">
        <w:tab/>
      </w:r>
      <w:r w:rsidRPr="00587E6D">
        <w:t xml:space="preserve">This suretyship is a continuing suretyship that shall remain of full force and effect, notwithstanding the fluctuation in, or temporary extinction of, the Customer's obligations to BMW Financial Services. This suretyship may not be withdrawn, revoked or cancelled without BMW Financial Services prior written consent. </w:t>
      </w:r>
    </w:p>
    <w:p w14:paraId="21BFAEE0" w14:textId="391F668B" w:rsidR="00D661D2" w:rsidRPr="00587E6D" w:rsidRDefault="00D661D2" w:rsidP="00A94A5E">
      <w:pPr>
        <w:pStyle w:val="ListParagraph"/>
        <w:ind w:left="0"/>
      </w:pPr>
      <w:r w:rsidRPr="00587E6D">
        <w:t xml:space="preserve">3.12 </w:t>
      </w:r>
      <w:r w:rsidR="00C12105" w:rsidRPr="00587E6D">
        <w:tab/>
      </w:r>
      <w:r w:rsidRPr="00587E6D">
        <w:t>This document was fully completed prior to signature by the Surety. The suretyship may only be amended or cancelled where such amendment or cancellation is reduced to writing and signed by the Surety and BMW Financial Services. BMW Financial Services shall not be bound by any undertakings, representations or warranties not expressly recorded in this document.’</w:t>
      </w:r>
      <w:r w:rsidRPr="00587E6D">
        <w:rPr>
          <w:rStyle w:val="FootnoteReference"/>
        </w:rPr>
        <w:footnoteReference w:id="16"/>
      </w:r>
    </w:p>
    <w:p w14:paraId="143A215D" w14:textId="77777777" w:rsidR="00A94A5E" w:rsidRPr="00587E6D" w:rsidRDefault="00A94A5E" w:rsidP="00A94A5E">
      <w:pPr>
        <w:pStyle w:val="ListParagraph"/>
        <w:ind w:left="0"/>
      </w:pPr>
    </w:p>
    <w:p w14:paraId="5B500FF6" w14:textId="29048304" w:rsidR="00A94A5E" w:rsidRPr="009D1414" w:rsidRDefault="009D1414" w:rsidP="009D1414">
      <w:pPr>
        <w:rPr>
          <w:sz w:val="28"/>
          <w:szCs w:val="28"/>
        </w:rPr>
      </w:pPr>
      <w:r w:rsidRPr="001B62C0">
        <w:rPr>
          <w:sz w:val="28"/>
          <w:szCs w:val="28"/>
        </w:rPr>
        <w:t>[36]</w:t>
      </w:r>
      <w:r w:rsidRPr="001B62C0">
        <w:rPr>
          <w:sz w:val="28"/>
          <w:szCs w:val="28"/>
        </w:rPr>
        <w:tab/>
      </w:r>
      <w:r w:rsidR="00D661D2" w:rsidRPr="009D1414">
        <w:rPr>
          <w:sz w:val="28"/>
          <w:szCs w:val="28"/>
          <w:lang w:val="en-US"/>
        </w:rPr>
        <w:t>In that case</w:t>
      </w:r>
      <w:r w:rsidR="00FA6A1B" w:rsidRPr="009D1414">
        <w:rPr>
          <w:sz w:val="28"/>
          <w:szCs w:val="28"/>
          <w:lang w:val="en-US"/>
        </w:rPr>
        <w:t>,</w:t>
      </w:r>
      <w:r w:rsidR="00D661D2" w:rsidRPr="009D1414">
        <w:rPr>
          <w:sz w:val="28"/>
          <w:szCs w:val="28"/>
          <w:lang w:val="en-US"/>
        </w:rPr>
        <w:t xml:space="preserve"> </w:t>
      </w:r>
      <w:r w:rsidR="00D661D2" w:rsidRPr="009D1414">
        <w:rPr>
          <w:sz w:val="28"/>
          <w:szCs w:val="28"/>
        </w:rPr>
        <w:t>BMW had contended that these clauses precluded reliance on oral cancellation, revocation or withdrawal from the suretyship and that the representation relied on by Mr Tabata was no proper defence as it had been made orally’</w:t>
      </w:r>
      <w:r w:rsidR="00FA6A1B" w:rsidRPr="009D1414">
        <w:rPr>
          <w:sz w:val="28"/>
          <w:szCs w:val="28"/>
        </w:rPr>
        <w:t>.</w:t>
      </w:r>
      <w:r w:rsidR="00D661D2" w:rsidRPr="00587E6D">
        <w:rPr>
          <w:rStyle w:val="FootnoteReference"/>
          <w:sz w:val="28"/>
          <w:szCs w:val="28"/>
        </w:rPr>
        <w:footnoteReference w:id="17"/>
      </w:r>
      <w:r w:rsidR="00D661D2" w:rsidRPr="00587E6D">
        <w:t xml:space="preserve"> </w:t>
      </w:r>
      <w:r w:rsidR="00D661D2" w:rsidRPr="009D1414">
        <w:rPr>
          <w:sz w:val="28"/>
          <w:szCs w:val="28"/>
        </w:rPr>
        <w:t xml:space="preserve">This </w:t>
      </w:r>
      <w:r w:rsidR="00FA6A1B" w:rsidRPr="009D1414">
        <w:rPr>
          <w:sz w:val="28"/>
          <w:szCs w:val="28"/>
        </w:rPr>
        <w:t>C</w:t>
      </w:r>
      <w:r w:rsidR="00D661D2" w:rsidRPr="009D1414">
        <w:rPr>
          <w:sz w:val="28"/>
          <w:szCs w:val="28"/>
        </w:rPr>
        <w:t>ourt upheld the high court’s dismissal of BMW’s claim</w:t>
      </w:r>
      <w:r w:rsidR="009F245A" w:rsidRPr="009D1414">
        <w:rPr>
          <w:sz w:val="28"/>
          <w:szCs w:val="28"/>
        </w:rPr>
        <w:t xml:space="preserve"> against Mr Tabata. Essentially, it</w:t>
      </w:r>
      <w:r w:rsidR="00D661D2" w:rsidRPr="009D1414">
        <w:rPr>
          <w:sz w:val="28"/>
          <w:szCs w:val="28"/>
        </w:rPr>
        <w:t xml:space="preserve"> upheld the plea of estoppel. It might be that there are pertinent features that distinguish this case from </w:t>
      </w:r>
      <w:r w:rsidR="00D661D2" w:rsidRPr="009D1414">
        <w:rPr>
          <w:i/>
          <w:sz w:val="28"/>
          <w:szCs w:val="28"/>
        </w:rPr>
        <w:t>Tabata</w:t>
      </w:r>
      <w:r w:rsidR="00D661D2" w:rsidRPr="009D1414">
        <w:rPr>
          <w:sz w:val="28"/>
          <w:szCs w:val="28"/>
        </w:rPr>
        <w:t>. However</w:t>
      </w:r>
      <w:r w:rsidR="00FA6A1B" w:rsidRPr="009D1414">
        <w:rPr>
          <w:sz w:val="28"/>
          <w:szCs w:val="28"/>
        </w:rPr>
        <w:t>,</w:t>
      </w:r>
      <w:r w:rsidR="00D661D2" w:rsidRPr="009D1414">
        <w:rPr>
          <w:sz w:val="28"/>
          <w:szCs w:val="28"/>
        </w:rPr>
        <w:t xml:space="preserve"> they are not immediately apparent to me at this stage.</w:t>
      </w:r>
      <w:r w:rsidR="00D661D2" w:rsidRPr="009D1414">
        <w:rPr>
          <w:i/>
          <w:sz w:val="28"/>
          <w:szCs w:val="28"/>
        </w:rPr>
        <w:t xml:space="preserve"> </w:t>
      </w:r>
      <w:r w:rsidR="00D661D2" w:rsidRPr="009D1414">
        <w:rPr>
          <w:sz w:val="28"/>
          <w:szCs w:val="28"/>
        </w:rPr>
        <w:t xml:space="preserve"> </w:t>
      </w:r>
    </w:p>
    <w:p w14:paraId="2FA4DC60" w14:textId="0F39B687" w:rsidR="00D661D2" w:rsidRPr="009D1414" w:rsidRDefault="009D1414" w:rsidP="009D1414">
      <w:pPr>
        <w:rPr>
          <w:sz w:val="28"/>
          <w:szCs w:val="28"/>
        </w:rPr>
      </w:pPr>
      <w:r>
        <w:rPr>
          <w:sz w:val="28"/>
          <w:szCs w:val="28"/>
        </w:rPr>
        <w:lastRenderedPageBreak/>
        <w:t>[37]</w:t>
      </w:r>
      <w:r>
        <w:rPr>
          <w:sz w:val="28"/>
          <w:szCs w:val="28"/>
        </w:rPr>
        <w:tab/>
      </w:r>
      <w:r w:rsidR="00D661D2" w:rsidRPr="009D1414">
        <w:rPr>
          <w:sz w:val="28"/>
          <w:szCs w:val="28"/>
          <w:lang w:val="en-US"/>
        </w:rPr>
        <w:t>Consequently, I do not agree that</w:t>
      </w:r>
      <w:r w:rsidR="00D661D2" w:rsidRPr="009D1414">
        <w:rPr>
          <w:sz w:val="28"/>
          <w:szCs w:val="28"/>
        </w:rPr>
        <w:t xml:space="preserve"> the plea tendered by the appellants in this case is a sham or not good in law. To deprive the appellants of the right to have their case determined in the ordinary course of events, by granting the stringent remedy of summary judgment, in these circumstances would be unjust. </w:t>
      </w:r>
      <w:r w:rsidR="00FA6A1B" w:rsidRPr="009D1414">
        <w:rPr>
          <w:sz w:val="28"/>
          <w:szCs w:val="28"/>
        </w:rPr>
        <w:t xml:space="preserve">Accordingly, </w:t>
      </w:r>
      <w:r w:rsidR="00D661D2" w:rsidRPr="009D1414">
        <w:rPr>
          <w:sz w:val="28"/>
          <w:szCs w:val="28"/>
        </w:rPr>
        <w:t>I would have upheld the appeal.</w:t>
      </w:r>
    </w:p>
    <w:p w14:paraId="6429E780" w14:textId="54769B91" w:rsidR="00B67D71" w:rsidRPr="00587E6D" w:rsidRDefault="00B67D71" w:rsidP="00B67D71">
      <w:pPr>
        <w:pStyle w:val="ListParagraph"/>
        <w:ind w:left="0"/>
        <w:rPr>
          <w:sz w:val="28"/>
          <w:szCs w:val="28"/>
        </w:rPr>
      </w:pPr>
    </w:p>
    <w:p w14:paraId="28B396A3" w14:textId="476B60F6" w:rsidR="00D661D2" w:rsidRPr="00587E6D" w:rsidRDefault="00D661D2" w:rsidP="00892E2E">
      <w:pPr>
        <w:pStyle w:val="ListParagraph"/>
        <w:tabs>
          <w:tab w:val="left" w:pos="0"/>
        </w:tabs>
        <w:ind w:left="0"/>
        <w:jc w:val="right"/>
        <w:rPr>
          <w:sz w:val="28"/>
          <w:szCs w:val="28"/>
        </w:rPr>
      </w:pPr>
    </w:p>
    <w:p w14:paraId="4AAB9F33" w14:textId="272FCEA9" w:rsidR="00A94A5E" w:rsidRPr="00587E6D" w:rsidRDefault="00B67D71" w:rsidP="00A94A5E">
      <w:pPr>
        <w:ind w:firstLine="4860"/>
        <w:jc w:val="right"/>
        <w:rPr>
          <w:sz w:val="28"/>
          <w:szCs w:val="28"/>
        </w:rPr>
      </w:pPr>
      <w:r>
        <w:rPr>
          <w:sz w:val="28"/>
          <w:szCs w:val="28"/>
        </w:rPr>
        <w:t>______</w:t>
      </w:r>
      <w:r w:rsidR="00FA6A1B" w:rsidRPr="00587E6D">
        <w:rPr>
          <w:sz w:val="28"/>
          <w:szCs w:val="28"/>
        </w:rPr>
        <w:t>_______________</w:t>
      </w:r>
    </w:p>
    <w:p w14:paraId="35074E8E" w14:textId="5D2F7A23" w:rsidR="00A94A5E" w:rsidRPr="00587E6D" w:rsidRDefault="00A94A5E" w:rsidP="00A94A5E">
      <w:pPr>
        <w:ind w:firstLine="4860"/>
        <w:jc w:val="right"/>
        <w:rPr>
          <w:sz w:val="28"/>
          <w:szCs w:val="28"/>
        </w:rPr>
      </w:pPr>
      <w:r w:rsidRPr="00587E6D">
        <w:rPr>
          <w:sz w:val="28"/>
          <w:szCs w:val="28"/>
        </w:rPr>
        <w:t>N DAMBUZA</w:t>
      </w:r>
    </w:p>
    <w:p w14:paraId="745D6E0E" w14:textId="77777777" w:rsidR="00A94A5E" w:rsidRPr="00587E6D" w:rsidRDefault="00A94A5E" w:rsidP="00A94A5E">
      <w:pPr>
        <w:ind w:firstLine="4860"/>
        <w:jc w:val="right"/>
        <w:rPr>
          <w:sz w:val="28"/>
          <w:szCs w:val="28"/>
        </w:rPr>
      </w:pPr>
      <w:r w:rsidRPr="00587E6D">
        <w:rPr>
          <w:sz w:val="28"/>
          <w:szCs w:val="28"/>
        </w:rPr>
        <w:t>JUDGE OF APPEAL</w:t>
      </w:r>
    </w:p>
    <w:p w14:paraId="5C3719AC" w14:textId="77777777" w:rsidR="00A94A5E" w:rsidRPr="00587E6D" w:rsidRDefault="00A94A5E" w:rsidP="00A94A5E">
      <w:pPr>
        <w:pStyle w:val="ListParagraph"/>
        <w:tabs>
          <w:tab w:val="left" w:pos="0"/>
        </w:tabs>
        <w:ind w:left="0"/>
        <w:jc w:val="right"/>
        <w:rPr>
          <w:sz w:val="28"/>
          <w:szCs w:val="28"/>
        </w:rPr>
      </w:pPr>
    </w:p>
    <w:p w14:paraId="5214BF00" w14:textId="4A3F22DE" w:rsidR="00121A60" w:rsidRPr="00587E6D" w:rsidRDefault="00121A60" w:rsidP="0004044D">
      <w:pPr>
        <w:pStyle w:val="ListParagraph"/>
        <w:rPr>
          <w:sz w:val="28"/>
          <w:szCs w:val="28"/>
        </w:rPr>
      </w:pPr>
    </w:p>
    <w:p w14:paraId="2FA0E9F8" w14:textId="77777777" w:rsidR="003D5526" w:rsidRPr="00587E6D" w:rsidRDefault="003D5526" w:rsidP="0004044D">
      <w:pPr>
        <w:ind w:firstLine="4860"/>
        <w:jc w:val="right"/>
        <w:rPr>
          <w:sz w:val="28"/>
          <w:szCs w:val="28"/>
        </w:rPr>
      </w:pPr>
    </w:p>
    <w:p w14:paraId="192F072E" w14:textId="77777777" w:rsidR="0004044D" w:rsidRPr="00587E6D" w:rsidRDefault="0004044D" w:rsidP="0016595D">
      <w:pPr>
        <w:rPr>
          <w:sz w:val="28"/>
          <w:szCs w:val="28"/>
        </w:rPr>
      </w:pPr>
      <w:r w:rsidRPr="00587E6D">
        <w:rPr>
          <w:sz w:val="28"/>
          <w:szCs w:val="28"/>
        </w:rPr>
        <w:br w:type="page"/>
      </w:r>
    </w:p>
    <w:p w14:paraId="3436C50E" w14:textId="20CDFB51" w:rsidR="00B83FA5" w:rsidRPr="00587E6D" w:rsidRDefault="00B83FA5" w:rsidP="0016595D">
      <w:pPr>
        <w:rPr>
          <w:sz w:val="28"/>
          <w:szCs w:val="28"/>
        </w:rPr>
      </w:pPr>
      <w:r w:rsidRPr="00587E6D">
        <w:rPr>
          <w:sz w:val="28"/>
          <w:szCs w:val="28"/>
        </w:rPr>
        <w:lastRenderedPageBreak/>
        <w:t>Appearances</w:t>
      </w:r>
    </w:p>
    <w:p w14:paraId="343283C7" w14:textId="77777777" w:rsidR="00B83FA5" w:rsidRPr="00587E6D" w:rsidRDefault="00B83FA5" w:rsidP="0016595D">
      <w:pPr>
        <w:rPr>
          <w:sz w:val="28"/>
          <w:szCs w:val="28"/>
        </w:rPr>
      </w:pPr>
    </w:p>
    <w:p w14:paraId="10F62D08" w14:textId="77777777" w:rsidR="00B83FA5" w:rsidRPr="00587E6D" w:rsidRDefault="00B83FA5" w:rsidP="0016595D">
      <w:pPr>
        <w:rPr>
          <w:sz w:val="28"/>
          <w:szCs w:val="28"/>
        </w:rPr>
      </w:pPr>
      <w:r w:rsidRPr="00587E6D">
        <w:rPr>
          <w:sz w:val="28"/>
          <w:szCs w:val="28"/>
        </w:rPr>
        <w:t xml:space="preserve">For the appellants: </w:t>
      </w:r>
      <w:r w:rsidRPr="00587E6D">
        <w:rPr>
          <w:sz w:val="28"/>
          <w:szCs w:val="28"/>
        </w:rPr>
        <w:tab/>
      </w:r>
      <w:r w:rsidRPr="00587E6D">
        <w:rPr>
          <w:sz w:val="28"/>
          <w:szCs w:val="28"/>
        </w:rPr>
        <w:tab/>
      </w:r>
      <w:r w:rsidRPr="00587E6D">
        <w:rPr>
          <w:sz w:val="28"/>
          <w:szCs w:val="28"/>
        </w:rPr>
        <w:tab/>
      </w:r>
      <w:r w:rsidR="00BC6D40" w:rsidRPr="00587E6D">
        <w:rPr>
          <w:sz w:val="28"/>
          <w:szCs w:val="28"/>
        </w:rPr>
        <w:t xml:space="preserve">D Prinsloo </w:t>
      </w:r>
    </w:p>
    <w:p w14:paraId="4F2A472D" w14:textId="1C3279E1" w:rsidR="00B83FA5" w:rsidRPr="00587E6D" w:rsidRDefault="00B83FA5" w:rsidP="0016595D">
      <w:pPr>
        <w:rPr>
          <w:bCs/>
          <w:sz w:val="28"/>
          <w:szCs w:val="28"/>
        </w:rPr>
      </w:pPr>
      <w:r w:rsidRPr="00587E6D">
        <w:rPr>
          <w:bCs/>
          <w:sz w:val="28"/>
          <w:szCs w:val="28"/>
        </w:rPr>
        <w:t>Instructed by:</w:t>
      </w:r>
      <w:r w:rsidRPr="00587E6D">
        <w:rPr>
          <w:bCs/>
          <w:sz w:val="28"/>
          <w:szCs w:val="28"/>
        </w:rPr>
        <w:tab/>
      </w:r>
      <w:r w:rsidRPr="00587E6D">
        <w:rPr>
          <w:bCs/>
          <w:sz w:val="28"/>
          <w:szCs w:val="28"/>
        </w:rPr>
        <w:tab/>
      </w:r>
      <w:r w:rsidRPr="00587E6D">
        <w:rPr>
          <w:bCs/>
          <w:sz w:val="28"/>
          <w:szCs w:val="28"/>
        </w:rPr>
        <w:tab/>
      </w:r>
      <w:r w:rsidR="00BC6D40" w:rsidRPr="00587E6D">
        <w:rPr>
          <w:bCs/>
          <w:sz w:val="28"/>
          <w:szCs w:val="28"/>
        </w:rPr>
        <w:t>Morn</w:t>
      </w:r>
      <w:r w:rsidR="00DF1CF3" w:rsidRPr="00587E6D">
        <w:rPr>
          <w:bCs/>
          <w:sz w:val="28"/>
          <w:szCs w:val="28"/>
        </w:rPr>
        <w:t>é</w:t>
      </w:r>
      <w:r w:rsidR="00BC6D40" w:rsidRPr="00587E6D">
        <w:rPr>
          <w:bCs/>
          <w:sz w:val="28"/>
          <w:szCs w:val="28"/>
        </w:rPr>
        <w:t xml:space="preserve"> Mostert Attorneys, Pretoria</w:t>
      </w:r>
    </w:p>
    <w:p w14:paraId="23F956D3" w14:textId="577A7019" w:rsidR="00B83FA5" w:rsidRPr="00587E6D" w:rsidRDefault="00B83FA5" w:rsidP="0016595D">
      <w:pPr>
        <w:rPr>
          <w:bCs/>
          <w:sz w:val="28"/>
          <w:szCs w:val="28"/>
        </w:rPr>
      </w:pPr>
      <w:r w:rsidRPr="00587E6D">
        <w:rPr>
          <w:bCs/>
          <w:sz w:val="28"/>
          <w:szCs w:val="28"/>
        </w:rPr>
        <w:t xml:space="preserve">                          </w:t>
      </w:r>
      <w:r w:rsidRPr="00587E6D">
        <w:rPr>
          <w:sz w:val="28"/>
          <w:szCs w:val="28"/>
        </w:rPr>
        <w:tab/>
      </w:r>
      <w:r w:rsidRPr="00587E6D">
        <w:rPr>
          <w:sz w:val="28"/>
          <w:szCs w:val="28"/>
        </w:rPr>
        <w:tab/>
      </w:r>
      <w:r w:rsidRPr="00587E6D">
        <w:rPr>
          <w:sz w:val="28"/>
          <w:szCs w:val="28"/>
        </w:rPr>
        <w:tab/>
      </w:r>
      <w:r w:rsidR="00BC6D40" w:rsidRPr="00587E6D">
        <w:rPr>
          <w:sz w:val="28"/>
          <w:szCs w:val="28"/>
        </w:rPr>
        <w:t>Pieter Ske</w:t>
      </w:r>
      <w:r w:rsidR="00A3292F" w:rsidRPr="00587E6D">
        <w:rPr>
          <w:sz w:val="28"/>
          <w:szCs w:val="28"/>
        </w:rPr>
        <w:t>i</w:t>
      </w:r>
      <w:r w:rsidR="00BC6D40" w:rsidRPr="00587E6D">
        <w:rPr>
          <w:sz w:val="28"/>
          <w:szCs w:val="28"/>
        </w:rPr>
        <w:t>n Attorneys</w:t>
      </w:r>
      <w:r w:rsidRPr="00587E6D">
        <w:rPr>
          <w:bCs/>
          <w:sz w:val="28"/>
          <w:szCs w:val="28"/>
        </w:rPr>
        <w:t>, Bloemfontein</w:t>
      </w:r>
    </w:p>
    <w:p w14:paraId="2F84AF73" w14:textId="77777777" w:rsidR="00B83FA5" w:rsidRPr="00587E6D" w:rsidRDefault="00B83FA5" w:rsidP="0016595D">
      <w:pPr>
        <w:rPr>
          <w:bCs/>
          <w:sz w:val="28"/>
          <w:szCs w:val="28"/>
        </w:rPr>
      </w:pPr>
    </w:p>
    <w:p w14:paraId="104B9D9B" w14:textId="0F2B543D" w:rsidR="00B83FA5" w:rsidRPr="00587E6D" w:rsidRDefault="00B83FA5" w:rsidP="0016595D">
      <w:pPr>
        <w:rPr>
          <w:sz w:val="28"/>
          <w:szCs w:val="28"/>
        </w:rPr>
      </w:pPr>
      <w:r w:rsidRPr="00587E6D">
        <w:rPr>
          <w:sz w:val="28"/>
          <w:szCs w:val="28"/>
        </w:rPr>
        <w:t>For the respondent:</w:t>
      </w:r>
      <w:r w:rsidRPr="00587E6D">
        <w:rPr>
          <w:sz w:val="28"/>
          <w:szCs w:val="28"/>
        </w:rPr>
        <w:tab/>
      </w:r>
      <w:r w:rsidRPr="00587E6D">
        <w:rPr>
          <w:sz w:val="28"/>
          <w:szCs w:val="28"/>
        </w:rPr>
        <w:tab/>
      </w:r>
      <w:r w:rsidR="00361DC3" w:rsidRPr="00587E6D">
        <w:rPr>
          <w:sz w:val="28"/>
          <w:szCs w:val="28"/>
        </w:rPr>
        <w:t>C</w:t>
      </w:r>
      <w:r w:rsidR="00A3292F" w:rsidRPr="00587E6D">
        <w:rPr>
          <w:sz w:val="28"/>
          <w:szCs w:val="28"/>
        </w:rPr>
        <w:t xml:space="preserve"> </w:t>
      </w:r>
      <w:r w:rsidR="00361DC3" w:rsidRPr="00587E6D">
        <w:rPr>
          <w:sz w:val="28"/>
          <w:szCs w:val="28"/>
        </w:rPr>
        <w:t>D Pienaar</w:t>
      </w:r>
      <w:r w:rsidRPr="00587E6D">
        <w:rPr>
          <w:sz w:val="28"/>
          <w:szCs w:val="28"/>
        </w:rPr>
        <w:t xml:space="preserve">  </w:t>
      </w:r>
    </w:p>
    <w:p w14:paraId="3FE9FA15" w14:textId="2D30CCC1" w:rsidR="00B83FA5" w:rsidRPr="00587E6D" w:rsidRDefault="00B83FA5" w:rsidP="0016595D">
      <w:pPr>
        <w:rPr>
          <w:bCs/>
          <w:sz w:val="28"/>
          <w:szCs w:val="28"/>
        </w:rPr>
      </w:pPr>
      <w:r w:rsidRPr="00587E6D">
        <w:rPr>
          <w:bCs/>
          <w:sz w:val="28"/>
          <w:szCs w:val="28"/>
        </w:rPr>
        <w:t>Instructed by:</w:t>
      </w:r>
      <w:r w:rsidRPr="00587E6D">
        <w:rPr>
          <w:bCs/>
          <w:sz w:val="28"/>
          <w:szCs w:val="28"/>
        </w:rPr>
        <w:tab/>
      </w:r>
      <w:r w:rsidRPr="00587E6D">
        <w:rPr>
          <w:bCs/>
          <w:sz w:val="28"/>
          <w:szCs w:val="28"/>
        </w:rPr>
        <w:tab/>
      </w:r>
      <w:r w:rsidRPr="00587E6D">
        <w:rPr>
          <w:bCs/>
          <w:sz w:val="28"/>
          <w:szCs w:val="28"/>
        </w:rPr>
        <w:tab/>
      </w:r>
      <w:r w:rsidR="00361DC3" w:rsidRPr="00587E6D">
        <w:rPr>
          <w:bCs/>
          <w:sz w:val="28"/>
          <w:szCs w:val="28"/>
        </w:rPr>
        <w:t>Pearce</w:t>
      </w:r>
      <w:r w:rsidR="00A3292F" w:rsidRPr="00587E6D">
        <w:rPr>
          <w:bCs/>
          <w:sz w:val="28"/>
          <w:szCs w:val="28"/>
        </w:rPr>
        <w:t>,</w:t>
      </w:r>
      <w:r w:rsidR="00361DC3" w:rsidRPr="00587E6D">
        <w:rPr>
          <w:bCs/>
          <w:sz w:val="28"/>
          <w:szCs w:val="28"/>
        </w:rPr>
        <w:t xml:space="preserve"> Du Toit &amp; Moodie, Durban</w:t>
      </w:r>
    </w:p>
    <w:p w14:paraId="0E2BC901" w14:textId="0C4B63E2" w:rsidR="00B83FA5" w:rsidRPr="0016595D" w:rsidRDefault="00361DC3" w:rsidP="0016595D">
      <w:pPr>
        <w:ind w:left="2880" w:firstLine="720"/>
        <w:rPr>
          <w:bCs/>
          <w:sz w:val="28"/>
          <w:szCs w:val="28"/>
        </w:rPr>
      </w:pPr>
      <w:r w:rsidRPr="00587E6D">
        <w:rPr>
          <w:bCs/>
          <w:sz w:val="28"/>
          <w:szCs w:val="28"/>
        </w:rPr>
        <w:t>Hendre Conradie Inc</w:t>
      </w:r>
      <w:r w:rsidR="00E12B55" w:rsidRPr="00587E6D">
        <w:rPr>
          <w:bCs/>
          <w:sz w:val="28"/>
          <w:szCs w:val="28"/>
        </w:rPr>
        <w:t>,</w:t>
      </w:r>
      <w:r w:rsidR="00B83FA5" w:rsidRPr="00587E6D">
        <w:rPr>
          <w:bCs/>
          <w:sz w:val="28"/>
          <w:szCs w:val="28"/>
        </w:rPr>
        <w:t xml:space="preserve"> Bloemfontein</w:t>
      </w:r>
    </w:p>
    <w:p w14:paraId="40CAE8E1" w14:textId="77777777" w:rsidR="00B83FA5" w:rsidRPr="0016595D" w:rsidRDefault="00B83FA5" w:rsidP="0016595D">
      <w:pPr>
        <w:rPr>
          <w:sz w:val="28"/>
          <w:szCs w:val="28"/>
        </w:rPr>
      </w:pPr>
      <w:r w:rsidRPr="0016595D">
        <w:rPr>
          <w:sz w:val="28"/>
          <w:szCs w:val="28"/>
        </w:rPr>
        <w:tab/>
      </w:r>
    </w:p>
    <w:p w14:paraId="4354DE73" w14:textId="77777777" w:rsidR="00B83FA5" w:rsidRPr="0016595D" w:rsidRDefault="00B83FA5" w:rsidP="0016595D">
      <w:pPr>
        <w:rPr>
          <w:sz w:val="28"/>
          <w:szCs w:val="28"/>
        </w:rPr>
      </w:pPr>
    </w:p>
    <w:p w14:paraId="29E6AC08" w14:textId="77777777" w:rsidR="00B83FA5" w:rsidRPr="0016595D" w:rsidRDefault="00B83FA5" w:rsidP="0016595D">
      <w:pPr>
        <w:rPr>
          <w:sz w:val="28"/>
          <w:szCs w:val="28"/>
        </w:rPr>
      </w:pPr>
    </w:p>
    <w:p w14:paraId="116288F9" w14:textId="77777777" w:rsidR="00B83FA5" w:rsidRPr="0016595D" w:rsidRDefault="00B83FA5" w:rsidP="0016595D"/>
    <w:p w14:paraId="0C2D78AD" w14:textId="77777777" w:rsidR="00B83FA5" w:rsidRPr="0016595D" w:rsidRDefault="00B83FA5" w:rsidP="0016595D"/>
    <w:p w14:paraId="477B2B83" w14:textId="77777777" w:rsidR="00744EA9" w:rsidRPr="0016595D" w:rsidRDefault="00744EA9" w:rsidP="0016595D"/>
    <w:sectPr w:rsidR="00744EA9" w:rsidRPr="0016595D" w:rsidSect="001B7FAE">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184DB" w14:textId="77777777" w:rsidR="0032174D" w:rsidRDefault="0032174D" w:rsidP="00B83FA5">
      <w:pPr>
        <w:spacing w:line="240" w:lineRule="auto"/>
      </w:pPr>
      <w:r>
        <w:separator/>
      </w:r>
    </w:p>
  </w:endnote>
  <w:endnote w:type="continuationSeparator" w:id="0">
    <w:p w14:paraId="28578063" w14:textId="77777777" w:rsidR="0032174D" w:rsidRDefault="0032174D" w:rsidP="00B83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6E89" w14:textId="77777777" w:rsidR="0032174D" w:rsidRDefault="0032174D" w:rsidP="00B83FA5">
      <w:pPr>
        <w:spacing w:line="240" w:lineRule="auto"/>
      </w:pPr>
      <w:r>
        <w:separator/>
      </w:r>
    </w:p>
  </w:footnote>
  <w:footnote w:type="continuationSeparator" w:id="0">
    <w:p w14:paraId="68092872" w14:textId="77777777" w:rsidR="0032174D" w:rsidRDefault="0032174D" w:rsidP="00B83FA5">
      <w:pPr>
        <w:spacing w:line="240" w:lineRule="auto"/>
      </w:pPr>
      <w:r>
        <w:continuationSeparator/>
      </w:r>
    </w:p>
  </w:footnote>
  <w:footnote w:id="1">
    <w:p w14:paraId="0C3145DB" w14:textId="0960D417" w:rsidR="0042613F" w:rsidRPr="00232738" w:rsidRDefault="0042613F" w:rsidP="00F31D76">
      <w:pPr>
        <w:pStyle w:val="ListParagraph"/>
        <w:spacing w:line="240" w:lineRule="auto"/>
        <w:ind w:left="0"/>
        <w:rPr>
          <w:sz w:val="20"/>
          <w:szCs w:val="20"/>
          <w:lang w:val="en-US"/>
        </w:rPr>
      </w:pPr>
      <w:r w:rsidRPr="00232738">
        <w:rPr>
          <w:rStyle w:val="FootnoteReference"/>
          <w:sz w:val="20"/>
          <w:szCs w:val="20"/>
        </w:rPr>
        <w:footnoteRef/>
      </w:r>
      <w:r w:rsidRPr="00232738">
        <w:rPr>
          <w:sz w:val="20"/>
          <w:szCs w:val="20"/>
        </w:rPr>
        <w:t xml:space="preserve"> </w:t>
      </w:r>
      <w:r w:rsidRPr="00232738">
        <w:rPr>
          <w:i/>
          <w:sz w:val="20"/>
          <w:szCs w:val="20"/>
        </w:rPr>
        <w:t>SA Sentrale Ko-op Graan</w:t>
      </w:r>
      <w:r w:rsidR="002C6917" w:rsidRPr="00232738">
        <w:rPr>
          <w:i/>
          <w:sz w:val="20"/>
          <w:szCs w:val="20"/>
        </w:rPr>
        <w:t>m</w:t>
      </w:r>
      <w:r w:rsidRPr="00232738">
        <w:rPr>
          <w:i/>
          <w:sz w:val="20"/>
          <w:szCs w:val="20"/>
        </w:rPr>
        <w:t xml:space="preserve">aatskappy Bpk v Shifren en Andere </w:t>
      </w:r>
      <w:r w:rsidR="00542EE4" w:rsidRPr="00232738">
        <w:rPr>
          <w:sz w:val="20"/>
          <w:szCs w:val="20"/>
        </w:rPr>
        <w:t>[1964] 4 All SA 520 (A);</w:t>
      </w:r>
      <w:r w:rsidR="00542EE4" w:rsidRPr="00232738">
        <w:rPr>
          <w:i/>
          <w:sz w:val="20"/>
          <w:szCs w:val="20"/>
        </w:rPr>
        <w:t xml:space="preserve"> </w:t>
      </w:r>
      <w:r w:rsidRPr="00232738">
        <w:rPr>
          <w:sz w:val="20"/>
          <w:szCs w:val="20"/>
        </w:rPr>
        <w:t>1964 (4) SA 760 (A) at 765C.</w:t>
      </w:r>
    </w:p>
  </w:footnote>
  <w:footnote w:id="2">
    <w:p w14:paraId="5316CF8F" w14:textId="08767CBB" w:rsidR="00EB14F6" w:rsidRPr="002C2EF3" w:rsidRDefault="00EB14F6" w:rsidP="002C2EF3">
      <w:pPr>
        <w:pStyle w:val="FootnoteText"/>
        <w:spacing w:line="240" w:lineRule="auto"/>
        <w:rPr>
          <w:lang w:val="en-ZA"/>
        </w:rPr>
      </w:pPr>
      <w:r w:rsidRPr="00232738">
        <w:rPr>
          <w:rStyle w:val="FootnoteReference"/>
        </w:rPr>
        <w:footnoteRef/>
      </w:r>
      <w:r w:rsidRPr="00232738">
        <w:t xml:space="preserve"> 9 </w:t>
      </w:r>
      <w:r w:rsidRPr="00232738">
        <w:rPr>
          <w:i/>
          <w:lang w:val="en-ZA"/>
        </w:rPr>
        <w:t>Lawsa</w:t>
      </w:r>
      <w:r w:rsidRPr="00232738">
        <w:rPr>
          <w:lang w:val="en-ZA"/>
        </w:rPr>
        <w:t xml:space="preserve"> 3 ed para 345.</w:t>
      </w:r>
      <w:r w:rsidRPr="00232738">
        <w:t xml:space="preserve"> </w:t>
      </w:r>
      <w:r w:rsidRPr="00232738">
        <w:rPr>
          <w:lang w:val="en-ZA"/>
        </w:rPr>
        <w:t xml:space="preserve">This Court has reaffirmed the </w:t>
      </w:r>
      <w:r w:rsidRPr="00232738">
        <w:rPr>
          <w:i/>
          <w:lang w:val="en-ZA"/>
        </w:rPr>
        <w:t>Shifren</w:t>
      </w:r>
      <w:r w:rsidRPr="00232738">
        <w:rPr>
          <w:lang w:val="en-ZA"/>
        </w:rPr>
        <w:t xml:space="preserve"> principle in </w:t>
      </w:r>
      <w:r w:rsidRPr="00232738">
        <w:rPr>
          <w:i/>
          <w:lang w:val="en-ZA"/>
        </w:rPr>
        <w:t>Brisley v Drotsky</w:t>
      </w:r>
      <w:r w:rsidRPr="00232738">
        <w:rPr>
          <w:lang w:val="en-ZA"/>
        </w:rPr>
        <w:t xml:space="preserve"> 2002 (12) BCLR 1229 (SCA); 2002 (4) SA 1 (SCA) paras 10-12.</w:t>
      </w:r>
    </w:p>
  </w:footnote>
  <w:footnote w:id="3">
    <w:p w14:paraId="52A49D16" w14:textId="79907583" w:rsidR="00DC3E1C" w:rsidRPr="00232738" w:rsidRDefault="00DC3E1C" w:rsidP="002C2EF3">
      <w:pPr>
        <w:pStyle w:val="FootnoteText"/>
        <w:spacing w:line="240" w:lineRule="auto"/>
        <w:rPr>
          <w:lang w:val="en-ZA"/>
        </w:rPr>
      </w:pPr>
      <w:r w:rsidRPr="00232738">
        <w:rPr>
          <w:rStyle w:val="FootnoteReference"/>
        </w:rPr>
        <w:footnoteRef/>
      </w:r>
      <w:r w:rsidRPr="00232738">
        <w:t xml:space="preserve"> </w:t>
      </w:r>
      <w:r w:rsidRPr="00232738">
        <w:rPr>
          <w:i/>
        </w:rPr>
        <w:t>Brisley v Drotsky</w:t>
      </w:r>
      <w:r w:rsidRPr="00232738">
        <w:t xml:space="preserve"> 2002 (12) BCLR 1229 (SCA); 2002 (4) SA 1 (SCA).</w:t>
      </w:r>
    </w:p>
  </w:footnote>
  <w:footnote w:id="4">
    <w:p w14:paraId="16B9B564" w14:textId="5FC80086" w:rsidR="009120CA" w:rsidRPr="00232738" w:rsidRDefault="009120CA" w:rsidP="00F31D76">
      <w:pPr>
        <w:pStyle w:val="FootnoteText"/>
        <w:spacing w:line="240" w:lineRule="auto"/>
        <w:rPr>
          <w:lang w:val="en-US"/>
        </w:rPr>
      </w:pPr>
      <w:r w:rsidRPr="00232738">
        <w:rPr>
          <w:rStyle w:val="FootnoteReference"/>
        </w:rPr>
        <w:footnoteRef/>
      </w:r>
      <w:r w:rsidRPr="00232738">
        <w:t xml:space="preserve"> Ibid para 90.</w:t>
      </w:r>
    </w:p>
  </w:footnote>
  <w:footnote w:id="5">
    <w:p w14:paraId="6AB203F4" w14:textId="2B8265F1" w:rsidR="009120CA" w:rsidRPr="0005142C" w:rsidRDefault="009120CA" w:rsidP="00F31D76">
      <w:pPr>
        <w:pStyle w:val="FootnoteText"/>
        <w:spacing w:line="240" w:lineRule="auto"/>
        <w:rPr>
          <w:lang w:val="en-US"/>
        </w:rPr>
      </w:pPr>
      <w:r w:rsidRPr="00232738">
        <w:rPr>
          <w:rStyle w:val="FootnoteReference"/>
        </w:rPr>
        <w:footnoteRef/>
      </w:r>
      <w:r w:rsidRPr="00232738">
        <w:t xml:space="preserve"> Ibid para 91.</w:t>
      </w:r>
    </w:p>
  </w:footnote>
  <w:footnote w:id="6">
    <w:p w14:paraId="2503C3AF" w14:textId="061105B5" w:rsidR="00502023" w:rsidRPr="00232738" w:rsidRDefault="00502023" w:rsidP="00F31D76">
      <w:pPr>
        <w:pStyle w:val="FootnoteText"/>
        <w:spacing w:line="240" w:lineRule="auto"/>
        <w:rPr>
          <w:lang w:val="en-US"/>
        </w:rPr>
      </w:pPr>
      <w:r w:rsidRPr="00232738">
        <w:rPr>
          <w:rStyle w:val="FootnoteReference"/>
        </w:rPr>
        <w:footnoteRef/>
      </w:r>
      <w:r w:rsidRPr="00232738">
        <w:t xml:space="preserve"> </w:t>
      </w:r>
      <w:r w:rsidRPr="00232738">
        <w:rPr>
          <w:i/>
          <w:iCs/>
          <w:color w:val="242121"/>
          <w:shd w:val="clear" w:color="auto" w:fill="FFFFFF"/>
        </w:rPr>
        <w:t>Aris Enterprises (Finance)</w:t>
      </w:r>
      <w:r w:rsidR="009B53B5" w:rsidRPr="00232738">
        <w:rPr>
          <w:i/>
          <w:iCs/>
          <w:color w:val="242121"/>
          <w:shd w:val="clear" w:color="auto" w:fill="FFFFFF"/>
        </w:rPr>
        <w:t xml:space="preserve"> (Pty) Ltd</w:t>
      </w:r>
      <w:r w:rsidRPr="00232738">
        <w:rPr>
          <w:color w:val="242121"/>
          <w:shd w:val="clear" w:color="auto" w:fill="FFFFFF"/>
        </w:rPr>
        <w:t> </w:t>
      </w:r>
      <w:r w:rsidRPr="00232738">
        <w:rPr>
          <w:i/>
          <w:iCs/>
          <w:color w:val="242121"/>
          <w:shd w:val="clear" w:color="auto" w:fill="FFFFFF"/>
        </w:rPr>
        <w:t>v Protea Assurance</w:t>
      </w:r>
      <w:r w:rsidR="009B53B5" w:rsidRPr="00232738">
        <w:rPr>
          <w:i/>
          <w:iCs/>
          <w:color w:val="242121"/>
          <w:shd w:val="clear" w:color="auto" w:fill="FFFFFF"/>
        </w:rPr>
        <w:t xml:space="preserve"> Co Ltd</w:t>
      </w:r>
      <w:r w:rsidRPr="00232738">
        <w:rPr>
          <w:color w:val="242121"/>
          <w:shd w:val="clear" w:color="auto" w:fill="FFFFFF"/>
        </w:rPr>
        <w:t> </w:t>
      </w:r>
      <w:r w:rsidR="009B53B5" w:rsidRPr="00232738">
        <w:rPr>
          <w:color w:val="242121"/>
          <w:shd w:val="clear" w:color="auto" w:fill="FFFFFF"/>
        </w:rPr>
        <w:t xml:space="preserve">[1981] 4 All SA 238 (A); </w:t>
      </w:r>
      <w:hyperlink r:id="rId1" w:tooltip="View LawCiteRecord" w:history="1">
        <w:r w:rsidRPr="00232738">
          <w:rPr>
            <w:rStyle w:val="Hyperlink"/>
            <w:bCs/>
            <w:color w:val="auto"/>
            <w:u w:val="none"/>
            <w:shd w:val="clear" w:color="auto" w:fill="FFFFFF"/>
          </w:rPr>
          <w:t>1981 (3) SA 274</w:t>
        </w:r>
      </w:hyperlink>
      <w:r w:rsidRPr="00232738">
        <w:rPr>
          <w:shd w:val="clear" w:color="auto" w:fill="FFFFFF"/>
        </w:rPr>
        <w:t> (</w:t>
      </w:r>
      <w:r w:rsidRPr="00232738">
        <w:rPr>
          <w:color w:val="242121"/>
          <w:shd w:val="clear" w:color="auto" w:fill="FFFFFF"/>
        </w:rPr>
        <w:t>A) at 291D-E.</w:t>
      </w:r>
    </w:p>
  </w:footnote>
  <w:footnote w:id="7">
    <w:p w14:paraId="63A5CCB7" w14:textId="5E263E9D" w:rsidR="003713E1" w:rsidRPr="00232738" w:rsidRDefault="003713E1" w:rsidP="00F2035A">
      <w:pPr>
        <w:pStyle w:val="FootnoteText"/>
        <w:spacing w:line="240" w:lineRule="auto"/>
        <w:rPr>
          <w:lang w:val="en-ZA"/>
        </w:rPr>
      </w:pPr>
      <w:r w:rsidRPr="00232738">
        <w:rPr>
          <w:rStyle w:val="FootnoteReference"/>
        </w:rPr>
        <w:footnoteRef/>
      </w:r>
      <w:r w:rsidRPr="00232738">
        <w:t xml:space="preserve"> </w:t>
      </w:r>
      <w:r w:rsidRPr="00232738">
        <w:rPr>
          <w:i/>
          <w:lang w:val="en-US"/>
        </w:rPr>
        <w:t>University of Johannesburg v Auckland Park Theological Seminary</w:t>
      </w:r>
      <w:r w:rsidR="00F2035A" w:rsidRPr="00232738">
        <w:rPr>
          <w:i/>
          <w:lang w:val="en-US"/>
        </w:rPr>
        <w:t xml:space="preserve"> and Another</w:t>
      </w:r>
      <w:r w:rsidRPr="00232738">
        <w:rPr>
          <w:lang w:val="en-US"/>
        </w:rPr>
        <w:t xml:space="preserve"> </w:t>
      </w:r>
      <w:r w:rsidR="00F2035A" w:rsidRPr="00232738">
        <w:rPr>
          <w:lang w:val="en-ZA"/>
        </w:rPr>
        <w:t xml:space="preserve">[2021] ZACC 13; 2021 (8) BCLR 807 (CC); 2021 (6) SA 1 (CC) </w:t>
      </w:r>
      <w:r w:rsidRPr="00232738">
        <w:rPr>
          <w:lang w:val="en-US"/>
        </w:rPr>
        <w:t xml:space="preserve">para 118.    </w:t>
      </w:r>
    </w:p>
  </w:footnote>
  <w:footnote w:id="8">
    <w:p w14:paraId="1F825CE2" w14:textId="33F4405F" w:rsidR="00CE2E1B" w:rsidRPr="00CE2E1B" w:rsidRDefault="00CE2E1B" w:rsidP="00F31D76">
      <w:pPr>
        <w:pStyle w:val="FootnoteText"/>
        <w:spacing w:line="240" w:lineRule="auto"/>
        <w:rPr>
          <w:lang w:val="en-US"/>
        </w:rPr>
      </w:pPr>
      <w:r w:rsidRPr="00232738">
        <w:rPr>
          <w:rStyle w:val="FootnoteReference"/>
        </w:rPr>
        <w:footnoteRef/>
      </w:r>
      <w:r w:rsidRPr="00232738">
        <w:t xml:space="preserve"> </w:t>
      </w:r>
      <w:r w:rsidRPr="00232738">
        <w:rPr>
          <w:lang w:val="en-US"/>
        </w:rPr>
        <w:t>Ibid.</w:t>
      </w:r>
    </w:p>
  </w:footnote>
  <w:footnote w:id="9">
    <w:p w14:paraId="79123B7E" w14:textId="4F56ABD9" w:rsidR="002871BE" w:rsidRPr="00CB3792" w:rsidRDefault="002871BE" w:rsidP="00F31D76">
      <w:pPr>
        <w:pStyle w:val="FootnoteText"/>
        <w:spacing w:line="240" w:lineRule="auto"/>
        <w:rPr>
          <w:lang w:val="en-US"/>
        </w:rPr>
      </w:pPr>
      <w:r>
        <w:rPr>
          <w:rStyle w:val="FootnoteReference"/>
        </w:rPr>
        <w:footnoteRef/>
      </w:r>
      <w:r w:rsidR="002C61D6">
        <w:rPr>
          <w:i/>
        </w:rPr>
        <w:t xml:space="preserve"> </w:t>
      </w:r>
      <w:r w:rsidRPr="000F6D08">
        <w:rPr>
          <w:i/>
        </w:rPr>
        <w:t>HNR Properties CC</w:t>
      </w:r>
      <w:r w:rsidR="00960C1D">
        <w:rPr>
          <w:i/>
        </w:rPr>
        <w:t xml:space="preserve"> </w:t>
      </w:r>
      <w:r w:rsidR="00960C1D" w:rsidRPr="00232738">
        <w:rPr>
          <w:i/>
        </w:rPr>
        <w:t>and Another</w:t>
      </w:r>
      <w:r w:rsidRPr="000F6D08">
        <w:rPr>
          <w:i/>
        </w:rPr>
        <w:t xml:space="preserve"> v Standard Bank of SA Ltd</w:t>
      </w:r>
      <w:r>
        <w:t xml:space="preserve"> </w:t>
      </w:r>
      <w:r w:rsidRPr="000F6D08">
        <w:rPr>
          <w:lang w:val="en-US"/>
        </w:rPr>
        <w:t>[2003] ZASCA 135</w:t>
      </w:r>
      <w:r>
        <w:rPr>
          <w:lang w:val="en-US"/>
        </w:rPr>
        <w:t>; [2004] All SA 486 (SCA).</w:t>
      </w:r>
    </w:p>
  </w:footnote>
  <w:footnote w:id="10">
    <w:p w14:paraId="6EC96F06" w14:textId="11ECAC27" w:rsidR="003574D8" w:rsidRPr="003574D8" w:rsidRDefault="003574D8" w:rsidP="00F31D76">
      <w:pPr>
        <w:pStyle w:val="FootnoteText"/>
        <w:spacing w:line="240" w:lineRule="auto"/>
        <w:rPr>
          <w:lang w:val="en-US"/>
        </w:rPr>
      </w:pPr>
      <w:r>
        <w:rPr>
          <w:rStyle w:val="FootnoteReference"/>
        </w:rPr>
        <w:footnoteRef/>
      </w:r>
      <w:r>
        <w:t xml:space="preserve"> The clause read as follows: </w:t>
      </w:r>
      <w:r w:rsidRPr="003574D8">
        <w:rPr>
          <w:color w:val="242121"/>
          <w:shd w:val="clear" w:color="auto" w:fill="FFFFFF"/>
        </w:rPr>
        <w:t>‘No cancellation or variation of this suretyship shall be of any force or effect whatsoever unless and until it is recorded in writing signed by or on behalf of the Bank and the surety’</w:t>
      </w:r>
      <w:r w:rsidR="00A545E5">
        <w:rPr>
          <w:color w:val="242121"/>
          <w:shd w:val="clear" w:color="auto" w:fill="FFFFFF"/>
        </w:rPr>
        <w:t>.</w:t>
      </w:r>
      <w:r>
        <w:rPr>
          <w:color w:val="242121"/>
          <w:shd w:val="clear" w:color="auto" w:fill="FFFFFF"/>
        </w:rPr>
        <w:t xml:space="preserve"> (Ibid para 20</w:t>
      </w:r>
      <w:r w:rsidR="00A545E5">
        <w:rPr>
          <w:color w:val="242121"/>
          <w:shd w:val="clear" w:color="auto" w:fill="FFFFFF"/>
        </w:rPr>
        <w:t>.</w:t>
      </w:r>
      <w:r>
        <w:rPr>
          <w:color w:val="242121"/>
          <w:shd w:val="clear" w:color="auto" w:fill="FFFFFF"/>
        </w:rPr>
        <w:t>)</w:t>
      </w:r>
    </w:p>
  </w:footnote>
  <w:footnote w:id="11">
    <w:p w14:paraId="46DE7657" w14:textId="15DF2265" w:rsidR="00ED7AE7" w:rsidRPr="002C2EF3" w:rsidRDefault="00ED7AE7" w:rsidP="002C2EF3">
      <w:pPr>
        <w:pStyle w:val="FootnoteText"/>
        <w:spacing w:line="240" w:lineRule="auto"/>
        <w:rPr>
          <w:lang w:val="en-ZA"/>
        </w:rPr>
      </w:pPr>
      <w:r w:rsidRPr="00232738">
        <w:rPr>
          <w:rStyle w:val="FootnoteReference"/>
        </w:rPr>
        <w:footnoteRef/>
      </w:r>
      <w:r w:rsidRPr="00232738">
        <w:t xml:space="preserve"> </w:t>
      </w:r>
      <w:r w:rsidRPr="00232738">
        <w:rPr>
          <w:lang w:val="en-ZA"/>
        </w:rPr>
        <w:t>Ibid paras 20-22.</w:t>
      </w:r>
    </w:p>
  </w:footnote>
  <w:footnote w:id="12">
    <w:p w14:paraId="79601B63" w14:textId="0E9DCEAD" w:rsidR="00B46CEA" w:rsidRPr="00B46CEA" w:rsidRDefault="00B46CEA" w:rsidP="00F31D76">
      <w:pPr>
        <w:pStyle w:val="FootnoteText"/>
        <w:spacing w:line="240" w:lineRule="auto"/>
        <w:rPr>
          <w:lang w:val="en-US"/>
        </w:rPr>
      </w:pPr>
      <w:r>
        <w:rPr>
          <w:rStyle w:val="FootnoteReference"/>
        </w:rPr>
        <w:footnoteRef/>
      </w:r>
      <w:r>
        <w:t xml:space="preserve"> </w:t>
      </w:r>
      <w:r w:rsidRPr="00B46CEA">
        <w:rPr>
          <w:i/>
          <w:lang w:val="en-US"/>
        </w:rPr>
        <w:t>BMW Financial Services (SA) (Pty)</w:t>
      </w:r>
      <w:r w:rsidR="00BF3A04">
        <w:rPr>
          <w:i/>
          <w:lang w:val="en-US"/>
        </w:rPr>
        <w:t xml:space="preserve"> Ltd</w:t>
      </w:r>
      <w:r w:rsidRPr="00B46CEA">
        <w:rPr>
          <w:i/>
          <w:lang w:val="en-US"/>
        </w:rPr>
        <w:t xml:space="preserve"> v Tabata</w:t>
      </w:r>
      <w:r>
        <w:rPr>
          <w:lang w:val="en-US"/>
        </w:rPr>
        <w:t xml:space="preserve"> 2018 JDR 1286 (SCA).</w:t>
      </w:r>
    </w:p>
  </w:footnote>
  <w:footnote w:id="13">
    <w:p w14:paraId="62A71A67" w14:textId="77777777" w:rsidR="00D661D2" w:rsidRPr="009D2F85" w:rsidRDefault="00D661D2" w:rsidP="007E36F6">
      <w:pPr>
        <w:pStyle w:val="FootnoteText"/>
        <w:spacing w:line="240" w:lineRule="auto"/>
        <w:rPr>
          <w:lang w:val="en-US"/>
        </w:rPr>
      </w:pPr>
      <w:r>
        <w:rPr>
          <w:rStyle w:val="FootnoteReference"/>
        </w:rPr>
        <w:footnoteRef/>
      </w:r>
      <w:r>
        <w:t xml:space="preserve"> </w:t>
      </w:r>
      <w:r w:rsidRPr="002962B2">
        <w:rPr>
          <w:lang w:val="en-US"/>
        </w:rPr>
        <w:t xml:space="preserve">See </w:t>
      </w:r>
      <w:r w:rsidRPr="00137668">
        <w:rPr>
          <w:i/>
          <w:lang w:val="en-US"/>
        </w:rPr>
        <w:t>HNR Properties</w:t>
      </w:r>
      <w:r>
        <w:rPr>
          <w:lang w:val="en-US"/>
        </w:rPr>
        <w:t xml:space="preserve"> </w:t>
      </w:r>
      <w:r w:rsidRPr="002962B2">
        <w:rPr>
          <w:lang w:val="en-US"/>
        </w:rPr>
        <w:t>f</w:t>
      </w:r>
      <w:r>
        <w:rPr>
          <w:lang w:val="en-US"/>
        </w:rPr>
        <w:t>n</w:t>
      </w:r>
      <w:r w:rsidRPr="002962B2">
        <w:rPr>
          <w:lang w:val="en-US"/>
        </w:rPr>
        <w:t xml:space="preserve"> 9 in the main judgment</w:t>
      </w:r>
      <w:r>
        <w:rPr>
          <w:lang w:val="en-US"/>
        </w:rPr>
        <w:t xml:space="preserve">. </w:t>
      </w:r>
    </w:p>
  </w:footnote>
  <w:footnote w:id="14">
    <w:p w14:paraId="3FACBEDB" w14:textId="77777777" w:rsidR="00D661D2" w:rsidRPr="00137668" w:rsidRDefault="00D661D2" w:rsidP="007E36F6">
      <w:pPr>
        <w:pStyle w:val="FootnoteText"/>
        <w:spacing w:line="240" w:lineRule="auto"/>
        <w:rPr>
          <w:lang w:val="en-US"/>
        </w:rPr>
      </w:pPr>
      <w:r w:rsidRPr="00137668">
        <w:rPr>
          <w:rStyle w:val="FootnoteReference"/>
        </w:rPr>
        <w:footnoteRef/>
      </w:r>
      <w:r w:rsidRPr="00137668">
        <w:t xml:space="preserve"> </w:t>
      </w:r>
      <w:r w:rsidRPr="0049265A">
        <w:t xml:space="preserve">See </w:t>
      </w:r>
      <w:r w:rsidRPr="00137668">
        <w:rPr>
          <w:i/>
        </w:rPr>
        <w:t xml:space="preserve">Tabata </w:t>
      </w:r>
      <w:r>
        <w:t>fn</w:t>
      </w:r>
      <w:r w:rsidRPr="0049265A">
        <w:t xml:space="preserve"> 12 in</w:t>
      </w:r>
      <w:r w:rsidRPr="00137668">
        <w:t xml:space="preserve"> the main judgment.</w:t>
      </w:r>
    </w:p>
  </w:footnote>
  <w:footnote w:id="15">
    <w:p w14:paraId="61229E70" w14:textId="6F96797F" w:rsidR="00D661D2" w:rsidRPr="001662D4" w:rsidRDefault="00D661D2" w:rsidP="007E36F6">
      <w:pPr>
        <w:pStyle w:val="FootnoteText"/>
        <w:spacing w:line="240" w:lineRule="auto"/>
        <w:rPr>
          <w:i/>
          <w:lang w:val="en-US"/>
        </w:rPr>
      </w:pPr>
      <w:r>
        <w:rPr>
          <w:rStyle w:val="FootnoteReference"/>
        </w:rPr>
        <w:footnoteRef/>
      </w:r>
      <w:r>
        <w:t xml:space="preserve"> See </w:t>
      </w:r>
      <w:r w:rsidRPr="001662D4">
        <w:rPr>
          <w:i/>
        </w:rPr>
        <w:t>BMW Financial Services (SA) (P</w:t>
      </w:r>
      <w:r w:rsidR="00C12105">
        <w:rPr>
          <w:i/>
        </w:rPr>
        <w:t>ty</w:t>
      </w:r>
      <w:r w:rsidRPr="001662D4">
        <w:rPr>
          <w:i/>
        </w:rPr>
        <w:t>) L</w:t>
      </w:r>
      <w:r w:rsidR="00C12105">
        <w:rPr>
          <w:i/>
        </w:rPr>
        <w:t>td</w:t>
      </w:r>
      <w:r w:rsidRPr="001662D4">
        <w:rPr>
          <w:i/>
        </w:rPr>
        <w:t xml:space="preserve"> v Finlay and Others</w:t>
      </w:r>
      <w:r>
        <w:t xml:space="preserve"> </w:t>
      </w:r>
      <w:r w:rsidR="00C12105">
        <w:t xml:space="preserve">[2017] </w:t>
      </w:r>
      <w:r>
        <w:t>ZAGPPHC 181 (</w:t>
      </w:r>
      <w:r w:rsidR="00C12105">
        <w:t>GP</w:t>
      </w:r>
      <w:r>
        <w:t>).</w:t>
      </w:r>
    </w:p>
  </w:footnote>
  <w:footnote w:id="16">
    <w:p w14:paraId="08252873" w14:textId="77777777" w:rsidR="00D661D2" w:rsidRPr="00137668" w:rsidRDefault="00D661D2" w:rsidP="007E36F6">
      <w:pPr>
        <w:pStyle w:val="FootnoteText"/>
        <w:spacing w:line="240" w:lineRule="auto"/>
      </w:pPr>
      <w:r w:rsidRPr="00137668">
        <w:rPr>
          <w:rStyle w:val="FootnoteReference"/>
        </w:rPr>
        <w:footnoteRef/>
      </w:r>
      <w:r w:rsidRPr="00137668">
        <w:t xml:space="preserve"> Ibid para 26.</w:t>
      </w:r>
    </w:p>
  </w:footnote>
  <w:footnote w:id="17">
    <w:p w14:paraId="148D7DA0" w14:textId="77777777" w:rsidR="00D661D2" w:rsidRPr="00137668" w:rsidRDefault="00D661D2" w:rsidP="007E36F6">
      <w:pPr>
        <w:pStyle w:val="FootnoteText"/>
        <w:spacing w:line="240" w:lineRule="auto"/>
      </w:pPr>
      <w:r w:rsidRPr="00137668">
        <w:rPr>
          <w:rStyle w:val="FootnoteReference"/>
        </w:rPr>
        <w:footnoteRef/>
      </w:r>
      <w:r w:rsidRPr="00137668">
        <w:t xml:space="preserve"> Ibid para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E6E9" w14:textId="77777777" w:rsidR="009120CA" w:rsidRDefault="00912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9050C2" w14:textId="77777777" w:rsidR="009120CA" w:rsidRDefault="009120C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320924425"/>
      <w:docPartObj>
        <w:docPartGallery w:val="Page Numbers (Top of Page)"/>
        <w:docPartUnique/>
      </w:docPartObj>
    </w:sdtPr>
    <w:sdtEndPr>
      <w:rPr>
        <w:noProof/>
      </w:rPr>
    </w:sdtEndPr>
    <w:sdtContent>
      <w:p w14:paraId="443B58BF" w14:textId="34E8EF81" w:rsidR="009120CA" w:rsidRPr="00995C52" w:rsidRDefault="009120CA">
        <w:pPr>
          <w:pStyle w:val="Header"/>
          <w:jc w:val="right"/>
          <w:rPr>
            <w:sz w:val="28"/>
            <w:szCs w:val="28"/>
          </w:rPr>
        </w:pPr>
        <w:r w:rsidRPr="00995C52">
          <w:rPr>
            <w:sz w:val="28"/>
            <w:szCs w:val="28"/>
          </w:rPr>
          <w:fldChar w:fldCharType="begin"/>
        </w:r>
        <w:r w:rsidRPr="00995C52">
          <w:rPr>
            <w:sz w:val="28"/>
            <w:szCs w:val="28"/>
          </w:rPr>
          <w:instrText xml:space="preserve"> PAGE   \* MERGEFORMAT </w:instrText>
        </w:r>
        <w:r w:rsidRPr="00995C52">
          <w:rPr>
            <w:sz w:val="28"/>
            <w:szCs w:val="28"/>
          </w:rPr>
          <w:fldChar w:fldCharType="separate"/>
        </w:r>
        <w:r w:rsidR="009D1414">
          <w:rPr>
            <w:noProof/>
            <w:sz w:val="28"/>
            <w:szCs w:val="28"/>
          </w:rPr>
          <w:t>17</w:t>
        </w:r>
        <w:r w:rsidRPr="00995C52">
          <w:rPr>
            <w:noProof/>
            <w:sz w:val="28"/>
            <w:szCs w:val="28"/>
          </w:rPr>
          <w:fldChar w:fldCharType="end"/>
        </w:r>
      </w:p>
    </w:sdtContent>
  </w:sdt>
  <w:p w14:paraId="33C8835C" w14:textId="77777777" w:rsidR="009120CA" w:rsidRPr="00995C52" w:rsidRDefault="009120CA">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6B9843DC"/>
    <w:lvl w:ilvl="0" w:tplc="C6147C3C">
      <w:start w:val="1"/>
      <w:numFmt w:val="decimal"/>
      <w:lvlText w:val="[%1]"/>
      <w:lvlJc w:val="left"/>
      <w:pPr>
        <w:ind w:left="450" w:firstLine="0"/>
      </w:pPr>
      <w:rPr>
        <w:rFonts w:ascii="Times New Roman" w:hAnsi="Times New Roman" w:cs="Times New Roman" w:hint="default"/>
        <w:b w:val="0"/>
        <w:bCs w:val="0"/>
        <w:i w:val="0"/>
        <w:i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D2ADA"/>
    <w:multiLevelType w:val="hybridMultilevel"/>
    <w:tmpl w:val="5B7E4F6E"/>
    <w:lvl w:ilvl="0" w:tplc="C48A84B2">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60335BA6"/>
    <w:multiLevelType w:val="hybridMultilevel"/>
    <w:tmpl w:val="67B8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BC0369-D9B2-4DC2-B20C-2FE3A8281319}"/>
    <w:docVar w:name="dgnword-eventsink" w:val="2868606557872"/>
  </w:docVars>
  <w:rsids>
    <w:rsidRoot w:val="00B83FA5"/>
    <w:rsid w:val="00014B50"/>
    <w:rsid w:val="0004044D"/>
    <w:rsid w:val="0005142C"/>
    <w:rsid w:val="00052699"/>
    <w:rsid w:val="00064576"/>
    <w:rsid w:val="000672D8"/>
    <w:rsid w:val="00074134"/>
    <w:rsid w:val="00076FED"/>
    <w:rsid w:val="00090B79"/>
    <w:rsid w:val="000A2DC3"/>
    <w:rsid w:val="000B1AF1"/>
    <w:rsid w:val="000B489D"/>
    <w:rsid w:val="000C2F24"/>
    <w:rsid w:val="000C5030"/>
    <w:rsid w:val="000F6D08"/>
    <w:rsid w:val="000F7A09"/>
    <w:rsid w:val="001044A2"/>
    <w:rsid w:val="00121A60"/>
    <w:rsid w:val="00133FF8"/>
    <w:rsid w:val="0014368A"/>
    <w:rsid w:val="0014491F"/>
    <w:rsid w:val="00144A50"/>
    <w:rsid w:val="00150C04"/>
    <w:rsid w:val="00152DA3"/>
    <w:rsid w:val="0016595D"/>
    <w:rsid w:val="001840C6"/>
    <w:rsid w:val="001871C9"/>
    <w:rsid w:val="00190F8A"/>
    <w:rsid w:val="001954FB"/>
    <w:rsid w:val="001B4E93"/>
    <w:rsid w:val="001B62C0"/>
    <w:rsid w:val="001B7FAE"/>
    <w:rsid w:val="001C7AEB"/>
    <w:rsid w:val="001D23A1"/>
    <w:rsid w:val="001F465E"/>
    <w:rsid w:val="001F4F14"/>
    <w:rsid w:val="001F5D12"/>
    <w:rsid w:val="00211C6C"/>
    <w:rsid w:val="0023195C"/>
    <w:rsid w:val="00232738"/>
    <w:rsid w:val="002526E9"/>
    <w:rsid w:val="00260778"/>
    <w:rsid w:val="00266365"/>
    <w:rsid w:val="00271501"/>
    <w:rsid w:val="0027207A"/>
    <w:rsid w:val="00272412"/>
    <w:rsid w:val="00276369"/>
    <w:rsid w:val="00281B3A"/>
    <w:rsid w:val="00285B48"/>
    <w:rsid w:val="002871BE"/>
    <w:rsid w:val="00291787"/>
    <w:rsid w:val="00291E61"/>
    <w:rsid w:val="00297EB4"/>
    <w:rsid w:val="002A4BB1"/>
    <w:rsid w:val="002B4AE4"/>
    <w:rsid w:val="002C2EF3"/>
    <w:rsid w:val="002C61D6"/>
    <w:rsid w:val="002C6917"/>
    <w:rsid w:val="002D3E5F"/>
    <w:rsid w:val="002E0415"/>
    <w:rsid w:val="002E4BFA"/>
    <w:rsid w:val="002E521F"/>
    <w:rsid w:val="002F075E"/>
    <w:rsid w:val="002F1765"/>
    <w:rsid w:val="002F21B3"/>
    <w:rsid w:val="002F7D97"/>
    <w:rsid w:val="003024DA"/>
    <w:rsid w:val="00307227"/>
    <w:rsid w:val="0032174D"/>
    <w:rsid w:val="003311B6"/>
    <w:rsid w:val="00331230"/>
    <w:rsid w:val="00343BB7"/>
    <w:rsid w:val="00346245"/>
    <w:rsid w:val="00353D92"/>
    <w:rsid w:val="003574D8"/>
    <w:rsid w:val="003604C5"/>
    <w:rsid w:val="00361DC3"/>
    <w:rsid w:val="003713E1"/>
    <w:rsid w:val="00372383"/>
    <w:rsid w:val="00375E75"/>
    <w:rsid w:val="003838C5"/>
    <w:rsid w:val="003849E6"/>
    <w:rsid w:val="003A21C0"/>
    <w:rsid w:val="003C3DC0"/>
    <w:rsid w:val="003D37CD"/>
    <w:rsid w:val="003D5526"/>
    <w:rsid w:val="003E1271"/>
    <w:rsid w:val="003E6777"/>
    <w:rsid w:val="003F5DBA"/>
    <w:rsid w:val="003F6DA2"/>
    <w:rsid w:val="00400EDF"/>
    <w:rsid w:val="00404AE0"/>
    <w:rsid w:val="00404B91"/>
    <w:rsid w:val="00406ABC"/>
    <w:rsid w:val="004076CF"/>
    <w:rsid w:val="00412645"/>
    <w:rsid w:val="00423732"/>
    <w:rsid w:val="00424E5C"/>
    <w:rsid w:val="0042613F"/>
    <w:rsid w:val="004312D8"/>
    <w:rsid w:val="00432DC0"/>
    <w:rsid w:val="004335CA"/>
    <w:rsid w:val="00433E74"/>
    <w:rsid w:val="00442EF3"/>
    <w:rsid w:val="004511CA"/>
    <w:rsid w:val="0045182D"/>
    <w:rsid w:val="004619A8"/>
    <w:rsid w:val="0047112F"/>
    <w:rsid w:val="00483A76"/>
    <w:rsid w:val="00487C76"/>
    <w:rsid w:val="00496EA5"/>
    <w:rsid w:val="004A02C1"/>
    <w:rsid w:val="004A65D8"/>
    <w:rsid w:val="004A78C7"/>
    <w:rsid w:val="004B14A7"/>
    <w:rsid w:val="004B2C56"/>
    <w:rsid w:val="004F49EE"/>
    <w:rsid w:val="004F7145"/>
    <w:rsid w:val="00502023"/>
    <w:rsid w:val="00503E90"/>
    <w:rsid w:val="0050724F"/>
    <w:rsid w:val="0051227F"/>
    <w:rsid w:val="00517228"/>
    <w:rsid w:val="0052398F"/>
    <w:rsid w:val="005240FE"/>
    <w:rsid w:val="005277B4"/>
    <w:rsid w:val="005371E8"/>
    <w:rsid w:val="005422D7"/>
    <w:rsid w:val="00542EE4"/>
    <w:rsid w:val="005512DC"/>
    <w:rsid w:val="0055258B"/>
    <w:rsid w:val="005542B5"/>
    <w:rsid w:val="005625BC"/>
    <w:rsid w:val="005639CD"/>
    <w:rsid w:val="005762E4"/>
    <w:rsid w:val="00586BE7"/>
    <w:rsid w:val="00587E6D"/>
    <w:rsid w:val="0059014B"/>
    <w:rsid w:val="0059691C"/>
    <w:rsid w:val="005A08C7"/>
    <w:rsid w:val="005A309F"/>
    <w:rsid w:val="005A3EC4"/>
    <w:rsid w:val="005B1692"/>
    <w:rsid w:val="005C3D4B"/>
    <w:rsid w:val="005C6E58"/>
    <w:rsid w:val="005C6FD8"/>
    <w:rsid w:val="005D0F0D"/>
    <w:rsid w:val="005D54ED"/>
    <w:rsid w:val="005D7583"/>
    <w:rsid w:val="005F2F9B"/>
    <w:rsid w:val="006031A9"/>
    <w:rsid w:val="00603AA9"/>
    <w:rsid w:val="00610766"/>
    <w:rsid w:val="006107EA"/>
    <w:rsid w:val="006160F3"/>
    <w:rsid w:val="00627002"/>
    <w:rsid w:val="006414B6"/>
    <w:rsid w:val="00642585"/>
    <w:rsid w:val="00671617"/>
    <w:rsid w:val="00673AA0"/>
    <w:rsid w:val="00674D9F"/>
    <w:rsid w:val="00690A25"/>
    <w:rsid w:val="006A60D5"/>
    <w:rsid w:val="006B101A"/>
    <w:rsid w:val="006B108A"/>
    <w:rsid w:val="006B7175"/>
    <w:rsid w:val="006E02E4"/>
    <w:rsid w:val="006E09D7"/>
    <w:rsid w:val="006E49D7"/>
    <w:rsid w:val="006F0664"/>
    <w:rsid w:val="006F1AAB"/>
    <w:rsid w:val="006F6980"/>
    <w:rsid w:val="006F73D8"/>
    <w:rsid w:val="007004D9"/>
    <w:rsid w:val="00711079"/>
    <w:rsid w:val="007129E3"/>
    <w:rsid w:val="0072529B"/>
    <w:rsid w:val="00733FE5"/>
    <w:rsid w:val="00734BCC"/>
    <w:rsid w:val="00744EA9"/>
    <w:rsid w:val="00747E5D"/>
    <w:rsid w:val="00761BE3"/>
    <w:rsid w:val="00777B55"/>
    <w:rsid w:val="00787784"/>
    <w:rsid w:val="007945D9"/>
    <w:rsid w:val="00794979"/>
    <w:rsid w:val="00794E63"/>
    <w:rsid w:val="00796536"/>
    <w:rsid w:val="007B6ECC"/>
    <w:rsid w:val="007D052D"/>
    <w:rsid w:val="007D2972"/>
    <w:rsid w:val="007D3DF4"/>
    <w:rsid w:val="007D4A3F"/>
    <w:rsid w:val="007E36F6"/>
    <w:rsid w:val="007F2E20"/>
    <w:rsid w:val="007F32B1"/>
    <w:rsid w:val="00806883"/>
    <w:rsid w:val="00806B8F"/>
    <w:rsid w:val="00814CAD"/>
    <w:rsid w:val="008221BD"/>
    <w:rsid w:val="00840FDF"/>
    <w:rsid w:val="008510FE"/>
    <w:rsid w:val="00853706"/>
    <w:rsid w:val="00870B71"/>
    <w:rsid w:val="00873D07"/>
    <w:rsid w:val="00892E2E"/>
    <w:rsid w:val="008A3D91"/>
    <w:rsid w:val="008A6CC6"/>
    <w:rsid w:val="008B2C73"/>
    <w:rsid w:val="008C0F2F"/>
    <w:rsid w:val="008C424F"/>
    <w:rsid w:val="008D1007"/>
    <w:rsid w:val="00907EA4"/>
    <w:rsid w:val="009120CA"/>
    <w:rsid w:val="00912C62"/>
    <w:rsid w:val="00920FA3"/>
    <w:rsid w:val="00923C4C"/>
    <w:rsid w:val="00930E80"/>
    <w:rsid w:val="009403C9"/>
    <w:rsid w:val="009503D9"/>
    <w:rsid w:val="0095135E"/>
    <w:rsid w:val="00953D31"/>
    <w:rsid w:val="00960C1D"/>
    <w:rsid w:val="009761C6"/>
    <w:rsid w:val="00983B35"/>
    <w:rsid w:val="00995C52"/>
    <w:rsid w:val="009A2052"/>
    <w:rsid w:val="009A2626"/>
    <w:rsid w:val="009B1AE9"/>
    <w:rsid w:val="009B53B5"/>
    <w:rsid w:val="009D10BB"/>
    <w:rsid w:val="009D1414"/>
    <w:rsid w:val="009F245A"/>
    <w:rsid w:val="009F2D8F"/>
    <w:rsid w:val="009F64E2"/>
    <w:rsid w:val="009F7BAE"/>
    <w:rsid w:val="00A06D4E"/>
    <w:rsid w:val="00A10263"/>
    <w:rsid w:val="00A2332D"/>
    <w:rsid w:val="00A3292F"/>
    <w:rsid w:val="00A35CD5"/>
    <w:rsid w:val="00A4586E"/>
    <w:rsid w:val="00A47561"/>
    <w:rsid w:val="00A51F91"/>
    <w:rsid w:val="00A545E5"/>
    <w:rsid w:val="00A57044"/>
    <w:rsid w:val="00A62E4E"/>
    <w:rsid w:val="00A84E8B"/>
    <w:rsid w:val="00A9136B"/>
    <w:rsid w:val="00A94A5E"/>
    <w:rsid w:val="00A95BE8"/>
    <w:rsid w:val="00AA67D5"/>
    <w:rsid w:val="00AB1A97"/>
    <w:rsid w:val="00AB5850"/>
    <w:rsid w:val="00AB6394"/>
    <w:rsid w:val="00AC0A4C"/>
    <w:rsid w:val="00AC3FC9"/>
    <w:rsid w:val="00AC791D"/>
    <w:rsid w:val="00AF1632"/>
    <w:rsid w:val="00AF1729"/>
    <w:rsid w:val="00B04500"/>
    <w:rsid w:val="00B206B4"/>
    <w:rsid w:val="00B32293"/>
    <w:rsid w:val="00B41D93"/>
    <w:rsid w:val="00B46CEA"/>
    <w:rsid w:val="00B6204A"/>
    <w:rsid w:val="00B6698E"/>
    <w:rsid w:val="00B67D71"/>
    <w:rsid w:val="00B71315"/>
    <w:rsid w:val="00B83FA5"/>
    <w:rsid w:val="00B85C53"/>
    <w:rsid w:val="00B87804"/>
    <w:rsid w:val="00B91681"/>
    <w:rsid w:val="00B960EB"/>
    <w:rsid w:val="00B979A1"/>
    <w:rsid w:val="00BA73C9"/>
    <w:rsid w:val="00BC273A"/>
    <w:rsid w:val="00BC6D40"/>
    <w:rsid w:val="00BD1B99"/>
    <w:rsid w:val="00BD3C19"/>
    <w:rsid w:val="00BE1406"/>
    <w:rsid w:val="00BE214B"/>
    <w:rsid w:val="00BF0830"/>
    <w:rsid w:val="00BF3A04"/>
    <w:rsid w:val="00BF7383"/>
    <w:rsid w:val="00C002EA"/>
    <w:rsid w:val="00C00EC6"/>
    <w:rsid w:val="00C0301F"/>
    <w:rsid w:val="00C12105"/>
    <w:rsid w:val="00C2312C"/>
    <w:rsid w:val="00C53899"/>
    <w:rsid w:val="00C53A48"/>
    <w:rsid w:val="00C600CB"/>
    <w:rsid w:val="00C650AA"/>
    <w:rsid w:val="00C75A25"/>
    <w:rsid w:val="00C86C7C"/>
    <w:rsid w:val="00C87A71"/>
    <w:rsid w:val="00C9115F"/>
    <w:rsid w:val="00CA0472"/>
    <w:rsid w:val="00CA181E"/>
    <w:rsid w:val="00CA1D15"/>
    <w:rsid w:val="00CB3792"/>
    <w:rsid w:val="00CB505A"/>
    <w:rsid w:val="00CB52B5"/>
    <w:rsid w:val="00CC275B"/>
    <w:rsid w:val="00CC3813"/>
    <w:rsid w:val="00CC39CC"/>
    <w:rsid w:val="00CC3F50"/>
    <w:rsid w:val="00CE2E1B"/>
    <w:rsid w:val="00CF3F63"/>
    <w:rsid w:val="00D02C8C"/>
    <w:rsid w:val="00D0615E"/>
    <w:rsid w:val="00D130D0"/>
    <w:rsid w:val="00D15E44"/>
    <w:rsid w:val="00D161D6"/>
    <w:rsid w:val="00D300E2"/>
    <w:rsid w:val="00D30B5D"/>
    <w:rsid w:val="00D35A45"/>
    <w:rsid w:val="00D41179"/>
    <w:rsid w:val="00D62370"/>
    <w:rsid w:val="00D661D2"/>
    <w:rsid w:val="00D679DA"/>
    <w:rsid w:val="00D67EFA"/>
    <w:rsid w:val="00D70E6F"/>
    <w:rsid w:val="00D77065"/>
    <w:rsid w:val="00D83C99"/>
    <w:rsid w:val="00DA2C5A"/>
    <w:rsid w:val="00DA407B"/>
    <w:rsid w:val="00DA7B56"/>
    <w:rsid w:val="00DB0E8D"/>
    <w:rsid w:val="00DC3E1C"/>
    <w:rsid w:val="00DC3F7A"/>
    <w:rsid w:val="00DC7BE0"/>
    <w:rsid w:val="00DD1167"/>
    <w:rsid w:val="00DD47AA"/>
    <w:rsid w:val="00DE53A7"/>
    <w:rsid w:val="00DF1CF3"/>
    <w:rsid w:val="00E01C94"/>
    <w:rsid w:val="00E12B55"/>
    <w:rsid w:val="00E349F3"/>
    <w:rsid w:val="00E40B9A"/>
    <w:rsid w:val="00E460E4"/>
    <w:rsid w:val="00E478A7"/>
    <w:rsid w:val="00E535D9"/>
    <w:rsid w:val="00E53DF4"/>
    <w:rsid w:val="00E65060"/>
    <w:rsid w:val="00E76D08"/>
    <w:rsid w:val="00E84082"/>
    <w:rsid w:val="00E85259"/>
    <w:rsid w:val="00EA094B"/>
    <w:rsid w:val="00EA5368"/>
    <w:rsid w:val="00EB04F1"/>
    <w:rsid w:val="00EB14F6"/>
    <w:rsid w:val="00EC04FD"/>
    <w:rsid w:val="00EC0A61"/>
    <w:rsid w:val="00ED221F"/>
    <w:rsid w:val="00ED403C"/>
    <w:rsid w:val="00ED7AE7"/>
    <w:rsid w:val="00EE2ABA"/>
    <w:rsid w:val="00EF46EE"/>
    <w:rsid w:val="00EF661C"/>
    <w:rsid w:val="00F015FC"/>
    <w:rsid w:val="00F05C33"/>
    <w:rsid w:val="00F15A61"/>
    <w:rsid w:val="00F2035A"/>
    <w:rsid w:val="00F262C6"/>
    <w:rsid w:val="00F30BCE"/>
    <w:rsid w:val="00F31D76"/>
    <w:rsid w:val="00F37795"/>
    <w:rsid w:val="00F40D90"/>
    <w:rsid w:val="00F41E81"/>
    <w:rsid w:val="00F43846"/>
    <w:rsid w:val="00F55C2E"/>
    <w:rsid w:val="00F63474"/>
    <w:rsid w:val="00F6444A"/>
    <w:rsid w:val="00F653D1"/>
    <w:rsid w:val="00F7304A"/>
    <w:rsid w:val="00F7438E"/>
    <w:rsid w:val="00F821FD"/>
    <w:rsid w:val="00FA4E62"/>
    <w:rsid w:val="00FA6A1B"/>
    <w:rsid w:val="00FA71B9"/>
    <w:rsid w:val="00FB1B28"/>
    <w:rsid w:val="00FB3128"/>
    <w:rsid w:val="00FC2693"/>
    <w:rsid w:val="00FC28B7"/>
    <w:rsid w:val="00FC4070"/>
    <w:rsid w:val="00FD2B32"/>
    <w:rsid w:val="00FD79FF"/>
    <w:rsid w:val="00FD7D01"/>
    <w:rsid w:val="00FE51B6"/>
    <w:rsid w:val="00F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C455"/>
  <w15:chartTrackingRefBased/>
  <w15:docId w15:val="{F544DCCC-04C8-4246-BB55-1F393551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5E"/>
    <w:pPr>
      <w:spacing w:after="0" w:line="36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41D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203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83FA5"/>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3FA5"/>
    <w:rPr>
      <w:rFonts w:ascii="Arial" w:eastAsia="Times New Roman" w:hAnsi="Arial" w:cs="Arial"/>
      <w:i/>
      <w:iCs/>
      <w:sz w:val="28"/>
      <w:szCs w:val="24"/>
      <w:lang w:val="en-GB"/>
    </w:rPr>
  </w:style>
  <w:style w:type="paragraph" w:styleId="Header">
    <w:name w:val="header"/>
    <w:basedOn w:val="Normal"/>
    <w:link w:val="HeaderChar"/>
    <w:uiPriority w:val="99"/>
    <w:rsid w:val="00B83FA5"/>
    <w:pPr>
      <w:tabs>
        <w:tab w:val="center" w:pos="4153"/>
        <w:tab w:val="right" w:pos="8306"/>
      </w:tabs>
    </w:pPr>
  </w:style>
  <w:style w:type="character" w:customStyle="1" w:styleId="HeaderChar">
    <w:name w:val="Header Char"/>
    <w:basedOn w:val="DefaultParagraphFont"/>
    <w:link w:val="Header"/>
    <w:uiPriority w:val="99"/>
    <w:rsid w:val="00B83FA5"/>
    <w:rPr>
      <w:rFonts w:ascii="Times New Roman" w:eastAsia="Times New Roman" w:hAnsi="Times New Roman" w:cs="Times New Roman"/>
      <w:sz w:val="24"/>
      <w:szCs w:val="24"/>
      <w:lang w:val="en-GB"/>
    </w:rPr>
  </w:style>
  <w:style w:type="character" w:styleId="PageNumber">
    <w:name w:val="page number"/>
    <w:basedOn w:val="DefaultParagraphFont"/>
    <w:rsid w:val="00B83FA5"/>
    <w:rPr>
      <w:rFonts w:cs="Times New Roman"/>
    </w:rPr>
  </w:style>
  <w:style w:type="paragraph" w:styleId="FootnoteText">
    <w:name w:val="footnote text"/>
    <w:basedOn w:val="Normal"/>
    <w:link w:val="FootnoteTextChar"/>
    <w:uiPriority w:val="99"/>
    <w:rsid w:val="00B83FA5"/>
    <w:rPr>
      <w:sz w:val="20"/>
      <w:szCs w:val="20"/>
    </w:rPr>
  </w:style>
  <w:style w:type="character" w:customStyle="1" w:styleId="FootnoteTextChar">
    <w:name w:val="Footnote Text Char"/>
    <w:basedOn w:val="DefaultParagraphFont"/>
    <w:link w:val="FootnoteText"/>
    <w:uiPriority w:val="99"/>
    <w:rsid w:val="00B83FA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83FA5"/>
    <w:pPr>
      <w:ind w:left="720"/>
      <w:contextualSpacing/>
    </w:pPr>
  </w:style>
  <w:style w:type="character" w:styleId="FootnoteReference">
    <w:name w:val="footnote reference"/>
    <w:basedOn w:val="DefaultParagraphFont"/>
    <w:uiPriority w:val="99"/>
    <w:semiHidden/>
    <w:unhideWhenUsed/>
    <w:rsid w:val="00B83FA5"/>
    <w:rPr>
      <w:vertAlign w:val="superscript"/>
    </w:rPr>
  </w:style>
  <w:style w:type="character" w:styleId="CommentReference">
    <w:name w:val="annotation reference"/>
    <w:basedOn w:val="DefaultParagraphFont"/>
    <w:uiPriority w:val="99"/>
    <w:semiHidden/>
    <w:unhideWhenUsed/>
    <w:rsid w:val="00DC7BE0"/>
    <w:rPr>
      <w:sz w:val="16"/>
      <w:szCs w:val="16"/>
    </w:rPr>
  </w:style>
  <w:style w:type="paragraph" w:styleId="CommentText">
    <w:name w:val="annotation text"/>
    <w:basedOn w:val="Normal"/>
    <w:link w:val="CommentTextChar"/>
    <w:uiPriority w:val="99"/>
    <w:semiHidden/>
    <w:unhideWhenUsed/>
    <w:rsid w:val="00DC7BE0"/>
    <w:pPr>
      <w:spacing w:line="240" w:lineRule="auto"/>
    </w:pPr>
    <w:rPr>
      <w:sz w:val="20"/>
      <w:szCs w:val="20"/>
    </w:rPr>
  </w:style>
  <w:style w:type="character" w:customStyle="1" w:styleId="CommentTextChar">
    <w:name w:val="Comment Text Char"/>
    <w:basedOn w:val="DefaultParagraphFont"/>
    <w:link w:val="CommentText"/>
    <w:uiPriority w:val="99"/>
    <w:semiHidden/>
    <w:rsid w:val="00DC7B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C7BE0"/>
    <w:rPr>
      <w:b/>
      <w:bCs/>
    </w:rPr>
  </w:style>
  <w:style w:type="character" w:customStyle="1" w:styleId="CommentSubjectChar">
    <w:name w:val="Comment Subject Char"/>
    <w:basedOn w:val="CommentTextChar"/>
    <w:link w:val="CommentSubject"/>
    <w:uiPriority w:val="99"/>
    <w:semiHidden/>
    <w:rsid w:val="00DC7BE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C7B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E0"/>
    <w:rPr>
      <w:rFonts w:ascii="Segoe UI" w:eastAsia="Times New Roman" w:hAnsi="Segoe UI" w:cs="Segoe UI"/>
      <w:sz w:val="18"/>
      <w:szCs w:val="18"/>
      <w:lang w:val="en-GB"/>
    </w:rPr>
  </w:style>
  <w:style w:type="paragraph" w:customStyle="1" w:styleId="normaltext">
    <w:name w:val="normaltext"/>
    <w:basedOn w:val="Normal"/>
    <w:rsid w:val="00BA73C9"/>
    <w:pPr>
      <w:spacing w:before="100" w:beforeAutospacing="1" w:after="100" w:afterAutospacing="1" w:line="240" w:lineRule="auto"/>
      <w:jc w:val="left"/>
    </w:pPr>
    <w:rPr>
      <w:lang w:val="en-US"/>
    </w:rPr>
  </w:style>
  <w:style w:type="paragraph" w:customStyle="1" w:styleId="arunninghead">
    <w:name w:val="arunninghead"/>
    <w:basedOn w:val="Normal"/>
    <w:rsid w:val="00BA73C9"/>
    <w:pPr>
      <w:spacing w:before="100" w:beforeAutospacing="1" w:after="100" w:afterAutospacing="1" w:line="240" w:lineRule="auto"/>
      <w:jc w:val="left"/>
    </w:pPr>
    <w:rPr>
      <w:lang w:val="en-US"/>
    </w:rPr>
  </w:style>
  <w:style w:type="paragraph" w:styleId="NormalWeb">
    <w:name w:val="Normal (Web)"/>
    <w:basedOn w:val="Normal"/>
    <w:uiPriority w:val="99"/>
    <w:semiHidden/>
    <w:unhideWhenUsed/>
    <w:rsid w:val="00D679DA"/>
    <w:pPr>
      <w:spacing w:before="100" w:beforeAutospacing="1" w:after="100" w:afterAutospacing="1" w:line="240" w:lineRule="auto"/>
      <w:jc w:val="left"/>
    </w:pPr>
    <w:rPr>
      <w:lang w:val="en-US"/>
    </w:rPr>
  </w:style>
  <w:style w:type="character" w:styleId="Hyperlink">
    <w:name w:val="Hyperlink"/>
    <w:basedOn w:val="DefaultParagraphFont"/>
    <w:uiPriority w:val="99"/>
    <w:semiHidden/>
    <w:unhideWhenUsed/>
    <w:rsid w:val="00D679DA"/>
    <w:rPr>
      <w:color w:val="0000FF"/>
      <w:u w:val="single"/>
    </w:rPr>
  </w:style>
  <w:style w:type="paragraph" w:styleId="Revision">
    <w:name w:val="Revision"/>
    <w:hidden/>
    <w:uiPriority w:val="99"/>
    <w:semiHidden/>
    <w:rsid w:val="003604C5"/>
    <w:pPr>
      <w:spacing w:after="0"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5C52"/>
    <w:pPr>
      <w:tabs>
        <w:tab w:val="center" w:pos="4513"/>
        <w:tab w:val="right" w:pos="9026"/>
      </w:tabs>
      <w:spacing w:line="240" w:lineRule="auto"/>
    </w:pPr>
  </w:style>
  <w:style w:type="character" w:customStyle="1" w:styleId="FooterChar">
    <w:name w:val="Footer Char"/>
    <w:basedOn w:val="DefaultParagraphFont"/>
    <w:link w:val="Footer"/>
    <w:uiPriority w:val="99"/>
    <w:rsid w:val="00995C52"/>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B41D9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F2035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4129">
      <w:bodyDiv w:val="1"/>
      <w:marLeft w:val="0"/>
      <w:marRight w:val="0"/>
      <w:marTop w:val="0"/>
      <w:marBottom w:val="0"/>
      <w:divBdr>
        <w:top w:val="none" w:sz="0" w:space="0" w:color="auto"/>
        <w:left w:val="none" w:sz="0" w:space="0" w:color="auto"/>
        <w:bottom w:val="none" w:sz="0" w:space="0" w:color="auto"/>
        <w:right w:val="none" w:sz="0" w:space="0" w:color="auto"/>
      </w:divBdr>
    </w:div>
    <w:div w:id="1051077390">
      <w:bodyDiv w:val="1"/>
      <w:marLeft w:val="0"/>
      <w:marRight w:val="0"/>
      <w:marTop w:val="0"/>
      <w:marBottom w:val="0"/>
      <w:divBdr>
        <w:top w:val="none" w:sz="0" w:space="0" w:color="auto"/>
        <w:left w:val="none" w:sz="0" w:space="0" w:color="auto"/>
        <w:bottom w:val="none" w:sz="0" w:space="0" w:color="auto"/>
        <w:right w:val="none" w:sz="0" w:space="0" w:color="auto"/>
      </w:divBdr>
    </w:div>
    <w:div w:id="1602451013">
      <w:bodyDiv w:val="1"/>
      <w:marLeft w:val="0"/>
      <w:marRight w:val="0"/>
      <w:marTop w:val="0"/>
      <w:marBottom w:val="0"/>
      <w:divBdr>
        <w:top w:val="none" w:sz="0" w:space="0" w:color="auto"/>
        <w:left w:val="none" w:sz="0" w:space="0" w:color="auto"/>
        <w:bottom w:val="none" w:sz="0" w:space="0" w:color="auto"/>
        <w:right w:val="none" w:sz="0" w:space="0" w:color="auto"/>
      </w:divBdr>
    </w:div>
    <w:div w:id="21303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81%20%283%29%20SA%2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F9EC-8041-4ADF-84A6-E3CF94CE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3</cp:revision>
  <cp:lastPrinted>2023-09-19T11:41:00Z</cp:lastPrinted>
  <dcterms:created xsi:type="dcterms:W3CDTF">2023-10-25T06:22:00Z</dcterms:created>
  <dcterms:modified xsi:type="dcterms:W3CDTF">2023-10-26T10:08:00Z</dcterms:modified>
</cp:coreProperties>
</file>