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BCFA5" w14:textId="77777777" w:rsidR="00CD05AA" w:rsidRPr="001279DB" w:rsidRDefault="00E85772" w:rsidP="003E37DA">
      <w:pPr>
        <w:pStyle w:val="Normal1"/>
        <w:spacing w:after="0" w:line="240" w:lineRule="auto"/>
        <w:ind w:right="72"/>
        <w:contextualSpacing/>
        <w:jc w:val="both"/>
        <w:rPr>
          <w:rFonts w:ascii="Arial" w:eastAsia="Arial" w:hAnsi="Arial" w:cs="Arial"/>
          <w:b/>
          <w:sz w:val="24"/>
          <w:szCs w:val="24"/>
        </w:rPr>
      </w:pPr>
      <w:bookmarkStart w:id="0" w:name="_GoBack"/>
      <w:bookmarkEnd w:id="0"/>
      <w:r w:rsidRPr="001279DB">
        <w:rPr>
          <w:rFonts w:ascii="Arial" w:hAnsi="Arial" w:cs="Arial"/>
          <w:noProof/>
          <w:lang w:eastAsia="en-ZA"/>
        </w:rPr>
        <w:drawing>
          <wp:anchor distT="0" distB="0" distL="114300" distR="114300" simplePos="0" relativeHeight="251658240" behindDoc="0" locked="0" layoutInCell="1" hidden="0" allowOverlap="1" wp14:anchorId="645DD608" wp14:editId="3661E8AF">
            <wp:simplePos x="0" y="0"/>
            <wp:positionH relativeFrom="page">
              <wp:align>center</wp:align>
            </wp:positionH>
            <wp:positionV relativeFrom="paragraph">
              <wp:posOffset>0</wp:posOffset>
            </wp:positionV>
            <wp:extent cx="741600" cy="925200"/>
            <wp:effectExtent l="0" t="0" r="1905" b="8255"/>
            <wp:wrapTopAndBottom distT="0" distB="0"/>
            <wp:docPr id="1" name="image1.jpg" descr="coatarms2"/>
            <wp:cNvGraphicFramePr/>
            <a:graphic xmlns:a="http://schemas.openxmlformats.org/drawingml/2006/main">
              <a:graphicData uri="http://schemas.openxmlformats.org/drawingml/2006/picture">
                <pic:pic xmlns:pic="http://schemas.openxmlformats.org/drawingml/2006/picture">
                  <pic:nvPicPr>
                    <pic:cNvPr id="0" name="image1.jpg" descr="coatarms2"/>
                    <pic:cNvPicPr preferRelativeResize="0"/>
                  </pic:nvPicPr>
                  <pic:blipFill>
                    <a:blip r:embed="rId8"/>
                    <a:srcRect/>
                    <a:stretch>
                      <a:fillRect/>
                    </a:stretch>
                  </pic:blipFill>
                  <pic:spPr>
                    <a:xfrm>
                      <a:off x="0" y="0"/>
                      <a:ext cx="741600" cy="925200"/>
                    </a:xfrm>
                    <a:prstGeom prst="rect">
                      <a:avLst/>
                    </a:prstGeom>
                    <a:ln/>
                  </pic:spPr>
                </pic:pic>
              </a:graphicData>
            </a:graphic>
            <wp14:sizeRelH relativeFrom="margin">
              <wp14:pctWidth>0</wp14:pctWidth>
            </wp14:sizeRelH>
            <wp14:sizeRelV relativeFrom="margin">
              <wp14:pctHeight>0</wp14:pctHeight>
            </wp14:sizeRelV>
          </wp:anchor>
        </w:drawing>
      </w:r>
    </w:p>
    <w:p w14:paraId="6999B1B9" w14:textId="77777777" w:rsidR="00CD05AA" w:rsidRPr="001279DB" w:rsidRDefault="00E85772" w:rsidP="001D6367">
      <w:pPr>
        <w:pStyle w:val="Normal1"/>
        <w:spacing w:after="0" w:line="360" w:lineRule="auto"/>
        <w:ind w:right="72"/>
        <w:contextualSpacing/>
        <w:jc w:val="center"/>
        <w:rPr>
          <w:rFonts w:ascii="Arial" w:eastAsia="Arial" w:hAnsi="Arial" w:cs="Arial"/>
          <w:b/>
          <w:sz w:val="24"/>
          <w:szCs w:val="24"/>
        </w:rPr>
      </w:pPr>
      <w:r w:rsidRPr="001279DB">
        <w:rPr>
          <w:rFonts w:ascii="Arial" w:eastAsia="Arial" w:hAnsi="Arial" w:cs="Arial"/>
          <w:b/>
          <w:sz w:val="24"/>
          <w:szCs w:val="24"/>
        </w:rPr>
        <w:t>THE SUPREME COURT OF APPEAL OF SOUTH AFRICA</w:t>
      </w:r>
    </w:p>
    <w:p w14:paraId="4843FCAB" w14:textId="77777777" w:rsidR="00CD05AA" w:rsidRPr="001279DB" w:rsidRDefault="00E85772" w:rsidP="001D6367">
      <w:pPr>
        <w:pStyle w:val="Normal1"/>
        <w:spacing w:after="0" w:line="360" w:lineRule="auto"/>
        <w:ind w:right="72"/>
        <w:contextualSpacing/>
        <w:jc w:val="center"/>
        <w:rPr>
          <w:rFonts w:ascii="Arial" w:eastAsia="Arial" w:hAnsi="Arial" w:cs="Arial"/>
          <w:b/>
          <w:sz w:val="24"/>
          <w:szCs w:val="24"/>
        </w:rPr>
      </w:pPr>
      <w:r w:rsidRPr="001279DB">
        <w:rPr>
          <w:rFonts w:ascii="Arial" w:eastAsia="Arial" w:hAnsi="Arial" w:cs="Arial"/>
          <w:b/>
          <w:sz w:val="24"/>
          <w:szCs w:val="24"/>
        </w:rPr>
        <w:t>JUDGMENT</w:t>
      </w:r>
      <w:r w:rsidR="00A7192F" w:rsidRPr="001279DB">
        <w:rPr>
          <w:rFonts w:ascii="Arial" w:eastAsia="Arial" w:hAnsi="Arial" w:cs="Arial"/>
          <w:b/>
          <w:sz w:val="24"/>
          <w:szCs w:val="24"/>
        </w:rPr>
        <w:t xml:space="preserve"> </w:t>
      </w:r>
    </w:p>
    <w:p w14:paraId="73410CA0" w14:textId="77777777" w:rsidR="0016053D" w:rsidRPr="001279DB" w:rsidRDefault="00E85772" w:rsidP="003E37DA">
      <w:pPr>
        <w:pStyle w:val="Normal1"/>
        <w:spacing w:after="0" w:line="240" w:lineRule="auto"/>
        <w:ind w:left="720" w:right="72" w:firstLine="720"/>
        <w:contextualSpacing/>
        <w:jc w:val="both"/>
        <w:rPr>
          <w:rFonts w:ascii="Arial" w:eastAsia="Arial" w:hAnsi="Arial" w:cs="Arial"/>
          <w:b/>
          <w:sz w:val="24"/>
          <w:szCs w:val="24"/>
        </w:rPr>
      </w:pPr>
      <w:r w:rsidRPr="001279DB">
        <w:rPr>
          <w:rFonts w:ascii="Arial" w:eastAsia="Arial" w:hAnsi="Arial" w:cs="Arial"/>
          <w:b/>
          <w:sz w:val="24"/>
          <w:szCs w:val="24"/>
        </w:rPr>
        <w:t xml:space="preserve">                  </w:t>
      </w:r>
      <w:r w:rsidRPr="001279DB">
        <w:rPr>
          <w:rFonts w:ascii="Arial" w:eastAsia="Arial" w:hAnsi="Arial" w:cs="Arial"/>
          <w:b/>
          <w:sz w:val="24"/>
          <w:szCs w:val="24"/>
        </w:rPr>
        <w:tab/>
      </w:r>
      <w:r w:rsidRPr="001279DB">
        <w:rPr>
          <w:rFonts w:ascii="Arial" w:eastAsia="Arial" w:hAnsi="Arial" w:cs="Arial"/>
          <w:b/>
          <w:sz w:val="24"/>
          <w:szCs w:val="24"/>
        </w:rPr>
        <w:tab/>
      </w:r>
      <w:r w:rsidRPr="001279DB">
        <w:rPr>
          <w:rFonts w:ascii="Arial" w:eastAsia="Arial" w:hAnsi="Arial" w:cs="Arial"/>
          <w:b/>
          <w:sz w:val="24"/>
          <w:szCs w:val="24"/>
        </w:rPr>
        <w:tab/>
      </w:r>
      <w:r w:rsidRPr="001279DB">
        <w:rPr>
          <w:rFonts w:ascii="Arial" w:eastAsia="Arial" w:hAnsi="Arial" w:cs="Arial"/>
          <w:b/>
          <w:sz w:val="24"/>
          <w:szCs w:val="24"/>
        </w:rPr>
        <w:tab/>
        <w:t xml:space="preserve">             </w:t>
      </w:r>
    </w:p>
    <w:p w14:paraId="218E5488" w14:textId="06049824" w:rsidR="00430799" w:rsidRPr="001279DB" w:rsidRDefault="001D28B4" w:rsidP="00522F18">
      <w:pPr>
        <w:pStyle w:val="Normal1"/>
        <w:spacing w:after="0" w:line="360" w:lineRule="auto"/>
        <w:ind w:left="5040" w:right="72" w:firstLine="720"/>
        <w:contextualSpacing/>
        <w:jc w:val="both"/>
        <w:rPr>
          <w:rFonts w:ascii="Arial" w:eastAsia="Arial" w:hAnsi="Arial" w:cs="Arial"/>
          <w:b/>
          <w:sz w:val="24"/>
          <w:szCs w:val="24"/>
        </w:rPr>
      </w:pPr>
      <w:r>
        <w:rPr>
          <w:rFonts w:ascii="Arial" w:eastAsia="Arial" w:hAnsi="Arial" w:cs="Arial"/>
          <w:b/>
          <w:sz w:val="24"/>
          <w:szCs w:val="24"/>
        </w:rPr>
        <w:t xml:space="preserve">                             </w:t>
      </w:r>
      <w:r w:rsidR="0016053D" w:rsidRPr="001279DB">
        <w:rPr>
          <w:rFonts w:ascii="Arial" w:eastAsia="Arial" w:hAnsi="Arial" w:cs="Arial"/>
          <w:b/>
          <w:sz w:val="24"/>
          <w:szCs w:val="24"/>
        </w:rPr>
        <w:t>Reportable</w:t>
      </w:r>
    </w:p>
    <w:p w14:paraId="6C4DA95D" w14:textId="77777777" w:rsidR="00CD05AA" w:rsidRPr="001279DB" w:rsidRDefault="00F21D57" w:rsidP="00522F18">
      <w:pPr>
        <w:pStyle w:val="Normal1"/>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 xml:space="preserve">                                                                                                       </w:t>
      </w:r>
      <w:r w:rsidR="0053775D" w:rsidRPr="001279DB">
        <w:rPr>
          <w:rFonts w:ascii="Arial" w:eastAsia="Arial" w:hAnsi="Arial" w:cs="Arial"/>
          <w:sz w:val="24"/>
          <w:szCs w:val="24"/>
        </w:rPr>
        <w:t xml:space="preserve">Case </w:t>
      </w:r>
      <w:r w:rsidR="000F3921" w:rsidRPr="001279DB">
        <w:rPr>
          <w:rFonts w:ascii="Arial" w:eastAsia="Arial" w:hAnsi="Arial" w:cs="Arial"/>
          <w:sz w:val="24"/>
          <w:szCs w:val="24"/>
        </w:rPr>
        <w:t>n</w:t>
      </w:r>
      <w:r w:rsidR="0053775D" w:rsidRPr="001279DB">
        <w:rPr>
          <w:rFonts w:ascii="Arial" w:eastAsia="Arial" w:hAnsi="Arial" w:cs="Arial"/>
          <w:sz w:val="24"/>
          <w:szCs w:val="24"/>
        </w:rPr>
        <w:t xml:space="preserve">o: </w:t>
      </w:r>
      <w:r w:rsidRPr="001279DB">
        <w:rPr>
          <w:rFonts w:ascii="Arial" w:eastAsia="Arial" w:hAnsi="Arial" w:cs="Arial"/>
          <w:sz w:val="24"/>
          <w:szCs w:val="24"/>
        </w:rPr>
        <w:t>600/2022</w:t>
      </w:r>
    </w:p>
    <w:p w14:paraId="7A674B52" w14:textId="77777777" w:rsidR="00430799" w:rsidRPr="001279DB" w:rsidRDefault="00430799" w:rsidP="00522F18">
      <w:pPr>
        <w:pStyle w:val="Normal1"/>
        <w:spacing w:after="0" w:line="360" w:lineRule="auto"/>
        <w:ind w:right="72"/>
        <w:contextualSpacing/>
        <w:jc w:val="both"/>
        <w:rPr>
          <w:rFonts w:ascii="Arial" w:eastAsia="Arial" w:hAnsi="Arial" w:cs="Arial"/>
          <w:sz w:val="24"/>
          <w:szCs w:val="24"/>
        </w:rPr>
      </w:pPr>
    </w:p>
    <w:p w14:paraId="67C1706A" w14:textId="77777777" w:rsidR="00CD05AA" w:rsidRPr="001279DB" w:rsidRDefault="00E85772" w:rsidP="00522F18">
      <w:pPr>
        <w:pStyle w:val="Normal1"/>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In the matter between:</w:t>
      </w:r>
      <w:r w:rsidRPr="001279DB">
        <w:rPr>
          <w:rFonts w:ascii="Arial" w:eastAsia="Arial" w:hAnsi="Arial" w:cs="Arial"/>
          <w:b/>
          <w:sz w:val="24"/>
          <w:szCs w:val="24"/>
        </w:rPr>
        <w:tab/>
      </w:r>
      <w:r w:rsidRPr="001279DB">
        <w:rPr>
          <w:rFonts w:ascii="Arial" w:eastAsia="Arial" w:hAnsi="Arial" w:cs="Arial"/>
          <w:b/>
          <w:sz w:val="24"/>
          <w:szCs w:val="24"/>
        </w:rPr>
        <w:tab/>
      </w:r>
      <w:r w:rsidRPr="001279DB">
        <w:rPr>
          <w:rFonts w:ascii="Arial" w:eastAsia="Arial" w:hAnsi="Arial" w:cs="Arial"/>
          <w:b/>
          <w:sz w:val="24"/>
          <w:szCs w:val="24"/>
        </w:rPr>
        <w:tab/>
      </w:r>
      <w:r w:rsidRPr="001279DB">
        <w:rPr>
          <w:rFonts w:ascii="Arial" w:eastAsia="Arial" w:hAnsi="Arial" w:cs="Arial"/>
          <w:b/>
          <w:sz w:val="24"/>
          <w:szCs w:val="24"/>
        </w:rPr>
        <w:tab/>
      </w:r>
      <w:r w:rsidRPr="001279DB">
        <w:rPr>
          <w:rFonts w:ascii="Arial" w:eastAsia="Arial" w:hAnsi="Arial" w:cs="Arial"/>
          <w:b/>
          <w:sz w:val="24"/>
          <w:szCs w:val="24"/>
        </w:rPr>
        <w:tab/>
      </w:r>
      <w:r w:rsidRPr="001279DB">
        <w:rPr>
          <w:rFonts w:ascii="Arial" w:eastAsia="Arial" w:hAnsi="Arial" w:cs="Arial"/>
          <w:b/>
          <w:sz w:val="24"/>
          <w:szCs w:val="24"/>
        </w:rPr>
        <w:tab/>
      </w:r>
      <w:r w:rsidRPr="001279DB">
        <w:rPr>
          <w:rFonts w:ascii="Arial" w:eastAsia="Arial" w:hAnsi="Arial" w:cs="Arial"/>
          <w:b/>
          <w:sz w:val="24"/>
          <w:szCs w:val="24"/>
        </w:rPr>
        <w:tab/>
      </w:r>
      <w:r w:rsidRPr="001279DB">
        <w:rPr>
          <w:rFonts w:ascii="Arial" w:eastAsia="Arial" w:hAnsi="Arial" w:cs="Arial"/>
          <w:b/>
          <w:sz w:val="24"/>
          <w:szCs w:val="24"/>
        </w:rPr>
        <w:tab/>
      </w:r>
      <w:r w:rsidRPr="001279DB">
        <w:rPr>
          <w:rFonts w:ascii="Arial" w:eastAsia="Arial" w:hAnsi="Arial" w:cs="Arial"/>
          <w:b/>
          <w:sz w:val="24"/>
          <w:szCs w:val="24"/>
        </w:rPr>
        <w:tab/>
        <w:t xml:space="preserve">                        </w:t>
      </w:r>
    </w:p>
    <w:p w14:paraId="03027471" w14:textId="77777777" w:rsidR="00CD05AA" w:rsidRPr="001279DB" w:rsidRDefault="0073596E" w:rsidP="00522F18">
      <w:pPr>
        <w:pStyle w:val="Normal1"/>
        <w:tabs>
          <w:tab w:val="right" w:pos="8931"/>
        </w:tabs>
        <w:spacing w:after="0" w:line="360" w:lineRule="auto"/>
        <w:ind w:right="-46"/>
        <w:contextualSpacing/>
        <w:jc w:val="both"/>
        <w:rPr>
          <w:rFonts w:ascii="Arial" w:eastAsia="Arial" w:hAnsi="Arial" w:cs="Arial"/>
          <w:b/>
          <w:sz w:val="24"/>
          <w:szCs w:val="24"/>
        </w:rPr>
      </w:pPr>
      <w:r w:rsidRPr="001279DB">
        <w:rPr>
          <w:rFonts w:ascii="Arial" w:eastAsia="Arial" w:hAnsi="Arial" w:cs="Arial"/>
          <w:b/>
          <w:sz w:val="24"/>
          <w:szCs w:val="24"/>
        </w:rPr>
        <w:t>EMALAHLENI LOCAL MUNICIPALITY</w:t>
      </w:r>
      <w:r w:rsidR="0053775D" w:rsidRPr="001279DB">
        <w:rPr>
          <w:rFonts w:ascii="Arial" w:eastAsia="Arial" w:hAnsi="Arial" w:cs="Arial"/>
          <w:b/>
          <w:sz w:val="24"/>
          <w:szCs w:val="24"/>
        </w:rPr>
        <w:t xml:space="preserve">                       </w:t>
      </w:r>
      <w:r w:rsidR="0029505F" w:rsidRPr="001279DB">
        <w:rPr>
          <w:rFonts w:ascii="Arial" w:eastAsia="Arial" w:hAnsi="Arial" w:cs="Arial"/>
          <w:b/>
          <w:sz w:val="24"/>
          <w:szCs w:val="24"/>
        </w:rPr>
        <w:t xml:space="preserve">               </w:t>
      </w:r>
      <w:r w:rsidR="0029505F" w:rsidRPr="001279DB">
        <w:rPr>
          <w:rFonts w:ascii="Arial" w:eastAsia="Arial" w:hAnsi="Arial" w:cs="Arial"/>
          <w:b/>
          <w:sz w:val="24"/>
          <w:szCs w:val="24"/>
        </w:rPr>
        <w:tab/>
      </w:r>
      <w:r w:rsidR="000F3921" w:rsidRPr="001279DB">
        <w:rPr>
          <w:rFonts w:ascii="Arial" w:eastAsia="Arial" w:hAnsi="Arial" w:cs="Arial"/>
          <w:b/>
          <w:sz w:val="24"/>
          <w:szCs w:val="24"/>
        </w:rPr>
        <w:t>APPELLANT</w:t>
      </w:r>
    </w:p>
    <w:p w14:paraId="1039D60A" w14:textId="77777777" w:rsidR="0029505F" w:rsidRPr="001279DB" w:rsidRDefault="0029505F" w:rsidP="00522F18">
      <w:pPr>
        <w:pStyle w:val="Normal1"/>
        <w:spacing w:after="0" w:line="360" w:lineRule="auto"/>
        <w:ind w:right="72"/>
        <w:contextualSpacing/>
        <w:jc w:val="both"/>
        <w:rPr>
          <w:rFonts w:ascii="Arial" w:eastAsia="Arial" w:hAnsi="Arial" w:cs="Arial"/>
          <w:sz w:val="24"/>
          <w:szCs w:val="24"/>
        </w:rPr>
      </w:pPr>
    </w:p>
    <w:p w14:paraId="15D4FFF3" w14:textId="77777777" w:rsidR="00817563" w:rsidRPr="001279DB" w:rsidRDefault="00817563" w:rsidP="00522F18">
      <w:pPr>
        <w:pStyle w:val="Normal1"/>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a</w:t>
      </w:r>
      <w:r w:rsidR="00E85772" w:rsidRPr="001279DB">
        <w:rPr>
          <w:rFonts w:ascii="Arial" w:eastAsia="Arial" w:hAnsi="Arial" w:cs="Arial"/>
          <w:sz w:val="24"/>
          <w:szCs w:val="24"/>
        </w:rPr>
        <w:t>nd</w:t>
      </w:r>
    </w:p>
    <w:p w14:paraId="276BCE3E" w14:textId="77777777" w:rsidR="0029505F" w:rsidRPr="001279DB" w:rsidRDefault="0029505F" w:rsidP="00522F18">
      <w:pPr>
        <w:pStyle w:val="Normal1"/>
        <w:spacing w:after="0" w:line="360" w:lineRule="auto"/>
        <w:ind w:right="72"/>
        <w:contextualSpacing/>
        <w:jc w:val="both"/>
        <w:rPr>
          <w:rFonts w:ascii="Arial" w:eastAsia="Arial" w:hAnsi="Arial" w:cs="Arial"/>
          <w:sz w:val="24"/>
          <w:szCs w:val="24"/>
        </w:rPr>
      </w:pPr>
    </w:p>
    <w:p w14:paraId="6DD3E681" w14:textId="77777777" w:rsidR="00CD05AA" w:rsidRPr="001279DB" w:rsidRDefault="0073596E" w:rsidP="00522F18">
      <w:pPr>
        <w:pStyle w:val="Normal1"/>
        <w:tabs>
          <w:tab w:val="right" w:pos="8931"/>
        </w:tabs>
        <w:spacing w:after="0" w:line="360" w:lineRule="auto"/>
        <w:ind w:right="-46"/>
        <w:contextualSpacing/>
        <w:jc w:val="both"/>
        <w:rPr>
          <w:rFonts w:ascii="Arial" w:eastAsia="Arial" w:hAnsi="Arial" w:cs="Arial"/>
          <w:b/>
          <w:sz w:val="24"/>
          <w:szCs w:val="24"/>
        </w:rPr>
      </w:pPr>
      <w:r w:rsidRPr="001279DB">
        <w:rPr>
          <w:rFonts w:ascii="Arial" w:eastAsia="Arial" w:hAnsi="Arial" w:cs="Arial"/>
          <w:b/>
          <w:sz w:val="24"/>
          <w:szCs w:val="24"/>
        </w:rPr>
        <w:t>LEHLAKA PR</w:t>
      </w:r>
      <w:r w:rsidR="00F21D57" w:rsidRPr="001279DB">
        <w:rPr>
          <w:rFonts w:ascii="Arial" w:eastAsia="Arial" w:hAnsi="Arial" w:cs="Arial"/>
          <w:b/>
          <w:sz w:val="24"/>
          <w:szCs w:val="24"/>
        </w:rPr>
        <w:t>OPERTY DEVELOPMENT (</w:t>
      </w:r>
      <w:r w:rsidR="000F3921" w:rsidRPr="001279DB">
        <w:rPr>
          <w:rFonts w:ascii="Arial" w:eastAsia="Arial" w:hAnsi="Arial" w:cs="Arial"/>
          <w:b/>
          <w:sz w:val="24"/>
          <w:szCs w:val="24"/>
        </w:rPr>
        <w:t>PTY) LTD</w:t>
      </w:r>
      <w:r w:rsidR="000F3921" w:rsidRPr="001279DB">
        <w:rPr>
          <w:rFonts w:ascii="Arial" w:eastAsia="Arial" w:hAnsi="Arial" w:cs="Arial"/>
          <w:b/>
          <w:sz w:val="24"/>
          <w:szCs w:val="24"/>
        </w:rPr>
        <w:tab/>
        <w:t xml:space="preserve">                      </w:t>
      </w:r>
      <w:r w:rsidR="00E85772" w:rsidRPr="001279DB">
        <w:rPr>
          <w:rFonts w:ascii="Arial" w:eastAsia="Arial" w:hAnsi="Arial" w:cs="Arial"/>
          <w:b/>
          <w:sz w:val="24"/>
          <w:szCs w:val="24"/>
        </w:rPr>
        <w:t>RESPONDENT</w:t>
      </w:r>
    </w:p>
    <w:p w14:paraId="753ED5BA" w14:textId="77777777" w:rsidR="0029505F" w:rsidRPr="001279DB" w:rsidRDefault="0029505F" w:rsidP="00522F18">
      <w:pPr>
        <w:pStyle w:val="Normal1"/>
        <w:spacing w:after="0" w:line="360" w:lineRule="auto"/>
        <w:ind w:right="72"/>
        <w:contextualSpacing/>
        <w:jc w:val="both"/>
        <w:rPr>
          <w:rFonts w:ascii="Arial" w:eastAsia="Arial" w:hAnsi="Arial" w:cs="Arial"/>
          <w:b/>
          <w:sz w:val="24"/>
          <w:szCs w:val="24"/>
        </w:rPr>
      </w:pPr>
    </w:p>
    <w:p w14:paraId="069A2BF2" w14:textId="77777777" w:rsidR="00CD05AA" w:rsidRPr="001279DB" w:rsidRDefault="00CD05AA" w:rsidP="00522F18">
      <w:pPr>
        <w:pStyle w:val="Normal1"/>
        <w:spacing w:after="0" w:line="360" w:lineRule="auto"/>
        <w:ind w:right="72"/>
        <w:contextualSpacing/>
        <w:jc w:val="both"/>
        <w:rPr>
          <w:rFonts w:ascii="Arial" w:eastAsia="Arial" w:hAnsi="Arial" w:cs="Arial"/>
          <w:b/>
          <w:sz w:val="24"/>
          <w:szCs w:val="24"/>
        </w:rPr>
      </w:pPr>
    </w:p>
    <w:p w14:paraId="6394A1A1" w14:textId="445A8E6D" w:rsidR="00CD05AA" w:rsidRPr="001279DB" w:rsidRDefault="00CE0622" w:rsidP="00522F18">
      <w:pPr>
        <w:pStyle w:val="Normal1"/>
        <w:spacing w:after="0" w:line="360" w:lineRule="auto"/>
        <w:ind w:right="72"/>
        <w:contextualSpacing/>
        <w:jc w:val="both"/>
        <w:rPr>
          <w:rFonts w:ascii="Arial" w:eastAsia="Arial" w:hAnsi="Arial" w:cs="Arial"/>
          <w:sz w:val="24"/>
          <w:szCs w:val="24"/>
        </w:rPr>
      </w:pPr>
      <w:bookmarkStart w:id="1" w:name="_gjdgxs" w:colFirst="0" w:colLast="0"/>
      <w:bookmarkEnd w:id="1"/>
      <w:r w:rsidRPr="001279DB">
        <w:rPr>
          <w:rFonts w:ascii="Arial" w:eastAsia="Arial" w:hAnsi="Arial" w:cs="Arial"/>
          <w:b/>
          <w:sz w:val="24"/>
          <w:szCs w:val="24"/>
        </w:rPr>
        <w:t>Neutral citation:</w:t>
      </w:r>
      <w:r w:rsidRPr="001279DB">
        <w:rPr>
          <w:rFonts w:ascii="Arial" w:eastAsia="Arial" w:hAnsi="Arial" w:cs="Arial"/>
          <w:b/>
          <w:sz w:val="24"/>
          <w:szCs w:val="24"/>
        </w:rPr>
        <w:tab/>
      </w:r>
      <w:r w:rsidR="0073596E" w:rsidRPr="001279DB">
        <w:rPr>
          <w:rFonts w:ascii="Arial" w:eastAsia="Arial" w:hAnsi="Arial" w:cs="Arial"/>
          <w:i/>
          <w:sz w:val="24"/>
          <w:szCs w:val="24"/>
        </w:rPr>
        <w:t>Emalahleni Local Municipality</w:t>
      </w:r>
      <w:r w:rsidR="00E85772" w:rsidRPr="001279DB">
        <w:rPr>
          <w:rFonts w:ascii="Arial" w:eastAsia="Arial" w:hAnsi="Arial" w:cs="Arial"/>
          <w:i/>
          <w:sz w:val="24"/>
          <w:szCs w:val="24"/>
        </w:rPr>
        <w:t xml:space="preserve"> v </w:t>
      </w:r>
      <w:r w:rsidR="0073596E" w:rsidRPr="001279DB">
        <w:rPr>
          <w:rFonts w:ascii="Arial" w:eastAsia="Arial" w:hAnsi="Arial" w:cs="Arial"/>
          <w:i/>
          <w:sz w:val="24"/>
          <w:szCs w:val="24"/>
        </w:rPr>
        <w:t>Lehlaka Property Development (Pty) Ltd</w:t>
      </w:r>
      <w:r w:rsidR="00E85772" w:rsidRPr="001279DB">
        <w:rPr>
          <w:rFonts w:ascii="Arial" w:eastAsia="Arial" w:hAnsi="Arial" w:cs="Arial"/>
          <w:b/>
          <w:sz w:val="24"/>
          <w:szCs w:val="24"/>
        </w:rPr>
        <w:t xml:space="preserve"> </w:t>
      </w:r>
      <w:r w:rsidR="0073596E" w:rsidRPr="001279DB">
        <w:rPr>
          <w:rFonts w:ascii="Arial" w:eastAsia="Arial" w:hAnsi="Arial" w:cs="Arial"/>
          <w:sz w:val="24"/>
          <w:szCs w:val="24"/>
        </w:rPr>
        <w:t>(600</w:t>
      </w:r>
      <w:r w:rsidR="00E85772" w:rsidRPr="001279DB">
        <w:rPr>
          <w:rFonts w:ascii="Arial" w:eastAsia="Arial" w:hAnsi="Arial" w:cs="Arial"/>
          <w:sz w:val="24"/>
          <w:szCs w:val="24"/>
        </w:rPr>
        <w:t>/2</w:t>
      </w:r>
      <w:r w:rsidR="0053775D" w:rsidRPr="001279DB">
        <w:rPr>
          <w:rFonts w:ascii="Arial" w:eastAsia="Arial" w:hAnsi="Arial" w:cs="Arial"/>
          <w:sz w:val="24"/>
          <w:szCs w:val="24"/>
        </w:rPr>
        <w:t>0</w:t>
      </w:r>
      <w:r w:rsidR="0073596E" w:rsidRPr="001279DB">
        <w:rPr>
          <w:rFonts w:ascii="Arial" w:eastAsia="Arial" w:hAnsi="Arial" w:cs="Arial"/>
          <w:sz w:val="24"/>
          <w:szCs w:val="24"/>
        </w:rPr>
        <w:t xml:space="preserve">22) [2023] </w:t>
      </w:r>
      <w:r w:rsidR="0073596E" w:rsidRPr="004176BF">
        <w:rPr>
          <w:rFonts w:ascii="Arial" w:eastAsia="Arial" w:hAnsi="Arial" w:cs="Arial"/>
          <w:sz w:val="24"/>
          <w:szCs w:val="24"/>
        </w:rPr>
        <w:t xml:space="preserve">ZASCA </w:t>
      </w:r>
      <w:r w:rsidR="004176BF" w:rsidRPr="004176BF">
        <w:rPr>
          <w:rFonts w:ascii="Arial" w:eastAsia="Arial" w:hAnsi="Arial" w:cs="Arial"/>
          <w:sz w:val="24"/>
          <w:szCs w:val="24"/>
        </w:rPr>
        <w:t>138 (25</w:t>
      </w:r>
      <w:r w:rsidR="0073596E" w:rsidRPr="004176BF">
        <w:rPr>
          <w:rFonts w:ascii="Arial" w:eastAsia="Arial" w:hAnsi="Arial" w:cs="Arial"/>
          <w:sz w:val="24"/>
          <w:szCs w:val="24"/>
        </w:rPr>
        <w:t xml:space="preserve"> </w:t>
      </w:r>
      <w:r w:rsidR="00FF2D39" w:rsidRPr="004176BF">
        <w:rPr>
          <w:rFonts w:ascii="Arial" w:eastAsia="Arial" w:hAnsi="Arial" w:cs="Arial"/>
          <w:sz w:val="24"/>
          <w:szCs w:val="24"/>
        </w:rPr>
        <w:t>October</w:t>
      </w:r>
      <w:r w:rsidR="0073596E" w:rsidRPr="004176BF">
        <w:rPr>
          <w:rFonts w:ascii="Arial" w:eastAsia="Arial" w:hAnsi="Arial" w:cs="Arial"/>
          <w:sz w:val="24"/>
          <w:szCs w:val="24"/>
        </w:rPr>
        <w:t xml:space="preserve"> 2023</w:t>
      </w:r>
      <w:r w:rsidR="00E85772" w:rsidRPr="004176BF">
        <w:rPr>
          <w:rFonts w:ascii="Arial" w:eastAsia="Arial" w:hAnsi="Arial" w:cs="Arial"/>
          <w:sz w:val="24"/>
          <w:szCs w:val="24"/>
        </w:rPr>
        <w:t>)</w:t>
      </w:r>
      <w:r w:rsidR="00E85772" w:rsidRPr="001279DB">
        <w:rPr>
          <w:rFonts w:ascii="Arial" w:eastAsia="Arial" w:hAnsi="Arial" w:cs="Arial"/>
          <w:sz w:val="24"/>
          <w:szCs w:val="24"/>
        </w:rPr>
        <w:t xml:space="preserve"> </w:t>
      </w:r>
    </w:p>
    <w:p w14:paraId="5809789A" w14:textId="77777777" w:rsidR="00FE1C2E" w:rsidRPr="001279DB" w:rsidRDefault="00FE1C2E" w:rsidP="00522F18">
      <w:pPr>
        <w:pStyle w:val="Normal1"/>
        <w:spacing w:after="0" w:line="360" w:lineRule="auto"/>
        <w:ind w:right="72"/>
        <w:contextualSpacing/>
        <w:jc w:val="both"/>
        <w:rPr>
          <w:rFonts w:ascii="Arial" w:eastAsia="Arial" w:hAnsi="Arial" w:cs="Arial"/>
          <w:sz w:val="24"/>
          <w:szCs w:val="24"/>
        </w:rPr>
      </w:pPr>
    </w:p>
    <w:p w14:paraId="7E6480FC" w14:textId="77777777" w:rsidR="00CD05AA" w:rsidRPr="001279DB" w:rsidRDefault="00E85772" w:rsidP="00522F18">
      <w:pPr>
        <w:pStyle w:val="Normal1"/>
        <w:spacing w:after="0" w:line="360" w:lineRule="auto"/>
        <w:ind w:left="1440" w:right="72" w:hanging="1440"/>
        <w:contextualSpacing/>
        <w:jc w:val="both"/>
        <w:rPr>
          <w:rFonts w:ascii="Arial" w:eastAsia="Arial" w:hAnsi="Arial" w:cs="Arial"/>
          <w:sz w:val="24"/>
          <w:szCs w:val="24"/>
        </w:rPr>
      </w:pPr>
      <w:r w:rsidRPr="001279DB">
        <w:rPr>
          <w:rFonts w:ascii="Arial" w:eastAsia="Arial" w:hAnsi="Arial" w:cs="Arial"/>
          <w:b/>
          <w:sz w:val="24"/>
          <w:szCs w:val="24"/>
        </w:rPr>
        <w:t>Coram:</w:t>
      </w:r>
      <w:r w:rsidRPr="001279DB">
        <w:rPr>
          <w:rFonts w:ascii="Arial" w:eastAsia="Arial" w:hAnsi="Arial" w:cs="Arial"/>
          <w:b/>
          <w:sz w:val="24"/>
          <w:szCs w:val="24"/>
        </w:rPr>
        <w:tab/>
      </w:r>
      <w:r w:rsidR="001F66F9" w:rsidRPr="001279DB">
        <w:rPr>
          <w:rFonts w:ascii="Arial" w:eastAsia="Arial" w:hAnsi="Arial" w:cs="Arial"/>
          <w:sz w:val="24"/>
          <w:szCs w:val="24"/>
        </w:rPr>
        <w:t>MOCUMIE</w:t>
      </w:r>
      <w:r w:rsidR="0073596E" w:rsidRPr="001279DB">
        <w:rPr>
          <w:rFonts w:ascii="Arial" w:eastAsia="Arial" w:hAnsi="Arial" w:cs="Arial"/>
          <w:sz w:val="24"/>
          <w:szCs w:val="24"/>
        </w:rPr>
        <w:t xml:space="preserve">, </w:t>
      </w:r>
      <w:r w:rsidR="001F66F9" w:rsidRPr="001279DB">
        <w:rPr>
          <w:rFonts w:ascii="Arial" w:eastAsia="Arial" w:hAnsi="Arial" w:cs="Arial"/>
          <w:sz w:val="24"/>
          <w:szCs w:val="24"/>
        </w:rPr>
        <w:t xml:space="preserve">NICHOLLS, HUGHES </w:t>
      </w:r>
      <w:r w:rsidR="0073596E" w:rsidRPr="001279DB">
        <w:rPr>
          <w:rFonts w:ascii="Arial" w:eastAsia="Arial" w:hAnsi="Arial" w:cs="Arial"/>
          <w:sz w:val="24"/>
          <w:szCs w:val="24"/>
        </w:rPr>
        <w:t xml:space="preserve">and </w:t>
      </w:r>
      <w:r w:rsidR="001F66F9" w:rsidRPr="001279DB">
        <w:rPr>
          <w:rFonts w:ascii="Arial" w:eastAsia="Arial" w:hAnsi="Arial" w:cs="Arial"/>
          <w:sz w:val="24"/>
          <w:szCs w:val="24"/>
        </w:rPr>
        <w:t>WEINER</w:t>
      </w:r>
      <w:r w:rsidR="0073596E" w:rsidRPr="001279DB">
        <w:rPr>
          <w:rFonts w:ascii="Arial" w:eastAsia="Arial" w:hAnsi="Arial" w:cs="Arial"/>
          <w:sz w:val="24"/>
          <w:szCs w:val="24"/>
        </w:rPr>
        <w:t xml:space="preserve"> </w:t>
      </w:r>
      <w:r w:rsidR="00CA69E0" w:rsidRPr="001279DB">
        <w:rPr>
          <w:rFonts w:ascii="Arial" w:eastAsia="Arial" w:hAnsi="Arial" w:cs="Arial"/>
          <w:sz w:val="24"/>
          <w:szCs w:val="24"/>
        </w:rPr>
        <w:t>J</w:t>
      </w:r>
      <w:r w:rsidR="0053775D" w:rsidRPr="001279DB">
        <w:rPr>
          <w:rFonts w:ascii="Arial" w:eastAsia="Arial" w:hAnsi="Arial" w:cs="Arial"/>
          <w:sz w:val="24"/>
          <w:szCs w:val="24"/>
        </w:rPr>
        <w:t xml:space="preserve">JA and </w:t>
      </w:r>
      <w:r w:rsidR="001F66F9" w:rsidRPr="001279DB">
        <w:rPr>
          <w:rFonts w:ascii="Arial" w:eastAsia="Arial" w:hAnsi="Arial" w:cs="Arial"/>
          <w:sz w:val="24"/>
          <w:szCs w:val="24"/>
        </w:rPr>
        <w:t>SIWENDU</w:t>
      </w:r>
      <w:r w:rsidR="0053775D" w:rsidRPr="001279DB">
        <w:rPr>
          <w:rFonts w:ascii="Arial" w:eastAsia="Arial" w:hAnsi="Arial" w:cs="Arial"/>
          <w:sz w:val="24"/>
          <w:szCs w:val="24"/>
        </w:rPr>
        <w:t xml:space="preserve"> AJA</w:t>
      </w:r>
      <w:r w:rsidRPr="001279DB">
        <w:rPr>
          <w:rFonts w:ascii="Arial" w:eastAsia="Arial" w:hAnsi="Arial" w:cs="Arial"/>
          <w:sz w:val="24"/>
          <w:szCs w:val="24"/>
        </w:rPr>
        <w:t xml:space="preserve"> </w:t>
      </w:r>
    </w:p>
    <w:p w14:paraId="70B549F7" w14:textId="77777777" w:rsidR="00FE1C2E" w:rsidRPr="001279DB" w:rsidRDefault="00FE1C2E" w:rsidP="00522F18">
      <w:pPr>
        <w:pStyle w:val="Normal1"/>
        <w:spacing w:after="0" w:line="360" w:lineRule="auto"/>
        <w:ind w:right="72"/>
        <w:contextualSpacing/>
        <w:jc w:val="both"/>
        <w:rPr>
          <w:rFonts w:ascii="Arial" w:eastAsia="Arial" w:hAnsi="Arial" w:cs="Arial"/>
          <w:sz w:val="24"/>
          <w:szCs w:val="24"/>
        </w:rPr>
      </w:pPr>
    </w:p>
    <w:p w14:paraId="75E383D6" w14:textId="77777777" w:rsidR="00CD05AA" w:rsidRPr="001279DB" w:rsidRDefault="00E85772" w:rsidP="00522F18">
      <w:pPr>
        <w:pStyle w:val="Normal1"/>
        <w:spacing w:after="0" w:line="360" w:lineRule="auto"/>
        <w:ind w:right="72"/>
        <w:contextualSpacing/>
        <w:jc w:val="both"/>
        <w:rPr>
          <w:rFonts w:ascii="Arial" w:eastAsia="Arial" w:hAnsi="Arial" w:cs="Arial"/>
          <w:sz w:val="24"/>
          <w:szCs w:val="24"/>
        </w:rPr>
      </w:pPr>
      <w:r w:rsidRPr="001279DB">
        <w:rPr>
          <w:rFonts w:ascii="Arial" w:eastAsia="Arial" w:hAnsi="Arial" w:cs="Arial"/>
          <w:b/>
          <w:sz w:val="24"/>
          <w:szCs w:val="24"/>
        </w:rPr>
        <w:t xml:space="preserve">Heard: </w:t>
      </w:r>
      <w:r w:rsidRPr="001279DB">
        <w:rPr>
          <w:rFonts w:ascii="Arial" w:eastAsia="Arial" w:hAnsi="Arial" w:cs="Arial"/>
          <w:b/>
          <w:sz w:val="24"/>
          <w:szCs w:val="24"/>
        </w:rPr>
        <w:tab/>
      </w:r>
      <w:r w:rsidR="0073596E" w:rsidRPr="001279DB">
        <w:rPr>
          <w:rFonts w:ascii="Arial" w:eastAsia="Arial" w:hAnsi="Arial" w:cs="Arial"/>
          <w:sz w:val="24"/>
          <w:szCs w:val="24"/>
        </w:rPr>
        <w:t>18 May</w:t>
      </w:r>
      <w:r w:rsidRPr="001279DB">
        <w:rPr>
          <w:rFonts w:ascii="Arial" w:eastAsia="Arial" w:hAnsi="Arial" w:cs="Arial"/>
          <w:sz w:val="24"/>
          <w:szCs w:val="24"/>
        </w:rPr>
        <w:t xml:space="preserve"> 20</w:t>
      </w:r>
      <w:r w:rsidR="0073596E" w:rsidRPr="001279DB">
        <w:rPr>
          <w:rFonts w:ascii="Arial" w:eastAsia="Arial" w:hAnsi="Arial" w:cs="Arial"/>
          <w:sz w:val="24"/>
          <w:szCs w:val="24"/>
        </w:rPr>
        <w:t>23</w:t>
      </w:r>
    </w:p>
    <w:p w14:paraId="3445935E" w14:textId="77777777" w:rsidR="00FE1C2E" w:rsidRPr="001279DB" w:rsidRDefault="00FE1C2E" w:rsidP="00522F18">
      <w:pPr>
        <w:pStyle w:val="Normal1"/>
        <w:spacing w:after="0" w:line="360" w:lineRule="auto"/>
        <w:ind w:right="72"/>
        <w:contextualSpacing/>
        <w:jc w:val="both"/>
        <w:rPr>
          <w:rFonts w:ascii="Arial" w:eastAsia="Arial" w:hAnsi="Arial" w:cs="Arial"/>
          <w:sz w:val="24"/>
          <w:szCs w:val="24"/>
        </w:rPr>
      </w:pPr>
    </w:p>
    <w:p w14:paraId="6C3342E8" w14:textId="233B1921" w:rsidR="00CD05AA" w:rsidRPr="001279DB" w:rsidRDefault="00E85772" w:rsidP="00522F18">
      <w:pPr>
        <w:pStyle w:val="Normal1"/>
        <w:spacing w:after="0" w:line="360" w:lineRule="auto"/>
        <w:ind w:right="72"/>
        <w:contextualSpacing/>
        <w:jc w:val="both"/>
        <w:rPr>
          <w:rFonts w:ascii="Arial" w:eastAsia="Arial" w:hAnsi="Arial" w:cs="Arial"/>
          <w:sz w:val="24"/>
          <w:szCs w:val="24"/>
        </w:rPr>
      </w:pPr>
      <w:r w:rsidRPr="001279DB">
        <w:rPr>
          <w:rFonts w:ascii="Arial" w:eastAsia="Arial" w:hAnsi="Arial" w:cs="Arial"/>
          <w:b/>
          <w:sz w:val="24"/>
          <w:szCs w:val="24"/>
        </w:rPr>
        <w:t xml:space="preserve">Delivered: </w:t>
      </w:r>
      <w:r w:rsidRPr="001279DB">
        <w:rPr>
          <w:rFonts w:ascii="Arial" w:eastAsia="Arial" w:hAnsi="Arial" w:cs="Arial"/>
          <w:b/>
          <w:sz w:val="24"/>
          <w:szCs w:val="24"/>
        </w:rPr>
        <w:tab/>
      </w:r>
      <w:r w:rsidR="001D28B4" w:rsidRPr="001D28B4">
        <w:rPr>
          <w:rFonts w:ascii="Arial" w:eastAsia="Arial" w:hAnsi="Arial" w:cs="Arial"/>
          <w:sz w:val="24"/>
          <w:szCs w:val="24"/>
        </w:rPr>
        <w:t xml:space="preserve">This judgment was handed down electronically by circulation to the parties’ legal representatives by email. Publication was made on the Supreme Court of Appeal website and release to SAFLII. The date and time for hand-down is deemed to be at 11h00 on </w:t>
      </w:r>
      <w:r w:rsidR="00D54007">
        <w:rPr>
          <w:rFonts w:ascii="Arial" w:eastAsia="Arial" w:hAnsi="Arial" w:cs="Arial"/>
          <w:sz w:val="24"/>
          <w:szCs w:val="24"/>
        </w:rPr>
        <w:t xml:space="preserve">25 </w:t>
      </w:r>
      <w:r w:rsidR="009041CE" w:rsidRPr="001D28B4">
        <w:rPr>
          <w:rFonts w:ascii="Arial" w:eastAsia="Arial" w:hAnsi="Arial" w:cs="Arial"/>
          <w:sz w:val="24"/>
          <w:szCs w:val="24"/>
        </w:rPr>
        <w:t>October</w:t>
      </w:r>
      <w:r w:rsidRPr="001D28B4">
        <w:rPr>
          <w:rFonts w:ascii="Arial" w:eastAsia="Arial" w:hAnsi="Arial" w:cs="Arial"/>
          <w:sz w:val="24"/>
          <w:szCs w:val="24"/>
        </w:rPr>
        <w:t xml:space="preserve"> 20</w:t>
      </w:r>
      <w:r w:rsidR="0073596E" w:rsidRPr="001D28B4">
        <w:rPr>
          <w:rFonts w:ascii="Arial" w:eastAsia="Arial" w:hAnsi="Arial" w:cs="Arial"/>
          <w:sz w:val="24"/>
          <w:szCs w:val="24"/>
        </w:rPr>
        <w:t>23</w:t>
      </w:r>
      <w:r w:rsidR="001D28B4" w:rsidRPr="001D28B4">
        <w:rPr>
          <w:rFonts w:ascii="Arial" w:eastAsia="Arial" w:hAnsi="Arial" w:cs="Arial"/>
          <w:sz w:val="24"/>
          <w:szCs w:val="24"/>
        </w:rPr>
        <w:t>.</w:t>
      </w:r>
    </w:p>
    <w:p w14:paraId="059A9C3F" w14:textId="77777777" w:rsidR="00FE1C2E" w:rsidRPr="001279DB" w:rsidRDefault="00FE1C2E" w:rsidP="00522F18">
      <w:pPr>
        <w:pStyle w:val="Normal1"/>
        <w:spacing w:after="0" w:line="360" w:lineRule="auto"/>
        <w:ind w:right="72"/>
        <w:contextualSpacing/>
        <w:jc w:val="both"/>
        <w:rPr>
          <w:rFonts w:ascii="Arial" w:eastAsia="Arial" w:hAnsi="Arial" w:cs="Arial"/>
          <w:sz w:val="24"/>
          <w:szCs w:val="24"/>
        </w:rPr>
      </w:pPr>
    </w:p>
    <w:p w14:paraId="1768C7F9" w14:textId="77777777" w:rsidR="00522CC3" w:rsidRPr="001279DB" w:rsidRDefault="00E85772" w:rsidP="00522F18">
      <w:pPr>
        <w:pStyle w:val="Normal1"/>
        <w:spacing w:after="0" w:line="360" w:lineRule="auto"/>
        <w:ind w:right="72"/>
        <w:contextualSpacing/>
        <w:jc w:val="both"/>
        <w:rPr>
          <w:rFonts w:ascii="Arial" w:eastAsia="Arial" w:hAnsi="Arial" w:cs="Arial"/>
          <w:sz w:val="24"/>
          <w:szCs w:val="24"/>
        </w:rPr>
      </w:pPr>
      <w:r w:rsidRPr="001279DB">
        <w:rPr>
          <w:rFonts w:ascii="Arial" w:eastAsia="Arial" w:hAnsi="Arial" w:cs="Arial"/>
          <w:b/>
          <w:sz w:val="24"/>
          <w:szCs w:val="24"/>
        </w:rPr>
        <w:t>Summary:</w:t>
      </w:r>
      <w:r w:rsidRPr="001279DB">
        <w:rPr>
          <w:rFonts w:ascii="Arial" w:eastAsia="Arial" w:hAnsi="Arial" w:cs="Arial"/>
          <w:sz w:val="24"/>
          <w:szCs w:val="24"/>
        </w:rPr>
        <w:t xml:space="preserve"> </w:t>
      </w:r>
      <w:r w:rsidR="00BB0C07" w:rsidRPr="001279DB">
        <w:rPr>
          <w:rFonts w:ascii="Arial" w:eastAsia="Arial" w:hAnsi="Arial" w:cs="Arial"/>
          <w:sz w:val="24"/>
          <w:szCs w:val="24"/>
        </w:rPr>
        <w:tab/>
      </w:r>
      <w:r w:rsidR="00C73E07" w:rsidRPr="001279DB">
        <w:rPr>
          <w:rFonts w:ascii="Arial" w:eastAsia="Arial" w:hAnsi="Arial" w:cs="Arial"/>
          <w:sz w:val="24"/>
          <w:szCs w:val="24"/>
        </w:rPr>
        <w:t>Civil law and procedure – practice – joinder – no public law relationship between private landowner</w:t>
      </w:r>
      <w:r w:rsidR="007C667B" w:rsidRPr="001279DB">
        <w:rPr>
          <w:rFonts w:ascii="Arial" w:eastAsia="Arial" w:hAnsi="Arial" w:cs="Arial"/>
          <w:sz w:val="24"/>
          <w:szCs w:val="24"/>
        </w:rPr>
        <w:t xml:space="preserve"> and </w:t>
      </w:r>
      <w:r w:rsidR="00C73E07" w:rsidRPr="001279DB">
        <w:rPr>
          <w:rFonts w:ascii="Arial" w:eastAsia="Arial" w:hAnsi="Arial" w:cs="Arial"/>
          <w:sz w:val="24"/>
          <w:szCs w:val="24"/>
        </w:rPr>
        <w:t xml:space="preserve">unlawful occupiers – notion of a ‘special cluster of relationships’ did not translate into imposing obligations on private individuals, nor did </w:t>
      </w:r>
      <w:r w:rsidR="00C73E07" w:rsidRPr="001279DB">
        <w:rPr>
          <w:rFonts w:ascii="Arial" w:eastAsia="Arial" w:hAnsi="Arial" w:cs="Arial"/>
          <w:sz w:val="24"/>
          <w:szCs w:val="24"/>
        </w:rPr>
        <w:lastRenderedPageBreak/>
        <w:t xml:space="preserve">it convert a contractual relationship into an administrative one – no direct, substantial and legal interest </w:t>
      </w:r>
      <w:r w:rsidR="007C667B" w:rsidRPr="001279DB">
        <w:rPr>
          <w:rFonts w:ascii="Arial" w:eastAsia="Arial" w:hAnsi="Arial" w:cs="Arial"/>
          <w:sz w:val="24"/>
          <w:szCs w:val="24"/>
        </w:rPr>
        <w:t xml:space="preserve">in </w:t>
      </w:r>
      <w:r w:rsidR="00C73E07" w:rsidRPr="001279DB">
        <w:rPr>
          <w:rFonts w:ascii="Arial" w:eastAsia="Arial" w:hAnsi="Arial" w:cs="Arial"/>
          <w:sz w:val="24"/>
          <w:szCs w:val="24"/>
        </w:rPr>
        <w:t xml:space="preserve">dispute where no contractual privity – non-joinder point </w:t>
      </w:r>
      <w:r w:rsidR="00C73E07" w:rsidRPr="001279DB">
        <w:rPr>
          <w:rFonts w:ascii="Arial" w:eastAsia="Arial" w:hAnsi="Arial" w:cs="Arial"/>
          <w:i/>
          <w:sz w:val="24"/>
          <w:szCs w:val="24"/>
        </w:rPr>
        <w:t>in limine</w:t>
      </w:r>
      <w:r w:rsidR="00C73E07" w:rsidRPr="001279DB">
        <w:rPr>
          <w:rFonts w:ascii="Arial" w:eastAsia="Arial" w:hAnsi="Arial" w:cs="Arial"/>
          <w:sz w:val="24"/>
          <w:szCs w:val="24"/>
        </w:rPr>
        <w:t xml:space="preserve"> dismissed.</w:t>
      </w:r>
    </w:p>
    <w:p w14:paraId="29CC5FF1" w14:textId="77777777" w:rsidR="00401455" w:rsidRPr="001279DB" w:rsidRDefault="00401455" w:rsidP="00522F18">
      <w:pPr>
        <w:pStyle w:val="Normal1"/>
        <w:spacing w:line="360" w:lineRule="auto"/>
        <w:ind w:right="72"/>
        <w:contextualSpacing/>
        <w:rPr>
          <w:rFonts w:ascii="Arial" w:eastAsia="Arial" w:hAnsi="Arial" w:cs="Arial"/>
          <w:b/>
          <w:sz w:val="24"/>
          <w:szCs w:val="24"/>
        </w:rPr>
      </w:pPr>
      <w:r w:rsidRPr="001279DB">
        <w:rPr>
          <w:rFonts w:ascii="Arial" w:eastAsia="Arial" w:hAnsi="Arial" w:cs="Arial"/>
          <w:b/>
          <w:sz w:val="24"/>
          <w:szCs w:val="24"/>
        </w:rPr>
        <w:t>___________________________________________________________________</w:t>
      </w:r>
    </w:p>
    <w:p w14:paraId="20897B24" w14:textId="77777777" w:rsidR="00401455" w:rsidRPr="001279DB" w:rsidRDefault="00401455" w:rsidP="00522F18">
      <w:pPr>
        <w:pStyle w:val="Normal1"/>
        <w:spacing w:line="360" w:lineRule="auto"/>
        <w:ind w:right="72"/>
        <w:contextualSpacing/>
        <w:jc w:val="both"/>
        <w:rPr>
          <w:rFonts w:ascii="Arial" w:eastAsia="Arial" w:hAnsi="Arial" w:cs="Arial"/>
          <w:b/>
          <w:sz w:val="24"/>
          <w:szCs w:val="24"/>
        </w:rPr>
      </w:pPr>
    </w:p>
    <w:p w14:paraId="5545DEB5" w14:textId="77777777" w:rsidR="00401455" w:rsidRPr="001279DB" w:rsidRDefault="00401455" w:rsidP="00522F18">
      <w:pPr>
        <w:pStyle w:val="Normal1"/>
        <w:spacing w:line="360" w:lineRule="auto"/>
        <w:ind w:right="72"/>
        <w:contextualSpacing/>
        <w:jc w:val="center"/>
        <w:rPr>
          <w:rFonts w:ascii="Arial" w:eastAsia="Arial" w:hAnsi="Arial" w:cs="Arial"/>
          <w:b/>
          <w:sz w:val="24"/>
          <w:szCs w:val="24"/>
        </w:rPr>
      </w:pPr>
      <w:r w:rsidRPr="001279DB">
        <w:rPr>
          <w:rFonts w:ascii="Arial" w:eastAsia="Arial" w:hAnsi="Arial" w:cs="Arial"/>
          <w:b/>
          <w:sz w:val="24"/>
          <w:szCs w:val="24"/>
        </w:rPr>
        <w:t>ORDER</w:t>
      </w:r>
    </w:p>
    <w:p w14:paraId="747D9C4B" w14:textId="77777777" w:rsidR="00401455" w:rsidRPr="001279DB" w:rsidRDefault="00401455" w:rsidP="00522F18">
      <w:pPr>
        <w:pStyle w:val="Normal1"/>
        <w:spacing w:after="0" w:line="360" w:lineRule="auto"/>
        <w:ind w:right="72"/>
        <w:contextualSpacing/>
        <w:jc w:val="both"/>
        <w:rPr>
          <w:rFonts w:ascii="Arial" w:eastAsia="Arial" w:hAnsi="Arial" w:cs="Arial"/>
          <w:b/>
          <w:sz w:val="24"/>
          <w:szCs w:val="24"/>
        </w:rPr>
      </w:pPr>
      <w:r w:rsidRPr="001279DB">
        <w:rPr>
          <w:rFonts w:ascii="Arial" w:eastAsia="Arial" w:hAnsi="Arial" w:cs="Arial"/>
          <w:b/>
          <w:sz w:val="24"/>
          <w:szCs w:val="24"/>
        </w:rPr>
        <w:t>___________________________________________________________________</w:t>
      </w:r>
    </w:p>
    <w:p w14:paraId="11E1E196" w14:textId="77777777" w:rsidR="00401455" w:rsidRPr="001279DB" w:rsidRDefault="00401455" w:rsidP="00522F18">
      <w:pPr>
        <w:pStyle w:val="Normal1"/>
        <w:spacing w:after="0" w:line="360" w:lineRule="auto"/>
        <w:ind w:right="72"/>
        <w:contextualSpacing/>
        <w:jc w:val="both"/>
        <w:rPr>
          <w:rFonts w:ascii="Arial" w:eastAsia="Arial" w:hAnsi="Arial" w:cs="Arial"/>
          <w:b/>
          <w:sz w:val="24"/>
          <w:szCs w:val="24"/>
        </w:rPr>
      </w:pPr>
    </w:p>
    <w:p w14:paraId="2197E02E" w14:textId="77777777" w:rsidR="00B63E4C" w:rsidRPr="001279DB" w:rsidRDefault="00E85772" w:rsidP="00522F18">
      <w:pPr>
        <w:pStyle w:val="Normal1"/>
        <w:spacing w:after="0" w:line="360" w:lineRule="auto"/>
        <w:ind w:right="72"/>
        <w:contextualSpacing/>
        <w:jc w:val="both"/>
        <w:rPr>
          <w:rFonts w:ascii="Arial" w:eastAsia="Arial" w:hAnsi="Arial" w:cs="Arial"/>
          <w:sz w:val="24"/>
          <w:szCs w:val="24"/>
        </w:rPr>
      </w:pPr>
      <w:r w:rsidRPr="001279DB">
        <w:rPr>
          <w:rFonts w:ascii="Arial" w:eastAsia="Arial" w:hAnsi="Arial" w:cs="Arial"/>
          <w:b/>
          <w:sz w:val="24"/>
          <w:szCs w:val="24"/>
        </w:rPr>
        <w:t>On appeal from:</w:t>
      </w:r>
      <w:r w:rsidR="00F41B16" w:rsidRPr="001279DB">
        <w:rPr>
          <w:rFonts w:ascii="Arial" w:eastAsia="Arial" w:hAnsi="Arial" w:cs="Arial"/>
          <w:sz w:val="24"/>
          <w:szCs w:val="24"/>
        </w:rPr>
        <w:t xml:space="preserve"> </w:t>
      </w:r>
      <w:r w:rsidR="009B189A" w:rsidRPr="001279DB">
        <w:rPr>
          <w:rFonts w:ascii="Arial" w:eastAsia="Arial" w:hAnsi="Arial" w:cs="Arial"/>
          <w:sz w:val="24"/>
          <w:szCs w:val="24"/>
        </w:rPr>
        <w:t xml:space="preserve">Mpumalanga </w:t>
      </w:r>
      <w:r w:rsidR="006643DD" w:rsidRPr="001279DB">
        <w:rPr>
          <w:rFonts w:ascii="Arial" w:eastAsia="Arial" w:hAnsi="Arial" w:cs="Arial"/>
          <w:sz w:val="24"/>
          <w:szCs w:val="24"/>
        </w:rPr>
        <w:t>Division</w:t>
      </w:r>
      <w:r w:rsidR="00226E6E" w:rsidRPr="001279DB">
        <w:rPr>
          <w:rFonts w:ascii="Arial" w:eastAsia="Arial" w:hAnsi="Arial" w:cs="Arial"/>
          <w:sz w:val="24"/>
          <w:szCs w:val="24"/>
        </w:rPr>
        <w:t xml:space="preserve"> of the High Court</w:t>
      </w:r>
      <w:r w:rsidR="006643DD" w:rsidRPr="001279DB">
        <w:rPr>
          <w:rFonts w:ascii="Arial" w:eastAsia="Arial" w:hAnsi="Arial" w:cs="Arial"/>
          <w:sz w:val="24"/>
          <w:szCs w:val="24"/>
        </w:rPr>
        <w:t xml:space="preserve">, </w:t>
      </w:r>
      <w:r w:rsidR="009B189A" w:rsidRPr="001279DB">
        <w:rPr>
          <w:rFonts w:ascii="Arial" w:eastAsia="Arial" w:hAnsi="Arial" w:cs="Arial"/>
          <w:sz w:val="24"/>
          <w:szCs w:val="24"/>
        </w:rPr>
        <w:t>Midd</w:t>
      </w:r>
      <w:r w:rsidR="00803D9D" w:rsidRPr="001279DB">
        <w:rPr>
          <w:rFonts w:ascii="Arial" w:eastAsia="Arial" w:hAnsi="Arial" w:cs="Arial"/>
          <w:sz w:val="24"/>
          <w:szCs w:val="24"/>
        </w:rPr>
        <w:t>el</w:t>
      </w:r>
      <w:r w:rsidR="009B189A" w:rsidRPr="001279DB">
        <w:rPr>
          <w:rFonts w:ascii="Arial" w:eastAsia="Arial" w:hAnsi="Arial" w:cs="Arial"/>
          <w:sz w:val="24"/>
          <w:szCs w:val="24"/>
        </w:rPr>
        <w:t>burg</w:t>
      </w:r>
      <w:r w:rsidR="006643DD" w:rsidRPr="001279DB">
        <w:rPr>
          <w:rFonts w:ascii="Arial" w:eastAsia="Arial" w:hAnsi="Arial" w:cs="Arial"/>
          <w:sz w:val="24"/>
          <w:szCs w:val="24"/>
        </w:rPr>
        <w:t xml:space="preserve"> (</w:t>
      </w:r>
      <w:r w:rsidR="009B189A" w:rsidRPr="001279DB">
        <w:rPr>
          <w:rFonts w:ascii="Arial" w:eastAsia="Arial" w:hAnsi="Arial" w:cs="Arial"/>
          <w:sz w:val="24"/>
          <w:szCs w:val="24"/>
        </w:rPr>
        <w:t>Legodi JP</w:t>
      </w:r>
      <w:r w:rsidR="00226E6E" w:rsidRPr="001279DB">
        <w:rPr>
          <w:rFonts w:ascii="Arial" w:eastAsia="Arial" w:hAnsi="Arial" w:cs="Arial"/>
          <w:sz w:val="24"/>
          <w:szCs w:val="24"/>
        </w:rPr>
        <w:t>,</w:t>
      </w:r>
      <w:r w:rsidR="009B189A" w:rsidRPr="001279DB">
        <w:rPr>
          <w:rFonts w:ascii="Arial" w:eastAsia="Arial" w:hAnsi="Arial" w:cs="Arial"/>
          <w:sz w:val="24"/>
          <w:szCs w:val="24"/>
        </w:rPr>
        <w:t xml:space="preserve"> sitting as </w:t>
      </w:r>
      <w:r w:rsidR="006643DD" w:rsidRPr="001279DB">
        <w:rPr>
          <w:rFonts w:ascii="Arial" w:eastAsia="Arial" w:hAnsi="Arial" w:cs="Arial"/>
          <w:sz w:val="24"/>
          <w:szCs w:val="24"/>
        </w:rPr>
        <w:t>court of</w:t>
      </w:r>
      <w:r w:rsidR="009B189A" w:rsidRPr="001279DB">
        <w:rPr>
          <w:rFonts w:ascii="Arial" w:eastAsia="Arial" w:hAnsi="Arial" w:cs="Arial"/>
          <w:sz w:val="24"/>
          <w:szCs w:val="24"/>
        </w:rPr>
        <w:t xml:space="preserve"> first instance</w:t>
      </w:r>
      <w:r w:rsidR="00226E6E" w:rsidRPr="001279DB">
        <w:rPr>
          <w:rFonts w:ascii="Arial" w:eastAsia="Arial" w:hAnsi="Arial" w:cs="Arial"/>
          <w:sz w:val="24"/>
          <w:szCs w:val="24"/>
        </w:rPr>
        <w:t>)</w:t>
      </w:r>
      <w:r w:rsidRPr="001279DB">
        <w:rPr>
          <w:rFonts w:ascii="Arial" w:eastAsia="Arial" w:hAnsi="Arial" w:cs="Arial"/>
          <w:sz w:val="24"/>
          <w:szCs w:val="24"/>
        </w:rPr>
        <w:t>:</w:t>
      </w:r>
    </w:p>
    <w:p w14:paraId="5A801063" w14:textId="77777777" w:rsidR="00CD05AA" w:rsidRPr="001279DB" w:rsidRDefault="00B63E4C" w:rsidP="00071078">
      <w:pPr>
        <w:rPr>
          <w:rFonts w:ascii="Arial" w:eastAsia="Arial" w:hAnsi="Arial" w:cs="Arial"/>
          <w:sz w:val="24"/>
          <w:szCs w:val="24"/>
        </w:rPr>
      </w:pPr>
      <w:r w:rsidRPr="001279DB">
        <w:rPr>
          <w:rFonts w:ascii="Arial" w:hAnsi="Arial" w:cs="Arial"/>
          <w:sz w:val="24"/>
          <w:szCs w:val="24"/>
          <w:lang w:val="en-GB"/>
        </w:rPr>
        <w:t xml:space="preserve">The appeal is dismissed with costs, including the costs of two counsel. </w:t>
      </w:r>
    </w:p>
    <w:p w14:paraId="7E019155" w14:textId="77777777" w:rsidR="00401455" w:rsidRPr="001279DB" w:rsidRDefault="00401455" w:rsidP="00522F18">
      <w:pPr>
        <w:pStyle w:val="Normal1"/>
        <w:spacing w:line="360" w:lineRule="auto"/>
        <w:ind w:right="72"/>
        <w:contextualSpacing/>
        <w:rPr>
          <w:rFonts w:ascii="Arial" w:eastAsia="Arial" w:hAnsi="Arial" w:cs="Arial"/>
          <w:sz w:val="24"/>
          <w:szCs w:val="24"/>
        </w:rPr>
      </w:pPr>
      <w:r w:rsidRPr="001279DB">
        <w:rPr>
          <w:rFonts w:ascii="Arial" w:eastAsia="Arial" w:hAnsi="Arial" w:cs="Arial"/>
          <w:b/>
          <w:sz w:val="24"/>
          <w:szCs w:val="24"/>
        </w:rPr>
        <w:t>___________________________________________________________________</w:t>
      </w:r>
    </w:p>
    <w:p w14:paraId="1D31753F" w14:textId="77777777" w:rsidR="00401455" w:rsidRPr="001279DB" w:rsidRDefault="00401455" w:rsidP="00522F18">
      <w:pPr>
        <w:pStyle w:val="Normal1"/>
        <w:spacing w:line="360" w:lineRule="auto"/>
        <w:ind w:right="72"/>
        <w:contextualSpacing/>
        <w:jc w:val="both"/>
        <w:rPr>
          <w:rFonts w:ascii="Arial" w:eastAsia="Arial" w:hAnsi="Arial" w:cs="Arial"/>
          <w:b/>
          <w:sz w:val="24"/>
          <w:szCs w:val="24"/>
        </w:rPr>
      </w:pPr>
    </w:p>
    <w:p w14:paraId="0D6BC609" w14:textId="77777777" w:rsidR="00401455" w:rsidRPr="001279DB" w:rsidRDefault="00401455" w:rsidP="00522F18">
      <w:pPr>
        <w:pStyle w:val="Normal1"/>
        <w:spacing w:line="360" w:lineRule="auto"/>
        <w:ind w:right="72"/>
        <w:contextualSpacing/>
        <w:jc w:val="center"/>
        <w:rPr>
          <w:rFonts w:ascii="Arial" w:eastAsia="Arial" w:hAnsi="Arial" w:cs="Arial"/>
          <w:b/>
          <w:sz w:val="24"/>
          <w:szCs w:val="24"/>
        </w:rPr>
      </w:pPr>
      <w:r w:rsidRPr="001279DB">
        <w:rPr>
          <w:rFonts w:ascii="Arial" w:eastAsia="Arial" w:hAnsi="Arial" w:cs="Arial"/>
          <w:b/>
          <w:sz w:val="24"/>
          <w:szCs w:val="24"/>
        </w:rPr>
        <w:t>JUDGMENT</w:t>
      </w:r>
    </w:p>
    <w:p w14:paraId="7A98FA11" w14:textId="77777777" w:rsidR="00401455" w:rsidRPr="001279DB" w:rsidRDefault="00401455" w:rsidP="00522F18">
      <w:pPr>
        <w:pStyle w:val="Normal1"/>
        <w:spacing w:after="0" w:line="360" w:lineRule="auto"/>
        <w:ind w:right="72"/>
        <w:contextualSpacing/>
        <w:jc w:val="both"/>
        <w:rPr>
          <w:rFonts w:ascii="Arial" w:eastAsia="Arial" w:hAnsi="Arial" w:cs="Arial"/>
          <w:sz w:val="24"/>
          <w:szCs w:val="24"/>
        </w:rPr>
      </w:pPr>
      <w:r w:rsidRPr="001279DB">
        <w:rPr>
          <w:rFonts w:ascii="Arial" w:eastAsia="Arial" w:hAnsi="Arial" w:cs="Arial"/>
          <w:b/>
          <w:sz w:val="24"/>
          <w:szCs w:val="24"/>
        </w:rPr>
        <w:t>___________________________________________________________________</w:t>
      </w:r>
    </w:p>
    <w:p w14:paraId="59BE6439" w14:textId="77777777" w:rsidR="00CF6809" w:rsidRPr="001279DB" w:rsidRDefault="00CF6809" w:rsidP="00522F18">
      <w:pPr>
        <w:pStyle w:val="Normal1"/>
        <w:spacing w:after="0" w:line="360" w:lineRule="auto"/>
        <w:ind w:right="72"/>
        <w:contextualSpacing/>
        <w:jc w:val="both"/>
        <w:rPr>
          <w:rFonts w:ascii="Arial" w:eastAsia="Arial" w:hAnsi="Arial" w:cs="Arial"/>
          <w:b/>
          <w:sz w:val="24"/>
          <w:szCs w:val="24"/>
        </w:rPr>
      </w:pPr>
    </w:p>
    <w:p w14:paraId="7817B6E5" w14:textId="77777777" w:rsidR="00CD05AA" w:rsidRPr="001279DB" w:rsidRDefault="00FE22F7" w:rsidP="00522F18">
      <w:pPr>
        <w:pStyle w:val="Normal1"/>
        <w:spacing w:after="0" w:line="360" w:lineRule="auto"/>
        <w:ind w:right="72"/>
        <w:contextualSpacing/>
        <w:jc w:val="both"/>
        <w:rPr>
          <w:rFonts w:ascii="Arial" w:eastAsia="Arial" w:hAnsi="Arial" w:cs="Arial"/>
          <w:b/>
          <w:sz w:val="24"/>
          <w:szCs w:val="24"/>
        </w:rPr>
      </w:pPr>
      <w:r w:rsidRPr="001279DB">
        <w:rPr>
          <w:rFonts w:ascii="Arial" w:eastAsia="Arial" w:hAnsi="Arial" w:cs="Arial"/>
          <w:b/>
          <w:sz w:val="24"/>
          <w:szCs w:val="24"/>
        </w:rPr>
        <w:t>Hughes JA (Mocumie JA</w:t>
      </w:r>
      <w:r w:rsidR="00477760" w:rsidRPr="001279DB">
        <w:rPr>
          <w:rFonts w:ascii="Arial" w:eastAsia="Arial" w:hAnsi="Arial" w:cs="Arial"/>
          <w:b/>
          <w:sz w:val="24"/>
          <w:szCs w:val="24"/>
        </w:rPr>
        <w:t xml:space="preserve"> </w:t>
      </w:r>
      <w:r w:rsidR="00E85772" w:rsidRPr="001279DB">
        <w:rPr>
          <w:rFonts w:ascii="Arial" w:eastAsia="Arial" w:hAnsi="Arial" w:cs="Arial"/>
          <w:b/>
          <w:sz w:val="24"/>
          <w:szCs w:val="24"/>
        </w:rPr>
        <w:t>concurring)</w:t>
      </w:r>
      <w:r w:rsidR="00226E6E" w:rsidRPr="001279DB">
        <w:rPr>
          <w:rFonts w:ascii="Arial" w:eastAsia="Arial" w:hAnsi="Arial" w:cs="Arial"/>
          <w:b/>
          <w:sz w:val="24"/>
          <w:szCs w:val="24"/>
        </w:rPr>
        <w:t>:</w:t>
      </w:r>
    </w:p>
    <w:p w14:paraId="40D06760" w14:textId="77777777" w:rsidR="00F72ABC" w:rsidRPr="001279DB" w:rsidRDefault="00F72ABC" w:rsidP="00522F18">
      <w:pPr>
        <w:pStyle w:val="Normal1"/>
        <w:spacing w:after="0" w:line="360" w:lineRule="auto"/>
        <w:ind w:right="72"/>
        <w:contextualSpacing/>
        <w:jc w:val="both"/>
        <w:rPr>
          <w:rFonts w:ascii="Arial" w:eastAsia="Arial" w:hAnsi="Arial" w:cs="Arial"/>
          <w:b/>
          <w:sz w:val="24"/>
          <w:szCs w:val="24"/>
        </w:rPr>
      </w:pPr>
    </w:p>
    <w:p w14:paraId="161AB534" w14:textId="513AFBCC" w:rsidR="00CD05AA"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[1]</w:t>
      </w:r>
      <w:r w:rsidRPr="001279DB">
        <w:rPr>
          <w:rFonts w:ascii="Arial" w:eastAsia="Arial" w:hAnsi="Arial" w:cs="Arial"/>
          <w:sz w:val="24"/>
          <w:szCs w:val="24"/>
        </w:rPr>
        <w:tab/>
      </w:r>
      <w:r w:rsidR="00E85772" w:rsidRPr="001279DB">
        <w:rPr>
          <w:rFonts w:ascii="Arial" w:eastAsia="Arial" w:hAnsi="Arial" w:cs="Arial"/>
          <w:sz w:val="24"/>
          <w:szCs w:val="24"/>
        </w:rPr>
        <w:t>Th</w:t>
      </w:r>
      <w:r w:rsidR="000119D6" w:rsidRPr="001279DB">
        <w:rPr>
          <w:rFonts w:ascii="Arial" w:eastAsia="Arial" w:hAnsi="Arial" w:cs="Arial"/>
          <w:sz w:val="24"/>
          <w:szCs w:val="24"/>
        </w:rPr>
        <w:t>is is an appeal against the judgm</w:t>
      </w:r>
      <w:r w:rsidR="00E85772" w:rsidRPr="001279DB">
        <w:rPr>
          <w:rFonts w:ascii="Arial" w:eastAsia="Arial" w:hAnsi="Arial" w:cs="Arial"/>
          <w:sz w:val="24"/>
          <w:szCs w:val="24"/>
        </w:rPr>
        <w:t>e</w:t>
      </w:r>
      <w:r w:rsidR="000119D6" w:rsidRPr="001279DB">
        <w:rPr>
          <w:rFonts w:ascii="Arial" w:eastAsia="Arial" w:hAnsi="Arial" w:cs="Arial"/>
          <w:sz w:val="24"/>
          <w:szCs w:val="24"/>
        </w:rPr>
        <w:t xml:space="preserve">nt of the </w:t>
      </w:r>
      <w:r w:rsidR="00C911EC" w:rsidRPr="001279DB">
        <w:rPr>
          <w:rFonts w:ascii="Arial" w:eastAsia="Arial" w:hAnsi="Arial" w:cs="Arial"/>
          <w:sz w:val="24"/>
          <w:szCs w:val="24"/>
        </w:rPr>
        <w:t>Mpumalanga Division of the High Court</w:t>
      </w:r>
      <w:r w:rsidR="0040489F" w:rsidRPr="001279DB">
        <w:rPr>
          <w:rFonts w:ascii="Arial" w:eastAsia="Arial" w:hAnsi="Arial" w:cs="Arial"/>
          <w:sz w:val="24"/>
          <w:szCs w:val="24"/>
        </w:rPr>
        <w:t xml:space="preserve">, Middelburg (the </w:t>
      </w:r>
      <w:r w:rsidR="00DA4B26" w:rsidRPr="001279DB">
        <w:rPr>
          <w:rFonts w:ascii="Arial" w:eastAsia="Arial" w:hAnsi="Arial" w:cs="Arial"/>
          <w:sz w:val="24"/>
          <w:szCs w:val="24"/>
        </w:rPr>
        <w:t xml:space="preserve">high </w:t>
      </w:r>
      <w:r w:rsidR="0040489F" w:rsidRPr="001279DB">
        <w:rPr>
          <w:rFonts w:ascii="Arial" w:eastAsia="Arial" w:hAnsi="Arial" w:cs="Arial"/>
          <w:sz w:val="24"/>
          <w:szCs w:val="24"/>
        </w:rPr>
        <w:t>court)</w:t>
      </w:r>
      <w:r w:rsidR="00B53D94" w:rsidRPr="001279DB">
        <w:rPr>
          <w:rFonts w:ascii="Arial" w:eastAsia="Arial" w:hAnsi="Arial" w:cs="Arial"/>
          <w:sz w:val="24"/>
          <w:szCs w:val="24"/>
        </w:rPr>
        <w:t xml:space="preserve"> for </w:t>
      </w:r>
      <w:r w:rsidR="000119D6" w:rsidRPr="001279DB">
        <w:rPr>
          <w:rFonts w:ascii="Arial" w:eastAsia="Arial" w:hAnsi="Arial" w:cs="Arial"/>
          <w:sz w:val="24"/>
          <w:szCs w:val="24"/>
        </w:rPr>
        <w:t xml:space="preserve">declaratory </w:t>
      </w:r>
      <w:r w:rsidR="00221552" w:rsidRPr="001279DB">
        <w:rPr>
          <w:rFonts w:ascii="Arial" w:eastAsia="Arial" w:hAnsi="Arial" w:cs="Arial"/>
          <w:sz w:val="24"/>
          <w:szCs w:val="24"/>
        </w:rPr>
        <w:t xml:space="preserve">and interdictory relief </w:t>
      </w:r>
      <w:r w:rsidR="000119D6" w:rsidRPr="001279DB">
        <w:rPr>
          <w:rFonts w:ascii="Arial" w:eastAsia="Arial" w:hAnsi="Arial" w:cs="Arial"/>
          <w:sz w:val="24"/>
          <w:szCs w:val="24"/>
        </w:rPr>
        <w:t xml:space="preserve">sought by the respondent (applicant in the court </w:t>
      </w:r>
      <w:r w:rsidR="000119D6" w:rsidRPr="001279DB">
        <w:rPr>
          <w:rFonts w:ascii="Arial" w:eastAsia="Arial" w:hAnsi="Arial" w:cs="Arial"/>
          <w:i/>
          <w:sz w:val="24"/>
          <w:szCs w:val="24"/>
        </w:rPr>
        <w:t>a quo</w:t>
      </w:r>
      <w:r w:rsidR="000119D6" w:rsidRPr="001279DB">
        <w:rPr>
          <w:rFonts w:ascii="Arial" w:eastAsia="Arial" w:hAnsi="Arial" w:cs="Arial"/>
          <w:sz w:val="24"/>
          <w:szCs w:val="24"/>
        </w:rPr>
        <w:t xml:space="preserve">), Lehlaka Property Development </w:t>
      </w:r>
      <w:r w:rsidR="000E5FC7" w:rsidRPr="001279DB">
        <w:rPr>
          <w:rFonts w:ascii="Arial" w:eastAsia="Arial" w:hAnsi="Arial" w:cs="Arial"/>
          <w:sz w:val="24"/>
          <w:szCs w:val="24"/>
        </w:rPr>
        <w:t>(</w:t>
      </w:r>
      <w:r w:rsidR="008B6A9A" w:rsidRPr="001279DB">
        <w:rPr>
          <w:rFonts w:ascii="Arial" w:eastAsia="Arial" w:hAnsi="Arial" w:cs="Arial"/>
          <w:sz w:val="24"/>
          <w:szCs w:val="24"/>
        </w:rPr>
        <w:t>Pty</w:t>
      </w:r>
      <w:r w:rsidR="000E5FC7" w:rsidRPr="001279DB">
        <w:rPr>
          <w:rFonts w:ascii="Arial" w:eastAsia="Arial" w:hAnsi="Arial" w:cs="Arial"/>
          <w:sz w:val="24"/>
          <w:szCs w:val="24"/>
        </w:rPr>
        <w:t>)</w:t>
      </w:r>
      <w:r w:rsidR="008B6A9A" w:rsidRPr="001279DB">
        <w:rPr>
          <w:rFonts w:ascii="Arial" w:eastAsia="Arial" w:hAnsi="Arial" w:cs="Arial"/>
          <w:sz w:val="24"/>
          <w:szCs w:val="24"/>
        </w:rPr>
        <w:t xml:space="preserve"> Ltd </w:t>
      </w:r>
      <w:r w:rsidR="000119D6" w:rsidRPr="001279DB">
        <w:rPr>
          <w:rFonts w:ascii="Arial" w:eastAsia="Arial" w:hAnsi="Arial" w:cs="Arial"/>
          <w:sz w:val="24"/>
          <w:szCs w:val="24"/>
        </w:rPr>
        <w:t>(Lehlaka)</w:t>
      </w:r>
      <w:r w:rsidR="000E5FC7" w:rsidRPr="001279DB">
        <w:rPr>
          <w:rFonts w:ascii="Arial" w:eastAsia="Arial" w:hAnsi="Arial" w:cs="Arial"/>
          <w:sz w:val="24"/>
          <w:szCs w:val="24"/>
        </w:rPr>
        <w:t>,</w:t>
      </w:r>
      <w:r w:rsidR="000119D6" w:rsidRPr="001279DB">
        <w:rPr>
          <w:rFonts w:ascii="Arial" w:eastAsia="Arial" w:hAnsi="Arial" w:cs="Arial"/>
          <w:sz w:val="24"/>
          <w:szCs w:val="24"/>
        </w:rPr>
        <w:t xml:space="preserve"> against the </w:t>
      </w:r>
      <w:r w:rsidR="00AC21BF" w:rsidRPr="001279DB">
        <w:rPr>
          <w:rFonts w:ascii="Arial" w:eastAsia="Arial" w:hAnsi="Arial" w:cs="Arial"/>
          <w:sz w:val="24"/>
          <w:szCs w:val="24"/>
        </w:rPr>
        <w:t>appellant</w:t>
      </w:r>
      <w:r w:rsidR="000119D6" w:rsidRPr="001279DB">
        <w:rPr>
          <w:rFonts w:ascii="Arial" w:eastAsia="Arial" w:hAnsi="Arial" w:cs="Arial"/>
          <w:sz w:val="24"/>
          <w:szCs w:val="24"/>
        </w:rPr>
        <w:t xml:space="preserve"> (respondent in the court </w:t>
      </w:r>
      <w:r w:rsidR="000119D6" w:rsidRPr="001279DB">
        <w:rPr>
          <w:rFonts w:ascii="Arial" w:eastAsia="Arial" w:hAnsi="Arial" w:cs="Arial"/>
          <w:i/>
          <w:sz w:val="24"/>
          <w:szCs w:val="24"/>
        </w:rPr>
        <w:t>a quo</w:t>
      </w:r>
      <w:r w:rsidR="000119D6" w:rsidRPr="001279DB">
        <w:rPr>
          <w:rFonts w:ascii="Arial" w:eastAsia="Arial" w:hAnsi="Arial" w:cs="Arial"/>
          <w:sz w:val="24"/>
          <w:szCs w:val="24"/>
        </w:rPr>
        <w:t xml:space="preserve">), Emalahleni </w:t>
      </w:r>
      <w:r w:rsidR="008B6A9A" w:rsidRPr="001279DB">
        <w:rPr>
          <w:rFonts w:ascii="Arial" w:eastAsia="Arial" w:hAnsi="Arial" w:cs="Arial"/>
          <w:sz w:val="24"/>
          <w:szCs w:val="24"/>
        </w:rPr>
        <w:t xml:space="preserve">Local </w:t>
      </w:r>
      <w:r w:rsidR="000119D6" w:rsidRPr="001279DB">
        <w:rPr>
          <w:rFonts w:ascii="Arial" w:eastAsia="Arial" w:hAnsi="Arial" w:cs="Arial"/>
          <w:sz w:val="24"/>
          <w:szCs w:val="24"/>
        </w:rPr>
        <w:t>Municipality (the Municipality)</w:t>
      </w:r>
      <w:r w:rsidR="00221552" w:rsidRPr="001279DB">
        <w:rPr>
          <w:rFonts w:ascii="Arial" w:eastAsia="Arial" w:hAnsi="Arial" w:cs="Arial"/>
          <w:sz w:val="24"/>
          <w:szCs w:val="24"/>
        </w:rPr>
        <w:t xml:space="preserve">. Legodi JP </w:t>
      </w:r>
      <w:r w:rsidR="000119D6" w:rsidRPr="001279DB">
        <w:rPr>
          <w:rFonts w:ascii="Arial" w:eastAsia="Arial" w:hAnsi="Arial" w:cs="Arial"/>
          <w:sz w:val="24"/>
          <w:szCs w:val="24"/>
        </w:rPr>
        <w:t xml:space="preserve">granted </w:t>
      </w:r>
      <w:r w:rsidR="00221552" w:rsidRPr="001279DB">
        <w:rPr>
          <w:rFonts w:ascii="Arial" w:eastAsia="Arial" w:hAnsi="Arial" w:cs="Arial"/>
          <w:sz w:val="24"/>
          <w:szCs w:val="24"/>
        </w:rPr>
        <w:t xml:space="preserve">the orders in the court </w:t>
      </w:r>
      <w:r w:rsidR="00221552" w:rsidRPr="001279DB">
        <w:rPr>
          <w:rFonts w:ascii="Arial" w:eastAsia="Arial" w:hAnsi="Arial" w:cs="Arial"/>
          <w:i/>
          <w:sz w:val="24"/>
          <w:szCs w:val="24"/>
        </w:rPr>
        <w:t>a quo</w:t>
      </w:r>
      <w:r w:rsidR="000E5FC7" w:rsidRPr="001279DB">
        <w:rPr>
          <w:rFonts w:ascii="Arial" w:eastAsia="Arial" w:hAnsi="Arial" w:cs="Arial"/>
          <w:sz w:val="24"/>
          <w:szCs w:val="24"/>
        </w:rPr>
        <w:t>,</w:t>
      </w:r>
      <w:r w:rsidR="00221552" w:rsidRPr="001279DB">
        <w:rPr>
          <w:rFonts w:ascii="Arial" w:eastAsia="Arial" w:hAnsi="Arial" w:cs="Arial"/>
          <w:sz w:val="24"/>
          <w:szCs w:val="24"/>
        </w:rPr>
        <w:t xml:space="preserve"> which I set out further below</w:t>
      </w:r>
      <w:r w:rsidR="000119D6" w:rsidRPr="001279DB">
        <w:rPr>
          <w:rFonts w:ascii="Arial" w:eastAsia="Arial" w:hAnsi="Arial" w:cs="Arial"/>
          <w:sz w:val="24"/>
          <w:szCs w:val="24"/>
        </w:rPr>
        <w:t xml:space="preserve">. </w:t>
      </w:r>
      <w:r w:rsidR="00221552" w:rsidRPr="001279DB">
        <w:rPr>
          <w:rFonts w:ascii="Arial" w:eastAsia="Arial" w:hAnsi="Arial" w:cs="Arial"/>
          <w:sz w:val="24"/>
          <w:szCs w:val="24"/>
        </w:rPr>
        <w:t xml:space="preserve">The </w:t>
      </w:r>
      <w:r w:rsidR="000119D6" w:rsidRPr="001279DB">
        <w:rPr>
          <w:rFonts w:ascii="Arial" w:eastAsia="Arial" w:hAnsi="Arial" w:cs="Arial"/>
          <w:sz w:val="24"/>
          <w:szCs w:val="24"/>
        </w:rPr>
        <w:t xml:space="preserve">Municipality </w:t>
      </w:r>
      <w:r w:rsidR="00221552" w:rsidRPr="001279DB">
        <w:rPr>
          <w:rFonts w:ascii="Arial" w:eastAsia="Arial" w:hAnsi="Arial" w:cs="Arial"/>
          <w:sz w:val="24"/>
          <w:szCs w:val="24"/>
        </w:rPr>
        <w:t xml:space="preserve">sought leave to appeal the orders, which </w:t>
      </w:r>
      <w:r w:rsidR="000119D6" w:rsidRPr="001279DB">
        <w:rPr>
          <w:rFonts w:ascii="Arial" w:eastAsia="Arial" w:hAnsi="Arial" w:cs="Arial"/>
          <w:sz w:val="24"/>
          <w:szCs w:val="24"/>
        </w:rPr>
        <w:t xml:space="preserve">was refused by the court </w:t>
      </w:r>
      <w:r w:rsidR="000119D6" w:rsidRPr="001279DB">
        <w:rPr>
          <w:rFonts w:ascii="Arial" w:eastAsia="Arial" w:hAnsi="Arial" w:cs="Arial"/>
          <w:i/>
          <w:sz w:val="24"/>
          <w:szCs w:val="24"/>
        </w:rPr>
        <w:t>a quo</w:t>
      </w:r>
      <w:r w:rsidR="000119D6" w:rsidRPr="001279DB">
        <w:rPr>
          <w:rFonts w:ascii="Arial" w:eastAsia="Arial" w:hAnsi="Arial" w:cs="Arial"/>
          <w:sz w:val="24"/>
          <w:szCs w:val="24"/>
        </w:rPr>
        <w:t xml:space="preserve">. </w:t>
      </w:r>
      <w:r w:rsidR="00B56E8F" w:rsidRPr="001279DB">
        <w:rPr>
          <w:rFonts w:ascii="Arial" w:eastAsia="Arial" w:hAnsi="Arial" w:cs="Arial"/>
          <w:sz w:val="24"/>
          <w:szCs w:val="24"/>
        </w:rPr>
        <w:t xml:space="preserve">The appeal is with leave of </w:t>
      </w:r>
      <w:r w:rsidR="00550EE7" w:rsidRPr="001279DB">
        <w:rPr>
          <w:rFonts w:ascii="Arial" w:eastAsia="Arial" w:hAnsi="Arial" w:cs="Arial"/>
          <w:sz w:val="24"/>
          <w:szCs w:val="24"/>
        </w:rPr>
        <w:t>this Court</w:t>
      </w:r>
      <w:r w:rsidR="000119D6" w:rsidRPr="001279DB">
        <w:rPr>
          <w:rFonts w:ascii="Arial" w:eastAsia="Arial" w:hAnsi="Arial" w:cs="Arial"/>
          <w:sz w:val="24"/>
          <w:szCs w:val="24"/>
        </w:rPr>
        <w:t>.</w:t>
      </w:r>
    </w:p>
    <w:p w14:paraId="19A651E0" w14:textId="77777777" w:rsidR="00B7289D" w:rsidRPr="001279DB" w:rsidRDefault="00B7289D" w:rsidP="00522F18">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p>
    <w:p w14:paraId="1C9FCAE1" w14:textId="17C73B4F" w:rsidR="003F777B"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[2]</w:t>
      </w:r>
      <w:r w:rsidRPr="001279DB">
        <w:rPr>
          <w:rFonts w:ascii="Arial" w:eastAsia="Arial" w:hAnsi="Arial" w:cs="Arial"/>
          <w:sz w:val="24"/>
          <w:szCs w:val="24"/>
        </w:rPr>
        <w:tab/>
      </w:r>
      <w:r w:rsidR="00A33F2F" w:rsidRPr="001279DB">
        <w:rPr>
          <w:rFonts w:ascii="Arial" w:eastAsia="Arial" w:hAnsi="Arial" w:cs="Arial"/>
          <w:sz w:val="24"/>
          <w:szCs w:val="24"/>
        </w:rPr>
        <w:t xml:space="preserve">At the centre of this </w:t>
      </w:r>
      <w:r w:rsidR="001138F1" w:rsidRPr="001279DB">
        <w:rPr>
          <w:rFonts w:ascii="Arial" w:eastAsia="Arial" w:hAnsi="Arial" w:cs="Arial"/>
          <w:sz w:val="24"/>
          <w:szCs w:val="24"/>
        </w:rPr>
        <w:t xml:space="preserve">appeal </w:t>
      </w:r>
      <w:r w:rsidR="00A33F2F" w:rsidRPr="001279DB">
        <w:rPr>
          <w:rFonts w:ascii="Arial" w:eastAsia="Arial" w:hAnsi="Arial" w:cs="Arial"/>
          <w:sz w:val="24"/>
          <w:szCs w:val="24"/>
        </w:rPr>
        <w:t>is a mining village</w:t>
      </w:r>
      <w:r w:rsidR="00A900CF" w:rsidRPr="001279DB">
        <w:rPr>
          <w:rFonts w:ascii="Arial" w:eastAsia="Arial" w:hAnsi="Arial" w:cs="Arial"/>
          <w:sz w:val="24"/>
          <w:szCs w:val="24"/>
        </w:rPr>
        <w:t>,</w:t>
      </w:r>
      <w:r w:rsidR="00A33F2F" w:rsidRPr="001279DB">
        <w:rPr>
          <w:rFonts w:ascii="Arial" w:eastAsia="Arial" w:hAnsi="Arial" w:cs="Arial"/>
          <w:sz w:val="24"/>
          <w:szCs w:val="24"/>
        </w:rPr>
        <w:t xml:space="preserve"> Rietspruit</w:t>
      </w:r>
      <w:r w:rsidR="000C1780" w:rsidRPr="001279DB">
        <w:rPr>
          <w:rFonts w:ascii="Arial" w:eastAsia="Arial" w:hAnsi="Arial" w:cs="Arial"/>
          <w:sz w:val="24"/>
          <w:szCs w:val="24"/>
        </w:rPr>
        <w:t>.</w:t>
      </w:r>
      <w:r w:rsidR="00A33F2F" w:rsidRPr="001279DB">
        <w:rPr>
          <w:rFonts w:ascii="Arial" w:eastAsia="Arial" w:hAnsi="Arial" w:cs="Arial"/>
          <w:sz w:val="24"/>
          <w:szCs w:val="24"/>
        </w:rPr>
        <w:t xml:space="preserve"> This village was formed by</w:t>
      </w:r>
      <w:r w:rsidR="000E1F80" w:rsidRPr="001279DB">
        <w:rPr>
          <w:rFonts w:ascii="Arial" w:eastAsia="Arial" w:hAnsi="Arial" w:cs="Arial"/>
          <w:sz w:val="24"/>
          <w:szCs w:val="24"/>
        </w:rPr>
        <w:t xml:space="preserve"> the</w:t>
      </w:r>
      <w:r w:rsidR="00A33F2F" w:rsidRPr="001279DB">
        <w:rPr>
          <w:rFonts w:ascii="Arial" w:eastAsia="Arial" w:hAnsi="Arial" w:cs="Arial"/>
          <w:sz w:val="24"/>
          <w:szCs w:val="24"/>
        </w:rPr>
        <w:t xml:space="preserve"> Rietspruit Colliery</w:t>
      </w:r>
      <w:r w:rsidR="00B1211F" w:rsidRPr="001279DB">
        <w:rPr>
          <w:rFonts w:ascii="Arial" w:eastAsia="Arial" w:hAnsi="Arial" w:cs="Arial"/>
          <w:sz w:val="24"/>
          <w:szCs w:val="24"/>
        </w:rPr>
        <w:t xml:space="preserve"> </w:t>
      </w:r>
      <w:r w:rsidR="000E1F80" w:rsidRPr="001279DB">
        <w:rPr>
          <w:rFonts w:ascii="Arial" w:eastAsia="Arial" w:hAnsi="Arial" w:cs="Arial"/>
          <w:sz w:val="24"/>
          <w:szCs w:val="24"/>
        </w:rPr>
        <w:t xml:space="preserve">Mine </w:t>
      </w:r>
      <w:r w:rsidR="00B1211F" w:rsidRPr="001279DB">
        <w:rPr>
          <w:rFonts w:ascii="Arial" w:eastAsia="Arial" w:hAnsi="Arial" w:cs="Arial"/>
          <w:sz w:val="24"/>
          <w:szCs w:val="24"/>
        </w:rPr>
        <w:t>(the mine)</w:t>
      </w:r>
      <w:r w:rsidR="000C1780" w:rsidRPr="001279DB">
        <w:rPr>
          <w:rFonts w:ascii="Arial" w:eastAsia="Arial" w:hAnsi="Arial" w:cs="Arial"/>
          <w:sz w:val="24"/>
          <w:szCs w:val="24"/>
        </w:rPr>
        <w:t>,</w:t>
      </w:r>
      <w:r w:rsidR="00A33F2F" w:rsidRPr="001279DB">
        <w:rPr>
          <w:rFonts w:ascii="Arial" w:eastAsia="Arial" w:hAnsi="Arial" w:cs="Arial"/>
          <w:sz w:val="24"/>
          <w:szCs w:val="24"/>
        </w:rPr>
        <w:t xml:space="preserve"> sit</w:t>
      </w:r>
      <w:r w:rsidR="00DC218F" w:rsidRPr="001279DB">
        <w:rPr>
          <w:rFonts w:ascii="Arial" w:eastAsia="Arial" w:hAnsi="Arial" w:cs="Arial"/>
          <w:sz w:val="24"/>
          <w:szCs w:val="24"/>
        </w:rPr>
        <w:t>uated in Witbank from 1978. The</w:t>
      </w:r>
      <w:r w:rsidR="00A33F2F" w:rsidRPr="001279DB">
        <w:rPr>
          <w:rFonts w:ascii="Arial" w:eastAsia="Arial" w:hAnsi="Arial" w:cs="Arial"/>
          <w:sz w:val="24"/>
          <w:szCs w:val="24"/>
        </w:rPr>
        <w:t xml:space="preserve"> village and its infrastructure catered for the miners who worked in the mine</w:t>
      </w:r>
      <w:r w:rsidR="00B1211F" w:rsidRPr="001279DB">
        <w:rPr>
          <w:rFonts w:ascii="Arial" w:eastAsia="Arial" w:hAnsi="Arial" w:cs="Arial"/>
          <w:sz w:val="24"/>
          <w:szCs w:val="24"/>
        </w:rPr>
        <w:t>. T</w:t>
      </w:r>
      <w:r w:rsidR="00DB7DCA" w:rsidRPr="001279DB">
        <w:rPr>
          <w:rFonts w:ascii="Arial" w:eastAsia="Arial" w:hAnsi="Arial" w:cs="Arial"/>
          <w:sz w:val="24"/>
          <w:szCs w:val="24"/>
        </w:rPr>
        <w:t>he mine supplied the village with electricity</w:t>
      </w:r>
      <w:r w:rsidR="000C1780" w:rsidRPr="001279DB">
        <w:rPr>
          <w:rFonts w:ascii="Arial" w:eastAsia="Arial" w:hAnsi="Arial" w:cs="Arial"/>
          <w:sz w:val="24"/>
          <w:szCs w:val="24"/>
        </w:rPr>
        <w:t>,</w:t>
      </w:r>
      <w:r w:rsidR="00DB7DCA" w:rsidRPr="001279DB">
        <w:rPr>
          <w:rFonts w:ascii="Arial" w:eastAsia="Arial" w:hAnsi="Arial" w:cs="Arial"/>
          <w:sz w:val="24"/>
          <w:szCs w:val="24"/>
        </w:rPr>
        <w:t xml:space="preserve"> which </w:t>
      </w:r>
      <w:r w:rsidR="000C1780" w:rsidRPr="001279DB">
        <w:rPr>
          <w:rFonts w:ascii="Arial" w:eastAsia="Arial" w:hAnsi="Arial" w:cs="Arial"/>
          <w:sz w:val="24"/>
          <w:szCs w:val="24"/>
        </w:rPr>
        <w:t>was</w:t>
      </w:r>
      <w:r w:rsidR="00DB7DCA" w:rsidRPr="001279DB">
        <w:rPr>
          <w:rFonts w:ascii="Arial" w:eastAsia="Arial" w:hAnsi="Arial" w:cs="Arial"/>
          <w:sz w:val="24"/>
          <w:szCs w:val="24"/>
        </w:rPr>
        <w:t xml:space="preserve"> </w:t>
      </w:r>
      <w:r w:rsidR="006B4C84" w:rsidRPr="001279DB">
        <w:rPr>
          <w:rFonts w:ascii="Arial" w:eastAsia="Arial" w:hAnsi="Arial" w:cs="Arial"/>
          <w:sz w:val="24"/>
          <w:szCs w:val="24"/>
        </w:rPr>
        <w:t xml:space="preserve">initially </w:t>
      </w:r>
      <w:r w:rsidR="00DB7DCA" w:rsidRPr="001279DB">
        <w:rPr>
          <w:rFonts w:ascii="Arial" w:eastAsia="Arial" w:hAnsi="Arial" w:cs="Arial"/>
          <w:sz w:val="24"/>
          <w:szCs w:val="24"/>
        </w:rPr>
        <w:t>obtain</w:t>
      </w:r>
      <w:r w:rsidR="00B1211F" w:rsidRPr="001279DB">
        <w:rPr>
          <w:rFonts w:ascii="Arial" w:eastAsia="Arial" w:hAnsi="Arial" w:cs="Arial"/>
          <w:sz w:val="24"/>
          <w:szCs w:val="24"/>
        </w:rPr>
        <w:t>ed from Eskom</w:t>
      </w:r>
      <w:r w:rsidR="00666194" w:rsidRPr="001279DB">
        <w:rPr>
          <w:rFonts w:ascii="Arial" w:eastAsia="Arial" w:hAnsi="Arial" w:cs="Arial"/>
          <w:sz w:val="24"/>
          <w:szCs w:val="24"/>
        </w:rPr>
        <w:t xml:space="preserve"> directly, and later </w:t>
      </w:r>
      <w:r w:rsidR="00FF4E47" w:rsidRPr="001279DB">
        <w:rPr>
          <w:rFonts w:ascii="Arial" w:eastAsia="Arial" w:hAnsi="Arial" w:cs="Arial"/>
          <w:sz w:val="24"/>
          <w:szCs w:val="24"/>
        </w:rPr>
        <w:t xml:space="preserve">from </w:t>
      </w:r>
      <w:r w:rsidR="00666194" w:rsidRPr="001279DB">
        <w:rPr>
          <w:rFonts w:ascii="Arial" w:eastAsia="Arial" w:hAnsi="Arial" w:cs="Arial"/>
          <w:sz w:val="24"/>
          <w:szCs w:val="24"/>
        </w:rPr>
        <w:t>the Municipality</w:t>
      </w:r>
      <w:r w:rsidR="001934D8" w:rsidRPr="001279DB">
        <w:rPr>
          <w:rFonts w:ascii="Arial" w:eastAsia="Arial" w:hAnsi="Arial" w:cs="Arial"/>
          <w:sz w:val="24"/>
          <w:szCs w:val="24"/>
        </w:rPr>
        <w:t>.</w:t>
      </w:r>
    </w:p>
    <w:p w14:paraId="3936DEAC" w14:textId="77777777" w:rsidR="00B7289D" w:rsidRPr="001279DB" w:rsidRDefault="00B7289D" w:rsidP="00522F18">
      <w:pPr>
        <w:pStyle w:val="ListParagraph"/>
        <w:spacing w:after="0" w:line="360" w:lineRule="auto"/>
        <w:jc w:val="both"/>
        <w:rPr>
          <w:rFonts w:ascii="Arial" w:eastAsia="Arial" w:hAnsi="Arial" w:cs="Arial"/>
          <w:sz w:val="24"/>
          <w:szCs w:val="24"/>
        </w:rPr>
      </w:pPr>
    </w:p>
    <w:p w14:paraId="09094A86" w14:textId="4AB18850" w:rsidR="00DF4E3C"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lastRenderedPageBreak/>
        <w:t>[3]</w:t>
      </w:r>
      <w:r w:rsidRPr="001279DB">
        <w:rPr>
          <w:rFonts w:ascii="Arial" w:eastAsia="Arial" w:hAnsi="Arial" w:cs="Arial"/>
          <w:sz w:val="24"/>
          <w:szCs w:val="24"/>
        </w:rPr>
        <w:tab/>
      </w:r>
      <w:r w:rsidR="001F49C3" w:rsidRPr="001279DB">
        <w:rPr>
          <w:rFonts w:ascii="Arial" w:eastAsia="Arial" w:hAnsi="Arial" w:cs="Arial"/>
          <w:sz w:val="24"/>
          <w:szCs w:val="24"/>
        </w:rPr>
        <w:t>During</w:t>
      </w:r>
      <w:r w:rsidR="00B1211F" w:rsidRPr="001279DB">
        <w:rPr>
          <w:rFonts w:ascii="Arial" w:eastAsia="Arial" w:hAnsi="Arial" w:cs="Arial"/>
          <w:sz w:val="24"/>
          <w:szCs w:val="24"/>
        </w:rPr>
        <w:t xml:space="preserve"> </w:t>
      </w:r>
      <w:r w:rsidR="00DB7DCA" w:rsidRPr="001279DB">
        <w:rPr>
          <w:rFonts w:ascii="Arial" w:eastAsia="Arial" w:hAnsi="Arial" w:cs="Arial"/>
          <w:sz w:val="24"/>
          <w:szCs w:val="24"/>
        </w:rPr>
        <w:t>2002</w:t>
      </w:r>
      <w:r w:rsidR="00B1211F" w:rsidRPr="001279DB">
        <w:rPr>
          <w:rFonts w:ascii="Arial" w:eastAsia="Arial" w:hAnsi="Arial" w:cs="Arial"/>
          <w:sz w:val="24"/>
          <w:szCs w:val="24"/>
        </w:rPr>
        <w:t>,</w:t>
      </w:r>
      <w:r w:rsidR="00DB7DCA" w:rsidRPr="001279DB">
        <w:rPr>
          <w:rFonts w:ascii="Arial" w:eastAsia="Arial" w:hAnsi="Arial" w:cs="Arial"/>
          <w:sz w:val="24"/>
          <w:szCs w:val="24"/>
        </w:rPr>
        <w:t xml:space="preserve"> the mine having </w:t>
      </w:r>
      <w:r w:rsidR="00591643" w:rsidRPr="001279DB">
        <w:rPr>
          <w:rFonts w:ascii="Arial" w:eastAsia="Arial" w:hAnsi="Arial" w:cs="Arial"/>
          <w:sz w:val="24"/>
          <w:szCs w:val="24"/>
        </w:rPr>
        <w:t>exhausted</w:t>
      </w:r>
      <w:r w:rsidR="00DB7DCA" w:rsidRPr="001279DB">
        <w:rPr>
          <w:rFonts w:ascii="Arial" w:eastAsia="Arial" w:hAnsi="Arial" w:cs="Arial"/>
          <w:sz w:val="24"/>
          <w:szCs w:val="24"/>
        </w:rPr>
        <w:t xml:space="preserve"> all the resources from the land</w:t>
      </w:r>
      <w:r w:rsidR="00CA4632" w:rsidRPr="001279DB">
        <w:rPr>
          <w:rFonts w:ascii="Arial" w:eastAsia="Arial" w:hAnsi="Arial" w:cs="Arial"/>
          <w:sz w:val="24"/>
          <w:szCs w:val="24"/>
        </w:rPr>
        <w:t>,</w:t>
      </w:r>
      <w:r w:rsidR="00DB7DCA" w:rsidRPr="001279DB">
        <w:rPr>
          <w:rFonts w:ascii="Arial" w:eastAsia="Arial" w:hAnsi="Arial" w:cs="Arial"/>
          <w:sz w:val="24"/>
          <w:szCs w:val="24"/>
        </w:rPr>
        <w:t xml:space="preserve"> ceased mining operations. At the cessation of </w:t>
      </w:r>
      <w:r w:rsidR="00B1211F" w:rsidRPr="001279DB">
        <w:rPr>
          <w:rFonts w:ascii="Arial" w:eastAsia="Arial" w:hAnsi="Arial" w:cs="Arial"/>
          <w:sz w:val="24"/>
          <w:szCs w:val="24"/>
        </w:rPr>
        <w:t xml:space="preserve">the </w:t>
      </w:r>
      <w:r w:rsidR="00DB7DCA" w:rsidRPr="001279DB">
        <w:rPr>
          <w:rFonts w:ascii="Arial" w:eastAsia="Arial" w:hAnsi="Arial" w:cs="Arial"/>
          <w:sz w:val="24"/>
          <w:szCs w:val="24"/>
        </w:rPr>
        <w:t>mining operations</w:t>
      </w:r>
      <w:r w:rsidR="000C1780" w:rsidRPr="001279DB">
        <w:rPr>
          <w:rFonts w:ascii="Arial" w:eastAsia="Arial" w:hAnsi="Arial" w:cs="Arial"/>
          <w:sz w:val="24"/>
          <w:szCs w:val="24"/>
        </w:rPr>
        <w:t>,</w:t>
      </w:r>
      <w:r w:rsidR="00DB7DCA" w:rsidRPr="001279DB">
        <w:rPr>
          <w:rFonts w:ascii="Arial" w:eastAsia="Arial" w:hAnsi="Arial" w:cs="Arial"/>
          <w:sz w:val="24"/>
          <w:szCs w:val="24"/>
        </w:rPr>
        <w:t xml:space="preserve"> and in term</w:t>
      </w:r>
      <w:r w:rsidR="00165032" w:rsidRPr="001279DB">
        <w:rPr>
          <w:rFonts w:ascii="Arial" w:eastAsia="Arial" w:hAnsi="Arial" w:cs="Arial"/>
          <w:sz w:val="24"/>
          <w:szCs w:val="24"/>
        </w:rPr>
        <w:t>s</w:t>
      </w:r>
      <w:r w:rsidR="00DB7DCA" w:rsidRPr="001279DB">
        <w:rPr>
          <w:rFonts w:ascii="Arial" w:eastAsia="Arial" w:hAnsi="Arial" w:cs="Arial"/>
          <w:sz w:val="24"/>
          <w:szCs w:val="24"/>
        </w:rPr>
        <w:t xml:space="preserve"> of </w:t>
      </w:r>
      <w:r w:rsidR="00B1211F" w:rsidRPr="001279DB">
        <w:rPr>
          <w:rFonts w:ascii="Arial" w:eastAsia="Arial" w:hAnsi="Arial" w:cs="Arial"/>
          <w:sz w:val="24"/>
          <w:szCs w:val="24"/>
        </w:rPr>
        <w:t>the mines</w:t>
      </w:r>
      <w:r w:rsidR="00FF4E47" w:rsidRPr="001279DB">
        <w:rPr>
          <w:rFonts w:ascii="Arial" w:eastAsia="Arial" w:hAnsi="Arial" w:cs="Arial"/>
          <w:sz w:val="24"/>
          <w:szCs w:val="24"/>
        </w:rPr>
        <w:t>’</w:t>
      </w:r>
      <w:r w:rsidR="00B1211F" w:rsidRPr="001279DB">
        <w:rPr>
          <w:rFonts w:ascii="Arial" w:eastAsia="Arial" w:hAnsi="Arial" w:cs="Arial"/>
          <w:sz w:val="24"/>
          <w:szCs w:val="24"/>
        </w:rPr>
        <w:t xml:space="preserve"> responsibilities and obligations in accordance with </w:t>
      </w:r>
      <w:r w:rsidR="00DB7DCA" w:rsidRPr="001279DB">
        <w:rPr>
          <w:rFonts w:ascii="Arial" w:eastAsia="Arial" w:hAnsi="Arial" w:cs="Arial"/>
          <w:sz w:val="24"/>
          <w:szCs w:val="24"/>
        </w:rPr>
        <w:t>the Mineral and Petroleum Resources Development Act</w:t>
      </w:r>
      <w:r w:rsidR="000E5FC7" w:rsidRPr="001279DB">
        <w:rPr>
          <w:rFonts w:ascii="Arial" w:eastAsia="Arial" w:hAnsi="Arial" w:cs="Arial"/>
          <w:sz w:val="24"/>
          <w:szCs w:val="24"/>
        </w:rPr>
        <w:t xml:space="preserve"> 28 of 2002</w:t>
      </w:r>
      <w:r w:rsidR="00D76834" w:rsidRPr="001279DB">
        <w:rPr>
          <w:rFonts w:ascii="Arial" w:eastAsia="Arial" w:hAnsi="Arial" w:cs="Arial"/>
          <w:sz w:val="24"/>
          <w:szCs w:val="24"/>
        </w:rPr>
        <w:t xml:space="preserve"> (MRPDA)</w:t>
      </w:r>
      <w:r w:rsidR="00CF7DA8" w:rsidRPr="001279DB">
        <w:rPr>
          <w:rFonts w:ascii="Arial" w:eastAsia="Arial" w:hAnsi="Arial" w:cs="Arial"/>
          <w:sz w:val="24"/>
          <w:szCs w:val="24"/>
        </w:rPr>
        <w:t>,</w:t>
      </w:r>
      <w:r w:rsidR="00416BF8" w:rsidRPr="001279DB">
        <w:rPr>
          <w:rStyle w:val="FootnoteReference"/>
          <w:rFonts w:ascii="Arial" w:eastAsia="Arial" w:hAnsi="Arial" w:cs="Arial"/>
          <w:sz w:val="24"/>
          <w:szCs w:val="24"/>
        </w:rPr>
        <w:footnoteReference w:id="1"/>
      </w:r>
      <w:r w:rsidR="00DB7DCA" w:rsidRPr="001279DB">
        <w:rPr>
          <w:rFonts w:ascii="Arial" w:eastAsia="Arial" w:hAnsi="Arial" w:cs="Arial"/>
          <w:sz w:val="24"/>
          <w:szCs w:val="24"/>
        </w:rPr>
        <w:t xml:space="preserve"> </w:t>
      </w:r>
      <w:r w:rsidR="00B1211F" w:rsidRPr="001279DB">
        <w:rPr>
          <w:rFonts w:ascii="Arial" w:eastAsia="Arial" w:hAnsi="Arial" w:cs="Arial"/>
          <w:sz w:val="24"/>
          <w:szCs w:val="24"/>
        </w:rPr>
        <w:t xml:space="preserve">the mine tasked </w:t>
      </w:r>
      <w:r w:rsidR="00416BF8" w:rsidRPr="001279DB">
        <w:rPr>
          <w:rFonts w:ascii="Arial" w:eastAsia="Arial" w:hAnsi="Arial" w:cs="Arial"/>
          <w:sz w:val="24"/>
          <w:szCs w:val="24"/>
        </w:rPr>
        <w:t>Lehlaka,</w:t>
      </w:r>
      <w:r w:rsidR="002F0DF2" w:rsidRPr="001279DB">
        <w:rPr>
          <w:rFonts w:ascii="Arial" w:eastAsia="Arial" w:hAnsi="Arial" w:cs="Arial"/>
          <w:sz w:val="24"/>
          <w:szCs w:val="24"/>
        </w:rPr>
        <w:t xml:space="preserve"> a property development company,</w:t>
      </w:r>
      <w:r w:rsidR="00B1211F" w:rsidRPr="001279DB">
        <w:rPr>
          <w:rFonts w:ascii="Arial" w:eastAsia="Arial" w:hAnsi="Arial" w:cs="Arial"/>
          <w:sz w:val="24"/>
          <w:szCs w:val="24"/>
        </w:rPr>
        <w:t xml:space="preserve"> to ‘hand-over’ </w:t>
      </w:r>
      <w:r w:rsidR="00E60010" w:rsidRPr="001279DB">
        <w:rPr>
          <w:rFonts w:ascii="Arial" w:eastAsia="Arial" w:hAnsi="Arial" w:cs="Arial"/>
          <w:sz w:val="24"/>
          <w:szCs w:val="24"/>
        </w:rPr>
        <w:t xml:space="preserve">the mining village to the community. </w:t>
      </w:r>
      <w:r w:rsidR="00416BF8" w:rsidRPr="001279DB">
        <w:rPr>
          <w:rFonts w:ascii="Arial" w:eastAsia="Arial" w:hAnsi="Arial" w:cs="Arial"/>
          <w:sz w:val="24"/>
          <w:szCs w:val="24"/>
        </w:rPr>
        <w:t>To this end</w:t>
      </w:r>
      <w:r w:rsidR="0015176F" w:rsidRPr="001279DB">
        <w:rPr>
          <w:rFonts w:ascii="Arial" w:eastAsia="Arial" w:hAnsi="Arial" w:cs="Arial"/>
          <w:sz w:val="24"/>
          <w:szCs w:val="24"/>
        </w:rPr>
        <w:t>,</w:t>
      </w:r>
      <w:r w:rsidR="00416BF8" w:rsidRPr="001279DB">
        <w:rPr>
          <w:rFonts w:ascii="Arial" w:eastAsia="Arial" w:hAnsi="Arial" w:cs="Arial"/>
          <w:sz w:val="24"/>
          <w:szCs w:val="24"/>
        </w:rPr>
        <w:t xml:space="preserve"> in 2004</w:t>
      </w:r>
      <w:r w:rsidR="006B129B" w:rsidRPr="001279DB">
        <w:rPr>
          <w:rFonts w:ascii="Arial" w:eastAsia="Arial" w:hAnsi="Arial" w:cs="Arial"/>
          <w:sz w:val="24"/>
          <w:szCs w:val="24"/>
        </w:rPr>
        <w:t>,</w:t>
      </w:r>
      <w:r w:rsidR="00416BF8" w:rsidRPr="001279DB">
        <w:rPr>
          <w:rFonts w:ascii="Arial" w:eastAsia="Arial" w:hAnsi="Arial" w:cs="Arial"/>
          <w:sz w:val="24"/>
          <w:szCs w:val="24"/>
        </w:rPr>
        <w:t xml:space="preserve"> the Municipality</w:t>
      </w:r>
      <w:r w:rsidR="00CA4632" w:rsidRPr="001279DB">
        <w:rPr>
          <w:rFonts w:ascii="Arial" w:eastAsia="Arial" w:hAnsi="Arial" w:cs="Arial"/>
          <w:sz w:val="24"/>
          <w:szCs w:val="24"/>
        </w:rPr>
        <w:t>,</w:t>
      </w:r>
      <w:r w:rsidR="00416BF8" w:rsidRPr="001279DB">
        <w:rPr>
          <w:rFonts w:ascii="Arial" w:eastAsia="Arial" w:hAnsi="Arial" w:cs="Arial"/>
          <w:sz w:val="24"/>
          <w:szCs w:val="24"/>
        </w:rPr>
        <w:t xml:space="preserve"> </w:t>
      </w:r>
      <w:r w:rsidR="00666194" w:rsidRPr="001279DB">
        <w:rPr>
          <w:rFonts w:ascii="Arial" w:eastAsia="Arial" w:hAnsi="Arial" w:cs="Arial"/>
          <w:sz w:val="24"/>
          <w:szCs w:val="24"/>
        </w:rPr>
        <w:t xml:space="preserve">through </w:t>
      </w:r>
      <w:r w:rsidR="00416BF8" w:rsidRPr="001279DB">
        <w:rPr>
          <w:rFonts w:ascii="Arial" w:eastAsia="Arial" w:hAnsi="Arial" w:cs="Arial"/>
          <w:sz w:val="24"/>
          <w:szCs w:val="24"/>
        </w:rPr>
        <w:t>a proclamation of the village</w:t>
      </w:r>
      <w:r w:rsidR="00A900CF" w:rsidRPr="001279DB">
        <w:rPr>
          <w:rFonts w:ascii="Arial" w:eastAsia="Arial" w:hAnsi="Arial" w:cs="Arial"/>
          <w:sz w:val="24"/>
          <w:szCs w:val="24"/>
        </w:rPr>
        <w:t>,</w:t>
      </w:r>
      <w:r w:rsidR="00416BF8" w:rsidRPr="001279DB">
        <w:rPr>
          <w:rFonts w:ascii="Arial" w:eastAsia="Arial" w:hAnsi="Arial" w:cs="Arial"/>
          <w:sz w:val="24"/>
          <w:szCs w:val="24"/>
        </w:rPr>
        <w:t xml:space="preserve"> </w:t>
      </w:r>
      <w:r w:rsidR="00666194" w:rsidRPr="001279DB">
        <w:rPr>
          <w:rFonts w:ascii="Arial" w:eastAsia="Arial" w:hAnsi="Arial" w:cs="Arial"/>
          <w:sz w:val="24"/>
          <w:szCs w:val="24"/>
        </w:rPr>
        <w:t xml:space="preserve">established </w:t>
      </w:r>
      <w:r w:rsidR="00416BF8" w:rsidRPr="001279DB">
        <w:rPr>
          <w:rFonts w:ascii="Arial" w:eastAsia="Arial" w:hAnsi="Arial" w:cs="Arial"/>
          <w:sz w:val="24"/>
          <w:szCs w:val="24"/>
        </w:rPr>
        <w:t>a formal municipal township, Rietspruit Township</w:t>
      </w:r>
      <w:r w:rsidR="00A4218D" w:rsidRPr="001279DB">
        <w:rPr>
          <w:rFonts w:ascii="Arial" w:eastAsia="Arial" w:hAnsi="Arial" w:cs="Arial"/>
          <w:sz w:val="24"/>
          <w:szCs w:val="24"/>
        </w:rPr>
        <w:t>, commonly known as Rietspruit village</w:t>
      </w:r>
      <w:r w:rsidR="00416BF8" w:rsidRPr="001279DB">
        <w:rPr>
          <w:rFonts w:ascii="Arial" w:eastAsia="Arial" w:hAnsi="Arial" w:cs="Arial"/>
          <w:sz w:val="24"/>
          <w:szCs w:val="24"/>
        </w:rPr>
        <w:t>.</w:t>
      </w:r>
    </w:p>
    <w:p w14:paraId="447CA895" w14:textId="77777777" w:rsidR="00B7289D" w:rsidRPr="001279DB" w:rsidRDefault="00B7289D" w:rsidP="00522F18">
      <w:pPr>
        <w:pStyle w:val="ListParagraph"/>
        <w:spacing w:after="0" w:line="360" w:lineRule="auto"/>
        <w:jc w:val="both"/>
        <w:rPr>
          <w:rFonts w:ascii="Arial" w:eastAsia="Arial" w:hAnsi="Arial" w:cs="Arial"/>
          <w:sz w:val="24"/>
          <w:szCs w:val="24"/>
        </w:rPr>
      </w:pPr>
    </w:p>
    <w:p w14:paraId="7D5C34EA" w14:textId="713CF5E0" w:rsidR="00DF4E3C"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[4]</w:t>
      </w:r>
      <w:r w:rsidRPr="001279DB">
        <w:rPr>
          <w:rFonts w:ascii="Arial" w:eastAsia="Arial" w:hAnsi="Arial" w:cs="Arial"/>
          <w:sz w:val="24"/>
          <w:szCs w:val="24"/>
        </w:rPr>
        <w:tab/>
      </w:r>
      <w:r w:rsidR="00A24243" w:rsidRPr="001279DB">
        <w:rPr>
          <w:rFonts w:ascii="Arial" w:eastAsia="Arial" w:hAnsi="Arial" w:cs="Arial"/>
          <w:sz w:val="24"/>
          <w:szCs w:val="24"/>
        </w:rPr>
        <w:t xml:space="preserve">Thereafter, </w:t>
      </w:r>
      <w:r w:rsidR="00723A88" w:rsidRPr="001279DB">
        <w:rPr>
          <w:rFonts w:ascii="Arial" w:eastAsia="Arial" w:hAnsi="Arial" w:cs="Arial"/>
          <w:sz w:val="24"/>
          <w:szCs w:val="24"/>
        </w:rPr>
        <w:t xml:space="preserve">Lehlaka </w:t>
      </w:r>
      <w:r w:rsidR="008A7213" w:rsidRPr="001279DB">
        <w:rPr>
          <w:rFonts w:ascii="Arial" w:eastAsia="Arial" w:hAnsi="Arial" w:cs="Arial"/>
          <w:sz w:val="24"/>
          <w:szCs w:val="24"/>
        </w:rPr>
        <w:t xml:space="preserve">took </w:t>
      </w:r>
      <w:r w:rsidR="00416BF8" w:rsidRPr="001279DB">
        <w:rPr>
          <w:rFonts w:ascii="Arial" w:eastAsia="Arial" w:hAnsi="Arial" w:cs="Arial"/>
          <w:sz w:val="24"/>
          <w:szCs w:val="24"/>
        </w:rPr>
        <w:t>owne</w:t>
      </w:r>
      <w:r w:rsidR="008A7213" w:rsidRPr="001279DB">
        <w:rPr>
          <w:rFonts w:ascii="Arial" w:eastAsia="Arial" w:hAnsi="Arial" w:cs="Arial"/>
          <w:sz w:val="24"/>
          <w:szCs w:val="24"/>
        </w:rPr>
        <w:t>rship of</w:t>
      </w:r>
      <w:r w:rsidR="00416BF8" w:rsidRPr="001279DB">
        <w:rPr>
          <w:rFonts w:ascii="Arial" w:eastAsia="Arial" w:hAnsi="Arial" w:cs="Arial"/>
          <w:sz w:val="24"/>
          <w:szCs w:val="24"/>
        </w:rPr>
        <w:t xml:space="preserve"> </w:t>
      </w:r>
      <w:r w:rsidR="008A7213" w:rsidRPr="001279DB">
        <w:rPr>
          <w:rFonts w:ascii="Arial" w:eastAsia="Arial" w:hAnsi="Arial" w:cs="Arial"/>
          <w:sz w:val="24"/>
          <w:szCs w:val="24"/>
        </w:rPr>
        <w:t xml:space="preserve">the various properties in </w:t>
      </w:r>
      <w:r w:rsidR="00117CC2" w:rsidRPr="001279DB">
        <w:rPr>
          <w:rFonts w:ascii="Arial" w:eastAsia="Arial" w:hAnsi="Arial" w:cs="Arial"/>
          <w:sz w:val="24"/>
          <w:szCs w:val="24"/>
        </w:rPr>
        <w:t>R</w:t>
      </w:r>
      <w:r w:rsidR="00416BF8" w:rsidRPr="001279DB">
        <w:rPr>
          <w:rFonts w:ascii="Arial" w:eastAsia="Arial" w:hAnsi="Arial" w:cs="Arial"/>
          <w:sz w:val="24"/>
          <w:szCs w:val="24"/>
        </w:rPr>
        <w:t>ietspruit village</w:t>
      </w:r>
      <w:r w:rsidR="00117CC2" w:rsidRPr="001279DB">
        <w:rPr>
          <w:rFonts w:ascii="Arial" w:eastAsia="Arial" w:hAnsi="Arial" w:cs="Arial"/>
          <w:sz w:val="24"/>
          <w:szCs w:val="24"/>
        </w:rPr>
        <w:t xml:space="preserve">. </w:t>
      </w:r>
      <w:r w:rsidR="00416BF8" w:rsidRPr="001279DB">
        <w:rPr>
          <w:rFonts w:ascii="Arial" w:eastAsia="Arial" w:hAnsi="Arial" w:cs="Arial"/>
          <w:sz w:val="24"/>
          <w:szCs w:val="24"/>
        </w:rPr>
        <w:t>It</w:t>
      </w:r>
      <w:r w:rsidR="008A7213" w:rsidRPr="001279DB">
        <w:rPr>
          <w:rFonts w:ascii="Arial" w:eastAsia="Arial" w:hAnsi="Arial" w:cs="Arial"/>
          <w:sz w:val="24"/>
          <w:szCs w:val="24"/>
        </w:rPr>
        <w:t xml:space="preserve"> </w:t>
      </w:r>
      <w:r w:rsidR="00591643" w:rsidRPr="001279DB">
        <w:rPr>
          <w:rFonts w:ascii="Arial" w:eastAsia="Arial" w:hAnsi="Arial" w:cs="Arial"/>
          <w:sz w:val="24"/>
          <w:szCs w:val="24"/>
        </w:rPr>
        <w:t>complied</w:t>
      </w:r>
      <w:r w:rsidR="008A7213" w:rsidRPr="001279DB">
        <w:rPr>
          <w:rFonts w:ascii="Arial" w:eastAsia="Arial" w:hAnsi="Arial" w:cs="Arial"/>
          <w:sz w:val="24"/>
          <w:szCs w:val="24"/>
        </w:rPr>
        <w:t xml:space="preserve"> </w:t>
      </w:r>
      <w:r w:rsidR="00591643" w:rsidRPr="001279DB">
        <w:rPr>
          <w:rFonts w:ascii="Arial" w:eastAsia="Arial" w:hAnsi="Arial" w:cs="Arial"/>
          <w:sz w:val="24"/>
          <w:szCs w:val="24"/>
        </w:rPr>
        <w:t>with</w:t>
      </w:r>
      <w:r w:rsidR="008A7213" w:rsidRPr="001279DB">
        <w:rPr>
          <w:rFonts w:ascii="Arial" w:eastAsia="Arial" w:hAnsi="Arial" w:cs="Arial"/>
          <w:sz w:val="24"/>
          <w:szCs w:val="24"/>
        </w:rPr>
        <w:t xml:space="preserve"> its duties</w:t>
      </w:r>
      <w:r w:rsidR="009510D3" w:rsidRPr="001279DB">
        <w:rPr>
          <w:rFonts w:ascii="Arial" w:eastAsia="Arial" w:hAnsi="Arial" w:cs="Arial"/>
          <w:sz w:val="24"/>
          <w:szCs w:val="24"/>
        </w:rPr>
        <w:t xml:space="preserve"> in terms of the </w:t>
      </w:r>
      <w:r w:rsidR="00D404DF" w:rsidRPr="001279DB">
        <w:rPr>
          <w:rFonts w:ascii="Arial" w:eastAsia="Arial" w:hAnsi="Arial" w:cs="Arial"/>
          <w:sz w:val="24"/>
          <w:szCs w:val="24"/>
        </w:rPr>
        <w:t>‘</w:t>
      </w:r>
      <w:r w:rsidR="009510D3" w:rsidRPr="001279DB">
        <w:rPr>
          <w:rFonts w:ascii="Arial" w:eastAsia="Arial" w:hAnsi="Arial" w:cs="Arial"/>
          <w:sz w:val="24"/>
          <w:szCs w:val="24"/>
        </w:rPr>
        <w:t>hand</w:t>
      </w:r>
      <w:r w:rsidR="00E81F39" w:rsidRPr="001279DB">
        <w:rPr>
          <w:rFonts w:ascii="Arial" w:eastAsia="Arial" w:hAnsi="Arial" w:cs="Arial"/>
          <w:sz w:val="24"/>
          <w:szCs w:val="24"/>
        </w:rPr>
        <w:t>-</w:t>
      </w:r>
      <w:r w:rsidR="009510D3" w:rsidRPr="001279DB">
        <w:rPr>
          <w:rFonts w:ascii="Arial" w:eastAsia="Arial" w:hAnsi="Arial" w:cs="Arial"/>
          <w:sz w:val="24"/>
          <w:szCs w:val="24"/>
        </w:rPr>
        <w:t>over</w:t>
      </w:r>
      <w:r w:rsidR="00D404DF" w:rsidRPr="001279DB">
        <w:rPr>
          <w:rFonts w:ascii="Arial" w:eastAsia="Arial" w:hAnsi="Arial" w:cs="Arial"/>
          <w:sz w:val="24"/>
          <w:szCs w:val="24"/>
        </w:rPr>
        <w:t>’</w:t>
      </w:r>
      <w:r w:rsidR="00CA4632" w:rsidRPr="001279DB">
        <w:rPr>
          <w:rFonts w:ascii="Arial" w:eastAsia="Arial" w:hAnsi="Arial" w:cs="Arial"/>
          <w:sz w:val="24"/>
          <w:szCs w:val="24"/>
        </w:rPr>
        <w:t>;</w:t>
      </w:r>
      <w:r w:rsidR="008A7213" w:rsidRPr="001279DB">
        <w:rPr>
          <w:rFonts w:ascii="Arial" w:eastAsia="Arial" w:hAnsi="Arial" w:cs="Arial"/>
          <w:sz w:val="24"/>
          <w:szCs w:val="24"/>
        </w:rPr>
        <w:t xml:space="preserve"> </w:t>
      </w:r>
      <w:r w:rsidR="00416BF8" w:rsidRPr="001279DB">
        <w:rPr>
          <w:rFonts w:ascii="Arial" w:eastAsia="Arial" w:hAnsi="Arial" w:cs="Arial"/>
          <w:sz w:val="24"/>
          <w:szCs w:val="24"/>
        </w:rPr>
        <w:t>distribute</w:t>
      </w:r>
      <w:r w:rsidR="00CA4632" w:rsidRPr="001279DB">
        <w:rPr>
          <w:rFonts w:ascii="Arial" w:eastAsia="Arial" w:hAnsi="Arial" w:cs="Arial"/>
          <w:sz w:val="24"/>
          <w:szCs w:val="24"/>
        </w:rPr>
        <w:t>d</w:t>
      </w:r>
      <w:r w:rsidR="00337337" w:rsidRPr="001279DB">
        <w:rPr>
          <w:rFonts w:ascii="Arial" w:eastAsia="Arial" w:hAnsi="Arial" w:cs="Arial"/>
          <w:sz w:val="24"/>
          <w:szCs w:val="24"/>
        </w:rPr>
        <w:t xml:space="preserve"> and</w:t>
      </w:r>
      <w:r w:rsidR="008A7213" w:rsidRPr="001279DB">
        <w:rPr>
          <w:rFonts w:ascii="Arial" w:eastAsia="Arial" w:hAnsi="Arial" w:cs="Arial"/>
          <w:sz w:val="24"/>
          <w:szCs w:val="24"/>
        </w:rPr>
        <w:t xml:space="preserve"> </w:t>
      </w:r>
      <w:r w:rsidR="00416BF8" w:rsidRPr="001279DB">
        <w:rPr>
          <w:rFonts w:ascii="Arial" w:eastAsia="Arial" w:hAnsi="Arial" w:cs="Arial"/>
          <w:sz w:val="24"/>
          <w:szCs w:val="24"/>
        </w:rPr>
        <w:t>transfer</w:t>
      </w:r>
      <w:r w:rsidR="00CA4632" w:rsidRPr="001279DB">
        <w:rPr>
          <w:rFonts w:ascii="Arial" w:eastAsia="Arial" w:hAnsi="Arial" w:cs="Arial"/>
          <w:sz w:val="24"/>
          <w:szCs w:val="24"/>
        </w:rPr>
        <w:t>red</w:t>
      </w:r>
      <w:r w:rsidR="00416BF8" w:rsidRPr="001279DB">
        <w:rPr>
          <w:rFonts w:ascii="Arial" w:eastAsia="Arial" w:hAnsi="Arial" w:cs="Arial"/>
          <w:sz w:val="24"/>
          <w:szCs w:val="24"/>
        </w:rPr>
        <w:t xml:space="preserve"> most of the </w:t>
      </w:r>
      <w:r w:rsidR="001F66F9" w:rsidRPr="001279DB">
        <w:rPr>
          <w:rFonts w:ascii="Arial" w:eastAsia="Arial" w:hAnsi="Arial" w:cs="Arial"/>
          <w:sz w:val="24"/>
          <w:szCs w:val="24"/>
        </w:rPr>
        <w:t xml:space="preserve">village </w:t>
      </w:r>
      <w:r w:rsidR="00416BF8" w:rsidRPr="001279DB">
        <w:rPr>
          <w:rFonts w:ascii="Arial" w:eastAsia="Arial" w:hAnsi="Arial" w:cs="Arial"/>
          <w:sz w:val="24"/>
          <w:szCs w:val="24"/>
        </w:rPr>
        <w:t>property</w:t>
      </w:r>
      <w:r w:rsidR="00337337" w:rsidRPr="001279DB">
        <w:rPr>
          <w:rFonts w:ascii="Arial" w:eastAsia="Arial" w:hAnsi="Arial" w:cs="Arial"/>
          <w:sz w:val="24"/>
          <w:szCs w:val="24"/>
        </w:rPr>
        <w:t>,</w:t>
      </w:r>
      <w:r w:rsidR="00416BF8" w:rsidRPr="001279DB">
        <w:rPr>
          <w:rFonts w:ascii="Arial" w:eastAsia="Arial" w:hAnsi="Arial" w:cs="Arial"/>
          <w:sz w:val="24"/>
          <w:szCs w:val="24"/>
        </w:rPr>
        <w:t xml:space="preserve"> </w:t>
      </w:r>
      <w:r w:rsidR="00D404DF" w:rsidRPr="001279DB">
        <w:rPr>
          <w:rFonts w:ascii="Arial" w:eastAsia="Arial" w:hAnsi="Arial" w:cs="Arial"/>
          <w:sz w:val="24"/>
          <w:szCs w:val="24"/>
        </w:rPr>
        <w:t>save</w:t>
      </w:r>
      <w:r w:rsidR="00416BF8" w:rsidRPr="001279DB">
        <w:rPr>
          <w:rFonts w:ascii="Arial" w:eastAsia="Arial" w:hAnsi="Arial" w:cs="Arial"/>
          <w:sz w:val="24"/>
          <w:szCs w:val="24"/>
        </w:rPr>
        <w:t xml:space="preserve"> for </w:t>
      </w:r>
      <w:r w:rsidR="006B4B3C" w:rsidRPr="001279DB">
        <w:rPr>
          <w:rFonts w:ascii="Arial" w:eastAsia="Arial" w:hAnsi="Arial" w:cs="Arial"/>
          <w:sz w:val="24"/>
          <w:szCs w:val="24"/>
        </w:rPr>
        <w:t xml:space="preserve">the </w:t>
      </w:r>
      <w:r w:rsidR="00117CC2" w:rsidRPr="001279DB">
        <w:rPr>
          <w:rFonts w:ascii="Arial" w:eastAsia="Arial" w:hAnsi="Arial" w:cs="Arial"/>
          <w:sz w:val="24"/>
          <w:szCs w:val="24"/>
        </w:rPr>
        <w:t>eight properties</w:t>
      </w:r>
      <w:r w:rsidR="001F49C3" w:rsidRPr="001279DB">
        <w:rPr>
          <w:rFonts w:ascii="Arial" w:eastAsia="Arial" w:hAnsi="Arial" w:cs="Arial"/>
          <w:sz w:val="24"/>
          <w:szCs w:val="24"/>
        </w:rPr>
        <w:t xml:space="preserve"> which remained under Lehlaka’s ownership.</w:t>
      </w:r>
    </w:p>
    <w:p w14:paraId="5566FE93" w14:textId="77777777" w:rsidR="00B7289D" w:rsidRPr="001279DB" w:rsidRDefault="00B7289D" w:rsidP="00522F18">
      <w:pPr>
        <w:pStyle w:val="ListParagraph"/>
        <w:spacing w:after="0" w:line="360" w:lineRule="auto"/>
        <w:jc w:val="both"/>
        <w:rPr>
          <w:rFonts w:ascii="Arial" w:eastAsia="Arial" w:hAnsi="Arial" w:cs="Arial"/>
          <w:sz w:val="24"/>
          <w:szCs w:val="24"/>
        </w:rPr>
      </w:pPr>
    </w:p>
    <w:p w14:paraId="6B413A1F" w14:textId="0E731D6F" w:rsidR="00591643"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[5]</w:t>
      </w:r>
      <w:r w:rsidRPr="001279DB">
        <w:rPr>
          <w:rFonts w:ascii="Arial" w:eastAsia="Arial" w:hAnsi="Arial" w:cs="Arial"/>
          <w:sz w:val="24"/>
          <w:szCs w:val="24"/>
        </w:rPr>
        <w:tab/>
      </w:r>
      <w:r w:rsidR="00337337" w:rsidRPr="001279DB">
        <w:rPr>
          <w:rFonts w:ascii="Arial" w:eastAsia="Arial" w:hAnsi="Arial" w:cs="Arial"/>
          <w:sz w:val="24"/>
          <w:szCs w:val="24"/>
        </w:rPr>
        <w:t>During the course of Lehlaka’s ownership of the</w:t>
      </w:r>
      <w:r w:rsidR="00A24243" w:rsidRPr="001279DB">
        <w:rPr>
          <w:rFonts w:ascii="Arial" w:eastAsia="Arial" w:hAnsi="Arial" w:cs="Arial"/>
          <w:sz w:val="24"/>
          <w:szCs w:val="24"/>
        </w:rPr>
        <w:t xml:space="preserve"> eight</w:t>
      </w:r>
      <w:r w:rsidR="00337337" w:rsidRPr="001279DB">
        <w:rPr>
          <w:rFonts w:ascii="Arial" w:eastAsia="Arial" w:hAnsi="Arial" w:cs="Arial"/>
          <w:sz w:val="24"/>
          <w:szCs w:val="24"/>
        </w:rPr>
        <w:t xml:space="preserve"> properties</w:t>
      </w:r>
      <w:r w:rsidR="007C65AA" w:rsidRPr="001279DB">
        <w:rPr>
          <w:rFonts w:ascii="Arial" w:eastAsia="Arial" w:hAnsi="Arial" w:cs="Arial"/>
          <w:sz w:val="24"/>
          <w:szCs w:val="24"/>
        </w:rPr>
        <w:t>, and before the township was proclaimed</w:t>
      </w:r>
      <w:r w:rsidR="001C34A1" w:rsidRPr="001279DB">
        <w:rPr>
          <w:rFonts w:ascii="Arial" w:eastAsia="Arial" w:hAnsi="Arial" w:cs="Arial"/>
          <w:sz w:val="24"/>
          <w:szCs w:val="24"/>
        </w:rPr>
        <w:t>, in terms of the Emalahleni Local Municipality</w:t>
      </w:r>
      <w:r w:rsidR="007C65AA" w:rsidRPr="001279DB">
        <w:rPr>
          <w:rFonts w:ascii="Arial" w:eastAsia="Arial" w:hAnsi="Arial" w:cs="Arial"/>
          <w:sz w:val="24"/>
          <w:szCs w:val="24"/>
        </w:rPr>
        <w:t xml:space="preserve"> Electricity By</w:t>
      </w:r>
      <w:r w:rsidR="006B73BF" w:rsidRPr="001279DB">
        <w:rPr>
          <w:rFonts w:ascii="Arial" w:eastAsia="Arial" w:hAnsi="Arial" w:cs="Arial"/>
          <w:sz w:val="24"/>
          <w:szCs w:val="24"/>
        </w:rPr>
        <w:t>-</w:t>
      </w:r>
      <w:r w:rsidR="001F66F9" w:rsidRPr="001279DB">
        <w:rPr>
          <w:rFonts w:ascii="Arial" w:eastAsia="Arial" w:hAnsi="Arial" w:cs="Arial"/>
          <w:sz w:val="24"/>
          <w:szCs w:val="24"/>
        </w:rPr>
        <w:t>l</w:t>
      </w:r>
      <w:r w:rsidR="007C65AA" w:rsidRPr="001279DB">
        <w:rPr>
          <w:rFonts w:ascii="Arial" w:eastAsia="Arial" w:hAnsi="Arial" w:cs="Arial"/>
          <w:sz w:val="24"/>
          <w:szCs w:val="24"/>
        </w:rPr>
        <w:t>aws</w:t>
      </w:r>
      <w:r w:rsidR="005524CD" w:rsidRPr="001279DB">
        <w:rPr>
          <w:rFonts w:ascii="Arial" w:eastAsia="Arial" w:hAnsi="Arial" w:cs="Arial"/>
          <w:sz w:val="24"/>
          <w:szCs w:val="24"/>
        </w:rPr>
        <w:t xml:space="preserve"> (</w:t>
      </w:r>
      <w:r w:rsidR="00276370" w:rsidRPr="001279DB">
        <w:rPr>
          <w:rFonts w:ascii="Arial" w:eastAsia="Arial" w:hAnsi="Arial" w:cs="Arial"/>
          <w:sz w:val="24"/>
          <w:szCs w:val="24"/>
        </w:rPr>
        <w:t xml:space="preserve">the </w:t>
      </w:r>
      <w:r w:rsidR="00F21D57" w:rsidRPr="001279DB">
        <w:rPr>
          <w:rFonts w:ascii="Arial" w:eastAsia="Arial" w:hAnsi="Arial" w:cs="Arial"/>
          <w:sz w:val="24"/>
          <w:szCs w:val="24"/>
        </w:rPr>
        <w:t>Electricity</w:t>
      </w:r>
      <w:r w:rsidR="005524CD" w:rsidRPr="001279DB">
        <w:rPr>
          <w:rFonts w:ascii="Arial" w:eastAsia="Arial" w:hAnsi="Arial" w:cs="Arial"/>
          <w:sz w:val="24"/>
          <w:szCs w:val="24"/>
        </w:rPr>
        <w:t xml:space="preserve"> By-</w:t>
      </w:r>
      <w:r w:rsidR="0058781E" w:rsidRPr="001279DB">
        <w:rPr>
          <w:rFonts w:ascii="Arial" w:eastAsia="Arial" w:hAnsi="Arial" w:cs="Arial"/>
          <w:sz w:val="24"/>
          <w:szCs w:val="24"/>
        </w:rPr>
        <w:t>l</w:t>
      </w:r>
      <w:r w:rsidR="005524CD" w:rsidRPr="001279DB">
        <w:rPr>
          <w:rFonts w:ascii="Arial" w:eastAsia="Arial" w:hAnsi="Arial" w:cs="Arial"/>
          <w:sz w:val="24"/>
          <w:szCs w:val="24"/>
        </w:rPr>
        <w:t>aws)</w:t>
      </w:r>
      <w:r w:rsidR="007C65AA" w:rsidRPr="001279DB">
        <w:rPr>
          <w:rFonts w:ascii="Arial" w:eastAsia="Arial" w:hAnsi="Arial" w:cs="Arial"/>
          <w:sz w:val="24"/>
          <w:szCs w:val="24"/>
        </w:rPr>
        <w:t>,</w:t>
      </w:r>
      <w:r w:rsidR="007C65AA" w:rsidRPr="001279DB">
        <w:rPr>
          <w:rStyle w:val="FootnoteReference"/>
          <w:rFonts w:ascii="Arial" w:eastAsia="Arial" w:hAnsi="Arial" w:cs="Arial"/>
          <w:sz w:val="24"/>
          <w:szCs w:val="24"/>
        </w:rPr>
        <w:footnoteReference w:id="2"/>
      </w:r>
      <w:r w:rsidR="001C34A1" w:rsidRPr="001279DB">
        <w:rPr>
          <w:rFonts w:ascii="Arial" w:eastAsia="Arial" w:hAnsi="Arial" w:cs="Arial"/>
          <w:sz w:val="24"/>
          <w:szCs w:val="24"/>
        </w:rPr>
        <w:t xml:space="preserve"> Le</w:t>
      </w:r>
      <w:r w:rsidR="007C65AA" w:rsidRPr="001279DB">
        <w:rPr>
          <w:rFonts w:ascii="Arial" w:eastAsia="Arial" w:hAnsi="Arial" w:cs="Arial"/>
          <w:sz w:val="24"/>
          <w:szCs w:val="24"/>
        </w:rPr>
        <w:t>h</w:t>
      </w:r>
      <w:r w:rsidR="001C34A1" w:rsidRPr="001279DB">
        <w:rPr>
          <w:rFonts w:ascii="Arial" w:eastAsia="Arial" w:hAnsi="Arial" w:cs="Arial"/>
          <w:sz w:val="24"/>
          <w:szCs w:val="24"/>
        </w:rPr>
        <w:t>lak</w:t>
      </w:r>
      <w:r w:rsidR="007C65AA" w:rsidRPr="001279DB">
        <w:rPr>
          <w:rFonts w:ascii="Arial" w:eastAsia="Arial" w:hAnsi="Arial" w:cs="Arial"/>
          <w:sz w:val="24"/>
          <w:szCs w:val="24"/>
        </w:rPr>
        <w:t>a</w:t>
      </w:r>
      <w:r w:rsidR="00D404DF" w:rsidRPr="001279DB">
        <w:rPr>
          <w:rFonts w:ascii="Arial" w:eastAsia="Arial" w:hAnsi="Arial" w:cs="Arial"/>
          <w:sz w:val="24"/>
          <w:szCs w:val="24"/>
        </w:rPr>
        <w:t>,</w:t>
      </w:r>
      <w:r w:rsidR="007C65AA" w:rsidRPr="001279DB">
        <w:rPr>
          <w:rFonts w:ascii="Arial" w:eastAsia="Arial" w:hAnsi="Arial" w:cs="Arial"/>
          <w:sz w:val="24"/>
          <w:szCs w:val="24"/>
        </w:rPr>
        <w:t xml:space="preserve"> as </w:t>
      </w:r>
      <w:r w:rsidR="006E4FCB" w:rsidRPr="001279DB">
        <w:rPr>
          <w:rFonts w:ascii="Arial" w:eastAsia="Arial" w:hAnsi="Arial" w:cs="Arial"/>
          <w:sz w:val="24"/>
          <w:szCs w:val="24"/>
        </w:rPr>
        <w:t xml:space="preserve">an </w:t>
      </w:r>
      <w:r w:rsidR="007C65AA" w:rsidRPr="001279DB">
        <w:rPr>
          <w:rFonts w:ascii="Arial" w:eastAsia="Arial" w:hAnsi="Arial" w:cs="Arial"/>
          <w:sz w:val="24"/>
          <w:szCs w:val="24"/>
        </w:rPr>
        <w:t>owner</w:t>
      </w:r>
      <w:r w:rsidR="006E4FCB" w:rsidRPr="001279DB">
        <w:rPr>
          <w:rFonts w:ascii="Arial" w:eastAsia="Arial" w:hAnsi="Arial" w:cs="Arial"/>
          <w:sz w:val="24"/>
          <w:szCs w:val="24"/>
        </w:rPr>
        <w:t>,</w:t>
      </w:r>
      <w:r w:rsidR="007C65AA" w:rsidRPr="001279DB">
        <w:rPr>
          <w:rFonts w:ascii="Arial" w:eastAsia="Arial" w:hAnsi="Arial" w:cs="Arial"/>
          <w:sz w:val="24"/>
          <w:szCs w:val="24"/>
        </w:rPr>
        <w:t xml:space="preserve"> </w:t>
      </w:r>
      <w:r w:rsidR="006B4B3C" w:rsidRPr="001279DB">
        <w:rPr>
          <w:rFonts w:ascii="Arial" w:eastAsia="Arial" w:hAnsi="Arial" w:cs="Arial"/>
          <w:sz w:val="24"/>
          <w:szCs w:val="24"/>
        </w:rPr>
        <w:t xml:space="preserve">was responsible </w:t>
      </w:r>
      <w:r w:rsidR="007C65AA" w:rsidRPr="001279DB">
        <w:rPr>
          <w:rFonts w:ascii="Arial" w:eastAsia="Arial" w:hAnsi="Arial" w:cs="Arial"/>
          <w:sz w:val="24"/>
          <w:szCs w:val="24"/>
        </w:rPr>
        <w:t>for</w:t>
      </w:r>
      <w:r w:rsidR="001C34A1" w:rsidRPr="001279DB">
        <w:rPr>
          <w:rFonts w:ascii="Arial" w:eastAsia="Arial" w:hAnsi="Arial" w:cs="Arial"/>
          <w:sz w:val="24"/>
          <w:szCs w:val="24"/>
        </w:rPr>
        <w:t xml:space="preserve"> the</w:t>
      </w:r>
      <w:r w:rsidR="007C65AA" w:rsidRPr="001279DB">
        <w:rPr>
          <w:rFonts w:ascii="Arial" w:eastAsia="Arial" w:hAnsi="Arial" w:cs="Arial"/>
          <w:sz w:val="24"/>
          <w:szCs w:val="24"/>
        </w:rPr>
        <w:t xml:space="preserve"> payment of </w:t>
      </w:r>
      <w:r w:rsidR="006B4B3C" w:rsidRPr="001279DB">
        <w:rPr>
          <w:rFonts w:ascii="Arial" w:eastAsia="Arial" w:hAnsi="Arial" w:cs="Arial"/>
          <w:sz w:val="24"/>
          <w:szCs w:val="24"/>
        </w:rPr>
        <w:t>all municipal services</w:t>
      </w:r>
      <w:r w:rsidR="003768EB" w:rsidRPr="001279DB">
        <w:rPr>
          <w:rFonts w:ascii="Arial" w:eastAsia="Arial" w:hAnsi="Arial" w:cs="Arial"/>
          <w:sz w:val="24"/>
          <w:szCs w:val="24"/>
        </w:rPr>
        <w:t xml:space="preserve">. </w:t>
      </w:r>
      <w:r w:rsidR="007C65AA" w:rsidRPr="001279DB">
        <w:rPr>
          <w:rFonts w:ascii="Arial" w:eastAsia="Arial" w:hAnsi="Arial" w:cs="Arial"/>
          <w:sz w:val="24"/>
          <w:szCs w:val="24"/>
        </w:rPr>
        <w:t>After the township was proclaimed</w:t>
      </w:r>
      <w:r w:rsidR="00D404DF" w:rsidRPr="001279DB">
        <w:rPr>
          <w:rFonts w:ascii="Arial" w:eastAsia="Arial" w:hAnsi="Arial" w:cs="Arial"/>
          <w:sz w:val="24"/>
          <w:szCs w:val="24"/>
        </w:rPr>
        <w:t>,</w:t>
      </w:r>
      <w:r w:rsidR="007C65AA" w:rsidRPr="001279DB">
        <w:rPr>
          <w:rFonts w:ascii="Arial" w:eastAsia="Arial" w:hAnsi="Arial" w:cs="Arial"/>
          <w:sz w:val="24"/>
          <w:szCs w:val="24"/>
        </w:rPr>
        <w:t xml:space="preserve"> the responsibility </w:t>
      </w:r>
      <w:r w:rsidR="00EC7569" w:rsidRPr="001279DB">
        <w:rPr>
          <w:rFonts w:ascii="Arial" w:eastAsia="Arial" w:hAnsi="Arial" w:cs="Arial"/>
          <w:sz w:val="24"/>
          <w:szCs w:val="24"/>
        </w:rPr>
        <w:t xml:space="preserve">for </w:t>
      </w:r>
      <w:r w:rsidR="00CA4632" w:rsidRPr="001279DB">
        <w:rPr>
          <w:rFonts w:ascii="Arial" w:eastAsia="Arial" w:hAnsi="Arial" w:cs="Arial"/>
          <w:sz w:val="24"/>
          <w:szCs w:val="24"/>
        </w:rPr>
        <w:t xml:space="preserve">the </w:t>
      </w:r>
      <w:r w:rsidR="006B73BF" w:rsidRPr="001279DB">
        <w:rPr>
          <w:rFonts w:ascii="Arial" w:eastAsia="Arial" w:hAnsi="Arial" w:cs="Arial"/>
          <w:sz w:val="24"/>
          <w:szCs w:val="24"/>
        </w:rPr>
        <w:t xml:space="preserve">payment of the municipal services </w:t>
      </w:r>
      <w:r w:rsidR="007C65AA" w:rsidRPr="001279DB">
        <w:rPr>
          <w:rFonts w:ascii="Arial" w:eastAsia="Arial" w:hAnsi="Arial" w:cs="Arial"/>
          <w:sz w:val="24"/>
          <w:szCs w:val="24"/>
        </w:rPr>
        <w:t xml:space="preserve">fell upon the new owners </w:t>
      </w:r>
      <w:r w:rsidR="006B4B3C" w:rsidRPr="001279DB">
        <w:rPr>
          <w:rFonts w:ascii="Arial" w:eastAsia="Arial" w:hAnsi="Arial" w:cs="Arial"/>
          <w:sz w:val="24"/>
          <w:szCs w:val="24"/>
        </w:rPr>
        <w:t xml:space="preserve">in respect </w:t>
      </w:r>
      <w:r w:rsidR="007C65AA" w:rsidRPr="001279DB">
        <w:rPr>
          <w:rFonts w:ascii="Arial" w:eastAsia="Arial" w:hAnsi="Arial" w:cs="Arial"/>
          <w:sz w:val="24"/>
          <w:szCs w:val="24"/>
        </w:rPr>
        <w:t>of the</w:t>
      </w:r>
      <w:r w:rsidR="006B73BF" w:rsidRPr="001279DB">
        <w:rPr>
          <w:rFonts w:ascii="Arial" w:eastAsia="Arial" w:hAnsi="Arial" w:cs="Arial"/>
          <w:sz w:val="24"/>
          <w:szCs w:val="24"/>
        </w:rPr>
        <w:t>ir</w:t>
      </w:r>
      <w:r w:rsidR="001C34A1" w:rsidRPr="001279DB">
        <w:rPr>
          <w:rFonts w:ascii="Arial" w:eastAsia="Arial" w:hAnsi="Arial" w:cs="Arial"/>
          <w:sz w:val="24"/>
          <w:szCs w:val="24"/>
        </w:rPr>
        <w:t xml:space="preserve"> individual properties, b</w:t>
      </w:r>
      <w:r w:rsidR="007C65AA" w:rsidRPr="001279DB">
        <w:rPr>
          <w:rFonts w:ascii="Arial" w:eastAsia="Arial" w:hAnsi="Arial" w:cs="Arial"/>
          <w:sz w:val="24"/>
          <w:szCs w:val="24"/>
        </w:rPr>
        <w:t xml:space="preserve">ut for the eight properties which </w:t>
      </w:r>
      <w:r w:rsidR="003E663D" w:rsidRPr="001279DB">
        <w:rPr>
          <w:rFonts w:ascii="Arial" w:eastAsia="Arial" w:hAnsi="Arial" w:cs="Arial"/>
          <w:sz w:val="24"/>
          <w:szCs w:val="24"/>
        </w:rPr>
        <w:t xml:space="preserve">were owned </w:t>
      </w:r>
      <w:r w:rsidR="00550EE7" w:rsidRPr="001279DB">
        <w:rPr>
          <w:rFonts w:ascii="Arial" w:eastAsia="Arial" w:hAnsi="Arial" w:cs="Arial"/>
          <w:sz w:val="24"/>
          <w:szCs w:val="24"/>
        </w:rPr>
        <w:t>by Lehlaka</w:t>
      </w:r>
      <w:r w:rsidR="006B4B3C" w:rsidRPr="001279DB">
        <w:rPr>
          <w:rFonts w:ascii="Arial" w:eastAsia="Arial" w:hAnsi="Arial" w:cs="Arial"/>
          <w:sz w:val="24"/>
          <w:szCs w:val="24"/>
        </w:rPr>
        <w:t>. For some years</w:t>
      </w:r>
      <w:r w:rsidR="00A659DE" w:rsidRPr="001279DB">
        <w:rPr>
          <w:rFonts w:ascii="Arial" w:eastAsia="Arial" w:hAnsi="Arial" w:cs="Arial"/>
          <w:sz w:val="24"/>
          <w:szCs w:val="24"/>
        </w:rPr>
        <w:t>,</w:t>
      </w:r>
      <w:r w:rsidR="006B4B3C" w:rsidRPr="001279DB">
        <w:rPr>
          <w:rFonts w:ascii="Arial" w:eastAsia="Arial" w:hAnsi="Arial" w:cs="Arial"/>
          <w:sz w:val="24"/>
          <w:szCs w:val="24"/>
        </w:rPr>
        <w:t xml:space="preserve"> </w:t>
      </w:r>
      <w:r w:rsidR="006B73BF" w:rsidRPr="001279DB">
        <w:rPr>
          <w:rFonts w:ascii="Arial" w:eastAsia="Arial" w:hAnsi="Arial" w:cs="Arial"/>
          <w:sz w:val="24"/>
          <w:szCs w:val="24"/>
        </w:rPr>
        <w:t xml:space="preserve">these properties remained </w:t>
      </w:r>
      <w:r w:rsidR="006B4B3C" w:rsidRPr="001279DB">
        <w:rPr>
          <w:rFonts w:ascii="Arial" w:eastAsia="Arial" w:hAnsi="Arial" w:cs="Arial"/>
          <w:sz w:val="24"/>
          <w:szCs w:val="24"/>
        </w:rPr>
        <w:t xml:space="preserve">unoccupied </w:t>
      </w:r>
      <w:r w:rsidR="006B73BF" w:rsidRPr="001279DB">
        <w:rPr>
          <w:rFonts w:ascii="Arial" w:eastAsia="Arial" w:hAnsi="Arial" w:cs="Arial"/>
          <w:sz w:val="24"/>
          <w:szCs w:val="24"/>
        </w:rPr>
        <w:t xml:space="preserve">and </w:t>
      </w:r>
      <w:r w:rsidR="0058781E" w:rsidRPr="001279DB">
        <w:rPr>
          <w:rFonts w:ascii="Arial" w:eastAsia="Arial" w:hAnsi="Arial" w:cs="Arial"/>
          <w:sz w:val="24"/>
          <w:szCs w:val="24"/>
        </w:rPr>
        <w:t xml:space="preserve">were </w:t>
      </w:r>
      <w:r w:rsidR="006B73BF" w:rsidRPr="001279DB">
        <w:rPr>
          <w:rFonts w:ascii="Arial" w:eastAsia="Arial" w:hAnsi="Arial" w:cs="Arial"/>
          <w:sz w:val="24"/>
          <w:szCs w:val="24"/>
        </w:rPr>
        <w:t xml:space="preserve">as </w:t>
      </w:r>
      <w:r w:rsidR="003E663D" w:rsidRPr="001279DB">
        <w:rPr>
          <w:rFonts w:ascii="Arial" w:eastAsia="Arial" w:hAnsi="Arial" w:cs="Arial"/>
          <w:sz w:val="24"/>
          <w:szCs w:val="24"/>
        </w:rPr>
        <w:t xml:space="preserve">a result </w:t>
      </w:r>
      <w:r w:rsidR="00591643" w:rsidRPr="001279DB">
        <w:rPr>
          <w:rFonts w:ascii="Arial" w:eastAsia="Arial" w:hAnsi="Arial" w:cs="Arial"/>
          <w:sz w:val="24"/>
          <w:szCs w:val="24"/>
        </w:rPr>
        <w:t xml:space="preserve">invaded </w:t>
      </w:r>
      <w:r w:rsidR="006B73BF" w:rsidRPr="001279DB">
        <w:rPr>
          <w:rFonts w:ascii="Arial" w:eastAsia="Arial" w:hAnsi="Arial" w:cs="Arial"/>
          <w:sz w:val="24"/>
          <w:szCs w:val="24"/>
        </w:rPr>
        <w:t>by unlawful occupiers. Lehlaka</w:t>
      </w:r>
      <w:r w:rsidR="006B4B3C" w:rsidRPr="001279DB">
        <w:rPr>
          <w:rFonts w:ascii="Arial" w:eastAsia="Arial" w:hAnsi="Arial" w:cs="Arial"/>
          <w:sz w:val="24"/>
          <w:szCs w:val="24"/>
        </w:rPr>
        <w:t xml:space="preserve">, as </w:t>
      </w:r>
      <w:r w:rsidR="00A659DE" w:rsidRPr="001279DB">
        <w:rPr>
          <w:rFonts w:ascii="Arial" w:eastAsia="Arial" w:hAnsi="Arial" w:cs="Arial"/>
          <w:sz w:val="24"/>
          <w:szCs w:val="24"/>
        </w:rPr>
        <w:t xml:space="preserve">an </w:t>
      </w:r>
      <w:r w:rsidR="006B4B3C" w:rsidRPr="001279DB">
        <w:rPr>
          <w:rFonts w:ascii="Arial" w:eastAsia="Arial" w:hAnsi="Arial" w:cs="Arial"/>
          <w:sz w:val="24"/>
          <w:szCs w:val="24"/>
        </w:rPr>
        <w:t>owner</w:t>
      </w:r>
      <w:r w:rsidR="00A659DE" w:rsidRPr="001279DB">
        <w:rPr>
          <w:rFonts w:ascii="Arial" w:eastAsia="Arial" w:hAnsi="Arial" w:cs="Arial"/>
          <w:sz w:val="24"/>
          <w:szCs w:val="24"/>
        </w:rPr>
        <w:t>,</w:t>
      </w:r>
      <w:r w:rsidR="00650026" w:rsidRPr="001279DB">
        <w:rPr>
          <w:rFonts w:ascii="Arial" w:eastAsia="Arial" w:hAnsi="Arial" w:cs="Arial"/>
          <w:sz w:val="24"/>
          <w:szCs w:val="24"/>
        </w:rPr>
        <w:t xml:space="preserve"> and </w:t>
      </w:r>
      <w:r w:rsidR="006B73BF" w:rsidRPr="001279DB">
        <w:rPr>
          <w:rFonts w:ascii="Arial" w:eastAsia="Arial" w:hAnsi="Arial" w:cs="Arial"/>
          <w:sz w:val="24"/>
          <w:szCs w:val="24"/>
        </w:rPr>
        <w:t xml:space="preserve">in terms of </w:t>
      </w:r>
      <w:r w:rsidR="00EF32B3" w:rsidRPr="001279DB">
        <w:rPr>
          <w:rFonts w:ascii="Arial" w:eastAsia="Arial" w:hAnsi="Arial" w:cs="Arial"/>
          <w:sz w:val="24"/>
          <w:szCs w:val="24"/>
        </w:rPr>
        <w:t xml:space="preserve">its </w:t>
      </w:r>
      <w:r w:rsidR="00796D40" w:rsidRPr="001279DB">
        <w:rPr>
          <w:rFonts w:ascii="Arial" w:eastAsia="Arial" w:hAnsi="Arial" w:cs="Arial"/>
          <w:sz w:val="24"/>
          <w:szCs w:val="24"/>
        </w:rPr>
        <w:t xml:space="preserve">consumer agreement </w:t>
      </w:r>
      <w:r w:rsidR="00EF32B3" w:rsidRPr="001279DB">
        <w:rPr>
          <w:rFonts w:ascii="Arial" w:eastAsia="Arial" w:hAnsi="Arial" w:cs="Arial"/>
          <w:sz w:val="24"/>
          <w:szCs w:val="24"/>
        </w:rPr>
        <w:t>with the M</w:t>
      </w:r>
      <w:r w:rsidR="00650026" w:rsidRPr="001279DB">
        <w:rPr>
          <w:rFonts w:ascii="Arial" w:eastAsia="Arial" w:hAnsi="Arial" w:cs="Arial"/>
          <w:sz w:val="24"/>
          <w:szCs w:val="24"/>
        </w:rPr>
        <w:t>unicipality</w:t>
      </w:r>
      <w:r w:rsidR="00591643" w:rsidRPr="001279DB">
        <w:rPr>
          <w:rFonts w:ascii="Arial" w:eastAsia="Arial" w:hAnsi="Arial" w:cs="Arial"/>
          <w:sz w:val="24"/>
          <w:szCs w:val="24"/>
        </w:rPr>
        <w:t>,</w:t>
      </w:r>
      <w:r w:rsidR="00650026" w:rsidRPr="001279DB">
        <w:rPr>
          <w:rFonts w:ascii="Arial" w:eastAsia="Arial" w:hAnsi="Arial" w:cs="Arial"/>
          <w:sz w:val="24"/>
          <w:szCs w:val="24"/>
        </w:rPr>
        <w:t xml:space="preserve"> in </w:t>
      </w:r>
      <w:r w:rsidR="006B4B3C" w:rsidRPr="001279DB">
        <w:rPr>
          <w:rFonts w:ascii="Arial" w:eastAsia="Arial" w:hAnsi="Arial" w:cs="Arial"/>
          <w:sz w:val="24"/>
          <w:szCs w:val="24"/>
        </w:rPr>
        <w:t xml:space="preserve">accordance with </w:t>
      </w:r>
      <w:r w:rsidR="005524CD" w:rsidRPr="001279DB">
        <w:rPr>
          <w:rFonts w:ascii="Arial" w:eastAsia="Arial" w:hAnsi="Arial" w:cs="Arial"/>
          <w:sz w:val="24"/>
          <w:szCs w:val="24"/>
        </w:rPr>
        <w:t xml:space="preserve">the </w:t>
      </w:r>
      <w:r w:rsidR="006B73BF" w:rsidRPr="001279DB">
        <w:rPr>
          <w:rFonts w:ascii="Arial" w:eastAsia="Arial" w:hAnsi="Arial" w:cs="Arial"/>
          <w:sz w:val="24"/>
          <w:szCs w:val="24"/>
        </w:rPr>
        <w:t>Electricity By-</w:t>
      </w:r>
      <w:r w:rsidR="001F66F9" w:rsidRPr="001279DB">
        <w:rPr>
          <w:rFonts w:ascii="Arial" w:eastAsia="Arial" w:hAnsi="Arial" w:cs="Arial"/>
          <w:sz w:val="24"/>
          <w:szCs w:val="24"/>
        </w:rPr>
        <w:t>l</w:t>
      </w:r>
      <w:r w:rsidR="006B73BF" w:rsidRPr="001279DB">
        <w:rPr>
          <w:rFonts w:ascii="Arial" w:eastAsia="Arial" w:hAnsi="Arial" w:cs="Arial"/>
          <w:sz w:val="24"/>
          <w:szCs w:val="24"/>
        </w:rPr>
        <w:t>aws</w:t>
      </w:r>
      <w:r w:rsidR="00650026" w:rsidRPr="001279DB">
        <w:rPr>
          <w:rFonts w:ascii="Arial" w:eastAsia="Arial" w:hAnsi="Arial" w:cs="Arial"/>
          <w:sz w:val="24"/>
          <w:szCs w:val="24"/>
        </w:rPr>
        <w:t xml:space="preserve">, </w:t>
      </w:r>
      <w:r w:rsidR="006B73BF" w:rsidRPr="001279DB">
        <w:rPr>
          <w:rFonts w:ascii="Arial" w:eastAsia="Arial" w:hAnsi="Arial" w:cs="Arial"/>
          <w:sz w:val="24"/>
          <w:szCs w:val="24"/>
        </w:rPr>
        <w:t>continued to pay for the municipal services</w:t>
      </w:r>
      <w:r w:rsidR="00650026" w:rsidRPr="001279DB">
        <w:rPr>
          <w:rFonts w:ascii="Arial" w:eastAsia="Arial" w:hAnsi="Arial" w:cs="Arial"/>
          <w:sz w:val="24"/>
          <w:szCs w:val="24"/>
        </w:rPr>
        <w:t>.</w:t>
      </w:r>
    </w:p>
    <w:p w14:paraId="405FA69B" w14:textId="77777777" w:rsidR="00B7289D" w:rsidRPr="001279DB" w:rsidRDefault="00B7289D" w:rsidP="00522F18">
      <w:pPr>
        <w:pStyle w:val="ListParagraph"/>
        <w:spacing w:after="0" w:line="360" w:lineRule="auto"/>
        <w:jc w:val="both"/>
        <w:rPr>
          <w:rFonts w:ascii="Arial" w:eastAsia="Arial" w:hAnsi="Arial" w:cs="Arial"/>
          <w:sz w:val="24"/>
          <w:szCs w:val="24"/>
        </w:rPr>
      </w:pPr>
    </w:p>
    <w:p w14:paraId="30875F27" w14:textId="5D407FC9" w:rsidR="001D2ADA"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[6]</w:t>
      </w:r>
      <w:r w:rsidRPr="001279DB">
        <w:rPr>
          <w:rFonts w:ascii="Arial" w:eastAsia="Arial" w:hAnsi="Arial" w:cs="Arial"/>
          <w:sz w:val="24"/>
          <w:szCs w:val="24"/>
        </w:rPr>
        <w:tab/>
      </w:r>
      <w:r w:rsidR="003E663D" w:rsidRPr="001279DB">
        <w:rPr>
          <w:rFonts w:ascii="Arial" w:hAnsi="Arial" w:cs="Arial"/>
          <w:sz w:val="24"/>
          <w:szCs w:val="24"/>
        </w:rPr>
        <w:t>Section 3(1) of the Electricity By-</w:t>
      </w:r>
      <w:r w:rsidR="0058781E" w:rsidRPr="001279DB">
        <w:rPr>
          <w:rFonts w:ascii="Arial" w:hAnsi="Arial" w:cs="Arial"/>
          <w:sz w:val="24"/>
          <w:szCs w:val="24"/>
        </w:rPr>
        <w:t>l</w:t>
      </w:r>
      <w:r w:rsidR="003E663D" w:rsidRPr="001279DB">
        <w:rPr>
          <w:rFonts w:ascii="Arial" w:hAnsi="Arial" w:cs="Arial"/>
          <w:sz w:val="24"/>
          <w:szCs w:val="24"/>
        </w:rPr>
        <w:t>aws states:</w:t>
      </w:r>
    </w:p>
    <w:p w14:paraId="545A22A6" w14:textId="20F15B41" w:rsidR="003E663D" w:rsidRPr="001279DB" w:rsidRDefault="003E663D" w:rsidP="00522F18">
      <w:pPr>
        <w:pStyle w:val="FootnoteText"/>
        <w:spacing w:line="360" w:lineRule="auto"/>
        <w:jc w:val="both"/>
        <w:rPr>
          <w:rFonts w:ascii="Arial" w:hAnsi="Arial" w:cs="Arial"/>
          <w:sz w:val="22"/>
          <w:szCs w:val="22"/>
        </w:rPr>
      </w:pPr>
      <w:r w:rsidRPr="001279DB">
        <w:rPr>
          <w:rFonts w:ascii="Arial" w:hAnsi="Arial" w:cs="Arial"/>
          <w:sz w:val="22"/>
          <w:szCs w:val="22"/>
        </w:rPr>
        <w:t xml:space="preserve">‘No person shall use or be entitled to use an electrical supply from the Council unless or until such person has entered into an agreement in writing with the Council for such supply, and such agreement together with </w:t>
      </w:r>
      <w:r w:rsidR="00884098" w:rsidRPr="001279DB">
        <w:rPr>
          <w:rFonts w:ascii="Arial" w:hAnsi="Arial" w:cs="Arial"/>
          <w:sz w:val="22"/>
          <w:szCs w:val="22"/>
        </w:rPr>
        <w:t xml:space="preserve">the </w:t>
      </w:r>
      <w:r w:rsidRPr="001279DB">
        <w:rPr>
          <w:rFonts w:ascii="Arial" w:hAnsi="Arial" w:cs="Arial"/>
          <w:sz w:val="22"/>
          <w:szCs w:val="22"/>
        </w:rPr>
        <w:t>provisions of these By</w:t>
      </w:r>
      <w:r w:rsidR="00884098" w:rsidRPr="001279DB">
        <w:rPr>
          <w:rFonts w:ascii="Arial" w:hAnsi="Arial" w:cs="Arial"/>
          <w:sz w:val="22"/>
          <w:szCs w:val="22"/>
        </w:rPr>
        <w:t>-</w:t>
      </w:r>
      <w:r w:rsidRPr="001279DB">
        <w:rPr>
          <w:rFonts w:ascii="Arial" w:hAnsi="Arial" w:cs="Arial"/>
          <w:sz w:val="22"/>
          <w:szCs w:val="22"/>
        </w:rPr>
        <w:t xml:space="preserve">laws shall in all respects govern such supply. If a person uses an electrical </w:t>
      </w:r>
      <w:r w:rsidR="004A78F3" w:rsidRPr="001279DB">
        <w:rPr>
          <w:rFonts w:ascii="Arial" w:hAnsi="Arial" w:cs="Arial"/>
          <w:sz w:val="22"/>
          <w:szCs w:val="22"/>
        </w:rPr>
        <w:t xml:space="preserve">supply without entering into an </w:t>
      </w:r>
      <w:r w:rsidR="00065D4B" w:rsidRPr="001279DB">
        <w:rPr>
          <w:rFonts w:ascii="Arial" w:hAnsi="Arial" w:cs="Arial"/>
          <w:sz w:val="22"/>
          <w:szCs w:val="22"/>
        </w:rPr>
        <w:t>agreement,</w:t>
      </w:r>
      <w:r w:rsidRPr="001279DB">
        <w:rPr>
          <w:rFonts w:ascii="Arial" w:hAnsi="Arial" w:cs="Arial"/>
          <w:sz w:val="22"/>
          <w:szCs w:val="22"/>
        </w:rPr>
        <w:t xml:space="preserve"> he shall be liable for the cost of electricity and any other costs incurred by Council in such circumstances</w:t>
      </w:r>
      <w:r w:rsidR="0058781E" w:rsidRPr="001279DB">
        <w:rPr>
          <w:rFonts w:ascii="Arial" w:hAnsi="Arial" w:cs="Arial"/>
          <w:sz w:val="22"/>
          <w:szCs w:val="22"/>
        </w:rPr>
        <w:t>.</w:t>
      </w:r>
      <w:r w:rsidRPr="001279DB">
        <w:rPr>
          <w:rFonts w:ascii="Arial" w:hAnsi="Arial" w:cs="Arial"/>
          <w:sz w:val="22"/>
          <w:szCs w:val="22"/>
        </w:rPr>
        <w:t>’</w:t>
      </w:r>
    </w:p>
    <w:p w14:paraId="20F01F16" w14:textId="77777777" w:rsidR="00FE22F7" w:rsidRPr="001279DB" w:rsidRDefault="00FE22F7" w:rsidP="00522F18">
      <w:pPr>
        <w:pStyle w:val="FootnoteText"/>
        <w:spacing w:line="360" w:lineRule="auto"/>
        <w:jc w:val="both"/>
        <w:rPr>
          <w:rFonts w:ascii="Arial" w:hAnsi="Arial" w:cs="Arial"/>
          <w:sz w:val="24"/>
          <w:szCs w:val="24"/>
        </w:rPr>
      </w:pPr>
    </w:p>
    <w:p w14:paraId="36E54E3C" w14:textId="1CAE13F6" w:rsidR="00F02194"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[7]</w:t>
      </w:r>
      <w:r w:rsidRPr="001279DB">
        <w:rPr>
          <w:rFonts w:ascii="Arial" w:eastAsia="Arial" w:hAnsi="Arial" w:cs="Arial"/>
          <w:sz w:val="24"/>
          <w:szCs w:val="24"/>
        </w:rPr>
        <w:tab/>
      </w:r>
      <w:r w:rsidR="00B90D06" w:rsidRPr="001279DB">
        <w:rPr>
          <w:rFonts w:ascii="Arial" w:eastAsia="Arial" w:hAnsi="Arial" w:cs="Arial"/>
          <w:sz w:val="24"/>
          <w:szCs w:val="24"/>
        </w:rPr>
        <w:t xml:space="preserve">As stated </w:t>
      </w:r>
      <w:r w:rsidR="003E663D" w:rsidRPr="001279DB">
        <w:rPr>
          <w:rFonts w:ascii="Arial" w:eastAsia="Arial" w:hAnsi="Arial" w:cs="Arial"/>
          <w:sz w:val="24"/>
          <w:szCs w:val="24"/>
        </w:rPr>
        <w:t>earlier</w:t>
      </w:r>
      <w:r w:rsidR="00B90D06" w:rsidRPr="001279DB">
        <w:rPr>
          <w:rFonts w:ascii="Arial" w:eastAsia="Arial" w:hAnsi="Arial" w:cs="Arial"/>
          <w:sz w:val="24"/>
          <w:szCs w:val="24"/>
        </w:rPr>
        <w:t>,</w:t>
      </w:r>
      <w:r w:rsidR="00650026" w:rsidRPr="001279DB">
        <w:rPr>
          <w:rFonts w:ascii="Arial" w:eastAsia="Arial" w:hAnsi="Arial" w:cs="Arial"/>
          <w:sz w:val="24"/>
          <w:szCs w:val="24"/>
        </w:rPr>
        <w:t xml:space="preserve"> </w:t>
      </w:r>
      <w:r w:rsidR="00984054" w:rsidRPr="001279DB">
        <w:rPr>
          <w:rFonts w:ascii="Arial" w:eastAsia="Arial" w:hAnsi="Arial" w:cs="Arial"/>
          <w:sz w:val="24"/>
          <w:szCs w:val="24"/>
        </w:rPr>
        <w:t xml:space="preserve">on proclamation of the township, </w:t>
      </w:r>
      <w:r w:rsidR="006B4B3C" w:rsidRPr="001279DB">
        <w:rPr>
          <w:rFonts w:ascii="Arial" w:eastAsia="Arial" w:hAnsi="Arial" w:cs="Arial"/>
          <w:sz w:val="24"/>
          <w:szCs w:val="24"/>
        </w:rPr>
        <w:t xml:space="preserve">the </w:t>
      </w:r>
      <w:r w:rsidR="006E4FCB" w:rsidRPr="001279DB">
        <w:rPr>
          <w:rFonts w:ascii="Arial" w:eastAsia="Arial" w:hAnsi="Arial" w:cs="Arial"/>
          <w:sz w:val="24"/>
          <w:szCs w:val="24"/>
        </w:rPr>
        <w:t xml:space="preserve">supply of </w:t>
      </w:r>
      <w:r w:rsidR="006B4B3C" w:rsidRPr="001279DB">
        <w:rPr>
          <w:rFonts w:ascii="Arial" w:eastAsia="Arial" w:hAnsi="Arial" w:cs="Arial"/>
          <w:sz w:val="24"/>
          <w:szCs w:val="24"/>
        </w:rPr>
        <w:t xml:space="preserve">electricity </w:t>
      </w:r>
      <w:r w:rsidR="00984054" w:rsidRPr="001279DB">
        <w:rPr>
          <w:rFonts w:ascii="Arial" w:eastAsia="Arial" w:hAnsi="Arial" w:cs="Arial"/>
          <w:sz w:val="24"/>
          <w:szCs w:val="24"/>
        </w:rPr>
        <w:t xml:space="preserve">to the village </w:t>
      </w:r>
      <w:r w:rsidR="006B4B3C" w:rsidRPr="001279DB">
        <w:rPr>
          <w:rFonts w:ascii="Arial" w:eastAsia="Arial" w:hAnsi="Arial" w:cs="Arial"/>
          <w:sz w:val="24"/>
          <w:szCs w:val="24"/>
        </w:rPr>
        <w:t xml:space="preserve">was </w:t>
      </w:r>
      <w:r w:rsidR="006E4FCB" w:rsidRPr="001279DB">
        <w:rPr>
          <w:rFonts w:ascii="Arial" w:eastAsia="Arial" w:hAnsi="Arial" w:cs="Arial"/>
          <w:sz w:val="24"/>
          <w:szCs w:val="24"/>
        </w:rPr>
        <w:t>from</w:t>
      </w:r>
      <w:r w:rsidR="00B90D06" w:rsidRPr="001279DB">
        <w:rPr>
          <w:rFonts w:ascii="Arial" w:eastAsia="Arial" w:hAnsi="Arial" w:cs="Arial"/>
          <w:sz w:val="24"/>
          <w:szCs w:val="24"/>
        </w:rPr>
        <w:t xml:space="preserve"> the Municipality</w:t>
      </w:r>
      <w:r w:rsidR="006B4B3C" w:rsidRPr="001279DB">
        <w:rPr>
          <w:rFonts w:ascii="Arial" w:eastAsia="Arial" w:hAnsi="Arial" w:cs="Arial"/>
          <w:sz w:val="24"/>
          <w:szCs w:val="24"/>
        </w:rPr>
        <w:t xml:space="preserve"> </w:t>
      </w:r>
      <w:r w:rsidR="006E4FCB" w:rsidRPr="001279DB">
        <w:rPr>
          <w:rFonts w:ascii="Arial" w:eastAsia="Arial" w:hAnsi="Arial" w:cs="Arial"/>
          <w:sz w:val="24"/>
          <w:szCs w:val="24"/>
        </w:rPr>
        <w:t xml:space="preserve">since it </w:t>
      </w:r>
      <w:r w:rsidR="00B90D06" w:rsidRPr="001279DB">
        <w:rPr>
          <w:rFonts w:ascii="Arial" w:eastAsia="Arial" w:hAnsi="Arial" w:cs="Arial"/>
          <w:sz w:val="24"/>
          <w:szCs w:val="24"/>
        </w:rPr>
        <w:t xml:space="preserve">had taken </w:t>
      </w:r>
      <w:r w:rsidR="006B4B3C" w:rsidRPr="001279DB">
        <w:rPr>
          <w:rFonts w:ascii="Arial" w:eastAsia="Arial" w:hAnsi="Arial" w:cs="Arial"/>
          <w:sz w:val="24"/>
          <w:szCs w:val="24"/>
        </w:rPr>
        <w:t>over from Eskom</w:t>
      </w:r>
      <w:r w:rsidR="00881BE9" w:rsidRPr="001279DB">
        <w:rPr>
          <w:rFonts w:ascii="Arial" w:eastAsia="Arial" w:hAnsi="Arial" w:cs="Arial"/>
          <w:sz w:val="24"/>
          <w:szCs w:val="24"/>
        </w:rPr>
        <w:t xml:space="preserve">. </w:t>
      </w:r>
      <w:r w:rsidR="001F49C3" w:rsidRPr="001279DB">
        <w:rPr>
          <w:rFonts w:ascii="Arial" w:eastAsia="Arial" w:hAnsi="Arial" w:cs="Arial"/>
          <w:sz w:val="24"/>
          <w:szCs w:val="24"/>
        </w:rPr>
        <w:t xml:space="preserve">Subsequent to </w:t>
      </w:r>
      <w:r w:rsidR="00A659DE" w:rsidRPr="001279DB">
        <w:rPr>
          <w:rFonts w:ascii="Arial" w:eastAsia="Arial" w:hAnsi="Arial" w:cs="Arial"/>
          <w:sz w:val="24"/>
          <w:szCs w:val="24"/>
        </w:rPr>
        <w:t>the invasion of</w:t>
      </w:r>
      <w:r w:rsidR="002F0DF2" w:rsidRPr="001279DB">
        <w:rPr>
          <w:rFonts w:ascii="Arial" w:eastAsia="Arial" w:hAnsi="Arial" w:cs="Arial"/>
          <w:sz w:val="24"/>
          <w:szCs w:val="24"/>
        </w:rPr>
        <w:t xml:space="preserve"> the eight properties </w:t>
      </w:r>
      <w:r w:rsidR="006B4B3C" w:rsidRPr="001279DB">
        <w:rPr>
          <w:rFonts w:ascii="Arial" w:eastAsia="Arial" w:hAnsi="Arial" w:cs="Arial"/>
          <w:sz w:val="24"/>
          <w:szCs w:val="24"/>
        </w:rPr>
        <w:t>by unlawful occupiers</w:t>
      </w:r>
      <w:r w:rsidR="00881BE9" w:rsidRPr="001279DB">
        <w:rPr>
          <w:rFonts w:ascii="Arial" w:eastAsia="Arial" w:hAnsi="Arial" w:cs="Arial"/>
          <w:sz w:val="24"/>
          <w:szCs w:val="24"/>
        </w:rPr>
        <w:t xml:space="preserve"> who u</w:t>
      </w:r>
      <w:r w:rsidR="00984054" w:rsidRPr="001279DB">
        <w:rPr>
          <w:rFonts w:ascii="Arial" w:eastAsia="Arial" w:hAnsi="Arial" w:cs="Arial"/>
          <w:sz w:val="24"/>
          <w:szCs w:val="24"/>
        </w:rPr>
        <w:t>tilis</w:t>
      </w:r>
      <w:r w:rsidR="00A659DE" w:rsidRPr="001279DB">
        <w:rPr>
          <w:rFonts w:ascii="Arial" w:eastAsia="Arial" w:hAnsi="Arial" w:cs="Arial"/>
          <w:sz w:val="24"/>
          <w:szCs w:val="24"/>
        </w:rPr>
        <w:t>ed</w:t>
      </w:r>
      <w:r w:rsidR="00984054" w:rsidRPr="001279DB">
        <w:rPr>
          <w:rFonts w:ascii="Arial" w:eastAsia="Arial" w:hAnsi="Arial" w:cs="Arial"/>
          <w:sz w:val="24"/>
          <w:szCs w:val="24"/>
        </w:rPr>
        <w:t xml:space="preserve"> </w:t>
      </w:r>
      <w:r w:rsidR="00881BE9" w:rsidRPr="001279DB">
        <w:rPr>
          <w:rFonts w:ascii="Arial" w:eastAsia="Arial" w:hAnsi="Arial" w:cs="Arial"/>
          <w:sz w:val="24"/>
          <w:szCs w:val="24"/>
        </w:rPr>
        <w:t>the electricity, Lehlaka</w:t>
      </w:r>
      <w:r w:rsidR="001F49C3" w:rsidRPr="001279DB">
        <w:rPr>
          <w:rFonts w:ascii="Arial" w:eastAsia="Arial" w:hAnsi="Arial" w:cs="Arial"/>
          <w:sz w:val="24"/>
          <w:szCs w:val="24"/>
        </w:rPr>
        <w:t xml:space="preserve"> </w:t>
      </w:r>
      <w:r w:rsidR="00881BE9" w:rsidRPr="001279DB">
        <w:rPr>
          <w:rFonts w:ascii="Arial" w:eastAsia="Arial" w:hAnsi="Arial" w:cs="Arial"/>
          <w:sz w:val="24"/>
          <w:szCs w:val="24"/>
        </w:rPr>
        <w:t xml:space="preserve">fell into arrears with its </w:t>
      </w:r>
      <w:r w:rsidR="007F3452" w:rsidRPr="001279DB">
        <w:rPr>
          <w:rFonts w:ascii="Arial" w:eastAsia="Arial" w:hAnsi="Arial" w:cs="Arial"/>
          <w:sz w:val="24"/>
          <w:szCs w:val="24"/>
        </w:rPr>
        <w:t xml:space="preserve">electricity bills. </w:t>
      </w:r>
      <w:r w:rsidR="00F02194" w:rsidRPr="001279DB">
        <w:rPr>
          <w:rFonts w:ascii="Arial" w:eastAsia="Arial" w:hAnsi="Arial" w:cs="Arial"/>
          <w:sz w:val="24"/>
          <w:szCs w:val="24"/>
        </w:rPr>
        <w:t>In 2019</w:t>
      </w:r>
      <w:r w:rsidR="007F3452" w:rsidRPr="001279DB">
        <w:rPr>
          <w:rFonts w:ascii="Arial" w:eastAsia="Arial" w:hAnsi="Arial" w:cs="Arial"/>
          <w:sz w:val="24"/>
          <w:szCs w:val="24"/>
        </w:rPr>
        <w:t>,</w:t>
      </w:r>
      <w:r w:rsidR="00F02194" w:rsidRPr="001279DB">
        <w:rPr>
          <w:rFonts w:ascii="Arial" w:eastAsia="Arial" w:hAnsi="Arial" w:cs="Arial"/>
          <w:sz w:val="24"/>
          <w:szCs w:val="24"/>
        </w:rPr>
        <w:t xml:space="preserve"> Lehlaka and the Municipality concluded a settlement agreement in respect of the arrear charges</w:t>
      </w:r>
      <w:r w:rsidR="006E4FCB" w:rsidRPr="001279DB">
        <w:rPr>
          <w:rFonts w:ascii="Arial" w:eastAsia="Arial" w:hAnsi="Arial" w:cs="Arial"/>
          <w:sz w:val="24"/>
          <w:szCs w:val="24"/>
        </w:rPr>
        <w:t xml:space="preserve">. </w:t>
      </w:r>
      <w:r w:rsidR="00F02194" w:rsidRPr="001279DB">
        <w:rPr>
          <w:rFonts w:ascii="Arial" w:eastAsia="Arial" w:hAnsi="Arial" w:cs="Arial"/>
          <w:sz w:val="24"/>
          <w:szCs w:val="24"/>
        </w:rPr>
        <w:t>Th</w:t>
      </w:r>
      <w:r w:rsidR="00F1104B" w:rsidRPr="001279DB">
        <w:rPr>
          <w:rFonts w:ascii="Arial" w:eastAsia="Arial" w:hAnsi="Arial" w:cs="Arial"/>
          <w:sz w:val="24"/>
          <w:szCs w:val="24"/>
        </w:rPr>
        <w:t xml:space="preserve">us, </w:t>
      </w:r>
      <w:r w:rsidR="00F02194" w:rsidRPr="001279DB">
        <w:rPr>
          <w:rFonts w:ascii="Arial" w:eastAsia="Arial" w:hAnsi="Arial" w:cs="Arial"/>
          <w:sz w:val="24"/>
          <w:szCs w:val="24"/>
        </w:rPr>
        <w:t>f</w:t>
      </w:r>
      <w:r w:rsidR="00F1104B" w:rsidRPr="001279DB">
        <w:rPr>
          <w:rFonts w:ascii="Arial" w:eastAsia="Arial" w:hAnsi="Arial" w:cs="Arial"/>
          <w:sz w:val="24"/>
          <w:szCs w:val="24"/>
        </w:rPr>
        <w:t>rom</w:t>
      </w:r>
      <w:r w:rsidR="00F02194" w:rsidRPr="001279DB">
        <w:rPr>
          <w:rFonts w:ascii="Arial" w:eastAsia="Arial" w:hAnsi="Arial" w:cs="Arial"/>
          <w:sz w:val="24"/>
          <w:szCs w:val="24"/>
        </w:rPr>
        <w:t xml:space="preserve"> August 2019, Lehlaka made payments for the electricity as and when they became due</w:t>
      </w:r>
      <w:r w:rsidR="007F3452" w:rsidRPr="001279DB">
        <w:rPr>
          <w:rFonts w:ascii="Arial" w:eastAsia="Arial" w:hAnsi="Arial" w:cs="Arial"/>
          <w:sz w:val="24"/>
          <w:szCs w:val="24"/>
        </w:rPr>
        <w:t>,</w:t>
      </w:r>
      <w:r w:rsidR="00F1104B" w:rsidRPr="001279DB">
        <w:rPr>
          <w:rFonts w:ascii="Arial" w:eastAsia="Arial" w:hAnsi="Arial" w:cs="Arial"/>
          <w:sz w:val="24"/>
          <w:szCs w:val="24"/>
        </w:rPr>
        <w:t xml:space="preserve"> and was up to date with its payments</w:t>
      </w:r>
      <w:r w:rsidR="00F02194" w:rsidRPr="001279DB">
        <w:rPr>
          <w:rFonts w:ascii="Arial" w:eastAsia="Arial" w:hAnsi="Arial" w:cs="Arial"/>
          <w:sz w:val="24"/>
          <w:szCs w:val="24"/>
        </w:rPr>
        <w:t>.</w:t>
      </w:r>
    </w:p>
    <w:p w14:paraId="15F712F7" w14:textId="77777777" w:rsidR="00B7289D" w:rsidRPr="001279DB" w:rsidRDefault="00B7289D" w:rsidP="00522F18">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p>
    <w:p w14:paraId="429F45ED" w14:textId="71E5EC7B" w:rsidR="006C6D8B"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[8]</w:t>
      </w:r>
      <w:r w:rsidRPr="001279DB">
        <w:rPr>
          <w:rFonts w:ascii="Arial" w:eastAsia="Arial" w:hAnsi="Arial" w:cs="Arial"/>
          <w:sz w:val="24"/>
          <w:szCs w:val="24"/>
        </w:rPr>
        <w:tab/>
      </w:r>
      <w:r w:rsidR="006E4FCB" w:rsidRPr="001279DB">
        <w:rPr>
          <w:rFonts w:ascii="Arial" w:eastAsia="Arial" w:hAnsi="Arial" w:cs="Arial"/>
          <w:sz w:val="24"/>
          <w:szCs w:val="24"/>
        </w:rPr>
        <w:t xml:space="preserve">However, </w:t>
      </w:r>
      <w:r w:rsidR="00A4218D" w:rsidRPr="001279DB">
        <w:rPr>
          <w:rFonts w:ascii="Arial" w:eastAsia="Arial" w:hAnsi="Arial" w:cs="Arial"/>
          <w:sz w:val="24"/>
          <w:szCs w:val="24"/>
        </w:rPr>
        <w:t xml:space="preserve">as is common cause between the parties, </w:t>
      </w:r>
      <w:r w:rsidR="006E4FCB" w:rsidRPr="001279DB">
        <w:rPr>
          <w:rFonts w:ascii="Arial" w:eastAsia="Arial" w:hAnsi="Arial" w:cs="Arial"/>
          <w:sz w:val="24"/>
          <w:szCs w:val="24"/>
        </w:rPr>
        <w:t>o</w:t>
      </w:r>
      <w:r w:rsidR="006C6D8B" w:rsidRPr="001279DB">
        <w:rPr>
          <w:rFonts w:ascii="Arial" w:eastAsia="Arial" w:hAnsi="Arial" w:cs="Arial"/>
          <w:sz w:val="24"/>
          <w:szCs w:val="24"/>
        </w:rPr>
        <w:t xml:space="preserve">n 10 February 2020 </w:t>
      </w:r>
      <w:r w:rsidR="006B4B3C" w:rsidRPr="001279DB">
        <w:rPr>
          <w:rFonts w:ascii="Arial" w:eastAsia="Arial" w:hAnsi="Arial" w:cs="Arial"/>
          <w:sz w:val="24"/>
          <w:szCs w:val="24"/>
        </w:rPr>
        <w:t xml:space="preserve">Lehlaka </w:t>
      </w:r>
      <w:r w:rsidR="006C6D8B" w:rsidRPr="001279DB">
        <w:rPr>
          <w:rFonts w:ascii="Arial" w:eastAsia="Arial" w:hAnsi="Arial" w:cs="Arial"/>
          <w:sz w:val="24"/>
          <w:szCs w:val="24"/>
        </w:rPr>
        <w:t xml:space="preserve">gave a notice of termination of its consumer agreement with the Municipality and </w:t>
      </w:r>
      <w:r w:rsidR="006B4B3C" w:rsidRPr="001279DB">
        <w:rPr>
          <w:rFonts w:ascii="Arial" w:eastAsia="Arial" w:hAnsi="Arial" w:cs="Arial"/>
          <w:sz w:val="24"/>
          <w:szCs w:val="24"/>
        </w:rPr>
        <w:t>sought to have the electricity disconnected</w:t>
      </w:r>
      <w:r w:rsidR="006C6D8B" w:rsidRPr="001279DB">
        <w:rPr>
          <w:rFonts w:ascii="Arial" w:eastAsia="Arial" w:hAnsi="Arial" w:cs="Arial"/>
          <w:sz w:val="24"/>
          <w:szCs w:val="24"/>
        </w:rPr>
        <w:t xml:space="preserve">. </w:t>
      </w:r>
      <w:r w:rsidR="001D4CFB" w:rsidRPr="001279DB">
        <w:rPr>
          <w:rFonts w:ascii="Arial" w:eastAsia="Arial" w:hAnsi="Arial" w:cs="Arial"/>
          <w:sz w:val="24"/>
          <w:szCs w:val="24"/>
        </w:rPr>
        <w:t>Though</w:t>
      </w:r>
      <w:r w:rsidR="006C6D8B" w:rsidRPr="001279DB">
        <w:rPr>
          <w:rFonts w:ascii="Arial" w:eastAsia="Arial" w:hAnsi="Arial" w:cs="Arial"/>
          <w:sz w:val="24"/>
          <w:szCs w:val="24"/>
        </w:rPr>
        <w:t xml:space="preserve"> Lehlaka</w:t>
      </w:r>
      <w:r w:rsidR="00881BE9" w:rsidRPr="001279DB">
        <w:rPr>
          <w:rFonts w:ascii="Arial" w:eastAsia="Arial" w:hAnsi="Arial" w:cs="Arial"/>
          <w:sz w:val="24"/>
          <w:szCs w:val="24"/>
        </w:rPr>
        <w:t xml:space="preserve"> </w:t>
      </w:r>
      <w:r w:rsidR="001D4CFB" w:rsidRPr="001279DB">
        <w:rPr>
          <w:rFonts w:ascii="Arial" w:eastAsia="Arial" w:hAnsi="Arial" w:cs="Arial"/>
          <w:sz w:val="24"/>
          <w:szCs w:val="24"/>
        </w:rPr>
        <w:t xml:space="preserve">sought </w:t>
      </w:r>
      <w:r w:rsidR="00B53D94" w:rsidRPr="001279DB">
        <w:rPr>
          <w:rFonts w:ascii="Arial" w:eastAsia="Arial" w:hAnsi="Arial" w:cs="Arial"/>
          <w:sz w:val="24"/>
          <w:szCs w:val="24"/>
        </w:rPr>
        <w:t xml:space="preserve">the </w:t>
      </w:r>
      <w:r w:rsidR="001D4CFB" w:rsidRPr="001279DB">
        <w:rPr>
          <w:rFonts w:ascii="Arial" w:eastAsia="Arial" w:hAnsi="Arial" w:cs="Arial"/>
          <w:sz w:val="24"/>
          <w:szCs w:val="24"/>
        </w:rPr>
        <w:t xml:space="preserve">disconnection of the electricity, it </w:t>
      </w:r>
      <w:r w:rsidR="00881BE9" w:rsidRPr="001279DB">
        <w:rPr>
          <w:rFonts w:ascii="Arial" w:eastAsia="Arial" w:hAnsi="Arial" w:cs="Arial"/>
          <w:sz w:val="24"/>
          <w:szCs w:val="24"/>
        </w:rPr>
        <w:t>decided against</w:t>
      </w:r>
      <w:r w:rsidR="00FB3B04" w:rsidRPr="001279DB">
        <w:rPr>
          <w:rFonts w:ascii="Arial" w:eastAsia="Arial" w:hAnsi="Arial" w:cs="Arial"/>
          <w:sz w:val="24"/>
          <w:szCs w:val="24"/>
        </w:rPr>
        <w:t xml:space="preserve"> </w:t>
      </w:r>
      <w:r w:rsidR="00E81F39" w:rsidRPr="001279DB">
        <w:rPr>
          <w:rFonts w:ascii="Arial" w:eastAsia="Arial" w:hAnsi="Arial" w:cs="Arial"/>
          <w:sz w:val="24"/>
          <w:szCs w:val="24"/>
        </w:rPr>
        <w:t xml:space="preserve">this </w:t>
      </w:r>
      <w:r w:rsidR="00496A62" w:rsidRPr="001279DB">
        <w:rPr>
          <w:rFonts w:ascii="Arial" w:eastAsia="Arial" w:hAnsi="Arial" w:cs="Arial"/>
          <w:sz w:val="24"/>
          <w:szCs w:val="24"/>
        </w:rPr>
        <w:t>option</w:t>
      </w:r>
      <w:r w:rsidR="001D4CFB" w:rsidRPr="001279DB">
        <w:rPr>
          <w:rFonts w:ascii="Arial" w:eastAsia="Arial" w:hAnsi="Arial" w:cs="Arial"/>
          <w:sz w:val="24"/>
          <w:szCs w:val="24"/>
        </w:rPr>
        <w:t xml:space="preserve">, </w:t>
      </w:r>
      <w:r w:rsidR="005776F4" w:rsidRPr="001279DB">
        <w:rPr>
          <w:rFonts w:ascii="Arial" w:eastAsia="Arial" w:hAnsi="Arial" w:cs="Arial"/>
          <w:sz w:val="24"/>
          <w:szCs w:val="24"/>
        </w:rPr>
        <w:t xml:space="preserve">and as stated in the founding affidavit, </w:t>
      </w:r>
      <w:r w:rsidR="001D4CFB" w:rsidRPr="001279DB">
        <w:rPr>
          <w:rFonts w:ascii="Arial" w:eastAsia="Arial" w:hAnsi="Arial" w:cs="Arial"/>
          <w:sz w:val="24"/>
          <w:szCs w:val="24"/>
        </w:rPr>
        <w:t xml:space="preserve">it </w:t>
      </w:r>
      <w:r w:rsidR="003B4ED7" w:rsidRPr="001279DB">
        <w:rPr>
          <w:rFonts w:ascii="Arial" w:eastAsia="Arial" w:hAnsi="Arial" w:cs="Arial"/>
          <w:sz w:val="24"/>
          <w:szCs w:val="24"/>
        </w:rPr>
        <w:t>accepted</w:t>
      </w:r>
      <w:r w:rsidR="00881BE9" w:rsidRPr="001279DB">
        <w:rPr>
          <w:rFonts w:ascii="Arial" w:eastAsia="Arial" w:hAnsi="Arial" w:cs="Arial"/>
          <w:sz w:val="24"/>
          <w:szCs w:val="24"/>
        </w:rPr>
        <w:t xml:space="preserve"> that </w:t>
      </w:r>
      <w:r w:rsidR="005776F4" w:rsidRPr="001279DB">
        <w:rPr>
          <w:rFonts w:ascii="Arial" w:eastAsia="Arial" w:hAnsi="Arial" w:cs="Arial"/>
          <w:sz w:val="24"/>
          <w:szCs w:val="24"/>
        </w:rPr>
        <w:t xml:space="preserve">this option </w:t>
      </w:r>
      <w:r w:rsidR="00881BE9" w:rsidRPr="001279DB">
        <w:rPr>
          <w:rFonts w:ascii="Arial" w:eastAsia="Arial" w:hAnsi="Arial" w:cs="Arial"/>
          <w:sz w:val="24"/>
          <w:szCs w:val="24"/>
        </w:rPr>
        <w:t>ha</w:t>
      </w:r>
      <w:r w:rsidR="005B1A0C" w:rsidRPr="001279DB">
        <w:rPr>
          <w:rFonts w:ascii="Arial" w:eastAsia="Arial" w:hAnsi="Arial" w:cs="Arial"/>
          <w:sz w:val="24"/>
          <w:szCs w:val="24"/>
        </w:rPr>
        <w:t>d</w:t>
      </w:r>
      <w:r w:rsidR="00881BE9" w:rsidRPr="001279DB">
        <w:rPr>
          <w:rFonts w:ascii="Arial" w:eastAsia="Arial" w:hAnsi="Arial" w:cs="Arial"/>
          <w:sz w:val="24"/>
          <w:szCs w:val="24"/>
        </w:rPr>
        <w:t xml:space="preserve"> consequences for </w:t>
      </w:r>
      <w:r w:rsidR="005B1A0C" w:rsidRPr="001279DB">
        <w:rPr>
          <w:rFonts w:ascii="Arial" w:eastAsia="Arial" w:hAnsi="Arial" w:cs="Arial"/>
          <w:sz w:val="24"/>
          <w:szCs w:val="24"/>
        </w:rPr>
        <w:t xml:space="preserve">not only </w:t>
      </w:r>
      <w:r w:rsidR="00881BE9" w:rsidRPr="001279DB">
        <w:rPr>
          <w:rFonts w:ascii="Arial" w:eastAsia="Arial" w:hAnsi="Arial" w:cs="Arial"/>
          <w:sz w:val="24"/>
          <w:szCs w:val="24"/>
        </w:rPr>
        <w:t xml:space="preserve">the unlawful occupiers and the Municipality, </w:t>
      </w:r>
      <w:r w:rsidR="005776F4" w:rsidRPr="001279DB">
        <w:rPr>
          <w:rFonts w:ascii="Arial" w:eastAsia="Arial" w:hAnsi="Arial" w:cs="Arial"/>
          <w:sz w:val="24"/>
          <w:szCs w:val="24"/>
        </w:rPr>
        <w:t xml:space="preserve">but it </w:t>
      </w:r>
      <w:r w:rsidR="005B1A0C" w:rsidRPr="001279DB">
        <w:rPr>
          <w:rFonts w:ascii="Arial" w:eastAsia="Arial" w:hAnsi="Arial" w:cs="Arial"/>
          <w:sz w:val="24"/>
          <w:szCs w:val="24"/>
        </w:rPr>
        <w:t xml:space="preserve">could also </w:t>
      </w:r>
      <w:r w:rsidR="00EC6507" w:rsidRPr="001279DB">
        <w:rPr>
          <w:rFonts w:ascii="Arial" w:eastAsia="Arial" w:hAnsi="Arial" w:cs="Arial"/>
          <w:sz w:val="24"/>
          <w:szCs w:val="24"/>
        </w:rPr>
        <w:t>‘</w:t>
      </w:r>
      <w:r w:rsidR="00881BE9" w:rsidRPr="001279DB">
        <w:rPr>
          <w:rFonts w:ascii="Arial" w:eastAsia="Arial" w:hAnsi="Arial" w:cs="Arial"/>
          <w:sz w:val="24"/>
          <w:szCs w:val="24"/>
        </w:rPr>
        <w:t>implicate rights and obligations between them beyond Lehlaka’s consumer agreements’</w:t>
      </w:r>
      <w:r w:rsidR="001D4CFB" w:rsidRPr="001279DB">
        <w:rPr>
          <w:rFonts w:ascii="Arial" w:eastAsia="Arial" w:hAnsi="Arial" w:cs="Arial"/>
          <w:sz w:val="24"/>
          <w:szCs w:val="24"/>
        </w:rPr>
        <w:t xml:space="preserve">. </w:t>
      </w:r>
      <w:r w:rsidR="003F7300" w:rsidRPr="001279DB">
        <w:rPr>
          <w:rFonts w:ascii="Arial" w:eastAsia="Arial" w:hAnsi="Arial" w:cs="Arial"/>
          <w:sz w:val="24"/>
          <w:szCs w:val="24"/>
        </w:rPr>
        <w:t>There was however no response from the Municipality.</w:t>
      </w:r>
    </w:p>
    <w:p w14:paraId="734A77C7" w14:textId="77777777" w:rsidR="00B7289D" w:rsidRPr="001279DB" w:rsidRDefault="00B7289D" w:rsidP="00522F18">
      <w:pPr>
        <w:pStyle w:val="ListParagraph"/>
        <w:spacing w:after="0" w:line="360" w:lineRule="auto"/>
        <w:jc w:val="both"/>
        <w:rPr>
          <w:rFonts w:ascii="Arial" w:eastAsia="Arial" w:hAnsi="Arial" w:cs="Arial"/>
          <w:sz w:val="24"/>
          <w:szCs w:val="24"/>
        </w:rPr>
      </w:pPr>
    </w:p>
    <w:p w14:paraId="0AE1EF9A" w14:textId="5595E102" w:rsidR="00F02194"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[9]</w:t>
      </w:r>
      <w:r w:rsidRPr="001279DB">
        <w:rPr>
          <w:rFonts w:ascii="Arial" w:eastAsia="Arial" w:hAnsi="Arial" w:cs="Arial"/>
          <w:sz w:val="24"/>
          <w:szCs w:val="24"/>
        </w:rPr>
        <w:tab/>
      </w:r>
      <w:r w:rsidR="001D4CFB" w:rsidRPr="001279DB">
        <w:rPr>
          <w:rFonts w:ascii="Arial" w:eastAsia="Arial" w:hAnsi="Arial" w:cs="Arial"/>
          <w:sz w:val="24"/>
          <w:szCs w:val="24"/>
        </w:rPr>
        <w:t>O</w:t>
      </w:r>
      <w:r w:rsidR="006C6D8B" w:rsidRPr="001279DB">
        <w:rPr>
          <w:rFonts w:ascii="Arial" w:eastAsia="Arial" w:hAnsi="Arial" w:cs="Arial"/>
          <w:sz w:val="24"/>
          <w:szCs w:val="24"/>
        </w:rPr>
        <w:t>n 28 February 2020</w:t>
      </w:r>
      <w:r w:rsidR="0058722E" w:rsidRPr="001279DB">
        <w:rPr>
          <w:rFonts w:ascii="Arial" w:eastAsia="Arial" w:hAnsi="Arial" w:cs="Arial"/>
          <w:sz w:val="24"/>
          <w:szCs w:val="24"/>
        </w:rPr>
        <w:t>,</w:t>
      </w:r>
      <w:r w:rsidR="006C6D8B" w:rsidRPr="001279DB">
        <w:rPr>
          <w:rFonts w:ascii="Arial" w:eastAsia="Arial" w:hAnsi="Arial" w:cs="Arial"/>
          <w:sz w:val="24"/>
          <w:szCs w:val="24"/>
        </w:rPr>
        <w:t xml:space="preserve"> Lehlaka and the Municipali</w:t>
      </w:r>
      <w:r w:rsidR="0058722E" w:rsidRPr="001279DB">
        <w:rPr>
          <w:rFonts w:ascii="Arial" w:eastAsia="Arial" w:hAnsi="Arial" w:cs="Arial"/>
          <w:sz w:val="24"/>
          <w:szCs w:val="24"/>
        </w:rPr>
        <w:t>ty</w:t>
      </w:r>
      <w:r w:rsidR="006E4FCB" w:rsidRPr="001279DB">
        <w:rPr>
          <w:rFonts w:ascii="Arial" w:eastAsia="Arial" w:hAnsi="Arial" w:cs="Arial"/>
          <w:sz w:val="24"/>
          <w:szCs w:val="24"/>
        </w:rPr>
        <w:t xml:space="preserve"> held a</w:t>
      </w:r>
      <w:r w:rsidR="0058722E" w:rsidRPr="001279DB">
        <w:rPr>
          <w:rFonts w:ascii="Arial" w:eastAsia="Arial" w:hAnsi="Arial" w:cs="Arial"/>
          <w:sz w:val="24"/>
          <w:szCs w:val="24"/>
        </w:rPr>
        <w:t xml:space="preserve"> me</w:t>
      </w:r>
      <w:r w:rsidR="006E4FCB" w:rsidRPr="001279DB">
        <w:rPr>
          <w:rFonts w:ascii="Arial" w:eastAsia="Arial" w:hAnsi="Arial" w:cs="Arial"/>
          <w:sz w:val="24"/>
          <w:szCs w:val="24"/>
        </w:rPr>
        <w:t>e</w:t>
      </w:r>
      <w:r w:rsidR="0058722E" w:rsidRPr="001279DB">
        <w:rPr>
          <w:rFonts w:ascii="Arial" w:eastAsia="Arial" w:hAnsi="Arial" w:cs="Arial"/>
          <w:sz w:val="24"/>
          <w:szCs w:val="24"/>
        </w:rPr>
        <w:t>t</w:t>
      </w:r>
      <w:r w:rsidR="006E4FCB" w:rsidRPr="001279DB">
        <w:rPr>
          <w:rFonts w:ascii="Arial" w:eastAsia="Arial" w:hAnsi="Arial" w:cs="Arial"/>
          <w:sz w:val="24"/>
          <w:szCs w:val="24"/>
        </w:rPr>
        <w:t>ing</w:t>
      </w:r>
      <w:r w:rsidR="0058722E" w:rsidRPr="001279DB">
        <w:rPr>
          <w:rFonts w:ascii="Arial" w:eastAsia="Arial" w:hAnsi="Arial" w:cs="Arial"/>
          <w:sz w:val="24"/>
          <w:szCs w:val="24"/>
        </w:rPr>
        <w:t xml:space="preserve"> to discuss the </w:t>
      </w:r>
      <w:r w:rsidR="006C6D8B" w:rsidRPr="001279DB">
        <w:rPr>
          <w:rFonts w:ascii="Arial" w:eastAsia="Arial" w:hAnsi="Arial" w:cs="Arial"/>
          <w:sz w:val="24"/>
          <w:szCs w:val="24"/>
        </w:rPr>
        <w:t xml:space="preserve">letter of </w:t>
      </w:r>
      <w:r w:rsidR="00B46D92" w:rsidRPr="001279DB">
        <w:rPr>
          <w:rFonts w:ascii="Arial" w:eastAsia="Arial" w:hAnsi="Arial" w:cs="Arial"/>
          <w:sz w:val="24"/>
          <w:szCs w:val="24"/>
        </w:rPr>
        <w:t>termination</w:t>
      </w:r>
      <w:r w:rsidR="00496A62" w:rsidRPr="001279DB">
        <w:rPr>
          <w:rFonts w:ascii="Arial" w:eastAsia="Arial" w:hAnsi="Arial" w:cs="Arial"/>
          <w:sz w:val="24"/>
          <w:szCs w:val="24"/>
        </w:rPr>
        <w:t xml:space="preserve"> served on 10 February 2020</w:t>
      </w:r>
      <w:r w:rsidR="00B46D92" w:rsidRPr="001279DB">
        <w:rPr>
          <w:rFonts w:ascii="Arial" w:eastAsia="Arial" w:hAnsi="Arial" w:cs="Arial"/>
          <w:sz w:val="24"/>
          <w:szCs w:val="24"/>
        </w:rPr>
        <w:t>.</w:t>
      </w:r>
      <w:r w:rsidR="0058722E" w:rsidRPr="001279DB">
        <w:rPr>
          <w:rFonts w:ascii="Arial" w:eastAsia="Arial" w:hAnsi="Arial" w:cs="Arial"/>
          <w:sz w:val="24"/>
          <w:szCs w:val="24"/>
        </w:rPr>
        <w:t xml:space="preserve"> In that meeting</w:t>
      </w:r>
      <w:r w:rsidR="006E4FCB" w:rsidRPr="001279DB">
        <w:rPr>
          <w:rFonts w:ascii="Arial" w:eastAsia="Arial" w:hAnsi="Arial" w:cs="Arial"/>
          <w:sz w:val="24"/>
          <w:szCs w:val="24"/>
        </w:rPr>
        <w:t>,</w:t>
      </w:r>
      <w:r w:rsidR="0058722E" w:rsidRPr="001279DB">
        <w:rPr>
          <w:rFonts w:ascii="Arial" w:eastAsia="Arial" w:hAnsi="Arial" w:cs="Arial"/>
          <w:sz w:val="24"/>
          <w:szCs w:val="24"/>
        </w:rPr>
        <w:t xml:space="preserve"> the Municipality did not dispute </w:t>
      </w:r>
      <w:r w:rsidR="003F7300" w:rsidRPr="001279DB">
        <w:rPr>
          <w:rFonts w:ascii="Arial" w:eastAsia="Arial" w:hAnsi="Arial" w:cs="Arial"/>
          <w:sz w:val="24"/>
          <w:szCs w:val="24"/>
        </w:rPr>
        <w:t xml:space="preserve">that </w:t>
      </w:r>
      <w:r w:rsidR="0058722E" w:rsidRPr="001279DB">
        <w:rPr>
          <w:rFonts w:ascii="Arial" w:eastAsia="Arial" w:hAnsi="Arial" w:cs="Arial"/>
          <w:sz w:val="24"/>
          <w:szCs w:val="24"/>
        </w:rPr>
        <w:t>Lehlaka</w:t>
      </w:r>
      <w:r w:rsidR="003F7300" w:rsidRPr="001279DB">
        <w:rPr>
          <w:rFonts w:ascii="Arial" w:eastAsia="Arial" w:hAnsi="Arial" w:cs="Arial"/>
          <w:sz w:val="24"/>
          <w:szCs w:val="24"/>
        </w:rPr>
        <w:t xml:space="preserve"> had a</w:t>
      </w:r>
      <w:r w:rsidR="00496A62" w:rsidRPr="001279DB">
        <w:rPr>
          <w:rFonts w:ascii="Arial" w:eastAsia="Arial" w:hAnsi="Arial" w:cs="Arial"/>
          <w:sz w:val="24"/>
          <w:szCs w:val="24"/>
        </w:rPr>
        <w:t xml:space="preserve"> right to</w:t>
      </w:r>
      <w:r w:rsidR="00434748" w:rsidRPr="001279DB">
        <w:rPr>
          <w:rFonts w:ascii="Arial" w:eastAsia="Arial" w:hAnsi="Arial" w:cs="Arial"/>
          <w:sz w:val="24"/>
          <w:szCs w:val="24"/>
        </w:rPr>
        <w:t xml:space="preserve"> </w:t>
      </w:r>
      <w:r w:rsidR="0058722E" w:rsidRPr="001279DB">
        <w:rPr>
          <w:rFonts w:ascii="Arial" w:eastAsia="Arial" w:hAnsi="Arial" w:cs="Arial"/>
          <w:sz w:val="24"/>
          <w:szCs w:val="24"/>
        </w:rPr>
        <w:t>terminat</w:t>
      </w:r>
      <w:r w:rsidR="00496A62" w:rsidRPr="001279DB">
        <w:rPr>
          <w:rFonts w:ascii="Arial" w:eastAsia="Arial" w:hAnsi="Arial" w:cs="Arial"/>
          <w:sz w:val="24"/>
          <w:szCs w:val="24"/>
        </w:rPr>
        <w:t xml:space="preserve">e </w:t>
      </w:r>
      <w:r w:rsidR="0058722E" w:rsidRPr="001279DB">
        <w:rPr>
          <w:rFonts w:ascii="Arial" w:eastAsia="Arial" w:hAnsi="Arial" w:cs="Arial"/>
          <w:sz w:val="24"/>
          <w:szCs w:val="24"/>
        </w:rPr>
        <w:t>the consumer agreement</w:t>
      </w:r>
      <w:r w:rsidR="00496A62" w:rsidRPr="001279DB">
        <w:rPr>
          <w:rFonts w:ascii="Arial" w:eastAsia="Arial" w:hAnsi="Arial" w:cs="Arial"/>
          <w:sz w:val="24"/>
          <w:szCs w:val="24"/>
        </w:rPr>
        <w:t>.</w:t>
      </w:r>
      <w:r w:rsidR="00B03A82" w:rsidRPr="001279DB">
        <w:rPr>
          <w:rFonts w:ascii="Arial" w:eastAsia="Arial" w:hAnsi="Arial" w:cs="Arial"/>
          <w:sz w:val="24"/>
          <w:szCs w:val="24"/>
        </w:rPr>
        <w:t xml:space="preserve"> </w:t>
      </w:r>
      <w:r w:rsidR="006E4FCB" w:rsidRPr="001279DB">
        <w:rPr>
          <w:rFonts w:ascii="Arial" w:eastAsia="Arial" w:hAnsi="Arial" w:cs="Arial"/>
          <w:sz w:val="24"/>
          <w:szCs w:val="24"/>
        </w:rPr>
        <w:t xml:space="preserve">Instead, it </w:t>
      </w:r>
      <w:r w:rsidR="00B03A82" w:rsidRPr="001279DB">
        <w:rPr>
          <w:rFonts w:ascii="Arial" w:eastAsia="Arial" w:hAnsi="Arial" w:cs="Arial"/>
          <w:sz w:val="24"/>
          <w:szCs w:val="24"/>
        </w:rPr>
        <w:t xml:space="preserve">advised Lehlaka </w:t>
      </w:r>
      <w:r w:rsidR="0058722E" w:rsidRPr="001279DB">
        <w:rPr>
          <w:rFonts w:ascii="Arial" w:eastAsia="Arial" w:hAnsi="Arial" w:cs="Arial"/>
          <w:sz w:val="24"/>
          <w:szCs w:val="24"/>
        </w:rPr>
        <w:t>to first inform the unlawful occupiers</w:t>
      </w:r>
      <w:r w:rsidR="00B03A82" w:rsidRPr="001279DB">
        <w:rPr>
          <w:rFonts w:ascii="Arial" w:eastAsia="Arial" w:hAnsi="Arial" w:cs="Arial"/>
          <w:sz w:val="24"/>
          <w:szCs w:val="24"/>
        </w:rPr>
        <w:t>,</w:t>
      </w:r>
      <w:r w:rsidR="0058722E" w:rsidRPr="001279DB">
        <w:rPr>
          <w:rFonts w:ascii="Arial" w:eastAsia="Arial" w:hAnsi="Arial" w:cs="Arial"/>
          <w:sz w:val="24"/>
          <w:szCs w:val="24"/>
        </w:rPr>
        <w:t xml:space="preserve"> and </w:t>
      </w:r>
      <w:r w:rsidR="00071E54" w:rsidRPr="001279DB">
        <w:rPr>
          <w:rFonts w:ascii="Arial" w:eastAsia="Arial" w:hAnsi="Arial" w:cs="Arial"/>
          <w:sz w:val="24"/>
          <w:szCs w:val="24"/>
        </w:rPr>
        <w:t xml:space="preserve">then </w:t>
      </w:r>
      <w:r w:rsidR="0058722E" w:rsidRPr="001279DB">
        <w:rPr>
          <w:rFonts w:ascii="Arial" w:eastAsia="Arial" w:hAnsi="Arial" w:cs="Arial"/>
          <w:sz w:val="24"/>
          <w:szCs w:val="24"/>
        </w:rPr>
        <w:t xml:space="preserve">put </w:t>
      </w:r>
      <w:r w:rsidR="006E4FCB" w:rsidRPr="001279DB">
        <w:rPr>
          <w:rFonts w:ascii="Arial" w:eastAsia="Arial" w:hAnsi="Arial" w:cs="Arial"/>
          <w:sz w:val="24"/>
          <w:szCs w:val="24"/>
        </w:rPr>
        <w:t xml:space="preserve">a plan </w:t>
      </w:r>
      <w:r w:rsidR="0058722E" w:rsidRPr="001279DB">
        <w:rPr>
          <w:rFonts w:ascii="Arial" w:eastAsia="Arial" w:hAnsi="Arial" w:cs="Arial"/>
          <w:sz w:val="24"/>
          <w:szCs w:val="24"/>
        </w:rPr>
        <w:t>in place</w:t>
      </w:r>
      <w:r w:rsidR="006E4FCB" w:rsidRPr="001279DB">
        <w:rPr>
          <w:rFonts w:ascii="Arial" w:eastAsia="Arial" w:hAnsi="Arial" w:cs="Arial"/>
          <w:sz w:val="24"/>
          <w:szCs w:val="24"/>
        </w:rPr>
        <w:t xml:space="preserve"> </w:t>
      </w:r>
      <w:r w:rsidR="0058722E" w:rsidRPr="001279DB">
        <w:rPr>
          <w:rFonts w:ascii="Arial" w:eastAsia="Arial" w:hAnsi="Arial" w:cs="Arial"/>
          <w:sz w:val="24"/>
          <w:szCs w:val="24"/>
        </w:rPr>
        <w:t>to relocate the</w:t>
      </w:r>
      <w:r w:rsidR="0058781E" w:rsidRPr="001279DB">
        <w:rPr>
          <w:rFonts w:ascii="Arial" w:eastAsia="Arial" w:hAnsi="Arial" w:cs="Arial"/>
          <w:sz w:val="24"/>
          <w:szCs w:val="24"/>
        </w:rPr>
        <w:t>m</w:t>
      </w:r>
      <w:r w:rsidR="0058722E" w:rsidRPr="001279DB">
        <w:rPr>
          <w:rFonts w:ascii="Arial" w:eastAsia="Arial" w:hAnsi="Arial" w:cs="Arial"/>
          <w:sz w:val="24"/>
          <w:szCs w:val="24"/>
        </w:rPr>
        <w:t xml:space="preserve"> </w:t>
      </w:r>
      <w:r w:rsidR="006E4FCB" w:rsidRPr="001279DB">
        <w:rPr>
          <w:rFonts w:ascii="Arial" w:eastAsia="Arial" w:hAnsi="Arial" w:cs="Arial"/>
          <w:sz w:val="24"/>
          <w:szCs w:val="24"/>
        </w:rPr>
        <w:t>before disconnecting the electricity</w:t>
      </w:r>
      <w:r w:rsidR="0058722E" w:rsidRPr="001279DB">
        <w:rPr>
          <w:rFonts w:ascii="Arial" w:eastAsia="Arial" w:hAnsi="Arial" w:cs="Arial"/>
          <w:sz w:val="24"/>
          <w:szCs w:val="24"/>
        </w:rPr>
        <w:t xml:space="preserve">. </w:t>
      </w:r>
      <w:r w:rsidR="0009455F" w:rsidRPr="001279DB">
        <w:rPr>
          <w:rFonts w:ascii="Arial" w:eastAsia="Arial" w:hAnsi="Arial" w:cs="Arial"/>
          <w:sz w:val="24"/>
          <w:szCs w:val="24"/>
        </w:rPr>
        <w:t>B</w:t>
      </w:r>
      <w:r w:rsidR="006E4FCB" w:rsidRPr="001279DB">
        <w:rPr>
          <w:rFonts w:ascii="Arial" w:eastAsia="Arial" w:hAnsi="Arial" w:cs="Arial"/>
          <w:sz w:val="24"/>
          <w:szCs w:val="24"/>
        </w:rPr>
        <w:t>efore this Court, b</w:t>
      </w:r>
      <w:r w:rsidR="005055DC" w:rsidRPr="001279DB">
        <w:rPr>
          <w:rFonts w:ascii="Arial" w:eastAsia="Arial" w:hAnsi="Arial" w:cs="Arial"/>
          <w:sz w:val="24"/>
          <w:szCs w:val="24"/>
        </w:rPr>
        <w:t>oth parties</w:t>
      </w:r>
      <w:r w:rsidR="00434748" w:rsidRPr="001279DB">
        <w:rPr>
          <w:rFonts w:ascii="Arial" w:eastAsia="Arial" w:hAnsi="Arial" w:cs="Arial"/>
          <w:sz w:val="24"/>
          <w:szCs w:val="24"/>
        </w:rPr>
        <w:t xml:space="preserve"> </w:t>
      </w:r>
      <w:r w:rsidR="00550EE7" w:rsidRPr="001279DB">
        <w:rPr>
          <w:rFonts w:ascii="Arial" w:eastAsia="Arial" w:hAnsi="Arial" w:cs="Arial"/>
          <w:sz w:val="24"/>
          <w:szCs w:val="24"/>
        </w:rPr>
        <w:t>agreed that</w:t>
      </w:r>
      <w:r w:rsidR="0009455F" w:rsidRPr="001279DB">
        <w:rPr>
          <w:rFonts w:ascii="Arial" w:eastAsia="Arial" w:hAnsi="Arial" w:cs="Arial"/>
          <w:sz w:val="24"/>
          <w:szCs w:val="24"/>
        </w:rPr>
        <w:t xml:space="preserve"> t</w:t>
      </w:r>
      <w:r w:rsidR="0058722E" w:rsidRPr="001279DB">
        <w:rPr>
          <w:rFonts w:ascii="Arial" w:eastAsia="Arial" w:hAnsi="Arial" w:cs="Arial"/>
          <w:sz w:val="24"/>
          <w:szCs w:val="24"/>
        </w:rPr>
        <w:t xml:space="preserve">he </w:t>
      </w:r>
      <w:r w:rsidR="003325AE" w:rsidRPr="001279DB">
        <w:rPr>
          <w:rFonts w:ascii="Arial" w:eastAsia="Arial" w:hAnsi="Arial" w:cs="Arial"/>
          <w:sz w:val="24"/>
          <w:szCs w:val="24"/>
        </w:rPr>
        <w:t>occupation of the properties by</w:t>
      </w:r>
      <w:r w:rsidR="002F0DF2" w:rsidRPr="001279DB">
        <w:rPr>
          <w:rFonts w:ascii="Arial" w:eastAsia="Arial" w:hAnsi="Arial" w:cs="Arial"/>
          <w:sz w:val="24"/>
          <w:szCs w:val="24"/>
        </w:rPr>
        <w:t xml:space="preserve"> the </w:t>
      </w:r>
      <w:r w:rsidR="003325AE" w:rsidRPr="001279DB">
        <w:rPr>
          <w:rFonts w:ascii="Arial" w:eastAsia="Arial" w:hAnsi="Arial" w:cs="Arial"/>
          <w:sz w:val="24"/>
          <w:szCs w:val="24"/>
        </w:rPr>
        <w:t>unlawfu</w:t>
      </w:r>
      <w:r w:rsidR="0058722E" w:rsidRPr="001279DB">
        <w:rPr>
          <w:rFonts w:ascii="Arial" w:eastAsia="Arial" w:hAnsi="Arial" w:cs="Arial"/>
          <w:sz w:val="24"/>
          <w:szCs w:val="24"/>
        </w:rPr>
        <w:t>l</w:t>
      </w:r>
      <w:r w:rsidR="003325AE" w:rsidRPr="001279DB">
        <w:rPr>
          <w:rFonts w:ascii="Arial" w:eastAsia="Arial" w:hAnsi="Arial" w:cs="Arial"/>
          <w:sz w:val="24"/>
          <w:szCs w:val="24"/>
        </w:rPr>
        <w:t xml:space="preserve"> occupiers and Lehlaka’s responsibility to pay rates and electricity </w:t>
      </w:r>
      <w:r w:rsidR="0058722E" w:rsidRPr="001279DB">
        <w:rPr>
          <w:rFonts w:ascii="Arial" w:eastAsia="Arial" w:hAnsi="Arial" w:cs="Arial"/>
          <w:sz w:val="24"/>
          <w:szCs w:val="24"/>
        </w:rPr>
        <w:t>ha</w:t>
      </w:r>
      <w:r w:rsidR="00071E54" w:rsidRPr="001279DB">
        <w:rPr>
          <w:rFonts w:ascii="Arial" w:eastAsia="Arial" w:hAnsi="Arial" w:cs="Arial"/>
          <w:sz w:val="24"/>
          <w:szCs w:val="24"/>
        </w:rPr>
        <w:t>d</w:t>
      </w:r>
      <w:r w:rsidR="0058722E" w:rsidRPr="001279DB">
        <w:rPr>
          <w:rFonts w:ascii="Arial" w:eastAsia="Arial" w:hAnsi="Arial" w:cs="Arial"/>
          <w:sz w:val="24"/>
          <w:szCs w:val="24"/>
        </w:rPr>
        <w:t xml:space="preserve"> been a topic that </w:t>
      </w:r>
      <w:r w:rsidR="0009455F" w:rsidRPr="001279DB">
        <w:rPr>
          <w:rFonts w:ascii="Arial" w:eastAsia="Arial" w:hAnsi="Arial" w:cs="Arial"/>
          <w:sz w:val="24"/>
          <w:szCs w:val="24"/>
        </w:rPr>
        <w:t xml:space="preserve">they </w:t>
      </w:r>
      <w:r w:rsidR="00EC092B" w:rsidRPr="001279DB">
        <w:rPr>
          <w:rFonts w:ascii="Arial" w:eastAsia="Arial" w:hAnsi="Arial" w:cs="Arial"/>
          <w:sz w:val="24"/>
          <w:szCs w:val="24"/>
        </w:rPr>
        <w:t>ha</w:t>
      </w:r>
      <w:r w:rsidR="00071E54" w:rsidRPr="001279DB">
        <w:rPr>
          <w:rFonts w:ascii="Arial" w:eastAsia="Arial" w:hAnsi="Arial" w:cs="Arial"/>
          <w:sz w:val="24"/>
          <w:szCs w:val="24"/>
        </w:rPr>
        <w:t>d</w:t>
      </w:r>
      <w:r w:rsidR="0058722E" w:rsidRPr="001279DB">
        <w:rPr>
          <w:rFonts w:ascii="Arial" w:eastAsia="Arial" w:hAnsi="Arial" w:cs="Arial"/>
          <w:sz w:val="24"/>
          <w:szCs w:val="24"/>
        </w:rPr>
        <w:t xml:space="preserve"> engaged </w:t>
      </w:r>
      <w:r w:rsidR="00071E54" w:rsidRPr="001279DB">
        <w:rPr>
          <w:rFonts w:ascii="Arial" w:eastAsia="Arial" w:hAnsi="Arial" w:cs="Arial"/>
          <w:sz w:val="24"/>
          <w:szCs w:val="24"/>
        </w:rPr>
        <w:t>in</w:t>
      </w:r>
      <w:r w:rsidR="0058722E" w:rsidRPr="001279DB">
        <w:rPr>
          <w:rFonts w:ascii="Arial" w:eastAsia="Arial" w:hAnsi="Arial" w:cs="Arial"/>
          <w:sz w:val="24"/>
          <w:szCs w:val="24"/>
        </w:rPr>
        <w:t xml:space="preserve"> for quite a while.</w:t>
      </w:r>
    </w:p>
    <w:p w14:paraId="18B1A66A" w14:textId="77777777" w:rsidR="00B7289D" w:rsidRPr="001279DB" w:rsidRDefault="00B7289D" w:rsidP="00522F18">
      <w:pPr>
        <w:pStyle w:val="ListParagraph"/>
        <w:spacing w:after="0" w:line="360" w:lineRule="auto"/>
        <w:jc w:val="both"/>
        <w:rPr>
          <w:rFonts w:ascii="Arial" w:eastAsia="Arial" w:hAnsi="Arial" w:cs="Arial"/>
          <w:sz w:val="24"/>
          <w:szCs w:val="24"/>
        </w:rPr>
      </w:pPr>
    </w:p>
    <w:p w14:paraId="7249DE36" w14:textId="5F798FFE" w:rsidR="006E4FCB"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[10]</w:t>
      </w:r>
      <w:r w:rsidRPr="001279DB">
        <w:rPr>
          <w:rFonts w:ascii="Arial" w:eastAsia="Arial" w:hAnsi="Arial" w:cs="Arial"/>
          <w:sz w:val="24"/>
          <w:szCs w:val="24"/>
        </w:rPr>
        <w:tab/>
      </w:r>
      <w:r w:rsidR="0058722E" w:rsidRPr="001279DB">
        <w:rPr>
          <w:rFonts w:ascii="Arial" w:eastAsia="Arial" w:hAnsi="Arial" w:cs="Arial"/>
          <w:sz w:val="24"/>
          <w:szCs w:val="24"/>
        </w:rPr>
        <w:t>On 23 April 2020</w:t>
      </w:r>
      <w:r w:rsidR="00071E54" w:rsidRPr="001279DB">
        <w:rPr>
          <w:rFonts w:ascii="Arial" w:eastAsia="Arial" w:hAnsi="Arial" w:cs="Arial"/>
          <w:sz w:val="24"/>
          <w:szCs w:val="24"/>
        </w:rPr>
        <w:t>,</w:t>
      </w:r>
      <w:r w:rsidR="0058722E" w:rsidRPr="001279DB">
        <w:rPr>
          <w:rFonts w:ascii="Arial" w:eastAsia="Arial" w:hAnsi="Arial" w:cs="Arial"/>
          <w:sz w:val="24"/>
          <w:szCs w:val="24"/>
        </w:rPr>
        <w:t xml:space="preserve"> Lehlaka addressed </w:t>
      </w:r>
      <w:r w:rsidR="0009455F" w:rsidRPr="001279DB">
        <w:rPr>
          <w:rFonts w:ascii="Arial" w:eastAsia="Arial" w:hAnsi="Arial" w:cs="Arial"/>
          <w:sz w:val="24"/>
          <w:szCs w:val="24"/>
        </w:rPr>
        <w:t xml:space="preserve">a further </w:t>
      </w:r>
      <w:r w:rsidR="002D6AAC" w:rsidRPr="001279DB">
        <w:rPr>
          <w:rFonts w:ascii="Arial" w:eastAsia="Arial" w:hAnsi="Arial" w:cs="Arial"/>
          <w:sz w:val="24"/>
          <w:szCs w:val="24"/>
        </w:rPr>
        <w:t xml:space="preserve">letter of termination of the consumer agreement ‘for the avoidance of any doubt’ about its previous letter of 10 February 2020. </w:t>
      </w:r>
      <w:r w:rsidR="0009455F" w:rsidRPr="001279DB">
        <w:rPr>
          <w:rFonts w:ascii="Arial" w:eastAsia="Arial" w:hAnsi="Arial" w:cs="Arial"/>
          <w:sz w:val="24"/>
          <w:szCs w:val="24"/>
        </w:rPr>
        <w:t xml:space="preserve">In this letter </w:t>
      </w:r>
      <w:r w:rsidR="006E4FCB" w:rsidRPr="001279DB">
        <w:rPr>
          <w:rFonts w:ascii="Arial" w:eastAsia="Arial" w:hAnsi="Arial" w:cs="Arial"/>
          <w:sz w:val="24"/>
          <w:szCs w:val="24"/>
        </w:rPr>
        <w:t xml:space="preserve">it </w:t>
      </w:r>
      <w:r w:rsidR="0009455F" w:rsidRPr="001279DB">
        <w:rPr>
          <w:rFonts w:ascii="Arial" w:eastAsia="Arial" w:hAnsi="Arial" w:cs="Arial"/>
          <w:sz w:val="24"/>
          <w:szCs w:val="24"/>
        </w:rPr>
        <w:t>gave the Municipality 14 days’ notice i</w:t>
      </w:r>
      <w:r w:rsidR="002D6AAC" w:rsidRPr="001279DB">
        <w:rPr>
          <w:rFonts w:ascii="Arial" w:eastAsia="Arial" w:hAnsi="Arial" w:cs="Arial"/>
          <w:sz w:val="24"/>
          <w:szCs w:val="24"/>
        </w:rPr>
        <w:t xml:space="preserve">n terms </w:t>
      </w:r>
      <w:r w:rsidR="0009455F" w:rsidRPr="001279DB">
        <w:rPr>
          <w:rFonts w:ascii="Arial" w:eastAsia="Arial" w:hAnsi="Arial" w:cs="Arial"/>
          <w:sz w:val="24"/>
          <w:szCs w:val="24"/>
        </w:rPr>
        <w:t>of s 4</w:t>
      </w:r>
      <w:r w:rsidR="0058781E" w:rsidRPr="001279DB">
        <w:rPr>
          <w:rFonts w:ascii="Arial" w:eastAsia="Arial" w:hAnsi="Arial" w:cs="Arial"/>
          <w:sz w:val="24"/>
          <w:szCs w:val="24"/>
        </w:rPr>
        <w:t>(1)</w:t>
      </w:r>
      <w:r w:rsidR="0009455F" w:rsidRPr="001279DB">
        <w:rPr>
          <w:rFonts w:ascii="Arial" w:eastAsia="Arial" w:hAnsi="Arial" w:cs="Arial"/>
          <w:sz w:val="24"/>
          <w:szCs w:val="24"/>
        </w:rPr>
        <w:t xml:space="preserve"> of the Electricity By-</w:t>
      </w:r>
      <w:r w:rsidR="0058781E" w:rsidRPr="001279DB">
        <w:rPr>
          <w:rFonts w:ascii="Arial" w:eastAsia="Arial" w:hAnsi="Arial" w:cs="Arial"/>
          <w:sz w:val="24"/>
          <w:szCs w:val="24"/>
        </w:rPr>
        <w:t>l</w:t>
      </w:r>
      <w:r w:rsidR="0009455F" w:rsidRPr="001279DB">
        <w:rPr>
          <w:rFonts w:ascii="Arial" w:eastAsia="Arial" w:hAnsi="Arial" w:cs="Arial"/>
          <w:sz w:val="24"/>
          <w:szCs w:val="24"/>
        </w:rPr>
        <w:t>aws</w:t>
      </w:r>
      <w:r w:rsidR="006E4FCB" w:rsidRPr="001279DB">
        <w:rPr>
          <w:rFonts w:ascii="Arial" w:eastAsia="Arial" w:hAnsi="Arial" w:cs="Arial"/>
          <w:sz w:val="24"/>
          <w:szCs w:val="24"/>
        </w:rPr>
        <w:t xml:space="preserve"> – the said period would culminate on 15 May 2020.</w:t>
      </w:r>
      <w:r w:rsidR="00165032" w:rsidRPr="001279DB">
        <w:rPr>
          <w:rFonts w:ascii="Arial" w:eastAsia="Arial" w:hAnsi="Arial" w:cs="Arial"/>
          <w:sz w:val="24"/>
          <w:szCs w:val="24"/>
        </w:rPr>
        <w:t xml:space="preserve"> </w:t>
      </w:r>
      <w:r w:rsidR="006E4FCB" w:rsidRPr="001279DB">
        <w:rPr>
          <w:rFonts w:ascii="Arial" w:eastAsia="Arial" w:hAnsi="Arial" w:cs="Arial"/>
          <w:sz w:val="24"/>
          <w:szCs w:val="24"/>
        </w:rPr>
        <w:t>Section 4</w:t>
      </w:r>
      <w:r w:rsidR="00496A62" w:rsidRPr="001279DB">
        <w:rPr>
          <w:rFonts w:ascii="Arial" w:eastAsia="Arial" w:hAnsi="Arial" w:cs="Arial"/>
          <w:sz w:val="24"/>
          <w:szCs w:val="24"/>
        </w:rPr>
        <w:t>(1) provides</w:t>
      </w:r>
      <w:r w:rsidR="006E4FCB" w:rsidRPr="001279DB">
        <w:rPr>
          <w:rFonts w:ascii="Arial" w:eastAsia="Arial" w:hAnsi="Arial" w:cs="Arial"/>
          <w:sz w:val="24"/>
          <w:szCs w:val="24"/>
        </w:rPr>
        <w:t>:</w:t>
      </w:r>
    </w:p>
    <w:p w14:paraId="16DEB62E" w14:textId="77777777" w:rsidR="00165032" w:rsidRPr="001279DB" w:rsidRDefault="006E4FCB" w:rsidP="00522F18">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rPr>
        <w:t xml:space="preserve">‘Subject to the provision of </w:t>
      </w:r>
      <w:r w:rsidR="0058781E" w:rsidRPr="001279DB">
        <w:rPr>
          <w:rFonts w:ascii="Arial" w:eastAsia="Arial" w:hAnsi="Arial" w:cs="Arial"/>
        </w:rPr>
        <w:t>s</w:t>
      </w:r>
      <w:r w:rsidRPr="001279DB">
        <w:rPr>
          <w:rFonts w:ascii="Arial" w:eastAsia="Arial" w:hAnsi="Arial" w:cs="Arial"/>
        </w:rPr>
        <w:t xml:space="preserve">ection 7(9) and (13), the consumer’s agreement may be terminated by the consumer, or his authorised representative, or by </w:t>
      </w:r>
      <w:r w:rsidR="00041518" w:rsidRPr="001279DB">
        <w:rPr>
          <w:rFonts w:ascii="Arial" w:eastAsia="Arial" w:hAnsi="Arial" w:cs="Arial"/>
        </w:rPr>
        <w:t xml:space="preserve">the Council giving </w:t>
      </w:r>
      <w:r w:rsidR="00041518" w:rsidRPr="001279DB">
        <w:rPr>
          <w:rFonts w:ascii="Arial" w:eastAsia="Arial" w:hAnsi="Arial" w:cs="Arial"/>
        </w:rPr>
        <w:lastRenderedPageBreak/>
        <w:t>14 </w:t>
      </w:r>
      <w:r w:rsidRPr="001279DB">
        <w:rPr>
          <w:rFonts w:ascii="Arial" w:eastAsia="Arial" w:hAnsi="Arial" w:cs="Arial"/>
        </w:rPr>
        <w:t>days</w:t>
      </w:r>
      <w:r w:rsidR="00041518" w:rsidRPr="001279DB">
        <w:rPr>
          <w:rFonts w:ascii="Arial" w:eastAsia="Arial" w:hAnsi="Arial" w:cs="Arial"/>
        </w:rPr>
        <w:t>’</w:t>
      </w:r>
      <w:r w:rsidRPr="001279DB">
        <w:rPr>
          <w:rFonts w:ascii="Arial" w:eastAsia="Arial" w:hAnsi="Arial" w:cs="Arial"/>
        </w:rPr>
        <w:t xml:space="preserve"> notice in writing calculated from the date of service thereof, provided that if such notice purports to terminate an agreement on a Saturday, Sunday or public holiday, such termination shall only take effect on the following workday.’</w:t>
      </w:r>
    </w:p>
    <w:p w14:paraId="78FFC039" w14:textId="77777777" w:rsidR="00BA0764" w:rsidRPr="001279DB" w:rsidRDefault="006E4FCB" w:rsidP="00522F18">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However, i</w:t>
      </w:r>
      <w:r w:rsidR="008F6054" w:rsidRPr="001279DB">
        <w:rPr>
          <w:rFonts w:ascii="Arial" w:eastAsia="Arial" w:hAnsi="Arial" w:cs="Arial"/>
          <w:sz w:val="24"/>
          <w:szCs w:val="24"/>
        </w:rPr>
        <w:t>n t</w:t>
      </w:r>
      <w:r w:rsidR="002D6AAC" w:rsidRPr="001279DB">
        <w:rPr>
          <w:rFonts w:ascii="Arial" w:eastAsia="Arial" w:hAnsi="Arial" w:cs="Arial"/>
          <w:sz w:val="24"/>
          <w:szCs w:val="24"/>
        </w:rPr>
        <w:t>he latter termination notification</w:t>
      </w:r>
      <w:r w:rsidR="00496A62" w:rsidRPr="001279DB">
        <w:rPr>
          <w:rFonts w:ascii="Arial" w:eastAsia="Arial" w:hAnsi="Arial" w:cs="Arial"/>
          <w:sz w:val="24"/>
          <w:szCs w:val="24"/>
        </w:rPr>
        <w:t xml:space="preserve"> of 23 April 2020</w:t>
      </w:r>
      <w:r w:rsidR="005524CD" w:rsidRPr="001279DB">
        <w:rPr>
          <w:rFonts w:ascii="Arial" w:eastAsia="Arial" w:hAnsi="Arial" w:cs="Arial"/>
          <w:sz w:val="24"/>
          <w:szCs w:val="24"/>
        </w:rPr>
        <w:t>,</w:t>
      </w:r>
      <w:r w:rsidR="002D6AAC" w:rsidRPr="001279DB">
        <w:rPr>
          <w:rFonts w:ascii="Arial" w:eastAsia="Arial" w:hAnsi="Arial" w:cs="Arial"/>
          <w:sz w:val="24"/>
          <w:szCs w:val="24"/>
        </w:rPr>
        <w:t xml:space="preserve"> Lehlaka did not seek the disconne</w:t>
      </w:r>
      <w:r w:rsidR="005524CD" w:rsidRPr="001279DB">
        <w:rPr>
          <w:rFonts w:ascii="Arial" w:eastAsia="Arial" w:hAnsi="Arial" w:cs="Arial"/>
          <w:sz w:val="24"/>
          <w:szCs w:val="24"/>
        </w:rPr>
        <w:t xml:space="preserve">ction of the </w:t>
      </w:r>
      <w:r w:rsidR="00B46D92" w:rsidRPr="001279DB">
        <w:rPr>
          <w:rFonts w:ascii="Arial" w:eastAsia="Arial" w:hAnsi="Arial" w:cs="Arial"/>
          <w:sz w:val="24"/>
          <w:szCs w:val="24"/>
        </w:rPr>
        <w:t>electricity but</w:t>
      </w:r>
      <w:r w:rsidRPr="001279DB">
        <w:rPr>
          <w:rFonts w:ascii="Arial" w:eastAsia="Arial" w:hAnsi="Arial" w:cs="Arial"/>
          <w:sz w:val="24"/>
          <w:szCs w:val="24"/>
        </w:rPr>
        <w:t xml:space="preserve"> </w:t>
      </w:r>
      <w:r w:rsidR="00BC6594" w:rsidRPr="001279DB">
        <w:rPr>
          <w:rFonts w:ascii="Arial" w:eastAsia="Arial" w:hAnsi="Arial" w:cs="Arial"/>
          <w:sz w:val="24"/>
          <w:szCs w:val="24"/>
        </w:rPr>
        <w:t>indicate</w:t>
      </w:r>
      <w:r w:rsidRPr="001279DB">
        <w:rPr>
          <w:rFonts w:ascii="Arial" w:eastAsia="Arial" w:hAnsi="Arial" w:cs="Arial"/>
          <w:sz w:val="24"/>
          <w:szCs w:val="24"/>
        </w:rPr>
        <w:t>d</w:t>
      </w:r>
      <w:r w:rsidR="00BC6594" w:rsidRPr="001279DB">
        <w:rPr>
          <w:rFonts w:ascii="Arial" w:eastAsia="Arial" w:hAnsi="Arial" w:cs="Arial"/>
          <w:sz w:val="24"/>
          <w:szCs w:val="24"/>
        </w:rPr>
        <w:t xml:space="preserve"> that</w:t>
      </w:r>
      <w:r w:rsidR="00071E54" w:rsidRPr="001279DB">
        <w:rPr>
          <w:rFonts w:ascii="Arial" w:eastAsia="Arial" w:hAnsi="Arial" w:cs="Arial"/>
          <w:sz w:val="24"/>
          <w:szCs w:val="24"/>
        </w:rPr>
        <w:t>,</w:t>
      </w:r>
      <w:r w:rsidR="00BC6594" w:rsidRPr="001279DB">
        <w:rPr>
          <w:rFonts w:ascii="Arial" w:eastAsia="Arial" w:hAnsi="Arial" w:cs="Arial"/>
          <w:sz w:val="24"/>
          <w:szCs w:val="24"/>
        </w:rPr>
        <w:t xml:space="preserve"> if the Municipality continued to supply electricity to the unlawful occupiers after the </w:t>
      </w:r>
      <w:r w:rsidRPr="001279DB">
        <w:rPr>
          <w:rFonts w:ascii="Arial" w:eastAsia="Arial" w:hAnsi="Arial" w:cs="Arial"/>
          <w:sz w:val="24"/>
          <w:szCs w:val="24"/>
        </w:rPr>
        <w:t xml:space="preserve">proposed </w:t>
      </w:r>
      <w:r w:rsidR="00BC6594" w:rsidRPr="001279DB">
        <w:rPr>
          <w:rFonts w:ascii="Arial" w:eastAsia="Arial" w:hAnsi="Arial" w:cs="Arial"/>
          <w:sz w:val="24"/>
          <w:szCs w:val="24"/>
        </w:rPr>
        <w:t xml:space="preserve">termination date, this would be </w:t>
      </w:r>
      <w:r w:rsidR="00EC7569" w:rsidRPr="001279DB">
        <w:rPr>
          <w:rFonts w:ascii="Arial" w:eastAsia="Arial" w:hAnsi="Arial" w:cs="Arial"/>
          <w:sz w:val="24"/>
          <w:szCs w:val="24"/>
        </w:rPr>
        <w:t>for</w:t>
      </w:r>
      <w:r w:rsidR="00BC6594" w:rsidRPr="001279DB">
        <w:rPr>
          <w:rFonts w:ascii="Arial" w:eastAsia="Arial" w:hAnsi="Arial" w:cs="Arial"/>
          <w:sz w:val="24"/>
          <w:szCs w:val="24"/>
        </w:rPr>
        <w:t xml:space="preserve"> the Municipalit</w:t>
      </w:r>
      <w:r w:rsidR="001F49C3" w:rsidRPr="001279DB">
        <w:rPr>
          <w:rFonts w:ascii="Arial" w:eastAsia="Arial" w:hAnsi="Arial" w:cs="Arial"/>
          <w:sz w:val="24"/>
          <w:szCs w:val="24"/>
        </w:rPr>
        <w:t>y’s</w:t>
      </w:r>
      <w:r w:rsidR="00BC6594" w:rsidRPr="001279DB">
        <w:rPr>
          <w:rFonts w:ascii="Arial" w:eastAsia="Arial" w:hAnsi="Arial" w:cs="Arial"/>
          <w:sz w:val="24"/>
          <w:szCs w:val="24"/>
        </w:rPr>
        <w:t xml:space="preserve"> own account</w:t>
      </w:r>
      <w:r w:rsidRPr="001279DB">
        <w:rPr>
          <w:rFonts w:ascii="Arial" w:eastAsia="Arial" w:hAnsi="Arial" w:cs="Arial"/>
          <w:sz w:val="24"/>
          <w:szCs w:val="24"/>
        </w:rPr>
        <w:t>.</w:t>
      </w:r>
    </w:p>
    <w:p w14:paraId="067E4FC9" w14:textId="77777777" w:rsidR="00BA0764" w:rsidRPr="001279DB" w:rsidRDefault="00BA0764" w:rsidP="00522F18">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p>
    <w:p w14:paraId="36C775E9" w14:textId="2FF1849F" w:rsidR="004002DE"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[11]</w:t>
      </w:r>
      <w:r w:rsidRPr="001279DB">
        <w:rPr>
          <w:rFonts w:ascii="Arial" w:eastAsia="Arial" w:hAnsi="Arial" w:cs="Arial"/>
          <w:sz w:val="24"/>
          <w:szCs w:val="24"/>
        </w:rPr>
        <w:tab/>
      </w:r>
      <w:r w:rsidR="00B56E8F" w:rsidRPr="001279DB">
        <w:rPr>
          <w:rFonts w:ascii="Arial" w:eastAsia="Arial" w:hAnsi="Arial" w:cs="Arial"/>
          <w:sz w:val="24"/>
          <w:szCs w:val="24"/>
        </w:rPr>
        <w:t xml:space="preserve">In its </w:t>
      </w:r>
      <w:r w:rsidR="00EC7569" w:rsidRPr="001279DB">
        <w:rPr>
          <w:rFonts w:ascii="Arial" w:eastAsia="Arial" w:hAnsi="Arial" w:cs="Arial"/>
          <w:sz w:val="24"/>
          <w:szCs w:val="24"/>
        </w:rPr>
        <w:t>f</w:t>
      </w:r>
      <w:r w:rsidR="00494036" w:rsidRPr="001279DB">
        <w:rPr>
          <w:rFonts w:ascii="Arial" w:eastAsia="Arial" w:hAnsi="Arial" w:cs="Arial"/>
          <w:sz w:val="24"/>
          <w:szCs w:val="24"/>
        </w:rPr>
        <w:t>ounding</w:t>
      </w:r>
      <w:r w:rsidR="00B56E8F" w:rsidRPr="001279DB">
        <w:rPr>
          <w:rFonts w:ascii="Arial" w:eastAsia="Arial" w:hAnsi="Arial" w:cs="Arial"/>
          <w:sz w:val="24"/>
          <w:szCs w:val="24"/>
        </w:rPr>
        <w:t xml:space="preserve"> </w:t>
      </w:r>
      <w:r w:rsidR="00EC7569" w:rsidRPr="001279DB">
        <w:rPr>
          <w:rFonts w:ascii="Arial" w:eastAsia="Arial" w:hAnsi="Arial" w:cs="Arial"/>
          <w:sz w:val="24"/>
          <w:szCs w:val="24"/>
        </w:rPr>
        <w:t>a</w:t>
      </w:r>
      <w:r w:rsidR="00B56E8F" w:rsidRPr="001279DB">
        <w:rPr>
          <w:rFonts w:ascii="Arial" w:eastAsia="Arial" w:hAnsi="Arial" w:cs="Arial"/>
          <w:sz w:val="24"/>
          <w:szCs w:val="24"/>
        </w:rPr>
        <w:t>ffidavit</w:t>
      </w:r>
      <w:r w:rsidR="00071E54" w:rsidRPr="001279DB">
        <w:rPr>
          <w:rFonts w:ascii="Arial" w:eastAsia="Arial" w:hAnsi="Arial" w:cs="Arial"/>
          <w:sz w:val="24"/>
          <w:szCs w:val="24"/>
        </w:rPr>
        <w:t>,</w:t>
      </w:r>
      <w:r w:rsidR="00B56E8F" w:rsidRPr="001279DB">
        <w:rPr>
          <w:rFonts w:ascii="Arial" w:eastAsia="Arial" w:hAnsi="Arial" w:cs="Arial"/>
          <w:sz w:val="24"/>
          <w:szCs w:val="24"/>
        </w:rPr>
        <w:t xml:space="preserve"> </w:t>
      </w:r>
      <w:r w:rsidR="00F02194" w:rsidRPr="001279DB">
        <w:rPr>
          <w:rFonts w:ascii="Arial" w:eastAsia="Arial" w:hAnsi="Arial" w:cs="Arial"/>
          <w:sz w:val="24"/>
          <w:szCs w:val="24"/>
        </w:rPr>
        <w:t>Lehlaka</w:t>
      </w:r>
      <w:r w:rsidR="00B56E8F" w:rsidRPr="001279DB">
        <w:rPr>
          <w:rFonts w:ascii="Arial" w:eastAsia="Arial" w:hAnsi="Arial" w:cs="Arial"/>
          <w:sz w:val="24"/>
          <w:szCs w:val="24"/>
        </w:rPr>
        <w:t xml:space="preserve"> state</w:t>
      </w:r>
      <w:r w:rsidR="00071E54" w:rsidRPr="001279DB">
        <w:rPr>
          <w:rFonts w:ascii="Arial" w:eastAsia="Arial" w:hAnsi="Arial" w:cs="Arial"/>
          <w:sz w:val="24"/>
          <w:szCs w:val="24"/>
        </w:rPr>
        <w:t>d</w:t>
      </w:r>
      <w:r w:rsidR="00B56E8F" w:rsidRPr="001279DB">
        <w:rPr>
          <w:rFonts w:ascii="Arial" w:eastAsia="Arial" w:hAnsi="Arial" w:cs="Arial"/>
          <w:sz w:val="24"/>
          <w:szCs w:val="24"/>
        </w:rPr>
        <w:t xml:space="preserve"> </w:t>
      </w:r>
      <w:r w:rsidR="00F02194" w:rsidRPr="001279DB">
        <w:rPr>
          <w:rFonts w:ascii="Arial" w:eastAsia="Arial" w:hAnsi="Arial" w:cs="Arial"/>
          <w:sz w:val="24"/>
          <w:szCs w:val="24"/>
        </w:rPr>
        <w:t xml:space="preserve">that it </w:t>
      </w:r>
      <w:r w:rsidR="00C96C6A" w:rsidRPr="001279DB">
        <w:rPr>
          <w:rFonts w:ascii="Arial" w:eastAsia="Arial" w:hAnsi="Arial" w:cs="Arial"/>
          <w:sz w:val="24"/>
          <w:szCs w:val="24"/>
        </w:rPr>
        <w:t>had ‘on several occasions’</w:t>
      </w:r>
      <w:r w:rsidR="00F02194" w:rsidRPr="001279DB">
        <w:rPr>
          <w:rFonts w:ascii="Arial" w:eastAsia="Arial" w:hAnsi="Arial" w:cs="Arial"/>
          <w:sz w:val="24"/>
          <w:szCs w:val="24"/>
        </w:rPr>
        <w:t xml:space="preserve"> terminated the consumer agreement with the Municipality</w:t>
      </w:r>
      <w:r w:rsidR="00C96C6A" w:rsidRPr="001279DB">
        <w:rPr>
          <w:rFonts w:ascii="Arial" w:eastAsia="Arial" w:hAnsi="Arial" w:cs="Arial"/>
          <w:sz w:val="24"/>
          <w:szCs w:val="24"/>
        </w:rPr>
        <w:t>. The most re</w:t>
      </w:r>
      <w:r w:rsidR="00DD6BE5" w:rsidRPr="001279DB">
        <w:rPr>
          <w:rFonts w:ascii="Arial" w:eastAsia="Arial" w:hAnsi="Arial" w:cs="Arial"/>
          <w:sz w:val="24"/>
          <w:szCs w:val="24"/>
        </w:rPr>
        <w:t>cent</w:t>
      </w:r>
      <w:r w:rsidR="00C96C6A" w:rsidRPr="001279DB">
        <w:rPr>
          <w:rFonts w:ascii="Arial" w:eastAsia="Arial" w:hAnsi="Arial" w:cs="Arial"/>
          <w:sz w:val="24"/>
          <w:szCs w:val="24"/>
        </w:rPr>
        <w:t xml:space="preserve"> being on 23 April 2020, which it submits was </w:t>
      </w:r>
      <w:r w:rsidR="00F02194" w:rsidRPr="001279DB">
        <w:rPr>
          <w:rFonts w:ascii="Arial" w:eastAsia="Arial" w:hAnsi="Arial" w:cs="Arial"/>
          <w:sz w:val="24"/>
          <w:szCs w:val="24"/>
        </w:rPr>
        <w:t>in the prescribed manner</w:t>
      </w:r>
      <w:r w:rsidR="00C96C6A" w:rsidRPr="001279DB">
        <w:rPr>
          <w:rFonts w:ascii="Arial" w:eastAsia="Arial" w:hAnsi="Arial" w:cs="Arial"/>
          <w:sz w:val="24"/>
          <w:szCs w:val="24"/>
        </w:rPr>
        <w:t>,</w:t>
      </w:r>
      <w:r w:rsidR="00F02194" w:rsidRPr="001279DB">
        <w:rPr>
          <w:rFonts w:ascii="Arial" w:eastAsia="Arial" w:hAnsi="Arial" w:cs="Arial"/>
          <w:sz w:val="24"/>
          <w:szCs w:val="24"/>
        </w:rPr>
        <w:t xml:space="preserve"> </w:t>
      </w:r>
      <w:r w:rsidR="002C3363" w:rsidRPr="001279DB">
        <w:rPr>
          <w:rFonts w:ascii="Arial" w:eastAsia="Arial" w:hAnsi="Arial" w:cs="Arial"/>
          <w:sz w:val="24"/>
          <w:szCs w:val="24"/>
        </w:rPr>
        <w:t xml:space="preserve">as </w:t>
      </w:r>
      <w:r w:rsidR="005524CD" w:rsidRPr="001279DB">
        <w:rPr>
          <w:rFonts w:ascii="Arial" w:eastAsia="Arial" w:hAnsi="Arial" w:cs="Arial"/>
          <w:sz w:val="24"/>
          <w:szCs w:val="24"/>
        </w:rPr>
        <w:t>set out in s</w:t>
      </w:r>
      <w:r w:rsidR="00F02194" w:rsidRPr="001279DB">
        <w:rPr>
          <w:rFonts w:ascii="Arial" w:eastAsia="Arial" w:hAnsi="Arial" w:cs="Arial"/>
          <w:sz w:val="24"/>
          <w:szCs w:val="24"/>
        </w:rPr>
        <w:t xml:space="preserve"> 4</w:t>
      </w:r>
      <w:r w:rsidR="002C3363" w:rsidRPr="001279DB">
        <w:rPr>
          <w:rFonts w:ascii="Arial" w:eastAsia="Arial" w:hAnsi="Arial" w:cs="Arial"/>
          <w:sz w:val="24"/>
          <w:szCs w:val="24"/>
        </w:rPr>
        <w:t xml:space="preserve">(1) </w:t>
      </w:r>
      <w:r w:rsidR="00F02194" w:rsidRPr="001279DB">
        <w:rPr>
          <w:rFonts w:ascii="Arial" w:eastAsia="Arial" w:hAnsi="Arial" w:cs="Arial"/>
          <w:sz w:val="24"/>
          <w:szCs w:val="24"/>
        </w:rPr>
        <w:t>of the Electricity By-</w:t>
      </w:r>
      <w:r w:rsidR="00522CC3" w:rsidRPr="001279DB">
        <w:rPr>
          <w:rFonts w:ascii="Arial" w:eastAsia="Arial" w:hAnsi="Arial" w:cs="Arial"/>
          <w:sz w:val="24"/>
          <w:szCs w:val="24"/>
        </w:rPr>
        <w:t>l</w:t>
      </w:r>
      <w:r w:rsidR="00F02194" w:rsidRPr="001279DB">
        <w:rPr>
          <w:rFonts w:ascii="Arial" w:eastAsia="Arial" w:hAnsi="Arial" w:cs="Arial"/>
          <w:sz w:val="24"/>
          <w:szCs w:val="24"/>
        </w:rPr>
        <w:t>aws.</w:t>
      </w:r>
      <w:r w:rsidR="00C31CE8" w:rsidRPr="001279DB">
        <w:rPr>
          <w:rFonts w:ascii="Arial" w:eastAsia="Arial" w:hAnsi="Arial" w:cs="Arial"/>
          <w:sz w:val="24"/>
          <w:szCs w:val="24"/>
        </w:rPr>
        <w:t xml:space="preserve"> </w:t>
      </w:r>
      <w:r w:rsidR="00C96C6A" w:rsidRPr="001279DB">
        <w:rPr>
          <w:rFonts w:ascii="Arial" w:eastAsia="Arial" w:hAnsi="Arial" w:cs="Arial"/>
          <w:sz w:val="24"/>
          <w:szCs w:val="24"/>
        </w:rPr>
        <w:t>Hence, in terms of the consumer agreement</w:t>
      </w:r>
      <w:r w:rsidR="00071E54" w:rsidRPr="001279DB">
        <w:rPr>
          <w:rFonts w:ascii="Arial" w:eastAsia="Arial" w:hAnsi="Arial" w:cs="Arial"/>
          <w:sz w:val="24"/>
          <w:szCs w:val="24"/>
        </w:rPr>
        <w:t>,</w:t>
      </w:r>
      <w:r w:rsidR="00C96C6A" w:rsidRPr="001279DB">
        <w:rPr>
          <w:rFonts w:ascii="Arial" w:eastAsia="Arial" w:hAnsi="Arial" w:cs="Arial"/>
          <w:sz w:val="24"/>
          <w:szCs w:val="24"/>
        </w:rPr>
        <w:t xml:space="preserve"> the agreement was </w:t>
      </w:r>
      <w:r w:rsidR="007F51D0" w:rsidRPr="001279DB">
        <w:rPr>
          <w:rFonts w:ascii="Arial" w:eastAsia="Arial" w:hAnsi="Arial" w:cs="Arial"/>
          <w:sz w:val="24"/>
          <w:szCs w:val="24"/>
        </w:rPr>
        <w:t xml:space="preserve">effectively </w:t>
      </w:r>
      <w:r w:rsidR="00C96C6A" w:rsidRPr="001279DB">
        <w:rPr>
          <w:rFonts w:ascii="Arial" w:eastAsia="Arial" w:hAnsi="Arial" w:cs="Arial"/>
          <w:sz w:val="24"/>
          <w:szCs w:val="24"/>
        </w:rPr>
        <w:t>t</w:t>
      </w:r>
      <w:r w:rsidR="0026026A" w:rsidRPr="001279DB">
        <w:rPr>
          <w:rFonts w:ascii="Arial" w:eastAsia="Arial" w:hAnsi="Arial" w:cs="Arial"/>
          <w:sz w:val="24"/>
          <w:szCs w:val="24"/>
        </w:rPr>
        <w:t>erminated</w:t>
      </w:r>
      <w:r w:rsidR="006E7C6E" w:rsidRPr="001279DB">
        <w:rPr>
          <w:rFonts w:ascii="Arial" w:eastAsia="Arial" w:hAnsi="Arial" w:cs="Arial"/>
          <w:sz w:val="24"/>
          <w:szCs w:val="24"/>
        </w:rPr>
        <w:t xml:space="preserve"> on 15 May 2020</w:t>
      </w:r>
      <w:r w:rsidR="0026026A" w:rsidRPr="001279DB">
        <w:rPr>
          <w:rFonts w:ascii="Arial" w:eastAsia="Arial" w:hAnsi="Arial" w:cs="Arial"/>
          <w:sz w:val="24"/>
          <w:szCs w:val="24"/>
        </w:rPr>
        <w:t>. Thus, the issue was</w:t>
      </w:r>
      <w:r w:rsidR="00C96C6A" w:rsidRPr="001279DB">
        <w:rPr>
          <w:rFonts w:ascii="Arial" w:eastAsia="Arial" w:hAnsi="Arial" w:cs="Arial"/>
          <w:sz w:val="24"/>
          <w:szCs w:val="24"/>
        </w:rPr>
        <w:t xml:space="preserve"> purely contractual in nature</w:t>
      </w:r>
      <w:r w:rsidR="00DD6BE5" w:rsidRPr="001279DB">
        <w:rPr>
          <w:rFonts w:ascii="Arial" w:eastAsia="Arial" w:hAnsi="Arial" w:cs="Arial"/>
          <w:sz w:val="24"/>
          <w:szCs w:val="24"/>
        </w:rPr>
        <w:t>,</w:t>
      </w:r>
      <w:r w:rsidR="004002DE" w:rsidRPr="001279DB">
        <w:rPr>
          <w:rFonts w:ascii="Arial" w:eastAsia="Arial" w:hAnsi="Arial" w:cs="Arial"/>
          <w:sz w:val="24"/>
          <w:szCs w:val="24"/>
        </w:rPr>
        <w:t xml:space="preserve"> and </w:t>
      </w:r>
      <w:r w:rsidR="00C96C6A" w:rsidRPr="001279DB">
        <w:rPr>
          <w:rFonts w:ascii="Arial" w:eastAsia="Arial" w:hAnsi="Arial" w:cs="Arial"/>
          <w:sz w:val="24"/>
          <w:szCs w:val="24"/>
        </w:rPr>
        <w:t xml:space="preserve">Lehlaka </w:t>
      </w:r>
      <w:r w:rsidR="00C31CE8" w:rsidRPr="001279DB">
        <w:rPr>
          <w:rFonts w:ascii="Arial" w:eastAsia="Arial" w:hAnsi="Arial" w:cs="Arial"/>
          <w:sz w:val="24"/>
          <w:szCs w:val="24"/>
        </w:rPr>
        <w:t>ha</w:t>
      </w:r>
      <w:r w:rsidR="0026026A" w:rsidRPr="001279DB">
        <w:rPr>
          <w:rFonts w:ascii="Arial" w:eastAsia="Arial" w:hAnsi="Arial" w:cs="Arial"/>
          <w:sz w:val="24"/>
          <w:szCs w:val="24"/>
        </w:rPr>
        <w:t>d</w:t>
      </w:r>
      <w:r w:rsidR="004002DE" w:rsidRPr="001279DB">
        <w:rPr>
          <w:rFonts w:ascii="Arial" w:eastAsia="Arial" w:hAnsi="Arial" w:cs="Arial"/>
          <w:sz w:val="24"/>
          <w:szCs w:val="24"/>
        </w:rPr>
        <w:t xml:space="preserve"> </w:t>
      </w:r>
      <w:r w:rsidR="00C31CE8" w:rsidRPr="001279DB">
        <w:rPr>
          <w:rFonts w:ascii="Arial" w:eastAsia="Arial" w:hAnsi="Arial" w:cs="Arial"/>
          <w:sz w:val="24"/>
          <w:szCs w:val="24"/>
        </w:rPr>
        <w:t xml:space="preserve">complied </w:t>
      </w:r>
      <w:r w:rsidR="005524CD" w:rsidRPr="001279DB">
        <w:rPr>
          <w:rFonts w:ascii="Arial" w:eastAsia="Arial" w:hAnsi="Arial" w:cs="Arial"/>
          <w:sz w:val="24"/>
          <w:szCs w:val="24"/>
        </w:rPr>
        <w:t>with</w:t>
      </w:r>
      <w:r w:rsidR="004002DE" w:rsidRPr="001279DB">
        <w:rPr>
          <w:rFonts w:ascii="Arial" w:eastAsia="Arial" w:hAnsi="Arial" w:cs="Arial"/>
          <w:sz w:val="24"/>
          <w:szCs w:val="24"/>
        </w:rPr>
        <w:t xml:space="preserve"> the</w:t>
      </w:r>
      <w:r w:rsidR="00C96C6A" w:rsidRPr="001279DB">
        <w:rPr>
          <w:rFonts w:ascii="Arial" w:eastAsia="Arial" w:hAnsi="Arial" w:cs="Arial"/>
          <w:sz w:val="24"/>
          <w:szCs w:val="24"/>
        </w:rPr>
        <w:t xml:space="preserve"> terms of the consumer agreement</w:t>
      </w:r>
      <w:r w:rsidR="0026026A" w:rsidRPr="001279DB">
        <w:rPr>
          <w:rFonts w:ascii="Arial" w:eastAsia="Arial" w:hAnsi="Arial" w:cs="Arial"/>
          <w:sz w:val="24"/>
          <w:szCs w:val="24"/>
        </w:rPr>
        <w:t>. T</w:t>
      </w:r>
      <w:r w:rsidR="00C31CE8" w:rsidRPr="001279DB">
        <w:rPr>
          <w:rFonts w:ascii="Arial" w:eastAsia="Arial" w:hAnsi="Arial" w:cs="Arial"/>
          <w:sz w:val="24"/>
          <w:szCs w:val="24"/>
        </w:rPr>
        <w:t>he</w:t>
      </w:r>
      <w:r w:rsidR="0026026A" w:rsidRPr="001279DB">
        <w:rPr>
          <w:rFonts w:ascii="Arial" w:eastAsia="Arial" w:hAnsi="Arial" w:cs="Arial"/>
          <w:sz w:val="24"/>
          <w:szCs w:val="24"/>
        </w:rPr>
        <w:t>refore,</w:t>
      </w:r>
      <w:r w:rsidR="00C31CE8" w:rsidRPr="001279DB">
        <w:rPr>
          <w:rFonts w:ascii="Arial" w:eastAsia="Arial" w:hAnsi="Arial" w:cs="Arial"/>
          <w:sz w:val="24"/>
          <w:szCs w:val="24"/>
        </w:rPr>
        <w:t xml:space="preserve"> </w:t>
      </w:r>
      <w:r w:rsidR="004002DE" w:rsidRPr="001279DB">
        <w:rPr>
          <w:rFonts w:ascii="Arial" w:eastAsia="Arial" w:hAnsi="Arial" w:cs="Arial"/>
          <w:sz w:val="24"/>
          <w:szCs w:val="24"/>
        </w:rPr>
        <w:t>Lehlaka</w:t>
      </w:r>
      <w:r w:rsidR="00071E54" w:rsidRPr="001279DB">
        <w:rPr>
          <w:rFonts w:ascii="Arial" w:eastAsia="Arial" w:hAnsi="Arial" w:cs="Arial"/>
          <w:sz w:val="24"/>
          <w:szCs w:val="24"/>
        </w:rPr>
        <w:t xml:space="preserve"> was</w:t>
      </w:r>
      <w:r w:rsidR="004002DE" w:rsidRPr="001279DB">
        <w:rPr>
          <w:rFonts w:ascii="Arial" w:eastAsia="Arial" w:hAnsi="Arial" w:cs="Arial"/>
          <w:sz w:val="24"/>
          <w:szCs w:val="24"/>
        </w:rPr>
        <w:t xml:space="preserve"> </w:t>
      </w:r>
      <w:r w:rsidR="00071E54" w:rsidRPr="001279DB">
        <w:rPr>
          <w:rFonts w:ascii="Arial" w:eastAsia="Arial" w:hAnsi="Arial" w:cs="Arial"/>
          <w:sz w:val="24"/>
          <w:szCs w:val="24"/>
        </w:rPr>
        <w:t>‘</w:t>
      </w:r>
      <w:r w:rsidR="004002DE" w:rsidRPr="001279DB">
        <w:rPr>
          <w:rFonts w:ascii="Arial" w:eastAsia="Arial" w:hAnsi="Arial" w:cs="Arial"/>
          <w:sz w:val="24"/>
          <w:szCs w:val="24"/>
        </w:rPr>
        <w:t>not obliged to continue to pay for the electricity consumed by the unlawful occupiers’</w:t>
      </w:r>
      <w:r w:rsidR="00174630" w:rsidRPr="001279DB">
        <w:rPr>
          <w:rFonts w:ascii="Arial" w:eastAsia="Arial" w:hAnsi="Arial" w:cs="Arial"/>
          <w:sz w:val="24"/>
          <w:szCs w:val="24"/>
        </w:rPr>
        <w:t>.</w:t>
      </w:r>
    </w:p>
    <w:p w14:paraId="1D0345B6" w14:textId="77777777" w:rsidR="00B7289D" w:rsidRPr="001279DB" w:rsidRDefault="00B7289D" w:rsidP="00522F18">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p>
    <w:p w14:paraId="21961755" w14:textId="096983CA" w:rsidR="00FE1C2E"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[12]</w:t>
      </w:r>
      <w:r w:rsidRPr="001279DB">
        <w:rPr>
          <w:rFonts w:ascii="Arial" w:eastAsia="Arial" w:hAnsi="Arial" w:cs="Arial"/>
          <w:sz w:val="24"/>
          <w:szCs w:val="24"/>
        </w:rPr>
        <w:tab/>
      </w:r>
      <w:r w:rsidR="006E4FCB" w:rsidRPr="001279DB">
        <w:rPr>
          <w:rFonts w:ascii="Arial" w:eastAsia="Arial" w:hAnsi="Arial" w:cs="Arial"/>
          <w:sz w:val="24"/>
          <w:szCs w:val="24"/>
        </w:rPr>
        <w:t>Although t</w:t>
      </w:r>
      <w:r w:rsidR="00F814B7" w:rsidRPr="001279DB">
        <w:rPr>
          <w:rFonts w:ascii="Arial" w:eastAsia="Arial" w:hAnsi="Arial" w:cs="Arial"/>
          <w:sz w:val="24"/>
          <w:szCs w:val="24"/>
        </w:rPr>
        <w:t xml:space="preserve">he Municipality </w:t>
      </w:r>
      <w:r w:rsidR="00757043" w:rsidRPr="001279DB">
        <w:rPr>
          <w:rFonts w:ascii="Arial" w:eastAsia="Arial" w:hAnsi="Arial" w:cs="Arial"/>
          <w:sz w:val="24"/>
          <w:szCs w:val="24"/>
        </w:rPr>
        <w:t>d</w:t>
      </w:r>
      <w:r w:rsidR="00CF3972" w:rsidRPr="001279DB">
        <w:rPr>
          <w:rFonts w:ascii="Arial" w:eastAsia="Arial" w:hAnsi="Arial" w:cs="Arial"/>
          <w:sz w:val="24"/>
          <w:szCs w:val="24"/>
        </w:rPr>
        <w:t>id</w:t>
      </w:r>
      <w:r w:rsidR="002667D8" w:rsidRPr="001279DB">
        <w:rPr>
          <w:rFonts w:ascii="Arial" w:eastAsia="Arial" w:hAnsi="Arial" w:cs="Arial"/>
          <w:sz w:val="24"/>
          <w:szCs w:val="24"/>
        </w:rPr>
        <w:t xml:space="preserve"> not dispute Lehlaka’s right to terminat</w:t>
      </w:r>
      <w:r w:rsidR="007217C1" w:rsidRPr="001279DB">
        <w:rPr>
          <w:rFonts w:ascii="Arial" w:eastAsia="Arial" w:hAnsi="Arial" w:cs="Arial"/>
          <w:sz w:val="24"/>
          <w:szCs w:val="24"/>
        </w:rPr>
        <w:t xml:space="preserve">e the </w:t>
      </w:r>
      <w:r w:rsidR="00496A62" w:rsidRPr="001279DB">
        <w:rPr>
          <w:rFonts w:ascii="Arial" w:eastAsia="Arial" w:hAnsi="Arial" w:cs="Arial"/>
          <w:sz w:val="24"/>
          <w:szCs w:val="24"/>
        </w:rPr>
        <w:t xml:space="preserve">consumer </w:t>
      </w:r>
      <w:r w:rsidR="007217C1" w:rsidRPr="001279DB">
        <w:rPr>
          <w:rFonts w:ascii="Arial" w:eastAsia="Arial" w:hAnsi="Arial" w:cs="Arial"/>
          <w:sz w:val="24"/>
          <w:szCs w:val="24"/>
        </w:rPr>
        <w:t>agreement</w:t>
      </w:r>
      <w:r w:rsidR="006E4FCB" w:rsidRPr="001279DB">
        <w:rPr>
          <w:rFonts w:ascii="Arial" w:eastAsia="Arial" w:hAnsi="Arial" w:cs="Arial"/>
          <w:sz w:val="24"/>
          <w:szCs w:val="24"/>
        </w:rPr>
        <w:t>,</w:t>
      </w:r>
      <w:r w:rsidR="00F814B7" w:rsidRPr="001279DB">
        <w:rPr>
          <w:rFonts w:ascii="Arial" w:eastAsia="Arial" w:hAnsi="Arial" w:cs="Arial"/>
          <w:sz w:val="24"/>
          <w:szCs w:val="24"/>
        </w:rPr>
        <w:t xml:space="preserve"> </w:t>
      </w:r>
      <w:r w:rsidR="006E4FCB" w:rsidRPr="001279DB">
        <w:rPr>
          <w:rFonts w:ascii="Arial" w:eastAsia="Arial" w:hAnsi="Arial" w:cs="Arial"/>
          <w:sz w:val="24"/>
          <w:szCs w:val="24"/>
        </w:rPr>
        <w:t>i</w:t>
      </w:r>
      <w:r w:rsidR="00F814B7" w:rsidRPr="001279DB">
        <w:rPr>
          <w:rFonts w:ascii="Arial" w:eastAsia="Arial" w:hAnsi="Arial" w:cs="Arial"/>
          <w:sz w:val="24"/>
          <w:szCs w:val="24"/>
        </w:rPr>
        <w:t>t however assert</w:t>
      </w:r>
      <w:r w:rsidR="00CF3972" w:rsidRPr="001279DB">
        <w:rPr>
          <w:rFonts w:ascii="Arial" w:eastAsia="Arial" w:hAnsi="Arial" w:cs="Arial"/>
          <w:sz w:val="24"/>
          <w:szCs w:val="24"/>
        </w:rPr>
        <w:t>ed</w:t>
      </w:r>
      <w:r w:rsidR="00F814B7" w:rsidRPr="001279DB">
        <w:rPr>
          <w:rFonts w:ascii="Arial" w:eastAsia="Arial" w:hAnsi="Arial" w:cs="Arial"/>
          <w:sz w:val="24"/>
          <w:szCs w:val="24"/>
        </w:rPr>
        <w:t xml:space="preserve"> </w:t>
      </w:r>
      <w:r w:rsidR="00757043" w:rsidRPr="001279DB">
        <w:rPr>
          <w:rFonts w:ascii="Arial" w:eastAsia="Arial" w:hAnsi="Arial" w:cs="Arial"/>
          <w:sz w:val="24"/>
          <w:szCs w:val="24"/>
        </w:rPr>
        <w:t>that it had</w:t>
      </w:r>
      <w:r w:rsidR="00F02194" w:rsidRPr="001279DB">
        <w:rPr>
          <w:rFonts w:ascii="Arial" w:eastAsia="Arial" w:hAnsi="Arial" w:cs="Arial"/>
          <w:sz w:val="24"/>
          <w:szCs w:val="24"/>
        </w:rPr>
        <w:t xml:space="preserve"> </w:t>
      </w:r>
      <w:r w:rsidR="0058781E" w:rsidRPr="001279DB">
        <w:rPr>
          <w:rFonts w:ascii="Arial" w:eastAsia="Arial" w:hAnsi="Arial" w:cs="Arial"/>
          <w:sz w:val="24"/>
          <w:szCs w:val="24"/>
        </w:rPr>
        <w:t>the</w:t>
      </w:r>
      <w:r w:rsidR="005766D2" w:rsidRPr="001279DB">
        <w:rPr>
          <w:rFonts w:ascii="Arial" w:eastAsia="Arial" w:hAnsi="Arial" w:cs="Arial"/>
          <w:sz w:val="24"/>
          <w:szCs w:val="24"/>
        </w:rPr>
        <w:t xml:space="preserve"> discretion</w:t>
      </w:r>
      <w:r w:rsidR="00F814B7" w:rsidRPr="001279DB">
        <w:rPr>
          <w:rFonts w:ascii="Arial" w:eastAsia="Arial" w:hAnsi="Arial" w:cs="Arial"/>
          <w:sz w:val="24"/>
          <w:szCs w:val="24"/>
        </w:rPr>
        <w:t xml:space="preserve"> whether</w:t>
      </w:r>
      <w:r w:rsidR="006E4FCB" w:rsidRPr="001279DB">
        <w:rPr>
          <w:rFonts w:ascii="Arial" w:eastAsia="Arial" w:hAnsi="Arial" w:cs="Arial"/>
          <w:sz w:val="24"/>
          <w:szCs w:val="24"/>
        </w:rPr>
        <w:t xml:space="preserve"> or not</w:t>
      </w:r>
      <w:r w:rsidR="005766D2" w:rsidRPr="001279DB">
        <w:rPr>
          <w:rFonts w:ascii="Arial" w:eastAsia="Arial" w:hAnsi="Arial" w:cs="Arial"/>
          <w:sz w:val="24"/>
          <w:szCs w:val="24"/>
        </w:rPr>
        <w:t xml:space="preserve"> to accept the termination</w:t>
      </w:r>
      <w:r w:rsidR="0058781E" w:rsidRPr="001279DB">
        <w:rPr>
          <w:rFonts w:ascii="Arial" w:eastAsia="Arial" w:hAnsi="Arial" w:cs="Arial"/>
          <w:sz w:val="24"/>
          <w:szCs w:val="24"/>
        </w:rPr>
        <w:t>,</w:t>
      </w:r>
      <w:r w:rsidR="00757043" w:rsidRPr="001279DB">
        <w:rPr>
          <w:rFonts w:ascii="Arial" w:eastAsia="Arial" w:hAnsi="Arial" w:cs="Arial"/>
          <w:sz w:val="24"/>
          <w:szCs w:val="24"/>
        </w:rPr>
        <w:t xml:space="preserve"> which it refused</w:t>
      </w:r>
      <w:r w:rsidR="00F814B7" w:rsidRPr="001279DB">
        <w:rPr>
          <w:rFonts w:ascii="Arial" w:eastAsia="Arial" w:hAnsi="Arial" w:cs="Arial"/>
          <w:sz w:val="24"/>
          <w:szCs w:val="24"/>
        </w:rPr>
        <w:t xml:space="preserve"> to accept</w:t>
      </w:r>
      <w:r w:rsidR="005766D2" w:rsidRPr="001279DB">
        <w:rPr>
          <w:rFonts w:ascii="Arial" w:eastAsia="Arial" w:hAnsi="Arial" w:cs="Arial"/>
          <w:sz w:val="24"/>
          <w:szCs w:val="24"/>
        </w:rPr>
        <w:t xml:space="preserve">. </w:t>
      </w:r>
      <w:r w:rsidR="002667D8" w:rsidRPr="001279DB">
        <w:rPr>
          <w:rFonts w:ascii="Arial" w:eastAsia="Arial" w:hAnsi="Arial" w:cs="Arial"/>
          <w:sz w:val="24"/>
          <w:szCs w:val="24"/>
        </w:rPr>
        <w:t xml:space="preserve">It reasoned that it could not </w:t>
      </w:r>
      <w:r w:rsidR="006E4FCB" w:rsidRPr="001279DB">
        <w:rPr>
          <w:rFonts w:ascii="Arial" w:eastAsia="Arial" w:hAnsi="Arial" w:cs="Arial"/>
          <w:sz w:val="24"/>
          <w:szCs w:val="24"/>
        </w:rPr>
        <w:t xml:space="preserve">accept </w:t>
      </w:r>
      <w:r w:rsidR="0058781E" w:rsidRPr="001279DB">
        <w:rPr>
          <w:rFonts w:ascii="Arial" w:eastAsia="Arial" w:hAnsi="Arial" w:cs="Arial"/>
          <w:sz w:val="24"/>
          <w:szCs w:val="24"/>
        </w:rPr>
        <w:t>the</w:t>
      </w:r>
      <w:r w:rsidR="004002DE" w:rsidRPr="001279DB">
        <w:rPr>
          <w:rFonts w:ascii="Arial" w:eastAsia="Arial" w:hAnsi="Arial" w:cs="Arial"/>
          <w:sz w:val="24"/>
          <w:szCs w:val="24"/>
        </w:rPr>
        <w:t xml:space="preserve"> purported termination </w:t>
      </w:r>
      <w:r w:rsidR="002667D8" w:rsidRPr="001279DB">
        <w:rPr>
          <w:rFonts w:ascii="Arial" w:eastAsia="Arial" w:hAnsi="Arial" w:cs="Arial"/>
          <w:sz w:val="24"/>
          <w:szCs w:val="24"/>
        </w:rPr>
        <w:t xml:space="preserve">without </w:t>
      </w:r>
      <w:r w:rsidR="00740A37" w:rsidRPr="001279DB">
        <w:rPr>
          <w:rFonts w:ascii="Arial" w:eastAsia="Arial" w:hAnsi="Arial" w:cs="Arial"/>
          <w:sz w:val="24"/>
          <w:szCs w:val="24"/>
        </w:rPr>
        <w:t xml:space="preserve">Lehlaka </w:t>
      </w:r>
      <w:r w:rsidR="002667D8" w:rsidRPr="001279DB">
        <w:rPr>
          <w:rFonts w:ascii="Arial" w:eastAsia="Arial" w:hAnsi="Arial" w:cs="Arial"/>
          <w:sz w:val="24"/>
          <w:szCs w:val="24"/>
        </w:rPr>
        <w:t>first informing the unlawful occupiers</w:t>
      </w:r>
      <w:r w:rsidR="00757043" w:rsidRPr="001279DB">
        <w:rPr>
          <w:rFonts w:ascii="Arial" w:eastAsia="Arial" w:hAnsi="Arial" w:cs="Arial"/>
          <w:sz w:val="24"/>
          <w:szCs w:val="24"/>
        </w:rPr>
        <w:t xml:space="preserve"> </w:t>
      </w:r>
      <w:r w:rsidR="00DD6BE5" w:rsidRPr="001279DB">
        <w:rPr>
          <w:rFonts w:ascii="Arial" w:eastAsia="Arial" w:hAnsi="Arial" w:cs="Arial"/>
          <w:sz w:val="24"/>
          <w:szCs w:val="24"/>
        </w:rPr>
        <w:t xml:space="preserve">that the electricity supply </w:t>
      </w:r>
      <w:r w:rsidR="00757043" w:rsidRPr="001279DB">
        <w:rPr>
          <w:rFonts w:ascii="Arial" w:eastAsia="Arial" w:hAnsi="Arial" w:cs="Arial"/>
          <w:sz w:val="24"/>
          <w:szCs w:val="24"/>
        </w:rPr>
        <w:t>would be disconnect</w:t>
      </w:r>
      <w:r w:rsidR="00DD6BE5" w:rsidRPr="001279DB">
        <w:rPr>
          <w:rFonts w:ascii="Arial" w:eastAsia="Arial" w:hAnsi="Arial" w:cs="Arial"/>
          <w:sz w:val="24"/>
          <w:szCs w:val="24"/>
        </w:rPr>
        <w:t>ed</w:t>
      </w:r>
      <w:r w:rsidR="005E5E53" w:rsidRPr="001279DB">
        <w:rPr>
          <w:rFonts w:ascii="Arial" w:eastAsia="Arial" w:hAnsi="Arial" w:cs="Arial"/>
          <w:sz w:val="24"/>
          <w:szCs w:val="24"/>
        </w:rPr>
        <w:t>,</w:t>
      </w:r>
      <w:r w:rsidR="00F814B7" w:rsidRPr="001279DB">
        <w:rPr>
          <w:rFonts w:ascii="Arial" w:eastAsia="Arial" w:hAnsi="Arial" w:cs="Arial"/>
          <w:sz w:val="24"/>
          <w:szCs w:val="24"/>
        </w:rPr>
        <w:t xml:space="preserve"> and that a plan needed to be put in place</w:t>
      </w:r>
      <w:r w:rsidR="003325AE" w:rsidRPr="001279DB">
        <w:rPr>
          <w:rFonts w:ascii="Arial" w:eastAsia="Arial" w:hAnsi="Arial" w:cs="Arial"/>
          <w:sz w:val="24"/>
          <w:szCs w:val="24"/>
        </w:rPr>
        <w:t xml:space="preserve"> by Lehlaka</w:t>
      </w:r>
      <w:r w:rsidR="00F814B7" w:rsidRPr="001279DB">
        <w:rPr>
          <w:rFonts w:ascii="Arial" w:eastAsia="Arial" w:hAnsi="Arial" w:cs="Arial"/>
          <w:sz w:val="24"/>
          <w:szCs w:val="24"/>
        </w:rPr>
        <w:t xml:space="preserve"> to relocate the unlawful occupiers</w:t>
      </w:r>
      <w:r w:rsidR="00E81F39" w:rsidRPr="001279DB">
        <w:rPr>
          <w:rFonts w:ascii="Arial" w:eastAsia="Arial" w:hAnsi="Arial" w:cs="Arial"/>
          <w:sz w:val="24"/>
          <w:szCs w:val="24"/>
        </w:rPr>
        <w:t>.</w:t>
      </w:r>
    </w:p>
    <w:p w14:paraId="1609E4E8" w14:textId="77777777" w:rsidR="00B7289D" w:rsidRPr="001279DB" w:rsidRDefault="00B7289D" w:rsidP="00522F18">
      <w:pPr>
        <w:pStyle w:val="ListParagraph"/>
        <w:spacing w:after="0" w:line="360" w:lineRule="auto"/>
        <w:jc w:val="both"/>
        <w:rPr>
          <w:rFonts w:ascii="Arial" w:eastAsia="Arial" w:hAnsi="Arial" w:cs="Arial"/>
          <w:sz w:val="24"/>
          <w:szCs w:val="24"/>
        </w:rPr>
      </w:pPr>
    </w:p>
    <w:p w14:paraId="149F67A2" w14:textId="4F5EF854" w:rsidR="00041518"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[13]</w:t>
      </w:r>
      <w:r w:rsidRPr="001279DB">
        <w:rPr>
          <w:rFonts w:ascii="Arial" w:eastAsia="Arial" w:hAnsi="Arial" w:cs="Arial"/>
          <w:sz w:val="24"/>
          <w:szCs w:val="24"/>
        </w:rPr>
        <w:tab/>
      </w:r>
      <w:r w:rsidR="00231969" w:rsidRPr="001279DB">
        <w:rPr>
          <w:rFonts w:ascii="Arial" w:eastAsia="Arial" w:hAnsi="Arial" w:cs="Arial"/>
          <w:sz w:val="24"/>
          <w:szCs w:val="24"/>
        </w:rPr>
        <w:t xml:space="preserve">As </w:t>
      </w:r>
      <w:r w:rsidR="003325AE" w:rsidRPr="001279DB">
        <w:rPr>
          <w:rFonts w:ascii="Arial" w:eastAsia="Arial" w:hAnsi="Arial" w:cs="Arial"/>
          <w:sz w:val="24"/>
          <w:szCs w:val="24"/>
        </w:rPr>
        <w:t>a result of the Municipality’</w:t>
      </w:r>
      <w:r w:rsidR="00F814B7" w:rsidRPr="001279DB">
        <w:rPr>
          <w:rFonts w:ascii="Arial" w:eastAsia="Arial" w:hAnsi="Arial" w:cs="Arial"/>
          <w:sz w:val="24"/>
          <w:szCs w:val="24"/>
        </w:rPr>
        <w:t>s attitude</w:t>
      </w:r>
      <w:r w:rsidR="006E4FCB" w:rsidRPr="001279DB">
        <w:rPr>
          <w:rFonts w:ascii="Arial" w:eastAsia="Arial" w:hAnsi="Arial" w:cs="Arial"/>
          <w:sz w:val="24"/>
          <w:szCs w:val="24"/>
        </w:rPr>
        <w:t>,</w:t>
      </w:r>
      <w:r w:rsidR="00231969" w:rsidRPr="001279DB">
        <w:rPr>
          <w:rFonts w:ascii="Arial" w:eastAsia="Arial" w:hAnsi="Arial" w:cs="Arial"/>
          <w:sz w:val="24"/>
          <w:szCs w:val="24"/>
        </w:rPr>
        <w:t xml:space="preserve"> Lehlaka</w:t>
      </w:r>
      <w:r w:rsidR="00A952A2" w:rsidRPr="001279DB">
        <w:rPr>
          <w:rFonts w:ascii="Arial" w:eastAsia="Arial" w:hAnsi="Arial" w:cs="Arial"/>
          <w:sz w:val="24"/>
          <w:szCs w:val="24"/>
        </w:rPr>
        <w:t xml:space="preserve"> approached the high court seeking </w:t>
      </w:r>
      <w:r w:rsidR="00231969" w:rsidRPr="001279DB">
        <w:rPr>
          <w:rFonts w:ascii="Arial" w:eastAsia="Arial" w:hAnsi="Arial" w:cs="Arial"/>
          <w:sz w:val="24"/>
          <w:szCs w:val="24"/>
        </w:rPr>
        <w:t>declaratory and consequential relief</w:t>
      </w:r>
      <w:r w:rsidR="00A952A2" w:rsidRPr="001279DB">
        <w:rPr>
          <w:rFonts w:ascii="Arial" w:eastAsia="Arial" w:hAnsi="Arial" w:cs="Arial"/>
          <w:sz w:val="24"/>
          <w:szCs w:val="24"/>
        </w:rPr>
        <w:t>,</w:t>
      </w:r>
      <w:r w:rsidR="00231969" w:rsidRPr="001279DB">
        <w:rPr>
          <w:rFonts w:ascii="Arial" w:eastAsia="Arial" w:hAnsi="Arial" w:cs="Arial"/>
          <w:sz w:val="24"/>
          <w:szCs w:val="24"/>
        </w:rPr>
        <w:t xml:space="preserve"> </w:t>
      </w:r>
      <w:r w:rsidR="00041518" w:rsidRPr="001279DB">
        <w:rPr>
          <w:rFonts w:ascii="Arial" w:eastAsia="Arial" w:hAnsi="Arial" w:cs="Arial"/>
          <w:sz w:val="24"/>
          <w:szCs w:val="24"/>
        </w:rPr>
        <w:t>which was fashioned as follows:</w:t>
      </w:r>
    </w:p>
    <w:p w14:paraId="4257730A" w14:textId="77777777" w:rsidR="001737B4" w:rsidRPr="001279DB" w:rsidRDefault="00231969" w:rsidP="00522F18">
      <w:pPr>
        <w:spacing w:after="0" w:line="360" w:lineRule="auto"/>
        <w:ind w:right="72"/>
        <w:contextualSpacing/>
        <w:jc w:val="both"/>
        <w:rPr>
          <w:rFonts w:ascii="Arial" w:eastAsia="Arial" w:hAnsi="Arial" w:cs="Arial"/>
        </w:rPr>
      </w:pPr>
      <w:r w:rsidRPr="001279DB">
        <w:rPr>
          <w:rFonts w:ascii="Arial" w:eastAsia="Arial" w:hAnsi="Arial" w:cs="Arial"/>
        </w:rPr>
        <w:t xml:space="preserve">‘1. </w:t>
      </w:r>
      <w:r w:rsidR="00DD2525" w:rsidRPr="001279DB">
        <w:rPr>
          <w:rFonts w:ascii="Arial" w:eastAsia="Arial" w:hAnsi="Arial" w:cs="Arial"/>
        </w:rPr>
        <w:tab/>
      </w:r>
      <w:r w:rsidRPr="001279DB">
        <w:rPr>
          <w:rFonts w:ascii="Arial" w:eastAsia="Arial" w:hAnsi="Arial" w:cs="Arial"/>
        </w:rPr>
        <w:t xml:space="preserve">Declaring </w:t>
      </w:r>
      <w:r w:rsidR="00F21D57" w:rsidRPr="001279DB">
        <w:rPr>
          <w:rFonts w:ascii="Arial" w:eastAsia="Arial" w:hAnsi="Arial" w:cs="Arial"/>
        </w:rPr>
        <w:t xml:space="preserve">that the applicant has validly terminated the consumer agreements for the supply of electricity that existed between it and the respondent in </w:t>
      </w:r>
      <w:r w:rsidR="001737B4" w:rsidRPr="001279DB">
        <w:rPr>
          <w:rFonts w:ascii="Arial" w:eastAsia="Arial" w:hAnsi="Arial" w:cs="Arial"/>
        </w:rPr>
        <w:t>respect of the “Rietspruit Properties”, fully described in paragraph 13 of the founding affidavit and also annexure “X” to the notice of motion, with effect from 15 May 2020;</w:t>
      </w:r>
    </w:p>
    <w:p w14:paraId="2FE52186" w14:textId="77777777" w:rsidR="001737B4" w:rsidRPr="001279DB" w:rsidRDefault="001737B4" w:rsidP="00522F18">
      <w:pPr>
        <w:pStyle w:val="Normal1"/>
        <w:pBdr>
          <w:top w:val="nil"/>
          <w:left w:val="nil"/>
          <w:bottom w:val="nil"/>
          <w:right w:val="nil"/>
          <w:between w:val="nil"/>
        </w:pBdr>
        <w:spacing w:after="0" w:line="360" w:lineRule="auto"/>
        <w:ind w:right="72"/>
        <w:contextualSpacing/>
        <w:jc w:val="both"/>
        <w:rPr>
          <w:rFonts w:ascii="Arial" w:eastAsia="Arial" w:hAnsi="Arial" w:cs="Arial"/>
        </w:rPr>
      </w:pPr>
      <w:r w:rsidRPr="001279DB">
        <w:rPr>
          <w:rFonts w:ascii="Arial" w:eastAsia="Arial" w:hAnsi="Arial" w:cs="Arial"/>
        </w:rPr>
        <w:t xml:space="preserve">2. </w:t>
      </w:r>
      <w:r w:rsidR="00DD2525" w:rsidRPr="001279DB">
        <w:rPr>
          <w:rFonts w:ascii="Arial" w:eastAsia="Arial" w:hAnsi="Arial" w:cs="Arial"/>
        </w:rPr>
        <w:tab/>
      </w:r>
      <w:r w:rsidRPr="001279DB">
        <w:rPr>
          <w:rFonts w:ascii="Arial" w:eastAsia="Arial" w:hAnsi="Arial" w:cs="Arial"/>
        </w:rPr>
        <w:t>Declaring that the applicant is not responsible for the payment of any electricity consumed on the Rietspruit Properties after 15 May 2020;</w:t>
      </w:r>
    </w:p>
    <w:p w14:paraId="0443D1D3" w14:textId="77777777" w:rsidR="001737B4" w:rsidRPr="001279DB" w:rsidRDefault="001737B4" w:rsidP="00522F18">
      <w:pPr>
        <w:pStyle w:val="Normal1"/>
        <w:pBdr>
          <w:top w:val="nil"/>
          <w:left w:val="nil"/>
          <w:bottom w:val="nil"/>
          <w:right w:val="nil"/>
          <w:between w:val="nil"/>
        </w:pBdr>
        <w:spacing w:after="0" w:line="360" w:lineRule="auto"/>
        <w:ind w:right="72"/>
        <w:contextualSpacing/>
        <w:jc w:val="both"/>
        <w:rPr>
          <w:rFonts w:ascii="Arial" w:eastAsia="Arial" w:hAnsi="Arial" w:cs="Arial"/>
        </w:rPr>
      </w:pPr>
      <w:r w:rsidRPr="001279DB">
        <w:rPr>
          <w:rFonts w:ascii="Arial" w:eastAsia="Arial" w:hAnsi="Arial" w:cs="Arial"/>
        </w:rPr>
        <w:t xml:space="preserve">3. </w:t>
      </w:r>
      <w:r w:rsidR="00DD2525" w:rsidRPr="001279DB">
        <w:rPr>
          <w:rFonts w:ascii="Arial" w:eastAsia="Arial" w:hAnsi="Arial" w:cs="Arial"/>
        </w:rPr>
        <w:tab/>
      </w:r>
      <w:r w:rsidRPr="001279DB">
        <w:rPr>
          <w:rFonts w:ascii="Arial" w:eastAsia="Arial" w:hAnsi="Arial" w:cs="Arial"/>
        </w:rPr>
        <w:t xml:space="preserve">Ordering the respondent to reverse any amounts it has charged to the applicant’s municipal accounts in respect of the consumption of electricity on the Rietspruit Properties </w:t>
      </w:r>
      <w:r w:rsidR="00584543" w:rsidRPr="001279DB">
        <w:rPr>
          <w:rFonts w:ascii="Arial" w:eastAsia="Arial" w:hAnsi="Arial" w:cs="Arial"/>
        </w:rPr>
        <w:t>since</w:t>
      </w:r>
      <w:r w:rsidRPr="001279DB">
        <w:rPr>
          <w:rFonts w:ascii="Arial" w:eastAsia="Arial" w:hAnsi="Arial" w:cs="Arial"/>
        </w:rPr>
        <w:t xml:space="preserve"> 15 May 2020;</w:t>
      </w:r>
    </w:p>
    <w:p w14:paraId="38D52B59" w14:textId="77777777" w:rsidR="001737B4" w:rsidRPr="001279DB" w:rsidRDefault="001737B4" w:rsidP="00522F18">
      <w:pPr>
        <w:pStyle w:val="Normal1"/>
        <w:pBdr>
          <w:top w:val="nil"/>
          <w:left w:val="nil"/>
          <w:bottom w:val="nil"/>
          <w:right w:val="nil"/>
          <w:between w:val="nil"/>
        </w:pBdr>
        <w:spacing w:after="0" w:line="360" w:lineRule="auto"/>
        <w:ind w:right="72"/>
        <w:contextualSpacing/>
        <w:jc w:val="both"/>
        <w:rPr>
          <w:rFonts w:ascii="Arial" w:eastAsia="Arial" w:hAnsi="Arial" w:cs="Arial"/>
        </w:rPr>
      </w:pPr>
      <w:r w:rsidRPr="001279DB">
        <w:rPr>
          <w:rFonts w:ascii="Arial" w:eastAsia="Arial" w:hAnsi="Arial" w:cs="Arial"/>
        </w:rPr>
        <w:lastRenderedPageBreak/>
        <w:t xml:space="preserve">4. </w:t>
      </w:r>
      <w:r w:rsidR="00DD2525" w:rsidRPr="001279DB">
        <w:rPr>
          <w:rFonts w:ascii="Arial" w:eastAsia="Arial" w:hAnsi="Arial" w:cs="Arial"/>
        </w:rPr>
        <w:tab/>
      </w:r>
      <w:r w:rsidRPr="001279DB">
        <w:rPr>
          <w:rFonts w:ascii="Arial" w:eastAsia="Arial" w:hAnsi="Arial" w:cs="Arial"/>
        </w:rPr>
        <w:t>Interdicting the respondent from issuing any further invoices to the applicant in respect of any electricity consumed on the Rietspruit Properties;</w:t>
      </w:r>
    </w:p>
    <w:p w14:paraId="64ECC8CD" w14:textId="77777777" w:rsidR="001737B4" w:rsidRPr="001279DB" w:rsidRDefault="009340C6" w:rsidP="00522F18">
      <w:pPr>
        <w:pStyle w:val="Normal1"/>
        <w:pBdr>
          <w:top w:val="nil"/>
          <w:left w:val="nil"/>
          <w:bottom w:val="nil"/>
          <w:right w:val="nil"/>
          <w:between w:val="nil"/>
        </w:pBdr>
        <w:spacing w:after="0" w:line="360" w:lineRule="auto"/>
        <w:ind w:right="72"/>
        <w:contextualSpacing/>
        <w:jc w:val="both"/>
        <w:rPr>
          <w:rFonts w:ascii="Arial" w:eastAsia="Arial" w:hAnsi="Arial" w:cs="Arial"/>
        </w:rPr>
      </w:pPr>
      <w:r w:rsidRPr="001279DB">
        <w:rPr>
          <w:rFonts w:ascii="Arial" w:eastAsia="Arial" w:hAnsi="Arial" w:cs="Arial"/>
        </w:rPr>
        <w:t>5.</w:t>
      </w:r>
      <w:r w:rsidRPr="001279DB">
        <w:rPr>
          <w:rFonts w:ascii="Arial" w:eastAsia="Arial" w:hAnsi="Arial" w:cs="Arial"/>
        </w:rPr>
        <w:tab/>
      </w:r>
      <w:r w:rsidR="001737B4" w:rsidRPr="001279DB">
        <w:rPr>
          <w:rFonts w:ascii="Arial" w:eastAsia="Arial" w:hAnsi="Arial" w:cs="Arial"/>
        </w:rPr>
        <w:t>Directing the respondent to pay the costs of this application in the event of opposition; and</w:t>
      </w:r>
    </w:p>
    <w:p w14:paraId="6AE047A6" w14:textId="77777777" w:rsidR="00E81F39" w:rsidRPr="001279DB" w:rsidRDefault="009340C6" w:rsidP="00522F18">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rPr>
        <w:t>6</w:t>
      </w:r>
      <w:r w:rsidR="001737B4" w:rsidRPr="001279DB">
        <w:rPr>
          <w:rFonts w:ascii="Arial" w:eastAsia="Arial" w:hAnsi="Arial" w:cs="Arial"/>
        </w:rPr>
        <w:t xml:space="preserve">. </w:t>
      </w:r>
      <w:r w:rsidR="00DD2525" w:rsidRPr="001279DB">
        <w:rPr>
          <w:rFonts w:ascii="Arial" w:eastAsia="Arial" w:hAnsi="Arial" w:cs="Arial"/>
        </w:rPr>
        <w:tab/>
      </w:r>
      <w:r w:rsidR="00012A54" w:rsidRPr="001279DB">
        <w:rPr>
          <w:rFonts w:ascii="Arial" w:eastAsia="Arial" w:hAnsi="Arial" w:cs="Arial"/>
        </w:rPr>
        <w:t>Further and/or alternative relief</w:t>
      </w:r>
      <w:r w:rsidR="0058781E" w:rsidRPr="001279DB">
        <w:rPr>
          <w:rFonts w:ascii="Arial" w:eastAsia="Arial" w:hAnsi="Arial" w:cs="Arial"/>
        </w:rPr>
        <w:t>.</w:t>
      </w:r>
      <w:r w:rsidR="00012A54" w:rsidRPr="001279DB">
        <w:rPr>
          <w:rFonts w:ascii="Arial" w:eastAsia="Arial" w:hAnsi="Arial" w:cs="Arial"/>
        </w:rPr>
        <w:t>’</w:t>
      </w:r>
    </w:p>
    <w:p w14:paraId="392989B7" w14:textId="77777777" w:rsidR="00277D73" w:rsidRPr="001279DB" w:rsidRDefault="00277D73" w:rsidP="00522F18">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p>
    <w:p w14:paraId="0995063A" w14:textId="61A34370" w:rsidR="0020744E"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[14]</w:t>
      </w:r>
      <w:r w:rsidRPr="001279DB">
        <w:rPr>
          <w:rFonts w:ascii="Arial" w:eastAsia="Arial" w:hAnsi="Arial" w:cs="Arial"/>
          <w:sz w:val="24"/>
          <w:szCs w:val="24"/>
        </w:rPr>
        <w:tab/>
      </w:r>
      <w:r w:rsidR="00AE1B5E" w:rsidRPr="001279DB">
        <w:rPr>
          <w:rFonts w:ascii="Arial" w:eastAsia="Arial" w:hAnsi="Arial" w:cs="Arial"/>
          <w:sz w:val="24"/>
          <w:szCs w:val="24"/>
        </w:rPr>
        <w:t xml:space="preserve">On </w:t>
      </w:r>
      <w:r w:rsidR="00231969" w:rsidRPr="001279DB">
        <w:rPr>
          <w:rFonts w:ascii="Arial" w:eastAsia="Arial" w:hAnsi="Arial" w:cs="Arial"/>
          <w:sz w:val="24"/>
          <w:szCs w:val="24"/>
        </w:rPr>
        <w:t>26 July 2021</w:t>
      </w:r>
      <w:r w:rsidR="00DA4B26" w:rsidRPr="001279DB">
        <w:rPr>
          <w:rFonts w:ascii="Arial" w:eastAsia="Arial" w:hAnsi="Arial" w:cs="Arial"/>
          <w:sz w:val="24"/>
          <w:szCs w:val="24"/>
        </w:rPr>
        <w:t>,</w:t>
      </w:r>
      <w:r w:rsidR="00231969" w:rsidRPr="001279DB">
        <w:rPr>
          <w:rFonts w:ascii="Arial" w:eastAsia="Arial" w:hAnsi="Arial" w:cs="Arial"/>
          <w:sz w:val="24"/>
          <w:szCs w:val="24"/>
        </w:rPr>
        <w:t xml:space="preserve"> </w:t>
      </w:r>
      <w:r w:rsidR="00AE1B5E" w:rsidRPr="001279DB">
        <w:rPr>
          <w:rFonts w:ascii="Arial" w:eastAsia="Arial" w:hAnsi="Arial" w:cs="Arial"/>
          <w:sz w:val="24"/>
          <w:szCs w:val="24"/>
        </w:rPr>
        <w:t xml:space="preserve">the high court </w:t>
      </w:r>
      <w:r w:rsidR="00231969" w:rsidRPr="001279DB">
        <w:rPr>
          <w:rFonts w:ascii="Arial" w:eastAsia="Arial" w:hAnsi="Arial" w:cs="Arial"/>
          <w:sz w:val="24"/>
          <w:szCs w:val="24"/>
        </w:rPr>
        <w:t>gran</w:t>
      </w:r>
      <w:r w:rsidR="007D6921" w:rsidRPr="001279DB">
        <w:rPr>
          <w:rFonts w:ascii="Arial" w:eastAsia="Arial" w:hAnsi="Arial" w:cs="Arial"/>
          <w:sz w:val="24"/>
          <w:szCs w:val="24"/>
        </w:rPr>
        <w:t xml:space="preserve">ted the aforesaid relief </w:t>
      </w:r>
      <w:r w:rsidR="00231969" w:rsidRPr="001279DB">
        <w:rPr>
          <w:rFonts w:ascii="Arial" w:eastAsia="Arial" w:hAnsi="Arial" w:cs="Arial"/>
          <w:sz w:val="24"/>
          <w:szCs w:val="24"/>
        </w:rPr>
        <w:t xml:space="preserve">in its </w:t>
      </w:r>
      <w:r w:rsidR="009A5EC5" w:rsidRPr="001279DB">
        <w:rPr>
          <w:rFonts w:ascii="Arial" w:eastAsia="Arial" w:hAnsi="Arial" w:cs="Arial"/>
          <w:sz w:val="24"/>
          <w:szCs w:val="24"/>
        </w:rPr>
        <w:t>entirety</w:t>
      </w:r>
      <w:r w:rsidR="007D6921" w:rsidRPr="001279DB">
        <w:rPr>
          <w:rFonts w:ascii="Arial" w:eastAsia="Arial" w:hAnsi="Arial" w:cs="Arial"/>
          <w:sz w:val="24"/>
          <w:szCs w:val="24"/>
        </w:rPr>
        <w:t>.</w:t>
      </w:r>
      <w:r w:rsidR="00354FE4" w:rsidRPr="001279DB">
        <w:rPr>
          <w:rFonts w:ascii="Arial" w:eastAsia="Arial" w:hAnsi="Arial" w:cs="Arial"/>
          <w:sz w:val="24"/>
          <w:szCs w:val="24"/>
        </w:rPr>
        <w:t xml:space="preserve"> It is this order that is the subject of</w:t>
      </w:r>
      <w:r w:rsidR="005F6DB8" w:rsidRPr="001279DB">
        <w:rPr>
          <w:rFonts w:ascii="Arial" w:eastAsia="Arial" w:hAnsi="Arial" w:cs="Arial"/>
          <w:sz w:val="24"/>
          <w:szCs w:val="24"/>
        </w:rPr>
        <w:t xml:space="preserve"> this appeal. In the high court</w:t>
      </w:r>
      <w:r w:rsidR="006E4FCB" w:rsidRPr="001279DB">
        <w:rPr>
          <w:rFonts w:ascii="Arial" w:eastAsia="Arial" w:hAnsi="Arial" w:cs="Arial"/>
          <w:sz w:val="24"/>
          <w:szCs w:val="24"/>
        </w:rPr>
        <w:t>,</w:t>
      </w:r>
      <w:r w:rsidR="00354FE4" w:rsidRPr="001279DB">
        <w:rPr>
          <w:rFonts w:ascii="Arial" w:eastAsia="Arial" w:hAnsi="Arial" w:cs="Arial"/>
          <w:sz w:val="24"/>
          <w:szCs w:val="24"/>
        </w:rPr>
        <w:t xml:space="preserve"> the Municipality raised three points </w:t>
      </w:r>
      <w:r w:rsidR="00354FE4" w:rsidRPr="001279DB">
        <w:rPr>
          <w:rFonts w:ascii="Arial" w:eastAsia="Arial" w:hAnsi="Arial" w:cs="Arial"/>
          <w:i/>
          <w:iCs/>
          <w:sz w:val="24"/>
          <w:szCs w:val="24"/>
        </w:rPr>
        <w:t>in limine</w:t>
      </w:r>
      <w:r w:rsidR="005E5348" w:rsidRPr="001279DB">
        <w:rPr>
          <w:rFonts w:ascii="Arial" w:eastAsia="Arial" w:hAnsi="Arial" w:cs="Arial"/>
          <w:sz w:val="24"/>
          <w:szCs w:val="24"/>
        </w:rPr>
        <w:t>.</w:t>
      </w:r>
      <w:r w:rsidR="00550EE7" w:rsidRPr="001279DB">
        <w:rPr>
          <w:rFonts w:ascii="Arial" w:eastAsia="Arial" w:hAnsi="Arial" w:cs="Arial"/>
          <w:sz w:val="24"/>
          <w:szCs w:val="24"/>
        </w:rPr>
        <w:t xml:space="preserve"> </w:t>
      </w:r>
      <w:r w:rsidR="005E5348" w:rsidRPr="001279DB">
        <w:rPr>
          <w:rFonts w:ascii="Arial" w:eastAsia="Arial" w:hAnsi="Arial" w:cs="Arial"/>
          <w:sz w:val="24"/>
          <w:szCs w:val="24"/>
        </w:rPr>
        <w:t>F</w:t>
      </w:r>
      <w:r w:rsidR="006E4FCB" w:rsidRPr="001279DB">
        <w:rPr>
          <w:rFonts w:ascii="Arial" w:eastAsia="Arial" w:hAnsi="Arial" w:cs="Arial"/>
          <w:sz w:val="24"/>
          <w:szCs w:val="24"/>
        </w:rPr>
        <w:t>irst</w:t>
      </w:r>
      <w:r w:rsidR="00B53D94" w:rsidRPr="001279DB">
        <w:rPr>
          <w:rFonts w:ascii="Arial" w:eastAsia="Arial" w:hAnsi="Arial" w:cs="Arial"/>
          <w:sz w:val="24"/>
          <w:szCs w:val="24"/>
        </w:rPr>
        <w:t>,</w:t>
      </w:r>
      <w:r w:rsidR="00DD6BE5" w:rsidRPr="001279DB">
        <w:rPr>
          <w:rFonts w:ascii="Arial" w:eastAsia="Arial" w:hAnsi="Arial" w:cs="Arial"/>
          <w:sz w:val="24"/>
          <w:szCs w:val="24"/>
        </w:rPr>
        <w:t xml:space="preserve"> that</w:t>
      </w:r>
      <w:r w:rsidR="00550EE7" w:rsidRPr="001279DB">
        <w:rPr>
          <w:rFonts w:ascii="Arial" w:eastAsia="Arial" w:hAnsi="Arial" w:cs="Arial"/>
          <w:sz w:val="24"/>
          <w:szCs w:val="24"/>
        </w:rPr>
        <w:t xml:space="preserve"> the</w:t>
      </w:r>
      <w:r w:rsidR="00AE1B5E" w:rsidRPr="001279DB">
        <w:rPr>
          <w:rFonts w:ascii="Arial" w:eastAsia="Arial" w:hAnsi="Arial" w:cs="Arial"/>
          <w:sz w:val="24"/>
          <w:szCs w:val="24"/>
        </w:rPr>
        <w:t xml:space="preserve"> matter was</w:t>
      </w:r>
      <w:r w:rsidR="00A952A2" w:rsidRPr="001279DB">
        <w:rPr>
          <w:rFonts w:ascii="Arial" w:eastAsia="Arial" w:hAnsi="Arial" w:cs="Arial"/>
          <w:sz w:val="24"/>
          <w:szCs w:val="24"/>
        </w:rPr>
        <w:t xml:space="preserve"> premature</w:t>
      </w:r>
      <w:r w:rsidR="007D6921" w:rsidRPr="001279DB">
        <w:rPr>
          <w:rFonts w:ascii="Arial" w:eastAsia="Arial" w:hAnsi="Arial" w:cs="Arial"/>
          <w:sz w:val="24"/>
          <w:szCs w:val="24"/>
        </w:rPr>
        <w:t>,</w:t>
      </w:r>
      <w:r w:rsidR="00A952A2" w:rsidRPr="001279DB">
        <w:rPr>
          <w:rFonts w:ascii="Arial" w:eastAsia="Arial" w:hAnsi="Arial" w:cs="Arial"/>
          <w:sz w:val="24"/>
          <w:szCs w:val="24"/>
        </w:rPr>
        <w:t xml:space="preserve"> as in terms of</w:t>
      </w:r>
      <w:r w:rsidR="00165032" w:rsidRPr="001279DB">
        <w:rPr>
          <w:rFonts w:ascii="Arial" w:eastAsia="Arial" w:hAnsi="Arial" w:cs="Arial"/>
          <w:sz w:val="24"/>
          <w:szCs w:val="24"/>
        </w:rPr>
        <w:t xml:space="preserve"> </w:t>
      </w:r>
      <w:r w:rsidR="00A952A2" w:rsidRPr="001279DB">
        <w:rPr>
          <w:rFonts w:ascii="Arial" w:eastAsia="Arial" w:hAnsi="Arial" w:cs="Arial"/>
          <w:sz w:val="24"/>
          <w:szCs w:val="24"/>
        </w:rPr>
        <w:t xml:space="preserve">s </w:t>
      </w:r>
      <w:r w:rsidR="00AE1B5E" w:rsidRPr="001279DB">
        <w:rPr>
          <w:rFonts w:ascii="Arial" w:eastAsia="Arial" w:hAnsi="Arial" w:cs="Arial"/>
          <w:sz w:val="24"/>
          <w:szCs w:val="24"/>
        </w:rPr>
        <w:t>4(1)</w:t>
      </w:r>
      <w:r w:rsidR="00107051" w:rsidRPr="001279DB">
        <w:rPr>
          <w:rFonts w:ascii="Arial" w:eastAsia="Arial" w:hAnsi="Arial" w:cs="Arial"/>
          <w:sz w:val="24"/>
          <w:szCs w:val="24"/>
        </w:rPr>
        <w:t xml:space="preserve"> of the Electricity By-laws</w:t>
      </w:r>
      <w:r w:rsidR="006E4FCB" w:rsidRPr="001279DB">
        <w:rPr>
          <w:rFonts w:ascii="Arial" w:eastAsia="Arial" w:hAnsi="Arial" w:cs="Arial"/>
          <w:sz w:val="24"/>
          <w:szCs w:val="24"/>
        </w:rPr>
        <w:t>,</w:t>
      </w:r>
      <w:r w:rsidR="00AE1B5E" w:rsidRPr="001279DB">
        <w:rPr>
          <w:rFonts w:ascii="Arial" w:eastAsia="Arial" w:hAnsi="Arial" w:cs="Arial"/>
          <w:sz w:val="24"/>
          <w:szCs w:val="24"/>
        </w:rPr>
        <w:t xml:space="preserve"> the Municipality could terminate the consumer agreement with</w:t>
      </w:r>
      <w:r w:rsidR="005E5348" w:rsidRPr="001279DB">
        <w:rPr>
          <w:rFonts w:ascii="Arial" w:eastAsia="Arial" w:hAnsi="Arial" w:cs="Arial"/>
          <w:sz w:val="24"/>
          <w:szCs w:val="24"/>
        </w:rPr>
        <w:t>in</w:t>
      </w:r>
      <w:r w:rsidR="006E4FCB" w:rsidRPr="001279DB">
        <w:rPr>
          <w:rFonts w:ascii="Arial" w:eastAsia="Arial" w:hAnsi="Arial" w:cs="Arial"/>
          <w:sz w:val="24"/>
          <w:szCs w:val="24"/>
        </w:rPr>
        <w:t xml:space="preserve"> </w:t>
      </w:r>
      <w:r w:rsidR="00AE1B5E" w:rsidRPr="001279DB">
        <w:rPr>
          <w:rFonts w:ascii="Arial" w:eastAsia="Arial" w:hAnsi="Arial" w:cs="Arial"/>
          <w:sz w:val="24"/>
          <w:szCs w:val="24"/>
        </w:rPr>
        <w:t xml:space="preserve">14 days’ notice to the consumer, </w:t>
      </w:r>
      <w:r w:rsidR="006E4FCB" w:rsidRPr="001279DB">
        <w:rPr>
          <w:rFonts w:ascii="Arial" w:eastAsia="Arial" w:hAnsi="Arial" w:cs="Arial"/>
          <w:sz w:val="24"/>
          <w:szCs w:val="24"/>
        </w:rPr>
        <w:t>yet</w:t>
      </w:r>
      <w:r w:rsidR="00DD6BE5" w:rsidRPr="001279DB">
        <w:rPr>
          <w:rFonts w:ascii="Arial" w:eastAsia="Arial" w:hAnsi="Arial" w:cs="Arial"/>
          <w:sz w:val="24"/>
          <w:szCs w:val="24"/>
        </w:rPr>
        <w:t>,</w:t>
      </w:r>
      <w:r w:rsidR="00AE1B5E" w:rsidRPr="001279DB">
        <w:rPr>
          <w:rFonts w:ascii="Arial" w:eastAsia="Arial" w:hAnsi="Arial" w:cs="Arial"/>
          <w:sz w:val="24"/>
          <w:szCs w:val="24"/>
        </w:rPr>
        <w:t xml:space="preserve"> it had not given such notice</w:t>
      </w:r>
      <w:r w:rsidR="005E5348" w:rsidRPr="001279DB">
        <w:rPr>
          <w:rFonts w:ascii="Arial" w:eastAsia="Arial" w:hAnsi="Arial" w:cs="Arial"/>
          <w:sz w:val="24"/>
          <w:szCs w:val="24"/>
        </w:rPr>
        <w:t>.</w:t>
      </w:r>
      <w:r w:rsidR="00550EE7" w:rsidRPr="001279DB">
        <w:rPr>
          <w:rFonts w:ascii="Arial" w:eastAsia="Arial" w:hAnsi="Arial" w:cs="Arial"/>
          <w:sz w:val="24"/>
          <w:szCs w:val="24"/>
        </w:rPr>
        <w:t xml:space="preserve"> </w:t>
      </w:r>
      <w:r w:rsidR="005065E8" w:rsidRPr="001279DB">
        <w:rPr>
          <w:rFonts w:ascii="Arial" w:eastAsia="Arial" w:hAnsi="Arial" w:cs="Arial"/>
          <w:sz w:val="24"/>
          <w:szCs w:val="24"/>
        </w:rPr>
        <w:t>Before us, counsel for the Municipality, correctly so, abandoned this point</w:t>
      </w:r>
      <w:r w:rsidR="005065E8" w:rsidRPr="001279DB">
        <w:rPr>
          <w:rFonts w:ascii="Arial" w:eastAsia="Arial" w:hAnsi="Arial" w:cs="Arial"/>
          <w:i/>
          <w:sz w:val="24"/>
          <w:szCs w:val="24"/>
        </w:rPr>
        <w:t xml:space="preserve"> in limine</w:t>
      </w:r>
      <w:r w:rsidR="005065E8" w:rsidRPr="001279DB">
        <w:rPr>
          <w:rFonts w:ascii="Arial" w:eastAsia="Arial" w:hAnsi="Arial" w:cs="Arial"/>
          <w:sz w:val="24"/>
          <w:szCs w:val="24"/>
        </w:rPr>
        <w:t xml:space="preserve">. </w:t>
      </w:r>
      <w:r w:rsidR="005E5348" w:rsidRPr="001279DB">
        <w:rPr>
          <w:rFonts w:ascii="Arial" w:eastAsia="Arial" w:hAnsi="Arial" w:cs="Arial"/>
          <w:sz w:val="24"/>
          <w:szCs w:val="24"/>
        </w:rPr>
        <w:t>S</w:t>
      </w:r>
      <w:r w:rsidR="006E4FCB" w:rsidRPr="001279DB">
        <w:rPr>
          <w:rFonts w:ascii="Arial" w:eastAsia="Arial" w:hAnsi="Arial" w:cs="Arial"/>
          <w:sz w:val="24"/>
          <w:szCs w:val="24"/>
        </w:rPr>
        <w:t xml:space="preserve">econd, </w:t>
      </w:r>
      <w:r w:rsidR="00AE1B5E" w:rsidRPr="001279DB">
        <w:rPr>
          <w:rFonts w:ascii="Arial" w:eastAsia="Arial" w:hAnsi="Arial" w:cs="Arial"/>
          <w:sz w:val="24"/>
          <w:szCs w:val="24"/>
        </w:rPr>
        <w:t xml:space="preserve">the </w:t>
      </w:r>
      <w:r w:rsidR="005E5348" w:rsidRPr="001279DB">
        <w:rPr>
          <w:rFonts w:ascii="Arial" w:eastAsia="Arial" w:hAnsi="Arial" w:cs="Arial"/>
          <w:sz w:val="24"/>
          <w:szCs w:val="24"/>
        </w:rPr>
        <w:t>decision of the Municipality not to accept Lehlaka’s</w:t>
      </w:r>
      <w:r w:rsidR="00550EE7" w:rsidRPr="001279DB">
        <w:rPr>
          <w:rFonts w:ascii="Arial" w:eastAsia="Arial" w:hAnsi="Arial" w:cs="Arial"/>
          <w:sz w:val="24"/>
          <w:szCs w:val="24"/>
        </w:rPr>
        <w:t xml:space="preserve"> termination of the agreement </w:t>
      </w:r>
      <w:r w:rsidR="00FA4E99" w:rsidRPr="001279DB">
        <w:rPr>
          <w:rFonts w:ascii="Arial" w:eastAsia="Arial" w:hAnsi="Arial" w:cs="Arial"/>
          <w:sz w:val="24"/>
          <w:szCs w:val="24"/>
        </w:rPr>
        <w:t xml:space="preserve">was </w:t>
      </w:r>
      <w:r w:rsidR="00867EA6" w:rsidRPr="001279DB">
        <w:rPr>
          <w:rFonts w:ascii="Arial" w:eastAsia="Arial" w:hAnsi="Arial" w:cs="Arial"/>
          <w:sz w:val="24"/>
          <w:szCs w:val="24"/>
        </w:rPr>
        <w:t>an administrative</w:t>
      </w:r>
      <w:r w:rsidR="00FA4E99" w:rsidRPr="001279DB">
        <w:rPr>
          <w:rFonts w:ascii="Arial" w:eastAsia="Arial" w:hAnsi="Arial" w:cs="Arial"/>
          <w:sz w:val="24"/>
          <w:szCs w:val="24"/>
        </w:rPr>
        <w:t xml:space="preserve"> action, and thus, the procedure </w:t>
      </w:r>
      <w:r w:rsidR="007D6921" w:rsidRPr="001279DB">
        <w:rPr>
          <w:rFonts w:ascii="Arial" w:eastAsia="Arial" w:hAnsi="Arial" w:cs="Arial"/>
          <w:sz w:val="24"/>
          <w:szCs w:val="24"/>
        </w:rPr>
        <w:t xml:space="preserve">that </w:t>
      </w:r>
      <w:r w:rsidR="00FA4E99" w:rsidRPr="001279DB">
        <w:rPr>
          <w:rFonts w:ascii="Arial" w:eastAsia="Arial" w:hAnsi="Arial" w:cs="Arial"/>
          <w:sz w:val="24"/>
          <w:szCs w:val="24"/>
        </w:rPr>
        <w:t xml:space="preserve">ought to have been </w:t>
      </w:r>
      <w:r w:rsidR="007D6921" w:rsidRPr="001279DB">
        <w:rPr>
          <w:rFonts w:ascii="Arial" w:eastAsia="Arial" w:hAnsi="Arial" w:cs="Arial"/>
          <w:sz w:val="24"/>
          <w:szCs w:val="24"/>
        </w:rPr>
        <w:t xml:space="preserve">adopted was </w:t>
      </w:r>
      <w:r w:rsidR="00FA4E99" w:rsidRPr="001279DB">
        <w:rPr>
          <w:rFonts w:ascii="Arial" w:eastAsia="Arial" w:hAnsi="Arial" w:cs="Arial"/>
          <w:sz w:val="24"/>
          <w:szCs w:val="24"/>
        </w:rPr>
        <w:t xml:space="preserve">by way of review </w:t>
      </w:r>
      <w:r w:rsidR="00B53D94" w:rsidRPr="001279DB">
        <w:rPr>
          <w:rFonts w:ascii="Arial" w:eastAsia="Arial" w:hAnsi="Arial" w:cs="Arial"/>
          <w:sz w:val="24"/>
          <w:szCs w:val="24"/>
        </w:rPr>
        <w:t>under the Promotion of Administrative Justice</w:t>
      </w:r>
      <w:r w:rsidR="003F777B" w:rsidRPr="001279DB">
        <w:rPr>
          <w:rFonts w:ascii="Arial" w:eastAsia="Arial" w:hAnsi="Arial" w:cs="Arial"/>
          <w:sz w:val="24"/>
          <w:szCs w:val="24"/>
        </w:rPr>
        <w:t xml:space="preserve"> </w:t>
      </w:r>
      <w:r w:rsidR="00B53D94" w:rsidRPr="001279DB">
        <w:rPr>
          <w:rFonts w:ascii="Arial" w:eastAsia="Arial" w:hAnsi="Arial" w:cs="Arial"/>
          <w:sz w:val="24"/>
          <w:szCs w:val="24"/>
        </w:rPr>
        <w:t>Act</w:t>
      </w:r>
      <w:r w:rsidR="003D4178" w:rsidRPr="001279DB">
        <w:rPr>
          <w:rFonts w:ascii="Arial" w:eastAsia="Arial" w:hAnsi="Arial" w:cs="Arial"/>
          <w:sz w:val="24"/>
          <w:szCs w:val="24"/>
        </w:rPr>
        <w:t xml:space="preserve"> </w:t>
      </w:r>
      <w:r w:rsidR="00A041D1" w:rsidRPr="001279DB">
        <w:rPr>
          <w:rFonts w:ascii="Arial" w:eastAsia="Arial" w:hAnsi="Arial" w:cs="Arial"/>
          <w:sz w:val="24"/>
          <w:szCs w:val="24"/>
        </w:rPr>
        <w:t xml:space="preserve">3 of 2000 </w:t>
      </w:r>
      <w:r w:rsidR="00B53D94" w:rsidRPr="001279DB">
        <w:rPr>
          <w:rFonts w:ascii="Arial" w:eastAsia="Arial" w:hAnsi="Arial" w:cs="Arial"/>
          <w:sz w:val="24"/>
          <w:szCs w:val="24"/>
        </w:rPr>
        <w:t>(PAJA)</w:t>
      </w:r>
      <w:r w:rsidR="00345948" w:rsidRPr="001279DB">
        <w:rPr>
          <w:rStyle w:val="FootnoteReference"/>
          <w:rFonts w:ascii="Arial" w:eastAsia="Arial" w:hAnsi="Arial" w:cs="Arial"/>
          <w:sz w:val="24"/>
          <w:szCs w:val="24"/>
        </w:rPr>
        <w:t xml:space="preserve"> </w:t>
      </w:r>
      <w:r w:rsidR="00FA4E99" w:rsidRPr="001279DB">
        <w:rPr>
          <w:rFonts w:ascii="Arial" w:eastAsia="Arial" w:hAnsi="Arial" w:cs="Arial"/>
          <w:sz w:val="24"/>
          <w:szCs w:val="24"/>
        </w:rPr>
        <w:t>and not declaratory or interdictory</w:t>
      </w:r>
      <w:r w:rsidR="00B41E82" w:rsidRPr="001279DB">
        <w:rPr>
          <w:rFonts w:ascii="Arial" w:eastAsia="Arial" w:hAnsi="Arial" w:cs="Arial"/>
          <w:sz w:val="24"/>
          <w:szCs w:val="24"/>
        </w:rPr>
        <w:t xml:space="preserve"> relief</w:t>
      </w:r>
      <w:r w:rsidR="00FA4E99" w:rsidRPr="001279DB">
        <w:rPr>
          <w:rFonts w:ascii="Arial" w:eastAsia="Arial" w:hAnsi="Arial" w:cs="Arial"/>
          <w:sz w:val="24"/>
          <w:szCs w:val="24"/>
        </w:rPr>
        <w:t>, as sought by Lehlaka</w:t>
      </w:r>
      <w:r w:rsidR="00B53D94" w:rsidRPr="001279DB">
        <w:rPr>
          <w:rFonts w:ascii="Arial" w:eastAsia="Arial" w:hAnsi="Arial" w:cs="Arial"/>
          <w:sz w:val="24"/>
          <w:szCs w:val="24"/>
        </w:rPr>
        <w:t xml:space="preserve">. </w:t>
      </w:r>
      <w:r w:rsidR="0058781E" w:rsidRPr="001279DB">
        <w:rPr>
          <w:rFonts w:ascii="Arial" w:eastAsia="Arial" w:hAnsi="Arial" w:cs="Arial"/>
          <w:sz w:val="24"/>
          <w:szCs w:val="24"/>
        </w:rPr>
        <w:t>T</w:t>
      </w:r>
      <w:r w:rsidR="00B53D94" w:rsidRPr="001279DB">
        <w:rPr>
          <w:rFonts w:ascii="Arial" w:eastAsia="Arial" w:hAnsi="Arial" w:cs="Arial"/>
          <w:sz w:val="24"/>
          <w:szCs w:val="24"/>
        </w:rPr>
        <w:t>hird,</w:t>
      </w:r>
      <w:r w:rsidR="0058781E" w:rsidRPr="001279DB">
        <w:rPr>
          <w:rFonts w:ascii="Arial" w:eastAsia="Arial" w:hAnsi="Arial" w:cs="Arial"/>
          <w:sz w:val="24"/>
          <w:szCs w:val="24"/>
        </w:rPr>
        <w:t xml:space="preserve"> was</w:t>
      </w:r>
      <w:r w:rsidR="00B53D94" w:rsidRPr="001279DB">
        <w:rPr>
          <w:rFonts w:ascii="Arial" w:eastAsia="Arial" w:hAnsi="Arial" w:cs="Arial"/>
          <w:sz w:val="24"/>
          <w:szCs w:val="24"/>
        </w:rPr>
        <w:t xml:space="preserve"> </w:t>
      </w:r>
      <w:r w:rsidR="00FA4E99" w:rsidRPr="001279DB">
        <w:rPr>
          <w:rFonts w:ascii="Arial" w:eastAsia="Arial" w:hAnsi="Arial" w:cs="Arial"/>
          <w:sz w:val="24"/>
          <w:szCs w:val="24"/>
        </w:rPr>
        <w:t>the issue of non-join</w:t>
      </w:r>
      <w:r w:rsidR="007D6921" w:rsidRPr="001279DB">
        <w:rPr>
          <w:rFonts w:ascii="Arial" w:eastAsia="Arial" w:hAnsi="Arial" w:cs="Arial"/>
          <w:sz w:val="24"/>
          <w:szCs w:val="24"/>
        </w:rPr>
        <w:t>der of the unlawful occupiers on</w:t>
      </w:r>
      <w:r w:rsidR="00FA4E99" w:rsidRPr="001279DB">
        <w:rPr>
          <w:rFonts w:ascii="Arial" w:eastAsia="Arial" w:hAnsi="Arial" w:cs="Arial"/>
          <w:sz w:val="24"/>
          <w:szCs w:val="24"/>
        </w:rPr>
        <w:t xml:space="preserve"> the property of Lehlaka</w:t>
      </w:r>
      <w:r w:rsidR="00DD22F3" w:rsidRPr="001279DB">
        <w:rPr>
          <w:rFonts w:ascii="Arial" w:eastAsia="Arial" w:hAnsi="Arial" w:cs="Arial"/>
          <w:sz w:val="24"/>
          <w:szCs w:val="24"/>
        </w:rPr>
        <w:t>.</w:t>
      </w:r>
    </w:p>
    <w:p w14:paraId="351CA342" w14:textId="77777777" w:rsidR="00B7289D" w:rsidRPr="001279DB" w:rsidRDefault="00B7289D" w:rsidP="00522F18">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p>
    <w:p w14:paraId="26AFD9B2" w14:textId="74A7BA4E" w:rsidR="00B41E82"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[15]</w:t>
      </w:r>
      <w:r w:rsidRPr="001279DB">
        <w:rPr>
          <w:rFonts w:ascii="Arial" w:eastAsia="Arial" w:hAnsi="Arial" w:cs="Arial"/>
          <w:sz w:val="24"/>
          <w:szCs w:val="24"/>
        </w:rPr>
        <w:tab/>
      </w:r>
      <w:r w:rsidR="007217C1" w:rsidRPr="001279DB">
        <w:rPr>
          <w:rFonts w:ascii="Arial" w:eastAsia="Arial" w:hAnsi="Arial" w:cs="Arial"/>
          <w:sz w:val="24"/>
          <w:szCs w:val="24"/>
        </w:rPr>
        <w:t>The high court did not interr</w:t>
      </w:r>
      <w:r w:rsidR="00FE6569" w:rsidRPr="001279DB">
        <w:rPr>
          <w:rFonts w:ascii="Arial" w:eastAsia="Arial" w:hAnsi="Arial" w:cs="Arial"/>
          <w:sz w:val="24"/>
          <w:szCs w:val="24"/>
        </w:rPr>
        <w:t>ogate the</w:t>
      </w:r>
      <w:r w:rsidR="007217C1" w:rsidRPr="001279DB">
        <w:rPr>
          <w:rFonts w:ascii="Arial" w:eastAsia="Arial" w:hAnsi="Arial" w:cs="Arial"/>
          <w:sz w:val="24"/>
          <w:szCs w:val="24"/>
        </w:rPr>
        <w:t>s</w:t>
      </w:r>
      <w:r w:rsidR="00FE6569" w:rsidRPr="001279DB">
        <w:rPr>
          <w:rFonts w:ascii="Arial" w:eastAsia="Arial" w:hAnsi="Arial" w:cs="Arial"/>
          <w:sz w:val="24"/>
          <w:szCs w:val="24"/>
        </w:rPr>
        <w:t>e</w:t>
      </w:r>
      <w:r w:rsidR="007217C1" w:rsidRPr="001279DB">
        <w:rPr>
          <w:rFonts w:ascii="Arial" w:eastAsia="Arial" w:hAnsi="Arial" w:cs="Arial"/>
          <w:sz w:val="24"/>
          <w:szCs w:val="24"/>
        </w:rPr>
        <w:t xml:space="preserve"> point</w:t>
      </w:r>
      <w:r w:rsidR="00FE6569" w:rsidRPr="001279DB">
        <w:rPr>
          <w:rFonts w:ascii="Arial" w:eastAsia="Arial" w:hAnsi="Arial" w:cs="Arial"/>
          <w:sz w:val="24"/>
          <w:szCs w:val="24"/>
        </w:rPr>
        <w:t>s</w:t>
      </w:r>
      <w:r w:rsidR="007217C1" w:rsidRPr="001279DB">
        <w:rPr>
          <w:rFonts w:ascii="Arial" w:eastAsia="Arial" w:hAnsi="Arial" w:cs="Arial"/>
          <w:sz w:val="24"/>
          <w:szCs w:val="24"/>
        </w:rPr>
        <w:t xml:space="preserve"> </w:t>
      </w:r>
      <w:r w:rsidR="003325AE" w:rsidRPr="001279DB">
        <w:rPr>
          <w:rFonts w:ascii="Arial" w:eastAsia="Arial" w:hAnsi="Arial" w:cs="Arial"/>
          <w:i/>
          <w:sz w:val="24"/>
          <w:szCs w:val="24"/>
        </w:rPr>
        <w:t>in limine</w:t>
      </w:r>
      <w:r w:rsidR="003325AE" w:rsidRPr="001279DB">
        <w:rPr>
          <w:rFonts w:ascii="Arial" w:eastAsia="Arial" w:hAnsi="Arial" w:cs="Arial"/>
          <w:sz w:val="24"/>
          <w:szCs w:val="24"/>
        </w:rPr>
        <w:t xml:space="preserve"> </w:t>
      </w:r>
      <w:r w:rsidR="007217C1" w:rsidRPr="001279DB">
        <w:rPr>
          <w:rFonts w:ascii="Arial" w:eastAsia="Arial" w:hAnsi="Arial" w:cs="Arial"/>
          <w:sz w:val="24"/>
          <w:szCs w:val="24"/>
        </w:rPr>
        <w:t>at all. Yet</w:t>
      </w:r>
      <w:r w:rsidR="00EB6A65" w:rsidRPr="001279DB">
        <w:rPr>
          <w:rFonts w:ascii="Arial" w:eastAsia="Arial" w:hAnsi="Arial" w:cs="Arial"/>
          <w:sz w:val="24"/>
          <w:szCs w:val="24"/>
        </w:rPr>
        <w:t>,</w:t>
      </w:r>
      <w:r w:rsidR="007217C1" w:rsidRPr="001279DB">
        <w:rPr>
          <w:rFonts w:ascii="Arial" w:eastAsia="Arial" w:hAnsi="Arial" w:cs="Arial"/>
          <w:sz w:val="24"/>
          <w:szCs w:val="24"/>
        </w:rPr>
        <w:t xml:space="preserve"> it found </w:t>
      </w:r>
      <w:r w:rsidR="0020744E" w:rsidRPr="001279DB">
        <w:rPr>
          <w:rFonts w:ascii="Arial" w:eastAsia="Arial" w:hAnsi="Arial" w:cs="Arial"/>
          <w:sz w:val="24"/>
          <w:szCs w:val="24"/>
        </w:rPr>
        <w:t>that ‘[t]he non-joinder issue perhaps is a smoke screen’</w:t>
      </w:r>
      <w:r w:rsidR="00B41E82" w:rsidRPr="001279DB">
        <w:rPr>
          <w:rFonts w:ascii="Arial" w:eastAsia="Arial" w:hAnsi="Arial" w:cs="Arial"/>
          <w:sz w:val="24"/>
          <w:szCs w:val="24"/>
        </w:rPr>
        <w:t>.</w:t>
      </w:r>
      <w:r w:rsidR="00616354" w:rsidRPr="001279DB">
        <w:rPr>
          <w:rFonts w:ascii="Arial" w:eastAsia="Arial" w:hAnsi="Arial" w:cs="Arial"/>
          <w:sz w:val="24"/>
          <w:szCs w:val="24"/>
        </w:rPr>
        <w:t xml:space="preserve"> </w:t>
      </w:r>
    </w:p>
    <w:p w14:paraId="433F366A" w14:textId="77777777" w:rsidR="00B41E82" w:rsidRPr="001279DB" w:rsidRDefault="00B41E82" w:rsidP="00522F18">
      <w:pPr>
        <w:pStyle w:val="ListParagraph"/>
        <w:spacing w:after="0" w:line="360" w:lineRule="auto"/>
        <w:rPr>
          <w:rFonts w:ascii="Arial" w:eastAsia="Arial" w:hAnsi="Arial" w:cs="Arial"/>
          <w:sz w:val="24"/>
          <w:szCs w:val="24"/>
        </w:rPr>
      </w:pPr>
    </w:p>
    <w:p w14:paraId="6B17558D" w14:textId="454B4BCC" w:rsidR="00E22F27"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[16]</w:t>
      </w:r>
      <w:r w:rsidRPr="001279DB">
        <w:rPr>
          <w:rFonts w:ascii="Arial" w:eastAsia="Arial" w:hAnsi="Arial" w:cs="Arial"/>
          <w:sz w:val="24"/>
          <w:szCs w:val="24"/>
        </w:rPr>
        <w:tab/>
      </w:r>
      <w:r w:rsidR="00616354" w:rsidRPr="001279DB">
        <w:rPr>
          <w:rFonts w:ascii="Arial" w:eastAsia="Arial" w:hAnsi="Arial" w:cs="Arial"/>
          <w:sz w:val="24"/>
          <w:szCs w:val="24"/>
        </w:rPr>
        <w:t xml:space="preserve">I first deal with the issue of non-joinder as it would be dispositive of the appeal, if found to be a </w:t>
      </w:r>
      <w:r w:rsidR="004452E1" w:rsidRPr="001279DB">
        <w:rPr>
          <w:rFonts w:ascii="Arial" w:eastAsia="Arial" w:hAnsi="Arial" w:cs="Arial"/>
          <w:sz w:val="24"/>
          <w:szCs w:val="24"/>
        </w:rPr>
        <w:t>good</w:t>
      </w:r>
      <w:r w:rsidR="00616354" w:rsidRPr="001279DB">
        <w:rPr>
          <w:rFonts w:ascii="Arial" w:eastAsia="Arial" w:hAnsi="Arial" w:cs="Arial"/>
          <w:sz w:val="24"/>
          <w:szCs w:val="24"/>
        </w:rPr>
        <w:t xml:space="preserve"> point. </w:t>
      </w:r>
      <w:r w:rsidR="003D4178" w:rsidRPr="001279DB">
        <w:rPr>
          <w:rFonts w:ascii="Arial" w:eastAsia="Arial" w:hAnsi="Arial" w:cs="Arial"/>
          <w:sz w:val="24"/>
          <w:szCs w:val="24"/>
        </w:rPr>
        <w:t xml:space="preserve">In </w:t>
      </w:r>
      <w:r w:rsidR="00616354" w:rsidRPr="001279DB">
        <w:rPr>
          <w:rFonts w:ascii="Arial" w:eastAsia="Arial" w:hAnsi="Arial" w:cs="Arial"/>
          <w:i/>
          <w:sz w:val="24"/>
          <w:szCs w:val="24"/>
        </w:rPr>
        <w:t xml:space="preserve">Matjhabeng Local </w:t>
      </w:r>
      <w:r w:rsidR="004A78F3" w:rsidRPr="001279DB">
        <w:rPr>
          <w:rFonts w:ascii="Arial" w:eastAsia="Arial" w:hAnsi="Arial" w:cs="Arial"/>
          <w:i/>
          <w:sz w:val="24"/>
          <w:szCs w:val="24"/>
        </w:rPr>
        <w:t>Municipality</w:t>
      </w:r>
      <w:r w:rsidR="00616354" w:rsidRPr="001279DB">
        <w:rPr>
          <w:rFonts w:ascii="Arial" w:eastAsia="Arial" w:hAnsi="Arial" w:cs="Arial"/>
          <w:i/>
          <w:sz w:val="24"/>
          <w:szCs w:val="24"/>
        </w:rPr>
        <w:t xml:space="preserve"> v Eskom Holdings Limited and Others</w:t>
      </w:r>
      <w:r w:rsidR="007642D4" w:rsidRPr="001279DB">
        <w:rPr>
          <w:rFonts w:ascii="Arial" w:eastAsia="Arial" w:hAnsi="Arial" w:cs="Arial"/>
          <w:sz w:val="24"/>
          <w:szCs w:val="24"/>
        </w:rPr>
        <w:t>,</w:t>
      </w:r>
      <w:r w:rsidR="007642D4" w:rsidRPr="001279DB">
        <w:rPr>
          <w:rStyle w:val="FootnoteReference"/>
          <w:rFonts w:ascii="Arial" w:eastAsia="Arial" w:hAnsi="Arial" w:cs="Arial"/>
          <w:sz w:val="24"/>
          <w:szCs w:val="24"/>
        </w:rPr>
        <w:footnoteReference w:id="3"/>
      </w:r>
      <w:r w:rsidR="00616354" w:rsidRPr="001279DB">
        <w:rPr>
          <w:rFonts w:ascii="Arial" w:eastAsia="Arial" w:hAnsi="Arial" w:cs="Arial"/>
          <w:sz w:val="24"/>
          <w:szCs w:val="24"/>
        </w:rPr>
        <w:t xml:space="preserve"> </w:t>
      </w:r>
      <w:r w:rsidR="003D4178" w:rsidRPr="001279DB">
        <w:rPr>
          <w:rFonts w:ascii="Arial" w:eastAsia="Arial" w:hAnsi="Arial" w:cs="Arial"/>
          <w:sz w:val="24"/>
          <w:szCs w:val="24"/>
        </w:rPr>
        <w:t xml:space="preserve">the Constitutional Court held </w:t>
      </w:r>
      <w:r w:rsidR="00616354" w:rsidRPr="001279DB">
        <w:rPr>
          <w:rFonts w:ascii="Arial" w:eastAsia="Arial" w:hAnsi="Arial" w:cs="Arial"/>
          <w:sz w:val="24"/>
          <w:szCs w:val="24"/>
        </w:rPr>
        <w:t xml:space="preserve">the </w:t>
      </w:r>
      <w:r w:rsidR="00A4218D" w:rsidRPr="001279DB">
        <w:rPr>
          <w:rFonts w:ascii="Arial" w:eastAsia="Arial" w:hAnsi="Arial" w:cs="Arial"/>
          <w:sz w:val="24"/>
          <w:szCs w:val="24"/>
        </w:rPr>
        <w:t>following:</w:t>
      </w:r>
    </w:p>
    <w:p w14:paraId="7939E247" w14:textId="77777777" w:rsidR="00B7289D" w:rsidRPr="001279DB" w:rsidRDefault="00616354" w:rsidP="00522F18">
      <w:pPr>
        <w:pStyle w:val="Normal1"/>
        <w:pBdr>
          <w:top w:val="nil"/>
          <w:left w:val="nil"/>
          <w:bottom w:val="nil"/>
          <w:right w:val="nil"/>
          <w:between w:val="nil"/>
        </w:pBdr>
        <w:spacing w:after="0" w:line="360" w:lineRule="auto"/>
        <w:ind w:right="72"/>
        <w:contextualSpacing/>
        <w:jc w:val="both"/>
        <w:rPr>
          <w:rFonts w:ascii="Arial" w:hAnsi="Arial" w:cs="Arial"/>
          <w:i/>
          <w:sz w:val="24"/>
          <w:szCs w:val="24"/>
        </w:rPr>
      </w:pPr>
      <w:r w:rsidRPr="001279DB">
        <w:rPr>
          <w:rFonts w:ascii="Arial" w:eastAsia="Arial" w:hAnsi="Arial" w:cs="Arial"/>
        </w:rPr>
        <w:t>‘</w:t>
      </w:r>
      <w:r w:rsidRPr="001279DB">
        <w:rPr>
          <w:rFonts w:ascii="Arial" w:hAnsi="Arial" w:cs="Arial"/>
        </w:rPr>
        <w:t>At common law, courts have an inherent power to order joinder of parties where it is necessary to do so even when there is no substantive application for joinder.</w:t>
      </w:r>
      <w:r w:rsidR="003F4AAB" w:rsidRPr="001279DB">
        <w:rPr>
          <w:rFonts w:ascii="Arial" w:hAnsi="Arial" w:cs="Arial"/>
        </w:rPr>
        <w:t xml:space="preserve"> </w:t>
      </w:r>
      <w:r w:rsidRPr="001279DB">
        <w:rPr>
          <w:rFonts w:ascii="Arial" w:hAnsi="Arial" w:cs="Arial"/>
          <w:i/>
        </w:rPr>
        <w:t>A court could, mero motu, raise a question of joinder to safeguard the interest of a necessary party and decline to hear a matter until joinder has been effected. This is consistent with the Constitution</w:t>
      </w:r>
      <w:r w:rsidR="005111B9" w:rsidRPr="001279DB">
        <w:rPr>
          <w:rFonts w:ascii="Arial" w:hAnsi="Arial" w:cs="Arial"/>
        </w:rPr>
        <w:t>.’</w:t>
      </w:r>
      <w:r w:rsidR="005111B9" w:rsidRPr="001279DB">
        <w:rPr>
          <w:rStyle w:val="FootnoteReference"/>
          <w:rFonts w:ascii="Arial" w:hAnsi="Arial" w:cs="Arial"/>
        </w:rPr>
        <w:footnoteReference w:id="4"/>
      </w:r>
      <w:r w:rsidRPr="001279DB">
        <w:rPr>
          <w:rFonts w:ascii="Arial" w:hAnsi="Arial" w:cs="Arial"/>
        </w:rPr>
        <w:t xml:space="preserve"> </w:t>
      </w:r>
      <w:r w:rsidR="00A41833" w:rsidRPr="001279DB">
        <w:rPr>
          <w:rFonts w:ascii="Arial" w:hAnsi="Arial" w:cs="Arial"/>
        </w:rPr>
        <w:t>(</w:t>
      </w:r>
      <w:r w:rsidR="00606482" w:rsidRPr="001279DB">
        <w:rPr>
          <w:rFonts w:ascii="Arial" w:hAnsi="Arial" w:cs="Arial"/>
        </w:rPr>
        <w:t>Emphasis add</w:t>
      </w:r>
      <w:r w:rsidR="0058781E" w:rsidRPr="001279DB">
        <w:rPr>
          <w:rFonts w:ascii="Arial" w:hAnsi="Arial" w:cs="Arial"/>
        </w:rPr>
        <w:t>ed</w:t>
      </w:r>
      <w:r w:rsidR="001F66F9" w:rsidRPr="001279DB">
        <w:rPr>
          <w:rFonts w:ascii="Arial" w:hAnsi="Arial" w:cs="Arial"/>
        </w:rPr>
        <w:t>.</w:t>
      </w:r>
      <w:r w:rsidR="00A41833" w:rsidRPr="001279DB">
        <w:rPr>
          <w:rFonts w:ascii="Arial" w:hAnsi="Arial" w:cs="Arial"/>
        </w:rPr>
        <w:t>)</w:t>
      </w:r>
    </w:p>
    <w:p w14:paraId="3CAAB8E7" w14:textId="77777777" w:rsidR="005111B9" w:rsidRPr="001279DB" w:rsidRDefault="005111B9" w:rsidP="00522F18">
      <w:pPr>
        <w:pStyle w:val="Normal1"/>
        <w:pBdr>
          <w:top w:val="nil"/>
          <w:left w:val="nil"/>
          <w:bottom w:val="nil"/>
          <w:right w:val="nil"/>
          <w:between w:val="nil"/>
        </w:pBdr>
        <w:spacing w:after="0" w:line="360" w:lineRule="auto"/>
        <w:ind w:right="72"/>
        <w:contextualSpacing/>
        <w:jc w:val="both"/>
        <w:rPr>
          <w:rFonts w:ascii="Arial" w:hAnsi="Arial" w:cs="Arial"/>
          <w:i/>
          <w:sz w:val="24"/>
          <w:szCs w:val="24"/>
        </w:rPr>
      </w:pPr>
    </w:p>
    <w:p w14:paraId="7C843A2D" w14:textId="0EEA1599" w:rsidR="005111B9" w:rsidRPr="001279DB" w:rsidRDefault="004447B3" w:rsidP="004447B3">
      <w:pPr>
        <w:pStyle w:val="Normal1"/>
        <w:pBdr>
          <w:top w:val="nil"/>
          <w:left w:val="nil"/>
          <w:bottom w:val="nil"/>
          <w:right w:val="nil"/>
          <w:between w:val="nil"/>
        </w:pBdr>
        <w:spacing w:after="0" w:line="360" w:lineRule="auto"/>
        <w:ind w:right="72"/>
        <w:contextualSpacing/>
        <w:jc w:val="both"/>
        <w:rPr>
          <w:rFonts w:ascii="Arial" w:hAnsi="Arial" w:cs="Arial"/>
          <w:sz w:val="24"/>
          <w:szCs w:val="24"/>
        </w:rPr>
      </w:pPr>
      <w:r w:rsidRPr="001279DB">
        <w:rPr>
          <w:rFonts w:ascii="Arial" w:hAnsi="Arial" w:cs="Arial"/>
          <w:sz w:val="24"/>
          <w:szCs w:val="24"/>
        </w:rPr>
        <w:t>[17]</w:t>
      </w:r>
      <w:r w:rsidRPr="001279DB">
        <w:rPr>
          <w:rFonts w:ascii="Arial" w:hAnsi="Arial" w:cs="Arial"/>
          <w:sz w:val="24"/>
          <w:szCs w:val="24"/>
        </w:rPr>
        <w:tab/>
      </w:r>
      <w:r w:rsidR="005111B9" w:rsidRPr="001279DB">
        <w:rPr>
          <w:rFonts w:ascii="Arial" w:hAnsi="Arial" w:cs="Arial"/>
          <w:sz w:val="24"/>
          <w:szCs w:val="24"/>
        </w:rPr>
        <w:t>The Constitutional Court further stated:</w:t>
      </w:r>
    </w:p>
    <w:p w14:paraId="77B8BC64" w14:textId="77777777" w:rsidR="00C06EC6" w:rsidRPr="001279DB" w:rsidRDefault="005111B9" w:rsidP="00522F18">
      <w:pPr>
        <w:pStyle w:val="Normal1"/>
        <w:pBdr>
          <w:top w:val="nil"/>
          <w:left w:val="nil"/>
          <w:bottom w:val="nil"/>
          <w:right w:val="nil"/>
          <w:between w:val="nil"/>
        </w:pBdr>
        <w:spacing w:after="0" w:line="360" w:lineRule="auto"/>
        <w:ind w:right="72"/>
        <w:contextualSpacing/>
        <w:jc w:val="both"/>
        <w:rPr>
          <w:rFonts w:ascii="Arial" w:eastAsia="Arial" w:hAnsi="Arial" w:cs="Arial"/>
        </w:rPr>
      </w:pPr>
      <w:r w:rsidRPr="001279DB">
        <w:rPr>
          <w:rFonts w:ascii="Arial" w:hAnsi="Arial" w:cs="Arial"/>
        </w:rPr>
        <w:lastRenderedPageBreak/>
        <w:t>‘</w:t>
      </w:r>
      <w:r w:rsidR="00616354" w:rsidRPr="001279DB">
        <w:rPr>
          <w:rFonts w:ascii="Arial" w:hAnsi="Arial" w:cs="Arial"/>
          <w:i/>
        </w:rPr>
        <w:t>The law on joinder is well settled. No court can make findings adverse to any person’s interests, without that person first being a party to the proceedings before it.</w:t>
      </w:r>
      <w:r w:rsidR="003F4AAB" w:rsidRPr="001279DB">
        <w:rPr>
          <w:rFonts w:ascii="Arial" w:hAnsi="Arial" w:cs="Arial"/>
        </w:rPr>
        <w:t xml:space="preserve"> </w:t>
      </w:r>
      <w:r w:rsidR="00616354" w:rsidRPr="001279DB">
        <w:rPr>
          <w:rFonts w:ascii="Arial" w:hAnsi="Arial" w:cs="Arial"/>
        </w:rPr>
        <w:t>The purpose of this requirement is to ensure that the person in question knows of the complaint so that they can enlist counsel, gather evidence in support of their position, and prepare themselves adequately in the knowledge that there are personal consequences – including a penalty of committal – for their non-compliance. All of these entitlements are fundamental to ensuring that potential contemnors’ rights to freedom and security of the person are, in the end, not arbitrarily deprived.</w:t>
      </w:r>
      <w:r w:rsidR="00C94296" w:rsidRPr="001279DB">
        <w:rPr>
          <w:rFonts w:ascii="Arial" w:hAnsi="Arial" w:cs="Arial"/>
        </w:rPr>
        <w:t>’</w:t>
      </w:r>
      <w:r w:rsidR="00C94296" w:rsidRPr="001279DB">
        <w:rPr>
          <w:rStyle w:val="FootnoteReference"/>
          <w:rFonts w:ascii="Arial" w:hAnsi="Arial" w:cs="Arial"/>
        </w:rPr>
        <w:footnoteReference w:id="5"/>
      </w:r>
      <w:r w:rsidR="007A5F32" w:rsidRPr="001279DB">
        <w:rPr>
          <w:rFonts w:ascii="Arial" w:hAnsi="Arial" w:cs="Arial"/>
        </w:rPr>
        <w:t xml:space="preserve"> </w:t>
      </w:r>
      <w:r w:rsidR="003D4178" w:rsidRPr="001279DB">
        <w:rPr>
          <w:rFonts w:ascii="Arial" w:hAnsi="Arial" w:cs="Arial"/>
        </w:rPr>
        <w:t>(</w:t>
      </w:r>
      <w:r w:rsidR="00606482" w:rsidRPr="001279DB">
        <w:rPr>
          <w:rFonts w:ascii="Arial" w:hAnsi="Arial" w:cs="Arial"/>
        </w:rPr>
        <w:t>Emphasis add</w:t>
      </w:r>
      <w:r w:rsidR="003D4178" w:rsidRPr="001279DB">
        <w:rPr>
          <w:rFonts w:ascii="Arial" w:hAnsi="Arial" w:cs="Arial"/>
        </w:rPr>
        <w:t>ed</w:t>
      </w:r>
      <w:r w:rsidR="001F66F9" w:rsidRPr="001279DB">
        <w:rPr>
          <w:rFonts w:ascii="Arial" w:hAnsi="Arial" w:cs="Arial"/>
        </w:rPr>
        <w:t>.</w:t>
      </w:r>
      <w:r w:rsidR="003D4178" w:rsidRPr="001279DB">
        <w:rPr>
          <w:rFonts w:ascii="Arial" w:hAnsi="Arial" w:cs="Arial"/>
        </w:rPr>
        <w:t>)</w:t>
      </w:r>
    </w:p>
    <w:p w14:paraId="052045D6" w14:textId="77777777" w:rsidR="00C06EC6" w:rsidRPr="001279DB" w:rsidRDefault="00C06EC6" w:rsidP="00522F18">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p>
    <w:p w14:paraId="4223DFCF" w14:textId="4B18BBD1" w:rsidR="007B3961" w:rsidRPr="001279DB" w:rsidRDefault="004447B3" w:rsidP="004447B3">
      <w:pPr>
        <w:pStyle w:val="Normal1"/>
        <w:pBdr>
          <w:top w:val="nil"/>
          <w:left w:val="nil"/>
          <w:bottom w:val="nil"/>
          <w:right w:val="nil"/>
          <w:between w:val="nil"/>
        </w:pBdr>
        <w:spacing w:after="0" w:line="360" w:lineRule="auto"/>
        <w:ind w:right="72"/>
        <w:contextualSpacing/>
        <w:jc w:val="both"/>
        <w:rPr>
          <w:rFonts w:ascii="Arial" w:hAnsi="Arial" w:cs="Arial"/>
          <w:i/>
          <w:iCs/>
        </w:rPr>
      </w:pPr>
      <w:r w:rsidRPr="001279DB">
        <w:rPr>
          <w:rFonts w:ascii="Arial" w:hAnsi="Arial" w:cs="Arial"/>
          <w:iCs/>
          <w:sz w:val="24"/>
          <w:szCs w:val="24"/>
        </w:rPr>
        <w:t>[18]</w:t>
      </w:r>
      <w:r w:rsidRPr="001279DB">
        <w:rPr>
          <w:rFonts w:ascii="Arial" w:hAnsi="Arial" w:cs="Arial"/>
          <w:iCs/>
          <w:sz w:val="24"/>
          <w:szCs w:val="24"/>
        </w:rPr>
        <w:tab/>
      </w:r>
      <w:r w:rsidR="00C94296" w:rsidRPr="001279DB">
        <w:rPr>
          <w:rFonts w:ascii="Arial" w:eastAsia="Arial" w:hAnsi="Arial" w:cs="Arial"/>
          <w:sz w:val="24"/>
          <w:szCs w:val="24"/>
        </w:rPr>
        <w:t>I</w:t>
      </w:r>
      <w:r w:rsidR="002F248D" w:rsidRPr="001279DB">
        <w:rPr>
          <w:rFonts w:ascii="Arial" w:eastAsia="Arial" w:hAnsi="Arial" w:cs="Arial"/>
          <w:sz w:val="24"/>
          <w:szCs w:val="24"/>
        </w:rPr>
        <w:t xml:space="preserve">n addition, I </w:t>
      </w:r>
      <w:r w:rsidR="00E93B67" w:rsidRPr="001279DB">
        <w:rPr>
          <w:rFonts w:ascii="Arial" w:eastAsia="Arial" w:hAnsi="Arial" w:cs="Arial"/>
          <w:sz w:val="24"/>
          <w:szCs w:val="24"/>
        </w:rPr>
        <w:t>am mindful of the assertions</w:t>
      </w:r>
      <w:r w:rsidR="00C94296" w:rsidRPr="001279DB">
        <w:rPr>
          <w:rFonts w:ascii="Arial" w:eastAsia="Arial" w:hAnsi="Arial" w:cs="Arial"/>
          <w:sz w:val="24"/>
          <w:szCs w:val="24"/>
        </w:rPr>
        <w:t xml:space="preserve"> </w:t>
      </w:r>
      <w:r w:rsidR="007B3961" w:rsidRPr="001279DB">
        <w:rPr>
          <w:rFonts w:ascii="Arial" w:eastAsia="Arial" w:hAnsi="Arial" w:cs="Arial"/>
          <w:sz w:val="24"/>
          <w:szCs w:val="24"/>
        </w:rPr>
        <w:t xml:space="preserve">made by </w:t>
      </w:r>
      <w:r w:rsidR="00C94296" w:rsidRPr="001279DB">
        <w:rPr>
          <w:rFonts w:ascii="Arial" w:eastAsia="Arial" w:hAnsi="Arial" w:cs="Arial"/>
          <w:sz w:val="24"/>
          <w:szCs w:val="24"/>
        </w:rPr>
        <w:t>Van der W</w:t>
      </w:r>
      <w:r w:rsidR="00E93B67" w:rsidRPr="001279DB">
        <w:rPr>
          <w:rFonts w:ascii="Arial" w:eastAsia="Arial" w:hAnsi="Arial" w:cs="Arial"/>
          <w:sz w:val="24"/>
          <w:szCs w:val="24"/>
        </w:rPr>
        <w:t xml:space="preserve">esthuizen </w:t>
      </w:r>
      <w:r w:rsidR="007B3961" w:rsidRPr="001279DB">
        <w:rPr>
          <w:rFonts w:ascii="Arial" w:eastAsia="Arial" w:hAnsi="Arial" w:cs="Arial"/>
          <w:sz w:val="24"/>
          <w:szCs w:val="24"/>
        </w:rPr>
        <w:t>J</w:t>
      </w:r>
      <w:r w:rsidR="00C94296" w:rsidRPr="001279DB">
        <w:rPr>
          <w:rFonts w:ascii="Arial" w:eastAsia="Arial" w:hAnsi="Arial" w:cs="Arial"/>
          <w:sz w:val="24"/>
          <w:szCs w:val="24"/>
        </w:rPr>
        <w:t xml:space="preserve"> in</w:t>
      </w:r>
      <w:r w:rsidR="00E93B67" w:rsidRPr="001279DB">
        <w:rPr>
          <w:rFonts w:ascii="Arial" w:hAnsi="Arial" w:cs="Arial"/>
          <w:i/>
          <w:iCs/>
        </w:rPr>
        <w:t xml:space="preserve"> </w:t>
      </w:r>
      <w:r w:rsidR="00E93B67" w:rsidRPr="001279DB">
        <w:rPr>
          <w:rFonts w:ascii="Arial" w:hAnsi="Arial" w:cs="Arial"/>
          <w:i/>
          <w:iCs/>
          <w:sz w:val="24"/>
          <w:szCs w:val="24"/>
        </w:rPr>
        <w:t>Gcaba v Minister for Safety and Security</w:t>
      </w:r>
      <w:r w:rsidR="0016058B" w:rsidRPr="001279DB">
        <w:rPr>
          <w:rFonts w:ascii="Arial" w:hAnsi="Arial" w:cs="Arial"/>
          <w:i/>
          <w:iCs/>
          <w:sz w:val="24"/>
          <w:szCs w:val="24"/>
        </w:rPr>
        <w:t xml:space="preserve"> and Others</w:t>
      </w:r>
      <w:r w:rsidR="00E93B67" w:rsidRPr="001279DB">
        <w:rPr>
          <w:rFonts w:ascii="Arial" w:hAnsi="Arial" w:cs="Arial"/>
          <w:iCs/>
          <w:sz w:val="24"/>
          <w:szCs w:val="24"/>
        </w:rPr>
        <w:t>,</w:t>
      </w:r>
      <w:r w:rsidR="00E93B67" w:rsidRPr="001279DB">
        <w:rPr>
          <w:rStyle w:val="FootnoteReference"/>
          <w:rFonts w:ascii="Arial" w:hAnsi="Arial" w:cs="Arial"/>
          <w:iCs/>
          <w:sz w:val="24"/>
          <w:szCs w:val="24"/>
        </w:rPr>
        <w:footnoteReference w:id="6"/>
      </w:r>
      <w:r w:rsidR="007A5F32" w:rsidRPr="001279DB">
        <w:rPr>
          <w:rFonts w:ascii="Arial" w:hAnsi="Arial" w:cs="Arial"/>
          <w:i/>
          <w:iCs/>
          <w:sz w:val="24"/>
          <w:szCs w:val="24"/>
        </w:rPr>
        <w:t xml:space="preserve"> </w:t>
      </w:r>
      <w:r w:rsidR="007A5F32" w:rsidRPr="001279DB">
        <w:rPr>
          <w:rFonts w:ascii="Arial" w:hAnsi="Arial" w:cs="Arial"/>
          <w:iCs/>
          <w:sz w:val="24"/>
          <w:szCs w:val="24"/>
        </w:rPr>
        <w:t>that</w:t>
      </w:r>
      <w:r w:rsidR="007B3961" w:rsidRPr="001279DB">
        <w:rPr>
          <w:rFonts w:ascii="Arial" w:hAnsi="Arial" w:cs="Arial"/>
          <w:iCs/>
          <w:sz w:val="24"/>
          <w:szCs w:val="24"/>
        </w:rPr>
        <w:t>:</w:t>
      </w:r>
      <w:r w:rsidR="00E93B67" w:rsidRPr="001279DB">
        <w:rPr>
          <w:rFonts w:ascii="Arial" w:hAnsi="Arial" w:cs="Arial"/>
          <w:i/>
          <w:iCs/>
        </w:rPr>
        <w:t xml:space="preserve"> </w:t>
      </w:r>
    </w:p>
    <w:p w14:paraId="754DE375" w14:textId="77777777" w:rsidR="00E93B67" w:rsidRPr="001279DB" w:rsidRDefault="00E93B67" w:rsidP="00522F18">
      <w:pPr>
        <w:pStyle w:val="Normal1"/>
        <w:pBdr>
          <w:top w:val="nil"/>
          <w:left w:val="nil"/>
          <w:bottom w:val="nil"/>
          <w:right w:val="nil"/>
          <w:between w:val="nil"/>
        </w:pBdr>
        <w:spacing w:after="0" w:line="360" w:lineRule="auto"/>
        <w:ind w:right="72"/>
        <w:contextualSpacing/>
        <w:jc w:val="both"/>
        <w:rPr>
          <w:rFonts w:ascii="Arial" w:hAnsi="Arial" w:cs="Arial"/>
        </w:rPr>
      </w:pPr>
      <w:r w:rsidRPr="001279DB">
        <w:rPr>
          <w:rFonts w:ascii="Arial" w:hAnsi="Arial" w:cs="Arial"/>
          <w:iCs/>
        </w:rPr>
        <w:t>‘</w:t>
      </w:r>
      <w:r w:rsidRPr="001279DB">
        <w:rPr>
          <w:rFonts w:ascii="Arial" w:hAnsi="Arial" w:cs="Arial"/>
        </w:rPr>
        <w:t xml:space="preserve">Jurisdiction is determined on the basis of the pleadings, as Langa CJ held in </w:t>
      </w:r>
      <w:r w:rsidRPr="001279DB">
        <w:rPr>
          <w:rFonts w:ascii="Arial" w:hAnsi="Arial" w:cs="Arial"/>
          <w:i/>
        </w:rPr>
        <w:t>Chirwa</w:t>
      </w:r>
      <w:r w:rsidRPr="001279DB">
        <w:rPr>
          <w:rFonts w:ascii="Arial" w:eastAsia="Arial" w:hAnsi="Arial" w:cs="Arial"/>
          <w:sz w:val="24"/>
          <w:szCs w:val="24"/>
        </w:rPr>
        <w:t xml:space="preserve"> </w:t>
      </w:r>
      <w:r w:rsidRPr="001279DB">
        <w:rPr>
          <w:rFonts w:ascii="Arial" w:hAnsi="Arial" w:cs="Arial"/>
        </w:rPr>
        <w:t>and not the substantive merits of the case. If Mr Gcaba’s case were heard by the High Court, he would have failed for not being able to make out a case for the relief he sought, namely review of an administrative decision. In the event of the Court’s jurisdiction being challenged at the outset (</w:t>
      </w:r>
      <w:r w:rsidRPr="001279DB">
        <w:rPr>
          <w:rFonts w:ascii="Arial" w:hAnsi="Arial" w:cs="Arial"/>
          <w:i/>
        </w:rPr>
        <w:t>in limine</w:t>
      </w:r>
      <w:r w:rsidRPr="001279DB">
        <w:rPr>
          <w:rFonts w:ascii="Arial" w:hAnsi="Arial" w:cs="Arial"/>
        </w:rPr>
        <w:t>), the applicant’s pleadings are the determining factor. They contain the legal basis of the claim under which the applicant has chosen to invoke the court’s competence. While the pleadings – including in motion proceedings, not only the formal terminology of the notice of motion, but also the contents of the supporting affidavits – must be interpreted to establish what the legal basis of the applicant’s claim is, it is not for the court to say that the facts asserted by the applicant would also sustain another claim, cognisable only in another court. If however the pleadings, properly interpreted, establish that the applicant is asserting a claim under the LRA, one that is to be</w:t>
      </w:r>
      <w:r w:rsidRPr="001279DB">
        <w:rPr>
          <w:rFonts w:ascii="Arial" w:eastAsia="Arial" w:hAnsi="Arial" w:cs="Arial"/>
          <w:sz w:val="24"/>
          <w:szCs w:val="24"/>
        </w:rPr>
        <w:t xml:space="preserve"> </w:t>
      </w:r>
      <w:r w:rsidRPr="001279DB">
        <w:rPr>
          <w:rFonts w:ascii="Arial" w:hAnsi="Arial" w:cs="Arial"/>
        </w:rPr>
        <w:t>determined exclusively by the Labour Court, the High Court would lack jurisdiction. An applicant like Mr Gcaba, who is unable to plead facts that sustain a cause of administrative action that is cognisable by the High Court, should thus approach the Labour Court.’</w:t>
      </w:r>
      <w:r w:rsidR="007A5F32" w:rsidRPr="001279DB">
        <w:rPr>
          <w:rFonts w:ascii="Arial" w:hAnsi="Arial" w:cs="Arial"/>
        </w:rPr>
        <w:t xml:space="preserve"> </w:t>
      </w:r>
      <w:r w:rsidR="003D4178" w:rsidRPr="001279DB">
        <w:rPr>
          <w:rFonts w:ascii="Arial" w:hAnsi="Arial" w:cs="Arial"/>
        </w:rPr>
        <w:t>(</w:t>
      </w:r>
      <w:r w:rsidR="007A5F32" w:rsidRPr="001279DB">
        <w:rPr>
          <w:rFonts w:ascii="Arial" w:hAnsi="Arial" w:cs="Arial"/>
        </w:rPr>
        <w:t>Footnotes omitted</w:t>
      </w:r>
      <w:r w:rsidR="001F66F9" w:rsidRPr="001279DB">
        <w:rPr>
          <w:rFonts w:ascii="Arial" w:hAnsi="Arial" w:cs="Arial"/>
        </w:rPr>
        <w:t>.</w:t>
      </w:r>
      <w:r w:rsidR="003D4178" w:rsidRPr="001279DB">
        <w:rPr>
          <w:rFonts w:ascii="Arial" w:hAnsi="Arial" w:cs="Arial"/>
        </w:rPr>
        <w:t>)</w:t>
      </w:r>
    </w:p>
    <w:p w14:paraId="481C08D9" w14:textId="77777777" w:rsidR="00E93B67" w:rsidRPr="001279DB" w:rsidRDefault="00E93B67" w:rsidP="00522F18">
      <w:pPr>
        <w:pStyle w:val="Normal1"/>
        <w:pBdr>
          <w:top w:val="nil"/>
          <w:left w:val="nil"/>
          <w:bottom w:val="nil"/>
          <w:right w:val="nil"/>
          <w:between w:val="nil"/>
        </w:pBdr>
        <w:spacing w:after="0" w:line="360" w:lineRule="auto"/>
        <w:ind w:right="72"/>
        <w:contextualSpacing/>
        <w:jc w:val="both"/>
        <w:rPr>
          <w:rFonts w:ascii="Arial" w:hAnsi="Arial" w:cs="Arial"/>
          <w:sz w:val="24"/>
          <w:szCs w:val="24"/>
        </w:rPr>
      </w:pPr>
    </w:p>
    <w:p w14:paraId="768C44B8" w14:textId="66BBBB99" w:rsidR="00E22F27" w:rsidRPr="004447B3" w:rsidRDefault="004447B3" w:rsidP="004447B3">
      <w:pPr>
        <w:widowControl w:val="0"/>
        <w:autoSpaceDE w:val="0"/>
        <w:autoSpaceDN w:val="0"/>
        <w:adjustRightInd w:val="0"/>
        <w:spacing w:after="0" w:line="360" w:lineRule="auto"/>
        <w:jc w:val="both"/>
        <w:rPr>
          <w:rFonts w:ascii="Arial" w:hAnsi="Arial" w:cs="Arial"/>
          <w:sz w:val="24"/>
          <w:szCs w:val="24"/>
        </w:rPr>
      </w:pPr>
      <w:r w:rsidRPr="001279DB">
        <w:rPr>
          <w:rFonts w:ascii="Arial" w:hAnsi="Arial" w:cs="Arial"/>
          <w:sz w:val="24"/>
          <w:szCs w:val="24"/>
        </w:rPr>
        <w:t>[19]</w:t>
      </w:r>
      <w:r w:rsidRPr="001279DB">
        <w:rPr>
          <w:rFonts w:ascii="Arial" w:hAnsi="Arial" w:cs="Arial"/>
          <w:sz w:val="24"/>
          <w:szCs w:val="24"/>
        </w:rPr>
        <w:tab/>
      </w:r>
      <w:r w:rsidR="000D1E64" w:rsidRPr="004447B3">
        <w:rPr>
          <w:rFonts w:ascii="Arial" w:hAnsi="Arial" w:cs="Arial"/>
          <w:sz w:val="24"/>
          <w:szCs w:val="24"/>
        </w:rPr>
        <w:t xml:space="preserve">The test for non-joinder is set out by the Supreme Court of Appeal in </w:t>
      </w:r>
      <w:r w:rsidR="000D1E64" w:rsidRPr="004447B3">
        <w:rPr>
          <w:rFonts w:ascii="Arial" w:hAnsi="Arial" w:cs="Arial"/>
          <w:i/>
          <w:sz w:val="24"/>
          <w:szCs w:val="24"/>
        </w:rPr>
        <w:t>Absa Bank Ltd v Naude NO</w:t>
      </w:r>
      <w:r w:rsidR="00E272A1" w:rsidRPr="004447B3">
        <w:rPr>
          <w:rFonts w:ascii="Arial" w:hAnsi="Arial" w:cs="Arial"/>
          <w:i/>
          <w:sz w:val="24"/>
          <w:szCs w:val="24"/>
        </w:rPr>
        <w:t xml:space="preserve"> and Others</w:t>
      </w:r>
      <w:r w:rsidR="000D1E64" w:rsidRPr="004447B3">
        <w:rPr>
          <w:rFonts w:ascii="Arial" w:hAnsi="Arial" w:cs="Arial"/>
          <w:sz w:val="24"/>
          <w:szCs w:val="24"/>
        </w:rPr>
        <w:t>,</w:t>
      </w:r>
      <w:r w:rsidR="000D1E64" w:rsidRPr="001279DB">
        <w:rPr>
          <w:rStyle w:val="FootnoteReference"/>
          <w:rFonts w:ascii="Arial" w:hAnsi="Arial" w:cs="Arial"/>
          <w:sz w:val="24"/>
          <w:szCs w:val="24"/>
        </w:rPr>
        <w:footnoteReference w:id="7"/>
      </w:r>
      <w:r w:rsidR="000D1E64" w:rsidRPr="004447B3">
        <w:rPr>
          <w:rFonts w:ascii="Arial" w:hAnsi="Arial" w:cs="Arial"/>
          <w:sz w:val="24"/>
          <w:szCs w:val="24"/>
        </w:rPr>
        <w:t xml:space="preserve"> in the following terms: </w:t>
      </w:r>
    </w:p>
    <w:p w14:paraId="7E354984" w14:textId="77777777" w:rsidR="000D1E64" w:rsidRPr="001279DB" w:rsidRDefault="000D1E64" w:rsidP="00522F18">
      <w:pPr>
        <w:widowControl w:val="0"/>
        <w:autoSpaceDE w:val="0"/>
        <w:autoSpaceDN w:val="0"/>
        <w:adjustRightInd w:val="0"/>
        <w:spacing w:after="0" w:line="360" w:lineRule="auto"/>
        <w:jc w:val="both"/>
        <w:rPr>
          <w:rFonts w:ascii="Arial" w:hAnsi="Arial" w:cs="Arial"/>
        </w:rPr>
      </w:pPr>
      <w:r w:rsidRPr="001279DB">
        <w:rPr>
          <w:rFonts w:ascii="Arial" w:hAnsi="Arial" w:cs="Arial"/>
        </w:rPr>
        <w:t xml:space="preserve">‘The test whether there has been non-joinder is whether a party has a direct and substantial interest in the subject matter of the litigation which may prejudice the party that has not been joined. In </w:t>
      </w:r>
      <w:r w:rsidRPr="001279DB">
        <w:rPr>
          <w:rFonts w:ascii="Arial" w:hAnsi="Arial" w:cs="Arial"/>
          <w:i/>
        </w:rPr>
        <w:t>Gordon v Department of Health, Kwazulu-Natal</w:t>
      </w:r>
      <w:r w:rsidRPr="001279DB">
        <w:rPr>
          <w:rFonts w:ascii="Arial" w:hAnsi="Arial" w:cs="Arial"/>
        </w:rPr>
        <w:t xml:space="preserve"> it was held that if an order or judgment cannot be sustained without necessarily prejudicing the interest of third parties that </w:t>
      </w:r>
      <w:r w:rsidRPr="001279DB">
        <w:rPr>
          <w:rFonts w:ascii="Arial" w:hAnsi="Arial" w:cs="Arial"/>
        </w:rPr>
        <w:lastRenderedPageBreak/>
        <w:t>had not been joined, then those third parties have a legal interest in the matter and must be joined.’</w:t>
      </w:r>
    </w:p>
    <w:p w14:paraId="5D5244C3" w14:textId="77777777" w:rsidR="00E95599" w:rsidRPr="001279DB" w:rsidRDefault="0049598A" w:rsidP="00522F18">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Essentially, the appellant must show that:</w:t>
      </w:r>
    </w:p>
    <w:p w14:paraId="3824D7C3" w14:textId="4BA15841" w:rsidR="0049598A"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(a)</w:t>
      </w:r>
      <w:r w:rsidRPr="001279DB">
        <w:rPr>
          <w:rFonts w:ascii="Arial" w:eastAsia="Arial" w:hAnsi="Arial" w:cs="Arial"/>
          <w:sz w:val="24"/>
          <w:szCs w:val="24"/>
        </w:rPr>
        <w:tab/>
      </w:r>
      <w:r w:rsidR="0049598A" w:rsidRPr="001279DB">
        <w:rPr>
          <w:rFonts w:ascii="Arial" w:eastAsia="Arial" w:hAnsi="Arial" w:cs="Arial"/>
          <w:sz w:val="24"/>
          <w:szCs w:val="24"/>
        </w:rPr>
        <w:t>The unlawful occupiers have a direct and substantial interest in the subject matter of the litigation which may prejudice them as they have not been joined</w:t>
      </w:r>
      <w:r w:rsidR="00345948" w:rsidRPr="001279DB">
        <w:rPr>
          <w:rFonts w:ascii="Arial" w:eastAsia="Arial" w:hAnsi="Arial" w:cs="Arial"/>
          <w:sz w:val="24"/>
          <w:szCs w:val="24"/>
        </w:rPr>
        <w:t>;</w:t>
      </w:r>
      <w:r w:rsidR="0049598A" w:rsidRPr="001279DB">
        <w:rPr>
          <w:rFonts w:ascii="Arial" w:eastAsia="Arial" w:hAnsi="Arial" w:cs="Arial"/>
          <w:sz w:val="24"/>
          <w:szCs w:val="24"/>
        </w:rPr>
        <w:t xml:space="preserve"> and </w:t>
      </w:r>
    </w:p>
    <w:p w14:paraId="78763565" w14:textId="53B46C08" w:rsidR="0049598A"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(b)</w:t>
      </w:r>
      <w:r w:rsidRPr="001279DB">
        <w:rPr>
          <w:rFonts w:ascii="Arial" w:eastAsia="Arial" w:hAnsi="Arial" w:cs="Arial"/>
          <w:sz w:val="24"/>
          <w:szCs w:val="24"/>
        </w:rPr>
        <w:tab/>
      </w:r>
      <w:r w:rsidR="0049598A" w:rsidRPr="001279DB">
        <w:rPr>
          <w:rFonts w:ascii="Arial" w:eastAsia="Arial" w:hAnsi="Arial" w:cs="Arial"/>
          <w:sz w:val="24"/>
          <w:szCs w:val="24"/>
        </w:rPr>
        <w:t>Such interest is not only a substantial interest but is a legal interest which justifies that they must be joined.</w:t>
      </w:r>
    </w:p>
    <w:p w14:paraId="69EB508F" w14:textId="77777777" w:rsidR="00B7289D" w:rsidRPr="001279DB" w:rsidRDefault="00B7289D" w:rsidP="00522F18">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p>
    <w:p w14:paraId="037E7B4F" w14:textId="29699CE3" w:rsidR="00D87DA6"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[20]</w:t>
      </w:r>
      <w:r w:rsidRPr="001279DB">
        <w:rPr>
          <w:rFonts w:ascii="Arial" w:eastAsia="Arial" w:hAnsi="Arial" w:cs="Arial"/>
          <w:sz w:val="24"/>
          <w:szCs w:val="24"/>
        </w:rPr>
        <w:tab/>
      </w:r>
      <w:r w:rsidR="00386018" w:rsidRPr="001279DB">
        <w:rPr>
          <w:rFonts w:ascii="Arial" w:eastAsia="Arial" w:hAnsi="Arial" w:cs="Arial"/>
          <w:sz w:val="24"/>
          <w:szCs w:val="24"/>
        </w:rPr>
        <w:t xml:space="preserve">It is trite that the determination of a point </w:t>
      </w:r>
      <w:r w:rsidR="00386018" w:rsidRPr="001279DB">
        <w:rPr>
          <w:rFonts w:ascii="Arial" w:eastAsia="Arial" w:hAnsi="Arial" w:cs="Arial"/>
          <w:i/>
          <w:sz w:val="24"/>
          <w:szCs w:val="24"/>
        </w:rPr>
        <w:t>in limine</w:t>
      </w:r>
      <w:r w:rsidR="00386018" w:rsidRPr="001279DB">
        <w:rPr>
          <w:rFonts w:ascii="Arial" w:eastAsia="Arial" w:hAnsi="Arial" w:cs="Arial"/>
          <w:sz w:val="24"/>
          <w:szCs w:val="24"/>
        </w:rPr>
        <w:t xml:space="preserve"> essentially deals with a specific legal point that has a bearing on a jurisdictional matter prior to entertaining the merits of the matter.</w:t>
      </w:r>
      <w:r w:rsidR="007A5F32" w:rsidRPr="001279DB">
        <w:rPr>
          <w:rStyle w:val="FootnoteReference"/>
          <w:rFonts w:ascii="Arial" w:eastAsia="Arial" w:hAnsi="Arial" w:cs="Arial"/>
          <w:sz w:val="24"/>
          <w:szCs w:val="24"/>
        </w:rPr>
        <w:footnoteReference w:id="8"/>
      </w:r>
      <w:r w:rsidR="00386018" w:rsidRPr="001279DB">
        <w:rPr>
          <w:rFonts w:ascii="Arial" w:eastAsia="Arial" w:hAnsi="Arial" w:cs="Arial"/>
          <w:sz w:val="24"/>
          <w:szCs w:val="24"/>
        </w:rPr>
        <w:t xml:space="preserve"> Hence, if the point</w:t>
      </w:r>
      <w:r w:rsidR="00E307BD" w:rsidRPr="001279DB">
        <w:rPr>
          <w:rFonts w:ascii="Arial" w:eastAsia="Arial" w:hAnsi="Arial" w:cs="Arial"/>
          <w:sz w:val="24"/>
          <w:szCs w:val="24"/>
        </w:rPr>
        <w:t xml:space="preserve"> </w:t>
      </w:r>
      <w:r w:rsidR="00E307BD" w:rsidRPr="001279DB">
        <w:rPr>
          <w:rFonts w:ascii="Arial" w:eastAsia="Arial" w:hAnsi="Arial" w:cs="Arial"/>
          <w:i/>
          <w:sz w:val="24"/>
          <w:szCs w:val="24"/>
        </w:rPr>
        <w:t>in limine</w:t>
      </w:r>
      <w:r w:rsidR="00386018" w:rsidRPr="001279DB">
        <w:rPr>
          <w:rFonts w:ascii="Arial" w:eastAsia="Arial" w:hAnsi="Arial" w:cs="Arial"/>
          <w:sz w:val="24"/>
          <w:szCs w:val="24"/>
        </w:rPr>
        <w:t xml:space="preserve"> </w:t>
      </w:r>
      <w:r w:rsidR="00447612" w:rsidRPr="001279DB">
        <w:rPr>
          <w:rFonts w:ascii="Arial" w:eastAsia="Arial" w:hAnsi="Arial" w:cs="Arial"/>
          <w:sz w:val="24"/>
          <w:szCs w:val="24"/>
        </w:rPr>
        <w:t xml:space="preserve">of non-joinder raised, </w:t>
      </w:r>
      <w:r w:rsidR="00386018" w:rsidRPr="001279DB">
        <w:rPr>
          <w:rFonts w:ascii="Arial" w:eastAsia="Arial" w:hAnsi="Arial" w:cs="Arial"/>
          <w:sz w:val="24"/>
          <w:szCs w:val="24"/>
        </w:rPr>
        <w:t>is found to be g</w:t>
      </w:r>
      <w:r w:rsidR="00447612" w:rsidRPr="001279DB">
        <w:rPr>
          <w:rFonts w:ascii="Arial" w:eastAsia="Arial" w:hAnsi="Arial" w:cs="Arial"/>
          <w:sz w:val="24"/>
          <w:szCs w:val="24"/>
        </w:rPr>
        <w:t>ood in law,</w:t>
      </w:r>
      <w:r w:rsidR="00386018" w:rsidRPr="001279DB">
        <w:rPr>
          <w:rFonts w:ascii="Arial" w:eastAsia="Arial" w:hAnsi="Arial" w:cs="Arial"/>
          <w:sz w:val="24"/>
          <w:szCs w:val="24"/>
        </w:rPr>
        <w:t xml:space="preserve"> there </w:t>
      </w:r>
      <w:r w:rsidR="00447612" w:rsidRPr="001279DB">
        <w:rPr>
          <w:rFonts w:ascii="Arial" w:eastAsia="Arial" w:hAnsi="Arial" w:cs="Arial"/>
          <w:sz w:val="24"/>
          <w:szCs w:val="24"/>
        </w:rPr>
        <w:t>will be</w:t>
      </w:r>
      <w:r w:rsidR="00386018" w:rsidRPr="001279DB">
        <w:rPr>
          <w:rFonts w:ascii="Arial" w:eastAsia="Arial" w:hAnsi="Arial" w:cs="Arial"/>
          <w:sz w:val="24"/>
          <w:szCs w:val="24"/>
        </w:rPr>
        <w:t xml:space="preserve"> no need to deal with the merits advanced by Lehlaka</w:t>
      </w:r>
      <w:r w:rsidR="00447612" w:rsidRPr="001279DB">
        <w:rPr>
          <w:rFonts w:ascii="Arial" w:eastAsia="Arial" w:hAnsi="Arial" w:cs="Arial"/>
          <w:sz w:val="24"/>
          <w:szCs w:val="24"/>
        </w:rPr>
        <w:t xml:space="preserve">, </w:t>
      </w:r>
      <w:r w:rsidR="00A22F72" w:rsidRPr="001279DB">
        <w:rPr>
          <w:rFonts w:ascii="Arial" w:eastAsia="Arial" w:hAnsi="Arial" w:cs="Arial"/>
          <w:sz w:val="24"/>
          <w:szCs w:val="24"/>
        </w:rPr>
        <w:t xml:space="preserve">as a jurisdictional issue raised does not necessitate dealing </w:t>
      </w:r>
      <w:r w:rsidR="00E307BD" w:rsidRPr="001279DB">
        <w:rPr>
          <w:rFonts w:ascii="Arial" w:eastAsia="Arial" w:hAnsi="Arial" w:cs="Arial"/>
          <w:sz w:val="24"/>
          <w:szCs w:val="24"/>
        </w:rPr>
        <w:t xml:space="preserve">with </w:t>
      </w:r>
      <w:r w:rsidR="00A22F72" w:rsidRPr="001279DB">
        <w:rPr>
          <w:rFonts w:ascii="Arial" w:eastAsia="Arial" w:hAnsi="Arial" w:cs="Arial"/>
          <w:sz w:val="24"/>
          <w:szCs w:val="24"/>
        </w:rPr>
        <w:t>the merits.</w:t>
      </w:r>
    </w:p>
    <w:p w14:paraId="264D34C2" w14:textId="77777777" w:rsidR="00B7289D" w:rsidRPr="001279DB" w:rsidRDefault="00B7289D" w:rsidP="00522F18">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p>
    <w:p w14:paraId="7AEDACA5" w14:textId="1F5F631A" w:rsidR="002B17CF"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[21]</w:t>
      </w:r>
      <w:r w:rsidRPr="001279DB">
        <w:rPr>
          <w:rFonts w:ascii="Arial" w:eastAsia="Arial" w:hAnsi="Arial" w:cs="Arial"/>
          <w:sz w:val="24"/>
          <w:szCs w:val="24"/>
        </w:rPr>
        <w:tab/>
      </w:r>
      <w:r w:rsidR="002B17CF" w:rsidRPr="001279DB">
        <w:rPr>
          <w:rFonts w:ascii="Arial" w:eastAsia="Arial" w:hAnsi="Arial" w:cs="Arial"/>
          <w:sz w:val="24"/>
          <w:szCs w:val="24"/>
        </w:rPr>
        <w:t xml:space="preserve">In this Court, Brand JA, in </w:t>
      </w:r>
      <w:r w:rsidR="002B17CF" w:rsidRPr="001279DB">
        <w:rPr>
          <w:rFonts w:ascii="Arial" w:eastAsia="Arial" w:hAnsi="Arial" w:cs="Arial"/>
          <w:i/>
          <w:sz w:val="24"/>
          <w:szCs w:val="24"/>
        </w:rPr>
        <w:t>Judicial Service Commission and Another v Cape Bar Council and Another</w:t>
      </w:r>
      <w:r w:rsidR="00A1474E" w:rsidRPr="001279DB">
        <w:rPr>
          <w:rFonts w:ascii="Arial" w:eastAsia="Arial" w:hAnsi="Arial" w:cs="Arial"/>
          <w:sz w:val="24"/>
          <w:szCs w:val="24"/>
        </w:rPr>
        <w:t>,</w:t>
      </w:r>
      <w:r w:rsidR="002B17CF" w:rsidRPr="001279DB">
        <w:rPr>
          <w:rStyle w:val="FootnoteReference"/>
          <w:rFonts w:ascii="Arial" w:eastAsia="Arial" w:hAnsi="Arial" w:cs="Arial"/>
          <w:sz w:val="24"/>
          <w:szCs w:val="24"/>
        </w:rPr>
        <w:footnoteReference w:id="9"/>
      </w:r>
      <w:r w:rsidR="002B17CF" w:rsidRPr="001279DB">
        <w:rPr>
          <w:rFonts w:ascii="Arial" w:eastAsia="Arial" w:hAnsi="Arial" w:cs="Arial"/>
          <w:i/>
          <w:sz w:val="24"/>
          <w:szCs w:val="24"/>
        </w:rPr>
        <w:t xml:space="preserve"> </w:t>
      </w:r>
      <w:r w:rsidR="002B17CF" w:rsidRPr="001279DB">
        <w:rPr>
          <w:rFonts w:ascii="Arial" w:eastAsia="Arial" w:hAnsi="Arial" w:cs="Arial"/>
          <w:sz w:val="24"/>
          <w:szCs w:val="24"/>
        </w:rPr>
        <w:t>said the following on the issue of non-joinder:</w:t>
      </w:r>
    </w:p>
    <w:p w14:paraId="0B0542A9" w14:textId="77777777" w:rsidR="002B17CF" w:rsidRPr="001279DB" w:rsidRDefault="002B17CF" w:rsidP="00522F18">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rPr>
        <w:t>‘I</w:t>
      </w:r>
      <w:r w:rsidRPr="001279DB">
        <w:rPr>
          <w:rFonts w:ascii="Arial" w:hAnsi="Arial" w:cs="Arial"/>
          <w:shd w:val="clear" w:color="auto" w:fill="FFFFFF"/>
        </w:rPr>
        <w:t xml:space="preserve">t has by now become settled law that the joinder of a party is only required as a matter of necessity – as opposed to a matter of convenience – </w:t>
      </w:r>
      <w:r w:rsidRPr="001279DB">
        <w:rPr>
          <w:rFonts w:ascii="Arial" w:hAnsi="Arial" w:cs="Arial"/>
          <w:i/>
          <w:iCs/>
          <w:shd w:val="clear" w:color="auto" w:fill="FFFFFF"/>
        </w:rPr>
        <w:t>if that party has a direct and substantial interest which may be affected prejudicially by the judgment of the court in the proceedings concerned</w:t>
      </w:r>
      <w:r w:rsidRPr="001279DB">
        <w:rPr>
          <w:rFonts w:ascii="Arial" w:hAnsi="Arial" w:cs="Arial"/>
          <w:shd w:val="clear" w:color="auto" w:fill="FFFFFF"/>
        </w:rPr>
        <w:t xml:space="preserve"> (see eg</w:t>
      </w:r>
      <w:r w:rsidR="00345948" w:rsidRPr="001279DB">
        <w:rPr>
          <w:rFonts w:ascii="Arial" w:hAnsi="Arial" w:cs="Arial"/>
          <w:shd w:val="clear" w:color="auto" w:fill="FFFFFF"/>
        </w:rPr>
        <w:t xml:space="preserve"> </w:t>
      </w:r>
      <w:r w:rsidRPr="001279DB">
        <w:rPr>
          <w:rFonts w:ascii="Arial" w:hAnsi="Arial" w:cs="Arial"/>
          <w:i/>
          <w:iCs/>
          <w:shd w:val="clear" w:color="auto" w:fill="FFFFFF"/>
        </w:rPr>
        <w:t xml:space="preserve">Bowring NO v Vrededorp Properties CC </w:t>
      </w:r>
      <w:r w:rsidRPr="001279DB">
        <w:rPr>
          <w:rFonts w:ascii="Arial" w:hAnsi="Arial" w:cs="Arial"/>
          <w:iCs/>
          <w:shd w:val="clear" w:color="auto" w:fill="FFFFFF"/>
        </w:rPr>
        <w:t>2007(5) SA 391</w:t>
      </w:r>
      <w:r w:rsidRPr="001279DB">
        <w:rPr>
          <w:rFonts w:ascii="Arial" w:hAnsi="Arial" w:cs="Arial"/>
          <w:i/>
          <w:iCs/>
          <w:shd w:val="clear" w:color="auto" w:fill="FFFFFF"/>
        </w:rPr>
        <w:t xml:space="preserve"> </w:t>
      </w:r>
      <w:r w:rsidRPr="001279DB">
        <w:rPr>
          <w:rFonts w:ascii="Arial" w:hAnsi="Arial" w:cs="Arial"/>
          <w:shd w:val="clear" w:color="auto" w:fill="FFFFFF"/>
        </w:rPr>
        <w:t>(SCA) para 21). The mere fact that a party may have an interest in the outcome of the litigation does not warrant a non-joinder plea. The right of a party to validly raise the objection that other parties should have been joined to the proceedings, has thus been held to be a limited one (see eg </w:t>
      </w:r>
      <w:r w:rsidRPr="001279DB">
        <w:rPr>
          <w:rFonts w:ascii="Arial" w:hAnsi="Arial" w:cs="Arial"/>
          <w:i/>
          <w:iCs/>
          <w:shd w:val="clear" w:color="auto" w:fill="FFFFFF"/>
        </w:rPr>
        <w:t xml:space="preserve">Burger v Rand Water Board </w:t>
      </w:r>
      <w:r w:rsidRPr="001279DB">
        <w:rPr>
          <w:rFonts w:ascii="Arial" w:hAnsi="Arial" w:cs="Arial"/>
          <w:iCs/>
          <w:shd w:val="clear" w:color="auto" w:fill="FFFFFF"/>
        </w:rPr>
        <w:t>2007 (1) SA 30</w:t>
      </w:r>
      <w:r w:rsidRPr="001279DB">
        <w:rPr>
          <w:rFonts w:ascii="Arial" w:hAnsi="Arial" w:cs="Arial"/>
          <w:i/>
          <w:iCs/>
          <w:shd w:val="clear" w:color="auto" w:fill="FFFFFF"/>
        </w:rPr>
        <w:t xml:space="preserve"> </w:t>
      </w:r>
      <w:r w:rsidRPr="001279DB">
        <w:rPr>
          <w:rFonts w:ascii="Arial" w:hAnsi="Arial" w:cs="Arial"/>
          <w:shd w:val="clear" w:color="auto" w:fill="FFFFFF"/>
        </w:rPr>
        <w:t>(SCA) para 7; Andries Charl Cilliers, Cheryl Loots and Hendrik Christoffel Nel</w:t>
      </w:r>
      <w:r w:rsidR="007B271D" w:rsidRPr="001279DB">
        <w:rPr>
          <w:rFonts w:ascii="Arial" w:hAnsi="Arial" w:cs="Arial"/>
          <w:shd w:val="clear" w:color="auto" w:fill="FFFFFF"/>
        </w:rPr>
        <w:t xml:space="preserve"> </w:t>
      </w:r>
      <w:r w:rsidRPr="001279DB">
        <w:rPr>
          <w:rFonts w:ascii="Arial" w:hAnsi="Arial" w:cs="Arial"/>
          <w:i/>
          <w:iCs/>
          <w:shd w:val="clear" w:color="auto" w:fill="FFFFFF"/>
        </w:rPr>
        <w:t>Herbstein &amp; Van Winsen</w:t>
      </w:r>
      <w:r w:rsidR="007B271D" w:rsidRPr="001279DB">
        <w:rPr>
          <w:rFonts w:ascii="Arial" w:hAnsi="Arial" w:cs="Arial"/>
          <w:shd w:val="clear" w:color="auto" w:fill="FFFFFF"/>
        </w:rPr>
        <w:t xml:space="preserve"> </w:t>
      </w:r>
      <w:r w:rsidRPr="001279DB">
        <w:rPr>
          <w:rFonts w:ascii="Arial" w:hAnsi="Arial" w:cs="Arial"/>
          <w:i/>
          <w:iCs/>
          <w:shd w:val="clear" w:color="auto" w:fill="FFFFFF"/>
        </w:rPr>
        <w:t>The Civil Practice of the High Courts of South Africa</w:t>
      </w:r>
      <w:r w:rsidR="00345948" w:rsidRPr="001279DB">
        <w:rPr>
          <w:rFonts w:ascii="Arial" w:hAnsi="Arial" w:cs="Arial"/>
          <w:i/>
          <w:iCs/>
          <w:shd w:val="clear" w:color="auto" w:fill="FFFFFF"/>
        </w:rPr>
        <w:t xml:space="preserve"> </w:t>
      </w:r>
      <w:r w:rsidRPr="001279DB">
        <w:rPr>
          <w:rFonts w:ascii="Arial" w:hAnsi="Arial" w:cs="Arial"/>
          <w:shd w:val="clear" w:color="auto" w:fill="FFFFFF"/>
        </w:rPr>
        <w:t>5</w:t>
      </w:r>
      <w:r w:rsidR="00345948" w:rsidRPr="001279DB">
        <w:rPr>
          <w:rFonts w:ascii="Arial" w:hAnsi="Arial" w:cs="Arial"/>
          <w:shd w:val="clear" w:color="auto" w:fill="FFFFFF"/>
        </w:rPr>
        <w:t xml:space="preserve"> </w:t>
      </w:r>
      <w:r w:rsidRPr="001279DB">
        <w:rPr>
          <w:rFonts w:ascii="Arial" w:hAnsi="Arial" w:cs="Arial"/>
          <w:shd w:val="clear" w:color="auto" w:fill="FFFFFF"/>
        </w:rPr>
        <w:t>ed vol 1 at 239 and the cases there cited.)’</w:t>
      </w:r>
      <w:r w:rsidRPr="001279DB">
        <w:rPr>
          <w:rFonts w:ascii="Arial" w:eastAsia="Arial" w:hAnsi="Arial" w:cs="Arial"/>
        </w:rPr>
        <w:t>.</w:t>
      </w:r>
      <w:r w:rsidRPr="001279DB">
        <w:rPr>
          <w:rStyle w:val="FootnoteReference"/>
          <w:rFonts w:ascii="Arial" w:eastAsia="Arial" w:hAnsi="Arial" w:cs="Arial"/>
        </w:rPr>
        <w:footnoteReference w:id="10"/>
      </w:r>
      <w:r w:rsidRPr="001279DB">
        <w:rPr>
          <w:rFonts w:ascii="Arial" w:eastAsia="Arial" w:hAnsi="Arial" w:cs="Arial"/>
        </w:rPr>
        <w:t xml:space="preserve"> (Emphasis added.)</w:t>
      </w:r>
    </w:p>
    <w:p w14:paraId="63DB05AA" w14:textId="77777777" w:rsidR="00B7289D" w:rsidRPr="001279DB" w:rsidRDefault="00B7289D" w:rsidP="00522F18">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p>
    <w:p w14:paraId="64753468" w14:textId="28B0BD6A" w:rsidR="00FE1C2E"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[22]</w:t>
      </w:r>
      <w:r w:rsidRPr="001279DB">
        <w:rPr>
          <w:rFonts w:ascii="Arial" w:eastAsia="Arial" w:hAnsi="Arial" w:cs="Arial"/>
          <w:sz w:val="24"/>
          <w:szCs w:val="24"/>
        </w:rPr>
        <w:tab/>
      </w:r>
      <w:r w:rsidR="002E3C71" w:rsidRPr="001279DB">
        <w:rPr>
          <w:rFonts w:ascii="Arial" w:eastAsia="Arial" w:hAnsi="Arial" w:cs="Arial"/>
          <w:sz w:val="24"/>
          <w:szCs w:val="24"/>
        </w:rPr>
        <w:t xml:space="preserve">As stated </w:t>
      </w:r>
      <w:r w:rsidR="007217C1" w:rsidRPr="001279DB">
        <w:rPr>
          <w:rFonts w:ascii="Arial" w:eastAsia="Arial" w:hAnsi="Arial" w:cs="Arial"/>
          <w:sz w:val="24"/>
          <w:szCs w:val="24"/>
        </w:rPr>
        <w:t>earlier</w:t>
      </w:r>
      <w:r w:rsidR="00345948" w:rsidRPr="001279DB">
        <w:rPr>
          <w:rFonts w:ascii="Arial" w:eastAsia="Arial" w:hAnsi="Arial" w:cs="Arial"/>
          <w:sz w:val="24"/>
          <w:szCs w:val="24"/>
        </w:rPr>
        <w:t>,</w:t>
      </w:r>
      <w:r w:rsidR="007217C1" w:rsidRPr="001279DB">
        <w:rPr>
          <w:rFonts w:ascii="Arial" w:eastAsia="Arial" w:hAnsi="Arial" w:cs="Arial"/>
          <w:sz w:val="24"/>
          <w:szCs w:val="24"/>
        </w:rPr>
        <w:t xml:space="preserve"> </w:t>
      </w:r>
      <w:r w:rsidR="002E3C71" w:rsidRPr="001279DB">
        <w:rPr>
          <w:rFonts w:ascii="Arial" w:eastAsia="Arial" w:hAnsi="Arial" w:cs="Arial"/>
          <w:sz w:val="24"/>
          <w:szCs w:val="24"/>
        </w:rPr>
        <w:t>Lehlaka contend</w:t>
      </w:r>
      <w:r w:rsidR="008E2F36" w:rsidRPr="001279DB">
        <w:rPr>
          <w:rFonts w:ascii="Arial" w:eastAsia="Arial" w:hAnsi="Arial" w:cs="Arial"/>
          <w:sz w:val="24"/>
          <w:szCs w:val="24"/>
        </w:rPr>
        <w:t>ed</w:t>
      </w:r>
      <w:r w:rsidR="002E3C71" w:rsidRPr="001279DB">
        <w:rPr>
          <w:rFonts w:ascii="Arial" w:eastAsia="Arial" w:hAnsi="Arial" w:cs="Arial"/>
          <w:sz w:val="24"/>
          <w:szCs w:val="24"/>
        </w:rPr>
        <w:t xml:space="preserve"> that its relationship with the Municipality </w:t>
      </w:r>
      <w:r w:rsidR="008E2F36" w:rsidRPr="001279DB">
        <w:rPr>
          <w:rFonts w:ascii="Arial" w:eastAsia="Arial" w:hAnsi="Arial" w:cs="Arial"/>
          <w:sz w:val="24"/>
          <w:szCs w:val="24"/>
        </w:rPr>
        <w:t>wa</w:t>
      </w:r>
      <w:r w:rsidR="002E3C71" w:rsidRPr="001279DB">
        <w:rPr>
          <w:rFonts w:ascii="Arial" w:eastAsia="Arial" w:hAnsi="Arial" w:cs="Arial"/>
          <w:sz w:val="24"/>
          <w:szCs w:val="24"/>
        </w:rPr>
        <w:t xml:space="preserve">s purely contractual. The consumer agreement </w:t>
      </w:r>
      <w:r w:rsidR="008E2F36" w:rsidRPr="001279DB">
        <w:rPr>
          <w:rFonts w:ascii="Arial" w:eastAsia="Arial" w:hAnsi="Arial" w:cs="Arial"/>
          <w:sz w:val="24"/>
          <w:szCs w:val="24"/>
        </w:rPr>
        <w:t>wa</w:t>
      </w:r>
      <w:r w:rsidR="002E3C71" w:rsidRPr="001279DB">
        <w:rPr>
          <w:rFonts w:ascii="Arial" w:eastAsia="Arial" w:hAnsi="Arial" w:cs="Arial"/>
          <w:sz w:val="24"/>
          <w:szCs w:val="24"/>
        </w:rPr>
        <w:t>s between the Municipality and itself and as such</w:t>
      </w:r>
      <w:r w:rsidR="00345948" w:rsidRPr="001279DB">
        <w:rPr>
          <w:rFonts w:ascii="Arial" w:eastAsia="Arial" w:hAnsi="Arial" w:cs="Arial"/>
          <w:sz w:val="24"/>
          <w:szCs w:val="24"/>
        </w:rPr>
        <w:t>,</w:t>
      </w:r>
      <w:r w:rsidR="002E3C71" w:rsidRPr="001279DB">
        <w:rPr>
          <w:rFonts w:ascii="Arial" w:eastAsia="Arial" w:hAnsi="Arial" w:cs="Arial"/>
          <w:sz w:val="24"/>
          <w:szCs w:val="24"/>
        </w:rPr>
        <w:t xml:space="preserve"> it </w:t>
      </w:r>
      <w:r w:rsidR="00F13FE9" w:rsidRPr="001279DB">
        <w:rPr>
          <w:rFonts w:ascii="Arial" w:eastAsia="Arial" w:hAnsi="Arial" w:cs="Arial"/>
          <w:sz w:val="24"/>
          <w:szCs w:val="24"/>
        </w:rPr>
        <w:t>wa</w:t>
      </w:r>
      <w:r w:rsidR="002E3C71" w:rsidRPr="001279DB">
        <w:rPr>
          <w:rFonts w:ascii="Arial" w:eastAsia="Arial" w:hAnsi="Arial" w:cs="Arial"/>
          <w:sz w:val="24"/>
          <w:szCs w:val="24"/>
        </w:rPr>
        <w:t>s entitled to seek a termination of the agree</w:t>
      </w:r>
      <w:r w:rsidR="00DD22F3" w:rsidRPr="001279DB">
        <w:rPr>
          <w:rFonts w:ascii="Arial" w:eastAsia="Arial" w:hAnsi="Arial" w:cs="Arial"/>
          <w:sz w:val="24"/>
          <w:szCs w:val="24"/>
        </w:rPr>
        <w:t xml:space="preserve">ment, in </w:t>
      </w:r>
      <w:r w:rsidR="001148AF" w:rsidRPr="001279DB">
        <w:rPr>
          <w:rFonts w:ascii="Arial" w:eastAsia="Arial" w:hAnsi="Arial" w:cs="Arial"/>
          <w:sz w:val="24"/>
          <w:szCs w:val="24"/>
        </w:rPr>
        <w:t>line</w:t>
      </w:r>
      <w:r w:rsidR="00DD22F3" w:rsidRPr="001279DB">
        <w:rPr>
          <w:rFonts w:ascii="Arial" w:eastAsia="Arial" w:hAnsi="Arial" w:cs="Arial"/>
          <w:sz w:val="24"/>
          <w:szCs w:val="24"/>
        </w:rPr>
        <w:t xml:space="preserve"> with s</w:t>
      </w:r>
      <w:r w:rsidR="002E3C71" w:rsidRPr="001279DB">
        <w:rPr>
          <w:rFonts w:ascii="Arial" w:eastAsia="Arial" w:hAnsi="Arial" w:cs="Arial"/>
          <w:sz w:val="24"/>
          <w:szCs w:val="24"/>
        </w:rPr>
        <w:t xml:space="preserve"> 4(1)</w:t>
      </w:r>
      <w:r w:rsidR="008A244E" w:rsidRPr="001279DB">
        <w:rPr>
          <w:rFonts w:ascii="Arial" w:eastAsia="Arial" w:hAnsi="Arial" w:cs="Arial"/>
          <w:sz w:val="24"/>
          <w:szCs w:val="24"/>
        </w:rPr>
        <w:t xml:space="preserve"> of the Electricity By-laws</w:t>
      </w:r>
      <w:r w:rsidR="002E3C71" w:rsidRPr="001279DB">
        <w:rPr>
          <w:rFonts w:ascii="Arial" w:eastAsia="Arial" w:hAnsi="Arial" w:cs="Arial"/>
          <w:sz w:val="24"/>
          <w:szCs w:val="24"/>
        </w:rPr>
        <w:t>, which it ha</w:t>
      </w:r>
      <w:r w:rsidR="006E4FCB" w:rsidRPr="001279DB">
        <w:rPr>
          <w:rFonts w:ascii="Arial" w:eastAsia="Arial" w:hAnsi="Arial" w:cs="Arial"/>
          <w:sz w:val="24"/>
          <w:szCs w:val="24"/>
        </w:rPr>
        <w:t>d</w:t>
      </w:r>
      <w:r w:rsidR="002E3C71" w:rsidRPr="001279DB">
        <w:rPr>
          <w:rFonts w:ascii="Arial" w:eastAsia="Arial" w:hAnsi="Arial" w:cs="Arial"/>
          <w:sz w:val="24"/>
          <w:szCs w:val="24"/>
        </w:rPr>
        <w:t xml:space="preserve"> done</w:t>
      </w:r>
      <w:r w:rsidR="00277D73" w:rsidRPr="001279DB">
        <w:rPr>
          <w:rFonts w:ascii="Arial" w:eastAsia="Arial" w:hAnsi="Arial" w:cs="Arial"/>
          <w:sz w:val="24"/>
          <w:szCs w:val="24"/>
        </w:rPr>
        <w:t>.</w:t>
      </w:r>
    </w:p>
    <w:p w14:paraId="7F6857F6" w14:textId="77777777" w:rsidR="00B7289D" w:rsidRPr="001279DB" w:rsidRDefault="00B7289D" w:rsidP="00522F18">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p>
    <w:p w14:paraId="610384EE" w14:textId="10730C6F" w:rsidR="00D73A96"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[23]</w:t>
      </w:r>
      <w:r w:rsidRPr="001279DB">
        <w:rPr>
          <w:rFonts w:ascii="Arial" w:eastAsia="Arial" w:hAnsi="Arial" w:cs="Arial"/>
          <w:sz w:val="24"/>
          <w:szCs w:val="24"/>
        </w:rPr>
        <w:tab/>
      </w:r>
      <w:r w:rsidR="002E3C71" w:rsidRPr="001279DB">
        <w:rPr>
          <w:rFonts w:ascii="Arial" w:eastAsia="Arial" w:hAnsi="Arial" w:cs="Arial"/>
          <w:sz w:val="24"/>
          <w:szCs w:val="24"/>
        </w:rPr>
        <w:t>The Municipality state</w:t>
      </w:r>
      <w:r w:rsidR="00F13FE9" w:rsidRPr="001279DB">
        <w:rPr>
          <w:rFonts w:ascii="Arial" w:eastAsia="Arial" w:hAnsi="Arial" w:cs="Arial"/>
          <w:sz w:val="24"/>
          <w:szCs w:val="24"/>
        </w:rPr>
        <w:t>d</w:t>
      </w:r>
      <w:r w:rsidR="002E3C71" w:rsidRPr="001279DB">
        <w:rPr>
          <w:rFonts w:ascii="Arial" w:eastAsia="Arial" w:hAnsi="Arial" w:cs="Arial"/>
          <w:sz w:val="24"/>
          <w:szCs w:val="24"/>
        </w:rPr>
        <w:t xml:space="preserve"> that </w:t>
      </w:r>
      <w:r w:rsidR="006E4FCB" w:rsidRPr="001279DB">
        <w:rPr>
          <w:rFonts w:ascii="Arial" w:eastAsia="Arial" w:hAnsi="Arial" w:cs="Arial"/>
          <w:sz w:val="24"/>
          <w:szCs w:val="24"/>
        </w:rPr>
        <w:t xml:space="preserve">the contractual issue that Lehlaka </w:t>
      </w:r>
      <w:r w:rsidR="00345948" w:rsidRPr="001279DB">
        <w:rPr>
          <w:rFonts w:ascii="Arial" w:eastAsia="Arial" w:hAnsi="Arial" w:cs="Arial"/>
          <w:sz w:val="24"/>
          <w:szCs w:val="24"/>
        </w:rPr>
        <w:t xml:space="preserve">had </w:t>
      </w:r>
      <w:r w:rsidR="006E4FCB" w:rsidRPr="001279DB">
        <w:rPr>
          <w:rFonts w:ascii="Arial" w:eastAsia="Arial" w:hAnsi="Arial" w:cs="Arial"/>
          <w:sz w:val="24"/>
          <w:szCs w:val="24"/>
        </w:rPr>
        <w:t>raised</w:t>
      </w:r>
      <w:r w:rsidR="002E3C71" w:rsidRPr="001279DB">
        <w:rPr>
          <w:rFonts w:ascii="Arial" w:eastAsia="Arial" w:hAnsi="Arial" w:cs="Arial"/>
          <w:sz w:val="24"/>
          <w:szCs w:val="24"/>
        </w:rPr>
        <w:t xml:space="preserve"> </w:t>
      </w:r>
      <w:r w:rsidR="00F13FE9" w:rsidRPr="001279DB">
        <w:rPr>
          <w:rFonts w:ascii="Arial" w:eastAsia="Arial" w:hAnsi="Arial" w:cs="Arial"/>
          <w:sz w:val="24"/>
          <w:szCs w:val="24"/>
        </w:rPr>
        <w:t>wa</w:t>
      </w:r>
      <w:r w:rsidR="002E3C71" w:rsidRPr="001279DB">
        <w:rPr>
          <w:rFonts w:ascii="Arial" w:eastAsia="Arial" w:hAnsi="Arial" w:cs="Arial"/>
          <w:sz w:val="24"/>
          <w:szCs w:val="24"/>
        </w:rPr>
        <w:t>s not as simple</w:t>
      </w:r>
      <w:r w:rsidR="006E4FCB" w:rsidRPr="001279DB">
        <w:rPr>
          <w:rFonts w:ascii="Arial" w:eastAsia="Arial" w:hAnsi="Arial" w:cs="Arial"/>
          <w:sz w:val="24"/>
          <w:szCs w:val="24"/>
        </w:rPr>
        <w:t>, since</w:t>
      </w:r>
      <w:r w:rsidR="002E3C71" w:rsidRPr="001279DB">
        <w:rPr>
          <w:rFonts w:ascii="Arial" w:eastAsia="Arial" w:hAnsi="Arial" w:cs="Arial"/>
          <w:sz w:val="24"/>
          <w:szCs w:val="24"/>
        </w:rPr>
        <w:t xml:space="preserve"> </w:t>
      </w:r>
      <w:r w:rsidR="00A92C28" w:rsidRPr="001279DB">
        <w:rPr>
          <w:rFonts w:ascii="Arial" w:eastAsia="Arial" w:hAnsi="Arial" w:cs="Arial"/>
          <w:sz w:val="24"/>
          <w:szCs w:val="24"/>
        </w:rPr>
        <w:t>there w</w:t>
      </w:r>
      <w:r w:rsidR="002E3C71" w:rsidRPr="001279DB">
        <w:rPr>
          <w:rFonts w:ascii="Arial" w:eastAsia="Arial" w:hAnsi="Arial" w:cs="Arial"/>
          <w:sz w:val="24"/>
          <w:szCs w:val="24"/>
        </w:rPr>
        <w:t>a</w:t>
      </w:r>
      <w:r w:rsidR="000167C0" w:rsidRPr="001279DB">
        <w:rPr>
          <w:rFonts w:ascii="Arial" w:eastAsia="Arial" w:hAnsi="Arial" w:cs="Arial"/>
          <w:sz w:val="24"/>
          <w:szCs w:val="24"/>
        </w:rPr>
        <w:t xml:space="preserve">s </w:t>
      </w:r>
      <w:r w:rsidR="003D4178" w:rsidRPr="001279DB">
        <w:rPr>
          <w:rFonts w:ascii="Arial" w:eastAsia="Arial" w:hAnsi="Arial" w:cs="Arial"/>
          <w:sz w:val="24"/>
          <w:szCs w:val="24"/>
        </w:rPr>
        <w:t>‘</w:t>
      </w:r>
      <w:r w:rsidR="000167C0" w:rsidRPr="001279DB">
        <w:rPr>
          <w:rFonts w:ascii="Arial" w:eastAsia="Arial" w:hAnsi="Arial" w:cs="Arial"/>
          <w:sz w:val="24"/>
          <w:szCs w:val="24"/>
        </w:rPr>
        <w:t>a</w:t>
      </w:r>
      <w:r w:rsidR="002E3C71" w:rsidRPr="001279DB">
        <w:rPr>
          <w:rFonts w:ascii="Arial" w:eastAsia="Arial" w:hAnsi="Arial" w:cs="Arial"/>
          <w:sz w:val="24"/>
          <w:szCs w:val="24"/>
        </w:rPr>
        <w:t xml:space="preserve"> special cluster relationship</w:t>
      </w:r>
      <w:r w:rsidR="003D4178" w:rsidRPr="001279DB">
        <w:rPr>
          <w:rFonts w:ascii="Arial" w:eastAsia="Arial" w:hAnsi="Arial" w:cs="Arial"/>
          <w:sz w:val="24"/>
          <w:szCs w:val="24"/>
        </w:rPr>
        <w:t>’</w:t>
      </w:r>
      <w:r w:rsidR="002E3C71" w:rsidRPr="001279DB">
        <w:rPr>
          <w:rFonts w:ascii="Arial" w:eastAsia="Arial" w:hAnsi="Arial" w:cs="Arial"/>
          <w:sz w:val="24"/>
          <w:szCs w:val="24"/>
        </w:rPr>
        <w:t xml:space="preserve"> between </w:t>
      </w:r>
      <w:r w:rsidR="003D4178" w:rsidRPr="001279DB">
        <w:rPr>
          <w:rFonts w:ascii="Arial" w:eastAsia="Arial" w:hAnsi="Arial" w:cs="Arial"/>
          <w:sz w:val="24"/>
          <w:szCs w:val="24"/>
        </w:rPr>
        <w:t xml:space="preserve">it, </w:t>
      </w:r>
      <w:r w:rsidR="00A41833" w:rsidRPr="001279DB">
        <w:rPr>
          <w:rFonts w:ascii="Arial" w:eastAsia="Arial" w:hAnsi="Arial" w:cs="Arial"/>
          <w:sz w:val="24"/>
          <w:szCs w:val="24"/>
        </w:rPr>
        <w:t>Lehlaka and</w:t>
      </w:r>
      <w:r w:rsidR="00DD22F3" w:rsidRPr="001279DB">
        <w:rPr>
          <w:rFonts w:ascii="Arial" w:eastAsia="Arial" w:hAnsi="Arial" w:cs="Arial"/>
          <w:sz w:val="24"/>
          <w:szCs w:val="24"/>
        </w:rPr>
        <w:t xml:space="preserve"> the unlawful occupiers</w:t>
      </w:r>
      <w:r w:rsidR="00345948" w:rsidRPr="001279DB">
        <w:rPr>
          <w:rFonts w:ascii="Arial" w:eastAsia="Arial" w:hAnsi="Arial" w:cs="Arial"/>
          <w:sz w:val="24"/>
          <w:szCs w:val="24"/>
        </w:rPr>
        <w:t>:</w:t>
      </w:r>
      <w:r w:rsidR="00DD22F3" w:rsidRPr="001279DB">
        <w:rPr>
          <w:rFonts w:ascii="Arial" w:eastAsia="Arial" w:hAnsi="Arial" w:cs="Arial"/>
          <w:sz w:val="24"/>
          <w:szCs w:val="24"/>
        </w:rPr>
        <w:t xml:space="preserve"> </w:t>
      </w:r>
      <w:r w:rsidR="00CB2FB4" w:rsidRPr="001279DB">
        <w:rPr>
          <w:rFonts w:ascii="Arial" w:eastAsia="Arial" w:hAnsi="Arial" w:cs="Arial"/>
          <w:sz w:val="24"/>
          <w:szCs w:val="24"/>
        </w:rPr>
        <w:t>It alleged</w:t>
      </w:r>
      <w:r w:rsidR="00274440" w:rsidRPr="001279DB">
        <w:rPr>
          <w:rFonts w:ascii="Arial" w:eastAsia="Arial" w:hAnsi="Arial" w:cs="Arial"/>
          <w:sz w:val="24"/>
          <w:szCs w:val="24"/>
        </w:rPr>
        <w:t xml:space="preserve"> that t</w:t>
      </w:r>
      <w:r w:rsidR="00DD22F3" w:rsidRPr="001279DB">
        <w:rPr>
          <w:rFonts w:ascii="Arial" w:eastAsia="Arial" w:hAnsi="Arial" w:cs="Arial"/>
          <w:sz w:val="24"/>
          <w:szCs w:val="24"/>
        </w:rPr>
        <w:t>his</w:t>
      </w:r>
      <w:r w:rsidR="002E3C71" w:rsidRPr="001279DB">
        <w:rPr>
          <w:rFonts w:ascii="Arial" w:eastAsia="Arial" w:hAnsi="Arial" w:cs="Arial"/>
          <w:sz w:val="24"/>
          <w:szCs w:val="24"/>
        </w:rPr>
        <w:t xml:space="preserve"> </w:t>
      </w:r>
      <w:r w:rsidR="00A8266F" w:rsidRPr="001279DB">
        <w:rPr>
          <w:rFonts w:ascii="Arial" w:eastAsia="Arial" w:hAnsi="Arial" w:cs="Arial"/>
          <w:sz w:val="24"/>
          <w:szCs w:val="24"/>
        </w:rPr>
        <w:t>‘</w:t>
      </w:r>
      <w:r w:rsidR="002E3C71" w:rsidRPr="001279DB">
        <w:rPr>
          <w:rFonts w:ascii="Arial" w:eastAsia="Arial" w:hAnsi="Arial" w:cs="Arial"/>
          <w:sz w:val="24"/>
          <w:szCs w:val="24"/>
        </w:rPr>
        <w:t>special cluster relationship</w:t>
      </w:r>
      <w:r w:rsidR="00A8266F" w:rsidRPr="001279DB">
        <w:rPr>
          <w:rFonts w:ascii="Arial" w:eastAsia="Arial" w:hAnsi="Arial" w:cs="Arial"/>
          <w:sz w:val="24"/>
          <w:szCs w:val="24"/>
        </w:rPr>
        <w:t>’</w:t>
      </w:r>
      <w:r w:rsidR="00DD22F3" w:rsidRPr="001279DB">
        <w:rPr>
          <w:rFonts w:ascii="Arial" w:eastAsia="Arial" w:hAnsi="Arial" w:cs="Arial"/>
          <w:sz w:val="24"/>
          <w:szCs w:val="24"/>
        </w:rPr>
        <w:t xml:space="preserve"> </w:t>
      </w:r>
      <w:r w:rsidR="002E3C71" w:rsidRPr="001279DB">
        <w:rPr>
          <w:rFonts w:ascii="Arial" w:eastAsia="Arial" w:hAnsi="Arial" w:cs="Arial"/>
          <w:sz w:val="24"/>
          <w:szCs w:val="24"/>
        </w:rPr>
        <w:t>exist</w:t>
      </w:r>
      <w:r w:rsidR="00274440" w:rsidRPr="001279DB">
        <w:rPr>
          <w:rFonts w:ascii="Arial" w:eastAsia="Arial" w:hAnsi="Arial" w:cs="Arial"/>
          <w:sz w:val="24"/>
          <w:szCs w:val="24"/>
        </w:rPr>
        <w:t>s</w:t>
      </w:r>
      <w:r w:rsidR="002E3C71" w:rsidRPr="001279DB">
        <w:rPr>
          <w:rFonts w:ascii="Arial" w:eastAsia="Arial" w:hAnsi="Arial" w:cs="Arial"/>
          <w:sz w:val="24"/>
          <w:szCs w:val="24"/>
        </w:rPr>
        <w:t xml:space="preserve"> between </w:t>
      </w:r>
      <w:r w:rsidR="00274440" w:rsidRPr="001279DB">
        <w:rPr>
          <w:rFonts w:ascii="Arial" w:eastAsia="Arial" w:hAnsi="Arial" w:cs="Arial"/>
          <w:sz w:val="24"/>
          <w:szCs w:val="24"/>
        </w:rPr>
        <w:t xml:space="preserve">it </w:t>
      </w:r>
      <w:r w:rsidR="002E3C71" w:rsidRPr="001279DB">
        <w:rPr>
          <w:rFonts w:ascii="Arial" w:eastAsia="Arial" w:hAnsi="Arial" w:cs="Arial"/>
          <w:sz w:val="24"/>
          <w:szCs w:val="24"/>
        </w:rPr>
        <w:t xml:space="preserve">and </w:t>
      </w:r>
      <w:r w:rsidR="00CB2FB4" w:rsidRPr="001279DB">
        <w:rPr>
          <w:rFonts w:ascii="Arial" w:eastAsia="Arial" w:hAnsi="Arial" w:cs="Arial"/>
          <w:sz w:val="24"/>
          <w:szCs w:val="24"/>
        </w:rPr>
        <w:t>Lehlaka, between it and</w:t>
      </w:r>
      <w:r w:rsidR="002E3C71" w:rsidRPr="001279DB">
        <w:rPr>
          <w:rFonts w:ascii="Arial" w:eastAsia="Arial" w:hAnsi="Arial" w:cs="Arial"/>
          <w:sz w:val="24"/>
          <w:szCs w:val="24"/>
        </w:rPr>
        <w:t xml:space="preserve"> the occupiers, </w:t>
      </w:r>
      <w:r w:rsidR="00345948" w:rsidRPr="001279DB">
        <w:rPr>
          <w:rFonts w:ascii="Arial" w:eastAsia="Arial" w:hAnsi="Arial" w:cs="Arial"/>
          <w:sz w:val="24"/>
          <w:szCs w:val="24"/>
        </w:rPr>
        <w:t>as well as</w:t>
      </w:r>
      <w:r w:rsidR="002E3C71" w:rsidRPr="001279DB">
        <w:rPr>
          <w:rFonts w:ascii="Arial" w:eastAsia="Arial" w:hAnsi="Arial" w:cs="Arial"/>
          <w:sz w:val="24"/>
          <w:szCs w:val="24"/>
        </w:rPr>
        <w:t xml:space="preserve"> </w:t>
      </w:r>
      <w:r w:rsidR="003F777B" w:rsidRPr="001279DB">
        <w:rPr>
          <w:rFonts w:ascii="Arial" w:eastAsia="Arial" w:hAnsi="Arial" w:cs="Arial"/>
          <w:sz w:val="24"/>
          <w:szCs w:val="24"/>
        </w:rPr>
        <w:t xml:space="preserve">between </w:t>
      </w:r>
      <w:r w:rsidR="00274440" w:rsidRPr="001279DB">
        <w:rPr>
          <w:rFonts w:ascii="Arial" w:eastAsia="Arial" w:hAnsi="Arial" w:cs="Arial"/>
          <w:sz w:val="24"/>
          <w:szCs w:val="24"/>
        </w:rPr>
        <w:t>Lehlaka</w:t>
      </w:r>
      <w:r w:rsidR="002E3C71" w:rsidRPr="001279DB">
        <w:rPr>
          <w:rFonts w:ascii="Arial" w:eastAsia="Arial" w:hAnsi="Arial" w:cs="Arial"/>
          <w:sz w:val="24"/>
          <w:szCs w:val="24"/>
        </w:rPr>
        <w:t xml:space="preserve"> and the occupiers.</w:t>
      </w:r>
      <w:r w:rsidR="00730F8E" w:rsidRPr="001279DB">
        <w:rPr>
          <w:rFonts w:ascii="Arial" w:eastAsia="Arial" w:hAnsi="Arial" w:cs="Arial"/>
          <w:sz w:val="24"/>
          <w:szCs w:val="24"/>
        </w:rPr>
        <w:t xml:space="preserve"> </w:t>
      </w:r>
      <w:r w:rsidR="005D230B" w:rsidRPr="001279DB">
        <w:rPr>
          <w:rFonts w:ascii="Arial" w:eastAsia="Arial" w:hAnsi="Arial" w:cs="Arial"/>
          <w:sz w:val="24"/>
          <w:szCs w:val="24"/>
        </w:rPr>
        <w:t>The Municipality relied on</w:t>
      </w:r>
      <w:r w:rsidR="00D7244F" w:rsidRPr="001279DB">
        <w:rPr>
          <w:rFonts w:ascii="Arial" w:eastAsia="Arial" w:hAnsi="Arial" w:cs="Arial"/>
          <w:sz w:val="24"/>
          <w:szCs w:val="24"/>
        </w:rPr>
        <w:t xml:space="preserve"> the case o</w:t>
      </w:r>
      <w:r w:rsidR="00015A9D" w:rsidRPr="001279DB">
        <w:rPr>
          <w:rFonts w:ascii="Arial" w:eastAsia="Arial" w:hAnsi="Arial" w:cs="Arial"/>
          <w:sz w:val="24"/>
          <w:szCs w:val="24"/>
        </w:rPr>
        <w:t>f</w:t>
      </w:r>
      <w:r w:rsidR="00015A9D" w:rsidRPr="001279DB">
        <w:rPr>
          <w:rFonts w:ascii="Arial" w:hAnsi="Arial" w:cs="Arial"/>
        </w:rPr>
        <w:t xml:space="preserve"> </w:t>
      </w:r>
      <w:r w:rsidR="00015A9D" w:rsidRPr="001279DB">
        <w:rPr>
          <w:rFonts w:ascii="Arial" w:eastAsia="Arial" w:hAnsi="Arial" w:cs="Arial"/>
          <w:i/>
          <w:sz w:val="24"/>
          <w:szCs w:val="24"/>
        </w:rPr>
        <w:t>Joseph and Others v City of Johannesburg and Others</w:t>
      </w:r>
      <w:r w:rsidR="00015A9D" w:rsidRPr="001279DB">
        <w:rPr>
          <w:rStyle w:val="FootnoteReference"/>
          <w:rFonts w:ascii="Arial" w:eastAsia="Arial" w:hAnsi="Arial" w:cs="Arial"/>
          <w:sz w:val="24"/>
          <w:szCs w:val="24"/>
        </w:rPr>
        <w:footnoteReference w:id="11"/>
      </w:r>
      <w:r w:rsidR="00677BD1" w:rsidRPr="001279DB">
        <w:rPr>
          <w:rFonts w:ascii="Arial" w:eastAsia="Arial" w:hAnsi="Arial" w:cs="Arial"/>
          <w:i/>
          <w:sz w:val="24"/>
          <w:szCs w:val="24"/>
        </w:rPr>
        <w:t xml:space="preserve"> </w:t>
      </w:r>
      <w:r w:rsidR="00677BD1" w:rsidRPr="001279DB">
        <w:rPr>
          <w:rFonts w:ascii="Arial" w:eastAsia="Arial" w:hAnsi="Arial" w:cs="Arial"/>
          <w:sz w:val="24"/>
          <w:szCs w:val="24"/>
        </w:rPr>
        <w:t>(</w:t>
      </w:r>
      <w:r w:rsidR="00677BD1" w:rsidRPr="001279DB">
        <w:rPr>
          <w:rFonts w:ascii="Arial" w:eastAsia="Arial" w:hAnsi="Arial" w:cs="Arial"/>
          <w:i/>
          <w:sz w:val="24"/>
          <w:szCs w:val="24"/>
        </w:rPr>
        <w:t>Joseph</w:t>
      </w:r>
      <w:r w:rsidR="00677BD1" w:rsidRPr="001279DB">
        <w:rPr>
          <w:rFonts w:ascii="Arial" w:eastAsia="Arial" w:hAnsi="Arial" w:cs="Arial"/>
          <w:sz w:val="24"/>
          <w:szCs w:val="24"/>
        </w:rPr>
        <w:t>)</w:t>
      </w:r>
      <w:r w:rsidR="007D5E12" w:rsidRPr="001279DB">
        <w:rPr>
          <w:rFonts w:ascii="Arial" w:eastAsia="Arial" w:hAnsi="Arial" w:cs="Arial"/>
          <w:sz w:val="24"/>
          <w:szCs w:val="24"/>
        </w:rPr>
        <w:t xml:space="preserve"> </w:t>
      </w:r>
      <w:r w:rsidR="005D230B" w:rsidRPr="001279DB">
        <w:rPr>
          <w:rFonts w:ascii="Arial" w:eastAsia="Arial" w:hAnsi="Arial" w:cs="Arial"/>
          <w:sz w:val="24"/>
          <w:szCs w:val="24"/>
        </w:rPr>
        <w:t>and the cases</w:t>
      </w:r>
      <w:r w:rsidR="00274440" w:rsidRPr="001279DB">
        <w:rPr>
          <w:rFonts w:ascii="Arial" w:eastAsia="Arial" w:hAnsi="Arial" w:cs="Arial"/>
          <w:sz w:val="24"/>
          <w:szCs w:val="24"/>
        </w:rPr>
        <w:t xml:space="preserve"> cited </w:t>
      </w:r>
      <w:r w:rsidR="005D230B" w:rsidRPr="001279DB">
        <w:rPr>
          <w:rFonts w:ascii="Arial" w:eastAsia="Arial" w:hAnsi="Arial" w:cs="Arial"/>
          <w:sz w:val="24"/>
          <w:szCs w:val="24"/>
        </w:rPr>
        <w:t xml:space="preserve">therein, where the Constitutional </w:t>
      </w:r>
      <w:r w:rsidR="00015A9D" w:rsidRPr="001279DB">
        <w:rPr>
          <w:rFonts w:ascii="Arial" w:eastAsia="Arial" w:hAnsi="Arial" w:cs="Arial"/>
          <w:sz w:val="24"/>
          <w:szCs w:val="24"/>
        </w:rPr>
        <w:t>C</w:t>
      </w:r>
      <w:r w:rsidR="005D230B" w:rsidRPr="001279DB">
        <w:rPr>
          <w:rFonts w:ascii="Arial" w:eastAsia="Arial" w:hAnsi="Arial" w:cs="Arial"/>
          <w:sz w:val="24"/>
          <w:szCs w:val="24"/>
        </w:rPr>
        <w:t xml:space="preserve">ourt explained this </w:t>
      </w:r>
      <w:r w:rsidR="003D4178" w:rsidRPr="001279DB">
        <w:rPr>
          <w:rFonts w:ascii="Arial" w:eastAsia="Arial" w:hAnsi="Arial" w:cs="Arial"/>
          <w:sz w:val="24"/>
          <w:szCs w:val="24"/>
        </w:rPr>
        <w:t>‘</w:t>
      </w:r>
      <w:r w:rsidR="005D230B" w:rsidRPr="001279DB">
        <w:rPr>
          <w:rFonts w:ascii="Arial" w:eastAsia="Arial" w:hAnsi="Arial" w:cs="Arial"/>
          <w:sz w:val="24"/>
          <w:szCs w:val="24"/>
        </w:rPr>
        <w:t>special cluster relationship</w:t>
      </w:r>
      <w:r w:rsidR="003D4178" w:rsidRPr="001279DB">
        <w:rPr>
          <w:rFonts w:ascii="Arial" w:eastAsia="Arial" w:hAnsi="Arial" w:cs="Arial"/>
          <w:sz w:val="24"/>
          <w:szCs w:val="24"/>
        </w:rPr>
        <w:t>’</w:t>
      </w:r>
      <w:r w:rsidR="005D230B" w:rsidRPr="001279DB">
        <w:rPr>
          <w:rFonts w:ascii="Arial" w:eastAsia="Arial" w:hAnsi="Arial" w:cs="Arial"/>
          <w:sz w:val="24"/>
          <w:szCs w:val="24"/>
        </w:rPr>
        <w:t xml:space="preserve"> as a ‘broader constitutional relationship’ existing between ‘a public service provider and the members of the local community [that] gives </w:t>
      </w:r>
      <w:r w:rsidR="00AC4EC1" w:rsidRPr="001279DB">
        <w:rPr>
          <w:rFonts w:ascii="Arial" w:eastAsia="Arial" w:hAnsi="Arial" w:cs="Arial"/>
          <w:sz w:val="24"/>
          <w:szCs w:val="24"/>
        </w:rPr>
        <w:t xml:space="preserve">rise to </w:t>
      </w:r>
      <w:r w:rsidR="005D230B" w:rsidRPr="001279DB">
        <w:rPr>
          <w:rFonts w:ascii="Arial" w:eastAsia="Arial" w:hAnsi="Arial" w:cs="Arial"/>
          <w:sz w:val="24"/>
          <w:szCs w:val="24"/>
        </w:rPr>
        <w:t xml:space="preserve">rights </w:t>
      </w:r>
      <w:r w:rsidR="00B058EE" w:rsidRPr="001279DB">
        <w:rPr>
          <w:rFonts w:ascii="Arial" w:eastAsia="Arial" w:hAnsi="Arial" w:cs="Arial"/>
          <w:sz w:val="24"/>
          <w:szCs w:val="24"/>
        </w:rPr>
        <w:t>that require the application of s</w:t>
      </w:r>
      <w:r w:rsidR="000167C0" w:rsidRPr="001279DB">
        <w:rPr>
          <w:rFonts w:ascii="Arial" w:eastAsia="Arial" w:hAnsi="Arial" w:cs="Arial"/>
          <w:sz w:val="24"/>
          <w:szCs w:val="24"/>
        </w:rPr>
        <w:t xml:space="preserve"> </w:t>
      </w:r>
      <w:r w:rsidR="00B058EE" w:rsidRPr="001279DB">
        <w:rPr>
          <w:rFonts w:ascii="Arial" w:eastAsia="Arial" w:hAnsi="Arial" w:cs="Arial"/>
          <w:sz w:val="24"/>
          <w:szCs w:val="24"/>
        </w:rPr>
        <w:t xml:space="preserve">3 of </w:t>
      </w:r>
      <w:r w:rsidR="00AC4EC1" w:rsidRPr="001279DB">
        <w:rPr>
          <w:rFonts w:ascii="Arial" w:eastAsia="Arial" w:hAnsi="Arial" w:cs="Arial"/>
          <w:sz w:val="24"/>
          <w:szCs w:val="24"/>
        </w:rPr>
        <w:t>[the</w:t>
      </w:r>
      <w:r w:rsidR="00CC5CD5" w:rsidRPr="001279DB">
        <w:rPr>
          <w:rFonts w:ascii="Arial" w:eastAsia="Arial" w:hAnsi="Arial" w:cs="Arial"/>
          <w:sz w:val="24"/>
          <w:szCs w:val="24"/>
        </w:rPr>
        <w:t xml:space="preserve"> </w:t>
      </w:r>
      <w:r w:rsidR="00D7244F" w:rsidRPr="001279DB">
        <w:rPr>
          <w:rFonts w:ascii="Arial" w:eastAsia="Arial" w:hAnsi="Arial" w:cs="Arial"/>
          <w:sz w:val="24"/>
          <w:szCs w:val="24"/>
        </w:rPr>
        <w:t>Promotion of Administrative Justice Act</w:t>
      </w:r>
      <w:r w:rsidR="00AC4EC1" w:rsidRPr="001279DB">
        <w:rPr>
          <w:rFonts w:ascii="Arial" w:eastAsia="Arial" w:hAnsi="Arial" w:cs="Arial"/>
          <w:sz w:val="24"/>
          <w:szCs w:val="24"/>
        </w:rPr>
        <w:t>]</w:t>
      </w:r>
      <w:r w:rsidR="00B058EE" w:rsidRPr="001279DB">
        <w:rPr>
          <w:rFonts w:ascii="Arial" w:eastAsia="Arial" w:hAnsi="Arial" w:cs="Arial"/>
          <w:sz w:val="24"/>
          <w:szCs w:val="24"/>
        </w:rPr>
        <w:t>’</w:t>
      </w:r>
      <w:r w:rsidR="00461518" w:rsidRPr="001279DB">
        <w:rPr>
          <w:rFonts w:ascii="Arial" w:eastAsia="Arial" w:hAnsi="Arial" w:cs="Arial"/>
          <w:sz w:val="24"/>
          <w:szCs w:val="24"/>
        </w:rPr>
        <w:t>.</w:t>
      </w:r>
      <w:r w:rsidR="00B058EE" w:rsidRPr="001279DB">
        <w:rPr>
          <w:rStyle w:val="FootnoteReference"/>
          <w:rFonts w:ascii="Arial" w:eastAsia="Arial" w:hAnsi="Arial" w:cs="Arial"/>
          <w:sz w:val="24"/>
          <w:szCs w:val="24"/>
        </w:rPr>
        <w:footnoteReference w:id="12"/>
      </w:r>
    </w:p>
    <w:p w14:paraId="5F0F955F" w14:textId="77777777" w:rsidR="00B7289D" w:rsidRPr="001279DB" w:rsidRDefault="00B7289D" w:rsidP="00522F18">
      <w:pPr>
        <w:pStyle w:val="ListParagraph"/>
        <w:spacing w:after="0" w:line="360" w:lineRule="auto"/>
        <w:jc w:val="both"/>
        <w:rPr>
          <w:rFonts w:ascii="Arial" w:eastAsia="Arial" w:hAnsi="Arial" w:cs="Arial"/>
          <w:sz w:val="24"/>
          <w:szCs w:val="24"/>
        </w:rPr>
      </w:pPr>
    </w:p>
    <w:p w14:paraId="73E24177" w14:textId="43723BF5" w:rsidR="00FE1C2E"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[24]</w:t>
      </w:r>
      <w:r w:rsidRPr="001279DB">
        <w:rPr>
          <w:rFonts w:ascii="Arial" w:eastAsia="Arial" w:hAnsi="Arial" w:cs="Arial"/>
          <w:sz w:val="24"/>
          <w:szCs w:val="24"/>
        </w:rPr>
        <w:tab/>
      </w:r>
      <w:r w:rsidR="00730F8E" w:rsidRPr="001279DB">
        <w:rPr>
          <w:rFonts w:ascii="Arial" w:eastAsia="Arial" w:hAnsi="Arial" w:cs="Arial"/>
          <w:sz w:val="24"/>
          <w:szCs w:val="24"/>
        </w:rPr>
        <w:t>Further</w:t>
      </w:r>
      <w:r w:rsidR="002B3E72" w:rsidRPr="001279DB">
        <w:rPr>
          <w:rFonts w:ascii="Arial" w:eastAsia="Arial" w:hAnsi="Arial" w:cs="Arial"/>
          <w:sz w:val="24"/>
          <w:szCs w:val="24"/>
        </w:rPr>
        <w:t>more</w:t>
      </w:r>
      <w:r w:rsidR="00730F8E" w:rsidRPr="001279DB">
        <w:rPr>
          <w:rFonts w:ascii="Arial" w:eastAsia="Arial" w:hAnsi="Arial" w:cs="Arial"/>
          <w:sz w:val="24"/>
          <w:szCs w:val="24"/>
        </w:rPr>
        <w:t>, the Municipality submit</w:t>
      </w:r>
      <w:r w:rsidR="00015A9D" w:rsidRPr="001279DB">
        <w:rPr>
          <w:rFonts w:ascii="Arial" w:eastAsia="Arial" w:hAnsi="Arial" w:cs="Arial"/>
          <w:sz w:val="24"/>
          <w:szCs w:val="24"/>
        </w:rPr>
        <w:t>ted</w:t>
      </w:r>
      <w:r w:rsidR="00730F8E" w:rsidRPr="001279DB">
        <w:rPr>
          <w:rFonts w:ascii="Arial" w:eastAsia="Arial" w:hAnsi="Arial" w:cs="Arial"/>
          <w:sz w:val="24"/>
          <w:szCs w:val="24"/>
        </w:rPr>
        <w:t xml:space="preserve"> that Lehlaka </w:t>
      </w:r>
      <w:r w:rsidR="00015A9D" w:rsidRPr="001279DB">
        <w:rPr>
          <w:rFonts w:ascii="Arial" w:eastAsia="Arial" w:hAnsi="Arial" w:cs="Arial"/>
          <w:sz w:val="24"/>
          <w:szCs w:val="24"/>
        </w:rPr>
        <w:t>wa</w:t>
      </w:r>
      <w:r w:rsidR="00730F8E" w:rsidRPr="001279DB">
        <w:rPr>
          <w:rFonts w:ascii="Arial" w:eastAsia="Arial" w:hAnsi="Arial" w:cs="Arial"/>
          <w:sz w:val="24"/>
          <w:szCs w:val="24"/>
        </w:rPr>
        <w:t>s well within its right to apply for the termination</w:t>
      </w:r>
      <w:r w:rsidR="002B3E72" w:rsidRPr="001279DB">
        <w:rPr>
          <w:rFonts w:ascii="Arial" w:eastAsia="Arial" w:hAnsi="Arial" w:cs="Arial"/>
          <w:sz w:val="24"/>
          <w:szCs w:val="24"/>
        </w:rPr>
        <w:t xml:space="preserve"> of the consumer agreement</w:t>
      </w:r>
      <w:r w:rsidR="00730F8E" w:rsidRPr="001279DB">
        <w:rPr>
          <w:rFonts w:ascii="Arial" w:eastAsia="Arial" w:hAnsi="Arial" w:cs="Arial"/>
          <w:sz w:val="24"/>
          <w:szCs w:val="24"/>
        </w:rPr>
        <w:t xml:space="preserve">, however the decision to accept such termination </w:t>
      </w:r>
      <w:r w:rsidR="002B3E72" w:rsidRPr="001279DB">
        <w:rPr>
          <w:rFonts w:ascii="Arial" w:eastAsia="Arial" w:hAnsi="Arial" w:cs="Arial"/>
          <w:sz w:val="24"/>
          <w:szCs w:val="24"/>
        </w:rPr>
        <w:t>rested</w:t>
      </w:r>
      <w:r w:rsidR="00730F8E" w:rsidRPr="001279DB">
        <w:rPr>
          <w:rFonts w:ascii="Arial" w:eastAsia="Arial" w:hAnsi="Arial" w:cs="Arial"/>
          <w:sz w:val="24"/>
          <w:szCs w:val="24"/>
        </w:rPr>
        <w:t xml:space="preserve"> with the Municipality. This decision </w:t>
      </w:r>
      <w:r w:rsidR="00622B7D" w:rsidRPr="001279DB">
        <w:rPr>
          <w:rFonts w:ascii="Arial" w:eastAsia="Arial" w:hAnsi="Arial" w:cs="Arial"/>
          <w:sz w:val="24"/>
          <w:szCs w:val="24"/>
        </w:rPr>
        <w:t>by the Municipality</w:t>
      </w:r>
      <w:r w:rsidR="00E07397" w:rsidRPr="001279DB">
        <w:rPr>
          <w:rFonts w:ascii="Arial" w:eastAsia="Arial" w:hAnsi="Arial" w:cs="Arial"/>
          <w:sz w:val="24"/>
          <w:szCs w:val="24"/>
        </w:rPr>
        <w:t xml:space="preserve"> –</w:t>
      </w:r>
      <w:r w:rsidR="006E4FCB" w:rsidRPr="001279DB">
        <w:rPr>
          <w:rFonts w:ascii="Arial" w:eastAsia="Arial" w:hAnsi="Arial" w:cs="Arial"/>
          <w:sz w:val="24"/>
          <w:szCs w:val="24"/>
        </w:rPr>
        <w:t xml:space="preserve"> </w:t>
      </w:r>
      <w:r w:rsidR="00622B7D" w:rsidRPr="001279DB">
        <w:rPr>
          <w:rFonts w:ascii="Arial" w:eastAsia="Arial" w:hAnsi="Arial" w:cs="Arial"/>
          <w:sz w:val="24"/>
          <w:szCs w:val="24"/>
        </w:rPr>
        <w:t>to accept or to reject the termination</w:t>
      </w:r>
      <w:r w:rsidR="00E07397" w:rsidRPr="001279DB">
        <w:rPr>
          <w:rFonts w:ascii="Arial" w:eastAsia="Arial" w:hAnsi="Arial" w:cs="Arial"/>
          <w:sz w:val="24"/>
          <w:szCs w:val="24"/>
        </w:rPr>
        <w:t xml:space="preserve"> –</w:t>
      </w:r>
      <w:r w:rsidR="00622B7D" w:rsidRPr="001279DB">
        <w:rPr>
          <w:rFonts w:ascii="Arial" w:eastAsia="Arial" w:hAnsi="Arial" w:cs="Arial"/>
          <w:sz w:val="24"/>
          <w:szCs w:val="24"/>
        </w:rPr>
        <w:t xml:space="preserve"> </w:t>
      </w:r>
      <w:r w:rsidR="00730F8E" w:rsidRPr="001279DB">
        <w:rPr>
          <w:rFonts w:ascii="Arial" w:eastAsia="Arial" w:hAnsi="Arial" w:cs="Arial"/>
          <w:sz w:val="24"/>
          <w:szCs w:val="24"/>
        </w:rPr>
        <w:t>amount</w:t>
      </w:r>
      <w:r w:rsidR="00015A9D" w:rsidRPr="001279DB">
        <w:rPr>
          <w:rFonts w:ascii="Arial" w:eastAsia="Arial" w:hAnsi="Arial" w:cs="Arial"/>
          <w:sz w:val="24"/>
          <w:szCs w:val="24"/>
        </w:rPr>
        <w:t>ed</w:t>
      </w:r>
      <w:r w:rsidR="00730F8E" w:rsidRPr="001279DB">
        <w:rPr>
          <w:rFonts w:ascii="Arial" w:eastAsia="Arial" w:hAnsi="Arial" w:cs="Arial"/>
          <w:sz w:val="24"/>
          <w:szCs w:val="24"/>
        </w:rPr>
        <w:t xml:space="preserve"> to an administrative action</w:t>
      </w:r>
      <w:r w:rsidR="00622B7D" w:rsidRPr="001279DB">
        <w:rPr>
          <w:rFonts w:ascii="Arial" w:eastAsia="Arial" w:hAnsi="Arial" w:cs="Arial"/>
          <w:sz w:val="24"/>
          <w:szCs w:val="24"/>
        </w:rPr>
        <w:t>,</w:t>
      </w:r>
      <w:r w:rsidR="00730F8E" w:rsidRPr="001279DB">
        <w:rPr>
          <w:rFonts w:ascii="Arial" w:eastAsia="Arial" w:hAnsi="Arial" w:cs="Arial"/>
          <w:sz w:val="24"/>
          <w:szCs w:val="24"/>
        </w:rPr>
        <w:t xml:space="preserve"> which ought to have been reviewed</w:t>
      </w:r>
      <w:r w:rsidR="00472FF9" w:rsidRPr="001279DB">
        <w:rPr>
          <w:rFonts w:ascii="Arial" w:eastAsia="Arial" w:hAnsi="Arial" w:cs="Arial"/>
          <w:sz w:val="24"/>
          <w:szCs w:val="24"/>
        </w:rPr>
        <w:t xml:space="preserve"> and set aside in terms of PAJA, if found to be unreasonable</w:t>
      </w:r>
      <w:r w:rsidR="00730F8E" w:rsidRPr="001279DB">
        <w:rPr>
          <w:rFonts w:ascii="Arial" w:eastAsia="Arial" w:hAnsi="Arial" w:cs="Arial"/>
          <w:sz w:val="24"/>
          <w:szCs w:val="24"/>
        </w:rPr>
        <w:t>.</w:t>
      </w:r>
      <w:r w:rsidR="00622B7D" w:rsidRPr="001279DB">
        <w:rPr>
          <w:rFonts w:ascii="Arial" w:eastAsia="Arial" w:hAnsi="Arial" w:cs="Arial"/>
          <w:sz w:val="24"/>
          <w:szCs w:val="24"/>
        </w:rPr>
        <w:t xml:space="preserve"> For the aforesaid proposition</w:t>
      </w:r>
      <w:r w:rsidR="006E4FCB" w:rsidRPr="001279DB">
        <w:rPr>
          <w:rFonts w:ascii="Arial" w:eastAsia="Arial" w:hAnsi="Arial" w:cs="Arial"/>
          <w:sz w:val="24"/>
          <w:szCs w:val="24"/>
        </w:rPr>
        <w:t>,</w:t>
      </w:r>
      <w:r w:rsidR="000D4DBD" w:rsidRPr="001279DB">
        <w:rPr>
          <w:rFonts w:ascii="Arial" w:eastAsia="Arial" w:hAnsi="Arial" w:cs="Arial"/>
          <w:sz w:val="24"/>
          <w:szCs w:val="24"/>
        </w:rPr>
        <w:t xml:space="preserve"> the Municipality place</w:t>
      </w:r>
      <w:r w:rsidR="00015A9D" w:rsidRPr="001279DB">
        <w:rPr>
          <w:rFonts w:ascii="Arial" w:eastAsia="Arial" w:hAnsi="Arial" w:cs="Arial"/>
          <w:sz w:val="24"/>
          <w:szCs w:val="24"/>
        </w:rPr>
        <w:t>d</w:t>
      </w:r>
      <w:r w:rsidR="00622B7D" w:rsidRPr="001279DB">
        <w:rPr>
          <w:rFonts w:ascii="Arial" w:eastAsia="Arial" w:hAnsi="Arial" w:cs="Arial"/>
          <w:sz w:val="24"/>
          <w:szCs w:val="24"/>
        </w:rPr>
        <w:t xml:space="preserve"> reliance on the special cluster relationship and the Municipality’s public responsibility </w:t>
      </w:r>
      <w:r w:rsidR="002B3E72" w:rsidRPr="001279DB">
        <w:rPr>
          <w:rFonts w:ascii="Arial" w:eastAsia="Arial" w:hAnsi="Arial" w:cs="Arial"/>
          <w:sz w:val="24"/>
          <w:szCs w:val="24"/>
        </w:rPr>
        <w:t xml:space="preserve">in terms of </w:t>
      </w:r>
      <w:r w:rsidR="00D73A96" w:rsidRPr="001279DB">
        <w:rPr>
          <w:rFonts w:ascii="Arial" w:eastAsia="Arial" w:hAnsi="Arial" w:cs="Arial"/>
          <w:sz w:val="24"/>
          <w:szCs w:val="24"/>
        </w:rPr>
        <w:t xml:space="preserve">Chapter 7 of the </w:t>
      </w:r>
      <w:r w:rsidR="00622B7D" w:rsidRPr="001279DB">
        <w:rPr>
          <w:rFonts w:ascii="Arial" w:eastAsia="Arial" w:hAnsi="Arial" w:cs="Arial"/>
          <w:sz w:val="24"/>
          <w:szCs w:val="24"/>
        </w:rPr>
        <w:t>Constitution</w:t>
      </w:r>
      <w:r w:rsidR="00D73A96" w:rsidRPr="001279DB">
        <w:rPr>
          <w:rFonts w:ascii="Arial" w:eastAsia="Arial" w:hAnsi="Arial" w:cs="Arial"/>
          <w:sz w:val="24"/>
          <w:szCs w:val="24"/>
        </w:rPr>
        <w:t xml:space="preserve"> </w:t>
      </w:r>
      <w:r w:rsidR="00C870A3" w:rsidRPr="001279DB">
        <w:rPr>
          <w:rFonts w:ascii="Arial" w:eastAsia="Arial" w:hAnsi="Arial" w:cs="Arial"/>
          <w:sz w:val="24"/>
          <w:szCs w:val="24"/>
        </w:rPr>
        <w:t xml:space="preserve">and </w:t>
      </w:r>
      <w:r w:rsidR="00274440" w:rsidRPr="001279DB">
        <w:rPr>
          <w:rFonts w:ascii="Arial" w:eastAsia="Arial" w:hAnsi="Arial" w:cs="Arial"/>
          <w:sz w:val="24"/>
          <w:szCs w:val="24"/>
        </w:rPr>
        <w:t xml:space="preserve">the relevant </w:t>
      </w:r>
      <w:r w:rsidR="00C870A3" w:rsidRPr="001279DB">
        <w:rPr>
          <w:rFonts w:ascii="Arial" w:eastAsia="Arial" w:hAnsi="Arial" w:cs="Arial"/>
          <w:sz w:val="24"/>
          <w:szCs w:val="24"/>
        </w:rPr>
        <w:t>legislation</w:t>
      </w:r>
      <w:r w:rsidR="00881AD1" w:rsidRPr="001279DB">
        <w:rPr>
          <w:rFonts w:ascii="Arial" w:eastAsia="Arial" w:hAnsi="Arial" w:cs="Arial"/>
          <w:sz w:val="24"/>
          <w:szCs w:val="24"/>
        </w:rPr>
        <w:t>, being the Local Government: Municipal System</w:t>
      </w:r>
      <w:r w:rsidR="00FC398D" w:rsidRPr="001279DB">
        <w:rPr>
          <w:rFonts w:ascii="Arial" w:eastAsia="Arial" w:hAnsi="Arial" w:cs="Arial"/>
          <w:sz w:val="24"/>
          <w:szCs w:val="24"/>
        </w:rPr>
        <w:t>s</w:t>
      </w:r>
      <w:r w:rsidR="00881AD1" w:rsidRPr="001279DB">
        <w:rPr>
          <w:rFonts w:ascii="Arial" w:eastAsia="Arial" w:hAnsi="Arial" w:cs="Arial"/>
          <w:sz w:val="24"/>
          <w:szCs w:val="24"/>
        </w:rPr>
        <w:t xml:space="preserve"> Act </w:t>
      </w:r>
      <w:r w:rsidR="004B6E71" w:rsidRPr="001279DB">
        <w:rPr>
          <w:rFonts w:ascii="Arial" w:hAnsi="Arial" w:cs="Arial"/>
          <w:sz w:val="24"/>
          <w:szCs w:val="24"/>
        </w:rPr>
        <w:t>32 of 2000</w:t>
      </w:r>
      <w:r w:rsidR="004B6E71" w:rsidRPr="001279DB">
        <w:rPr>
          <w:rFonts w:ascii="Arial" w:eastAsia="Arial" w:hAnsi="Arial" w:cs="Arial"/>
          <w:sz w:val="24"/>
          <w:szCs w:val="24"/>
        </w:rPr>
        <w:t xml:space="preserve"> </w:t>
      </w:r>
      <w:r w:rsidR="00274440" w:rsidRPr="001279DB">
        <w:rPr>
          <w:rFonts w:ascii="Arial" w:eastAsia="Arial" w:hAnsi="Arial" w:cs="Arial"/>
          <w:sz w:val="24"/>
          <w:szCs w:val="24"/>
        </w:rPr>
        <w:t>(</w:t>
      </w:r>
      <w:r w:rsidR="00472FF9" w:rsidRPr="001279DB">
        <w:rPr>
          <w:rFonts w:ascii="Arial" w:eastAsia="Arial" w:hAnsi="Arial" w:cs="Arial"/>
          <w:sz w:val="24"/>
          <w:szCs w:val="24"/>
        </w:rPr>
        <w:t>Municipal Systems Act)</w:t>
      </w:r>
      <w:r w:rsidR="000D4DBD" w:rsidRPr="001279DB">
        <w:rPr>
          <w:rFonts w:ascii="Arial" w:eastAsia="Arial" w:hAnsi="Arial" w:cs="Arial"/>
          <w:sz w:val="24"/>
          <w:szCs w:val="24"/>
        </w:rPr>
        <w:t xml:space="preserve"> and the Municipal Finance Management Act</w:t>
      </w:r>
      <w:r w:rsidR="004B6E71" w:rsidRPr="001279DB">
        <w:rPr>
          <w:rFonts w:ascii="Arial" w:eastAsia="Arial" w:hAnsi="Arial" w:cs="Arial"/>
          <w:sz w:val="24"/>
          <w:szCs w:val="24"/>
        </w:rPr>
        <w:t xml:space="preserve"> 56 of 2003</w:t>
      </w:r>
      <w:r w:rsidR="00714077" w:rsidRPr="001279DB">
        <w:rPr>
          <w:rFonts w:ascii="Arial" w:eastAsia="Arial" w:hAnsi="Arial" w:cs="Arial"/>
          <w:sz w:val="24"/>
          <w:szCs w:val="24"/>
        </w:rPr>
        <w:t>,</w:t>
      </w:r>
      <w:r w:rsidR="00A147CE" w:rsidRPr="001279DB">
        <w:rPr>
          <w:rFonts w:ascii="Arial" w:eastAsia="Arial" w:hAnsi="Arial" w:cs="Arial"/>
          <w:sz w:val="24"/>
          <w:szCs w:val="24"/>
        </w:rPr>
        <w:t xml:space="preserve"> </w:t>
      </w:r>
      <w:r w:rsidR="00C870A3" w:rsidRPr="001279DB">
        <w:rPr>
          <w:rFonts w:ascii="Arial" w:eastAsia="Arial" w:hAnsi="Arial" w:cs="Arial"/>
          <w:sz w:val="24"/>
          <w:szCs w:val="24"/>
        </w:rPr>
        <w:t>in</w:t>
      </w:r>
      <w:r w:rsidR="001148AF" w:rsidRPr="001279DB">
        <w:rPr>
          <w:rFonts w:ascii="Arial" w:eastAsia="Arial" w:hAnsi="Arial" w:cs="Arial"/>
          <w:sz w:val="24"/>
          <w:szCs w:val="24"/>
        </w:rPr>
        <w:t xml:space="preserve"> respect of those persons within</w:t>
      </w:r>
      <w:r w:rsidR="00622B7D" w:rsidRPr="001279DB">
        <w:rPr>
          <w:rFonts w:ascii="Arial" w:eastAsia="Arial" w:hAnsi="Arial" w:cs="Arial"/>
          <w:sz w:val="24"/>
          <w:szCs w:val="24"/>
        </w:rPr>
        <w:t xml:space="preserve"> its jurisdiction.</w:t>
      </w:r>
      <w:r w:rsidR="00C870A3" w:rsidRPr="001279DB">
        <w:rPr>
          <w:rFonts w:ascii="Arial" w:eastAsia="Arial" w:hAnsi="Arial" w:cs="Arial"/>
          <w:sz w:val="24"/>
          <w:szCs w:val="24"/>
        </w:rPr>
        <w:t xml:space="preserve"> </w:t>
      </w:r>
      <w:r w:rsidR="000D4DBD" w:rsidRPr="001279DB">
        <w:rPr>
          <w:rFonts w:ascii="Arial" w:eastAsia="Arial" w:hAnsi="Arial" w:cs="Arial"/>
          <w:sz w:val="24"/>
          <w:szCs w:val="24"/>
        </w:rPr>
        <w:t>Hence, t</w:t>
      </w:r>
      <w:r w:rsidR="008B5CF1" w:rsidRPr="001279DB">
        <w:rPr>
          <w:rFonts w:ascii="Arial" w:eastAsia="Arial" w:hAnsi="Arial" w:cs="Arial"/>
          <w:sz w:val="24"/>
          <w:szCs w:val="24"/>
        </w:rPr>
        <w:t>he Municipality contend</w:t>
      </w:r>
      <w:r w:rsidR="00015A9D" w:rsidRPr="001279DB">
        <w:rPr>
          <w:rFonts w:ascii="Arial" w:eastAsia="Arial" w:hAnsi="Arial" w:cs="Arial"/>
          <w:sz w:val="24"/>
          <w:szCs w:val="24"/>
        </w:rPr>
        <w:t>ed</w:t>
      </w:r>
      <w:r w:rsidR="008B5CF1" w:rsidRPr="001279DB">
        <w:rPr>
          <w:rFonts w:ascii="Arial" w:eastAsia="Arial" w:hAnsi="Arial" w:cs="Arial"/>
          <w:sz w:val="24"/>
          <w:szCs w:val="24"/>
        </w:rPr>
        <w:t xml:space="preserve"> that </w:t>
      </w:r>
      <w:r w:rsidR="00472FF9" w:rsidRPr="001279DB">
        <w:rPr>
          <w:rFonts w:ascii="Arial" w:eastAsia="Arial" w:hAnsi="Arial" w:cs="Arial"/>
          <w:sz w:val="24"/>
          <w:szCs w:val="24"/>
        </w:rPr>
        <w:t>‘</w:t>
      </w:r>
      <w:r w:rsidR="008B5CF1" w:rsidRPr="001279DB">
        <w:rPr>
          <w:rFonts w:ascii="Arial" w:eastAsia="Arial" w:hAnsi="Arial" w:cs="Arial"/>
          <w:sz w:val="24"/>
          <w:szCs w:val="24"/>
        </w:rPr>
        <w:t>the special cluster relationship</w:t>
      </w:r>
      <w:r w:rsidR="00472FF9" w:rsidRPr="001279DB">
        <w:rPr>
          <w:rFonts w:ascii="Arial" w:eastAsia="Arial" w:hAnsi="Arial" w:cs="Arial"/>
          <w:sz w:val="24"/>
          <w:szCs w:val="24"/>
        </w:rPr>
        <w:t>’</w:t>
      </w:r>
      <w:r w:rsidR="008B5CF1" w:rsidRPr="001279DB">
        <w:rPr>
          <w:rFonts w:ascii="Arial" w:eastAsia="Arial" w:hAnsi="Arial" w:cs="Arial"/>
          <w:sz w:val="24"/>
          <w:szCs w:val="24"/>
        </w:rPr>
        <w:t xml:space="preserve"> </w:t>
      </w:r>
      <w:r w:rsidR="00015A9D" w:rsidRPr="001279DB">
        <w:rPr>
          <w:rFonts w:ascii="Arial" w:eastAsia="Arial" w:hAnsi="Arial" w:cs="Arial"/>
          <w:sz w:val="24"/>
          <w:szCs w:val="24"/>
        </w:rPr>
        <w:t>wa</w:t>
      </w:r>
      <w:r w:rsidR="008B5CF1" w:rsidRPr="001279DB">
        <w:rPr>
          <w:rFonts w:ascii="Arial" w:eastAsia="Arial" w:hAnsi="Arial" w:cs="Arial"/>
          <w:sz w:val="24"/>
          <w:szCs w:val="24"/>
        </w:rPr>
        <w:t>s governed by administrative law principles.</w:t>
      </w:r>
    </w:p>
    <w:p w14:paraId="49F657E8" w14:textId="77777777" w:rsidR="00B7289D" w:rsidRPr="001279DB" w:rsidRDefault="00B7289D" w:rsidP="00522F18">
      <w:pPr>
        <w:pStyle w:val="ListParagraph"/>
        <w:spacing w:after="0" w:line="360" w:lineRule="auto"/>
        <w:jc w:val="both"/>
        <w:rPr>
          <w:rFonts w:ascii="Arial" w:eastAsia="Arial" w:hAnsi="Arial" w:cs="Arial"/>
          <w:sz w:val="24"/>
          <w:szCs w:val="24"/>
        </w:rPr>
      </w:pPr>
    </w:p>
    <w:p w14:paraId="0A974BDB" w14:textId="317A7F4B" w:rsidR="0070493F"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[25]</w:t>
      </w:r>
      <w:r w:rsidRPr="001279DB">
        <w:rPr>
          <w:rFonts w:ascii="Arial" w:eastAsia="Arial" w:hAnsi="Arial" w:cs="Arial"/>
          <w:sz w:val="24"/>
          <w:szCs w:val="24"/>
        </w:rPr>
        <w:tab/>
      </w:r>
      <w:r w:rsidR="0064004F" w:rsidRPr="001279DB">
        <w:rPr>
          <w:rFonts w:ascii="Arial" w:eastAsia="Arial" w:hAnsi="Arial" w:cs="Arial"/>
          <w:sz w:val="24"/>
          <w:szCs w:val="24"/>
        </w:rPr>
        <w:t>O</w:t>
      </w:r>
      <w:r w:rsidR="00BD37F1" w:rsidRPr="001279DB">
        <w:rPr>
          <w:rFonts w:ascii="Arial" w:eastAsia="Arial" w:hAnsi="Arial" w:cs="Arial"/>
          <w:sz w:val="24"/>
          <w:szCs w:val="24"/>
        </w:rPr>
        <w:t>ne of the fundamental duties</w:t>
      </w:r>
      <w:r w:rsidR="006D4D81" w:rsidRPr="001279DB">
        <w:rPr>
          <w:rFonts w:ascii="Arial" w:eastAsia="Arial" w:hAnsi="Arial" w:cs="Arial"/>
          <w:sz w:val="24"/>
          <w:szCs w:val="24"/>
        </w:rPr>
        <w:t xml:space="preserve"> and function</w:t>
      </w:r>
      <w:r w:rsidR="00BD37F1" w:rsidRPr="001279DB">
        <w:rPr>
          <w:rFonts w:ascii="Arial" w:eastAsia="Arial" w:hAnsi="Arial" w:cs="Arial"/>
          <w:sz w:val="24"/>
          <w:szCs w:val="24"/>
        </w:rPr>
        <w:t>s</w:t>
      </w:r>
      <w:r w:rsidR="006D4D81" w:rsidRPr="001279DB">
        <w:rPr>
          <w:rFonts w:ascii="Arial" w:eastAsia="Arial" w:hAnsi="Arial" w:cs="Arial"/>
          <w:sz w:val="24"/>
          <w:szCs w:val="24"/>
        </w:rPr>
        <w:t xml:space="preserve"> of </w:t>
      </w:r>
      <w:r w:rsidR="00BD37F1" w:rsidRPr="001279DB">
        <w:rPr>
          <w:rFonts w:ascii="Arial" w:eastAsia="Arial" w:hAnsi="Arial" w:cs="Arial"/>
          <w:sz w:val="24"/>
          <w:szCs w:val="24"/>
        </w:rPr>
        <w:t xml:space="preserve">a </w:t>
      </w:r>
      <w:r w:rsidR="00D96918" w:rsidRPr="001279DB">
        <w:rPr>
          <w:rFonts w:ascii="Arial" w:eastAsia="Arial" w:hAnsi="Arial" w:cs="Arial"/>
          <w:sz w:val="24"/>
          <w:szCs w:val="24"/>
        </w:rPr>
        <w:t>m</w:t>
      </w:r>
      <w:r w:rsidR="006D4D81" w:rsidRPr="001279DB">
        <w:rPr>
          <w:rFonts w:ascii="Arial" w:eastAsia="Arial" w:hAnsi="Arial" w:cs="Arial"/>
          <w:sz w:val="24"/>
          <w:szCs w:val="24"/>
        </w:rPr>
        <w:t>unicipalit</w:t>
      </w:r>
      <w:r w:rsidR="00BD37F1" w:rsidRPr="001279DB">
        <w:rPr>
          <w:rFonts w:ascii="Arial" w:eastAsia="Arial" w:hAnsi="Arial" w:cs="Arial"/>
          <w:sz w:val="24"/>
          <w:szCs w:val="24"/>
        </w:rPr>
        <w:t>y</w:t>
      </w:r>
      <w:r w:rsidR="0064004F" w:rsidRPr="001279DB">
        <w:rPr>
          <w:rFonts w:ascii="Arial" w:eastAsia="Arial" w:hAnsi="Arial" w:cs="Arial"/>
          <w:sz w:val="24"/>
          <w:szCs w:val="24"/>
        </w:rPr>
        <w:t xml:space="preserve"> under </w:t>
      </w:r>
      <w:r w:rsidR="00904014" w:rsidRPr="001279DB">
        <w:rPr>
          <w:rFonts w:ascii="Arial" w:eastAsia="Arial" w:hAnsi="Arial" w:cs="Arial"/>
          <w:sz w:val="24"/>
          <w:szCs w:val="24"/>
        </w:rPr>
        <w:t xml:space="preserve">public law </w:t>
      </w:r>
      <w:r w:rsidR="0064004F" w:rsidRPr="001279DB">
        <w:rPr>
          <w:rFonts w:ascii="Arial" w:eastAsia="Arial" w:hAnsi="Arial" w:cs="Arial"/>
          <w:sz w:val="24"/>
          <w:szCs w:val="24"/>
        </w:rPr>
        <w:t>is to provide basic municipal services to the occupants within its constituency</w:t>
      </w:r>
      <w:r w:rsidR="00904014" w:rsidRPr="001279DB">
        <w:rPr>
          <w:rFonts w:ascii="Arial" w:eastAsia="Arial" w:hAnsi="Arial" w:cs="Arial"/>
          <w:sz w:val="24"/>
          <w:szCs w:val="24"/>
        </w:rPr>
        <w:t xml:space="preserve">, one of these services being </w:t>
      </w:r>
      <w:r w:rsidR="00D96918" w:rsidRPr="001279DB">
        <w:rPr>
          <w:rFonts w:ascii="Arial" w:eastAsia="Arial" w:hAnsi="Arial" w:cs="Arial"/>
          <w:sz w:val="24"/>
          <w:szCs w:val="24"/>
        </w:rPr>
        <w:t xml:space="preserve">the supply of </w:t>
      </w:r>
      <w:r w:rsidR="00904014" w:rsidRPr="001279DB">
        <w:rPr>
          <w:rFonts w:ascii="Arial" w:eastAsia="Arial" w:hAnsi="Arial" w:cs="Arial"/>
          <w:sz w:val="24"/>
          <w:szCs w:val="24"/>
        </w:rPr>
        <w:t>electricity</w:t>
      </w:r>
      <w:r w:rsidR="0064004F" w:rsidRPr="001279DB">
        <w:rPr>
          <w:rFonts w:ascii="Arial" w:eastAsia="Arial" w:hAnsi="Arial" w:cs="Arial"/>
          <w:sz w:val="24"/>
          <w:szCs w:val="24"/>
        </w:rPr>
        <w:t xml:space="preserve">. </w:t>
      </w:r>
      <w:r w:rsidR="00BD37F1" w:rsidRPr="001279DB">
        <w:rPr>
          <w:rFonts w:ascii="Arial" w:eastAsia="Arial" w:hAnsi="Arial" w:cs="Arial"/>
          <w:sz w:val="24"/>
          <w:szCs w:val="24"/>
        </w:rPr>
        <w:t>The</w:t>
      </w:r>
      <w:r w:rsidR="006D4D81" w:rsidRPr="001279DB">
        <w:rPr>
          <w:rFonts w:ascii="Arial" w:eastAsia="Arial" w:hAnsi="Arial" w:cs="Arial"/>
          <w:sz w:val="24"/>
          <w:szCs w:val="24"/>
        </w:rPr>
        <w:t>s</w:t>
      </w:r>
      <w:r w:rsidR="00BD37F1" w:rsidRPr="001279DB">
        <w:rPr>
          <w:rFonts w:ascii="Arial" w:eastAsia="Arial" w:hAnsi="Arial" w:cs="Arial"/>
          <w:sz w:val="24"/>
          <w:szCs w:val="24"/>
        </w:rPr>
        <w:t>e</w:t>
      </w:r>
      <w:r w:rsidR="006D4D81" w:rsidRPr="001279DB">
        <w:rPr>
          <w:rFonts w:ascii="Arial" w:eastAsia="Arial" w:hAnsi="Arial" w:cs="Arial"/>
          <w:sz w:val="24"/>
          <w:szCs w:val="24"/>
        </w:rPr>
        <w:t xml:space="preserve"> </w:t>
      </w:r>
      <w:r w:rsidR="0097697B" w:rsidRPr="001279DB">
        <w:rPr>
          <w:rFonts w:ascii="Arial" w:eastAsia="Arial" w:hAnsi="Arial" w:cs="Arial"/>
          <w:sz w:val="24"/>
          <w:szCs w:val="24"/>
        </w:rPr>
        <w:t>constitutional</w:t>
      </w:r>
      <w:r w:rsidR="005E5E53" w:rsidRPr="001279DB">
        <w:rPr>
          <w:rFonts w:ascii="Arial" w:eastAsia="Arial" w:hAnsi="Arial" w:cs="Arial"/>
          <w:sz w:val="24"/>
          <w:szCs w:val="24"/>
        </w:rPr>
        <w:t>ly</w:t>
      </w:r>
      <w:r w:rsidR="0097697B" w:rsidRPr="001279DB">
        <w:rPr>
          <w:rFonts w:ascii="Arial" w:eastAsia="Arial" w:hAnsi="Arial" w:cs="Arial"/>
          <w:sz w:val="24"/>
          <w:szCs w:val="24"/>
        </w:rPr>
        <w:t xml:space="preserve"> mandated </w:t>
      </w:r>
      <w:r w:rsidR="00347317" w:rsidRPr="001279DB">
        <w:rPr>
          <w:rFonts w:ascii="Arial" w:eastAsia="Arial" w:hAnsi="Arial" w:cs="Arial"/>
          <w:sz w:val="24"/>
          <w:szCs w:val="24"/>
        </w:rPr>
        <w:t>dut</w:t>
      </w:r>
      <w:r w:rsidR="00BD37F1" w:rsidRPr="001279DB">
        <w:rPr>
          <w:rFonts w:ascii="Arial" w:eastAsia="Arial" w:hAnsi="Arial" w:cs="Arial"/>
          <w:sz w:val="24"/>
          <w:szCs w:val="24"/>
        </w:rPr>
        <w:t xml:space="preserve">ies are derived </w:t>
      </w:r>
      <w:r w:rsidR="00550EE7" w:rsidRPr="001279DB">
        <w:rPr>
          <w:rFonts w:ascii="Arial" w:eastAsia="Arial" w:hAnsi="Arial" w:cs="Arial"/>
          <w:sz w:val="24"/>
          <w:szCs w:val="24"/>
        </w:rPr>
        <w:t>from</w:t>
      </w:r>
      <w:r w:rsidR="0097697B" w:rsidRPr="001279DB">
        <w:rPr>
          <w:rFonts w:ascii="Arial" w:eastAsia="Arial" w:hAnsi="Arial" w:cs="Arial"/>
          <w:sz w:val="24"/>
          <w:szCs w:val="24"/>
        </w:rPr>
        <w:t xml:space="preserve"> </w:t>
      </w:r>
      <w:r w:rsidR="00550EE7" w:rsidRPr="001279DB">
        <w:rPr>
          <w:rFonts w:ascii="Arial" w:eastAsia="Arial" w:hAnsi="Arial" w:cs="Arial"/>
          <w:sz w:val="24"/>
          <w:szCs w:val="24"/>
        </w:rPr>
        <w:t>s</w:t>
      </w:r>
      <w:r w:rsidR="005E5E53" w:rsidRPr="001279DB">
        <w:rPr>
          <w:rFonts w:ascii="Arial" w:eastAsia="Arial" w:hAnsi="Arial" w:cs="Arial"/>
          <w:sz w:val="24"/>
          <w:szCs w:val="24"/>
        </w:rPr>
        <w:t xml:space="preserve"> </w:t>
      </w:r>
      <w:r w:rsidR="00550EE7" w:rsidRPr="001279DB">
        <w:rPr>
          <w:rFonts w:ascii="Arial" w:eastAsia="Arial" w:hAnsi="Arial" w:cs="Arial"/>
          <w:sz w:val="24"/>
          <w:szCs w:val="24"/>
        </w:rPr>
        <w:t>152</w:t>
      </w:r>
      <w:r w:rsidR="008D312F" w:rsidRPr="001279DB">
        <w:rPr>
          <w:rFonts w:ascii="Arial" w:eastAsia="Arial" w:hAnsi="Arial" w:cs="Arial"/>
          <w:sz w:val="24"/>
          <w:szCs w:val="24"/>
        </w:rPr>
        <w:t xml:space="preserve"> of</w:t>
      </w:r>
      <w:r w:rsidR="006D4D81" w:rsidRPr="001279DB">
        <w:rPr>
          <w:rFonts w:ascii="Arial" w:eastAsia="Arial" w:hAnsi="Arial" w:cs="Arial"/>
          <w:sz w:val="24"/>
          <w:szCs w:val="24"/>
        </w:rPr>
        <w:t xml:space="preserve"> the Constitution</w:t>
      </w:r>
      <w:r w:rsidR="0097697B" w:rsidRPr="001279DB">
        <w:rPr>
          <w:rFonts w:ascii="Arial" w:eastAsia="Arial" w:hAnsi="Arial" w:cs="Arial"/>
          <w:sz w:val="24"/>
          <w:szCs w:val="24"/>
        </w:rPr>
        <w:t xml:space="preserve"> under Chapter 7</w:t>
      </w:r>
      <w:r w:rsidR="00BD37F1" w:rsidRPr="001279DB">
        <w:rPr>
          <w:rFonts w:ascii="Arial" w:eastAsia="Arial" w:hAnsi="Arial" w:cs="Arial"/>
          <w:sz w:val="24"/>
          <w:szCs w:val="24"/>
        </w:rPr>
        <w:t>,</w:t>
      </w:r>
      <w:r w:rsidR="00DC7116" w:rsidRPr="001279DB">
        <w:rPr>
          <w:rFonts w:ascii="Arial" w:eastAsia="Arial" w:hAnsi="Arial" w:cs="Arial"/>
          <w:sz w:val="24"/>
          <w:szCs w:val="24"/>
        </w:rPr>
        <w:t xml:space="preserve"> which states:</w:t>
      </w:r>
      <w:r w:rsidR="00917810" w:rsidRPr="001279DB">
        <w:rPr>
          <w:rFonts w:ascii="Arial" w:eastAsia="Arial" w:hAnsi="Arial" w:cs="Arial"/>
          <w:sz w:val="24"/>
          <w:szCs w:val="24"/>
        </w:rPr>
        <w:t xml:space="preserve"> </w:t>
      </w:r>
    </w:p>
    <w:p w14:paraId="6945CB9A" w14:textId="77777777" w:rsidR="00DC7116" w:rsidRPr="001279DB" w:rsidRDefault="00DC7116" w:rsidP="00522F18">
      <w:pPr>
        <w:pStyle w:val="NormalWeb"/>
        <w:shd w:val="clear" w:color="auto" w:fill="FFFFFF"/>
        <w:spacing w:before="0" w:beforeAutospacing="0" w:after="0" w:afterAutospacing="0" w:line="360" w:lineRule="auto"/>
        <w:ind w:right="72"/>
        <w:contextualSpacing/>
        <w:jc w:val="both"/>
        <w:rPr>
          <w:rFonts w:ascii="Arial" w:hAnsi="Arial" w:cs="Arial"/>
          <w:sz w:val="22"/>
          <w:szCs w:val="22"/>
        </w:rPr>
      </w:pPr>
      <w:r w:rsidRPr="001279DB">
        <w:rPr>
          <w:rFonts w:ascii="Arial" w:hAnsi="Arial" w:cs="Arial"/>
          <w:sz w:val="22"/>
          <w:szCs w:val="22"/>
        </w:rPr>
        <w:t xml:space="preserve">‘(1) </w:t>
      </w:r>
      <w:r w:rsidR="004148F0" w:rsidRPr="001279DB">
        <w:rPr>
          <w:rFonts w:ascii="Arial" w:hAnsi="Arial" w:cs="Arial"/>
          <w:sz w:val="22"/>
          <w:szCs w:val="22"/>
        </w:rPr>
        <w:tab/>
      </w:r>
      <w:r w:rsidRPr="001279DB">
        <w:rPr>
          <w:rFonts w:ascii="Arial" w:hAnsi="Arial" w:cs="Arial"/>
          <w:sz w:val="22"/>
          <w:szCs w:val="22"/>
        </w:rPr>
        <w:t>The objects of local government are—</w:t>
      </w:r>
    </w:p>
    <w:p w14:paraId="35A0B1E1" w14:textId="77777777" w:rsidR="00DC7116" w:rsidRPr="001279DB" w:rsidRDefault="00DC7116" w:rsidP="00522F18">
      <w:pPr>
        <w:pStyle w:val="NormalWeb"/>
        <w:shd w:val="clear" w:color="auto" w:fill="FFFFFF"/>
        <w:spacing w:before="0" w:beforeAutospacing="0" w:after="0" w:afterAutospacing="0" w:line="360" w:lineRule="auto"/>
        <w:ind w:right="72"/>
        <w:contextualSpacing/>
        <w:jc w:val="both"/>
        <w:rPr>
          <w:rFonts w:ascii="Arial" w:hAnsi="Arial" w:cs="Arial"/>
          <w:sz w:val="22"/>
          <w:szCs w:val="22"/>
        </w:rPr>
      </w:pPr>
      <w:r w:rsidRPr="001279DB">
        <w:rPr>
          <w:rFonts w:ascii="Arial" w:hAnsi="Arial" w:cs="Arial"/>
          <w:i/>
          <w:sz w:val="22"/>
          <w:szCs w:val="22"/>
        </w:rPr>
        <w:t>(a)</w:t>
      </w:r>
      <w:r w:rsidRPr="001279DB">
        <w:rPr>
          <w:rFonts w:ascii="Arial" w:hAnsi="Arial" w:cs="Arial"/>
          <w:sz w:val="22"/>
          <w:szCs w:val="22"/>
        </w:rPr>
        <w:t xml:space="preserve"> </w:t>
      </w:r>
      <w:r w:rsidR="004148F0" w:rsidRPr="001279DB">
        <w:rPr>
          <w:rFonts w:ascii="Arial" w:hAnsi="Arial" w:cs="Arial"/>
          <w:sz w:val="22"/>
          <w:szCs w:val="22"/>
        </w:rPr>
        <w:tab/>
      </w:r>
      <w:r w:rsidRPr="001279DB">
        <w:rPr>
          <w:rFonts w:ascii="Arial" w:hAnsi="Arial" w:cs="Arial"/>
          <w:sz w:val="22"/>
          <w:szCs w:val="22"/>
        </w:rPr>
        <w:t>to provide democratic and accountable government for local communities;</w:t>
      </w:r>
    </w:p>
    <w:p w14:paraId="70D4E3E5" w14:textId="77777777" w:rsidR="00DC7116" w:rsidRPr="001279DB" w:rsidRDefault="00DC7116" w:rsidP="00522F18">
      <w:pPr>
        <w:pStyle w:val="NormalWeb"/>
        <w:shd w:val="clear" w:color="auto" w:fill="FFFFFF"/>
        <w:spacing w:before="0" w:beforeAutospacing="0" w:after="0" w:afterAutospacing="0" w:line="360" w:lineRule="auto"/>
        <w:ind w:right="72"/>
        <w:contextualSpacing/>
        <w:jc w:val="both"/>
        <w:rPr>
          <w:rFonts w:ascii="Arial" w:hAnsi="Arial" w:cs="Arial"/>
          <w:sz w:val="22"/>
          <w:szCs w:val="22"/>
        </w:rPr>
      </w:pPr>
      <w:r w:rsidRPr="001279DB">
        <w:rPr>
          <w:rFonts w:ascii="Arial" w:hAnsi="Arial" w:cs="Arial"/>
          <w:i/>
          <w:sz w:val="22"/>
          <w:szCs w:val="22"/>
        </w:rPr>
        <w:lastRenderedPageBreak/>
        <w:t>(b)</w:t>
      </w:r>
      <w:r w:rsidRPr="001279DB">
        <w:rPr>
          <w:rFonts w:ascii="Arial" w:hAnsi="Arial" w:cs="Arial"/>
          <w:sz w:val="22"/>
          <w:szCs w:val="22"/>
        </w:rPr>
        <w:t xml:space="preserve"> </w:t>
      </w:r>
      <w:r w:rsidR="004148F0" w:rsidRPr="001279DB">
        <w:rPr>
          <w:rFonts w:ascii="Arial" w:hAnsi="Arial" w:cs="Arial"/>
          <w:sz w:val="22"/>
          <w:szCs w:val="22"/>
        </w:rPr>
        <w:tab/>
      </w:r>
      <w:r w:rsidRPr="001279DB">
        <w:rPr>
          <w:rFonts w:ascii="Arial" w:hAnsi="Arial" w:cs="Arial"/>
          <w:sz w:val="22"/>
          <w:szCs w:val="22"/>
        </w:rPr>
        <w:t>to ensure the provision of services to communities in a sustainable manner;</w:t>
      </w:r>
    </w:p>
    <w:p w14:paraId="3237BC42" w14:textId="77777777" w:rsidR="005E5E53" w:rsidRPr="001279DB" w:rsidRDefault="00DC7116" w:rsidP="00522F18">
      <w:pPr>
        <w:pStyle w:val="NormalWeb"/>
        <w:shd w:val="clear" w:color="auto" w:fill="FFFFFF"/>
        <w:spacing w:before="0" w:beforeAutospacing="0" w:after="0" w:afterAutospacing="0" w:line="360" w:lineRule="auto"/>
        <w:ind w:right="72"/>
        <w:contextualSpacing/>
        <w:jc w:val="both"/>
        <w:rPr>
          <w:rFonts w:ascii="Arial" w:hAnsi="Arial" w:cs="Arial"/>
          <w:sz w:val="22"/>
          <w:szCs w:val="22"/>
        </w:rPr>
      </w:pPr>
      <w:r w:rsidRPr="001279DB">
        <w:rPr>
          <w:rFonts w:ascii="Arial" w:hAnsi="Arial" w:cs="Arial"/>
          <w:i/>
          <w:sz w:val="22"/>
          <w:szCs w:val="22"/>
        </w:rPr>
        <w:t>(c)</w:t>
      </w:r>
      <w:r w:rsidRPr="001279DB">
        <w:rPr>
          <w:rFonts w:ascii="Arial" w:hAnsi="Arial" w:cs="Arial"/>
          <w:sz w:val="22"/>
          <w:szCs w:val="22"/>
        </w:rPr>
        <w:t xml:space="preserve"> </w:t>
      </w:r>
      <w:r w:rsidR="004148F0" w:rsidRPr="001279DB">
        <w:rPr>
          <w:rFonts w:ascii="Arial" w:hAnsi="Arial" w:cs="Arial"/>
          <w:sz w:val="22"/>
          <w:szCs w:val="22"/>
        </w:rPr>
        <w:tab/>
      </w:r>
      <w:r w:rsidRPr="001279DB">
        <w:rPr>
          <w:rFonts w:ascii="Arial" w:hAnsi="Arial" w:cs="Arial"/>
          <w:sz w:val="22"/>
          <w:szCs w:val="22"/>
        </w:rPr>
        <w:t xml:space="preserve">to promote social and economic development; </w:t>
      </w:r>
    </w:p>
    <w:p w14:paraId="1F3DF164" w14:textId="77777777" w:rsidR="00DC7116" w:rsidRPr="001279DB" w:rsidRDefault="00DC7116" w:rsidP="00522F18">
      <w:pPr>
        <w:pStyle w:val="NormalWeb"/>
        <w:shd w:val="clear" w:color="auto" w:fill="FFFFFF"/>
        <w:spacing w:before="0" w:beforeAutospacing="0" w:after="0" w:afterAutospacing="0" w:line="360" w:lineRule="auto"/>
        <w:ind w:right="72"/>
        <w:contextualSpacing/>
        <w:jc w:val="both"/>
        <w:rPr>
          <w:rFonts w:ascii="Arial" w:hAnsi="Arial" w:cs="Arial"/>
          <w:sz w:val="22"/>
          <w:szCs w:val="22"/>
        </w:rPr>
      </w:pPr>
      <w:r w:rsidRPr="001279DB">
        <w:rPr>
          <w:rFonts w:ascii="Arial" w:hAnsi="Arial" w:cs="Arial"/>
          <w:i/>
          <w:sz w:val="22"/>
          <w:szCs w:val="22"/>
        </w:rPr>
        <w:t>(d)</w:t>
      </w:r>
      <w:r w:rsidR="004148F0" w:rsidRPr="001279DB">
        <w:rPr>
          <w:rFonts w:ascii="Arial" w:hAnsi="Arial" w:cs="Arial"/>
          <w:sz w:val="22"/>
          <w:szCs w:val="22"/>
        </w:rPr>
        <w:tab/>
      </w:r>
      <w:r w:rsidRPr="001279DB">
        <w:rPr>
          <w:rFonts w:ascii="Arial" w:hAnsi="Arial" w:cs="Arial"/>
          <w:sz w:val="22"/>
          <w:szCs w:val="22"/>
        </w:rPr>
        <w:t>to promote a safe and healthy environment; and</w:t>
      </w:r>
    </w:p>
    <w:p w14:paraId="266252C2" w14:textId="77777777" w:rsidR="00DC7116" w:rsidRPr="001279DB" w:rsidRDefault="00DC7116" w:rsidP="00522F18">
      <w:pPr>
        <w:pStyle w:val="NormalWeb"/>
        <w:shd w:val="clear" w:color="auto" w:fill="FFFFFF"/>
        <w:spacing w:before="0" w:beforeAutospacing="0" w:after="0" w:afterAutospacing="0" w:line="360" w:lineRule="auto"/>
        <w:ind w:right="72"/>
        <w:contextualSpacing/>
        <w:jc w:val="both"/>
        <w:rPr>
          <w:rFonts w:ascii="Arial" w:hAnsi="Arial" w:cs="Arial"/>
          <w:sz w:val="22"/>
          <w:szCs w:val="22"/>
        </w:rPr>
      </w:pPr>
      <w:r w:rsidRPr="001279DB">
        <w:rPr>
          <w:rFonts w:ascii="Arial" w:hAnsi="Arial" w:cs="Arial"/>
          <w:i/>
          <w:sz w:val="22"/>
          <w:szCs w:val="22"/>
        </w:rPr>
        <w:t>(e)</w:t>
      </w:r>
      <w:r w:rsidRPr="001279DB">
        <w:rPr>
          <w:rFonts w:ascii="Arial" w:hAnsi="Arial" w:cs="Arial"/>
          <w:sz w:val="22"/>
          <w:szCs w:val="22"/>
        </w:rPr>
        <w:t xml:space="preserve"> </w:t>
      </w:r>
      <w:r w:rsidR="004148F0" w:rsidRPr="001279DB">
        <w:rPr>
          <w:rFonts w:ascii="Arial" w:hAnsi="Arial" w:cs="Arial"/>
          <w:sz w:val="22"/>
          <w:szCs w:val="22"/>
        </w:rPr>
        <w:tab/>
      </w:r>
      <w:r w:rsidRPr="001279DB">
        <w:rPr>
          <w:rFonts w:ascii="Arial" w:hAnsi="Arial" w:cs="Arial"/>
          <w:sz w:val="22"/>
          <w:szCs w:val="22"/>
        </w:rPr>
        <w:t>to encourage the involvement of communities and community organisations in the matters of local government.</w:t>
      </w:r>
    </w:p>
    <w:p w14:paraId="250DB69E" w14:textId="77777777" w:rsidR="00DC7116" w:rsidRPr="001279DB" w:rsidRDefault="00DC7116" w:rsidP="00522F18">
      <w:pPr>
        <w:pStyle w:val="NormalWeb"/>
        <w:shd w:val="clear" w:color="auto" w:fill="FFFFFF"/>
        <w:spacing w:before="0" w:beforeAutospacing="0" w:after="0" w:afterAutospacing="0" w:line="360" w:lineRule="auto"/>
        <w:ind w:right="72"/>
        <w:contextualSpacing/>
        <w:jc w:val="both"/>
        <w:rPr>
          <w:rFonts w:ascii="Arial" w:hAnsi="Arial" w:cs="Arial"/>
          <w:sz w:val="22"/>
          <w:szCs w:val="22"/>
        </w:rPr>
      </w:pPr>
      <w:r w:rsidRPr="001279DB">
        <w:rPr>
          <w:rFonts w:ascii="Arial" w:hAnsi="Arial" w:cs="Arial"/>
          <w:sz w:val="22"/>
          <w:szCs w:val="22"/>
        </w:rPr>
        <w:t xml:space="preserve">(2) </w:t>
      </w:r>
      <w:r w:rsidR="004148F0" w:rsidRPr="001279DB">
        <w:rPr>
          <w:rFonts w:ascii="Arial" w:hAnsi="Arial" w:cs="Arial"/>
          <w:sz w:val="22"/>
          <w:szCs w:val="22"/>
        </w:rPr>
        <w:tab/>
      </w:r>
      <w:r w:rsidRPr="001279DB">
        <w:rPr>
          <w:rFonts w:ascii="Arial" w:hAnsi="Arial" w:cs="Arial"/>
          <w:sz w:val="22"/>
          <w:szCs w:val="22"/>
        </w:rPr>
        <w:t>A municipality must strive, within its financial and administrative capacity, to achieve the objects set out in subsection (1).’</w:t>
      </w:r>
    </w:p>
    <w:p w14:paraId="1A239295" w14:textId="77777777" w:rsidR="00B058EE" w:rsidRPr="001279DB" w:rsidRDefault="00B058EE" w:rsidP="00522F18">
      <w:pPr>
        <w:pStyle w:val="NormalWeb"/>
        <w:shd w:val="clear" w:color="auto" w:fill="FFFFFF"/>
        <w:spacing w:before="0" w:beforeAutospacing="0" w:after="0" w:afterAutospacing="0" w:line="360" w:lineRule="auto"/>
        <w:ind w:right="72"/>
        <w:contextualSpacing/>
        <w:jc w:val="both"/>
        <w:rPr>
          <w:rFonts w:ascii="Arial" w:hAnsi="Arial" w:cs="Arial"/>
        </w:rPr>
      </w:pPr>
    </w:p>
    <w:p w14:paraId="61BB2708" w14:textId="0DAC991C" w:rsidR="001C579A" w:rsidRPr="001279DB" w:rsidRDefault="004447B3" w:rsidP="004447B3">
      <w:pPr>
        <w:pStyle w:val="NormalWeb"/>
        <w:shd w:val="clear" w:color="auto" w:fill="FFFFFF"/>
        <w:spacing w:before="0" w:beforeAutospacing="0" w:after="0" w:afterAutospacing="0" w:line="360" w:lineRule="auto"/>
        <w:ind w:right="72"/>
        <w:contextualSpacing/>
        <w:jc w:val="both"/>
        <w:rPr>
          <w:rFonts w:ascii="Arial" w:hAnsi="Arial" w:cs="Arial"/>
          <w:sz w:val="22"/>
          <w:szCs w:val="22"/>
        </w:rPr>
      </w:pPr>
      <w:r w:rsidRPr="001279DB">
        <w:rPr>
          <w:rFonts w:ascii="Arial" w:hAnsi="Arial" w:cs="Arial"/>
        </w:rPr>
        <w:t>[26]</w:t>
      </w:r>
      <w:r w:rsidRPr="001279DB">
        <w:rPr>
          <w:rFonts w:ascii="Arial" w:hAnsi="Arial" w:cs="Arial"/>
        </w:rPr>
        <w:tab/>
      </w:r>
      <w:r w:rsidR="00550EE7" w:rsidRPr="001279DB">
        <w:rPr>
          <w:rFonts w:ascii="Arial" w:hAnsi="Arial" w:cs="Arial"/>
        </w:rPr>
        <w:t>Over</w:t>
      </w:r>
      <w:r w:rsidR="0064004F" w:rsidRPr="001279DB">
        <w:rPr>
          <w:rFonts w:ascii="Arial" w:eastAsia="Arial" w:hAnsi="Arial" w:cs="Arial"/>
        </w:rPr>
        <w:t xml:space="preserve"> and above, s </w:t>
      </w:r>
      <w:r w:rsidR="00347317" w:rsidRPr="001279DB">
        <w:rPr>
          <w:rFonts w:ascii="Arial" w:eastAsia="Arial" w:hAnsi="Arial" w:cs="Arial"/>
        </w:rPr>
        <w:t>73 of the Municipal Sys</w:t>
      </w:r>
      <w:r w:rsidR="00DC7116" w:rsidRPr="001279DB">
        <w:rPr>
          <w:rFonts w:ascii="Arial" w:eastAsia="Arial" w:hAnsi="Arial" w:cs="Arial"/>
        </w:rPr>
        <w:t xml:space="preserve">tems </w:t>
      </w:r>
      <w:r w:rsidR="003A0167" w:rsidRPr="001279DB">
        <w:rPr>
          <w:rFonts w:ascii="Arial" w:eastAsia="Arial" w:hAnsi="Arial" w:cs="Arial"/>
        </w:rPr>
        <w:t xml:space="preserve">Act </w:t>
      </w:r>
      <w:r w:rsidR="00BD37F1" w:rsidRPr="001279DB">
        <w:rPr>
          <w:rFonts w:ascii="Arial" w:eastAsia="Arial" w:hAnsi="Arial" w:cs="Arial"/>
        </w:rPr>
        <w:t>states</w:t>
      </w:r>
      <w:r w:rsidR="00DB5AE6" w:rsidRPr="001279DB">
        <w:rPr>
          <w:rFonts w:ascii="Arial" w:eastAsia="Arial" w:hAnsi="Arial" w:cs="Arial"/>
        </w:rPr>
        <w:t>:</w:t>
      </w:r>
      <w:r w:rsidR="00347317" w:rsidRPr="001279DB">
        <w:rPr>
          <w:rFonts w:ascii="Arial" w:eastAsia="Arial" w:hAnsi="Arial" w:cs="Arial"/>
        </w:rPr>
        <w:t xml:space="preserve"> </w:t>
      </w:r>
    </w:p>
    <w:p w14:paraId="63D553FE" w14:textId="77777777" w:rsidR="00DB5AE6" w:rsidRPr="001279DB" w:rsidRDefault="00DC7116" w:rsidP="00522F18">
      <w:pPr>
        <w:pStyle w:val="NormalWeb"/>
        <w:shd w:val="clear" w:color="auto" w:fill="FFFFFF"/>
        <w:spacing w:before="0" w:beforeAutospacing="0" w:after="0" w:afterAutospacing="0" w:line="360" w:lineRule="auto"/>
        <w:ind w:right="72"/>
        <w:contextualSpacing/>
        <w:jc w:val="both"/>
        <w:rPr>
          <w:rFonts w:ascii="Arial" w:hAnsi="Arial" w:cs="Arial"/>
          <w:sz w:val="22"/>
          <w:szCs w:val="22"/>
        </w:rPr>
      </w:pPr>
      <w:r w:rsidRPr="001279DB">
        <w:rPr>
          <w:rFonts w:ascii="Arial" w:eastAsia="Arial" w:hAnsi="Arial" w:cs="Arial"/>
          <w:sz w:val="22"/>
          <w:szCs w:val="22"/>
        </w:rPr>
        <w:t>‘</w:t>
      </w:r>
      <w:r w:rsidRPr="001279DB">
        <w:rPr>
          <w:rFonts w:ascii="Arial" w:hAnsi="Arial" w:cs="Arial"/>
          <w:sz w:val="22"/>
          <w:szCs w:val="22"/>
        </w:rPr>
        <w:t>General duty</w:t>
      </w:r>
    </w:p>
    <w:p w14:paraId="0A041B4E" w14:textId="77777777" w:rsidR="00DB5AE6" w:rsidRPr="001279DB" w:rsidRDefault="00DB5AE6" w:rsidP="00522F18">
      <w:pPr>
        <w:pStyle w:val="Normal1"/>
        <w:pBdr>
          <w:top w:val="nil"/>
          <w:left w:val="nil"/>
          <w:bottom w:val="nil"/>
          <w:right w:val="nil"/>
          <w:between w:val="nil"/>
        </w:pBdr>
        <w:spacing w:after="0" w:line="360" w:lineRule="auto"/>
        <w:ind w:right="72"/>
        <w:contextualSpacing/>
        <w:jc w:val="both"/>
        <w:rPr>
          <w:rFonts w:ascii="Arial" w:hAnsi="Arial" w:cs="Arial"/>
        </w:rPr>
      </w:pPr>
      <w:r w:rsidRPr="001279DB">
        <w:rPr>
          <w:rFonts w:ascii="Arial" w:hAnsi="Arial" w:cs="Arial"/>
        </w:rPr>
        <w:t xml:space="preserve">(1) </w:t>
      </w:r>
      <w:r w:rsidR="00886C1A" w:rsidRPr="001279DB">
        <w:rPr>
          <w:rFonts w:ascii="Arial" w:hAnsi="Arial" w:cs="Arial"/>
        </w:rPr>
        <w:tab/>
      </w:r>
      <w:r w:rsidRPr="001279DB">
        <w:rPr>
          <w:rFonts w:ascii="Arial" w:hAnsi="Arial" w:cs="Arial"/>
        </w:rPr>
        <w:t>A municipality must give eff</w:t>
      </w:r>
      <w:r w:rsidR="00DC7116" w:rsidRPr="001279DB">
        <w:rPr>
          <w:rFonts w:ascii="Arial" w:hAnsi="Arial" w:cs="Arial"/>
        </w:rPr>
        <w:t xml:space="preserve">ect to the provisions of the Constitution and— </w:t>
      </w:r>
    </w:p>
    <w:p w14:paraId="5A98459E" w14:textId="77777777" w:rsidR="00DB5AE6" w:rsidRPr="001279DB" w:rsidRDefault="00DC7116" w:rsidP="00522F18">
      <w:pPr>
        <w:pStyle w:val="Normal1"/>
        <w:pBdr>
          <w:top w:val="nil"/>
          <w:left w:val="nil"/>
          <w:bottom w:val="nil"/>
          <w:right w:val="nil"/>
          <w:between w:val="nil"/>
        </w:pBdr>
        <w:spacing w:after="0" w:line="360" w:lineRule="auto"/>
        <w:ind w:right="72"/>
        <w:contextualSpacing/>
        <w:jc w:val="both"/>
        <w:rPr>
          <w:rFonts w:ascii="Arial" w:hAnsi="Arial" w:cs="Arial"/>
        </w:rPr>
      </w:pPr>
      <w:r w:rsidRPr="001279DB">
        <w:rPr>
          <w:rFonts w:ascii="Arial" w:hAnsi="Arial" w:cs="Arial"/>
          <w:i/>
        </w:rPr>
        <w:t>(a)</w:t>
      </w:r>
      <w:r w:rsidRPr="001279DB">
        <w:rPr>
          <w:rFonts w:ascii="Arial" w:hAnsi="Arial" w:cs="Arial"/>
        </w:rPr>
        <w:t xml:space="preserve"> </w:t>
      </w:r>
      <w:r w:rsidR="00886C1A" w:rsidRPr="001279DB">
        <w:rPr>
          <w:rFonts w:ascii="Arial" w:hAnsi="Arial" w:cs="Arial"/>
        </w:rPr>
        <w:tab/>
      </w:r>
      <w:r w:rsidRPr="001279DB">
        <w:rPr>
          <w:rFonts w:ascii="Arial" w:hAnsi="Arial" w:cs="Arial"/>
        </w:rPr>
        <w:t xml:space="preserve">give priority to the basic needs of the local community; </w:t>
      </w:r>
    </w:p>
    <w:p w14:paraId="1EB3A6C7" w14:textId="77777777" w:rsidR="00DB5AE6" w:rsidRPr="001279DB" w:rsidRDefault="00DC7116" w:rsidP="00522F18">
      <w:pPr>
        <w:pStyle w:val="Normal1"/>
        <w:pBdr>
          <w:top w:val="nil"/>
          <w:left w:val="nil"/>
          <w:bottom w:val="nil"/>
          <w:right w:val="nil"/>
          <w:between w:val="nil"/>
        </w:pBdr>
        <w:spacing w:after="0" w:line="360" w:lineRule="auto"/>
        <w:ind w:right="72"/>
        <w:contextualSpacing/>
        <w:jc w:val="both"/>
        <w:rPr>
          <w:rFonts w:ascii="Arial" w:hAnsi="Arial" w:cs="Arial"/>
        </w:rPr>
      </w:pPr>
      <w:r w:rsidRPr="001279DB">
        <w:rPr>
          <w:rFonts w:ascii="Arial" w:hAnsi="Arial" w:cs="Arial"/>
          <w:i/>
        </w:rPr>
        <w:t>(b)</w:t>
      </w:r>
      <w:r w:rsidRPr="001279DB">
        <w:rPr>
          <w:rFonts w:ascii="Arial" w:hAnsi="Arial" w:cs="Arial"/>
        </w:rPr>
        <w:t xml:space="preserve"> </w:t>
      </w:r>
      <w:r w:rsidR="00886C1A" w:rsidRPr="001279DB">
        <w:rPr>
          <w:rFonts w:ascii="Arial" w:hAnsi="Arial" w:cs="Arial"/>
        </w:rPr>
        <w:tab/>
      </w:r>
      <w:r w:rsidRPr="001279DB">
        <w:rPr>
          <w:rFonts w:ascii="Arial" w:hAnsi="Arial" w:cs="Arial"/>
        </w:rPr>
        <w:t xml:space="preserve">promote the development of the local community; and </w:t>
      </w:r>
    </w:p>
    <w:p w14:paraId="6D11D4BE" w14:textId="77777777" w:rsidR="00DC7116" w:rsidRPr="001279DB" w:rsidRDefault="00DC7116" w:rsidP="00522F18">
      <w:pPr>
        <w:pStyle w:val="Normal1"/>
        <w:pBdr>
          <w:top w:val="nil"/>
          <w:left w:val="nil"/>
          <w:bottom w:val="nil"/>
          <w:right w:val="nil"/>
          <w:between w:val="nil"/>
        </w:pBdr>
        <w:spacing w:after="0" w:line="360" w:lineRule="auto"/>
        <w:ind w:right="72"/>
        <w:contextualSpacing/>
        <w:jc w:val="both"/>
        <w:rPr>
          <w:rFonts w:ascii="Arial" w:hAnsi="Arial" w:cs="Arial"/>
        </w:rPr>
      </w:pPr>
      <w:r w:rsidRPr="001279DB">
        <w:rPr>
          <w:rFonts w:ascii="Arial" w:hAnsi="Arial" w:cs="Arial"/>
          <w:i/>
        </w:rPr>
        <w:t>(c)</w:t>
      </w:r>
      <w:r w:rsidRPr="001279DB">
        <w:rPr>
          <w:rFonts w:ascii="Arial" w:hAnsi="Arial" w:cs="Arial"/>
        </w:rPr>
        <w:t xml:space="preserve"> </w:t>
      </w:r>
      <w:r w:rsidR="00886C1A" w:rsidRPr="001279DB">
        <w:rPr>
          <w:rFonts w:ascii="Arial" w:hAnsi="Arial" w:cs="Arial"/>
        </w:rPr>
        <w:tab/>
      </w:r>
      <w:r w:rsidRPr="001279DB">
        <w:rPr>
          <w:rFonts w:ascii="Arial" w:hAnsi="Arial" w:cs="Arial"/>
        </w:rPr>
        <w:t xml:space="preserve">ensure that all members of the local community have access to at least the minimum level of basic municipal services. </w:t>
      </w:r>
    </w:p>
    <w:p w14:paraId="601B5C8E" w14:textId="77777777" w:rsidR="00DB5AE6" w:rsidRPr="001279DB" w:rsidRDefault="00A66AC9" w:rsidP="00522F18">
      <w:pPr>
        <w:pStyle w:val="Normal1"/>
        <w:pBdr>
          <w:top w:val="nil"/>
          <w:left w:val="nil"/>
          <w:bottom w:val="nil"/>
          <w:right w:val="nil"/>
          <w:between w:val="nil"/>
        </w:pBdr>
        <w:spacing w:after="0" w:line="360" w:lineRule="auto"/>
        <w:ind w:right="72"/>
        <w:contextualSpacing/>
        <w:jc w:val="both"/>
        <w:rPr>
          <w:rFonts w:ascii="Arial" w:hAnsi="Arial" w:cs="Arial"/>
        </w:rPr>
      </w:pPr>
      <w:r w:rsidRPr="001279DB">
        <w:rPr>
          <w:rFonts w:ascii="Arial" w:hAnsi="Arial" w:cs="Arial"/>
        </w:rPr>
        <w:t>(</w:t>
      </w:r>
      <w:r w:rsidR="00DB5AE6" w:rsidRPr="001279DB">
        <w:rPr>
          <w:rFonts w:ascii="Arial" w:hAnsi="Arial" w:cs="Arial"/>
        </w:rPr>
        <w:t xml:space="preserve">2) </w:t>
      </w:r>
      <w:r w:rsidRPr="001279DB">
        <w:rPr>
          <w:rFonts w:ascii="Arial" w:hAnsi="Arial" w:cs="Arial"/>
        </w:rPr>
        <w:tab/>
      </w:r>
      <w:r w:rsidR="00DB5AE6" w:rsidRPr="001279DB">
        <w:rPr>
          <w:rFonts w:ascii="Arial" w:hAnsi="Arial" w:cs="Arial"/>
        </w:rPr>
        <w:t>Municipal services must</w:t>
      </w:r>
      <w:r w:rsidRPr="001279DB">
        <w:rPr>
          <w:rFonts w:ascii="Arial" w:hAnsi="Arial" w:cs="Arial"/>
        </w:rPr>
        <w:t xml:space="preserve">— </w:t>
      </w:r>
    </w:p>
    <w:p w14:paraId="14BAA435" w14:textId="77777777" w:rsidR="00DB5AE6" w:rsidRPr="001279DB" w:rsidRDefault="00DB5AE6" w:rsidP="00522F18">
      <w:pPr>
        <w:pStyle w:val="Normal1"/>
        <w:pBdr>
          <w:top w:val="nil"/>
          <w:left w:val="nil"/>
          <w:bottom w:val="nil"/>
          <w:right w:val="nil"/>
          <w:between w:val="nil"/>
        </w:pBdr>
        <w:spacing w:after="0" w:line="360" w:lineRule="auto"/>
        <w:ind w:right="72"/>
        <w:contextualSpacing/>
        <w:jc w:val="both"/>
        <w:rPr>
          <w:rFonts w:ascii="Arial" w:hAnsi="Arial" w:cs="Arial"/>
        </w:rPr>
      </w:pPr>
      <w:r w:rsidRPr="001279DB">
        <w:rPr>
          <w:rFonts w:ascii="Arial" w:hAnsi="Arial" w:cs="Arial"/>
          <w:i/>
        </w:rPr>
        <w:t>(a</w:t>
      </w:r>
      <w:r w:rsidR="00DC7116" w:rsidRPr="001279DB">
        <w:rPr>
          <w:rFonts w:ascii="Arial" w:hAnsi="Arial" w:cs="Arial"/>
          <w:i/>
        </w:rPr>
        <w:t>)</w:t>
      </w:r>
      <w:r w:rsidR="00DC7116" w:rsidRPr="001279DB">
        <w:rPr>
          <w:rFonts w:ascii="Arial" w:hAnsi="Arial" w:cs="Arial"/>
        </w:rPr>
        <w:t xml:space="preserve"> </w:t>
      </w:r>
      <w:r w:rsidR="00A66AC9" w:rsidRPr="001279DB">
        <w:rPr>
          <w:rFonts w:ascii="Arial" w:hAnsi="Arial" w:cs="Arial"/>
        </w:rPr>
        <w:tab/>
      </w:r>
      <w:r w:rsidR="00DC7116" w:rsidRPr="001279DB">
        <w:rPr>
          <w:rFonts w:ascii="Arial" w:hAnsi="Arial" w:cs="Arial"/>
        </w:rPr>
        <w:t xml:space="preserve">be </w:t>
      </w:r>
      <w:r w:rsidR="004941EF" w:rsidRPr="001279DB">
        <w:rPr>
          <w:rFonts w:ascii="Arial" w:hAnsi="Arial" w:cs="Arial"/>
        </w:rPr>
        <w:t>equitabl</w:t>
      </w:r>
      <w:r w:rsidR="00DC7116" w:rsidRPr="001279DB">
        <w:rPr>
          <w:rFonts w:ascii="Arial" w:hAnsi="Arial" w:cs="Arial"/>
        </w:rPr>
        <w:t>e and accessible</w:t>
      </w:r>
      <w:r w:rsidR="00A66AC9" w:rsidRPr="001279DB">
        <w:rPr>
          <w:rFonts w:ascii="Arial" w:hAnsi="Arial" w:cs="Arial"/>
        </w:rPr>
        <w:t>;</w:t>
      </w:r>
      <w:r w:rsidR="00DC7116" w:rsidRPr="001279DB">
        <w:rPr>
          <w:rFonts w:ascii="Arial" w:hAnsi="Arial" w:cs="Arial"/>
        </w:rPr>
        <w:t xml:space="preserve"> </w:t>
      </w:r>
    </w:p>
    <w:p w14:paraId="573A38F4" w14:textId="77777777" w:rsidR="00DB5AE6" w:rsidRPr="001279DB" w:rsidRDefault="00DC7116" w:rsidP="00522F18">
      <w:pPr>
        <w:pStyle w:val="Normal1"/>
        <w:pBdr>
          <w:top w:val="nil"/>
          <w:left w:val="nil"/>
          <w:bottom w:val="nil"/>
          <w:right w:val="nil"/>
          <w:between w:val="nil"/>
        </w:pBdr>
        <w:spacing w:after="0" w:line="360" w:lineRule="auto"/>
        <w:ind w:right="72"/>
        <w:contextualSpacing/>
        <w:jc w:val="both"/>
        <w:rPr>
          <w:rFonts w:ascii="Arial" w:hAnsi="Arial" w:cs="Arial"/>
        </w:rPr>
      </w:pPr>
      <w:r w:rsidRPr="001279DB">
        <w:rPr>
          <w:rFonts w:ascii="Arial" w:hAnsi="Arial" w:cs="Arial"/>
          <w:i/>
        </w:rPr>
        <w:t>(b)</w:t>
      </w:r>
      <w:r w:rsidRPr="001279DB">
        <w:rPr>
          <w:rFonts w:ascii="Arial" w:hAnsi="Arial" w:cs="Arial"/>
        </w:rPr>
        <w:t xml:space="preserve"> </w:t>
      </w:r>
      <w:r w:rsidR="00A66AC9" w:rsidRPr="001279DB">
        <w:rPr>
          <w:rFonts w:ascii="Arial" w:hAnsi="Arial" w:cs="Arial"/>
        </w:rPr>
        <w:tab/>
      </w:r>
      <w:r w:rsidRPr="001279DB">
        <w:rPr>
          <w:rFonts w:ascii="Arial" w:hAnsi="Arial" w:cs="Arial"/>
        </w:rPr>
        <w:t>be provided in a manner that is conducive to</w:t>
      </w:r>
      <w:r w:rsidR="00A66AC9" w:rsidRPr="001279DB">
        <w:rPr>
          <w:rFonts w:ascii="Arial" w:hAnsi="Arial" w:cs="Arial"/>
        </w:rPr>
        <w:t xml:space="preserve">— </w:t>
      </w:r>
    </w:p>
    <w:p w14:paraId="6FA7CF37" w14:textId="77777777" w:rsidR="00DB5AE6" w:rsidRPr="001279DB" w:rsidRDefault="00DC7116" w:rsidP="00522F18">
      <w:pPr>
        <w:pStyle w:val="Normal1"/>
        <w:pBdr>
          <w:top w:val="nil"/>
          <w:left w:val="nil"/>
          <w:bottom w:val="nil"/>
          <w:right w:val="nil"/>
          <w:between w:val="nil"/>
        </w:pBdr>
        <w:spacing w:after="0" w:line="360" w:lineRule="auto"/>
        <w:ind w:right="72" w:firstLine="720"/>
        <w:contextualSpacing/>
        <w:jc w:val="both"/>
        <w:rPr>
          <w:rFonts w:ascii="Arial" w:hAnsi="Arial" w:cs="Arial"/>
        </w:rPr>
      </w:pPr>
      <w:r w:rsidRPr="001279DB">
        <w:rPr>
          <w:rFonts w:ascii="Arial" w:hAnsi="Arial" w:cs="Arial"/>
        </w:rPr>
        <w:t xml:space="preserve">(i) </w:t>
      </w:r>
      <w:r w:rsidR="00A66AC9" w:rsidRPr="001279DB">
        <w:rPr>
          <w:rFonts w:ascii="Arial" w:hAnsi="Arial" w:cs="Arial"/>
        </w:rPr>
        <w:tab/>
      </w:r>
      <w:r w:rsidRPr="001279DB">
        <w:rPr>
          <w:rFonts w:ascii="Arial" w:hAnsi="Arial" w:cs="Arial"/>
        </w:rPr>
        <w:t xml:space="preserve">the prudent, economic, efficient and effective use of available resources; and </w:t>
      </w:r>
    </w:p>
    <w:p w14:paraId="13C56460" w14:textId="77777777" w:rsidR="00DB5AE6" w:rsidRPr="001279DB" w:rsidRDefault="00DC7116" w:rsidP="00522F18">
      <w:pPr>
        <w:pStyle w:val="Normal1"/>
        <w:pBdr>
          <w:top w:val="nil"/>
          <w:left w:val="nil"/>
          <w:bottom w:val="nil"/>
          <w:right w:val="nil"/>
          <w:between w:val="nil"/>
        </w:pBdr>
        <w:spacing w:after="0" w:line="360" w:lineRule="auto"/>
        <w:ind w:right="72" w:firstLine="720"/>
        <w:contextualSpacing/>
        <w:jc w:val="both"/>
        <w:rPr>
          <w:rFonts w:ascii="Arial" w:hAnsi="Arial" w:cs="Arial"/>
        </w:rPr>
      </w:pPr>
      <w:r w:rsidRPr="001279DB">
        <w:rPr>
          <w:rFonts w:ascii="Arial" w:hAnsi="Arial" w:cs="Arial"/>
        </w:rPr>
        <w:t xml:space="preserve">(ii) </w:t>
      </w:r>
      <w:r w:rsidR="00A66AC9" w:rsidRPr="001279DB">
        <w:rPr>
          <w:rFonts w:ascii="Arial" w:hAnsi="Arial" w:cs="Arial"/>
        </w:rPr>
        <w:tab/>
      </w:r>
      <w:r w:rsidRPr="001279DB">
        <w:rPr>
          <w:rFonts w:ascii="Arial" w:hAnsi="Arial" w:cs="Arial"/>
        </w:rPr>
        <w:t>the improv</w:t>
      </w:r>
      <w:r w:rsidR="00DB5AE6" w:rsidRPr="001279DB">
        <w:rPr>
          <w:rFonts w:ascii="Arial" w:hAnsi="Arial" w:cs="Arial"/>
        </w:rPr>
        <w:t>ement of standards of quality ov</w:t>
      </w:r>
      <w:r w:rsidRPr="001279DB">
        <w:rPr>
          <w:rFonts w:ascii="Arial" w:hAnsi="Arial" w:cs="Arial"/>
        </w:rPr>
        <w:t>er time;</w:t>
      </w:r>
    </w:p>
    <w:p w14:paraId="16A85FDD" w14:textId="77777777" w:rsidR="005111B9" w:rsidRPr="001279DB" w:rsidRDefault="00DC7116" w:rsidP="00522F18">
      <w:pPr>
        <w:pStyle w:val="Normal1"/>
        <w:pBdr>
          <w:top w:val="nil"/>
          <w:left w:val="nil"/>
          <w:bottom w:val="nil"/>
          <w:right w:val="nil"/>
          <w:between w:val="nil"/>
        </w:pBdr>
        <w:spacing w:after="0" w:line="360" w:lineRule="auto"/>
        <w:ind w:right="72"/>
        <w:contextualSpacing/>
        <w:jc w:val="both"/>
        <w:rPr>
          <w:rFonts w:ascii="Arial" w:hAnsi="Arial" w:cs="Arial"/>
        </w:rPr>
      </w:pPr>
      <w:r w:rsidRPr="001279DB">
        <w:rPr>
          <w:rFonts w:ascii="Arial" w:hAnsi="Arial" w:cs="Arial"/>
          <w:i/>
        </w:rPr>
        <w:t>(c)</w:t>
      </w:r>
      <w:r w:rsidRPr="001279DB">
        <w:rPr>
          <w:rFonts w:ascii="Arial" w:hAnsi="Arial" w:cs="Arial"/>
        </w:rPr>
        <w:t xml:space="preserve"> </w:t>
      </w:r>
      <w:r w:rsidR="00A66AC9" w:rsidRPr="001279DB">
        <w:rPr>
          <w:rFonts w:ascii="Arial" w:hAnsi="Arial" w:cs="Arial"/>
        </w:rPr>
        <w:tab/>
      </w:r>
      <w:r w:rsidRPr="001279DB">
        <w:rPr>
          <w:rFonts w:ascii="Arial" w:hAnsi="Arial" w:cs="Arial"/>
        </w:rPr>
        <w:t xml:space="preserve">be financially sustainable; </w:t>
      </w:r>
    </w:p>
    <w:p w14:paraId="54726279" w14:textId="77777777" w:rsidR="00DB5AE6" w:rsidRPr="001279DB" w:rsidRDefault="00DC7116" w:rsidP="00522F18">
      <w:pPr>
        <w:pStyle w:val="Normal1"/>
        <w:pBdr>
          <w:top w:val="nil"/>
          <w:left w:val="nil"/>
          <w:bottom w:val="nil"/>
          <w:right w:val="nil"/>
          <w:between w:val="nil"/>
        </w:pBdr>
        <w:spacing w:after="0" w:line="360" w:lineRule="auto"/>
        <w:ind w:right="72"/>
        <w:contextualSpacing/>
        <w:jc w:val="both"/>
        <w:rPr>
          <w:rFonts w:ascii="Arial" w:hAnsi="Arial" w:cs="Arial"/>
        </w:rPr>
      </w:pPr>
      <w:r w:rsidRPr="001279DB">
        <w:rPr>
          <w:rFonts w:ascii="Arial" w:hAnsi="Arial" w:cs="Arial"/>
          <w:i/>
        </w:rPr>
        <w:t>(d)</w:t>
      </w:r>
      <w:r w:rsidRPr="001279DB">
        <w:rPr>
          <w:rFonts w:ascii="Arial" w:hAnsi="Arial" w:cs="Arial"/>
        </w:rPr>
        <w:t xml:space="preserve"> </w:t>
      </w:r>
      <w:r w:rsidR="00A66AC9" w:rsidRPr="001279DB">
        <w:rPr>
          <w:rFonts w:ascii="Arial" w:hAnsi="Arial" w:cs="Arial"/>
        </w:rPr>
        <w:tab/>
      </w:r>
      <w:r w:rsidRPr="001279DB">
        <w:rPr>
          <w:rFonts w:ascii="Arial" w:hAnsi="Arial" w:cs="Arial"/>
        </w:rPr>
        <w:t xml:space="preserve">be environmentally sustainable; and </w:t>
      </w:r>
    </w:p>
    <w:p w14:paraId="433896D8" w14:textId="77777777" w:rsidR="00FE1C2E" w:rsidRPr="001279DB" w:rsidRDefault="00DC7116" w:rsidP="00522F18">
      <w:pPr>
        <w:pStyle w:val="Normal1"/>
        <w:pBdr>
          <w:top w:val="nil"/>
          <w:left w:val="nil"/>
          <w:bottom w:val="nil"/>
          <w:right w:val="nil"/>
          <w:between w:val="nil"/>
        </w:pBdr>
        <w:spacing w:after="0" w:line="360" w:lineRule="auto"/>
        <w:ind w:right="72"/>
        <w:contextualSpacing/>
        <w:jc w:val="both"/>
        <w:rPr>
          <w:rFonts w:ascii="Arial" w:eastAsia="Arial" w:hAnsi="Arial" w:cs="Arial"/>
        </w:rPr>
      </w:pPr>
      <w:r w:rsidRPr="001279DB">
        <w:rPr>
          <w:rFonts w:ascii="Arial" w:hAnsi="Arial" w:cs="Arial"/>
          <w:i/>
        </w:rPr>
        <w:t>(e)</w:t>
      </w:r>
      <w:r w:rsidRPr="001279DB">
        <w:rPr>
          <w:rFonts w:ascii="Arial" w:hAnsi="Arial" w:cs="Arial"/>
        </w:rPr>
        <w:t xml:space="preserve"> </w:t>
      </w:r>
      <w:r w:rsidR="00A66AC9" w:rsidRPr="001279DB">
        <w:rPr>
          <w:rFonts w:ascii="Arial" w:hAnsi="Arial" w:cs="Arial"/>
        </w:rPr>
        <w:tab/>
      </w:r>
      <w:r w:rsidRPr="001279DB">
        <w:rPr>
          <w:rFonts w:ascii="Arial" w:hAnsi="Arial" w:cs="Arial"/>
        </w:rPr>
        <w:t>be regularly reviewed with a view to upgrading, extension and improvement</w:t>
      </w:r>
      <w:r w:rsidR="00A66AC9" w:rsidRPr="001279DB">
        <w:rPr>
          <w:rFonts w:ascii="Arial" w:hAnsi="Arial" w:cs="Arial"/>
        </w:rPr>
        <w:t>.</w:t>
      </w:r>
      <w:r w:rsidR="00D318A5" w:rsidRPr="001279DB">
        <w:rPr>
          <w:rFonts w:ascii="Arial" w:hAnsi="Arial" w:cs="Arial"/>
        </w:rPr>
        <w:t>’</w:t>
      </w:r>
      <w:r w:rsidR="003957DC" w:rsidRPr="001279DB">
        <w:rPr>
          <w:rFonts w:ascii="Arial" w:eastAsia="Arial" w:hAnsi="Arial" w:cs="Arial"/>
        </w:rPr>
        <w:t xml:space="preserve"> </w:t>
      </w:r>
    </w:p>
    <w:p w14:paraId="6CFFC2F8" w14:textId="77777777" w:rsidR="007503EC" w:rsidRPr="001279DB" w:rsidRDefault="007503EC" w:rsidP="00522F18">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p>
    <w:p w14:paraId="2AE79084" w14:textId="77777777" w:rsidR="00FE1C2E" w:rsidRPr="001279DB" w:rsidRDefault="00B058EE" w:rsidP="00522F18">
      <w:pPr>
        <w:spacing w:after="0" w:line="360" w:lineRule="auto"/>
        <w:jc w:val="both"/>
        <w:rPr>
          <w:rFonts w:ascii="Arial" w:eastAsia="Arial" w:hAnsi="Arial" w:cs="Arial"/>
          <w:sz w:val="24"/>
          <w:szCs w:val="24"/>
        </w:rPr>
      </w:pPr>
      <w:r w:rsidRPr="001279DB">
        <w:rPr>
          <w:rFonts w:ascii="Arial" w:eastAsia="Arial" w:hAnsi="Arial" w:cs="Arial"/>
          <w:b/>
          <w:sz w:val="24"/>
          <w:szCs w:val="24"/>
        </w:rPr>
        <w:t>Discussion</w:t>
      </w:r>
    </w:p>
    <w:p w14:paraId="109FEB80" w14:textId="3EC7AFB5" w:rsidR="00677BD1"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[27]</w:t>
      </w:r>
      <w:r w:rsidRPr="001279DB">
        <w:rPr>
          <w:rFonts w:ascii="Arial" w:eastAsia="Arial" w:hAnsi="Arial" w:cs="Arial"/>
          <w:sz w:val="24"/>
          <w:szCs w:val="24"/>
        </w:rPr>
        <w:tab/>
      </w:r>
      <w:r w:rsidR="00C94F83" w:rsidRPr="001279DB">
        <w:rPr>
          <w:rFonts w:ascii="Arial" w:eastAsia="Arial" w:hAnsi="Arial" w:cs="Arial"/>
          <w:sz w:val="24"/>
          <w:szCs w:val="24"/>
        </w:rPr>
        <w:t>The provision of municipal service</w:t>
      </w:r>
      <w:r w:rsidR="008830CF" w:rsidRPr="001279DB">
        <w:rPr>
          <w:rFonts w:ascii="Arial" w:eastAsia="Arial" w:hAnsi="Arial" w:cs="Arial"/>
          <w:sz w:val="24"/>
          <w:szCs w:val="24"/>
        </w:rPr>
        <w:t>s</w:t>
      </w:r>
      <w:r w:rsidR="00CF3D39" w:rsidRPr="001279DB">
        <w:rPr>
          <w:rFonts w:ascii="Arial" w:eastAsia="Arial" w:hAnsi="Arial" w:cs="Arial"/>
          <w:sz w:val="24"/>
          <w:szCs w:val="24"/>
        </w:rPr>
        <w:t>, which include</w:t>
      </w:r>
      <w:r w:rsidR="007217C1" w:rsidRPr="001279DB">
        <w:rPr>
          <w:rFonts w:ascii="Arial" w:eastAsia="Arial" w:hAnsi="Arial" w:cs="Arial"/>
          <w:sz w:val="24"/>
          <w:szCs w:val="24"/>
        </w:rPr>
        <w:t>s</w:t>
      </w:r>
      <w:r w:rsidR="00CF3D39" w:rsidRPr="001279DB">
        <w:rPr>
          <w:rFonts w:ascii="Arial" w:eastAsia="Arial" w:hAnsi="Arial" w:cs="Arial"/>
          <w:sz w:val="24"/>
          <w:szCs w:val="24"/>
        </w:rPr>
        <w:t xml:space="preserve"> the provision of </w:t>
      </w:r>
      <w:r w:rsidR="00C355F0" w:rsidRPr="001279DB">
        <w:rPr>
          <w:rFonts w:ascii="Arial" w:eastAsia="Arial" w:hAnsi="Arial" w:cs="Arial"/>
          <w:sz w:val="24"/>
          <w:szCs w:val="24"/>
        </w:rPr>
        <w:t>electricity, was</w:t>
      </w:r>
      <w:r w:rsidR="00C94F83" w:rsidRPr="001279DB">
        <w:rPr>
          <w:rFonts w:ascii="Arial" w:eastAsia="Arial" w:hAnsi="Arial" w:cs="Arial"/>
          <w:sz w:val="24"/>
          <w:szCs w:val="24"/>
        </w:rPr>
        <w:t xml:space="preserve"> highlighted in </w:t>
      </w:r>
      <w:r w:rsidR="00C94F83" w:rsidRPr="001279DB">
        <w:rPr>
          <w:rFonts w:ascii="Arial" w:eastAsia="Arial" w:hAnsi="Arial" w:cs="Arial"/>
          <w:i/>
          <w:sz w:val="24"/>
          <w:szCs w:val="24"/>
        </w:rPr>
        <w:t>Joseph</w:t>
      </w:r>
      <w:r w:rsidR="00F14A81" w:rsidRPr="001279DB">
        <w:rPr>
          <w:rFonts w:ascii="Arial" w:eastAsia="Arial" w:hAnsi="Arial" w:cs="Arial"/>
          <w:sz w:val="24"/>
          <w:szCs w:val="24"/>
        </w:rPr>
        <w:t>,</w:t>
      </w:r>
      <w:r w:rsidR="008F437B" w:rsidRPr="001279DB">
        <w:rPr>
          <w:rFonts w:ascii="Arial" w:eastAsia="Arial" w:hAnsi="Arial" w:cs="Arial"/>
          <w:i/>
          <w:sz w:val="24"/>
          <w:szCs w:val="24"/>
        </w:rPr>
        <w:t xml:space="preserve"> </w:t>
      </w:r>
      <w:r w:rsidR="00C94F83" w:rsidRPr="001279DB">
        <w:rPr>
          <w:rFonts w:ascii="Arial" w:eastAsia="Arial" w:hAnsi="Arial" w:cs="Arial"/>
          <w:sz w:val="24"/>
          <w:szCs w:val="24"/>
        </w:rPr>
        <w:t xml:space="preserve">where Skweyiya </w:t>
      </w:r>
      <w:r w:rsidR="003A1847" w:rsidRPr="001279DB">
        <w:rPr>
          <w:rFonts w:ascii="Arial" w:eastAsia="Arial" w:hAnsi="Arial" w:cs="Arial"/>
          <w:sz w:val="24"/>
          <w:szCs w:val="24"/>
        </w:rPr>
        <w:t xml:space="preserve">J </w:t>
      </w:r>
      <w:r w:rsidR="00C94F83" w:rsidRPr="001279DB">
        <w:rPr>
          <w:rFonts w:ascii="Arial" w:eastAsia="Arial" w:hAnsi="Arial" w:cs="Arial"/>
          <w:sz w:val="24"/>
          <w:szCs w:val="24"/>
        </w:rPr>
        <w:t>said:</w:t>
      </w:r>
    </w:p>
    <w:p w14:paraId="621A5548" w14:textId="77777777" w:rsidR="00C94F83" w:rsidRPr="001279DB" w:rsidRDefault="00C94F83" w:rsidP="00522F18">
      <w:pPr>
        <w:pStyle w:val="Normal1"/>
        <w:pBdr>
          <w:top w:val="nil"/>
          <w:left w:val="nil"/>
          <w:bottom w:val="nil"/>
          <w:right w:val="nil"/>
          <w:between w:val="nil"/>
        </w:pBdr>
        <w:spacing w:after="0" w:line="360" w:lineRule="auto"/>
        <w:ind w:right="72"/>
        <w:contextualSpacing/>
        <w:jc w:val="both"/>
        <w:rPr>
          <w:rFonts w:ascii="Arial" w:eastAsia="Times New Roman" w:hAnsi="Arial" w:cs="Arial"/>
          <w:lang w:eastAsia="en-ZA"/>
        </w:rPr>
      </w:pPr>
      <w:r w:rsidRPr="001279DB">
        <w:rPr>
          <w:rFonts w:ascii="Arial" w:eastAsia="Arial" w:hAnsi="Arial" w:cs="Arial"/>
        </w:rPr>
        <w:t>‘</w:t>
      </w:r>
      <w:r w:rsidRPr="001279DB">
        <w:rPr>
          <w:rFonts w:ascii="Arial" w:eastAsia="Times New Roman" w:hAnsi="Arial" w:cs="Arial"/>
          <w:lang w:eastAsia="en-ZA"/>
        </w:rPr>
        <w:t xml:space="preserve">The provision of basic municipal services is a cardinal function, if not the most important function, of every municipal government. The central mandate of local government is to develop a service delivery capacity in order to meet the basic needs of all inhabitants of South Africa, irrespective of whether or not they have a contractual relationship with the relevant public service provider. The respondents accepted that the provision of electricity is one of those services that local government is required to provide. </w:t>
      </w:r>
      <w:r w:rsidR="003E663D" w:rsidRPr="001279DB">
        <w:rPr>
          <w:rFonts w:ascii="Arial" w:eastAsia="Times New Roman" w:hAnsi="Arial" w:cs="Arial"/>
          <w:lang w:eastAsia="en-ZA"/>
        </w:rPr>
        <w:t>Indeed,</w:t>
      </w:r>
      <w:r w:rsidRPr="001279DB">
        <w:rPr>
          <w:rFonts w:ascii="Arial" w:eastAsia="Times New Roman" w:hAnsi="Arial" w:cs="Arial"/>
          <w:lang w:eastAsia="en-ZA"/>
        </w:rPr>
        <w:t xml:space="preserve"> they could not have contended otherwise. In</w:t>
      </w:r>
      <w:r w:rsidR="00B30439" w:rsidRPr="001279DB">
        <w:rPr>
          <w:rFonts w:ascii="Arial" w:eastAsia="Times New Roman" w:hAnsi="Arial" w:cs="Arial"/>
          <w:lang w:eastAsia="en-ZA"/>
        </w:rPr>
        <w:t xml:space="preserve"> </w:t>
      </w:r>
      <w:r w:rsidRPr="001279DB">
        <w:rPr>
          <w:rFonts w:ascii="Arial" w:eastAsia="Times New Roman" w:hAnsi="Arial" w:cs="Arial"/>
          <w:i/>
          <w:iCs/>
          <w:lang w:eastAsia="en-ZA"/>
        </w:rPr>
        <w:t>Mkontwana</w:t>
      </w:r>
      <w:r w:rsidRPr="001279DB">
        <w:rPr>
          <w:rFonts w:ascii="Arial" w:eastAsia="Times New Roman" w:hAnsi="Arial" w:cs="Arial"/>
          <w:lang w:eastAsia="en-ZA"/>
        </w:rPr>
        <w:t>,</w:t>
      </w:r>
      <w:r w:rsidR="00B30439" w:rsidRPr="001279DB">
        <w:rPr>
          <w:rFonts w:ascii="Arial" w:eastAsia="Times New Roman" w:hAnsi="Arial" w:cs="Arial"/>
          <w:lang w:eastAsia="en-ZA"/>
        </w:rPr>
        <w:t xml:space="preserve"> </w:t>
      </w:r>
      <w:r w:rsidRPr="001279DB">
        <w:rPr>
          <w:rFonts w:ascii="Arial" w:eastAsia="Times New Roman" w:hAnsi="Arial" w:cs="Arial"/>
          <w:lang w:eastAsia="en-ZA"/>
        </w:rPr>
        <w:t>Yacoob J held that “municipalities are</w:t>
      </w:r>
      <w:r w:rsidR="00B30439" w:rsidRPr="001279DB">
        <w:rPr>
          <w:rFonts w:ascii="Arial" w:eastAsia="Times New Roman" w:hAnsi="Arial" w:cs="Arial"/>
          <w:lang w:eastAsia="en-ZA"/>
        </w:rPr>
        <w:t xml:space="preserve"> </w:t>
      </w:r>
      <w:r w:rsidRPr="001279DB">
        <w:rPr>
          <w:rFonts w:ascii="Arial" w:eastAsia="Times New Roman" w:hAnsi="Arial" w:cs="Arial"/>
          <w:i/>
          <w:iCs/>
          <w:lang w:eastAsia="en-ZA"/>
        </w:rPr>
        <w:t>obliged</w:t>
      </w:r>
      <w:r w:rsidR="00B30439" w:rsidRPr="001279DB">
        <w:rPr>
          <w:rFonts w:ascii="Arial" w:eastAsia="Times New Roman" w:hAnsi="Arial" w:cs="Arial"/>
          <w:i/>
          <w:iCs/>
          <w:lang w:eastAsia="en-ZA"/>
        </w:rPr>
        <w:t xml:space="preserve"> </w:t>
      </w:r>
      <w:r w:rsidRPr="001279DB">
        <w:rPr>
          <w:rFonts w:ascii="Arial" w:eastAsia="Times New Roman" w:hAnsi="Arial" w:cs="Arial"/>
          <w:lang w:eastAsia="en-ZA"/>
        </w:rPr>
        <w:t>to provide water and</w:t>
      </w:r>
      <w:r w:rsidR="00B30439" w:rsidRPr="001279DB">
        <w:rPr>
          <w:rFonts w:ascii="Arial" w:eastAsia="Times New Roman" w:hAnsi="Arial" w:cs="Arial"/>
          <w:lang w:eastAsia="en-ZA"/>
        </w:rPr>
        <w:t xml:space="preserve"> </w:t>
      </w:r>
      <w:r w:rsidRPr="001279DB">
        <w:rPr>
          <w:rFonts w:ascii="Arial" w:eastAsia="Times New Roman" w:hAnsi="Arial" w:cs="Arial"/>
          <w:i/>
          <w:iCs/>
          <w:lang w:eastAsia="en-ZA"/>
        </w:rPr>
        <w:t>electricity</w:t>
      </w:r>
      <w:r w:rsidR="00B30439" w:rsidRPr="001279DB">
        <w:rPr>
          <w:rFonts w:ascii="Arial" w:eastAsia="Times New Roman" w:hAnsi="Arial" w:cs="Arial"/>
          <w:lang w:eastAsia="en-ZA"/>
        </w:rPr>
        <w:t xml:space="preserve"> </w:t>
      </w:r>
      <w:r w:rsidRPr="001279DB">
        <w:rPr>
          <w:rFonts w:ascii="Arial" w:eastAsia="Times New Roman" w:hAnsi="Arial" w:cs="Arial"/>
          <w:lang w:eastAsia="en-ZA"/>
        </w:rPr>
        <w:t>to the residents in their area</w:t>
      </w:r>
      <w:r w:rsidR="00B30439" w:rsidRPr="001279DB">
        <w:rPr>
          <w:rFonts w:ascii="Arial" w:eastAsia="Times New Roman" w:hAnsi="Arial" w:cs="Arial"/>
          <w:lang w:eastAsia="en-ZA"/>
        </w:rPr>
        <w:t xml:space="preserve"> </w:t>
      </w:r>
      <w:r w:rsidRPr="001279DB">
        <w:rPr>
          <w:rFonts w:ascii="Arial" w:eastAsia="Times New Roman" w:hAnsi="Arial" w:cs="Arial"/>
          <w:i/>
          <w:iCs/>
          <w:lang w:eastAsia="en-ZA"/>
        </w:rPr>
        <w:t>as a matter of public duty</w:t>
      </w:r>
      <w:r w:rsidRPr="001279DB">
        <w:rPr>
          <w:rFonts w:ascii="Arial" w:eastAsia="Times New Roman" w:hAnsi="Arial" w:cs="Arial"/>
          <w:lang w:eastAsia="en-ZA"/>
        </w:rPr>
        <w:t>.”</w:t>
      </w:r>
      <w:r w:rsidR="00B30439" w:rsidRPr="001279DB">
        <w:rPr>
          <w:rFonts w:ascii="Arial" w:eastAsia="Times New Roman" w:hAnsi="Arial" w:cs="Arial"/>
          <w:lang w:eastAsia="en-ZA"/>
        </w:rPr>
        <w:t xml:space="preserve"> </w:t>
      </w:r>
      <w:r w:rsidRPr="001279DB">
        <w:rPr>
          <w:rFonts w:ascii="Arial" w:eastAsia="Times New Roman" w:hAnsi="Arial" w:cs="Arial"/>
          <w:lang w:eastAsia="en-ZA"/>
        </w:rPr>
        <w:t xml:space="preserve">Electricity is one </w:t>
      </w:r>
      <w:r w:rsidRPr="001279DB">
        <w:rPr>
          <w:rFonts w:ascii="Arial" w:eastAsia="Times New Roman" w:hAnsi="Arial" w:cs="Arial"/>
          <w:lang w:eastAsia="en-ZA"/>
        </w:rPr>
        <w:lastRenderedPageBreak/>
        <w:t>of the most common and important basic municipal services and has become virtually indispensable,</w:t>
      </w:r>
      <w:r w:rsidR="00B30439" w:rsidRPr="001279DB">
        <w:rPr>
          <w:rFonts w:ascii="Arial" w:eastAsia="Times New Roman" w:hAnsi="Arial" w:cs="Arial"/>
          <w:lang w:eastAsia="en-ZA"/>
        </w:rPr>
        <w:t xml:space="preserve"> </w:t>
      </w:r>
      <w:r w:rsidRPr="001279DB">
        <w:rPr>
          <w:rFonts w:ascii="Arial" w:eastAsia="Times New Roman" w:hAnsi="Arial" w:cs="Arial"/>
          <w:lang w:eastAsia="en-ZA"/>
        </w:rPr>
        <w:t>particularly in urban society.</w:t>
      </w:r>
      <w:r w:rsidR="003D05ED" w:rsidRPr="001279DB">
        <w:rPr>
          <w:rFonts w:ascii="Arial" w:eastAsia="Times New Roman" w:hAnsi="Arial" w:cs="Arial"/>
          <w:lang w:eastAsia="en-ZA"/>
        </w:rPr>
        <w:t>’</w:t>
      </w:r>
      <w:r w:rsidR="003D05ED" w:rsidRPr="001279DB">
        <w:rPr>
          <w:rStyle w:val="FootnoteReference"/>
          <w:rFonts w:ascii="Arial" w:eastAsia="Times New Roman" w:hAnsi="Arial" w:cs="Arial"/>
          <w:lang w:eastAsia="en-ZA"/>
        </w:rPr>
        <w:footnoteReference w:id="13"/>
      </w:r>
    </w:p>
    <w:p w14:paraId="27468572" w14:textId="77777777" w:rsidR="007313EA" w:rsidRPr="001279DB" w:rsidRDefault="007313EA" w:rsidP="00522F18">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p>
    <w:p w14:paraId="577A3B88" w14:textId="57C5151C" w:rsidR="005D212E"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[28]</w:t>
      </w:r>
      <w:r w:rsidRPr="001279DB">
        <w:rPr>
          <w:rFonts w:ascii="Arial" w:eastAsia="Arial" w:hAnsi="Arial" w:cs="Arial"/>
          <w:sz w:val="24"/>
          <w:szCs w:val="24"/>
        </w:rPr>
        <w:tab/>
      </w:r>
      <w:r w:rsidR="00B4570A" w:rsidRPr="001279DB">
        <w:rPr>
          <w:rFonts w:ascii="Arial" w:eastAsia="Arial" w:hAnsi="Arial" w:cs="Arial"/>
          <w:sz w:val="24"/>
          <w:szCs w:val="24"/>
        </w:rPr>
        <w:t>With th</w:t>
      </w:r>
      <w:r w:rsidR="003F777B" w:rsidRPr="001279DB">
        <w:rPr>
          <w:rFonts w:ascii="Arial" w:eastAsia="Arial" w:hAnsi="Arial" w:cs="Arial"/>
          <w:sz w:val="24"/>
          <w:szCs w:val="24"/>
        </w:rPr>
        <w:t xml:space="preserve">is </w:t>
      </w:r>
      <w:r w:rsidR="00B4570A" w:rsidRPr="001279DB">
        <w:rPr>
          <w:rFonts w:ascii="Arial" w:eastAsia="Arial" w:hAnsi="Arial" w:cs="Arial"/>
          <w:sz w:val="24"/>
          <w:szCs w:val="24"/>
        </w:rPr>
        <w:t xml:space="preserve">legal framework in mind, I now turn </w:t>
      </w:r>
      <w:r w:rsidR="007D57A2" w:rsidRPr="001279DB">
        <w:rPr>
          <w:rFonts w:ascii="Arial" w:eastAsia="Arial" w:hAnsi="Arial" w:cs="Arial"/>
          <w:sz w:val="24"/>
          <w:szCs w:val="24"/>
        </w:rPr>
        <w:t xml:space="preserve">to </w:t>
      </w:r>
      <w:r w:rsidR="007217C1" w:rsidRPr="001279DB">
        <w:rPr>
          <w:rFonts w:ascii="Arial" w:eastAsia="Arial" w:hAnsi="Arial" w:cs="Arial"/>
          <w:sz w:val="24"/>
          <w:szCs w:val="24"/>
        </w:rPr>
        <w:t xml:space="preserve">the </w:t>
      </w:r>
      <w:r w:rsidR="00B311B6" w:rsidRPr="001279DB">
        <w:rPr>
          <w:rFonts w:ascii="Arial" w:eastAsia="Arial" w:hAnsi="Arial" w:cs="Arial"/>
          <w:sz w:val="24"/>
          <w:szCs w:val="24"/>
        </w:rPr>
        <w:t xml:space="preserve">core </w:t>
      </w:r>
      <w:r w:rsidR="006E4FCB" w:rsidRPr="001279DB">
        <w:rPr>
          <w:rFonts w:ascii="Arial" w:eastAsia="Arial" w:hAnsi="Arial" w:cs="Arial"/>
          <w:sz w:val="24"/>
          <w:szCs w:val="24"/>
        </w:rPr>
        <w:t xml:space="preserve">issue </w:t>
      </w:r>
      <w:r w:rsidR="00CB448D" w:rsidRPr="001279DB">
        <w:rPr>
          <w:rFonts w:ascii="Arial" w:eastAsia="Arial" w:hAnsi="Arial" w:cs="Arial"/>
          <w:sz w:val="24"/>
          <w:szCs w:val="24"/>
        </w:rPr>
        <w:t>for consideration by</w:t>
      </w:r>
      <w:r w:rsidR="00B4570A" w:rsidRPr="001279DB">
        <w:rPr>
          <w:rFonts w:ascii="Arial" w:eastAsia="Arial" w:hAnsi="Arial" w:cs="Arial"/>
          <w:sz w:val="24"/>
          <w:szCs w:val="24"/>
        </w:rPr>
        <w:t xml:space="preserve"> this Court, that is, </w:t>
      </w:r>
      <w:r w:rsidR="00CF3D39" w:rsidRPr="001279DB">
        <w:rPr>
          <w:rFonts w:ascii="Arial" w:eastAsia="Arial" w:hAnsi="Arial" w:cs="Arial"/>
          <w:sz w:val="24"/>
          <w:szCs w:val="24"/>
        </w:rPr>
        <w:t xml:space="preserve">whether </w:t>
      </w:r>
      <w:r w:rsidR="006E4FCB" w:rsidRPr="001279DB">
        <w:rPr>
          <w:rFonts w:ascii="Arial" w:eastAsia="Arial" w:hAnsi="Arial" w:cs="Arial"/>
          <w:sz w:val="24"/>
          <w:szCs w:val="24"/>
        </w:rPr>
        <w:t xml:space="preserve">the </w:t>
      </w:r>
      <w:r w:rsidR="00CF3D39" w:rsidRPr="001279DB">
        <w:rPr>
          <w:rFonts w:ascii="Arial" w:eastAsia="Arial" w:hAnsi="Arial" w:cs="Arial"/>
          <w:sz w:val="24"/>
          <w:szCs w:val="24"/>
        </w:rPr>
        <w:t>unlawful occup</w:t>
      </w:r>
      <w:r w:rsidR="00B311B6" w:rsidRPr="001279DB">
        <w:rPr>
          <w:rFonts w:ascii="Arial" w:eastAsia="Arial" w:hAnsi="Arial" w:cs="Arial"/>
          <w:sz w:val="24"/>
          <w:szCs w:val="24"/>
        </w:rPr>
        <w:t xml:space="preserve">iers </w:t>
      </w:r>
      <w:r w:rsidR="003D05ED" w:rsidRPr="001279DB">
        <w:rPr>
          <w:rFonts w:ascii="Arial" w:eastAsia="Arial" w:hAnsi="Arial" w:cs="Arial"/>
          <w:sz w:val="24"/>
          <w:szCs w:val="24"/>
        </w:rPr>
        <w:t>within the Municipality’s constituency are entitled to r</w:t>
      </w:r>
      <w:r w:rsidR="00CF3D39" w:rsidRPr="001279DB">
        <w:rPr>
          <w:rFonts w:ascii="Arial" w:eastAsia="Arial" w:hAnsi="Arial" w:cs="Arial"/>
          <w:sz w:val="24"/>
          <w:szCs w:val="24"/>
        </w:rPr>
        <w:t xml:space="preserve">eceive basic municipal services, </w:t>
      </w:r>
      <w:r w:rsidR="003D05ED" w:rsidRPr="001279DB">
        <w:rPr>
          <w:rFonts w:ascii="Arial" w:eastAsia="Arial" w:hAnsi="Arial" w:cs="Arial"/>
          <w:sz w:val="24"/>
          <w:szCs w:val="24"/>
        </w:rPr>
        <w:t xml:space="preserve">electricity </w:t>
      </w:r>
      <w:r w:rsidR="00BD5CFF" w:rsidRPr="001279DB">
        <w:rPr>
          <w:rFonts w:ascii="Arial" w:eastAsia="Arial" w:hAnsi="Arial" w:cs="Arial"/>
          <w:sz w:val="24"/>
          <w:szCs w:val="24"/>
        </w:rPr>
        <w:t>being</w:t>
      </w:r>
      <w:r w:rsidR="00280E70" w:rsidRPr="001279DB">
        <w:rPr>
          <w:rFonts w:ascii="Arial" w:eastAsia="Arial" w:hAnsi="Arial" w:cs="Arial"/>
          <w:sz w:val="24"/>
          <w:szCs w:val="24"/>
        </w:rPr>
        <w:t xml:space="preserve"> one of th</w:t>
      </w:r>
      <w:r w:rsidR="003D4178" w:rsidRPr="001279DB">
        <w:rPr>
          <w:rFonts w:ascii="Arial" w:eastAsia="Arial" w:hAnsi="Arial" w:cs="Arial"/>
          <w:sz w:val="24"/>
          <w:szCs w:val="24"/>
        </w:rPr>
        <w:t>o</w:t>
      </w:r>
      <w:r w:rsidR="00280E70" w:rsidRPr="001279DB">
        <w:rPr>
          <w:rFonts w:ascii="Arial" w:eastAsia="Arial" w:hAnsi="Arial" w:cs="Arial"/>
          <w:sz w:val="24"/>
          <w:szCs w:val="24"/>
        </w:rPr>
        <w:t>se services</w:t>
      </w:r>
      <w:r w:rsidR="00FC398D" w:rsidRPr="001279DB">
        <w:rPr>
          <w:rFonts w:ascii="Arial" w:eastAsia="Arial" w:hAnsi="Arial" w:cs="Arial"/>
          <w:sz w:val="24"/>
          <w:szCs w:val="24"/>
        </w:rPr>
        <w:t>,</w:t>
      </w:r>
      <w:r w:rsidR="00A668A8" w:rsidRPr="001279DB">
        <w:rPr>
          <w:rFonts w:ascii="Arial" w:eastAsia="Arial" w:hAnsi="Arial" w:cs="Arial"/>
          <w:sz w:val="24"/>
          <w:szCs w:val="24"/>
        </w:rPr>
        <w:t xml:space="preserve"> and whether such duty falls upon Lehlaka</w:t>
      </w:r>
      <w:r w:rsidR="00B30439" w:rsidRPr="001279DB">
        <w:rPr>
          <w:rFonts w:ascii="Arial" w:eastAsia="Arial" w:hAnsi="Arial" w:cs="Arial"/>
          <w:sz w:val="24"/>
          <w:szCs w:val="24"/>
        </w:rPr>
        <w:t>.</w:t>
      </w:r>
      <w:r w:rsidR="00280E70" w:rsidRPr="001279DB">
        <w:rPr>
          <w:rFonts w:ascii="Arial" w:eastAsia="Arial" w:hAnsi="Arial" w:cs="Arial"/>
          <w:sz w:val="24"/>
          <w:szCs w:val="24"/>
        </w:rPr>
        <w:t xml:space="preserve"> </w:t>
      </w:r>
    </w:p>
    <w:p w14:paraId="074AB770" w14:textId="77777777" w:rsidR="005D212E" w:rsidRPr="001279DB" w:rsidRDefault="005D212E" w:rsidP="00522F18">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p>
    <w:p w14:paraId="586BEDCC" w14:textId="08E1C166" w:rsidR="00B0128D" w:rsidRPr="001279DB" w:rsidRDefault="004447B3" w:rsidP="004447B3">
      <w:pPr>
        <w:pStyle w:val="Normal1"/>
        <w:pBdr>
          <w:top w:val="nil"/>
          <w:left w:val="nil"/>
          <w:bottom w:val="nil"/>
          <w:right w:val="nil"/>
          <w:between w:val="nil"/>
        </w:pBdr>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[29]</w:t>
      </w:r>
      <w:r w:rsidRPr="001279DB">
        <w:rPr>
          <w:rFonts w:ascii="Arial" w:eastAsia="Arial" w:hAnsi="Arial" w:cs="Arial"/>
          <w:sz w:val="24"/>
          <w:szCs w:val="24"/>
        </w:rPr>
        <w:tab/>
      </w:r>
      <w:r w:rsidR="006E4FCB" w:rsidRPr="001279DB">
        <w:rPr>
          <w:rFonts w:ascii="Arial" w:eastAsia="Arial" w:hAnsi="Arial" w:cs="Arial"/>
          <w:sz w:val="24"/>
          <w:szCs w:val="24"/>
        </w:rPr>
        <w:t>Unfortunately</w:t>
      </w:r>
      <w:r w:rsidR="00677BD1" w:rsidRPr="001279DB">
        <w:rPr>
          <w:rFonts w:ascii="Arial" w:eastAsia="Arial" w:hAnsi="Arial" w:cs="Arial"/>
          <w:sz w:val="24"/>
          <w:szCs w:val="24"/>
        </w:rPr>
        <w:t>,</w:t>
      </w:r>
      <w:r w:rsidR="0049600E" w:rsidRPr="001279DB">
        <w:rPr>
          <w:rFonts w:ascii="Arial" w:eastAsia="Arial" w:hAnsi="Arial" w:cs="Arial"/>
          <w:sz w:val="24"/>
          <w:szCs w:val="24"/>
        </w:rPr>
        <w:t xml:space="preserve"> the Constitution does not spell out</w:t>
      </w:r>
      <w:r w:rsidR="006E4FCB" w:rsidRPr="001279DB">
        <w:rPr>
          <w:rFonts w:ascii="Arial" w:eastAsia="Arial" w:hAnsi="Arial" w:cs="Arial"/>
          <w:sz w:val="24"/>
          <w:szCs w:val="24"/>
        </w:rPr>
        <w:t xml:space="preserve"> the provision of electricity to the occupants in its constituency</w:t>
      </w:r>
      <w:r w:rsidR="0049600E" w:rsidRPr="001279DB">
        <w:rPr>
          <w:rFonts w:ascii="Arial" w:eastAsia="Arial" w:hAnsi="Arial" w:cs="Arial"/>
          <w:sz w:val="24"/>
          <w:szCs w:val="24"/>
        </w:rPr>
        <w:t xml:space="preserve">, </w:t>
      </w:r>
      <w:r w:rsidR="00BD5CFF" w:rsidRPr="001279DB">
        <w:rPr>
          <w:rFonts w:ascii="Arial" w:eastAsia="Arial" w:hAnsi="Arial" w:cs="Arial"/>
          <w:sz w:val="24"/>
          <w:szCs w:val="24"/>
        </w:rPr>
        <w:t>as</w:t>
      </w:r>
      <w:r w:rsidR="0049600E" w:rsidRPr="001279DB">
        <w:rPr>
          <w:rFonts w:ascii="Arial" w:eastAsia="Arial" w:hAnsi="Arial" w:cs="Arial"/>
          <w:sz w:val="24"/>
          <w:szCs w:val="24"/>
        </w:rPr>
        <w:t xml:space="preserve"> it does in respect of water,</w:t>
      </w:r>
      <w:r w:rsidR="006E4FCB" w:rsidRPr="001279DB">
        <w:rPr>
          <w:rFonts w:ascii="Arial" w:eastAsia="Arial" w:hAnsi="Arial" w:cs="Arial"/>
          <w:sz w:val="24"/>
          <w:szCs w:val="24"/>
        </w:rPr>
        <w:t xml:space="preserve"> yet,</w:t>
      </w:r>
      <w:r w:rsidR="0049600E" w:rsidRPr="001279DB">
        <w:rPr>
          <w:rFonts w:ascii="Arial" w:eastAsia="Arial" w:hAnsi="Arial" w:cs="Arial"/>
          <w:sz w:val="24"/>
          <w:szCs w:val="24"/>
        </w:rPr>
        <w:t xml:space="preserve"> electricity is </w:t>
      </w:r>
      <w:r w:rsidR="006E4FCB" w:rsidRPr="001279DB">
        <w:rPr>
          <w:rFonts w:ascii="Arial" w:eastAsia="Arial" w:hAnsi="Arial" w:cs="Arial"/>
          <w:sz w:val="24"/>
          <w:szCs w:val="24"/>
        </w:rPr>
        <w:t xml:space="preserve">also </w:t>
      </w:r>
      <w:r w:rsidR="0049600E" w:rsidRPr="001279DB">
        <w:rPr>
          <w:rFonts w:ascii="Arial" w:eastAsia="Arial" w:hAnsi="Arial" w:cs="Arial"/>
          <w:sz w:val="24"/>
          <w:szCs w:val="24"/>
        </w:rPr>
        <w:t>a basic service that the Municipality is obliged to provide and the occupants</w:t>
      </w:r>
      <w:r w:rsidR="00FB3B04" w:rsidRPr="001279DB">
        <w:rPr>
          <w:rFonts w:ascii="Arial" w:eastAsia="Arial" w:hAnsi="Arial" w:cs="Arial"/>
          <w:sz w:val="24"/>
          <w:szCs w:val="24"/>
        </w:rPr>
        <w:t xml:space="preserve"> </w:t>
      </w:r>
      <w:r w:rsidR="0049600E" w:rsidRPr="001279DB">
        <w:rPr>
          <w:rFonts w:ascii="Arial" w:eastAsia="Arial" w:hAnsi="Arial" w:cs="Arial"/>
          <w:sz w:val="24"/>
          <w:szCs w:val="24"/>
        </w:rPr>
        <w:t>have a public law right</w:t>
      </w:r>
      <w:r w:rsidR="00CF3D39" w:rsidRPr="001279DB">
        <w:rPr>
          <w:rFonts w:ascii="Arial" w:eastAsia="Arial" w:hAnsi="Arial" w:cs="Arial"/>
          <w:sz w:val="24"/>
          <w:szCs w:val="24"/>
        </w:rPr>
        <w:t xml:space="preserve"> to hold the </w:t>
      </w:r>
      <w:r w:rsidR="00B30439" w:rsidRPr="001279DB">
        <w:rPr>
          <w:rFonts w:ascii="Arial" w:eastAsia="Arial" w:hAnsi="Arial" w:cs="Arial"/>
          <w:sz w:val="24"/>
          <w:szCs w:val="24"/>
        </w:rPr>
        <w:t>M</w:t>
      </w:r>
      <w:r w:rsidR="00CF3D39" w:rsidRPr="001279DB">
        <w:rPr>
          <w:rFonts w:ascii="Arial" w:eastAsia="Arial" w:hAnsi="Arial" w:cs="Arial"/>
          <w:sz w:val="24"/>
          <w:szCs w:val="24"/>
        </w:rPr>
        <w:t xml:space="preserve">unicipality to </w:t>
      </w:r>
      <w:r w:rsidR="0049600E" w:rsidRPr="001279DB">
        <w:rPr>
          <w:rFonts w:ascii="Arial" w:eastAsia="Arial" w:hAnsi="Arial" w:cs="Arial"/>
          <w:sz w:val="24"/>
          <w:szCs w:val="24"/>
        </w:rPr>
        <w:t>i</w:t>
      </w:r>
      <w:r w:rsidR="00CF3D39" w:rsidRPr="001279DB">
        <w:rPr>
          <w:rFonts w:ascii="Arial" w:eastAsia="Arial" w:hAnsi="Arial" w:cs="Arial"/>
          <w:sz w:val="24"/>
          <w:szCs w:val="24"/>
        </w:rPr>
        <w:t>ts</w:t>
      </w:r>
      <w:r w:rsidR="0049600E" w:rsidRPr="001279DB">
        <w:rPr>
          <w:rFonts w:ascii="Arial" w:eastAsia="Arial" w:hAnsi="Arial" w:cs="Arial"/>
          <w:sz w:val="24"/>
          <w:szCs w:val="24"/>
        </w:rPr>
        <w:t xml:space="preserve"> public law obligation</w:t>
      </w:r>
      <w:r w:rsidR="00B171FE" w:rsidRPr="001279DB">
        <w:rPr>
          <w:rFonts w:ascii="Arial" w:eastAsia="Arial" w:hAnsi="Arial" w:cs="Arial"/>
          <w:sz w:val="24"/>
          <w:szCs w:val="24"/>
        </w:rPr>
        <w:t>.</w:t>
      </w:r>
      <w:r w:rsidR="0049600E" w:rsidRPr="001279DB">
        <w:rPr>
          <w:rStyle w:val="FootnoteReference"/>
          <w:rFonts w:ascii="Arial" w:eastAsia="Arial" w:hAnsi="Arial" w:cs="Arial"/>
          <w:sz w:val="24"/>
          <w:szCs w:val="24"/>
        </w:rPr>
        <w:footnoteReference w:id="14"/>
      </w:r>
      <w:r w:rsidR="00B171FE" w:rsidRPr="001279DB">
        <w:rPr>
          <w:rFonts w:ascii="Arial" w:eastAsia="Arial" w:hAnsi="Arial" w:cs="Arial"/>
          <w:sz w:val="24"/>
          <w:szCs w:val="24"/>
        </w:rPr>
        <w:t xml:space="preserve"> </w:t>
      </w:r>
      <w:r w:rsidR="00BF20CA" w:rsidRPr="001279DB">
        <w:rPr>
          <w:rFonts w:ascii="Arial" w:eastAsia="Arial" w:hAnsi="Arial" w:cs="Arial"/>
          <w:sz w:val="24"/>
          <w:szCs w:val="24"/>
        </w:rPr>
        <w:t xml:space="preserve">As was stated in </w:t>
      </w:r>
      <w:r w:rsidR="00BF20CA" w:rsidRPr="001279DB">
        <w:rPr>
          <w:rFonts w:ascii="Arial" w:eastAsia="Arial" w:hAnsi="Arial" w:cs="Arial"/>
          <w:i/>
          <w:sz w:val="24"/>
          <w:szCs w:val="24"/>
        </w:rPr>
        <w:t>Joseph</w:t>
      </w:r>
      <w:r w:rsidR="006E4FCB" w:rsidRPr="001279DB">
        <w:rPr>
          <w:rFonts w:ascii="Arial" w:eastAsia="Arial" w:hAnsi="Arial" w:cs="Arial"/>
          <w:sz w:val="24"/>
          <w:szCs w:val="24"/>
        </w:rPr>
        <w:t xml:space="preserve">, </w:t>
      </w:r>
      <w:r w:rsidR="00BF20CA" w:rsidRPr="001279DB">
        <w:rPr>
          <w:rFonts w:ascii="Arial" w:eastAsia="Arial" w:hAnsi="Arial" w:cs="Arial"/>
          <w:sz w:val="24"/>
          <w:szCs w:val="24"/>
        </w:rPr>
        <w:t>the mistake tha</w:t>
      </w:r>
      <w:r w:rsidR="00CF3D39" w:rsidRPr="001279DB">
        <w:rPr>
          <w:rFonts w:ascii="Arial" w:eastAsia="Arial" w:hAnsi="Arial" w:cs="Arial"/>
          <w:sz w:val="24"/>
          <w:szCs w:val="24"/>
        </w:rPr>
        <w:t xml:space="preserve">t was </w:t>
      </w:r>
      <w:r w:rsidR="00BF20CA" w:rsidRPr="001279DB">
        <w:rPr>
          <w:rFonts w:ascii="Arial" w:eastAsia="Arial" w:hAnsi="Arial" w:cs="Arial"/>
          <w:sz w:val="24"/>
          <w:szCs w:val="24"/>
        </w:rPr>
        <w:t>made</w:t>
      </w:r>
      <w:r w:rsidR="001D4B70" w:rsidRPr="001279DB">
        <w:rPr>
          <w:rFonts w:ascii="Arial" w:eastAsia="Arial" w:hAnsi="Arial" w:cs="Arial"/>
          <w:sz w:val="24"/>
          <w:szCs w:val="24"/>
        </w:rPr>
        <w:t xml:space="preserve"> </w:t>
      </w:r>
      <w:r w:rsidR="00BF20CA" w:rsidRPr="001279DB">
        <w:rPr>
          <w:rFonts w:ascii="Arial" w:eastAsia="Arial" w:hAnsi="Arial" w:cs="Arial"/>
          <w:sz w:val="24"/>
          <w:szCs w:val="24"/>
        </w:rPr>
        <w:t>in the high court</w:t>
      </w:r>
      <w:r w:rsidR="008263F7" w:rsidRPr="001279DB">
        <w:rPr>
          <w:rFonts w:ascii="Arial" w:eastAsia="Arial" w:hAnsi="Arial" w:cs="Arial"/>
          <w:sz w:val="24"/>
          <w:szCs w:val="24"/>
        </w:rPr>
        <w:t>,</w:t>
      </w:r>
      <w:r w:rsidR="00CF3D39" w:rsidRPr="001279DB">
        <w:rPr>
          <w:rFonts w:ascii="Arial" w:eastAsia="Arial" w:hAnsi="Arial" w:cs="Arial"/>
          <w:sz w:val="24"/>
          <w:szCs w:val="24"/>
        </w:rPr>
        <w:t xml:space="preserve"> </w:t>
      </w:r>
      <w:r w:rsidR="006E4FCB" w:rsidRPr="001279DB">
        <w:rPr>
          <w:rFonts w:ascii="Arial" w:eastAsia="Arial" w:hAnsi="Arial" w:cs="Arial"/>
          <w:sz w:val="24"/>
          <w:szCs w:val="24"/>
        </w:rPr>
        <w:t xml:space="preserve">as </w:t>
      </w:r>
      <w:r w:rsidR="00CF3D39" w:rsidRPr="001279DB">
        <w:rPr>
          <w:rFonts w:ascii="Arial" w:eastAsia="Arial" w:hAnsi="Arial" w:cs="Arial"/>
          <w:sz w:val="24"/>
          <w:szCs w:val="24"/>
        </w:rPr>
        <w:t>in this case</w:t>
      </w:r>
      <w:r w:rsidR="00BF20CA" w:rsidRPr="001279DB">
        <w:rPr>
          <w:rFonts w:ascii="Arial" w:eastAsia="Arial" w:hAnsi="Arial" w:cs="Arial"/>
          <w:sz w:val="24"/>
          <w:szCs w:val="24"/>
        </w:rPr>
        <w:t>, is ‘viewing the issues through an entirely contractual lens’</w:t>
      </w:r>
      <w:r w:rsidR="00CF3D39" w:rsidRPr="001279DB">
        <w:rPr>
          <w:rFonts w:ascii="Arial" w:eastAsia="Arial" w:hAnsi="Arial" w:cs="Arial"/>
          <w:sz w:val="24"/>
          <w:szCs w:val="24"/>
        </w:rPr>
        <w:t>.</w:t>
      </w:r>
      <w:r w:rsidR="00BF20CA" w:rsidRPr="001279DB">
        <w:rPr>
          <w:rStyle w:val="FootnoteReference"/>
          <w:rFonts w:ascii="Arial" w:eastAsia="Arial" w:hAnsi="Arial" w:cs="Arial"/>
          <w:sz w:val="24"/>
          <w:szCs w:val="24"/>
        </w:rPr>
        <w:footnoteReference w:id="15"/>
      </w:r>
      <w:r w:rsidR="00BF20CA" w:rsidRPr="001279DB">
        <w:rPr>
          <w:rFonts w:ascii="Arial" w:eastAsia="Arial" w:hAnsi="Arial" w:cs="Arial"/>
          <w:sz w:val="24"/>
          <w:szCs w:val="24"/>
        </w:rPr>
        <w:t xml:space="preserve"> </w:t>
      </w:r>
      <w:r w:rsidR="00CF3D39" w:rsidRPr="001279DB">
        <w:rPr>
          <w:rFonts w:ascii="Arial" w:eastAsia="Arial" w:hAnsi="Arial" w:cs="Arial"/>
          <w:sz w:val="24"/>
          <w:szCs w:val="24"/>
        </w:rPr>
        <w:t>T</w:t>
      </w:r>
      <w:r w:rsidR="00FF5F75" w:rsidRPr="001279DB">
        <w:rPr>
          <w:rFonts w:ascii="Arial" w:eastAsia="Arial" w:hAnsi="Arial" w:cs="Arial"/>
          <w:sz w:val="24"/>
          <w:szCs w:val="24"/>
        </w:rPr>
        <w:t xml:space="preserve">o </w:t>
      </w:r>
      <w:r w:rsidR="00677BD1" w:rsidRPr="001279DB">
        <w:rPr>
          <w:rFonts w:ascii="Arial" w:eastAsia="Arial" w:hAnsi="Arial" w:cs="Arial"/>
          <w:sz w:val="24"/>
          <w:szCs w:val="24"/>
        </w:rPr>
        <w:t>a</w:t>
      </w:r>
      <w:r w:rsidR="00FF5F75" w:rsidRPr="001279DB">
        <w:rPr>
          <w:rFonts w:ascii="Arial" w:eastAsia="Arial" w:hAnsi="Arial" w:cs="Arial"/>
          <w:sz w:val="24"/>
          <w:szCs w:val="24"/>
        </w:rPr>
        <w:t>pply</w:t>
      </w:r>
      <w:r w:rsidR="00CF3D39" w:rsidRPr="001279DB">
        <w:rPr>
          <w:rFonts w:ascii="Arial" w:eastAsia="Arial" w:hAnsi="Arial" w:cs="Arial"/>
          <w:sz w:val="24"/>
          <w:szCs w:val="24"/>
        </w:rPr>
        <w:t xml:space="preserve"> </w:t>
      </w:r>
      <w:r w:rsidR="00BF20CA" w:rsidRPr="001279DB">
        <w:rPr>
          <w:rFonts w:ascii="Arial" w:eastAsia="Arial" w:hAnsi="Arial" w:cs="Arial"/>
          <w:sz w:val="24"/>
          <w:szCs w:val="24"/>
        </w:rPr>
        <w:t xml:space="preserve">private law to the matter </w:t>
      </w:r>
      <w:r w:rsidR="00FF5F75" w:rsidRPr="001279DB">
        <w:rPr>
          <w:rFonts w:ascii="Arial" w:eastAsia="Arial" w:hAnsi="Arial" w:cs="Arial"/>
          <w:sz w:val="24"/>
          <w:szCs w:val="24"/>
        </w:rPr>
        <w:t xml:space="preserve">does </w:t>
      </w:r>
      <w:r w:rsidR="00BF20CA" w:rsidRPr="001279DB">
        <w:rPr>
          <w:rFonts w:ascii="Arial" w:eastAsia="Arial" w:hAnsi="Arial" w:cs="Arial"/>
          <w:sz w:val="24"/>
          <w:szCs w:val="24"/>
        </w:rPr>
        <w:t>not giv</w:t>
      </w:r>
      <w:r w:rsidR="00FF5F75" w:rsidRPr="001279DB">
        <w:rPr>
          <w:rFonts w:ascii="Arial" w:eastAsia="Arial" w:hAnsi="Arial" w:cs="Arial"/>
          <w:sz w:val="24"/>
          <w:szCs w:val="24"/>
        </w:rPr>
        <w:t xml:space="preserve">e </w:t>
      </w:r>
      <w:r w:rsidR="00BF20CA" w:rsidRPr="001279DB">
        <w:rPr>
          <w:rFonts w:ascii="Arial" w:eastAsia="Arial" w:hAnsi="Arial" w:cs="Arial"/>
          <w:sz w:val="24"/>
          <w:szCs w:val="24"/>
        </w:rPr>
        <w:t>any credence to the pub</w:t>
      </w:r>
      <w:r w:rsidR="00CF3D39" w:rsidRPr="001279DB">
        <w:rPr>
          <w:rFonts w:ascii="Arial" w:eastAsia="Arial" w:hAnsi="Arial" w:cs="Arial"/>
          <w:sz w:val="24"/>
          <w:szCs w:val="24"/>
        </w:rPr>
        <w:t>lic law rights and obligations. The</w:t>
      </w:r>
      <w:r w:rsidR="00BF20CA" w:rsidRPr="001279DB">
        <w:rPr>
          <w:rFonts w:ascii="Arial" w:eastAsia="Arial" w:hAnsi="Arial" w:cs="Arial"/>
          <w:sz w:val="24"/>
          <w:szCs w:val="24"/>
        </w:rPr>
        <w:t xml:space="preserve"> </w:t>
      </w:r>
      <w:r w:rsidR="003D4178" w:rsidRPr="001279DB">
        <w:rPr>
          <w:rFonts w:ascii="Arial" w:eastAsia="Arial" w:hAnsi="Arial" w:cs="Arial"/>
          <w:sz w:val="24"/>
          <w:szCs w:val="24"/>
        </w:rPr>
        <w:t>‘</w:t>
      </w:r>
      <w:r w:rsidR="0049600E" w:rsidRPr="001279DB">
        <w:rPr>
          <w:rFonts w:ascii="Arial" w:eastAsia="Arial" w:hAnsi="Arial" w:cs="Arial"/>
          <w:sz w:val="24"/>
          <w:szCs w:val="24"/>
        </w:rPr>
        <w:t>special cluster relationship</w:t>
      </w:r>
      <w:r w:rsidR="003D4178" w:rsidRPr="001279DB">
        <w:rPr>
          <w:rFonts w:ascii="Arial" w:eastAsia="Arial" w:hAnsi="Arial" w:cs="Arial"/>
          <w:sz w:val="24"/>
          <w:szCs w:val="24"/>
        </w:rPr>
        <w:t>’</w:t>
      </w:r>
      <w:r w:rsidR="005F6DB8" w:rsidRPr="001279DB">
        <w:rPr>
          <w:rFonts w:ascii="Arial" w:eastAsia="Arial" w:hAnsi="Arial" w:cs="Arial"/>
          <w:sz w:val="24"/>
          <w:szCs w:val="24"/>
        </w:rPr>
        <w:t xml:space="preserve"> </w:t>
      </w:r>
      <w:r w:rsidR="00BF20CA" w:rsidRPr="001279DB">
        <w:rPr>
          <w:rFonts w:ascii="Arial" w:eastAsia="Arial" w:hAnsi="Arial" w:cs="Arial"/>
          <w:sz w:val="24"/>
          <w:szCs w:val="24"/>
        </w:rPr>
        <w:t>takes into account both private and public law</w:t>
      </w:r>
      <w:r w:rsidR="00DA4793" w:rsidRPr="001279DB">
        <w:rPr>
          <w:rFonts w:ascii="Arial" w:eastAsia="Arial" w:hAnsi="Arial" w:cs="Arial"/>
          <w:sz w:val="24"/>
          <w:szCs w:val="24"/>
        </w:rPr>
        <w:t>.</w:t>
      </w:r>
      <w:r w:rsidR="00A2575A" w:rsidRPr="001279DB">
        <w:rPr>
          <w:rFonts w:ascii="Arial" w:eastAsia="Arial" w:hAnsi="Arial" w:cs="Arial"/>
          <w:sz w:val="24"/>
          <w:szCs w:val="24"/>
        </w:rPr>
        <w:t xml:space="preserve"> </w:t>
      </w:r>
      <w:r w:rsidR="00A668A8" w:rsidRPr="001279DB">
        <w:rPr>
          <w:rFonts w:ascii="Arial" w:eastAsia="Arial" w:hAnsi="Arial" w:cs="Arial"/>
          <w:sz w:val="24"/>
          <w:szCs w:val="24"/>
        </w:rPr>
        <w:t>The working</w:t>
      </w:r>
      <w:r w:rsidR="00CF3D39" w:rsidRPr="001279DB">
        <w:rPr>
          <w:rFonts w:ascii="Arial" w:eastAsia="Arial" w:hAnsi="Arial" w:cs="Arial"/>
          <w:sz w:val="24"/>
          <w:szCs w:val="24"/>
        </w:rPr>
        <w:t xml:space="preserve"> </w:t>
      </w:r>
      <w:r w:rsidR="00BF20CA" w:rsidRPr="001279DB">
        <w:rPr>
          <w:rFonts w:ascii="Arial" w:eastAsia="Arial" w:hAnsi="Arial" w:cs="Arial"/>
          <w:sz w:val="24"/>
          <w:szCs w:val="24"/>
        </w:rPr>
        <w:t>of such</w:t>
      </w:r>
      <w:r w:rsidR="00940751" w:rsidRPr="001279DB">
        <w:rPr>
          <w:rFonts w:ascii="Arial" w:eastAsia="Arial" w:hAnsi="Arial" w:cs="Arial"/>
          <w:sz w:val="24"/>
          <w:szCs w:val="24"/>
        </w:rPr>
        <w:t xml:space="preserve"> relationship </w:t>
      </w:r>
      <w:r w:rsidR="00BF20CA" w:rsidRPr="001279DB">
        <w:rPr>
          <w:rFonts w:ascii="Arial" w:eastAsia="Arial" w:hAnsi="Arial" w:cs="Arial"/>
          <w:sz w:val="24"/>
          <w:szCs w:val="24"/>
        </w:rPr>
        <w:t xml:space="preserve">was </w:t>
      </w:r>
      <w:r w:rsidR="00A2575A" w:rsidRPr="001279DB">
        <w:rPr>
          <w:rFonts w:ascii="Arial" w:eastAsia="Arial" w:hAnsi="Arial" w:cs="Arial"/>
          <w:sz w:val="24"/>
          <w:szCs w:val="24"/>
        </w:rPr>
        <w:t xml:space="preserve">eloquently </w:t>
      </w:r>
      <w:r w:rsidR="00CF3D39" w:rsidRPr="001279DB">
        <w:rPr>
          <w:rFonts w:ascii="Arial" w:eastAsia="Arial" w:hAnsi="Arial" w:cs="Arial"/>
          <w:sz w:val="24"/>
          <w:szCs w:val="24"/>
        </w:rPr>
        <w:t xml:space="preserve">explained </w:t>
      </w:r>
      <w:r w:rsidR="00A2575A" w:rsidRPr="001279DB">
        <w:rPr>
          <w:rFonts w:ascii="Arial" w:eastAsia="Arial" w:hAnsi="Arial" w:cs="Arial"/>
          <w:sz w:val="24"/>
          <w:szCs w:val="24"/>
        </w:rPr>
        <w:t xml:space="preserve">in </w:t>
      </w:r>
      <w:r w:rsidR="00817563" w:rsidRPr="001279DB">
        <w:rPr>
          <w:rFonts w:ascii="Arial" w:eastAsia="Arial" w:hAnsi="Arial" w:cs="Arial"/>
          <w:i/>
          <w:sz w:val="24"/>
          <w:szCs w:val="24"/>
        </w:rPr>
        <w:t>Joseph</w:t>
      </w:r>
      <w:r w:rsidR="00817563" w:rsidRPr="001279DB">
        <w:rPr>
          <w:rFonts w:ascii="Arial" w:eastAsia="Arial" w:hAnsi="Arial" w:cs="Arial"/>
          <w:sz w:val="24"/>
          <w:szCs w:val="24"/>
        </w:rPr>
        <w:t>:</w:t>
      </w:r>
    </w:p>
    <w:p w14:paraId="3F8E8819" w14:textId="77777777" w:rsidR="00CF3C07" w:rsidRPr="001279DB" w:rsidRDefault="00CF3C07" w:rsidP="00522F18">
      <w:pPr>
        <w:shd w:val="clear" w:color="auto" w:fill="FFFFFF"/>
        <w:spacing w:after="0" w:line="360" w:lineRule="auto"/>
        <w:ind w:right="72"/>
        <w:contextualSpacing/>
        <w:jc w:val="both"/>
        <w:rPr>
          <w:rFonts w:ascii="Arial" w:eastAsia="Times New Roman" w:hAnsi="Arial" w:cs="Arial"/>
          <w:lang w:eastAsia="en-ZA"/>
        </w:rPr>
      </w:pPr>
      <w:r w:rsidRPr="001279DB">
        <w:rPr>
          <w:rFonts w:ascii="Arial" w:eastAsia="Times New Roman" w:hAnsi="Arial" w:cs="Arial"/>
          <w:lang w:eastAsia="en-ZA"/>
        </w:rPr>
        <w:t>‘The starting point should therefore be whether any “rights” of the applicants have been affected as that term is understood in PAJA, and if so, whether the relevant municipal by-laws can be read consistently with PAJA. The focus of the enquiry therefore is the relationship, if any, between City Power as a public service provider and users of the service with whom it has no formal contractual relationship. This is similar to the approach adopted by Sachs J in</w:t>
      </w:r>
      <w:r w:rsidR="00B30439" w:rsidRPr="001279DB">
        <w:rPr>
          <w:rFonts w:ascii="Arial" w:eastAsia="Times New Roman" w:hAnsi="Arial" w:cs="Arial"/>
          <w:lang w:eastAsia="en-ZA"/>
        </w:rPr>
        <w:t xml:space="preserve"> </w:t>
      </w:r>
      <w:r w:rsidRPr="001279DB">
        <w:rPr>
          <w:rFonts w:ascii="Arial" w:eastAsia="Times New Roman" w:hAnsi="Arial" w:cs="Arial"/>
          <w:i/>
          <w:iCs/>
          <w:lang w:eastAsia="en-ZA"/>
        </w:rPr>
        <w:t>Residents of Joe Slovo</w:t>
      </w:r>
      <w:r w:rsidRPr="001279DB">
        <w:rPr>
          <w:rFonts w:ascii="Arial" w:eastAsia="Times New Roman" w:hAnsi="Arial" w:cs="Arial"/>
          <w:lang w:eastAsia="en-ZA"/>
        </w:rPr>
        <w:t>,</w:t>
      </w:r>
      <w:r w:rsidR="00B30439" w:rsidRPr="001279DB">
        <w:rPr>
          <w:rFonts w:ascii="Arial" w:eastAsia="Times New Roman" w:hAnsi="Arial" w:cs="Arial"/>
          <w:lang w:eastAsia="en-ZA"/>
        </w:rPr>
        <w:t xml:space="preserve"> </w:t>
      </w:r>
      <w:r w:rsidRPr="001279DB">
        <w:rPr>
          <w:rFonts w:ascii="Arial" w:eastAsia="Times New Roman" w:hAnsi="Arial" w:cs="Arial"/>
          <w:lang w:eastAsia="en-ZA"/>
        </w:rPr>
        <w:t>in which the lawfulness of the occupation of municipal council land by homeless families was considered. Sachs</w:t>
      </w:r>
      <w:r w:rsidR="00B30439" w:rsidRPr="001279DB">
        <w:rPr>
          <w:rFonts w:ascii="Arial" w:eastAsia="Times New Roman" w:hAnsi="Arial" w:cs="Arial"/>
          <w:lang w:eastAsia="en-ZA"/>
        </w:rPr>
        <w:t xml:space="preserve"> </w:t>
      </w:r>
      <w:r w:rsidRPr="001279DB">
        <w:rPr>
          <w:rFonts w:ascii="Arial" w:eastAsia="Times New Roman" w:hAnsi="Arial" w:cs="Arial"/>
          <w:lang w:eastAsia="en-ZA"/>
        </w:rPr>
        <w:t>J observed that this question—</w:t>
      </w:r>
    </w:p>
    <w:p w14:paraId="5A07EA84" w14:textId="77777777" w:rsidR="00CF3C07" w:rsidRPr="001279DB" w:rsidRDefault="00CF3C07" w:rsidP="00522F18">
      <w:pPr>
        <w:shd w:val="clear" w:color="auto" w:fill="FFFFFF"/>
        <w:spacing w:after="0" w:line="360" w:lineRule="auto"/>
        <w:ind w:right="72"/>
        <w:contextualSpacing/>
        <w:jc w:val="both"/>
        <w:rPr>
          <w:rFonts w:ascii="Arial" w:eastAsia="Times New Roman" w:hAnsi="Arial" w:cs="Arial"/>
          <w:lang w:eastAsia="en-ZA"/>
        </w:rPr>
      </w:pPr>
      <w:r w:rsidRPr="001279DB">
        <w:rPr>
          <w:rFonts w:ascii="Arial" w:eastAsia="Times New Roman" w:hAnsi="Arial" w:cs="Arial"/>
          <w:lang w:eastAsia="en-ZA"/>
        </w:rPr>
        <w:t xml:space="preserve">“must be located not in the framework of the common law rights of landowners, but in the context of the special cluster of legal relationships between the council and the occupants established by the Constitution and the Housing Act. . . . The very manner in which these relationships are established and extinguished will be different from the manner in which these relationships might be created by the common law . . . . They flow instead from an articulation of public responsibilities </w:t>
      </w:r>
      <w:r w:rsidR="00B30439" w:rsidRPr="001279DB">
        <w:rPr>
          <w:rFonts w:ascii="Arial" w:eastAsia="Times New Roman" w:hAnsi="Arial" w:cs="Arial"/>
          <w:lang w:eastAsia="en-ZA"/>
        </w:rPr>
        <w:t>…</w:t>
      </w:r>
      <w:r w:rsidRPr="001279DB">
        <w:rPr>
          <w:rFonts w:ascii="Arial" w:eastAsia="Times New Roman" w:hAnsi="Arial" w:cs="Arial"/>
          <w:lang w:eastAsia="en-ZA"/>
        </w:rPr>
        <w:t xml:space="preserve"> and possess an ongoing, organic and dynamic character that evolves over time.”</w:t>
      </w:r>
      <w:r w:rsidR="00B30439" w:rsidRPr="001279DB">
        <w:rPr>
          <w:rFonts w:ascii="Arial" w:eastAsia="Times New Roman" w:hAnsi="Arial" w:cs="Arial"/>
          <w:lang w:eastAsia="en-ZA"/>
        </w:rPr>
        <w:t>’</w:t>
      </w:r>
      <w:r w:rsidR="00F929E0" w:rsidRPr="001279DB">
        <w:rPr>
          <w:rStyle w:val="FootnoteReference"/>
          <w:rFonts w:ascii="Arial" w:eastAsia="Times New Roman" w:hAnsi="Arial" w:cs="Arial"/>
          <w:lang w:eastAsia="en-ZA"/>
        </w:rPr>
        <w:footnoteReference w:id="16"/>
      </w:r>
    </w:p>
    <w:p w14:paraId="7CBCB612" w14:textId="77777777" w:rsidR="00F929E0" w:rsidRPr="001279DB" w:rsidRDefault="00F929E0" w:rsidP="00522F18">
      <w:pPr>
        <w:shd w:val="clear" w:color="auto" w:fill="FFFFFF"/>
        <w:spacing w:after="0" w:line="360" w:lineRule="auto"/>
        <w:ind w:right="72"/>
        <w:contextualSpacing/>
        <w:jc w:val="both"/>
        <w:rPr>
          <w:rFonts w:ascii="Arial" w:eastAsia="Times New Roman" w:hAnsi="Arial" w:cs="Arial"/>
          <w:sz w:val="24"/>
          <w:szCs w:val="24"/>
          <w:lang w:eastAsia="en-ZA"/>
        </w:rPr>
      </w:pPr>
    </w:p>
    <w:p w14:paraId="6EA1D4DC" w14:textId="54A63F93" w:rsidR="00F929E0" w:rsidRPr="004447B3" w:rsidRDefault="004447B3" w:rsidP="004447B3">
      <w:pPr>
        <w:shd w:val="clear" w:color="auto" w:fill="FFFFFF"/>
        <w:spacing w:after="0" w:line="360" w:lineRule="auto"/>
        <w:ind w:right="72"/>
        <w:jc w:val="both"/>
        <w:rPr>
          <w:rFonts w:ascii="Arial" w:eastAsia="Times New Roman" w:hAnsi="Arial" w:cs="Arial"/>
          <w:lang w:eastAsia="en-ZA"/>
        </w:rPr>
      </w:pPr>
      <w:r w:rsidRPr="001279DB">
        <w:rPr>
          <w:rFonts w:ascii="Arial" w:eastAsia="Times New Roman" w:hAnsi="Arial" w:cs="Arial"/>
          <w:sz w:val="24"/>
          <w:szCs w:val="24"/>
          <w:lang w:eastAsia="en-ZA"/>
        </w:rPr>
        <w:lastRenderedPageBreak/>
        <w:t>[30]</w:t>
      </w:r>
      <w:r w:rsidRPr="001279DB">
        <w:rPr>
          <w:rFonts w:ascii="Arial" w:eastAsia="Times New Roman" w:hAnsi="Arial" w:cs="Arial"/>
          <w:sz w:val="24"/>
          <w:szCs w:val="24"/>
          <w:lang w:eastAsia="en-ZA"/>
        </w:rPr>
        <w:tab/>
      </w:r>
      <w:r w:rsidR="00F929E0" w:rsidRPr="004447B3">
        <w:rPr>
          <w:rFonts w:ascii="Arial" w:eastAsia="Times New Roman" w:hAnsi="Arial" w:cs="Arial"/>
          <w:sz w:val="24"/>
          <w:szCs w:val="24"/>
          <w:lang w:eastAsia="en-ZA"/>
        </w:rPr>
        <w:t xml:space="preserve">In </w:t>
      </w:r>
      <w:r w:rsidR="00F929E0" w:rsidRPr="004447B3">
        <w:rPr>
          <w:rFonts w:ascii="Arial" w:eastAsia="Times New Roman" w:hAnsi="Arial" w:cs="Arial"/>
          <w:i/>
          <w:sz w:val="24"/>
          <w:szCs w:val="24"/>
          <w:lang w:eastAsia="en-ZA"/>
        </w:rPr>
        <w:t>Joseph</w:t>
      </w:r>
      <w:r w:rsidR="00F929E0" w:rsidRPr="004447B3">
        <w:rPr>
          <w:rFonts w:ascii="Arial" w:eastAsia="Times New Roman" w:hAnsi="Arial" w:cs="Arial"/>
          <w:sz w:val="24"/>
          <w:szCs w:val="24"/>
          <w:lang w:eastAsia="en-ZA"/>
        </w:rPr>
        <w:t>, Skweyiya J pertinently stated the following:</w:t>
      </w:r>
      <w:r w:rsidR="00F929E0" w:rsidRPr="004447B3">
        <w:rPr>
          <w:rFonts w:ascii="Arial" w:eastAsia="Times New Roman" w:hAnsi="Arial" w:cs="Arial"/>
          <w:lang w:eastAsia="en-ZA"/>
        </w:rPr>
        <w:t xml:space="preserve"> </w:t>
      </w:r>
    </w:p>
    <w:p w14:paraId="516FF3BB" w14:textId="77777777" w:rsidR="00FE1C2E" w:rsidRPr="001279DB" w:rsidRDefault="00F929E0" w:rsidP="00522F18">
      <w:pPr>
        <w:shd w:val="clear" w:color="auto" w:fill="FFFFFF"/>
        <w:spacing w:after="0" w:line="360" w:lineRule="auto"/>
        <w:ind w:right="72"/>
        <w:contextualSpacing/>
        <w:jc w:val="both"/>
        <w:rPr>
          <w:rFonts w:ascii="Arial" w:eastAsia="Times New Roman" w:hAnsi="Arial" w:cs="Arial"/>
          <w:u w:val="single"/>
          <w:lang w:eastAsia="en-ZA"/>
        </w:rPr>
      </w:pPr>
      <w:r w:rsidRPr="001279DB">
        <w:rPr>
          <w:rFonts w:ascii="Arial" w:eastAsia="Times New Roman" w:hAnsi="Arial" w:cs="Arial"/>
          <w:lang w:eastAsia="en-ZA"/>
        </w:rPr>
        <w:t>‘</w:t>
      </w:r>
      <w:r w:rsidR="00CF3C07" w:rsidRPr="001279DB">
        <w:rPr>
          <w:rFonts w:ascii="Arial" w:eastAsia="Times New Roman" w:hAnsi="Arial" w:cs="Arial"/>
          <w:lang w:eastAsia="en-ZA"/>
        </w:rPr>
        <w:t>I am of the view that this case is similarly about the “</w:t>
      </w:r>
      <w:r w:rsidR="00CF3C07" w:rsidRPr="001279DB">
        <w:rPr>
          <w:rFonts w:ascii="Arial" w:eastAsia="Times New Roman" w:hAnsi="Arial" w:cs="Arial"/>
          <w:i/>
          <w:lang w:eastAsia="en-ZA"/>
        </w:rPr>
        <w:t>special cluster of relationships” that exist between a municipality and citizens, which is fundamentally cemented by the public responsibilities that a municipality bears in terms of the Constitution and legislation in respect of the persons living in its jurisdiction. At this level, administrative law principles operate to govern these relations beyond the law of contract</w:t>
      </w:r>
      <w:r w:rsidR="00CF3C07" w:rsidRPr="001279DB">
        <w:rPr>
          <w:rFonts w:ascii="Arial" w:eastAsia="Times New Roman" w:hAnsi="Arial" w:cs="Arial"/>
          <w:lang w:eastAsia="en-ZA"/>
        </w:rPr>
        <w:t>.’</w:t>
      </w:r>
      <w:r w:rsidR="00225F1C" w:rsidRPr="001279DB">
        <w:rPr>
          <w:rStyle w:val="FootnoteReference"/>
          <w:rFonts w:ascii="Arial" w:eastAsia="Times New Roman" w:hAnsi="Arial" w:cs="Arial"/>
          <w:lang w:eastAsia="en-ZA"/>
        </w:rPr>
        <w:footnoteReference w:id="17"/>
      </w:r>
      <w:r w:rsidR="00225F1C" w:rsidRPr="001279DB">
        <w:rPr>
          <w:rFonts w:ascii="Arial" w:eastAsia="Times New Roman" w:hAnsi="Arial" w:cs="Arial"/>
          <w:lang w:eastAsia="en-ZA"/>
        </w:rPr>
        <w:t xml:space="preserve"> </w:t>
      </w:r>
      <w:r w:rsidR="002B3E72" w:rsidRPr="001279DB">
        <w:rPr>
          <w:rFonts w:ascii="Arial" w:eastAsia="Times New Roman" w:hAnsi="Arial" w:cs="Arial"/>
          <w:lang w:eastAsia="en-ZA"/>
        </w:rPr>
        <w:t>(Emphasis added</w:t>
      </w:r>
      <w:r w:rsidR="006668BE" w:rsidRPr="001279DB">
        <w:rPr>
          <w:rFonts w:ascii="Arial" w:eastAsia="Times New Roman" w:hAnsi="Arial" w:cs="Arial"/>
          <w:lang w:eastAsia="en-ZA"/>
        </w:rPr>
        <w:t>.</w:t>
      </w:r>
      <w:r w:rsidR="002B3E72" w:rsidRPr="001279DB">
        <w:rPr>
          <w:rFonts w:ascii="Arial" w:eastAsia="Times New Roman" w:hAnsi="Arial" w:cs="Arial"/>
          <w:lang w:eastAsia="en-ZA"/>
        </w:rPr>
        <w:t>)</w:t>
      </w:r>
    </w:p>
    <w:p w14:paraId="4EE637DB" w14:textId="77777777" w:rsidR="00225F1C" w:rsidRPr="001279DB" w:rsidRDefault="00225F1C" w:rsidP="00522F18">
      <w:pPr>
        <w:shd w:val="clear" w:color="auto" w:fill="FFFFFF"/>
        <w:spacing w:after="0" w:line="360" w:lineRule="auto"/>
        <w:ind w:right="72"/>
        <w:contextualSpacing/>
        <w:jc w:val="both"/>
        <w:rPr>
          <w:rFonts w:ascii="Arial" w:eastAsia="Times New Roman" w:hAnsi="Arial" w:cs="Arial"/>
          <w:sz w:val="24"/>
          <w:szCs w:val="24"/>
          <w:lang w:eastAsia="en-ZA"/>
        </w:rPr>
      </w:pPr>
    </w:p>
    <w:p w14:paraId="70F9AE1D" w14:textId="4BCAC42B" w:rsidR="007F3378" w:rsidRPr="004447B3" w:rsidRDefault="004447B3" w:rsidP="004447B3">
      <w:pPr>
        <w:shd w:val="clear" w:color="auto" w:fill="FFFFFF"/>
        <w:spacing w:after="0" w:line="360" w:lineRule="auto"/>
        <w:ind w:right="72"/>
        <w:jc w:val="both"/>
        <w:rPr>
          <w:rFonts w:ascii="Arial" w:eastAsia="Arial" w:hAnsi="Arial" w:cs="Arial"/>
          <w:sz w:val="24"/>
          <w:szCs w:val="24"/>
        </w:rPr>
      </w:pPr>
      <w:r w:rsidRPr="001279DB">
        <w:rPr>
          <w:rFonts w:ascii="Arial" w:eastAsia="Arial" w:hAnsi="Arial" w:cs="Arial"/>
          <w:sz w:val="24"/>
          <w:szCs w:val="24"/>
        </w:rPr>
        <w:t>[31]</w:t>
      </w:r>
      <w:r w:rsidRPr="001279DB">
        <w:rPr>
          <w:rFonts w:ascii="Arial" w:eastAsia="Arial" w:hAnsi="Arial" w:cs="Arial"/>
          <w:sz w:val="24"/>
          <w:szCs w:val="24"/>
        </w:rPr>
        <w:tab/>
      </w:r>
      <w:r w:rsidR="00225F1C" w:rsidRPr="004447B3">
        <w:rPr>
          <w:rFonts w:ascii="Arial" w:eastAsia="Arial" w:hAnsi="Arial" w:cs="Arial"/>
          <w:sz w:val="24"/>
          <w:szCs w:val="24"/>
        </w:rPr>
        <w:t>On the</w:t>
      </w:r>
      <w:r w:rsidR="002B3E72" w:rsidRPr="004447B3">
        <w:rPr>
          <w:rFonts w:ascii="Arial" w:eastAsia="Arial" w:hAnsi="Arial" w:cs="Arial"/>
          <w:sz w:val="24"/>
          <w:szCs w:val="24"/>
        </w:rPr>
        <w:t>se</w:t>
      </w:r>
      <w:r w:rsidR="002F3328" w:rsidRPr="004447B3">
        <w:rPr>
          <w:rFonts w:ascii="Arial" w:eastAsia="Arial" w:hAnsi="Arial" w:cs="Arial"/>
          <w:sz w:val="24"/>
          <w:szCs w:val="24"/>
        </w:rPr>
        <w:t xml:space="preserve"> facts, </w:t>
      </w:r>
      <w:r w:rsidR="00DC7116" w:rsidRPr="004447B3">
        <w:rPr>
          <w:rFonts w:ascii="Arial" w:eastAsia="Arial" w:hAnsi="Arial" w:cs="Arial"/>
          <w:sz w:val="24"/>
          <w:szCs w:val="24"/>
        </w:rPr>
        <w:t xml:space="preserve">as was </w:t>
      </w:r>
      <w:r w:rsidR="00FF7D8E" w:rsidRPr="004447B3">
        <w:rPr>
          <w:rFonts w:ascii="Arial" w:eastAsia="Arial" w:hAnsi="Arial" w:cs="Arial"/>
          <w:sz w:val="24"/>
          <w:szCs w:val="24"/>
        </w:rPr>
        <w:t xml:space="preserve">the case </w:t>
      </w:r>
      <w:r w:rsidR="00DC7116" w:rsidRPr="004447B3">
        <w:rPr>
          <w:rFonts w:ascii="Arial" w:eastAsia="Arial" w:hAnsi="Arial" w:cs="Arial"/>
          <w:sz w:val="24"/>
          <w:szCs w:val="24"/>
        </w:rPr>
        <w:t xml:space="preserve">in </w:t>
      </w:r>
      <w:r w:rsidR="00DC7116" w:rsidRPr="004447B3">
        <w:rPr>
          <w:rFonts w:ascii="Arial" w:eastAsia="Arial" w:hAnsi="Arial" w:cs="Arial"/>
          <w:i/>
          <w:sz w:val="24"/>
          <w:szCs w:val="24"/>
        </w:rPr>
        <w:t>Joseph</w:t>
      </w:r>
      <w:r w:rsidR="00DC7116" w:rsidRPr="004447B3">
        <w:rPr>
          <w:rFonts w:ascii="Arial" w:eastAsia="Arial" w:hAnsi="Arial" w:cs="Arial"/>
          <w:sz w:val="24"/>
          <w:szCs w:val="24"/>
        </w:rPr>
        <w:t>, the</w:t>
      </w:r>
      <w:r w:rsidR="004941EF" w:rsidRPr="004447B3">
        <w:rPr>
          <w:rFonts w:ascii="Arial" w:eastAsia="Arial" w:hAnsi="Arial" w:cs="Arial"/>
          <w:sz w:val="24"/>
          <w:szCs w:val="24"/>
        </w:rPr>
        <w:t xml:space="preserve"> ‘broader constitutional relationship that exists between a public service provider and the member</w:t>
      </w:r>
      <w:r w:rsidR="00FF7D8E" w:rsidRPr="004447B3">
        <w:rPr>
          <w:rFonts w:ascii="Arial" w:eastAsia="Arial" w:hAnsi="Arial" w:cs="Arial"/>
          <w:sz w:val="24"/>
          <w:szCs w:val="24"/>
        </w:rPr>
        <w:t>s</w:t>
      </w:r>
      <w:r w:rsidR="004941EF" w:rsidRPr="004447B3">
        <w:rPr>
          <w:rFonts w:ascii="Arial" w:eastAsia="Arial" w:hAnsi="Arial" w:cs="Arial"/>
          <w:sz w:val="24"/>
          <w:szCs w:val="24"/>
        </w:rPr>
        <w:t xml:space="preserve"> of the local community gives rise to rights’</w:t>
      </w:r>
      <w:r w:rsidR="006E4FCB" w:rsidRPr="001279DB">
        <w:rPr>
          <w:rStyle w:val="FootnoteReference"/>
          <w:rFonts w:ascii="Arial" w:eastAsia="Arial" w:hAnsi="Arial" w:cs="Arial"/>
          <w:sz w:val="24"/>
          <w:szCs w:val="24"/>
        </w:rPr>
        <w:footnoteReference w:id="18"/>
      </w:r>
      <w:r w:rsidR="004941EF" w:rsidRPr="004447B3">
        <w:rPr>
          <w:rFonts w:ascii="Arial" w:eastAsia="Arial" w:hAnsi="Arial" w:cs="Arial"/>
          <w:sz w:val="24"/>
          <w:szCs w:val="24"/>
        </w:rPr>
        <w:t xml:space="preserve"> that invoke the application of </w:t>
      </w:r>
      <w:r w:rsidR="003A1847" w:rsidRPr="004447B3">
        <w:rPr>
          <w:rFonts w:ascii="Arial" w:eastAsia="Arial" w:hAnsi="Arial" w:cs="Arial"/>
          <w:sz w:val="24"/>
          <w:szCs w:val="24"/>
        </w:rPr>
        <w:t>PAJA</w:t>
      </w:r>
      <w:r w:rsidR="004941EF" w:rsidRPr="004447B3">
        <w:rPr>
          <w:rFonts w:ascii="Arial" w:eastAsia="Arial" w:hAnsi="Arial" w:cs="Arial"/>
          <w:sz w:val="24"/>
          <w:szCs w:val="24"/>
        </w:rPr>
        <w:t>.</w:t>
      </w:r>
      <w:r w:rsidR="00FF5F75" w:rsidRPr="004447B3">
        <w:rPr>
          <w:rFonts w:ascii="Arial" w:eastAsia="Arial" w:hAnsi="Arial" w:cs="Arial"/>
          <w:sz w:val="24"/>
          <w:szCs w:val="24"/>
        </w:rPr>
        <w:t xml:space="preserve"> Under PAJA,</w:t>
      </w:r>
      <w:r w:rsidR="00E95599" w:rsidRPr="004447B3">
        <w:rPr>
          <w:rFonts w:ascii="Arial" w:eastAsia="Arial" w:hAnsi="Arial" w:cs="Arial"/>
          <w:sz w:val="24"/>
          <w:szCs w:val="24"/>
        </w:rPr>
        <w:t xml:space="preserve"> </w:t>
      </w:r>
      <w:r w:rsidR="00FF7D8E" w:rsidRPr="004447B3">
        <w:rPr>
          <w:rFonts w:ascii="Arial" w:eastAsia="Arial" w:hAnsi="Arial" w:cs="Arial"/>
          <w:sz w:val="24"/>
          <w:szCs w:val="24"/>
        </w:rPr>
        <w:t>the notion of a ‘right’</w:t>
      </w:r>
      <w:r w:rsidR="007D5E12" w:rsidRPr="004447B3">
        <w:rPr>
          <w:rFonts w:ascii="Arial" w:eastAsia="Arial" w:hAnsi="Arial" w:cs="Arial"/>
          <w:sz w:val="24"/>
          <w:szCs w:val="24"/>
        </w:rPr>
        <w:t>,</w:t>
      </w:r>
      <w:r w:rsidR="00FF7D8E" w:rsidRPr="004447B3">
        <w:rPr>
          <w:rFonts w:ascii="Arial" w:eastAsia="Arial" w:hAnsi="Arial" w:cs="Arial"/>
          <w:sz w:val="24"/>
          <w:szCs w:val="24"/>
        </w:rPr>
        <w:t xml:space="preserve"> has</w:t>
      </w:r>
      <w:r w:rsidR="004941EF" w:rsidRPr="004447B3">
        <w:rPr>
          <w:rFonts w:ascii="Arial" w:eastAsia="Arial" w:hAnsi="Arial" w:cs="Arial"/>
          <w:sz w:val="24"/>
          <w:szCs w:val="24"/>
        </w:rPr>
        <w:t xml:space="preserve"> to be interpreted </w:t>
      </w:r>
      <w:r w:rsidR="00ED658C" w:rsidRPr="004447B3">
        <w:rPr>
          <w:rFonts w:ascii="Arial" w:eastAsia="Arial" w:hAnsi="Arial" w:cs="Arial"/>
          <w:sz w:val="24"/>
          <w:szCs w:val="24"/>
        </w:rPr>
        <w:t>‘generously’ for purposes of s</w:t>
      </w:r>
      <w:r w:rsidR="00AB41CD" w:rsidRPr="004447B3">
        <w:rPr>
          <w:rFonts w:ascii="Arial" w:eastAsia="Arial" w:hAnsi="Arial" w:cs="Arial"/>
          <w:sz w:val="24"/>
          <w:szCs w:val="24"/>
        </w:rPr>
        <w:t xml:space="preserve"> </w:t>
      </w:r>
      <w:r w:rsidR="00ED658C" w:rsidRPr="004447B3">
        <w:rPr>
          <w:rFonts w:ascii="Arial" w:eastAsia="Arial" w:hAnsi="Arial" w:cs="Arial"/>
          <w:sz w:val="24"/>
          <w:szCs w:val="24"/>
        </w:rPr>
        <w:t>3</w:t>
      </w:r>
      <w:r w:rsidR="00AB41CD" w:rsidRPr="004447B3">
        <w:rPr>
          <w:rFonts w:ascii="Arial" w:eastAsia="Arial" w:hAnsi="Arial" w:cs="Arial"/>
          <w:sz w:val="24"/>
          <w:szCs w:val="24"/>
        </w:rPr>
        <w:t>(</w:t>
      </w:r>
      <w:r w:rsidR="00ED658C" w:rsidRPr="004447B3">
        <w:rPr>
          <w:rFonts w:ascii="Arial" w:eastAsia="Arial" w:hAnsi="Arial" w:cs="Arial"/>
          <w:sz w:val="24"/>
          <w:szCs w:val="24"/>
        </w:rPr>
        <w:t>1) and as such</w:t>
      </w:r>
      <w:r w:rsidR="00FF7D8E" w:rsidRPr="004447B3">
        <w:rPr>
          <w:rFonts w:ascii="Arial" w:eastAsia="Arial" w:hAnsi="Arial" w:cs="Arial"/>
          <w:sz w:val="24"/>
          <w:szCs w:val="24"/>
        </w:rPr>
        <w:t>,</w:t>
      </w:r>
      <w:r w:rsidR="00ED658C" w:rsidRPr="004447B3">
        <w:rPr>
          <w:rFonts w:ascii="Arial" w:eastAsia="Arial" w:hAnsi="Arial" w:cs="Arial"/>
          <w:sz w:val="24"/>
          <w:szCs w:val="24"/>
        </w:rPr>
        <w:t xml:space="preserve"> </w:t>
      </w:r>
      <w:r w:rsidR="00FF5F75" w:rsidRPr="004447B3">
        <w:rPr>
          <w:rFonts w:ascii="Arial" w:eastAsia="Arial" w:hAnsi="Arial" w:cs="Arial"/>
          <w:sz w:val="24"/>
          <w:szCs w:val="24"/>
        </w:rPr>
        <w:t xml:space="preserve">the interpretation is </w:t>
      </w:r>
      <w:r w:rsidR="00FF7D8E" w:rsidRPr="004447B3">
        <w:rPr>
          <w:rFonts w:ascii="Arial" w:eastAsia="Arial" w:hAnsi="Arial" w:cs="Arial"/>
          <w:sz w:val="24"/>
          <w:szCs w:val="24"/>
        </w:rPr>
        <w:t>wider than</w:t>
      </w:r>
      <w:r w:rsidR="00ED658C" w:rsidRPr="004447B3">
        <w:rPr>
          <w:rFonts w:ascii="Arial" w:eastAsia="Arial" w:hAnsi="Arial" w:cs="Arial"/>
          <w:sz w:val="24"/>
          <w:szCs w:val="24"/>
        </w:rPr>
        <w:t xml:space="preserve"> </w:t>
      </w:r>
      <w:r w:rsidR="007D5E12" w:rsidRPr="004447B3">
        <w:rPr>
          <w:rFonts w:ascii="Arial" w:eastAsia="Arial" w:hAnsi="Arial" w:cs="Arial"/>
          <w:sz w:val="24"/>
          <w:szCs w:val="24"/>
        </w:rPr>
        <w:t xml:space="preserve">the approach </w:t>
      </w:r>
      <w:r w:rsidR="00ED658C" w:rsidRPr="004447B3">
        <w:rPr>
          <w:rFonts w:ascii="Arial" w:eastAsia="Arial" w:hAnsi="Arial" w:cs="Arial"/>
          <w:sz w:val="24"/>
          <w:szCs w:val="24"/>
        </w:rPr>
        <w:t>that</w:t>
      </w:r>
      <w:r w:rsidR="007D5E12" w:rsidRPr="004447B3">
        <w:rPr>
          <w:rFonts w:ascii="Arial" w:eastAsia="Arial" w:hAnsi="Arial" w:cs="Arial"/>
          <w:sz w:val="24"/>
          <w:szCs w:val="24"/>
        </w:rPr>
        <w:t xml:space="preserve"> is</w:t>
      </w:r>
      <w:r w:rsidR="00ED658C" w:rsidRPr="004447B3">
        <w:rPr>
          <w:rFonts w:ascii="Arial" w:eastAsia="Arial" w:hAnsi="Arial" w:cs="Arial"/>
          <w:sz w:val="24"/>
          <w:szCs w:val="24"/>
        </w:rPr>
        <w:t xml:space="preserve"> applied in private law, taking into account the public law relationship </w:t>
      </w:r>
      <w:r w:rsidR="00FF7D8E" w:rsidRPr="004447B3">
        <w:rPr>
          <w:rFonts w:ascii="Arial" w:eastAsia="Arial" w:hAnsi="Arial" w:cs="Arial"/>
          <w:sz w:val="24"/>
          <w:szCs w:val="24"/>
        </w:rPr>
        <w:t xml:space="preserve">that is </w:t>
      </w:r>
      <w:r w:rsidR="00ED658C" w:rsidRPr="004447B3">
        <w:rPr>
          <w:rFonts w:ascii="Arial" w:eastAsia="Arial" w:hAnsi="Arial" w:cs="Arial"/>
          <w:sz w:val="24"/>
          <w:szCs w:val="24"/>
        </w:rPr>
        <w:t>at hand.</w:t>
      </w:r>
      <w:r w:rsidR="00ED658C" w:rsidRPr="001279DB">
        <w:rPr>
          <w:rStyle w:val="FootnoteReference"/>
          <w:rFonts w:ascii="Arial" w:eastAsia="Arial" w:hAnsi="Arial" w:cs="Arial"/>
          <w:sz w:val="24"/>
          <w:szCs w:val="24"/>
        </w:rPr>
        <w:footnoteReference w:id="19"/>
      </w:r>
      <w:r w:rsidR="00DC7116" w:rsidRPr="004447B3">
        <w:rPr>
          <w:rFonts w:ascii="Arial" w:eastAsia="Arial" w:hAnsi="Arial" w:cs="Arial"/>
          <w:sz w:val="24"/>
          <w:szCs w:val="24"/>
        </w:rPr>
        <w:t xml:space="preserve"> </w:t>
      </w:r>
      <w:r w:rsidR="00B93DE7" w:rsidRPr="004447B3">
        <w:rPr>
          <w:rFonts w:ascii="Arial" w:eastAsia="Arial" w:hAnsi="Arial" w:cs="Arial"/>
          <w:sz w:val="24"/>
          <w:szCs w:val="24"/>
        </w:rPr>
        <w:t>The Municipality has a public law duty</w:t>
      </w:r>
      <w:r w:rsidR="00E77115" w:rsidRPr="004447B3">
        <w:rPr>
          <w:rFonts w:ascii="Arial" w:eastAsia="Arial" w:hAnsi="Arial" w:cs="Arial"/>
          <w:sz w:val="24"/>
          <w:szCs w:val="24"/>
        </w:rPr>
        <w:t xml:space="preserve"> and through just administration</w:t>
      </w:r>
      <w:r w:rsidR="007D5E12" w:rsidRPr="004447B3">
        <w:rPr>
          <w:rFonts w:ascii="Arial" w:eastAsia="Arial" w:hAnsi="Arial" w:cs="Arial"/>
          <w:sz w:val="24"/>
          <w:szCs w:val="24"/>
        </w:rPr>
        <w:t>,</w:t>
      </w:r>
      <w:r w:rsidR="00B93DE7" w:rsidRPr="004447B3">
        <w:rPr>
          <w:rFonts w:ascii="Arial" w:eastAsia="Arial" w:hAnsi="Arial" w:cs="Arial"/>
          <w:sz w:val="24"/>
          <w:szCs w:val="24"/>
        </w:rPr>
        <w:t xml:space="preserve"> </w:t>
      </w:r>
      <w:r w:rsidR="007D5E12" w:rsidRPr="004447B3">
        <w:rPr>
          <w:rFonts w:ascii="Arial" w:eastAsia="Arial" w:hAnsi="Arial" w:cs="Arial"/>
          <w:sz w:val="24"/>
          <w:szCs w:val="24"/>
        </w:rPr>
        <w:t>should</w:t>
      </w:r>
      <w:r w:rsidR="00B93DE7" w:rsidRPr="004447B3">
        <w:rPr>
          <w:rFonts w:ascii="Arial" w:eastAsia="Arial" w:hAnsi="Arial" w:cs="Arial"/>
          <w:sz w:val="24"/>
          <w:szCs w:val="24"/>
        </w:rPr>
        <w:t xml:space="preserve"> supply electricity to its </w:t>
      </w:r>
      <w:r w:rsidR="00347C00" w:rsidRPr="004447B3">
        <w:rPr>
          <w:rFonts w:ascii="Arial" w:eastAsia="Arial" w:hAnsi="Arial" w:cs="Arial"/>
          <w:sz w:val="24"/>
          <w:szCs w:val="24"/>
        </w:rPr>
        <w:t>constituents</w:t>
      </w:r>
      <w:r w:rsidR="00E77115" w:rsidRPr="004447B3">
        <w:rPr>
          <w:rFonts w:ascii="Arial" w:eastAsia="Arial" w:hAnsi="Arial" w:cs="Arial"/>
          <w:sz w:val="24"/>
          <w:szCs w:val="24"/>
        </w:rPr>
        <w:t xml:space="preserve">, </w:t>
      </w:r>
      <w:r w:rsidR="00DA4793" w:rsidRPr="004447B3">
        <w:rPr>
          <w:rFonts w:ascii="Arial" w:eastAsia="Arial" w:hAnsi="Arial" w:cs="Arial"/>
          <w:sz w:val="24"/>
          <w:szCs w:val="24"/>
        </w:rPr>
        <w:t xml:space="preserve">the </w:t>
      </w:r>
      <w:r w:rsidR="00347C00" w:rsidRPr="004447B3">
        <w:rPr>
          <w:rFonts w:ascii="Arial" w:eastAsia="Arial" w:hAnsi="Arial" w:cs="Arial"/>
          <w:sz w:val="24"/>
          <w:szCs w:val="24"/>
        </w:rPr>
        <w:t>unlawful occupier</w:t>
      </w:r>
      <w:r w:rsidR="00E77115" w:rsidRPr="004447B3">
        <w:rPr>
          <w:rFonts w:ascii="Arial" w:eastAsia="Arial" w:hAnsi="Arial" w:cs="Arial"/>
          <w:sz w:val="24"/>
          <w:szCs w:val="24"/>
        </w:rPr>
        <w:t>s</w:t>
      </w:r>
      <w:r w:rsidR="00F929E0" w:rsidRPr="004447B3">
        <w:rPr>
          <w:rFonts w:ascii="Arial" w:eastAsia="Arial" w:hAnsi="Arial" w:cs="Arial"/>
          <w:sz w:val="24"/>
          <w:szCs w:val="24"/>
        </w:rPr>
        <w:t xml:space="preserve"> </w:t>
      </w:r>
      <w:r w:rsidR="00347C00" w:rsidRPr="004447B3">
        <w:rPr>
          <w:rFonts w:ascii="Arial" w:eastAsia="Arial" w:hAnsi="Arial" w:cs="Arial"/>
          <w:sz w:val="24"/>
          <w:szCs w:val="24"/>
        </w:rPr>
        <w:t xml:space="preserve">included, by virtue of the Constitution and the Municipal Systems Act. The </w:t>
      </w:r>
      <w:r w:rsidR="00E77115" w:rsidRPr="004447B3">
        <w:rPr>
          <w:rFonts w:ascii="Arial" w:eastAsia="Arial" w:hAnsi="Arial" w:cs="Arial"/>
          <w:sz w:val="24"/>
          <w:szCs w:val="24"/>
        </w:rPr>
        <w:t xml:space="preserve">corollary is that </w:t>
      </w:r>
      <w:r w:rsidR="00A05695" w:rsidRPr="004447B3">
        <w:rPr>
          <w:rFonts w:ascii="Arial" w:eastAsia="Arial" w:hAnsi="Arial" w:cs="Arial"/>
          <w:sz w:val="24"/>
          <w:szCs w:val="24"/>
        </w:rPr>
        <w:t xml:space="preserve">the </w:t>
      </w:r>
      <w:r w:rsidR="00347C00" w:rsidRPr="004447B3">
        <w:rPr>
          <w:rFonts w:ascii="Arial" w:eastAsia="Arial" w:hAnsi="Arial" w:cs="Arial"/>
          <w:sz w:val="24"/>
          <w:szCs w:val="24"/>
        </w:rPr>
        <w:t xml:space="preserve">unlawful </w:t>
      </w:r>
      <w:r w:rsidR="00E77115" w:rsidRPr="004447B3">
        <w:rPr>
          <w:rFonts w:ascii="Arial" w:eastAsia="Arial" w:hAnsi="Arial" w:cs="Arial"/>
          <w:sz w:val="24"/>
          <w:szCs w:val="24"/>
        </w:rPr>
        <w:t>o</w:t>
      </w:r>
      <w:r w:rsidR="00347C00" w:rsidRPr="004447B3">
        <w:rPr>
          <w:rFonts w:ascii="Arial" w:eastAsia="Arial" w:hAnsi="Arial" w:cs="Arial"/>
          <w:sz w:val="24"/>
          <w:szCs w:val="24"/>
        </w:rPr>
        <w:t xml:space="preserve">ccupiers have a right to </w:t>
      </w:r>
      <w:r w:rsidR="00BA0F5A" w:rsidRPr="004447B3">
        <w:rPr>
          <w:rFonts w:ascii="Arial" w:eastAsia="Arial" w:hAnsi="Arial" w:cs="Arial"/>
          <w:sz w:val="24"/>
          <w:szCs w:val="24"/>
        </w:rPr>
        <w:t xml:space="preserve">insist that the Municipality </w:t>
      </w:r>
      <w:r w:rsidR="00112C7F" w:rsidRPr="004447B3">
        <w:rPr>
          <w:rFonts w:ascii="Arial" w:eastAsia="Arial" w:hAnsi="Arial" w:cs="Arial"/>
          <w:sz w:val="24"/>
          <w:szCs w:val="24"/>
        </w:rPr>
        <w:t xml:space="preserve">should </w:t>
      </w:r>
      <w:r w:rsidR="00BA0F5A" w:rsidRPr="004447B3">
        <w:rPr>
          <w:rFonts w:ascii="Arial" w:eastAsia="Arial" w:hAnsi="Arial" w:cs="Arial"/>
          <w:sz w:val="24"/>
          <w:szCs w:val="24"/>
        </w:rPr>
        <w:t xml:space="preserve">discharge its public law duty to </w:t>
      </w:r>
      <w:r w:rsidR="00347C00" w:rsidRPr="004447B3">
        <w:rPr>
          <w:rFonts w:ascii="Arial" w:eastAsia="Arial" w:hAnsi="Arial" w:cs="Arial"/>
          <w:sz w:val="24"/>
          <w:szCs w:val="24"/>
        </w:rPr>
        <w:t>suppl</w:t>
      </w:r>
      <w:r w:rsidR="00BA0F5A" w:rsidRPr="004447B3">
        <w:rPr>
          <w:rFonts w:ascii="Arial" w:eastAsia="Arial" w:hAnsi="Arial" w:cs="Arial"/>
          <w:sz w:val="24"/>
          <w:szCs w:val="24"/>
        </w:rPr>
        <w:t xml:space="preserve">y electricity. </w:t>
      </w:r>
    </w:p>
    <w:p w14:paraId="35997B68" w14:textId="77777777" w:rsidR="007F3378" w:rsidRPr="001279DB" w:rsidRDefault="007F3378" w:rsidP="00522F18">
      <w:pPr>
        <w:pStyle w:val="ListParagraph"/>
        <w:shd w:val="clear" w:color="auto" w:fill="FFFFFF"/>
        <w:spacing w:after="0" w:line="360" w:lineRule="auto"/>
        <w:ind w:left="0" w:right="72"/>
        <w:jc w:val="both"/>
        <w:rPr>
          <w:rFonts w:ascii="Arial" w:eastAsia="Arial" w:hAnsi="Arial" w:cs="Arial"/>
          <w:sz w:val="24"/>
          <w:szCs w:val="24"/>
        </w:rPr>
      </w:pPr>
    </w:p>
    <w:p w14:paraId="5C201BC6" w14:textId="18936D38" w:rsidR="002B3E72" w:rsidRPr="004447B3" w:rsidRDefault="004447B3" w:rsidP="004447B3">
      <w:pPr>
        <w:shd w:val="clear" w:color="auto" w:fill="FFFFFF"/>
        <w:spacing w:after="0" w:line="360" w:lineRule="auto"/>
        <w:ind w:right="72"/>
        <w:jc w:val="both"/>
        <w:rPr>
          <w:rFonts w:ascii="Arial" w:eastAsia="Arial" w:hAnsi="Arial" w:cs="Arial"/>
          <w:sz w:val="24"/>
          <w:szCs w:val="24"/>
        </w:rPr>
      </w:pPr>
      <w:r w:rsidRPr="001279DB">
        <w:rPr>
          <w:rFonts w:ascii="Arial" w:eastAsia="Arial" w:hAnsi="Arial" w:cs="Arial"/>
          <w:sz w:val="24"/>
          <w:szCs w:val="24"/>
        </w:rPr>
        <w:t>[32]</w:t>
      </w:r>
      <w:r w:rsidRPr="001279DB">
        <w:rPr>
          <w:rFonts w:ascii="Arial" w:eastAsia="Arial" w:hAnsi="Arial" w:cs="Arial"/>
          <w:sz w:val="24"/>
          <w:szCs w:val="24"/>
        </w:rPr>
        <w:tab/>
      </w:r>
      <w:r w:rsidR="00BA0F5A" w:rsidRPr="004447B3">
        <w:rPr>
          <w:rFonts w:ascii="Arial" w:eastAsia="Arial" w:hAnsi="Arial" w:cs="Arial"/>
          <w:sz w:val="24"/>
          <w:szCs w:val="24"/>
        </w:rPr>
        <w:t xml:space="preserve">It is that right that will be adversely affected in this </w:t>
      </w:r>
      <w:r w:rsidR="00A05695" w:rsidRPr="004447B3">
        <w:rPr>
          <w:rFonts w:ascii="Arial" w:eastAsia="Arial" w:hAnsi="Arial" w:cs="Arial"/>
          <w:sz w:val="24"/>
          <w:szCs w:val="24"/>
        </w:rPr>
        <w:t>‘</w:t>
      </w:r>
      <w:r w:rsidR="00BA0F5A" w:rsidRPr="004447B3">
        <w:rPr>
          <w:rFonts w:ascii="Arial" w:eastAsia="Arial" w:hAnsi="Arial" w:cs="Arial"/>
          <w:sz w:val="24"/>
          <w:szCs w:val="24"/>
        </w:rPr>
        <w:t xml:space="preserve">special cluster </w:t>
      </w:r>
      <w:r w:rsidR="00065D4B" w:rsidRPr="004447B3">
        <w:rPr>
          <w:rFonts w:ascii="Arial" w:eastAsia="Arial" w:hAnsi="Arial" w:cs="Arial"/>
          <w:sz w:val="24"/>
          <w:szCs w:val="24"/>
        </w:rPr>
        <w:t xml:space="preserve">of </w:t>
      </w:r>
      <w:r w:rsidR="00BA0F5A" w:rsidRPr="004447B3">
        <w:rPr>
          <w:rFonts w:ascii="Arial" w:eastAsia="Arial" w:hAnsi="Arial" w:cs="Arial"/>
          <w:sz w:val="24"/>
          <w:szCs w:val="24"/>
        </w:rPr>
        <w:t>relationship</w:t>
      </w:r>
      <w:r w:rsidR="00065D4B" w:rsidRPr="004447B3">
        <w:rPr>
          <w:rFonts w:ascii="Arial" w:eastAsia="Arial" w:hAnsi="Arial" w:cs="Arial"/>
          <w:sz w:val="24"/>
          <w:szCs w:val="24"/>
        </w:rPr>
        <w:t>s</w:t>
      </w:r>
      <w:r w:rsidR="00A05695" w:rsidRPr="004447B3">
        <w:rPr>
          <w:rFonts w:ascii="Arial" w:eastAsia="Arial" w:hAnsi="Arial" w:cs="Arial"/>
          <w:sz w:val="24"/>
          <w:szCs w:val="24"/>
        </w:rPr>
        <w:t>’</w:t>
      </w:r>
      <w:r w:rsidR="00BA0F5A" w:rsidRPr="004447B3">
        <w:rPr>
          <w:rFonts w:ascii="Arial" w:eastAsia="Arial" w:hAnsi="Arial" w:cs="Arial"/>
          <w:sz w:val="24"/>
          <w:szCs w:val="24"/>
        </w:rPr>
        <w:t xml:space="preserve">, which requires </w:t>
      </w:r>
      <w:r w:rsidR="00B311B6" w:rsidRPr="004447B3">
        <w:rPr>
          <w:rFonts w:ascii="Arial" w:eastAsia="Arial" w:hAnsi="Arial" w:cs="Arial"/>
          <w:sz w:val="24"/>
          <w:szCs w:val="24"/>
        </w:rPr>
        <w:t xml:space="preserve">that </w:t>
      </w:r>
      <w:r w:rsidR="00BA0F5A" w:rsidRPr="004447B3">
        <w:rPr>
          <w:rFonts w:ascii="Arial" w:eastAsia="Arial" w:hAnsi="Arial" w:cs="Arial"/>
          <w:sz w:val="24"/>
          <w:szCs w:val="24"/>
        </w:rPr>
        <w:t>the unlawful occupiers be joined to the proceedings</w:t>
      </w:r>
      <w:r w:rsidR="007D5E12" w:rsidRPr="004447B3">
        <w:rPr>
          <w:rFonts w:ascii="Arial" w:eastAsia="Arial" w:hAnsi="Arial" w:cs="Arial"/>
          <w:sz w:val="24"/>
          <w:szCs w:val="24"/>
        </w:rPr>
        <w:t>.</w:t>
      </w:r>
      <w:r w:rsidR="00BA0F5A" w:rsidRPr="004447B3">
        <w:rPr>
          <w:rFonts w:ascii="Arial" w:eastAsia="Arial" w:hAnsi="Arial" w:cs="Arial"/>
          <w:sz w:val="24"/>
          <w:szCs w:val="24"/>
        </w:rPr>
        <w:t xml:space="preserve"> </w:t>
      </w:r>
      <w:r w:rsidR="007D5E12" w:rsidRPr="004447B3">
        <w:rPr>
          <w:rFonts w:ascii="Arial" w:eastAsia="Arial" w:hAnsi="Arial" w:cs="Arial"/>
          <w:sz w:val="24"/>
          <w:szCs w:val="24"/>
        </w:rPr>
        <w:t>This is bec</w:t>
      </w:r>
      <w:r w:rsidR="00BA0F5A" w:rsidRPr="004447B3">
        <w:rPr>
          <w:rFonts w:ascii="Arial" w:eastAsia="Arial" w:hAnsi="Arial" w:cs="Arial"/>
          <w:sz w:val="24"/>
          <w:szCs w:val="24"/>
        </w:rPr>
        <w:t>a</w:t>
      </w:r>
      <w:r w:rsidR="007D5E12" w:rsidRPr="004447B3">
        <w:rPr>
          <w:rFonts w:ascii="Arial" w:eastAsia="Arial" w:hAnsi="Arial" w:cs="Arial"/>
          <w:sz w:val="24"/>
          <w:szCs w:val="24"/>
        </w:rPr>
        <w:t>u</w:t>
      </w:r>
      <w:r w:rsidR="00BA0F5A" w:rsidRPr="004447B3">
        <w:rPr>
          <w:rFonts w:ascii="Arial" w:eastAsia="Arial" w:hAnsi="Arial" w:cs="Arial"/>
          <w:sz w:val="24"/>
          <w:szCs w:val="24"/>
        </w:rPr>
        <w:t>s</w:t>
      </w:r>
      <w:r w:rsidR="007D5E12" w:rsidRPr="004447B3">
        <w:rPr>
          <w:rFonts w:ascii="Arial" w:eastAsia="Arial" w:hAnsi="Arial" w:cs="Arial"/>
          <w:sz w:val="24"/>
          <w:szCs w:val="24"/>
        </w:rPr>
        <w:t>e</w:t>
      </w:r>
      <w:r w:rsidR="00BA0F5A" w:rsidRPr="004447B3">
        <w:rPr>
          <w:rFonts w:ascii="Arial" w:eastAsia="Arial" w:hAnsi="Arial" w:cs="Arial"/>
          <w:sz w:val="24"/>
          <w:szCs w:val="24"/>
        </w:rPr>
        <w:t xml:space="preserve"> they have a direct</w:t>
      </w:r>
      <w:r w:rsidR="00FF5F75" w:rsidRPr="004447B3">
        <w:rPr>
          <w:rFonts w:ascii="Arial" w:eastAsia="Arial" w:hAnsi="Arial" w:cs="Arial"/>
          <w:sz w:val="24"/>
          <w:szCs w:val="24"/>
        </w:rPr>
        <w:t>,</w:t>
      </w:r>
      <w:r w:rsidR="00BA0F5A" w:rsidRPr="004447B3">
        <w:rPr>
          <w:rFonts w:ascii="Arial" w:eastAsia="Arial" w:hAnsi="Arial" w:cs="Arial"/>
          <w:sz w:val="24"/>
          <w:szCs w:val="24"/>
        </w:rPr>
        <w:t xml:space="preserve"> </w:t>
      </w:r>
      <w:r w:rsidR="00FF5F75" w:rsidRPr="004447B3">
        <w:rPr>
          <w:rFonts w:ascii="Arial" w:eastAsia="Arial" w:hAnsi="Arial" w:cs="Arial"/>
          <w:sz w:val="24"/>
          <w:szCs w:val="24"/>
        </w:rPr>
        <w:t xml:space="preserve">substantial and legal </w:t>
      </w:r>
      <w:r w:rsidR="00BA0F5A" w:rsidRPr="004447B3">
        <w:rPr>
          <w:rFonts w:ascii="Arial" w:eastAsia="Arial" w:hAnsi="Arial" w:cs="Arial"/>
          <w:sz w:val="24"/>
          <w:szCs w:val="24"/>
        </w:rPr>
        <w:t xml:space="preserve">interest </w:t>
      </w:r>
      <w:r w:rsidR="00556D5D" w:rsidRPr="004447B3">
        <w:rPr>
          <w:rFonts w:ascii="Arial" w:eastAsia="Arial" w:hAnsi="Arial" w:cs="Arial"/>
          <w:sz w:val="24"/>
          <w:szCs w:val="24"/>
        </w:rPr>
        <w:t xml:space="preserve">that </w:t>
      </w:r>
      <w:r w:rsidR="00BA0F5A" w:rsidRPr="004447B3">
        <w:rPr>
          <w:rFonts w:ascii="Arial" w:eastAsia="Arial" w:hAnsi="Arial" w:cs="Arial"/>
          <w:sz w:val="24"/>
          <w:szCs w:val="24"/>
        </w:rPr>
        <w:t>is affected by the order made</w:t>
      </w:r>
      <w:r w:rsidR="00556D5D" w:rsidRPr="004447B3">
        <w:rPr>
          <w:rFonts w:ascii="Arial" w:eastAsia="Arial" w:hAnsi="Arial" w:cs="Arial"/>
          <w:sz w:val="24"/>
          <w:szCs w:val="24"/>
        </w:rPr>
        <w:t xml:space="preserve"> by the high </w:t>
      </w:r>
      <w:r w:rsidR="0079097E" w:rsidRPr="004447B3">
        <w:rPr>
          <w:rFonts w:ascii="Arial" w:eastAsia="Arial" w:hAnsi="Arial" w:cs="Arial"/>
          <w:sz w:val="24"/>
          <w:szCs w:val="24"/>
        </w:rPr>
        <w:t>court. The high court was bound to consider the issue of non-joinder and ought to have come to the conclusion that it was necessary that Lehlaka should have joined the unlawful occupiers</w:t>
      </w:r>
      <w:r w:rsidR="00701645" w:rsidRPr="004447B3">
        <w:rPr>
          <w:rFonts w:ascii="Arial" w:eastAsia="Arial" w:hAnsi="Arial" w:cs="Arial"/>
          <w:sz w:val="24"/>
          <w:szCs w:val="24"/>
        </w:rPr>
        <w:t>,</w:t>
      </w:r>
      <w:r w:rsidR="0079097E" w:rsidRPr="004447B3">
        <w:rPr>
          <w:rFonts w:ascii="Arial" w:eastAsia="Arial" w:hAnsi="Arial" w:cs="Arial"/>
          <w:sz w:val="24"/>
          <w:szCs w:val="24"/>
        </w:rPr>
        <w:t xml:space="preserve"> and it did </w:t>
      </w:r>
      <w:r w:rsidR="00550EE7" w:rsidRPr="004447B3">
        <w:rPr>
          <w:rFonts w:ascii="Arial" w:eastAsia="Arial" w:hAnsi="Arial" w:cs="Arial"/>
          <w:sz w:val="24"/>
          <w:szCs w:val="24"/>
        </w:rPr>
        <w:t>not. For</w:t>
      </w:r>
      <w:r w:rsidR="0079097E" w:rsidRPr="004447B3">
        <w:rPr>
          <w:rFonts w:ascii="Arial" w:eastAsia="Arial" w:hAnsi="Arial" w:cs="Arial"/>
          <w:sz w:val="24"/>
          <w:szCs w:val="24"/>
        </w:rPr>
        <w:t xml:space="preserve"> this, it erred materially. </w:t>
      </w:r>
      <w:r w:rsidR="00E95599" w:rsidRPr="004447B3">
        <w:rPr>
          <w:rFonts w:ascii="Arial" w:eastAsia="Arial" w:hAnsi="Arial" w:cs="Arial"/>
          <w:sz w:val="24"/>
          <w:szCs w:val="24"/>
        </w:rPr>
        <w:t xml:space="preserve">The converse is true that the Municipality has succeeded to show that the unlawful occupiers have </w:t>
      </w:r>
      <w:r w:rsidR="00E95599" w:rsidRPr="004447B3">
        <w:rPr>
          <w:rFonts w:ascii="Arial" w:hAnsi="Arial" w:cs="Arial"/>
          <w:sz w:val="24"/>
          <w:szCs w:val="24"/>
        </w:rPr>
        <w:t>a direct</w:t>
      </w:r>
      <w:r w:rsidR="00FF5F75" w:rsidRPr="004447B3">
        <w:rPr>
          <w:rFonts w:ascii="Arial" w:hAnsi="Arial" w:cs="Arial"/>
          <w:sz w:val="24"/>
          <w:szCs w:val="24"/>
        </w:rPr>
        <w:t>,</w:t>
      </w:r>
      <w:r w:rsidR="00E95599" w:rsidRPr="004447B3">
        <w:rPr>
          <w:rFonts w:ascii="Arial" w:hAnsi="Arial" w:cs="Arial"/>
          <w:sz w:val="24"/>
          <w:szCs w:val="24"/>
        </w:rPr>
        <w:t xml:space="preserve"> substantial</w:t>
      </w:r>
      <w:r w:rsidR="00FF5F75" w:rsidRPr="004447B3">
        <w:rPr>
          <w:rFonts w:ascii="Arial" w:hAnsi="Arial" w:cs="Arial"/>
          <w:sz w:val="24"/>
          <w:szCs w:val="24"/>
        </w:rPr>
        <w:t xml:space="preserve"> and legal</w:t>
      </w:r>
      <w:r w:rsidR="00E95599" w:rsidRPr="004447B3">
        <w:rPr>
          <w:rFonts w:ascii="Arial" w:hAnsi="Arial" w:cs="Arial"/>
          <w:sz w:val="24"/>
          <w:szCs w:val="24"/>
        </w:rPr>
        <w:t xml:space="preserve"> interest in the subject matter of the litigation which may prejudice them as parties that have not been joined.</w:t>
      </w:r>
      <w:r w:rsidR="00FF5F75" w:rsidRPr="004447B3">
        <w:rPr>
          <w:rFonts w:ascii="Arial" w:hAnsi="Arial" w:cs="Arial"/>
          <w:sz w:val="24"/>
          <w:szCs w:val="24"/>
        </w:rPr>
        <w:t xml:space="preserve"> Thus, it satisfied the test set out by this Court in </w:t>
      </w:r>
      <w:r w:rsidR="00FF5F75" w:rsidRPr="004447B3">
        <w:rPr>
          <w:rFonts w:ascii="Arial" w:hAnsi="Arial" w:cs="Arial"/>
          <w:i/>
          <w:sz w:val="24"/>
          <w:szCs w:val="24"/>
        </w:rPr>
        <w:t>Absa Bank Ltd v Naude NO</w:t>
      </w:r>
      <w:r w:rsidR="00FF5F75" w:rsidRPr="004447B3">
        <w:rPr>
          <w:rFonts w:ascii="Arial" w:hAnsi="Arial" w:cs="Arial"/>
          <w:sz w:val="24"/>
          <w:szCs w:val="24"/>
        </w:rPr>
        <w:t>.</w:t>
      </w:r>
      <w:r w:rsidR="00E95599" w:rsidRPr="004447B3">
        <w:rPr>
          <w:rFonts w:ascii="Arial" w:hAnsi="Arial" w:cs="Arial"/>
          <w:sz w:val="24"/>
          <w:szCs w:val="24"/>
        </w:rPr>
        <w:t xml:space="preserve"> </w:t>
      </w:r>
      <w:r w:rsidR="0079097E" w:rsidRPr="004447B3">
        <w:rPr>
          <w:rFonts w:ascii="Arial" w:eastAsia="Arial" w:hAnsi="Arial" w:cs="Arial"/>
          <w:sz w:val="24"/>
          <w:szCs w:val="24"/>
        </w:rPr>
        <w:t>For this reason alone, the appeal ought to succeed.</w:t>
      </w:r>
    </w:p>
    <w:p w14:paraId="56D65059" w14:textId="77777777" w:rsidR="007B661E" w:rsidRPr="001279DB" w:rsidRDefault="007B661E" w:rsidP="002941CC">
      <w:pPr>
        <w:pStyle w:val="ListParagraph"/>
        <w:spacing w:after="0" w:line="360" w:lineRule="auto"/>
        <w:rPr>
          <w:rFonts w:ascii="Arial" w:eastAsia="Arial" w:hAnsi="Arial" w:cs="Arial"/>
          <w:sz w:val="24"/>
          <w:szCs w:val="24"/>
        </w:rPr>
      </w:pPr>
    </w:p>
    <w:p w14:paraId="2D7EE394" w14:textId="77777777" w:rsidR="00F238B8" w:rsidRPr="001279DB" w:rsidRDefault="00F238B8" w:rsidP="00F238B8">
      <w:pPr>
        <w:shd w:val="clear" w:color="auto" w:fill="FFFFFF"/>
        <w:spacing w:after="0" w:line="360" w:lineRule="auto"/>
        <w:ind w:right="72"/>
        <w:jc w:val="both"/>
        <w:rPr>
          <w:rFonts w:ascii="Arial" w:eastAsia="Arial" w:hAnsi="Arial" w:cs="Arial"/>
          <w:b/>
          <w:sz w:val="24"/>
          <w:szCs w:val="24"/>
        </w:rPr>
      </w:pPr>
      <w:r w:rsidRPr="001279DB">
        <w:rPr>
          <w:rFonts w:ascii="Arial" w:eastAsia="Arial" w:hAnsi="Arial" w:cs="Arial"/>
          <w:b/>
          <w:sz w:val="24"/>
          <w:szCs w:val="24"/>
        </w:rPr>
        <w:lastRenderedPageBreak/>
        <w:t>Conclusion</w:t>
      </w:r>
    </w:p>
    <w:p w14:paraId="77ED638D" w14:textId="60A5AF68" w:rsidR="00F238B8" w:rsidRPr="004447B3" w:rsidRDefault="004447B3" w:rsidP="004447B3">
      <w:pPr>
        <w:shd w:val="clear" w:color="auto" w:fill="FFFFFF"/>
        <w:spacing w:after="0" w:line="360" w:lineRule="auto"/>
        <w:ind w:right="72"/>
        <w:jc w:val="both"/>
        <w:rPr>
          <w:rFonts w:ascii="Arial" w:eastAsia="Arial" w:hAnsi="Arial" w:cs="Arial"/>
          <w:sz w:val="24"/>
          <w:szCs w:val="24"/>
        </w:rPr>
      </w:pPr>
      <w:r w:rsidRPr="002941CC">
        <w:rPr>
          <w:rFonts w:ascii="Arial" w:eastAsia="Arial" w:hAnsi="Arial" w:cs="Arial"/>
          <w:sz w:val="24"/>
          <w:szCs w:val="24"/>
        </w:rPr>
        <w:t>[33]</w:t>
      </w:r>
      <w:r w:rsidRPr="002941CC">
        <w:rPr>
          <w:rFonts w:ascii="Arial" w:eastAsia="Arial" w:hAnsi="Arial" w:cs="Arial"/>
          <w:sz w:val="24"/>
          <w:szCs w:val="24"/>
        </w:rPr>
        <w:tab/>
      </w:r>
      <w:r w:rsidR="00F238B8" w:rsidRPr="004447B3">
        <w:rPr>
          <w:rFonts w:ascii="Arial" w:eastAsia="Arial" w:hAnsi="Arial" w:cs="Arial"/>
          <w:sz w:val="24"/>
          <w:szCs w:val="24"/>
        </w:rPr>
        <w:t xml:space="preserve">I have had the benefit of reading the third judgment, in support of the second judgment, penned by Siwendu AJA, who wrote separately on two issues which are addressed extensively in both the first and the second judgment. These issues are </w:t>
      </w:r>
      <w:r w:rsidR="00827569" w:rsidRPr="004447B3">
        <w:rPr>
          <w:rFonts w:ascii="Arial" w:eastAsia="Arial" w:hAnsi="Arial" w:cs="Arial"/>
          <w:sz w:val="24"/>
          <w:szCs w:val="24"/>
        </w:rPr>
        <w:t xml:space="preserve">first, the issue of </w:t>
      </w:r>
      <w:r w:rsidR="00F238B8" w:rsidRPr="004447B3">
        <w:rPr>
          <w:rFonts w:ascii="Arial" w:eastAsia="Arial" w:hAnsi="Arial" w:cs="Arial"/>
          <w:sz w:val="24"/>
          <w:szCs w:val="24"/>
        </w:rPr>
        <w:t>non-joinder</w:t>
      </w:r>
      <w:r w:rsidR="00827569" w:rsidRPr="004447B3">
        <w:rPr>
          <w:rFonts w:ascii="Arial" w:eastAsia="Arial" w:hAnsi="Arial" w:cs="Arial"/>
          <w:sz w:val="24"/>
          <w:szCs w:val="24"/>
        </w:rPr>
        <w:t>;</w:t>
      </w:r>
      <w:r w:rsidR="00F238B8" w:rsidRPr="004447B3">
        <w:rPr>
          <w:rFonts w:ascii="Arial" w:eastAsia="Arial" w:hAnsi="Arial" w:cs="Arial"/>
          <w:sz w:val="24"/>
          <w:szCs w:val="24"/>
        </w:rPr>
        <w:t xml:space="preserve"> and </w:t>
      </w:r>
      <w:r w:rsidR="00827569" w:rsidRPr="004447B3">
        <w:rPr>
          <w:rFonts w:ascii="Arial" w:eastAsia="Arial" w:hAnsi="Arial" w:cs="Arial"/>
          <w:sz w:val="24"/>
          <w:szCs w:val="24"/>
        </w:rPr>
        <w:t xml:space="preserve">second, </w:t>
      </w:r>
      <w:r w:rsidR="00F238B8" w:rsidRPr="004447B3">
        <w:rPr>
          <w:rFonts w:ascii="Arial" w:eastAsia="Arial" w:hAnsi="Arial" w:cs="Arial"/>
          <w:sz w:val="24"/>
          <w:szCs w:val="24"/>
        </w:rPr>
        <w:t xml:space="preserve">what she refers to as the </w:t>
      </w:r>
      <w:r w:rsidR="00811178" w:rsidRPr="004447B3">
        <w:rPr>
          <w:rFonts w:ascii="Arial" w:eastAsia="Arial" w:hAnsi="Arial" w:cs="Arial"/>
          <w:sz w:val="24"/>
          <w:szCs w:val="24"/>
        </w:rPr>
        <w:t xml:space="preserve">purported </w:t>
      </w:r>
      <w:r w:rsidR="00F238B8" w:rsidRPr="004447B3">
        <w:rPr>
          <w:rFonts w:ascii="Arial" w:eastAsia="Arial" w:hAnsi="Arial" w:cs="Arial"/>
          <w:sz w:val="24"/>
          <w:szCs w:val="24"/>
        </w:rPr>
        <w:t xml:space="preserve">‘special cluster </w:t>
      </w:r>
      <w:r w:rsidR="007A3F59" w:rsidRPr="004447B3">
        <w:rPr>
          <w:rFonts w:ascii="Arial" w:eastAsia="Arial" w:hAnsi="Arial" w:cs="Arial"/>
          <w:sz w:val="24"/>
          <w:szCs w:val="24"/>
        </w:rPr>
        <w:t xml:space="preserve">of </w:t>
      </w:r>
      <w:r w:rsidR="00F238B8" w:rsidRPr="004447B3">
        <w:rPr>
          <w:rFonts w:ascii="Arial" w:eastAsia="Arial" w:hAnsi="Arial" w:cs="Arial"/>
          <w:sz w:val="24"/>
          <w:szCs w:val="24"/>
        </w:rPr>
        <w:t>relationship</w:t>
      </w:r>
      <w:r w:rsidR="00065D4B" w:rsidRPr="004447B3">
        <w:rPr>
          <w:rFonts w:ascii="Arial" w:eastAsia="Arial" w:hAnsi="Arial" w:cs="Arial"/>
          <w:sz w:val="24"/>
          <w:szCs w:val="24"/>
        </w:rPr>
        <w:t>s</w:t>
      </w:r>
      <w:r w:rsidR="00F238B8" w:rsidRPr="004447B3">
        <w:rPr>
          <w:rFonts w:ascii="Arial" w:eastAsia="Arial" w:hAnsi="Arial" w:cs="Arial"/>
          <w:sz w:val="24"/>
          <w:szCs w:val="24"/>
        </w:rPr>
        <w:t>'</w:t>
      </w:r>
      <w:r w:rsidR="00004589" w:rsidRPr="004447B3">
        <w:rPr>
          <w:rFonts w:ascii="Arial" w:eastAsia="Arial" w:hAnsi="Arial" w:cs="Arial"/>
          <w:sz w:val="24"/>
          <w:szCs w:val="24"/>
        </w:rPr>
        <w:t>.</w:t>
      </w:r>
      <w:r w:rsidR="00F238B8" w:rsidRPr="004447B3">
        <w:rPr>
          <w:rFonts w:ascii="Arial" w:eastAsia="Arial" w:hAnsi="Arial" w:cs="Arial"/>
          <w:sz w:val="24"/>
          <w:szCs w:val="24"/>
        </w:rPr>
        <w:t xml:space="preserve"> Siwendu AJA concludes, in respect of the first issue, that ‘[i]t would be speculative for a court to foretell what that dispute will be or express any view in</w:t>
      </w:r>
      <w:r w:rsidR="006116BD" w:rsidRPr="004447B3">
        <w:rPr>
          <w:rFonts w:ascii="Arial" w:eastAsia="Arial" w:hAnsi="Arial" w:cs="Arial"/>
          <w:sz w:val="24"/>
          <w:szCs w:val="24"/>
        </w:rPr>
        <w:t xml:space="preserve"> relation to</w:t>
      </w:r>
      <w:r w:rsidR="00F238B8" w:rsidRPr="004447B3">
        <w:rPr>
          <w:rFonts w:ascii="Arial" w:eastAsia="Arial" w:hAnsi="Arial" w:cs="Arial"/>
          <w:sz w:val="24"/>
          <w:szCs w:val="24"/>
        </w:rPr>
        <w:t xml:space="preserve"> a matter that is not yet ripe and which was not </w:t>
      </w:r>
      <w:r w:rsidR="00811178" w:rsidRPr="004447B3">
        <w:rPr>
          <w:rFonts w:ascii="Arial" w:eastAsia="Arial" w:hAnsi="Arial" w:cs="Arial"/>
          <w:sz w:val="24"/>
          <w:szCs w:val="24"/>
        </w:rPr>
        <w:t xml:space="preserve">yet </w:t>
      </w:r>
      <w:r w:rsidR="00F238B8" w:rsidRPr="004447B3">
        <w:rPr>
          <w:rFonts w:ascii="Arial" w:eastAsia="Arial" w:hAnsi="Arial" w:cs="Arial"/>
          <w:sz w:val="24"/>
          <w:szCs w:val="24"/>
        </w:rPr>
        <w:t>before the high court for adjudication</w:t>
      </w:r>
      <w:r w:rsidR="006116BD" w:rsidRPr="004447B3">
        <w:rPr>
          <w:rFonts w:ascii="Arial" w:eastAsia="Arial" w:hAnsi="Arial" w:cs="Arial"/>
          <w:sz w:val="24"/>
          <w:szCs w:val="24"/>
        </w:rPr>
        <w:t>’</w:t>
      </w:r>
      <w:r w:rsidR="00F238B8" w:rsidRPr="004447B3">
        <w:rPr>
          <w:rFonts w:ascii="Arial" w:eastAsia="Arial" w:hAnsi="Arial" w:cs="Arial"/>
          <w:sz w:val="24"/>
          <w:szCs w:val="24"/>
        </w:rPr>
        <w:t xml:space="preserve">. I have decided to express my views on this issue, of non-joinder, as it is a jurisdictional question and dispositive of the appeal, as I have already extensively dealt with in this judgment. In addition, I yet again </w:t>
      </w:r>
      <w:r w:rsidR="00065D4B" w:rsidRPr="004447B3">
        <w:rPr>
          <w:rFonts w:ascii="Arial" w:eastAsia="Arial" w:hAnsi="Arial" w:cs="Arial"/>
          <w:sz w:val="24"/>
          <w:szCs w:val="24"/>
        </w:rPr>
        <w:t xml:space="preserve">to a very limited extent </w:t>
      </w:r>
      <w:r w:rsidR="00F238B8" w:rsidRPr="004447B3">
        <w:rPr>
          <w:rFonts w:ascii="Arial" w:eastAsia="Arial" w:hAnsi="Arial" w:cs="Arial"/>
          <w:sz w:val="24"/>
          <w:szCs w:val="24"/>
        </w:rPr>
        <w:t xml:space="preserve">address, the special cluster </w:t>
      </w:r>
      <w:r w:rsidR="00065D4B" w:rsidRPr="004447B3">
        <w:rPr>
          <w:rFonts w:ascii="Arial" w:eastAsia="Arial" w:hAnsi="Arial" w:cs="Arial"/>
          <w:sz w:val="24"/>
          <w:szCs w:val="24"/>
        </w:rPr>
        <w:t xml:space="preserve">of </w:t>
      </w:r>
      <w:r w:rsidR="00F238B8" w:rsidRPr="004447B3">
        <w:rPr>
          <w:rFonts w:ascii="Arial" w:eastAsia="Arial" w:hAnsi="Arial" w:cs="Arial"/>
          <w:sz w:val="24"/>
          <w:szCs w:val="24"/>
        </w:rPr>
        <w:t>relationship</w:t>
      </w:r>
      <w:r w:rsidR="00065D4B" w:rsidRPr="004447B3">
        <w:rPr>
          <w:rFonts w:ascii="Arial" w:eastAsia="Arial" w:hAnsi="Arial" w:cs="Arial"/>
          <w:sz w:val="24"/>
          <w:szCs w:val="24"/>
        </w:rPr>
        <w:t>s</w:t>
      </w:r>
      <w:r w:rsidR="00F238B8" w:rsidRPr="004447B3">
        <w:rPr>
          <w:rFonts w:ascii="Arial" w:eastAsia="Arial" w:hAnsi="Arial" w:cs="Arial"/>
          <w:sz w:val="24"/>
          <w:szCs w:val="24"/>
        </w:rPr>
        <w:t xml:space="preserve">, to </w:t>
      </w:r>
      <w:r w:rsidR="00065D4B" w:rsidRPr="004447B3">
        <w:rPr>
          <w:rFonts w:ascii="Arial" w:eastAsia="Arial" w:hAnsi="Arial" w:cs="Arial"/>
          <w:sz w:val="24"/>
          <w:szCs w:val="24"/>
        </w:rPr>
        <w:t xml:space="preserve">underscore </w:t>
      </w:r>
      <w:r w:rsidR="00590117" w:rsidRPr="004447B3">
        <w:rPr>
          <w:rFonts w:ascii="Arial" w:eastAsia="Arial" w:hAnsi="Arial" w:cs="Arial"/>
          <w:sz w:val="24"/>
          <w:szCs w:val="24"/>
        </w:rPr>
        <w:t>its importance in resolving this appeal.</w:t>
      </w:r>
      <w:r w:rsidR="00F238B8" w:rsidRPr="004447B3">
        <w:rPr>
          <w:rFonts w:ascii="Arial" w:eastAsia="Arial" w:hAnsi="Arial" w:cs="Arial"/>
          <w:sz w:val="24"/>
          <w:szCs w:val="24"/>
        </w:rPr>
        <w:t xml:space="preserve">  </w:t>
      </w:r>
    </w:p>
    <w:p w14:paraId="691120AA" w14:textId="77777777" w:rsidR="00B85129" w:rsidRPr="001279DB" w:rsidRDefault="00B85129" w:rsidP="00B85129">
      <w:pPr>
        <w:pStyle w:val="ListParagraph"/>
        <w:shd w:val="clear" w:color="auto" w:fill="FFFFFF"/>
        <w:spacing w:after="0" w:line="360" w:lineRule="auto"/>
        <w:ind w:left="0" w:right="72"/>
        <w:jc w:val="both"/>
        <w:rPr>
          <w:rFonts w:ascii="Arial" w:eastAsia="Arial" w:hAnsi="Arial" w:cs="Arial"/>
          <w:sz w:val="24"/>
          <w:szCs w:val="24"/>
        </w:rPr>
      </w:pPr>
    </w:p>
    <w:p w14:paraId="511F111E" w14:textId="1D4141DF" w:rsidR="00F238B8" w:rsidRPr="004447B3" w:rsidRDefault="004447B3" w:rsidP="004447B3">
      <w:pPr>
        <w:shd w:val="clear" w:color="auto" w:fill="FFFFFF"/>
        <w:spacing w:after="0" w:line="360" w:lineRule="auto"/>
        <w:ind w:right="72"/>
        <w:jc w:val="both"/>
        <w:rPr>
          <w:rFonts w:ascii="Arial" w:eastAsia="Arial" w:hAnsi="Arial" w:cs="Arial"/>
          <w:sz w:val="24"/>
          <w:szCs w:val="24"/>
        </w:rPr>
      </w:pPr>
      <w:r>
        <w:rPr>
          <w:rFonts w:ascii="Arial" w:eastAsia="Arial" w:hAnsi="Arial" w:cs="Arial"/>
          <w:sz w:val="24"/>
          <w:szCs w:val="24"/>
        </w:rPr>
        <w:t>[34]</w:t>
      </w:r>
      <w:r>
        <w:rPr>
          <w:rFonts w:ascii="Arial" w:eastAsia="Arial" w:hAnsi="Arial" w:cs="Arial"/>
          <w:sz w:val="24"/>
          <w:szCs w:val="24"/>
        </w:rPr>
        <w:tab/>
      </w:r>
      <w:r w:rsidR="00F238B8" w:rsidRPr="004447B3">
        <w:rPr>
          <w:rFonts w:ascii="Arial" w:eastAsia="Arial" w:hAnsi="Arial" w:cs="Arial"/>
          <w:sz w:val="24"/>
          <w:szCs w:val="24"/>
        </w:rPr>
        <w:t>On the first issue</w:t>
      </w:r>
      <w:r w:rsidR="00345A07" w:rsidRPr="004447B3">
        <w:rPr>
          <w:rFonts w:ascii="Arial" w:eastAsia="Arial" w:hAnsi="Arial" w:cs="Arial"/>
          <w:sz w:val="24"/>
          <w:szCs w:val="24"/>
        </w:rPr>
        <w:t>,</w:t>
      </w:r>
      <w:r w:rsidR="00F238B8" w:rsidRPr="004447B3">
        <w:rPr>
          <w:rFonts w:ascii="Arial" w:eastAsia="Arial" w:hAnsi="Arial" w:cs="Arial"/>
          <w:sz w:val="24"/>
          <w:szCs w:val="24"/>
        </w:rPr>
        <w:t xml:space="preserve"> Siwendu AJA contends that ‘the source of that right, if it exists, does not lie in the present dispute about the termination of the agreement’</w:t>
      </w:r>
      <w:r w:rsidR="00345A07" w:rsidRPr="004447B3">
        <w:rPr>
          <w:rFonts w:ascii="Arial" w:eastAsia="Arial" w:hAnsi="Arial" w:cs="Arial"/>
          <w:sz w:val="24"/>
          <w:szCs w:val="24"/>
        </w:rPr>
        <w:t>.</w:t>
      </w:r>
      <w:r w:rsidR="00F238B8" w:rsidRPr="004447B3">
        <w:rPr>
          <w:rFonts w:ascii="Arial" w:eastAsia="Arial" w:hAnsi="Arial" w:cs="Arial"/>
          <w:sz w:val="24"/>
          <w:szCs w:val="24"/>
        </w:rPr>
        <w:t xml:space="preserve"> Further, that this issue was not before the high court for adjudication. I thus deem it necessary, to illustrate the correct factual position, in that the issue of the rights of the unlawful occupiers was raised in the high court.  </w:t>
      </w:r>
    </w:p>
    <w:p w14:paraId="327A9957" w14:textId="77777777" w:rsidR="00A13C82" w:rsidRPr="00A13C82" w:rsidRDefault="00A13C82" w:rsidP="00A13C82">
      <w:pPr>
        <w:pStyle w:val="ListParagraph"/>
        <w:spacing w:after="0" w:line="360" w:lineRule="auto"/>
        <w:rPr>
          <w:rFonts w:ascii="Arial" w:eastAsia="Arial" w:hAnsi="Arial" w:cs="Arial"/>
          <w:sz w:val="24"/>
          <w:szCs w:val="24"/>
        </w:rPr>
      </w:pPr>
    </w:p>
    <w:p w14:paraId="557FBDEC" w14:textId="64F81F90" w:rsidR="00F238B8" w:rsidRPr="004447B3" w:rsidRDefault="004447B3" w:rsidP="004447B3">
      <w:pPr>
        <w:shd w:val="clear" w:color="auto" w:fill="FFFFFF"/>
        <w:spacing w:after="0" w:line="360" w:lineRule="auto"/>
        <w:ind w:right="72"/>
        <w:jc w:val="both"/>
        <w:rPr>
          <w:rFonts w:ascii="Arial" w:eastAsia="Arial" w:hAnsi="Arial" w:cs="Arial"/>
          <w:sz w:val="24"/>
          <w:szCs w:val="24"/>
        </w:rPr>
      </w:pPr>
      <w:r w:rsidRPr="00A13C82">
        <w:rPr>
          <w:rFonts w:ascii="Arial" w:eastAsia="Arial" w:hAnsi="Arial" w:cs="Arial"/>
          <w:sz w:val="24"/>
          <w:szCs w:val="24"/>
        </w:rPr>
        <w:t>[35]</w:t>
      </w:r>
      <w:r w:rsidRPr="00A13C82">
        <w:rPr>
          <w:rFonts w:ascii="Arial" w:eastAsia="Arial" w:hAnsi="Arial" w:cs="Arial"/>
          <w:sz w:val="24"/>
          <w:szCs w:val="24"/>
        </w:rPr>
        <w:tab/>
      </w:r>
      <w:r w:rsidR="00B12A71" w:rsidRPr="004447B3">
        <w:rPr>
          <w:rFonts w:ascii="Arial" w:eastAsia="Arial" w:hAnsi="Arial" w:cs="Arial"/>
          <w:sz w:val="24"/>
          <w:szCs w:val="24"/>
        </w:rPr>
        <w:t xml:space="preserve">First, the Municipality raised the issue of non-joinder as one of the points </w:t>
      </w:r>
      <w:r w:rsidR="00B12A71" w:rsidRPr="004447B3">
        <w:rPr>
          <w:rFonts w:ascii="Arial" w:eastAsia="Arial" w:hAnsi="Arial" w:cs="Arial"/>
          <w:i/>
          <w:iCs/>
          <w:sz w:val="24"/>
          <w:szCs w:val="24"/>
        </w:rPr>
        <w:t>in limine</w:t>
      </w:r>
      <w:r w:rsidR="00B12A71" w:rsidRPr="004447B3">
        <w:rPr>
          <w:rFonts w:ascii="Arial" w:eastAsia="Arial" w:hAnsi="Arial" w:cs="Arial"/>
          <w:sz w:val="24"/>
          <w:szCs w:val="24"/>
        </w:rPr>
        <w:t xml:space="preserve">, the third point </w:t>
      </w:r>
      <w:r w:rsidR="00B12A71" w:rsidRPr="004447B3">
        <w:rPr>
          <w:rFonts w:ascii="Arial" w:eastAsia="Arial" w:hAnsi="Arial" w:cs="Arial"/>
          <w:i/>
          <w:iCs/>
          <w:sz w:val="24"/>
          <w:szCs w:val="24"/>
        </w:rPr>
        <w:t>in limine</w:t>
      </w:r>
      <w:r w:rsidR="00B12A71" w:rsidRPr="004447B3">
        <w:rPr>
          <w:rFonts w:ascii="Arial" w:eastAsia="Arial" w:hAnsi="Arial" w:cs="Arial"/>
          <w:sz w:val="24"/>
          <w:szCs w:val="24"/>
        </w:rPr>
        <w:t xml:space="preserve"> to be exact, in their answering affidavit. In essence, the Municipality </w:t>
      </w:r>
      <w:r w:rsidR="00827569" w:rsidRPr="004447B3">
        <w:rPr>
          <w:rFonts w:ascii="Arial" w:eastAsia="Arial" w:hAnsi="Arial" w:cs="Arial"/>
          <w:sz w:val="24"/>
          <w:szCs w:val="24"/>
        </w:rPr>
        <w:t xml:space="preserve">stated </w:t>
      </w:r>
      <w:r w:rsidR="00B12A71" w:rsidRPr="004447B3">
        <w:rPr>
          <w:rFonts w:ascii="Arial" w:eastAsia="Arial" w:hAnsi="Arial" w:cs="Arial"/>
          <w:sz w:val="24"/>
          <w:szCs w:val="24"/>
        </w:rPr>
        <w:t xml:space="preserve">that there were still occupiers residing </w:t>
      </w:r>
      <w:r w:rsidR="00A13C82" w:rsidRPr="004447B3">
        <w:rPr>
          <w:rFonts w:ascii="Arial" w:eastAsia="Arial" w:hAnsi="Arial" w:cs="Arial"/>
          <w:sz w:val="24"/>
          <w:szCs w:val="24"/>
        </w:rPr>
        <w:t>in</w:t>
      </w:r>
      <w:r w:rsidR="00B12A71" w:rsidRPr="004447B3">
        <w:rPr>
          <w:rFonts w:ascii="Arial" w:eastAsia="Arial" w:hAnsi="Arial" w:cs="Arial"/>
          <w:sz w:val="24"/>
          <w:szCs w:val="24"/>
        </w:rPr>
        <w:t xml:space="preserve"> Rietspruit Mining Village, where Lehlaka sought to cancel its electricity agreement with the Municipality and the Municipality sought direction of Lehlaka as to what would be </w:t>
      </w:r>
      <w:r w:rsidR="00A13C82" w:rsidRPr="004447B3">
        <w:rPr>
          <w:rFonts w:ascii="Arial" w:eastAsia="Arial" w:hAnsi="Arial" w:cs="Arial"/>
          <w:sz w:val="24"/>
          <w:szCs w:val="24"/>
        </w:rPr>
        <w:t xml:space="preserve">done in order to </w:t>
      </w:r>
      <w:r w:rsidR="00B12A71" w:rsidRPr="004447B3">
        <w:rPr>
          <w:rFonts w:ascii="Arial" w:eastAsia="Arial" w:hAnsi="Arial" w:cs="Arial"/>
          <w:sz w:val="24"/>
          <w:szCs w:val="24"/>
        </w:rPr>
        <w:t>deal with this predicament. In its answering affidavit the Municipality makes reference to the miners</w:t>
      </w:r>
      <w:r w:rsidR="00827569" w:rsidRPr="004447B3">
        <w:rPr>
          <w:rFonts w:ascii="Arial" w:eastAsia="Arial" w:hAnsi="Arial" w:cs="Arial"/>
          <w:sz w:val="24"/>
          <w:szCs w:val="24"/>
        </w:rPr>
        <w:t xml:space="preserve">; </w:t>
      </w:r>
      <w:r w:rsidR="00B12A71" w:rsidRPr="004447B3">
        <w:rPr>
          <w:rFonts w:ascii="Arial" w:eastAsia="Arial" w:hAnsi="Arial" w:cs="Arial"/>
          <w:sz w:val="24"/>
          <w:szCs w:val="24"/>
        </w:rPr>
        <w:t>the employment of the miners; the details of the employer and the basis for the miners being employed; the underlying employment agreement and terms thereof; and the basis for the present miners residing in Rietspruit Mining Village (not the 1978 miners</w:t>
      </w:r>
      <w:r w:rsidR="001402CB" w:rsidRPr="004447B3">
        <w:rPr>
          <w:rFonts w:ascii="Arial" w:eastAsia="Arial" w:hAnsi="Arial" w:cs="Arial"/>
          <w:sz w:val="24"/>
          <w:szCs w:val="24"/>
        </w:rPr>
        <w:t>,</w:t>
      </w:r>
      <w:r w:rsidR="00B12A71" w:rsidRPr="004447B3">
        <w:rPr>
          <w:rFonts w:ascii="Arial" w:eastAsia="Arial" w:hAnsi="Arial" w:cs="Arial"/>
          <w:sz w:val="24"/>
          <w:szCs w:val="24"/>
        </w:rPr>
        <w:t xml:space="preserve"> unless they are one </w:t>
      </w:r>
      <w:r w:rsidR="001402CB" w:rsidRPr="004447B3">
        <w:rPr>
          <w:rFonts w:ascii="Arial" w:eastAsia="Arial" w:hAnsi="Arial" w:cs="Arial"/>
          <w:sz w:val="24"/>
          <w:szCs w:val="24"/>
        </w:rPr>
        <w:t>and</w:t>
      </w:r>
      <w:r w:rsidR="00B12A71" w:rsidRPr="004447B3">
        <w:rPr>
          <w:rFonts w:ascii="Arial" w:eastAsia="Arial" w:hAnsi="Arial" w:cs="Arial"/>
          <w:sz w:val="24"/>
          <w:szCs w:val="24"/>
        </w:rPr>
        <w:t xml:space="preserve"> the same persons); and finally it wanted to know what steps have been taken by Lehlaka as the miners</w:t>
      </w:r>
      <w:r w:rsidR="001402CB" w:rsidRPr="004447B3">
        <w:rPr>
          <w:rFonts w:ascii="Arial" w:eastAsia="Arial" w:hAnsi="Arial" w:cs="Arial"/>
          <w:sz w:val="24"/>
          <w:szCs w:val="24"/>
        </w:rPr>
        <w:t>’</w:t>
      </w:r>
      <w:r w:rsidR="00B12A71" w:rsidRPr="004447B3">
        <w:rPr>
          <w:rFonts w:ascii="Arial" w:eastAsia="Arial" w:hAnsi="Arial" w:cs="Arial"/>
          <w:sz w:val="24"/>
          <w:szCs w:val="24"/>
        </w:rPr>
        <w:t xml:space="preserve"> employer to deal with the present predicament</w:t>
      </w:r>
      <w:r w:rsidR="001402CB" w:rsidRPr="004447B3">
        <w:rPr>
          <w:rFonts w:ascii="Arial" w:eastAsia="Arial" w:hAnsi="Arial" w:cs="Arial"/>
          <w:sz w:val="24"/>
          <w:szCs w:val="24"/>
        </w:rPr>
        <w:t xml:space="preserve"> that</w:t>
      </w:r>
      <w:r w:rsidR="00B12A71" w:rsidRPr="004447B3">
        <w:rPr>
          <w:rFonts w:ascii="Arial" w:eastAsia="Arial" w:hAnsi="Arial" w:cs="Arial"/>
          <w:sz w:val="24"/>
          <w:szCs w:val="24"/>
        </w:rPr>
        <w:t xml:space="preserve"> the presence of the miners created for all the parties.</w:t>
      </w:r>
    </w:p>
    <w:p w14:paraId="20A5F57B" w14:textId="77777777" w:rsidR="00B12A71" w:rsidRPr="001279DB" w:rsidRDefault="00B12A71" w:rsidP="00F238B8">
      <w:pPr>
        <w:shd w:val="clear" w:color="auto" w:fill="FFFFFF"/>
        <w:spacing w:after="0" w:line="360" w:lineRule="auto"/>
        <w:ind w:right="72"/>
        <w:jc w:val="both"/>
        <w:rPr>
          <w:rFonts w:ascii="Arial" w:eastAsia="Arial" w:hAnsi="Arial" w:cs="Arial"/>
          <w:sz w:val="24"/>
          <w:szCs w:val="24"/>
        </w:rPr>
      </w:pPr>
    </w:p>
    <w:p w14:paraId="19C734FF" w14:textId="3880599A" w:rsidR="00B12A71" w:rsidRPr="004447B3" w:rsidRDefault="004447B3" w:rsidP="004447B3">
      <w:pPr>
        <w:shd w:val="clear" w:color="auto" w:fill="FFFFFF"/>
        <w:spacing w:after="0" w:line="360" w:lineRule="auto"/>
        <w:ind w:right="72"/>
        <w:jc w:val="both"/>
        <w:rPr>
          <w:rFonts w:ascii="Arial" w:eastAsia="Arial" w:hAnsi="Arial" w:cs="Arial"/>
          <w:vanish/>
          <w:sz w:val="24"/>
          <w:szCs w:val="24"/>
        </w:rPr>
      </w:pPr>
      <w:r w:rsidRPr="00B12A71">
        <w:rPr>
          <w:rFonts w:ascii="Arial" w:eastAsia="Arial" w:hAnsi="Arial" w:cs="Arial"/>
          <w:vanish/>
          <w:sz w:val="24"/>
          <w:szCs w:val="24"/>
        </w:rPr>
        <w:lastRenderedPageBreak/>
        <w:t>[36]</w:t>
      </w:r>
      <w:r w:rsidRPr="00B12A71">
        <w:rPr>
          <w:rFonts w:ascii="Arial" w:eastAsia="Arial" w:hAnsi="Arial" w:cs="Arial"/>
          <w:vanish/>
          <w:sz w:val="24"/>
          <w:szCs w:val="24"/>
        </w:rPr>
        <w:tab/>
      </w:r>
    </w:p>
    <w:p w14:paraId="7A9DB5DE" w14:textId="3D97E932" w:rsidR="001402CB" w:rsidRPr="004447B3" w:rsidRDefault="004447B3" w:rsidP="004447B3">
      <w:pPr>
        <w:shd w:val="clear" w:color="auto" w:fill="FFFFFF"/>
        <w:spacing w:after="0" w:line="360" w:lineRule="auto"/>
        <w:ind w:right="72"/>
        <w:jc w:val="both"/>
        <w:rPr>
          <w:rFonts w:ascii="Arial" w:eastAsia="Arial" w:hAnsi="Arial" w:cs="Arial"/>
          <w:sz w:val="24"/>
          <w:szCs w:val="24"/>
        </w:rPr>
      </w:pPr>
      <w:r>
        <w:rPr>
          <w:rFonts w:ascii="Arial" w:eastAsia="Arial" w:hAnsi="Arial" w:cs="Arial"/>
          <w:sz w:val="24"/>
          <w:szCs w:val="24"/>
        </w:rPr>
        <w:t>[37]</w:t>
      </w:r>
      <w:r>
        <w:rPr>
          <w:rFonts w:ascii="Arial" w:eastAsia="Arial" w:hAnsi="Arial" w:cs="Arial"/>
          <w:sz w:val="24"/>
          <w:szCs w:val="24"/>
        </w:rPr>
        <w:tab/>
      </w:r>
      <w:r w:rsidR="00F238B8" w:rsidRPr="004447B3">
        <w:rPr>
          <w:rFonts w:ascii="Arial" w:eastAsia="Arial" w:hAnsi="Arial" w:cs="Arial"/>
          <w:sz w:val="24"/>
          <w:szCs w:val="24"/>
        </w:rPr>
        <w:t xml:space="preserve">Second, the high court noted the contention of the Municipality in its refusal to disconnect the supply of electricity until a plan had been put in place to relocate the unlawful occupiers. </w:t>
      </w:r>
    </w:p>
    <w:p w14:paraId="09473486" w14:textId="77777777" w:rsidR="001402CB" w:rsidRDefault="001402CB" w:rsidP="001402CB">
      <w:pPr>
        <w:pStyle w:val="ListParagraph"/>
        <w:shd w:val="clear" w:color="auto" w:fill="FFFFFF"/>
        <w:spacing w:after="0" w:line="360" w:lineRule="auto"/>
        <w:ind w:left="0" w:right="72"/>
        <w:jc w:val="both"/>
        <w:rPr>
          <w:rFonts w:ascii="Arial" w:eastAsia="Arial" w:hAnsi="Arial" w:cs="Arial"/>
          <w:sz w:val="24"/>
          <w:szCs w:val="24"/>
        </w:rPr>
      </w:pPr>
    </w:p>
    <w:p w14:paraId="0A48CECA" w14:textId="12CD9011" w:rsidR="00F238B8" w:rsidRPr="004447B3" w:rsidRDefault="004447B3" w:rsidP="004447B3">
      <w:pPr>
        <w:shd w:val="clear" w:color="auto" w:fill="FFFFFF"/>
        <w:spacing w:after="0" w:line="360" w:lineRule="auto"/>
        <w:ind w:right="72"/>
        <w:jc w:val="both"/>
        <w:rPr>
          <w:rFonts w:ascii="Arial" w:eastAsia="Arial" w:hAnsi="Arial" w:cs="Arial"/>
          <w:sz w:val="24"/>
          <w:szCs w:val="24"/>
        </w:rPr>
      </w:pPr>
      <w:r w:rsidRPr="001279DB">
        <w:rPr>
          <w:rFonts w:ascii="Arial" w:eastAsia="Arial" w:hAnsi="Arial" w:cs="Arial"/>
          <w:sz w:val="24"/>
          <w:szCs w:val="24"/>
        </w:rPr>
        <w:t>[38]</w:t>
      </w:r>
      <w:r w:rsidRPr="001279DB">
        <w:rPr>
          <w:rFonts w:ascii="Arial" w:eastAsia="Arial" w:hAnsi="Arial" w:cs="Arial"/>
          <w:sz w:val="24"/>
          <w:szCs w:val="24"/>
        </w:rPr>
        <w:tab/>
      </w:r>
      <w:r w:rsidR="00F238B8" w:rsidRPr="004447B3">
        <w:rPr>
          <w:rFonts w:ascii="Arial" w:eastAsia="Arial" w:hAnsi="Arial" w:cs="Arial"/>
          <w:sz w:val="24"/>
          <w:szCs w:val="24"/>
        </w:rPr>
        <w:t>Third, in their supplementary affidavits filed in the high court application both the Municipality and Lehlaka address the existence and non-existence of the unlawful occupiers</w:t>
      </w:r>
      <w:r w:rsidR="003220A5" w:rsidRPr="004447B3">
        <w:rPr>
          <w:rFonts w:ascii="Arial" w:eastAsia="Arial" w:hAnsi="Arial" w:cs="Arial"/>
          <w:sz w:val="24"/>
          <w:szCs w:val="24"/>
        </w:rPr>
        <w:t>’</w:t>
      </w:r>
      <w:r w:rsidR="00F238B8" w:rsidRPr="004447B3">
        <w:rPr>
          <w:rFonts w:ascii="Arial" w:eastAsia="Arial" w:hAnsi="Arial" w:cs="Arial"/>
          <w:sz w:val="24"/>
          <w:szCs w:val="24"/>
        </w:rPr>
        <w:t xml:space="preserve"> right in these proceedings. </w:t>
      </w:r>
    </w:p>
    <w:p w14:paraId="2631DF0C" w14:textId="77777777" w:rsidR="00B85129" w:rsidRPr="001279DB" w:rsidRDefault="00B85129" w:rsidP="00B85129">
      <w:pPr>
        <w:pStyle w:val="ListParagraph"/>
        <w:shd w:val="clear" w:color="auto" w:fill="FFFFFF"/>
        <w:spacing w:after="0" w:line="360" w:lineRule="auto"/>
        <w:ind w:left="0" w:right="72"/>
        <w:jc w:val="both"/>
        <w:rPr>
          <w:rFonts w:ascii="Arial" w:eastAsia="Arial" w:hAnsi="Arial" w:cs="Arial"/>
          <w:sz w:val="24"/>
          <w:szCs w:val="24"/>
        </w:rPr>
      </w:pPr>
    </w:p>
    <w:p w14:paraId="624683A8" w14:textId="56C3BD61" w:rsidR="00F238B8" w:rsidRPr="004447B3" w:rsidRDefault="004447B3" w:rsidP="004447B3">
      <w:pPr>
        <w:shd w:val="clear" w:color="auto" w:fill="FFFFFF"/>
        <w:spacing w:after="0" w:line="360" w:lineRule="auto"/>
        <w:ind w:right="72"/>
        <w:jc w:val="both"/>
        <w:rPr>
          <w:rFonts w:ascii="Arial" w:eastAsia="Arial" w:hAnsi="Arial" w:cs="Arial"/>
          <w:sz w:val="24"/>
          <w:szCs w:val="24"/>
        </w:rPr>
      </w:pPr>
      <w:r w:rsidRPr="001279DB">
        <w:rPr>
          <w:rFonts w:ascii="Arial" w:eastAsia="Arial" w:hAnsi="Arial" w:cs="Arial"/>
          <w:sz w:val="24"/>
          <w:szCs w:val="24"/>
        </w:rPr>
        <w:t>[39]</w:t>
      </w:r>
      <w:r w:rsidRPr="001279DB">
        <w:rPr>
          <w:rFonts w:ascii="Arial" w:eastAsia="Arial" w:hAnsi="Arial" w:cs="Arial"/>
          <w:sz w:val="24"/>
          <w:szCs w:val="24"/>
        </w:rPr>
        <w:tab/>
      </w:r>
      <w:r w:rsidR="00F238B8" w:rsidRPr="004447B3">
        <w:rPr>
          <w:rFonts w:ascii="Arial" w:eastAsia="Arial" w:hAnsi="Arial" w:cs="Arial"/>
          <w:sz w:val="24"/>
          <w:szCs w:val="24"/>
        </w:rPr>
        <w:t>In the fourth place, one of the grounds of appeal raised before the high court</w:t>
      </w:r>
      <w:r w:rsidR="003220A5" w:rsidRPr="004447B3">
        <w:rPr>
          <w:rFonts w:ascii="Arial" w:eastAsia="Arial" w:hAnsi="Arial" w:cs="Arial"/>
          <w:sz w:val="24"/>
          <w:szCs w:val="24"/>
        </w:rPr>
        <w:t>,</w:t>
      </w:r>
      <w:r w:rsidR="00F238B8" w:rsidRPr="004447B3">
        <w:rPr>
          <w:rFonts w:ascii="Arial" w:eastAsia="Arial" w:hAnsi="Arial" w:cs="Arial"/>
          <w:sz w:val="24"/>
          <w:szCs w:val="24"/>
        </w:rPr>
        <w:t xml:space="preserve"> with reference to the issue of non-joinder, is phrased as follows: </w:t>
      </w:r>
    </w:p>
    <w:p w14:paraId="4635BBFE" w14:textId="77777777" w:rsidR="00F238B8" w:rsidRPr="00F9440F" w:rsidRDefault="00F238B8" w:rsidP="00F238B8">
      <w:pPr>
        <w:shd w:val="clear" w:color="auto" w:fill="FFFFFF"/>
        <w:spacing w:after="0" w:line="360" w:lineRule="auto"/>
        <w:ind w:right="72"/>
        <w:jc w:val="both"/>
        <w:rPr>
          <w:rFonts w:ascii="Arial" w:eastAsia="Arial" w:hAnsi="Arial" w:cs="Arial"/>
        </w:rPr>
      </w:pPr>
      <w:r w:rsidRPr="00F9440F">
        <w:rPr>
          <w:rFonts w:ascii="Arial" w:eastAsia="Arial" w:hAnsi="Arial" w:cs="Arial"/>
        </w:rPr>
        <w:t xml:space="preserve">‘The Court erred in fact and in law in finding that the occupants of the Applicant’s properties are “illegal occupiers”, without the occupants being joined to the proceedings to be heard in this regard. The Court therefore also erred in law in failing to rule on, or failing to uphold, the Respondent’s point </w:t>
      </w:r>
      <w:r w:rsidRPr="00F9440F">
        <w:rPr>
          <w:rFonts w:ascii="Arial" w:eastAsia="Arial" w:hAnsi="Arial" w:cs="Arial"/>
          <w:i/>
        </w:rPr>
        <w:t>in limine</w:t>
      </w:r>
      <w:r w:rsidRPr="00F9440F">
        <w:rPr>
          <w:rFonts w:ascii="Arial" w:eastAsia="Arial" w:hAnsi="Arial" w:cs="Arial"/>
        </w:rPr>
        <w:t xml:space="preserve"> on a non-joinder. It erred in fact and law in finding that the non-joiner issue is a smokescreen.’</w:t>
      </w:r>
    </w:p>
    <w:p w14:paraId="1679D1B3" w14:textId="77777777" w:rsidR="00F238B8" w:rsidRPr="001279DB" w:rsidRDefault="00F238B8" w:rsidP="00F238B8">
      <w:pPr>
        <w:shd w:val="clear" w:color="auto" w:fill="FFFFFF"/>
        <w:spacing w:after="0" w:line="360" w:lineRule="auto"/>
        <w:ind w:right="72"/>
        <w:jc w:val="both"/>
        <w:rPr>
          <w:rFonts w:ascii="Arial" w:eastAsia="Arial" w:hAnsi="Arial" w:cs="Arial"/>
          <w:sz w:val="24"/>
          <w:szCs w:val="24"/>
        </w:rPr>
      </w:pPr>
    </w:p>
    <w:p w14:paraId="5A6E6C02" w14:textId="499E31E0" w:rsidR="00F238B8" w:rsidRPr="004447B3" w:rsidRDefault="004447B3" w:rsidP="004447B3">
      <w:pPr>
        <w:shd w:val="clear" w:color="auto" w:fill="FFFFFF"/>
        <w:spacing w:after="0" w:line="360" w:lineRule="auto"/>
        <w:ind w:right="72"/>
        <w:jc w:val="both"/>
        <w:rPr>
          <w:rFonts w:ascii="Arial" w:eastAsia="Arial" w:hAnsi="Arial" w:cs="Arial"/>
          <w:sz w:val="24"/>
          <w:szCs w:val="24"/>
        </w:rPr>
      </w:pPr>
      <w:r w:rsidRPr="001279DB">
        <w:rPr>
          <w:rFonts w:ascii="Arial" w:eastAsia="Arial" w:hAnsi="Arial" w:cs="Arial"/>
          <w:sz w:val="24"/>
          <w:szCs w:val="24"/>
        </w:rPr>
        <w:t>[40]</w:t>
      </w:r>
      <w:r w:rsidRPr="001279DB">
        <w:rPr>
          <w:rFonts w:ascii="Arial" w:eastAsia="Arial" w:hAnsi="Arial" w:cs="Arial"/>
          <w:sz w:val="24"/>
          <w:szCs w:val="24"/>
        </w:rPr>
        <w:tab/>
      </w:r>
      <w:r w:rsidR="00F238B8" w:rsidRPr="004447B3">
        <w:rPr>
          <w:rFonts w:ascii="Arial" w:eastAsia="Arial" w:hAnsi="Arial" w:cs="Arial"/>
          <w:sz w:val="24"/>
          <w:szCs w:val="24"/>
        </w:rPr>
        <w:t xml:space="preserve">Last, and as stated before in this judgment, the high court did not deal pertinently with the point </w:t>
      </w:r>
      <w:r w:rsidR="00F238B8" w:rsidRPr="004447B3">
        <w:rPr>
          <w:rFonts w:ascii="Arial" w:eastAsia="Arial" w:hAnsi="Arial" w:cs="Arial"/>
          <w:i/>
          <w:sz w:val="24"/>
          <w:szCs w:val="24"/>
        </w:rPr>
        <w:t>in limine</w:t>
      </w:r>
      <w:r w:rsidR="00F238B8" w:rsidRPr="004447B3">
        <w:rPr>
          <w:rFonts w:ascii="Arial" w:eastAsia="Arial" w:hAnsi="Arial" w:cs="Arial"/>
          <w:sz w:val="24"/>
          <w:szCs w:val="24"/>
        </w:rPr>
        <w:t xml:space="preserve"> of non-joinder</w:t>
      </w:r>
      <w:r w:rsidR="00FE4141" w:rsidRPr="004447B3">
        <w:rPr>
          <w:rFonts w:ascii="Arial" w:eastAsia="Arial" w:hAnsi="Arial" w:cs="Arial"/>
          <w:sz w:val="24"/>
          <w:szCs w:val="24"/>
        </w:rPr>
        <w:t>,</w:t>
      </w:r>
      <w:r w:rsidR="00F238B8" w:rsidRPr="004447B3">
        <w:rPr>
          <w:rFonts w:ascii="Arial" w:eastAsia="Arial" w:hAnsi="Arial" w:cs="Arial"/>
          <w:sz w:val="24"/>
          <w:szCs w:val="24"/>
        </w:rPr>
        <w:t xml:space="preserve"> suffice to hold that ‘[t]he non-joinder issue is perhaps a smoke screen’</w:t>
      </w:r>
      <w:r w:rsidR="00FE4141" w:rsidRPr="004447B3">
        <w:rPr>
          <w:rFonts w:ascii="Arial" w:eastAsia="Arial" w:hAnsi="Arial" w:cs="Arial"/>
          <w:sz w:val="24"/>
          <w:szCs w:val="24"/>
        </w:rPr>
        <w:t>.</w:t>
      </w:r>
      <w:r w:rsidR="00F238B8" w:rsidRPr="004447B3">
        <w:rPr>
          <w:rFonts w:ascii="Arial" w:eastAsia="Arial" w:hAnsi="Arial" w:cs="Arial"/>
          <w:sz w:val="24"/>
          <w:szCs w:val="24"/>
        </w:rPr>
        <w:t xml:space="preserve"> </w:t>
      </w:r>
    </w:p>
    <w:p w14:paraId="59327A77" w14:textId="77777777" w:rsidR="00B85129" w:rsidRPr="001279DB" w:rsidRDefault="00B85129" w:rsidP="00B85129">
      <w:pPr>
        <w:pStyle w:val="ListParagraph"/>
        <w:shd w:val="clear" w:color="auto" w:fill="FFFFFF"/>
        <w:spacing w:after="0" w:line="360" w:lineRule="auto"/>
        <w:ind w:left="0" w:right="72"/>
        <w:jc w:val="both"/>
        <w:rPr>
          <w:rFonts w:ascii="Arial" w:eastAsia="Arial" w:hAnsi="Arial" w:cs="Arial"/>
          <w:sz w:val="24"/>
          <w:szCs w:val="24"/>
        </w:rPr>
      </w:pPr>
    </w:p>
    <w:p w14:paraId="00911D19" w14:textId="1E95452A" w:rsidR="00F238B8" w:rsidRPr="004447B3" w:rsidRDefault="004447B3" w:rsidP="004447B3">
      <w:pPr>
        <w:shd w:val="clear" w:color="auto" w:fill="FFFFFF"/>
        <w:spacing w:after="0" w:line="360" w:lineRule="auto"/>
        <w:ind w:right="72"/>
        <w:jc w:val="both"/>
        <w:rPr>
          <w:rFonts w:ascii="Arial" w:eastAsia="Arial" w:hAnsi="Arial" w:cs="Arial"/>
          <w:sz w:val="24"/>
          <w:szCs w:val="24"/>
        </w:rPr>
      </w:pPr>
      <w:r w:rsidRPr="002941CC">
        <w:rPr>
          <w:rFonts w:ascii="Arial" w:eastAsia="Arial" w:hAnsi="Arial" w:cs="Arial"/>
          <w:sz w:val="24"/>
          <w:szCs w:val="24"/>
        </w:rPr>
        <w:t>[41]</w:t>
      </w:r>
      <w:r w:rsidRPr="002941CC">
        <w:rPr>
          <w:rFonts w:ascii="Arial" w:eastAsia="Arial" w:hAnsi="Arial" w:cs="Arial"/>
          <w:sz w:val="24"/>
          <w:szCs w:val="24"/>
        </w:rPr>
        <w:tab/>
      </w:r>
      <w:r w:rsidR="00F238B8" w:rsidRPr="004447B3">
        <w:rPr>
          <w:rFonts w:ascii="Arial" w:eastAsia="Arial" w:hAnsi="Arial" w:cs="Arial"/>
          <w:sz w:val="24"/>
          <w:szCs w:val="24"/>
        </w:rPr>
        <w:t xml:space="preserve">I find, with respect, that the contention that the issue of non-joinder </w:t>
      </w:r>
      <w:r w:rsidR="00E17D20" w:rsidRPr="004447B3">
        <w:rPr>
          <w:rFonts w:ascii="Arial" w:eastAsia="Arial" w:hAnsi="Arial" w:cs="Arial"/>
          <w:sz w:val="24"/>
          <w:szCs w:val="24"/>
        </w:rPr>
        <w:t xml:space="preserve">was not </w:t>
      </w:r>
      <w:r w:rsidR="00F238B8" w:rsidRPr="004447B3">
        <w:rPr>
          <w:rFonts w:ascii="Arial" w:eastAsia="Arial" w:hAnsi="Arial" w:cs="Arial"/>
          <w:sz w:val="24"/>
          <w:szCs w:val="24"/>
        </w:rPr>
        <w:t xml:space="preserve">raised before the high court or this Court, is gratuitous to say the least, as the record clearly shows that it was raised and dealt with extensively in both courts. It is the high court that failed to deal with it and, thus, this Court </w:t>
      </w:r>
      <w:r w:rsidR="00E17D20" w:rsidRPr="004447B3">
        <w:rPr>
          <w:rFonts w:ascii="Arial" w:eastAsia="Arial" w:hAnsi="Arial" w:cs="Arial"/>
          <w:sz w:val="24"/>
          <w:szCs w:val="24"/>
        </w:rPr>
        <w:t>wa</w:t>
      </w:r>
      <w:r w:rsidR="00F238B8" w:rsidRPr="004447B3">
        <w:rPr>
          <w:rFonts w:ascii="Arial" w:eastAsia="Arial" w:hAnsi="Arial" w:cs="Arial"/>
          <w:sz w:val="24"/>
          <w:szCs w:val="24"/>
        </w:rPr>
        <w:t xml:space="preserve">s bound to deal with it, as it has done in this judgment. </w:t>
      </w:r>
    </w:p>
    <w:p w14:paraId="5A15F0D7" w14:textId="77777777" w:rsidR="00B85129" w:rsidRPr="002941CC" w:rsidRDefault="00B85129" w:rsidP="00B85129">
      <w:pPr>
        <w:pStyle w:val="ListParagraph"/>
        <w:spacing w:after="0" w:line="360" w:lineRule="auto"/>
        <w:rPr>
          <w:rFonts w:ascii="Arial" w:eastAsia="Arial" w:hAnsi="Arial" w:cs="Arial"/>
          <w:sz w:val="24"/>
          <w:szCs w:val="24"/>
        </w:rPr>
      </w:pPr>
    </w:p>
    <w:p w14:paraId="6FCC6831" w14:textId="585D12C0" w:rsidR="00027439" w:rsidRPr="004447B3" w:rsidRDefault="004447B3" w:rsidP="004447B3">
      <w:pPr>
        <w:shd w:val="clear" w:color="auto" w:fill="FFFFFF"/>
        <w:spacing w:after="0" w:line="360" w:lineRule="auto"/>
        <w:ind w:right="72"/>
        <w:jc w:val="both"/>
        <w:rPr>
          <w:rFonts w:ascii="Arial" w:eastAsia="Arial" w:hAnsi="Arial" w:cs="Arial"/>
          <w:sz w:val="24"/>
          <w:szCs w:val="24"/>
        </w:rPr>
      </w:pPr>
      <w:r w:rsidRPr="002941CC">
        <w:rPr>
          <w:rFonts w:ascii="Arial" w:eastAsia="Arial" w:hAnsi="Arial" w:cs="Arial"/>
          <w:sz w:val="24"/>
          <w:szCs w:val="24"/>
        </w:rPr>
        <w:t>[42]</w:t>
      </w:r>
      <w:r w:rsidRPr="002941CC">
        <w:rPr>
          <w:rFonts w:ascii="Arial" w:eastAsia="Arial" w:hAnsi="Arial" w:cs="Arial"/>
          <w:sz w:val="24"/>
          <w:szCs w:val="24"/>
        </w:rPr>
        <w:tab/>
      </w:r>
      <w:r w:rsidR="00F238B8" w:rsidRPr="004447B3">
        <w:rPr>
          <w:rFonts w:ascii="Arial" w:eastAsia="Arial" w:hAnsi="Arial" w:cs="Arial"/>
          <w:sz w:val="24"/>
          <w:szCs w:val="24"/>
        </w:rPr>
        <w:t xml:space="preserve">The issue of ‘the </w:t>
      </w:r>
      <w:r w:rsidR="00FE1850" w:rsidRPr="004447B3">
        <w:rPr>
          <w:rFonts w:ascii="Arial" w:eastAsia="Arial" w:hAnsi="Arial" w:cs="Arial"/>
          <w:sz w:val="24"/>
          <w:szCs w:val="24"/>
        </w:rPr>
        <w:t xml:space="preserve">purported </w:t>
      </w:r>
      <w:r w:rsidR="00F238B8" w:rsidRPr="004447B3">
        <w:rPr>
          <w:rFonts w:ascii="Arial" w:eastAsia="Arial" w:hAnsi="Arial" w:cs="Arial"/>
          <w:sz w:val="24"/>
          <w:szCs w:val="24"/>
        </w:rPr>
        <w:t xml:space="preserve">special cluster </w:t>
      </w:r>
      <w:r w:rsidR="00590117" w:rsidRPr="004447B3">
        <w:rPr>
          <w:rFonts w:ascii="Arial" w:eastAsia="Arial" w:hAnsi="Arial" w:cs="Arial"/>
          <w:sz w:val="24"/>
          <w:szCs w:val="24"/>
        </w:rPr>
        <w:t xml:space="preserve">of </w:t>
      </w:r>
      <w:r w:rsidR="00E17D20" w:rsidRPr="004447B3">
        <w:rPr>
          <w:rFonts w:ascii="Arial" w:eastAsia="Arial" w:hAnsi="Arial" w:cs="Arial"/>
          <w:sz w:val="24"/>
          <w:szCs w:val="24"/>
        </w:rPr>
        <w:t>relationship</w:t>
      </w:r>
      <w:r w:rsidR="00590117" w:rsidRPr="004447B3">
        <w:rPr>
          <w:rFonts w:ascii="Arial" w:eastAsia="Arial" w:hAnsi="Arial" w:cs="Arial"/>
          <w:sz w:val="24"/>
          <w:szCs w:val="24"/>
        </w:rPr>
        <w:t>s</w:t>
      </w:r>
      <w:r w:rsidR="00E17D20" w:rsidRPr="004447B3">
        <w:rPr>
          <w:rFonts w:ascii="Arial" w:eastAsia="Arial" w:hAnsi="Arial" w:cs="Arial"/>
          <w:sz w:val="24"/>
          <w:szCs w:val="24"/>
        </w:rPr>
        <w:t xml:space="preserve">’. </w:t>
      </w:r>
      <w:r w:rsidR="00F238B8" w:rsidRPr="004447B3">
        <w:rPr>
          <w:rFonts w:ascii="Arial" w:hAnsi="Arial" w:cs="Arial"/>
          <w:sz w:val="24"/>
          <w:szCs w:val="24"/>
        </w:rPr>
        <w:t>The rights of the unlawful occupiers are intrinsically linked to the relief that the judgment would grant</w:t>
      </w:r>
      <w:r w:rsidR="00FE1850" w:rsidRPr="004447B3">
        <w:rPr>
          <w:rFonts w:ascii="Arial" w:hAnsi="Arial" w:cs="Arial"/>
          <w:sz w:val="24"/>
          <w:szCs w:val="24"/>
        </w:rPr>
        <w:t>.</w:t>
      </w:r>
      <w:r w:rsidR="00F238B8" w:rsidRPr="004447B3">
        <w:rPr>
          <w:rFonts w:ascii="Arial" w:eastAsia="Arial" w:hAnsi="Arial" w:cs="Arial"/>
          <w:sz w:val="24"/>
          <w:szCs w:val="24"/>
        </w:rPr>
        <w:t xml:space="preserve"> </w:t>
      </w:r>
      <w:r w:rsidR="00590117" w:rsidRPr="004447B3">
        <w:rPr>
          <w:rFonts w:ascii="Arial" w:eastAsia="Arial" w:hAnsi="Arial" w:cs="Arial"/>
          <w:sz w:val="24"/>
          <w:szCs w:val="24"/>
        </w:rPr>
        <w:t xml:space="preserve">The purported special cluster of relationships cannot be discarded and wished away as the third judgment seems to suggest. It either exists </w:t>
      </w:r>
      <w:r w:rsidR="00726089" w:rsidRPr="004447B3">
        <w:rPr>
          <w:rFonts w:ascii="Arial" w:eastAsia="Arial" w:hAnsi="Arial" w:cs="Arial"/>
          <w:sz w:val="24"/>
          <w:szCs w:val="24"/>
        </w:rPr>
        <w:t>as the Municipality contended</w:t>
      </w:r>
      <w:r w:rsidR="00590117" w:rsidRPr="004447B3">
        <w:rPr>
          <w:rFonts w:ascii="Arial" w:eastAsia="Arial" w:hAnsi="Arial" w:cs="Arial"/>
          <w:sz w:val="24"/>
          <w:szCs w:val="24"/>
        </w:rPr>
        <w:t xml:space="preserve"> </w:t>
      </w:r>
      <w:r w:rsidR="00726089" w:rsidRPr="004447B3">
        <w:rPr>
          <w:rFonts w:ascii="Arial" w:eastAsia="Arial" w:hAnsi="Arial" w:cs="Arial"/>
          <w:sz w:val="24"/>
          <w:szCs w:val="24"/>
        </w:rPr>
        <w:t>or it d</w:t>
      </w:r>
      <w:r w:rsidR="00590117" w:rsidRPr="004447B3">
        <w:rPr>
          <w:rFonts w:ascii="Arial" w:eastAsia="Arial" w:hAnsi="Arial" w:cs="Arial"/>
          <w:sz w:val="24"/>
          <w:szCs w:val="24"/>
        </w:rPr>
        <w:t xml:space="preserve">oes </w:t>
      </w:r>
      <w:r w:rsidR="00726089" w:rsidRPr="004447B3">
        <w:rPr>
          <w:rFonts w:ascii="Arial" w:eastAsia="Arial" w:hAnsi="Arial" w:cs="Arial"/>
          <w:sz w:val="24"/>
          <w:szCs w:val="24"/>
        </w:rPr>
        <w:t>not as Lehlaka contended</w:t>
      </w:r>
      <w:r w:rsidR="003220A5" w:rsidRPr="004447B3">
        <w:rPr>
          <w:rFonts w:ascii="Arial" w:eastAsia="Arial" w:hAnsi="Arial" w:cs="Arial"/>
          <w:sz w:val="24"/>
          <w:szCs w:val="24"/>
        </w:rPr>
        <w:t>.</w:t>
      </w:r>
      <w:r w:rsidR="00590117" w:rsidRPr="004447B3">
        <w:rPr>
          <w:rFonts w:ascii="Arial" w:eastAsia="Arial" w:hAnsi="Arial" w:cs="Arial"/>
          <w:sz w:val="24"/>
          <w:szCs w:val="24"/>
        </w:rPr>
        <w:t xml:space="preserve"> Both parties dealt with this extensively. </w:t>
      </w:r>
    </w:p>
    <w:p w14:paraId="0FC60243" w14:textId="77777777" w:rsidR="00027439" w:rsidRPr="002941CC" w:rsidRDefault="00027439" w:rsidP="002941CC">
      <w:pPr>
        <w:pStyle w:val="ListParagraph"/>
        <w:spacing w:after="0" w:line="360" w:lineRule="auto"/>
        <w:rPr>
          <w:rFonts w:ascii="Arial" w:eastAsia="Arial" w:hAnsi="Arial" w:cs="Arial"/>
          <w:sz w:val="24"/>
          <w:szCs w:val="24"/>
        </w:rPr>
      </w:pPr>
    </w:p>
    <w:p w14:paraId="5F1D721D" w14:textId="4A29664B" w:rsidR="00590117" w:rsidRPr="004447B3" w:rsidRDefault="004447B3" w:rsidP="004447B3">
      <w:pPr>
        <w:shd w:val="clear" w:color="auto" w:fill="FFFFFF"/>
        <w:spacing w:after="0" w:line="360" w:lineRule="auto"/>
        <w:ind w:right="72"/>
        <w:jc w:val="both"/>
        <w:rPr>
          <w:rFonts w:ascii="Arial" w:eastAsia="Arial" w:hAnsi="Arial" w:cs="Arial"/>
          <w:sz w:val="24"/>
          <w:szCs w:val="24"/>
        </w:rPr>
      </w:pPr>
      <w:r w:rsidRPr="002941CC">
        <w:rPr>
          <w:rFonts w:ascii="Arial" w:eastAsia="Arial" w:hAnsi="Arial" w:cs="Arial"/>
          <w:sz w:val="24"/>
          <w:szCs w:val="24"/>
        </w:rPr>
        <w:t>[43]</w:t>
      </w:r>
      <w:r w:rsidRPr="002941CC">
        <w:rPr>
          <w:rFonts w:ascii="Arial" w:eastAsia="Arial" w:hAnsi="Arial" w:cs="Arial"/>
          <w:sz w:val="24"/>
          <w:szCs w:val="24"/>
        </w:rPr>
        <w:tab/>
      </w:r>
      <w:r w:rsidR="00590117" w:rsidRPr="004447B3">
        <w:rPr>
          <w:rFonts w:ascii="Arial" w:eastAsia="Arial" w:hAnsi="Arial" w:cs="Arial"/>
          <w:sz w:val="24"/>
          <w:szCs w:val="24"/>
        </w:rPr>
        <w:t>For the conclusion I have reached in the preceding paragraphs, it is not</w:t>
      </w:r>
      <w:r w:rsidR="003220A5" w:rsidRPr="004447B3">
        <w:rPr>
          <w:rFonts w:ascii="Arial" w:eastAsia="Arial" w:hAnsi="Arial" w:cs="Arial"/>
          <w:sz w:val="24"/>
          <w:szCs w:val="24"/>
        </w:rPr>
        <w:t xml:space="preserve"> </w:t>
      </w:r>
      <w:r w:rsidR="00590117" w:rsidRPr="004447B3">
        <w:rPr>
          <w:rFonts w:ascii="Arial" w:eastAsia="Arial" w:hAnsi="Arial" w:cs="Arial"/>
          <w:sz w:val="24"/>
          <w:szCs w:val="24"/>
        </w:rPr>
        <w:t xml:space="preserve">necessary to deal with the merits and other points </w:t>
      </w:r>
      <w:r w:rsidR="00590117" w:rsidRPr="004447B3">
        <w:rPr>
          <w:rFonts w:ascii="Arial" w:eastAsia="Arial" w:hAnsi="Arial" w:cs="Arial"/>
          <w:i/>
          <w:iCs/>
          <w:sz w:val="24"/>
          <w:szCs w:val="24"/>
        </w:rPr>
        <w:t>in limine</w:t>
      </w:r>
      <w:r w:rsidR="00590117" w:rsidRPr="004447B3">
        <w:rPr>
          <w:rFonts w:ascii="Arial" w:eastAsia="Arial" w:hAnsi="Arial" w:cs="Arial"/>
          <w:sz w:val="24"/>
          <w:szCs w:val="24"/>
        </w:rPr>
        <w:t>.</w:t>
      </w:r>
    </w:p>
    <w:p w14:paraId="3A216BDF" w14:textId="3E9B5B54" w:rsidR="005D3B52" w:rsidRPr="004447B3" w:rsidRDefault="004447B3" w:rsidP="004447B3">
      <w:pPr>
        <w:shd w:val="clear" w:color="auto" w:fill="FFFFFF"/>
        <w:spacing w:after="0" w:line="360" w:lineRule="auto"/>
        <w:ind w:right="72"/>
        <w:jc w:val="both"/>
        <w:rPr>
          <w:rFonts w:ascii="Arial" w:hAnsi="Arial" w:cs="Arial"/>
          <w:sz w:val="24"/>
          <w:szCs w:val="24"/>
        </w:rPr>
      </w:pPr>
      <w:r w:rsidRPr="001279DB">
        <w:rPr>
          <w:rFonts w:ascii="Arial" w:hAnsi="Arial" w:cs="Arial"/>
          <w:sz w:val="24"/>
          <w:szCs w:val="24"/>
        </w:rPr>
        <w:lastRenderedPageBreak/>
        <w:t>[44]</w:t>
      </w:r>
      <w:r w:rsidRPr="001279DB">
        <w:rPr>
          <w:rFonts w:ascii="Arial" w:hAnsi="Arial" w:cs="Arial"/>
          <w:sz w:val="24"/>
          <w:szCs w:val="24"/>
        </w:rPr>
        <w:tab/>
      </w:r>
      <w:r w:rsidR="00556D5D" w:rsidRPr="004447B3">
        <w:rPr>
          <w:rFonts w:ascii="Arial" w:eastAsia="Arial" w:hAnsi="Arial" w:cs="Arial"/>
          <w:sz w:val="24"/>
          <w:szCs w:val="24"/>
        </w:rPr>
        <w:t xml:space="preserve">Consequently, I </w:t>
      </w:r>
      <w:r w:rsidR="0016053D" w:rsidRPr="004447B3">
        <w:rPr>
          <w:rFonts w:ascii="Arial" w:eastAsia="Arial" w:hAnsi="Arial" w:cs="Arial"/>
          <w:sz w:val="24"/>
          <w:szCs w:val="24"/>
        </w:rPr>
        <w:t xml:space="preserve">would </w:t>
      </w:r>
      <w:r w:rsidR="00556D5D" w:rsidRPr="004447B3">
        <w:rPr>
          <w:rFonts w:ascii="Arial" w:eastAsia="Arial" w:hAnsi="Arial" w:cs="Arial"/>
          <w:sz w:val="24"/>
          <w:szCs w:val="24"/>
        </w:rPr>
        <w:t>make the following order</w:t>
      </w:r>
      <w:r w:rsidR="00E85772" w:rsidRPr="004447B3">
        <w:rPr>
          <w:rFonts w:ascii="Arial" w:eastAsia="Arial" w:hAnsi="Arial" w:cs="Arial"/>
          <w:sz w:val="24"/>
          <w:szCs w:val="24"/>
        </w:rPr>
        <w:t>:</w:t>
      </w:r>
    </w:p>
    <w:p w14:paraId="2F340A74" w14:textId="77777777" w:rsidR="00833D65" w:rsidRPr="001279DB" w:rsidRDefault="00833D65" w:rsidP="00522F18">
      <w:pPr>
        <w:pStyle w:val="Normal1"/>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1</w:t>
      </w:r>
      <w:r w:rsidRPr="001279DB">
        <w:rPr>
          <w:rFonts w:ascii="Arial" w:eastAsia="Arial" w:hAnsi="Arial" w:cs="Arial"/>
          <w:sz w:val="24"/>
          <w:szCs w:val="24"/>
        </w:rPr>
        <w:tab/>
        <w:t>The appeal is upheld with costs including the costs for leave to appeal in the high court, such costs to include the costs of two counsel where so employed.</w:t>
      </w:r>
    </w:p>
    <w:p w14:paraId="7A81BFB5" w14:textId="77777777" w:rsidR="00833D65" w:rsidRPr="001279DB" w:rsidRDefault="00833D65" w:rsidP="00522F18">
      <w:pPr>
        <w:pStyle w:val="Normal1"/>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2</w:t>
      </w:r>
      <w:r w:rsidRPr="001279DB">
        <w:rPr>
          <w:rFonts w:ascii="Arial" w:eastAsia="Arial" w:hAnsi="Arial" w:cs="Arial"/>
          <w:sz w:val="24"/>
          <w:szCs w:val="24"/>
        </w:rPr>
        <w:tab/>
        <w:t>The order of the high court is set aside and is substituted with the following:</w:t>
      </w:r>
    </w:p>
    <w:p w14:paraId="5EA46C1A" w14:textId="77777777" w:rsidR="00833D65" w:rsidRPr="001279DB" w:rsidRDefault="00833D65" w:rsidP="00522F18">
      <w:pPr>
        <w:pStyle w:val="Normal1"/>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 xml:space="preserve">‘(a) </w:t>
      </w:r>
      <w:r w:rsidRPr="001279DB">
        <w:rPr>
          <w:rFonts w:ascii="Arial" w:eastAsia="Arial" w:hAnsi="Arial" w:cs="Arial"/>
          <w:sz w:val="24"/>
          <w:szCs w:val="24"/>
        </w:rPr>
        <w:tab/>
        <w:t>The application is removed from the roll for the applicant to join the unlawful occupiers.</w:t>
      </w:r>
    </w:p>
    <w:p w14:paraId="64D40A45" w14:textId="77777777" w:rsidR="0058512F" w:rsidRPr="001279DB" w:rsidRDefault="00833D65" w:rsidP="00522F18">
      <w:pPr>
        <w:pStyle w:val="Normal1"/>
        <w:spacing w:after="0" w:line="360" w:lineRule="auto"/>
        <w:ind w:right="72"/>
        <w:contextualSpacing/>
        <w:jc w:val="both"/>
        <w:rPr>
          <w:rFonts w:ascii="Arial" w:eastAsia="Arial" w:hAnsi="Arial" w:cs="Arial"/>
          <w:b/>
          <w:sz w:val="24"/>
          <w:szCs w:val="24"/>
        </w:rPr>
      </w:pPr>
      <w:r w:rsidRPr="001279DB">
        <w:rPr>
          <w:rFonts w:ascii="Arial" w:eastAsia="Arial" w:hAnsi="Arial" w:cs="Arial"/>
          <w:sz w:val="24"/>
          <w:szCs w:val="24"/>
        </w:rPr>
        <w:t xml:space="preserve">(b) </w:t>
      </w:r>
      <w:r w:rsidRPr="001279DB">
        <w:rPr>
          <w:rFonts w:ascii="Arial" w:eastAsia="Arial" w:hAnsi="Arial" w:cs="Arial"/>
          <w:sz w:val="24"/>
          <w:szCs w:val="24"/>
        </w:rPr>
        <w:tab/>
        <w:t>The applicant is to pay the costs of the application.’</w:t>
      </w:r>
    </w:p>
    <w:p w14:paraId="359AD754" w14:textId="77777777" w:rsidR="002270B9" w:rsidRPr="001279DB" w:rsidRDefault="002270B9" w:rsidP="00522F18">
      <w:pPr>
        <w:pStyle w:val="Normal1"/>
        <w:spacing w:after="0" w:line="360" w:lineRule="auto"/>
        <w:ind w:right="72"/>
        <w:contextualSpacing/>
        <w:jc w:val="both"/>
        <w:rPr>
          <w:rFonts w:ascii="Arial" w:eastAsia="Arial" w:hAnsi="Arial" w:cs="Arial"/>
          <w:sz w:val="24"/>
          <w:szCs w:val="24"/>
        </w:rPr>
      </w:pPr>
    </w:p>
    <w:p w14:paraId="10437853" w14:textId="674A9AF2" w:rsidR="002270B9" w:rsidRPr="001279DB" w:rsidRDefault="002270B9" w:rsidP="004176BF">
      <w:pPr>
        <w:pStyle w:val="Normal1"/>
        <w:spacing w:after="0" w:line="360" w:lineRule="auto"/>
        <w:ind w:right="72"/>
        <w:contextualSpacing/>
        <w:jc w:val="right"/>
        <w:rPr>
          <w:rFonts w:ascii="Arial" w:eastAsia="Arial" w:hAnsi="Arial" w:cs="Arial"/>
          <w:sz w:val="24"/>
          <w:szCs w:val="24"/>
        </w:rPr>
      </w:pPr>
    </w:p>
    <w:p w14:paraId="076BD495" w14:textId="77777777" w:rsidR="00CD05AA" w:rsidRPr="001279DB" w:rsidRDefault="00E85772" w:rsidP="00522F18">
      <w:pPr>
        <w:pStyle w:val="Normal1"/>
        <w:spacing w:after="0" w:line="360" w:lineRule="auto"/>
        <w:ind w:right="72"/>
        <w:contextualSpacing/>
        <w:jc w:val="right"/>
        <w:rPr>
          <w:rFonts w:ascii="Arial" w:eastAsia="Arial" w:hAnsi="Arial" w:cs="Arial"/>
          <w:sz w:val="24"/>
          <w:szCs w:val="24"/>
        </w:rPr>
      </w:pPr>
      <w:r w:rsidRPr="001279DB">
        <w:rPr>
          <w:rFonts w:ascii="Arial" w:eastAsia="Arial" w:hAnsi="Arial" w:cs="Arial"/>
          <w:sz w:val="24"/>
          <w:szCs w:val="24"/>
        </w:rPr>
        <w:t>___________________</w:t>
      </w:r>
    </w:p>
    <w:p w14:paraId="4EC71618" w14:textId="77777777" w:rsidR="00CD05AA" w:rsidRPr="001279DB" w:rsidRDefault="00E85772" w:rsidP="00522F18">
      <w:pPr>
        <w:pStyle w:val="Normal1"/>
        <w:spacing w:after="0" w:line="360" w:lineRule="auto"/>
        <w:ind w:right="72"/>
        <w:contextualSpacing/>
        <w:jc w:val="right"/>
        <w:rPr>
          <w:rFonts w:ascii="Arial" w:eastAsia="Arial" w:hAnsi="Arial" w:cs="Arial"/>
          <w:sz w:val="24"/>
          <w:szCs w:val="24"/>
        </w:rPr>
      </w:pPr>
      <w:r w:rsidRPr="001279DB">
        <w:rPr>
          <w:rFonts w:ascii="Arial" w:eastAsia="Arial" w:hAnsi="Arial" w:cs="Arial"/>
          <w:sz w:val="24"/>
          <w:szCs w:val="24"/>
        </w:rPr>
        <w:t>W H</w:t>
      </w:r>
      <w:r w:rsidR="0030214F" w:rsidRPr="001279DB">
        <w:rPr>
          <w:rFonts w:ascii="Arial" w:eastAsia="Arial" w:hAnsi="Arial" w:cs="Arial"/>
          <w:sz w:val="24"/>
          <w:szCs w:val="24"/>
        </w:rPr>
        <w:t>UGHES</w:t>
      </w:r>
    </w:p>
    <w:p w14:paraId="46A778E0" w14:textId="77777777" w:rsidR="00CD05AA" w:rsidRPr="001279DB" w:rsidRDefault="0030214F" w:rsidP="00522F18">
      <w:pPr>
        <w:pStyle w:val="Normal1"/>
        <w:spacing w:after="0" w:line="360" w:lineRule="auto"/>
        <w:ind w:right="72"/>
        <w:contextualSpacing/>
        <w:jc w:val="right"/>
        <w:rPr>
          <w:rFonts w:ascii="Arial" w:eastAsia="Arial" w:hAnsi="Arial" w:cs="Arial"/>
          <w:sz w:val="24"/>
          <w:szCs w:val="24"/>
        </w:rPr>
      </w:pPr>
      <w:r w:rsidRPr="001279DB">
        <w:rPr>
          <w:rFonts w:ascii="Arial" w:eastAsia="Arial" w:hAnsi="Arial" w:cs="Arial"/>
          <w:sz w:val="24"/>
          <w:szCs w:val="24"/>
        </w:rPr>
        <w:t>JUDGE OF APPEAL</w:t>
      </w:r>
    </w:p>
    <w:p w14:paraId="21D50145" w14:textId="77777777" w:rsidR="005D3B52" w:rsidRPr="001279DB" w:rsidRDefault="005D3B52" w:rsidP="00522F18">
      <w:pPr>
        <w:pStyle w:val="Normal1"/>
        <w:spacing w:after="0" w:line="360" w:lineRule="auto"/>
        <w:ind w:right="72"/>
        <w:contextualSpacing/>
        <w:jc w:val="both"/>
        <w:rPr>
          <w:rFonts w:ascii="Arial" w:eastAsia="Arial" w:hAnsi="Arial" w:cs="Arial"/>
          <w:sz w:val="24"/>
          <w:szCs w:val="24"/>
        </w:rPr>
      </w:pPr>
    </w:p>
    <w:p w14:paraId="039E6A05" w14:textId="77777777" w:rsidR="00050BFC" w:rsidRPr="001279DB" w:rsidRDefault="00050BFC" w:rsidP="00522F18">
      <w:pPr>
        <w:spacing w:after="0" w:line="360" w:lineRule="auto"/>
        <w:jc w:val="both"/>
        <w:rPr>
          <w:rFonts w:ascii="Arial" w:hAnsi="Arial" w:cs="Arial"/>
          <w:b/>
          <w:sz w:val="24"/>
          <w:szCs w:val="24"/>
          <w:lang w:val="en-GB"/>
        </w:rPr>
      </w:pPr>
    </w:p>
    <w:p w14:paraId="6F55ECE6" w14:textId="77777777" w:rsidR="00467AD7" w:rsidRPr="00827569" w:rsidRDefault="00467AD7" w:rsidP="00221AD4">
      <w:pPr>
        <w:spacing w:after="0" w:line="360" w:lineRule="auto"/>
        <w:jc w:val="both"/>
        <w:rPr>
          <w:rFonts w:ascii="Arial" w:hAnsi="Arial" w:cs="Arial"/>
          <w:b/>
          <w:sz w:val="24"/>
          <w:szCs w:val="24"/>
        </w:rPr>
      </w:pPr>
      <w:r w:rsidRPr="00827569">
        <w:rPr>
          <w:rFonts w:ascii="Arial" w:hAnsi="Arial" w:cs="Arial"/>
          <w:b/>
          <w:sz w:val="24"/>
          <w:szCs w:val="24"/>
        </w:rPr>
        <w:t>Nicholls JA (</w:t>
      </w:r>
      <w:r w:rsidR="006741CF" w:rsidRPr="00827569">
        <w:rPr>
          <w:rFonts w:ascii="Arial" w:hAnsi="Arial" w:cs="Arial"/>
          <w:b/>
          <w:sz w:val="24"/>
          <w:szCs w:val="24"/>
        </w:rPr>
        <w:t>Weiner JA concurring</w:t>
      </w:r>
      <w:r w:rsidRPr="00827569">
        <w:rPr>
          <w:rFonts w:ascii="Arial" w:hAnsi="Arial" w:cs="Arial"/>
          <w:b/>
          <w:sz w:val="24"/>
          <w:szCs w:val="24"/>
        </w:rPr>
        <w:t>):</w:t>
      </w:r>
    </w:p>
    <w:p w14:paraId="4E6E1E67" w14:textId="77777777" w:rsidR="00221AD4" w:rsidRPr="00827569" w:rsidRDefault="00221AD4" w:rsidP="00221AD4">
      <w:pPr>
        <w:spacing w:after="0" w:line="360" w:lineRule="auto"/>
        <w:jc w:val="both"/>
        <w:rPr>
          <w:rFonts w:ascii="Arial" w:hAnsi="Arial" w:cs="Arial"/>
          <w:b/>
          <w:sz w:val="24"/>
          <w:szCs w:val="24"/>
        </w:rPr>
      </w:pPr>
    </w:p>
    <w:p w14:paraId="1CAB0B6F" w14:textId="308E22B1" w:rsidR="005D1D03" w:rsidRPr="004447B3" w:rsidRDefault="004447B3" w:rsidP="004447B3">
      <w:pPr>
        <w:spacing w:after="0" w:line="360" w:lineRule="auto"/>
        <w:ind w:left="360" w:hanging="360"/>
        <w:jc w:val="both"/>
        <w:rPr>
          <w:rFonts w:ascii="Arial" w:hAnsi="Arial" w:cs="Arial"/>
          <w:b/>
          <w:sz w:val="24"/>
          <w:szCs w:val="24"/>
        </w:rPr>
      </w:pPr>
      <w:r w:rsidRPr="005D1D03">
        <w:rPr>
          <w:rFonts w:ascii="Arial" w:hAnsi="Arial" w:cs="Arial"/>
          <w:sz w:val="24"/>
          <w:szCs w:val="24"/>
        </w:rPr>
        <w:t>[43]</w:t>
      </w:r>
      <w:r w:rsidRPr="005D1D03">
        <w:rPr>
          <w:rFonts w:ascii="Arial" w:hAnsi="Arial" w:cs="Arial"/>
          <w:sz w:val="24"/>
          <w:szCs w:val="24"/>
        </w:rPr>
        <w:tab/>
      </w:r>
      <w:r w:rsidR="00467AD7" w:rsidRPr="004447B3">
        <w:rPr>
          <w:rFonts w:ascii="Arial" w:hAnsi="Arial" w:cs="Arial"/>
          <w:kern w:val="2"/>
          <w:sz w:val="24"/>
          <w:szCs w:val="24"/>
          <w:lang w:val="en-GB"/>
          <w14:ligatures w14:val="standardContextual"/>
        </w:rPr>
        <w:t>I have read the first judgment of my colleague, H</w:t>
      </w:r>
      <w:r w:rsidR="005D1D03" w:rsidRPr="004447B3">
        <w:rPr>
          <w:rFonts w:ascii="Arial" w:hAnsi="Arial" w:cs="Arial"/>
          <w:kern w:val="2"/>
          <w:sz w:val="24"/>
          <w:szCs w:val="24"/>
          <w:lang w:val="en-GB"/>
          <w14:ligatures w14:val="standardContextual"/>
        </w:rPr>
        <w:t>ughes JA. Regretfully, I cannot</w:t>
      </w:r>
    </w:p>
    <w:p w14:paraId="71913027" w14:textId="3F6B911E" w:rsidR="00467AD7" w:rsidRPr="005D1D03" w:rsidRDefault="00467AD7" w:rsidP="005D1D03">
      <w:pPr>
        <w:spacing w:after="0" w:line="360" w:lineRule="auto"/>
        <w:jc w:val="both"/>
        <w:rPr>
          <w:rFonts w:ascii="Arial" w:hAnsi="Arial" w:cs="Arial"/>
          <w:b/>
          <w:sz w:val="24"/>
          <w:szCs w:val="24"/>
        </w:rPr>
      </w:pPr>
      <w:r w:rsidRPr="005D1D03">
        <w:rPr>
          <w:rFonts w:ascii="Arial" w:hAnsi="Arial" w:cs="Arial"/>
          <w:kern w:val="2"/>
          <w:sz w:val="24"/>
          <w:szCs w:val="24"/>
          <w:lang w:val="en-GB"/>
          <w14:ligatures w14:val="standardContextual"/>
        </w:rPr>
        <w:t xml:space="preserve">agree with the outcome thereof or its reasoning. In summary, her reasoning is that because the Municipality has a constitutional duty to provide basic municipal services to all occupants within its jurisdiction, it would be incorrect to apply private law in circumstances where there exist public law rights and obligations. Instead, there is ‘a special cluster of relationships’ between a public service provider and members of the community that invokes the application of PAJA. She concludes that the unlawful occupiers have a right to insist on being supplied with electricity, which right will be adversely affected in this ‘special cluster of relationships’ should Lehlaka act in a manner as to terminate the consumer agreement for the supply of electricity. Consequently, as the unlawful occupiers have a direct and substantial interest in the subject matter of the litigation, they should have been joined to the proceedings. On </w:t>
      </w:r>
      <w:r w:rsidRPr="002941CC">
        <w:rPr>
          <w:rFonts w:ascii="Arial" w:hAnsi="Arial" w:cs="Arial"/>
          <w:kern w:val="2"/>
          <w:sz w:val="24"/>
          <w:szCs w:val="24"/>
          <w:lang w:val="en-GB"/>
          <w14:ligatures w14:val="standardContextual"/>
        </w:rPr>
        <w:t>this basis</w:t>
      </w:r>
      <w:r w:rsidR="008B5ADF" w:rsidRPr="002941CC">
        <w:rPr>
          <w:rFonts w:ascii="Arial" w:hAnsi="Arial" w:cs="Arial"/>
          <w:kern w:val="2"/>
          <w:sz w:val="24"/>
          <w:szCs w:val="24"/>
          <w:lang w:val="en-GB"/>
          <w14:ligatures w14:val="standardContextual"/>
        </w:rPr>
        <w:t>, the first judgment found that</w:t>
      </w:r>
      <w:r w:rsidRPr="002941CC">
        <w:rPr>
          <w:rFonts w:ascii="Arial" w:hAnsi="Arial" w:cs="Arial"/>
          <w:kern w:val="2"/>
          <w:sz w:val="24"/>
          <w:szCs w:val="24"/>
          <w:lang w:val="en-GB"/>
          <w14:ligatures w14:val="standardContextual"/>
        </w:rPr>
        <w:t xml:space="preserve"> the special plea of non-joinder </w:t>
      </w:r>
      <w:r w:rsidR="008B5ADF" w:rsidRPr="002941CC">
        <w:rPr>
          <w:rFonts w:ascii="Arial" w:hAnsi="Arial" w:cs="Arial"/>
          <w:kern w:val="2"/>
          <w:sz w:val="24"/>
          <w:szCs w:val="24"/>
          <w:lang w:val="en-GB"/>
          <w14:ligatures w14:val="standardContextual"/>
        </w:rPr>
        <w:t>should be</w:t>
      </w:r>
      <w:r w:rsidRPr="005D1D03">
        <w:rPr>
          <w:rFonts w:ascii="Arial" w:hAnsi="Arial" w:cs="Arial"/>
          <w:kern w:val="2"/>
          <w:sz w:val="24"/>
          <w:szCs w:val="24"/>
          <w:lang w:val="en-GB"/>
          <w14:ligatures w14:val="standardContextual"/>
        </w:rPr>
        <w:t xml:space="preserve"> upheld.</w:t>
      </w:r>
    </w:p>
    <w:p w14:paraId="69F14718" w14:textId="77777777" w:rsidR="00313CE8" w:rsidRPr="00827569" w:rsidRDefault="00313CE8" w:rsidP="00313CE8">
      <w:pPr>
        <w:pStyle w:val="ListParagraph"/>
        <w:spacing w:after="0" w:line="360" w:lineRule="auto"/>
        <w:ind w:left="0"/>
        <w:jc w:val="both"/>
        <w:rPr>
          <w:rFonts w:ascii="Arial" w:hAnsi="Arial" w:cs="Arial"/>
          <w:b/>
          <w:sz w:val="24"/>
          <w:szCs w:val="24"/>
        </w:rPr>
      </w:pPr>
    </w:p>
    <w:p w14:paraId="68415888" w14:textId="41B2A202" w:rsidR="00467AD7" w:rsidRPr="004447B3" w:rsidRDefault="004447B3" w:rsidP="004447B3">
      <w:pPr>
        <w:spacing w:after="0" w:line="360" w:lineRule="auto"/>
        <w:jc w:val="both"/>
        <w:rPr>
          <w:rFonts w:ascii="Arial" w:hAnsi="Arial" w:cs="Arial"/>
          <w:b/>
          <w:sz w:val="24"/>
          <w:szCs w:val="24"/>
        </w:rPr>
      </w:pPr>
      <w:r w:rsidRPr="00827569">
        <w:rPr>
          <w:rFonts w:ascii="Arial" w:hAnsi="Arial" w:cs="Arial"/>
          <w:sz w:val="24"/>
          <w:szCs w:val="24"/>
        </w:rPr>
        <w:t>[44]</w:t>
      </w:r>
      <w:r w:rsidRPr="00827569">
        <w:rPr>
          <w:rFonts w:ascii="Arial" w:hAnsi="Arial" w:cs="Arial"/>
          <w:sz w:val="24"/>
          <w:szCs w:val="24"/>
        </w:rPr>
        <w:tab/>
      </w:r>
      <w:r w:rsidR="00467AD7" w:rsidRPr="004447B3">
        <w:rPr>
          <w:rFonts w:ascii="Arial" w:hAnsi="Arial" w:cs="Arial"/>
          <w:kern w:val="2"/>
          <w:sz w:val="24"/>
          <w:szCs w:val="24"/>
          <w:lang w:val="en-GB"/>
          <w14:ligatures w14:val="standardContextual"/>
        </w:rPr>
        <w:t xml:space="preserve">The facts are set out in the first judgment and need not be repeated here. I am also in agreement with the applicable legislation and the by-laws relating to the termination of the consumer agreement (the Electricity By-laws). My fundamental point </w:t>
      </w:r>
      <w:r w:rsidR="00467AD7" w:rsidRPr="004447B3">
        <w:rPr>
          <w:rFonts w:ascii="Arial" w:hAnsi="Arial" w:cs="Arial"/>
          <w:kern w:val="2"/>
          <w:sz w:val="24"/>
          <w:szCs w:val="24"/>
          <w:lang w:val="en-GB"/>
          <w14:ligatures w14:val="standardContextual"/>
        </w:rPr>
        <w:lastRenderedPageBreak/>
        <w:t>of departure is that there exists no public law relationship between Lehlaka and the unlawful occupiers. That there may be one between the Municipality and the unlawful occupiers to provide basic services does not mean that the unlawful occupiers have a direct and substantial interest in the dispute as to whether Lehlaka has a right to terminate its consumer agreement with the Municipality. Or, as the Municipality contends, whether it has a discretion not to accept the termination.</w:t>
      </w:r>
    </w:p>
    <w:p w14:paraId="2DEE3A11" w14:textId="77777777" w:rsidR="00313CE8" w:rsidRPr="00827569" w:rsidRDefault="00313CE8" w:rsidP="00313CE8">
      <w:pPr>
        <w:pStyle w:val="ListParagraph"/>
        <w:rPr>
          <w:rFonts w:ascii="Arial" w:hAnsi="Arial" w:cs="Arial"/>
          <w:b/>
          <w:sz w:val="24"/>
          <w:szCs w:val="24"/>
        </w:rPr>
      </w:pPr>
    </w:p>
    <w:p w14:paraId="27365DCB" w14:textId="30819810" w:rsidR="00467AD7" w:rsidRPr="004447B3" w:rsidRDefault="004447B3" w:rsidP="004447B3">
      <w:pPr>
        <w:spacing w:after="0" w:line="360" w:lineRule="auto"/>
        <w:jc w:val="both"/>
        <w:rPr>
          <w:rFonts w:ascii="Arial" w:hAnsi="Arial" w:cs="Arial"/>
          <w:b/>
          <w:sz w:val="24"/>
          <w:szCs w:val="24"/>
        </w:rPr>
      </w:pPr>
      <w:r w:rsidRPr="00827569">
        <w:rPr>
          <w:rFonts w:ascii="Arial" w:hAnsi="Arial" w:cs="Arial"/>
          <w:sz w:val="24"/>
          <w:szCs w:val="24"/>
        </w:rPr>
        <w:t>[45]</w:t>
      </w:r>
      <w:r w:rsidRPr="00827569">
        <w:rPr>
          <w:rFonts w:ascii="Arial" w:hAnsi="Arial" w:cs="Arial"/>
          <w:sz w:val="24"/>
          <w:szCs w:val="24"/>
        </w:rPr>
        <w:tab/>
      </w:r>
      <w:r w:rsidR="00467AD7" w:rsidRPr="004447B3">
        <w:rPr>
          <w:rFonts w:ascii="Arial" w:hAnsi="Arial" w:cs="Arial"/>
          <w:kern w:val="2"/>
          <w:sz w:val="24"/>
          <w:szCs w:val="24"/>
          <w:lang w:val="en-GB"/>
          <w14:ligatures w14:val="standardContextual"/>
        </w:rPr>
        <w:t>The first point to be made is that there is no constitutional or other legal obligation on a private property owner to pay for electricity consumed by unlawful occupiers. There is no legislation that provides for this and insofar as it may be suggested that the Constitutional Court has imposed such a duty, this is based on a misunderstanding of the authorities. If Lehlaka owes no duty to supply electricity to the unlawful occupiers in discharge of a public duty (and has no private law duty to do so), then whether or not the contract between Lehlaka and the Municipality is terminated, gives rise to no legal interest by the unlawful occupiers in that dispute.</w:t>
      </w:r>
    </w:p>
    <w:p w14:paraId="6BB8F063" w14:textId="77777777" w:rsidR="00313CE8" w:rsidRPr="00827569" w:rsidRDefault="00313CE8" w:rsidP="00313CE8">
      <w:pPr>
        <w:pStyle w:val="ListParagraph"/>
        <w:rPr>
          <w:rFonts w:ascii="Arial" w:hAnsi="Arial" w:cs="Arial"/>
          <w:b/>
          <w:sz w:val="24"/>
          <w:szCs w:val="24"/>
        </w:rPr>
      </w:pPr>
    </w:p>
    <w:p w14:paraId="30EAF649" w14:textId="1CD3CAE0" w:rsidR="00467AD7" w:rsidRPr="004447B3" w:rsidRDefault="004447B3" w:rsidP="004447B3">
      <w:pPr>
        <w:spacing w:after="0" w:line="360" w:lineRule="auto"/>
        <w:jc w:val="both"/>
        <w:rPr>
          <w:rFonts w:ascii="Arial" w:hAnsi="Arial" w:cs="Arial"/>
          <w:b/>
          <w:sz w:val="24"/>
          <w:szCs w:val="24"/>
        </w:rPr>
      </w:pPr>
      <w:r w:rsidRPr="00827569">
        <w:rPr>
          <w:rFonts w:ascii="Arial" w:hAnsi="Arial" w:cs="Arial"/>
          <w:sz w:val="24"/>
          <w:szCs w:val="24"/>
        </w:rPr>
        <w:t>[46]</w:t>
      </w:r>
      <w:r w:rsidRPr="00827569">
        <w:rPr>
          <w:rFonts w:ascii="Arial" w:hAnsi="Arial" w:cs="Arial"/>
          <w:sz w:val="24"/>
          <w:szCs w:val="24"/>
        </w:rPr>
        <w:tab/>
      </w:r>
      <w:r w:rsidR="00467AD7" w:rsidRPr="004447B3">
        <w:rPr>
          <w:rFonts w:ascii="Arial" w:hAnsi="Arial" w:cs="Arial"/>
          <w:kern w:val="2"/>
          <w:sz w:val="24"/>
          <w:szCs w:val="24"/>
          <w:lang w:val="en-GB"/>
          <w14:ligatures w14:val="standardContextual"/>
        </w:rPr>
        <w:t xml:space="preserve">Much has been written about the nature of the ‘interest’ that a party must have in order to be joined to proceedings. In </w:t>
      </w:r>
      <w:r w:rsidR="00467AD7" w:rsidRPr="004447B3">
        <w:rPr>
          <w:rFonts w:ascii="Arial" w:hAnsi="Arial" w:cs="Arial"/>
          <w:i/>
          <w:kern w:val="2"/>
          <w:sz w:val="24"/>
          <w:szCs w:val="24"/>
          <w:lang w:val="en-GB"/>
          <w14:ligatures w14:val="standardContextual"/>
        </w:rPr>
        <w:t xml:space="preserve">Milani and Another v South African Medical and Dental Council and Another </w:t>
      </w:r>
      <w:r w:rsidR="00467AD7" w:rsidRPr="004447B3">
        <w:rPr>
          <w:rFonts w:ascii="Arial" w:hAnsi="Arial" w:cs="Arial"/>
          <w:kern w:val="2"/>
          <w:sz w:val="24"/>
          <w:szCs w:val="24"/>
          <w:lang w:val="en-GB"/>
          <w14:ligatures w14:val="standardContextual"/>
        </w:rPr>
        <w:t>(</w:t>
      </w:r>
      <w:r w:rsidR="00467AD7" w:rsidRPr="004447B3">
        <w:rPr>
          <w:rFonts w:ascii="Arial" w:hAnsi="Arial" w:cs="Arial"/>
          <w:i/>
          <w:kern w:val="2"/>
          <w:sz w:val="24"/>
          <w:szCs w:val="24"/>
          <w:lang w:val="en-GB"/>
          <w14:ligatures w14:val="standardContextual"/>
        </w:rPr>
        <w:t>Milani</w:t>
      </w:r>
      <w:r w:rsidR="00467AD7" w:rsidRPr="004447B3">
        <w:rPr>
          <w:rFonts w:ascii="Arial" w:hAnsi="Arial" w:cs="Arial"/>
          <w:kern w:val="2"/>
          <w:sz w:val="24"/>
          <w:szCs w:val="24"/>
          <w:lang w:val="en-GB"/>
          <w14:ligatures w14:val="standardContextual"/>
        </w:rPr>
        <w:t>),</w:t>
      </w:r>
      <w:r w:rsidR="00467AD7" w:rsidRPr="001279DB">
        <w:rPr>
          <w:vertAlign w:val="superscript"/>
          <w:lang w:val="en-GB"/>
        </w:rPr>
        <w:footnoteReference w:id="20"/>
      </w:r>
      <w:r w:rsidR="00467AD7" w:rsidRPr="004447B3">
        <w:rPr>
          <w:rFonts w:ascii="Arial" w:hAnsi="Arial" w:cs="Arial"/>
          <w:i/>
          <w:kern w:val="2"/>
          <w:sz w:val="24"/>
          <w:szCs w:val="24"/>
          <w:lang w:val="en-GB"/>
          <w14:ligatures w14:val="standardContextual"/>
        </w:rPr>
        <w:t xml:space="preserve"> </w:t>
      </w:r>
      <w:r w:rsidR="00467AD7" w:rsidRPr="004447B3">
        <w:rPr>
          <w:rFonts w:ascii="Arial" w:hAnsi="Arial" w:cs="Arial"/>
          <w:kern w:val="2"/>
          <w:sz w:val="24"/>
          <w:szCs w:val="24"/>
          <w:lang w:val="en-GB"/>
          <w14:ligatures w14:val="standardContextual"/>
        </w:rPr>
        <w:t>the court, in dealing with this issue, stated:</w:t>
      </w:r>
    </w:p>
    <w:p w14:paraId="40F70CC9" w14:textId="77777777" w:rsidR="00467AD7" w:rsidRPr="001279DB" w:rsidRDefault="00467AD7" w:rsidP="00522F18">
      <w:pPr>
        <w:spacing w:after="0" w:line="360" w:lineRule="auto"/>
        <w:contextualSpacing/>
        <w:jc w:val="both"/>
        <w:rPr>
          <w:rFonts w:ascii="Arial" w:eastAsia="Times New Roman" w:hAnsi="Arial" w:cs="Arial"/>
          <w:kern w:val="2"/>
          <w:lang w:val="en-US"/>
          <w14:ligatures w14:val="standardContextual"/>
        </w:rPr>
      </w:pPr>
      <w:r w:rsidRPr="001279DB">
        <w:rPr>
          <w:rFonts w:ascii="Arial" w:eastAsia="Times New Roman" w:hAnsi="Arial" w:cs="Arial"/>
          <w:kern w:val="2"/>
          <w:lang w:val="en-US"/>
          <w14:ligatures w14:val="standardContextual"/>
        </w:rPr>
        <w:t xml:space="preserve">‘Our Courts have at times recognised that certain persons are affected by legal proceedings but they have no right to be joined. The sub-tenant of the tenant in a suit against a lessor is a case in point. (Compare </w:t>
      </w:r>
      <w:r w:rsidRPr="001279DB">
        <w:rPr>
          <w:rFonts w:ascii="Arial" w:eastAsia="Times New Roman" w:hAnsi="Arial" w:cs="Arial"/>
          <w:i/>
          <w:iCs/>
          <w:kern w:val="2"/>
          <w:lang w:val="en-US"/>
          <w14:ligatures w14:val="standardContextual"/>
        </w:rPr>
        <w:t xml:space="preserve">Sheshe v Vereeniging Municipality </w:t>
      </w:r>
      <w:r w:rsidRPr="001279DB">
        <w:rPr>
          <w:rFonts w:ascii="Arial" w:eastAsia="Times New Roman" w:hAnsi="Arial" w:cs="Arial"/>
          <w:kern w:val="2"/>
          <w:lang w:val="en-US"/>
          <w14:ligatures w14:val="standardContextual"/>
        </w:rPr>
        <w:t xml:space="preserve">1951 (3) SA 661 (A) at 667A; and </w:t>
      </w:r>
      <w:r w:rsidRPr="001279DB">
        <w:rPr>
          <w:rFonts w:ascii="Arial" w:eastAsia="Times New Roman" w:hAnsi="Arial" w:cs="Arial"/>
          <w:i/>
          <w:iCs/>
          <w:kern w:val="2"/>
          <w:lang w:val="en-US"/>
          <w14:ligatures w14:val="standardContextual"/>
        </w:rPr>
        <w:t xml:space="preserve">Ntai and Others v Vereeniging Town Council and Another </w:t>
      </w:r>
      <w:r w:rsidRPr="001279DB">
        <w:rPr>
          <w:rFonts w:ascii="Arial" w:hAnsi="Arial" w:cs="Arial"/>
          <w:kern w:val="2"/>
          <w:lang w:val="en-GB"/>
          <w14:ligatures w14:val="standardContextual"/>
        </w:rPr>
        <w:t>1953 (4) SA 579 (A)</w:t>
      </w:r>
      <w:r w:rsidRPr="001279DB">
        <w:rPr>
          <w:rFonts w:ascii="Arial" w:eastAsia="Times New Roman" w:hAnsi="Arial" w:cs="Arial"/>
          <w:kern w:val="2"/>
          <w:lang w:val="en-US"/>
          <w14:ligatures w14:val="standardContextual"/>
        </w:rPr>
        <w:t xml:space="preserve"> at 591.) In the </w:t>
      </w:r>
      <w:r w:rsidRPr="001279DB">
        <w:rPr>
          <w:rFonts w:ascii="Arial" w:eastAsia="Times New Roman" w:hAnsi="Arial" w:cs="Arial"/>
          <w:i/>
          <w:iCs/>
          <w:kern w:val="2"/>
          <w:lang w:val="en-US"/>
          <w14:ligatures w14:val="standardContextual"/>
        </w:rPr>
        <w:t>United Watch</w:t>
      </w:r>
      <w:r w:rsidRPr="001279DB">
        <w:rPr>
          <w:rFonts w:ascii="Arial" w:eastAsia="Times New Roman" w:hAnsi="Arial" w:cs="Arial"/>
          <w:kern w:val="2"/>
          <w:lang w:val="en-US"/>
          <w14:ligatures w14:val="standardContextual"/>
        </w:rPr>
        <w:t xml:space="preserve"> case </w:t>
      </w:r>
      <w:r w:rsidRPr="001279DB">
        <w:rPr>
          <w:rFonts w:ascii="Arial" w:eastAsia="Times New Roman" w:hAnsi="Arial" w:cs="Arial"/>
          <w:i/>
          <w:iCs/>
          <w:kern w:val="2"/>
          <w:lang w:val="en-US"/>
          <w14:ligatures w14:val="standardContextual"/>
        </w:rPr>
        <w:t>supra</w:t>
      </w:r>
      <w:r w:rsidRPr="001279DB">
        <w:rPr>
          <w:rFonts w:ascii="Arial" w:eastAsia="Times New Roman" w:hAnsi="Arial" w:cs="Arial"/>
          <w:kern w:val="2"/>
          <w:lang w:val="en-US"/>
          <w14:ligatures w14:val="standardContextual"/>
        </w:rPr>
        <w:t xml:space="preserve"> Corbett J at 417B-C said about such a sub-tenant: </w:t>
      </w:r>
    </w:p>
    <w:p w14:paraId="60B252AF" w14:textId="77777777" w:rsidR="00467AD7" w:rsidRPr="001279DB" w:rsidRDefault="00467AD7" w:rsidP="00522F18">
      <w:pPr>
        <w:spacing w:after="0" w:line="360" w:lineRule="auto"/>
        <w:contextualSpacing/>
        <w:jc w:val="both"/>
        <w:rPr>
          <w:rFonts w:ascii="Arial" w:hAnsi="Arial" w:cs="Arial"/>
          <w:kern w:val="2"/>
          <w:lang w:val="en-GB"/>
          <w14:ligatures w14:val="standardContextual"/>
        </w:rPr>
      </w:pPr>
      <w:r w:rsidRPr="001279DB">
        <w:rPr>
          <w:rFonts w:ascii="Arial" w:eastAsia="Times New Roman" w:hAnsi="Arial" w:cs="Arial"/>
          <w:kern w:val="2"/>
          <w:lang w:val="en-US"/>
          <w14:ligatures w14:val="standardContextual"/>
        </w:rPr>
        <w:t>“The sub-tenants’ right to, or interest in, the continued occupancy of the premises sub-leased is inherently a derivative one depending vitally upon the validity and continued existence of the right of the tenant to such occupation. The sub-tenant, in effect, hires a defeasible interest. (See </w:t>
      </w:r>
      <w:r w:rsidRPr="001279DB">
        <w:rPr>
          <w:rFonts w:ascii="Arial" w:eastAsia="Times New Roman" w:hAnsi="Arial" w:cs="Arial"/>
          <w:i/>
          <w:iCs/>
          <w:kern w:val="2"/>
          <w:lang w:val="en-US"/>
          <w14:ligatures w14:val="standardContextual"/>
        </w:rPr>
        <w:t xml:space="preserve">Ntai and Others v Vereeniging Town Council and Another </w:t>
      </w:r>
      <w:r w:rsidRPr="001279DB">
        <w:rPr>
          <w:rFonts w:ascii="Arial" w:hAnsi="Arial" w:cs="Arial"/>
          <w:kern w:val="2"/>
          <w:lang w:val="en-GB"/>
          <w14:ligatures w14:val="standardContextual"/>
        </w:rPr>
        <w:t>1953 (4) SA 579 (A)</w:t>
      </w:r>
      <w:r w:rsidRPr="001279DB">
        <w:rPr>
          <w:rFonts w:ascii="Arial" w:eastAsia="Times New Roman" w:hAnsi="Arial" w:cs="Arial"/>
          <w:kern w:val="2"/>
          <w:lang w:val="en-US"/>
          <w14:ligatures w14:val="standardContextual"/>
        </w:rPr>
        <w:t xml:space="preserve"> at 591.) He can consequently have no direct legal interest in proceedings in which the tenant’s continuing right of occupation is in issue, however much the termination of that right may affect him commercially and financially.”’</w:t>
      </w:r>
    </w:p>
    <w:p w14:paraId="341AF158" w14:textId="77777777" w:rsidR="00467AD7" w:rsidRPr="001279DB" w:rsidRDefault="00467AD7" w:rsidP="00522F18">
      <w:pPr>
        <w:spacing w:after="0" w:line="360" w:lineRule="auto"/>
        <w:contextualSpacing/>
        <w:jc w:val="both"/>
        <w:rPr>
          <w:rFonts w:ascii="Arial" w:hAnsi="Arial" w:cs="Arial"/>
          <w:kern w:val="2"/>
          <w:sz w:val="24"/>
          <w:szCs w:val="24"/>
          <w:lang w:val="en-GB"/>
          <w14:ligatures w14:val="standardContextual"/>
        </w:rPr>
      </w:pPr>
    </w:p>
    <w:p w14:paraId="08A99AC8" w14:textId="425E2FE2"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lastRenderedPageBreak/>
        <w:t>[47]</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 xml:space="preserve">The principles applied in </w:t>
      </w:r>
      <w:r w:rsidR="00467AD7" w:rsidRPr="004447B3">
        <w:rPr>
          <w:rFonts w:ascii="Arial" w:hAnsi="Arial" w:cs="Arial"/>
          <w:i/>
          <w:kern w:val="2"/>
          <w:sz w:val="24"/>
          <w:szCs w:val="24"/>
          <w:lang w:val="en-GB"/>
          <w14:ligatures w14:val="standardContextual"/>
        </w:rPr>
        <w:t>Milani</w:t>
      </w:r>
      <w:r w:rsidR="00467AD7" w:rsidRPr="004447B3">
        <w:rPr>
          <w:rFonts w:ascii="Arial" w:hAnsi="Arial" w:cs="Arial"/>
          <w:kern w:val="2"/>
          <w:sz w:val="24"/>
          <w:szCs w:val="24"/>
          <w:lang w:val="en-GB"/>
          <w14:ligatures w14:val="standardContextual"/>
        </w:rPr>
        <w:t xml:space="preserve"> are similar to those in issue in this case. The unlawful occupiers may be affected by the termination of the consumer agreement, but that does not amount to the legal interest required to be joined in the proceedings. Furthermore, even if the unlawful occupiers were to be joined, it is unclear what remedy they could possibly seek from Lehlaka.</w:t>
      </w:r>
    </w:p>
    <w:p w14:paraId="6DA3AE04" w14:textId="77777777" w:rsidR="006A3574" w:rsidRPr="001279DB" w:rsidRDefault="006A3574" w:rsidP="00522F18">
      <w:pPr>
        <w:pStyle w:val="ListParagraph"/>
        <w:spacing w:after="0" w:line="360" w:lineRule="auto"/>
        <w:ind w:left="0"/>
        <w:jc w:val="both"/>
        <w:rPr>
          <w:rFonts w:ascii="Arial" w:hAnsi="Arial" w:cs="Arial"/>
          <w:kern w:val="2"/>
          <w:sz w:val="24"/>
          <w:szCs w:val="24"/>
          <w:lang w:val="en-GB"/>
          <w14:ligatures w14:val="standardContextual"/>
        </w:rPr>
      </w:pPr>
    </w:p>
    <w:p w14:paraId="3B57B49B" w14:textId="1BCC7951"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t>[48]</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The first judgment places considerable reliance on the ‘special cluster of relationships’ to find that the unlawful occupiers should be joined. However, it fails to identify the source of Lehlaka’s obligation towards the unlawful occupiers and the basis of their right and interest in the dispute over the termination of the consumer agreement.</w:t>
      </w:r>
    </w:p>
    <w:p w14:paraId="2EB8808A"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77280CFD" w14:textId="660F70BF"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t>[49]</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 xml:space="preserve">The notion of a ‘special cluster of relationships’ was first coined by Sachs J in </w:t>
      </w:r>
      <w:r w:rsidR="00467AD7" w:rsidRPr="004447B3">
        <w:rPr>
          <w:rFonts w:ascii="Arial" w:hAnsi="Arial" w:cs="Arial"/>
          <w:i/>
          <w:iCs/>
          <w:kern w:val="2"/>
          <w:sz w:val="24"/>
          <w:szCs w:val="24"/>
          <w:lang w:val="en-GB"/>
          <w14:ligatures w14:val="standardContextual"/>
        </w:rPr>
        <w:t xml:space="preserve">Residents of Joe Slovo Community, Western Cape v Thubelisha Homes and Others </w:t>
      </w:r>
      <w:r w:rsidR="00467AD7" w:rsidRPr="004447B3">
        <w:rPr>
          <w:rFonts w:ascii="Arial" w:hAnsi="Arial" w:cs="Arial"/>
          <w:iCs/>
          <w:kern w:val="2"/>
          <w:sz w:val="24"/>
          <w:szCs w:val="24"/>
          <w:lang w:val="en-GB"/>
          <w14:ligatures w14:val="standardContextual"/>
        </w:rPr>
        <w:t>(</w:t>
      </w:r>
      <w:r w:rsidR="00467AD7" w:rsidRPr="004447B3">
        <w:rPr>
          <w:rFonts w:ascii="Arial" w:hAnsi="Arial" w:cs="Arial"/>
          <w:i/>
          <w:iCs/>
          <w:kern w:val="2"/>
          <w:sz w:val="24"/>
          <w:szCs w:val="24"/>
          <w:lang w:val="en-GB"/>
          <w14:ligatures w14:val="standardContextual"/>
        </w:rPr>
        <w:t>Joe Slovo</w:t>
      </w:r>
      <w:r w:rsidR="00467AD7" w:rsidRPr="004447B3">
        <w:rPr>
          <w:rFonts w:ascii="Arial" w:hAnsi="Arial" w:cs="Arial"/>
          <w:iCs/>
          <w:kern w:val="2"/>
          <w:sz w:val="24"/>
          <w:szCs w:val="24"/>
          <w:lang w:val="en-GB"/>
          <w14:ligatures w14:val="standardContextual"/>
        </w:rPr>
        <w:t>)</w:t>
      </w:r>
      <w:r w:rsidR="00467AD7" w:rsidRPr="001279DB">
        <w:rPr>
          <w:vertAlign w:val="superscript"/>
          <w:lang w:val="en-GB"/>
        </w:rPr>
        <w:footnoteReference w:id="21"/>
      </w:r>
      <w:r w:rsidR="00467AD7" w:rsidRPr="004447B3">
        <w:rPr>
          <w:rFonts w:ascii="Arial" w:hAnsi="Arial" w:cs="Arial"/>
          <w:kern w:val="2"/>
          <w:sz w:val="24"/>
          <w:szCs w:val="24"/>
          <w:lang w:val="en-GB"/>
          <w14:ligatures w14:val="standardContextual"/>
        </w:rPr>
        <w:t xml:space="preserve"> and quoted with approval in </w:t>
      </w:r>
      <w:r w:rsidR="00467AD7" w:rsidRPr="004447B3">
        <w:rPr>
          <w:rFonts w:ascii="Arial" w:hAnsi="Arial" w:cs="Arial"/>
          <w:i/>
          <w:iCs/>
          <w:kern w:val="2"/>
          <w:sz w:val="24"/>
          <w:szCs w:val="24"/>
          <w:lang w:val="en-GB"/>
          <w14:ligatures w14:val="standardContextual"/>
        </w:rPr>
        <w:t>Joseph and Others v City of Johannesburg</w:t>
      </w:r>
      <w:r w:rsidR="00467AD7" w:rsidRPr="004447B3">
        <w:rPr>
          <w:rFonts w:ascii="Arial" w:hAnsi="Arial" w:cs="Arial"/>
          <w:kern w:val="2"/>
          <w:sz w:val="24"/>
          <w:szCs w:val="24"/>
          <w:lang w:val="en-GB"/>
          <w14:ligatures w14:val="standardContextual"/>
        </w:rPr>
        <w:t xml:space="preserve"> </w:t>
      </w:r>
      <w:r w:rsidR="00467AD7" w:rsidRPr="004447B3">
        <w:rPr>
          <w:rFonts w:ascii="Arial" w:hAnsi="Arial" w:cs="Arial"/>
          <w:i/>
          <w:iCs/>
          <w:kern w:val="2"/>
          <w:sz w:val="24"/>
          <w:szCs w:val="24"/>
          <w:lang w:val="en-GB"/>
          <w14:ligatures w14:val="standardContextual"/>
        </w:rPr>
        <w:t xml:space="preserve">and Others </w:t>
      </w:r>
      <w:r w:rsidR="00467AD7" w:rsidRPr="004447B3">
        <w:rPr>
          <w:rFonts w:ascii="Arial" w:hAnsi="Arial" w:cs="Arial"/>
          <w:iCs/>
          <w:kern w:val="2"/>
          <w:sz w:val="24"/>
          <w:szCs w:val="24"/>
          <w:lang w:val="en-GB"/>
          <w14:ligatures w14:val="standardContextual"/>
        </w:rPr>
        <w:t>(</w:t>
      </w:r>
      <w:r w:rsidR="00467AD7" w:rsidRPr="004447B3">
        <w:rPr>
          <w:rFonts w:ascii="Arial" w:hAnsi="Arial" w:cs="Arial"/>
          <w:i/>
          <w:iCs/>
          <w:kern w:val="2"/>
          <w:sz w:val="24"/>
          <w:szCs w:val="24"/>
          <w:lang w:val="en-GB"/>
          <w14:ligatures w14:val="standardContextual"/>
        </w:rPr>
        <w:t>Joseph</w:t>
      </w:r>
      <w:r w:rsidR="00467AD7" w:rsidRPr="004447B3">
        <w:rPr>
          <w:rFonts w:ascii="Arial" w:hAnsi="Arial" w:cs="Arial"/>
          <w:iCs/>
          <w:kern w:val="2"/>
          <w:sz w:val="24"/>
          <w:szCs w:val="24"/>
          <w:lang w:val="en-GB"/>
          <w14:ligatures w14:val="standardContextual"/>
        </w:rPr>
        <w:t>).</w:t>
      </w:r>
      <w:r w:rsidR="00467AD7" w:rsidRPr="001279DB">
        <w:rPr>
          <w:vertAlign w:val="superscript"/>
          <w:lang w:val="en-GB"/>
        </w:rPr>
        <w:footnoteReference w:id="22"/>
      </w:r>
      <w:r w:rsidR="00467AD7" w:rsidRPr="004447B3">
        <w:rPr>
          <w:rFonts w:ascii="Arial" w:hAnsi="Arial" w:cs="Arial"/>
          <w:kern w:val="2"/>
          <w:sz w:val="24"/>
          <w:szCs w:val="24"/>
          <w:lang w:val="en-GB"/>
          <w14:ligatures w14:val="standardContextual"/>
        </w:rPr>
        <w:t xml:space="preserve"> In </w:t>
      </w:r>
      <w:r w:rsidR="00467AD7" w:rsidRPr="004447B3">
        <w:rPr>
          <w:rFonts w:ascii="Arial" w:hAnsi="Arial" w:cs="Arial"/>
          <w:i/>
          <w:kern w:val="2"/>
          <w:sz w:val="24"/>
          <w:szCs w:val="24"/>
          <w:lang w:val="en-GB"/>
          <w14:ligatures w14:val="standardContextual"/>
        </w:rPr>
        <w:t xml:space="preserve">Joe </w:t>
      </w:r>
      <w:r w:rsidR="00467AD7" w:rsidRPr="004447B3">
        <w:rPr>
          <w:rFonts w:ascii="Arial" w:hAnsi="Arial" w:cs="Arial"/>
          <w:i/>
          <w:iCs/>
          <w:kern w:val="2"/>
          <w:sz w:val="24"/>
          <w:szCs w:val="24"/>
          <w:lang w:val="en-GB"/>
          <w14:ligatures w14:val="standardContextual"/>
        </w:rPr>
        <w:t>Slovo</w:t>
      </w:r>
      <w:r w:rsidR="00467AD7" w:rsidRPr="004447B3">
        <w:rPr>
          <w:rFonts w:ascii="Arial" w:hAnsi="Arial" w:cs="Arial"/>
          <w:iCs/>
          <w:kern w:val="2"/>
          <w:sz w:val="24"/>
          <w:szCs w:val="24"/>
          <w:lang w:val="en-GB"/>
          <w14:ligatures w14:val="standardContextual"/>
        </w:rPr>
        <w:t>,</w:t>
      </w:r>
      <w:r w:rsidR="00467AD7" w:rsidRPr="004447B3">
        <w:rPr>
          <w:rFonts w:ascii="Arial" w:hAnsi="Arial" w:cs="Arial"/>
          <w:i/>
          <w:iCs/>
          <w:kern w:val="2"/>
          <w:sz w:val="24"/>
          <w:szCs w:val="24"/>
          <w:lang w:val="en-GB"/>
          <w14:ligatures w14:val="standardContextual"/>
        </w:rPr>
        <w:t xml:space="preserve"> </w:t>
      </w:r>
      <w:r w:rsidR="00467AD7" w:rsidRPr="004447B3">
        <w:rPr>
          <w:rFonts w:ascii="Arial" w:hAnsi="Arial" w:cs="Arial"/>
          <w:kern w:val="2"/>
          <w:sz w:val="24"/>
          <w:szCs w:val="24"/>
          <w:lang w:val="en-GB"/>
          <w14:ligatures w14:val="standardContextual"/>
        </w:rPr>
        <w:t xml:space="preserve">the question was whether the residents of the Joe Slovo community were ‘unlawful occupiers’ in terms of the </w:t>
      </w:r>
      <w:r w:rsidR="00467AD7" w:rsidRPr="004447B3">
        <w:rPr>
          <w:rFonts w:ascii="Arial" w:hAnsi="Arial" w:cs="Arial"/>
          <w:kern w:val="2"/>
          <w:sz w:val="24"/>
          <w:szCs w:val="24"/>
          <w14:ligatures w14:val="standardContextual"/>
        </w:rPr>
        <w:t xml:space="preserve">Prevention of Illegal Eviction from and Unlawful Occupation of Land Act </w:t>
      </w:r>
      <w:r w:rsidR="00467AD7" w:rsidRPr="004447B3">
        <w:rPr>
          <w:rFonts w:ascii="Arial" w:hAnsi="Arial" w:cs="Arial"/>
          <w:kern w:val="2"/>
          <w:sz w:val="24"/>
          <w:szCs w:val="24"/>
          <w:lang w:val="en-GB"/>
          <w14:ligatures w14:val="standardContextual"/>
        </w:rPr>
        <w:t>19 of 1998</w:t>
      </w:r>
      <w:r w:rsidR="00467AD7" w:rsidRPr="004447B3">
        <w:rPr>
          <w:rFonts w:ascii="Arial" w:hAnsi="Arial" w:cs="Arial"/>
          <w:kern w:val="2"/>
          <w:sz w:val="24"/>
          <w:szCs w:val="24"/>
          <w14:ligatures w14:val="standardContextual"/>
        </w:rPr>
        <w:t xml:space="preserve"> (</w:t>
      </w:r>
      <w:r w:rsidR="00467AD7" w:rsidRPr="004447B3">
        <w:rPr>
          <w:rFonts w:ascii="Arial" w:hAnsi="Arial" w:cs="Arial"/>
          <w:kern w:val="2"/>
          <w:sz w:val="24"/>
          <w:szCs w:val="24"/>
          <w:lang w:val="en-GB"/>
          <w14:ligatures w14:val="standardContextual"/>
        </w:rPr>
        <w:t>PIE) and whether the respondents had acted reasonably and constitutionall</w:t>
      </w:r>
      <w:r w:rsidR="00CC2876" w:rsidRPr="004447B3">
        <w:rPr>
          <w:rFonts w:ascii="Arial" w:hAnsi="Arial" w:cs="Arial"/>
          <w:kern w:val="2"/>
          <w:sz w:val="24"/>
          <w:szCs w:val="24"/>
          <w:lang w:val="en-GB"/>
          <w14:ligatures w14:val="standardContextual"/>
        </w:rPr>
        <w:t>y in seeking the eviction of 20 </w:t>
      </w:r>
      <w:r w:rsidR="00467AD7" w:rsidRPr="004447B3">
        <w:rPr>
          <w:rFonts w:ascii="Arial" w:hAnsi="Arial" w:cs="Arial"/>
          <w:kern w:val="2"/>
          <w:sz w:val="24"/>
          <w:szCs w:val="24"/>
          <w:lang w:val="en-GB"/>
          <w14:ligatures w14:val="standardContextual"/>
        </w:rPr>
        <w:t>000 people (the applicants) from land owned by the municipality. The Constitutional Court granted a structured eviction subject to certain conditions.</w:t>
      </w:r>
    </w:p>
    <w:p w14:paraId="56874477"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1E5A5B21" w14:textId="08557B40"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t>[50]</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In a concurring judgment, and considering the lawfulness of the occupation of the residents, Sachs J held that this enquiry was not located in the common law rights of landowners but in the context of the ‘special cluster of legal relationships’ established by the Constitution and the Housing Act</w:t>
      </w:r>
      <w:r w:rsidR="00467AD7" w:rsidRPr="004447B3">
        <w:rPr>
          <w:rFonts w:ascii="Arial" w:hAnsi="Arial" w:cs="Arial"/>
          <w:sz w:val="24"/>
          <w:szCs w:val="24"/>
          <w:shd w:val="clear" w:color="auto" w:fill="FFFFFF"/>
        </w:rPr>
        <w:t xml:space="preserve"> </w:t>
      </w:r>
      <w:r w:rsidR="00467AD7" w:rsidRPr="004447B3">
        <w:rPr>
          <w:rFonts w:ascii="Arial" w:hAnsi="Arial" w:cs="Arial"/>
          <w:kern w:val="2"/>
          <w:sz w:val="24"/>
          <w:szCs w:val="24"/>
          <w14:ligatures w14:val="standardContextual"/>
        </w:rPr>
        <w:t>107 of 1997</w:t>
      </w:r>
      <w:r w:rsidR="00467AD7" w:rsidRPr="004447B3">
        <w:rPr>
          <w:rFonts w:ascii="Arial" w:hAnsi="Arial" w:cs="Arial"/>
          <w:kern w:val="2"/>
          <w:sz w:val="24"/>
          <w:szCs w:val="24"/>
          <w:lang w:val="en-GB"/>
          <w14:ligatures w14:val="standardContextual"/>
        </w:rPr>
        <w:t xml:space="preserve">, between the municipality and the occupants. He drew a distinction between the contractual relationship between private owners of land and occupiers, on the one hand, with that of the relationship between a local government authority and homeless people, on the other. These relationships, he said, ‘flow instead from an articulation of public </w:t>
      </w:r>
      <w:r w:rsidR="00467AD7" w:rsidRPr="004447B3">
        <w:rPr>
          <w:rFonts w:ascii="Arial" w:hAnsi="Arial" w:cs="Arial"/>
          <w:kern w:val="2"/>
          <w:sz w:val="24"/>
          <w:szCs w:val="24"/>
          <w:lang w:val="en-GB"/>
          <w14:ligatures w14:val="standardContextual"/>
        </w:rPr>
        <w:lastRenderedPageBreak/>
        <w:t>responsibilities . . . and possess an ongoing, organic and dynamic character that evolves over time’.</w:t>
      </w:r>
      <w:r w:rsidR="00467AD7" w:rsidRPr="001279DB">
        <w:rPr>
          <w:vertAlign w:val="superscript"/>
          <w:lang w:val="en-GB"/>
        </w:rPr>
        <w:footnoteReference w:id="23"/>
      </w:r>
      <w:r w:rsidR="00467AD7" w:rsidRPr="004447B3">
        <w:rPr>
          <w:rFonts w:ascii="Arial" w:hAnsi="Arial" w:cs="Arial"/>
          <w:kern w:val="2"/>
          <w:sz w:val="24"/>
          <w:szCs w:val="24"/>
          <w:lang w:val="en-GB"/>
          <w14:ligatures w14:val="standardContextual"/>
        </w:rPr>
        <w:t xml:space="preserve"> The ‘special cluster of legal relationships’ was a reference to the constitutional obligations of the municipality to prevent homelessness, derived from a person’s constitution</w:t>
      </w:r>
      <w:r w:rsidR="00D833BC" w:rsidRPr="004447B3">
        <w:rPr>
          <w:rFonts w:ascii="Arial" w:hAnsi="Arial" w:cs="Arial"/>
          <w:kern w:val="2"/>
          <w:sz w:val="24"/>
          <w:szCs w:val="24"/>
          <w:lang w:val="en-GB"/>
          <w14:ligatures w14:val="standardContextual"/>
        </w:rPr>
        <w:t>al</w:t>
      </w:r>
      <w:r w:rsidR="00467AD7" w:rsidRPr="004447B3">
        <w:rPr>
          <w:rFonts w:ascii="Arial" w:hAnsi="Arial" w:cs="Arial"/>
          <w:kern w:val="2"/>
          <w:sz w:val="24"/>
          <w:szCs w:val="24"/>
          <w:lang w:val="en-GB"/>
          <w14:ligatures w14:val="standardContextual"/>
        </w:rPr>
        <w:t xml:space="preserve"> right to access to housing as well as the statutory duties of local government. </w:t>
      </w:r>
    </w:p>
    <w:p w14:paraId="0B66C8EC"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0136C79A" w14:textId="6982DA95"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t>[51]</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 xml:space="preserve">In </w:t>
      </w:r>
      <w:r w:rsidR="00467AD7" w:rsidRPr="004447B3">
        <w:rPr>
          <w:rFonts w:ascii="Arial" w:hAnsi="Arial" w:cs="Arial"/>
          <w:i/>
          <w:kern w:val="2"/>
          <w:sz w:val="24"/>
          <w:szCs w:val="24"/>
          <w:lang w:val="en-GB"/>
          <w14:ligatures w14:val="standardContextual"/>
        </w:rPr>
        <w:t>Joseph</w:t>
      </w:r>
      <w:r w:rsidR="00467AD7" w:rsidRPr="004447B3">
        <w:rPr>
          <w:rFonts w:ascii="Arial" w:hAnsi="Arial" w:cs="Arial"/>
          <w:kern w:val="2"/>
          <w:sz w:val="24"/>
          <w:szCs w:val="24"/>
          <w:lang w:val="en-GB"/>
          <w14:ligatures w14:val="standardContextual"/>
        </w:rPr>
        <w:t>,</w:t>
      </w:r>
      <w:r w:rsidR="00467AD7" w:rsidRPr="004447B3">
        <w:rPr>
          <w:rFonts w:ascii="Arial" w:hAnsi="Arial" w:cs="Arial"/>
          <w:i/>
          <w:kern w:val="2"/>
          <w:sz w:val="24"/>
          <w:szCs w:val="24"/>
          <w:lang w:val="en-GB"/>
          <w14:ligatures w14:val="standardContextual"/>
        </w:rPr>
        <w:t xml:space="preserve"> </w:t>
      </w:r>
      <w:r w:rsidR="00467AD7" w:rsidRPr="004447B3">
        <w:rPr>
          <w:rFonts w:ascii="Arial" w:hAnsi="Arial" w:cs="Arial"/>
          <w:kern w:val="2"/>
          <w:sz w:val="24"/>
          <w:szCs w:val="24"/>
          <w:lang w:val="en-GB"/>
          <w14:ligatures w14:val="standardContextual"/>
        </w:rPr>
        <w:t>the focus of the enquiry was the nature of the relationship between a public service provider of electricity and the users of the electricity with which it had no formal contractual relationship. It concerned the termination of electricity following the accumulation of substantial arrears owing by the landlord despite the fact that the tenants had been paying their electricity to the landlord. T</w:t>
      </w:r>
      <w:r w:rsidR="00467AD7" w:rsidRPr="004447B3">
        <w:rPr>
          <w:rFonts w:ascii="Arial" w:hAnsi="Arial" w:cs="Arial"/>
          <w:kern w:val="2"/>
          <w:sz w:val="24"/>
          <w:szCs w:val="24"/>
          <w14:ligatures w14:val="standardContextual"/>
        </w:rPr>
        <w:t>he City of Johannesburg’s electricity service provider, City Power (Pty) Ltd (</w:t>
      </w:r>
      <w:r w:rsidR="00467AD7" w:rsidRPr="004447B3">
        <w:rPr>
          <w:rFonts w:ascii="Arial" w:hAnsi="Arial" w:cs="Arial"/>
          <w:kern w:val="2"/>
          <w:sz w:val="24"/>
          <w:szCs w:val="24"/>
          <w:lang w:val="en-GB"/>
          <w14:ligatures w14:val="standardContextual"/>
        </w:rPr>
        <w:t xml:space="preserve">City Power) had sent a pre-termination notice to the landlord but failed to notify the tenants. The main issue was whether tenants were entitled to procedural fairness in terms of s 3 of PAJA, by being given a pre-termination notice, before City Power cut the electricity supply. </w:t>
      </w:r>
    </w:p>
    <w:p w14:paraId="2D940576"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22A24148" w14:textId="26D27585"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t>[52]</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The Constitutional Court found that because City Power knew that it was providing electricity to the tenants in the building, it was artificial to think of the contractual relationship between the landlord and City Power as unrelated to the benefits that accrued to tenants under this contract.</w:t>
      </w:r>
      <w:r w:rsidR="00467AD7" w:rsidRPr="001279DB">
        <w:rPr>
          <w:vertAlign w:val="superscript"/>
          <w:lang w:val="en-GB"/>
        </w:rPr>
        <w:footnoteReference w:id="24"/>
      </w:r>
      <w:r w:rsidR="00467AD7" w:rsidRPr="004447B3">
        <w:rPr>
          <w:rFonts w:ascii="Arial" w:hAnsi="Arial" w:cs="Arial"/>
          <w:kern w:val="2"/>
          <w:sz w:val="24"/>
          <w:szCs w:val="24"/>
          <w:lang w:val="en-GB"/>
          <w14:ligatures w14:val="standardContextual"/>
        </w:rPr>
        <w:t xml:space="preserve"> The landlord was acting merely as a ‘conduit’ in the circumstances and the high court had failed to take into account the role that PAJA may play with people who have no contractual relationship with the service provider.</w:t>
      </w:r>
    </w:p>
    <w:p w14:paraId="45AF3C16"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6EA100C7" w14:textId="0A9FC723"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t>[53]</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In finding that the tenants were entitled to a pre-termination notice, the Constitutional Court referred to the ‘special cluster of relationships’ between a municipality and its citizens, which was founded in the public responsibility that a municipality bears to its citizens in terms of the Constitution. When City Power supplied electricity to the tenants, it did so in fulfilment of constitutional and statutory duties for municipalities to provide basic services to all persons living within its jurisdiction.</w:t>
      </w:r>
      <w:r w:rsidR="00467AD7" w:rsidRPr="001279DB">
        <w:rPr>
          <w:vertAlign w:val="superscript"/>
          <w:lang w:val="en-GB"/>
        </w:rPr>
        <w:footnoteReference w:id="25"/>
      </w:r>
      <w:r w:rsidR="00467AD7" w:rsidRPr="004447B3">
        <w:rPr>
          <w:rFonts w:ascii="Arial" w:hAnsi="Arial" w:cs="Arial"/>
          <w:kern w:val="2"/>
          <w:sz w:val="24"/>
          <w:szCs w:val="24"/>
          <w:lang w:val="en-GB"/>
          <w14:ligatures w14:val="standardContextual"/>
        </w:rPr>
        <w:t xml:space="preserve"> In such instances, it was found that administrative law governs these relations beyond </w:t>
      </w:r>
      <w:r w:rsidR="00467AD7" w:rsidRPr="004447B3">
        <w:rPr>
          <w:rFonts w:ascii="Arial" w:hAnsi="Arial" w:cs="Arial"/>
          <w:kern w:val="2"/>
          <w:sz w:val="24"/>
          <w:szCs w:val="24"/>
          <w:lang w:val="en-GB"/>
          <w14:ligatures w14:val="standardContextual"/>
        </w:rPr>
        <w:lastRenderedPageBreak/>
        <w:t>the law of contract.</w:t>
      </w:r>
      <w:r w:rsidR="00467AD7" w:rsidRPr="001279DB">
        <w:rPr>
          <w:vertAlign w:val="superscript"/>
          <w:lang w:val="en-GB"/>
        </w:rPr>
        <w:footnoteReference w:id="26"/>
      </w:r>
      <w:r w:rsidR="00467AD7" w:rsidRPr="004447B3">
        <w:rPr>
          <w:rFonts w:ascii="Arial" w:hAnsi="Arial" w:cs="Arial"/>
          <w:kern w:val="2"/>
          <w:sz w:val="24"/>
          <w:szCs w:val="24"/>
          <w:lang w:val="en-GB"/>
          <w14:ligatures w14:val="standardContextual"/>
        </w:rPr>
        <w:t xml:space="preserve"> The public law duties of the municipality to the occupiers could not be avoided by the contract between the municipality and the landlord. As such, it was held that City Power was obliged to notify </w:t>
      </w:r>
      <w:r w:rsidR="00DB5203" w:rsidRPr="004447B3">
        <w:rPr>
          <w:rFonts w:ascii="Arial" w:hAnsi="Arial" w:cs="Arial"/>
          <w:kern w:val="2"/>
          <w:sz w:val="24"/>
          <w:szCs w:val="24"/>
          <w:lang w:val="en-GB"/>
          <w14:ligatures w14:val="standardContextual"/>
        </w:rPr>
        <w:t xml:space="preserve">the </w:t>
      </w:r>
      <w:r w:rsidR="00467AD7" w:rsidRPr="004447B3">
        <w:rPr>
          <w:rFonts w:ascii="Arial" w:hAnsi="Arial" w:cs="Arial"/>
          <w:kern w:val="2"/>
          <w:sz w:val="24"/>
          <w:szCs w:val="24"/>
          <w:lang w:val="en-GB"/>
          <w14:ligatures w14:val="standardContextual"/>
        </w:rPr>
        <w:t>tenants of its intended termination even though the contract was with the landlord.</w:t>
      </w:r>
    </w:p>
    <w:p w14:paraId="31A7C04A"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0B88A33D" w14:textId="005F4EEB"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t>[54]</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 xml:space="preserve">Once again it is the constitutional obligations of the </w:t>
      </w:r>
      <w:r w:rsidR="00975019" w:rsidRPr="004447B3">
        <w:rPr>
          <w:rFonts w:ascii="Arial" w:hAnsi="Arial" w:cs="Arial"/>
          <w:kern w:val="2"/>
          <w:sz w:val="24"/>
          <w:szCs w:val="24"/>
          <w:lang w:val="en-GB"/>
          <w14:ligatures w14:val="standardContextual"/>
        </w:rPr>
        <w:t xml:space="preserve">municipality </w:t>
      </w:r>
      <w:r w:rsidR="008615D0" w:rsidRPr="004447B3">
        <w:rPr>
          <w:rFonts w:ascii="Arial" w:hAnsi="Arial" w:cs="Arial"/>
          <w:kern w:val="2"/>
          <w:sz w:val="24"/>
          <w:szCs w:val="24"/>
          <w:lang w:val="en-GB"/>
          <w14:ligatures w14:val="standardContextual"/>
        </w:rPr>
        <w:t xml:space="preserve">(a sphere of government) </w:t>
      </w:r>
      <w:r w:rsidR="00975019" w:rsidRPr="004447B3">
        <w:rPr>
          <w:rFonts w:ascii="Arial" w:hAnsi="Arial" w:cs="Arial"/>
          <w:kern w:val="2"/>
          <w:sz w:val="24"/>
          <w:szCs w:val="24"/>
          <w:lang w:val="en-GB"/>
          <w14:ligatures w14:val="standardContextual"/>
        </w:rPr>
        <w:t>and</w:t>
      </w:r>
      <w:r w:rsidR="00467AD7" w:rsidRPr="004447B3">
        <w:rPr>
          <w:rFonts w:ascii="Arial" w:hAnsi="Arial" w:cs="Arial"/>
          <w:kern w:val="2"/>
          <w:sz w:val="24"/>
          <w:szCs w:val="24"/>
          <w:lang w:val="en-GB"/>
          <w14:ligatures w14:val="standardContextual"/>
        </w:rPr>
        <w:t xml:space="preserve"> City Power</w:t>
      </w:r>
      <w:r w:rsidR="008615D0" w:rsidRPr="004447B3">
        <w:rPr>
          <w:rFonts w:ascii="Arial" w:hAnsi="Arial" w:cs="Arial"/>
          <w:kern w:val="2"/>
          <w:sz w:val="24"/>
          <w:szCs w:val="24"/>
          <w:lang w:val="en-GB"/>
          <w14:ligatures w14:val="standardContextual"/>
        </w:rPr>
        <w:t xml:space="preserve"> (an organ of state)</w:t>
      </w:r>
      <w:r w:rsidR="00467AD7" w:rsidRPr="004447B3">
        <w:rPr>
          <w:rFonts w:ascii="Arial" w:hAnsi="Arial" w:cs="Arial"/>
          <w:kern w:val="2"/>
          <w:sz w:val="24"/>
          <w:szCs w:val="24"/>
          <w:lang w:val="en-GB"/>
          <w14:ligatures w14:val="standardContextual"/>
        </w:rPr>
        <w:t xml:space="preserve"> that are emphasised, not that of the private landowner. It was the threat of termination of the electricity supply by the municipality that gave rise to the interest of the occupiers because their rights against the municipality were effected. </w:t>
      </w:r>
    </w:p>
    <w:p w14:paraId="13EB1229"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3C246ECF" w14:textId="45EF9760"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t>[55]</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 xml:space="preserve">In the matter before us, however, an order is not sought to terminate the electricity supply to the occupiers, who, unlike the tenants in </w:t>
      </w:r>
      <w:r w:rsidR="00467AD7" w:rsidRPr="004447B3">
        <w:rPr>
          <w:rFonts w:ascii="Arial" w:hAnsi="Arial" w:cs="Arial"/>
          <w:i/>
          <w:kern w:val="2"/>
          <w:sz w:val="24"/>
          <w:szCs w:val="24"/>
          <w:lang w:val="en-GB"/>
          <w14:ligatures w14:val="standardContextual"/>
        </w:rPr>
        <w:t>Joseph</w:t>
      </w:r>
      <w:r w:rsidR="00467AD7" w:rsidRPr="004447B3">
        <w:rPr>
          <w:rFonts w:ascii="Arial" w:hAnsi="Arial" w:cs="Arial"/>
          <w:kern w:val="2"/>
          <w:sz w:val="24"/>
          <w:szCs w:val="24"/>
          <w:lang w:val="en-GB"/>
          <w14:ligatures w14:val="standardContextual"/>
        </w:rPr>
        <w:t>, are unlawful occupiers, but merely to terminate the consumer agreement Lehlaka has with the Municipality. The Municipality may or may not decide to terminate the electricity supply to the unlawful occupiers. Should it do so, it is only at that stage that the unlawful occupiers may have rights vis-</w:t>
      </w:r>
      <w:r w:rsidR="00C16D4F" w:rsidRPr="004447B3">
        <w:rPr>
          <w:rFonts w:ascii="Arial" w:hAnsi="Arial" w:cs="Arial"/>
          <w:kern w:val="2"/>
          <w:sz w:val="24"/>
          <w:szCs w:val="24"/>
          <w:lang w:val="en-GB"/>
          <w14:ligatures w14:val="standardContextual"/>
        </w:rPr>
        <w:t>à</w:t>
      </w:r>
      <w:r w:rsidR="00467AD7" w:rsidRPr="004447B3">
        <w:rPr>
          <w:rFonts w:ascii="Arial" w:hAnsi="Arial" w:cs="Arial"/>
          <w:kern w:val="2"/>
          <w:sz w:val="24"/>
          <w:szCs w:val="24"/>
          <w:lang w:val="en-GB"/>
          <w14:ligatures w14:val="standardContextual"/>
        </w:rPr>
        <w:t xml:space="preserve">-vis the Municipality, including the right to procedural fairness in the form of a pre-termination notice. </w:t>
      </w:r>
    </w:p>
    <w:p w14:paraId="5CBBD2B7"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2C8F9651" w14:textId="2C8CB331"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t>[56]</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 xml:space="preserve">If the unlawful occupiers have a right to electricity as </w:t>
      </w:r>
      <w:r w:rsidR="00050DF0" w:rsidRPr="004447B3">
        <w:rPr>
          <w:rFonts w:ascii="Arial" w:hAnsi="Arial" w:cs="Arial"/>
          <w:kern w:val="2"/>
          <w:sz w:val="24"/>
          <w:szCs w:val="24"/>
          <w:lang w:val="en-GB"/>
          <w14:ligatures w14:val="standardContextual"/>
        </w:rPr>
        <w:t>a component</w:t>
      </w:r>
      <w:r w:rsidR="00467AD7" w:rsidRPr="004447B3">
        <w:rPr>
          <w:rFonts w:ascii="Arial" w:hAnsi="Arial" w:cs="Arial"/>
          <w:kern w:val="2"/>
          <w:sz w:val="24"/>
          <w:szCs w:val="24"/>
          <w:lang w:val="en-GB"/>
          <w14:ligatures w14:val="standardContextual"/>
        </w:rPr>
        <w:t xml:space="preserve"> of their constitutional right to basic services, then this is an obligation to be borne by the </w:t>
      </w:r>
      <w:r w:rsidR="00B37B02" w:rsidRPr="004447B3">
        <w:rPr>
          <w:rFonts w:ascii="Arial" w:hAnsi="Arial" w:cs="Arial"/>
          <w:kern w:val="2"/>
          <w:sz w:val="24"/>
          <w:szCs w:val="24"/>
          <w:lang w:val="en-GB"/>
          <w14:ligatures w14:val="standardContextual"/>
        </w:rPr>
        <w:t>Municipality. To find otherwise</w:t>
      </w:r>
      <w:r w:rsidR="00467AD7" w:rsidRPr="004447B3">
        <w:rPr>
          <w:rFonts w:ascii="Arial" w:hAnsi="Arial" w:cs="Arial"/>
          <w:kern w:val="2"/>
          <w:sz w:val="24"/>
          <w:szCs w:val="24"/>
          <w:lang w:val="en-GB"/>
          <w14:ligatures w14:val="standardContextual"/>
        </w:rPr>
        <w:t xml:space="preserve"> would be to make private citizens responsible for the State’s constitutional duties. The notion of a ‘special cluster of relationships’ does not translate into imposing obligations on private individuals, nor does it convert a contractual relationship into an administrative one. In fact, the Constitutional Court in </w:t>
      </w:r>
      <w:r w:rsidR="00467AD7" w:rsidRPr="004447B3">
        <w:rPr>
          <w:rFonts w:ascii="Arial" w:hAnsi="Arial" w:cs="Arial"/>
          <w:i/>
          <w:kern w:val="2"/>
          <w:sz w:val="24"/>
          <w:szCs w:val="24"/>
          <w:lang w:val="en-GB"/>
          <w14:ligatures w14:val="standardContextual"/>
        </w:rPr>
        <w:t>Joseph</w:t>
      </w:r>
      <w:r w:rsidR="00467AD7" w:rsidRPr="004447B3">
        <w:rPr>
          <w:rFonts w:ascii="Arial" w:hAnsi="Arial" w:cs="Arial"/>
          <w:kern w:val="2"/>
          <w:sz w:val="24"/>
          <w:szCs w:val="24"/>
          <w:lang w:val="en-GB"/>
          <w14:ligatures w14:val="standardContextual"/>
        </w:rPr>
        <w:t xml:space="preserve"> rejected a submission that the definition of ‘customer’, in terms of the relevant by-laws, be extended to persons that have no contractual relationship with the service provider.</w:t>
      </w:r>
      <w:r w:rsidR="00467AD7" w:rsidRPr="001279DB">
        <w:rPr>
          <w:vertAlign w:val="superscript"/>
          <w:lang w:val="en-GB"/>
        </w:rPr>
        <w:footnoteReference w:id="27"/>
      </w:r>
      <w:r w:rsidR="00467AD7" w:rsidRPr="004447B3">
        <w:rPr>
          <w:rFonts w:ascii="Arial" w:hAnsi="Arial" w:cs="Arial"/>
          <w:kern w:val="2"/>
          <w:sz w:val="24"/>
          <w:szCs w:val="24"/>
          <w:lang w:val="en-GB"/>
          <w14:ligatures w14:val="standardContextual"/>
        </w:rPr>
        <w:t xml:space="preserve"> </w:t>
      </w:r>
    </w:p>
    <w:p w14:paraId="1B86611E"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0D487E83" w14:textId="0AF6FAAA" w:rsidR="001E5226"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lastRenderedPageBreak/>
        <w:t>[57]</w:t>
      </w:r>
      <w:r w:rsidRPr="001279DB">
        <w:rPr>
          <w:rFonts w:ascii="Arial" w:hAnsi="Arial" w:cs="Arial"/>
          <w:kern w:val="2"/>
          <w:sz w:val="24"/>
          <w:szCs w:val="24"/>
          <w:lang w:val="en-GB"/>
          <w14:ligatures w14:val="standardContextual"/>
        </w:rPr>
        <w:tab/>
      </w:r>
      <w:r w:rsidR="001E5226" w:rsidRPr="004447B3">
        <w:rPr>
          <w:rFonts w:ascii="Arial" w:hAnsi="Arial" w:cs="Arial"/>
          <w:kern w:val="2"/>
          <w:sz w:val="24"/>
          <w:szCs w:val="24"/>
          <w:lang w:val="en-GB"/>
          <w14:ligatures w14:val="standardContextual"/>
        </w:rPr>
        <w:t>T</w:t>
      </w:r>
      <w:r w:rsidR="00467AD7" w:rsidRPr="004447B3">
        <w:rPr>
          <w:rFonts w:ascii="Arial" w:hAnsi="Arial" w:cs="Arial"/>
          <w:kern w:val="2"/>
          <w:sz w:val="24"/>
          <w:szCs w:val="24"/>
          <w:lang w:val="en-GB"/>
          <w14:ligatures w14:val="standardContextual"/>
        </w:rPr>
        <w:t xml:space="preserve">he Municipality’s reliance on the Constitutional Court judgments of </w:t>
      </w:r>
      <w:r w:rsidR="00467AD7" w:rsidRPr="004447B3">
        <w:rPr>
          <w:rFonts w:ascii="Arial" w:hAnsi="Arial" w:cs="Arial"/>
          <w:i/>
          <w:kern w:val="2"/>
          <w:sz w:val="24"/>
          <w:szCs w:val="24"/>
          <w:lang w:val="en-GB"/>
          <w14:ligatures w14:val="standardContextual"/>
        </w:rPr>
        <w:t xml:space="preserve">Mkontwana v Nelson Mandela Metropolitan Municipality </w:t>
      </w:r>
      <w:r w:rsidR="00467AD7" w:rsidRPr="004447B3">
        <w:rPr>
          <w:rFonts w:ascii="Arial" w:hAnsi="Arial" w:cs="Arial"/>
          <w:kern w:val="2"/>
          <w:sz w:val="24"/>
          <w:szCs w:val="24"/>
          <w:lang w:val="en-GB"/>
          <w14:ligatures w14:val="standardContextual"/>
        </w:rPr>
        <w:t>(</w:t>
      </w:r>
      <w:r w:rsidR="00467AD7" w:rsidRPr="004447B3">
        <w:rPr>
          <w:rFonts w:ascii="Arial" w:hAnsi="Arial" w:cs="Arial"/>
          <w:i/>
          <w:kern w:val="2"/>
          <w:sz w:val="24"/>
          <w:szCs w:val="24"/>
          <w:lang w:val="en-GB"/>
          <w14:ligatures w14:val="standardContextual"/>
        </w:rPr>
        <w:t>Mkontwana</w:t>
      </w:r>
      <w:r w:rsidR="00467AD7" w:rsidRPr="004447B3">
        <w:rPr>
          <w:rFonts w:ascii="Arial" w:hAnsi="Arial" w:cs="Arial"/>
          <w:kern w:val="2"/>
          <w:sz w:val="24"/>
          <w:szCs w:val="24"/>
          <w:lang w:val="en-GB"/>
          <w14:ligatures w14:val="standardContextual"/>
        </w:rPr>
        <w:t>)</w:t>
      </w:r>
      <w:r w:rsidR="00467AD7" w:rsidRPr="001279DB">
        <w:rPr>
          <w:vertAlign w:val="superscript"/>
          <w:lang w:val="en-GB"/>
        </w:rPr>
        <w:footnoteReference w:id="28"/>
      </w:r>
      <w:r w:rsidR="00467AD7" w:rsidRPr="004447B3">
        <w:rPr>
          <w:rFonts w:ascii="Arial" w:hAnsi="Arial" w:cs="Arial"/>
          <w:kern w:val="2"/>
          <w:sz w:val="24"/>
          <w:szCs w:val="24"/>
          <w:lang w:val="en-GB"/>
          <w14:ligatures w14:val="standardContextual"/>
        </w:rPr>
        <w:t xml:space="preserve"> and </w:t>
      </w:r>
      <w:r w:rsidR="00467AD7" w:rsidRPr="004447B3">
        <w:rPr>
          <w:rFonts w:ascii="Arial" w:hAnsi="Arial" w:cs="Arial"/>
          <w:i/>
          <w:kern w:val="2"/>
          <w:sz w:val="24"/>
          <w:szCs w:val="24"/>
          <w:lang w:val="en-GB"/>
          <w14:ligatures w14:val="standardContextual"/>
        </w:rPr>
        <w:t xml:space="preserve">Rademan v Moqhaka Local Municipality and Others </w:t>
      </w:r>
      <w:r w:rsidR="00467AD7" w:rsidRPr="004447B3">
        <w:rPr>
          <w:rFonts w:ascii="Arial" w:hAnsi="Arial" w:cs="Arial"/>
          <w:kern w:val="2"/>
          <w:sz w:val="24"/>
          <w:szCs w:val="24"/>
          <w:lang w:val="en-GB"/>
          <w14:ligatures w14:val="standardContextual"/>
        </w:rPr>
        <w:t>(</w:t>
      </w:r>
      <w:r w:rsidR="00467AD7" w:rsidRPr="004447B3">
        <w:rPr>
          <w:rFonts w:ascii="Arial" w:hAnsi="Arial" w:cs="Arial"/>
          <w:i/>
          <w:kern w:val="2"/>
          <w:sz w:val="24"/>
          <w:szCs w:val="24"/>
          <w:lang w:val="en-GB"/>
          <w14:ligatures w14:val="standardContextual"/>
        </w:rPr>
        <w:t>Rademan</w:t>
      </w:r>
      <w:r w:rsidR="00467AD7" w:rsidRPr="004447B3">
        <w:rPr>
          <w:rFonts w:ascii="Arial" w:hAnsi="Arial" w:cs="Arial"/>
          <w:kern w:val="2"/>
          <w:sz w:val="24"/>
          <w:szCs w:val="24"/>
          <w:lang w:val="en-GB"/>
          <w14:ligatures w14:val="standardContextual"/>
        </w:rPr>
        <w:t>),</w:t>
      </w:r>
      <w:r w:rsidR="00467AD7" w:rsidRPr="001279DB">
        <w:rPr>
          <w:vertAlign w:val="superscript"/>
          <w:lang w:val="en-GB"/>
        </w:rPr>
        <w:footnoteReference w:id="29"/>
      </w:r>
      <w:r w:rsidR="00467AD7" w:rsidRPr="004447B3">
        <w:rPr>
          <w:rFonts w:ascii="Arial" w:hAnsi="Arial" w:cs="Arial"/>
          <w:kern w:val="2"/>
          <w:sz w:val="24"/>
          <w:szCs w:val="24"/>
          <w:lang w:val="en-GB"/>
          <w14:ligatures w14:val="standardContextual"/>
        </w:rPr>
        <w:t xml:space="preserve"> </w:t>
      </w:r>
      <w:r w:rsidR="00467AD7" w:rsidRPr="004447B3">
        <w:rPr>
          <w:rFonts w:ascii="Arial" w:hAnsi="Arial" w:cs="Arial"/>
          <w:iCs/>
          <w:kern w:val="2"/>
          <w:sz w:val="24"/>
          <w:szCs w:val="24"/>
          <w:lang w:val="en-GB"/>
          <w14:ligatures w14:val="standardContextual"/>
        </w:rPr>
        <w:t xml:space="preserve">is also misplaced. </w:t>
      </w:r>
      <w:r w:rsidR="00467AD7" w:rsidRPr="004447B3">
        <w:rPr>
          <w:rFonts w:ascii="Arial" w:hAnsi="Arial" w:cs="Arial"/>
          <w:i/>
          <w:kern w:val="2"/>
          <w:sz w:val="24"/>
          <w:szCs w:val="24"/>
          <w:lang w:val="en-GB"/>
          <w14:ligatures w14:val="standardContextual"/>
        </w:rPr>
        <w:t xml:space="preserve">Mkontwana </w:t>
      </w:r>
      <w:r w:rsidR="00467AD7" w:rsidRPr="004447B3">
        <w:rPr>
          <w:rFonts w:ascii="Arial" w:hAnsi="Arial" w:cs="Arial"/>
          <w:kern w:val="2"/>
          <w:sz w:val="24"/>
          <w:szCs w:val="24"/>
          <w:lang w:val="en-GB"/>
          <w14:ligatures w14:val="standardContextual"/>
        </w:rPr>
        <w:t>dealt with the constitutionality of a legislative provision that imposed an obligation on an owner wishing to transfer property, to pay up to two years’ worth of arrear charges for electricity, irrespective of who incurred them.</w:t>
      </w:r>
      <w:r w:rsidR="00467AD7" w:rsidRPr="001279DB">
        <w:rPr>
          <w:vertAlign w:val="superscript"/>
          <w:lang w:val="en-GB"/>
        </w:rPr>
        <w:footnoteReference w:id="30"/>
      </w:r>
      <w:r w:rsidR="00467AD7" w:rsidRPr="004447B3">
        <w:rPr>
          <w:rFonts w:ascii="Arial" w:hAnsi="Arial" w:cs="Arial"/>
          <w:kern w:val="2"/>
          <w:sz w:val="24"/>
          <w:szCs w:val="24"/>
          <w:lang w:val="en-GB"/>
          <w14:ligatures w14:val="standardContextual"/>
        </w:rPr>
        <w:t xml:space="preserve"> It was argued that the section was inconsistent with s 25 of the Constitution, in that it amounted to an arbitrary deprivation of property. The Constitutional Court pointed out that while the deprivation was not insignificant, it was only for a two</w:t>
      </w:r>
      <w:r w:rsidR="00E15F26" w:rsidRPr="004447B3">
        <w:rPr>
          <w:rFonts w:ascii="Arial" w:hAnsi="Arial" w:cs="Arial"/>
          <w:kern w:val="2"/>
          <w:sz w:val="24"/>
          <w:szCs w:val="24"/>
          <w:lang w:val="en-GB"/>
          <w14:ligatures w14:val="standardContextual"/>
        </w:rPr>
        <w:t>-</w:t>
      </w:r>
      <w:r w:rsidR="00467AD7" w:rsidRPr="004447B3">
        <w:rPr>
          <w:rFonts w:ascii="Arial" w:hAnsi="Arial" w:cs="Arial"/>
          <w:kern w:val="2"/>
          <w:sz w:val="24"/>
          <w:szCs w:val="24"/>
          <w:lang w:val="en-GB"/>
          <w14:ligatures w14:val="standardContextual"/>
        </w:rPr>
        <w:t>year period, not indefinitely. If desired, an owner could delay transfer for two years and the new occupier would not be liable for the debts of the previous occupier.</w:t>
      </w:r>
      <w:r w:rsidR="00467AD7" w:rsidRPr="001279DB">
        <w:rPr>
          <w:vertAlign w:val="superscript"/>
          <w:lang w:val="en-GB"/>
        </w:rPr>
        <w:footnoteReference w:id="31"/>
      </w:r>
      <w:r w:rsidR="00467AD7" w:rsidRPr="004447B3">
        <w:rPr>
          <w:rFonts w:ascii="Arial" w:hAnsi="Arial" w:cs="Arial"/>
          <w:kern w:val="2"/>
          <w:sz w:val="24"/>
          <w:szCs w:val="24"/>
          <w:lang w:val="en-GB"/>
          <w14:ligatures w14:val="standardContextual"/>
        </w:rPr>
        <w:t xml:space="preserve"> Further, </w:t>
      </w:r>
      <w:r w:rsidR="00467AD7" w:rsidRPr="004447B3">
        <w:rPr>
          <w:rFonts w:ascii="Arial" w:hAnsi="Arial" w:cs="Arial"/>
          <w:kern w:val="2"/>
          <w:sz w:val="24"/>
          <w:szCs w:val="24"/>
          <w14:ligatures w14:val="standardContextual"/>
        </w:rPr>
        <w:t>there was sufficient justification for the deprivation that occurred because the purpose was compelling; it was not arbitrary.</w:t>
      </w:r>
    </w:p>
    <w:p w14:paraId="312A2D6D"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3A1D6D2A" w14:textId="5867CA59"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t>[58]</w:t>
      </w:r>
      <w:r w:rsidRPr="001279DB">
        <w:rPr>
          <w:rFonts w:ascii="Arial" w:hAnsi="Arial" w:cs="Arial"/>
          <w:kern w:val="2"/>
          <w:sz w:val="24"/>
          <w:szCs w:val="24"/>
          <w:lang w:val="en-GB"/>
          <w14:ligatures w14:val="standardContextual"/>
        </w:rPr>
        <w:tab/>
      </w:r>
      <w:r w:rsidR="00467AD7" w:rsidRPr="004447B3">
        <w:rPr>
          <w:rFonts w:ascii="Arial" w:hAnsi="Arial" w:cs="Arial"/>
          <w:sz w:val="24"/>
          <w:szCs w:val="24"/>
          <w:lang w:val="en-GB"/>
        </w:rPr>
        <w:t xml:space="preserve">In the present matter, it is common cause that Lehlaka was involved in attempts to donate the remaining properties to the Municipality in 2005, 2010 and 2018. While initially agreeing to it, in the end the Municipality refused to accept the donation. Notwithstanding this, in the same breath the Municipality complains that 40 756 unlawful households have invaded property within its jurisdiction and it has to deal with 95 000 households who require housing. This, so it claims, is in circumstances where it cannot even provide services adequately to the formal households already in existence. For this state of affairs, it blames the mines for ‘enticing many indigent and vulnerable people to the Municipality’s jurisdiction’. In essence, it submits that should Lehlaka successfully terminate its consumer agreement, this will mean more households are the responsibility of the Municipality. That a municipality is overwhelmed by its constitutional obligations towards its citizens cannot form a legal basis for transferring these obligations to a private landowner. </w:t>
      </w:r>
    </w:p>
    <w:p w14:paraId="15F1B170"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7430CC9B" w14:textId="1BA3000C"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lastRenderedPageBreak/>
        <w:t>[59]</w:t>
      </w:r>
      <w:r w:rsidRPr="001279DB">
        <w:rPr>
          <w:rFonts w:ascii="Arial" w:hAnsi="Arial" w:cs="Arial"/>
          <w:kern w:val="2"/>
          <w:sz w:val="24"/>
          <w:szCs w:val="24"/>
          <w:lang w:val="en-GB"/>
          <w14:ligatures w14:val="standardContextual"/>
        </w:rPr>
        <w:tab/>
      </w:r>
      <w:r w:rsidR="00467AD7" w:rsidRPr="004447B3">
        <w:rPr>
          <w:rFonts w:ascii="Arial" w:hAnsi="Arial" w:cs="Arial"/>
          <w:i/>
          <w:kern w:val="2"/>
          <w:sz w:val="24"/>
          <w:szCs w:val="24"/>
          <w:lang w:val="en-GB"/>
          <w14:ligatures w14:val="standardContextual"/>
        </w:rPr>
        <w:t>Rademan</w:t>
      </w:r>
      <w:r w:rsidR="00467AD7" w:rsidRPr="004447B3">
        <w:rPr>
          <w:rFonts w:ascii="Arial" w:hAnsi="Arial" w:cs="Arial"/>
          <w:kern w:val="2"/>
          <w:sz w:val="24"/>
          <w:szCs w:val="24"/>
          <w:lang w:val="en-GB"/>
          <w14:ligatures w14:val="standardContextual"/>
        </w:rPr>
        <w:t xml:space="preserve"> also does not assist. Ms Rademan was amongst a group of ratepayers who refused to pay rates in protest against poor services rendered by a municipality in the Free State. She continued to pay her electricity </w:t>
      </w:r>
      <w:r w:rsidR="00050DF0" w:rsidRPr="004447B3">
        <w:rPr>
          <w:rFonts w:ascii="Arial" w:hAnsi="Arial" w:cs="Arial"/>
          <w:kern w:val="2"/>
          <w:sz w:val="24"/>
          <w:szCs w:val="24"/>
          <w:lang w:val="en-GB"/>
          <w14:ligatures w14:val="standardContextual"/>
        </w:rPr>
        <w:t>account</w:t>
      </w:r>
      <w:r w:rsidR="00467AD7" w:rsidRPr="004447B3">
        <w:rPr>
          <w:rFonts w:ascii="Arial" w:hAnsi="Arial" w:cs="Arial"/>
          <w:kern w:val="2"/>
          <w:sz w:val="24"/>
          <w:szCs w:val="24"/>
          <w:lang w:val="en-GB"/>
          <w14:ligatures w14:val="standardContextual"/>
        </w:rPr>
        <w:t>. Despite this, the municipality gave her notice and then cut off her electricity supply. This Court held that the municipality could consolidate the rates and the electricity accounts and had the right to terminate the electricity supply without a court order, even though the electricity account was not in arrears. Leave to appeal was granted to the Constitutional Court</w:t>
      </w:r>
      <w:r w:rsidR="00050DF0" w:rsidRPr="004447B3">
        <w:rPr>
          <w:rFonts w:ascii="Arial" w:hAnsi="Arial" w:cs="Arial"/>
          <w:kern w:val="2"/>
          <w:sz w:val="24"/>
          <w:szCs w:val="24"/>
          <w:lang w:val="en-GB"/>
          <w14:ligatures w14:val="standardContextual"/>
        </w:rPr>
        <w:t>,</w:t>
      </w:r>
      <w:r w:rsidR="00467AD7" w:rsidRPr="004447B3">
        <w:rPr>
          <w:rFonts w:ascii="Arial" w:hAnsi="Arial" w:cs="Arial"/>
          <w:kern w:val="2"/>
          <w:sz w:val="24"/>
          <w:szCs w:val="24"/>
          <w:lang w:val="en-GB"/>
          <w14:ligatures w14:val="standardContextual"/>
        </w:rPr>
        <w:t xml:space="preserve"> and duly dismissed. The Constitutional Court held that consolidation is provided for in the relevant by-laws and once a customer pays only part of the account, that customer is in breach of her obligations to make payment. Therefore, to terminate the electricity supply was not unconstitutional.</w:t>
      </w:r>
      <w:r w:rsidR="00467AD7" w:rsidRPr="001279DB">
        <w:rPr>
          <w:vertAlign w:val="superscript"/>
          <w:lang w:val="en-GB"/>
        </w:rPr>
        <w:footnoteReference w:id="32"/>
      </w:r>
    </w:p>
    <w:p w14:paraId="0F265BFC"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4DA387D2" w14:textId="127EB32D"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t>[60]</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Here, the consequence of termination of the consumer agreement may be that the unlawful occupiers have to look to the Municipality for the supply of electricity, but that is an incident of the public law duty owed by the Municipality. There is no reason why this duty gives the unlawful occupiers a direct and substantial interest in the private law contract between Lehlaka and the Municipality. Once the contract is terminated between the Municipality and Lehlaka, and should the Municipality proceed to cut off the electricity supply to the unlawful occupiers, they would then have the right to be joined in any proceedings. But at this stage, the question of joinder does not arise.</w:t>
      </w:r>
    </w:p>
    <w:p w14:paraId="159E62C0"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783F22F5" w14:textId="558E60C7"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t>[61]</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It should be noted that in its papers the Municipality raised the non-joinder point on the basis that the occupiers were employees and former employees of the mines. It is on this basis that it was submitted that they should have been cited. It was pointed out, and apparently accepted, that the occupiers inhabited the properties unlawfully after the mines ceased operations in 2001. None of the unlawful occupiers are employed by the mine or any related mining company.</w:t>
      </w:r>
    </w:p>
    <w:p w14:paraId="292D0E96"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40955474" w14:textId="096A3667"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t>[62]</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It is correct that no court can make a finding adverse to a party, without him or her being party to the proceedings before the court. This is to effectuate the time-</w:t>
      </w:r>
      <w:r w:rsidR="00467AD7" w:rsidRPr="004447B3">
        <w:rPr>
          <w:rFonts w:ascii="Arial" w:hAnsi="Arial" w:cs="Arial"/>
          <w:kern w:val="2"/>
          <w:sz w:val="24"/>
          <w:szCs w:val="24"/>
          <w:lang w:val="en-GB"/>
          <w14:ligatures w14:val="standardContextual"/>
        </w:rPr>
        <w:lastRenderedPageBreak/>
        <w:t xml:space="preserve">honoured principle of </w:t>
      </w:r>
      <w:r w:rsidR="00467AD7" w:rsidRPr="004447B3">
        <w:rPr>
          <w:rFonts w:ascii="Arial" w:hAnsi="Arial" w:cs="Arial"/>
          <w:i/>
          <w:kern w:val="2"/>
          <w:sz w:val="24"/>
          <w:szCs w:val="24"/>
          <w:lang w:val="en-GB"/>
          <w14:ligatures w14:val="standardContextual"/>
        </w:rPr>
        <w:t>audi alterem partem</w:t>
      </w:r>
      <w:r w:rsidR="00467AD7" w:rsidRPr="004447B3">
        <w:rPr>
          <w:rFonts w:ascii="Arial" w:hAnsi="Arial" w:cs="Arial"/>
          <w:kern w:val="2"/>
          <w:sz w:val="24"/>
          <w:szCs w:val="24"/>
          <w:lang w:val="en-GB"/>
          <w14:ligatures w14:val="standardContextual"/>
        </w:rPr>
        <w:t>.</w:t>
      </w:r>
      <w:r w:rsidR="00467AD7" w:rsidRPr="001279DB">
        <w:rPr>
          <w:vertAlign w:val="superscript"/>
          <w:lang w:val="en-GB"/>
        </w:rPr>
        <w:footnoteReference w:id="33"/>
      </w:r>
      <w:r w:rsidR="00467AD7" w:rsidRPr="004447B3">
        <w:rPr>
          <w:rFonts w:ascii="Arial" w:hAnsi="Arial" w:cs="Arial"/>
          <w:kern w:val="2"/>
          <w:sz w:val="24"/>
          <w:szCs w:val="24"/>
          <w:lang w:val="en-GB"/>
          <w14:ligatures w14:val="standardContextual"/>
        </w:rPr>
        <w:t xml:space="preserve"> Here, whether the termination of the consumer agreement will be adverse to the unlawful occupiers depends entirely on what the Municipality elects to do. It can install pre-paid meters; it can reduce the electricity supplied;</w:t>
      </w:r>
      <w:r w:rsidR="00467AD7" w:rsidRPr="001279DB">
        <w:rPr>
          <w:vertAlign w:val="superscript"/>
          <w:lang w:val="en-GB"/>
        </w:rPr>
        <w:footnoteReference w:id="34"/>
      </w:r>
      <w:r w:rsidR="00467AD7" w:rsidRPr="004447B3">
        <w:rPr>
          <w:rFonts w:ascii="Arial" w:hAnsi="Arial" w:cs="Arial"/>
          <w:kern w:val="2"/>
          <w:sz w:val="24"/>
          <w:szCs w:val="24"/>
          <w:lang w:val="en-GB"/>
          <w14:ligatures w14:val="standardContextual"/>
        </w:rPr>
        <w:t xml:space="preserve"> it can terminate the electricity supply on proper notice; or, it can carry on with the electricity supply unimpeded.</w:t>
      </w:r>
    </w:p>
    <w:p w14:paraId="3BD5B651"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10C0028B" w14:textId="089EF5D4"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t>[63]</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If the matter is a purely contractual one, as I believe the termination of the consumer agreement to be, then there can be no question of joining the unlawful occupiers as there is no contractual privity between them and Lehlaka and/or the Municipality. Lehlaka has no constitutional obligation towards the unlawful occupiers to provide electricity, and the unlawful occupiers have no corresponding legal right to be provided with electricity by Lehlaka free of charge in perpetuity, or whenever the Municipality in its discretion decides to accept the termination. They, therefore, have no legal interest worthy of protection in the current litigation.</w:t>
      </w:r>
      <w:r w:rsidR="00467AD7" w:rsidRPr="001279DB">
        <w:rPr>
          <w:vertAlign w:val="superscript"/>
          <w:lang w:val="en-GB"/>
        </w:rPr>
        <w:footnoteReference w:id="35"/>
      </w:r>
      <w:r w:rsidR="00467AD7" w:rsidRPr="004447B3">
        <w:rPr>
          <w:rFonts w:ascii="Arial" w:hAnsi="Arial" w:cs="Arial"/>
          <w:kern w:val="2"/>
          <w:sz w:val="24"/>
          <w:szCs w:val="24"/>
          <w:lang w:val="en-GB"/>
          <w14:ligatures w14:val="standardContextual"/>
        </w:rPr>
        <w:t xml:space="preserve"> This disposes of the question of joinder. The point </w:t>
      </w:r>
      <w:r w:rsidR="00467AD7" w:rsidRPr="004447B3">
        <w:rPr>
          <w:rFonts w:ascii="Arial" w:hAnsi="Arial" w:cs="Arial"/>
          <w:i/>
          <w:kern w:val="2"/>
          <w:sz w:val="24"/>
          <w:szCs w:val="24"/>
          <w:lang w:val="en-GB"/>
          <w14:ligatures w14:val="standardContextual"/>
        </w:rPr>
        <w:t>in limine</w:t>
      </w:r>
      <w:r w:rsidR="00467AD7" w:rsidRPr="004447B3">
        <w:rPr>
          <w:rFonts w:ascii="Arial" w:hAnsi="Arial" w:cs="Arial"/>
          <w:kern w:val="2"/>
          <w:sz w:val="24"/>
          <w:szCs w:val="24"/>
          <w:lang w:val="en-GB"/>
          <w14:ligatures w14:val="standardContextual"/>
        </w:rPr>
        <w:t xml:space="preserve"> thus falls to be dismissed.</w:t>
      </w:r>
    </w:p>
    <w:p w14:paraId="312E3C0E"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55C2A958" w14:textId="4567E831"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t>[64]</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 xml:space="preserve">The other point </w:t>
      </w:r>
      <w:r w:rsidR="00467AD7" w:rsidRPr="004447B3">
        <w:rPr>
          <w:rFonts w:ascii="Arial" w:hAnsi="Arial" w:cs="Arial"/>
          <w:i/>
          <w:kern w:val="2"/>
          <w:sz w:val="24"/>
          <w:szCs w:val="24"/>
          <w:lang w:val="en-GB"/>
          <w14:ligatures w14:val="standardContextual"/>
        </w:rPr>
        <w:t>in limine</w:t>
      </w:r>
      <w:r w:rsidR="00467AD7" w:rsidRPr="004447B3">
        <w:rPr>
          <w:rFonts w:ascii="Arial" w:hAnsi="Arial" w:cs="Arial"/>
          <w:kern w:val="2"/>
          <w:sz w:val="24"/>
          <w:szCs w:val="24"/>
          <w:lang w:val="en-GB"/>
          <w14:ligatures w14:val="standardContextual"/>
        </w:rPr>
        <w:t xml:space="preserve"> raised by the Municipality, which is directly related to the merits, is the applicability of PAJA. The Municipality submitted that its decision to refuse to terminate the consumer agreement should have been challenged as a review in terms of PAJA. As pointed out in the first judgment, the Municipality does not dispute Lehlaka’s right to terminate its consumer agreement with the Municipality. Its stance is that it has a discretion whether or not to accept what it describes as a ‘unilateral’ termination. According to the Municipality, Lehlaka allowed its properties to be occupied and for municipal services to be consumed. This created an ‘administrative relationship’ between Lehlaka and the </w:t>
      </w:r>
      <w:r w:rsidR="00D62CFB" w:rsidRPr="004447B3">
        <w:rPr>
          <w:rFonts w:ascii="Arial" w:hAnsi="Arial" w:cs="Arial"/>
          <w:kern w:val="2"/>
          <w:sz w:val="24"/>
          <w:szCs w:val="24"/>
          <w:lang w:val="en-GB"/>
          <w14:ligatures w14:val="standardContextual"/>
        </w:rPr>
        <w:t xml:space="preserve">unlawful </w:t>
      </w:r>
      <w:r w:rsidR="00467AD7" w:rsidRPr="004447B3">
        <w:rPr>
          <w:rFonts w:ascii="Arial" w:hAnsi="Arial" w:cs="Arial"/>
          <w:kern w:val="2"/>
          <w:sz w:val="24"/>
          <w:szCs w:val="24"/>
          <w:lang w:val="en-GB"/>
          <w14:ligatures w14:val="standardContextual"/>
        </w:rPr>
        <w:t>occupiers, which created ‘onerous obligations on [the Municipality] when it comes to charging for electricity supplied to the properties, or the termination of supply in the event of non-payment’.</w:t>
      </w:r>
    </w:p>
    <w:p w14:paraId="27E78104"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774D4D71" w14:textId="187B3F06"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lastRenderedPageBreak/>
        <w:t>[65]</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Administrative action is defined, in s 1 of PAJA, to mean any decision taken, or any failure to take a decision, by an organ of state when exercising a power in terms of the Constitution; or exercising a public power or performing a public function in terms of any legislation.</w:t>
      </w:r>
      <w:r w:rsidR="00467AD7" w:rsidRPr="001279DB">
        <w:rPr>
          <w:vertAlign w:val="superscript"/>
          <w:lang w:val="en-GB"/>
        </w:rPr>
        <w:footnoteReference w:id="36"/>
      </w:r>
      <w:r w:rsidR="00467AD7" w:rsidRPr="004447B3">
        <w:rPr>
          <w:rFonts w:ascii="Arial" w:hAnsi="Arial" w:cs="Arial"/>
          <w:kern w:val="2"/>
          <w:sz w:val="24"/>
          <w:szCs w:val="24"/>
          <w:lang w:val="en-GB"/>
          <w14:ligatures w14:val="standardContextual"/>
        </w:rPr>
        <w:t xml:space="preserve"> In respect of natural or juristic persons, which are not organs of state, for any decisions they make to fall within the ambit of administrative action, they must be exercising a public power or performing a public function in terms of an empowering provision.</w:t>
      </w:r>
      <w:r w:rsidR="00467AD7" w:rsidRPr="001279DB">
        <w:rPr>
          <w:vertAlign w:val="superscript"/>
          <w:lang w:val="en-GB"/>
        </w:rPr>
        <w:footnoteReference w:id="37"/>
      </w:r>
    </w:p>
    <w:p w14:paraId="6BA0E3D4"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16513EEB" w14:textId="57B358E1"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t>[66]</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 xml:space="preserve">There can </w:t>
      </w:r>
      <w:r w:rsidR="00586B47" w:rsidRPr="004447B3">
        <w:rPr>
          <w:rFonts w:ascii="Arial" w:hAnsi="Arial" w:cs="Arial"/>
          <w:kern w:val="2"/>
          <w:sz w:val="24"/>
          <w:szCs w:val="24"/>
          <w:lang w:val="en-GB"/>
          <w14:ligatures w14:val="standardContextual"/>
        </w:rPr>
        <w:t xml:space="preserve">be </w:t>
      </w:r>
      <w:r w:rsidR="00467AD7" w:rsidRPr="004447B3">
        <w:rPr>
          <w:rFonts w:ascii="Arial" w:hAnsi="Arial" w:cs="Arial"/>
          <w:kern w:val="2"/>
          <w:sz w:val="24"/>
          <w:szCs w:val="24"/>
          <w:lang w:val="en-GB"/>
          <w14:ligatures w14:val="standardContextual"/>
        </w:rPr>
        <w:t xml:space="preserve">no suggestion that Lehlaka was exercising a public power or performing a public function in terms of an empowering provision when it terminated the consumer agreement. Thus, in order to establish that PAJA applies, the Municipality, as an organ of state, must demonstrate that in refusing to accept the termination of the consumer agreement, it was taking a decision in exercise of a power in terms of the Constitution or a statute. Did the impugned decision entail the exercise by the Municipality of a power in terms the Constitution or provincial constitution, or the exercise of public power in terms if any legislation? If it did not, then it was not administrative action and consequently not susceptible to judicial review in terms </w:t>
      </w:r>
      <w:r w:rsidR="00C6192E" w:rsidRPr="004447B3">
        <w:rPr>
          <w:rFonts w:ascii="Arial" w:hAnsi="Arial" w:cs="Arial"/>
          <w:kern w:val="2"/>
          <w:sz w:val="24"/>
          <w:szCs w:val="24"/>
          <w:lang w:val="en-GB"/>
          <w14:ligatures w14:val="standardContextual"/>
        </w:rPr>
        <w:t xml:space="preserve">of </w:t>
      </w:r>
      <w:r w:rsidR="00467AD7" w:rsidRPr="004447B3">
        <w:rPr>
          <w:rFonts w:ascii="Arial" w:hAnsi="Arial" w:cs="Arial"/>
          <w:kern w:val="2"/>
          <w:sz w:val="24"/>
          <w:szCs w:val="24"/>
          <w:lang w:val="en-GB"/>
          <w14:ligatures w14:val="standardContextual"/>
        </w:rPr>
        <w:t>s 6 of PAJA.</w:t>
      </w:r>
      <w:r w:rsidR="00467AD7" w:rsidRPr="001279DB">
        <w:rPr>
          <w:vertAlign w:val="superscript"/>
          <w:lang w:val="en-GB"/>
        </w:rPr>
        <w:footnoteReference w:id="38"/>
      </w:r>
      <w:r w:rsidR="00467AD7" w:rsidRPr="004447B3">
        <w:rPr>
          <w:rFonts w:ascii="Arial" w:hAnsi="Arial" w:cs="Arial"/>
          <w:kern w:val="2"/>
          <w:sz w:val="24"/>
          <w:szCs w:val="24"/>
          <w:lang w:val="en-GB"/>
          <w14:ligatures w14:val="standardContextual"/>
        </w:rPr>
        <w:t xml:space="preserve"> </w:t>
      </w:r>
    </w:p>
    <w:p w14:paraId="45E77D6F"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5CC3F0C7" w14:textId="5B6FD85A"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t>[67]</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This Court has held that administrative action entails a decision which involves a choice or evaluation, thereby drawing a distinction between discretionary powers and mechanical powers.</w:t>
      </w:r>
      <w:r w:rsidR="00467AD7" w:rsidRPr="001279DB">
        <w:rPr>
          <w:vertAlign w:val="superscript"/>
          <w:lang w:val="en-GB"/>
        </w:rPr>
        <w:footnoteReference w:id="39"/>
      </w:r>
      <w:r w:rsidR="00467AD7" w:rsidRPr="004447B3">
        <w:rPr>
          <w:rFonts w:ascii="Arial" w:hAnsi="Arial" w:cs="Arial"/>
          <w:kern w:val="2"/>
          <w:sz w:val="24"/>
          <w:szCs w:val="24"/>
          <w:lang w:val="en-GB"/>
          <w14:ligatures w14:val="standardContextual"/>
        </w:rPr>
        <w:t xml:space="preserve"> Mechanical powers involve no choice, for example</w:t>
      </w:r>
      <w:r w:rsidR="00215681" w:rsidRPr="004447B3">
        <w:rPr>
          <w:rFonts w:ascii="Arial" w:hAnsi="Arial" w:cs="Arial"/>
          <w:kern w:val="2"/>
          <w:sz w:val="24"/>
          <w:szCs w:val="24"/>
          <w:lang w:val="en-GB"/>
          <w14:ligatures w14:val="standardContextual"/>
        </w:rPr>
        <w:t>,</w:t>
      </w:r>
      <w:r w:rsidR="00467AD7" w:rsidRPr="004447B3">
        <w:rPr>
          <w:rFonts w:ascii="Arial" w:hAnsi="Arial" w:cs="Arial"/>
          <w:kern w:val="2"/>
          <w:sz w:val="24"/>
          <w:szCs w:val="24"/>
          <w:lang w:val="en-GB"/>
          <w14:ligatures w14:val="standardContextual"/>
        </w:rPr>
        <w:t xml:space="preserve"> in instances where certain requirements are met, the decision-maker has no power to refuse. In contrast, there are those circumstances where the decision-maker has to make an assessment and come to a decision.</w:t>
      </w:r>
      <w:r w:rsidR="00467AD7" w:rsidRPr="001279DB">
        <w:rPr>
          <w:vertAlign w:val="superscript"/>
          <w:lang w:val="en-GB"/>
        </w:rPr>
        <w:footnoteReference w:id="40"/>
      </w:r>
    </w:p>
    <w:p w14:paraId="63F8D9E2"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5CCB99E7" w14:textId="76F855C8" w:rsidR="00467AD7" w:rsidRPr="004447B3" w:rsidRDefault="004447B3" w:rsidP="004447B3">
      <w:pPr>
        <w:spacing w:after="0" w:line="360" w:lineRule="auto"/>
        <w:jc w:val="both"/>
        <w:rPr>
          <w:rFonts w:ascii="Arial" w:hAnsi="Arial" w:cs="Arial"/>
          <w:kern w:val="2"/>
          <w:lang w:val="en-GB"/>
          <w14:ligatures w14:val="standardContextual"/>
        </w:rPr>
      </w:pPr>
      <w:r w:rsidRPr="001279DB">
        <w:rPr>
          <w:rFonts w:ascii="Arial" w:hAnsi="Arial" w:cs="Arial"/>
          <w:kern w:val="2"/>
          <w:sz w:val="24"/>
          <w:szCs w:val="24"/>
          <w:lang w:val="en-GB"/>
          <w14:ligatures w14:val="standardContextual"/>
        </w:rPr>
        <w:t>[68]</w:t>
      </w:r>
      <w:r w:rsidRPr="001279DB">
        <w:rPr>
          <w:rFonts w:ascii="Arial" w:hAnsi="Arial" w:cs="Arial"/>
          <w:kern w:val="2"/>
          <w:sz w:val="24"/>
          <w:szCs w:val="24"/>
          <w:lang w:val="en-GB"/>
          <w14:ligatures w14:val="standardContextual"/>
        </w:rPr>
        <w:tab/>
      </w:r>
      <w:r w:rsidR="00467AD7" w:rsidRPr="004447B3">
        <w:rPr>
          <w:rFonts w:ascii="Arial" w:hAnsi="Arial" w:cs="Arial"/>
          <w:sz w:val="24"/>
          <w:szCs w:val="24"/>
          <w:lang w:val="en-GB"/>
        </w:rPr>
        <w:t xml:space="preserve">The termination of a consumer’s agreement is provided for </w:t>
      </w:r>
      <w:r w:rsidR="00ED03D7" w:rsidRPr="004447B3">
        <w:rPr>
          <w:rFonts w:ascii="Arial" w:hAnsi="Arial" w:cs="Arial"/>
          <w:sz w:val="24"/>
          <w:szCs w:val="24"/>
          <w:lang w:val="en-GB"/>
        </w:rPr>
        <w:t xml:space="preserve">in </w:t>
      </w:r>
      <w:r w:rsidR="00467AD7" w:rsidRPr="004447B3">
        <w:rPr>
          <w:rFonts w:ascii="Arial" w:hAnsi="Arial" w:cs="Arial"/>
          <w:sz w:val="24"/>
          <w:szCs w:val="24"/>
          <w:lang w:val="en-GB"/>
        </w:rPr>
        <w:t>the Electricity By-laws. Section 3(1) of the By-laws provides that no person shall be entitled to the use of electricity without having entered into a consumer’s agreement with the municipal council in writing. If a person does use an electrical supply without entering into such an agreement, he shall be responsible for the costs of electricity. Section 4 deals with the termination of a consumer’s agreement and provides:</w:t>
      </w:r>
    </w:p>
    <w:p w14:paraId="09DC14DA" w14:textId="77777777" w:rsidR="00467AD7" w:rsidRPr="001279DB" w:rsidRDefault="00467AD7" w:rsidP="00522F18">
      <w:pPr>
        <w:spacing w:after="0" w:line="360" w:lineRule="auto"/>
        <w:contextualSpacing/>
        <w:jc w:val="both"/>
        <w:rPr>
          <w:rFonts w:ascii="Arial" w:hAnsi="Arial" w:cs="Arial"/>
          <w:kern w:val="2"/>
          <w:lang w:val="en-GB"/>
          <w14:ligatures w14:val="standardContextual"/>
        </w:rPr>
      </w:pPr>
      <w:r w:rsidRPr="001279DB">
        <w:rPr>
          <w:rFonts w:ascii="Arial" w:hAnsi="Arial" w:cs="Arial"/>
          <w:kern w:val="2"/>
          <w:lang w:val="en-GB"/>
          <w14:ligatures w14:val="standardContextual"/>
        </w:rPr>
        <w:t>‘Subject to the provision of section 7(9) and (13), the consumer’s agreement may be terminated by the consumer, or his authorised representative, or by [the Municipality] giving 14 days’ notice in writing calculated from the date of service thereof, provided that if such notice purports to terminate an agreement on a Saturday, Sunday or public holiday, such termination shall only take effect on the following workday.’</w:t>
      </w:r>
      <w:r w:rsidRPr="001279DB">
        <w:rPr>
          <w:rFonts w:ascii="Arial" w:hAnsi="Arial" w:cs="Arial"/>
          <w:kern w:val="2"/>
          <w:szCs w:val="24"/>
          <w:vertAlign w:val="superscript"/>
          <w:lang w:val="en-GB"/>
          <w14:ligatures w14:val="standardContextual"/>
        </w:rPr>
        <w:footnoteReference w:id="41"/>
      </w:r>
    </w:p>
    <w:p w14:paraId="5B18B22E" w14:textId="77777777" w:rsidR="006A3574" w:rsidRPr="001279DB" w:rsidRDefault="006A3574" w:rsidP="00522F18">
      <w:pPr>
        <w:spacing w:after="0" w:line="360" w:lineRule="auto"/>
        <w:contextualSpacing/>
        <w:jc w:val="both"/>
        <w:rPr>
          <w:rFonts w:ascii="Arial" w:hAnsi="Arial" w:cs="Arial"/>
          <w:kern w:val="2"/>
          <w:sz w:val="24"/>
          <w:szCs w:val="24"/>
          <w:lang w:val="en-GB"/>
          <w14:ligatures w14:val="standardContextual"/>
        </w:rPr>
      </w:pPr>
    </w:p>
    <w:p w14:paraId="5D787762" w14:textId="054C58D6" w:rsidR="00467AD7" w:rsidRPr="004447B3" w:rsidRDefault="004447B3" w:rsidP="004447B3">
      <w:pPr>
        <w:spacing w:after="0" w:line="360" w:lineRule="auto"/>
        <w:jc w:val="both"/>
        <w:rPr>
          <w:rFonts w:ascii="Arial" w:hAnsi="Arial" w:cs="Arial"/>
          <w:kern w:val="2"/>
          <w:sz w:val="24"/>
          <w:szCs w:val="24"/>
          <w:lang w:val="en-GB"/>
          <w14:ligatures w14:val="standardContextual"/>
        </w:rPr>
      </w:pPr>
      <w:r w:rsidRPr="001279DB">
        <w:rPr>
          <w:rFonts w:ascii="Arial" w:hAnsi="Arial" w:cs="Arial"/>
          <w:kern w:val="2"/>
          <w:sz w:val="24"/>
          <w:szCs w:val="24"/>
          <w:lang w:val="en-GB"/>
          <w14:ligatures w14:val="standardContextual"/>
        </w:rPr>
        <w:t>[69]</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Other than the requisite 14 days’ written notice, which the Municipality has accepted was given by 23 April 2020, the Municipality has no discretion to refuse to terminate the consumer agreement. Insofar as the Electricity By-laws give rise to legislative regulation of the contractual relationship between the Municipality and Lehlaka, the Electricity By-laws do not accord the Municipality the discretionary power to decide whether to accept or refuse a termination. Once that is so, the matter is governed by the ordinary terms of the contract. The public law regulation is limited. Hence, the right to terminate, which the Municipality acknowledges, must prevail because there is no power given to</w:t>
      </w:r>
      <w:r w:rsidR="00215681" w:rsidRPr="004447B3">
        <w:rPr>
          <w:rFonts w:ascii="Arial" w:hAnsi="Arial" w:cs="Arial"/>
          <w:kern w:val="2"/>
          <w:sz w:val="24"/>
          <w:szCs w:val="24"/>
          <w:lang w:val="en-GB"/>
          <w14:ligatures w14:val="standardContextual"/>
        </w:rPr>
        <w:t xml:space="preserve"> the</w:t>
      </w:r>
      <w:r w:rsidR="00467AD7" w:rsidRPr="004447B3">
        <w:rPr>
          <w:rFonts w:ascii="Arial" w:hAnsi="Arial" w:cs="Arial"/>
          <w:kern w:val="2"/>
          <w:sz w:val="24"/>
          <w:szCs w:val="24"/>
          <w:lang w:val="en-GB"/>
          <w14:ligatures w14:val="standardContextual"/>
        </w:rPr>
        <w:t xml:space="preserve"> Municipality to decide whether </w:t>
      </w:r>
      <w:r w:rsidR="005156E9" w:rsidRPr="004447B3">
        <w:rPr>
          <w:rFonts w:ascii="Arial" w:hAnsi="Arial" w:cs="Arial"/>
          <w:kern w:val="2"/>
          <w:sz w:val="24"/>
          <w:szCs w:val="24"/>
          <w:lang w:val="en-GB"/>
          <w14:ligatures w14:val="standardContextual"/>
        </w:rPr>
        <w:t xml:space="preserve">or not </w:t>
      </w:r>
      <w:r w:rsidR="00467AD7" w:rsidRPr="004447B3">
        <w:rPr>
          <w:rFonts w:ascii="Arial" w:hAnsi="Arial" w:cs="Arial"/>
          <w:kern w:val="2"/>
          <w:sz w:val="24"/>
          <w:szCs w:val="24"/>
          <w:lang w:val="en-GB"/>
          <w14:ligatures w14:val="standardContextual"/>
        </w:rPr>
        <w:t>that right may be exercised.</w:t>
      </w:r>
    </w:p>
    <w:p w14:paraId="7188E149" w14:textId="77777777" w:rsidR="006A3574" w:rsidRPr="001279DB" w:rsidRDefault="006A3574" w:rsidP="00522F18">
      <w:pPr>
        <w:pStyle w:val="ListParagraph"/>
        <w:spacing w:after="0" w:line="360" w:lineRule="auto"/>
        <w:ind w:left="0"/>
        <w:jc w:val="both"/>
        <w:rPr>
          <w:rFonts w:ascii="Arial" w:hAnsi="Arial" w:cs="Arial"/>
          <w:kern w:val="2"/>
          <w:sz w:val="24"/>
          <w:szCs w:val="24"/>
          <w:lang w:val="en-GB"/>
          <w14:ligatures w14:val="standardContextual"/>
        </w:rPr>
      </w:pPr>
    </w:p>
    <w:p w14:paraId="2B37A2EF" w14:textId="12517F89" w:rsidR="00467AD7" w:rsidRPr="004447B3" w:rsidRDefault="004447B3" w:rsidP="004447B3">
      <w:pPr>
        <w:spacing w:after="0" w:line="360" w:lineRule="auto"/>
        <w:jc w:val="both"/>
        <w:rPr>
          <w:rFonts w:ascii="Arial" w:hAnsi="Arial" w:cs="Arial"/>
          <w:kern w:val="2"/>
          <w:sz w:val="24"/>
          <w:szCs w:val="24"/>
          <w:lang w:val="en-GB"/>
          <w14:ligatures w14:val="standardContextual"/>
        </w:rPr>
      </w:pPr>
      <w:r w:rsidRPr="001279DB">
        <w:rPr>
          <w:rFonts w:ascii="Arial" w:hAnsi="Arial" w:cs="Arial"/>
          <w:kern w:val="2"/>
          <w:sz w:val="24"/>
          <w:szCs w:val="24"/>
          <w:lang w:val="en-GB"/>
          <w14:ligatures w14:val="standardContextual"/>
        </w:rPr>
        <w:t>[70]</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 xml:space="preserve">On the Municipality’s interpretation, the consumer may not terminate a consumer agreement, but only request the Municipality to do so, which it has a discretion to refuse. It would be extraordinary if a consumer agreement with a public service provider could operate in perpetuity and only be terminated if the service provider agreed to its termination. Once it is accepted that the consumer has a right to terminate a consumer’s agreement on the requisite notice, there is no choice to be made by the Municipality and thus no decision, other than a mechanical one, to be made. The decision, therefore, does not amount to administrative action as defined in PAJA. </w:t>
      </w:r>
    </w:p>
    <w:p w14:paraId="10727694" w14:textId="77777777" w:rsidR="006A3574" w:rsidRPr="001279DB" w:rsidRDefault="006A3574" w:rsidP="00522F18">
      <w:pPr>
        <w:pStyle w:val="ListParagraph"/>
        <w:spacing w:after="0" w:line="360" w:lineRule="auto"/>
        <w:jc w:val="both"/>
        <w:rPr>
          <w:rFonts w:ascii="Arial" w:hAnsi="Arial" w:cs="Arial"/>
          <w:kern w:val="2"/>
          <w:sz w:val="24"/>
          <w:szCs w:val="24"/>
          <w:lang w:val="en-GB"/>
          <w14:ligatures w14:val="standardContextual"/>
        </w:rPr>
      </w:pPr>
    </w:p>
    <w:p w14:paraId="123BD7BF" w14:textId="51880528" w:rsidR="00467AD7" w:rsidRPr="004447B3" w:rsidRDefault="004447B3" w:rsidP="004447B3">
      <w:pPr>
        <w:spacing w:after="0" w:line="360" w:lineRule="auto"/>
        <w:jc w:val="both"/>
        <w:rPr>
          <w:rFonts w:ascii="Arial" w:hAnsi="Arial" w:cs="Arial"/>
          <w:kern w:val="2"/>
          <w:sz w:val="24"/>
          <w:szCs w:val="24"/>
          <w:lang w:val="en-GB"/>
          <w14:ligatures w14:val="standardContextual"/>
        </w:rPr>
      </w:pPr>
      <w:r w:rsidRPr="001279DB">
        <w:rPr>
          <w:rFonts w:ascii="Arial" w:hAnsi="Arial" w:cs="Arial"/>
          <w:kern w:val="2"/>
          <w:sz w:val="24"/>
          <w:szCs w:val="24"/>
          <w:lang w:val="en-GB"/>
          <w14:ligatures w14:val="standardContextual"/>
        </w:rPr>
        <w:t>[71]</w:t>
      </w:r>
      <w:r w:rsidRPr="001279DB">
        <w:rPr>
          <w:rFonts w:ascii="Arial" w:hAnsi="Arial" w:cs="Arial"/>
          <w:kern w:val="2"/>
          <w:sz w:val="24"/>
          <w:szCs w:val="24"/>
          <w:lang w:val="en-GB"/>
          <w14:ligatures w14:val="standardContextual"/>
        </w:rPr>
        <w:tab/>
      </w:r>
      <w:r w:rsidR="00467AD7" w:rsidRPr="004447B3">
        <w:rPr>
          <w:rFonts w:ascii="Arial" w:hAnsi="Arial" w:cs="Arial"/>
          <w:kern w:val="2"/>
          <w:sz w:val="24"/>
          <w:szCs w:val="24"/>
          <w:lang w:val="en-GB"/>
          <w14:ligatures w14:val="standardContextual"/>
        </w:rPr>
        <w:t xml:space="preserve">For the reasons set out above, Lehlaka is entitled to terminate the contract with the Municipality. Consequently, the appeal </w:t>
      </w:r>
      <w:r w:rsidR="003D4D37" w:rsidRPr="004447B3">
        <w:rPr>
          <w:rFonts w:ascii="Arial" w:hAnsi="Arial" w:cs="Arial"/>
          <w:kern w:val="2"/>
          <w:sz w:val="24"/>
          <w:szCs w:val="24"/>
          <w:lang w:val="en-GB"/>
          <w14:ligatures w14:val="standardContextual"/>
        </w:rPr>
        <w:t xml:space="preserve">falls to be dismissed </w:t>
      </w:r>
      <w:r w:rsidR="00467AD7" w:rsidRPr="004447B3">
        <w:rPr>
          <w:rFonts w:ascii="Arial" w:hAnsi="Arial" w:cs="Arial"/>
          <w:kern w:val="2"/>
          <w:sz w:val="24"/>
          <w:szCs w:val="24"/>
          <w:lang w:val="en-GB"/>
          <w14:ligatures w14:val="standardContextual"/>
        </w:rPr>
        <w:t>and the following order</w:t>
      </w:r>
      <w:r w:rsidR="003D4D37" w:rsidRPr="004447B3">
        <w:rPr>
          <w:rFonts w:ascii="Arial" w:hAnsi="Arial" w:cs="Arial"/>
          <w:kern w:val="2"/>
          <w:sz w:val="24"/>
          <w:szCs w:val="24"/>
          <w:lang w:val="en-GB"/>
          <w14:ligatures w14:val="standardContextual"/>
        </w:rPr>
        <w:t xml:space="preserve"> is made</w:t>
      </w:r>
      <w:r w:rsidR="00467AD7" w:rsidRPr="004447B3">
        <w:rPr>
          <w:rFonts w:ascii="Arial" w:hAnsi="Arial" w:cs="Arial"/>
          <w:kern w:val="2"/>
          <w:sz w:val="24"/>
          <w:szCs w:val="24"/>
          <w:lang w:val="en-GB"/>
          <w14:ligatures w14:val="standardContextual"/>
        </w:rPr>
        <w:t>:</w:t>
      </w:r>
    </w:p>
    <w:p w14:paraId="1CD074E8" w14:textId="77777777" w:rsidR="00467AD7" w:rsidRPr="001279DB" w:rsidRDefault="00467AD7" w:rsidP="00522F18">
      <w:pPr>
        <w:spacing w:after="0" w:line="360" w:lineRule="auto"/>
        <w:jc w:val="both"/>
        <w:rPr>
          <w:rFonts w:ascii="Arial" w:hAnsi="Arial" w:cs="Arial"/>
          <w:sz w:val="24"/>
          <w:szCs w:val="24"/>
          <w:lang w:val="en-GB"/>
        </w:rPr>
      </w:pPr>
      <w:r w:rsidRPr="001279DB">
        <w:rPr>
          <w:rFonts w:ascii="Arial" w:hAnsi="Arial" w:cs="Arial"/>
          <w:sz w:val="24"/>
          <w:szCs w:val="24"/>
          <w:lang w:val="en-GB"/>
        </w:rPr>
        <w:t xml:space="preserve">The appeal is dismissed with costs, including the costs of two counsel. </w:t>
      </w:r>
    </w:p>
    <w:p w14:paraId="0421BCCE" w14:textId="77777777" w:rsidR="0030214F" w:rsidRPr="001279DB" w:rsidRDefault="0030214F" w:rsidP="00522F18">
      <w:pPr>
        <w:pStyle w:val="Normal1"/>
        <w:spacing w:after="0" w:line="360" w:lineRule="auto"/>
        <w:ind w:right="72"/>
        <w:contextualSpacing/>
        <w:jc w:val="both"/>
        <w:rPr>
          <w:rFonts w:ascii="Arial" w:eastAsia="Arial" w:hAnsi="Arial" w:cs="Arial"/>
          <w:sz w:val="24"/>
          <w:szCs w:val="24"/>
        </w:rPr>
      </w:pPr>
    </w:p>
    <w:p w14:paraId="1D54DA1E" w14:textId="77777777" w:rsidR="00817563" w:rsidRPr="001279DB" w:rsidRDefault="00817563" w:rsidP="00522F18">
      <w:pPr>
        <w:pStyle w:val="Normal1"/>
        <w:spacing w:after="0" w:line="360" w:lineRule="auto"/>
        <w:ind w:right="72"/>
        <w:contextualSpacing/>
        <w:jc w:val="both"/>
        <w:rPr>
          <w:rFonts w:ascii="Arial" w:eastAsia="Arial" w:hAnsi="Arial" w:cs="Arial"/>
          <w:sz w:val="24"/>
          <w:szCs w:val="24"/>
        </w:rPr>
      </w:pPr>
    </w:p>
    <w:p w14:paraId="5B407BFA" w14:textId="4C3385D7" w:rsidR="00064BAC" w:rsidRPr="001279DB" w:rsidRDefault="00064BAC" w:rsidP="004176BF">
      <w:pPr>
        <w:pStyle w:val="Normal1"/>
        <w:spacing w:after="0" w:line="360" w:lineRule="auto"/>
        <w:ind w:right="72"/>
        <w:contextualSpacing/>
        <w:jc w:val="right"/>
        <w:rPr>
          <w:rFonts w:ascii="Arial" w:eastAsia="Arial" w:hAnsi="Arial" w:cs="Arial"/>
          <w:sz w:val="24"/>
          <w:szCs w:val="24"/>
        </w:rPr>
      </w:pPr>
    </w:p>
    <w:p w14:paraId="53E0FFCF" w14:textId="77777777" w:rsidR="00064BAC" w:rsidRPr="001279DB" w:rsidRDefault="00064BAC" w:rsidP="00522F18">
      <w:pPr>
        <w:pStyle w:val="Normal1"/>
        <w:spacing w:after="0" w:line="360" w:lineRule="auto"/>
        <w:ind w:right="72"/>
        <w:contextualSpacing/>
        <w:jc w:val="right"/>
        <w:rPr>
          <w:rFonts w:ascii="Arial" w:eastAsia="Arial" w:hAnsi="Arial" w:cs="Arial"/>
          <w:sz w:val="24"/>
          <w:szCs w:val="24"/>
        </w:rPr>
      </w:pPr>
      <w:r w:rsidRPr="001279DB">
        <w:rPr>
          <w:rFonts w:ascii="Arial" w:eastAsia="Arial" w:hAnsi="Arial" w:cs="Arial"/>
          <w:sz w:val="24"/>
          <w:szCs w:val="24"/>
        </w:rPr>
        <w:t>____________________</w:t>
      </w:r>
    </w:p>
    <w:p w14:paraId="79C287CE" w14:textId="77777777" w:rsidR="00817563" w:rsidRPr="001279DB" w:rsidRDefault="00C031E0" w:rsidP="00522F18">
      <w:pPr>
        <w:pStyle w:val="Normal1"/>
        <w:spacing w:after="0" w:line="360" w:lineRule="auto"/>
        <w:ind w:right="72"/>
        <w:contextualSpacing/>
        <w:jc w:val="right"/>
        <w:rPr>
          <w:rFonts w:ascii="Arial" w:eastAsia="Arial" w:hAnsi="Arial" w:cs="Arial"/>
          <w:sz w:val="24"/>
          <w:szCs w:val="24"/>
        </w:rPr>
      </w:pPr>
      <w:r w:rsidRPr="001279DB">
        <w:rPr>
          <w:rFonts w:ascii="Arial" w:eastAsia="Arial" w:hAnsi="Arial" w:cs="Arial"/>
          <w:sz w:val="24"/>
          <w:szCs w:val="24"/>
        </w:rPr>
        <w:t xml:space="preserve">        </w:t>
      </w:r>
      <w:r w:rsidR="00064BAC" w:rsidRPr="001279DB">
        <w:rPr>
          <w:rFonts w:ascii="Arial" w:eastAsia="Arial" w:hAnsi="Arial" w:cs="Arial"/>
          <w:sz w:val="24"/>
          <w:szCs w:val="24"/>
        </w:rPr>
        <w:t>C HEATON NICHOLLS</w:t>
      </w:r>
    </w:p>
    <w:p w14:paraId="36E0E159" w14:textId="77777777" w:rsidR="00064BAC" w:rsidRPr="001279DB" w:rsidRDefault="00064BAC" w:rsidP="00522F18">
      <w:pPr>
        <w:pStyle w:val="Normal1"/>
        <w:spacing w:after="0" w:line="360" w:lineRule="auto"/>
        <w:ind w:right="72"/>
        <w:contextualSpacing/>
        <w:jc w:val="right"/>
        <w:rPr>
          <w:rFonts w:ascii="Arial" w:eastAsia="Arial" w:hAnsi="Arial" w:cs="Arial"/>
          <w:sz w:val="24"/>
          <w:szCs w:val="24"/>
        </w:rPr>
      </w:pPr>
      <w:r w:rsidRPr="001279DB">
        <w:rPr>
          <w:rFonts w:ascii="Arial" w:eastAsia="Arial" w:hAnsi="Arial" w:cs="Arial"/>
          <w:sz w:val="24"/>
          <w:szCs w:val="24"/>
        </w:rPr>
        <w:t>JUDGE OF APPEAL</w:t>
      </w:r>
    </w:p>
    <w:p w14:paraId="6C31E261" w14:textId="77777777" w:rsidR="009C378F" w:rsidRPr="001279DB" w:rsidRDefault="009C378F" w:rsidP="00522F18">
      <w:pPr>
        <w:pStyle w:val="Normal1"/>
        <w:spacing w:after="0" w:line="360" w:lineRule="auto"/>
        <w:ind w:right="72"/>
        <w:contextualSpacing/>
        <w:jc w:val="both"/>
        <w:rPr>
          <w:rFonts w:ascii="Arial" w:eastAsia="Arial" w:hAnsi="Arial" w:cs="Arial"/>
          <w:sz w:val="24"/>
          <w:szCs w:val="24"/>
        </w:rPr>
      </w:pPr>
    </w:p>
    <w:p w14:paraId="50C69547" w14:textId="77777777" w:rsidR="00CC41EE" w:rsidRDefault="00CC41EE" w:rsidP="00215681">
      <w:pPr>
        <w:pStyle w:val="Normal1"/>
        <w:spacing w:after="0" w:line="360" w:lineRule="auto"/>
        <w:ind w:right="72"/>
        <w:contextualSpacing/>
        <w:jc w:val="both"/>
        <w:rPr>
          <w:rFonts w:ascii="Arial" w:eastAsia="Arial" w:hAnsi="Arial" w:cs="Arial"/>
          <w:sz w:val="24"/>
          <w:szCs w:val="24"/>
        </w:rPr>
      </w:pPr>
    </w:p>
    <w:p w14:paraId="6D59B050" w14:textId="77777777" w:rsidR="00A66E3E" w:rsidRPr="001279DB" w:rsidRDefault="00A66E3E" w:rsidP="00215681">
      <w:pPr>
        <w:pStyle w:val="Normal1"/>
        <w:spacing w:after="0" w:line="360" w:lineRule="auto"/>
        <w:ind w:right="72"/>
        <w:contextualSpacing/>
        <w:jc w:val="both"/>
        <w:rPr>
          <w:rFonts w:ascii="Arial" w:eastAsia="Arial" w:hAnsi="Arial" w:cs="Arial"/>
          <w:sz w:val="24"/>
          <w:szCs w:val="24"/>
        </w:rPr>
      </w:pPr>
    </w:p>
    <w:p w14:paraId="24CDE001" w14:textId="2718185A" w:rsidR="00C031E0" w:rsidRPr="001279DB" w:rsidRDefault="00C031E0" w:rsidP="00215681">
      <w:pPr>
        <w:spacing w:after="0" w:line="360" w:lineRule="auto"/>
        <w:contextualSpacing/>
        <w:jc w:val="both"/>
        <w:rPr>
          <w:rFonts w:ascii="Arial" w:hAnsi="Arial" w:cs="Arial"/>
          <w:b/>
          <w:sz w:val="24"/>
          <w:szCs w:val="24"/>
          <w:lang w:val="en-GB"/>
        </w:rPr>
      </w:pPr>
      <w:r w:rsidRPr="001279DB">
        <w:rPr>
          <w:rFonts w:ascii="Arial" w:hAnsi="Arial" w:cs="Arial"/>
          <w:b/>
          <w:sz w:val="24"/>
          <w:szCs w:val="24"/>
          <w:lang w:val="en-GB"/>
        </w:rPr>
        <w:t>Siwendu AJA:</w:t>
      </w:r>
    </w:p>
    <w:p w14:paraId="0917526B" w14:textId="77777777" w:rsidR="00215681" w:rsidRPr="001279DB" w:rsidRDefault="00215681" w:rsidP="00215681">
      <w:pPr>
        <w:spacing w:after="0" w:line="360" w:lineRule="auto"/>
        <w:contextualSpacing/>
        <w:jc w:val="both"/>
        <w:rPr>
          <w:rFonts w:ascii="Arial" w:hAnsi="Arial" w:cs="Arial"/>
          <w:b/>
          <w:sz w:val="24"/>
          <w:szCs w:val="24"/>
          <w:lang w:val="en-GB"/>
        </w:rPr>
      </w:pPr>
    </w:p>
    <w:p w14:paraId="5EC1945B" w14:textId="28115AEB" w:rsidR="00C031E0" w:rsidRPr="004447B3" w:rsidRDefault="004447B3" w:rsidP="004447B3">
      <w:pPr>
        <w:spacing w:after="0" w:line="360" w:lineRule="auto"/>
        <w:jc w:val="both"/>
        <w:rPr>
          <w:rFonts w:ascii="Arial" w:hAnsi="Arial" w:cs="Arial"/>
          <w:sz w:val="24"/>
          <w:szCs w:val="24"/>
          <w:lang w:val="en-GB"/>
        </w:rPr>
      </w:pPr>
      <w:r w:rsidRPr="001279DB">
        <w:rPr>
          <w:rFonts w:ascii="Arial" w:hAnsi="Arial" w:cs="Arial"/>
          <w:sz w:val="24"/>
          <w:szCs w:val="24"/>
          <w:lang w:val="en-GB"/>
        </w:rPr>
        <w:t>[72]</w:t>
      </w:r>
      <w:r w:rsidRPr="001279DB">
        <w:rPr>
          <w:rFonts w:ascii="Arial" w:hAnsi="Arial" w:cs="Arial"/>
          <w:sz w:val="24"/>
          <w:szCs w:val="24"/>
          <w:lang w:val="en-GB"/>
        </w:rPr>
        <w:tab/>
      </w:r>
      <w:r w:rsidR="00C031E0" w:rsidRPr="004447B3">
        <w:rPr>
          <w:rFonts w:ascii="Arial" w:hAnsi="Arial" w:cs="Arial"/>
          <w:sz w:val="24"/>
          <w:szCs w:val="24"/>
          <w:lang w:val="en-GB"/>
        </w:rPr>
        <w:t xml:space="preserve">I </w:t>
      </w:r>
      <w:r w:rsidR="001C61B0" w:rsidRPr="004447B3">
        <w:rPr>
          <w:rFonts w:ascii="Arial" w:hAnsi="Arial" w:cs="Arial"/>
          <w:sz w:val="24"/>
          <w:szCs w:val="24"/>
          <w:lang w:val="en-GB"/>
        </w:rPr>
        <w:t xml:space="preserve">have read the judgments by my colleagues Hughes JA (the first judgment) and Nicholls JA (the second judgment). I </w:t>
      </w:r>
      <w:r w:rsidR="00C031E0" w:rsidRPr="004447B3">
        <w:rPr>
          <w:rFonts w:ascii="Arial" w:hAnsi="Arial" w:cs="Arial"/>
          <w:sz w:val="24"/>
          <w:szCs w:val="24"/>
          <w:lang w:val="en-GB"/>
        </w:rPr>
        <w:t xml:space="preserve">concur in the second judgment and order proposed by my colleague, Nicholls JA. I write separately, because in my view given the contractual nature of the relationships between Lehlaka (as the owner of the occupied properties), </w:t>
      </w:r>
      <w:r w:rsidR="001C61B0" w:rsidRPr="004447B3">
        <w:rPr>
          <w:rFonts w:ascii="Arial" w:hAnsi="Arial" w:cs="Arial"/>
          <w:sz w:val="24"/>
          <w:szCs w:val="24"/>
          <w:lang w:val="en-GB"/>
        </w:rPr>
        <w:t xml:space="preserve">on the one hand, </w:t>
      </w:r>
      <w:r w:rsidR="00C031E0" w:rsidRPr="004447B3">
        <w:rPr>
          <w:rFonts w:ascii="Arial" w:hAnsi="Arial" w:cs="Arial"/>
          <w:sz w:val="24"/>
          <w:szCs w:val="24"/>
          <w:lang w:val="en-GB"/>
        </w:rPr>
        <w:t>and the Municipality (a sphere of government)</w:t>
      </w:r>
      <w:r w:rsidR="00D868EB" w:rsidRPr="004447B3">
        <w:rPr>
          <w:rFonts w:ascii="Arial" w:hAnsi="Arial" w:cs="Arial"/>
          <w:sz w:val="24"/>
          <w:szCs w:val="24"/>
          <w:lang w:val="en-GB"/>
        </w:rPr>
        <w:t>,</w:t>
      </w:r>
      <w:r w:rsidR="001C61B0" w:rsidRPr="004447B3">
        <w:rPr>
          <w:rFonts w:ascii="Arial" w:hAnsi="Arial" w:cs="Arial"/>
          <w:sz w:val="24"/>
          <w:szCs w:val="24"/>
          <w:lang w:val="en-GB"/>
        </w:rPr>
        <w:t xml:space="preserve"> on the other, </w:t>
      </w:r>
      <w:r w:rsidR="00C031E0" w:rsidRPr="004447B3">
        <w:rPr>
          <w:rFonts w:ascii="Arial" w:hAnsi="Arial" w:cs="Arial"/>
          <w:sz w:val="24"/>
          <w:szCs w:val="24"/>
          <w:lang w:val="en-GB"/>
        </w:rPr>
        <w:t xml:space="preserve">a joinder of the </w:t>
      </w:r>
      <w:r w:rsidR="00E2606B" w:rsidRPr="004447B3">
        <w:rPr>
          <w:rFonts w:ascii="Arial" w:hAnsi="Arial" w:cs="Arial"/>
          <w:sz w:val="24"/>
          <w:szCs w:val="24"/>
          <w:lang w:val="en-GB"/>
        </w:rPr>
        <w:t xml:space="preserve">unlawful </w:t>
      </w:r>
      <w:r w:rsidR="00C031E0" w:rsidRPr="004447B3">
        <w:rPr>
          <w:rFonts w:ascii="Arial" w:hAnsi="Arial" w:cs="Arial"/>
          <w:sz w:val="24"/>
          <w:szCs w:val="24"/>
          <w:lang w:val="en-GB"/>
        </w:rPr>
        <w:t xml:space="preserve">occupiers is not necessary. </w:t>
      </w:r>
    </w:p>
    <w:p w14:paraId="43655DD2" w14:textId="77777777" w:rsidR="00215681" w:rsidRPr="001279DB" w:rsidRDefault="00215681" w:rsidP="00215681">
      <w:pPr>
        <w:pStyle w:val="ListParagraph"/>
        <w:spacing w:after="0" w:line="360" w:lineRule="auto"/>
        <w:ind w:left="0"/>
        <w:jc w:val="both"/>
        <w:rPr>
          <w:rFonts w:ascii="Arial" w:hAnsi="Arial" w:cs="Arial"/>
          <w:sz w:val="24"/>
          <w:szCs w:val="24"/>
          <w:lang w:val="en-GB"/>
        </w:rPr>
      </w:pPr>
    </w:p>
    <w:p w14:paraId="22CD174F" w14:textId="06DECD69" w:rsidR="00522F18" w:rsidRPr="004447B3" w:rsidRDefault="004447B3" w:rsidP="004447B3">
      <w:pPr>
        <w:spacing w:after="0" w:line="360" w:lineRule="auto"/>
        <w:jc w:val="both"/>
        <w:rPr>
          <w:rFonts w:ascii="Arial" w:hAnsi="Arial" w:cs="Arial"/>
          <w:sz w:val="24"/>
          <w:szCs w:val="24"/>
          <w:lang w:val="en-GB"/>
        </w:rPr>
      </w:pPr>
      <w:r w:rsidRPr="001279DB">
        <w:rPr>
          <w:rFonts w:ascii="Arial" w:hAnsi="Arial" w:cs="Arial"/>
          <w:sz w:val="24"/>
          <w:szCs w:val="24"/>
          <w:lang w:val="en-GB"/>
        </w:rPr>
        <w:t>[73]</w:t>
      </w:r>
      <w:r w:rsidRPr="001279DB">
        <w:rPr>
          <w:rFonts w:ascii="Arial" w:hAnsi="Arial" w:cs="Arial"/>
          <w:sz w:val="24"/>
          <w:szCs w:val="24"/>
          <w:lang w:val="en-GB"/>
        </w:rPr>
        <w:tab/>
      </w:r>
      <w:r w:rsidR="00C031E0" w:rsidRPr="004447B3">
        <w:rPr>
          <w:rFonts w:ascii="Arial" w:hAnsi="Arial" w:cs="Arial"/>
          <w:sz w:val="24"/>
          <w:szCs w:val="24"/>
        </w:rPr>
        <w:t xml:space="preserve">First, it merits emphasis that only the </w:t>
      </w:r>
      <w:r w:rsidR="00C031E0" w:rsidRPr="004447B3">
        <w:rPr>
          <w:rFonts w:ascii="Arial" w:hAnsi="Arial" w:cs="Arial"/>
          <w:sz w:val="24"/>
          <w:szCs w:val="24"/>
          <w:lang w:val="en-GB"/>
        </w:rPr>
        <w:t>Municipality singularly b</w:t>
      </w:r>
      <w:r w:rsidR="001C61B0" w:rsidRPr="004447B3">
        <w:rPr>
          <w:rFonts w:ascii="Arial" w:hAnsi="Arial" w:cs="Arial"/>
          <w:sz w:val="24"/>
          <w:szCs w:val="24"/>
          <w:lang w:val="en-GB"/>
        </w:rPr>
        <w:t>e</w:t>
      </w:r>
      <w:r w:rsidR="00C031E0" w:rsidRPr="004447B3">
        <w:rPr>
          <w:rFonts w:ascii="Arial" w:hAnsi="Arial" w:cs="Arial"/>
          <w:sz w:val="24"/>
          <w:szCs w:val="24"/>
          <w:lang w:val="en-GB"/>
        </w:rPr>
        <w:t>ars the outward administrative law obligations in its dealings with its citizens.</w:t>
      </w:r>
      <w:r w:rsidR="00C031E0" w:rsidRPr="001279DB">
        <w:rPr>
          <w:vertAlign w:val="superscript"/>
          <w:lang w:val="en-GB"/>
        </w:rPr>
        <w:footnoteReference w:id="42"/>
      </w:r>
      <w:r w:rsidR="00C031E0" w:rsidRPr="004447B3">
        <w:rPr>
          <w:rFonts w:ascii="Arial" w:hAnsi="Arial" w:cs="Arial"/>
          <w:sz w:val="24"/>
          <w:szCs w:val="24"/>
          <w:lang w:val="en-GB"/>
        </w:rPr>
        <w:t xml:space="preserve"> Those obligations may not be transferred unless the Municipality contracts with a third party to perform municipal services on its behalf.</w:t>
      </w:r>
      <w:r w:rsidR="00C031E0" w:rsidRPr="001279DB">
        <w:rPr>
          <w:vertAlign w:val="superscript"/>
          <w:lang w:val="en-GB"/>
        </w:rPr>
        <w:footnoteReference w:id="43"/>
      </w:r>
      <w:r w:rsidR="00C031E0" w:rsidRPr="004447B3">
        <w:rPr>
          <w:rFonts w:ascii="Arial" w:hAnsi="Arial" w:cs="Arial"/>
          <w:sz w:val="24"/>
          <w:szCs w:val="24"/>
          <w:lang w:val="en-GB"/>
        </w:rPr>
        <w:t xml:space="preserve"> Second, private citizens, like Lehlaka</w:t>
      </w:r>
      <w:r w:rsidR="006F6FC4" w:rsidRPr="004447B3">
        <w:rPr>
          <w:rFonts w:ascii="Arial" w:hAnsi="Arial" w:cs="Arial"/>
          <w:sz w:val="24"/>
          <w:szCs w:val="24"/>
          <w:lang w:val="en-GB"/>
        </w:rPr>
        <w:t>,</w:t>
      </w:r>
      <w:r w:rsidR="00C031E0" w:rsidRPr="004447B3">
        <w:rPr>
          <w:rFonts w:ascii="Arial" w:hAnsi="Arial" w:cs="Arial"/>
          <w:sz w:val="24"/>
          <w:szCs w:val="24"/>
          <w:lang w:val="en-GB"/>
        </w:rPr>
        <w:t xml:space="preserve"> cannot </w:t>
      </w:r>
      <w:r w:rsidR="006F6FC4" w:rsidRPr="004447B3">
        <w:rPr>
          <w:rFonts w:ascii="Arial" w:hAnsi="Arial" w:cs="Arial"/>
          <w:sz w:val="24"/>
          <w:szCs w:val="24"/>
          <w:lang w:val="en-GB"/>
        </w:rPr>
        <w:t>‘</w:t>
      </w:r>
      <w:r w:rsidR="00C031E0" w:rsidRPr="004447B3">
        <w:rPr>
          <w:rFonts w:ascii="Arial" w:hAnsi="Arial" w:cs="Arial"/>
          <w:sz w:val="24"/>
          <w:szCs w:val="24"/>
          <w:lang w:val="en-GB"/>
        </w:rPr>
        <w:t>act administratively</w:t>
      </w:r>
      <w:r w:rsidR="006F6FC4" w:rsidRPr="004447B3">
        <w:rPr>
          <w:rFonts w:ascii="Arial" w:hAnsi="Arial" w:cs="Arial"/>
          <w:sz w:val="24"/>
          <w:szCs w:val="24"/>
          <w:lang w:val="en-GB"/>
        </w:rPr>
        <w:t>’</w:t>
      </w:r>
      <w:r w:rsidR="00C031E0" w:rsidRPr="004447B3">
        <w:rPr>
          <w:rFonts w:ascii="Arial" w:hAnsi="Arial" w:cs="Arial"/>
          <w:sz w:val="24"/>
          <w:szCs w:val="24"/>
          <w:lang w:val="en-GB"/>
        </w:rPr>
        <w:t xml:space="preserve"> and have no reciprocal administrative duties in their dealings with </w:t>
      </w:r>
      <w:r w:rsidR="00C031E0" w:rsidRPr="004447B3">
        <w:rPr>
          <w:rFonts w:ascii="Arial" w:eastAsia="Times New Roman" w:hAnsi="Arial" w:cs="Arial"/>
          <w:sz w:val="24"/>
          <w:szCs w:val="24"/>
          <w:lang w:val="en-GB"/>
        </w:rPr>
        <w:t xml:space="preserve">the Municipality in law. </w:t>
      </w:r>
    </w:p>
    <w:p w14:paraId="3103F942" w14:textId="77777777" w:rsidR="00215681" w:rsidRPr="001279DB" w:rsidRDefault="00215681" w:rsidP="00215681">
      <w:pPr>
        <w:pStyle w:val="ListParagraph"/>
        <w:spacing w:after="0" w:line="360" w:lineRule="auto"/>
        <w:jc w:val="both"/>
        <w:rPr>
          <w:rFonts w:ascii="Arial" w:hAnsi="Arial" w:cs="Arial"/>
          <w:sz w:val="24"/>
          <w:szCs w:val="24"/>
          <w:lang w:val="en-GB"/>
        </w:rPr>
      </w:pPr>
    </w:p>
    <w:p w14:paraId="007E1E5D" w14:textId="31E599E1" w:rsidR="00C031E0" w:rsidRPr="004447B3" w:rsidRDefault="004447B3" w:rsidP="004447B3">
      <w:pPr>
        <w:spacing w:after="0" w:line="360" w:lineRule="auto"/>
        <w:jc w:val="both"/>
        <w:rPr>
          <w:rFonts w:ascii="Arial" w:hAnsi="Arial" w:cs="Arial"/>
          <w:sz w:val="24"/>
          <w:szCs w:val="24"/>
          <w:lang w:val="en-GB"/>
        </w:rPr>
      </w:pPr>
      <w:r w:rsidRPr="001279DB">
        <w:rPr>
          <w:rFonts w:ascii="Arial" w:hAnsi="Arial" w:cs="Arial"/>
          <w:sz w:val="24"/>
          <w:szCs w:val="24"/>
          <w:lang w:val="en-GB"/>
        </w:rPr>
        <w:t>[74]</w:t>
      </w:r>
      <w:r w:rsidRPr="001279DB">
        <w:rPr>
          <w:rFonts w:ascii="Arial" w:hAnsi="Arial" w:cs="Arial"/>
          <w:sz w:val="24"/>
          <w:szCs w:val="24"/>
          <w:lang w:val="en-GB"/>
        </w:rPr>
        <w:tab/>
      </w:r>
      <w:r w:rsidR="00C031E0" w:rsidRPr="004447B3">
        <w:rPr>
          <w:rFonts w:ascii="Arial" w:hAnsi="Arial" w:cs="Arial"/>
          <w:sz w:val="24"/>
          <w:szCs w:val="24"/>
          <w:lang w:val="en-GB"/>
        </w:rPr>
        <w:t>The crux of the dispute before the high court involve</w:t>
      </w:r>
      <w:r w:rsidR="00C031E0" w:rsidRPr="004447B3">
        <w:rPr>
          <w:rFonts w:ascii="Arial" w:hAnsi="Arial" w:cs="Arial"/>
          <w:sz w:val="24"/>
          <w:szCs w:val="24"/>
        </w:rPr>
        <w:t>s</w:t>
      </w:r>
      <w:r w:rsidR="00C031E0" w:rsidRPr="004447B3">
        <w:rPr>
          <w:rFonts w:ascii="Arial" w:hAnsi="Arial" w:cs="Arial"/>
          <w:sz w:val="24"/>
          <w:szCs w:val="24"/>
          <w:lang w:val="en-GB"/>
        </w:rPr>
        <w:t xml:space="preserve"> Lehlaka’s right to </w:t>
      </w:r>
      <w:r w:rsidR="00C031E0" w:rsidRPr="004447B3">
        <w:rPr>
          <w:rFonts w:ascii="Arial" w:hAnsi="Arial" w:cs="Arial"/>
          <w:sz w:val="24"/>
          <w:szCs w:val="24"/>
        </w:rPr>
        <w:t xml:space="preserve">resile from and </w:t>
      </w:r>
      <w:r w:rsidR="00C031E0" w:rsidRPr="004447B3">
        <w:rPr>
          <w:rFonts w:ascii="Arial" w:hAnsi="Arial" w:cs="Arial"/>
          <w:sz w:val="24"/>
          <w:szCs w:val="24"/>
          <w:lang w:val="en-GB"/>
        </w:rPr>
        <w:t>terminate the consumer agreement (</w:t>
      </w:r>
      <w:r w:rsidR="001C61B0" w:rsidRPr="004447B3">
        <w:rPr>
          <w:rFonts w:ascii="Arial" w:hAnsi="Arial" w:cs="Arial"/>
          <w:sz w:val="24"/>
          <w:szCs w:val="24"/>
          <w:lang w:val="en-GB"/>
        </w:rPr>
        <w:t xml:space="preserve">the </w:t>
      </w:r>
      <w:r w:rsidR="00C031E0" w:rsidRPr="004447B3">
        <w:rPr>
          <w:rFonts w:ascii="Arial" w:hAnsi="Arial" w:cs="Arial"/>
          <w:sz w:val="24"/>
          <w:szCs w:val="24"/>
          <w:lang w:val="en-GB"/>
        </w:rPr>
        <w:t>agreement) it has with the Municipality and the Municipality’s refusal to accept Lehlaka’s termination notice. T</w:t>
      </w:r>
      <w:r w:rsidR="00C031E0" w:rsidRPr="004447B3">
        <w:rPr>
          <w:rFonts w:ascii="Arial" w:hAnsi="Arial" w:cs="Arial"/>
          <w:sz w:val="24"/>
          <w:szCs w:val="24"/>
        </w:rPr>
        <w:t xml:space="preserve">he Municipality impermissibly seeks to engineer a tripartite relationship between it, Lehlaka, and the </w:t>
      </w:r>
      <w:r w:rsidR="00683808" w:rsidRPr="004447B3">
        <w:rPr>
          <w:rFonts w:ascii="Arial" w:hAnsi="Arial" w:cs="Arial"/>
          <w:sz w:val="24"/>
          <w:szCs w:val="24"/>
        </w:rPr>
        <w:t xml:space="preserve">unlawful </w:t>
      </w:r>
      <w:r w:rsidR="00C031E0" w:rsidRPr="004447B3">
        <w:rPr>
          <w:rFonts w:ascii="Arial" w:hAnsi="Arial" w:cs="Arial"/>
          <w:sz w:val="24"/>
          <w:szCs w:val="24"/>
        </w:rPr>
        <w:t xml:space="preserve">occupiers </w:t>
      </w:r>
      <w:r w:rsidR="00C031E0" w:rsidRPr="004447B3">
        <w:rPr>
          <w:rFonts w:ascii="Arial" w:hAnsi="Arial" w:cs="Arial"/>
          <w:sz w:val="24"/>
          <w:szCs w:val="24"/>
          <w:lang w:val="en-GB"/>
        </w:rPr>
        <w:t xml:space="preserve">to bolster the </w:t>
      </w:r>
      <w:r w:rsidR="00B86320" w:rsidRPr="004447B3">
        <w:rPr>
          <w:rFonts w:ascii="Arial" w:hAnsi="Arial" w:cs="Arial"/>
          <w:sz w:val="24"/>
          <w:szCs w:val="24"/>
          <w:lang w:val="en-GB"/>
        </w:rPr>
        <w:t xml:space="preserve">purported </w:t>
      </w:r>
      <w:r w:rsidR="00683808" w:rsidRPr="004447B3">
        <w:rPr>
          <w:rFonts w:ascii="Arial" w:hAnsi="Arial" w:cs="Arial"/>
          <w:sz w:val="24"/>
          <w:szCs w:val="24"/>
          <w:lang w:val="en-GB"/>
        </w:rPr>
        <w:t>‘</w:t>
      </w:r>
      <w:r w:rsidR="007A3F59" w:rsidRPr="004447B3">
        <w:rPr>
          <w:rFonts w:ascii="Arial" w:hAnsi="Arial" w:cs="Arial"/>
          <w:sz w:val="24"/>
          <w:szCs w:val="24"/>
          <w:lang w:val="en-GB"/>
        </w:rPr>
        <w:t xml:space="preserve">special </w:t>
      </w:r>
      <w:r w:rsidR="00C031E0" w:rsidRPr="004447B3">
        <w:rPr>
          <w:rFonts w:ascii="Arial" w:hAnsi="Arial" w:cs="Arial"/>
          <w:sz w:val="24"/>
          <w:szCs w:val="24"/>
          <w:lang w:val="en-GB"/>
        </w:rPr>
        <w:t>cluster of relationships</w:t>
      </w:r>
      <w:r w:rsidR="00683808" w:rsidRPr="004447B3">
        <w:rPr>
          <w:rFonts w:ascii="Arial" w:hAnsi="Arial" w:cs="Arial"/>
          <w:sz w:val="24"/>
          <w:szCs w:val="24"/>
          <w:lang w:val="en-GB"/>
        </w:rPr>
        <w:t>’</w:t>
      </w:r>
      <w:r w:rsidR="00C031E0" w:rsidRPr="004447B3">
        <w:rPr>
          <w:rFonts w:ascii="Arial" w:hAnsi="Arial" w:cs="Arial"/>
          <w:sz w:val="24"/>
          <w:szCs w:val="24"/>
          <w:lang w:val="en-GB"/>
        </w:rPr>
        <w:t xml:space="preserve"> between the parties.</w:t>
      </w:r>
      <w:r w:rsidR="00C031E0" w:rsidRPr="004447B3">
        <w:rPr>
          <w:rFonts w:ascii="Arial" w:hAnsi="Arial" w:cs="Arial"/>
          <w:sz w:val="24"/>
          <w:szCs w:val="24"/>
        </w:rPr>
        <w:t xml:space="preserve"> There is no basis in law for the Municipality to impose a contractual rel</w:t>
      </w:r>
      <w:r w:rsidR="00B36770" w:rsidRPr="004447B3">
        <w:rPr>
          <w:rFonts w:ascii="Arial" w:hAnsi="Arial" w:cs="Arial"/>
          <w:sz w:val="24"/>
          <w:szCs w:val="24"/>
        </w:rPr>
        <w:t>ationship on an unwilling party</w:t>
      </w:r>
      <w:r w:rsidR="00C031E0" w:rsidRPr="004447B3">
        <w:rPr>
          <w:rFonts w:ascii="Arial" w:hAnsi="Arial" w:cs="Arial"/>
          <w:sz w:val="24"/>
          <w:szCs w:val="24"/>
        </w:rPr>
        <w:t xml:space="preserve"> who is entitled in law to resile from a contract. </w:t>
      </w:r>
    </w:p>
    <w:p w14:paraId="015F90E8" w14:textId="77777777" w:rsidR="00215681" w:rsidRPr="001279DB" w:rsidRDefault="00215681" w:rsidP="00215681">
      <w:pPr>
        <w:pStyle w:val="ListParagraph"/>
        <w:spacing w:after="0" w:line="360" w:lineRule="auto"/>
        <w:jc w:val="both"/>
        <w:rPr>
          <w:rFonts w:ascii="Arial" w:hAnsi="Arial" w:cs="Arial"/>
          <w:sz w:val="24"/>
          <w:szCs w:val="24"/>
          <w:lang w:val="en-GB"/>
        </w:rPr>
      </w:pPr>
    </w:p>
    <w:p w14:paraId="4A46D3D2" w14:textId="5471BB04" w:rsidR="00C031E0" w:rsidRPr="004447B3" w:rsidRDefault="004447B3" w:rsidP="004447B3">
      <w:pPr>
        <w:spacing w:after="0" w:line="360" w:lineRule="auto"/>
        <w:jc w:val="both"/>
        <w:rPr>
          <w:rFonts w:ascii="Arial" w:hAnsi="Arial" w:cs="Arial"/>
          <w:sz w:val="24"/>
          <w:szCs w:val="24"/>
          <w:lang w:val="en-GB"/>
        </w:rPr>
      </w:pPr>
      <w:r w:rsidRPr="001279DB">
        <w:rPr>
          <w:rFonts w:ascii="Arial" w:hAnsi="Arial" w:cs="Arial"/>
          <w:sz w:val="24"/>
          <w:szCs w:val="24"/>
          <w:lang w:val="en-GB"/>
        </w:rPr>
        <w:t>[75]</w:t>
      </w:r>
      <w:r w:rsidRPr="001279DB">
        <w:rPr>
          <w:rFonts w:ascii="Arial" w:hAnsi="Arial" w:cs="Arial"/>
          <w:sz w:val="24"/>
          <w:szCs w:val="24"/>
          <w:lang w:val="en-GB"/>
        </w:rPr>
        <w:tab/>
      </w:r>
      <w:r w:rsidR="00C031E0" w:rsidRPr="004447B3">
        <w:rPr>
          <w:rFonts w:ascii="Arial" w:hAnsi="Arial" w:cs="Arial"/>
          <w:sz w:val="24"/>
          <w:szCs w:val="24"/>
        </w:rPr>
        <w:t xml:space="preserve">It is not disputed that </w:t>
      </w:r>
      <w:r w:rsidR="00C031E0" w:rsidRPr="004447B3">
        <w:rPr>
          <w:rFonts w:ascii="Arial" w:hAnsi="Arial" w:cs="Arial"/>
          <w:sz w:val="24"/>
          <w:szCs w:val="24"/>
          <w:lang w:val="en-GB"/>
        </w:rPr>
        <w:t>Lehlaka ha</w:t>
      </w:r>
      <w:r w:rsidR="00C031E0" w:rsidRPr="004447B3">
        <w:rPr>
          <w:rFonts w:ascii="Arial" w:hAnsi="Arial" w:cs="Arial"/>
          <w:sz w:val="24"/>
          <w:szCs w:val="24"/>
        </w:rPr>
        <w:t>d</w:t>
      </w:r>
      <w:r w:rsidR="00C031E0" w:rsidRPr="004447B3">
        <w:rPr>
          <w:rFonts w:ascii="Arial" w:hAnsi="Arial" w:cs="Arial"/>
          <w:sz w:val="24"/>
          <w:szCs w:val="24"/>
          <w:lang w:val="en-GB"/>
        </w:rPr>
        <w:t xml:space="preserve"> no prior relationship with the </w:t>
      </w:r>
      <w:r w:rsidR="00A579BA" w:rsidRPr="004447B3">
        <w:rPr>
          <w:rFonts w:ascii="Arial" w:hAnsi="Arial" w:cs="Arial"/>
          <w:sz w:val="24"/>
          <w:szCs w:val="24"/>
          <w:lang w:val="en-GB"/>
        </w:rPr>
        <w:t xml:space="preserve">unlawful </w:t>
      </w:r>
      <w:r w:rsidR="00C031E0" w:rsidRPr="004447B3">
        <w:rPr>
          <w:rFonts w:ascii="Arial" w:hAnsi="Arial" w:cs="Arial"/>
          <w:sz w:val="24"/>
          <w:szCs w:val="24"/>
          <w:lang w:val="en-GB"/>
        </w:rPr>
        <w:t xml:space="preserve">occupiers, whether as </w:t>
      </w:r>
      <w:r w:rsidR="00C031E0" w:rsidRPr="004447B3">
        <w:rPr>
          <w:rFonts w:ascii="Arial" w:hAnsi="Arial" w:cs="Arial"/>
          <w:sz w:val="24"/>
          <w:szCs w:val="24"/>
        </w:rPr>
        <w:t xml:space="preserve">an erstwhile </w:t>
      </w:r>
      <w:r w:rsidR="00C031E0" w:rsidRPr="004447B3">
        <w:rPr>
          <w:rFonts w:ascii="Arial" w:hAnsi="Arial" w:cs="Arial"/>
          <w:sz w:val="24"/>
          <w:szCs w:val="24"/>
          <w:lang w:val="en-GB"/>
        </w:rPr>
        <w:t>lessor or a conduit for the provision of electricity to the property occupied</w:t>
      </w:r>
      <w:r w:rsidR="007945BC" w:rsidRPr="004447B3">
        <w:rPr>
          <w:rFonts w:ascii="Arial" w:hAnsi="Arial" w:cs="Arial"/>
          <w:sz w:val="24"/>
          <w:szCs w:val="24"/>
        </w:rPr>
        <w:t>. The mere incident</w:t>
      </w:r>
      <w:r w:rsidR="00C031E0" w:rsidRPr="004447B3">
        <w:rPr>
          <w:rFonts w:ascii="Arial" w:hAnsi="Arial" w:cs="Arial"/>
          <w:sz w:val="24"/>
          <w:szCs w:val="24"/>
        </w:rPr>
        <w:t xml:space="preserve"> of ownership </w:t>
      </w:r>
      <w:r w:rsidR="00DF2BBE" w:rsidRPr="004447B3">
        <w:rPr>
          <w:rFonts w:ascii="Arial" w:hAnsi="Arial" w:cs="Arial"/>
          <w:sz w:val="24"/>
          <w:szCs w:val="24"/>
        </w:rPr>
        <w:t xml:space="preserve">of the properties </w:t>
      </w:r>
      <w:r w:rsidR="00C031E0" w:rsidRPr="004447B3">
        <w:rPr>
          <w:rFonts w:ascii="Arial" w:hAnsi="Arial" w:cs="Arial"/>
          <w:sz w:val="24"/>
          <w:szCs w:val="24"/>
        </w:rPr>
        <w:t xml:space="preserve">by Lehlaka cannot, without more, create the </w:t>
      </w:r>
      <w:r w:rsidR="00683808" w:rsidRPr="004447B3">
        <w:rPr>
          <w:rFonts w:ascii="Arial" w:hAnsi="Arial" w:cs="Arial"/>
          <w:sz w:val="24"/>
          <w:szCs w:val="24"/>
        </w:rPr>
        <w:t xml:space="preserve">‘special </w:t>
      </w:r>
      <w:r w:rsidR="00C031E0" w:rsidRPr="004447B3">
        <w:rPr>
          <w:rFonts w:ascii="Arial" w:hAnsi="Arial" w:cs="Arial"/>
          <w:sz w:val="24"/>
          <w:szCs w:val="24"/>
        </w:rPr>
        <w:t>cluster of relationships</w:t>
      </w:r>
      <w:r w:rsidR="00683808" w:rsidRPr="004447B3">
        <w:rPr>
          <w:rFonts w:ascii="Arial" w:hAnsi="Arial" w:cs="Arial"/>
          <w:sz w:val="24"/>
          <w:szCs w:val="24"/>
        </w:rPr>
        <w:t>’</w:t>
      </w:r>
      <w:r w:rsidR="00C031E0" w:rsidRPr="004447B3">
        <w:rPr>
          <w:rFonts w:ascii="Arial" w:hAnsi="Arial" w:cs="Arial"/>
          <w:sz w:val="24"/>
          <w:szCs w:val="24"/>
        </w:rPr>
        <w:t xml:space="preserve"> contended for by the Municipality.</w:t>
      </w:r>
    </w:p>
    <w:p w14:paraId="1A3905D4" w14:textId="77777777" w:rsidR="00215681" w:rsidRPr="001279DB" w:rsidRDefault="00215681" w:rsidP="00215681">
      <w:pPr>
        <w:pStyle w:val="ListParagraph"/>
        <w:spacing w:after="0" w:line="360" w:lineRule="auto"/>
        <w:jc w:val="both"/>
        <w:rPr>
          <w:rFonts w:ascii="Arial" w:hAnsi="Arial" w:cs="Arial"/>
          <w:sz w:val="24"/>
          <w:szCs w:val="24"/>
          <w:lang w:val="en-GB"/>
        </w:rPr>
      </w:pPr>
    </w:p>
    <w:p w14:paraId="18A15BC7" w14:textId="7A9E41A7" w:rsidR="00C031E0" w:rsidRPr="004447B3" w:rsidRDefault="004447B3" w:rsidP="004447B3">
      <w:pPr>
        <w:spacing w:after="0" w:line="360" w:lineRule="auto"/>
        <w:jc w:val="both"/>
        <w:rPr>
          <w:rFonts w:ascii="Arial" w:hAnsi="Arial" w:cs="Arial"/>
          <w:sz w:val="24"/>
          <w:szCs w:val="24"/>
          <w:lang w:val="en-GB"/>
        </w:rPr>
      </w:pPr>
      <w:r w:rsidRPr="001279DB">
        <w:rPr>
          <w:rFonts w:ascii="Arial" w:hAnsi="Arial" w:cs="Arial"/>
          <w:sz w:val="24"/>
          <w:szCs w:val="24"/>
          <w:lang w:val="en-GB"/>
        </w:rPr>
        <w:t>[76]</w:t>
      </w:r>
      <w:r w:rsidRPr="001279DB">
        <w:rPr>
          <w:rFonts w:ascii="Arial" w:hAnsi="Arial" w:cs="Arial"/>
          <w:sz w:val="24"/>
          <w:szCs w:val="24"/>
          <w:lang w:val="en-GB"/>
        </w:rPr>
        <w:tab/>
      </w:r>
      <w:r w:rsidR="00C031E0" w:rsidRPr="004447B3">
        <w:rPr>
          <w:rFonts w:ascii="Arial" w:hAnsi="Arial" w:cs="Arial"/>
          <w:sz w:val="24"/>
          <w:szCs w:val="24"/>
        </w:rPr>
        <w:t xml:space="preserve">Absent the </w:t>
      </w:r>
      <w:r w:rsidR="00B86320" w:rsidRPr="004447B3">
        <w:rPr>
          <w:rFonts w:ascii="Arial" w:hAnsi="Arial" w:cs="Arial"/>
          <w:sz w:val="24"/>
          <w:szCs w:val="24"/>
        </w:rPr>
        <w:t xml:space="preserve">purported </w:t>
      </w:r>
      <w:r w:rsidR="0058392E" w:rsidRPr="004447B3">
        <w:rPr>
          <w:rFonts w:ascii="Arial" w:hAnsi="Arial" w:cs="Arial"/>
          <w:sz w:val="24"/>
          <w:szCs w:val="24"/>
        </w:rPr>
        <w:t xml:space="preserve">‘special </w:t>
      </w:r>
      <w:r w:rsidR="00C031E0" w:rsidRPr="004447B3">
        <w:rPr>
          <w:rFonts w:ascii="Arial" w:hAnsi="Arial" w:cs="Arial"/>
          <w:sz w:val="24"/>
          <w:szCs w:val="24"/>
        </w:rPr>
        <w:t>cluster of relationships</w:t>
      </w:r>
      <w:r w:rsidR="0058392E" w:rsidRPr="004447B3">
        <w:rPr>
          <w:rFonts w:ascii="Arial" w:hAnsi="Arial" w:cs="Arial"/>
          <w:sz w:val="24"/>
          <w:szCs w:val="24"/>
        </w:rPr>
        <w:t>’</w:t>
      </w:r>
      <w:r w:rsidR="00C031E0" w:rsidRPr="004447B3">
        <w:rPr>
          <w:rFonts w:ascii="Arial" w:hAnsi="Arial" w:cs="Arial"/>
          <w:sz w:val="24"/>
          <w:szCs w:val="24"/>
        </w:rPr>
        <w:t xml:space="preserve"> as between Lehlaka and the Municipality, the</w:t>
      </w:r>
      <w:r w:rsidR="00C031E0" w:rsidRPr="004447B3">
        <w:rPr>
          <w:rFonts w:ascii="Arial" w:hAnsi="Arial" w:cs="Arial"/>
          <w:sz w:val="24"/>
          <w:szCs w:val="24"/>
          <w:lang w:val="en-GB"/>
        </w:rPr>
        <w:t xml:space="preserve"> dispute about the termination of the agreement is a purely contractual one</w:t>
      </w:r>
      <w:r w:rsidR="00C031E0" w:rsidRPr="004447B3">
        <w:rPr>
          <w:rFonts w:ascii="Arial" w:hAnsi="Arial" w:cs="Arial"/>
          <w:sz w:val="24"/>
          <w:szCs w:val="24"/>
        </w:rPr>
        <w:t xml:space="preserve">. The </w:t>
      </w:r>
      <w:r w:rsidR="00213FC4" w:rsidRPr="004447B3">
        <w:rPr>
          <w:rFonts w:ascii="Arial" w:hAnsi="Arial" w:cs="Arial"/>
          <w:sz w:val="24"/>
          <w:szCs w:val="24"/>
        </w:rPr>
        <w:t xml:space="preserve">unlawful </w:t>
      </w:r>
      <w:r w:rsidR="00C031E0" w:rsidRPr="004447B3">
        <w:rPr>
          <w:rFonts w:ascii="Arial" w:hAnsi="Arial" w:cs="Arial"/>
          <w:sz w:val="24"/>
          <w:szCs w:val="24"/>
        </w:rPr>
        <w:t xml:space="preserve">occupiers are not privy or a party to the agreement. As held by the full court in </w:t>
      </w:r>
      <w:r w:rsidR="00C031E0" w:rsidRPr="004447B3">
        <w:rPr>
          <w:rFonts w:ascii="Arial" w:hAnsi="Arial" w:cs="Arial"/>
          <w:i/>
          <w:sz w:val="24"/>
          <w:szCs w:val="24"/>
        </w:rPr>
        <w:t>Rosebank Mall (Pty) v Cradock Heights (Pty) Ltd</w:t>
      </w:r>
      <w:r w:rsidR="00C031E0" w:rsidRPr="004447B3">
        <w:rPr>
          <w:rFonts w:ascii="Arial" w:hAnsi="Arial" w:cs="Arial"/>
          <w:sz w:val="24"/>
          <w:szCs w:val="24"/>
        </w:rPr>
        <w:t>:</w:t>
      </w:r>
      <w:r w:rsidR="00C031E0" w:rsidRPr="004447B3">
        <w:rPr>
          <w:rFonts w:ascii="Arial" w:hAnsi="Arial" w:cs="Arial"/>
          <w:i/>
          <w:sz w:val="24"/>
          <w:szCs w:val="24"/>
        </w:rPr>
        <w:t xml:space="preserve">  </w:t>
      </w:r>
    </w:p>
    <w:p w14:paraId="014A98E5" w14:textId="77777777" w:rsidR="00C031E0" w:rsidRPr="001279DB" w:rsidRDefault="00C031E0" w:rsidP="00215681">
      <w:pPr>
        <w:autoSpaceDE w:val="0"/>
        <w:autoSpaceDN w:val="0"/>
        <w:spacing w:after="0" w:line="360" w:lineRule="auto"/>
        <w:ind w:left="11"/>
        <w:contextualSpacing/>
        <w:jc w:val="both"/>
        <w:rPr>
          <w:rFonts w:ascii="Arial" w:eastAsia="Times New Roman" w:hAnsi="Arial" w:cs="Arial"/>
          <w:lang w:val="en-GB"/>
        </w:rPr>
      </w:pPr>
      <w:r w:rsidRPr="001279DB">
        <w:rPr>
          <w:rFonts w:ascii="Arial" w:eastAsia="Times New Roman" w:hAnsi="Arial" w:cs="Arial"/>
          <w:lang w:val="en-GB"/>
        </w:rPr>
        <w:t xml:space="preserve">‘There is a distinction between the case of a party whose rights are </w:t>
      </w:r>
      <w:r w:rsidR="00747B88" w:rsidRPr="001279DB">
        <w:rPr>
          <w:rFonts w:ascii="Arial" w:eastAsia="Times New Roman" w:hAnsi="Arial" w:cs="Arial"/>
          <w:lang w:val="en-GB"/>
        </w:rPr>
        <w:t xml:space="preserve">purely </w:t>
      </w:r>
      <w:r w:rsidRPr="001279DB">
        <w:rPr>
          <w:rFonts w:ascii="Arial" w:eastAsia="Times New Roman" w:hAnsi="Arial" w:cs="Arial"/>
          <w:lang w:val="en-GB"/>
        </w:rPr>
        <w:t xml:space="preserve">derived from </w:t>
      </w:r>
      <w:r w:rsidR="00747B88" w:rsidRPr="001279DB">
        <w:rPr>
          <w:rFonts w:ascii="Arial" w:eastAsia="Times New Roman" w:hAnsi="Arial" w:cs="Arial"/>
          <w:lang w:val="en-GB"/>
        </w:rPr>
        <w:t>“</w:t>
      </w:r>
      <w:r w:rsidRPr="001279DB">
        <w:rPr>
          <w:rFonts w:ascii="Arial" w:eastAsia="Times New Roman" w:hAnsi="Arial" w:cs="Arial"/>
          <w:lang w:val="en-GB"/>
        </w:rPr>
        <w:t>the right which is the subject-matter of the litigation</w:t>
      </w:r>
      <w:r w:rsidR="00747B88" w:rsidRPr="001279DB">
        <w:rPr>
          <w:rFonts w:ascii="Arial" w:eastAsia="Times New Roman" w:hAnsi="Arial" w:cs="Arial"/>
          <w:lang w:val="en-GB"/>
        </w:rPr>
        <w:t>”</w:t>
      </w:r>
      <w:r w:rsidRPr="001279DB">
        <w:rPr>
          <w:rFonts w:ascii="Arial" w:eastAsia="Times New Roman" w:hAnsi="Arial" w:cs="Arial"/>
          <w:lang w:val="en-GB"/>
        </w:rPr>
        <w:t xml:space="preserve"> and in which he has no legal interest, on the one hand, and the case where the third party has a right acquired </w:t>
      </w:r>
      <w:r w:rsidRPr="001279DB">
        <w:rPr>
          <w:rFonts w:ascii="Arial" w:eastAsia="Times New Roman" w:hAnsi="Arial" w:cs="Arial"/>
          <w:i/>
          <w:lang w:val="en-GB"/>
        </w:rPr>
        <w:t xml:space="preserve">aliunde </w:t>
      </w:r>
      <w:r w:rsidRPr="001279DB">
        <w:rPr>
          <w:rFonts w:ascii="Arial" w:eastAsia="Times New Roman" w:hAnsi="Arial" w:cs="Arial"/>
          <w:lang w:val="en-GB"/>
        </w:rPr>
        <w:t xml:space="preserve">the right which is the subject-matter of the litigation and which would be prejudicially affected if the judgment and order made in </w:t>
      </w:r>
      <w:r w:rsidR="00747B88" w:rsidRPr="001279DB">
        <w:rPr>
          <w:rFonts w:ascii="Arial" w:eastAsia="Times New Roman" w:hAnsi="Arial" w:cs="Arial"/>
          <w:lang w:val="en-GB"/>
        </w:rPr>
        <w:t xml:space="preserve">the litigation to </w:t>
      </w:r>
      <w:r w:rsidRPr="001279DB">
        <w:rPr>
          <w:rFonts w:ascii="Arial" w:eastAsia="Times New Roman" w:hAnsi="Arial" w:cs="Arial"/>
          <w:lang w:val="en-GB"/>
        </w:rPr>
        <w:t>which he was not a party</w:t>
      </w:r>
      <w:r w:rsidR="004A2C78" w:rsidRPr="001279DB">
        <w:rPr>
          <w:rFonts w:ascii="Arial" w:eastAsia="Times New Roman" w:hAnsi="Arial" w:cs="Arial"/>
          <w:lang w:val="en-GB"/>
        </w:rPr>
        <w:t>,</w:t>
      </w:r>
      <w:r w:rsidRPr="001279DB">
        <w:rPr>
          <w:rFonts w:ascii="Arial" w:eastAsia="Times New Roman" w:hAnsi="Arial" w:cs="Arial"/>
          <w:lang w:val="en-GB"/>
        </w:rPr>
        <w:t xml:space="preserve"> were carried into effect.’</w:t>
      </w:r>
      <w:r w:rsidRPr="001279DB">
        <w:rPr>
          <w:rFonts w:ascii="Arial" w:eastAsia="Times New Roman" w:hAnsi="Arial" w:cs="Arial"/>
          <w:vertAlign w:val="superscript"/>
          <w:lang w:val="en-GB"/>
        </w:rPr>
        <w:footnoteReference w:id="44"/>
      </w:r>
      <w:r w:rsidRPr="001279DB">
        <w:rPr>
          <w:rFonts w:ascii="Arial" w:eastAsia="Times New Roman" w:hAnsi="Arial" w:cs="Arial"/>
          <w:lang w:val="en-GB"/>
        </w:rPr>
        <w:t xml:space="preserve"> </w:t>
      </w:r>
      <w:r w:rsidRPr="001279DB">
        <w:rPr>
          <w:rFonts w:ascii="Arial" w:eastAsia="Times New Roman" w:hAnsi="Arial" w:cs="Arial"/>
          <w:highlight w:val="yellow"/>
          <w:lang w:val="en-GB"/>
        </w:rPr>
        <w:t xml:space="preserve"> </w:t>
      </w:r>
    </w:p>
    <w:p w14:paraId="25D83421" w14:textId="77777777" w:rsidR="00215681" w:rsidRPr="001279DB" w:rsidRDefault="00215681" w:rsidP="00215681">
      <w:pPr>
        <w:autoSpaceDE w:val="0"/>
        <w:autoSpaceDN w:val="0"/>
        <w:spacing w:after="0" w:line="360" w:lineRule="auto"/>
        <w:ind w:left="11"/>
        <w:contextualSpacing/>
        <w:jc w:val="both"/>
        <w:rPr>
          <w:rFonts w:ascii="Arial" w:eastAsia="Times New Roman" w:hAnsi="Arial" w:cs="Arial"/>
          <w:sz w:val="24"/>
          <w:szCs w:val="24"/>
          <w:lang w:val="en-GB"/>
        </w:rPr>
      </w:pPr>
    </w:p>
    <w:p w14:paraId="72548C89" w14:textId="7068E01D" w:rsidR="00C031E0" w:rsidRPr="004447B3" w:rsidRDefault="004447B3" w:rsidP="004447B3">
      <w:pPr>
        <w:autoSpaceDE w:val="0"/>
        <w:autoSpaceDN w:val="0"/>
        <w:spacing w:after="0" w:line="360" w:lineRule="auto"/>
        <w:jc w:val="both"/>
        <w:rPr>
          <w:rFonts w:ascii="Arial" w:eastAsia="Times New Roman" w:hAnsi="Arial" w:cs="Arial"/>
          <w:sz w:val="24"/>
          <w:szCs w:val="24"/>
          <w:lang w:val="en-GB"/>
        </w:rPr>
      </w:pPr>
      <w:r w:rsidRPr="001279DB">
        <w:rPr>
          <w:rFonts w:ascii="Arial" w:eastAsia="Times New Roman" w:hAnsi="Arial" w:cs="Arial"/>
          <w:sz w:val="24"/>
          <w:szCs w:val="24"/>
          <w:lang w:val="en-GB"/>
        </w:rPr>
        <w:t>[77]</w:t>
      </w:r>
      <w:r w:rsidRPr="001279DB">
        <w:rPr>
          <w:rFonts w:ascii="Arial" w:eastAsia="Times New Roman" w:hAnsi="Arial" w:cs="Arial"/>
          <w:sz w:val="24"/>
          <w:szCs w:val="24"/>
          <w:lang w:val="en-GB"/>
        </w:rPr>
        <w:tab/>
      </w:r>
      <w:r w:rsidR="00C031E0" w:rsidRPr="004447B3">
        <w:rPr>
          <w:rFonts w:ascii="Arial" w:hAnsi="Arial" w:cs="Arial"/>
          <w:sz w:val="24"/>
          <w:szCs w:val="24"/>
        </w:rPr>
        <w:t xml:space="preserve">On the strength of the above judgment, the </w:t>
      </w:r>
      <w:r w:rsidR="00805C61" w:rsidRPr="004447B3">
        <w:rPr>
          <w:rFonts w:ascii="Arial" w:hAnsi="Arial" w:cs="Arial"/>
          <w:sz w:val="24"/>
          <w:szCs w:val="24"/>
        </w:rPr>
        <w:t xml:space="preserve">unlawful </w:t>
      </w:r>
      <w:r w:rsidR="00C031E0" w:rsidRPr="004447B3">
        <w:rPr>
          <w:rFonts w:ascii="Arial" w:hAnsi="Arial" w:cs="Arial"/>
          <w:sz w:val="24"/>
          <w:szCs w:val="24"/>
        </w:rPr>
        <w:t xml:space="preserve">occupiers have no right or claim in the subject matter of the termination dispute. They are strangers to the agreement. </w:t>
      </w:r>
      <w:r w:rsidR="00DF2BBE" w:rsidRPr="004447B3">
        <w:rPr>
          <w:rFonts w:ascii="Arial" w:hAnsi="Arial" w:cs="Arial"/>
          <w:sz w:val="24"/>
          <w:szCs w:val="24"/>
        </w:rPr>
        <w:t>T</w:t>
      </w:r>
      <w:r w:rsidR="00C031E0" w:rsidRPr="004447B3">
        <w:rPr>
          <w:rFonts w:ascii="Arial" w:hAnsi="Arial" w:cs="Arial"/>
          <w:sz w:val="24"/>
          <w:szCs w:val="24"/>
        </w:rPr>
        <w:t xml:space="preserve">he basis for the joinder is that the rights of the </w:t>
      </w:r>
      <w:r w:rsidR="00881BA9" w:rsidRPr="004447B3">
        <w:rPr>
          <w:rFonts w:ascii="Arial" w:hAnsi="Arial" w:cs="Arial"/>
          <w:sz w:val="24"/>
          <w:szCs w:val="24"/>
        </w:rPr>
        <w:t xml:space="preserve">unlawful </w:t>
      </w:r>
      <w:r w:rsidR="00C031E0" w:rsidRPr="004447B3">
        <w:rPr>
          <w:rFonts w:ascii="Arial" w:hAnsi="Arial" w:cs="Arial"/>
          <w:sz w:val="24"/>
          <w:szCs w:val="24"/>
        </w:rPr>
        <w:t>occupier</w:t>
      </w:r>
      <w:r w:rsidR="00881BA9" w:rsidRPr="004447B3">
        <w:rPr>
          <w:rFonts w:ascii="Arial" w:hAnsi="Arial" w:cs="Arial"/>
          <w:sz w:val="24"/>
          <w:szCs w:val="24"/>
        </w:rPr>
        <w:t>s</w:t>
      </w:r>
      <w:r w:rsidR="00C031E0" w:rsidRPr="004447B3">
        <w:rPr>
          <w:rFonts w:ascii="Arial" w:hAnsi="Arial" w:cs="Arial"/>
          <w:sz w:val="24"/>
          <w:szCs w:val="24"/>
        </w:rPr>
        <w:t xml:space="preserve"> to be provided with electricity will arise following the termination of the agreement. The difficulty is that the source of that right, if it exists, does not lie in the present dispute about the termination of the agreement.</w:t>
      </w:r>
      <w:r w:rsidR="008615D0" w:rsidRPr="004447B3">
        <w:rPr>
          <w:rFonts w:ascii="Arial" w:hAnsi="Arial" w:cs="Arial"/>
          <w:sz w:val="28"/>
          <w:szCs w:val="28"/>
        </w:rPr>
        <w:t xml:space="preserve"> </w:t>
      </w:r>
      <w:r w:rsidR="008615D0" w:rsidRPr="004447B3">
        <w:rPr>
          <w:rFonts w:ascii="Arial" w:hAnsi="Arial" w:cs="Arial"/>
          <w:sz w:val="24"/>
          <w:szCs w:val="24"/>
        </w:rPr>
        <w:t xml:space="preserve">It would be speculative for a court to foretell what that dispute will be or express any view in </w:t>
      </w:r>
      <w:r w:rsidR="00DF2BBE" w:rsidRPr="004447B3">
        <w:rPr>
          <w:rFonts w:ascii="Arial" w:hAnsi="Arial" w:cs="Arial"/>
          <w:sz w:val="24"/>
          <w:szCs w:val="24"/>
        </w:rPr>
        <w:t xml:space="preserve">relation to </w:t>
      </w:r>
      <w:r w:rsidR="008615D0" w:rsidRPr="004447B3">
        <w:rPr>
          <w:rFonts w:ascii="Arial" w:hAnsi="Arial" w:cs="Arial"/>
          <w:sz w:val="24"/>
          <w:szCs w:val="24"/>
        </w:rPr>
        <w:t xml:space="preserve">a matter that is not yet ripe and which was not </w:t>
      </w:r>
      <w:r w:rsidR="00DF2BBE" w:rsidRPr="004447B3">
        <w:rPr>
          <w:rFonts w:ascii="Arial" w:hAnsi="Arial" w:cs="Arial"/>
          <w:sz w:val="24"/>
          <w:szCs w:val="24"/>
        </w:rPr>
        <w:t xml:space="preserve">yet </w:t>
      </w:r>
      <w:r w:rsidR="008615D0" w:rsidRPr="004447B3">
        <w:rPr>
          <w:rFonts w:ascii="Arial" w:hAnsi="Arial" w:cs="Arial"/>
          <w:sz w:val="24"/>
          <w:szCs w:val="24"/>
        </w:rPr>
        <w:t>before the high court for adjudication.</w:t>
      </w:r>
    </w:p>
    <w:p w14:paraId="30A0521A" w14:textId="77777777" w:rsidR="00215681" w:rsidRPr="001279DB" w:rsidRDefault="00215681" w:rsidP="00215681">
      <w:pPr>
        <w:pStyle w:val="ListParagraph"/>
        <w:autoSpaceDE w:val="0"/>
        <w:autoSpaceDN w:val="0"/>
        <w:spacing w:after="0" w:line="360" w:lineRule="auto"/>
        <w:ind w:left="0"/>
        <w:jc w:val="both"/>
        <w:rPr>
          <w:rFonts w:ascii="Arial" w:eastAsia="Times New Roman" w:hAnsi="Arial" w:cs="Arial"/>
          <w:sz w:val="24"/>
          <w:szCs w:val="24"/>
          <w:lang w:val="en-GB"/>
        </w:rPr>
      </w:pPr>
    </w:p>
    <w:p w14:paraId="117A8817" w14:textId="1850B82E" w:rsidR="00C031E0" w:rsidRPr="004447B3" w:rsidRDefault="004447B3" w:rsidP="004447B3">
      <w:pPr>
        <w:autoSpaceDE w:val="0"/>
        <w:autoSpaceDN w:val="0"/>
        <w:spacing w:after="0" w:line="360" w:lineRule="auto"/>
        <w:jc w:val="both"/>
        <w:rPr>
          <w:rFonts w:ascii="Arial" w:eastAsia="Times New Roman" w:hAnsi="Arial" w:cs="Arial"/>
          <w:sz w:val="24"/>
          <w:szCs w:val="24"/>
          <w:lang w:val="en-GB"/>
        </w:rPr>
      </w:pPr>
      <w:r w:rsidRPr="004176BF">
        <w:rPr>
          <w:rFonts w:ascii="Arial" w:eastAsia="Times New Roman" w:hAnsi="Arial" w:cs="Arial"/>
          <w:sz w:val="24"/>
          <w:szCs w:val="24"/>
          <w:lang w:val="en-GB"/>
        </w:rPr>
        <w:t>[78]</w:t>
      </w:r>
      <w:r w:rsidRPr="004176BF">
        <w:rPr>
          <w:rFonts w:ascii="Arial" w:eastAsia="Times New Roman" w:hAnsi="Arial" w:cs="Arial"/>
          <w:sz w:val="24"/>
          <w:szCs w:val="24"/>
          <w:lang w:val="en-GB"/>
        </w:rPr>
        <w:tab/>
      </w:r>
      <w:r w:rsidR="00C031E0" w:rsidRPr="004447B3">
        <w:rPr>
          <w:rFonts w:ascii="Arial" w:hAnsi="Arial" w:cs="Arial"/>
          <w:sz w:val="24"/>
          <w:szCs w:val="24"/>
        </w:rPr>
        <w:t xml:space="preserve">Accordingly, </w:t>
      </w:r>
      <w:r w:rsidR="00A46058" w:rsidRPr="004447B3">
        <w:rPr>
          <w:rFonts w:ascii="Arial" w:hAnsi="Arial" w:cs="Arial"/>
          <w:sz w:val="24"/>
          <w:szCs w:val="24"/>
        </w:rPr>
        <w:t xml:space="preserve">for these additional reasons, </w:t>
      </w:r>
      <w:r w:rsidR="00C031E0" w:rsidRPr="004447B3">
        <w:rPr>
          <w:rFonts w:ascii="Arial" w:hAnsi="Arial" w:cs="Arial"/>
          <w:sz w:val="24"/>
          <w:szCs w:val="24"/>
        </w:rPr>
        <w:t xml:space="preserve">I concur in the second judgment that a </w:t>
      </w:r>
      <w:r w:rsidR="00C031E0" w:rsidRPr="004447B3">
        <w:rPr>
          <w:rFonts w:ascii="Arial" w:hAnsi="Arial" w:cs="Arial"/>
          <w:sz w:val="24"/>
          <w:szCs w:val="24"/>
          <w:lang w:val="en-GB"/>
        </w:rPr>
        <w:t xml:space="preserve">joinder of the </w:t>
      </w:r>
      <w:r w:rsidR="009B1564" w:rsidRPr="004447B3">
        <w:rPr>
          <w:rFonts w:ascii="Arial" w:hAnsi="Arial" w:cs="Arial"/>
          <w:sz w:val="24"/>
          <w:szCs w:val="24"/>
          <w:lang w:val="en-GB"/>
        </w:rPr>
        <w:t xml:space="preserve">unlawful </w:t>
      </w:r>
      <w:r w:rsidR="00C031E0" w:rsidRPr="004447B3">
        <w:rPr>
          <w:rFonts w:ascii="Arial" w:hAnsi="Arial" w:cs="Arial"/>
          <w:sz w:val="24"/>
          <w:szCs w:val="24"/>
          <w:lang w:val="en-GB"/>
        </w:rPr>
        <w:t xml:space="preserve">occupiers to the termination dispute is not necessary. </w:t>
      </w:r>
    </w:p>
    <w:p w14:paraId="61CBF2DF" w14:textId="68647027" w:rsidR="004176BF" w:rsidRDefault="004176BF" w:rsidP="004176BF">
      <w:pPr>
        <w:pStyle w:val="ListParagraph"/>
        <w:autoSpaceDE w:val="0"/>
        <w:autoSpaceDN w:val="0"/>
        <w:spacing w:after="0" w:line="360" w:lineRule="auto"/>
        <w:ind w:left="0"/>
        <w:jc w:val="both"/>
        <w:rPr>
          <w:rFonts w:ascii="Arial" w:eastAsia="Times New Roman" w:hAnsi="Arial" w:cs="Arial"/>
          <w:sz w:val="24"/>
          <w:szCs w:val="24"/>
          <w:lang w:val="en-GB"/>
        </w:rPr>
      </w:pPr>
    </w:p>
    <w:p w14:paraId="702F7B7B" w14:textId="77777777" w:rsidR="004176BF" w:rsidRPr="001279DB" w:rsidRDefault="004176BF" w:rsidP="004176BF">
      <w:pPr>
        <w:pStyle w:val="ListParagraph"/>
        <w:autoSpaceDE w:val="0"/>
        <w:autoSpaceDN w:val="0"/>
        <w:spacing w:after="0" w:line="360" w:lineRule="auto"/>
        <w:ind w:left="0"/>
        <w:jc w:val="both"/>
        <w:rPr>
          <w:rFonts w:ascii="Arial" w:eastAsia="Times New Roman" w:hAnsi="Arial" w:cs="Arial"/>
          <w:sz w:val="24"/>
          <w:szCs w:val="24"/>
          <w:lang w:val="en-GB"/>
        </w:rPr>
      </w:pPr>
    </w:p>
    <w:p w14:paraId="24C38943" w14:textId="77777777" w:rsidR="00C031E0" w:rsidRPr="001279DB" w:rsidRDefault="00C031E0" w:rsidP="00215681">
      <w:pPr>
        <w:spacing w:after="0" w:line="360" w:lineRule="auto"/>
        <w:jc w:val="both"/>
        <w:rPr>
          <w:rFonts w:ascii="Arial" w:hAnsi="Arial" w:cs="Arial"/>
          <w:sz w:val="24"/>
          <w:szCs w:val="24"/>
          <w:lang w:val="en-GB"/>
        </w:rPr>
      </w:pPr>
    </w:p>
    <w:p w14:paraId="7C759DF0" w14:textId="1A85C4E3" w:rsidR="00C031E0" w:rsidRPr="001279DB" w:rsidRDefault="00C031E0" w:rsidP="004176BF">
      <w:pPr>
        <w:spacing w:after="0" w:line="360" w:lineRule="auto"/>
        <w:jc w:val="right"/>
        <w:rPr>
          <w:rFonts w:ascii="Arial" w:hAnsi="Arial" w:cs="Arial"/>
          <w:sz w:val="24"/>
          <w:szCs w:val="24"/>
          <w:lang w:val="en-GB"/>
        </w:rPr>
      </w:pPr>
    </w:p>
    <w:p w14:paraId="4738EEC8" w14:textId="77777777" w:rsidR="00C031E0" w:rsidRPr="001279DB" w:rsidRDefault="00215681" w:rsidP="00215681">
      <w:pPr>
        <w:spacing w:after="0" w:line="360" w:lineRule="auto"/>
        <w:jc w:val="right"/>
        <w:rPr>
          <w:rFonts w:ascii="Arial" w:hAnsi="Arial" w:cs="Arial"/>
          <w:sz w:val="24"/>
          <w:szCs w:val="24"/>
          <w:lang w:val="en-GB"/>
        </w:rPr>
      </w:pPr>
      <w:r w:rsidRPr="001279DB">
        <w:rPr>
          <w:rFonts w:ascii="Arial" w:hAnsi="Arial" w:cs="Arial"/>
          <w:sz w:val="24"/>
          <w:szCs w:val="24"/>
          <w:lang w:val="en-GB"/>
        </w:rPr>
        <w:tab/>
      </w:r>
      <w:r w:rsidRPr="001279DB">
        <w:rPr>
          <w:rFonts w:ascii="Arial" w:hAnsi="Arial" w:cs="Arial"/>
          <w:sz w:val="24"/>
          <w:szCs w:val="24"/>
          <w:lang w:val="en-GB"/>
        </w:rPr>
        <w:tab/>
      </w:r>
      <w:r w:rsidRPr="001279DB">
        <w:rPr>
          <w:rFonts w:ascii="Arial" w:hAnsi="Arial" w:cs="Arial"/>
          <w:sz w:val="24"/>
          <w:szCs w:val="24"/>
          <w:lang w:val="en-GB"/>
        </w:rPr>
        <w:tab/>
      </w:r>
      <w:r w:rsidRPr="001279DB">
        <w:rPr>
          <w:rFonts w:ascii="Arial" w:hAnsi="Arial" w:cs="Arial"/>
          <w:sz w:val="24"/>
          <w:szCs w:val="24"/>
          <w:lang w:val="en-GB"/>
        </w:rPr>
        <w:tab/>
      </w:r>
      <w:r w:rsidRPr="001279DB">
        <w:rPr>
          <w:rFonts w:ascii="Arial" w:hAnsi="Arial" w:cs="Arial"/>
          <w:sz w:val="24"/>
          <w:szCs w:val="24"/>
          <w:lang w:val="en-GB"/>
        </w:rPr>
        <w:tab/>
      </w:r>
      <w:r w:rsidR="00C031E0" w:rsidRPr="001279DB">
        <w:rPr>
          <w:rFonts w:ascii="Arial" w:hAnsi="Arial" w:cs="Arial"/>
          <w:sz w:val="24"/>
          <w:szCs w:val="24"/>
          <w:lang w:val="en-GB"/>
        </w:rPr>
        <w:t xml:space="preserve">                       ______________________</w:t>
      </w:r>
      <w:r w:rsidRPr="001279DB">
        <w:rPr>
          <w:rFonts w:ascii="Arial" w:hAnsi="Arial" w:cs="Arial"/>
          <w:sz w:val="24"/>
          <w:szCs w:val="24"/>
          <w:lang w:val="en-GB"/>
        </w:rPr>
        <w:t>__</w:t>
      </w:r>
      <w:r w:rsidR="00C031E0" w:rsidRPr="001279DB">
        <w:rPr>
          <w:rFonts w:ascii="Arial" w:hAnsi="Arial" w:cs="Arial"/>
          <w:sz w:val="24"/>
          <w:szCs w:val="24"/>
          <w:lang w:val="en-GB"/>
        </w:rPr>
        <w:t>_</w:t>
      </w:r>
    </w:p>
    <w:p w14:paraId="6E2D4C64" w14:textId="77777777" w:rsidR="00C031E0" w:rsidRPr="001279DB" w:rsidRDefault="00C031E0" w:rsidP="00215681">
      <w:pPr>
        <w:spacing w:after="0" w:line="360" w:lineRule="auto"/>
        <w:jc w:val="right"/>
        <w:rPr>
          <w:rFonts w:ascii="Arial" w:hAnsi="Arial" w:cs="Arial"/>
          <w:sz w:val="24"/>
          <w:szCs w:val="24"/>
          <w:lang w:val="en-GB"/>
        </w:rPr>
      </w:pPr>
      <w:r w:rsidRPr="001279DB">
        <w:rPr>
          <w:rFonts w:ascii="Arial" w:hAnsi="Arial" w:cs="Arial"/>
          <w:sz w:val="24"/>
          <w:szCs w:val="24"/>
          <w:lang w:val="en-GB"/>
        </w:rPr>
        <w:tab/>
      </w:r>
      <w:r w:rsidRPr="001279DB">
        <w:rPr>
          <w:rFonts w:ascii="Arial" w:hAnsi="Arial" w:cs="Arial"/>
          <w:sz w:val="24"/>
          <w:szCs w:val="24"/>
          <w:lang w:val="en-GB"/>
        </w:rPr>
        <w:tab/>
      </w:r>
      <w:r w:rsidRPr="001279DB">
        <w:rPr>
          <w:rFonts w:ascii="Arial" w:hAnsi="Arial" w:cs="Arial"/>
          <w:sz w:val="24"/>
          <w:szCs w:val="24"/>
          <w:lang w:val="en-GB"/>
        </w:rPr>
        <w:tab/>
      </w:r>
      <w:r w:rsidRPr="001279DB">
        <w:rPr>
          <w:rFonts w:ascii="Arial" w:hAnsi="Arial" w:cs="Arial"/>
          <w:sz w:val="24"/>
          <w:szCs w:val="24"/>
          <w:lang w:val="en-GB"/>
        </w:rPr>
        <w:tab/>
      </w:r>
      <w:r w:rsidRPr="001279DB">
        <w:rPr>
          <w:rFonts w:ascii="Arial" w:hAnsi="Arial" w:cs="Arial"/>
          <w:sz w:val="24"/>
          <w:szCs w:val="24"/>
          <w:lang w:val="en-GB"/>
        </w:rPr>
        <w:tab/>
      </w:r>
      <w:r w:rsidRPr="001279DB">
        <w:rPr>
          <w:rFonts w:ascii="Arial" w:hAnsi="Arial" w:cs="Arial"/>
          <w:sz w:val="24"/>
          <w:szCs w:val="24"/>
          <w:lang w:val="en-GB"/>
        </w:rPr>
        <w:tab/>
        <w:t xml:space="preserve">             </w:t>
      </w:r>
      <w:r w:rsidR="00215681" w:rsidRPr="001279DB">
        <w:rPr>
          <w:rFonts w:ascii="Arial" w:hAnsi="Arial" w:cs="Arial"/>
          <w:sz w:val="24"/>
          <w:szCs w:val="24"/>
          <w:lang w:val="en-GB"/>
        </w:rPr>
        <w:t xml:space="preserve">                              </w:t>
      </w:r>
      <w:r w:rsidRPr="001279DB">
        <w:rPr>
          <w:rFonts w:ascii="Arial" w:hAnsi="Arial" w:cs="Arial"/>
          <w:sz w:val="24"/>
          <w:szCs w:val="24"/>
          <w:lang w:val="en-GB"/>
        </w:rPr>
        <w:t>N</w:t>
      </w:r>
      <w:r w:rsidR="00215681" w:rsidRPr="001279DB">
        <w:rPr>
          <w:rFonts w:ascii="Arial" w:hAnsi="Arial" w:cs="Arial"/>
          <w:sz w:val="24"/>
          <w:szCs w:val="24"/>
          <w:lang w:val="en-GB"/>
        </w:rPr>
        <w:t xml:space="preserve"> </w:t>
      </w:r>
      <w:r w:rsidRPr="001279DB">
        <w:rPr>
          <w:rFonts w:ascii="Arial" w:hAnsi="Arial" w:cs="Arial"/>
          <w:sz w:val="24"/>
          <w:szCs w:val="24"/>
          <w:lang w:val="en-GB"/>
        </w:rPr>
        <w:t>T</w:t>
      </w:r>
      <w:r w:rsidR="00215681" w:rsidRPr="001279DB">
        <w:rPr>
          <w:rFonts w:ascii="Arial" w:hAnsi="Arial" w:cs="Arial"/>
          <w:sz w:val="24"/>
          <w:szCs w:val="24"/>
          <w:lang w:val="en-GB"/>
        </w:rPr>
        <w:t xml:space="preserve"> </w:t>
      </w:r>
      <w:r w:rsidRPr="001279DB">
        <w:rPr>
          <w:rFonts w:ascii="Arial" w:hAnsi="Arial" w:cs="Arial"/>
          <w:sz w:val="24"/>
          <w:szCs w:val="24"/>
          <w:lang w:val="en-GB"/>
        </w:rPr>
        <w:t>Y SIWENDU</w:t>
      </w:r>
    </w:p>
    <w:p w14:paraId="5AD87B15" w14:textId="77777777" w:rsidR="00C031E0" w:rsidRPr="001279DB" w:rsidRDefault="00C031E0" w:rsidP="00215681">
      <w:pPr>
        <w:spacing w:after="0" w:line="360" w:lineRule="auto"/>
        <w:jc w:val="right"/>
        <w:rPr>
          <w:rFonts w:ascii="Arial" w:hAnsi="Arial" w:cs="Arial"/>
          <w:sz w:val="24"/>
          <w:szCs w:val="24"/>
          <w:lang w:val="en-GB"/>
        </w:rPr>
      </w:pPr>
      <w:r w:rsidRPr="001279DB">
        <w:rPr>
          <w:rFonts w:ascii="Arial" w:hAnsi="Arial" w:cs="Arial"/>
          <w:sz w:val="24"/>
          <w:szCs w:val="24"/>
          <w:lang w:val="en-GB"/>
        </w:rPr>
        <w:tab/>
      </w:r>
      <w:r w:rsidRPr="001279DB">
        <w:rPr>
          <w:rFonts w:ascii="Arial" w:hAnsi="Arial" w:cs="Arial"/>
          <w:sz w:val="24"/>
          <w:szCs w:val="24"/>
          <w:lang w:val="en-GB"/>
        </w:rPr>
        <w:tab/>
      </w:r>
      <w:r w:rsidRPr="001279DB">
        <w:rPr>
          <w:rFonts w:ascii="Arial" w:hAnsi="Arial" w:cs="Arial"/>
          <w:sz w:val="24"/>
          <w:szCs w:val="24"/>
          <w:lang w:val="en-GB"/>
        </w:rPr>
        <w:tab/>
      </w:r>
      <w:r w:rsidRPr="001279DB">
        <w:rPr>
          <w:rFonts w:ascii="Arial" w:hAnsi="Arial" w:cs="Arial"/>
          <w:sz w:val="24"/>
          <w:szCs w:val="24"/>
          <w:lang w:val="en-GB"/>
        </w:rPr>
        <w:tab/>
      </w:r>
      <w:r w:rsidRPr="001279DB">
        <w:rPr>
          <w:rFonts w:ascii="Arial" w:hAnsi="Arial" w:cs="Arial"/>
          <w:sz w:val="24"/>
          <w:szCs w:val="24"/>
          <w:lang w:val="en-GB"/>
        </w:rPr>
        <w:tab/>
      </w:r>
      <w:r w:rsidRPr="001279DB">
        <w:rPr>
          <w:rFonts w:ascii="Arial" w:hAnsi="Arial" w:cs="Arial"/>
          <w:sz w:val="24"/>
          <w:szCs w:val="24"/>
          <w:lang w:val="en-GB"/>
        </w:rPr>
        <w:tab/>
      </w:r>
      <w:r w:rsidR="00215681" w:rsidRPr="001279DB">
        <w:rPr>
          <w:rFonts w:ascii="Arial" w:hAnsi="Arial" w:cs="Arial"/>
          <w:sz w:val="24"/>
          <w:szCs w:val="24"/>
          <w:lang w:val="en-GB"/>
        </w:rPr>
        <w:t xml:space="preserve">                      </w:t>
      </w:r>
      <w:r w:rsidRPr="001279DB">
        <w:rPr>
          <w:rFonts w:ascii="Arial" w:hAnsi="Arial" w:cs="Arial"/>
          <w:sz w:val="24"/>
          <w:szCs w:val="24"/>
          <w:lang w:val="en-GB"/>
        </w:rPr>
        <w:t xml:space="preserve">ACTING JUDGE OF APPEAL </w:t>
      </w:r>
    </w:p>
    <w:p w14:paraId="3DF6BE0E" w14:textId="77777777" w:rsidR="009C378F" w:rsidRPr="001279DB" w:rsidRDefault="009C378F" w:rsidP="005C774B">
      <w:pPr>
        <w:pStyle w:val="Normal1"/>
        <w:spacing w:after="0" w:line="360" w:lineRule="auto"/>
        <w:ind w:right="72"/>
        <w:contextualSpacing/>
        <w:jc w:val="both"/>
        <w:rPr>
          <w:rFonts w:ascii="Arial" w:eastAsia="Arial" w:hAnsi="Arial" w:cs="Arial"/>
          <w:sz w:val="24"/>
          <w:szCs w:val="24"/>
        </w:rPr>
      </w:pPr>
    </w:p>
    <w:p w14:paraId="3DE5E85E" w14:textId="77777777" w:rsidR="009C378F" w:rsidRPr="001279DB" w:rsidRDefault="009C378F" w:rsidP="005C774B">
      <w:pPr>
        <w:pStyle w:val="Normal1"/>
        <w:spacing w:after="0" w:line="360" w:lineRule="auto"/>
        <w:ind w:right="72"/>
        <w:contextualSpacing/>
        <w:jc w:val="both"/>
        <w:rPr>
          <w:rFonts w:ascii="Arial" w:eastAsia="Arial" w:hAnsi="Arial" w:cs="Arial"/>
          <w:sz w:val="24"/>
          <w:szCs w:val="24"/>
        </w:rPr>
      </w:pPr>
    </w:p>
    <w:p w14:paraId="38102A5A" w14:textId="77777777" w:rsidR="009C378F" w:rsidRPr="001279DB" w:rsidRDefault="009C378F" w:rsidP="005C774B">
      <w:pPr>
        <w:pStyle w:val="Normal1"/>
        <w:spacing w:after="0" w:line="360" w:lineRule="auto"/>
        <w:ind w:right="72"/>
        <w:contextualSpacing/>
        <w:jc w:val="both"/>
        <w:rPr>
          <w:rFonts w:ascii="Arial" w:eastAsia="Arial" w:hAnsi="Arial" w:cs="Arial"/>
          <w:sz w:val="24"/>
          <w:szCs w:val="24"/>
        </w:rPr>
      </w:pPr>
    </w:p>
    <w:p w14:paraId="5F358E1E" w14:textId="77777777" w:rsidR="009C378F" w:rsidRPr="001279DB" w:rsidRDefault="009C378F" w:rsidP="005C774B">
      <w:pPr>
        <w:pStyle w:val="Normal1"/>
        <w:spacing w:after="0" w:line="360" w:lineRule="auto"/>
        <w:ind w:right="72"/>
        <w:contextualSpacing/>
        <w:jc w:val="both"/>
        <w:rPr>
          <w:rFonts w:ascii="Arial" w:eastAsia="Arial" w:hAnsi="Arial" w:cs="Arial"/>
          <w:sz w:val="24"/>
          <w:szCs w:val="24"/>
        </w:rPr>
      </w:pPr>
    </w:p>
    <w:p w14:paraId="249A036B" w14:textId="77777777" w:rsidR="00CD05AA" w:rsidRPr="001279DB" w:rsidRDefault="009C378F" w:rsidP="005C774B">
      <w:pPr>
        <w:spacing w:after="0" w:line="360" w:lineRule="auto"/>
        <w:jc w:val="both"/>
        <w:rPr>
          <w:rFonts w:ascii="Arial" w:eastAsia="Arial" w:hAnsi="Arial" w:cs="Arial"/>
          <w:sz w:val="24"/>
          <w:szCs w:val="24"/>
        </w:rPr>
      </w:pPr>
      <w:r w:rsidRPr="001279DB">
        <w:rPr>
          <w:rFonts w:ascii="Arial" w:eastAsia="Arial" w:hAnsi="Arial" w:cs="Arial"/>
          <w:sz w:val="24"/>
          <w:szCs w:val="24"/>
        </w:rPr>
        <w:br w:type="page"/>
      </w:r>
      <w:r w:rsidR="00E85772" w:rsidRPr="001279DB">
        <w:rPr>
          <w:rFonts w:ascii="Arial" w:eastAsia="Arial" w:hAnsi="Arial" w:cs="Arial"/>
          <w:sz w:val="24"/>
          <w:szCs w:val="24"/>
        </w:rPr>
        <w:t>A</w:t>
      </w:r>
      <w:r w:rsidR="00CF1A8E" w:rsidRPr="001279DB">
        <w:rPr>
          <w:rFonts w:ascii="Arial" w:eastAsia="Arial" w:hAnsi="Arial" w:cs="Arial"/>
          <w:sz w:val="24"/>
          <w:szCs w:val="24"/>
        </w:rPr>
        <w:t>ppearances</w:t>
      </w:r>
    </w:p>
    <w:p w14:paraId="4381F6A3" w14:textId="77777777" w:rsidR="00CF1A8E" w:rsidRPr="001279DB" w:rsidRDefault="00CF1A8E" w:rsidP="005C774B">
      <w:pPr>
        <w:pStyle w:val="Normal1"/>
        <w:spacing w:after="0" w:line="360" w:lineRule="auto"/>
        <w:ind w:right="72"/>
        <w:contextualSpacing/>
        <w:jc w:val="both"/>
        <w:rPr>
          <w:rFonts w:ascii="Arial" w:eastAsia="Arial" w:hAnsi="Arial" w:cs="Arial"/>
          <w:sz w:val="24"/>
          <w:szCs w:val="24"/>
        </w:rPr>
      </w:pPr>
    </w:p>
    <w:p w14:paraId="6BDFB217" w14:textId="77777777" w:rsidR="00CD05AA" w:rsidRPr="001279DB" w:rsidRDefault="00E85772" w:rsidP="005C774B">
      <w:pPr>
        <w:pStyle w:val="Normal1"/>
        <w:tabs>
          <w:tab w:val="left" w:pos="3402"/>
        </w:tabs>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 xml:space="preserve">For the </w:t>
      </w:r>
      <w:r w:rsidR="006A3574" w:rsidRPr="001279DB">
        <w:rPr>
          <w:rFonts w:ascii="Arial" w:eastAsia="Arial" w:hAnsi="Arial" w:cs="Arial"/>
          <w:sz w:val="24"/>
          <w:szCs w:val="24"/>
        </w:rPr>
        <w:t>a</w:t>
      </w:r>
      <w:r w:rsidRPr="001279DB">
        <w:rPr>
          <w:rFonts w:ascii="Arial" w:eastAsia="Arial" w:hAnsi="Arial" w:cs="Arial"/>
          <w:sz w:val="24"/>
          <w:szCs w:val="24"/>
        </w:rPr>
        <w:t>ppellant:</w:t>
      </w:r>
      <w:r w:rsidRPr="001279DB">
        <w:rPr>
          <w:rFonts w:ascii="Arial" w:eastAsia="Arial" w:hAnsi="Arial" w:cs="Arial"/>
          <w:sz w:val="24"/>
          <w:szCs w:val="24"/>
        </w:rPr>
        <w:tab/>
      </w:r>
      <w:r w:rsidR="00842C3B" w:rsidRPr="001279DB">
        <w:rPr>
          <w:rFonts w:ascii="Arial" w:eastAsia="Arial" w:hAnsi="Arial" w:cs="Arial"/>
          <w:sz w:val="24"/>
          <w:szCs w:val="24"/>
        </w:rPr>
        <w:t>A Vorster</w:t>
      </w:r>
    </w:p>
    <w:p w14:paraId="7FC00540" w14:textId="77777777" w:rsidR="00CD05AA" w:rsidRPr="001279DB" w:rsidRDefault="00842C3B" w:rsidP="005C774B">
      <w:pPr>
        <w:pStyle w:val="Normal1"/>
        <w:tabs>
          <w:tab w:val="left" w:pos="3402"/>
        </w:tabs>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Instructed by:</w:t>
      </w:r>
      <w:r w:rsidRPr="001279DB">
        <w:rPr>
          <w:rFonts w:ascii="Arial" w:eastAsia="Arial" w:hAnsi="Arial" w:cs="Arial"/>
          <w:sz w:val="24"/>
          <w:szCs w:val="24"/>
        </w:rPr>
        <w:tab/>
        <w:t>Ka-Mbonane Cooper, Johannesburg</w:t>
      </w:r>
    </w:p>
    <w:p w14:paraId="049673D8" w14:textId="77777777" w:rsidR="00842C3B" w:rsidRPr="001279DB" w:rsidRDefault="00842C3B" w:rsidP="005C774B">
      <w:pPr>
        <w:pStyle w:val="Normal1"/>
        <w:tabs>
          <w:tab w:val="left" w:pos="3402"/>
        </w:tabs>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ab/>
        <w:t xml:space="preserve">Van der Merwe </w:t>
      </w:r>
      <w:r w:rsidR="00126864" w:rsidRPr="001279DB">
        <w:rPr>
          <w:rFonts w:ascii="Arial" w:eastAsia="Arial" w:hAnsi="Arial" w:cs="Arial"/>
          <w:sz w:val="24"/>
          <w:szCs w:val="24"/>
        </w:rPr>
        <w:t>and</w:t>
      </w:r>
      <w:r w:rsidRPr="001279DB">
        <w:rPr>
          <w:rFonts w:ascii="Arial" w:eastAsia="Arial" w:hAnsi="Arial" w:cs="Arial"/>
          <w:sz w:val="24"/>
          <w:szCs w:val="24"/>
        </w:rPr>
        <w:t xml:space="preserve"> Sorour Attorneys, Bloemfontein</w:t>
      </w:r>
    </w:p>
    <w:p w14:paraId="1AE6E83C" w14:textId="77777777" w:rsidR="00CD05AA" w:rsidRPr="001279DB" w:rsidRDefault="00CD05AA" w:rsidP="005C774B">
      <w:pPr>
        <w:pStyle w:val="Normal1"/>
        <w:tabs>
          <w:tab w:val="left" w:pos="3686"/>
        </w:tabs>
        <w:spacing w:after="0" w:line="360" w:lineRule="auto"/>
        <w:ind w:right="72"/>
        <w:contextualSpacing/>
        <w:jc w:val="both"/>
        <w:rPr>
          <w:rFonts w:ascii="Arial" w:eastAsia="Arial" w:hAnsi="Arial" w:cs="Arial"/>
          <w:sz w:val="24"/>
          <w:szCs w:val="24"/>
        </w:rPr>
      </w:pPr>
    </w:p>
    <w:p w14:paraId="2767F335" w14:textId="77777777" w:rsidR="00CD05AA" w:rsidRPr="001279DB" w:rsidRDefault="00E85772" w:rsidP="005C774B">
      <w:pPr>
        <w:pStyle w:val="Normal1"/>
        <w:tabs>
          <w:tab w:val="left" w:pos="3402"/>
        </w:tabs>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 xml:space="preserve">For the </w:t>
      </w:r>
      <w:r w:rsidR="006A3574" w:rsidRPr="001279DB">
        <w:rPr>
          <w:rFonts w:ascii="Arial" w:eastAsia="Arial" w:hAnsi="Arial" w:cs="Arial"/>
          <w:sz w:val="24"/>
          <w:szCs w:val="24"/>
        </w:rPr>
        <w:t>r</w:t>
      </w:r>
      <w:r w:rsidRPr="001279DB">
        <w:rPr>
          <w:rFonts w:ascii="Arial" w:eastAsia="Arial" w:hAnsi="Arial" w:cs="Arial"/>
          <w:sz w:val="24"/>
          <w:szCs w:val="24"/>
        </w:rPr>
        <w:t>espondent:</w:t>
      </w:r>
      <w:r w:rsidRPr="001279DB">
        <w:rPr>
          <w:rFonts w:ascii="Arial" w:eastAsia="Arial" w:hAnsi="Arial" w:cs="Arial"/>
          <w:sz w:val="24"/>
          <w:szCs w:val="24"/>
        </w:rPr>
        <w:tab/>
      </w:r>
      <w:r w:rsidR="009D048B" w:rsidRPr="001279DB">
        <w:rPr>
          <w:rFonts w:ascii="Arial" w:eastAsia="Arial" w:hAnsi="Arial" w:cs="Arial"/>
          <w:sz w:val="24"/>
          <w:szCs w:val="24"/>
        </w:rPr>
        <w:t xml:space="preserve">M </w:t>
      </w:r>
      <w:r w:rsidR="00842C3B" w:rsidRPr="001279DB">
        <w:rPr>
          <w:rFonts w:ascii="Arial" w:eastAsia="Arial" w:hAnsi="Arial" w:cs="Arial"/>
          <w:sz w:val="24"/>
          <w:szCs w:val="24"/>
        </w:rPr>
        <w:t>Wesley SC</w:t>
      </w:r>
      <w:r w:rsidR="009D048B" w:rsidRPr="001279DB">
        <w:rPr>
          <w:rFonts w:ascii="Arial" w:eastAsia="Arial" w:hAnsi="Arial" w:cs="Arial"/>
          <w:sz w:val="24"/>
          <w:szCs w:val="24"/>
        </w:rPr>
        <w:t xml:space="preserve"> and T Mosikili</w:t>
      </w:r>
    </w:p>
    <w:p w14:paraId="59E9EE93" w14:textId="77777777" w:rsidR="00CD05AA" w:rsidRPr="001279DB" w:rsidRDefault="00E85772" w:rsidP="005C774B">
      <w:pPr>
        <w:pStyle w:val="Normal1"/>
        <w:tabs>
          <w:tab w:val="left" w:pos="3402"/>
        </w:tabs>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Instructed by:</w:t>
      </w:r>
      <w:r w:rsidRPr="001279DB">
        <w:rPr>
          <w:rFonts w:ascii="Arial" w:eastAsia="Arial" w:hAnsi="Arial" w:cs="Arial"/>
          <w:sz w:val="24"/>
          <w:szCs w:val="24"/>
        </w:rPr>
        <w:tab/>
      </w:r>
      <w:r w:rsidR="00842C3B" w:rsidRPr="001279DB">
        <w:rPr>
          <w:rFonts w:ascii="Arial" w:eastAsia="Arial" w:hAnsi="Arial" w:cs="Arial"/>
          <w:sz w:val="24"/>
          <w:szCs w:val="24"/>
        </w:rPr>
        <w:t xml:space="preserve">Norton Rose Fulbright </w:t>
      </w:r>
      <w:r w:rsidR="00126864" w:rsidRPr="001279DB">
        <w:rPr>
          <w:rFonts w:ascii="Arial" w:eastAsia="Arial" w:hAnsi="Arial" w:cs="Arial"/>
          <w:sz w:val="24"/>
          <w:szCs w:val="24"/>
        </w:rPr>
        <w:t>Incorporated</w:t>
      </w:r>
      <w:r w:rsidR="00842C3B" w:rsidRPr="001279DB">
        <w:rPr>
          <w:rFonts w:ascii="Arial" w:eastAsia="Arial" w:hAnsi="Arial" w:cs="Arial"/>
          <w:sz w:val="24"/>
          <w:szCs w:val="24"/>
        </w:rPr>
        <w:t>, Johannesburg</w:t>
      </w:r>
    </w:p>
    <w:p w14:paraId="7E7271B0" w14:textId="77777777" w:rsidR="00CD05AA" w:rsidRPr="001279DB" w:rsidRDefault="00842C3B" w:rsidP="005C774B">
      <w:pPr>
        <w:pStyle w:val="Normal1"/>
        <w:tabs>
          <w:tab w:val="left" w:pos="3402"/>
        </w:tabs>
        <w:spacing w:after="0" w:line="360" w:lineRule="auto"/>
        <w:ind w:right="72"/>
        <w:contextualSpacing/>
        <w:jc w:val="both"/>
        <w:rPr>
          <w:rFonts w:ascii="Arial" w:eastAsia="Arial" w:hAnsi="Arial" w:cs="Arial"/>
          <w:sz w:val="24"/>
          <w:szCs w:val="24"/>
        </w:rPr>
      </w:pPr>
      <w:r w:rsidRPr="001279DB">
        <w:rPr>
          <w:rFonts w:ascii="Arial" w:eastAsia="Arial" w:hAnsi="Arial" w:cs="Arial"/>
          <w:sz w:val="24"/>
          <w:szCs w:val="24"/>
        </w:rPr>
        <w:tab/>
        <w:t>Webbers Attorneys, Bloemfontein</w:t>
      </w:r>
    </w:p>
    <w:p w14:paraId="0780698C" w14:textId="77777777" w:rsidR="009D048B" w:rsidRPr="001279DB" w:rsidRDefault="009D048B" w:rsidP="009D048B">
      <w:pPr>
        <w:pStyle w:val="Normal1"/>
        <w:tabs>
          <w:tab w:val="left" w:pos="3402"/>
        </w:tabs>
        <w:spacing w:after="0" w:line="360" w:lineRule="auto"/>
        <w:ind w:right="72"/>
        <w:contextualSpacing/>
        <w:jc w:val="both"/>
        <w:rPr>
          <w:rFonts w:ascii="Arial" w:eastAsia="Arial" w:hAnsi="Arial" w:cs="Arial"/>
          <w:sz w:val="24"/>
          <w:szCs w:val="24"/>
        </w:rPr>
      </w:pPr>
    </w:p>
    <w:sectPr w:rsidR="009D048B" w:rsidRPr="001279DB" w:rsidSect="000F3921">
      <w:headerReference w:type="default" r:id="rId9"/>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0202E" w14:textId="77777777" w:rsidR="002E102C" w:rsidRDefault="002E102C">
      <w:pPr>
        <w:spacing w:after="0" w:line="240" w:lineRule="auto"/>
      </w:pPr>
      <w:r>
        <w:separator/>
      </w:r>
    </w:p>
  </w:endnote>
  <w:endnote w:type="continuationSeparator" w:id="0">
    <w:p w14:paraId="36A7D173" w14:textId="77777777" w:rsidR="002E102C" w:rsidRDefault="002E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60F5D" w14:textId="77777777" w:rsidR="002E102C" w:rsidRDefault="002E102C">
      <w:pPr>
        <w:spacing w:after="0" w:line="240" w:lineRule="auto"/>
      </w:pPr>
      <w:r>
        <w:separator/>
      </w:r>
    </w:p>
  </w:footnote>
  <w:footnote w:type="continuationSeparator" w:id="0">
    <w:p w14:paraId="7E08C763" w14:textId="77777777" w:rsidR="002E102C" w:rsidRDefault="002E102C">
      <w:pPr>
        <w:spacing w:after="0" w:line="240" w:lineRule="auto"/>
      </w:pPr>
      <w:r>
        <w:continuationSeparator/>
      </w:r>
    </w:p>
  </w:footnote>
  <w:footnote w:id="1">
    <w:p w14:paraId="586108A7" w14:textId="77777777" w:rsidR="00416BF8" w:rsidRPr="00401455" w:rsidRDefault="00416BF8"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00F30C38">
        <w:rPr>
          <w:rFonts w:ascii="Arial" w:hAnsi="Arial" w:cs="Arial"/>
        </w:rPr>
        <w:t xml:space="preserve">Read with </w:t>
      </w:r>
      <w:r w:rsidR="00F30C38" w:rsidRPr="00401455">
        <w:rPr>
          <w:rFonts w:ascii="Arial" w:hAnsi="Arial" w:cs="Arial"/>
        </w:rPr>
        <w:t>the Social and Labour Plan</w:t>
      </w:r>
      <w:r w:rsidR="00F30C38">
        <w:rPr>
          <w:rFonts w:ascii="Arial" w:hAnsi="Arial" w:cs="Arial"/>
        </w:rPr>
        <w:t xml:space="preserve"> in terms of</w:t>
      </w:r>
      <w:r w:rsidR="00F30C38" w:rsidRPr="00401455" w:rsidDel="00F30C38">
        <w:rPr>
          <w:rFonts w:ascii="Arial" w:eastAsia="Arial" w:hAnsi="Arial" w:cs="Arial"/>
          <w:i/>
        </w:rPr>
        <w:t xml:space="preserve"> </w:t>
      </w:r>
      <w:r w:rsidR="00F30C38">
        <w:rPr>
          <w:rFonts w:ascii="Arial" w:hAnsi="Arial" w:cs="Arial"/>
        </w:rPr>
        <w:t>r</w:t>
      </w:r>
      <w:r w:rsidR="00CF7DA8" w:rsidRPr="00401455">
        <w:rPr>
          <w:rFonts w:ascii="Arial" w:hAnsi="Arial" w:cs="Arial"/>
        </w:rPr>
        <w:t>egulation 46 of</w:t>
      </w:r>
      <w:r w:rsidR="00F30C38">
        <w:rPr>
          <w:rFonts w:ascii="Arial" w:hAnsi="Arial" w:cs="Arial"/>
        </w:rPr>
        <w:t xml:space="preserve"> the </w:t>
      </w:r>
      <w:r w:rsidR="00F30C38" w:rsidRPr="00F30C38">
        <w:rPr>
          <w:rFonts w:ascii="Arial" w:hAnsi="Arial" w:cs="Arial"/>
        </w:rPr>
        <w:t>Mineral and Petroleum Resources Development Regulations</w:t>
      </w:r>
      <w:r w:rsidR="00E53CD1">
        <w:rPr>
          <w:rFonts w:ascii="Arial" w:hAnsi="Arial" w:cs="Arial"/>
        </w:rPr>
        <w:t>,</w:t>
      </w:r>
      <w:r w:rsidR="00F30C38">
        <w:rPr>
          <w:rFonts w:ascii="Arial" w:hAnsi="Arial" w:cs="Arial"/>
        </w:rPr>
        <w:t xml:space="preserve"> </w:t>
      </w:r>
      <w:r w:rsidR="00F30C38" w:rsidRPr="00F30C38">
        <w:rPr>
          <w:rFonts w:ascii="Arial" w:hAnsi="Arial" w:cs="Arial"/>
        </w:rPr>
        <w:t>GN R</w:t>
      </w:r>
      <w:r w:rsidR="00F30C38">
        <w:rPr>
          <w:rFonts w:ascii="Arial" w:hAnsi="Arial" w:cs="Arial"/>
        </w:rPr>
        <w:t>527</w:t>
      </w:r>
      <w:r w:rsidR="00F30C38" w:rsidRPr="00F30C38">
        <w:rPr>
          <w:rFonts w:ascii="Arial" w:hAnsi="Arial" w:cs="Arial"/>
        </w:rPr>
        <w:t xml:space="preserve">, </w:t>
      </w:r>
      <w:r w:rsidR="00F30C38">
        <w:rPr>
          <w:rFonts w:ascii="Arial" w:hAnsi="Arial" w:cs="Arial"/>
        </w:rPr>
        <w:t>23 April 2004.</w:t>
      </w:r>
    </w:p>
  </w:footnote>
  <w:footnote w:id="2">
    <w:p w14:paraId="1D95C630" w14:textId="77777777" w:rsidR="007C65AA" w:rsidRPr="00401455" w:rsidRDefault="007C65AA"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Emalahle</w:t>
      </w:r>
      <w:r w:rsidR="00796D40" w:rsidRPr="00401455">
        <w:rPr>
          <w:rFonts w:ascii="Arial" w:hAnsi="Arial" w:cs="Arial"/>
        </w:rPr>
        <w:t>ni Local Municipality Electricity</w:t>
      </w:r>
      <w:r w:rsidRPr="00401455">
        <w:rPr>
          <w:rFonts w:ascii="Arial" w:hAnsi="Arial" w:cs="Arial"/>
        </w:rPr>
        <w:t xml:space="preserve"> By-</w:t>
      </w:r>
      <w:r w:rsidR="0058781E" w:rsidRPr="00401455">
        <w:rPr>
          <w:rFonts w:ascii="Arial" w:hAnsi="Arial" w:cs="Arial"/>
        </w:rPr>
        <w:t>l</w:t>
      </w:r>
      <w:r w:rsidRPr="00401455">
        <w:rPr>
          <w:rFonts w:ascii="Arial" w:hAnsi="Arial" w:cs="Arial"/>
        </w:rPr>
        <w:t>aws</w:t>
      </w:r>
      <w:r w:rsidR="00FE7974">
        <w:rPr>
          <w:rFonts w:ascii="Arial" w:hAnsi="Arial" w:cs="Arial"/>
        </w:rPr>
        <w:t>, LAN</w:t>
      </w:r>
      <w:r w:rsidR="008F6C76" w:rsidRPr="00401455">
        <w:rPr>
          <w:rFonts w:ascii="Arial" w:hAnsi="Arial" w:cs="Arial"/>
        </w:rPr>
        <w:t xml:space="preserve"> 173</w:t>
      </w:r>
      <w:r w:rsidR="00FE7974">
        <w:rPr>
          <w:rFonts w:ascii="Arial" w:hAnsi="Arial" w:cs="Arial"/>
        </w:rPr>
        <w:t>,</w:t>
      </w:r>
      <w:r w:rsidR="008F6C76" w:rsidRPr="00401455">
        <w:rPr>
          <w:rFonts w:ascii="Arial" w:hAnsi="Arial" w:cs="Arial"/>
        </w:rPr>
        <w:t xml:space="preserve"> </w:t>
      </w:r>
      <w:r w:rsidR="008F6C76" w:rsidRPr="00830262">
        <w:rPr>
          <w:rFonts w:ascii="Arial" w:hAnsi="Arial" w:cs="Arial"/>
          <w:i/>
        </w:rPr>
        <w:t>Mpumalanga Provincial Gazette</w:t>
      </w:r>
      <w:r w:rsidR="008F6C76" w:rsidRPr="00401455">
        <w:rPr>
          <w:rFonts w:ascii="Arial" w:hAnsi="Arial" w:cs="Arial"/>
        </w:rPr>
        <w:t xml:space="preserve"> 2229</w:t>
      </w:r>
      <w:r w:rsidR="00FE7974">
        <w:rPr>
          <w:rFonts w:ascii="Arial" w:hAnsi="Arial" w:cs="Arial"/>
        </w:rPr>
        <w:t xml:space="preserve">, </w:t>
      </w:r>
      <w:r w:rsidR="008F6C76" w:rsidRPr="00401455">
        <w:rPr>
          <w:rFonts w:ascii="Arial" w:hAnsi="Arial" w:cs="Arial"/>
        </w:rPr>
        <w:t>14 Novemb</w:t>
      </w:r>
      <w:r w:rsidR="00FE7974">
        <w:rPr>
          <w:rFonts w:ascii="Arial" w:hAnsi="Arial" w:cs="Arial"/>
        </w:rPr>
        <w:t>e</w:t>
      </w:r>
      <w:r w:rsidR="002F05C5" w:rsidRPr="00401455">
        <w:rPr>
          <w:rFonts w:ascii="Arial" w:hAnsi="Arial" w:cs="Arial"/>
        </w:rPr>
        <w:t>r 2013</w:t>
      </w:r>
      <w:r w:rsidR="00FE7974">
        <w:rPr>
          <w:rFonts w:ascii="Arial" w:hAnsi="Arial" w:cs="Arial"/>
        </w:rPr>
        <w:t xml:space="preserve"> (MP)</w:t>
      </w:r>
      <w:r w:rsidR="002F05C5" w:rsidRPr="00401455">
        <w:rPr>
          <w:rFonts w:ascii="Arial" w:hAnsi="Arial" w:cs="Arial"/>
        </w:rPr>
        <w:t>.</w:t>
      </w:r>
    </w:p>
  </w:footnote>
  <w:footnote w:id="3">
    <w:p w14:paraId="15E0D8E9" w14:textId="77777777" w:rsidR="007642D4" w:rsidRDefault="007642D4" w:rsidP="00830262">
      <w:pPr>
        <w:pStyle w:val="FootnoteText"/>
        <w:jc w:val="both"/>
      </w:pPr>
      <w:r w:rsidRPr="00830262">
        <w:rPr>
          <w:rStyle w:val="FootnoteReference"/>
          <w:rFonts w:ascii="Arial" w:hAnsi="Arial" w:cs="Arial"/>
        </w:rPr>
        <w:footnoteRef/>
      </w:r>
      <w:r w:rsidRPr="00830262">
        <w:rPr>
          <w:rFonts w:ascii="Arial" w:hAnsi="Arial" w:cs="Arial"/>
        </w:rPr>
        <w:t xml:space="preserve"> </w:t>
      </w:r>
      <w:r w:rsidRPr="00830262">
        <w:rPr>
          <w:rFonts w:ascii="Arial" w:hAnsi="Arial" w:cs="Arial"/>
          <w:i/>
        </w:rPr>
        <w:t>Matjhabeng Local Municipality v Eskom Holdings Limited and Others; Mkhonto and Others v Compensation Solutions (Pty) Limited</w:t>
      </w:r>
      <w:r w:rsidRPr="00830262">
        <w:rPr>
          <w:rFonts w:ascii="Arial" w:hAnsi="Arial" w:cs="Arial"/>
        </w:rPr>
        <w:t xml:space="preserve"> [2017] ZACC 35; 2017 (11) BCLR 1408 (CC); 2018 (1) SA 1 (CC)</w:t>
      </w:r>
      <w:r>
        <w:rPr>
          <w:rFonts w:ascii="Arial" w:hAnsi="Arial" w:cs="Arial"/>
        </w:rPr>
        <w:t>.</w:t>
      </w:r>
    </w:p>
  </w:footnote>
  <w:footnote w:id="4">
    <w:p w14:paraId="6DEE2255" w14:textId="77777777" w:rsidR="005111B9" w:rsidRPr="00401455" w:rsidRDefault="005111B9"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007642D4">
        <w:rPr>
          <w:rFonts w:ascii="Arial" w:hAnsi="Arial" w:cs="Arial"/>
        </w:rPr>
        <w:t xml:space="preserve">Ibid </w:t>
      </w:r>
      <w:r w:rsidRPr="00401455">
        <w:rPr>
          <w:rFonts w:ascii="Arial" w:hAnsi="Arial" w:cs="Arial"/>
        </w:rPr>
        <w:t>para 91.</w:t>
      </w:r>
    </w:p>
  </w:footnote>
  <w:footnote w:id="5">
    <w:p w14:paraId="63A7FFDA" w14:textId="77777777" w:rsidR="00C94296" w:rsidRPr="00401455" w:rsidRDefault="00C94296"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005111B9" w:rsidRPr="00401455">
        <w:rPr>
          <w:rFonts w:ascii="Arial" w:hAnsi="Arial" w:cs="Arial"/>
        </w:rPr>
        <w:t>Ibid para 92.</w:t>
      </w:r>
    </w:p>
  </w:footnote>
  <w:footnote w:id="6">
    <w:p w14:paraId="3F0F3A78" w14:textId="77777777" w:rsidR="00E93B67" w:rsidRPr="00401455" w:rsidRDefault="00E93B6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Pr="00401455">
        <w:rPr>
          <w:rFonts w:ascii="Arial" w:hAnsi="Arial" w:cs="Arial"/>
          <w:i/>
          <w:iCs/>
        </w:rPr>
        <w:t>Gcaba v Minister for Safety and Security</w:t>
      </w:r>
      <w:r w:rsidR="00C4650F">
        <w:rPr>
          <w:rFonts w:ascii="Arial" w:hAnsi="Arial" w:cs="Arial"/>
          <w:i/>
          <w:iCs/>
        </w:rPr>
        <w:t xml:space="preserve"> and Others</w:t>
      </w:r>
      <w:r w:rsidRPr="00401455">
        <w:rPr>
          <w:rFonts w:ascii="Arial" w:hAnsi="Arial" w:cs="Arial"/>
          <w:i/>
          <w:iCs/>
        </w:rPr>
        <w:t> </w:t>
      </w:r>
      <w:r w:rsidRPr="00401455">
        <w:rPr>
          <w:rFonts w:ascii="Arial" w:hAnsi="Arial" w:cs="Arial"/>
        </w:rPr>
        <w:t>[2009] ZACC 26; 2010 (1) SA 238 (CC); 2010 (1) BCLR 35 (CC) para 75.</w:t>
      </w:r>
    </w:p>
  </w:footnote>
  <w:footnote w:id="7">
    <w:p w14:paraId="4642D321" w14:textId="77777777" w:rsidR="000D1E64" w:rsidRPr="00401455" w:rsidRDefault="000D1E64"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Pr="00401455">
        <w:rPr>
          <w:rFonts w:ascii="Arial" w:hAnsi="Arial" w:cs="Arial"/>
          <w:i/>
          <w:iCs/>
        </w:rPr>
        <w:t>Absa Bank Ltd v Naude NO</w:t>
      </w:r>
      <w:r w:rsidR="00C4650F">
        <w:rPr>
          <w:rFonts w:ascii="Arial" w:hAnsi="Arial" w:cs="Arial"/>
          <w:i/>
          <w:iCs/>
        </w:rPr>
        <w:t xml:space="preserve"> and Others</w:t>
      </w:r>
      <w:r w:rsidRPr="00401455">
        <w:rPr>
          <w:rFonts w:ascii="Arial" w:hAnsi="Arial" w:cs="Arial"/>
        </w:rPr>
        <w:t xml:space="preserve"> [2015] ZASCA 97 (</w:t>
      </w:r>
      <w:r w:rsidR="00C4650F">
        <w:rPr>
          <w:rFonts w:ascii="Arial" w:hAnsi="Arial" w:cs="Arial"/>
        </w:rPr>
        <w:t>SCA</w:t>
      </w:r>
      <w:r w:rsidRPr="00401455">
        <w:rPr>
          <w:rFonts w:ascii="Arial" w:hAnsi="Arial" w:cs="Arial"/>
        </w:rPr>
        <w:t>)</w:t>
      </w:r>
      <w:r w:rsidR="00F326C5">
        <w:rPr>
          <w:rFonts w:ascii="Arial" w:hAnsi="Arial" w:cs="Arial"/>
        </w:rPr>
        <w:t xml:space="preserve">; </w:t>
      </w:r>
      <w:r w:rsidR="00F326C5" w:rsidRPr="00F326C5">
        <w:rPr>
          <w:rFonts w:ascii="Arial" w:hAnsi="Arial" w:cs="Arial"/>
        </w:rPr>
        <w:t>2016 (6) SA 540 (SCA)</w:t>
      </w:r>
      <w:r w:rsidR="00A83635">
        <w:rPr>
          <w:rFonts w:ascii="Arial" w:hAnsi="Arial" w:cs="Arial"/>
        </w:rPr>
        <w:t xml:space="preserve"> para 10</w:t>
      </w:r>
      <w:r w:rsidRPr="00F326C5">
        <w:rPr>
          <w:rFonts w:ascii="Arial" w:hAnsi="Arial" w:cs="Arial"/>
        </w:rPr>
        <w:t>.</w:t>
      </w:r>
    </w:p>
  </w:footnote>
  <w:footnote w:id="8">
    <w:p w14:paraId="0CAA620C" w14:textId="77777777" w:rsidR="007A5F32" w:rsidRPr="00401455" w:rsidRDefault="007A5F32"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Ibid</w:t>
      </w:r>
      <w:r w:rsidR="003F4AAB" w:rsidRPr="00401455">
        <w:rPr>
          <w:rFonts w:ascii="Arial" w:hAnsi="Arial" w:cs="Arial"/>
        </w:rPr>
        <w:t xml:space="preserve"> para 75</w:t>
      </w:r>
      <w:r w:rsidRPr="00401455">
        <w:rPr>
          <w:rFonts w:ascii="Arial" w:hAnsi="Arial" w:cs="Arial"/>
        </w:rPr>
        <w:t>.</w:t>
      </w:r>
    </w:p>
  </w:footnote>
  <w:footnote w:id="9">
    <w:p w14:paraId="7F801DA7" w14:textId="77777777" w:rsidR="002B17CF" w:rsidRPr="00401455" w:rsidRDefault="002B17CF" w:rsidP="00401455">
      <w:pPr>
        <w:pStyle w:val="FootnoteText"/>
        <w:jc w:val="both"/>
        <w:rPr>
          <w:rFonts w:ascii="Arial" w:hAnsi="Arial" w:cs="Arial"/>
        </w:rPr>
      </w:pPr>
      <w:r w:rsidRPr="00401455">
        <w:rPr>
          <w:rStyle w:val="FootnoteReference"/>
          <w:rFonts w:ascii="Arial" w:hAnsi="Arial" w:cs="Arial"/>
        </w:rPr>
        <w:footnoteRef/>
      </w:r>
      <w:r w:rsidR="003448E3">
        <w:rPr>
          <w:rFonts w:ascii="Arial" w:hAnsi="Arial" w:cs="Arial"/>
          <w:i/>
        </w:rPr>
        <w:t xml:space="preserve"> </w:t>
      </w:r>
      <w:r w:rsidRPr="00401455">
        <w:rPr>
          <w:rFonts w:ascii="Arial" w:hAnsi="Arial" w:cs="Arial"/>
          <w:i/>
        </w:rPr>
        <w:t>Judicial Service Commission and Another v Cape Bar Council and Another</w:t>
      </w:r>
      <w:r w:rsidRPr="00401455">
        <w:rPr>
          <w:rFonts w:ascii="Arial" w:hAnsi="Arial" w:cs="Arial"/>
        </w:rPr>
        <w:t xml:space="preserve"> [2012] ZASCA 115; 2012 (11) BCLR 1239 (SCA); 2013 (1) SA 170 (SCA); [2013] 1 All SA 40 (SCA).</w:t>
      </w:r>
    </w:p>
  </w:footnote>
  <w:footnote w:id="10">
    <w:p w14:paraId="70FE91D1" w14:textId="77777777" w:rsidR="002B17CF" w:rsidRPr="00401455" w:rsidRDefault="002B17CF"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Pr="00401455">
        <w:rPr>
          <w:rFonts w:ascii="Arial" w:eastAsia="Arial" w:hAnsi="Arial" w:cs="Arial"/>
        </w:rPr>
        <w:t>Ibid para 12.</w:t>
      </w:r>
    </w:p>
  </w:footnote>
  <w:footnote w:id="11">
    <w:p w14:paraId="712CEC65" w14:textId="77777777" w:rsidR="00015A9D" w:rsidRPr="00401455" w:rsidRDefault="00015A9D"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Pr="00401455">
        <w:rPr>
          <w:rFonts w:ascii="Arial" w:hAnsi="Arial" w:cs="Arial"/>
          <w:i/>
        </w:rPr>
        <w:t>Joseph and Others v City of Johannesburg and Others</w:t>
      </w:r>
      <w:r w:rsidRPr="00401455">
        <w:rPr>
          <w:rFonts w:ascii="Arial" w:hAnsi="Arial" w:cs="Arial"/>
        </w:rPr>
        <w:t xml:space="preserve"> </w:t>
      </w:r>
      <w:r w:rsidR="00CC5CD5" w:rsidRPr="00CC5CD5">
        <w:rPr>
          <w:rFonts w:ascii="Arial" w:hAnsi="Arial" w:cs="Arial"/>
        </w:rPr>
        <w:t xml:space="preserve">[2009] </w:t>
      </w:r>
      <w:r w:rsidR="00CC5CD5">
        <w:rPr>
          <w:rFonts w:ascii="Arial" w:hAnsi="Arial" w:cs="Arial"/>
        </w:rPr>
        <w:t>ZACC 30; 2010 (3) BCLR 212 (CC)</w:t>
      </w:r>
      <w:r w:rsidR="00CC5CD5" w:rsidRPr="00CC5CD5">
        <w:rPr>
          <w:rFonts w:ascii="Arial" w:hAnsi="Arial" w:cs="Arial"/>
        </w:rPr>
        <w:t xml:space="preserve">; </w:t>
      </w:r>
      <w:r w:rsidRPr="00401455">
        <w:rPr>
          <w:rFonts w:ascii="Arial" w:hAnsi="Arial" w:cs="Arial"/>
        </w:rPr>
        <w:t>2010 (4) SA 55 (CC).</w:t>
      </w:r>
    </w:p>
  </w:footnote>
  <w:footnote w:id="12">
    <w:p w14:paraId="6375C711" w14:textId="77777777" w:rsidR="00B058EE" w:rsidRPr="00401455" w:rsidRDefault="00B058EE"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00015A9D" w:rsidRPr="00401455">
        <w:rPr>
          <w:rFonts w:ascii="Arial" w:hAnsi="Arial" w:cs="Arial"/>
        </w:rPr>
        <w:t>Ibid para 3</w:t>
      </w:r>
      <w:r w:rsidR="00AC4EC1">
        <w:rPr>
          <w:rFonts w:ascii="Arial" w:hAnsi="Arial" w:cs="Arial"/>
        </w:rPr>
        <w:t>2</w:t>
      </w:r>
      <w:r w:rsidR="00015A9D" w:rsidRPr="00401455">
        <w:rPr>
          <w:rFonts w:ascii="Arial" w:hAnsi="Arial" w:cs="Arial"/>
        </w:rPr>
        <w:t>.</w:t>
      </w:r>
    </w:p>
  </w:footnote>
  <w:footnote w:id="13">
    <w:p w14:paraId="3862B211" w14:textId="77777777" w:rsidR="003D05ED" w:rsidRPr="00401455" w:rsidRDefault="003D05ED"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00D22999" w:rsidRPr="00401455">
        <w:rPr>
          <w:rFonts w:ascii="Arial" w:hAnsi="Arial" w:cs="Arial"/>
          <w:i/>
        </w:rPr>
        <w:t>Joseph</w:t>
      </w:r>
      <w:r w:rsidR="00D22999" w:rsidRPr="00401455" w:rsidDel="00D22999">
        <w:rPr>
          <w:rFonts w:ascii="Arial" w:hAnsi="Arial" w:cs="Arial"/>
          <w:i/>
        </w:rPr>
        <w:t xml:space="preserve"> </w:t>
      </w:r>
      <w:r w:rsidR="006E4FCB" w:rsidRPr="00401455">
        <w:rPr>
          <w:rFonts w:ascii="Arial" w:hAnsi="Arial" w:cs="Arial"/>
        </w:rPr>
        <w:t>para 3</w:t>
      </w:r>
      <w:r w:rsidR="00D22999">
        <w:rPr>
          <w:rFonts w:ascii="Arial" w:hAnsi="Arial" w:cs="Arial"/>
        </w:rPr>
        <w:t>3</w:t>
      </w:r>
      <w:r w:rsidR="006E4FCB" w:rsidRPr="00401455">
        <w:rPr>
          <w:rFonts w:ascii="Arial" w:hAnsi="Arial" w:cs="Arial"/>
        </w:rPr>
        <w:t>.</w:t>
      </w:r>
    </w:p>
  </w:footnote>
  <w:footnote w:id="14">
    <w:p w14:paraId="3D55F651" w14:textId="77777777" w:rsidR="0049600E" w:rsidRPr="00401455" w:rsidRDefault="0049600E"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00D22999">
        <w:rPr>
          <w:rFonts w:ascii="Arial" w:hAnsi="Arial" w:cs="Arial"/>
        </w:rPr>
        <w:t>Ibid</w:t>
      </w:r>
      <w:r w:rsidRPr="00401455">
        <w:rPr>
          <w:rFonts w:ascii="Arial" w:hAnsi="Arial" w:cs="Arial"/>
        </w:rPr>
        <w:t xml:space="preserve"> para </w:t>
      </w:r>
      <w:r w:rsidR="00254378">
        <w:rPr>
          <w:rFonts w:ascii="Arial" w:hAnsi="Arial" w:cs="Arial"/>
        </w:rPr>
        <w:t>39</w:t>
      </w:r>
      <w:r w:rsidRPr="00401455">
        <w:rPr>
          <w:rFonts w:ascii="Arial" w:hAnsi="Arial" w:cs="Arial"/>
        </w:rPr>
        <w:t>.</w:t>
      </w:r>
    </w:p>
  </w:footnote>
  <w:footnote w:id="15">
    <w:p w14:paraId="25D7477C" w14:textId="77777777" w:rsidR="00BF20CA" w:rsidRPr="00401455" w:rsidRDefault="00BF20CA" w:rsidP="00401455">
      <w:pPr>
        <w:pStyle w:val="FootnoteText"/>
        <w:jc w:val="both"/>
        <w:rPr>
          <w:rFonts w:ascii="Arial" w:hAnsi="Arial" w:cs="Arial"/>
        </w:rPr>
      </w:pPr>
      <w:r w:rsidRPr="00401455">
        <w:rPr>
          <w:rStyle w:val="FootnoteReference"/>
          <w:rFonts w:ascii="Arial" w:hAnsi="Arial" w:cs="Arial"/>
        </w:rPr>
        <w:footnoteRef/>
      </w:r>
      <w:r w:rsidR="00A41833" w:rsidRPr="00401455">
        <w:rPr>
          <w:rFonts w:ascii="Arial" w:hAnsi="Arial" w:cs="Arial"/>
          <w:i/>
        </w:rPr>
        <w:t xml:space="preserve"> </w:t>
      </w:r>
      <w:r w:rsidR="00D22999">
        <w:rPr>
          <w:rFonts w:ascii="Arial" w:hAnsi="Arial" w:cs="Arial"/>
        </w:rPr>
        <w:t>Ibid</w:t>
      </w:r>
      <w:r w:rsidRPr="00401455">
        <w:rPr>
          <w:rFonts w:ascii="Arial" w:hAnsi="Arial" w:cs="Arial"/>
        </w:rPr>
        <w:t xml:space="preserve"> para 22.</w:t>
      </w:r>
    </w:p>
  </w:footnote>
  <w:footnote w:id="16">
    <w:p w14:paraId="4EDE3384" w14:textId="77777777" w:rsidR="00F929E0" w:rsidRPr="00401455" w:rsidRDefault="00F929E0"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00D22999">
        <w:rPr>
          <w:rFonts w:ascii="Arial" w:hAnsi="Arial" w:cs="Arial"/>
        </w:rPr>
        <w:t xml:space="preserve">Ibid </w:t>
      </w:r>
      <w:r w:rsidRPr="00401455">
        <w:rPr>
          <w:rFonts w:ascii="Arial" w:hAnsi="Arial" w:cs="Arial"/>
        </w:rPr>
        <w:t xml:space="preserve">para 23. </w:t>
      </w:r>
    </w:p>
  </w:footnote>
  <w:footnote w:id="17">
    <w:p w14:paraId="3D6B3621" w14:textId="77777777" w:rsidR="00225F1C" w:rsidRPr="00401455" w:rsidRDefault="00225F1C"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00172A3B" w:rsidRPr="00401455">
        <w:rPr>
          <w:rFonts w:ascii="Arial" w:hAnsi="Arial" w:cs="Arial"/>
          <w:i/>
        </w:rPr>
        <w:t>Joseph</w:t>
      </w:r>
      <w:r w:rsidR="00172A3B" w:rsidRPr="00401455" w:rsidDel="00172A3B">
        <w:rPr>
          <w:rFonts w:ascii="Arial" w:hAnsi="Arial" w:cs="Arial"/>
          <w:i/>
        </w:rPr>
        <w:t xml:space="preserve"> </w:t>
      </w:r>
      <w:r w:rsidRPr="00401455">
        <w:rPr>
          <w:rFonts w:ascii="Arial" w:hAnsi="Arial" w:cs="Arial"/>
        </w:rPr>
        <w:t>para 2</w:t>
      </w:r>
      <w:r w:rsidR="0019289F">
        <w:rPr>
          <w:rFonts w:ascii="Arial" w:hAnsi="Arial" w:cs="Arial"/>
        </w:rPr>
        <w:t>4</w:t>
      </w:r>
      <w:r w:rsidRPr="00401455">
        <w:rPr>
          <w:rFonts w:ascii="Arial" w:hAnsi="Arial" w:cs="Arial"/>
        </w:rPr>
        <w:t>.</w:t>
      </w:r>
    </w:p>
  </w:footnote>
  <w:footnote w:id="18">
    <w:p w14:paraId="55086E66" w14:textId="77777777" w:rsidR="006E4FCB" w:rsidRPr="00401455" w:rsidRDefault="006E4FCB"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00172A3B">
        <w:rPr>
          <w:rFonts w:ascii="Arial" w:hAnsi="Arial" w:cs="Arial"/>
        </w:rPr>
        <w:t>Ibid</w:t>
      </w:r>
      <w:r w:rsidRPr="00401455">
        <w:rPr>
          <w:rFonts w:ascii="Arial" w:hAnsi="Arial" w:cs="Arial"/>
        </w:rPr>
        <w:t xml:space="preserve"> para 3</w:t>
      </w:r>
      <w:r w:rsidR="005B0444">
        <w:rPr>
          <w:rFonts w:ascii="Arial" w:hAnsi="Arial" w:cs="Arial"/>
        </w:rPr>
        <w:t>2</w:t>
      </w:r>
      <w:r w:rsidRPr="00401455">
        <w:rPr>
          <w:rFonts w:ascii="Arial" w:hAnsi="Arial" w:cs="Arial"/>
          <w:i/>
        </w:rPr>
        <w:t xml:space="preserve">; Cape Gate (Pty) Ltd and Others v Eskom Holdings SOC Ltd and Others </w:t>
      </w:r>
      <w:r w:rsidRPr="00401455">
        <w:rPr>
          <w:rFonts w:ascii="Arial" w:hAnsi="Arial" w:cs="Arial"/>
        </w:rPr>
        <w:t xml:space="preserve">2019 (4) SA 14 (GJ) para 123. </w:t>
      </w:r>
    </w:p>
  </w:footnote>
  <w:footnote w:id="19">
    <w:p w14:paraId="3F8013CD" w14:textId="77777777" w:rsidR="00ED658C" w:rsidRPr="00401455" w:rsidRDefault="00ED658C"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Pr="00401455">
        <w:rPr>
          <w:rFonts w:ascii="Arial" w:hAnsi="Arial" w:cs="Arial"/>
          <w:i/>
        </w:rPr>
        <w:t>Walele v City of Cape Town and Others</w:t>
      </w:r>
      <w:r w:rsidRPr="00401455">
        <w:rPr>
          <w:rFonts w:ascii="Arial" w:hAnsi="Arial" w:cs="Arial"/>
        </w:rPr>
        <w:t xml:space="preserve"> </w:t>
      </w:r>
      <w:r w:rsidR="00496622" w:rsidRPr="00496622">
        <w:rPr>
          <w:rFonts w:ascii="Arial" w:hAnsi="Arial" w:cs="Arial"/>
        </w:rPr>
        <w:t>[2008] ZACC 11; 2008 (6) SA 129 (CC); 2008 (11) BCLR 1067 (CC)</w:t>
      </w:r>
      <w:r w:rsidR="00496622">
        <w:rPr>
          <w:rFonts w:ascii="Arial" w:hAnsi="Arial" w:cs="Arial"/>
        </w:rPr>
        <w:t>;</w:t>
      </w:r>
      <w:r w:rsidR="00496622" w:rsidRPr="00496622">
        <w:rPr>
          <w:rFonts w:ascii="Arial" w:hAnsi="Arial" w:cs="Arial"/>
        </w:rPr>
        <w:t xml:space="preserve"> </w:t>
      </w:r>
      <w:r w:rsidRPr="00401455">
        <w:rPr>
          <w:rFonts w:ascii="Arial" w:hAnsi="Arial" w:cs="Arial"/>
        </w:rPr>
        <w:t>2008 (6) SA 129 (CC);</w:t>
      </w:r>
      <w:r w:rsidR="00817563" w:rsidRPr="00401455">
        <w:rPr>
          <w:rFonts w:ascii="Arial" w:hAnsi="Arial" w:cs="Arial"/>
        </w:rPr>
        <w:t xml:space="preserve"> </w:t>
      </w:r>
      <w:r w:rsidRPr="00401455">
        <w:rPr>
          <w:rFonts w:ascii="Arial" w:hAnsi="Arial" w:cs="Arial"/>
          <w:i/>
        </w:rPr>
        <w:t>Premier, Mpumalanga and Another v Executive Commi</w:t>
      </w:r>
      <w:r w:rsidR="00AB41CD" w:rsidRPr="00401455">
        <w:rPr>
          <w:rFonts w:ascii="Arial" w:hAnsi="Arial" w:cs="Arial"/>
          <w:i/>
        </w:rPr>
        <w:t>ttee, Association of State</w:t>
      </w:r>
      <w:r w:rsidR="00FC659C">
        <w:rPr>
          <w:rFonts w:ascii="Arial" w:hAnsi="Arial" w:cs="Arial"/>
          <w:i/>
        </w:rPr>
        <w:t>-</w:t>
      </w:r>
      <w:r w:rsidR="00AB41CD" w:rsidRPr="00401455">
        <w:rPr>
          <w:rFonts w:ascii="Arial" w:hAnsi="Arial" w:cs="Arial"/>
          <w:i/>
        </w:rPr>
        <w:t xml:space="preserve">Aided </w:t>
      </w:r>
      <w:r w:rsidR="008C613F" w:rsidRPr="00401455">
        <w:rPr>
          <w:rFonts w:ascii="Arial" w:hAnsi="Arial" w:cs="Arial"/>
          <w:i/>
        </w:rPr>
        <w:t>School</w:t>
      </w:r>
      <w:r w:rsidR="00FC659C">
        <w:rPr>
          <w:rFonts w:ascii="Arial" w:hAnsi="Arial" w:cs="Arial"/>
          <w:i/>
        </w:rPr>
        <w:t>s</w:t>
      </w:r>
      <w:r w:rsidR="008C613F" w:rsidRPr="00401455">
        <w:rPr>
          <w:rFonts w:ascii="Arial" w:hAnsi="Arial" w:cs="Arial"/>
          <w:i/>
        </w:rPr>
        <w:t>, Eastern</w:t>
      </w:r>
      <w:r w:rsidR="00AB41CD" w:rsidRPr="00401455">
        <w:rPr>
          <w:rFonts w:ascii="Arial" w:hAnsi="Arial" w:cs="Arial"/>
          <w:i/>
        </w:rPr>
        <w:t xml:space="preserve"> Transvaal </w:t>
      </w:r>
      <w:r w:rsidR="00AB41CD" w:rsidRPr="00401455">
        <w:rPr>
          <w:rFonts w:ascii="Arial" w:hAnsi="Arial" w:cs="Arial"/>
        </w:rPr>
        <w:t>1999 (2</w:t>
      </w:r>
      <w:r w:rsidR="008C613F" w:rsidRPr="00401455">
        <w:rPr>
          <w:rFonts w:ascii="Arial" w:hAnsi="Arial" w:cs="Arial"/>
        </w:rPr>
        <w:t>)</w:t>
      </w:r>
      <w:r w:rsidR="00AB41CD" w:rsidRPr="00401455">
        <w:rPr>
          <w:rFonts w:ascii="Arial" w:hAnsi="Arial" w:cs="Arial"/>
        </w:rPr>
        <w:t xml:space="preserve"> SA 91 (CC).</w:t>
      </w:r>
    </w:p>
  </w:footnote>
  <w:footnote w:id="20">
    <w:p w14:paraId="2F8463A9" w14:textId="77777777" w:rsidR="00467AD7" w:rsidRPr="00401455" w:rsidRDefault="00467AD7" w:rsidP="00401455">
      <w:pPr>
        <w:pStyle w:val="FootnoteText"/>
        <w:jc w:val="both"/>
        <w:rPr>
          <w:rFonts w:ascii="Arial" w:hAnsi="Arial" w:cs="Arial"/>
          <w:lang w:val="en-US"/>
        </w:rPr>
      </w:pPr>
      <w:r w:rsidRPr="00830262">
        <w:rPr>
          <w:rStyle w:val="FootnoteReference"/>
          <w:rFonts w:ascii="Arial" w:hAnsi="Arial" w:cs="Arial"/>
        </w:rPr>
        <w:footnoteRef/>
      </w:r>
      <w:r w:rsidRPr="00830262">
        <w:rPr>
          <w:rFonts w:ascii="Arial" w:hAnsi="Arial" w:cs="Arial"/>
        </w:rPr>
        <w:t xml:space="preserve"> </w:t>
      </w:r>
      <w:r w:rsidRPr="00401455">
        <w:rPr>
          <w:rFonts w:ascii="Arial" w:hAnsi="Arial" w:cs="Arial"/>
          <w:i/>
        </w:rPr>
        <w:t xml:space="preserve">Milani and Another v South African Medical and Dental Council and Another </w:t>
      </w:r>
      <w:r w:rsidRPr="00401455">
        <w:rPr>
          <w:rFonts w:ascii="Arial" w:hAnsi="Arial" w:cs="Arial"/>
        </w:rPr>
        <w:t>[1990] 3 All SA 633 (T); 1990 (1) SA 899 (T) at 903A-D.</w:t>
      </w:r>
    </w:p>
  </w:footnote>
  <w:footnote w:id="21">
    <w:p w14:paraId="04F0091D" w14:textId="77777777" w:rsidR="00467AD7" w:rsidRPr="00401455" w:rsidRDefault="00467AD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Pr="00401455">
        <w:rPr>
          <w:rFonts w:ascii="Arial" w:hAnsi="Arial" w:cs="Arial"/>
          <w:i/>
          <w:iCs/>
        </w:rPr>
        <w:t xml:space="preserve">Residents of </w:t>
      </w:r>
      <w:r w:rsidRPr="00401455">
        <w:rPr>
          <w:rFonts w:ascii="Arial" w:hAnsi="Arial" w:cs="Arial"/>
          <w:i/>
        </w:rPr>
        <w:t>Joe Slovo Community, Western Cape v Thubelisha Homes and Others</w:t>
      </w:r>
      <w:r w:rsidRPr="00401455">
        <w:rPr>
          <w:rFonts w:ascii="Arial" w:hAnsi="Arial" w:cs="Arial"/>
        </w:rPr>
        <w:t xml:space="preserve"> [2009] ZACC 16; 2009 (9) BCLR 847 (CC); 2010 (3) SA 454 (CC).</w:t>
      </w:r>
    </w:p>
  </w:footnote>
  <w:footnote w:id="22">
    <w:p w14:paraId="079A524A" w14:textId="77777777" w:rsidR="00467AD7" w:rsidRPr="00401455" w:rsidRDefault="00467AD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Pr="00401455">
        <w:rPr>
          <w:rFonts w:ascii="Arial" w:hAnsi="Arial" w:cs="Arial"/>
          <w:i/>
        </w:rPr>
        <w:t>Joseph and Others v City of Johannesburg and Others</w:t>
      </w:r>
      <w:r w:rsidRPr="00401455">
        <w:rPr>
          <w:rFonts w:ascii="Arial" w:hAnsi="Arial" w:cs="Arial"/>
        </w:rPr>
        <w:t xml:space="preserve"> [2009] ZACC 30; 2010 (3) BCLR 212 (CC); 2010 (4) SA 55 (CC) para 24.</w:t>
      </w:r>
    </w:p>
  </w:footnote>
  <w:footnote w:id="23">
    <w:p w14:paraId="46538F90" w14:textId="77777777" w:rsidR="00467AD7" w:rsidRPr="00401455" w:rsidRDefault="00467AD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Pr="00401455">
        <w:rPr>
          <w:rFonts w:ascii="Arial" w:hAnsi="Arial" w:cs="Arial"/>
          <w:i/>
        </w:rPr>
        <w:t>Joe Slovo</w:t>
      </w:r>
      <w:r w:rsidRPr="00401455">
        <w:rPr>
          <w:rFonts w:ascii="Arial" w:hAnsi="Arial" w:cs="Arial"/>
        </w:rPr>
        <w:t xml:space="preserve"> para 343.</w:t>
      </w:r>
    </w:p>
  </w:footnote>
  <w:footnote w:id="24">
    <w:p w14:paraId="0EB76760" w14:textId="77777777" w:rsidR="00467AD7" w:rsidRPr="00401455" w:rsidRDefault="00467AD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Pr="00401455">
        <w:rPr>
          <w:rFonts w:ascii="Arial" w:hAnsi="Arial" w:cs="Arial"/>
          <w:i/>
        </w:rPr>
        <w:t>Joseph</w:t>
      </w:r>
      <w:r w:rsidRPr="00401455">
        <w:rPr>
          <w:rFonts w:ascii="Arial" w:hAnsi="Arial" w:cs="Arial"/>
        </w:rPr>
        <w:t xml:space="preserve"> paras 21-22.</w:t>
      </w:r>
    </w:p>
  </w:footnote>
  <w:footnote w:id="25">
    <w:p w14:paraId="2D057C1B" w14:textId="77777777" w:rsidR="00467AD7" w:rsidRPr="00401455" w:rsidRDefault="00467AD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Pr="00401455">
        <w:rPr>
          <w:rFonts w:ascii="Arial" w:hAnsi="Arial" w:cs="Arial"/>
          <w:i/>
        </w:rPr>
        <w:t xml:space="preserve">Joseph </w:t>
      </w:r>
      <w:r w:rsidRPr="00401455">
        <w:rPr>
          <w:rFonts w:ascii="Arial" w:hAnsi="Arial" w:cs="Arial"/>
        </w:rPr>
        <w:t>para 47.</w:t>
      </w:r>
    </w:p>
  </w:footnote>
  <w:footnote w:id="26">
    <w:p w14:paraId="4676F46B" w14:textId="77777777" w:rsidR="00467AD7" w:rsidRPr="00401455" w:rsidRDefault="00467AD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Ibid para 24.</w:t>
      </w:r>
    </w:p>
  </w:footnote>
  <w:footnote w:id="27">
    <w:p w14:paraId="5C8B9A31" w14:textId="77777777" w:rsidR="00467AD7" w:rsidRPr="00401455" w:rsidRDefault="00467AD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Pr="00401455">
        <w:rPr>
          <w:rFonts w:ascii="Arial" w:hAnsi="Arial" w:cs="Arial"/>
          <w:i/>
        </w:rPr>
        <w:t xml:space="preserve">Joseph </w:t>
      </w:r>
      <w:r w:rsidRPr="00401455">
        <w:rPr>
          <w:rFonts w:ascii="Arial" w:hAnsi="Arial" w:cs="Arial"/>
        </w:rPr>
        <w:t>paras 74-75.</w:t>
      </w:r>
    </w:p>
  </w:footnote>
  <w:footnote w:id="28">
    <w:p w14:paraId="72A72429" w14:textId="77777777" w:rsidR="00467AD7" w:rsidRPr="00401455" w:rsidRDefault="00467AD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Pr="00401455">
        <w:rPr>
          <w:rFonts w:ascii="Arial" w:hAnsi="Arial" w:cs="Arial"/>
          <w:i/>
        </w:rPr>
        <w:t>Mkontwana v Nelson Mandela Metropolitan Municipality</w:t>
      </w:r>
      <w:r w:rsidRPr="00401455">
        <w:rPr>
          <w:rFonts w:ascii="Arial" w:hAnsi="Arial" w:cs="Arial"/>
        </w:rPr>
        <w:t xml:space="preserve"> 2005 (1) SA 530 (CC); 2005 (2) BCLR 150 (CC).</w:t>
      </w:r>
    </w:p>
  </w:footnote>
  <w:footnote w:id="29">
    <w:p w14:paraId="11233B59" w14:textId="77777777" w:rsidR="00467AD7" w:rsidRPr="00401455" w:rsidRDefault="00467AD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Pr="00401455">
        <w:rPr>
          <w:rFonts w:ascii="Arial" w:hAnsi="Arial" w:cs="Arial"/>
          <w:i/>
        </w:rPr>
        <w:t>Rademan v Moqhaka Local Municipality and Others</w:t>
      </w:r>
      <w:r w:rsidRPr="00401455">
        <w:rPr>
          <w:rFonts w:ascii="Arial" w:hAnsi="Arial" w:cs="Arial"/>
        </w:rPr>
        <w:t xml:space="preserve"> [2013] ZACC 11; 2013 (4) SA 225 (CC); 2013 (7) BCLR 791 (CC).</w:t>
      </w:r>
    </w:p>
  </w:footnote>
  <w:footnote w:id="30">
    <w:p w14:paraId="0FA881F4" w14:textId="77777777" w:rsidR="00467AD7" w:rsidRPr="00401455" w:rsidRDefault="00467AD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See s 118(1) of Local Government: Municipal Systems Act 32 of 2000.</w:t>
      </w:r>
    </w:p>
  </w:footnote>
  <w:footnote w:id="31">
    <w:p w14:paraId="4E8E1F18" w14:textId="77777777" w:rsidR="00467AD7" w:rsidRPr="00401455" w:rsidRDefault="00467AD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Ibid para 45. See also O’Regan J, in a separate concurring judgment, para 87, where she found that the owner was not deprived of ownership by s 118 of the Local Government Municipal Systems Act 32 of 2000, but rather one of the incidents of ownership, namely, the ability to alienate immoveable property, was impaired. She concluded that the section does constitute a deprivation, but found that it was not arbitrary.</w:t>
      </w:r>
    </w:p>
  </w:footnote>
  <w:footnote w:id="32">
    <w:p w14:paraId="3D4BB110" w14:textId="77777777" w:rsidR="00467AD7" w:rsidRPr="00401455" w:rsidRDefault="00467AD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Pr="00401455">
        <w:rPr>
          <w:rFonts w:ascii="Arial" w:hAnsi="Arial" w:cs="Arial"/>
          <w:i/>
        </w:rPr>
        <w:t xml:space="preserve">Rademan </w:t>
      </w:r>
      <w:r w:rsidRPr="00401455">
        <w:rPr>
          <w:rFonts w:ascii="Arial" w:hAnsi="Arial" w:cs="Arial"/>
        </w:rPr>
        <w:t>paras 32-34.</w:t>
      </w:r>
    </w:p>
  </w:footnote>
  <w:footnote w:id="33">
    <w:p w14:paraId="1BD48862" w14:textId="77777777" w:rsidR="00467AD7" w:rsidRPr="00401455" w:rsidRDefault="00467AD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Pr="00401455">
        <w:rPr>
          <w:rFonts w:ascii="Arial" w:hAnsi="Arial" w:cs="Arial"/>
          <w:i/>
        </w:rPr>
        <w:t xml:space="preserve">South African Riding for the Disabled Association v Regional Land Claims Commissioner and Others </w:t>
      </w:r>
      <w:r w:rsidRPr="00401455">
        <w:rPr>
          <w:rFonts w:ascii="Arial" w:hAnsi="Arial" w:cs="Arial"/>
        </w:rPr>
        <w:t>[2017] ZACC 4; 2017 (8) BCLR 1053 (CC);</w:t>
      </w:r>
      <w:r w:rsidRPr="00401455">
        <w:rPr>
          <w:rFonts w:ascii="Arial" w:hAnsi="Arial" w:cs="Arial"/>
          <w:i/>
        </w:rPr>
        <w:t xml:space="preserve"> </w:t>
      </w:r>
      <w:r w:rsidRPr="00401455">
        <w:rPr>
          <w:rFonts w:ascii="Arial" w:hAnsi="Arial" w:cs="Arial"/>
        </w:rPr>
        <w:t xml:space="preserve">2017 (5) SA 1 (CC) para 10; </w:t>
      </w:r>
      <w:r w:rsidRPr="00401455">
        <w:rPr>
          <w:rFonts w:ascii="Arial" w:hAnsi="Arial" w:cs="Arial"/>
          <w:i/>
        </w:rPr>
        <w:t>Matjhabeng Local Municip</w:t>
      </w:r>
      <w:r w:rsidR="00830262">
        <w:rPr>
          <w:rFonts w:ascii="Arial" w:hAnsi="Arial" w:cs="Arial"/>
          <w:i/>
        </w:rPr>
        <w:t>a</w:t>
      </w:r>
      <w:r w:rsidRPr="00401455">
        <w:rPr>
          <w:rFonts w:ascii="Arial" w:hAnsi="Arial" w:cs="Arial"/>
          <w:i/>
        </w:rPr>
        <w:t xml:space="preserve">lity v Eskom Holdings Limited and Others; Mkhonto and Others v Compensation Solutions (Pty) Limited </w:t>
      </w:r>
      <w:r w:rsidRPr="00401455">
        <w:rPr>
          <w:rFonts w:ascii="Arial" w:hAnsi="Arial" w:cs="Arial"/>
        </w:rPr>
        <w:t>[2017] ZACC 35; 2017 (11) BCLR 1408 (CC);</w:t>
      </w:r>
      <w:r w:rsidRPr="00401455">
        <w:rPr>
          <w:rFonts w:ascii="Arial" w:hAnsi="Arial" w:cs="Arial"/>
          <w:i/>
        </w:rPr>
        <w:t xml:space="preserve"> </w:t>
      </w:r>
      <w:r w:rsidRPr="00401455">
        <w:rPr>
          <w:rFonts w:ascii="Arial" w:hAnsi="Arial" w:cs="Arial"/>
        </w:rPr>
        <w:t>2018 (1) SA (CC) para 93.</w:t>
      </w:r>
    </w:p>
  </w:footnote>
  <w:footnote w:id="34">
    <w:p w14:paraId="4380DBB6" w14:textId="77777777" w:rsidR="00467AD7" w:rsidRPr="00401455" w:rsidRDefault="00467AD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See </w:t>
      </w:r>
      <w:r w:rsidRPr="00401455">
        <w:rPr>
          <w:rFonts w:ascii="Arial" w:hAnsi="Arial" w:cs="Arial"/>
          <w:i/>
        </w:rPr>
        <w:t xml:space="preserve">Joseph </w:t>
      </w:r>
      <w:r w:rsidRPr="00401455">
        <w:rPr>
          <w:rFonts w:ascii="Arial" w:hAnsi="Arial" w:cs="Arial"/>
        </w:rPr>
        <w:t>para 51.</w:t>
      </w:r>
    </w:p>
  </w:footnote>
  <w:footnote w:id="35">
    <w:p w14:paraId="4179B33A" w14:textId="77777777" w:rsidR="00467AD7" w:rsidRPr="00401455" w:rsidRDefault="00467AD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Pr="00401455">
        <w:rPr>
          <w:rFonts w:ascii="Arial" w:hAnsi="Arial" w:cs="Arial"/>
          <w:i/>
        </w:rPr>
        <w:t>Allers and Others v Fourie NO and Others</w:t>
      </w:r>
      <w:r w:rsidRPr="00401455">
        <w:rPr>
          <w:rFonts w:ascii="Arial" w:hAnsi="Arial" w:cs="Arial"/>
        </w:rPr>
        <w:t xml:space="preserve"> [2006] ZASCA 152 (SCA) para 24.</w:t>
      </w:r>
    </w:p>
  </w:footnote>
  <w:footnote w:id="36">
    <w:p w14:paraId="74DD974D" w14:textId="77777777" w:rsidR="00467AD7" w:rsidRPr="00401455" w:rsidRDefault="00467AD7" w:rsidP="00401455">
      <w:pPr>
        <w:pStyle w:val="FootnoteText"/>
        <w:tabs>
          <w:tab w:val="left" w:pos="3744"/>
        </w:tabs>
        <w:jc w:val="both"/>
        <w:rPr>
          <w:rFonts w:ascii="Arial" w:hAnsi="Arial" w:cs="Arial"/>
        </w:rPr>
      </w:pPr>
      <w:r w:rsidRPr="00401455">
        <w:rPr>
          <w:rStyle w:val="FootnoteReference"/>
          <w:rFonts w:ascii="Arial" w:hAnsi="Arial" w:cs="Arial"/>
        </w:rPr>
        <w:footnoteRef/>
      </w:r>
      <w:r w:rsidRPr="00401455">
        <w:rPr>
          <w:rFonts w:ascii="Arial" w:hAnsi="Arial" w:cs="Arial"/>
        </w:rPr>
        <w:t xml:space="preserve"> Section 1</w:t>
      </w:r>
      <w:r w:rsidRPr="00401455">
        <w:rPr>
          <w:rFonts w:ascii="Arial" w:hAnsi="Arial" w:cs="Arial"/>
          <w:i/>
        </w:rPr>
        <w:t>(a)</w:t>
      </w:r>
      <w:r w:rsidRPr="00401455">
        <w:rPr>
          <w:rFonts w:ascii="Arial" w:hAnsi="Arial" w:cs="Arial"/>
        </w:rPr>
        <w:t>(i) and (ii) of PAJA.</w:t>
      </w:r>
    </w:p>
  </w:footnote>
  <w:footnote w:id="37">
    <w:p w14:paraId="74026001" w14:textId="77777777" w:rsidR="00467AD7" w:rsidRPr="00401455" w:rsidRDefault="00467AD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Section 1</w:t>
      </w:r>
      <w:r w:rsidRPr="00401455">
        <w:rPr>
          <w:rFonts w:ascii="Arial" w:hAnsi="Arial" w:cs="Arial"/>
          <w:i/>
        </w:rPr>
        <w:t>(b)</w:t>
      </w:r>
      <w:r w:rsidRPr="00401455">
        <w:rPr>
          <w:rFonts w:ascii="Arial" w:hAnsi="Arial" w:cs="Arial"/>
        </w:rPr>
        <w:t xml:space="preserve"> of PAJA.</w:t>
      </w:r>
    </w:p>
  </w:footnote>
  <w:footnote w:id="38">
    <w:p w14:paraId="1A29EA18" w14:textId="77777777" w:rsidR="00467AD7" w:rsidRPr="00401455" w:rsidRDefault="00467AD7" w:rsidP="00401455">
      <w:pPr>
        <w:pStyle w:val="FootnoteText"/>
        <w:jc w:val="both"/>
        <w:rPr>
          <w:rFonts w:ascii="Arial" w:hAnsi="Arial" w:cs="Arial"/>
          <w:lang w:val="en-US"/>
        </w:rPr>
      </w:pPr>
      <w:r w:rsidRPr="00401455">
        <w:rPr>
          <w:rStyle w:val="FootnoteReference"/>
          <w:rFonts w:ascii="Arial" w:hAnsi="Arial" w:cs="Arial"/>
        </w:rPr>
        <w:footnoteRef/>
      </w:r>
      <w:r w:rsidRPr="00401455">
        <w:rPr>
          <w:rFonts w:ascii="Arial" w:hAnsi="Arial" w:cs="Arial"/>
        </w:rPr>
        <w:t xml:space="preserve"> </w:t>
      </w:r>
      <w:r w:rsidRPr="00401455">
        <w:rPr>
          <w:rFonts w:ascii="Arial" w:hAnsi="Arial" w:cs="Arial"/>
          <w:i/>
        </w:rPr>
        <w:t>Ma-Afrika Hotels (Pty) Ltd v Cape Peninsula University of Technology</w:t>
      </w:r>
      <w:r w:rsidRPr="00401455">
        <w:rPr>
          <w:rFonts w:ascii="Arial" w:hAnsi="Arial" w:cs="Arial"/>
        </w:rPr>
        <w:t xml:space="preserve"> [2023] ZAWCHC 4; [2023] 1 All SA 731 (WCC); 2023 (3) 621 (WCC)</w:t>
      </w:r>
      <w:r w:rsidRPr="00401455" w:rsidDel="008018DE">
        <w:rPr>
          <w:rFonts w:ascii="Arial" w:hAnsi="Arial" w:cs="Arial"/>
        </w:rPr>
        <w:t xml:space="preserve"> </w:t>
      </w:r>
      <w:r w:rsidRPr="00401455">
        <w:rPr>
          <w:rFonts w:ascii="Arial" w:hAnsi="Arial" w:cs="Arial"/>
        </w:rPr>
        <w:t>para 11.</w:t>
      </w:r>
    </w:p>
  </w:footnote>
  <w:footnote w:id="39">
    <w:p w14:paraId="55066B91" w14:textId="77777777" w:rsidR="00467AD7" w:rsidRPr="00401455" w:rsidRDefault="00467AD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w:t>
      </w:r>
      <w:r w:rsidRPr="00401455">
        <w:rPr>
          <w:rFonts w:ascii="Arial" w:hAnsi="Arial" w:cs="Arial"/>
          <w:i/>
        </w:rPr>
        <w:t xml:space="preserve">Nedbank Ltd v Mendelow NO and Another </w:t>
      </w:r>
      <w:r w:rsidRPr="00401455">
        <w:rPr>
          <w:rFonts w:ascii="Arial" w:hAnsi="Arial" w:cs="Arial"/>
        </w:rPr>
        <w:t xml:space="preserve">[2013] ZASCA 98; 2013 (6) SA 130 (SCA) paras 25-28; </w:t>
      </w:r>
      <w:r w:rsidRPr="00401455">
        <w:rPr>
          <w:rFonts w:ascii="Arial" w:hAnsi="Arial" w:cs="Arial"/>
          <w:i/>
        </w:rPr>
        <w:t>Gamevest (Pty) Ltd v Regional Land Claims Commissioner</w:t>
      </w:r>
      <w:r w:rsidRPr="00401455">
        <w:rPr>
          <w:rFonts w:ascii="Arial" w:hAnsi="Arial" w:cs="Arial"/>
        </w:rPr>
        <w:t xml:space="preserve"> </w:t>
      </w:r>
      <w:r w:rsidRPr="00401455">
        <w:rPr>
          <w:rFonts w:ascii="Arial" w:hAnsi="Arial" w:cs="Arial"/>
          <w:i/>
        </w:rPr>
        <w:t>for the Northern Province and Mpumalanga and Others</w:t>
      </w:r>
      <w:r w:rsidRPr="00401455">
        <w:rPr>
          <w:rFonts w:ascii="Arial" w:hAnsi="Arial" w:cs="Arial"/>
        </w:rPr>
        <w:t xml:space="preserve"> [2002] ZASCA 117; 2003 (1) SA 373 (SCA) paras 20 and 28.</w:t>
      </w:r>
    </w:p>
  </w:footnote>
  <w:footnote w:id="40">
    <w:p w14:paraId="72597323" w14:textId="77777777" w:rsidR="00467AD7" w:rsidRPr="00401455" w:rsidRDefault="00467AD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C Hoexter and G Penfold </w:t>
      </w:r>
      <w:r w:rsidRPr="00401455">
        <w:rPr>
          <w:rFonts w:ascii="Arial" w:hAnsi="Arial" w:cs="Arial"/>
          <w:i/>
        </w:rPr>
        <w:t>Administrative Law in South Africa</w:t>
      </w:r>
      <w:r w:rsidRPr="00401455">
        <w:rPr>
          <w:rFonts w:ascii="Arial" w:hAnsi="Arial" w:cs="Arial"/>
        </w:rPr>
        <w:t xml:space="preserve"> 3 ed (2021) at 250.</w:t>
      </w:r>
    </w:p>
  </w:footnote>
  <w:footnote w:id="41">
    <w:p w14:paraId="6CA30145" w14:textId="77777777" w:rsidR="00467AD7" w:rsidRPr="00401455" w:rsidRDefault="00467AD7" w:rsidP="00401455">
      <w:pPr>
        <w:pStyle w:val="FootnoteText"/>
        <w:jc w:val="both"/>
        <w:rPr>
          <w:rFonts w:ascii="Arial" w:hAnsi="Arial" w:cs="Arial"/>
        </w:rPr>
      </w:pPr>
      <w:r w:rsidRPr="00401455">
        <w:rPr>
          <w:rStyle w:val="FootnoteReference"/>
          <w:rFonts w:ascii="Arial" w:hAnsi="Arial" w:cs="Arial"/>
        </w:rPr>
        <w:footnoteRef/>
      </w:r>
      <w:r w:rsidRPr="00401455">
        <w:rPr>
          <w:rFonts w:ascii="Arial" w:hAnsi="Arial" w:cs="Arial"/>
        </w:rPr>
        <w:t xml:space="preserve"> Sections 7(9) and 7(13) deal with the prescribed disconnection fee and meter reading period once an agreement has been terminated. </w:t>
      </w:r>
    </w:p>
  </w:footnote>
  <w:footnote w:id="42">
    <w:p w14:paraId="4474A223" w14:textId="77777777" w:rsidR="00C031E0" w:rsidRPr="009041CE" w:rsidRDefault="00C031E0" w:rsidP="00C031E0">
      <w:pPr>
        <w:pStyle w:val="FootnoteText"/>
        <w:jc w:val="both"/>
        <w:rPr>
          <w:rFonts w:ascii="Arial" w:hAnsi="Arial" w:cs="Arial"/>
          <w:lang w:val="en-GB"/>
        </w:rPr>
      </w:pPr>
      <w:r w:rsidRPr="009041CE">
        <w:rPr>
          <w:rStyle w:val="FootnoteReference"/>
          <w:rFonts w:ascii="Arial" w:hAnsi="Arial" w:cs="Arial"/>
        </w:rPr>
        <w:footnoteRef/>
      </w:r>
      <w:r w:rsidRPr="009041CE">
        <w:rPr>
          <w:rFonts w:ascii="Arial" w:hAnsi="Arial" w:cs="Arial"/>
        </w:rPr>
        <w:t xml:space="preserve"> </w:t>
      </w:r>
      <w:r w:rsidRPr="009041CE">
        <w:rPr>
          <w:rFonts w:ascii="Arial" w:hAnsi="Arial" w:cs="Arial"/>
          <w:color w:val="000000"/>
        </w:rPr>
        <w:t xml:space="preserve">Section 239 of the Constitution defines an organ of state to include a local sphere of government; See also </w:t>
      </w:r>
      <w:r w:rsidRPr="009041CE">
        <w:rPr>
          <w:rFonts w:ascii="Arial" w:hAnsi="Arial" w:cs="Arial"/>
          <w:i/>
          <w:lang w:val="en-GB"/>
        </w:rPr>
        <w:t xml:space="preserve">Transnet Ltd v Goodman Brothers (Pty) Ltd </w:t>
      </w:r>
      <w:r w:rsidRPr="009041CE">
        <w:rPr>
          <w:rFonts w:ascii="Arial" w:hAnsi="Arial" w:cs="Arial"/>
          <w:lang w:val="en-GB"/>
        </w:rPr>
        <w:t>2001</w:t>
      </w:r>
      <w:r w:rsidR="006F6FC4">
        <w:rPr>
          <w:rFonts w:ascii="Arial" w:hAnsi="Arial" w:cs="Arial"/>
          <w:lang w:val="en-GB"/>
        </w:rPr>
        <w:t xml:space="preserve"> </w:t>
      </w:r>
      <w:r w:rsidRPr="009041CE">
        <w:rPr>
          <w:rFonts w:ascii="Arial" w:hAnsi="Arial" w:cs="Arial"/>
          <w:lang w:val="en-GB"/>
        </w:rPr>
        <w:t>(1) SA 853 (SCA)</w:t>
      </w:r>
      <w:r w:rsidR="006F6FC4">
        <w:rPr>
          <w:rFonts w:ascii="Arial" w:hAnsi="Arial" w:cs="Arial"/>
          <w:lang w:val="en-GB"/>
        </w:rPr>
        <w:t>,</w:t>
      </w:r>
      <w:r w:rsidRPr="009041CE">
        <w:rPr>
          <w:rFonts w:ascii="Arial" w:hAnsi="Arial" w:cs="Arial"/>
          <w:lang w:val="en-GB"/>
        </w:rPr>
        <w:t xml:space="preserve"> where the Court</w:t>
      </w:r>
      <w:r w:rsidRPr="009041CE">
        <w:rPr>
          <w:rFonts w:ascii="Arial" w:hAnsi="Arial" w:cs="Arial"/>
          <w:i/>
          <w:lang w:val="en-GB"/>
        </w:rPr>
        <w:t xml:space="preserve"> </w:t>
      </w:r>
      <w:r w:rsidRPr="009041CE">
        <w:rPr>
          <w:rFonts w:ascii="Arial" w:hAnsi="Arial" w:cs="Arial"/>
          <w:lang w:val="en-GB"/>
        </w:rPr>
        <w:t xml:space="preserve">dealt with contractual dealings which derive from the exercise of public power by an organ of state. </w:t>
      </w:r>
    </w:p>
  </w:footnote>
  <w:footnote w:id="43">
    <w:p w14:paraId="497CEC1C" w14:textId="77777777" w:rsidR="00C031E0" w:rsidRPr="002F00E7" w:rsidRDefault="00C031E0" w:rsidP="00C031E0">
      <w:pPr>
        <w:pStyle w:val="FootnoteText"/>
        <w:jc w:val="both"/>
        <w:rPr>
          <w:rFonts w:ascii="Times New Roman" w:hAnsi="Times New Roman" w:cs="Times New Roman"/>
          <w:lang w:val="en-GB"/>
        </w:rPr>
      </w:pPr>
      <w:r w:rsidRPr="009041CE">
        <w:rPr>
          <w:rStyle w:val="FootnoteReference"/>
          <w:rFonts w:ascii="Arial" w:hAnsi="Arial" w:cs="Arial"/>
        </w:rPr>
        <w:footnoteRef/>
      </w:r>
      <w:r w:rsidRPr="009041CE">
        <w:rPr>
          <w:rFonts w:ascii="Arial" w:hAnsi="Arial" w:cs="Arial"/>
        </w:rPr>
        <w:t xml:space="preserve"> Section 78 of the Municipal Systems Act 32 of 2000 permits a municipality to decide on mechanisms to deliver municipal services including contracting with private parties.</w:t>
      </w:r>
      <w:r>
        <w:rPr>
          <w:rFonts w:ascii="Times New Roman" w:hAnsi="Times New Roman" w:cs="Times New Roman"/>
        </w:rPr>
        <w:t xml:space="preserve"> </w:t>
      </w:r>
      <w:r w:rsidRPr="002F00E7">
        <w:rPr>
          <w:rFonts w:ascii="Times New Roman" w:hAnsi="Times New Roman" w:cs="Times New Roman"/>
        </w:rPr>
        <w:t xml:space="preserve"> </w:t>
      </w:r>
    </w:p>
  </w:footnote>
  <w:footnote w:id="44">
    <w:p w14:paraId="587ACE61" w14:textId="77777777" w:rsidR="00C031E0" w:rsidRPr="009041CE" w:rsidRDefault="00C031E0" w:rsidP="009041CE">
      <w:pPr>
        <w:pStyle w:val="FootnoteText"/>
        <w:jc w:val="both"/>
        <w:rPr>
          <w:rFonts w:ascii="Arial" w:hAnsi="Arial" w:cs="Arial"/>
          <w:lang w:val="en-US"/>
        </w:rPr>
      </w:pPr>
      <w:r w:rsidRPr="009041CE">
        <w:rPr>
          <w:rStyle w:val="FootnoteReference"/>
          <w:rFonts w:ascii="Arial" w:hAnsi="Arial" w:cs="Arial"/>
        </w:rPr>
        <w:footnoteRef/>
      </w:r>
      <w:r w:rsidRPr="009041CE">
        <w:rPr>
          <w:rFonts w:ascii="Arial" w:hAnsi="Arial" w:cs="Arial"/>
        </w:rPr>
        <w:t xml:space="preserve"> </w:t>
      </w:r>
      <w:r w:rsidRPr="009041CE">
        <w:rPr>
          <w:rFonts w:ascii="Arial" w:hAnsi="Arial" w:cs="Arial"/>
          <w:i/>
        </w:rPr>
        <w:t>Rosebank Mall (Pty)</w:t>
      </w:r>
      <w:r w:rsidR="00A70678">
        <w:rPr>
          <w:rFonts w:ascii="Arial" w:hAnsi="Arial" w:cs="Arial"/>
          <w:i/>
        </w:rPr>
        <w:t xml:space="preserve"> and Another</w:t>
      </w:r>
      <w:r w:rsidRPr="009041CE">
        <w:rPr>
          <w:rFonts w:ascii="Arial" w:hAnsi="Arial" w:cs="Arial"/>
          <w:i/>
        </w:rPr>
        <w:t xml:space="preserve"> v Cradock Heights (Pty) Ltd </w:t>
      </w:r>
      <w:r w:rsidR="00A70678" w:rsidRPr="009041CE">
        <w:rPr>
          <w:rFonts w:ascii="Arial" w:hAnsi="Arial" w:cs="Arial"/>
        </w:rPr>
        <w:t>[2003] 4 All SA 471 (W)</w:t>
      </w:r>
      <w:r w:rsidR="00A70678">
        <w:rPr>
          <w:rFonts w:ascii="Arial" w:hAnsi="Arial" w:cs="Arial"/>
        </w:rPr>
        <w:t>;</w:t>
      </w:r>
      <w:r w:rsidR="00A70678" w:rsidRPr="00A70678">
        <w:rPr>
          <w:rFonts w:ascii="Arial" w:hAnsi="Arial" w:cs="Arial"/>
          <w:i/>
        </w:rPr>
        <w:t xml:space="preserve"> </w:t>
      </w:r>
      <w:r w:rsidRPr="009041CE">
        <w:rPr>
          <w:rFonts w:ascii="Arial" w:hAnsi="Arial" w:cs="Arial"/>
        </w:rPr>
        <w:t>2004 (2) SA 353 (W) para 37.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CB20" w14:textId="59CE745B" w:rsidR="00D410D5" w:rsidRPr="006A3574" w:rsidRDefault="00D410D5">
    <w:pPr>
      <w:pStyle w:val="Normal1"/>
      <w:pBdr>
        <w:top w:val="nil"/>
        <w:left w:val="nil"/>
        <w:bottom w:val="nil"/>
        <w:right w:val="nil"/>
        <w:between w:val="nil"/>
      </w:pBdr>
      <w:tabs>
        <w:tab w:val="center" w:pos="4513"/>
        <w:tab w:val="right" w:pos="9026"/>
      </w:tabs>
      <w:spacing w:after="0" w:line="240" w:lineRule="auto"/>
      <w:jc w:val="right"/>
      <w:rPr>
        <w:rFonts w:ascii="Arial" w:eastAsia="Arial" w:hAnsi="Arial" w:cs="Arial"/>
        <w:sz w:val="24"/>
        <w:szCs w:val="24"/>
      </w:rPr>
    </w:pPr>
    <w:r w:rsidRPr="006A3574">
      <w:rPr>
        <w:rFonts w:ascii="Arial" w:eastAsia="Arial" w:hAnsi="Arial" w:cs="Arial"/>
        <w:sz w:val="24"/>
        <w:szCs w:val="24"/>
      </w:rPr>
      <w:fldChar w:fldCharType="begin"/>
    </w:r>
    <w:r w:rsidRPr="006A3574">
      <w:rPr>
        <w:rFonts w:ascii="Arial" w:eastAsia="Arial" w:hAnsi="Arial" w:cs="Arial"/>
        <w:sz w:val="24"/>
        <w:szCs w:val="24"/>
      </w:rPr>
      <w:instrText>PAGE</w:instrText>
    </w:r>
    <w:r w:rsidRPr="006A3574">
      <w:rPr>
        <w:rFonts w:ascii="Arial" w:eastAsia="Arial" w:hAnsi="Arial" w:cs="Arial"/>
        <w:sz w:val="24"/>
        <w:szCs w:val="24"/>
      </w:rPr>
      <w:fldChar w:fldCharType="separate"/>
    </w:r>
    <w:r w:rsidR="004447B3">
      <w:rPr>
        <w:rFonts w:ascii="Arial" w:eastAsia="Arial" w:hAnsi="Arial" w:cs="Arial"/>
        <w:noProof/>
        <w:sz w:val="24"/>
        <w:szCs w:val="24"/>
      </w:rPr>
      <w:t>22</w:t>
    </w:r>
    <w:r w:rsidRPr="006A3574">
      <w:rPr>
        <w:rFonts w:ascii="Arial" w:eastAsia="Arial" w:hAnsi="Arial" w:cs="Arial"/>
        <w:sz w:val="24"/>
        <w:szCs w:val="24"/>
      </w:rPr>
      <w:fldChar w:fldCharType="end"/>
    </w:r>
  </w:p>
  <w:p w14:paraId="63D05241" w14:textId="77777777" w:rsidR="00D410D5" w:rsidRPr="006A3574" w:rsidRDefault="00D410D5">
    <w:pPr>
      <w:pStyle w:val="Normal1"/>
      <w:pBdr>
        <w:top w:val="nil"/>
        <w:left w:val="nil"/>
        <w:bottom w:val="nil"/>
        <w:right w:val="nil"/>
        <w:between w:val="nil"/>
      </w:pBdr>
      <w:tabs>
        <w:tab w:val="center" w:pos="4513"/>
        <w:tab w:val="right" w:pos="9026"/>
      </w:tabs>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2D9"/>
    <w:multiLevelType w:val="multilevel"/>
    <w:tmpl w:val="D48C95F0"/>
    <w:lvl w:ilvl="0">
      <w:start w:val="1"/>
      <w:numFmt w:val="lowerRoman"/>
      <w:lvlText w:val="(%1)"/>
      <w:lvlJc w:val="left"/>
      <w:pPr>
        <w:ind w:left="980" w:hanging="720"/>
      </w:p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1" w15:restartNumberingAfterBreak="0">
    <w:nsid w:val="00CC33A3"/>
    <w:multiLevelType w:val="multilevel"/>
    <w:tmpl w:val="0804C67E"/>
    <w:lvl w:ilvl="0">
      <w:start w:val="43"/>
      <w:numFmt w:val="decimal"/>
      <w:lvlText w:val="[%1]"/>
      <w:lvlJc w:val="left"/>
      <w:pPr>
        <w:ind w:left="360" w:hanging="360"/>
      </w:pPr>
      <w:rPr>
        <w:rFonts w:ascii="Arial" w:hAnsi="Arial" w:cs="Arial"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19496E"/>
    <w:multiLevelType w:val="multilevel"/>
    <w:tmpl w:val="53D46298"/>
    <w:lvl w:ilvl="0">
      <w:start w:val="7"/>
      <w:numFmt w:val="decimal"/>
      <w:lvlText w:val="[%1]"/>
      <w:lvlJc w:val="left"/>
      <w:pPr>
        <w:ind w:left="1080" w:hanging="360"/>
      </w:pPr>
      <w:rPr>
        <w:rFonts w:hint="default"/>
        <w:i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8AD7887"/>
    <w:multiLevelType w:val="hybridMultilevel"/>
    <w:tmpl w:val="4C0CFE2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B50B9E"/>
    <w:multiLevelType w:val="hybridMultilevel"/>
    <w:tmpl w:val="99CCAF1C"/>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AD64C9"/>
    <w:multiLevelType w:val="hybridMultilevel"/>
    <w:tmpl w:val="C0B6790A"/>
    <w:lvl w:ilvl="0" w:tplc="644046D4">
      <w:start w:val="1"/>
      <w:numFmt w:val="decimal"/>
      <w:lvlText w:val="%1"/>
      <w:lvlJc w:val="left"/>
      <w:pPr>
        <w:ind w:left="6480" w:hanging="360"/>
      </w:pPr>
      <w:rPr>
        <w:rFonts w:hint="default"/>
      </w:rPr>
    </w:lvl>
    <w:lvl w:ilvl="1" w:tplc="1C090019" w:tentative="1">
      <w:start w:val="1"/>
      <w:numFmt w:val="lowerLetter"/>
      <w:lvlText w:val="%2."/>
      <w:lvlJc w:val="left"/>
      <w:pPr>
        <w:ind w:left="7200" w:hanging="360"/>
      </w:pPr>
    </w:lvl>
    <w:lvl w:ilvl="2" w:tplc="1C09001B" w:tentative="1">
      <w:start w:val="1"/>
      <w:numFmt w:val="lowerRoman"/>
      <w:lvlText w:val="%3."/>
      <w:lvlJc w:val="right"/>
      <w:pPr>
        <w:ind w:left="7920" w:hanging="180"/>
      </w:pPr>
    </w:lvl>
    <w:lvl w:ilvl="3" w:tplc="1C09000F" w:tentative="1">
      <w:start w:val="1"/>
      <w:numFmt w:val="decimal"/>
      <w:lvlText w:val="%4."/>
      <w:lvlJc w:val="left"/>
      <w:pPr>
        <w:ind w:left="8640" w:hanging="360"/>
      </w:pPr>
    </w:lvl>
    <w:lvl w:ilvl="4" w:tplc="1C090019" w:tentative="1">
      <w:start w:val="1"/>
      <w:numFmt w:val="lowerLetter"/>
      <w:lvlText w:val="%5."/>
      <w:lvlJc w:val="left"/>
      <w:pPr>
        <w:ind w:left="9360" w:hanging="360"/>
      </w:pPr>
    </w:lvl>
    <w:lvl w:ilvl="5" w:tplc="1C09001B" w:tentative="1">
      <w:start w:val="1"/>
      <w:numFmt w:val="lowerRoman"/>
      <w:lvlText w:val="%6."/>
      <w:lvlJc w:val="right"/>
      <w:pPr>
        <w:ind w:left="10080" w:hanging="180"/>
      </w:pPr>
    </w:lvl>
    <w:lvl w:ilvl="6" w:tplc="1C09000F" w:tentative="1">
      <w:start w:val="1"/>
      <w:numFmt w:val="decimal"/>
      <w:lvlText w:val="%7."/>
      <w:lvlJc w:val="left"/>
      <w:pPr>
        <w:ind w:left="10800" w:hanging="360"/>
      </w:pPr>
    </w:lvl>
    <w:lvl w:ilvl="7" w:tplc="1C090019" w:tentative="1">
      <w:start w:val="1"/>
      <w:numFmt w:val="lowerLetter"/>
      <w:lvlText w:val="%8."/>
      <w:lvlJc w:val="left"/>
      <w:pPr>
        <w:ind w:left="11520" w:hanging="360"/>
      </w:pPr>
    </w:lvl>
    <w:lvl w:ilvl="8" w:tplc="1C09001B" w:tentative="1">
      <w:start w:val="1"/>
      <w:numFmt w:val="lowerRoman"/>
      <w:lvlText w:val="%9."/>
      <w:lvlJc w:val="right"/>
      <w:pPr>
        <w:ind w:left="12240" w:hanging="180"/>
      </w:pPr>
    </w:lvl>
  </w:abstractNum>
  <w:abstractNum w:abstractNumId="6" w15:restartNumberingAfterBreak="0">
    <w:nsid w:val="14C626AD"/>
    <w:multiLevelType w:val="multilevel"/>
    <w:tmpl w:val="94FC35C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557B29"/>
    <w:multiLevelType w:val="multilevel"/>
    <w:tmpl w:val="66F8C244"/>
    <w:lvl w:ilvl="0">
      <w:start w:val="10"/>
      <w:numFmt w:val="decimal"/>
      <w:lvlText w:val="[%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AA847C5"/>
    <w:multiLevelType w:val="hybridMultilevel"/>
    <w:tmpl w:val="8E34E30A"/>
    <w:lvl w:ilvl="0" w:tplc="2A42A84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1EE030A4"/>
    <w:multiLevelType w:val="multilevel"/>
    <w:tmpl w:val="94FC35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500457"/>
    <w:multiLevelType w:val="hybridMultilevel"/>
    <w:tmpl w:val="4CF236BC"/>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BB4FF3"/>
    <w:multiLevelType w:val="hybridMultilevel"/>
    <w:tmpl w:val="B29EFDF4"/>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A56B13"/>
    <w:multiLevelType w:val="hybridMultilevel"/>
    <w:tmpl w:val="C0B6790A"/>
    <w:lvl w:ilvl="0" w:tplc="644046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4C7708C"/>
    <w:multiLevelType w:val="hybridMultilevel"/>
    <w:tmpl w:val="6394817C"/>
    <w:lvl w:ilvl="0" w:tplc="EEEEB0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4E73B9C"/>
    <w:multiLevelType w:val="hybridMultilevel"/>
    <w:tmpl w:val="FFFFFFFF"/>
    <w:lvl w:ilvl="0" w:tplc="1250CD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15:restartNumberingAfterBreak="0">
    <w:nsid w:val="374E6C3A"/>
    <w:multiLevelType w:val="hybridMultilevel"/>
    <w:tmpl w:val="7302A75C"/>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8D6DF2"/>
    <w:multiLevelType w:val="hybridMultilevel"/>
    <w:tmpl w:val="FC8400E4"/>
    <w:lvl w:ilvl="0" w:tplc="61928C72">
      <w:start w:val="1"/>
      <w:numFmt w:val="decimal"/>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B770CA1"/>
    <w:multiLevelType w:val="hybridMultilevel"/>
    <w:tmpl w:val="C0B6790A"/>
    <w:lvl w:ilvl="0" w:tplc="644046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C9E45C9"/>
    <w:multiLevelType w:val="hybridMultilevel"/>
    <w:tmpl w:val="96328954"/>
    <w:lvl w:ilvl="0" w:tplc="15A82E82">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2EA41EC"/>
    <w:multiLevelType w:val="hybridMultilevel"/>
    <w:tmpl w:val="FDF2E634"/>
    <w:lvl w:ilvl="0" w:tplc="25C8D8D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33E5BD1"/>
    <w:multiLevelType w:val="multilevel"/>
    <w:tmpl w:val="94FC35C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8F6652"/>
    <w:multiLevelType w:val="hybridMultilevel"/>
    <w:tmpl w:val="F448FC06"/>
    <w:lvl w:ilvl="0" w:tplc="14B0287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577160EC"/>
    <w:multiLevelType w:val="hybridMultilevel"/>
    <w:tmpl w:val="F24841B2"/>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7FE73C8"/>
    <w:multiLevelType w:val="hybridMultilevel"/>
    <w:tmpl w:val="1C569336"/>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83D69B7"/>
    <w:multiLevelType w:val="hybridMultilevel"/>
    <w:tmpl w:val="D5A0D99C"/>
    <w:lvl w:ilvl="0" w:tplc="8B5E001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E3559A6"/>
    <w:multiLevelType w:val="hybridMultilevel"/>
    <w:tmpl w:val="E01C268E"/>
    <w:lvl w:ilvl="0" w:tplc="62E45D18">
      <w:start w:val="1"/>
      <w:numFmt w:val="decimal"/>
      <w:lvlText w:val="[%1]"/>
      <w:lvlJc w:val="left"/>
      <w:pPr>
        <w:ind w:left="720" w:hanging="360"/>
      </w:pPr>
      <w:rPr>
        <w:rFonts w:ascii="Times New Roman" w:hAnsi="Times New Roman" w:hint="default"/>
        <w:b w:val="0"/>
        <w:bCs w:val="0"/>
        <w:i w:val="0"/>
        <w:iCs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00C7EFA"/>
    <w:multiLevelType w:val="hybridMultilevel"/>
    <w:tmpl w:val="22A46FF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2201EE3"/>
    <w:multiLevelType w:val="hybridMultilevel"/>
    <w:tmpl w:val="E8B619CA"/>
    <w:lvl w:ilvl="0" w:tplc="68E47E32">
      <w:start w:val="2"/>
      <w:numFmt w:val="lowerLetter"/>
      <w:lvlText w:val="(%1)"/>
      <w:lvlJc w:val="left"/>
      <w:pPr>
        <w:ind w:left="840" w:hanging="36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28" w15:restartNumberingAfterBreak="0">
    <w:nsid w:val="62825374"/>
    <w:multiLevelType w:val="hybridMultilevel"/>
    <w:tmpl w:val="449CAB2C"/>
    <w:lvl w:ilvl="0" w:tplc="2806BD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2CC6F28"/>
    <w:multiLevelType w:val="multilevel"/>
    <w:tmpl w:val="BB1CCE4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7C1EBE"/>
    <w:multiLevelType w:val="hybridMultilevel"/>
    <w:tmpl w:val="27E6072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6DC5FEC"/>
    <w:multiLevelType w:val="hybridMultilevel"/>
    <w:tmpl w:val="6800225A"/>
    <w:lvl w:ilvl="0" w:tplc="1A92AAA0">
      <w:start w:val="2"/>
      <w:numFmt w:val="decimal"/>
      <w:lvlText w:val="%1"/>
      <w:lvlJc w:val="left"/>
      <w:pPr>
        <w:ind w:left="654" w:hanging="360"/>
      </w:pPr>
      <w:rPr>
        <w:rFonts w:hint="default"/>
      </w:rPr>
    </w:lvl>
    <w:lvl w:ilvl="1" w:tplc="1C090019" w:tentative="1">
      <w:start w:val="1"/>
      <w:numFmt w:val="lowerLetter"/>
      <w:lvlText w:val="%2."/>
      <w:lvlJc w:val="left"/>
      <w:pPr>
        <w:ind w:left="1374" w:hanging="360"/>
      </w:pPr>
    </w:lvl>
    <w:lvl w:ilvl="2" w:tplc="1C09001B" w:tentative="1">
      <w:start w:val="1"/>
      <w:numFmt w:val="lowerRoman"/>
      <w:lvlText w:val="%3."/>
      <w:lvlJc w:val="right"/>
      <w:pPr>
        <w:ind w:left="2094" w:hanging="180"/>
      </w:pPr>
    </w:lvl>
    <w:lvl w:ilvl="3" w:tplc="1C09000F" w:tentative="1">
      <w:start w:val="1"/>
      <w:numFmt w:val="decimal"/>
      <w:lvlText w:val="%4."/>
      <w:lvlJc w:val="left"/>
      <w:pPr>
        <w:ind w:left="2814" w:hanging="360"/>
      </w:pPr>
    </w:lvl>
    <w:lvl w:ilvl="4" w:tplc="1C090019" w:tentative="1">
      <w:start w:val="1"/>
      <w:numFmt w:val="lowerLetter"/>
      <w:lvlText w:val="%5."/>
      <w:lvlJc w:val="left"/>
      <w:pPr>
        <w:ind w:left="3534" w:hanging="360"/>
      </w:pPr>
    </w:lvl>
    <w:lvl w:ilvl="5" w:tplc="1C09001B" w:tentative="1">
      <w:start w:val="1"/>
      <w:numFmt w:val="lowerRoman"/>
      <w:lvlText w:val="%6."/>
      <w:lvlJc w:val="right"/>
      <w:pPr>
        <w:ind w:left="4254" w:hanging="180"/>
      </w:pPr>
    </w:lvl>
    <w:lvl w:ilvl="6" w:tplc="1C09000F" w:tentative="1">
      <w:start w:val="1"/>
      <w:numFmt w:val="decimal"/>
      <w:lvlText w:val="%7."/>
      <w:lvlJc w:val="left"/>
      <w:pPr>
        <w:ind w:left="4974" w:hanging="360"/>
      </w:pPr>
    </w:lvl>
    <w:lvl w:ilvl="7" w:tplc="1C090019" w:tentative="1">
      <w:start w:val="1"/>
      <w:numFmt w:val="lowerLetter"/>
      <w:lvlText w:val="%8."/>
      <w:lvlJc w:val="left"/>
      <w:pPr>
        <w:ind w:left="5694" w:hanging="360"/>
      </w:pPr>
    </w:lvl>
    <w:lvl w:ilvl="8" w:tplc="1C09001B" w:tentative="1">
      <w:start w:val="1"/>
      <w:numFmt w:val="lowerRoman"/>
      <w:lvlText w:val="%9."/>
      <w:lvlJc w:val="right"/>
      <w:pPr>
        <w:ind w:left="6414" w:hanging="180"/>
      </w:pPr>
    </w:lvl>
  </w:abstractNum>
  <w:abstractNum w:abstractNumId="32" w15:restartNumberingAfterBreak="0">
    <w:nsid w:val="69675F8B"/>
    <w:multiLevelType w:val="hybridMultilevel"/>
    <w:tmpl w:val="3EA00E68"/>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BA61ABD"/>
    <w:multiLevelType w:val="hybridMultilevel"/>
    <w:tmpl w:val="53F423DE"/>
    <w:lvl w:ilvl="0" w:tplc="01C0A3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4717103"/>
    <w:multiLevelType w:val="multilevel"/>
    <w:tmpl w:val="840AF0D0"/>
    <w:lvl w:ilvl="0">
      <w:start w:val="1"/>
      <w:numFmt w:val="decimal"/>
      <w:lvlText w:val="[%1]"/>
      <w:lvlJc w:val="left"/>
      <w:pPr>
        <w:ind w:left="360" w:hanging="360"/>
      </w:pPr>
      <w:rPr>
        <w:rFonts w:ascii="Arial" w:hAnsi="Arial" w:cs="Arial"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C8130B"/>
    <w:multiLevelType w:val="multilevel"/>
    <w:tmpl w:val="94FC35C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A278F7"/>
    <w:multiLevelType w:val="multilevel"/>
    <w:tmpl w:val="61A0CF22"/>
    <w:lvl w:ilvl="0">
      <w:start w:val="1"/>
      <w:numFmt w:val="decimal"/>
      <w:lvlText w:val="[%1]"/>
      <w:lvlJc w:val="left"/>
      <w:pPr>
        <w:ind w:left="720" w:hanging="360"/>
      </w:pPr>
      <w:rPr>
        <w:rFonts w:ascii="Arial" w:hAnsi="Arial" w:cs="Arial"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0"/>
  </w:num>
  <w:num w:numId="3">
    <w:abstractNumId w:val="18"/>
  </w:num>
  <w:num w:numId="4">
    <w:abstractNumId w:val="33"/>
  </w:num>
  <w:num w:numId="5">
    <w:abstractNumId w:val="8"/>
  </w:num>
  <w:num w:numId="6">
    <w:abstractNumId w:val="9"/>
  </w:num>
  <w:num w:numId="7">
    <w:abstractNumId w:val="27"/>
  </w:num>
  <w:num w:numId="8">
    <w:abstractNumId w:val="24"/>
  </w:num>
  <w:num w:numId="9">
    <w:abstractNumId w:val="20"/>
  </w:num>
  <w:num w:numId="10">
    <w:abstractNumId w:val="6"/>
  </w:num>
  <w:num w:numId="11">
    <w:abstractNumId w:val="35"/>
  </w:num>
  <w:num w:numId="12">
    <w:abstractNumId w:val="28"/>
  </w:num>
  <w:num w:numId="13">
    <w:abstractNumId w:val="7"/>
  </w:num>
  <w:num w:numId="14">
    <w:abstractNumId w:val="2"/>
  </w:num>
  <w:num w:numId="15">
    <w:abstractNumId w:val="31"/>
  </w:num>
  <w:num w:numId="16">
    <w:abstractNumId w:val="17"/>
  </w:num>
  <w:num w:numId="17">
    <w:abstractNumId w:val="12"/>
  </w:num>
  <w:num w:numId="18">
    <w:abstractNumId w:val="5"/>
  </w:num>
  <w:num w:numId="19">
    <w:abstractNumId w:val="14"/>
  </w:num>
  <w:num w:numId="20">
    <w:abstractNumId w:val="21"/>
  </w:num>
  <w:num w:numId="21">
    <w:abstractNumId w:val="25"/>
  </w:num>
  <w:num w:numId="22">
    <w:abstractNumId w:val="32"/>
  </w:num>
  <w:num w:numId="23">
    <w:abstractNumId w:val="15"/>
  </w:num>
  <w:num w:numId="24">
    <w:abstractNumId w:val="3"/>
  </w:num>
  <w:num w:numId="25">
    <w:abstractNumId w:val="22"/>
  </w:num>
  <w:num w:numId="26">
    <w:abstractNumId w:val="23"/>
  </w:num>
  <w:num w:numId="27">
    <w:abstractNumId w:val="30"/>
  </w:num>
  <w:num w:numId="28">
    <w:abstractNumId w:val="26"/>
  </w:num>
  <w:num w:numId="29">
    <w:abstractNumId w:val="29"/>
  </w:num>
  <w:num w:numId="30">
    <w:abstractNumId w:val="10"/>
  </w:num>
  <w:num w:numId="31">
    <w:abstractNumId w:val="13"/>
  </w:num>
  <w:num w:numId="32">
    <w:abstractNumId w:val="19"/>
  </w:num>
  <w:num w:numId="33">
    <w:abstractNumId w:val="16"/>
  </w:num>
  <w:num w:numId="34">
    <w:abstractNumId w:val="36"/>
  </w:num>
  <w:num w:numId="35">
    <w:abstractNumId w:val="1"/>
  </w:num>
  <w:num w:numId="36">
    <w:abstractNumId w:val="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AA"/>
    <w:rsid w:val="00004589"/>
    <w:rsid w:val="00010275"/>
    <w:rsid w:val="000119D6"/>
    <w:rsid w:val="00012A54"/>
    <w:rsid w:val="0001459E"/>
    <w:rsid w:val="00015A9D"/>
    <w:rsid w:val="000162FA"/>
    <w:rsid w:val="000167C0"/>
    <w:rsid w:val="000225CA"/>
    <w:rsid w:val="000231B6"/>
    <w:rsid w:val="000238AE"/>
    <w:rsid w:val="00027439"/>
    <w:rsid w:val="00027B47"/>
    <w:rsid w:val="00033889"/>
    <w:rsid w:val="00034BB2"/>
    <w:rsid w:val="00034BD0"/>
    <w:rsid w:val="00041518"/>
    <w:rsid w:val="00042067"/>
    <w:rsid w:val="000423CE"/>
    <w:rsid w:val="00050BFC"/>
    <w:rsid w:val="00050DF0"/>
    <w:rsid w:val="00055D8D"/>
    <w:rsid w:val="00062E12"/>
    <w:rsid w:val="00064BAC"/>
    <w:rsid w:val="00065D4B"/>
    <w:rsid w:val="00071078"/>
    <w:rsid w:val="00071E54"/>
    <w:rsid w:val="0009455F"/>
    <w:rsid w:val="00094662"/>
    <w:rsid w:val="00094EDC"/>
    <w:rsid w:val="000A164C"/>
    <w:rsid w:val="000A67EB"/>
    <w:rsid w:val="000B3FF3"/>
    <w:rsid w:val="000C1780"/>
    <w:rsid w:val="000C3463"/>
    <w:rsid w:val="000C40C4"/>
    <w:rsid w:val="000D1E64"/>
    <w:rsid w:val="000D4DBD"/>
    <w:rsid w:val="000E1F80"/>
    <w:rsid w:val="000E5FC7"/>
    <w:rsid w:val="000E738F"/>
    <w:rsid w:val="000E79B1"/>
    <w:rsid w:val="000F3921"/>
    <w:rsid w:val="000F469B"/>
    <w:rsid w:val="000F57C9"/>
    <w:rsid w:val="00103206"/>
    <w:rsid w:val="0010536A"/>
    <w:rsid w:val="00107051"/>
    <w:rsid w:val="00112C7F"/>
    <w:rsid w:val="001138F1"/>
    <w:rsid w:val="00113D42"/>
    <w:rsid w:val="001148AF"/>
    <w:rsid w:val="00115EC8"/>
    <w:rsid w:val="00117CC2"/>
    <w:rsid w:val="00125B5F"/>
    <w:rsid w:val="00126864"/>
    <w:rsid w:val="001279DB"/>
    <w:rsid w:val="001379DB"/>
    <w:rsid w:val="00137C42"/>
    <w:rsid w:val="001402CB"/>
    <w:rsid w:val="001416F4"/>
    <w:rsid w:val="00142C28"/>
    <w:rsid w:val="0015176F"/>
    <w:rsid w:val="0016053D"/>
    <w:rsid w:val="0016058B"/>
    <w:rsid w:val="00165032"/>
    <w:rsid w:val="00171AC7"/>
    <w:rsid w:val="00172A3B"/>
    <w:rsid w:val="001737B4"/>
    <w:rsid w:val="00174630"/>
    <w:rsid w:val="00180576"/>
    <w:rsid w:val="00185714"/>
    <w:rsid w:val="0019289F"/>
    <w:rsid w:val="001934D8"/>
    <w:rsid w:val="00194B24"/>
    <w:rsid w:val="001969AF"/>
    <w:rsid w:val="001A06FD"/>
    <w:rsid w:val="001A5774"/>
    <w:rsid w:val="001A5B14"/>
    <w:rsid w:val="001B3204"/>
    <w:rsid w:val="001C34A1"/>
    <w:rsid w:val="001C4FF4"/>
    <w:rsid w:val="001C579A"/>
    <w:rsid w:val="001C61B0"/>
    <w:rsid w:val="001C7A05"/>
    <w:rsid w:val="001D20AC"/>
    <w:rsid w:val="001D28B4"/>
    <w:rsid w:val="001D2ADA"/>
    <w:rsid w:val="001D4B70"/>
    <w:rsid w:val="001D4CFB"/>
    <w:rsid w:val="001D6367"/>
    <w:rsid w:val="001E5226"/>
    <w:rsid w:val="001F35B2"/>
    <w:rsid w:val="001F49C3"/>
    <w:rsid w:val="001F66F9"/>
    <w:rsid w:val="001F7036"/>
    <w:rsid w:val="001F7969"/>
    <w:rsid w:val="0020362E"/>
    <w:rsid w:val="0020744E"/>
    <w:rsid w:val="00213FC4"/>
    <w:rsid w:val="0021422F"/>
    <w:rsid w:val="00215681"/>
    <w:rsid w:val="00221552"/>
    <w:rsid w:val="00221AD4"/>
    <w:rsid w:val="00225F1C"/>
    <w:rsid w:val="00226E6E"/>
    <w:rsid w:val="002270B9"/>
    <w:rsid w:val="00227B65"/>
    <w:rsid w:val="00231969"/>
    <w:rsid w:val="00232238"/>
    <w:rsid w:val="0024063E"/>
    <w:rsid w:val="002453D6"/>
    <w:rsid w:val="002470A4"/>
    <w:rsid w:val="00254378"/>
    <w:rsid w:val="00256732"/>
    <w:rsid w:val="0026026A"/>
    <w:rsid w:val="00261740"/>
    <w:rsid w:val="002661BD"/>
    <w:rsid w:val="002667D8"/>
    <w:rsid w:val="00273CA7"/>
    <w:rsid w:val="00274440"/>
    <w:rsid w:val="00276370"/>
    <w:rsid w:val="00277D73"/>
    <w:rsid w:val="00280E70"/>
    <w:rsid w:val="002941CC"/>
    <w:rsid w:val="0029505F"/>
    <w:rsid w:val="002A1868"/>
    <w:rsid w:val="002A28F6"/>
    <w:rsid w:val="002A407C"/>
    <w:rsid w:val="002A5530"/>
    <w:rsid w:val="002A7AE9"/>
    <w:rsid w:val="002B17CF"/>
    <w:rsid w:val="002B2791"/>
    <w:rsid w:val="002B3E72"/>
    <w:rsid w:val="002C11CA"/>
    <w:rsid w:val="002C3363"/>
    <w:rsid w:val="002C42A3"/>
    <w:rsid w:val="002D35F1"/>
    <w:rsid w:val="002D6AAC"/>
    <w:rsid w:val="002D6DC5"/>
    <w:rsid w:val="002E102C"/>
    <w:rsid w:val="002E3C71"/>
    <w:rsid w:val="002E6CB5"/>
    <w:rsid w:val="002E7268"/>
    <w:rsid w:val="002F05C5"/>
    <w:rsid w:val="002F0DF2"/>
    <w:rsid w:val="002F248D"/>
    <w:rsid w:val="002F3328"/>
    <w:rsid w:val="0030214F"/>
    <w:rsid w:val="00303013"/>
    <w:rsid w:val="003066D1"/>
    <w:rsid w:val="00312669"/>
    <w:rsid w:val="00313CE8"/>
    <w:rsid w:val="00315CC4"/>
    <w:rsid w:val="00321ECB"/>
    <w:rsid w:val="003220A5"/>
    <w:rsid w:val="003325AE"/>
    <w:rsid w:val="00334B97"/>
    <w:rsid w:val="00337337"/>
    <w:rsid w:val="00342D5B"/>
    <w:rsid w:val="003448E3"/>
    <w:rsid w:val="00344B7C"/>
    <w:rsid w:val="00345948"/>
    <w:rsid w:val="00345A07"/>
    <w:rsid w:val="00347317"/>
    <w:rsid w:val="003474AB"/>
    <w:rsid w:val="00347C00"/>
    <w:rsid w:val="003510B2"/>
    <w:rsid w:val="00354DFD"/>
    <w:rsid w:val="00354FE4"/>
    <w:rsid w:val="003751A4"/>
    <w:rsid w:val="00375296"/>
    <w:rsid w:val="003768EB"/>
    <w:rsid w:val="00382E5B"/>
    <w:rsid w:val="003836EE"/>
    <w:rsid w:val="00386018"/>
    <w:rsid w:val="00390A25"/>
    <w:rsid w:val="00393A15"/>
    <w:rsid w:val="00393C8F"/>
    <w:rsid w:val="003957DC"/>
    <w:rsid w:val="003A0167"/>
    <w:rsid w:val="003A1847"/>
    <w:rsid w:val="003A6109"/>
    <w:rsid w:val="003A6E1D"/>
    <w:rsid w:val="003B2F28"/>
    <w:rsid w:val="003B4ED7"/>
    <w:rsid w:val="003C7713"/>
    <w:rsid w:val="003D03F3"/>
    <w:rsid w:val="003D05ED"/>
    <w:rsid w:val="003D4178"/>
    <w:rsid w:val="003D4D37"/>
    <w:rsid w:val="003D6B69"/>
    <w:rsid w:val="003E309C"/>
    <w:rsid w:val="003E37DA"/>
    <w:rsid w:val="003E44FE"/>
    <w:rsid w:val="003E663D"/>
    <w:rsid w:val="003F4AAB"/>
    <w:rsid w:val="003F7300"/>
    <w:rsid w:val="003F777B"/>
    <w:rsid w:val="004002DE"/>
    <w:rsid w:val="0040083F"/>
    <w:rsid w:val="00400C70"/>
    <w:rsid w:val="00401455"/>
    <w:rsid w:val="0040489F"/>
    <w:rsid w:val="00407470"/>
    <w:rsid w:val="00407CA8"/>
    <w:rsid w:val="004148F0"/>
    <w:rsid w:val="00416BF8"/>
    <w:rsid w:val="004170A5"/>
    <w:rsid w:val="004176BF"/>
    <w:rsid w:val="00421606"/>
    <w:rsid w:val="00422F51"/>
    <w:rsid w:val="00430573"/>
    <w:rsid w:val="00430799"/>
    <w:rsid w:val="00434748"/>
    <w:rsid w:val="00440E74"/>
    <w:rsid w:val="0044284D"/>
    <w:rsid w:val="00442CE3"/>
    <w:rsid w:val="004447B3"/>
    <w:rsid w:val="004452E1"/>
    <w:rsid w:val="00447612"/>
    <w:rsid w:val="00450553"/>
    <w:rsid w:val="004522C1"/>
    <w:rsid w:val="004525CF"/>
    <w:rsid w:val="004565C7"/>
    <w:rsid w:val="004576B0"/>
    <w:rsid w:val="00461518"/>
    <w:rsid w:val="004631B1"/>
    <w:rsid w:val="00467AD7"/>
    <w:rsid w:val="00472FF9"/>
    <w:rsid w:val="00475ED6"/>
    <w:rsid w:val="00477034"/>
    <w:rsid w:val="00477760"/>
    <w:rsid w:val="00494036"/>
    <w:rsid w:val="004941EF"/>
    <w:rsid w:val="0049598A"/>
    <w:rsid w:val="0049600E"/>
    <w:rsid w:val="00496622"/>
    <w:rsid w:val="00496A62"/>
    <w:rsid w:val="00496BEC"/>
    <w:rsid w:val="0049777C"/>
    <w:rsid w:val="004A2C78"/>
    <w:rsid w:val="004A3DE8"/>
    <w:rsid w:val="004A6750"/>
    <w:rsid w:val="004A78F3"/>
    <w:rsid w:val="004B4ABC"/>
    <w:rsid w:val="004B617A"/>
    <w:rsid w:val="004B6E71"/>
    <w:rsid w:val="004C36F7"/>
    <w:rsid w:val="004C78CE"/>
    <w:rsid w:val="004E3DC8"/>
    <w:rsid w:val="004E61CC"/>
    <w:rsid w:val="005055DC"/>
    <w:rsid w:val="00505EE4"/>
    <w:rsid w:val="005065E8"/>
    <w:rsid w:val="00506EBC"/>
    <w:rsid w:val="00506F7C"/>
    <w:rsid w:val="005111B9"/>
    <w:rsid w:val="005156E9"/>
    <w:rsid w:val="00520F81"/>
    <w:rsid w:val="00522CC3"/>
    <w:rsid w:val="00522F18"/>
    <w:rsid w:val="00530B12"/>
    <w:rsid w:val="00530F2C"/>
    <w:rsid w:val="005315B5"/>
    <w:rsid w:val="005364CC"/>
    <w:rsid w:val="0053775D"/>
    <w:rsid w:val="00550EE7"/>
    <w:rsid w:val="005524CD"/>
    <w:rsid w:val="00552914"/>
    <w:rsid w:val="00555696"/>
    <w:rsid w:val="00556D5D"/>
    <w:rsid w:val="005618A5"/>
    <w:rsid w:val="0057030A"/>
    <w:rsid w:val="005766D2"/>
    <w:rsid w:val="005776F4"/>
    <w:rsid w:val="0058392E"/>
    <w:rsid w:val="00584543"/>
    <w:rsid w:val="0058512F"/>
    <w:rsid w:val="005863AC"/>
    <w:rsid w:val="00586B47"/>
    <w:rsid w:val="00586E38"/>
    <w:rsid w:val="0058722E"/>
    <w:rsid w:val="0058781E"/>
    <w:rsid w:val="00590117"/>
    <w:rsid w:val="00591643"/>
    <w:rsid w:val="0059591A"/>
    <w:rsid w:val="005976A8"/>
    <w:rsid w:val="005B0444"/>
    <w:rsid w:val="005B0785"/>
    <w:rsid w:val="005B1004"/>
    <w:rsid w:val="005B1A0C"/>
    <w:rsid w:val="005C774B"/>
    <w:rsid w:val="005D1D03"/>
    <w:rsid w:val="005D212E"/>
    <w:rsid w:val="005D230B"/>
    <w:rsid w:val="005D2B2A"/>
    <w:rsid w:val="005D3B52"/>
    <w:rsid w:val="005E43EF"/>
    <w:rsid w:val="005E48C6"/>
    <w:rsid w:val="005E5348"/>
    <w:rsid w:val="005E5E53"/>
    <w:rsid w:val="005F2C17"/>
    <w:rsid w:val="005F3C30"/>
    <w:rsid w:val="005F4C53"/>
    <w:rsid w:val="005F6517"/>
    <w:rsid w:val="005F6DB8"/>
    <w:rsid w:val="00600A07"/>
    <w:rsid w:val="006063B3"/>
    <w:rsid w:val="00606482"/>
    <w:rsid w:val="006116BD"/>
    <w:rsid w:val="00614B1B"/>
    <w:rsid w:val="00616354"/>
    <w:rsid w:val="00622B7D"/>
    <w:rsid w:val="00622EC9"/>
    <w:rsid w:val="0064004F"/>
    <w:rsid w:val="0064593E"/>
    <w:rsid w:val="00645A8E"/>
    <w:rsid w:val="00650026"/>
    <w:rsid w:val="006530BE"/>
    <w:rsid w:val="00654254"/>
    <w:rsid w:val="00660D36"/>
    <w:rsid w:val="00664134"/>
    <w:rsid w:val="006643DD"/>
    <w:rsid w:val="00666194"/>
    <w:rsid w:val="006668BE"/>
    <w:rsid w:val="00666D90"/>
    <w:rsid w:val="00666ED7"/>
    <w:rsid w:val="00672D36"/>
    <w:rsid w:val="006741CF"/>
    <w:rsid w:val="006755C1"/>
    <w:rsid w:val="00676D79"/>
    <w:rsid w:val="00677BD1"/>
    <w:rsid w:val="006806EA"/>
    <w:rsid w:val="00682361"/>
    <w:rsid w:val="00682C40"/>
    <w:rsid w:val="00683114"/>
    <w:rsid w:val="00683712"/>
    <w:rsid w:val="00683808"/>
    <w:rsid w:val="00687705"/>
    <w:rsid w:val="006910BF"/>
    <w:rsid w:val="00691563"/>
    <w:rsid w:val="0069169C"/>
    <w:rsid w:val="00693352"/>
    <w:rsid w:val="0069388B"/>
    <w:rsid w:val="00696F5C"/>
    <w:rsid w:val="0069749A"/>
    <w:rsid w:val="006976D3"/>
    <w:rsid w:val="00697BFD"/>
    <w:rsid w:val="006A16B2"/>
    <w:rsid w:val="006A3574"/>
    <w:rsid w:val="006A5CCA"/>
    <w:rsid w:val="006B129B"/>
    <w:rsid w:val="006B1509"/>
    <w:rsid w:val="006B4B3C"/>
    <w:rsid w:val="006B4C84"/>
    <w:rsid w:val="006B73BF"/>
    <w:rsid w:val="006C1EA5"/>
    <w:rsid w:val="006C6D8B"/>
    <w:rsid w:val="006D040C"/>
    <w:rsid w:val="006D4D81"/>
    <w:rsid w:val="006D502C"/>
    <w:rsid w:val="006E4FCB"/>
    <w:rsid w:val="006E7C6E"/>
    <w:rsid w:val="006F6FC4"/>
    <w:rsid w:val="00701645"/>
    <w:rsid w:val="0070493F"/>
    <w:rsid w:val="00706B09"/>
    <w:rsid w:val="00714077"/>
    <w:rsid w:val="00716E40"/>
    <w:rsid w:val="007217C1"/>
    <w:rsid w:val="00723A88"/>
    <w:rsid w:val="00723C5F"/>
    <w:rsid w:val="007240CB"/>
    <w:rsid w:val="00725F58"/>
    <w:rsid w:val="00726089"/>
    <w:rsid w:val="00730F8E"/>
    <w:rsid w:val="007313EA"/>
    <w:rsid w:val="00734F03"/>
    <w:rsid w:val="0073596E"/>
    <w:rsid w:val="00740A37"/>
    <w:rsid w:val="007447E4"/>
    <w:rsid w:val="00744BFC"/>
    <w:rsid w:val="00747B88"/>
    <w:rsid w:val="007503EC"/>
    <w:rsid w:val="00757043"/>
    <w:rsid w:val="007642D4"/>
    <w:rsid w:val="00774A46"/>
    <w:rsid w:val="00785BF4"/>
    <w:rsid w:val="0079097E"/>
    <w:rsid w:val="007945BC"/>
    <w:rsid w:val="00794CA7"/>
    <w:rsid w:val="00796D40"/>
    <w:rsid w:val="007A3F59"/>
    <w:rsid w:val="007A5A9E"/>
    <w:rsid w:val="007A5F32"/>
    <w:rsid w:val="007B003C"/>
    <w:rsid w:val="007B0ABD"/>
    <w:rsid w:val="007B238A"/>
    <w:rsid w:val="007B2648"/>
    <w:rsid w:val="007B271D"/>
    <w:rsid w:val="007B3961"/>
    <w:rsid w:val="007B661E"/>
    <w:rsid w:val="007C23F9"/>
    <w:rsid w:val="007C28C8"/>
    <w:rsid w:val="007C3408"/>
    <w:rsid w:val="007C65AA"/>
    <w:rsid w:val="007C667B"/>
    <w:rsid w:val="007D57A2"/>
    <w:rsid w:val="007D5E12"/>
    <w:rsid w:val="007D6921"/>
    <w:rsid w:val="007D6CB4"/>
    <w:rsid w:val="007F3378"/>
    <w:rsid w:val="007F3452"/>
    <w:rsid w:val="007F51D0"/>
    <w:rsid w:val="007F583C"/>
    <w:rsid w:val="00803D9D"/>
    <w:rsid w:val="008057BE"/>
    <w:rsid w:val="00805C61"/>
    <w:rsid w:val="00811178"/>
    <w:rsid w:val="00812746"/>
    <w:rsid w:val="00817563"/>
    <w:rsid w:val="008214C8"/>
    <w:rsid w:val="00821C6E"/>
    <w:rsid w:val="008229A4"/>
    <w:rsid w:val="008263F7"/>
    <w:rsid w:val="00826516"/>
    <w:rsid w:val="00827517"/>
    <w:rsid w:val="00827569"/>
    <w:rsid w:val="00830262"/>
    <w:rsid w:val="00833D65"/>
    <w:rsid w:val="00835A8C"/>
    <w:rsid w:val="00842C3B"/>
    <w:rsid w:val="00844DAA"/>
    <w:rsid w:val="008478F9"/>
    <w:rsid w:val="00853AF3"/>
    <w:rsid w:val="00853C19"/>
    <w:rsid w:val="008615D0"/>
    <w:rsid w:val="00864483"/>
    <w:rsid w:val="00865334"/>
    <w:rsid w:val="00867EA6"/>
    <w:rsid w:val="00873813"/>
    <w:rsid w:val="008751B6"/>
    <w:rsid w:val="008800BE"/>
    <w:rsid w:val="00881AD1"/>
    <w:rsid w:val="00881BA9"/>
    <w:rsid w:val="00881BE9"/>
    <w:rsid w:val="008830CF"/>
    <w:rsid w:val="00884098"/>
    <w:rsid w:val="00884F72"/>
    <w:rsid w:val="00886C1A"/>
    <w:rsid w:val="008A244E"/>
    <w:rsid w:val="008A5F3C"/>
    <w:rsid w:val="008A7213"/>
    <w:rsid w:val="008B18CB"/>
    <w:rsid w:val="008B1B4A"/>
    <w:rsid w:val="008B5ADF"/>
    <w:rsid w:val="008B5CF1"/>
    <w:rsid w:val="008B6A9A"/>
    <w:rsid w:val="008B6E69"/>
    <w:rsid w:val="008B743F"/>
    <w:rsid w:val="008C613F"/>
    <w:rsid w:val="008C747F"/>
    <w:rsid w:val="008D1FF5"/>
    <w:rsid w:val="008D312F"/>
    <w:rsid w:val="008D32DE"/>
    <w:rsid w:val="008E2F36"/>
    <w:rsid w:val="008E3831"/>
    <w:rsid w:val="008E6309"/>
    <w:rsid w:val="008F437B"/>
    <w:rsid w:val="008F6054"/>
    <w:rsid w:val="008F6C76"/>
    <w:rsid w:val="008F6EA5"/>
    <w:rsid w:val="00900180"/>
    <w:rsid w:val="00904014"/>
    <w:rsid w:val="009041CE"/>
    <w:rsid w:val="00904CB0"/>
    <w:rsid w:val="00904D2E"/>
    <w:rsid w:val="009069D8"/>
    <w:rsid w:val="00917810"/>
    <w:rsid w:val="00921595"/>
    <w:rsid w:val="00922D71"/>
    <w:rsid w:val="009308E0"/>
    <w:rsid w:val="00933E6D"/>
    <w:rsid w:val="009340C6"/>
    <w:rsid w:val="009377E6"/>
    <w:rsid w:val="00940751"/>
    <w:rsid w:val="009510D3"/>
    <w:rsid w:val="009577C3"/>
    <w:rsid w:val="0096061F"/>
    <w:rsid w:val="00962FEF"/>
    <w:rsid w:val="00971DAB"/>
    <w:rsid w:val="00974462"/>
    <w:rsid w:val="00975019"/>
    <w:rsid w:val="0097697B"/>
    <w:rsid w:val="009817DB"/>
    <w:rsid w:val="00984054"/>
    <w:rsid w:val="009876CB"/>
    <w:rsid w:val="00996C70"/>
    <w:rsid w:val="009A4559"/>
    <w:rsid w:val="009A5EC5"/>
    <w:rsid w:val="009A620C"/>
    <w:rsid w:val="009A6784"/>
    <w:rsid w:val="009A6981"/>
    <w:rsid w:val="009B0257"/>
    <w:rsid w:val="009B1564"/>
    <w:rsid w:val="009B189A"/>
    <w:rsid w:val="009B35F4"/>
    <w:rsid w:val="009B3A5F"/>
    <w:rsid w:val="009B5349"/>
    <w:rsid w:val="009B5C96"/>
    <w:rsid w:val="009C0063"/>
    <w:rsid w:val="009C378F"/>
    <w:rsid w:val="009C6338"/>
    <w:rsid w:val="009D0324"/>
    <w:rsid w:val="009D048B"/>
    <w:rsid w:val="009D2011"/>
    <w:rsid w:val="009E4CC9"/>
    <w:rsid w:val="00A03F27"/>
    <w:rsid w:val="00A041D1"/>
    <w:rsid w:val="00A05695"/>
    <w:rsid w:val="00A1175F"/>
    <w:rsid w:val="00A12DF6"/>
    <w:rsid w:val="00A13331"/>
    <w:rsid w:val="00A13C82"/>
    <w:rsid w:val="00A1474E"/>
    <w:rsid w:val="00A147CE"/>
    <w:rsid w:val="00A22F72"/>
    <w:rsid w:val="00A24243"/>
    <w:rsid w:val="00A2575A"/>
    <w:rsid w:val="00A33125"/>
    <w:rsid w:val="00A33F2F"/>
    <w:rsid w:val="00A343BF"/>
    <w:rsid w:val="00A36AAE"/>
    <w:rsid w:val="00A37171"/>
    <w:rsid w:val="00A41833"/>
    <w:rsid w:val="00A4218D"/>
    <w:rsid w:val="00A45A7D"/>
    <w:rsid w:val="00A46058"/>
    <w:rsid w:val="00A460C2"/>
    <w:rsid w:val="00A54F03"/>
    <w:rsid w:val="00A579BA"/>
    <w:rsid w:val="00A6185D"/>
    <w:rsid w:val="00A63C96"/>
    <w:rsid w:val="00A659DE"/>
    <w:rsid w:val="00A65CF3"/>
    <w:rsid w:val="00A668A8"/>
    <w:rsid w:val="00A66AC9"/>
    <w:rsid w:val="00A66E3E"/>
    <w:rsid w:val="00A70678"/>
    <w:rsid w:val="00A7192F"/>
    <w:rsid w:val="00A8055A"/>
    <w:rsid w:val="00A80FC2"/>
    <w:rsid w:val="00A8266F"/>
    <w:rsid w:val="00A83635"/>
    <w:rsid w:val="00A900CF"/>
    <w:rsid w:val="00A919BB"/>
    <w:rsid w:val="00A92C28"/>
    <w:rsid w:val="00A952A2"/>
    <w:rsid w:val="00A97831"/>
    <w:rsid w:val="00AA1853"/>
    <w:rsid w:val="00AB016F"/>
    <w:rsid w:val="00AB06A2"/>
    <w:rsid w:val="00AB1CC1"/>
    <w:rsid w:val="00AB27BE"/>
    <w:rsid w:val="00AB41CD"/>
    <w:rsid w:val="00AB44E4"/>
    <w:rsid w:val="00AB4F94"/>
    <w:rsid w:val="00AC1154"/>
    <w:rsid w:val="00AC21BF"/>
    <w:rsid w:val="00AC4EC1"/>
    <w:rsid w:val="00AC6327"/>
    <w:rsid w:val="00AD5097"/>
    <w:rsid w:val="00AD53DB"/>
    <w:rsid w:val="00AE0C60"/>
    <w:rsid w:val="00AE1B5E"/>
    <w:rsid w:val="00AE4124"/>
    <w:rsid w:val="00AE7278"/>
    <w:rsid w:val="00B0128D"/>
    <w:rsid w:val="00B03A82"/>
    <w:rsid w:val="00B05493"/>
    <w:rsid w:val="00B058EE"/>
    <w:rsid w:val="00B05E60"/>
    <w:rsid w:val="00B10912"/>
    <w:rsid w:val="00B1211F"/>
    <w:rsid w:val="00B12A71"/>
    <w:rsid w:val="00B149EA"/>
    <w:rsid w:val="00B171FE"/>
    <w:rsid w:val="00B17C31"/>
    <w:rsid w:val="00B251D7"/>
    <w:rsid w:val="00B26056"/>
    <w:rsid w:val="00B30439"/>
    <w:rsid w:val="00B311B6"/>
    <w:rsid w:val="00B31B65"/>
    <w:rsid w:val="00B36023"/>
    <w:rsid w:val="00B36770"/>
    <w:rsid w:val="00B37B02"/>
    <w:rsid w:val="00B40CA3"/>
    <w:rsid w:val="00B40DC9"/>
    <w:rsid w:val="00B410B6"/>
    <w:rsid w:val="00B41E82"/>
    <w:rsid w:val="00B42018"/>
    <w:rsid w:val="00B446C9"/>
    <w:rsid w:val="00B4570A"/>
    <w:rsid w:val="00B46D92"/>
    <w:rsid w:val="00B47A64"/>
    <w:rsid w:val="00B51EF1"/>
    <w:rsid w:val="00B53D94"/>
    <w:rsid w:val="00B56E8F"/>
    <w:rsid w:val="00B57F03"/>
    <w:rsid w:val="00B61DD3"/>
    <w:rsid w:val="00B63E4C"/>
    <w:rsid w:val="00B71911"/>
    <w:rsid w:val="00B7289D"/>
    <w:rsid w:val="00B747F6"/>
    <w:rsid w:val="00B772D4"/>
    <w:rsid w:val="00B83DA7"/>
    <w:rsid w:val="00B85129"/>
    <w:rsid w:val="00B85664"/>
    <w:rsid w:val="00B86320"/>
    <w:rsid w:val="00B90D06"/>
    <w:rsid w:val="00B91166"/>
    <w:rsid w:val="00B91C64"/>
    <w:rsid w:val="00B9283D"/>
    <w:rsid w:val="00B93DE7"/>
    <w:rsid w:val="00B94C69"/>
    <w:rsid w:val="00BA0764"/>
    <w:rsid w:val="00BA0F5A"/>
    <w:rsid w:val="00BA4B41"/>
    <w:rsid w:val="00BB0C07"/>
    <w:rsid w:val="00BB579A"/>
    <w:rsid w:val="00BB706F"/>
    <w:rsid w:val="00BC2B63"/>
    <w:rsid w:val="00BC2B7E"/>
    <w:rsid w:val="00BC6594"/>
    <w:rsid w:val="00BD37F1"/>
    <w:rsid w:val="00BD5031"/>
    <w:rsid w:val="00BD5CFF"/>
    <w:rsid w:val="00BD7A6B"/>
    <w:rsid w:val="00BE13EF"/>
    <w:rsid w:val="00BE6618"/>
    <w:rsid w:val="00BE73E7"/>
    <w:rsid w:val="00BE7985"/>
    <w:rsid w:val="00BF1C93"/>
    <w:rsid w:val="00BF1D8C"/>
    <w:rsid w:val="00BF20CA"/>
    <w:rsid w:val="00BF341E"/>
    <w:rsid w:val="00BF3586"/>
    <w:rsid w:val="00BF383D"/>
    <w:rsid w:val="00BF3C74"/>
    <w:rsid w:val="00C031E0"/>
    <w:rsid w:val="00C06920"/>
    <w:rsid w:val="00C06EC6"/>
    <w:rsid w:val="00C07A59"/>
    <w:rsid w:val="00C1207E"/>
    <w:rsid w:val="00C16D4F"/>
    <w:rsid w:val="00C179C5"/>
    <w:rsid w:val="00C31CE8"/>
    <w:rsid w:val="00C32A36"/>
    <w:rsid w:val="00C32F57"/>
    <w:rsid w:val="00C337E8"/>
    <w:rsid w:val="00C355F0"/>
    <w:rsid w:val="00C416D1"/>
    <w:rsid w:val="00C44320"/>
    <w:rsid w:val="00C4650F"/>
    <w:rsid w:val="00C6192E"/>
    <w:rsid w:val="00C73E07"/>
    <w:rsid w:val="00C75A2E"/>
    <w:rsid w:val="00C81049"/>
    <w:rsid w:val="00C82677"/>
    <w:rsid w:val="00C82774"/>
    <w:rsid w:val="00C870A3"/>
    <w:rsid w:val="00C911EC"/>
    <w:rsid w:val="00C94296"/>
    <w:rsid w:val="00C94F83"/>
    <w:rsid w:val="00C96C6A"/>
    <w:rsid w:val="00CA077C"/>
    <w:rsid w:val="00CA2C86"/>
    <w:rsid w:val="00CA35E0"/>
    <w:rsid w:val="00CA4632"/>
    <w:rsid w:val="00CA69E0"/>
    <w:rsid w:val="00CA7A56"/>
    <w:rsid w:val="00CB23D5"/>
    <w:rsid w:val="00CB2FB4"/>
    <w:rsid w:val="00CB448D"/>
    <w:rsid w:val="00CB4DA0"/>
    <w:rsid w:val="00CB71B6"/>
    <w:rsid w:val="00CC053E"/>
    <w:rsid w:val="00CC26D3"/>
    <w:rsid w:val="00CC2876"/>
    <w:rsid w:val="00CC41EE"/>
    <w:rsid w:val="00CC5CD5"/>
    <w:rsid w:val="00CC6358"/>
    <w:rsid w:val="00CD05AA"/>
    <w:rsid w:val="00CD31C6"/>
    <w:rsid w:val="00CE0622"/>
    <w:rsid w:val="00CE0D0D"/>
    <w:rsid w:val="00CE10FF"/>
    <w:rsid w:val="00CE17AC"/>
    <w:rsid w:val="00CE3713"/>
    <w:rsid w:val="00CF1A8E"/>
    <w:rsid w:val="00CF3768"/>
    <w:rsid w:val="00CF3972"/>
    <w:rsid w:val="00CF3C07"/>
    <w:rsid w:val="00CF3D39"/>
    <w:rsid w:val="00CF65F9"/>
    <w:rsid w:val="00CF6809"/>
    <w:rsid w:val="00CF7AC6"/>
    <w:rsid w:val="00CF7DA8"/>
    <w:rsid w:val="00D00F8D"/>
    <w:rsid w:val="00D03B39"/>
    <w:rsid w:val="00D0479D"/>
    <w:rsid w:val="00D053BF"/>
    <w:rsid w:val="00D05B72"/>
    <w:rsid w:val="00D1555B"/>
    <w:rsid w:val="00D22999"/>
    <w:rsid w:val="00D318A5"/>
    <w:rsid w:val="00D32985"/>
    <w:rsid w:val="00D340CC"/>
    <w:rsid w:val="00D354C2"/>
    <w:rsid w:val="00D404DF"/>
    <w:rsid w:val="00D410D5"/>
    <w:rsid w:val="00D455B7"/>
    <w:rsid w:val="00D45FC7"/>
    <w:rsid w:val="00D54007"/>
    <w:rsid w:val="00D60D10"/>
    <w:rsid w:val="00D62CFB"/>
    <w:rsid w:val="00D63C43"/>
    <w:rsid w:val="00D709E3"/>
    <w:rsid w:val="00D7244F"/>
    <w:rsid w:val="00D72518"/>
    <w:rsid w:val="00D72DEC"/>
    <w:rsid w:val="00D73A96"/>
    <w:rsid w:val="00D74775"/>
    <w:rsid w:val="00D76834"/>
    <w:rsid w:val="00D8056D"/>
    <w:rsid w:val="00D81C3C"/>
    <w:rsid w:val="00D828C6"/>
    <w:rsid w:val="00D833BC"/>
    <w:rsid w:val="00D868EB"/>
    <w:rsid w:val="00D877FB"/>
    <w:rsid w:val="00D87DA6"/>
    <w:rsid w:val="00D918A2"/>
    <w:rsid w:val="00D91E77"/>
    <w:rsid w:val="00D9218E"/>
    <w:rsid w:val="00D96918"/>
    <w:rsid w:val="00D970F8"/>
    <w:rsid w:val="00DA4793"/>
    <w:rsid w:val="00DA4B26"/>
    <w:rsid w:val="00DA775C"/>
    <w:rsid w:val="00DB25C9"/>
    <w:rsid w:val="00DB5203"/>
    <w:rsid w:val="00DB5AE6"/>
    <w:rsid w:val="00DB7DCA"/>
    <w:rsid w:val="00DC095B"/>
    <w:rsid w:val="00DC173B"/>
    <w:rsid w:val="00DC218F"/>
    <w:rsid w:val="00DC3704"/>
    <w:rsid w:val="00DC7116"/>
    <w:rsid w:val="00DD1795"/>
    <w:rsid w:val="00DD22F3"/>
    <w:rsid w:val="00DD2525"/>
    <w:rsid w:val="00DD4047"/>
    <w:rsid w:val="00DD4EA4"/>
    <w:rsid w:val="00DD6BE5"/>
    <w:rsid w:val="00DE1C01"/>
    <w:rsid w:val="00DF11EB"/>
    <w:rsid w:val="00DF2BBE"/>
    <w:rsid w:val="00DF4E3C"/>
    <w:rsid w:val="00E03269"/>
    <w:rsid w:val="00E03832"/>
    <w:rsid w:val="00E07397"/>
    <w:rsid w:val="00E07F8A"/>
    <w:rsid w:val="00E102F7"/>
    <w:rsid w:val="00E10E2C"/>
    <w:rsid w:val="00E14349"/>
    <w:rsid w:val="00E15F26"/>
    <w:rsid w:val="00E17D20"/>
    <w:rsid w:val="00E20D10"/>
    <w:rsid w:val="00E21BD5"/>
    <w:rsid w:val="00E22F27"/>
    <w:rsid w:val="00E2606B"/>
    <w:rsid w:val="00E272A1"/>
    <w:rsid w:val="00E307BD"/>
    <w:rsid w:val="00E36543"/>
    <w:rsid w:val="00E37EAD"/>
    <w:rsid w:val="00E43A2E"/>
    <w:rsid w:val="00E51768"/>
    <w:rsid w:val="00E53CD1"/>
    <w:rsid w:val="00E60010"/>
    <w:rsid w:val="00E60C62"/>
    <w:rsid w:val="00E62285"/>
    <w:rsid w:val="00E63864"/>
    <w:rsid w:val="00E63EDB"/>
    <w:rsid w:val="00E7195F"/>
    <w:rsid w:val="00E7436D"/>
    <w:rsid w:val="00E77115"/>
    <w:rsid w:val="00E81F39"/>
    <w:rsid w:val="00E85772"/>
    <w:rsid w:val="00E93B67"/>
    <w:rsid w:val="00E95599"/>
    <w:rsid w:val="00EA4916"/>
    <w:rsid w:val="00EA5315"/>
    <w:rsid w:val="00EA5BEA"/>
    <w:rsid w:val="00EB3ED1"/>
    <w:rsid w:val="00EB61A4"/>
    <w:rsid w:val="00EB6A65"/>
    <w:rsid w:val="00EB785D"/>
    <w:rsid w:val="00EC092B"/>
    <w:rsid w:val="00EC09B2"/>
    <w:rsid w:val="00EC6507"/>
    <w:rsid w:val="00EC7569"/>
    <w:rsid w:val="00ED03D7"/>
    <w:rsid w:val="00ED47B8"/>
    <w:rsid w:val="00ED658C"/>
    <w:rsid w:val="00EF0B9A"/>
    <w:rsid w:val="00EF32B3"/>
    <w:rsid w:val="00EF3974"/>
    <w:rsid w:val="00EF3F06"/>
    <w:rsid w:val="00EF7674"/>
    <w:rsid w:val="00F02194"/>
    <w:rsid w:val="00F03658"/>
    <w:rsid w:val="00F067A3"/>
    <w:rsid w:val="00F07993"/>
    <w:rsid w:val="00F1104B"/>
    <w:rsid w:val="00F12916"/>
    <w:rsid w:val="00F13FE9"/>
    <w:rsid w:val="00F14A81"/>
    <w:rsid w:val="00F20FE8"/>
    <w:rsid w:val="00F21D57"/>
    <w:rsid w:val="00F226A9"/>
    <w:rsid w:val="00F238B8"/>
    <w:rsid w:val="00F2393F"/>
    <w:rsid w:val="00F23A3C"/>
    <w:rsid w:val="00F30C38"/>
    <w:rsid w:val="00F326C5"/>
    <w:rsid w:val="00F41B16"/>
    <w:rsid w:val="00F47163"/>
    <w:rsid w:val="00F531DF"/>
    <w:rsid w:val="00F64ABE"/>
    <w:rsid w:val="00F65CA8"/>
    <w:rsid w:val="00F72ABC"/>
    <w:rsid w:val="00F73E64"/>
    <w:rsid w:val="00F771F2"/>
    <w:rsid w:val="00F814B7"/>
    <w:rsid w:val="00F929E0"/>
    <w:rsid w:val="00F9440F"/>
    <w:rsid w:val="00F95A88"/>
    <w:rsid w:val="00F967F1"/>
    <w:rsid w:val="00FA2E45"/>
    <w:rsid w:val="00FA408C"/>
    <w:rsid w:val="00FA4E99"/>
    <w:rsid w:val="00FB3B04"/>
    <w:rsid w:val="00FC3979"/>
    <w:rsid w:val="00FC398D"/>
    <w:rsid w:val="00FC659C"/>
    <w:rsid w:val="00FC7F3D"/>
    <w:rsid w:val="00FD5F3C"/>
    <w:rsid w:val="00FE1850"/>
    <w:rsid w:val="00FE1C2E"/>
    <w:rsid w:val="00FE22F7"/>
    <w:rsid w:val="00FE4141"/>
    <w:rsid w:val="00FE6569"/>
    <w:rsid w:val="00FE6A8F"/>
    <w:rsid w:val="00FE7974"/>
    <w:rsid w:val="00FF2D39"/>
    <w:rsid w:val="00FF4E47"/>
    <w:rsid w:val="00FF5F75"/>
    <w:rsid w:val="00FF7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51D0C"/>
  <w15:docId w15:val="{889B3EA3-C578-48ED-A1C8-92B018FF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0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22"/>
    <w:rPr>
      <w:rFonts w:ascii="Segoe UI" w:hAnsi="Segoe UI" w:cs="Segoe UI"/>
      <w:sz w:val="18"/>
      <w:szCs w:val="18"/>
    </w:rPr>
  </w:style>
  <w:style w:type="paragraph" w:styleId="ListParagraph">
    <w:name w:val="List Paragraph"/>
    <w:basedOn w:val="Normal"/>
    <w:uiPriority w:val="34"/>
    <w:qFormat/>
    <w:rsid w:val="007B0ABD"/>
    <w:pPr>
      <w:ind w:left="720"/>
      <w:contextualSpacing/>
    </w:pPr>
  </w:style>
  <w:style w:type="paragraph" w:styleId="FootnoteText">
    <w:name w:val="footnote text"/>
    <w:basedOn w:val="Normal"/>
    <w:link w:val="FootnoteTextChar"/>
    <w:uiPriority w:val="99"/>
    <w:semiHidden/>
    <w:unhideWhenUsed/>
    <w:rsid w:val="00CB7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1B6"/>
    <w:rPr>
      <w:sz w:val="20"/>
      <w:szCs w:val="20"/>
    </w:rPr>
  </w:style>
  <w:style w:type="character" w:styleId="FootnoteReference">
    <w:name w:val="footnote reference"/>
    <w:basedOn w:val="DefaultParagraphFont"/>
    <w:uiPriority w:val="99"/>
    <w:semiHidden/>
    <w:unhideWhenUsed/>
    <w:rsid w:val="00CB71B6"/>
    <w:rPr>
      <w:vertAlign w:val="superscript"/>
    </w:rPr>
  </w:style>
  <w:style w:type="character" w:styleId="Hyperlink">
    <w:name w:val="Hyperlink"/>
    <w:basedOn w:val="DefaultParagraphFont"/>
    <w:uiPriority w:val="99"/>
    <w:semiHidden/>
    <w:unhideWhenUsed/>
    <w:rsid w:val="00CA2C86"/>
    <w:rPr>
      <w:color w:val="0000FF"/>
      <w:u w:val="single"/>
    </w:rPr>
  </w:style>
  <w:style w:type="paragraph" w:styleId="NormalWeb">
    <w:name w:val="Normal (Web)"/>
    <w:basedOn w:val="Normal"/>
    <w:uiPriority w:val="99"/>
    <w:unhideWhenUsed/>
    <w:rsid w:val="008D312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1F49C3"/>
    <w:rPr>
      <w:sz w:val="16"/>
      <w:szCs w:val="16"/>
    </w:rPr>
  </w:style>
  <w:style w:type="paragraph" w:styleId="CommentText">
    <w:name w:val="annotation text"/>
    <w:basedOn w:val="Normal"/>
    <w:link w:val="CommentTextChar"/>
    <w:uiPriority w:val="99"/>
    <w:semiHidden/>
    <w:unhideWhenUsed/>
    <w:rsid w:val="001F49C3"/>
    <w:pPr>
      <w:spacing w:line="240" w:lineRule="auto"/>
    </w:pPr>
    <w:rPr>
      <w:sz w:val="20"/>
      <w:szCs w:val="20"/>
    </w:rPr>
  </w:style>
  <w:style w:type="character" w:customStyle="1" w:styleId="CommentTextChar">
    <w:name w:val="Comment Text Char"/>
    <w:basedOn w:val="DefaultParagraphFont"/>
    <w:link w:val="CommentText"/>
    <w:uiPriority w:val="99"/>
    <w:semiHidden/>
    <w:rsid w:val="001F49C3"/>
    <w:rPr>
      <w:sz w:val="20"/>
      <w:szCs w:val="20"/>
    </w:rPr>
  </w:style>
  <w:style w:type="paragraph" w:styleId="CommentSubject">
    <w:name w:val="annotation subject"/>
    <w:basedOn w:val="CommentText"/>
    <w:next w:val="CommentText"/>
    <w:link w:val="CommentSubjectChar"/>
    <w:uiPriority w:val="99"/>
    <w:semiHidden/>
    <w:unhideWhenUsed/>
    <w:rsid w:val="001F49C3"/>
    <w:rPr>
      <w:b/>
      <w:bCs/>
    </w:rPr>
  </w:style>
  <w:style w:type="character" w:customStyle="1" w:styleId="CommentSubjectChar">
    <w:name w:val="Comment Subject Char"/>
    <w:basedOn w:val="CommentTextChar"/>
    <w:link w:val="CommentSubject"/>
    <w:uiPriority w:val="99"/>
    <w:semiHidden/>
    <w:rsid w:val="001F49C3"/>
    <w:rPr>
      <w:b/>
      <w:bCs/>
      <w:sz w:val="20"/>
      <w:szCs w:val="20"/>
    </w:rPr>
  </w:style>
  <w:style w:type="paragraph" w:styleId="Revision">
    <w:name w:val="Revision"/>
    <w:hidden/>
    <w:uiPriority w:val="99"/>
    <w:semiHidden/>
    <w:rsid w:val="001F49C3"/>
    <w:pPr>
      <w:spacing w:after="0" w:line="240" w:lineRule="auto"/>
    </w:pPr>
  </w:style>
  <w:style w:type="character" w:customStyle="1" w:styleId="grame">
    <w:name w:val="grame"/>
    <w:basedOn w:val="DefaultParagraphFont"/>
    <w:rsid w:val="0070493F"/>
  </w:style>
  <w:style w:type="paragraph" w:customStyle="1" w:styleId="quoteinfootnote">
    <w:name w:val="quoteinfootnote"/>
    <w:basedOn w:val="Normal"/>
    <w:rsid w:val="0070493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6A3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574"/>
  </w:style>
  <w:style w:type="paragraph" w:styleId="Footer">
    <w:name w:val="footer"/>
    <w:basedOn w:val="Normal"/>
    <w:link w:val="FooterChar"/>
    <w:uiPriority w:val="99"/>
    <w:unhideWhenUsed/>
    <w:rsid w:val="006A3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18524">
      <w:bodyDiv w:val="1"/>
      <w:marLeft w:val="0"/>
      <w:marRight w:val="0"/>
      <w:marTop w:val="0"/>
      <w:marBottom w:val="0"/>
      <w:divBdr>
        <w:top w:val="none" w:sz="0" w:space="0" w:color="auto"/>
        <w:left w:val="none" w:sz="0" w:space="0" w:color="auto"/>
        <w:bottom w:val="none" w:sz="0" w:space="0" w:color="auto"/>
        <w:right w:val="none" w:sz="0" w:space="0" w:color="auto"/>
      </w:divBdr>
    </w:div>
    <w:div w:id="955406450">
      <w:bodyDiv w:val="1"/>
      <w:marLeft w:val="0"/>
      <w:marRight w:val="0"/>
      <w:marTop w:val="0"/>
      <w:marBottom w:val="0"/>
      <w:divBdr>
        <w:top w:val="none" w:sz="0" w:space="0" w:color="auto"/>
        <w:left w:val="none" w:sz="0" w:space="0" w:color="auto"/>
        <w:bottom w:val="none" w:sz="0" w:space="0" w:color="auto"/>
        <w:right w:val="none" w:sz="0" w:space="0" w:color="auto"/>
      </w:divBdr>
    </w:div>
    <w:div w:id="1047603921">
      <w:bodyDiv w:val="1"/>
      <w:marLeft w:val="0"/>
      <w:marRight w:val="0"/>
      <w:marTop w:val="0"/>
      <w:marBottom w:val="0"/>
      <w:divBdr>
        <w:top w:val="none" w:sz="0" w:space="0" w:color="auto"/>
        <w:left w:val="none" w:sz="0" w:space="0" w:color="auto"/>
        <w:bottom w:val="none" w:sz="0" w:space="0" w:color="auto"/>
        <w:right w:val="none" w:sz="0" w:space="0" w:color="auto"/>
      </w:divBdr>
    </w:div>
    <w:div w:id="1238131548">
      <w:bodyDiv w:val="1"/>
      <w:marLeft w:val="0"/>
      <w:marRight w:val="0"/>
      <w:marTop w:val="0"/>
      <w:marBottom w:val="0"/>
      <w:divBdr>
        <w:top w:val="none" w:sz="0" w:space="0" w:color="auto"/>
        <w:left w:val="none" w:sz="0" w:space="0" w:color="auto"/>
        <w:bottom w:val="none" w:sz="0" w:space="0" w:color="auto"/>
        <w:right w:val="none" w:sz="0" w:space="0" w:color="auto"/>
      </w:divBdr>
    </w:div>
    <w:div w:id="1264415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CFF90-B6B4-49DB-AC5E-B3D2B86F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8364</Words>
  <Characters>47677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HUGHES-MADONDO INC.</Company>
  <LinksUpToDate>false</LinksUpToDate>
  <CharactersWithSpaces>55930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Rautenheimer</dc:creator>
  <cp:keywords/>
  <dc:description/>
  <cp:lastModifiedBy>Mary Bruce</cp:lastModifiedBy>
  <cp:revision>3</cp:revision>
  <cp:lastPrinted>2023-10-25T08:44:00Z</cp:lastPrinted>
  <dcterms:created xsi:type="dcterms:W3CDTF">2023-10-25T09:04:00Z</dcterms:created>
  <dcterms:modified xsi:type="dcterms:W3CDTF">2023-10-26T10:12:00Z</dcterms:modified>
</cp:coreProperties>
</file>