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2D988" w14:textId="77777777" w:rsidR="008B223B" w:rsidRDefault="00322A94">
      <w:pPr>
        <w:rPr>
          <w:b/>
          <w:bCs/>
        </w:rPr>
      </w:pPr>
      <w:bookmarkStart w:id="0" w:name="_GoBack"/>
      <w:bookmarkEnd w:id="0"/>
      <w:r>
        <w:tab/>
      </w:r>
      <w:r>
        <w:tab/>
      </w:r>
      <w:r>
        <w:tab/>
      </w:r>
    </w:p>
    <w:p w14:paraId="0CFFF20D" w14:textId="77777777" w:rsidR="008B223B" w:rsidRDefault="008B223B">
      <w:pPr>
        <w:jc w:val="center"/>
        <w:rPr>
          <w:b/>
          <w:bCs/>
          <w:sz w:val="28"/>
          <w:szCs w:val="28"/>
        </w:rPr>
      </w:pPr>
    </w:p>
    <w:p w14:paraId="51F5A6AD" w14:textId="77777777" w:rsidR="008B223B" w:rsidRDefault="008B223B">
      <w:pPr>
        <w:jc w:val="center"/>
        <w:rPr>
          <w:b/>
          <w:bCs/>
          <w:sz w:val="28"/>
          <w:szCs w:val="28"/>
        </w:rPr>
      </w:pPr>
    </w:p>
    <w:p w14:paraId="58081F66" w14:textId="77777777" w:rsidR="008B223B" w:rsidRPr="00FE76A3" w:rsidRDefault="00322A94">
      <w:pPr>
        <w:jc w:val="center"/>
        <w:rPr>
          <w:b/>
          <w:bCs/>
          <w:sz w:val="28"/>
          <w:szCs w:val="28"/>
        </w:rPr>
      </w:pPr>
      <w:r w:rsidRPr="00FE76A3">
        <w:rPr>
          <w:noProof/>
          <w:lang w:val="en-ZA" w:eastAsia="en-ZA"/>
        </w:rPr>
        <w:drawing>
          <wp:anchor distT="0" distB="0" distL="114300" distR="114300" simplePos="0" relativeHeight="251659264" behindDoc="0" locked="0" layoutInCell="1" allowOverlap="1" wp14:anchorId="07E98AEB" wp14:editId="2582FD6A">
            <wp:simplePos x="0" y="0"/>
            <wp:positionH relativeFrom="page">
              <wp:align>center</wp:align>
            </wp:positionH>
            <wp:positionV relativeFrom="paragraph">
              <wp:posOffset>-683895</wp:posOffset>
            </wp:positionV>
            <wp:extent cx="799200" cy="914400"/>
            <wp:effectExtent l="0" t="0" r="127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9"/>
                    <a:stretch>
                      <a:fillRect/>
                    </a:stretch>
                  </pic:blipFill>
                  <pic:spPr>
                    <a:xfrm>
                      <a:off x="0" y="0"/>
                      <a:ext cx="799200" cy="914400"/>
                    </a:xfrm>
                    <a:prstGeom prst="rect">
                      <a:avLst/>
                    </a:prstGeom>
                    <a:noFill/>
                    <a:ln>
                      <a:noFill/>
                    </a:ln>
                  </pic:spPr>
                </pic:pic>
              </a:graphicData>
            </a:graphic>
            <wp14:sizeRelH relativeFrom="margin">
              <wp14:pctWidth>0</wp14:pctWidth>
            </wp14:sizeRelH>
          </wp:anchor>
        </w:drawing>
      </w:r>
    </w:p>
    <w:p w14:paraId="4AA9831E" w14:textId="77777777" w:rsidR="008B223B" w:rsidRPr="00FE76A3" w:rsidRDefault="008B223B">
      <w:pPr>
        <w:jc w:val="center"/>
        <w:rPr>
          <w:b/>
          <w:bCs/>
          <w:sz w:val="28"/>
          <w:szCs w:val="28"/>
        </w:rPr>
      </w:pPr>
    </w:p>
    <w:p w14:paraId="6417E16D" w14:textId="77777777" w:rsidR="008B223B" w:rsidRPr="00FE76A3" w:rsidRDefault="00322A94">
      <w:pPr>
        <w:jc w:val="center"/>
        <w:rPr>
          <w:b/>
          <w:bCs/>
          <w:sz w:val="28"/>
          <w:szCs w:val="28"/>
        </w:rPr>
      </w:pPr>
      <w:r w:rsidRPr="00FE76A3">
        <w:rPr>
          <w:b/>
          <w:bCs/>
          <w:sz w:val="28"/>
          <w:szCs w:val="28"/>
        </w:rPr>
        <w:t>THE SUPREME COURT OF APPEAL OF SOUTH AFRICA</w:t>
      </w:r>
    </w:p>
    <w:p w14:paraId="032FF00A" w14:textId="77777777" w:rsidR="008B223B" w:rsidRPr="00FE76A3" w:rsidRDefault="00322A94">
      <w:pPr>
        <w:pStyle w:val="Heading3"/>
        <w:jc w:val="center"/>
        <w:rPr>
          <w:rFonts w:ascii="Times New Roman" w:hAnsi="Times New Roman" w:cs="Times New Roman"/>
          <w:b/>
          <w:i w:val="0"/>
          <w:szCs w:val="28"/>
        </w:rPr>
      </w:pPr>
      <w:r w:rsidRPr="00FE76A3">
        <w:rPr>
          <w:rFonts w:ascii="Times New Roman" w:hAnsi="Times New Roman" w:cs="Times New Roman"/>
          <w:b/>
          <w:i w:val="0"/>
          <w:szCs w:val="28"/>
        </w:rPr>
        <w:t>JUDGMENT</w:t>
      </w:r>
    </w:p>
    <w:p w14:paraId="61185026" w14:textId="77777777" w:rsidR="008B223B" w:rsidRPr="00FE76A3" w:rsidRDefault="00322A94">
      <w:pPr>
        <w:jc w:val="center"/>
        <w:rPr>
          <w:b/>
          <w:bCs/>
          <w:sz w:val="28"/>
          <w:szCs w:val="28"/>
        </w:rPr>
      </w:pPr>
      <w:r w:rsidRPr="00FE76A3">
        <w:rPr>
          <w:sz w:val="28"/>
          <w:szCs w:val="28"/>
        </w:rPr>
        <w:tab/>
      </w:r>
    </w:p>
    <w:p w14:paraId="7CC7BB90" w14:textId="0F72A19B" w:rsidR="008B223B" w:rsidRPr="00FE76A3" w:rsidRDefault="00322A94">
      <w:pPr>
        <w:jc w:val="right"/>
        <w:rPr>
          <w:b/>
          <w:sz w:val="28"/>
          <w:szCs w:val="28"/>
        </w:rPr>
      </w:pPr>
      <w:r w:rsidRPr="00FE76A3">
        <w:rPr>
          <w:b/>
          <w:sz w:val="28"/>
          <w:szCs w:val="28"/>
        </w:rPr>
        <w:t>Reportable</w:t>
      </w:r>
    </w:p>
    <w:p w14:paraId="15737A87" w14:textId="5D672306" w:rsidR="008B223B" w:rsidRPr="00FE76A3" w:rsidRDefault="000F7BBF">
      <w:pPr>
        <w:jc w:val="right"/>
        <w:rPr>
          <w:sz w:val="28"/>
          <w:szCs w:val="28"/>
          <w:lang w:val="en-ZA"/>
        </w:rPr>
      </w:pPr>
      <w:r w:rsidRPr="00FE76A3">
        <w:rPr>
          <w:sz w:val="28"/>
          <w:szCs w:val="28"/>
        </w:rPr>
        <w:t>Case N</w:t>
      </w:r>
      <w:r w:rsidR="00322A94" w:rsidRPr="00FE76A3">
        <w:rPr>
          <w:sz w:val="28"/>
          <w:szCs w:val="28"/>
        </w:rPr>
        <w:t xml:space="preserve">o: </w:t>
      </w:r>
      <w:r w:rsidR="00805180" w:rsidRPr="00FE76A3">
        <w:rPr>
          <w:sz w:val="28"/>
          <w:szCs w:val="28"/>
          <w:lang w:val="en-ZA"/>
        </w:rPr>
        <w:t>903</w:t>
      </w:r>
      <w:r w:rsidR="0076316A" w:rsidRPr="00FE76A3">
        <w:rPr>
          <w:sz w:val="28"/>
          <w:szCs w:val="28"/>
          <w:lang w:val="en-ZA"/>
        </w:rPr>
        <w:t>/2021</w:t>
      </w:r>
    </w:p>
    <w:p w14:paraId="0A304039" w14:textId="77777777" w:rsidR="008B223B" w:rsidRPr="00FE76A3" w:rsidRDefault="00322A94" w:rsidP="00896C95">
      <w:pPr>
        <w:rPr>
          <w:sz w:val="28"/>
          <w:szCs w:val="28"/>
        </w:rPr>
      </w:pPr>
      <w:r w:rsidRPr="00FE76A3">
        <w:rPr>
          <w:sz w:val="28"/>
          <w:szCs w:val="28"/>
        </w:rPr>
        <w:t>In the matter between:</w:t>
      </w:r>
    </w:p>
    <w:p w14:paraId="643549E2" w14:textId="77777777" w:rsidR="009B7AEA" w:rsidRPr="00FE76A3" w:rsidRDefault="009B7AEA" w:rsidP="00896C95">
      <w:pPr>
        <w:rPr>
          <w:sz w:val="28"/>
          <w:szCs w:val="28"/>
        </w:rPr>
      </w:pPr>
    </w:p>
    <w:p w14:paraId="787ABEBC" w14:textId="63D90AD3" w:rsidR="008B223B" w:rsidRPr="00FE76A3" w:rsidRDefault="00805180" w:rsidP="00896C95">
      <w:pPr>
        <w:ind w:right="-180"/>
        <w:rPr>
          <w:b/>
          <w:bCs/>
          <w:sz w:val="28"/>
          <w:szCs w:val="28"/>
        </w:rPr>
      </w:pPr>
      <w:r w:rsidRPr="00FE76A3">
        <w:rPr>
          <w:b/>
          <w:bCs/>
          <w:sz w:val="28"/>
          <w:szCs w:val="28"/>
          <w:lang w:val="en-ZA"/>
        </w:rPr>
        <w:t>SHOPRITE CHECKERS (PTY) LTD</w:t>
      </w:r>
      <w:r w:rsidR="00E61EEC" w:rsidRPr="00FE76A3">
        <w:rPr>
          <w:b/>
          <w:bCs/>
          <w:sz w:val="28"/>
          <w:szCs w:val="28"/>
          <w:lang w:val="en-ZA"/>
        </w:rPr>
        <w:tab/>
      </w:r>
      <w:r w:rsidR="00E61EEC" w:rsidRPr="00FE76A3">
        <w:rPr>
          <w:b/>
          <w:bCs/>
          <w:sz w:val="28"/>
          <w:szCs w:val="28"/>
          <w:lang w:val="en-ZA"/>
        </w:rPr>
        <w:tab/>
      </w:r>
      <w:r w:rsidR="00E61EEC" w:rsidRPr="00FE76A3">
        <w:rPr>
          <w:b/>
          <w:bCs/>
          <w:sz w:val="28"/>
          <w:szCs w:val="28"/>
          <w:lang w:val="en-ZA"/>
        </w:rPr>
        <w:tab/>
        <w:t xml:space="preserve">          </w:t>
      </w:r>
      <w:r w:rsidR="009B7AEA" w:rsidRPr="00FE76A3">
        <w:rPr>
          <w:b/>
          <w:bCs/>
          <w:sz w:val="28"/>
          <w:szCs w:val="28"/>
          <w:lang w:val="en-ZA"/>
        </w:rPr>
        <w:t xml:space="preserve">     </w:t>
      </w:r>
      <w:r w:rsidR="00AD060C" w:rsidRPr="00FE76A3">
        <w:rPr>
          <w:b/>
          <w:bCs/>
          <w:sz w:val="28"/>
          <w:szCs w:val="28"/>
          <w:lang w:val="en-ZA"/>
        </w:rPr>
        <w:t xml:space="preserve"> </w:t>
      </w:r>
      <w:r w:rsidR="009B7AEA" w:rsidRPr="00FE76A3">
        <w:rPr>
          <w:b/>
          <w:bCs/>
          <w:sz w:val="28"/>
          <w:szCs w:val="28"/>
          <w:lang w:val="en-ZA"/>
        </w:rPr>
        <w:t xml:space="preserve"> </w:t>
      </w:r>
      <w:r w:rsidR="001F1689" w:rsidRPr="00FE76A3">
        <w:rPr>
          <w:b/>
          <w:bCs/>
          <w:sz w:val="28"/>
          <w:szCs w:val="28"/>
          <w:lang w:val="en-ZA"/>
        </w:rPr>
        <w:t xml:space="preserve">  </w:t>
      </w:r>
      <w:r w:rsidR="00322A94" w:rsidRPr="00FE76A3">
        <w:rPr>
          <w:b/>
          <w:bCs/>
          <w:sz w:val="28"/>
          <w:szCs w:val="28"/>
        </w:rPr>
        <w:t>APPELLANT</w:t>
      </w:r>
    </w:p>
    <w:p w14:paraId="2C26B688" w14:textId="77777777" w:rsidR="009B7AEA" w:rsidRPr="00FE76A3" w:rsidRDefault="009B7AEA" w:rsidP="00896C95">
      <w:pPr>
        <w:rPr>
          <w:b/>
          <w:bCs/>
          <w:sz w:val="28"/>
          <w:szCs w:val="28"/>
        </w:rPr>
      </w:pPr>
    </w:p>
    <w:p w14:paraId="17F42577" w14:textId="3F55B8B9" w:rsidR="008B223B" w:rsidRPr="00FE76A3" w:rsidRDefault="009B7AEA" w:rsidP="00896C95">
      <w:pPr>
        <w:rPr>
          <w:bCs/>
          <w:sz w:val="28"/>
          <w:szCs w:val="28"/>
        </w:rPr>
      </w:pPr>
      <w:r w:rsidRPr="00FE76A3">
        <w:rPr>
          <w:bCs/>
          <w:sz w:val="28"/>
          <w:szCs w:val="28"/>
        </w:rPr>
        <w:t>a</w:t>
      </w:r>
      <w:r w:rsidR="00322A94" w:rsidRPr="00FE76A3">
        <w:rPr>
          <w:bCs/>
          <w:sz w:val="28"/>
          <w:szCs w:val="28"/>
        </w:rPr>
        <w:t>nd</w:t>
      </w:r>
    </w:p>
    <w:p w14:paraId="6B605211" w14:textId="77777777" w:rsidR="009B7AEA" w:rsidRPr="00FE76A3" w:rsidRDefault="009B7AEA" w:rsidP="00896C95">
      <w:pPr>
        <w:rPr>
          <w:bCs/>
          <w:sz w:val="28"/>
          <w:szCs w:val="28"/>
        </w:rPr>
      </w:pPr>
    </w:p>
    <w:p w14:paraId="5E1A92FA" w14:textId="779932EB" w:rsidR="009B7AEA" w:rsidRPr="00FE76A3" w:rsidRDefault="00805180" w:rsidP="00896C95">
      <w:pPr>
        <w:rPr>
          <w:b/>
          <w:bCs/>
          <w:sz w:val="28"/>
          <w:szCs w:val="28"/>
        </w:rPr>
      </w:pPr>
      <w:r w:rsidRPr="00FE76A3">
        <w:rPr>
          <w:b/>
          <w:bCs/>
          <w:sz w:val="28"/>
          <w:szCs w:val="28"/>
          <w:lang w:val="en-ZA"/>
        </w:rPr>
        <w:t>CECIL TSHEPO MOKOPANE MAFATE</w:t>
      </w:r>
      <w:r w:rsidR="00A07C63" w:rsidRPr="00FE76A3">
        <w:rPr>
          <w:b/>
          <w:bCs/>
          <w:sz w:val="28"/>
          <w:szCs w:val="28"/>
        </w:rPr>
        <w:tab/>
      </w:r>
      <w:r w:rsidR="00E61EEC" w:rsidRPr="00FE76A3">
        <w:rPr>
          <w:b/>
          <w:bCs/>
          <w:sz w:val="28"/>
          <w:szCs w:val="28"/>
        </w:rPr>
        <w:tab/>
      </w:r>
      <w:r w:rsidR="009B7AEA" w:rsidRPr="00FE76A3">
        <w:rPr>
          <w:b/>
          <w:bCs/>
          <w:sz w:val="28"/>
          <w:szCs w:val="28"/>
        </w:rPr>
        <w:tab/>
        <w:t xml:space="preserve">   </w:t>
      </w:r>
      <w:r w:rsidR="00322A94" w:rsidRPr="00FE76A3">
        <w:rPr>
          <w:b/>
          <w:bCs/>
          <w:sz w:val="28"/>
          <w:szCs w:val="28"/>
        </w:rPr>
        <w:t>RESPONDENT</w:t>
      </w:r>
    </w:p>
    <w:p w14:paraId="277F9A45" w14:textId="3B25EDFD" w:rsidR="008B223B" w:rsidRPr="00FE76A3" w:rsidRDefault="008B223B" w:rsidP="00896C95">
      <w:pPr>
        <w:rPr>
          <w:b/>
          <w:bCs/>
          <w:sz w:val="28"/>
          <w:szCs w:val="28"/>
        </w:rPr>
      </w:pPr>
    </w:p>
    <w:p w14:paraId="654E1EB5" w14:textId="0E50E952" w:rsidR="008B223B" w:rsidRPr="00FE76A3" w:rsidRDefault="00322A94" w:rsidP="00896C95">
      <w:pPr>
        <w:ind w:left="2160" w:hanging="2160"/>
        <w:rPr>
          <w:sz w:val="28"/>
          <w:szCs w:val="28"/>
        </w:rPr>
      </w:pPr>
      <w:r w:rsidRPr="00FE76A3">
        <w:rPr>
          <w:b/>
          <w:bCs/>
          <w:sz w:val="28"/>
          <w:szCs w:val="28"/>
        </w:rPr>
        <w:t>Neutral citation:</w:t>
      </w:r>
      <w:r w:rsidRPr="00FE76A3">
        <w:rPr>
          <w:b/>
          <w:bCs/>
          <w:sz w:val="28"/>
          <w:szCs w:val="28"/>
        </w:rPr>
        <w:tab/>
      </w:r>
      <w:r w:rsidR="00851231" w:rsidRPr="00FE76A3">
        <w:rPr>
          <w:bCs/>
          <w:i/>
          <w:sz w:val="28"/>
          <w:szCs w:val="28"/>
          <w:lang w:val="en-ZA"/>
        </w:rPr>
        <w:t>Shoprite Checkers (Pty) Ltd v Mafate</w:t>
      </w:r>
      <w:r w:rsidR="00E61EEC" w:rsidRPr="00FE76A3">
        <w:rPr>
          <w:b/>
          <w:bCs/>
          <w:sz w:val="28"/>
          <w:szCs w:val="28"/>
        </w:rPr>
        <w:t xml:space="preserve"> </w:t>
      </w:r>
      <w:r w:rsidR="000F7BBF" w:rsidRPr="00FE76A3">
        <w:rPr>
          <w:bCs/>
          <w:sz w:val="28"/>
          <w:szCs w:val="28"/>
        </w:rPr>
        <w:t>(</w:t>
      </w:r>
      <w:r w:rsidR="00851231" w:rsidRPr="00FE76A3">
        <w:rPr>
          <w:bCs/>
          <w:sz w:val="28"/>
          <w:szCs w:val="28"/>
          <w:lang w:val="en-ZA"/>
        </w:rPr>
        <w:t>903</w:t>
      </w:r>
      <w:r w:rsidR="0076316A" w:rsidRPr="00FE76A3">
        <w:rPr>
          <w:bCs/>
          <w:sz w:val="28"/>
          <w:szCs w:val="28"/>
          <w:lang w:val="en-ZA"/>
        </w:rPr>
        <w:t>/2021</w:t>
      </w:r>
      <w:r w:rsidRPr="00FE76A3">
        <w:rPr>
          <w:bCs/>
          <w:sz w:val="28"/>
          <w:szCs w:val="28"/>
        </w:rPr>
        <w:t>) [202</w:t>
      </w:r>
      <w:r w:rsidR="00851231" w:rsidRPr="00FE76A3">
        <w:rPr>
          <w:bCs/>
          <w:sz w:val="28"/>
          <w:szCs w:val="28"/>
        </w:rPr>
        <w:t>3</w:t>
      </w:r>
      <w:r w:rsidR="00155787">
        <w:rPr>
          <w:bCs/>
          <w:sz w:val="28"/>
          <w:szCs w:val="28"/>
        </w:rPr>
        <w:t>] ZASCA 1</w:t>
      </w:r>
      <w:r w:rsidR="0036130F">
        <w:rPr>
          <w:bCs/>
          <w:sz w:val="28"/>
          <w:szCs w:val="28"/>
        </w:rPr>
        <w:t>4</w:t>
      </w:r>
      <w:r w:rsidRPr="00FE76A3">
        <w:rPr>
          <w:bCs/>
          <w:sz w:val="28"/>
          <w:szCs w:val="28"/>
        </w:rPr>
        <w:t xml:space="preserve"> (</w:t>
      </w:r>
      <w:r w:rsidR="00A7434C">
        <w:rPr>
          <w:bCs/>
          <w:sz w:val="28"/>
          <w:szCs w:val="28"/>
        </w:rPr>
        <w:t>17 February</w:t>
      </w:r>
      <w:r w:rsidR="002949B6" w:rsidRPr="00FE76A3">
        <w:rPr>
          <w:bCs/>
          <w:sz w:val="28"/>
          <w:szCs w:val="28"/>
        </w:rPr>
        <w:t xml:space="preserve"> 202</w:t>
      </w:r>
      <w:r w:rsidR="00851231" w:rsidRPr="00FE76A3">
        <w:rPr>
          <w:bCs/>
          <w:sz w:val="28"/>
          <w:szCs w:val="28"/>
        </w:rPr>
        <w:t>3</w:t>
      </w:r>
      <w:r w:rsidRPr="00FE76A3">
        <w:rPr>
          <w:bCs/>
          <w:sz w:val="28"/>
          <w:szCs w:val="28"/>
        </w:rPr>
        <w:t>)</w:t>
      </w:r>
    </w:p>
    <w:p w14:paraId="00FCF733" w14:textId="32077EA5" w:rsidR="008B223B" w:rsidRPr="00FE76A3" w:rsidRDefault="00322A94" w:rsidP="00896C95">
      <w:pPr>
        <w:ind w:left="1440" w:hanging="1440"/>
        <w:rPr>
          <w:b/>
          <w:bCs/>
          <w:i/>
          <w:iCs/>
          <w:sz w:val="28"/>
          <w:szCs w:val="28"/>
        </w:rPr>
      </w:pPr>
      <w:r w:rsidRPr="00FE76A3">
        <w:rPr>
          <w:b/>
          <w:bCs/>
          <w:sz w:val="28"/>
          <w:szCs w:val="28"/>
        </w:rPr>
        <w:t>Coram:</w:t>
      </w:r>
      <w:r w:rsidR="00996D5D" w:rsidRPr="00FE76A3">
        <w:rPr>
          <w:sz w:val="28"/>
          <w:szCs w:val="28"/>
        </w:rPr>
        <w:tab/>
        <w:t>PETSE A</w:t>
      </w:r>
      <w:r w:rsidRPr="00FE76A3">
        <w:rPr>
          <w:sz w:val="28"/>
          <w:szCs w:val="28"/>
        </w:rPr>
        <w:t xml:space="preserve">P and </w:t>
      </w:r>
      <w:r w:rsidR="00851231" w:rsidRPr="00FE76A3">
        <w:rPr>
          <w:sz w:val="28"/>
          <w:szCs w:val="28"/>
          <w:lang w:val="en-ZA"/>
        </w:rPr>
        <w:t>MOCUMIE and CARELSE JJA and NHLANGULELA and CHETTY AJJA</w:t>
      </w:r>
    </w:p>
    <w:p w14:paraId="03A41328" w14:textId="2B1AAF0B" w:rsidR="008B223B" w:rsidRPr="00FE76A3" w:rsidRDefault="00322A94" w:rsidP="00896C95">
      <w:pPr>
        <w:rPr>
          <w:b/>
          <w:bCs/>
          <w:sz w:val="28"/>
          <w:szCs w:val="28"/>
        </w:rPr>
      </w:pPr>
      <w:r w:rsidRPr="00FE76A3">
        <w:rPr>
          <w:b/>
          <w:bCs/>
          <w:sz w:val="28"/>
          <w:szCs w:val="28"/>
        </w:rPr>
        <w:t>Heard</w:t>
      </w:r>
      <w:r w:rsidRPr="00FE76A3">
        <w:rPr>
          <w:b/>
          <w:sz w:val="28"/>
          <w:szCs w:val="28"/>
        </w:rPr>
        <w:t>:</w:t>
      </w:r>
      <w:r w:rsidRPr="00FE76A3">
        <w:rPr>
          <w:sz w:val="28"/>
          <w:szCs w:val="28"/>
        </w:rPr>
        <w:tab/>
      </w:r>
      <w:r w:rsidR="00E61EEC" w:rsidRPr="00FE76A3">
        <w:rPr>
          <w:sz w:val="28"/>
          <w:szCs w:val="28"/>
          <w:lang w:val="en-ZA"/>
        </w:rPr>
        <w:t>0</w:t>
      </w:r>
      <w:r w:rsidR="00AE6F17" w:rsidRPr="00FE76A3">
        <w:rPr>
          <w:sz w:val="28"/>
          <w:szCs w:val="28"/>
          <w:lang w:val="en-ZA"/>
        </w:rPr>
        <w:t>8</w:t>
      </w:r>
      <w:r w:rsidR="00E61EEC" w:rsidRPr="00FE76A3">
        <w:rPr>
          <w:sz w:val="28"/>
          <w:szCs w:val="28"/>
          <w:lang w:val="en-ZA"/>
        </w:rPr>
        <w:t xml:space="preserve"> November 202</w:t>
      </w:r>
      <w:r w:rsidR="00AE6F17" w:rsidRPr="00FE76A3">
        <w:rPr>
          <w:sz w:val="28"/>
          <w:szCs w:val="28"/>
          <w:lang w:val="en-ZA"/>
        </w:rPr>
        <w:t>2</w:t>
      </w:r>
    </w:p>
    <w:p w14:paraId="6D35D6C6" w14:textId="55BDB2B4" w:rsidR="00AE6F17" w:rsidRPr="00FE76A3" w:rsidRDefault="00322A94" w:rsidP="00896C95">
      <w:pPr>
        <w:rPr>
          <w:b/>
          <w:bCs/>
          <w:sz w:val="28"/>
          <w:szCs w:val="28"/>
          <w:lang w:val="en-ZA"/>
        </w:rPr>
      </w:pPr>
      <w:r w:rsidRPr="00FE76A3">
        <w:rPr>
          <w:b/>
          <w:bCs/>
          <w:sz w:val="28"/>
          <w:szCs w:val="28"/>
        </w:rPr>
        <w:t>Delivered</w:t>
      </w:r>
      <w:r w:rsidRPr="00FE76A3">
        <w:rPr>
          <w:b/>
          <w:sz w:val="28"/>
          <w:szCs w:val="28"/>
        </w:rPr>
        <w:t>:</w:t>
      </w:r>
      <w:r w:rsidRPr="00FE76A3">
        <w:rPr>
          <w:sz w:val="28"/>
          <w:szCs w:val="28"/>
        </w:rPr>
        <w:tab/>
      </w:r>
      <w:r w:rsidR="00A7434C">
        <w:rPr>
          <w:sz w:val="28"/>
          <w:szCs w:val="28"/>
          <w:lang w:val="en-ZA"/>
        </w:rPr>
        <w:t>17</w:t>
      </w:r>
      <w:r w:rsidR="000F7BBF" w:rsidRPr="00FE76A3">
        <w:rPr>
          <w:sz w:val="28"/>
          <w:szCs w:val="28"/>
          <w:lang w:val="en-ZA"/>
        </w:rPr>
        <w:t xml:space="preserve"> February</w:t>
      </w:r>
      <w:r w:rsidR="00AE6F17" w:rsidRPr="00FE76A3">
        <w:rPr>
          <w:sz w:val="28"/>
          <w:szCs w:val="28"/>
          <w:lang w:val="en-ZA"/>
        </w:rPr>
        <w:t xml:space="preserve"> 2023</w:t>
      </w:r>
    </w:p>
    <w:p w14:paraId="62FB14EF" w14:textId="6340E46C" w:rsidR="008B223B" w:rsidRPr="00FE76A3" w:rsidRDefault="00322A94" w:rsidP="004D5C8A">
      <w:pPr>
        <w:rPr>
          <w:bCs/>
          <w:sz w:val="28"/>
          <w:szCs w:val="28"/>
          <w:lang w:val="en-ZA"/>
        </w:rPr>
      </w:pPr>
      <w:r w:rsidRPr="00FE76A3">
        <w:rPr>
          <w:b/>
          <w:bCs/>
          <w:sz w:val="28"/>
          <w:szCs w:val="28"/>
        </w:rPr>
        <w:t xml:space="preserve">Summary: </w:t>
      </w:r>
      <w:r w:rsidR="0024206E" w:rsidRPr="00FE76A3">
        <w:rPr>
          <w:sz w:val="28"/>
          <w:szCs w:val="28"/>
          <w:lang w:val="en-ZA"/>
        </w:rPr>
        <w:t xml:space="preserve">Prescription – extinctive prescription – sections 12 and 13 of the Prescription Act 68 of 1969 (the </w:t>
      </w:r>
      <w:r w:rsidR="001565E9" w:rsidRPr="00FE76A3">
        <w:rPr>
          <w:sz w:val="28"/>
          <w:szCs w:val="28"/>
          <w:lang w:val="en-ZA"/>
        </w:rPr>
        <w:t xml:space="preserve">Prescription </w:t>
      </w:r>
      <w:r w:rsidR="0024206E" w:rsidRPr="00FE76A3">
        <w:rPr>
          <w:sz w:val="28"/>
          <w:szCs w:val="28"/>
          <w:lang w:val="en-ZA"/>
        </w:rPr>
        <w:t xml:space="preserve">Act) – whether </w:t>
      </w:r>
      <w:r w:rsidR="001905B8" w:rsidRPr="00FE76A3">
        <w:rPr>
          <w:sz w:val="28"/>
          <w:szCs w:val="28"/>
          <w:lang w:val="en-ZA"/>
        </w:rPr>
        <w:t>sections</w:t>
      </w:r>
      <w:r w:rsidR="0024206E" w:rsidRPr="00FE76A3">
        <w:rPr>
          <w:sz w:val="28"/>
          <w:szCs w:val="28"/>
          <w:lang w:val="en-ZA"/>
        </w:rPr>
        <w:t xml:space="preserve"> 12 and 13 of the </w:t>
      </w:r>
      <w:r w:rsidR="001565E9" w:rsidRPr="00FE76A3">
        <w:rPr>
          <w:sz w:val="28"/>
          <w:szCs w:val="28"/>
          <w:lang w:val="en-ZA"/>
        </w:rPr>
        <w:t xml:space="preserve">Prescription </w:t>
      </w:r>
      <w:r w:rsidR="0024206E" w:rsidRPr="00FE76A3">
        <w:rPr>
          <w:sz w:val="28"/>
          <w:szCs w:val="28"/>
          <w:lang w:val="en-ZA"/>
        </w:rPr>
        <w:t xml:space="preserve">Act </w:t>
      </w:r>
      <w:r w:rsidR="00D26FD1" w:rsidRPr="00FE76A3">
        <w:rPr>
          <w:sz w:val="28"/>
          <w:szCs w:val="28"/>
          <w:lang w:val="en-ZA"/>
        </w:rPr>
        <w:t>are</w:t>
      </w:r>
      <w:r w:rsidR="0024206E" w:rsidRPr="00FE76A3">
        <w:rPr>
          <w:sz w:val="28"/>
          <w:szCs w:val="28"/>
          <w:lang w:val="en-ZA"/>
        </w:rPr>
        <w:t xml:space="preserve"> mutually exclusive – whether curator appointed on behalf </w:t>
      </w:r>
      <w:r w:rsidR="0024206E" w:rsidRPr="00FE76A3">
        <w:rPr>
          <w:sz w:val="28"/>
          <w:szCs w:val="28"/>
          <w:lang w:val="en-ZA"/>
        </w:rPr>
        <w:lastRenderedPageBreak/>
        <w:t xml:space="preserve">of person suffering from permanent mental incapacity precluded from invoking </w:t>
      </w:r>
      <w:r w:rsidR="00D26FD1" w:rsidRPr="00FE76A3">
        <w:rPr>
          <w:sz w:val="28"/>
          <w:szCs w:val="28"/>
          <w:lang w:val="en-ZA"/>
        </w:rPr>
        <w:t>s</w:t>
      </w:r>
      <w:r w:rsidR="0024206E" w:rsidRPr="00FE76A3">
        <w:rPr>
          <w:sz w:val="28"/>
          <w:szCs w:val="28"/>
          <w:lang w:val="en-ZA"/>
        </w:rPr>
        <w:t xml:space="preserve"> 12 of the </w:t>
      </w:r>
      <w:r w:rsidR="001565E9" w:rsidRPr="00FE76A3">
        <w:rPr>
          <w:sz w:val="28"/>
          <w:szCs w:val="28"/>
          <w:lang w:val="en-ZA"/>
        </w:rPr>
        <w:t xml:space="preserve">Prescription </w:t>
      </w:r>
      <w:r w:rsidR="0024206E" w:rsidRPr="00FE76A3">
        <w:rPr>
          <w:sz w:val="28"/>
          <w:szCs w:val="28"/>
          <w:lang w:val="en-ZA"/>
        </w:rPr>
        <w:t xml:space="preserve">Act read with </w:t>
      </w:r>
      <w:r w:rsidR="00D26FD1" w:rsidRPr="00FE76A3">
        <w:rPr>
          <w:sz w:val="28"/>
          <w:szCs w:val="28"/>
          <w:lang w:val="en-ZA"/>
        </w:rPr>
        <w:t>s</w:t>
      </w:r>
      <w:r w:rsidR="0024206E" w:rsidRPr="00FE76A3">
        <w:rPr>
          <w:sz w:val="28"/>
          <w:szCs w:val="28"/>
          <w:lang w:val="en-ZA"/>
        </w:rPr>
        <w:t xml:space="preserve"> 13 – </w:t>
      </w:r>
      <w:bookmarkStart w:id="1" w:name="_Hlk125451876"/>
      <w:r w:rsidR="0024206E" w:rsidRPr="00FE76A3">
        <w:rPr>
          <w:sz w:val="28"/>
          <w:szCs w:val="28"/>
          <w:lang w:val="en-ZA"/>
        </w:rPr>
        <w:t xml:space="preserve">whether the appointment of a </w:t>
      </w:r>
      <w:r w:rsidR="0024206E" w:rsidRPr="00FE76A3">
        <w:rPr>
          <w:i/>
          <w:iCs/>
          <w:sz w:val="28"/>
          <w:szCs w:val="28"/>
          <w:lang w:val="en-ZA"/>
        </w:rPr>
        <w:t>curator ad litem</w:t>
      </w:r>
      <w:r w:rsidR="0024206E" w:rsidRPr="00FE76A3">
        <w:rPr>
          <w:sz w:val="28"/>
          <w:szCs w:val="28"/>
          <w:lang w:val="en-ZA"/>
        </w:rPr>
        <w:t xml:space="preserve"> for a person suffering from mental or intellectual disability, disorder or incapacity has the effect that the relevant impediment referred to in paragraph (a) of s 13(1) ceases to exist. </w:t>
      </w:r>
    </w:p>
    <w:bookmarkEnd w:id="1"/>
    <w:p w14:paraId="6B3421F2" w14:textId="1BD10291" w:rsidR="008B223B" w:rsidRPr="00FE76A3" w:rsidRDefault="00322A94" w:rsidP="003758EC">
      <w:pPr>
        <w:pBdr>
          <w:bottom w:val="single" w:sz="12" w:space="1" w:color="auto"/>
        </w:pBdr>
      </w:pPr>
      <w:r w:rsidRPr="00FE76A3">
        <w:rPr>
          <w:bCs/>
          <w:sz w:val="28"/>
          <w:szCs w:val="28"/>
        </w:rPr>
        <w:br w:type="page"/>
      </w:r>
    </w:p>
    <w:p w14:paraId="7DE69F43" w14:textId="6373E2F2" w:rsidR="004B15BC" w:rsidRPr="00FE76A3" w:rsidRDefault="002053D6">
      <w:pPr>
        <w:contextualSpacing/>
        <w:rPr>
          <w:b/>
          <w:bCs/>
          <w:sz w:val="28"/>
          <w:szCs w:val="28"/>
        </w:rPr>
      </w:pPr>
      <w:r>
        <w:rPr>
          <w:b/>
          <w:bCs/>
          <w:sz w:val="28"/>
          <w:szCs w:val="28"/>
        </w:rPr>
        <w:lastRenderedPageBreak/>
        <w:pict w14:anchorId="3C65F3C0">
          <v:rect id="_x0000_i1025" style="width:468pt;height:1.5pt" o:hralign="center" o:hrstd="t" o:hrnoshade="t" o:hr="t" fillcolor="black [3213]" stroked="f"/>
        </w:pict>
      </w:r>
    </w:p>
    <w:p w14:paraId="6FD6392D" w14:textId="7B7CE02A" w:rsidR="004B15BC" w:rsidRPr="00FE76A3" w:rsidRDefault="004B15BC" w:rsidP="004B15BC">
      <w:pPr>
        <w:spacing w:before="120"/>
        <w:contextualSpacing/>
        <w:jc w:val="center"/>
        <w:rPr>
          <w:b/>
          <w:bCs/>
          <w:sz w:val="28"/>
          <w:szCs w:val="28"/>
        </w:rPr>
      </w:pPr>
      <w:r w:rsidRPr="00FE76A3">
        <w:rPr>
          <w:b/>
          <w:bCs/>
          <w:sz w:val="28"/>
          <w:szCs w:val="28"/>
        </w:rPr>
        <w:t>ORDER</w:t>
      </w:r>
    </w:p>
    <w:p w14:paraId="085C5655" w14:textId="5CED9E8F" w:rsidR="004B15BC" w:rsidRPr="00FE76A3" w:rsidRDefault="002053D6">
      <w:pPr>
        <w:contextualSpacing/>
        <w:rPr>
          <w:b/>
          <w:bCs/>
          <w:sz w:val="28"/>
          <w:szCs w:val="28"/>
        </w:rPr>
      </w:pPr>
      <w:r>
        <w:rPr>
          <w:b/>
          <w:bCs/>
          <w:sz w:val="28"/>
          <w:szCs w:val="28"/>
        </w:rPr>
        <w:pict w14:anchorId="372D38ED">
          <v:rect id="_x0000_i1026" style="width:468pt;height:1.5pt" o:hralign="center" o:hrstd="t" o:hrnoshade="t" o:hr="t" fillcolor="black [3213]" stroked="f"/>
        </w:pict>
      </w:r>
    </w:p>
    <w:p w14:paraId="2CF8E7F2" w14:textId="25E58913" w:rsidR="008B223B" w:rsidRPr="00FE76A3" w:rsidRDefault="00322A94">
      <w:pPr>
        <w:contextualSpacing/>
        <w:rPr>
          <w:bCs/>
          <w:sz w:val="28"/>
          <w:szCs w:val="28"/>
        </w:rPr>
      </w:pPr>
      <w:r w:rsidRPr="00FE76A3">
        <w:rPr>
          <w:b/>
          <w:bCs/>
          <w:sz w:val="28"/>
          <w:szCs w:val="28"/>
        </w:rPr>
        <w:t xml:space="preserve">On appeal from: </w:t>
      </w:r>
      <w:r w:rsidR="00E06AB8" w:rsidRPr="00FE76A3">
        <w:rPr>
          <w:bCs/>
          <w:sz w:val="28"/>
          <w:szCs w:val="28"/>
        </w:rPr>
        <w:t>Gauteng</w:t>
      </w:r>
      <w:r w:rsidR="00B855A7" w:rsidRPr="00FE76A3">
        <w:rPr>
          <w:bCs/>
          <w:sz w:val="28"/>
          <w:szCs w:val="28"/>
          <w:lang w:val="en-ZA"/>
        </w:rPr>
        <w:t xml:space="preserve"> Division</w:t>
      </w:r>
      <w:r w:rsidRPr="00FE76A3">
        <w:rPr>
          <w:bCs/>
          <w:sz w:val="28"/>
          <w:szCs w:val="28"/>
        </w:rPr>
        <w:t xml:space="preserve"> of the High Court, </w:t>
      </w:r>
      <w:r w:rsidR="00E06AB8" w:rsidRPr="00FE76A3">
        <w:rPr>
          <w:bCs/>
          <w:sz w:val="28"/>
          <w:szCs w:val="28"/>
          <w:lang w:val="en-ZA"/>
        </w:rPr>
        <w:t>Johannesburg</w:t>
      </w:r>
      <w:r w:rsidRPr="00FE76A3">
        <w:rPr>
          <w:bCs/>
          <w:sz w:val="28"/>
          <w:szCs w:val="28"/>
          <w:lang w:val="en-ZA"/>
        </w:rPr>
        <w:t xml:space="preserve"> </w:t>
      </w:r>
      <w:r w:rsidRPr="00FE76A3">
        <w:rPr>
          <w:bCs/>
          <w:sz w:val="28"/>
          <w:szCs w:val="28"/>
        </w:rPr>
        <w:t>(</w:t>
      </w:r>
      <w:r w:rsidR="00F86DF5" w:rsidRPr="00FE76A3">
        <w:rPr>
          <w:bCs/>
          <w:sz w:val="28"/>
          <w:szCs w:val="28"/>
          <w:lang w:val="en-ZA"/>
        </w:rPr>
        <w:t>Maniom</w:t>
      </w:r>
      <w:r w:rsidRPr="00FE76A3">
        <w:rPr>
          <w:bCs/>
          <w:sz w:val="28"/>
          <w:szCs w:val="28"/>
          <w:lang w:val="en-ZA"/>
        </w:rPr>
        <w:t xml:space="preserve"> </w:t>
      </w:r>
      <w:r w:rsidR="0023228E" w:rsidRPr="00FE76A3">
        <w:rPr>
          <w:bCs/>
          <w:sz w:val="28"/>
          <w:szCs w:val="28"/>
          <w:lang w:val="en-ZA"/>
        </w:rPr>
        <w:t>A</w:t>
      </w:r>
      <w:r w:rsidRPr="00FE76A3">
        <w:rPr>
          <w:bCs/>
          <w:sz w:val="28"/>
          <w:szCs w:val="28"/>
        </w:rPr>
        <w:t>J, sitting as court of first instance):</w:t>
      </w:r>
    </w:p>
    <w:p w14:paraId="6E6AE69B" w14:textId="2F39EFE0" w:rsidR="00E06AB8" w:rsidRPr="00FE76A3" w:rsidRDefault="00E06AB8">
      <w:pPr>
        <w:contextualSpacing/>
        <w:rPr>
          <w:bCs/>
          <w:sz w:val="10"/>
          <w:szCs w:val="10"/>
        </w:rPr>
      </w:pPr>
      <w:r w:rsidRPr="00FE76A3">
        <w:rPr>
          <w:bCs/>
          <w:sz w:val="28"/>
          <w:szCs w:val="10"/>
        </w:rPr>
        <w:t>The appeal is dismissed with costs</w:t>
      </w:r>
      <w:r w:rsidR="005C2552" w:rsidRPr="00FE76A3">
        <w:rPr>
          <w:bCs/>
          <w:sz w:val="28"/>
          <w:szCs w:val="10"/>
        </w:rPr>
        <w:t>.</w:t>
      </w:r>
    </w:p>
    <w:p w14:paraId="27429C7F" w14:textId="3CA0EAD7" w:rsidR="004B15BC" w:rsidRPr="00FE76A3" w:rsidRDefault="002053D6" w:rsidP="00F46591">
      <w:pPr>
        <w:spacing w:before="240"/>
        <w:rPr>
          <w:b/>
          <w:sz w:val="28"/>
          <w:szCs w:val="28"/>
          <w:lang w:val="en-ZA"/>
        </w:rPr>
      </w:pPr>
      <w:r>
        <w:rPr>
          <w:b/>
          <w:bCs/>
          <w:sz w:val="28"/>
          <w:szCs w:val="28"/>
        </w:rPr>
        <w:pict w14:anchorId="6EC953CE">
          <v:rect id="_x0000_i1027" style="width:468pt;height:1.5pt" o:hralign="center" o:hrstd="t" o:hrnoshade="t" o:hr="t" fillcolor="black [3213]" stroked="f"/>
        </w:pict>
      </w:r>
    </w:p>
    <w:p w14:paraId="417A6A16" w14:textId="2755866B" w:rsidR="004B15BC" w:rsidRPr="00FE76A3" w:rsidRDefault="004B15BC" w:rsidP="004B15BC">
      <w:pPr>
        <w:spacing w:before="120"/>
        <w:jc w:val="center"/>
        <w:rPr>
          <w:b/>
          <w:sz w:val="28"/>
          <w:szCs w:val="28"/>
          <w:lang w:val="en-ZA"/>
        </w:rPr>
      </w:pPr>
      <w:r w:rsidRPr="00FE76A3">
        <w:rPr>
          <w:b/>
          <w:sz w:val="28"/>
          <w:szCs w:val="28"/>
          <w:lang w:val="en-ZA"/>
        </w:rPr>
        <w:t>JUDGMENT</w:t>
      </w:r>
    </w:p>
    <w:p w14:paraId="33C88F24" w14:textId="1084A62E" w:rsidR="004B15BC" w:rsidRPr="00FE76A3" w:rsidRDefault="002053D6" w:rsidP="004B15BC">
      <w:pPr>
        <w:spacing w:before="120"/>
        <w:jc w:val="center"/>
        <w:rPr>
          <w:b/>
          <w:sz w:val="28"/>
          <w:szCs w:val="28"/>
          <w:lang w:val="en-ZA"/>
        </w:rPr>
      </w:pPr>
      <w:r>
        <w:rPr>
          <w:b/>
          <w:bCs/>
          <w:sz w:val="28"/>
          <w:szCs w:val="28"/>
        </w:rPr>
        <w:pict w14:anchorId="5A37249E">
          <v:rect id="_x0000_i1028" style="width:468pt;height:1.5pt" o:hralign="center" o:hrstd="t" o:hrnoshade="t" o:hr="t" fillcolor="black [3213]" stroked="f"/>
        </w:pict>
      </w:r>
    </w:p>
    <w:p w14:paraId="15725346" w14:textId="48E73EB3" w:rsidR="008B223B" w:rsidRPr="00FE76A3" w:rsidRDefault="000B2D41" w:rsidP="004B15BC">
      <w:pPr>
        <w:rPr>
          <w:b/>
          <w:sz w:val="28"/>
          <w:szCs w:val="28"/>
          <w:lang w:val="en-ZA"/>
        </w:rPr>
      </w:pPr>
      <w:r w:rsidRPr="00FE76A3">
        <w:rPr>
          <w:b/>
          <w:sz w:val="28"/>
          <w:szCs w:val="28"/>
          <w:lang w:val="en-ZA"/>
        </w:rPr>
        <w:t>Petse A</w:t>
      </w:r>
      <w:r w:rsidR="00322A94" w:rsidRPr="00FE76A3">
        <w:rPr>
          <w:b/>
          <w:sz w:val="28"/>
          <w:szCs w:val="28"/>
          <w:lang w:val="en-ZA"/>
        </w:rPr>
        <w:t>P</w:t>
      </w:r>
      <w:r w:rsidR="00FE76A3">
        <w:rPr>
          <w:b/>
          <w:sz w:val="28"/>
          <w:szCs w:val="28"/>
        </w:rPr>
        <w:t xml:space="preserve"> (Mocumie and Carelse JJA and Nhlangulela and Chetty AJJA</w:t>
      </w:r>
      <w:r w:rsidR="00322A94" w:rsidRPr="00FE76A3">
        <w:rPr>
          <w:b/>
          <w:sz w:val="28"/>
          <w:szCs w:val="28"/>
          <w:lang w:val="en-ZA"/>
        </w:rPr>
        <w:t>concurring</w:t>
      </w:r>
      <w:r w:rsidR="00322A94" w:rsidRPr="00FE76A3">
        <w:rPr>
          <w:b/>
          <w:sz w:val="28"/>
          <w:szCs w:val="28"/>
        </w:rPr>
        <w:t>)</w:t>
      </w:r>
      <w:r w:rsidR="00322A94" w:rsidRPr="00FE76A3">
        <w:rPr>
          <w:b/>
          <w:sz w:val="28"/>
          <w:szCs w:val="28"/>
          <w:lang w:val="en-ZA"/>
        </w:rPr>
        <w:t>:</w:t>
      </w:r>
    </w:p>
    <w:p w14:paraId="145BEF1E" w14:textId="413B3306" w:rsidR="006E1492" w:rsidRPr="00FE76A3" w:rsidRDefault="006E1492" w:rsidP="00490E05">
      <w:pPr>
        <w:tabs>
          <w:tab w:val="left" w:pos="284"/>
        </w:tabs>
      </w:pPr>
    </w:p>
    <w:p w14:paraId="172138A3" w14:textId="2461BD05" w:rsidR="00E06AB8" w:rsidRPr="00FE76A3" w:rsidRDefault="00E06AB8" w:rsidP="00490E05">
      <w:pPr>
        <w:tabs>
          <w:tab w:val="left" w:pos="284"/>
        </w:tabs>
        <w:rPr>
          <w:sz w:val="28"/>
        </w:rPr>
      </w:pPr>
      <w:r w:rsidRPr="00FE76A3">
        <w:rPr>
          <w:b/>
          <w:sz w:val="28"/>
        </w:rPr>
        <w:t>Introduction</w:t>
      </w:r>
    </w:p>
    <w:p w14:paraId="549D1F23" w14:textId="25522125" w:rsidR="00E06AB8" w:rsidRPr="00FE76A3" w:rsidRDefault="00E06AB8" w:rsidP="00490E05">
      <w:pPr>
        <w:tabs>
          <w:tab w:val="left" w:pos="284"/>
        </w:tabs>
        <w:rPr>
          <w:sz w:val="28"/>
        </w:rPr>
      </w:pPr>
      <w:r w:rsidRPr="00FE76A3">
        <w:rPr>
          <w:sz w:val="28"/>
        </w:rPr>
        <w:t>[1]</w:t>
      </w:r>
      <w:r w:rsidRPr="00FE76A3">
        <w:rPr>
          <w:sz w:val="28"/>
        </w:rPr>
        <w:tab/>
        <w:t xml:space="preserve">This appeal raises two crisp </w:t>
      </w:r>
      <w:r w:rsidR="001F1689" w:rsidRPr="00FE76A3">
        <w:rPr>
          <w:sz w:val="28"/>
        </w:rPr>
        <w:t xml:space="preserve">but </w:t>
      </w:r>
      <w:r w:rsidRPr="00FE76A3">
        <w:rPr>
          <w:sz w:val="28"/>
        </w:rPr>
        <w:t xml:space="preserve">vexed questions. First, whether the appointment of a </w:t>
      </w:r>
      <w:r w:rsidRPr="00FE76A3">
        <w:rPr>
          <w:i/>
          <w:sz w:val="28"/>
        </w:rPr>
        <w:t>curator ad litem</w:t>
      </w:r>
      <w:r w:rsidRPr="00FE76A3">
        <w:rPr>
          <w:sz w:val="28"/>
        </w:rPr>
        <w:t xml:space="preserve"> to a person with a mental or intellectual disability, disorder or incapacity</w:t>
      </w:r>
      <w:r w:rsidR="009B7AEA" w:rsidRPr="00FE76A3">
        <w:rPr>
          <w:sz w:val="28"/>
        </w:rPr>
        <w:t>,</w:t>
      </w:r>
      <w:r w:rsidRPr="00FE76A3">
        <w:rPr>
          <w:sz w:val="28"/>
        </w:rPr>
        <w:t xml:space="preserve"> who, because of his or her mental condition is bereft of legal capacity</w:t>
      </w:r>
      <w:r w:rsidR="0023228E" w:rsidRPr="00FE76A3">
        <w:rPr>
          <w:sz w:val="28"/>
        </w:rPr>
        <w:t>,</w:t>
      </w:r>
      <w:r w:rsidRPr="00FE76A3">
        <w:rPr>
          <w:rStyle w:val="FootnoteReference"/>
          <w:sz w:val="28"/>
        </w:rPr>
        <w:footnoteReference w:id="1"/>
      </w:r>
      <w:r w:rsidR="00030056" w:rsidRPr="00FE76A3">
        <w:rPr>
          <w:sz w:val="28"/>
        </w:rPr>
        <w:t xml:space="preserve"> has the effect that the r</w:t>
      </w:r>
      <w:r w:rsidR="005C2552" w:rsidRPr="00FE76A3">
        <w:rPr>
          <w:sz w:val="28"/>
        </w:rPr>
        <w:t xml:space="preserve">elevant impediment referred to </w:t>
      </w:r>
      <w:r w:rsidR="00030056" w:rsidRPr="00FE76A3">
        <w:rPr>
          <w:sz w:val="28"/>
        </w:rPr>
        <w:t xml:space="preserve">in paragraph (a) of s 13(1) of the Prescription Act 68 of 1969 (the </w:t>
      </w:r>
      <w:r w:rsidR="00075D41" w:rsidRPr="00FE76A3">
        <w:rPr>
          <w:sz w:val="28"/>
        </w:rPr>
        <w:t xml:space="preserve">Prescription </w:t>
      </w:r>
      <w:r w:rsidR="00030056" w:rsidRPr="00FE76A3">
        <w:rPr>
          <w:sz w:val="28"/>
        </w:rPr>
        <w:t xml:space="preserve">Act) ceases to exist. </w:t>
      </w:r>
      <w:r w:rsidR="00DB2C76" w:rsidRPr="00FE76A3">
        <w:rPr>
          <w:sz w:val="28"/>
        </w:rPr>
        <w:t>Second, whether a curator appointed for a person with a mental or intellectual disability, disorder or incapacity is, apart from relying on s 13(1)</w:t>
      </w:r>
      <w:r w:rsidR="00DB2C76" w:rsidRPr="00FE76A3">
        <w:rPr>
          <w:i/>
          <w:sz w:val="28"/>
        </w:rPr>
        <w:t>(a)</w:t>
      </w:r>
      <w:r w:rsidR="00DB2C76" w:rsidRPr="00FE76A3">
        <w:rPr>
          <w:sz w:val="28"/>
        </w:rPr>
        <w:t>, precluded from invoking s 12 of the</w:t>
      </w:r>
      <w:r w:rsidR="003C46D5" w:rsidRPr="00FE76A3">
        <w:rPr>
          <w:sz w:val="28"/>
        </w:rPr>
        <w:t xml:space="preserve"> Prescription</w:t>
      </w:r>
      <w:r w:rsidR="00DB2C76" w:rsidRPr="00FE76A3">
        <w:rPr>
          <w:sz w:val="28"/>
        </w:rPr>
        <w:t xml:space="preserve"> Act in circumstances where he or she and the person under curatorship did not have knowledge of the </w:t>
      </w:r>
      <w:r w:rsidR="003C46D5" w:rsidRPr="00FE76A3">
        <w:rPr>
          <w:sz w:val="28"/>
        </w:rPr>
        <w:t>identity</w:t>
      </w:r>
      <w:r w:rsidR="00DB2C76" w:rsidRPr="00FE76A3">
        <w:rPr>
          <w:sz w:val="28"/>
        </w:rPr>
        <w:t xml:space="preserve"> of the debtor and the facts </w:t>
      </w:r>
      <w:r w:rsidR="00DB2C76" w:rsidRPr="00FE76A3">
        <w:rPr>
          <w:sz w:val="28"/>
        </w:rPr>
        <w:lastRenderedPageBreak/>
        <w:t xml:space="preserve">from which the debt arose because the person under curatorship was severely injured and suffered mental incapacity as a result of the alleged negligence of </w:t>
      </w:r>
      <w:r w:rsidR="001565E9" w:rsidRPr="00FE76A3">
        <w:rPr>
          <w:sz w:val="28"/>
        </w:rPr>
        <w:t>an</w:t>
      </w:r>
      <w:r w:rsidR="00DB2C76" w:rsidRPr="00FE76A3">
        <w:rPr>
          <w:sz w:val="28"/>
        </w:rPr>
        <w:t xml:space="preserve"> employee</w:t>
      </w:r>
      <w:r w:rsidR="001565E9" w:rsidRPr="00FE76A3">
        <w:rPr>
          <w:sz w:val="28"/>
        </w:rPr>
        <w:t>,</w:t>
      </w:r>
      <w:r w:rsidR="00DB2C76" w:rsidRPr="00FE76A3">
        <w:rPr>
          <w:sz w:val="28"/>
        </w:rPr>
        <w:t xml:space="preserve"> whose employer is sought to be held vicariously liable for the ensu</w:t>
      </w:r>
      <w:r w:rsidR="0060045B" w:rsidRPr="00FE76A3">
        <w:rPr>
          <w:sz w:val="28"/>
        </w:rPr>
        <w:t xml:space="preserve">ing damages. </w:t>
      </w:r>
    </w:p>
    <w:p w14:paraId="3D8D51EB" w14:textId="6A6A08E9" w:rsidR="00CF7648" w:rsidRPr="00FE76A3" w:rsidRDefault="00CF7648" w:rsidP="00490E05">
      <w:pPr>
        <w:tabs>
          <w:tab w:val="left" w:pos="284"/>
        </w:tabs>
        <w:rPr>
          <w:sz w:val="28"/>
        </w:rPr>
      </w:pPr>
    </w:p>
    <w:p w14:paraId="7E99E33F" w14:textId="3DD1B04D" w:rsidR="0023228E" w:rsidRPr="00FE76A3" w:rsidRDefault="0023228E" w:rsidP="00490E05">
      <w:pPr>
        <w:tabs>
          <w:tab w:val="left" w:pos="284"/>
        </w:tabs>
        <w:rPr>
          <w:b/>
          <w:sz w:val="28"/>
        </w:rPr>
      </w:pPr>
      <w:r w:rsidRPr="00FE76A3">
        <w:rPr>
          <w:b/>
          <w:sz w:val="28"/>
        </w:rPr>
        <w:t>Back</w:t>
      </w:r>
      <w:r w:rsidR="0049426E" w:rsidRPr="00FE76A3">
        <w:rPr>
          <w:b/>
          <w:sz w:val="28"/>
        </w:rPr>
        <w:t>ground</w:t>
      </w:r>
    </w:p>
    <w:p w14:paraId="6D55C59E" w14:textId="68B8DD8C" w:rsidR="00CF7648" w:rsidRPr="00FE76A3" w:rsidRDefault="00CF7648" w:rsidP="00490E05">
      <w:pPr>
        <w:tabs>
          <w:tab w:val="left" w:pos="284"/>
        </w:tabs>
        <w:rPr>
          <w:sz w:val="28"/>
        </w:rPr>
      </w:pPr>
      <w:r w:rsidRPr="00FE76A3">
        <w:rPr>
          <w:sz w:val="28"/>
        </w:rPr>
        <w:t>[2]</w:t>
      </w:r>
      <w:r w:rsidRPr="00FE76A3">
        <w:rPr>
          <w:sz w:val="28"/>
        </w:rPr>
        <w:tab/>
        <w:t xml:space="preserve">These questions have arisen in this way. </w:t>
      </w:r>
      <w:bookmarkStart w:id="2" w:name="_Hlk125453820"/>
      <w:r w:rsidRPr="00FE76A3">
        <w:rPr>
          <w:sz w:val="28"/>
        </w:rPr>
        <w:t>On 15 October 2014</w:t>
      </w:r>
      <w:r w:rsidR="001565E9" w:rsidRPr="00FE76A3">
        <w:rPr>
          <w:sz w:val="28"/>
        </w:rPr>
        <w:t>,</w:t>
      </w:r>
      <w:r w:rsidRPr="00FE76A3">
        <w:rPr>
          <w:sz w:val="28"/>
        </w:rPr>
        <w:t xml:space="preserve"> Ms Nolunga Mk</w:t>
      </w:r>
      <w:r w:rsidR="00720663" w:rsidRPr="00FE76A3">
        <w:rPr>
          <w:sz w:val="28"/>
        </w:rPr>
        <w:t>h</w:t>
      </w:r>
      <w:r w:rsidR="001565E9" w:rsidRPr="00FE76A3">
        <w:rPr>
          <w:sz w:val="28"/>
        </w:rPr>
        <w:t>w</w:t>
      </w:r>
      <w:r w:rsidRPr="00FE76A3">
        <w:rPr>
          <w:sz w:val="28"/>
        </w:rPr>
        <w:t>anazi</w:t>
      </w:r>
      <w:r w:rsidR="001565E9" w:rsidRPr="00FE76A3">
        <w:rPr>
          <w:sz w:val="28"/>
        </w:rPr>
        <w:t xml:space="preserve"> (Ms Mkhwanazi)</w:t>
      </w:r>
      <w:r w:rsidRPr="00FE76A3">
        <w:rPr>
          <w:sz w:val="28"/>
        </w:rPr>
        <w:t xml:space="preserve">, then employed as a packer with Smollan Sales </w:t>
      </w:r>
      <w:r w:rsidR="001565E9" w:rsidRPr="00FE76A3">
        <w:rPr>
          <w:sz w:val="28"/>
        </w:rPr>
        <w:t>&amp;</w:t>
      </w:r>
      <w:r w:rsidRPr="00FE76A3">
        <w:rPr>
          <w:sz w:val="28"/>
        </w:rPr>
        <w:t xml:space="preserve"> Marketing</w:t>
      </w:r>
      <w:r w:rsidR="001565E9" w:rsidRPr="00FE76A3">
        <w:rPr>
          <w:sz w:val="28"/>
        </w:rPr>
        <w:t>,</w:t>
      </w:r>
      <w:r w:rsidRPr="00FE76A3">
        <w:rPr>
          <w:sz w:val="28"/>
        </w:rPr>
        <w:t xml:space="preserve"> which renders merchandising services to retail stores, was at work at the Checkers Hyper in Meado</w:t>
      </w:r>
      <w:r w:rsidR="001565E9" w:rsidRPr="00FE76A3">
        <w:rPr>
          <w:sz w:val="28"/>
        </w:rPr>
        <w:t>w</w:t>
      </w:r>
      <w:r w:rsidRPr="00FE76A3">
        <w:rPr>
          <w:sz w:val="28"/>
        </w:rPr>
        <w:t>dale Shopping Mall</w:t>
      </w:r>
      <w:r w:rsidR="0023228E" w:rsidRPr="00FE76A3">
        <w:rPr>
          <w:sz w:val="28"/>
        </w:rPr>
        <w:t xml:space="preserve">, </w:t>
      </w:r>
      <w:r w:rsidRPr="00FE76A3">
        <w:rPr>
          <w:sz w:val="28"/>
        </w:rPr>
        <w:t>Edenvale. Whilst on duty, she climbed into a cage coupled to a forklift to pack</w:t>
      </w:r>
      <w:r w:rsidR="0088484A" w:rsidRPr="00FE76A3">
        <w:rPr>
          <w:sz w:val="28"/>
        </w:rPr>
        <w:t xml:space="preserve"> merchandise on shelves. The cag</w:t>
      </w:r>
      <w:r w:rsidRPr="00FE76A3">
        <w:rPr>
          <w:sz w:val="28"/>
        </w:rPr>
        <w:t xml:space="preserve">e was lifted by the forklift some four metres from the shop floor. </w:t>
      </w:r>
      <w:r w:rsidR="0023228E" w:rsidRPr="00FE76A3">
        <w:rPr>
          <w:sz w:val="28"/>
        </w:rPr>
        <w:t xml:space="preserve">Unexpectedly, </w:t>
      </w:r>
      <w:r w:rsidR="0088484A" w:rsidRPr="00FE76A3">
        <w:rPr>
          <w:sz w:val="28"/>
        </w:rPr>
        <w:t>while</w:t>
      </w:r>
      <w:r w:rsidRPr="00FE76A3">
        <w:rPr>
          <w:sz w:val="28"/>
        </w:rPr>
        <w:t xml:space="preserve"> still hoisted there, tragedy struck. The cage tilted and ejected Ms </w:t>
      </w:r>
      <w:r w:rsidR="001565E9" w:rsidRPr="00FE76A3">
        <w:rPr>
          <w:sz w:val="28"/>
        </w:rPr>
        <w:t>Mkhwanazi</w:t>
      </w:r>
      <w:r w:rsidRPr="00FE76A3">
        <w:rPr>
          <w:sz w:val="28"/>
        </w:rPr>
        <w:t xml:space="preserve">, </w:t>
      </w:r>
      <w:r w:rsidR="003C46D5" w:rsidRPr="00FE76A3">
        <w:rPr>
          <w:sz w:val="28"/>
        </w:rPr>
        <w:t>causing</w:t>
      </w:r>
      <w:r w:rsidRPr="00FE76A3">
        <w:rPr>
          <w:sz w:val="28"/>
        </w:rPr>
        <w:t xml:space="preserve"> her to fall to the floor. The cage itself</w:t>
      </w:r>
      <w:r w:rsidR="002D46CE" w:rsidRPr="00FE76A3">
        <w:rPr>
          <w:sz w:val="28"/>
        </w:rPr>
        <w:t xml:space="preserve">, which </w:t>
      </w:r>
      <w:r w:rsidRPr="00FE76A3">
        <w:rPr>
          <w:sz w:val="28"/>
        </w:rPr>
        <w:t>was disl</w:t>
      </w:r>
      <w:r w:rsidR="002C0143" w:rsidRPr="00FE76A3">
        <w:rPr>
          <w:sz w:val="28"/>
        </w:rPr>
        <w:t xml:space="preserve">odged from the forklift, came tumbling down </w:t>
      </w:r>
      <w:r w:rsidRPr="00FE76A3">
        <w:rPr>
          <w:sz w:val="28"/>
        </w:rPr>
        <w:t xml:space="preserve">and struck Ms </w:t>
      </w:r>
      <w:r w:rsidR="001565E9" w:rsidRPr="00FE76A3">
        <w:rPr>
          <w:sz w:val="28"/>
        </w:rPr>
        <w:t>Mkhwanazi</w:t>
      </w:r>
      <w:r w:rsidRPr="00FE76A3">
        <w:rPr>
          <w:sz w:val="28"/>
        </w:rPr>
        <w:t xml:space="preserve"> on the head. She was severely injured and rendered permanently mentally incapacitated. </w:t>
      </w:r>
    </w:p>
    <w:bookmarkEnd w:id="2"/>
    <w:p w14:paraId="4DD41A42" w14:textId="62244F39" w:rsidR="00CF7648" w:rsidRPr="00FE76A3" w:rsidRDefault="00CF7648" w:rsidP="00490E05">
      <w:pPr>
        <w:tabs>
          <w:tab w:val="left" w:pos="284"/>
        </w:tabs>
        <w:rPr>
          <w:sz w:val="28"/>
        </w:rPr>
      </w:pPr>
    </w:p>
    <w:p w14:paraId="26002C3A" w14:textId="4137F351" w:rsidR="00CF7648" w:rsidRDefault="00CF7648" w:rsidP="00490E05">
      <w:pPr>
        <w:tabs>
          <w:tab w:val="left" w:pos="284"/>
        </w:tabs>
        <w:rPr>
          <w:sz w:val="28"/>
        </w:rPr>
      </w:pPr>
      <w:r w:rsidRPr="00FE76A3">
        <w:rPr>
          <w:sz w:val="28"/>
        </w:rPr>
        <w:t>[3]</w:t>
      </w:r>
      <w:r w:rsidRPr="00FE76A3">
        <w:rPr>
          <w:sz w:val="28"/>
        </w:rPr>
        <w:tab/>
      </w:r>
      <w:bookmarkStart w:id="3" w:name="_Hlk125453848"/>
      <w:r w:rsidR="0080146B" w:rsidRPr="00FE76A3">
        <w:rPr>
          <w:sz w:val="28"/>
        </w:rPr>
        <w:t>Due to her permanent mental incapacity</w:t>
      </w:r>
      <w:r w:rsidR="00A70D39" w:rsidRPr="00FE76A3">
        <w:rPr>
          <w:sz w:val="28"/>
        </w:rPr>
        <w:t>,</w:t>
      </w:r>
      <w:r w:rsidR="0080146B" w:rsidRPr="00FE76A3">
        <w:rPr>
          <w:sz w:val="28"/>
        </w:rPr>
        <w:t xml:space="preserve"> she could not, in her mental condition, institute proceedings in her name. On 1 February 2017, the respondent, Mr Cecil Tshepo Mokopane Mafate</w:t>
      </w:r>
      <w:r w:rsidR="0019494E" w:rsidRPr="00FE76A3">
        <w:rPr>
          <w:sz w:val="28"/>
        </w:rPr>
        <w:t xml:space="preserve"> (Mr Mafate)</w:t>
      </w:r>
      <w:r w:rsidR="0080146B" w:rsidRPr="00FE76A3">
        <w:rPr>
          <w:sz w:val="28"/>
        </w:rPr>
        <w:t xml:space="preserve"> – a practicing attorney – was appointed as her </w:t>
      </w:r>
      <w:r w:rsidR="0080146B" w:rsidRPr="00FE76A3">
        <w:rPr>
          <w:i/>
          <w:sz w:val="28"/>
        </w:rPr>
        <w:t>curator ad litem</w:t>
      </w:r>
      <w:r w:rsidR="0088484A" w:rsidRPr="00FE76A3">
        <w:rPr>
          <w:sz w:val="28"/>
        </w:rPr>
        <w:t xml:space="preserve"> (</w:t>
      </w:r>
      <w:r w:rsidR="001565E9" w:rsidRPr="00FE76A3">
        <w:rPr>
          <w:sz w:val="28"/>
        </w:rPr>
        <w:t xml:space="preserve">the </w:t>
      </w:r>
      <w:r w:rsidR="0088484A" w:rsidRPr="00FE76A3">
        <w:rPr>
          <w:sz w:val="28"/>
        </w:rPr>
        <w:t>curator).</w:t>
      </w:r>
      <w:r w:rsidR="0080146B" w:rsidRPr="00FE76A3">
        <w:rPr>
          <w:sz w:val="28"/>
        </w:rPr>
        <w:t xml:space="preserve"> Following </w:t>
      </w:r>
      <w:r w:rsidR="003E2CD3" w:rsidRPr="00FE76A3">
        <w:rPr>
          <w:sz w:val="28"/>
        </w:rPr>
        <w:t xml:space="preserve">his appointment, </w:t>
      </w:r>
      <w:r w:rsidR="00A61173" w:rsidRPr="00FE76A3">
        <w:rPr>
          <w:sz w:val="28"/>
        </w:rPr>
        <w:t xml:space="preserve">the curator </w:t>
      </w:r>
      <w:r w:rsidR="003E2CD3" w:rsidRPr="00FE76A3">
        <w:rPr>
          <w:sz w:val="28"/>
        </w:rPr>
        <w:t>instituted proceedings for damages in his representative capacity against Shoprite Holdings Limited (Shoprite Holdings)</w:t>
      </w:r>
      <w:r w:rsidR="00A61173" w:rsidRPr="00FE76A3">
        <w:rPr>
          <w:sz w:val="28"/>
        </w:rPr>
        <w:t xml:space="preserve"> in </w:t>
      </w:r>
      <w:r w:rsidR="001565E9" w:rsidRPr="00FE76A3">
        <w:rPr>
          <w:sz w:val="28"/>
        </w:rPr>
        <w:t xml:space="preserve">the Gauteng Division of the High Court, Johannesburg </w:t>
      </w:r>
      <w:r w:rsidR="00A61173" w:rsidRPr="00FE76A3">
        <w:rPr>
          <w:sz w:val="28"/>
        </w:rPr>
        <w:t>(the high court)</w:t>
      </w:r>
      <w:r w:rsidR="003E2CD3" w:rsidRPr="00FE76A3">
        <w:rPr>
          <w:sz w:val="28"/>
        </w:rPr>
        <w:t>. The action was founded in delict and based on Shoprite Holdings’ alleged wrongful and negligent conduct, relying on various grounds. On 28 July 2017</w:t>
      </w:r>
      <w:r w:rsidR="001565E9" w:rsidRPr="00FE76A3">
        <w:rPr>
          <w:sz w:val="28"/>
        </w:rPr>
        <w:t>,</w:t>
      </w:r>
      <w:r w:rsidR="003E2CD3" w:rsidRPr="00FE76A3">
        <w:rPr>
          <w:sz w:val="28"/>
        </w:rPr>
        <w:t xml:space="preserve"> Shoprite Holdings </w:t>
      </w:r>
      <w:r w:rsidR="00AD2A16" w:rsidRPr="00FE76A3">
        <w:rPr>
          <w:sz w:val="28"/>
        </w:rPr>
        <w:t xml:space="preserve">raised two special pleas </w:t>
      </w:r>
      <w:r w:rsidR="00A775FC" w:rsidRPr="00FE76A3">
        <w:rPr>
          <w:sz w:val="28"/>
        </w:rPr>
        <w:t xml:space="preserve">one </w:t>
      </w:r>
      <w:r w:rsidR="00AD2A16" w:rsidRPr="00FE76A3">
        <w:rPr>
          <w:sz w:val="28"/>
        </w:rPr>
        <w:t xml:space="preserve">of </w:t>
      </w:r>
      <w:r w:rsidR="00AD2A16" w:rsidRPr="00FE76A3">
        <w:rPr>
          <w:sz w:val="28"/>
        </w:rPr>
        <w:lastRenderedPageBreak/>
        <w:t xml:space="preserve">misjoinder and </w:t>
      </w:r>
      <w:r w:rsidR="00A775FC" w:rsidRPr="00FE76A3">
        <w:rPr>
          <w:sz w:val="28"/>
        </w:rPr>
        <w:t xml:space="preserve">the other </w:t>
      </w:r>
      <w:r w:rsidR="00AD2A16" w:rsidRPr="00FE76A3">
        <w:rPr>
          <w:sz w:val="28"/>
        </w:rPr>
        <w:t xml:space="preserve">non-joinder, asserting that it was not the owner of the store at the time and that instead Shoprite Checkers (Pty) Ltd (Shoprite Checkers) was. </w:t>
      </w:r>
      <w:bookmarkEnd w:id="3"/>
    </w:p>
    <w:p w14:paraId="5C203F77" w14:textId="77777777" w:rsidR="00F84463" w:rsidRPr="00FE76A3" w:rsidRDefault="00F84463" w:rsidP="00490E05">
      <w:pPr>
        <w:tabs>
          <w:tab w:val="left" w:pos="284"/>
        </w:tabs>
        <w:rPr>
          <w:sz w:val="28"/>
        </w:rPr>
      </w:pPr>
    </w:p>
    <w:p w14:paraId="7FD109B6" w14:textId="30132819" w:rsidR="00BB2C2B" w:rsidRPr="00FE76A3" w:rsidRDefault="00BB2C2B" w:rsidP="00490E05">
      <w:pPr>
        <w:tabs>
          <w:tab w:val="left" w:pos="284"/>
        </w:tabs>
        <w:rPr>
          <w:sz w:val="28"/>
        </w:rPr>
      </w:pPr>
      <w:r w:rsidRPr="00FE76A3">
        <w:rPr>
          <w:sz w:val="28"/>
        </w:rPr>
        <w:t>[4]</w:t>
      </w:r>
      <w:r w:rsidRPr="00FE76A3">
        <w:rPr>
          <w:sz w:val="28"/>
        </w:rPr>
        <w:tab/>
      </w:r>
      <w:bookmarkStart w:id="4" w:name="_Hlk125453891"/>
      <w:r w:rsidRPr="00FE76A3">
        <w:rPr>
          <w:sz w:val="28"/>
        </w:rPr>
        <w:t>Some 11 months later, on 28 June 2018, the curator withdrew the action against Shoprite Holdings. Curiously, it was only on 15 October 2018 when the curator instituted fresh proceedings (October 2018 summons) against Shoprite Checkers</w:t>
      </w:r>
      <w:r w:rsidR="001565E9" w:rsidRPr="00FE76A3">
        <w:rPr>
          <w:sz w:val="28"/>
        </w:rPr>
        <w:t>,</w:t>
      </w:r>
      <w:r w:rsidRPr="00FE76A3">
        <w:rPr>
          <w:sz w:val="28"/>
        </w:rPr>
        <w:t xml:space="preserve"> which was served on the latter on 19 October 2018. Shoprite Checkers filed a special plea of prescription to the curator’s October 2018 summons</w:t>
      </w:r>
      <w:r w:rsidR="001565E9" w:rsidRPr="00FE76A3">
        <w:rPr>
          <w:sz w:val="28"/>
        </w:rPr>
        <w:t>,</w:t>
      </w:r>
      <w:r w:rsidRPr="00FE76A3">
        <w:rPr>
          <w:sz w:val="28"/>
        </w:rPr>
        <w:t xml:space="preserve"> asserting that the claim had prescribed.</w:t>
      </w:r>
    </w:p>
    <w:bookmarkEnd w:id="4"/>
    <w:p w14:paraId="474F5DF8" w14:textId="3ED9082C" w:rsidR="00BB2C2B" w:rsidRPr="00FE76A3" w:rsidRDefault="00BB2C2B" w:rsidP="00490E05">
      <w:pPr>
        <w:tabs>
          <w:tab w:val="left" w:pos="284"/>
        </w:tabs>
        <w:rPr>
          <w:sz w:val="28"/>
        </w:rPr>
      </w:pPr>
    </w:p>
    <w:p w14:paraId="271B54A8" w14:textId="037857E7" w:rsidR="00BB2C2B" w:rsidRPr="00FE76A3" w:rsidRDefault="00BB2C2B" w:rsidP="00490E05">
      <w:pPr>
        <w:tabs>
          <w:tab w:val="left" w:pos="284"/>
        </w:tabs>
        <w:rPr>
          <w:sz w:val="28"/>
        </w:rPr>
      </w:pPr>
      <w:r w:rsidRPr="00FE76A3">
        <w:rPr>
          <w:sz w:val="28"/>
        </w:rPr>
        <w:t>[5]</w:t>
      </w:r>
      <w:r w:rsidRPr="00FE76A3">
        <w:rPr>
          <w:sz w:val="28"/>
        </w:rPr>
        <w:tab/>
      </w:r>
      <w:r w:rsidR="00DD25DC" w:rsidRPr="00FE76A3">
        <w:rPr>
          <w:sz w:val="28"/>
        </w:rPr>
        <w:t>Shoprite Checkers’ special plea attracted a replication from the curator</w:t>
      </w:r>
      <w:r w:rsidR="001565E9" w:rsidRPr="00FE76A3">
        <w:rPr>
          <w:sz w:val="28"/>
        </w:rPr>
        <w:t>,</w:t>
      </w:r>
      <w:r w:rsidR="00DD25DC" w:rsidRPr="00FE76A3">
        <w:rPr>
          <w:sz w:val="28"/>
        </w:rPr>
        <w:t xml:space="preserve"> which was subsequently amended on 25 September 2019. In </w:t>
      </w:r>
      <w:r w:rsidR="00A775FC" w:rsidRPr="00FE76A3">
        <w:rPr>
          <w:sz w:val="28"/>
        </w:rPr>
        <w:t xml:space="preserve">its amended replication the curator inter alia averred that: </w:t>
      </w:r>
    </w:p>
    <w:p w14:paraId="43014839" w14:textId="24A809A2" w:rsidR="00DD25DC" w:rsidRPr="00FE76A3" w:rsidRDefault="00DD25DC" w:rsidP="003272D4">
      <w:pPr>
        <w:tabs>
          <w:tab w:val="left" w:pos="284"/>
        </w:tabs>
        <w:ind w:left="720" w:hanging="720"/>
        <w:rPr>
          <w:i/>
        </w:rPr>
      </w:pPr>
      <w:r w:rsidRPr="00FE76A3">
        <w:t>‘</w:t>
      </w:r>
      <w:r w:rsidR="003272D4" w:rsidRPr="00FE76A3">
        <w:rPr>
          <w:i/>
        </w:rPr>
        <w:t>1.1</w:t>
      </w:r>
      <w:r w:rsidR="003272D4" w:rsidRPr="00FE76A3">
        <w:rPr>
          <w:i/>
        </w:rPr>
        <w:tab/>
        <w:t xml:space="preserve">Nolunga suffered severe brain injuries and trauma in the incident of 15 October 2014 as described in the particulars of claim. </w:t>
      </w:r>
    </w:p>
    <w:p w14:paraId="5D864E03" w14:textId="34F34978" w:rsidR="003272D4" w:rsidRPr="00FE76A3" w:rsidRDefault="003272D4" w:rsidP="003272D4">
      <w:pPr>
        <w:tabs>
          <w:tab w:val="left" w:pos="284"/>
        </w:tabs>
        <w:ind w:left="720" w:hanging="720"/>
        <w:rPr>
          <w:i/>
        </w:rPr>
      </w:pPr>
      <w:r w:rsidRPr="00FE76A3">
        <w:rPr>
          <w:i/>
        </w:rPr>
        <w:t>1.2</w:t>
      </w:r>
      <w:r w:rsidRPr="00FE76A3">
        <w:rPr>
          <w:i/>
        </w:rPr>
        <w:tab/>
        <w:t xml:space="preserve">Because of her injuries Nolunga was prevented </w:t>
      </w:r>
      <w:r w:rsidR="00380AA6" w:rsidRPr="00FE76A3">
        <w:rPr>
          <w:i/>
        </w:rPr>
        <w:t xml:space="preserve">from obtaining knowledge of the </w:t>
      </w:r>
      <w:r w:rsidRPr="00FE76A3">
        <w:rPr>
          <w:i/>
        </w:rPr>
        <w:t>identity of the defendant and of the facts from which the debt arose until the plaintiff was appointed as curator ad li</w:t>
      </w:r>
      <w:r w:rsidR="00CC316B" w:rsidRPr="00FE76A3">
        <w:rPr>
          <w:i/>
        </w:rPr>
        <w:t>tem on or about 1 February 2017</w:t>
      </w:r>
      <w:r w:rsidR="004D5C8A" w:rsidRPr="00FE76A3">
        <w:rPr>
          <w:i/>
        </w:rPr>
        <w:t>,</w:t>
      </w:r>
      <w:r w:rsidRPr="00FE76A3">
        <w:rPr>
          <w:i/>
        </w:rPr>
        <w:t xml:space="preserve"> and she was unable to acquire the requisite knowledge by the exercise of reasonable care. </w:t>
      </w:r>
    </w:p>
    <w:p w14:paraId="2A8102F9" w14:textId="067C2980" w:rsidR="003272D4" w:rsidRPr="00FE76A3" w:rsidRDefault="003272D4" w:rsidP="00380AA6">
      <w:pPr>
        <w:tabs>
          <w:tab w:val="left" w:pos="284"/>
        </w:tabs>
        <w:ind w:left="720" w:hanging="720"/>
        <w:rPr>
          <w:i/>
        </w:rPr>
      </w:pPr>
      <w:r w:rsidRPr="00FE76A3">
        <w:rPr>
          <w:i/>
        </w:rPr>
        <w:t>1.3</w:t>
      </w:r>
      <w:r w:rsidRPr="00FE76A3">
        <w:rPr>
          <w:i/>
        </w:rPr>
        <w:tab/>
      </w:r>
      <w:r w:rsidR="00380AA6" w:rsidRPr="00FE76A3">
        <w:rPr>
          <w:i/>
        </w:rPr>
        <w:t>In the premises the debt became due on or after 1 February 2017 within the meaning of section 12(3) of the Prescription Act 68 of 1969, alternatively and if it were to be found that Nolunga possessed the requisite information by 1 February 2017 or could have obtained same by the exercise of reasonable care, then and in that event the plaintiff pleads as follows:</w:t>
      </w:r>
    </w:p>
    <w:p w14:paraId="6450D43C" w14:textId="74564FF1" w:rsidR="00380AA6" w:rsidRPr="00FE76A3" w:rsidRDefault="00380AA6" w:rsidP="00380AA6">
      <w:pPr>
        <w:tabs>
          <w:tab w:val="left" w:pos="284"/>
        </w:tabs>
        <w:ind w:left="1440" w:hanging="1440"/>
        <w:rPr>
          <w:i/>
        </w:rPr>
      </w:pPr>
      <w:r w:rsidRPr="00FE76A3">
        <w:rPr>
          <w:i/>
        </w:rPr>
        <w:tab/>
        <w:t>1.3.1</w:t>
      </w:r>
      <w:r w:rsidRPr="00FE76A3">
        <w:rPr>
          <w:i/>
        </w:rPr>
        <w:tab/>
        <w:t xml:space="preserve">Nolunga was prevented by her injuries from obtaining knowledge of the identity of the defendant and </w:t>
      </w:r>
      <w:r w:rsidR="004D5C8A" w:rsidRPr="00FE76A3">
        <w:rPr>
          <w:i/>
        </w:rPr>
        <w:t xml:space="preserve">of </w:t>
      </w:r>
      <w:r w:rsidRPr="00FE76A3">
        <w:rPr>
          <w:i/>
        </w:rPr>
        <w:t>the facts from which the debt arose during the period October 2014 to 20 June 2015 at the earliest and was unable to acquire the requisite knowledge by the exercise of reasonable care during this period;</w:t>
      </w:r>
    </w:p>
    <w:p w14:paraId="123E13B4" w14:textId="21965884" w:rsidR="00380AA6" w:rsidRPr="00FE76A3" w:rsidRDefault="00737F6E" w:rsidP="00737F6E">
      <w:pPr>
        <w:tabs>
          <w:tab w:val="left" w:pos="284"/>
        </w:tabs>
        <w:ind w:left="1440" w:hanging="1440"/>
        <w:rPr>
          <w:i/>
        </w:rPr>
      </w:pPr>
      <w:r w:rsidRPr="00FE76A3">
        <w:rPr>
          <w:i/>
        </w:rPr>
        <w:tab/>
        <w:t>1.3.2</w:t>
      </w:r>
      <w:r w:rsidRPr="00FE76A3">
        <w:rPr>
          <w:i/>
        </w:rPr>
        <w:tab/>
        <w:t xml:space="preserve">In the premises the debt became due on or after, at the earliest, 20 October 2015. </w:t>
      </w:r>
    </w:p>
    <w:p w14:paraId="1FCE90A7" w14:textId="29222DD8" w:rsidR="00905329" w:rsidRPr="00FE76A3" w:rsidRDefault="00905329" w:rsidP="00905329">
      <w:pPr>
        <w:tabs>
          <w:tab w:val="left" w:pos="284"/>
        </w:tabs>
        <w:ind w:left="709" w:hanging="709"/>
      </w:pPr>
      <w:r w:rsidRPr="00FE76A3">
        <w:rPr>
          <w:i/>
        </w:rPr>
        <w:lastRenderedPageBreak/>
        <w:t>1.4</w:t>
      </w:r>
      <w:r w:rsidRPr="00FE76A3">
        <w:rPr>
          <w:i/>
        </w:rPr>
        <w:tab/>
        <w:t>When the plaintiff was appointed as curator ad litem on 1 February 2017 and despite exercising reasonable care the plaintiff acquired erroneous information which misled him to believe that the identity of the debtor was now known to him, and which caused him to refrain from any further inquiry</w:t>
      </w:r>
      <w:r w:rsidRPr="00FE76A3">
        <w:t>.’</w:t>
      </w:r>
    </w:p>
    <w:p w14:paraId="1F457104" w14:textId="32F7CF38" w:rsidR="00905329" w:rsidRPr="00FE76A3" w:rsidRDefault="00905329" w:rsidP="00905329">
      <w:pPr>
        <w:tabs>
          <w:tab w:val="left" w:pos="284"/>
        </w:tabs>
        <w:ind w:left="709" w:hanging="709"/>
      </w:pPr>
    </w:p>
    <w:p w14:paraId="715727BF" w14:textId="3AE368E8" w:rsidR="00905329" w:rsidRPr="00FE76A3" w:rsidRDefault="00905329" w:rsidP="001614ED">
      <w:pPr>
        <w:tabs>
          <w:tab w:val="left" w:pos="284"/>
        </w:tabs>
        <w:rPr>
          <w:sz w:val="28"/>
        </w:rPr>
      </w:pPr>
      <w:r w:rsidRPr="00FE76A3">
        <w:rPr>
          <w:sz w:val="28"/>
        </w:rPr>
        <w:t>[6]</w:t>
      </w:r>
      <w:r w:rsidRPr="00FE76A3">
        <w:rPr>
          <w:sz w:val="28"/>
        </w:rPr>
        <w:tab/>
        <w:t>The replication went on to allege that</w:t>
      </w:r>
      <w:r w:rsidR="00400CE4" w:rsidRPr="00FE76A3">
        <w:rPr>
          <w:sz w:val="28"/>
        </w:rPr>
        <w:t>,</w:t>
      </w:r>
      <w:r w:rsidRPr="00FE76A3">
        <w:rPr>
          <w:sz w:val="28"/>
        </w:rPr>
        <w:t xml:space="preserve"> believing that Shoprite Holdings was the employer, </w:t>
      </w:r>
      <w:r w:rsidR="00794BF4" w:rsidRPr="00FE76A3">
        <w:rPr>
          <w:sz w:val="28"/>
        </w:rPr>
        <w:t xml:space="preserve">the curator </w:t>
      </w:r>
      <w:r w:rsidRPr="00FE76A3">
        <w:rPr>
          <w:sz w:val="28"/>
        </w:rPr>
        <w:t>mistakenly but reasonably, instituted action against Shoprite Holdings. And that it was only upon the filing of the special pleas of misjoinder and non-joinder on 28 July 2017 that the curator became aware of the true identity of the debtor. Accordingly, so it was asserted</w:t>
      </w:r>
      <w:r w:rsidR="00794BF4" w:rsidRPr="00FE76A3">
        <w:rPr>
          <w:sz w:val="28"/>
        </w:rPr>
        <w:t xml:space="preserve">, prescription commenced to run only </w:t>
      </w:r>
      <w:r w:rsidRPr="00FE76A3">
        <w:rPr>
          <w:sz w:val="28"/>
        </w:rPr>
        <w:t>from 28 July 2017</w:t>
      </w:r>
      <w:r w:rsidR="00F86DF5" w:rsidRPr="00FE76A3">
        <w:rPr>
          <w:sz w:val="28"/>
        </w:rPr>
        <w:t>.</w:t>
      </w:r>
      <w:r w:rsidRPr="00FE76A3">
        <w:rPr>
          <w:sz w:val="28"/>
        </w:rPr>
        <w:t xml:space="preserve"> </w:t>
      </w:r>
      <w:r w:rsidR="00F86DF5" w:rsidRPr="00FE76A3">
        <w:rPr>
          <w:sz w:val="28"/>
        </w:rPr>
        <w:t>A</w:t>
      </w:r>
      <w:r w:rsidRPr="00FE76A3">
        <w:rPr>
          <w:sz w:val="28"/>
        </w:rPr>
        <w:t xml:space="preserve">nd was </w:t>
      </w:r>
      <w:r w:rsidR="008B4E68" w:rsidRPr="00FE76A3">
        <w:rPr>
          <w:sz w:val="28"/>
        </w:rPr>
        <w:t xml:space="preserve">therefore </w:t>
      </w:r>
      <w:r w:rsidRPr="00FE76A3">
        <w:rPr>
          <w:sz w:val="28"/>
        </w:rPr>
        <w:t>interrupted by the service of the summons on the true debtor, ie Shoprite Checkers.</w:t>
      </w:r>
    </w:p>
    <w:p w14:paraId="418DED55" w14:textId="1447290D" w:rsidR="000B023D" w:rsidRPr="00FE76A3" w:rsidRDefault="000B023D" w:rsidP="00905329">
      <w:pPr>
        <w:tabs>
          <w:tab w:val="left" w:pos="284"/>
        </w:tabs>
        <w:ind w:left="709" w:hanging="709"/>
        <w:rPr>
          <w:sz w:val="28"/>
        </w:rPr>
      </w:pPr>
    </w:p>
    <w:p w14:paraId="08FE9983" w14:textId="05E27652" w:rsidR="000B023D" w:rsidRPr="00FE76A3" w:rsidRDefault="000B023D" w:rsidP="001614ED">
      <w:pPr>
        <w:tabs>
          <w:tab w:val="left" w:pos="284"/>
        </w:tabs>
        <w:rPr>
          <w:sz w:val="28"/>
        </w:rPr>
      </w:pPr>
      <w:r w:rsidRPr="00FE76A3">
        <w:rPr>
          <w:sz w:val="28"/>
        </w:rPr>
        <w:t>[7]</w:t>
      </w:r>
      <w:r w:rsidRPr="00FE76A3">
        <w:rPr>
          <w:sz w:val="28"/>
        </w:rPr>
        <w:tab/>
        <w:t>In due course</w:t>
      </w:r>
      <w:r w:rsidR="00400CE4" w:rsidRPr="00FE76A3">
        <w:rPr>
          <w:sz w:val="28"/>
        </w:rPr>
        <w:t>,</w:t>
      </w:r>
      <w:r w:rsidRPr="00FE76A3">
        <w:rPr>
          <w:sz w:val="28"/>
        </w:rPr>
        <w:t xml:space="preserve"> the parties reached agreement on certain facts</w:t>
      </w:r>
      <w:r w:rsidR="00400CE4" w:rsidRPr="00FE76A3">
        <w:rPr>
          <w:sz w:val="28"/>
        </w:rPr>
        <w:t>,</w:t>
      </w:r>
      <w:r w:rsidRPr="00FE76A3">
        <w:rPr>
          <w:sz w:val="28"/>
        </w:rPr>
        <w:t xml:space="preserve"> which were recorded in a written statement in terms of </w:t>
      </w:r>
      <w:r w:rsidR="00AD79C1" w:rsidRPr="00FE76A3">
        <w:rPr>
          <w:sz w:val="28"/>
        </w:rPr>
        <w:t>rule</w:t>
      </w:r>
      <w:r w:rsidRPr="00FE76A3">
        <w:rPr>
          <w:sz w:val="28"/>
        </w:rPr>
        <w:t xml:space="preserve"> 33(4)</w:t>
      </w:r>
      <w:r w:rsidRPr="00FE76A3">
        <w:rPr>
          <w:rStyle w:val="FootnoteReference"/>
          <w:sz w:val="28"/>
        </w:rPr>
        <w:footnoteReference w:id="2"/>
      </w:r>
      <w:r w:rsidR="001614ED" w:rsidRPr="00FE76A3">
        <w:rPr>
          <w:sz w:val="28"/>
        </w:rPr>
        <w:t xml:space="preserve"> of the Uniform Rules</w:t>
      </w:r>
      <w:r w:rsidR="00400CE4" w:rsidRPr="00FE76A3">
        <w:rPr>
          <w:sz w:val="28"/>
        </w:rPr>
        <w:t xml:space="preserve"> of Court (the rules)</w:t>
      </w:r>
      <w:r w:rsidR="001614ED" w:rsidRPr="00FE76A3">
        <w:rPr>
          <w:sz w:val="28"/>
        </w:rPr>
        <w:t>. It is convenient at this juncture to quote the statement of the agreed facts in full. It provides:</w:t>
      </w:r>
    </w:p>
    <w:p w14:paraId="09F10D54" w14:textId="14BA4919" w:rsidR="001614ED" w:rsidRPr="00FE76A3" w:rsidRDefault="001614ED" w:rsidP="001614ED">
      <w:pPr>
        <w:tabs>
          <w:tab w:val="left" w:pos="284"/>
        </w:tabs>
      </w:pPr>
      <w:r w:rsidRPr="00FE76A3">
        <w:t>‘W</w:t>
      </w:r>
      <w:r w:rsidR="00400CE4" w:rsidRPr="00FE76A3">
        <w:t>H</w:t>
      </w:r>
      <w:r w:rsidRPr="00FE76A3">
        <w:t>EREAS the parties have agreed that the defendant’s first special plea of prescription be separated from the remainder of the issues in terms of the provisions of rule 33(4) of the Uniform Rules of Court;</w:t>
      </w:r>
    </w:p>
    <w:p w14:paraId="77BDF22F" w14:textId="4992FDED" w:rsidR="001614ED" w:rsidRPr="00FE76A3" w:rsidRDefault="001614ED" w:rsidP="001614ED">
      <w:pPr>
        <w:tabs>
          <w:tab w:val="left" w:pos="284"/>
        </w:tabs>
      </w:pPr>
      <w:r w:rsidRPr="00FE76A3">
        <w:t>AND WHEREAS the parties have agreed on a set of facts to be placed before court for purposes of argument of the special plea of prescription,</w:t>
      </w:r>
    </w:p>
    <w:p w14:paraId="783FEEEA" w14:textId="370FA7DC" w:rsidR="001614ED" w:rsidRPr="00FE76A3" w:rsidRDefault="001614ED" w:rsidP="001614ED">
      <w:pPr>
        <w:tabs>
          <w:tab w:val="left" w:pos="284"/>
        </w:tabs>
      </w:pPr>
      <w:r w:rsidRPr="00FE76A3">
        <w:t>NOW THEREFORE the parties agree as follows:-</w:t>
      </w:r>
    </w:p>
    <w:p w14:paraId="2E425C95" w14:textId="045E5F71" w:rsidR="002F40D2" w:rsidRPr="00FE76A3" w:rsidRDefault="002F40D2" w:rsidP="00896C95">
      <w:pPr>
        <w:tabs>
          <w:tab w:val="left" w:pos="567"/>
        </w:tabs>
        <w:ind w:left="567" w:hanging="567"/>
      </w:pPr>
      <w:r w:rsidRPr="00FE76A3">
        <w:lastRenderedPageBreak/>
        <w:t>1.</w:t>
      </w:r>
      <w:r w:rsidRPr="00FE76A3">
        <w:tab/>
      </w:r>
      <w:r w:rsidR="001614ED" w:rsidRPr="00FE76A3">
        <w:t xml:space="preserve">On 15 </w:t>
      </w:r>
      <w:r w:rsidR="00647A60" w:rsidRPr="00FE76A3">
        <w:t>October 2014 Nolung</w:t>
      </w:r>
      <w:r w:rsidR="00400CE4" w:rsidRPr="00FE76A3">
        <w:t>a</w:t>
      </w:r>
      <w:r w:rsidR="00647A60" w:rsidRPr="00FE76A3">
        <w:t xml:space="preserve"> Mkhwanazi was injured in an incident which happened </w:t>
      </w:r>
      <w:r w:rsidRPr="00FE76A3">
        <w:t>at Checkers Hyper, Meadowdal</w:t>
      </w:r>
      <w:r w:rsidR="00400CE4" w:rsidRPr="00FE76A3">
        <w:t>e</w:t>
      </w:r>
      <w:r w:rsidRPr="00FE76A3">
        <w:t xml:space="preserve"> Mall, Edenv</w:t>
      </w:r>
      <w:r w:rsidR="00400CE4" w:rsidRPr="00FE76A3">
        <w:t>al</w:t>
      </w:r>
      <w:r w:rsidRPr="00FE76A3">
        <w:t>e.</w:t>
      </w:r>
    </w:p>
    <w:p w14:paraId="47A6B905" w14:textId="58180799" w:rsidR="00FA3DF7" w:rsidRPr="00FE76A3" w:rsidRDefault="002F40D2" w:rsidP="005D5F8E">
      <w:pPr>
        <w:tabs>
          <w:tab w:val="left" w:pos="567"/>
        </w:tabs>
        <w:ind w:left="567" w:hanging="567"/>
      </w:pPr>
      <w:r w:rsidRPr="00FE76A3">
        <w:t>2.</w:t>
      </w:r>
      <w:r w:rsidRPr="00FE76A3">
        <w:tab/>
        <w:t>By virtue of the injuries sustained by Nolunga Mkhwanazi</w:t>
      </w:r>
      <w:r w:rsidR="00400CE4" w:rsidRPr="00FE76A3">
        <w:t>,</w:t>
      </w:r>
      <w:r w:rsidRPr="00FE76A3">
        <w:t xml:space="preserve"> she is mentally incapacitated, requiring a curator to administer her affairs.</w:t>
      </w:r>
    </w:p>
    <w:p w14:paraId="5EDF4C8F" w14:textId="2CE86A2D" w:rsidR="00FA3DF7" w:rsidRPr="00FE76A3" w:rsidRDefault="00FA3DF7" w:rsidP="005D5F8E">
      <w:pPr>
        <w:tabs>
          <w:tab w:val="left" w:pos="567"/>
        </w:tabs>
        <w:ind w:left="567" w:hanging="567"/>
      </w:pPr>
      <w:r w:rsidRPr="00FE76A3">
        <w:t>3.</w:t>
      </w:r>
      <w:r w:rsidRPr="00FE76A3">
        <w:tab/>
        <w:t>The plaintiff was duly appointed as curator ad litem to Nolunga Mkhwanazi on 1 February 2017. A copy of the order so appointing the plaintiff is annexed hereto marked annexure “A”.</w:t>
      </w:r>
    </w:p>
    <w:p w14:paraId="6FA9C0EB" w14:textId="6B3E01E8" w:rsidR="00B35E78" w:rsidRPr="00FE76A3" w:rsidRDefault="00FA3DF7" w:rsidP="005D5F8E">
      <w:pPr>
        <w:tabs>
          <w:tab w:val="left" w:pos="567"/>
        </w:tabs>
        <w:ind w:left="567" w:hanging="567"/>
      </w:pPr>
      <w:r w:rsidRPr="00FE76A3">
        <w:t>4.</w:t>
      </w:r>
      <w:r w:rsidRPr="00FE76A3">
        <w:tab/>
        <w:t>On 22 February 2017 the plaintiff caused summons to be issued against Shoprite Holdings Limited under case number 5851/17. A copy of the summons and particulars of claim is annexed hereto marked annexure “B”.</w:t>
      </w:r>
    </w:p>
    <w:p w14:paraId="1998014A" w14:textId="44DC1F03" w:rsidR="00B35E78" w:rsidRPr="00FE76A3" w:rsidRDefault="00B35E78" w:rsidP="005D5F8E">
      <w:pPr>
        <w:tabs>
          <w:tab w:val="left" w:pos="567"/>
        </w:tabs>
        <w:ind w:left="567" w:hanging="567"/>
      </w:pPr>
      <w:r w:rsidRPr="00FE76A3">
        <w:t>5.</w:t>
      </w:r>
      <w:r w:rsidRPr="00FE76A3">
        <w:tab/>
        <w:t>The defendant duly pleaded to the aforesaid particulars of claim under case number 5851/17 on 28 July 2017. A copy of the plea is annexed hereto marked annexure “C”.</w:t>
      </w:r>
    </w:p>
    <w:p w14:paraId="4BE69CB8" w14:textId="4B9E8823" w:rsidR="00B35E78" w:rsidRPr="00FE76A3" w:rsidRDefault="00B35E78" w:rsidP="005D5F8E">
      <w:pPr>
        <w:tabs>
          <w:tab w:val="left" w:pos="567"/>
        </w:tabs>
        <w:ind w:left="567" w:hanging="567"/>
      </w:pPr>
      <w:r w:rsidRPr="00FE76A3">
        <w:t>6.</w:t>
      </w:r>
      <w:r w:rsidRPr="00FE76A3">
        <w:tab/>
        <w:t>On 28 June 2018 the plaintiff withdrew the action instituted under case number 5851/17. A copy of the notice of withdrawal is annexed hereto marked annexure “D”.</w:t>
      </w:r>
    </w:p>
    <w:p w14:paraId="1902FFD7" w14:textId="1BD97C96" w:rsidR="00C57C85" w:rsidRPr="00FE76A3" w:rsidRDefault="00B35E78" w:rsidP="005D5F8E">
      <w:pPr>
        <w:tabs>
          <w:tab w:val="left" w:pos="567"/>
        </w:tabs>
        <w:ind w:left="567" w:hanging="567"/>
      </w:pPr>
      <w:r w:rsidRPr="00FE76A3">
        <w:t>7.</w:t>
      </w:r>
      <w:r w:rsidRPr="00FE76A3">
        <w:tab/>
        <w:t xml:space="preserve">The summons commencing the proceedings under case number </w:t>
      </w:r>
      <w:r w:rsidR="00C57C85" w:rsidRPr="00FE76A3">
        <w:t>38084/18 against the above-</w:t>
      </w:r>
      <w:r w:rsidR="00F4217B" w:rsidRPr="00FE76A3">
        <w:t> </w:t>
      </w:r>
      <w:r w:rsidR="00C57C85" w:rsidRPr="00FE76A3">
        <w:t>named defendant was issued on 15 October 2018 and the summons was served by the sheriff on 19 October 2018. A copy of the return of service is annexed hereto marked annexure “E”.</w:t>
      </w:r>
    </w:p>
    <w:p w14:paraId="50903E43" w14:textId="018D401E" w:rsidR="00C57C85" w:rsidRPr="00FE76A3" w:rsidRDefault="00C57C85" w:rsidP="005D5F8E">
      <w:pPr>
        <w:tabs>
          <w:tab w:val="left" w:pos="567"/>
        </w:tabs>
        <w:ind w:left="567" w:hanging="567"/>
      </w:pPr>
      <w:r w:rsidRPr="00FE76A3">
        <w:t>8.</w:t>
      </w:r>
      <w:r w:rsidRPr="00FE76A3">
        <w:tab/>
        <w:t xml:space="preserve">The defendant filed a plea (annexure “F”) and the plaintiff filed a replication, which replication was subsequently amended (annexure “G”), being the replication as amended. </w:t>
      </w:r>
    </w:p>
    <w:p w14:paraId="6A76C674" w14:textId="3C1913A1" w:rsidR="00C57C85" w:rsidRPr="00FE76A3" w:rsidRDefault="00C57C85" w:rsidP="00C57C85">
      <w:pPr>
        <w:tabs>
          <w:tab w:val="left" w:pos="567"/>
        </w:tabs>
        <w:ind w:left="567" w:hanging="567"/>
      </w:pPr>
      <w:r w:rsidRPr="00FE76A3">
        <w:t>9.</w:t>
      </w:r>
      <w:r w:rsidRPr="00FE76A3">
        <w:tab/>
        <w:t>It is defendant</w:t>
      </w:r>
      <w:r w:rsidR="00F4217B" w:rsidRPr="00FE76A3">
        <w:t>’</w:t>
      </w:r>
      <w:r w:rsidRPr="00FE76A3">
        <w:t>s contention that the plaintiff</w:t>
      </w:r>
      <w:r w:rsidR="00F4217B" w:rsidRPr="00FE76A3">
        <w:t>’</w:t>
      </w:r>
      <w:r w:rsidRPr="00FE76A3">
        <w:t>s claim has prescribed by reason thereof</w:t>
      </w:r>
    </w:p>
    <w:p w14:paraId="2516F75E" w14:textId="5331A289" w:rsidR="00C57C85" w:rsidRPr="00FE76A3" w:rsidRDefault="00C57C85" w:rsidP="005D5F8E">
      <w:pPr>
        <w:tabs>
          <w:tab w:val="left" w:pos="567"/>
        </w:tabs>
        <w:ind w:left="567" w:hanging="567"/>
      </w:pPr>
      <w:r w:rsidRPr="00FE76A3">
        <w:tab/>
        <w:t>that a period of one year has expired after 1 February 2017 before summons was issued and served, alternatively that one year has expired after 28 July 2017, being the date when the plaintiff had full knowledge thereof that the wrong defendant had been cited under case number 5851/17 and that the defendant in the present proceedings is the correct defendant to be cited.</w:t>
      </w:r>
    </w:p>
    <w:p w14:paraId="43D778C5" w14:textId="32353C36" w:rsidR="00C57C85" w:rsidRPr="00FE76A3" w:rsidRDefault="00C57C85" w:rsidP="005D5F8E">
      <w:pPr>
        <w:tabs>
          <w:tab w:val="left" w:pos="567"/>
        </w:tabs>
        <w:ind w:left="567" w:hanging="567"/>
      </w:pPr>
      <w:r w:rsidRPr="00FE76A3">
        <w:t>10.</w:t>
      </w:r>
      <w:r w:rsidRPr="00FE76A3">
        <w:tab/>
        <w:t>It is the plaintiff’s contention that –</w:t>
      </w:r>
      <w:r w:rsidR="00F4217B" w:rsidRPr="00FE76A3">
        <w:t xml:space="preserve"> </w:t>
      </w:r>
    </w:p>
    <w:p w14:paraId="19149A07" w14:textId="0639D57D" w:rsidR="00C57C85" w:rsidRPr="00FE76A3" w:rsidRDefault="00C57C85" w:rsidP="00896C95">
      <w:pPr>
        <w:tabs>
          <w:tab w:val="left" w:pos="567"/>
        </w:tabs>
        <w:ind w:left="567" w:hanging="567"/>
      </w:pPr>
      <w:r w:rsidRPr="00FE76A3">
        <w:t>10.1.</w:t>
      </w:r>
      <w:r w:rsidRPr="00FE76A3">
        <w:tab/>
        <w:t>Nolunga suffered severe brain injuries and trauma in the incident of 15 October 2014 as described in the particulars of claim.</w:t>
      </w:r>
    </w:p>
    <w:p w14:paraId="220702CE" w14:textId="73BFC744" w:rsidR="00C57C85" w:rsidRPr="00FE76A3" w:rsidRDefault="00C57C85" w:rsidP="00896C95">
      <w:pPr>
        <w:tabs>
          <w:tab w:val="left" w:pos="567"/>
        </w:tabs>
        <w:ind w:left="567" w:hanging="567"/>
      </w:pPr>
      <w:r w:rsidRPr="00FE76A3">
        <w:t>10.2.</w:t>
      </w:r>
      <w:r w:rsidRPr="00FE76A3">
        <w:tab/>
        <w:t xml:space="preserve">Because of her injuries Nolunga was prevented from obtaining knowledge of the identity of the defendant and of the facts from which the debt arose until the plaintiff was appointed as </w:t>
      </w:r>
      <w:r w:rsidRPr="00FE76A3">
        <w:lastRenderedPageBreak/>
        <w:t>curator ad litem on 1 February 2017, and she was unable to acquire the requisite knowledge by the exercise of reasonable care.</w:t>
      </w:r>
    </w:p>
    <w:p w14:paraId="6B6615CE" w14:textId="1F4C7803" w:rsidR="00C57C85" w:rsidRPr="00FE76A3" w:rsidRDefault="00C57C85" w:rsidP="00896C95">
      <w:pPr>
        <w:tabs>
          <w:tab w:val="left" w:pos="567"/>
        </w:tabs>
        <w:ind w:left="567" w:hanging="567"/>
      </w:pPr>
      <w:r w:rsidRPr="00FE76A3">
        <w:t>10.3.</w:t>
      </w:r>
      <w:r w:rsidRPr="00FE76A3">
        <w:tab/>
        <w:t>When the plaintiff was appointed as curator ad litem on 1 February 2017 and despite exercising reasonable care the plaintiff acquired erroneous information which misled him to believe that the identity of the debtor was now known to him, and which cause</w:t>
      </w:r>
      <w:r w:rsidR="00F4217B" w:rsidRPr="00FE76A3">
        <w:t>d</w:t>
      </w:r>
      <w:r w:rsidRPr="00FE76A3">
        <w:t xml:space="preserve"> him to refrain from any further inquiry.</w:t>
      </w:r>
    </w:p>
    <w:p w14:paraId="20008A6C" w14:textId="53A4CBC1" w:rsidR="00EE1A78" w:rsidRPr="00FE76A3" w:rsidRDefault="00C57C85" w:rsidP="00896C95">
      <w:pPr>
        <w:tabs>
          <w:tab w:val="left" w:pos="567"/>
        </w:tabs>
        <w:ind w:left="567" w:hanging="567"/>
      </w:pPr>
      <w:r w:rsidRPr="00FE76A3">
        <w:t>10.4.</w:t>
      </w:r>
      <w:r w:rsidRPr="00FE76A3">
        <w:tab/>
        <w:t>On this basis of this incorrect information the plaintiff identified Shoprite Holdings Ltd as the defendant, and summons citing Shoprite Holdings Limited was issued (under case number 17/5851 in the Gauteng Local Division) and served on 22 February 2017.</w:t>
      </w:r>
    </w:p>
    <w:p w14:paraId="386039D5" w14:textId="74297B95" w:rsidR="00EE1A78" w:rsidRPr="00FE76A3" w:rsidRDefault="00EE1A78" w:rsidP="00896C95">
      <w:pPr>
        <w:tabs>
          <w:tab w:val="left" w:pos="567"/>
        </w:tabs>
        <w:ind w:left="567" w:hanging="567"/>
      </w:pPr>
      <w:r w:rsidRPr="00FE76A3">
        <w:t>10.5.</w:t>
      </w:r>
      <w:r w:rsidRPr="00FE76A3">
        <w:tab/>
        <w:t>On or about 28 July 2017 Shoprite Holdings Ltd pleaded that its citation constituted a misjoinder, and the failure to cite the present defendant as a defendant constituted a non-joinder.</w:t>
      </w:r>
    </w:p>
    <w:p w14:paraId="6EDB63FA" w14:textId="7677067A" w:rsidR="00EE1A78" w:rsidRPr="00FE76A3" w:rsidRDefault="00EE1A78" w:rsidP="005D5F8E">
      <w:pPr>
        <w:tabs>
          <w:tab w:val="left" w:pos="567"/>
        </w:tabs>
        <w:ind w:left="567" w:hanging="567"/>
      </w:pPr>
      <w:r w:rsidRPr="00FE76A3">
        <w:t>10.6.</w:t>
      </w:r>
      <w:r w:rsidRPr="00FE76A3">
        <w:tab/>
        <w:t xml:space="preserve">Because of the plea the plaintiff learned on or about 28 July 2017 that the owner of the store known as Checkers Hyper in Edenvale was in fact not Shoprite Holdings Ltd but rather its fully-owned subsidiary, the present defendant. </w:t>
      </w:r>
    </w:p>
    <w:p w14:paraId="77932A87" w14:textId="4F406032" w:rsidR="00EE1A78" w:rsidRPr="00FE76A3" w:rsidRDefault="00EE1A78" w:rsidP="005D5F8E">
      <w:pPr>
        <w:tabs>
          <w:tab w:val="left" w:pos="567"/>
        </w:tabs>
        <w:ind w:left="567" w:hanging="567"/>
      </w:pPr>
      <w:r w:rsidRPr="00FE76A3">
        <w:t>10.7.</w:t>
      </w:r>
      <w:r w:rsidRPr="00FE76A3">
        <w:tab/>
        <w:t>The action against Shoprite Holdings Ltd was withdrawn on 28 June 2018.</w:t>
      </w:r>
    </w:p>
    <w:p w14:paraId="38C1BD0B" w14:textId="73B72AF6" w:rsidR="00BC5ECD" w:rsidRPr="00FE76A3" w:rsidRDefault="00EE1A78" w:rsidP="005D5F8E">
      <w:pPr>
        <w:tabs>
          <w:tab w:val="left" w:pos="567"/>
        </w:tabs>
        <w:ind w:left="567" w:hanging="567"/>
      </w:pPr>
      <w:r w:rsidRPr="00FE76A3">
        <w:t>10.8.</w:t>
      </w:r>
      <w:r w:rsidRPr="00FE76A3">
        <w:tab/>
        <w:t xml:space="preserve">Prescription was interrupted in terms of section 15 of the Prescription Act by the service of process on 19 October 2018, and less than three years had elapsed since the debt became due within the meaning of section 12(3) of the Prescription Act </w:t>
      </w:r>
      <w:r w:rsidR="00BC5ECD" w:rsidRPr="00FE76A3">
        <w:t>–</w:t>
      </w:r>
      <w:r w:rsidR="00F4217B" w:rsidRPr="00FE76A3">
        <w:t xml:space="preserve"> </w:t>
      </w:r>
    </w:p>
    <w:p w14:paraId="630C52F8" w14:textId="54F82689" w:rsidR="00BC5ECD" w:rsidRPr="00FE76A3" w:rsidRDefault="00BC5ECD" w:rsidP="005D5F8E">
      <w:pPr>
        <w:tabs>
          <w:tab w:val="left" w:pos="567"/>
        </w:tabs>
        <w:ind w:left="567" w:hanging="567"/>
      </w:pPr>
      <w:r w:rsidRPr="00FE76A3">
        <w:tab/>
        <w:t>10.8.1.</w:t>
      </w:r>
      <w:r w:rsidRPr="00FE76A3">
        <w:tab/>
        <w:t>on or after 1 February 2017,</w:t>
      </w:r>
    </w:p>
    <w:p w14:paraId="3E4ABCEB" w14:textId="64EA1B1D" w:rsidR="00BC5ECD" w:rsidRPr="00FE76A3" w:rsidRDefault="00BC5ECD" w:rsidP="00EE1A78">
      <w:pPr>
        <w:tabs>
          <w:tab w:val="left" w:pos="567"/>
        </w:tabs>
        <w:ind w:left="567" w:hanging="567"/>
      </w:pPr>
      <w:r w:rsidRPr="00FE76A3">
        <w:tab/>
        <w:t>10.8.2.</w:t>
      </w:r>
      <w:r w:rsidRPr="00FE76A3">
        <w:tab/>
        <w:t>alternatively</w:t>
      </w:r>
      <w:r w:rsidR="00F86DF5" w:rsidRPr="00FE76A3">
        <w:t>,</w:t>
      </w:r>
      <w:r w:rsidRPr="00FE76A3">
        <w:t xml:space="preserve"> on or after 28 July 2017.’</w:t>
      </w:r>
    </w:p>
    <w:p w14:paraId="4AA5583B" w14:textId="2A04B1FA" w:rsidR="00BC5ECD" w:rsidRPr="00FE76A3" w:rsidRDefault="00BC5ECD" w:rsidP="00896C95">
      <w:pPr>
        <w:tabs>
          <w:tab w:val="left" w:pos="567"/>
        </w:tabs>
      </w:pPr>
    </w:p>
    <w:p w14:paraId="58CA6ECC" w14:textId="697D99DA" w:rsidR="005D5F8E" w:rsidRPr="00FE76A3" w:rsidRDefault="004F28E4" w:rsidP="005D5F8E">
      <w:pPr>
        <w:tabs>
          <w:tab w:val="left" w:pos="142"/>
        </w:tabs>
        <w:rPr>
          <w:sz w:val="28"/>
        </w:rPr>
      </w:pPr>
      <w:r w:rsidRPr="00FE76A3">
        <w:rPr>
          <w:sz w:val="28"/>
        </w:rPr>
        <w:t>[8]</w:t>
      </w:r>
      <w:r w:rsidRPr="00FE76A3">
        <w:rPr>
          <w:sz w:val="28"/>
        </w:rPr>
        <w:tab/>
        <w:t>On 3 January 2020</w:t>
      </w:r>
      <w:r w:rsidR="00EB0797" w:rsidRPr="00FE76A3">
        <w:rPr>
          <w:sz w:val="28"/>
        </w:rPr>
        <w:t>,</w:t>
      </w:r>
      <w:r w:rsidRPr="00FE76A3">
        <w:rPr>
          <w:sz w:val="28"/>
        </w:rPr>
        <w:t xml:space="preserve"> the matter served before Manio</w:t>
      </w:r>
      <w:r w:rsidR="00224E32" w:rsidRPr="00FE76A3">
        <w:rPr>
          <w:sz w:val="28"/>
        </w:rPr>
        <w:t>m</w:t>
      </w:r>
      <w:r w:rsidRPr="00FE76A3">
        <w:rPr>
          <w:sz w:val="28"/>
        </w:rPr>
        <w:t xml:space="preserve"> AJ who, on 27 January 2021, in a comprehensive judgment</w:t>
      </w:r>
      <w:r w:rsidR="00EB0797" w:rsidRPr="00FE76A3">
        <w:rPr>
          <w:sz w:val="28"/>
        </w:rPr>
        <w:t>,</w:t>
      </w:r>
      <w:r w:rsidRPr="00FE76A3">
        <w:rPr>
          <w:sz w:val="28"/>
        </w:rPr>
        <w:t xml:space="preserve"> dismissed the special plea of prescription with costs. In essence, the learned </w:t>
      </w:r>
      <w:r w:rsidR="00EB0797" w:rsidRPr="00FE76A3">
        <w:rPr>
          <w:sz w:val="28"/>
        </w:rPr>
        <w:t>j</w:t>
      </w:r>
      <w:r w:rsidRPr="00FE76A3">
        <w:rPr>
          <w:sz w:val="28"/>
        </w:rPr>
        <w:t xml:space="preserve">udge held that having regard to the general scheme of the Prescription Act, more particularly </w:t>
      </w:r>
      <w:r w:rsidR="00224E32" w:rsidRPr="00FE76A3">
        <w:rPr>
          <w:sz w:val="28"/>
        </w:rPr>
        <w:t xml:space="preserve">that </w:t>
      </w:r>
      <w:r w:rsidRPr="00FE76A3">
        <w:rPr>
          <w:sz w:val="28"/>
        </w:rPr>
        <w:t>ss 12 and 13</w:t>
      </w:r>
      <w:r w:rsidR="00A7434C">
        <w:rPr>
          <w:sz w:val="28"/>
        </w:rPr>
        <w:t>,</w:t>
      </w:r>
      <w:r w:rsidRPr="00FE76A3">
        <w:rPr>
          <w:sz w:val="28"/>
        </w:rPr>
        <w:t xml:space="preserve"> interpreted in light of their purpose and context, were not mutually exclusive. Therefore, the learned </w:t>
      </w:r>
      <w:r w:rsidR="00EB0797" w:rsidRPr="00FE76A3">
        <w:rPr>
          <w:sz w:val="28"/>
        </w:rPr>
        <w:t>j</w:t>
      </w:r>
      <w:r w:rsidRPr="00FE76A3">
        <w:rPr>
          <w:sz w:val="28"/>
        </w:rPr>
        <w:t>udge concluded, ‘</w:t>
      </w:r>
      <w:r w:rsidR="00EB0797" w:rsidRPr="00FE76A3">
        <w:rPr>
          <w:sz w:val="28"/>
        </w:rPr>
        <w:t xml:space="preserve">. . . </w:t>
      </w:r>
      <w:r w:rsidRPr="00FE76A3">
        <w:rPr>
          <w:sz w:val="28"/>
        </w:rPr>
        <w:t>the two sections are not inconsistent</w:t>
      </w:r>
      <w:r w:rsidR="00EB0797" w:rsidRPr="00FE76A3">
        <w:rPr>
          <w:sz w:val="28"/>
        </w:rPr>
        <w:t xml:space="preserve">. . . </w:t>
      </w:r>
      <w:r w:rsidRPr="00FE76A3">
        <w:rPr>
          <w:sz w:val="28"/>
        </w:rPr>
        <w:t>’ and that ‘</w:t>
      </w:r>
      <w:r w:rsidR="00EB0797" w:rsidRPr="00FE76A3">
        <w:rPr>
          <w:sz w:val="28"/>
        </w:rPr>
        <w:t xml:space="preserve">. . . </w:t>
      </w:r>
      <w:r w:rsidRPr="00FE76A3">
        <w:rPr>
          <w:sz w:val="28"/>
        </w:rPr>
        <w:t>any other interpretation would lead to injustice’. Further</w:t>
      </w:r>
      <w:r w:rsidR="00F57788" w:rsidRPr="00FE76A3">
        <w:rPr>
          <w:sz w:val="28"/>
        </w:rPr>
        <w:t xml:space="preserve">, he held that the interpretation </w:t>
      </w:r>
      <w:r w:rsidR="00F57788" w:rsidRPr="00FE76A3">
        <w:rPr>
          <w:sz w:val="28"/>
        </w:rPr>
        <w:lastRenderedPageBreak/>
        <w:t>favoured by him would promote access to courts as entrenc</w:t>
      </w:r>
      <w:r w:rsidR="00794BF4" w:rsidRPr="00FE76A3">
        <w:rPr>
          <w:sz w:val="28"/>
        </w:rPr>
        <w:t>hed in s 34 of the Constitution</w:t>
      </w:r>
      <w:r w:rsidR="00791D78" w:rsidRPr="00FE76A3">
        <w:rPr>
          <w:sz w:val="28"/>
        </w:rPr>
        <w:t>.</w:t>
      </w:r>
      <w:r w:rsidR="005D5F8E" w:rsidRPr="00FE76A3">
        <w:rPr>
          <w:sz w:val="28"/>
        </w:rPr>
        <w:t xml:space="preserve"> In this respect, the learned judge reasoned thus:</w:t>
      </w:r>
    </w:p>
    <w:p w14:paraId="690976ED" w14:textId="74FD44D8" w:rsidR="005D5F8E" w:rsidRPr="00FE76A3" w:rsidRDefault="005D5F8E" w:rsidP="005D5F8E">
      <w:pPr>
        <w:pStyle w:val="FootnoteText"/>
        <w:rPr>
          <w:sz w:val="24"/>
          <w:szCs w:val="24"/>
        </w:rPr>
      </w:pPr>
      <w:r w:rsidRPr="00FE76A3">
        <w:t>‘</w:t>
      </w:r>
      <w:r w:rsidRPr="00FE76A3">
        <w:rPr>
          <w:sz w:val="24"/>
          <w:szCs w:val="24"/>
        </w:rPr>
        <w:t xml:space="preserve">I find that a </w:t>
      </w:r>
      <w:r w:rsidRPr="00FE76A3">
        <w:rPr>
          <w:i/>
          <w:sz w:val="24"/>
          <w:szCs w:val="24"/>
        </w:rPr>
        <w:t>curator ad litem</w:t>
      </w:r>
      <w:r w:rsidRPr="00FE76A3">
        <w:rPr>
          <w:sz w:val="24"/>
          <w:szCs w:val="24"/>
        </w:rPr>
        <w:t>, notwithstanding the provisions of section 13(1)(a), may also rely on section 12(3). This conclusion is based on the fact that the two sections are not inconsistent, secondly any other interpretation would lead to an injustice and thirdly that this interpretation is the one more consistent with the constitutional right of access to courts guaranteed by section 34 of the Constitution which states:</w:t>
      </w:r>
    </w:p>
    <w:p w14:paraId="582F7EA3" w14:textId="77777777" w:rsidR="004108E7" w:rsidRPr="00FE76A3" w:rsidRDefault="005D5F8E" w:rsidP="004108E7">
      <w:pPr>
        <w:pStyle w:val="FootnoteText"/>
        <w:rPr>
          <w:sz w:val="24"/>
          <w:szCs w:val="24"/>
          <w:lang w:val="en-ZA"/>
        </w:rPr>
      </w:pPr>
      <w:r w:rsidRPr="00FE76A3">
        <w:rPr>
          <w:sz w:val="24"/>
          <w:szCs w:val="24"/>
        </w:rPr>
        <w:t>“</w:t>
      </w:r>
      <w:r w:rsidRPr="00FE76A3">
        <w:rPr>
          <w:i/>
          <w:sz w:val="24"/>
          <w:szCs w:val="24"/>
        </w:rPr>
        <w:t>Everyone has the right to have any dispute that can be resolved by the application of law decided in a fair public hearing before a court or, where appropriate, another independent and impartial tribunal or forum</w:t>
      </w:r>
      <w:r w:rsidRPr="00FE76A3">
        <w:rPr>
          <w:sz w:val="24"/>
          <w:szCs w:val="24"/>
        </w:rPr>
        <w:t>.</w:t>
      </w:r>
      <w:r w:rsidRPr="00FE76A3">
        <w:rPr>
          <w:sz w:val="24"/>
          <w:szCs w:val="24"/>
          <w:lang w:val="en-ZA"/>
        </w:rPr>
        <w:t>”’</w:t>
      </w:r>
    </w:p>
    <w:p w14:paraId="795A042D" w14:textId="042D47FE" w:rsidR="0047710A" w:rsidRPr="00FE76A3" w:rsidRDefault="009D774A" w:rsidP="004108E7">
      <w:pPr>
        <w:pStyle w:val="FootnoteText"/>
        <w:rPr>
          <w:sz w:val="24"/>
          <w:szCs w:val="24"/>
          <w:lang w:val="en-ZA"/>
        </w:rPr>
      </w:pPr>
      <w:r w:rsidRPr="00FE76A3">
        <w:rPr>
          <w:sz w:val="28"/>
        </w:rPr>
        <w:t>Subsequently, on 29 July </w:t>
      </w:r>
      <w:r w:rsidR="004226E6" w:rsidRPr="00FE76A3">
        <w:rPr>
          <w:sz w:val="28"/>
        </w:rPr>
        <w:t>2021, the high court granted leave to appeal to this Court.</w:t>
      </w:r>
      <w:r w:rsidR="00791D78" w:rsidRPr="00FE76A3">
        <w:rPr>
          <w:sz w:val="28"/>
        </w:rPr>
        <w:t xml:space="preserve"> </w:t>
      </w:r>
    </w:p>
    <w:p w14:paraId="6BF550CF" w14:textId="77777777" w:rsidR="0047710A" w:rsidRPr="00FE76A3" w:rsidRDefault="0047710A" w:rsidP="004F28E4">
      <w:pPr>
        <w:tabs>
          <w:tab w:val="left" w:pos="142"/>
        </w:tabs>
        <w:rPr>
          <w:sz w:val="28"/>
        </w:rPr>
      </w:pPr>
    </w:p>
    <w:p w14:paraId="03B8967D" w14:textId="0D767493" w:rsidR="0047710A" w:rsidRPr="00FE76A3" w:rsidRDefault="0047710A" w:rsidP="004F28E4">
      <w:pPr>
        <w:tabs>
          <w:tab w:val="left" w:pos="142"/>
        </w:tabs>
        <w:rPr>
          <w:b/>
          <w:sz w:val="28"/>
        </w:rPr>
      </w:pPr>
      <w:r w:rsidRPr="00FE76A3">
        <w:rPr>
          <w:b/>
          <w:sz w:val="28"/>
        </w:rPr>
        <w:t>Discussion</w:t>
      </w:r>
    </w:p>
    <w:p w14:paraId="06725A30" w14:textId="6BAA0CAE" w:rsidR="004226E6" w:rsidRPr="00FE76A3" w:rsidRDefault="004108E7" w:rsidP="004F28E4">
      <w:pPr>
        <w:tabs>
          <w:tab w:val="left" w:pos="142"/>
        </w:tabs>
        <w:rPr>
          <w:sz w:val="28"/>
        </w:rPr>
      </w:pPr>
      <w:r w:rsidRPr="00FE76A3">
        <w:rPr>
          <w:sz w:val="28"/>
        </w:rPr>
        <w:t>[9</w:t>
      </w:r>
      <w:r w:rsidR="004226E6" w:rsidRPr="00FE76A3">
        <w:rPr>
          <w:sz w:val="28"/>
        </w:rPr>
        <w:t>]</w:t>
      </w:r>
      <w:r w:rsidR="004226E6" w:rsidRPr="00FE76A3">
        <w:rPr>
          <w:sz w:val="28"/>
        </w:rPr>
        <w:tab/>
      </w:r>
      <w:r w:rsidR="00F2132C" w:rsidRPr="00FE76A3">
        <w:rPr>
          <w:sz w:val="28"/>
        </w:rPr>
        <w:t>Before dealing with the contentions of counsel, it is necessary to make some preliminary observations in regard to the agreed statement of facts. First, it is common cause that the summons</w:t>
      </w:r>
      <w:r w:rsidR="009D774A" w:rsidRPr="00FE76A3">
        <w:rPr>
          <w:sz w:val="28"/>
        </w:rPr>
        <w:t xml:space="preserve"> in issue here was issued on 15 October </w:t>
      </w:r>
      <w:r w:rsidR="00F2132C" w:rsidRPr="00FE76A3">
        <w:rPr>
          <w:sz w:val="28"/>
        </w:rPr>
        <w:t>2018</w:t>
      </w:r>
      <w:r w:rsidR="00ED4EE0" w:rsidRPr="00FE76A3">
        <w:rPr>
          <w:sz w:val="28"/>
        </w:rPr>
        <w:t xml:space="preserve"> and served on 19 October 2018</w:t>
      </w:r>
      <w:r w:rsidR="00F2132C" w:rsidRPr="00FE76A3">
        <w:rPr>
          <w:sz w:val="28"/>
        </w:rPr>
        <w:t>. Second, that the curator acquired knowledge of the true identity of the debtor, ie Shoprite Checkers, on 1 February 2017.</w:t>
      </w:r>
      <w:r w:rsidR="0047710A" w:rsidRPr="00FE76A3">
        <w:rPr>
          <w:sz w:val="28"/>
        </w:rPr>
        <w:t xml:space="preserve"> Quite apart from the foregoing, </w:t>
      </w:r>
      <w:r w:rsidR="00F2132C" w:rsidRPr="00FE76A3">
        <w:rPr>
          <w:sz w:val="28"/>
        </w:rPr>
        <w:t xml:space="preserve">it is, in addition, common cause that Ms Mkhwanazi had suffered mental or intellectual disability as a result of her injuries rendering her incapable of acquiring knowledge as to the identity of the true debtor. </w:t>
      </w:r>
    </w:p>
    <w:p w14:paraId="681BE64D" w14:textId="5B4C5E17" w:rsidR="00F2132C" w:rsidRPr="00FE76A3" w:rsidRDefault="00F2132C" w:rsidP="004F28E4">
      <w:pPr>
        <w:tabs>
          <w:tab w:val="left" w:pos="142"/>
        </w:tabs>
        <w:rPr>
          <w:sz w:val="28"/>
        </w:rPr>
      </w:pPr>
    </w:p>
    <w:p w14:paraId="1BC26D54" w14:textId="4A17E942" w:rsidR="00F2132C" w:rsidRPr="00FE76A3" w:rsidRDefault="004108E7" w:rsidP="004F28E4">
      <w:pPr>
        <w:tabs>
          <w:tab w:val="left" w:pos="142"/>
        </w:tabs>
        <w:rPr>
          <w:sz w:val="28"/>
        </w:rPr>
      </w:pPr>
      <w:r w:rsidRPr="00FE76A3">
        <w:rPr>
          <w:sz w:val="28"/>
        </w:rPr>
        <w:t>[10</w:t>
      </w:r>
      <w:r w:rsidR="00F2132C" w:rsidRPr="00FE76A3">
        <w:rPr>
          <w:sz w:val="28"/>
        </w:rPr>
        <w:t>]</w:t>
      </w:r>
      <w:r w:rsidR="00F2132C" w:rsidRPr="00FE76A3">
        <w:rPr>
          <w:sz w:val="28"/>
        </w:rPr>
        <w:tab/>
        <w:t xml:space="preserve">Before us, the argument advanced on behalf of Shoprite Checkers was the following. First, s 12 of the Prescription Act is specifically designed to, inter alia, cater </w:t>
      </w:r>
      <w:r w:rsidR="006F7BDF" w:rsidRPr="00FE76A3">
        <w:rPr>
          <w:sz w:val="28"/>
        </w:rPr>
        <w:t xml:space="preserve">for </w:t>
      </w:r>
      <w:r w:rsidR="00F2132C" w:rsidRPr="00FE76A3">
        <w:rPr>
          <w:sz w:val="28"/>
        </w:rPr>
        <w:t>instances where creditors do not suffer from any mental impairment and thus able to exercise due and reasonable care to establish the identity of the debtor, except where the debtor wilfully prevents the creditor from coming to know of the existence of the debt. Second, in contrast, s 13(1)</w:t>
      </w:r>
      <w:r w:rsidR="00F2132C" w:rsidRPr="00FE76A3">
        <w:rPr>
          <w:i/>
          <w:sz w:val="28"/>
        </w:rPr>
        <w:t>(a)</w:t>
      </w:r>
      <w:r w:rsidR="00F2132C" w:rsidRPr="00FE76A3">
        <w:rPr>
          <w:sz w:val="28"/>
        </w:rPr>
        <w:t xml:space="preserve"> regulates situations where for </w:t>
      </w:r>
      <w:r w:rsidR="00F2132C" w:rsidRPr="00FE76A3">
        <w:rPr>
          <w:sz w:val="28"/>
        </w:rPr>
        <w:lastRenderedPageBreak/>
        <w:t xml:space="preserve">any or some or all of the instances spelt out in paragraphs </w:t>
      </w:r>
      <w:r w:rsidR="00F2132C" w:rsidRPr="00FE76A3">
        <w:rPr>
          <w:i/>
          <w:sz w:val="28"/>
        </w:rPr>
        <w:t>(a)</w:t>
      </w:r>
      <w:r w:rsidR="00F2132C" w:rsidRPr="00FE76A3">
        <w:rPr>
          <w:sz w:val="28"/>
        </w:rPr>
        <w:t xml:space="preserve"> to </w:t>
      </w:r>
      <w:r w:rsidR="00F2132C" w:rsidRPr="00FE76A3">
        <w:rPr>
          <w:i/>
          <w:sz w:val="28"/>
        </w:rPr>
        <w:t>(h)</w:t>
      </w:r>
      <w:r w:rsidR="00F2132C" w:rsidRPr="00FE76A3">
        <w:rPr>
          <w:sz w:val="28"/>
        </w:rPr>
        <w:t xml:space="preserve"> of s 13(1) the creditor is not able to interrupt the running of prescription. Third, unlike in the past where under the common law prescription </w:t>
      </w:r>
      <w:r w:rsidR="00EC4806" w:rsidRPr="00FE76A3">
        <w:rPr>
          <w:sz w:val="28"/>
        </w:rPr>
        <w:t>did</w:t>
      </w:r>
      <w:r w:rsidR="00F2132C" w:rsidRPr="00FE76A3">
        <w:rPr>
          <w:sz w:val="28"/>
        </w:rPr>
        <w:t xml:space="preserve"> not run against minors or persons suffering from any mental or intellectual disability or incapacity, s 13(1) instead explicitly provides that the commencement of prescription is not delayed due to mental incapacity or agai</w:t>
      </w:r>
      <w:r w:rsidR="00C274A1" w:rsidRPr="00FE76A3">
        <w:rPr>
          <w:sz w:val="28"/>
        </w:rPr>
        <w:t>nst a person under curatorship, but that its completion is delayed for a year after ‘the day on which the relevant impediment . . . has ceased to exist’</w:t>
      </w:r>
      <w:r w:rsidR="00F2445E" w:rsidRPr="00FE76A3">
        <w:rPr>
          <w:sz w:val="28"/>
        </w:rPr>
        <w:t>.</w:t>
      </w:r>
      <w:r w:rsidR="00C274A1" w:rsidRPr="00FE76A3">
        <w:rPr>
          <w:sz w:val="28"/>
        </w:rPr>
        <w:t xml:space="preserve"> Fourth, that there is no intersectionality between s 12 on </w:t>
      </w:r>
      <w:r w:rsidR="00F84463">
        <w:rPr>
          <w:sz w:val="28"/>
        </w:rPr>
        <w:t>the one hand and s </w:t>
      </w:r>
      <w:r w:rsidR="00C274A1" w:rsidRPr="00FE76A3">
        <w:rPr>
          <w:sz w:val="28"/>
        </w:rPr>
        <w:t xml:space="preserve">13 on the </w:t>
      </w:r>
      <w:r w:rsidR="0049426E" w:rsidRPr="00FE76A3">
        <w:rPr>
          <w:sz w:val="28"/>
        </w:rPr>
        <w:t xml:space="preserve">other. Fifth, </w:t>
      </w:r>
      <w:bookmarkStart w:id="5" w:name="_Hlk125455785"/>
      <w:r w:rsidR="0049426E" w:rsidRPr="00FE76A3">
        <w:rPr>
          <w:sz w:val="28"/>
        </w:rPr>
        <w:t xml:space="preserve">that Ms Mkhwanazi’s situation </w:t>
      </w:r>
      <w:r w:rsidR="00C274A1" w:rsidRPr="00FE76A3">
        <w:rPr>
          <w:sz w:val="28"/>
        </w:rPr>
        <w:t xml:space="preserve">falls squarely within the purview of s 13 and </w:t>
      </w:r>
      <w:r w:rsidR="00F2445E" w:rsidRPr="00FE76A3">
        <w:rPr>
          <w:sz w:val="28"/>
        </w:rPr>
        <w:t xml:space="preserve">the curator </w:t>
      </w:r>
      <w:r w:rsidR="00C274A1" w:rsidRPr="00FE76A3">
        <w:rPr>
          <w:sz w:val="28"/>
        </w:rPr>
        <w:t>is therefore precluded from relying on s 12</w:t>
      </w:r>
      <w:bookmarkEnd w:id="5"/>
      <w:r w:rsidR="00C274A1" w:rsidRPr="00FE76A3">
        <w:rPr>
          <w:sz w:val="28"/>
        </w:rPr>
        <w:t>. Sixth, that as</w:t>
      </w:r>
      <w:r w:rsidR="00F2445E" w:rsidRPr="00FE76A3">
        <w:rPr>
          <w:sz w:val="28"/>
        </w:rPr>
        <w:t xml:space="preserve"> </w:t>
      </w:r>
      <w:bookmarkStart w:id="6" w:name="_Hlk125455711"/>
      <w:r w:rsidR="00F2445E" w:rsidRPr="00FE76A3">
        <w:rPr>
          <w:sz w:val="28"/>
        </w:rPr>
        <w:t>the curator</w:t>
      </w:r>
      <w:r w:rsidR="00C274A1" w:rsidRPr="00FE76A3">
        <w:rPr>
          <w:sz w:val="28"/>
        </w:rPr>
        <w:t xml:space="preserve"> was appointed as </w:t>
      </w:r>
      <w:r w:rsidR="00C274A1" w:rsidRPr="00FE76A3">
        <w:rPr>
          <w:i/>
          <w:sz w:val="28"/>
        </w:rPr>
        <w:t>c</w:t>
      </w:r>
      <w:r w:rsidR="0049426E" w:rsidRPr="00FE76A3">
        <w:rPr>
          <w:i/>
          <w:sz w:val="28"/>
        </w:rPr>
        <w:t>urator ad litem</w:t>
      </w:r>
      <w:r w:rsidR="0049426E" w:rsidRPr="00FE76A3">
        <w:rPr>
          <w:sz w:val="28"/>
        </w:rPr>
        <w:t xml:space="preserve"> to Ms Mkhwanazi </w:t>
      </w:r>
      <w:r w:rsidR="00C274A1" w:rsidRPr="00FE76A3">
        <w:rPr>
          <w:sz w:val="28"/>
        </w:rPr>
        <w:t xml:space="preserve">on 1 February 2017 in order to pursue </w:t>
      </w:r>
      <w:r w:rsidR="005B26B9" w:rsidRPr="00FE76A3">
        <w:rPr>
          <w:sz w:val="28"/>
        </w:rPr>
        <w:t xml:space="preserve">her </w:t>
      </w:r>
      <w:r w:rsidR="00C274A1" w:rsidRPr="00FE76A3">
        <w:rPr>
          <w:sz w:val="28"/>
        </w:rPr>
        <w:t xml:space="preserve">claim for damages, he had a year </w:t>
      </w:r>
      <w:r w:rsidR="005B26B9" w:rsidRPr="00FE76A3">
        <w:rPr>
          <w:sz w:val="28"/>
        </w:rPr>
        <w:t xml:space="preserve">from </w:t>
      </w:r>
      <w:r w:rsidR="00C274A1" w:rsidRPr="00FE76A3">
        <w:rPr>
          <w:sz w:val="28"/>
        </w:rPr>
        <w:t>1 February 2017 within which to institute action and serve the summons – whereby the claim was instituted – on Shoprite Checkers.</w:t>
      </w:r>
    </w:p>
    <w:bookmarkEnd w:id="6"/>
    <w:p w14:paraId="0EDF9E62" w14:textId="6A4E1D6E" w:rsidR="00C274A1" w:rsidRPr="00FE76A3" w:rsidRDefault="00C274A1" w:rsidP="004F28E4">
      <w:pPr>
        <w:tabs>
          <w:tab w:val="left" w:pos="142"/>
        </w:tabs>
        <w:rPr>
          <w:sz w:val="28"/>
        </w:rPr>
      </w:pPr>
    </w:p>
    <w:p w14:paraId="51CBF3B4" w14:textId="128420B5" w:rsidR="00C274A1" w:rsidRPr="00FE76A3" w:rsidRDefault="006F7BDF" w:rsidP="004F28E4">
      <w:pPr>
        <w:tabs>
          <w:tab w:val="left" w:pos="142"/>
        </w:tabs>
        <w:rPr>
          <w:sz w:val="28"/>
        </w:rPr>
      </w:pPr>
      <w:r w:rsidRPr="00FE76A3">
        <w:rPr>
          <w:sz w:val="28"/>
        </w:rPr>
        <w:t>[11</w:t>
      </w:r>
      <w:r w:rsidR="00C274A1" w:rsidRPr="00FE76A3">
        <w:rPr>
          <w:sz w:val="28"/>
        </w:rPr>
        <w:t>]</w:t>
      </w:r>
      <w:r w:rsidR="00C274A1" w:rsidRPr="00FE76A3">
        <w:rPr>
          <w:sz w:val="28"/>
        </w:rPr>
        <w:tab/>
      </w:r>
      <w:r w:rsidR="006023F9" w:rsidRPr="00FE76A3">
        <w:rPr>
          <w:sz w:val="28"/>
        </w:rPr>
        <w:t>In countering the argument advanced on behalf of Shoprite Checkers, counsel for the curator</w:t>
      </w:r>
      <w:r w:rsidR="00A7434C">
        <w:rPr>
          <w:sz w:val="28"/>
        </w:rPr>
        <w:t>,</w:t>
      </w:r>
      <w:r w:rsidR="00F2445E" w:rsidRPr="00FE76A3">
        <w:rPr>
          <w:sz w:val="28"/>
        </w:rPr>
        <w:t xml:space="preserve"> </w:t>
      </w:r>
      <w:r w:rsidRPr="00FE76A3">
        <w:rPr>
          <w:sz w:val="28"/>
        </w:rPr>
        <w:t xml:space="preserve">inter alia, </w:t>
      </w:r>
      <w:r w:rsidR="006023F9" w:rsidRPr="00FE76A3">
        <w:rPr>
          <w:sz w:val="28"/>
        </w:rPr>
        <w:t>made the following submission. First, because of Ms Mkhwanazi’s mental incapacity</w:t>
      </w:r>
      <w:r w:rsidR="00F2445E" w:rsidRPr="00FE76A3">
        <w:rPr>
          <w:sz w:val="28"/>
        </w:rPr>
        <w:t>,</w:t>
      </w:r>
      <w:r w:rsidR="006023F9" w:rsidRPr="00FE76A3">
        <w:rPr>
          <w:sz w:val="28"/>
        </w:rPr>
        <w:t xml:space="preserve"> which is permanent, she did not know, nor could she know, of the identity of the debtor, in this instance Shoprite Checkers. It was only after the curator became aware of the identity of the true debtor – upon service of the special plea i</w:t>
      </w:r>
      <w:r w:rsidR="009D774A" w:rsidRPr="00FE76A3">
        <w:rPr>
          <w:sz w:val="28"/>
        </w:rPr>
        <w:t>n the initial proceedings on 27 </w:t>
      </w:r>
      <w:r w:rsidR="006023F9" w:rsidRPr="00FE76A3">
        <w:rPr>
          <w:sz w:val="28"/>
        </w:rPr>
        <w:t>June 2017 – did</w:t>
      </w:r>
      <w:r w:rsidR="00F2445E" w:rsidRPr="00FE76A3">
        <w:rPr>
          <w:sz w:val="28"/>
        </w:rPr>
        <w:t xml:space="preserve"> </w:t>
      </w:r>
      <w:r w:rsidR="006023F9" w:rsidRPr="00FE76A3">
        <w:rPr>
          <w:sz w:val="28"/>
        </w:rPr>
        <w:t>prescription beg</w:t>
      </w:r>
      <w:r w:rsidR="00F2445E" w:rsidRPr="00FE76A3">
        <w:rPr>
          <w:sz w:val="28"/>
        </w:rPr>
        <w:t>i</w:t>
      </w:r>
      <w:r w:rsidR="006023F9" w:rsidRPr="00FE76A3">
        <w:rPr>
          <w:sz w:val="28"/>
        </w:rPr>
        <w:t xml:space="preserve">n to run and not before. </w:t>
      </w:r>
    </w:p>
    <w:p w14:paraId="309FF95B" w14:textId="64F21EF7" w:rsidR="006023F9" w:rsidRPr="00FE76A3" w:rsidRDefault="006023F9" w:rsidP="004F28E4">
      <w:pPr>
        <w:tabs>
          <w:tab w:val="left" w:pos="142"/>
        </w:tabs>
        <w:rPr>
          <w:sz w:val="28"/>
        </w:rPr>
      </w:pPr>
    </w:p>
    <w:p w14:paraId="33FE48D1" w14:textId="78B17F2D" w:rsidR="006023F9" w:rsidRPr="00FE76A3" w:rsidRDefault="006023F9" w:rsidP="004F28E4">
      <w:pPr>
        <w:tabs>
          <w:tab w:val="left" w:pos="142"/>
        </w:tabs>
        <w:rPr>
          <w:sz w:val="28"/>
        </w:rPr>
      </w:pPr>
      <w:r w:rsidRPr="00FE76A3">
        <w:rPr>
          <w:b/>
          <w:sz w:val="28"/>
        </w:rPr>
        <w:t>Statutory framework</w:t>
      </w:r>
    </w:p>
    <w:p w14:paraId="4C68EBBD" w14:textId="7F405599" w:rsidR="006023F9" w:rsidRPr="00FE76A3" w:rsidRDefault="006F7BDF" w:rsidP="004F28E4">
      <w:pPr>
        <w:tabs>
          <w:tab w:val="left" w:pos="142"/>
        </w:tabs>
        <w:rPr>
          <w:sz w:val="28"/>
        </w:rPr>
      </w:pPr>
      <w:r w:rsidRPr="00FE76A3">
        <w:rPr>
          <w:sz w:val="28"/>
        </w:rPr>
        <w:t>[12</w:t>
      </w:r>
      <w:r w:rsidR="006023F9" w:rsidRPr="00FE76A3">
        <w:rPr>
          <w:sz w:val="28"/>
        </w:rPr>
        <w:t>]</w:t>
      </w:r>
      <w:r w:rsidR="006023F9" w:rsidRPr="00FE76A3">
        <w:rPr>
          <w:sz w:val="28"/>
        </w:rPr>
        <w:tab/>
        <w:t>It is now convenient to set out the relevant statutory framework that has a bearing on this dispute. The question in this case</w:t>
      </w:r>
      <w:r w:rsidR="005403A5" w:rsidRPr="00FE76A3">
        <w:rPr>
          <w:sz w:val="28"/>
        </w:rPr>
        <w:t xml:space="preserve"> is, as alluded to above, </w:t>
      </w:r>
      <w:r w:rsidR="006023F9" w:rsidRPr="00FE76A3">
        <w:rPr>
          <w:sz w:val="28"/>
        </w:rPr>
        <w:t xml:space="preserve">whether the </w:t>
      </w:r>
      <w:r w:rsidR="006023F9" w:rsidRPr="00FE76A3">
        <w:rPr>
          <w:sz w:val="28"/>
        </w:rPr>
        <w:lastRenderedPageBreak/>
        <w:t>claim instituted on behalf of Ms Mkhwanazi against Shoprite Che</w:t>
      </w:r>
      <w:r w:rsidR="00F17104" w:rsidRPr="00FE76A3">
        <w:rPr>
          <w:sz w:val="28"/>
        </w:rPr>
        <w:t>c</w:t>
      </w:r>
      <w:r w:rsidR="006023F9" w:rsidRPr="00FE76A3">
        <w:rPr>
          <w:sz w:val="28"/>
        </w:rPr>
        <w:t>kers is unenforceable by virtue of prescription under the Prescription Act. Section 3 of the Prescription Act makes provision, as its heading suggests, for postponement of completion of prescription in certain circumstances. It reads as follows:</w:t>
      </w:r>
    </w:p>
    <w:p w14:paraId="0A18E990" w14:textId="3321C171" w:rsidR="0069023F" w:rsidRPr="00FE76A3" w:rsidRDefault="0069023F" w:rsidP="0069023F">
      <w:pPr>
        <w:tabs>
          <w:tab w:val="left" w:pos="142"/>
        </w:tabs>
      </w:pPr>
      <w:r w:rsidRPr="00FE76A3">
        <w:t>‘(</w:t>
      </w:r>
      <w:r w:rsidR="00D57A75" w:rsidRPr="00FE76A3">
        <w:t>1</w:t>
      </w:r>
      <w:r w:rsidRPr="00FE76A3">
        <w:t>) If</w:t>
      </w:r>
      <w:r w:rsidR="00F2445E" w:rsidRPr="00FE76A3">
        <w:t xml:space="preserve"> – </w:t>
      </w:r>
    </w:p>
    <w:p w14:paraId="4FD308E4" w14:textId="6DA3308B" w:rsidR="0069023F" w:rsidRPr="00FE76A3" w:rsidRDefault="0069023F" w:rsidP="00F2445E">
      <w:pPr>
        <w:tabs>
          <w:tab w:val="left" w:pos="142"/>
        </w:tabs>
      </w:pPr>
      <w:r w:rsidRPr="00FE76A3">
        <w:rPr>
          <w:i/>
        </w:rPr>
        <w:t>(a)</w:t>
      </w:r>
      <w:r w:rsidR="00F2445E" w:rsidRPr="00FE76A3">
        <w:t xml:space="preserve"> </w:t>
      </w:r>
      <w:r w:rsidRPr="00FE76A3">
        <w:t xml:space="preserve">the person against whom the prescription is running is a minor or is insane, or is a </w:t>
      </w:r>
      <w:r w:rsidR="00F2445E" w:rsidRPr="00FE76A3">
        <w:t xml:space="preserve">person under curatorship, </w:t>
      </w:r>
      <w:r w:rsidRPr="00FE76A3">
        <w:t>or is prevented by superior force from interrupting the running of prescription as contemplated in section 4; or</w:t>
      </w:r>
    </w:p>
    <w:p w14:paraId="6EC9DF58" w14:textId="288A4886" w:rsidR="0069023F" w:rsidRPr="00FE76A3" w:rsidRDefault="0069023F" w:rsidP="0069023F">
      <w:pPr>
        <w:tabs>
          <w:tab w:val="left" w:pos="142"/>
        </w:tabs>
      </w:pPr>
      <w:r w:rsidRPr="00FE76A3">
        <w:rPr>
          <w:i/>
        </w:rPr>
        <w:t>(b)</w:t>
      </w:r>
      <w:r w:rsidRPr="00FE76A3">
        <w:t xml:space="preserve"> . . .</w:t>
      </w:r>
    </w:p>
    <w:p w14:paraId="009024D1" w14:textId="5C0CF241" w:rsidR="00D57A75" w:rsidRPr="00FE76A3" w:rsidRDefault="0069023F" w:rsidP="00F2445E">
      <w:pPr>
        <w:tabs>
          <w:tab w:val="left" w:pos="142"/>
        </w:tabs>
      </w:pPr>
      <w:r w:rsidRPr="00FE76A3">
        <w:rPr>
          <w:i/>
        </w:rPr>
        <w:t>(c)</w:t>
      </w:r>
      <w:r w:rsidR="00F2445E" w:rsidRPr="00FE76A3">
        <w:t xml:space="preserve"> </w:t>
      </w:r>
      <w:r w:rsidRPr="00FE76A3">
        <w:t>the period of prescription would, but for the provisions of this subsection, be completed before or on, or within three years after, the day on which the relevant impediment referred to in paragraph (a) or (b) has ceased to exist,</w:t>
      </w:r>
    </w:p>
    <w:p w14:paraId="5DE8214B" w14:textId="06294B26" w:rsidR="006023F9" w:rsidRPr="00FE76A3" w:rsidRDefault="00D57A75" w:rsidP="0069023F">
      <w:pPr>
        <w:tabs>
          <w:tab w:val="left" w:pos="142"/>
        </w:tabs>
      </w:pPr>
      <w:r w:rsidRPr="00FE76A3">
        <w:t>. . .</w:t>
      </w:r>
      <w:r w:rsidR="00F2445E" w:rsidRPr="00FE76A3">
        <w:t>.</w:t>
      </w:r>
      <w:r w:rsidRPr="00FE76A3">
        <w:t xml:space="preserve">’ </w:t>
      </w:r>
    </w:p>
    <w:p w14:paraId="26EE4CF7" w14:textId="19F556B3" w:rsidR="00D57A75" w:rsidRPr="00FE76A3" w:rsidRDefault="00D57A75" w:rsidP="0069023F">
      <w:pPr>
        <w:tabs>
          <w:tab w:val="left" w:pos="142"/>
        </w:tabs>
      </w:pPr>
    </w:p>
    <w:p w14:paraId="740BC0AE" w14:textId="7EB44370" w:rsidR="00D57A75" w:rsidRPr="00FE76A3" w:rsidRDefault="00D57A75" w:rsidP="0069023F">
      <w:pPr>
        <w:tabs>
          <w:tab w:val="left" w:pos="142"/>
        </w:tabs>
        <w:rPr>
          <w:sz w:val="28"/>
        </w:rPr>
      </w:pPr>
      <w:r w:rsidRPr="00FE76A3">
        <w:rPr>
          <w:sz w:val="28"/>
        </w:rPr>
        <w:t>[13]</w:t>
      </w:r>
      <w:r w:rsidRPr="00FE76A3">
        <w:rPr>
          <w:sz w:val="28"/>
        </w:rPr>
        <w:tab/>
        <w:t>Section 10</w:t>
      </w:r>
      <w:r w:rsidR="00004487" w:rsidRPr="00FE76A3">
        <w:rPr>
          <w:sz w:val="28"/>
        </w:rPr>
        <w:t>, which is headed ‘Extinction of debts by prescription’ reads:</w:t>
      </w:r>
    </w:p>
    <w:p w14:paraId="648C104E" w14:textId="77B67C94" w:rsidR="00004487" w:rsidRPr="00FE76A3" w:rsidRDefault="00004487" w:rsidP="0069023F">
      <w:pPr>
        <w:tabs>
          <w:tab w:val="left" w:pos="142"/>
        </w:tabs>
      </w:pPr>
      <w:r w:rsidRPr="00FE76A3">
        <w:t>‘(1)</w:t>
      </w:r>
      <w:r w:rsidR="00F2445E" w:rsidRPr="00FE76A3">
        <w:t xml:space="preserve"> </w:t>
      </w:r>
      <w:r w:rsidRPr="00FE76A3">
        <w:t xml:space="preserve">Subject to the provisions of this Chapter and of Chapter IV, a debt shall be extinguished by prescription after the lapse of the period which in terms of the relevant law applies in respect of the prescription of such debt. </w:t>
      </w:r>
    </w:p>
    <w:p w14:paraId="4D7C6D3D" w14:textId="2ED63938" w:rsidR="00004487" w:rsidRPr="00FE76A3" w:rsidRDefault="00004487" w:rsidP="0069023F">
      <w:pPr>
        <w:tabs>
          <w:tab w:val="left" w:pos="142"/>
        </w:tabs>
      </w:pPr>
      <w:r w:rsidRPr="00FE76A3">
        <w:t>(2)</w:t>
      </w:r>
      <w:r w:rsidR="00F2445E" w:rsidRPr="00FE76A3">
        <w:t xml:space="preserve"> </w:t>
      </w:r>
      <w:r w:rsidRPr="00FE76A3">
        <w:t xml:space="preserve">By the prescription of a principal debt a subsidiary debt which arose </w:t>
      </w:r>
      <w:r w:rsidR="0012025F" w:rsidRPr="00FE76A3">
        <w:t xml:space="preserve">from </w:t>
      </w:r>
      <w:r w:rsidRPr="00FE76A3">
        <w:t>such principal debt shall also be extinguished by prescription.</w:t>
      </w:r>
    </w:p>
    <w:p w14:paraId="6AE4674D" w14:textId="6B5DF222" w:rsidR="00004487" w:rsidRPr="00FE76A3" w:rsidRDefault="00004487" w:rsidP="006104DD">
      <w:pPr>
        <w:tabs>
          <w:tab w:val="left" w:pos="142"/>
        </w:tabs>
      </w:pPr>
      <w:r w:rsidRPr="00FE76A3">
        <w:t>(3)</w:t>
      </w:r>
      <w:r w:rsidR="00F2445E" w:rsidRPr="00FE76A3">
        <w:t xml:space="preserve"> </w:t>
      </w:r>
      <w:r w:rsidRPr="00FE76A3">
        <w:t>Notwithstanding the provisions of subsections (1) and (2), payment by the debtor of a debt after it has been extinguished by prescription in terms of either of the said subsections, shall be regarded as a payment of a debt.’</w:t>
      </w:r>
    </w:p>
    <w:p w14:paraId="5ECABBDF" w14:textId="4EEA840E" w:rsidR="007310ED" w:rsidRPr="00FE76A3" w:rsidRDefault="007310ED" w:rsidP="006104DD">
      <w:pPr>
        <w:tabs>
          <w:tab w:val="left" w:pos="142"/>
        </w:tabs>
      </w:pPr>
    </w:p>
    <w:p w14:paraId="15D8E9C6" w14:textId="187448A3" w:rsidR="007310ED" w:rsidRPr="00FE76A3" w:rsidRDefault="007310ED" w:rsidP="006104DD">
      <w:pPr>
        <w:tabs>
          <w:tab w:val="left" w:pos="142"/>
        </w:tabs>
        <w:rPr>
          <w:sz w:val="28"/>
        </w:rPr>
      </w:pPr>
      <w:r w:rsidRPr="00FE76A3">
        <w:rPr>
          <w:sz w:val="28"/>
        </w:rPr>
        <w:t>[14]</w:t>
      </w:r>
      <w:r w:rsidRPr="00FE76A3">
        <w:rPr>
          <w:sz w:val="28"/>
        </w:rPr>
        <w:tab/>
        <w:t>Section 11, as its heading indicates, provides for various periods of prescription of debts. It provides:</w:t>
      </w:r>
    </w:p>
    <w:p w14:paraId="401362D7" w14:textId="266C975F" w:rsidR="007310ED" w:rsidRPr="00FE76A3" w:rsidRDefault="007310ED" w:rsidP="006104DD">
      <w:pPr>
        <w:tabs>
          <w:tab w:val="left" w:pos="142"/>
        </w:tabs>
      </w:pPr>
      <w:r w:rsidRPr="00FE76A3">
        <w:t>‘The periods of prescription of debts shall be the following:</w:t>
      </w:r>
    </w:p>
    <w:p w14:paraId="2EF7DCF9" w14:textId="0E1EE58F" w:rsidR="007310ED" w:rsidRPr="00FE76A3" w:rsidRDefault="003F60EF" w:rsidP="006104DD">
      <w:pPr>
        <w:tabs>
          <w:tab w:val="left" w:pos="142"/>
        </w:tabs>
      </w:pPr>
      <w:r w:rsidRPr="00FE76A3">
        <w:rPr>
          <w:i/>
        </w:rPr>
        <w:t>(a</w:t>
      </w:r>
      <w:r w:rsidRPr="00FE76A3">
        <w:t>)</w:t>
      </w:r>
      <w:r w:rsidR="0012025F" w:rsidRPr="00FE76A3">
        <w:t xml:space="preserve"> </w:t>
      </w:r>
      <w:r w:rsidRPr="00FE76A3">
        <w:t>thirty years in respect of</w:t>
      </w:r>
      <w:r w:rsidR="0012025F" w:rsidRPr="00FE76A3">
        <w:t xml:space="preserve"> </w:t>
      </w:r>
      <w:r w:rsidRPr="00FE76A3">
        <w:t>–</w:t>
      </w:r>
      <w:r w:rsidR="0012025F" w:rsidRPr="00FE76A3">
        <w:t xml:space="preserve"> </w:t>
      </w:r>
    </w:p>
    <w:p w14:paraId="4BD813E8" w14:textId="67DF9D60" w:rsidR="003F60EF" w:rsidRPr="00FE76A3" w:rsidRDefault="003F60EF" w:rsidP="006104DD">
      <w:r w:rsidRPr="00FE76A3">
        <w:tab/>
        <w:t>(i) any debt secured by mortgage bond;</w:t>
      </w:r>
    </w:p>
    <w:p w14:paraId="08A56C9C" w14:textId="4566FB3D" w:rsidR="003F60EF" w:rsidRPr="00FE76A3" w:rsidRDefault="003F60EF" w:rsidP="006104DD">
      <w:r w:rsidRPr="00FE76A3">
        <w:tab/>
        <w:t>(ii) any judgment debt</w:t>
      </w:r>
      <w:r w:rsidR="0012025F" w:rsidRPr="00FE76A3">
        <w:t>;</w:t>
      </w:r>
    </w:p>
    <w:p w14:paraId="41B1A9F7" w14:textId="1D62573E" w:rsidR="003F60EF" w:rsidRPr="00FE76A3" w:rsidRDefault="003F60EF" w:rsidP="006104DD">
      <w:r w:rsidRPr="00FE76A3">
        <w:lastRenderedPageBreak/>
        <w:tab/>
        <w:t>(iii) any debt in respect of any taxation imposed or levied by or under any law;</w:t>
      </w:r>
    </w:p>
    <w:p w14:paraId="60B99A45" w14:textId="123DD71F" w:rsidR="003F60EF" w:rsidRPr="00FE76A3" w:rsidRDefault="003F60EF" w:rsidP="006104DD">
      <w:pPr>
        <w:ind w:left="709" w:hanging="709"/>
      </w:pPr>
      <w:r w:rsidRPr="00FE76A3">
        <w:tab/>
        <w:t>(iv) any debt owed to the State in respect of any share of the profits, royalties or any similar consideration payable in respect of the right to mine minerals or other substances;</w:t>
      </w:r>
    </w:p>
    <w:p w14:paraId="69727875" w14:textId="5259654E" w:rsidR="003F60EF" w:rsidRPr="00FE76A3" w:rsidRDefault="003F60EF" w:rsidP="0012025F">
      <w:r w:rsidRPr="00FE76A3">
        <w:rPr>
          <w:i/>
        </w:rPr>
        <w:t>(b)</w:t>
      </w:r>
      <w:r w:rsidR="0012025F" w:rsidRPr="00FE76A3">
        <w:t xml:space="preserve"> </w:t>
      </w:r>
      <w:r w:rsidRPr="00FE76A3">
        <w:t>fifteen years in respect of any debt owed to the State and arising out of an advance or loan of money or a sale or lease of land by the State to the debtor, unless a longer period applies in respect of the debt in question in terms of paragraph (a);</w:t>
      </w:r>
    </w:p>
    <w:p w14:paraId="4ABD340D" w14:textId="4A9050AE" w:rsidR="003F60EF" w:rsidRPr="00FE76A3" w:rsidRDefault="003F60EF" w:rsidP="0012025F">
      <w:r w:rsidRPr="00FE76A3">
        <w:rPr>
          <w:i/>
        </w:rPr>
        <w:t>(c)</w:t>
      </w:r>
      <w:r w:rsidR="0012025F" w:rsidRPr="00FE76A3">
        <w:rPr>
          <w:i/>
        </w:rPr>
        <w:t xml:space="preserve"> </w:t>
      </w:r>
      <w:r w:rsidRPr="00FE76A3">
        <w:t>six years in respect of any debt arising from a bill of exchange or other negotiable instrument or from a notarial contract, unless a longer period applies in respect of the debt in question in terms of paragraph (a) or (b);</w:t>
      </w:r>
    </w:p>
    <w:p w14:paraId="388CA018" w14:textId="1D73F9E8" w:rsidR="003F60EF" w:rsidRPr="00FE76A3" w:rsidRDefault="003F60EF" w:rsidP="006104DD">
      <w:pPr>
        <w:ind w:left="709" w:hanging="709"/>
      </w:pPr>
      <w:r w:rsidRPr="00FE76A3">
        <w:rPr>
          <w:i/>
        </w:rPr>
        <w:t>(d)</w:t>
      </w:r>
      <w:r w:rsidR="0012025F" w:rsidRPr="00FE76A3">
        <w:rPr>
          <w:i/>
        </w:rPr>
        <w:t xml:space="preserve"> </w:t>
      </w:r>
      <w:r w:rsidRPr="00FE76A3">
        <w:t>save where an Act of Parliament provides otherwise, thre</w:t>
      </w:r>
      <w:r w:rsidR="0059032D" w:rsidRPr="00FE76A3">
        <w:t xml:space="preserve">e years in respect of any </w:t>
      </w:r>
      <w:r w:rsidR="0012025F" w:rsidRPr="00FE76A3">
        <w:t xml:space="preserve">other </w:t>
      </w:r>
      <w:r w:rsidR="0059032D" w:rsidRPr="00FE76A3">
        <w:t>debt.’</w:t>
      </w:r>
    </w:p>
    <w:p w14:paraId="21957743" w14:textId="7842B6CA" w:rsidR="0059032D" w:rsidRPr="00FE76A3" w:rsidRDefault="0059032D" w:rsidP="003F60EF">
      <w:pPr>
        <w:ind w:left="709" w:hanging="709"/>
      </w:pPr>
    </w:p>
    <w:p w14:paraId="326B6B14" w14:textId="539F8D10" w:rsidR="0059032D" w:rsidRPr="00FE76A3" w:rsidRDefault="006839AD" w:rsidP="006104DD">
      <w:pPr>
        <w:rPr>
          <w:sz w:val="28"/>
        </w:rPr>
      </w:pPr>
      <w:r w:rsidRPr="00FE76A3">
        <w:rPr>
          <w:sz w:val="28"/>
        </w:rPr>
        <w:t>[</w:t>
      </w:r>
      <w:r w:rsidR="004B15BC" w:rsidRPr="00FE76A3">
        <w:rPr>
          <w:sz w:val="28"/>
        </w:rPr>
        <w:t>15</w:t>
      </w:r>
      <w:r w:rsidR="0052021F" w:rsidRPr="00FE76A3">
        <w:rPr>
          <w:sz w:val="28"/>
        </w:rPr>
        <w:t>]</w:t>
      </w:r>
      <w:r w:rsidR="0052021F" w:rsidRPr="00FE76A3">
        <w:rPr>
          <w:sz w:val="28"/>
        </w:rPr>
        <w:tab/>
        <w:t>Then follows s 12</w:t>
      </w:r>
      <w:r w:rsidR="0012025F" w:rsidRPr="00FE76A3">
        <w:rPr>
          <w:sz w:val="28"/>
        </w:rPr>
        <w:t>,</w:t>
      </w:r>
      <w:r w:rsidR="0052021F" w:rsidRPr="00FE76A3">
        <w:rPr>
          <w:sz w:val="28"/>
        </w:rPr>
        <w:t xml:space="preserve"> which provides for when prescription begins to run. It reads:</w:t>
      </w:r>
    </w:p>
    <w:p w14:paraId="6F65DA4F" w14:textId="0546F2D5" w:rsidR="0052021F" w:rsidRPr="00FE76A3" w:rsidRDefault="0052021F" w:rsidP="006104DD">
      <w:r w:rsidRPr="00FE76A3">
        <w:t>‘(1)</w:t>
      </w:r>
      <w:r w:rsidR="0012025F" w:rsidRPr="00FE76A3">
        <w:t xml:space="preserve"> </w:t>
      </w:r>
      <w:r w:rsidRPr="00FE76A3">
        <w:t xml:space="preserve">Subject to the provisions of subsections (2), (3) and (4), </w:t>
      </w:r>
      <w:r w:rsidR="007F073A" w:rsidRPr="00FE76A3">
        <w:t xml:space="preserve">prescription shall commence to run as soon as the debt is due. </w:t>
      </w:r>
    </w:p>
    <w:p w14:paraId="10EC4CC7" w14:textId="0DDE75AD" w:rsidR="007F073A" w:rsidRPr="00FE76A3" w:rsidRDefault="007F073A" w:rsidP="006104DD">
      <w:r w:rsidRPr="00FE76A3">
        <w:t>(2)</w:t>
      </w:r>
      <w:r w:rsidR="0012025F" w:rsidRPr="00FE76A3">
        <w:t xml:space="preserve"> </w:t>
      </w:r>
      <w:r w:rsidRPr="00FE76A3">
        <w:t>If the debtor wilfully prevents the creditor from coming to know the existence of the debt, prescription shall not commence to run until the creditor becomes aware of the existence of the debt.</w:t>
      </w:r>
    </w:p>
    <w:p w14:paraId="7559DC08" w14:textId="2092CBD1" w:rsidR="00DE19FF" w:rsidRPr="00FE76A3" w:rsidRDefault="007F073A" w:rsidP="006104DD">
      <w:r w:rsidRPr="00FE76A3">
        <w:t>(3)</w:t>
      </w:r>
      <w:r w:rsidR="0012025F" w:rsidRPr="00FE76A3">
        <w:t xml:space="preserve"> </w:t>
      </w:r>
      <w:r w:rsidRPr="00FE76A3">
        <w:t>A debt shall not be deemed to be due until the creditor has knowledge of the identity of the debtor and of the facts from which the debt arises: Provided that a creditor shall be deemed to have such knowledge if he could have acquired it by exercising reasonable care</w:t>
      </w:r>
      <w:r w:rsidR="00DE19FF" w:rsidRPr="00FE76A3">
        <w:t>.</w:t>
      </w:r>
    </w:p>
    <w:p w14:paraId="1E1D1E25" w14:textId="3AA1CBF8" w:rsidR="007F073A" w:rsidRPr="00FE76A3" w:rsidRDefault="00DE19FF" w:rsidP="006104DD">
      <w:r w:rsidRPr="00FE76A3">
        <w:t>(4) . . ..’</w:t>
      </w:r>
    </w:p>
    <w:p w14:paraId="77BCB119" w14:textId="041FE95E" w:rsidR="007F073A" w:rsidRPr="00FE76A3" w:rsidRDefault="007F073A" w:rsidP="003758EC"/>
    <w:p w14:paraId="5748664E" w14:textId="5A5FA537" w:rsidR="007F073A" w:rsidRPr="00FE76A3" w:rsidRDefault="006839AD" w:rsidP="006104DD">
      <w:pPr>
        <w:rPr>
          <w:sz w:val="28"/>
        </w:rPr>
      </w:pPr>
      <w:r w:rsidRPr="00FE76A3">
        <w:rPr>
          <w:sz w:val="28"/>
        </w:rPr>
        <w:t>[</w:t>
      </w:r>
      <w:r w:rsidR="004B15BC" w:rsidRPr="00FE76A3">
        <w:rPr>
          <w:sz w:val="28"/>
        </w:rPr>
        <w:t>16</w:t>
      </w:r>
      <w:r w:rsidR="007F073A" w:rsidRPr="00FE76A3">
        <w:rPr>
          <w:sz w:val="28"/>
        </w:rPr>
        <w:t>]</w:t>
      </w:r>
      <w:r w:rsidR="007F073A" w:rsidRPr="00FE76A3">
        <w:rPr>
          <w:sz w:val="28"/>
        </w:rPr>
        <w:tab/>
      </w:r>
      <w:r w:rsidR="006104DD" w:rsidRPr="00FE76A3">
        <w:rPr>
          <w:sz w:val="28"/>
        </w:rPr>
        <w:t>Reference must also be made to s 13</w:t>
      </w:r>
      <w:r w:rsidR="00DE19FF" w:rsidRPr="00FE76A3">
        <w:rPr>
          <w:sz w:val="28"/>
        </w:rPr>
        <w:t>,</w:t>
      </w:r>
      <w:r w:rsidR="006104DD" w:rsidRPr="00FE76A3">
        <w:rPr>
          <w:sz w:val="28"/>
        </w:rPr>
        <w:t xml:space="preserve"> which provides, as is apparent from its heading, that completion of prescription is delayed in certain circumstances. It reads:</w:t>
      </w:r>
    </w:p>
    <w:p w14:paraId="7F593D9A" w14:textId="43F349D9" w:rsidR="006104DD" w:rsidRPr="00FE76A3" w:rsidRDefault="006104DD" w:rsidP="006104DD">
      <w:r w:rsidRPr="00FE76A3">
        <w:t>‘(1) If–</w:t>
      </w:r>
    </w:p>
    <w:p w14:paraId="6764EB63" w14:textId="6C1AC807" w:rsidR="006104DD" w:rsidRPr="00FE76A3" w:rsidRDefault="006104DD" w:rsidP="00DE19FF">
      <w:r w:rsidRPr="00FE76A3">
        <w:rPr>
          <w:i/>
        </w:rPr>
        <w:t>(a)</w:t>
      </w:r>
      <w:r w:rsidR="00DE19FF" w:rsidRPr="00FE76A3">
        <w:t xml:space="preserve"> </w:t>
      </w:r>
      <w:r w:rsidRPr="00FE76A3">
        <w:t xml:space="preserve">the creditor is a minor or is a person with a mental or intellectual disability, disorder or incapacity, or is affected by any other factor that the court deems appropriate with regard to any offence referred to in section 12(4), or is a person under curatorship or is prevented by superior </w:t>
      </w:r>
      <w:r w:rsidRPr="00FE76A3">
        <w:lastRenderedPageBreak/>
        <w:t>force including any law or any other of court from interrupting the running of prescription as contemplated in section 15(1); or</w:t>
      </w:r>
    </w:p>
    <w:p w14:paraId="1C50D8C6" w14:textId="62995B4A" w:rsidR="006104DD" w:rsidRPr="00FE76A3" w:rsidRDefault="008C6FD8" w:rsidP="008C6FD8">
      <w:r w:rsidRPr="00FE76A3">
        <w:t>. . .</w:t>
      </w:r>
    </w:p>
    <w:p w14:paraId="2690EFCB" w14:textId="5EC72E3D" w:rsidR="008C6FD8" w:rsidRPr="00FE76A3" w:rsidRDefault="008C6FD8" w:rsidP="00DE19FF">
      <w:r w:rsidRPr="00FE76A3">
        <w:rPr>
          <w:i/>
        </w:rPr>
        <w:t>(i)</w:t>
      </w:r>
      <w:r w:rsidR="00DE19FF" w:rsidRPr="00FE76A3">
        <w:t xml:space="preserve"> </w:t>
      </w:r>
      <w:r w:rsidRPr="00FE76A3">
        <w:t>the relevant period of prescription would, but for the provisions of this subsection, be completed before or on, or within one year after, the day on which the relevant impediment referred to in paragraph (a) . . . has ceased to exist</w:t>
      </w:r>
      <w:r w:rsidR="00DE19FF" w:rsidRPr="00FE76A3">
        <w:t>,</w:t>
      </w:r>
    </w:p>
    <w:p w14:paraId="304FFF20" w14:textId="1A45CFCD" w:rsidR="008C6FD8" w:rsidRPr="00FE76A3" w:rsidRDefault="008C6FD8" w:rsidP="008C6FD8">
      <w:pPr>
        <w:ind w:left="720" w:hanging="720"/>
      </w:pPr>
      <w:r w:rsidRPr="00FE76A3">
        <w:t xml:space="preserve"> . . .</w:t>
      </w:r>
      <w:r w:rsidR="00DE19FF" w:rsidRPr="00FE76A3">
        <w:t>.</w:t>
      </w:r>
      <w:r w:rsidRPr="00FE76A3">
        <w:t>’</w:t>
      </w:r>
    </w:p>
    <w:p w14:paraId="64ADB56A" w14:textId="00F86333" w:rsidR="008C6FD8" w:rsidRPr="00FE76A3" w:rsidRDefault="008C6FD8" w:rsidP="008C6FD8">
      <w:pPr>
        <w:ind w:left="720" w:hanging="720"/>
      </w:pPr>
    </w:p>
    <w:p w14:paraId="54025452" w14:textId="4479004D" w:rsidR="008C6FD8" w:rsidRPr="00FE76A3" w:rsidRDefault="006839AD" w:rsidP="004E3C93">
      <w:pPr>
        <w:rPr>
          <w:sz w:val="28"/>
        </w:rPr>
      </w:pPr>
      <w:r w:rsidRPr="00FE76A3">
        <w:rPr>
          <w:sz w:val="28"/>
        </w:rPr>
        <w:t>[</w:t>
      </w:r>
      <w:r w:rsidR="004B15BC" w:rsidRPr="00FE76A3">
        <w:rPr>
          <w:sz w:val="28"/>
        </w:rPr>
        <w:t>17</w:t>
      </w:r>
      <w:r w:rsidR="008C6FD8" w:rsidRPr="00FE76A3">
        <w:rPr>
          <w:sz w:val="28"/>
        </w:rPr>
        <w:t>]</w:t>
      </w:r>
      <w:r w:rsidR="008C6FD8" w:rsidRPr="00FE76A3">
        <w:rPr>
          <w:sz w:val="28"/>
        </w:rPr>
        <w:tab/>
      </w:r>
      <w:r w:rsidR="0055409F" w:rsidRPr="00FE76A3">
        <w:rPr>
          <w:sz w:val="28"/>
        </w:rPr>
        <w:t>Finally, there is s 16</w:t>
      </w:r>
      <w:r w:rsidR="00DE19FF" w:rsidRPr="00FE76A3">
        <w:rPr>
          <w:sz w:val="28"/>
        </w:rPr>
        <w:t>,</w:t>
      </w:r>
      <w:r w:rsidR="0055409F" w:rsidRPr="00FE76A3">
        <w:rPr>
          <w:sz w:val="28"/>
        </w:rPr>
        <w:t xml:space="preserve"> which states that, subject to two exceptions, not germane to this appeal, the provisions of Chapter V of the Prescription Act shall apply to any debt arising after the commencement of the </w:t>
      </w:r>
      <w:r w:rsidR="00DE19FF" w:rsidRPr="00FE76A3">
        <w:rPr>
          <w:sz w:val="28"/>
        </w:rPr>
        <w:t xml:space="preserve">Prescription </w:t>
      </w:r>
      <w:r w:rsidR="0055409F" w:rsidRPr="00FE76A3">
        <w:rPr>
          <w:sz w:val="28"/>
        </w:rPr>
        <w:t>Act to the extent that it is not inconsistent with the provisions of any Act of Parliament</w:t>
      </w:r>
      <w:r w:rsidR="00DE19FF" w:rsidRPr="00FE76A3">
        <w:rPr>
          <w:sz w:val="28"/>
        </w:rPr>
        <w:t>,</w:t>
      </w:r>
      <w:r w:rsidR="0055409F" w:rsidRPr="00FE76A3">
        <w:rPr>
          <w:sz w:val="28"/>
        </w:rPr>
        <w:t xml:space="preserve"> which prescribes different periods concerning prescription ‘or imposes conditions on the institution of an action for the recovery of a debt</w:t>
      </w:r>
      <w:r w:rsidR="00DE19FF" w:rsidRPr="00FE76A3">
        <w:rPr>
          <w:sz w:val="28"/>
        </w:rPr>
        <w:t>. . .</w:t>
      </w:r>
      <w:r w:rsidR="0055409F" w:rsidRPr="00FE76A3">
        <w:rPr>
          <w:sz w:val="28"/>
        </w:rPr>
        <w:t>’</w:t>
      </w:r>
      <w:r w:rsidR="00DE19FF" w:rsidRPr="00FE76A3">
        <w:rPr>
          <w:sz w:val="28"/>
        </w:rPr>
        <w:t>.</w:t>
      </w:r>
    </w:p>
    <w:p w14:paraId="3B6C572A" w14:textId="09531A06" w:rsidR="004E3C93" w:rsidRPr="00FE76A3" w:rsidRDefault="004E3C93" w:rsidP="008C6FD8">
      <w:pPr>
        <w:ind w:left="720" w:hanging="720"/>
        <w:rPr>
          <w:sz w:val="28"/>
        </w:rPr>
      </w:pPr>
    </w:p>
    <w:p w14:paraId="541A11CC" w14:textId="0C495407" w:rsidR="004E3C93" w:rsidRPr="00FE76A3" w:rsidRDefault="000855C2" w:rsidP="008C6FD8">
      <w:pPr>
        <w:ind w:left="720" w:hanging="720"/>
        <w:rPr>
          <w:sz w:val="28"/>
        </w:rPr>
      </w:pPr>
      <w:r w:rsidRPr="00FE76A3">
        <w:rPr>
          <w:b/>
          <w:sz w:val="28"/>
        </w:rPr>
        <w:t>Analysis</w:t>
      </w:r>
    </w:p>
    <w:p w14:paraId="7429503B" w14:textId="2839C591" w:rsidR="000855C2" w:rsidRPr="00FE76A3" w:rsidRDefault="006839AD" w:rsidP="000855C2">
      <w:pPr>
        <w:rPr>
          <w:sz w:val="28"/>
        </w:rPr>
      </w:pPr>
      <w:r w:rsidRPr="00FE76A3">
        <w:rPr>
          <w:sz w:val="28"/>
        </w:rPr>
        <w:t>[</w:t>
      </w:r>
      <w:r w:rsidR="004B15BC" w:rsidRPr="00FE76A3">
        <w:rPr>
          <w:sz w:val="28"/>
        </w:rPr>
        <w:t>18</w:t>
      </w:r>
      <w:r w:rsidR="000855C2" w:rsidRPr="00FE76A3">
        <w:rPr>
          <w:sz w:val="28"/>
        </w:rPr>
        <w:t>]</w:t>
      </w:r>
      <w:r w:rsidR="000855C2" w:rsidRPr="00FE76A3">
        <w:rPr>
          <w:sz w:val="28"/>
        </w:rPr>
        <w:tab/>
        <w:t xml:space="preserve">It should by now be obvious that the outcome of this appeal revolves around </w:t>
      </w:r>
      <w:r w:rsidR="008F60F0" w:rsidRPr="00FE76A3">
        <w:rPr>
          <w:sz w:val="28"/>
        </w:rPr>
        <w:t xml:space="preserve">the proper </w:t>
      </w:r>
      <w:r w:rsidR="000855C2" w:rsidRPr="00FE76A3">
        <w:rPr>
          <w:sz w:val="28"/>
        </w:rPr>
        <w:t>interpretation of the various sections of the Pres</w:t>
      </w:r>
      <w:r w:rsidR="005403A5" w:rsidRPr="00FE76A3">
        <w:rPr>
          <w:sz w:val="28"/>
        </w:rPr>
        <w:t xml:space="preserve">cription Act to which reference has been </w:t>
      </w:r>
      <w:r w:rsidR="000855C2" w:rsidRPr="00FE76A3">
        <w:rPr>
          <w:sz w:val="28"/>
        </w:rPr>
        <w:t xml:space="preserve">made in the preceding six paragraphs. The principles of statutory interpretation are well-settled. In </w:t>
      </w:r>
      <w:r w:rsidR="00DE19FF" w:rsidRPr="00FE76A3">
        <w:rPr>
          <w:i/>
          <w:sz w:val="28"/>
        </w:rPr>
        <w:t>Natal Joint Municipal Pension Fund v Endumeni Municipality (</w:t>
      </w:r>
      <w:r w:rsidR="000855C2" w:rsidRPr="00FE76A3">
        <w:rPr>
          <w:i/>
          <w:sz w:val="28"/>
        </w:rPr>
        <w:t>Endumeni</w:t>
      </w:r>
      <w:r w:rsidR="00DE19FF" w:rsidRPr="00FE76A3">
        <w:rPr>
          <w:i/>
          <w:sz w:val="28"/>
        </w:rPr>
        <w:t>)</w:t>
      </w:r>
      <w:r w:rsidR="000855C2" w:rsidRPr="00FE76A3">
        <w:rPr>
          <w:sz w:val="28"/>
        </w:rPr>
        <w:t>,</w:t>
      </w:r>
      <w:r w:rsidR="000855C2" w:rsidRPr="00FE76A3">
        <w:rPr>
          <w:rStyle w:val="FootnoteReference"/>
          <w:sz w:val="28"/>
        </w:rPr>
        <w:footnoteReference w:id="3"/>
      </w:r>
      <w:r w:rsidR="000855C2" w:rsidRPr="00FE76A3">
        <w:rPr>
          <w:sz w:val="28"/>
        </w:rPr>
        <w:t xml:space="preserve"> this Court restated the proper approach to statutory interpretation. It explained that statutory interpretation is the objective process of attributing </w:t>
      </w:r>
      <w:r w:rsidR="0097491E" w:rsidRPr="00FE76A3">
        <w:rPr>
          <w:sz w:val="28"/>
        </w:rPr>
        <w:t>meaning to words used in legislation. It further emphasised that the process entails a simultaneous consideration of</w:t>
      </w:r>
      <w:r w:rsidR="00DE19FF" w:rsidRPr="00FE76A3">
        <w:rPr>
          <w:sz w:val="28"/>
        </w:rPr>
        <w:t xml:space="preserve"> – </w:t>
      </w:r>
    </w:p>
    <w:p w14:paraId="18FED987" w14:textId="0FF9EDFB" w:rsidR="0097491E" w:rsidRPr="00FE76A3" w:rsidRDefault="0097491E" w:rsidP="000855C2">
      <w:pPr>
        <w:rPr>
          <w:sz w:val="28"/>
        </w:rPr>
      </w:pPr>
      <w:r w:rsidRPr="00FE76A3">
        <w:rPr>
          <w:sz w:val="28"/>
        </w:rPr>
        <w:t>(i) the language used in the light of the ordinary rules of grammar and syntax;</w:t>
      </w:r>
    </w:p>
    <w:p w14:paraId="022B72CE" w14:textId="71CBCC0F" w:rsidR="0097491E" w:rsidRPr="00FE76A3" w:rsidRDefault="0097491E" w:rsidP="000855C2">
      <w:pPr>
        <w:rPr>
          <w:sz w:val="28"/>
        </w:rPr>
      </w:pPr>
      <w:r w:rsidRPr="00FE76A3">
        <w:rPr>
          <w:sz w:val="28"/>
        </w:rPr>
        <w:lastRenderedPageBreak/>
        <w:t>(ii) the context in which the provision appears; and</w:t>
      </w:r>
    </w:p>
    <w:p w14:paraId="32604D44" w14:textId="5932A41B" w:rsidR="0097491E" w:rsidRDefault="0097491E" w:rsidP="000855C2">
      <w:pPr>
        <w:rPr>
          <w:sz w:val="28"/>
        </w:rPr>
      </w:pPr>
      <w:r w:rsidRPr="00FE76A3">
        <w:rPr>
          <w:sz w:val="28"/>
        </w:rPr>
        <w:t>(iii) the apparent purpose to which it is directed.</w:t>
      </w:r>
      <w:r w:rsidRPr="00FE76A3">
        <w:rPr>
          <w:rStyle w:val="FootnoteReference"/>
          <w:sz w:val="28"/>
        </w:rPr>
        <w:footnoteReference w:id="4"/>
      </w:r>
    </w:p>
    <w:p w14:paraId="5C2F97D6" w14:textId="77777777" w:rsidR="00F84463" w:rsidRPr="00FE76A3" w:rsidRDefault="00F84463" w:rsidP="000855C2">
      <w:pPr>
        <w:rPr>
          <w:sz w:val="28"/>
        </w:rPr>
      </w:pPr>
    </w:p>
    <w:p w14:paraId="25F11D6E" w14:textId="4BE8B37E" w:rsidR="00844B24" w:rsidRPr="00FE76A3" w:rsidRDefault="006839AD" w:rsidP="0069023F">
      <w:pPr>
        <w:tabs>
          <w:tab w:val="left" w:pos="142"/>
        </w:tabs>
        <w:rPr>
          <w:sz w:val="28"/>
        </w:rPr>
      </w:pPr>
      <w:r w:rsidRPr="00FE76A3">
        <w:rPr>
          <w:sz w:val="28"/>
        </w:rPr>
        <w:t>[1</w:t>
      </w:r>
      <w:r w:rsidR="004B15BC" w:rsidRPr="00FE76A3">
        <w:rPr>
          <w:sz w:val="28"/>
        </w:rPr>
        <w:t>9</w:t>
      </w:r>
      <w:r w:rsidR="001D15D7" w:rsidRPr="00FE76A3">
        <w:rPr>
          <w:sz w:val="28"/>
        </w:rPr>
        <w:t>]</w:t>
      </w:r>
      <w:r w:rsidR="001D15D7" w:rsidRPr="00FE76A3">
        <w:rPr>
          <w:sz w:val="28"/>
        </w:rPr>
        <w:tab/>
        <w:t xml:space="preserve">In </w:t>
      </w:r>
      <w:r w:rsidR="001D15D7" w:rsidRPr="00FE76A3">
        <w:rPr>
          <w:i/>
          <w:sz w:val="28"/>
        </w:rPr>
        <w:t>Makate v Vodacom (Pty) Ltd</w:t>
      </w:r>
      <w:r w:rsidR="00DE19FF" w:rsidRPr="00FE76A3">
        <w:rPr>
          <w:i/>
          <w:sz w:val="28"/>
        </w:rPr>
        <w:t>,</w:t>
      </w:r>
      <w:r w:rsidR="001D15D7" w:rsidRPr="00FE76A3">
        <w:rPr>
          <w:sz w:val="28"/>
        </w:rPr>
        <w:t xml:space="preserve"> the Constitutional Court said the following concerning s 39(2) of the Constitution:</w:t>
      </w:r>
      <w:r w:rsidR="003758EC" w:rsidRPr="00FE76A3">
        <w:rPr>
          <w:rStyle w:val="FootnoteReference"/>
          <w:sz w:val="28"/>
        </w:rPr>
        <w:footnoteReference w:id="5"/>
      </w:r>
    </w:p>
    <w:p w14:paraId="536FA77D" w14:textId="39C07797" w:rsidR="001D15D7" w:rsidRPr="00FE76A3" w:rsidRDefault="001D15D7" w:rsidP="005403A5">
      <w:pPr>
        <w:tabs>
          <w:tab w:val="left" w:pos="142"/>
        </w:tabs>
      </w:pPr>
      <w:r w:rsidRPr="00FE76A3">
        <w:t xml:space="preserve">‘Since the coming into force of the Constitution in February 1997, every court that interprets legislation is bound to read a legislative provision through the prism of the Constitution. In </w:t>
      </w:r>
      <w:r w:rsidRPr="00FE76A3">
        <w:rPr>
          <w:i/>
        </w:rPr>
        <w:t>Fraser</w:t>
      </w:r>
      <w:r w:rsidRPr="00FE76A3">
        <w:t>, Van der Westhuizen J explained the role of section 39(2) in these terms:</w:t>
      </w:r>
    </w:p>
    <w:p w14:paraId="033155B7" w14:textId="27B8ABA8" w:rsidR="001D15D7" w:rsidRPr="00FE76A3" w:rsidRDefault="001D15D7" w:rsidP="005403A5">
      <w:pPr>
        <w:tabs>
          <w:tab w:val="left" w:pos="142"/>
        </w:tabs>
      </w:pPr>
      <w:r w:rsidRPr="00FE76A3">
        <w:t>“When interpreting legislation, a court must promote the spirit, purport and objects of the Bill of Rights in terms of section 39(2) of the Constitution. This Court has made clear that section 39(2) fashions a mandatory constitutional canon of statutory interpretation.”’</w:t>
      </w:r>
      <w:r w:rsidR="003758EC" w:rsidRPr="00FE76A3">
        <w:rPr>
          <w:rStyle w:val="FootnoteReference"/>
        </w:rPr>
        <w:footnoteReference w:id="6"/>
      </w:r>
    </w:p>
    <w:p w14:paraId="51738DD3" w14:textId="09A46446" w:rsidR="001D15D7" w:rsidRPr="00FE76A3" w:rsidRDefault="001D15D7" w:rsidP="001D15D7">
      <w:pPr>
        <w:tabs>
          <w:tab w:val="left" w:pos="142"/>
        </w:tabs>
      </w:pPr>
    </w:p>
    <w:p w14:paraId="0D830A3A" w14:textId="1DE7171B" w:rsidR="00F76FC7" w:rsidRPr="00FE76A3" w:rsidRDefault="006839AD" w:rsidP="00C506F0">
      <w:pPr>
        <w:tabs>
          <w:tab w:val="left" w:pos="142"/>
        </w:tabs>
        <w:rPr>
          <w:sz w:val="28"/>
        </w:rPr>
      </w:pPr>
      <w:r w:rsidRPr="00FE76A3">
        <w:rPr>
          <w:sz w:val="28"/>
        </w:rPr>
        <w:t>[</w:t>
      </w:r>
      <w:r w:rsidR="004B15BC" w:rsidRPr="00FE76A3">
        <w:rPr>
          <w:sz w:val="28"/>
        </w:rPr>
        <w:t>20</w:t>
      </w:r>
      <w:r w:rsidR="00C506F0" w:rsidRPr="00FE76A3">
        <w:rPr>
          <w:sz w:val="28"/>
        </w:rPr>
        <w:t>]</w:t>
      </w:r>
      <w:r w:rsidR="00C506F0" w:rsidRPr="00FE76A3">
        <w:rPr>
          <w:sz w:val="28"/>
        </w:rPr>
        <w:tab/>
        <w:t xml:space="preserve">In </w:t>
      </w:r>
      <w:r w:rsidR="00C506F0" w:rsidRPr="00FE76A3">
        <w:rPr>
          <w:i/>
          <w:sz w:val="28"/>
        </w:rPr>
        <w:t>Road Accident Fund and Another v Mdeyide</w:t>
      </w:r>
      <w:r w:rsidR="003758EC" w:rsidRPr="00FE76A3">
        <w:rPr>
          <w:i/>
          <w:sz w:val="28"/>
        </w:rPr>
        <w:t>,</w:t>
      </w:r>
      <w:r w:rsidR="00C506F0" w:rsidRPr="00FE76A3">
        <w:rPr>
          <w:rStyle w:val="FootnoteReference"/>
          <w:sz w:val="28"/>
        </w:rPr>
        <w:footnoteReference w:id="7"/>
      </w:r>
      <w:r w:rsidR="00C506F0" w:rsidRPr="00FE76A3">
        <w:rPr>
          <w:sz w:val="28"/>
        </w:rPr>
        <w:t xml:space="preserve"> the Constitutional Court pointedly observed that the failure to meet a prescription deadline ‘</w:t>
      </w:r>
      <w:r w:rsidR="003758EC" w:rsidRPr="00FE76A3">
        <w:rPr>
          <w:sz w:val="28"/>
        </w:rPr>
        <w:t xml:space="preserve">could </w:t>
      </w:r>
      <w:r w:rsidR="00C506F0" w:rsidRPr="00FE76A3">
        <w:rPr>
          <w:sz w:val="28"/>
        </w:rPr>
        <w:t>den</w:t>
      </w:r>
      <w:r w:rsidR="003758EC" w:rsidRPr="00FE76A3">
        <w:rPr>
          <w:sz w:val="28"/>
        </w:rPr>
        <w:t>y</w:t>
      </w:r>
      <w:r w:rsidR="00C506F0" w:rsidRPr="00FE76A3">
        <w:rPr>
          <w:sz w:val="28"/>
        </w:rPr>
        <w:t xml:space="preserve"> a </w:t>
      </w:r>
      <w:r w:rsidR="003758EC" w:rsidRPr="00FE76A3">
        <w:rPr>
          <w:sz w:val="28"/>
        </w:rPr>
        <w:t>plaintiff</w:t>
      </w:r>
      <w:r w:rsidR="00C506F0" w:rsidRPr="00FE76A3">
        <w:rPr>
          <w:sz w:val="28"/>
        </w:rPr>
        <w:t xml:space="preserve"> access to a court’</w:t>
      </w:r>
      <w:r w:rsidR="003758EC" w:rsidRPr="00FE76A3">
        <w:rPr>
          <w:sz w:val="28"/>
        </w:rPr>
        <w:t>.</w:t>
      </w:r>
      <w:r w:rsidR="00C506F0" w:rsidRPr="00FE76A3">
        <w:rPr>
          <w:rStyle w:val="FootnoteReference"/>
          <w:sz w:val="28"/>
        </w:rPr>
        <w:footnoteReference w:id="8"/>
      </w:r>
      <w:r w:rsidR="00C506F0" w:rsidRPr="00FE76A3">
        <w:rPr>
          <w:sz w:val="28"/>
        </w:rPr>
        <w:t xml:space="preserve"> Almost ten years pr</w:t>
      </w:r>
      <w:r w:rsidR="001D2F03" w:rsidRPr="00FE76A3">
        <w:rPr>
          <w:sz w:val="28"/>
        </w:rPr>
        <w:t>ior,</w:t>
      </w:r>
      <w:r w:rsidR="00C506F0" w:rsidRPr="00FE76A3">
        <w:rPr>
          <w:sz w:val="28"/>
        </w:rPr>
        <w:t xml:space="preserve"> in </w:t>
      </w:r>
      <w:r w:rsidR="00C506F0" w:rsidRPr="00FE76A3">
        <w:rPr>
          <w:i/>
          <w:sz w:val="28"/>
        </w:rPr>
        <w:t>Investigating Directorate: Serious Economic Offences and Others v Hyundai Motor Distributors (Pty) Ltd and Others In re: Hyundai Motor Distributors (Pty) Ltd and Others v Smit NO and Others</w:t>
      </w:r>
      <w:r w:rsidR="001D2F03" w:rsidRPr="00FE76A3">
        <w:rPr>
          <w:i/>
          <w:sz w:val="28"/>
        </w:rPr>
        <w:t>,</w:t>
      </w:r>
      <w:r w:rsidR="00DE1FBA" w:rsidRPr="00FE76A3">
        <w:rPr>
          <w:sz w:val="28"/>
        </w:rPr>
        <w:t xml:space="preserve"> the </w:t>
      </w:r>
      <w:r w:rsidR="005403A5" w:rsidRPr="00FE76A3">
        <w:rPr>
          <w:sz w:val="28"/>
        </w:rPr>
        <w:t xml:space="preserve">Constitutional </w:t>
      </w:r>
      <w:r w:rsidR="00DE1FBA" w:rsidRPr="00FE76A3">
        <w:rPr>
          <w:sz w:val="28"/>
        </w:rPr>
        <w:t xml:space="preserve">Court </w:t>
      </w:r>
      <w:r w:rsidR="009F4DCD" w:rsidRPr="00FE76A3">
        <w:rPr>
          <w:sz w:val="28"/>
        </w:rPr>
        <w:t>emphasised the constitutional imperative imposed by s 39(2) in these terms:</w:t>
      </w:r>
    </w:p>
    <w:p w14:paraId="1CCB3363" w14:textId="3485D682" w:rsidR="005C589B" w:rsidRPr="00FE76A3" w:rsidRDefault="009F4DCD" w:rsidP="00C506F0">
      <w:pPr>
        <w:tabs>
          <w:tab w:val="left" w:pos="142"/>
        </w:tabs>
        <w:rPr>
          <w:sz w:val="28"/>
        </w:rPr>
      </w:pPr>
      <w:r w:rsidRPr="00FE76A3">
        <w:t xml:space="preserve">‘On the one hand, it is the duty of a judicial officer to interpret legislation in conformity with the Constitution so far as this is reasonably possible. On the other hand, the legislature is under a duty to pass legislation that is reasonably clear and precise, enabling citizens and officials to understand what is expected of them. A balance will often have to be struck as to how this tension is to be resolved when considering the constitutionality of legislation. There will be occasions when a </w:t>
      </w:r>
      <w:r w:rsidRPr="00FE76A3">
        <w:lastRenderedPageBreak/>
        <w:t>judicial officer will find that the legislation, though open to a meaning which would be unconstitutional, is reasonably capable of being read “in conformity with the Constitution”. Such an interpretation should not, however, be unduly strained.’</w:t>
      </w:r>
      <w:r w:rsidRPr="00FE76A3">
        <w:rPr>
          <w:rStyle w:val="FootnoteReference"/>
        </w:rPr>
        <w:footnoteReference w:id="9"/>
      </w:r>
    </w:p>
    <w:p w14:paraId="7240DC30" w14:textId="77777777" w:rsidR="006839AD" w:rsidRPr="00FE76A3" w:rsidRDefault="006839AD" w:rsidP="00C506F0">
      <w:pPr>
        <w:tabs>
          <w:tab w:val="left" w:pos="142"/>
        </w:tabs>
      </w:pPr>
    </w:p>
    <w:p w14:paraId="31464CDA" w14:textId="2FA209C6" w:rsidR="00235866" w:rsidRPr="00FE76A3" w:rsidRDefault="006839AD" w:rsidP="00C506F0">
      <w:pPr>
        <w:tabs>
          <w:tab w:val="left" w:pos="142"/>
        </w:tabs>
        <w:rPr>
          <w:sz w:val="28"/>
        </w:rPr>
      </w:pPr>
      <w:r w:rsidRPr="00FE76A3">
        <w:rPr>
          <w:sz w:val="28"/>
        </w:rPr>
        <w:t>[</w:t>
      </w:r>
      <w:r w:rsidR="004B15BC" w:rsidRPr="00FE76A3">
        <w:rPr>
          <w:sz w:val="28"/>
        </w:rPr>
        <w:t>21</w:t>
      </w:r>
      <w:r w:rsidR="00235866" w:rsidRPr="00FE76A3">
        <w:rPr>
          <w:sz w:val="28"/>
        </w:rPr>
        <w:t>]</w:t>
      </w:r>
      <w:r w:rsidR="00235866" w:rsidRPr="00FE76A3">
        <w:rPr>
          <w:sz w:val="28"/>
        </w:rPr>
        <w:tab/>
        <w:t>That the text, context and purpose of a statutory provision must always be considered at the same time when interpreting legislation has been affirmed in various judgments of the Constitutional Court and this Court.</w:t>
      </w:r>
      <w:r w:rsidR="00235866" w:rsidRPr="00FE76A3">
        <w:rPr>
          <w:rStyle w:val="FootnoteReference"/>
          <w:sz w:val="28"/>
        </w:rPr>
        <w:footnoteReference w:id="10"/>
      </w:r>
    </w:p>
    <w:p w14:paraId="678587DC" w14:textId="17D45CAC" w:rsidR="00617A25" w:rsidRPr="00FE76A3" w:rsidRDefault="00617A25" w:rsidP="00C506F0">
      <w:pPr>
        <w:tabs>
          <w:tab w:val="left" w:pos="142"/>
        </w:tabs>
        <w:rPr>
          <w:sz w:val="28"/>
        </w:rPr>
      </w:pPr>
    </w:p>
    <w:p w14:paraId="48F3ED27" w14:textId="05CE898A" w:rsidR="00617A25" w:rsidRPr="00FE76A3" w:rsidRDefault="006839AD" w:rsidP="00C506F0">
      <w:pPr>
        <w:tabs>
          <w:tab w:val="left" w:pos="142"/>
        </w:tabs>
        <w:rPr>
          <w:sz w:val="28"/>
        </w:rPr>
      </w:pPr>
      <w:r w:rsidRPr="00FE76A3">
        <w:rPr>
          <w:sz w:val="28"/>
        </w:rPr>
        <w:t>[</w:t>
      </w:r>
      <w:r w:rsidR="004B15BC" w:rsidRPr="00FE76A3">
        <w:rPr>
          <w:sz w:val="28"/>
        </w:rPr>
        <w:t>22</w:t>
      </w:r>
      <w:r w:rsidR="00617A25" w:rsidRPr="00FE76A3">
        <w:rPr>
          <w:sz w:val="28"/>
        </w:rPr>
        <w:t>]</w:t>
      </w:r>
      <w:r w:rsidR="00617A25" w:rsidRPr="00FE76A3">
        <w:rPr>
          <w:sz w:val="28"/>
        </w:rPr>
        <w:tab/>
        <w:t xml:space="preserve">What the Constitutional Court said most recently in regard to statutory interpretation in </w:t>
      </w:r>
      <w:r w:rsidR="00F76FC7" w:rsidRPr="00FE76A3">
        <w:rPr>
          <w:i/>
          <w:sz w:val="28"/>
        </w:rPr>
        <w:t>Minister of Police and</w:t>
      </w:r>
      <w:r w:rsidR="00617A25" w:rsidRPr="00FE76A3">
        <w:rPr>
          <w:i/>
          <w:sz w:val="28"/>
        </w:rPr>
        <w:t xml:space="preserve"> Others v Fidelity Security Services (Pty) Limited</w:t>
      </w:r>
      <w:r w:rsidR="00617A25" w:rsidRPr="00FE76A3">
        <w:rPr>
          <w:rStyle w:val="FootnoteReference"/>
          <w:sz w:val="28"/>
        </w:rPr>
        <w:footnoteReference w:id="11"/>
      </w:r>
      <w:r w:rsidR="00617A25" w:rsidRPr="00FE76A3">
        <w:rPr>
          <w:i/>
          <w:sz w:val="28"/>
        </w:rPr>
        <w:t xml:space="preserve"> </w:t>
      </w:r>
      <w:r w:rsidR="00617A25" w:rsidRPr="00FE76A3">
        <w:rPr>
          <w:sz w:val="28"/>
        </w:rPr>
        <w:t>is instructive. The Court there said:</w:t>
      </w:r>
    </w:p>
    <w:p w14:paraId="217F58AF" w14:textId="41DB4355" w:rsidR="00B515A8" w:rsidRPr="00FE76A3" w:rsidRDefault="00617A25" w:rsidP="00B515A8">
      <w:pPr>
        <w:tabs>
          <w:tab w:val="left" w:pos="142"/>
        </w:tabs>
        <w:ind w:left="720" w:hanging="720"/>
      </w:pPr>
      <w:r w:rsidRPr="00FE76A3">
        <w:t>‘</w:t>
      </w:r>
      <w:r w:rsidR="00B515A8" w:rsidRPr="00FE76A3">
        <w:t>(a)</w:t>
      </w:r>
      <w:r w:rsidR="00B515A8" w:rsidRPr="00FE76A3">
        <w:tab/>
        <w:t>Words in a statute must be given their ordinary grammatical meaning unless to do so would result in an absurdity.</w:t>
      </w:r>
    </w:p>
    <w:p w14:paraId="388B92F0" w14:textId="2C98878E" w:rsidR="00B515A8" w:rsidRPr="00FE76A3" w:rsidRDefault="00B515A8" w:rsidP="00B515A8">
      <w:pPr>
        <w:tabs>
          <w:tab w:val="left" w:pos="142"/>
        </w:tabs>
        <w:ind w:left="720" w:hanging="720"/>
      </w:pPr>
      <w:r w:rsidRPr="00FE76A3">
        <w:t>(b)</w:t>
      </w:r>
      <w:r w:rsidRPr="00FE76A3">
        <w:tab/>
        <w:t>This general principle is subject to three interrelated riders: a statute must be interpreted purposively; the relevant provision must be properly contextualised; and the statute must be construed consistently with the Constitution, meaning in such a way as to preserve its constitutional validity.</w:t>
      </w:r>
    </w:p>
    <w:p w14:paraId="18E1D0B6" w14:textId="51D31447" w:rsidR="00B515A8" w:rsidRPr="00FE76A3" w:rsidRDefault="00B515A8" w:rsidP="00B515A8">
      <w:pPr>
        <w:tabs>
          <w:tab w:val="left" w:pos="142"/>
        </w:tabs>
        <w:ind w:left="720" w:hanging="720"/>
      </w:pPr>
      <w:r w:rsidRPr="00FE76A3">
        <w:lastRenderedPageBreak/>
        <w:t>(c)</w:t>
      </w:r>
      <w:r w:rsidRPr="00FE76A3">
        <w:tab/>
        <w:t>Various propositions flow from this general principle and its riders. Among others, in the case of ambiguity, a meaning that frustrates the apparent purpose of the statute or leads to results which are not businesslike or sensible results should not be preferred where an interpretation which avoids these unfortunate consequences is reasonably possible. The qualification “reasonably possible” is a reminder that Judges must guard against the temptation to substitute what they regard as reasonable, sensible or businesslike for the words actually used.</w:t>
      </w:r>
    </w:p>
    <w:p w14:paraId="1F30B89E" w14:textId="0C3285AE" w:rsidR="00617A25" w:rsidRPr="00FE76A3" w:rsidRDefault="00B515A8" w:rsidP="00B515A8">
      <w:pPr>
        <w:tabs>
          <w:tab w:val="left" w:pos="142"/>
        </w:tabs>
        <w:ind w:left="720" w:hanging="720"/>
      </w:pPr>
      <w:r w:rsidRPr="00FE76A3">
        <w:t>(d)</w:t>
      </w:r>
      <w:r w:rsidRPr="00FE76A3">
        <w:tab/>
        <w:t xml:space="preserve">If reasonably possible, a statute should be interpreted so as to avoid a </w:t>
      </w:r>
      <w:r w:rsidRPr="00FE76A3">
        <w:rPr>
          <w:i/>
        </w:rPr>
        <w:t>lacuna</w:t>
      </w:r>
      <w:r w:rsidRPr="00FE76A3">
        <w:t xml:space="preserve"> (gap) in the legislative scheme.’</w:t>
      </w:r>
    </w:p>
    <w:p w14:paraId="3EF15F85" w14:textId="38C5BC18" w:rsidR="009B273B" w:rsidRPr="00FE76A3" w:rsidRDefault="00B515A8" w:rsidP="009B273B">
      <w:pPr>
        <w:tabs>
          <w:tab w:val="left" w:pos="284"/>
        </w:tabs>
        <w:rPr>
          <w:color w:val="242121"/>
          <w:sz w:val="28"/>
          <w:shd w:val="clear" w:color="auto" w:fill="FFFFFF"/>
        </w:rPr>
      </w:pPr>
      <w:r w:rsidRPr="00FE76A3">
        <w:rPr>
          <w:color w:val="242121"/>
          <w:sz w:val="28"/>
          <w:shd w:val="clear" w:color="auto" w:fill="FFFFFF"/>
        </w:rPr>
        <w:t>In parenthesis, I mention that the Prescription Act, like any other statutory instrument, must be interpreted in accordance with the dictates of s 39(2) of the Constitution. In addition, the meaning of the words used in a statute must be ascertained taking cognisance of their ordinary grammatical meaning in the light of their context, the subject matter of the statute under consideration and its apparent scope and purpose.</w:t>
      </w:r>
      <w:r w:rsidRPr="00FE76A3">
        <w:rPr>
          <w:rStyle w:val="FootnoteReference"/>
          <w:color w:val="242121"/>
          <w:sz w:val="28"/>
          <w:shd w:val="clear" w:color="auto" w:fill="FFFFFF"/>
        </w:rPr>
        <w:footnoteReference w:id="12"/>
      </w:r>
    </w:p>
    <w:p w14:paraId="14CDB831" w14:textId="4B476A57" w:rsidR="00FF1E02" w:rsidRPr="00FE76A3" w:rsidRDefault="00FF1E02" w:rsidP="009B273B">
      <w:pPr>
        <w:tabs>
          <w:tab w:val="left" w:pos="284"/>
        </w:tabs>
        <w:rPr>
          <w:color w:val="242121"/>
          <w:sz w:val="28"/>
          <w:shd w:val="clear" w:color="auto" w:fill="FFFFFF"/>
        </w:rPr>
      </w:pPr>
    </w:p>
    <w:p w14:paraId="0DC76752" w14:textId="56F77335" w:rsidR="00FF1E02" w:rsidRPr="00FE76A3" w:rsidRDefault="006839AD" w:rsidP="009B273B">
      <w:pPr>
        <w:tabs>
          <w:tab w:val="left" w:pos="284"/>
        </w:tabs>
        <w:rPr>
          <w:color w:val="242121"/>
          <w:sz w:val="28"/>
          <w:shd w:val="clear" w:color="auto" w:fill="FFFFFF"/>
        </w:rPr>
      </w:pPr>
      <w:r w:rsidRPr="00FE76A3">
        <w:rPr>
          <w:color w:val="242121"/>
          <w:sz w:val="28"/>
          <w:shd w:val="clear" w:color="auto" w:fill="FFFFFF"/>
        </w:rPr>
        <w:t>[</w:t>
      </w:r>
      <w:r w:rsidR="004B15BC" w:rsidRPr="00FE76A3">
        <w:rPr>
          <w:color w:val="242121"/>
          <w:sz w:val="28"/>
          <w:shd w:val="clear" w:color="auto" w:fill="FFFFFF"/>
        </w:rPr>
        <w:t>23</w:t>
      </w:r>
      <w:r w:rsidR="00FF1E02" w:rsidRPr="00FE76A3">
        <w:rPr>
          <w:color w:val="242121"/>
          <w:sz w:val="28"/>
          <w:shd w:val="clear" w:color="auto" w:fill="FFFFFF"/>
        </w:rPr>
        <w:t>]</w:t>
      </w:r>
      <w:r w:rsidR="00FF1E02" w:rsidRPr="00FE76A3">
        <w:rPr>
          <w:color w:val="242121"/>
          <w:sz w:val="28"/>
          <w:shd w:val="clear" w:color="auto" w:fill="FFFFFF"/>
        </w:rPr>
        <w:tab/>
        <w:t>In this case</w:t>
      </w:r>
      <w:r w:rsidR="00CA4DBA" w:rsidRPr="00FE76A3">
        <w:rPr>
          <w:color w:val="242121"/>
          <w:sz w:val="28"/>
          <w:shd w:val="clear" w:color="auto" w:fill="FFFFFF"/>
        </w:rPr>
        <w:t>,</w:t>
      </w:r>
      <w:r w:rsidR="00FF1E02" w:rsidRPr="00FE76A3">
        <w:rPr>
          <w:color w:val="242121"/>
          <w:sz w:val="28"/>
          <w:shd w:val="clear" w:color="auto" w:fill="FFFFFF"/>
        </w:rPr>
        <w:t xml:space="preserve"> there is no dispute that only the Prescription Act finds application and no other. Accordingly, we are not confronted with the </w:t>
      </w:r>
      <w:r w:rsidR="00A7434C">
        <w:rPr>
          <w:color w:val="242121"/>
          <w:sz w:val="28"/>
          <w:shd w:val="clear" w:color="auto" w:fill="FFFFFF"/>
        </w:rPr>
        <w:t>kind of situation like the one</w:t>
      </w:r>
      <w:r w:rsidR="00FF1E02" w:rsidRPr="00FE76A3">
        <w:rPr>
          <w:color w:val="242121"/>
          <w:sz w:val="28"/>
          <w:shd w:val="clear" w:color="auto" w:fill="FFFFFF"/>
        </w:rPr>
        <w:t xml:space="preserve"> that arose in cases such as the </w:t>
      </w:r>
      <w:r w:rsidR="00FF1E02" w:rsidRPr="00FE76A3">
        <w:rPr>
          <w:i/>
          <w:color w:val="242121"/>
          <w:sz w:val="28"/>
          <w:shd w:val="clear" w:color="auto" w:fill="FFFFFF"/>
        </w:rPr>
        <w:t>Road Accident Fund v Smith NO</w:t>
      </w:r>
      <w:r w:rsidR="00260079" w:rsidRPr="00FE76A3">
        <w:rPr>
          <w:rStyle w:val="FootnoteReference"/>
          <w:color w:val="242121"/>
          <w:sz w:val="28"/>
          <w:shd w:val="clear" w:color="auto" w:fill="FFFFFF"/>
        </w:rPr>
        <w:footnoteReference w:id="13"/>
      </w:r>
      <w:r w:rsidR="00FF1E02" w:rsidRPr="00FE76A3">
        <w:rPr>
          <w:color w:val="242121"/>
          <w:sz w:val="28"/>
          <w:shd w:val="clear" w:color="auto" w:fill="FFFFFF"/>
        </w:rPr>
        <w:t xml:space="preserve"> and </w:t>
      </w:r>
      <w:r w:rsidR="00FF1E02" w:rsidRPr="00FE76A3">
        <w:rPr>
          <w:i/>
          <w:color w:val="242121"/>
          <w:sz w:val="28"/>
          <w:shd w:val="clear" w:color="auto" w:fill="FFFFFF"/>
        </w:rPr>
        <w:t>ABP 4x4 Motor Dealers (Pty) Ltd v IGI Insurance Co Ltd</w:t>
      </w:r>
      <w:r w:rsidR="00FF1E02" w:rsidRPr="00FE76A3">
        <w:rPr>
          <w:color w:val="242121"/>
          <w:sz w:val="28"/>
          <w:shd w:val="clear" w:color="auto" w:fill="FFFFFF"/>
        </w:rPr>
        <w:t>.</w:t>
      </w:r>
      <w:r w:rsidR="006156F9" w:rsidRPr="00FE76A3">
        <w:rPr>
          <w:rStyle w:val="FootnoteReference"/>
          <w:color w:val="242121"/>
          <w:sz w:val="28"/>
          <w:shd w:val="clear" w:color="auto" w:fill="FFFFFF"/>
        </w:rPr>
        <w:footnoteReference w:id="14"/>
      </w:r>
      <w:r w:rsidR="00FF1E02" w:rsidRPr="00FE76A3">
        <w:rPr>
          <w:color w:val="242121"/>
          <w:sz w:val="28"/>
          <w:shd w:val="clear" w:color="auto" w:fill="FFFFFF"/>
        </w:rPr>
        <w:t xml:space="preserve"> Nor is the question as to when prescription begins to run contentious. </w:t>
      </w:r>
      <w:r w:rsidR="00E90CDA" w:rsidRPr="00FE76A3">
        <w:rPr>
          <w:color w:val="242121"/>
          <w:sz w:val="28"/>
          <w:shd w:val="clear" w:color="auto" w:fill="FFFFFF"/>
        </w:rPr>
        <w:t xml:space="preserve">It is accepted by the parties that prescription commences to run as soon as the debt is due as provided in s 12(1) of the Prescription Act. And, as this Court held in </w:t>
      </w:r>
      <w:r w:rsidR="00905CC6" w:rsidRPr="00FE76A3">
        <w:rPr>
          <w:i/>
          <w:color w:val="242121"/>
          <w:sz w:val="28"/>
          <w:shd w:val="clear" w:color="auto" w:fill="FFFFFF"/>
        </w:rPr>
        <w:t>Deloitte Haskins &amp; Sells Consultants (Pty) Ltd v Bowthorpe Hellerman Deutsch (Pty) Ltd</w:t>
      </w:r>
      <w:r w:rsidR="00905CC6" w:rsidRPr="00FE76A3">
        <w:rPr>
          <w:color w:val="242121"/>
          <w:sz w:val="28"/>
          <w:shd w:val="clear" w:color="auto" w:fill="FFFFFF"/>
        </w:rPr>
        <w:t>,</w:t>
      </w:r>
      <w:r w:rsidR="00905CC6" w:rsidRPr="00FE76A3">
        <w:rPr>
          <w:rStyle w:val="FootnoteReference"/>
          <w:color w:val="242121"/>
          <w:sz w:val="28"/>
          <w:shd w:val="clear" w:color="auto" w:fill="FFFFFF"/>
        </w:rPr>
        <w:footnoteReference w:id="15"/>
      </w:r>
      <w:r w:rsidR="00905CC6" w:rsidRPr="00FE76A3">
        <w:rPr>
          <w:i/>
          <w:color w:val="242121"/>
          <w:sz w:val="28"/>
          <w:shd w:val="clear" w:color="auto" w:fill="FFFFFF"/>
        </w:rPr>
        <w:t xml:space="preserve"> </w:t>
      </w:r>
      <w:r w:rsidR="00905CC6" w:rsidRPr="00FE76A3">
        <w:rPr>
          <w:color w:val="242121"/>
          <w:sz w:val="28"/>
          <w:shd w:val="clear" w:color="auto" w:fill="FFFFFF"/>
        </w:rPr>
        <w:t xml:space="preserve">a debt becomes due when it is </w:t>
      </w:r>
      <w:r w:rsidR="00905CC6" w:rsidRPr="00FE76A3">
        <w:rPr>
          <w:color w:val="242121"/>
          <w:sz w:val="28"/>
          <w:shd w:val="clear" w:color="auto" w:fill="FFFFFF"/>
        </w:rPr>
        <w:lastRenderedPageBreak/>
        <w:t xml:space="preserve">immediately claimable or </w:t>
      </w:r>
      <w:r w:rsidR="00C57AFC" w:rsidRPr="00FE76A3">
        <w:rPr>
          <w:color w:val="242121"/>
          <w:sz w:val="28"/>
          <w:shd w:val="clear" w:color="auto" w:fill="FFFFFF"/>
        </w:rPr>
        <w:t>re</w:t>
      </w:r>
      <w:r w:rsidR="00905CC6" w:rsidRPr="00FE76A3">
        <w:rPr>
          <w:color w:val="242121"/>
          <w:sz w:val="28"/>
          <w:shd w:val="clear" w:color="auto" w:fill="FFFFFF"/>
        </w:rPr>
        <w:t xml:space="preserve">coverable. In the ordinary course, this will coincide with the date upon which the </w:t>
      </w:r>
      <w:r w:rsidR="00F029EE" w:rsidRPr="00FE76A3">
        <w:rPr>
          <w:color w:val="242121"/>
          <w:sz w:val="28"/>
          <w:shd w:val="clear" w:color="auto" w:fill="FFFFFF"/>
        </w:rPr>
        <w:t>debt arose, although this is not necessarily always the case.</w:t>
      </w:r>
      <w:r w:rsidR="00F029EE" w:rsidRPr="00FE76A3">
        <w:rPr>
          <w:rStyle w:val="FootnoteReference"/>
          <w:color w:val="242121"/>
          <w:sz w:val="28"/>
          <w:shd w:val="clear" w:color="auto" w:fill="FFFFFF"/>
        </w:rPr>
        <w:footnoteReference w:id="16"/>
      </w:r>
    </w:p>
    <w:p w14:paraId="3CD33BEE" w14:textId="4BFA9155" w:rsidR="00DD7774" w:rsidRPr="00FE76A3" w:rsidRDefault="00DD7774" w:rsidP="009B273B">
      <w:pPr>
        <w:tabs>
          <w:tab w:val="left" w:pos="284"/>
        </w:tabs>
        <w:rPr>
          <w:color w:val="242121"/>
          <w:sz w:val="28"/>
          <w:shd w:val="clear" w:color="auto" w:fill="FFFFFF"/>
        </w:rPr>
      </w:pPr>
    </w:p>
    <w:p w14:paraId="66A6571F" w14:textId="07AA6B2D" w:rsidR="00DD7774" w:rsidRPr="00FE76A3" w:rsidRDefault="006839AD" w:rsidP="009B273B">
      <w:pPr>
        <w:tabs>
          <w:tab w:val="left" w:pos="284"/>
        </w:tabs>
        <w:rPr>
          <w:color w:val="242121"/>
          <w:sz w:val="28"/>
          <w:shd w:val="clear" w:color="auto" w:fill="FFFFFF"/>
        </w:rPr>
      </w:pPr>
      <w:r w:rsidRPr="00FE76A3">
        <w:rPr>
          <w:color w:val="242121"/>
          <w:sz w:val="28"/>
          <w:shd w:val="clear" w:color="auto" w:fill="FFFFFF"/>
        </w:rPr>
        <w:t>[</w:t>
      </w:r>
      <w:r w:rsidR="004B15BC" w:rsidRPr="00FE76A3">
        <w:rPr>
          <w:color w:val="242121"/>
          <w:sz w:val="28"/>
          <w:shd w:val="clear" w:color="auto" w:fill="FFFFFF"/>
        </w:rPr>
        <w:t>24</w:t>
      </w:r>
      <w:r w:rsidR="00DD7774" w:rsidRPr="00FE76A3">
        <w:rPr>
          <w:color w:val="242121"/>
          <w:sz w:val="28"/>
          <w:shd w:val="clear" w:color="auto" w:fill="FFFFFF"/>
        </w:rPr>
        <w:t>]</w:t>
      </w:r>
      <w:r w:rsidR="00DD7774" w:rsidRPr="00FE76A3">
        <w:rPr>
          <w:color w:val="242121"/>
          <w:sz w:val="28"/>
          <w:shd w:val="clear" w:color="auto" w:fill="FFFFFF"/>
        </w:rPr>
        <w:tab/>
        <w:t xml:space="preserve">In </w:t>
      </w:r>
      <w:r w:rsidR="00DD7774" w:rsidRPr="00FE76A3">
        <w:rPr>
          <w:i/>
          <w:color w:val="242121"/>
          <w:sz w:val="28"/>
          <w:shd w:val="clear" w:color="auto" w:fill="FFFFFF"/>
        </w:rPr>
        <w:t>Truter and Another v Deysel</w:t>
      </w:r>
      <w:r w:rsidR="00072FB6" w:rsidRPr="00FE76A3">
        <w:rPr>
          <w:i/>
          <w:color w:val="242121"/>
          <w:sz w:val="28"/>
          <w:shd w:val="clear" w:color="auto" w:fill="FFFFFF"/>
        </w:rPr>
        <w:t>,</w:t>
      </w:r>
      <w:r w:rsidR="00DD7774" w:rsidRPr="00FE76A3">
        <w:rPr>
          <w:color w:val="242121"/>
          <w:sz w:val="28"/>
          <w:shd w:val="clear" w:color="auto" w:fill="FFFFFF"/>
        </w:rPr>
        <w:t xml:space="preserve"> this Court explained the import of s 12(1) thus:</w:t>
      </w:r>
    </w:p>
    <w:p w14:paraId="6953F8EB" w14:textId="6782029B" w:rsidR="00DD7774" w:rsidRPr="00FE76A3" w:rsidRDefault="004F026D" w:rsidP="009B273B">
      <w:pPr>
        <w:tabs>
          <w:tab w:val="left" w:pos="284"/>
        </w:tabs>
        <w:rPr>
          <w:color w:val="242121"/>
          <w:shd w:val="clear" w:color="auto" w:fill="FFFFFF"/>
          <w:lang w:val="en-ZA"/>
        </w:rPr>
      </w:pPr>
      <w:r w:rsidRPr="00FE76A3">
        <w:rPr>
          <w:color w:val="242121"/>
          <w:shd w:val="clear" w:color="auto" w:fill="FFFFFF"/>
        </w:rPr>
        <w:t>‘</w:t>
      </w:r>
      <w:r w:rsidR="00364D0B" w:rsidRPr="00FE76A3">
        <w:rPr>
          <w:i/>
          <w:color w:val="242121"/>
          <w:shd w:val="clear" w:color="auto" w:fill="FFFFFF"/>
        </w:rPr>
        <w:t xml:space="preserve">. . . </w:t>
      </w:r>
      <w:r w:rsidRPr="00FE76A3">
        <w:rPr>
          <w:i/>
          <w:color w:val="242121"/>
          <w:shd w:val="clear" w:color="auto" w:fill="FFFFFF"/>
        </w:rPr>
        <w:t xml:space="preserve">[T]he term </w:t>
      </w:r>
      <w:r w:rsidR="00364D0B" w:rsidRPr="00FE76A3">
        <w:rPr>
          <w:i/>
          <w:color w:val="242121"/>
          <w:shd w:val="clear" w:color="auto" w:fill="FFFFFF"/>
          <w:lang w:val="en-ZA"/>
        </w:rPr>
        <w:t>“debt due” means a debt</w:t>
      </w:r>
      <w:r w:rsidRPr="00FE76A3">
        <w:rPr>
          <w:i/>
          <w:color w:val="242121"/>
          <w:shd w:val="clear" w:color="auto" w:fill="FFFFFF"/>
          <w:lang w:val="en-ZA"/>
        </w:rPr>
        <w:t>,</w:t>
      </w:r>
      <w:r w:rsidR="00364D0B" w:rsidRPr="00FE76A3">
        <w:rPr>
          <w:i/>
          <w:color w:val="242121"/>
          <w:shd w:val="clear" w:color="auto" w:fill="FFFFFF"/>
          <w:lang w:val="en-ZA"/>
        </w:rPr>
        <w:t xml:space="preserve"> including a delictual debt, which is owing and payable. A debt is due in this sense when the creditor acquires a complete cause of action for the recovery of the debt, </w:t>
      </w:r>
      <w:r w:rsidRPr="00FE76A3">
        <w:rPr>
          <w:i/>
          <w:color w:val="242121"/>
          <w:shd w:val="clear" w:color="auto" w:fill="FFFFFF"/>
          <w:lang w:val="en-ZA"/>
        </w:rPr>
        <w:t>t</w:t>
      </w:r>
      <w:r w:rsidR="00364D0B" w:rsidRPr="00FE76A3">
        <w:rPr>
          <w:i/>
          <w:color w:val="242121"/>
          <w:shd w:val="clear" w:color="auto" w:fill="FFFFFF"/>
          <w:lang w:val="en-ZA"/>
        </w:rPr>
        <w:t>hat is, when the entire set of facts which the creditor must prove in order to succeed with his or her claim against the debtor is in place or, in other words, when everything has happened which would entitle the creditor to institute action and to pursue his or her claims.</w:t>
      </w:r>
      <w:r w:rsidR="00364D0B" w:rsidRPr="00FE76A3">
        <w:rPr>
          <w:color w:val="242121"/>
          <w:shd w:val="clear" w:color="auto" w:fill="FFFFFF"/>
          <w:lang w:val="en-ZA"/>
        </w:rPr>
        <w:t>’</w:t>
      </w:r>
      <w:r w:rsidRPr="00FE76A3">
        <w:rPr>
          <w:rStyle w:val="FootnoteReference"/>
          <w:color w:val="242121"/>
          <w:shd w:val="clear" w:color="auto" w:fill="FFFFFF"/>
          <w:lang w:val="en-ZA"/>
        </w:rPr>
        <w:footnoteReference w:id="17"/>
      </w:r>
      <w:r w:rsidR="00364D0B" w:rsidRPr="00FE76A3">
        <w:rPr>
          <w:color w:val="242121"/>
          <w:shd w:val="clear" w:color="auto" w:fill="FFFFFF"/>
          <w:lang w:val="en-ZA"/>
        </w:rPr>
        <w:t xml:space="preserve"> </w:t>
      </w:r>
      <w:r w:rsidR="00FD147C" w:rsidRPr="00FE76A3">
        <w:rPr>
          <w:color w:val="242121"/>
          <w:shd w:val="clear" w:color="auto" w:fill="FFFFFF"/>
          <w:lang w:val="en-ZA"/>
        </w:rPr>
        <w:t>(Footnotes omitted)</w:t>
      </w:r>
    </w:p>
    <w:p w14:paraId="62BA8292" w14:textId="74EE4A05" w:rsidR="001B43AA" w:rsidRPr="00FE76A3" w:rsidRDefault="001B43AA" w:rsidP="009B273B">
      <w:pPr>
        <w:tabs>
          <w:tab w:val="left" w:pos="284"/>
        </w:tabs>
        <w:rPr>
          <w:color w:val="242121"/>
          <w:shd w:val="clear" w:color="auto" w:fill="FFFFFF"/>
          <w:lang w:val="en-ZA"/>
        </w:rPr>
      </w:pPr>
    </w:p>
    <w:p w14:paraId="3EED2B9F" w14:textId="1A90B7D2" w:rsidR="00CB4715" w:rsidRPr="00FE76A3" w:rsidRDefault="006839AD" w:rsidP="009B273B">
      <w:pPr>
        <w:tabs>
          <w:tab w:val="left" w:pos="284"/>
        </w:tabs>
        <w:rPr>
          <w:color w:val="242121"/>
          <w:sz w:val="28"/>
          <w:shd w:val="clear" w:color="auto" w:fill="FFFFFF"/>
          <w:lang w:val="en-ZA"/>
        </w:rPr>
      </w:pPr>
      <w:r w:rsidRPr="00FE76A3">
        <w:rPr>
          <w:color w:val="242121"/>
          <w:sz w:val="28"/>
          <w:shd w:val="clear" w:color="auto" w:fill="FFFFFF"/>
          <w:lang w:val="en-ZA"/>
        </w:rPr>
        <w:t>[</w:t>
      </w:r>
      <w:r w:rsidR="004B15BC" w:rsidRPr="00FE76A3">
        <w:rPr>
          <w:color w:val="242121"/>
          <w:sz w:val="28"/>
          <w:shd w:val="clear" w:color="auto" w:fill="FFFFFF"/>
          <w:lang w:val="en-ZA"/>
        </w:rPr>
        <w:t>25</w:t>
      </w:r>
      <w:r w:rsidR="001B43AA" w:rsidRPr="00FE76A3">
        <w:rPr>
          <w:color w:val="242121"/>
          <w:sz w:val="28"/>
          <w:shd w:val="clear" w:color="auto" w:fill="FFFFFF"/>
          <w:lang w:val="en-ZA"/>
        </w:rPr>
        <w:t>]</w:t>
      </w:r>
      <w:r w:rsidR="001B43AA" w:rsidRPr="00FE76A3">
        <w:rPr>
          <w:color w:val="242121"/>
          <w:sz w:val="28"/>
          <w:shd w:val="clear" w:color="auto" w:fill="FFFFFF"/>
          <w:lang w:val="en-ZA"/>
        </w:rPr>
        <w:tab/>
      </w:r>
      <w:r w:rsidR="00E54409" w:rsidRPr="00FE76A3">
        <w:rPr>
          <w:color w:val="242121"/>
          <w:sz w:val="28"/>
          <w:shd w:val="clear" w:color="auto" w:fill="FFFFFF"/>
          <w:lang w:val="en-ZA"/>
        </w:rPr>
        <w:t>In terms of s 12(3),</w:t>
      </w:r>
      <w:r w:rsidR="00E54409" w:rsidRPr="00FE76A3">
        <w:rPr>
          <w:rStyle w:val="FootnoteReference"/>
          <w:color w:val="242121"/>
          <w:sz w:val="28"/>
          <w:shd w:val="clear" w:color="auto" w:fill="FFFFFF"/>
          <w:lang w:val="en-ZA"/>
        </w:rPr>
        <w:footnoteReference w:id="18"/>
      </w:r>
      <w:r w:rsidR="00E54409" w:rsidRPr="00FE76A3">
        <w:rPr>
          <w:color w:val="242121"/>
          <w:sz w:val="28"/>
          <w:shd w:val="clear" w:color="auto" w:fill="FFFFFF"/>
          <w:lang w:val="en-ZA"/>
        </w:rPr>
        <w:t xml:space="preserve"> a debt is deemed to be due when a creditor has knowledge of the identity of the debtor and of the facts from which the debt arose. And the creditor is, in turn, deemed to possess the requisite knowledge if he or she could have acquired it by exercising reasonable care. </w:t>
      </w:r>
      <w:r w:rsidR="00A7434C">
        <w:rPr>
          <w:color w:val="242121"/>
          <w:sz w:val="28"/>
          <w:shd w:val="clear" w:color="auto" w:fill="FFFFFF"/>
          <w:lang w:val="en-ZA"/>
        </w:rPr>
        <w:t>One further point can be made</w:t>
      </w:r>
      <w:r w:rsidR="00F86DF5" w:rsidRPr="00FE76A3">
        <w:rPr>
          <w:color w:val="242121"/>
          <w:sz w:val="28"/>
          <w:shd w:val="clear" w:color="auto" w:fill="FFFFFF"/>
          <w:lang w:val="en-ZA"/>
        </w:rPr>
        <w:t xml:space="preserve"> here</w:t>
      </w:r>
      <w:r w:rsidR="00A7434C">
        <w:rPr>
          <w:color w:val="242121"/>
          <w:sz w:val="28"/>
          <w:shd w:val="clear" w:color="auto" w:fill="FFFFFF"/>
          <w:lang w:val="en-ZA"/>
        </w:rPr>
        <w:t>,</w:t>
      </w:r>
      <w:r w:rsidR="00E54409" w:rsidRPr="00FE76A3">
        <w:rPr>
          <w:color w:val="242121"/>
          <w:sz w:val="28"/>
          <w:shd w:val="clear" w:color="auto" w:fill="FFFFFF"/>
          <w:lang w:val="en-ZA"/>
        </w:rPr>
        <w:t xml:space="preserve"> </w:t>
      </w:r>
      <w:r w:rsidR="00A7434C">
        <w:rPr>
          <w:color w:val="242121"/>
          <w:sz w:val="28"/>
          <w:shd w:val="clear" w:color="auto" w:fill="FFFFFF"/>
          <w:lang w:val="en-ZA"/>
        </w:rPr>
        <w:t>namely</w:t>
      </w:r>
      <w:r w:rsidR="00E54409" w:rsidRPr="00FE76A3">
        <w:rPr>
          <w:color w:val="242121"/>
          <w:sz w:val="28"/>
          <w:shd w:val="clear" w:color="auto" w:fill="FFFFFF"/>
          <w:lang w:val="en-ZA"/>
        </w:rPr>
        <w:t xml:space="preserve"> that the limitation of the right of access to court, to the extent that prescription could have that effect, has been found by the Constitutional Court to pass muster.</w:t>
      </w:r>
      <w:r w:rsidR="00E54409" w:rsidRPr="00FE76A3">
        <w:rPr>
          <w:rStyle w:val="FootnoteReference"/>
          <w:color w:val="242121"/>
          <w:sz w:val="28"/>
          <w:shd w:val="clear" w:color="auto" w:fill="FFFFFF"/>
          <w:lang w:val="en-ZA"/>
        </w:rPr>
        <w:footnoteReference w:id="19"/>
      </w:r>
    </w:p>
    <w:p w14:paraId="5843817B" w14:textId="6DA73CA4" w:rsidR="00021359" w:rsidRPr="00FE76A3" w:rsidRDefault="00021359" w:rsidP="009B273B">
      <w:pPr>
        <w:tabs>
          <w:tab w:val="left" w:pos="284"/>
        </w:tabs>
        <w:rPr>
          <w:color w:val="242121"/>
          <w:sz w:val="28"/>
          <w:shd w:val="clear" w:color="auto" w:fill="FFFFFF"/>
          <w:lang w:val="en-ZA"/>
        </w:rPr>
      </w:pPr>
    </w:p>
    <w:p w14:paraId="43CE5717" w14:textId="396B07C5" w:rsidR="00021359" w:rsidRPr="00FE76A3" w:rsidRDefault="006839AD" w:rsidP="009B273B">
      <w:pPr>
        <w:tabs>
          <w:tab w:val="left" w:pos="284"/>
        </w:tabs>
        <w:rPr>
          <w:color w:val="242121"/>
          <w:sz w:val="28"/>
          <w:shd w:val="clear" w:color="auto" w:fill="FFFFFF"/>
          <w:lang w:val="en-ZA"/>
        </w:rPr>
      </w:pPr>
      <w:r w:rsidRPr="00FE76A3">
        <w:rPr>
          <w:color w:val="242121"/>
          <w:sz w:val="28"/>
          <w:shd w:val="clear" w:color="auto" w:fill="FFFFFF"/>
          <w:lang w:val="en-ZA"/>
        </w:rPr>
        <w:t>[</w:t>
      </w:r>
      <w:r w:rsidR="004B15BC" w:rsidRPr="00FE76A3">
        <w:rPr>
          <w:color w:val="242121"/>
          <w:sz w:val="28"/>
          <w:shd w:val="clear" w:color="auto" w:fill="FFFFFF"/>
          <w:lang w:val="en-ZA"/>
        </w:rPr>
        <w:t>26</w:t>
      </w:r>
      <w:r w:rsidR="00021359" w:rsidRPr="00FE76A3">
        <w:rPr>
          <w:color w:val="242121"/>
          <w:sz w:val="28"/>
          <w:shd w:val="clear" w:color="auto" w:fill="FFFFFF"/>
          <w:lang w:val="en-ZA"/>
        </w:rPr>
        <w:t>]</w:t>
      </w:r>
      <w:r w:rsidR="00021359" w:rsidRPr="00FE76A3">
        <w:rPr>
          <w:color w:val="242121"/>
          <w:sz w:val="28"/>
          <w:shd w:val="clear" w:color="auto" w:fill="FFFFFF"/>
          <w:lang w:val="en-ZA"/>
        </w:rPr>
        <w:tab/>
      </w:r>
      <w:r w:rsidR="00F86DF5" w:rsidRPr="00FE76A3">
        <w:rPr>
          <w:color w:val="242121"/>
          <w:sz w:val="28"/>
          <w:shd w:val="clear" w:color="auto" w:fill="FFFFFF"/>
          <w:lang w:val="en-ZA"/>
        </w:rPr>
        <w:t>It bears noting</w:t>
      </w:r>
      <w:r w:rsidR="00021359" w:rsidRPr="00FE76A3">
        <w:rPr>
          <w:color w:val="242121"/>
          <w:sz w:val="28"/>
          <w:shd w:val="clear" w:color="auto" w:fill="FFFFFF"/>
          <w:lang w:val="en-ZA"/>
        </w:rPr>
        <w:t xml:space="preserve"> that at its core the Prescription Act is designed to strike a fine balance between the rights of creditors to enforce their claims </w:t>
      </w:r>
      <w:r w:rsidR="00CA1EE6" w:rsidRPr="00FE76A3">
        <w:rPr>
          <w:color w:val="242121"/>
          <w:sz w:val="28"/>
          <w:shd w:val="clear" w:color="auto" w:fill="FFFFFF"/>
          <w:lang w:val="en-ZA"/>
        </w:rPr>
        <w:t xml:space="preserve">against their debtors on the one hand. Nevertheless, on the other hand, the need to safeguard the rights of </w:t>
      </w:r>
      <w:r w:rsidR="00CA1EE6" w:rsidRPr="00FE76A3">
        <w:rPr>
          <w:color w:val="242121"/>
          <w:sz w:val="28"/>
          <w:shd w:val="clear" w:color="auto" w:fill="FFFFFF"/>
          <w:lang w:val="en-ZA"/>
        </w:rPr>
        <w:lastRenderedPageBreak/>
        <w:t xml:space="preserve">creditors must be weighed against the prejudice that </w:t>
      </w:r>
      <w:r w:rsidR="00520305" w:rsidRPr="00FE76A3">
        <w:rPr>
          <w:color w:val="242121"/>
          <w:sz w:val="28"/>
          <w:shd w:val="clear" w:color="auto" w:fill="FFFFFF"/>
          <w:lang w:val="en-ZA"/>
        </w:rPr>
        <w:t xml:space="preserve">potential defendants would suffer if the law did not come to their aid by means of time bars </w:t>
      </w:r>
      <w:r w:rsidR="00440CDD" w:rsidRPr="00FE76A3">
        <w:rPr>
          <w:color w:val="242121"/>
          <w:sz w:val="28"/>
          <w:shd w:val="clear" w:color="auto" w:fill="FFFFFF"/>
          <w:lang w:val="en-ZA"/>
        </w:rPr>
        <w:t xml:space="preserve">beyond which creditors would lose their right to enforce their claims. The rationale for this balancing </w:t>
      </w:r>
      <w:r w:rsidR="00FD147C" w:rsidRPr="00FE76A3">
        <w:rPr>
          <w:color w:val="242121"/>
          <w:sz w:val="28"/>
          <w:shd w:val="clear" w:color="auto" w:fill="FFFFFF"/>
          <w:lang w:val="en-ZA"/>
        </w:rPr>
        <w:t xml:space="preserve">exercise </w:t>
      </w:r>
      <w:r w:rsidR="00440CDD" w:rsidRPr="00FE76A3">
        <w:rPr>
          <w:color w:val="242121"/>
          <w:sz w:val="28"/>
          <w:shd w:val="clear" w:color="auto" w:fill="FFFFFF"/>
          <w:lang w:val="en-ZA"/>
        </w:rPr>
        <w:t xml:space="preserve">was aptly captured in </w:t>
      </w:r>
      <w:r w:rsidR="00440CDD" w:rsidRPr="00FE76A3">
        <w:rPr>
          <w:i/>
          <w:color w:val="242121"/>
          <w:sz w:val="28"/>
          <w:shd w:val="clear" w:color="auto" w:fill="FFFFFF"/>
          <w:lang w:val="en-ZA"/>
        </w:rPr>
        <w:t>Mohlomi v Minist</w:t>
      </w:r>
      <w:r w:rsidRPr="00FE76A3">
        <w:rPr>
          <w:i/>
          <w:color w:val="242121"/>
          <w:sz w:val="28"/>
          <w:shd w:val="clear" w:color="auto" w:fill="FFFFFF"/>
          <w:lang w:val="en-ZA"/>
        </w:rPr>
        <w:t>er of Defence</w:t>
      </w:r>
      <w:r w:rsidR="008C2612" w:rsidRPr="00FE76A3">
        <w:rPr>
          <w:i/>
          <w:color w:val="242121"/>
          <w:sz w:val="28"/>
          <w:shd w:val="clear" w:color="auto" w:fill="FFFFFF"/>
          <w:lang w:val="en-ZA"/>
        </w:rPr>
        <w:t xml:space="preserve"> (Mohlomi)</w:t>
      </w:r>
      <w:r w:rsidR="00D95C79" w:rsidRPr="00FE76A3">
        <w:rPr>
          <w:i/>
          <w:color w:val="242121"/>
          <w:sz w:val="28"/>
          <w:shd w:val="clear" w:color="auto" w:fill="FFFFFF"/>
          <w:lang w:val="en-ZA"/>
        </w:rPr>
        <w:t>,</w:t>
      </w:r>
      <w:r w:rsidR="00440CDD" w:rsidRPr="00FE76A3">
        <w:rPr>
          <w:i/>
          <w:color w:val="242121"/>
          <w:sz w:val="28"/>
          <w:shd w:val="clear" w:color="auto" w:fill="FFFFFF"/>
          <w:lang w:val="en-ZA"/>
        </w:rPr>
        <w:t xml:space="preserve"> </w:t>
      </w:r>
      <w:r w:rsidR="00440CDD" w:rsidRPr="00FE76A3">
        <w:rPr>
          <w:color w:val="242121"/>
          <w:sz w:val="28"/>
          <w:shd w:val="clear" w:color="auto" w:fill="FFFFFF"/>
          <w:lang w:val="en-ZA"/>
        </w:rPr>
        <w:t>where Didco</w:t>
      </w:r>
      <w:r w:rsidR="00451627" w:rsidRPr="00FE76A3">
        <w:rPr>
          <w:color w:val="242121"/>
          <w:sz w:val="28"/>
          <w:shd w:val="clear" w:color="auto" w:fill="FFFFFF"/>
          <w:lang w:val="en-ZA"/>
        </w:rPr>
        <w:t>tt J said the following:</w:t>
      </w:r>
    </w:p>
    <w:p w14:paraId="214B24D9" w14:textId="601B456D" w:rsidR="00451627" w:rsidRPr="00FE76A3" w:rsidRDefault="000805F7" w:rsidP="009B273B">
      <w:pPr>
        <w:tabs>
          <w:tab w:val="left" w:pos="284"/>
        </w:tabs>
        <w:rPr>
          <w:color w:val="242121"/>
          <w:shd w:val="clear" w:color="auto" w:fill="FFFFFF"/>
          <w:lang w:val="en-ZA"/>
        </w:rPr>
      </w:pPr>
      <w:r w:rsidRPr="00FE76A3">
        <w:rPr>
          <w:color w:val="242121"/>
          <w:shd w:val="clear" w:color="auto" w:fill="FFFFFF"/>
          <w:lang w:val="en-ZA"/>
        </w:rPr>
        <w:t>‘Rules that limit the time during which litigation may be launched are common in our legal system as well as many others. Inordinate delays in litigating damage the interests of justice. They protract the disputes over the rights and obligations sought to be enforced, prolonging the uncertainty of all concerned about their affairs. Nor in the end is it always possible to adjudicate satisfactorily on cases that have gone stale. By then witnesses may no longer be available to testify. The memories of ones whose testimony can still be obtained may have faded and become unreliable. Documentary evidence may have disappeared. Such rules prevent procrastination and those harmful consequences of it. They thus serve a purpose to which no exception in principle can cogently be taken.’</w:t>
      </w:r>
      <w:r w:rsidR="00663B2B" w:rsidRPr="00FE76A3">
        <w:rPr>
          <w:rStyle w:val="FootnoteReference"/>
          <w:color w:val="242121"/>
          <w:shd w:val="clear" w:color="auto" w:fill="FFFFFF"/>
          <w:lang w:val="en-ZA"/>
        </w:rPr>
        <w:footnoteReference w:id="20"/>
      </w:r>
    </w:p>
    <w:p w14:paraId="1143611C" w14:textId="311D9632" w:rsidR="00974608" w:rsidRPr="00FE76A3" w:rsidRDefault="00974608" w:rsidP="009B273B">
      <w:pPr>
        <w:tabs>
          <w:tab w:val="left" w:pos="284"/>
        </w:tabs>
        <w:rPr>
          <w:color w:val="242121"/>
          <w:shd w:val="clear" w:color="auto" w:fill="FFFFFF"/>
          <w:lang w:val="en-ZA"/>
        </w:rPr>
      </w:pPr>
    </w:p>
    <w:p w14:paraId="5717C704" w14:textId="689C54BC" w:rsidR="00974608" w:rsidRPr="00FE76A3" w:rsidRDefault="006839AD" w:rsidP="009B273B">
      <w:pPr>
        <w:tabs>
          <w:tab w:val="left" w:pos="284"/>
        </w:tabs>
        <w:rPr>
          <w:color w:val="242121"/>
          <w:sz w:val="28"/>
          <w:shd w:val="clear" w:color="auto" w:fill="FFFFFF"/>
          <w:lang w:val="en-ZA"/>
        </w:rPr>
      </w:pPr>
      <w:r w:rsidRPr="00FE76A3">
        <w:rPr>
          <w:color w:val="242121"/>
          <w:sz w:val="28"/>
          <w:shd w:val="clear" w:color="auto" w:fill="FFFFFF"/>
          <w:lang w:val="en-ZA"/>
        </w:rPr>
        <w:t>[</w:t>
      </w:r>
      <w:r w:rsidR="004B15BC" w:rsidRPr="00FE76A3">
        <w:rPr>
          <w:color w:val="242121"/>
          <w:sz w:val="28"/>
          <w:shd w:val="clear" w:color="auto" w:fill="FFFFFF"/>
          <w:lang w:val="en-ZA"/>
        </w:rPr>
        <w:t>27</w:t>
      </w:r>
      <w:r w:rsidR="00974608" w:rsidRPr="00FE76A3">
        <w:rPr>
          <w:color w:val="242121"/>
          <w:sz w:val="28"/>
          <w:shd w:val="clear" w:color="auto" w:fill="FFFFFF"/>
          <w:lang w:val="en-ZA"/>
        </w:rPr>
        <w:t>]</w:t>
      </w:r>
      <w:r w:rsidR="00974608" w:rsidRPr="00FE76A3">
        <w:rPr>
          <w:color w:val="242121"/>
          <w:sz w:val="28"/>
          <w:shd w:val="clear" w:color="auto" w:fill="FFFFFF"/>
          <w:lang w:val="en-ZA"/>
        </w:rPr>
        <w:tab/>
        <w:t xml:space="preserve">Hot on the heels of </w:t>
      </w:r>
      <w:r w:rsidR="00974608" w:rsidRPr="00FE76A3">
        <w:rPr>
          <w:i/>
          <w:color w:val="242121"/>
          <w:sz w:val="28"/>
          <w:shd w:val="clear" w:color="auto" w:fill="FFFFFF"/>
          <w:lang w:val="en-ZA"/>
        </w:rPr>
        <w:t>Mohlomi</w:t>
      </w:r>
      <w:r w:rsidR="00974608" w:rsidRPr="00FE76A3">
        <w:rPr>
          <w:color w:val="242121"/>
          <w:sz w:val="28"/>
          <w:shd w:val="clear" w:color="auto" w:fill="FFFFFF"/>
          <w:lang w:val="en-ZA"/>
        </w:rPr>
        <w:t xml:space="preserve">, in </w:t>
      </w:r>
      <w:r w:rsidR="00974608" w:rsidRPr="00FE76A3">
        <w:rPr>
          <w:i/>
          <w:color w:val="242121"/>
          <w:sz w:val="28"/>
          <w:shd w:val="clear" w:color="auto" w:fill="FFFFFF"/>
          <w:lang w:val="en-ZA"/>
        </w:rPr>
        <w:t>Uitenhage Municipality v Molloy</w:t>
      </w:r>
      <w:r w:rsidR="008C2612" w:rsidRPr="00FE76A3">
        <w:rPr>
          <w:i/>
          <w:color w:val="242121"/>
          <w:sz w:val="28"/>
          <w:shd w:val="clear" w:color="auto" w:fill="FFFFFF"/>
          <w:lang w:val="en-ZA"/>
        </w:rPr>
        <w:t>,</w:t>
      </w:r>
      <w:r w:rsidR="00974608" w:rsidRPr="00FE76A3">
        <w:rPr>
          <w:color w:val="242121"/>
          <w:sz w:val="28"/>
          <w:shd w:val="clear" w:color="auto" w:fill="FFFFFF"/>
          <w:lang w:val="en-ZA"/>
        </w:rPr>
        <w:t xml:space="preserve"> Mahomed CJ put it thus:</w:t>
      </w:r>
    </w:p>
    <w:p w14:paraId="06264DD6" w14:textId="6CB1458A" w:rsidR="004D2C9F" w:rsidRPr="00FE76A3" w:rsidRDefault="009823FB" w:rsidP="009B273B">
      <w:pPr>
        <w:tabs>
          <w:tab w:val="left" w:pos="284"/>
        </w:tabs>
        <w:rPr>
          <w:color w:val="242121"/>
          <w:shd w:val="clear" w:color="auto" w:fill="FFFFFF"/>
          <w:lang w:val="en-ZA"/>
        </w:rPr>
      </w:pPr>
      <w:r w:rsidRPr="00FE76A3">
        <w:rPr>
          <w:color w:val="242121"/>
          <w:shd w:val="clear" w:color="auto" w:fill="FFFFFF"/>
          <w:lang w:val="en-ZA"/>
        </w:rPr>
        <w:t>‘</w:t>
      </w:r>
      <w:r w:rsidR="00536FBF" w:rsidRPr="00FE76A3">
        <w:rPr>
          <w:color w:val="242121"/>
          <w:shd w:val="clear" w:color="auto" w:fill="FFFFFF"/>
          <w:lang w:val="en-ZA"/>
        </w:rPr>
        <w:t>One of the main purposes of the Prescription Act is to protect a debtor from old claims against which it cannot effectively defend itself because of loss of records or witnesses caused by the lapse of time. If creditors are allowed by their deliberate or negligent acts to delay the pursuit of their claims without incurring the consequences of prescription that purpose would be subverted.’</w:t>
      </w:r>
      <w:r w:rsidR="00536FBF" w:rsidRPr="00FE76A3">
        <w:rPr>
          <w:rStyle w:val="FootnoteReference"/>
          <w:color w:val="242121"/>
          <w:shd w:val="clear" w:color="auto" w:fill="FFFFFF"/>
          <w:lang w:val="en-ZA"/>
        </w:rPr>
        <w:footnoteReference w:id="21"/>
      </w:r>
    </w:p>
    <w:p w14:paraId="67C5B85D" w14:textId="05AC17ED" w:rsidR="000B0ADB" w:rsidRPr="00FE76A3" w:rsidRDefault="000B0ADB" w:rsidP="009B273B">
      <w:pPr>
        <w:tabs>
          <w:tab w:val="left" w:pos="284"/>
        </w:tabs>
        <w:rPr>
          <w:color w:val="242121"/>
          <w:shd w:val="clear" w:color="auto" w:fill="FFFFFF"/>
          <w:lang w:val="en-ZA"/>
        </w:rPr>
      </w:pPr>
    </w:p>
    <w:p w14:paraId="361E8829" w14:textId="4E3991DA" w:rsidR="000B0ADB" w:rsidRPr="00FE76A3" w:rsidRDefault="00AA2C08" w:rsidP="009B273B">
      <w:pPr>
        <w:tabs>
          <w:tab w:val="left" w:pos="284"/>
        </w:tabs>
        <w:rPr>
          <w:color w:val="242121"/>
          <w:sz w:val="28"/>
          <w:shd w:val="clear" w:color="auto" w:fill="FFFFFF"/>
          <w:lang w:val="en-ZA"/>
        </w:rPr>
      </w:pPr>
      <w:r w:rsidRPr="00FE76A3">
        <w:rPr>
          <w:color w:val="242121"/>
          <w:sz w:val="28"/>
          <w:shd w:val="clear" w:color="auto" w:fill="FFFFFF"/>
          <w:lang w:val="en-ZA"/>
        </w:rPr>
        <w:t>[</w:t>
      </w:r>
      <w:r w:rsidR="004B15BC" w:rsidRPr="00FE76A3">
        <w:rPr>
          <w:color w:val="242121"/>
          <w:sz w:val="28"/>
          <w:shd w:val="clear" w:color="auto" w:fill="FFFFFF"/>
          <w:lang w:val="en-ZA"/>
        </w:rPr>
        <w:t>28</w:t>
      </w:r>
      <w:r w:rsidR="000B0ADB" w:rsidRPr="00FE76A3">
        <w:rPr>
          <w:color w:val="242121"/>
          <w:sz w:val="28"/>
          <w:shd w:val="clear" w:color="auto" w:fill="FFFFFF"/>
          <w:lang w:val="en-ZA"/>
        </w:rPr>
        <w:t>]</w:t>
      </w:r>
      <w:r w:rsidR="000B0ADB" w:rsidRPr="00FE76A3">
        <w:rPr>
          <w:color w:val="242121"/>
          <w:sz w:val="28"/>
          <w:shd w:val="clear" w:color="auto" w:fill="FFFFFF"/>
          <w:lang w:val="en-ZA"/>
        </w:rPr>
        <w:tab/>
        <w:t xml:space="preserve">It is as well at this juncture to remember that </w:t>
      </w:r>
      <w:bookmarkStart w:id="7" w:name="_Hlk125456016"/>
      <w:r w:rsidR="000B0ADB" w:rsidRPr="00FE76A3">
        <w:rPr>
          <w:color w:val="242121"/>
          <w:sz w:val="28"/>
          <w:shd w:val="clear" w:color="auto" w:fill="FFFFFF"/>
          <w:lang w:val="en-ZA"/>
        </w:rPr>
        <w:t>the t</w:t>
      </w:r>
      <w:r w:rsidR="004C6E3E" w:rsidRPr="00FE76A3">
        <w:rPr>
          <w:color w:val="242121"/>
          <w:sz w:val="28"/>
          <w:shd w:val="clear" w:color="auto" w:fill="FFFFFF"/>
          <w:lang w:val="en-ZA"/>
        </w:rPr>
        <w:t>h</w:t>
      </w:r>
      <w:r w:rsidR="000B0ADB" w:rsidRPr="00FE76A3">
        <w:rPr>
          <w:color w:val="242121"/>
          <w:sz w:val="28"/>
          <w:shd w:val="clear" w:color="auto" w:fill="FFFFFF"/>
          <w:lang w:val="en-ZA"/>
        </w:rPr>
        <w:t xml:space="preserve">rust of the case </w:t>
      </w:r>
      <w:r w:rsidR="007A7272" w:rsidRPr="00FE76A3">
        <w:rPr>
          <w:color w:val="242121"/>
          <w:sz w:val="28"/>
          <w:shd w:val="clear" w:color="auto" w:fill="FFFFFF"/>
          <w:lang w:val="en-ZA"/>
        </w:rPr>
        <w:t xml:space="preserve">advanced by Shoprite Checkers is that as Mr Mafate was appointed as a </w:t>
      </w:r>
      <w:r w:rsidR="007A7272" w:rsidRPr="00FE76A3">
        <w:rPr>
          <w:i/>
          <w:color w:val="242121"/>
          <w:sz w:val="28"/>
          <w:shd w:val="clear" w:color="auto" w:fill="FFFFFF"/>
          <w:lang w:val="en-ZA"/>
        </w:rPr>
        <w:t>curator ad litem</w:t>
      </w:r>
      <w:r w:rsidR="007A7272" w:rsidRPr="00FE76A3">
        <w:rPr>
          <w:color w:val="242121"/>
          <w:sz w:val="28"/>
          <w:shd w:val="clear" w:color="auto" w:fill="FFFFFF"/>
          <w:lang w:val="en-ZA"/>
        </w:rPr>
        <w:t xml:space="preserve"> to Ms </w:t>
      </w:r>
      <w:r w:rsidR="001565E9" w:rsidRPr="00FE76A3">
        <w:rPr>
          <w:color w:val="242121"/>
          <w:sz w:val="28"/>
          <w:shd w:val="clear" w:color="auto" w:fill="FFFFFF"/>
          <w:lang w:val="en-ZA"/>
        </w:rPr>
        <w:t>Mkhwanazi</w:t>
      </w:r>
      <w:r w:rsidR="007A7272" w:rsidRPr="00FE76A3">
        <w:rPr>
          <w:color w:val="242121"/>
          <w:sz w:val="28"/>
          <w:shd w:val="clear" w:color="auto" w:fill="FFFFFF"/>
          <w:lang w:val="en-ZA"/>
        </w:rPr>
        <w:t xml:space="preserve"> on 1 February 2017</w:t>
      </w:r>
      <w:r w:rsidR="0019494E" w:rsidRPr="00FE76A3">
        <w:rPr>
          <w:color w:val="242121"/>
          <w:sz w:val="28"/>
          <w:shd w:val="clear" w:color="auto" w:fill="FFFFFF"/>
          <w:lang w:val="en-ZA"/>
        </w:rPr>
        <w:t>,</w:t>
      </w:r>
      <w:r w:rsidR="007A7272" w:rsidRPr="00FE76A3">
        <w:rPr>
          <w:color w:val="242121"/>
          <w:sz w:val="28"/>
          <w:shd w:val="clear" w:color="auto" w:fill="FFFFFF"/>
          <w:lang w:val="en-ZA"/>
        </w:rPr>
        <w:t xml:space="preserve"> the impediment standing in the path of the latter ceased to exist on that date. Conseque</w:t>
      </w:r>
      <w:r w:rsidR="00980045" w:rsidRPr="00FE76A3">
        <w:rPr>
          <w:color w:val="242121"/>
          <w:sz w:val="28"/>
          <w:shd w:val="clear" w:color="auto" w:fill="FFFFFF"/>
          <w:lang w:val="en-ZA"/>
        </w:rPr>
        <w:t xml:space="preserve">ntly, Mr Mafate should have instituted the </w:t>
      </w:r>
      <w:r w:rsidR="00980045" w:rsidRPr="00FE76A3">
        <w:rPr>
          <w:color w:val="242121"/>
          <w:sz w:val="28"/>
          <w:shd w:val="clear" w:color="auto" w:fill="FFFFFF"/>
          <w:lang w:val="en-ZA"/>
        </w:rPr>
        <w:lastRenderedPageBreak/>
        <w:t xml:space="preserve">action within one year after 1 February 2017. But he </w:t>
      </w:r>
      <w:r w:rsidR="0065486C" w:rsidRPr="00FE76A3">
        <w:rPr>
          <w:color w:val="242121"/>
          <w:sz w:val="28"/>
          <w:shd w:val="clear" w:color="auto" w:fill="FFFFFF"/>
          <w:lang w:val="en-ZA"/>
        </w:rPr>
        <w:t xml:space="preserve">unquestionably </w:t>
      </w:r>
      <w:r w:rsidR="00980045" w:rsidRPr="00FE76A3">
        <w:rPr>
          <w:color w:val="242121"/>
          <w:sz w:val="28"/>
          <w:shd w:val="clear" w:color="auto" w:fill="FFFFFF"/>
          <w:lang w:val="en-ZA"/>
        </w:rPr>
        <w:t xml:space="preserve">failed to do so and, instead, </w:t>
      </w:r>
      <w:r w:rsidR="004C6E3E" w:rsidRPr="00FE76A3">
        <w:rPr>
          <w:color w:val="242121"/>
          <w:sz w:val="28"/>
          <w:shd w:val="clear" w:color="auto" w:fill="FFFFFF"/>
          <w:lang w:val="en-ZA"/>
        </w:rPr>
        <w:t xml:space="preserve">instituted </w:t>
      </w:r>
      <w:r w:rsidR="005C5705" w:rsidRPr="00FE76A3">
        <w:rPr>
          <w:color w:val="242121"/>
          <w:sz w:val="28"/>
          <w:shd w:val="clear" w:color="auto" w:fill="FFFFFF"/>
          <w:lang w:val="en-ZA"/>
        </w:rPr>
        <w:t xml:space="preserve">the action on 15 </w:t>
      </w:r>
      <w:r w:rsidR="009C44C5" w:rsidRPr="00FE76A3">
        <w:rPr>
          <w:color w:val="242121"/>
          <w:sz w:val="28"/>
          <w:shd w:val="clear" w:color="auto" w:fill="FFFFFF"/>
          <w:lang w:val="en-ZA"/>
        </w:rPr>
        <w:t>October</w:t>
      </w:r>
      <w:r w:rsidR="005C5705" w:rsidRPr="00FE76A3">
        <w:rPr>
          <w:color w:val="242121"/>
          <w:sz w:val="28"/>
          <w:shd w:val="clear" w:color="auto" w:fill="FFFFFF"/>
          <w:lang w:val="en-ZA"/>
        </w:rPr>
        <w:t xml:space="preserve"> 2018, and the summons was served on Shoprite Check</w:t>
      </w:r>
      <w:r w:rsidRPr="00FE76A3">
        <w:rPr>
          <w:color w:val="242121"/>
          <w:sz w:val="28"/>
          <w:shd w:val="clear" w:color="auto" w:fill="FFFFFF"/>
          <w:lang w:val="en-ZA"/>
        </w:rPr>
        <w:t>ers on 19 October 2018. By then, asserted Shoprite Checkers</w:t>
      </w:r>
      <w:r w:rsidR="007C0B64" w:rsidRPr="00FE76A3">
        <w:rPr>
          <w:color w:val="242121"/>
          <w:sz w:val="28"/>
          <w:shd w:val="clear" w:color="auto" w:fill="FFFFFF"/>
          <w:lang w:val="en-ZA"/>
        </w:rPr>
        <w:t xml:space="preserve">, </w:t>
      </w:r>
      <w:r w:rsidR="005C5705" w:rsidRPr="00FE76A3">
        <w:rPr>
          <w:color w:val="242121"/>
          <w:sz w:val="28"/>
          <w:shd w:val="clear" w:color="auto" w:fill="FFFFFF"/>
          <w:lang w:val="en-ZA"/>
        </w:rPr>
        <w:t xml:space="preserve">the claim had prescribed, having prescribed on 2 February 2018. </w:t>
      </w:r>
    </w:p>
    <w:bookmarkEnd w:id="7"/>
    <w:p w14:paraId="7D0B2B2C" w14:textId="77777777" w:rsidR="0019494E" w:rsidRPr="00FE76A3" w:rsidRDefault="0019494E" w:rsidP="009B273B">
      <w:pPr>
        <w:tabs>
          <w:tab w:val="left" w:pos="284"/>
        </w:tabs>
        <w:rPr>
          <w:color w:val="242121"/>
          <w:sz w:val="28"/>
          <w:shd w:val="clear" w:color="auto" w:fill="FFFFFF"/>
          <w:lang w:val="en-ZA"/>
        </w:rPr>
      </w:pPr>
    </w:p>
    <w:p w14:paraId="5DA32C88" w14:textId="1546D7C1" w:rsidR="009C44C5" w:rsidRPr="00FE76A3" w:rsidRDefault="0019494E" w:rsidP="009B273B">
      <w:pPr>
        <w:tabs>
          <w:tab w:val="left" w:pos="284"/>
        </w:tabs>
        <w:rPr>
          <w:color w:val="242121"/>
          <w:sz w:val="28"/>
          <w:shd w:val="clear" w:color="auto" w:fill="FFFFFF"/>
          <w:lang w:val="en-ZA"/>
        </w:rPr>
      </w:pPr>
      <w:r w:rsidRPr="00FE76A3">
        <w:rPr>
          <w:b/>
          <w:color w:val="242121"/>
          <w:sz w:val="28"/>
          <w:shd w:val="clear" w:color="auto" w:fill="FFFFFF"/>
          <w:lang w:val="en-ZA"/>
        </w:rPr>
        <w:t>Has Ms Mkhwanazi’s impediment cease</w:t>
      </w:r>
      <w:r w:rsidR="003F6DA7" w:rsidRPr="00FE76A3">
        <w:rPr>
          <w:b/>
          <w:color w:val="242121"/>
          <w:sz w:val="28"/>
          <w:shd w:val="clear" w:color="auto" w:fill="FFFFFF"/>
          <w:lang w:val="en-ZA"/>
        </w:rPr>
        <w:t>d</w:t>
      </w:r>
      <w:r w:rsidRPr="00FE76A3">
        <w:rPr>
          <w:b/>
          <w:color w:val="242121"/>
          <w:sz w:val="28"/>
          <w:shd w:val="clear" w:color="auto" w:fill="FFFFFF"/>
          <w:lang w:val="en-ZA"/>
        </w:rPr>
        <w:t xml:space="preserve"> to exist?</w:t>
      </w:r>
    </w:p>
    <w:p w14:paraId="2E1ED8CD" w14:textId="13508384" w:rsidR="009C44C5" w:rsidRPr="00FE76A3" w:rsidRDefault="00AA2C08" w:rsidP="009B273B">
      <w:pPr>
        <w:tabs>
          <w:tab w:val="left" w:pos="284"/>
        </w:tabs>
        <w:rPr>
          <w:color w:val="242121"/>
          <w:sz w:val="28"/>
          <w:shd w:val="clear" w:color="auto" w:fill="FFFFFF"/>
          <w:lang w:val="en-ZA"/>
        </w:rPr>
      </w:pPr>
      <w:r w:rsidRPr="00FE76A3">
        <w:rPr>
          <w:color w:val="242121"/>
          <w:sz w:val="28"/>
          <w:shd w:val="clear" w:color="auto" w:fill="FFFFFF"/>
          <w:lang w:val="en-ZA"/>
        </w:rPr>
        <w:t>[</w:t>
      </w:r>
      <w:r w:rsidR="004B15BC" w:rsidRPr="00FE76A3">
        <w:rPr>
          <w:color w:val="242121"/>
          <w:sz w:val="28"/>
          <w:shd w:val="clear" w:color="auto" w:fill="FFFFFF"/>
          <w:lang w:val="en-ZA"/>
        </w:rPr>
        <w:t>29</w:t>
      </w:r>
      <w:r w:rsidR="009C44C5" w:rsidRPr="00FE76A3">
        <w:rPr>
          <w:color w:val="242121"/>
          <w:sz w:val="28"/>
          <w:shd w:val="clear" w:color="auto" w:fill="FFFFFF"/>
          <w:lang w:val="en-ZA"/>
        </w:rPr>
        <w:t>]</w:t>
      </w:r>
      <w:r w:rsidR="009C44C5" w:rsidRPr="00FE76A3">
        <w:rPr>
          <w:color w:val="242121"/>
          <w:sz w:val="28"/>
          <w:shd w:val="clear" w:color="auto" w:fill="FFFFFF"/>
          <w:lang w:val="en-ZA"/>
        </w:rPr>
        <w:tab/>
      </w:r>
      <w:r w:rsidR="0065486C" w:rsidRPr="00FE76A3">
        <w:rPr>
          <w:color w:val="242121"/>
          <w:sz w:val="28"/>
          <w:shd w:val="clear" w:color="auto" w:fill="FFFFFF"/>
          <w:lang w:val="en-ZA"/>
        </w:rPr>
        <w:t xml:space="preserve">Before I address the thrust of the argument advanced on behalf of Shoprite checkers, it is necessary to answer an anterior </w:t>
      </w:r>
      <w:r w:rsidR="003B5480">
        <w:rPr>
          <w:color w:val="242121"/>
          <w:sz w:val="28"/>
          <w:shd w:val="clear" w:color="auto" w:fill="FFFFFF"/>
          <w:lang w:val="en-ZA"/>
        </w:rPr>
        <w:t>question namely: whether Ms </w:t>
      </w:r>
      <w:r w:rsidR="00F86DF5" w:rsidRPr="00FE76A3">
        <w:rPr>
          <w:color w:val="242121"/>
          <w:sz w:val="28"/>
          <w:shd w:val="clear" w:color="auto" w:fill="FFFFFF"/>
          <w:lang w:val="en-ZA"/>
        </w:rPr>
        <w:t>Mkh</w:t>
      </w:r>
      <w:r w:rsidR="0065486C" w:rsidRPr="00FE76A3">
        <w:rPr>
          <w:color w:val="242121"/>
          <w:sz w:val="28"/>
          <w:shd w:val="clear" w:color="auto" w:fill="FFFFFF"/>
          <w:lang w:val="en-ZA"/>
        </w:rPr>
        <w:t>wanazi</w:t>
      </w:r>
      <w:r w:rsidR="00A44A01" w:rsidRPr="00FE76A3">
        <w:rPr>
          <w:color w:val="242121"/>
          <w:sz w:val="28"/>
          <w:shd w:val="clear" w:color="auto" w:fill="FFFFFF"/>
          <w:lang w:val="en-ZA"/>
        </w:rPr>
        <w:t xml:space="preserve">’s impediment has ceased to exist as contemplated in paragraph </w:t>
      </w:r>
      <w:r w:rsidR="003B5480">
        <w:rPr>
          <w:color w:val="242121"/>
          <w:sz w:val="28"/>
          <w:shd w:val="clear" w:color="auto" w:fill="FFFFFF"/>
          <w:lang w:val="en-ZA"/>
        </w:rPr>
        <w:t>(i) of s </w:t>
      </w:r>
      <w:r w:rsidR="00A44A01" w:rsidRPr="00FE76A3">
        <w:rPr>
          <w:color w:val="242121"/>
          <w:sz w:val="28"/>
          <w:shd w:val="clear" w:color="auto" w:fill="FFFFFF"/>
          <w:lang w:val="en-ZA"/>
        </w:rPr>
        <w:t>13(1).</w:t>
      </w:r>
      <w:r w:rsidR="0065486C" w:rsidRPr="00FE76A3">
        <w:rPr>
          <w:color w:val="242121"/>
          <w:sz w:val="28"/>
          <w:shd w:val="clear" w:color="auto" w:fill="FFFFFF"/>
          <w:lang w:val="en-ZA"/>
        </w:rPr>
        <w:t xml:space="preserve"> </w:t>
      </w:r>
      <w:r w:rsidR="009C44C5" w:rsidRPr="00FE76A3">
        <w:rPr>
          <w:color w:val="242121"/>
          <w:sz w:val="28"/>
          <w:shd w:val="clear" w:color="auto" w:fill="FFFFFF"/>
          <w:lang w:val="en-ZA"/>
        </w:rPr>
        <w:t xml:space="preserve">The word ‘creditor’ located in s 13(1) has nowhere been defined in the Prescription Act. Accordingly, counsel for Shoprite Checkers argued that its ordinary meaning should prevail. </w:t>
      </w:r>
      <w:r w:rsidR="008D5A51" w:rsidRPr="00FE76A3">
        <w:rPr>
          <w:color w:val="242121"/>
          <w:sz w:val="28"/>
          <w:shd w:val="clear" w:color="auto" w:fill="FFFFFF"/>
          <w:lang w:val="en-ZA"/>
        </w:rPr>
        <w:t xml:space="preserve">In the context of the facts of this case, counsel stressed, the word ‘creditor’ must be understood to be a reference to the person in whom the right to enforce the claim vests, ie Ms </w:t>
      </w:r>
      <w:r w:rsidR="001565E9" w:rsidRPr="00FE76A3">
        <w:rPr>
          <w:color w:val="242121"/>
          <w:sz w:val="28"/>
          <w:shd w:val="clear" w:color="auto" w:fill="FFFFFF"/>
          <w:lang w:val="en-ZA"/>
        </w:rPr>
        <w:t>Mkhwanazi</w:t>
      </w:r>
      <w:r w:rsidR="008D5A51" w:rsidRPr="00FE76A3">
        <w:rPr>
          <w:color w:val="242121"/>
          <w:sz w:val="28"/>
          <w:shd w:val="clear" w:color="auto" w:fill="FFFFFF"/>
          <w:lang w:val="en-ZA"/>
        </w:rPr>
        <w:t xml:space="preserve"> and not the curator. This argument must, in the view I take of the matter, falter as it contains seeds of its own destruction. </w:t>
      </w:r>
      <w:r w:rsidR="003B2599" w:rsidRPr="00FE76A3">
        <w:rPr>
          <w:color w:val="242121"/>
          <w:sz w:val="28"/>
          <w:shd w:val="clear" w:color="auto" w:fill="FFFFFF"/>
          <w:lang w:val="en-ZA"/>
        </w:rPr>
        <w:t xml:space="preserve">A simple example will illustrate this point. If Ms </w:t>
      </w:r>
      <w:r w:rsidR="001565E9" w:rsidRPr="00FE76A3">
        <w:rPr>
          <w:color w:val="242121"/>
          <w:sz w:val="28"/>
          <w:shd w:val="clear" w:color="auto" w:fill="FFFFFF"/>
          <w:lang w:val="en-ZA"/>
        </w:rPr>
        <w:t>Mkhwanazi</w:t>
      </w:r>
      <w:r w:rsidR="003B2599" w:rsidRPr="00FE76A3">
        <w:rPr>
          <w:color w:val="242121"/>
          <w:sz w:val="28"/>
          <w:shd w:val="clear" w:color="auto" w:fill="FFFFFF"/>
          <w:lang w:val="en-ZA"/>
        </w:rPr>
        <w:t xml:space="preserve"> is the creditor – as is indeed the case – she would have one year after the impediment referred to in s 13(1)</w:t>
      </w:r>
      <w:r w:rsidR="003B2599" w:rsidRPr="00FE76A3">
        <w:rPr>
          <w:i/>
          <w:color w:val="242121"/>
          <w:sz w:val="28"/>
          <w:shd w:val="clear" w:color="auto" w:fill="FFFFFF"/>
          <w:lang w:val="en-ZA"/>
        </w:rPr>
        <w:t>(a)</w:t>
      </w:r>
      <w:r w:rsidR="003B2599" w:rsidRPr="00FE76A3">
        <w:rPr>
          <w:color w:val="242121"/>
          <w:sz w:val="28"/>
          <w:shd w:val="clear" w:color="auto" w:fill="FFFFFF"/>
          <w:lang w:val="en-ZA"/>
        </w:rPr>
        <w:t xml:space="preserve"> ceases to exist within which to institute action in order to interrupt prescription. </w:t>
      </w:r>
    </w:p>
    <w:p w14:paraId="66E61A46" w14:textId="77777777" w:rsidR="003D608F" w:rsidRPr="00FE76A3" w:rsidRDefault="003D608F" w:rsidP="009B273B">
      <w:pPr>
        <w:tabs>
          <w:tab w:val="left" w:pos="284"/>
        </w:tabs>
        <w:rPr>
          <w:color w:val="242121"/>
          <w:sz w:val="28"/>
          <w:shd w:val="clear" w:color="auto" w:fill="FFFFFF"/>
          <w:lang w:val="en-ZA"/>
        </w:rPr>
      </w:pPr>
    </w:p>
    <w:p w14:paraId="58FF9FA3" w14:textId="0D31073B" w:rsidR="004928B2" w:rsidRPr="00FE76A3" w:rsidRDefault="003D608F" w:rsidP="009B273B">
      <w:pPr>
        <w:tabs>
          <w:tab w:val="left" w:pos="284"/>
        </w:tabs>
        <w:rPr>
          <w:color w:val="242121"/>
          <w:sz w:val="28"/>
          <w:shd w:val="clear" w:color="auto" w:fill="FFFFFF"/>
          <w:lang w:val="en-ZA"/>
        </w:rPr>
      </w:pPr>
      <w:r w:rsidRPr="00FE76A3">
        <w:rPr>
          <w:color w:val="242121"/>
          <w:sz w:val="28"/>
          <w:shd w:val="clear" w:color="auto" w:fill="FFFFFF"/>
          <w:lang w:val="en-ZA"/>
        </w:rPr>
        <w:t>[</w:t>
      </w:r>
      <w:r w:rsidR="004B15BC" w:rsidRPr="00FE76A3">
        <w:rPr>
          <w:color w:val="242121"/>
          <w:sz w:val="28"/>
          <w:shd w:val="clear" w:color="auto" w:fill="FFFFFF"/>
          <w:lang w:val="en-ZA"/>
        </w:rPr>
        <w:t>30</w:t>
      </w:r>
      <w:r w:rsidR="004928B2" w:rsidRPr="00FE76A3">
        <w:rPr>
          <w:color w:val="242121"/>
          <w:sz w:val="28"/>
          <w:shd w:val="clear" w:color="auto" w:fill="FFFFFF"/>
          <w:lang w:val="en-ZA"/>
        </w:rPr>
        <w:t>]</w:t>
      </w:r>
      <w:r w:rsidR="004928B2" w:rsidRPr="00FE76A3">
        <w:rPr>
          <w:color w:val="242121"/>
          <w:sz w:val="28"/>
          <w:shd w:val="clear" w:color="auto" w:fill="FFFFFF"/>
          <w:lang w:val="en-ZA"/>
        </w:rPr>
        <w:tab/>
        <w:t xml:space="preserve">This then raises the question as to whether the appointment of </w:t>
      </w:r>
      <w:r w:rsidR="00FA2FA7" w:rsidRPr="00FE76A3">
        <w:rPr>
          <w:color w:val="242121"/>
          <w:sz w:val="28"/>
          <w:shd w:val="clear" w:color="auto" w:fill="FFFFFF"/>
          <w:lang w:val="en-ZA"/>
        </w:rPr>
        <w:t>the curator resulted</w:t>
      </w:r>
      <w:r w:rsidR="004928B2" w:rsidRPr="00FE76A3">
        <w:rPr>
          <w:color w:val="242121"/>
          <w:sz w:val="28"/>
          <w:shd w:val="clear" w:color="auto" w:fill="FFFFFF"/>
          <w:lang w:val="en-ZA"/>
        </w:rPr>
        <w:t xml:space="preserve"> in the impediment</w:t>
      </w:r>
      <w:r w:rsidR="00BE40FE" w:rsidRPr="00FE76A3">
        <w:rPr>
          <w:color w:val="242121"/>
          <w:sz w:val="28"/>
          <w:shd w:val="clear" w:color="auto" w:fill="FFFFFF"/>
          <w:lang w:val="en-ZA"/>
        </w:rPr>
        <w:t xml:space="preserve"> </w:t>
      </w:r>
      <w:r w:rsidR="004928B2" w:rsidRPr="00FE76A3">
        <w:rPr>
          <w:color w:val="242121"/>
          <w:sz w:val="28"/>
          <w:shd w:val="clear" w:color="auto" w:fill="FFFFFF"/>
          <w:lang w:val="en-ZA"/>
        </w:rPr>
        <w:t xml:space="preserve">confronting Ms </w:t>
      </w:r>
      <w:r w:rsidR="001565E9" w:rsidRPr="00FE76A3">
        <w:rPr>
          <w:color w:val="242121"/>
          <w:sz w:val="28"/>
          <w:shd w:val="clear" w:color="auto" w:fill="FFFFFF"/>
          <w:lang w:val="en-ZA"/>
        </w:rPr>
        <w:t>Mkhwanazi</w:t>
      </w:r>
      <w:r w:rsidR="004928B2" w:rsidRPr="00FE76A3">
        <w:rPr>
          <w:color w:val="242121"/>
          <w:sz w:val="28"/>
          <w:shd w:val="clear" w:color="auto" w:fill="FFFFFF"/>
          <w:lang w:val="en-ZA"/>
        </w:rPr>
        <w:t xml:space="preserve">, qua creditor, to </w:t>
      </w:r>
      <w:r w:rsidR="00476E3B" w:rsidRPr="00FE76A3">
        <w:rPr>
          <w:color w:val="242121"/>
          <w:sz w:val="28"/>
          <w:shd w:val="clear" w:color="auto" w:fill="FFFFFF"/>
          <w:lang w:val="en-ZA"/>
        </w:rPr>
        <w:t>c</w:t>
      </w:r>
      <w:r w:rsidR="004928B2" w:rsidRPr="00FE76A3">
        <w:rPr>
          <w:color w:val="242121"/>
          <w:sz w:val="28"/>
          <w:shd w:val="clear" w:color="auto" w:fill="FFFFFF"/>
          <w:lang w:val="en-ZA"/>
        </w:rPr>
        <w:t>ease to exist. I think not. On the text of s 13(1)</w:t>
      </w:r>
      <w:r w:rsidR="004928B2" w:rsidRPr="00FE76A3">
        <w:rPr>
          <w:i/>
          <w:color w:val="242121"/>
          <w:sz w:val="28"/>
          <w:shd w:val="clear" w:color="auto" w:fill="FFFFFF"/>
          <w:lang w:val="en-ZA"/>
        </w:rPr>
        <w:t>(a)</w:t>
      </w:r>
      <w:r w:rsidR="004928B2" w:rsidRPr="00FE76A3">
        <w:rPr>
          <w:color w:val="242121"/>
          <w:sz w:val="28"/>
          <w:shd w:val="clear" w:color="auto" w:fill="FFFFFF"/>
          <w:lang w:val="en-ZA"/>
        </w:rPr>
        <w:t xml:space="preserve"> interpreted contextually and purposively</w:t>
      </w:r>
      <w:r w:rsidR="003B6E37" w:rsidRPr="00FE76A3">
        <w:rPr>
          <w:color w:val="242121"/>
          <w:sz w:val="28"/>
          <w:shd w:val="clear" w:color="auto" w:fill="FFFFFF"/>
          <w:lang w:val="en-ZA"/>
        </w:rPr>
        <w:t>,</w:t>
      </w:r>
      <w:r w:rsidR="004928B2" w:rsidRPr="00FE76A3">
        <w:rPr>
          <w:color w:val="242121"/>
          <w:sz w:val="28"/>
          <w:shd w:val="clear" w:color="auto" w:fill="FFFFFF"/>
          <w:lang w:val="en-ZA"/>
        </w:rPr>
        <w:t xml:space="preserve"> having regard to the general scheme of the Prescription Act,</w:t>
      </w:r>
      <w:r w:rsidR="00026FB9" w:rsidRPr="00FE76A3">
        <w:rPr>
          <w:color w:val="242121"/>
          <w:sz w:val="28"/>
          <w:shd w:val="clear" w:color="auto" w:fill="FFFFFF"/>
          <w:lang w:val="en-ZA"/>
        </w:rPr>
        <w:t xml:space="preserve"> Ms </w:t>
      </w:r>
      <w:r w:rsidR="001565E9" w:rsidRPr="00FE76A3">
        <w:rPr>
          <w:color w:val="242121"/>
          <w:sz w:val="28"/>
          <w:shd w:val="clear" w:color="auto" w:fill="FFFFFF"/>
          <w:lang w:val="en-ZA"/>
        </w:rPr>
        <w:t>Mkhwanazi</w:t>
      </w:r>
      <w:r w:rsidR="00026FB9" w:rsidRPr="00FE76A3">
        <w:rPr>
          <w:color w:val="242121"/>
          <w:sz w:val="28"/>
          <w:shd w:val="clear" w:color="auto" w:fill="FFFFFF"/>
          <w:lang w:val="en-ZA"/>
        </w:rPr>
        <w:t xml:space="preserve">’s mental or intellectual disability, disorder or incapacity persists to this very day. Indeed, counsel for Shoprite Checkers </w:t>
      </w:r>
      <w:r w:rsidR="000F3C60" w:rsidRPr="00FE76A3">
        <w:rPr>
          <w:color w:val="242121"/>
          <w:sz w:val="28"/>
          <w:shd w:val="clear" w:color="auto" w:fill="FFFFFF"/>
          <w:lang w:val="en-ZA"/>
        </w:rPr>
        <w:t>readily</w:t>
      </w:r>
      <w:r w:rsidR="00026FB9" w:rsidRPr="00FE76A3">
        <w:rPr>
          <w:color w:val="242121"/>
          <w:sz w:val="28"/>
          <w:shd w:val="clear" w:color="auto" w:fill="FFFFFF"/>
          <w:lang w:val="en-ZA"/>
        </w:rPr>
        <w:t xml:space="preserve"> acknowledged that from the day </w:t>
      </w:r>
      <w:r w:rsidR="003B6E37" w:rsidRPr="00FE76A3">
        <w:rPr>
          <w:color w:val="242121"/>
          <w:sz w:val="28"/>
          <w:shd w:val="clear" w:color="auto" w:fill="FFFFFF"/>
          <w:lang w:val="en-ZA"/>
        </w:rPr>
        <w:t xml:space="preserve">that </w:t>
      </w:r>
      <w:r w:rsidR="00026FB9" w:rsidRPr="00FE76A3">
        <w:rPr>
          <w:color w:val="242121"/>
          <w:sz w:val="28"/>
          <w:shd w:val="clear" w:color="auto" w:fill="FFFFFF"/>
          <w:lang w:val="en-ZA"/>
        </w:rPr>
        <w:lastRenderedPageBreak/>
        <w:t xml:space="preserve">Ms </w:t>
      </w:r>
      <w:r w:rsidR="001565E9" w:rsidRPr="00FE76A3">
        <w:rPr>
          <w:color w:val="242121"/>
          <w:sz w:val="28"/>
          <w:shd w:val="clear" w:color="auto" w:fill="FFFFFF"/>
          <w:lang w:val="en-ZA"/>
        </w:rPr>
        <w:t>Mkhwanazi</w:t>
      </w:r>
      <w:r w:rsidR="00026FB9" w:rsidRPr="00FE76A3">
        <w:rPr>
          <w:color w:val="242121"/>
          <w:sz w:val="28"/>
          <w:shd w:val="clear" w:color="auto" w:fill="FFFFFF"/>
          <w:lang w:val="en-ZA"/>
        </w:rPr>
        <w:t xml:space="preserve"> suffered severe </w:t>
      </w:r>
      <w:r w:rsidR="00424BD4" w:rsidRPr="00FE76A3">
        <w:rPr>
          <w:color w:val="242121"/>
          <w:sz w:val="28"/>
          <w:shd w:val="clear" w:color="auto" w:fill="FFFFFF"/>
          <w:lang w:val="en-ZA"/>
        </w:rPr>
        <w:t xml:space="preserve">head </w:t>
      </w:r>
      <w:r w:rsidR="00026FB9" w:rsidRPr="00FE76A3">
        <w:rPr>
          <w:color w:val="242121"/>
          <w:sz w:val="28"/>
          <w:shd w:val="clear" w:color="auto" w:fill="FFFFFF"/>
          <w:lang w:val="en-ZA"/>
        </w:rPr>
        <w:t>injuries to</w:t>
      </w:r>
      <w:r w:rsidR="000F3C60" w:rsidRPr="00FE76A3">
        <w:rPr>
          <w:color w:val="242121"/>
          <w:sz w:val="28"/>
          <w:shd w:val="clear" w:color="auto" w:fill="FFFFFF"/>
          <w:lang w:val="en-ZA"/>
        </w:rPr>
        <w:t xml:space="preserve"> date she lacks mental capacity, hence the appointment of a curator for her.</w:t>
      </w:r>
      <w:r w:rsidR="00026FB9" w:rsidRPr="00FE76A3">
        <w:rPr>
          <w:color w:val="242121"/>
          <w:sz w:val="28"/>
          <w:shd w:val="clear" w:color="auto" w:fill="FFFFFF"/>
          <w:lang w:val="en-ZA"/>
        </w:rPr>
        <w:t xml:space="preserve"> </w:t>
      </w:r>
    </w:p>
    <w:p w14:paraId="770DE0DF" w14:textId="1E1EA0A4" w:rsidR="005B7DEE" w:rsidRPr="00FE76A3" w:rsidRDefault="005B7DEE" w:rsidP="009B273B">
      <w:pPr>
        <w:tabs>
          <w:tab w:val="left" w:pos="284"/>
        </w:tabs>
        <w:rPr>
          <w:color w:val="242121"/>
          <w:sz w:val="28"/>
          <w:shd w:val="clear" w:color="auto" w:fill="FFFFFF"/>
          <w:lang w:val="en-ZA"/>
        </w:rPr>
      </w:pPr>
    </w:p>
    <w:p w14:paraId="18056C74" w14:textId="1E715FE8" w:rsidR="005B7DEE" w:rsidRPr="00FE76A3" w:rsidRDefault="00C509EF" w:rsidP="009B273B">
      <w:pPr>
        <w:tabs>
          <w:tab w:val="left" w:pos="284"/>
        </w:tabs>
        <w:rPr>
          <w:color w:val="242121"/>
          <w:sz w:val="28"/>
          <w:shd w:val="clear" w:color="auto" w:fill="FFFFFF"/>
          <w:lang w:val="en-ZA"/>
        </w:rPr>
      </w:pPr>
      <w:r w:rsidRPr="00FE76A3">
        <w:rPr>
          <w:color w:val="242121"/>
          <w:sz w:val="28"/>
          <w:shd w:val="clear" w:color="auto" w:fill="FFFFFF"/>
          <w:lang w:val="en-ZA"/>
        </w:rPr>
        <w:t>[</w:t>
      </w:r>
      <w:r w:rsidR="004B15BC" w:rsidRPr="00FE76A3">
        <w:rPr>
          <w:color w:val="242121"/>
          <w:sz w:val="28"/>
          <w:shd w:val="clear" w:color="auto" w:fill="FFFFFF"/>
          <w:lang w:val="en-ZA"/>
        </w:rPr>
        <w:t>31</w:t>
      </w:r>
      <w:r w:rsidR="005B7DEE" w:rsidRPr="00FE76A3">
        <w:rPr>
          <w:color w:val="242121"/>
          <w:sz w:val="28"/>
          <w:shd w:val="clear" w:color="auto" w:fill="FFFFFF"/>
          <w:lang w:val="en-ZA"/>
        </w:rPr>
        <w:t>]</w:t>
      </w:r>
      <w:r w:rsidR="005B7DEE" w:rsidRPr="00FE76A3">
        <w:rPr>
          <w:color w:val="242121"/>
          <w:sz w:val="28"/>
          <w:shd w:val="clear" w:color="auto" w:fill="FFFFFF"/>
          <w:lang w:val="en-ZA"/>
        </w:rPr>
        <w:tab/>
        <w:t xml:space="preserve">The impediment standing in the way of Ms </w:t>
      </w:r>
      <w:r w:rsidR="001565E9" w:rsidRPr="00FE76A3">
        <w:rPr>
          <w:color w:val="242121"/>
          <w:sz w:val="28"/>
          <w:shd w:val="clear" w:color="auto" w:fill="FFFFFF"/>
          <w:lang w:val="en-ZA"/>
        </w:rPr>
        <w:t>Mkhwanazi</w:t>
      </w:r>
      <w:r w:rsidR="005B7DEE" w:rsidRPr="00FE76A3">
        <w:rPr>
          <w:color w:val="242121"/>
          <w:sz w:val="28"/>
          <w:shd w:val="clear" w:color="auto" w:fill="FFFFFF"/>
          <w:lang w:val="en-ZA"/>
        </w:rPr>
        <w:t xml:space="preserve"> is her mental </w:t>
      </w:r>
      <w:r w:rsidR="000F3C60" w:rsidRPr="00FE76A3">
        <w:rPr>
          <w:color w:val="242121"/>
          <w:sz w:val="28"/>
          <w:shd w:val="clear" w:color="auto" w:fill="FFFFFF"/>
          <w:lang w:val="en-ZA"/>
        </w:rPr>
        <w:t xml:space="preserve">or </w:t>
      </w:r>
      <w:r w:rsidR="005B7DEE" w:rsidRPr="00FE76A3">
        <w:rPr>
          <w:color w:val="242121"/>
          <w:sz w:val="28"/>
          <w:shd w:val="clear" w:color="auto" w:fill="FFFFFF"/>
          <w:lang w:val="en-ZA"/>
        </w:rPr>
        <w:t>intellectual disability or incapacity. To my mind, the very fact that a curator was appointed to purs</w:t>
      </w:r>
      <w:r w:rsidR="00424BD4" w:rsidRPr="00FE76A3">
        <w:rPr>
          <w:color w:val="242121"/>
          <w:sz w:val="28"/>
          <w:shd w:val="clear" w:color="auto" w:fill="FFFFFF"/>
          <w:lang w:val="en-ZA"/>
        </w:rPr>
        <w:t>ue her claim</w:t>
      </w:r>
      <w:r w:rsidR="00D04FB1" w:rsidRPr="00FE76A3">
        <w:rPr>
          <w:color w:val="242121"/>
          <w:sz w:val="28"/>
          <w:shd w:val="clear" w:color="auto" w:fill="FFFFFF"/>
          <w:lang w:val="en-ZA"/>
        </w:rPr>
        <w:t>,</w:t>
      </w:r>
      <w:r w:rsidR="00424BD4" w:rsidRPr="00FE76A3">
        <w:rPr>
          <w:color w:val="242121"/>
          <w:sz w:val="28"/>
          <w:shd w:val="clear" w:color="auto" w:fill="FFFFFF"/>
          <w:lang w:val="en-ZA"/>
        </w:rPr>
        <w:t xml:space="preserve"> reinforces</w:t>
      </w:r>
      <w:r w:rsidRPr="00FE76A3">
        <w:rPr>
          <w:color w:val="242121"/>
          <w:sz w:val="28"/>
          <w:shd w:val="clear" w:color="auto" w:fill="FFFFFF"/>
          <w:lang w:val="en-ZA"/>
        </w:rPr>
        <w:t xml:space="preserve"> the proposition</w:t>
      </w:r>
      <w:r w:rsidR="005B7DEE" w:rsidRPr="00FE76A3">
        <w:rPr>
          <w:color w:val="242121"/>
          <w:sz w:val="28"/>
          <w:shd w:val="clear" w:color="auto" w:fill="FFFFFF"/>
          <w:lang w:val="en-ZA"/>
        </w:rPr>
        <w:t xml:space="preserve"> that she could not do so on her own. </w:t>
      </w:r>
      <w:r w:rsidR="00A00759" w:rsidRPr="00FE76A3">
        <w:rPr>
          <w:color w:val="242121"/>
          <w:sz w:val="28"/>
          <w:shd w:val="clear" w:color="auto" w:fill="FFFFFF"/>
          <w:lang w:val="en-ZA"/>
        </w:rPr>
        <w:t xml:space="preserve">Generally speaking, a person suffering from a mental or intellectual disability, disorder or incapacity is someone who is bereft of his or her senses and </w:t>
      </w:r>
      <w:r w:rsidR="00B13EC3" w:rsidRPr="00FE76A3">
        <w:rPr>
          <w:color w:val="242121"/>
          <w:sz w:val="28"/>
          <w:shd w:val="clear" w:color="auto" w:fill="FFFFFF"/>
          <w:lang w:val="en-ZA"/>
        </w:rPr>
        <w:t xml:space="preserve">can neither grasp the consequences of his or her acts nor make rational decisions. In </w:t>
      </w:r>
      <w:r w:rsidR="00BF2A4B" w:rsidRPr="00FE76A3">
        <w:rPr>
          <w:i/>
          <w:color w:val="242121"/>
          <w:sz w:val="28"/>
          <w:shd w:val="clear" w:color="auto" w:fill="FFFFFF"/>
          <w:lang w:val="en-ZA"/>
        </w:rPr>
        <w:t>Pheasant v Warne</w:t>
      </w:r>
      <w:r w:rsidR="003B6E37" w:rsidRPr="00FE76A3">
        <w:rPr>
          <w:i/>
          <w:color w:val="242121"/>
          <w:sz w:val="28"/>
          <w:shd w:val="clear" w:color="auto" w:fill="FFFFFF"/>
          <w:lang w:val="en-ZA"/>
        </w:rPr>
        <w:t>,</w:t>
      </w:r>
      <w:r w:rsidR="00BF2A4B" w:rsidRPr="00FE76A3">
        <w:rPr>
          <w:rStyle w:val="FootnoteReference"/>
          <w:color w:val="242121"/>
          <w:sz w:val="28"/>
          <w:shd w:val="clear" w:color="auto" w:fill="FFFFFF"/>
          <w:lang w:val="en-ZA"/>
        </w:rPr>
        <w:footnoteReference w:id="22"/>
      </w:r>
      <w:r w:rsidR="00BF2A4B" w:rsidRPr="00FE76A3">
        <w:rPr>
          <w:color w:val="242121"/>
          <w:sz w:val="28"/>
          <w:shd w:val="clear" w:color="auto" w:fill="FFFFFF"/>
          <w:lang w:val="en-ZA"/>
        </w:rPr>
        <w:t xml:space="preserve"> Innes CJ opined that the test was whether the person’s ‘mind was such that </w:t>
      </w:r>
      <w:r w:rsidR="00424BD4" w:rsidRPr="00FE76A3">
        <w:rPr>
          <w:color w:val="242121"/>
          <w:sz w:val="28"/>
          <w:shd w:val="clear" w:color="auto" w:fill="FFFFFF"/>
          <w:lang w:val="en-ZA"/>
        </w:rPr>
        <w:t xml:space="preserve">he or </w:t>
      </w:r>
      <w:r w:rsidR="00BF2A4B" w:rsidRPr="00FE76A3">
        <w:rPr>
          <w:color w:val="242121"/>
          <w:sz w:val="28"/>
          <w:shd w:val="clear" w:color="auto" w:fill="FFFFFF"/>
          <w:lang w:val="en-ZA"/>
        </w:rPr>
        <w:t>[she] could not understand and appreciate the transaction into which</w:t>
      </w:r>
      <w:r w:rsidR="00424BD4" w:rsidRPr="00FE76A3">
        <w:rPr>
          <w:color w:val="242121"/>
          <w:sz w:val="28"/>
          <w:shd w:val="clear" w:color="auto" w:fill="FFFFFF"/>
          <w:lang w:val="en-ZA"/>
        </w:rPr>
        <w:t xml:space="preserve"> he or</w:t>
      </w:r>
      <w:r w:rsidR="00BF2A4B" w:rsidRPr="00FE76A3">
        <w:rPr>
          <w:color w:val="242121"/>
          <w:sz w:val="28"/>
          <w:shd w:val="clear" w:color="auto" w:fill="FFFFFF"/>
          <w:lang w:val="en-ZA"/>
        </w:rPr>
        <w:t xml:space="preserve"> [she] purported to enter’</w:t>
      </w:r>
      <w:r w:rsidR="003B6E37" w:rsidRPr="00FE76A3">
        <w:rPr>
          <w:color w:val="242121"/>
          <w:sz w:val="28"/>
          <w:shd w:val="clear" w:color="auto" w:fill="FFFFFF"/>
          <w:lang w:val="en-ZA"/>
        </w:rPr>
        <w:t>.</w:t>
      </w:r>
      <w:r w:rsidR="00BF2A4B" w:rsidRPr="00FE76A3">
        <w:rPr>
          <w:color w:val="242121"/>
          <w:sz w:val="28"/>
          <w:shd w:val="clear" w:color="auto" w:fill="FFFFFF"/>
          <w:lang w:val="en-ZA"/>
        </w:rPr>
        <w:t xml:space="preserve"> In </w:t>
      </w:r>
      <w:r w:rsidR="00BF2A4B" w:rsidRPr="00FE76A3">
        <w:rPr>
          <w:i/>
          <w:color w:val="242121"/>
          <w:sz w:val="28"/>
          <w:shd w:val="clear" w:color="auto" w:fill="FFFFFF"/>
          <w:lang w:val="en-ZA"/>
        </w:rPr>
        <w:t>Lange v Lange</w:t>
      </w:r>
      <w:r w:rsidR="003B6E37" w:rsidRPr="00FE76A3">
        <w:rPr>
          <w:i/>
          <w:color w:val="242121"/>
          <w:sz w:val="28"/>
          <w:shd w:val="clear" w:color="auto" w:fill="FFFFFF"/>
          <w:lang w:val="en-ZA"/>
        </w:rPr>
        <w:t>,</w:t>
      </w:r>
      <w:r w:rsidR="00BF2A4B" w:rsidRPr="00FE76A3">
        <w:rPr>
          <w:rStyle w:val="FootnoteReference"/>
          <w:color w:val="242121"/>
          <w:sz w:val="28"/>
          <w:shd w:val="clear" w:color="auto" w:fill="FFFFFF"/>
          <w:lang w:val="en-ZA"/>
        </w:rPr>
        <w:footnoteReference w:id="23"/>
      </w:r>
      <w:r w:rsidR="007418B9" w:rsidRPr="00FE76A3">
        <w:rPr>
          <w:color w:val="242121"/>
          <w:sz w:val="28"/>
          <w:shd w:val="clear" w:color="auto" w:fill="FFFFFF"/>
          <w:lang w:val="en-ZA"/>
        </w:rPr>
        <w:t xml:space="preserve"> this Court went further and held that a person is mentally ill not only if he or she cannot understand the nature of the transaction in question, but also if he or she does not understand the consequences of his or her juristic acts but is motivated or influenced (in concluding such juristic acts) by delusions caused by mental illness.</w:t>
      </w:r>
    </w:p>
    <w:p w14:paraId="04A1CF70" w14:textId="1EDFD0FC" w:rsidR="007418B9" w:rsidRPr="00FE76A3" w:rsidRDefault="007418B9" w:rsidP="009B273B">
      <w:pPr>
        <w:tabs>
          <w:tab w:val="left" w:pos="284"/>
        </w:tabs>
        <w:rPr>
          <w:color w:val="242121"/>
          <w:sz w:val="28"/>
          <w:shd w:val="clear" w:color="auto" w:fill="FFFFFF"/>
          <w:lang w:val="en-ZA"/>
        </w:rPr>
      </w:pPr>
    </w:p>
    <w:p w14:paraId="0B611FFA" w14:textId="06D900DF" w:rsidR="007418B9" w:rsidRPr="00FE76A3" w:rsidRDefault="00C509EF" w:rsidP="009B273B">
      <w:pPr>
        <w:tabs>
          <w:tab w:val="left" w:pos="284"/>
        </w:tabs>
        <w:rPr>
          <w:color w:val="242121"/>
          <w:sz w:val="28"/>
          <w:shd w:val="clear" w:color="auto" w:fill="FFFFFF"/>
          <w:lang w:val="en-ZA"/>
        </w:rPr>
      </w:pPr>
      <w:r w:rsidRPr="00FE76A3">
        <w:rPr>
          <w:color w:val="242121"/>
          <w:sz w:val="28"/>
          <w:shd w:val="clear" w:color="auto" w:fill="FFFFFF"/>
          <w:lang w:val="en-ZA"/>
        </w:rPr>
        <w:t>[</w:t>
      </w:r>
      <w:r w:rsidR="004B15BC" w:rsidRPr="00FE76A3">
        <w:rPr>
          <w:color w:val="242121"/>
          <w:sz w:val="28"/>
          <w:shd w:val="clear" w:color="auto" w:fill="FFFFFF"/>
          <w:lang w:val="en-ZA"/>
        </w:rPr>
        <w:t>32</w:t>
      </w:r>
      <w:r w:rsidR="007418B9" w:rsidRPr="00FE76A3">
        <w:rPr>
          <w:color w:val="242121"/>
          <w:sz w:val="28"/>
          <w:shd w:val="clear" w:color="auto" w:fill="FFFFFF"/>
          <w:lang w:val="en-ZA"/>
        </w:rPr>
        <w:t>]</w:t>
      </w:r>
      <w:r w:rsidR="004C4588" w:rsidRPr="00FE76A3">
        <w:rPr>
          <w:color w:val="242121"/>
          <w:sz w:val="28"/>
          <w:shd w:val="clear" w:color="auto" w:fill="FFFFFF"/>
          <w:lang w:val="en-ZA"/>
        </w:rPr>
        <w:tab/>
        <w:t xml:space="preserve">It bears emphasising that a </w:t>
      </w:r>
      <w:r w:rsidR="004C4588" w:rsidRPr="00FE76A3">
        <w:rPr>
          <w:i/>
          <w:color w:val="242121"/>
          <w:sz w:val="28"/>
          <w:shd w:val="clear" w:color="auto" w:fill="FFFFFF"/>
          <w:lang w:val="en-ZA"/>
        </w:rPr>
        <w:t>curator ad litem</w:t>
      </w:r>
      <w:r w:rsidR="004C4588" w:rsidRPr="00FE76A3">
        <w:rPr>
          <w:color w:val="242121"/>
          <w:sz w:val="28"/>
          <w:shd w:val="clear" w:color="auto" w:fill="FFFFFF"/>
          <w:lang w:val="en-ZA"/>
        </w:rPr>
        <w:t xml:space="preserve"> is appointed for a person who is unable to manage his or her affairs. This is because such a person </w:t>
      </w:r>
      <w:r w:rsidR="00B95668" w:rsidRPr="00FE76A3">
        <w:rPr>
          <w:color w:val="242121"/>
          <w:sz w:val="28"/>
          <w:shd w:val="clear" w:color="auto" w:fill="FFFFFF"/>
          <w:lang w:val="en-ZA"/>
        </w:rPr>
        <w:t xml:space="preserve">lacks the capacity to act or litigate. The curator, as a result, concludes transactions and sues on behalf of the mentally incapacitated person. </w:t>
      </w:r>
      <w:r w:rsidR="00424BD4" w:rsidRPr="00FE76A3">
        <w:rPr>
          <w:color w:val="242121"/>
          <w:sz w:val="28"/>
          <w:shd w:val="clear" w:color="auto" w:fill="FFFFFF"/>
          <w:lang w:val="en-ZA"/>
        </w:rPr>
        <w:t>In the con</w:t>
      </w:r>
      <w:r w:rsidR="0061261B" w:rsidRPr="00FE76A3">
        <w:rPr>
          <w:color w:val="242121"/>
          <w:sz w:val="28"/>
          <w:shd w:val="clear" w:color="auto" w:fill="FFFFFF"/>
          <w:lang w:val="en-ZA"/>
        </w:rPr>
        <w:t>text of the facts of this case</w:t>
      </w:r>
      <w:r w:rsidR="00B95668" w:rsidRPr="00FE76A3">
        <w:rPr>
          <w:color w:val="242121"/>
          <w:sz w:val="28"/>
          <w:shd w:val="clear" w:color="auto" w:fill="FFFFFF"/>
          <w:lang w:val="en-ZA"/>
        </w:rPr>
        <w:t>, the appointment of the</w:t>
      </w:r>
      <w:r w:rsidR="00B95668" w:rsidRPr="00FE76A3">
        <w:rPr>
          <w:i/>
          <w:color w:val="242121"/>
          <w:sz w:val="28"/>
          <w:shd w:val="clear" w:color="auto" w:fill="FFFFFF"/>
          <w:lang w:val="en-ZA"/>
        </w:rPr>
        <w:t xml:space="preserve"> curator ad litem</w:t>
      </w:r>
      <w:r w:rsidR="00B95668" w:rsidRPr="00FE76A3">
        <w:rPr>
          <w:color w:val="242121"/>
          <w:sz w:val="28"/>
          <w:shd w:val="clear" w:color="auto" w:fill="FFFFFF"/>
          <w:lang w:val="en-ZA"/>
        </w:rPr>
        <w:t xml:space="preserve"> was the consequence of Ms </w:t>
      </w:r>
      <w:r w:rsidR="001565E9" w:rsidRPr="00FE76A3">
        <w:rPr>
          <w:color w:val="242121"/>
          <w:sz w:val="28"/>
          <w:shd w:val="clear" w:color="auto" w:fill="FFFFFF"/>
          <w:lang w:val="en-ZA"/>
        </w:rPr>
        <w:t>Mkhwanazi</w:t>
      </w:r>
      <w:r w:rsidR="00B95668" w:rsidRPr="00FE76A3">
        <w:rPr>
          <w:color w:val="242121"/>
          <w:sz w:val="28"/>
          <w:shd w:val="clear" w:color="auto" w:fill="FFFFFF"/>
          <w:lang w:val="en-ZA"/>
        </w:rPr>
        <w:t>’s mental or intellectual incapacity, disorder or disability following her freak accident whi</w:t>
      </w:r>
      <w:r w:rsidR="0061261B" w:rsidRPr="00FE76A3">
        <w:rPr>
          <w:color w:val="242121"/>
          <w:sz w:val="28"/>
          <w:shd w:val="clear" w:color="auto" w:fill="FFFFFF"/>
          <w:lang w:val="en-ZA"/>
        </w:rPr>
        <w:t>lst on duty in Shoprite Checker</w:t>
      </w:r>
      <w:r w:rsidR="00B95668" w:rsidRPr="00FE76A3">
        <w:rPr>
          <w:color w:val="242121"/>
          <w:sz w:val="28"/>
          <w:shd w:val="clear" w:color="auto" w:fill="FFFFFF"/>
          <w:lang w:val="en-ZA"/>
        </w:rPr>
        <w:t>s shop floor.</w:t>
      </w:r>
    </w:p>
    <w:p w14:paraId="5E5FF34C" w14:textId="12D2240A" w:rsidR="003A37CD" w:rsidRPr="00FE76A3" w:rsidRDefault="00C509EF" w:rsidP="009B273B">
      <w:pPr>
        <w:tabs>
          <w:tab w:val="left" w:pos="284"/>
        </w:tabs>
        <w:rPr>
          <w:color w:val="242121"/>
          <w:sz w:val="28"/>
          <w:shd w:val="clear" w:color="auto" w:fill="FFFFFF"/>
          <w:lang w:val="en-ZA"/>
        </w:rPr>
      </w:pPr>
      <w:r w:rsidRPr="00FE76A3">
        <w:rPr>
          <w:color w:val="242121"/>
          <w:sz w:val="28"/>
          <w:shd w:val="clear" w:color="auto" w:fill="FFFFFF"/>
          <w:lang w:val="en-ZA"/>
        </w:rPr>
        <w:lastRenderedPageBreak/>
        <w:t>[</w:t>
      </w:r>
      <w:r w:rsidR="004B15BC" w:rsidRPr="00FE76A3">
        <w:rPr>
          <w:color w:val="242121"/>
          <w:sz w:val="28"/>
          <w:shd w:val="clear" w:color="auto" w:fill="FFFFFF"/>
          <w:lang w:val="en-ZA"/>
        </w:rPr>
        <w:t>33</w:t>
      </w:r>
      <w:r w:rsidR="003A37CD" w:rsidRPr="00FE76A3">
        <w:rPr>
          <w:color w:val="242121"/>
          <w:sz w:val="28"/>
          <w:shd w:val="clear" w:color="auto" w:fill="FFFFFF"/>
          <w:lang w:val="en-ZA"/>
        </w:rPr>
        <w:t>]</w:t>
      </w:r>
      <w:r w:rsidR="003A37CD" w:rsidRPr="00FE76A3">
        <w:rPr>
          <w:color w:val="242121"/>
          <w:sz w:val="28"/>
          <w:shd w:val="clear" w:color="auto" w:fill="FFFFFF"/>
          <w:lang w:val="en-ZA"/>
        </w:rPr>
        <w:tab/>
        <w:t xml:space="preserve">Accordingly, </w:t>
      </w:r>
      <w:r w:rsidR="00740533" w:rsidRPr="00FE76A3">
        <w:rPr>
          <w:color w:val="242121"/>
          <w:sz w:val="28"/>
          <w:shd w:val="clear" w:color="auto" w:fill="FFFFFF"/>
          <w:lang w:val="en-ZA"/>
        </w:rPr>
        <w:t xml:space="preserve">if </w:t>
      </w:r>
      <w:r w:rsidR="003A37CD" w:rsidRPr="00FE76A3">
        <w:rPr>
          <w:color w:val="242121"/>
          <w:sz w:val="28"/>
          <w:shd w:val="clear" w:color="auto" w:fill="FFFFFF"/>
          <w:lang w:val="en-ZA"/>
        </w:rPr>
        <w:t xml:space="preserve">the creditor is </w:t>
      </w:r>
      <w:r w:rsidRPr="00FE76A3">
        <w:rPr>
          <w:color w:val="242121"/>
          <w:sz w:val="28"/>
          <w:shd w:val="clear" w:color="auto" w:fill="FFFFFF"/>
          <w:lang w:val="en-ZA"/>
        </w:rPr>
        <w:t xml:space="preserve">for example </w:t>
      </w:r>
      <w:r w:rsidR="003A37CD" w:rsidRPr="00FE76A3">
        <w:rPr>
          <w:color w:val="242121"/>
          <w:sz w:val="28"/>
          <w:shd w:val="clear" w:color="auto" w:fill="FFFFFF"/>
          <w:lang w:val="en-ZA"/>
        </w:rPr>
        <w:t xml:space="preserve">a </w:t>
      </w:r>
      <w:r w:rsidR="00740533" w:rsidRPr="00FE76A3">
        <w:rPr>
          <w:color w:val="242121"/>
          <w:sz w:val="28"/>
          <w:shd w:val="clear" w:color="auto" w:fill="FFFFFF"/>
          <w:lang w:val="en-ZA"/>
        </w:rPr>
        <w:t xml:space="preserve">minor, the impediment will cease to exist only when the creditor attains majority and acquires full legal capacity. In the case of a creditor who is under curatorship, the impediment </w:t>
      </w:r>
      <w:r w:rsidR="00A41D3A" w:rsidRPr="00FE76A3">
        <w:rPr>
          <w:color w:val="242121"/>
          <w:sz w:val="28"/>
          <w:shd w:val="clear" w:color="auto" w:fill="FFFFFF"/>
          <w:lang w:val="en-ZA"/>
        </w:rPr>
        <w:t>comes about onc</w:t>
      </w:r>
      <w:r w:rsidR="0061261B" w:rsidRPr="00FE76A3">
        <w:rPr>
          <w:color w:val="242121"/>
          <w:sz w:val="28"/>
          <w:shd w:val="clear" w:color="auto" w:fill="FFFFFF"/>
          <w:lang w:val="en-ZA"/>
        </w:rPr>
        <w:t xml:space="preserve">e the curator takes office. Such an </w:t>
      </w:r>
      <w:r w:rsidR="00A41D3A" w:rsidRPr="00FE76A3">
        <w:rPr>
          <w:color w:val="242121"/>
          <w:sz w:val="28"/>
          <w:shd w:val="clear" w:color="auto" w:fill="FFFFFF"/>
          <w:lang w:val="en-ZA"/>
        </w:rPr>
        <w:t xml:space="preserve">impediment will therefore cease to exist only when the curatorship comes to an end. </w:t>
      </w:r>
      <w:r w:rsidR="00CB454C" w:rsidRPr="00FE76A3">
        <w:rPr>
          <w:color w:val="242121"/>
          <w:sz w:val="28"/>
          <w:shd w:val="clear" w:color="auto" w:fill="FFFFFF"/>
          <w:lang w:val="en-ZA"/>
        </w:rPr>
        <w:t xml:space="preserve">How, then, one may ask, with respect to a creditor who is suffering from mental incapacity, disability or disorder – as is the case with Ms </w:t>
      </w:r>
      <w:r w:rsidR="001565E9" w:rsidRPr="00FE76A3">
        <w:rPr>
          <w:color w:val="242121"/>
          <w:sz w:val="28"/>
          <w:shd w:val="clear" w:color="auto" w:fill="FFFFFF"/>
          <w:lang w:val="en-ZA"/>
        </w:rPr>
        <w:t>Mkhwanazi</w:t>
      </w:r>
      <w:r w:rsidR="00CB454C" w:rsidRPr="00FE76A3">
        <w:rPr>
          <w:color w:val="242121"/>
          <w:sz w:val="28"/>
          <w:shd w:val="clear" w:color="auto" w:fill="FFFFFF"/>
          <w:lang w:val="en-ZA"/>
        </w:rPr>
        <w:t xml:space="preserve"> – can it be said that in his or her</w:t>
      </w:r>
      <w:r w:rsidRPr="00FE76A3">
        <w:rPr>
          <w:color w:val="242121"/>
          <w:sz w:val="28"/>
          <w:shd w:val="clear" w:color="auto" w:fill="FFFFFF"/>
          <w:lang w:val="en-ZA"/>
        </w:rPr>
        <w:t xml:space="preserve"> situation the impediment cease</w:t>
      </w:r>
      <w:r w:rsidR="001769AE" w:rsidRPr="00FE76A3">
        <w:rPr>
          <w:color w:val="242121"/>
          <w:sz w:val="28"/>
          <w:shd w:val="clear" w:color="auto" w:fill="FFFFFF"/>
          <w:lang w:val="en-ZA"/>
        </w:rPr>
        <w:t>s</w:t>
      </w:r>
      <w:r w:rsidR="00CB454C" w:rsidRPr="00FE76A3">
        <w:rPr>
          <w:color w:val="242121"/>
          <w:sz w:val="28"/>
          <w:shd w:val="clear" w:color="auto" w:fill="FFFFFF"/>
          <w:lang w:val="en-ZA"/>
        </w:rPr>
        <w:t xml:space="preserve"> to exist when the </w:t>
      </w:r>
      <w:r w:rsidR="00CB454C" w:rsidRPr="00FE76A3">
        <w:rPr>
          <w:i/>
          <w:color w:val="242121"/>
          <w:sz w:val="28"/>
          <w:shd w:val="clear" w:color="auto" w:fill="FFFFFF"/>
          <w:lang w:val="en-ZA"/>
        </w:rPr>
        <w:t>curator ad litem</w:t>
      </w:r>
      <w:r w:rsidR="00CB454C" w:rsidRPr="00FE76A3">
        <w:rPr>
          <w:color w:val="242121"/>
          <w:sz w:val="28"/>
          <w:shd w:val="clear" w:color="auto" w:fill="FFFFFF"/>
          <w:lang w:val="en-ZA"/>
        </w:rPr>
        <w:t xml:space="preserve"> </w:t>
      </w:r>
      <w:r w:rsidR="0061261B" w:rsidRPr="00FE76A3">
        <w:rPr>
          <w:color w:val="242121"/>
          <w:sz w:val="28"/>
          <w:shd w:val="clear" w:color="auto" w:fill="FFFFFF"/>
          <w:lang w:val="en-ZA"/>
        </w:rPr>
        <w:t>is</w:t>
      </w:r>
      <w:r w:rsidR="003B3F65" w:rsidRPr="00FE76A3">
        <w:rPr>
          <w:color w:val="242121"/>
          <w:sz w:val="28"/>
          <w:shd w:val="clear" w:color="auto" w:fill="FFFFFF"/>
          <w:lang w:val="en-ZA"/>
        </w:rPr>
        <w:t xml:space="preserve"> appointed despite the fact that the creditor himself or herself – in this instance Ms </w:t>
      </w:r>
      <w:r w:rsidR="001565E9" w:rsidRPr="00FE76A3">
        <w:rPr>
          <w:color w:val="242121"/>
          <w:sz w:val="28"/>
          <w:shd w:val="clear" w:color="auto" w:fill="FFFFFF"/>
          <w:lang w:val="en-ZA"/>
        </w:rPr>
        <w:t>Mkhwanazi</w:t>
      </w:r>
      <w:r w:rsidR="003B3F65" w:rsidRPr="00FE76A3">
        <w:rPr>
          <w:color w:val="242121"/>
          <w:sz w:val="28"/>
          <w:shd w:val="clear" w:color="auto" w:fill="FFFFFF"/>
          <w:lang w:val="en-ZA"/>
        </w:rPr>
        <w:t xml:space="preserve"> – is still afflicted by mental incapacity or disability. Section 13(1)</w:t>
      </w:r>
      <w:r w:rsidR="003B3F65" w:rsidRPr="00FE76A3">
        <w:rPr>
          <w:i/>
          <w:color w:val="242121"/>
          <w:sz w:val="28"/>
          <w:shd w:val="clear" w:color="auto" w:fill="FFFFFF"/>
          <w:lang w:val="en-ZA"/>
        </w:rPr>
        <w:t>(a)</w:t>
      </w:r>
      <w:r w:rsidR="003B3F65" w:rsidRPr="00FE76A3">
        <w:rPr>
          <w:color w:val="242121"/>
          <w:sz w:val="28"/>
          <w:shd w:val="clear" w:color="auto" w:fill="FFFFFF"/>
          <w:lang w:val="en-ZA"/>
        </w:rPr>
        <w:t xml:space="preserve"> could not be clearer. It explicitly provides that apart from mental or intellectual disability, disorder or incapacity</w:t>
      </w:r>
      <w:r w:rsidR="001769AE" w:rsidRPr="00FE76A3">
        <w:rPr>
          <w:color w:val="242121"/>
          <w:sz w:val="28"/>
          <w:shd w:val="clear" w:color="auto" w:fill="FFFFFF"/>
          <w:lang w:val="en-ZA"/>
        </w:rPr>
        <w:t>,</w:t>
      </w:r>
      <w:r w:rsidR="003B3F65" w:rsidRPr="00FE76A3">
        <w:rPr>
          <w:color w:val="242121"/>
          <w:sz w:val="28"/>
          <w:shd w:val="clear" w:color="auto" w:fill="FFFFFF"/>
          <w:lang w:val="en-ZA"/>
        </w:rPr>
        <w:t xml:space="preserve"> a creditor under curatorship falls within the category of creditors who are subject to the provisions of s 13(1), meaning that </w:t>
      </w:r>
      <w:r w:rsidR="00CB6130" w:rsidRPr="00FE76A3">
        <w:rPr>
          <w:color w:val="242121"/>
          <w:sz w:val="28"/>
          <w:shd w:val="clear" w:color="auto" w:fill="FFFFFF"/>
          <w:lang w:val="en-ZA"/>
        </w:rPr>
        <w:t>the completion of the relevant period of prescription would not occur before a year has elapsed after the date on which the impediment referred to in s 13(1)</w:t>
      </w:r>
      <w:r w:rsidR="00CB6130" w:rsidRPr="00FE76A3">
        <w:rPr>
          <w:i/>
          <w:color w:val="242121"/>
          <w:sz w:val="28"/>
          <w:shd w:val="clear" w:color="auto" w:fill="FFFFFF"/>
          <w:lang w:val="en-ZA"/>
        </w:rPr>
        <w:t>(i)</w:t>
      </w:r>
      <w:r w:rsidR="00CB6130" w:rsidRPr="00FE76A3">
        <w:rPr>
          <w:color w:val="242121"/>
          <w:sz w:val="28"/>
          <w:shd w:val="clear" w:color="auto" w:fill="FFFFFF"/>
          <w:lang w:val="en-ZA"/>
        </w:rPr>
        <w:t xml:space="preserve"> </w:t>
      </w:r>
      <w:r w:rsidR="0061261B" w:rsidRPr="00FE76A3">
        <w:rPr>
          <w:color w:val="242121"/>
          <w:sz w:val="28"/>
          <w:shd w:val="clear" w:color="auto" w:fill="FFFFFF"/>
          <w:lang w:val="en-ZA"/>
        </w:rPr>
        <w:t>ceases</w:t>
      </w:r>
      <w:r w:rsidR="00EE4DEE" w:rsidRPr="00FE76A3">
        <w:rPr>
          <w:color w:val="242121"/>
          <w:sz w:val="28"/>
          <w:shd w:val="clear" w:color="auto" w:fill="FFFFFF"/>
          <w:lang w:val="en-ZA"/>
        </w:rPr>
        <w:t xml:space="preserve"> </w:t>
      </w:r>
      <w:r w:rsidR="00CB6130" w:rsidRPr="00FE76A3">
        <w:rPr>
          <w:color w:val="242121"/>
          <w:sz w:val="28"/>
          <w:shd w:val="clear" w:color="auto" w:fill="FFFFFF"/>
          <w:lang w:val="en-ZA"/>
        </w:rPr>
        <w:t xml:space="preserve">to exist. Simply put, </w:t>
      </w:r>
      <w:bookmarkStart w:id="8" w:name="_Hlk125456216"/>
      <w:r w:rsidR="00CB6130" w:rsidRPr="00FE76A3">
        <w:rPr>
          <w:color w:val="242121"/>
          <w:sz w:val="28"/>
          <w:shd w:val="clear" w:color="auto" w:fill="FFFFFF"/>
          <w:lang w:val="en-ZA"/>
        </w:rPr>
        <w:t xml:space="preserve">the completion of the relevant period of prescription would not occur for as long as the impediment persists. </w:t>
      </w:r>
      <w:r w:rsidR="00676D21" w:rsidRPr="00FE76A3">
        <w:rPr>
          <w:color w:val="242121"/>
          <w:sz w:val="28"/>
          <w:shd w:val="clear" w:color="auto" w:fill="FFFFFF"/>
          <w:lang w:val="en-ZA"/>
        </w:rPr>
        <w:t xml:space="preserve">For completeness, it bears emphasising that placing a person under curatorship is in itself an impediment and does </w:t>
      </w:r>
      <w:r w:rsidR="005A0C39" w:rsidRPr="00FE76A3">
        <w:rPr>
          <w:color w:val="242121"/>
          <w:sz w:val="28"/>
          <w:shd w:val="clear" w:color="auto" w:fill="FFFFFF"/>
          <w:lang w:val="en-ZA"/>
        </w:rPr>
        <w:t>not</w:t>
      </w:r>
      <w:r w:rsidR="00676D21" w:rsidRPr="00FE76A3">
        <w:rPr>
          <w:color w:val="242121"/>
          <w:sz w:val="28"/>
          <w:shd w:val="clear" w:color="auto" w:fill="FFFFFF"/>
          <w:lang w:val="en-ZA"/>
        </w:rPr>
        <w:t xml:space="preserve"> bring about a cessation of an impediment as Shoprite Checkers </w:t>
      </w:r>
      <w:r w:rsidR="005A0C39" w:rsidRPr="00FE76A3">
        <w:rPr>
          <w:color w:val="242121"/>
          <w:sz w:val="28"/>
          <w:shd w:val="clear" w:color="auto" w:fill="FFFFFF"/>
          <w:lang w:val="en-ZA"/>
        </w:rPr>
        <w:t xml:space="preserve">would have it. </w:t>
      </w:r>
    </w:p>
    <w:bookmarkEnd w:id="8"/>
    <w:p w14:paraId="1F7538EA" w14:textId="22240A06" w:rsidR="005A0C39" w:rsidRPr="00FE76A3" w:rsidRDefault="005A0C39" w:rsidP="009B273B">
      <w:pPr>
        <w:tabs>
          <w:tab w:val="left" w:pos="284"/>
        </w:tabs>
        <w:rPr>
          <w:color w:val="242121"/>
          <w:sz w:val="28"/>
          <w:shd w:val="clear" w:color="auto" w:fill="FFFFFF"/>
          <w:lang w:val="en-ZA"/>
        </w:rPr>
      </w:pPr>
    </w:p>
    <w:p w14:paraId="1C9F1B42" w14:textId="088AE078" w:rsidR="005A0C39" w:rsidRPr="00FE76A3" w:rsidRDefault="00C509EF" w:rsidP="009B273B">
      <w:pPr>
        <w:tabs>
          <w:tab w:val="left" w:pos="284"/>
        </w:tabs>
        <w:rPr>
          <w:color w:val="242121"/>
          <w:sz w:val="28"/>
          <w:shd w:val="clear" w:color="auto" w:fill="FFFFFF"/>
          <w:lang w:val="en-ZA"/>
        </w:rPr>
      </w:pPr>
      <w:r w:rsidRPr="00FE76A3">
        <w:rPr>
          <w:color w:val="242121"/>
          <w:sz w:val="28"/>
          <w:shd w:val="clear" w:color="auto" w:fill="FFFFFF"/>
          <w:lang w:val="en-ZA"/>
        </w:rPr>
        <w:t>[</w:t>
      </w:r>
      <w:r w:rsidR="004B15BC" w:rsidRPr="00FE76A3">
        <w:rPr>
          <w:color w:val="242121"/>
          <w:sz w:val="28"/>
          <w:shd w:val="clear" w:color="auto" w:fill="FFFFFF"/>
          <w:lang w:val="en-ZA"/>
        </w:rPr>
        <w:t>34</w:t>
      </w:r>
      <w:r w:rsidR="005A0C39" w:rsidRPr="00FE76A3">
        <w:rPr>
          <w:color w:val="242121"/>
          <w:sz w:val="28"/>
          <w:shd w:val="clear" w:color="auto" w:fill="FFFFFF"/>
          <w:lang w:val="en-ZA"/>
        </w:rPr>
        <w:t>]</w:t>
      </w:r>
      <w:r w:rsidR="005A0C39" w:rsidRPr="00FE76A3">
        <w:rPr>
          <w:color w:val="242121"/>
          <w:sz w:val="28"/>
          <w:shd w:val="clear" w:color="auto" w:fill="FFFFFF"/>
          <w:lang w:val="en-ZA"/>
        </w:rPr>
        <w:tab/>
        <w:t xml:space="preserve">It is common cause between the protagonists that Ms </w:t>
      </w:r>
      <w:r w:rsidR="001565E9" w:rsidRPr="00FE76A3">
        <w:rPr>
          <w:color w:val="242121"/>
          <w:sz w:val="28"/>
          <w:shd w:val="clear" w:color="auto" w:fill="FFFFFF"/>
          <w:lang w:val="en-ZA"/>
        </w:rPr>
        <w:t>Mkhwanazi</w:t>
      </w:r>
      <w:r w:rsidR="005A0C39" w:rsidRPr="00FE76A3">
        <w:rPr>
          <w:color w:val="242121"/>
          <w:sz w:val="28"/>
          <w:shd w:val="clear" w:color="auto" w:fill="FFFFFF"/>
          <w:lang w:val="en-ZA"/>
        </w:rPr>
        <w:t xml:space="preserve"> is still suffering from debilitating mental incapacity. </w:t>
      </w:r>
      <w:r w:rsidR="00F72845" w:rsidRPr="00FE76A3">
        <w:rPr>
          <w:color w:val="242121"/>
          <w:sz w:val="28"/>
          <w:shd w:val="clear" w:color="auto" w:fill="FFFFFF"/>
          <w:lang w:val="en-ZA"/>
        </w:rPr>
        <w:t xml:space="preserve">And </w:t>
      </w:r>
      <w:r w:rsidR="009E006C" w:rsidRPr="00FE76A3">
        <w:rPr>
          <w:color w:val="242121"/>
          <w:sz w:val="28"/>
          <w:shd w:val="clear" w:color="auto" w:fill="FFFFFF"/>
          <w:lang w:val="en-ZA"/>
        </w:rPr>
        <w:t xml:space="preserve">to </w:t>
      </w:r>
      <w:r w:rsidR="00F72845" w:rsidRPr="00FE76A3">
        <w:rPr>
          <w:color w:val="242121"/>
          <w:sz w:val="28"/>
          <w:shd w:val="clear" w:color="auto" w:fill="FFFFFF"/>
          <w:lang w:val="en-ZA"/>
        </w:rPr>
        <w:t xml:space="preserve">all intents and purposes, she has lost all vital amenities of life for her to have any meaningful life. Also, the parties are agreed that the mental incapacity by which she is afflicted is of a permanent nature. Thus, there can be no doubt that if her claim is successfully prosecuted she would require a </w:t>
      </w:r>
      <w:r w:rsidR="00F72845" w:rsidRPr="00FE76A3">
        <w:rPr>
          <w:i/>
          <w:color w:val="242121"/>
          <w:sz w:val="28"/>
          <w:shd w:val="clear" w:color="auto" w:fill="FFFFFF"/>
          <w:lang w:val="en-ZA"/>
        </w:rPr>
        <w:t>curator bonis</w:t>
      </w:r>
      <w:r w:rsidR="00F72845" w:rsidRPr="00FE76A3">
        <w:rPr>
          <w:color w:val="242121"/>
          <w:sz w:val="28"/>
          <w:shd w:val="clear" w:color="auto" w:fill="FFFFFF"/>
          <w:lang w:val="en-ZA"/>
        </w:rPr>
        <w:t xml:space="preserve"> to be appointed to look after the proceeds of her claim. </w:t>
      </w:r>
      <w:r w:rsidR="00F72845" w:rsidRPr="00FE76A3">
        <w:rPr>
          <w:color w:val="242121"/>
          <w:sz w:val="28"/>
          <w:shd w:val="clear" w:color="auto" w:fill="FFFFFF"/>
          <w:lang w:val="en-ZA"/>
        </w:rPr>
        <w:lastRenderedPageBreak/>
        <w:t>Hence, on 1 February 2017, as previously mentioned</w:t>
      </w:r>
      <w:r w:rsidR="00477A3E" w:rsidRPr="00FE76A3">
        <w:rPr>
          <w:color w:val="242121"/>
          <w:sz w:val="28"/>
          <w:shd w:val="clear" w:color="auto" w:fill="FFFFFF"/>
          <w:lang w:val="en-ZA"/>
        </w:rPr>
        <w:t>,</w:t>
      </w:r>
      <w:r w:rsidR="00F72845" w:rsidRPr="00FE76A3">
        <w:rPr>
          <w:color w:val="242121"/>
          <w:sz w:val="28"/>
          <w:shd w:val="clear" w:color="auto" w:fill="FFFFFF"/>
          <w:lang w:val="en-ZA"/>
        </w:rPr>
        <w:t xml:space="preserve"> Mr</w:t>
      </w:r>
      <w:r w:rsidR="00561F72" w:rsidRPr="00FE76A3">
        <w:rPr>
          <w:color w:val="242121"/>
          <w:sz w:val="28"/>
          <w:shd w:val="clear" w:color="auto" w:fill="FFFFFF"/>
          <w:lang w:val="en-ZA"/>
        </w:rPr>
        <w:t> </w:t>
      </w:r>
      <w:r w:rsidR="00F72845" w:rsidRPr="00FE76A3">
        <w:rPr>
          <w:color w:val="242121"/>
          <w:sz w:val="28"/>
          <w:shd w:val="clear" w:color="auto" w:fill="FFFFFF"/>
          <w:lang w:val="en-ZA"/>
        </w:rPr>
        <w:t xml:space="preserve">Mafate was appointed as </w:t>
      </w:r>
      <w:r w:rsidR="00F72845" w:rsidRPr="00FE76A3">
        <w:rPr>
          <w:i/>
          <w:color w:val="242121"/>
          <w:sz w:val="28"/>
          <w:shd w:val="clear" w:color="auto" w:fill="FFFFFF"/>
          <w:lang w:val="en-ZA"/>
        </w:rPr>
        <w:t>curator ad litem</w:t>
      </w:r>
      <w:r w:rsidR="00F72845" w:rsidRPr="00FE76A3">
        <w:rPr>
          <w:color w:val="242121"/>
          <w:sz w:val="28"/>
          <w:shd w:val="clear" w:color="auto" w:fill="FFFFFF"/>
          <w:lang w:val="en-ZA"/>
        </w:rPr>
        <w:t xml:space="preserve"> to institute </w:t>
      </w:r>
      <w:r w:rsidR="00CB4715" w:rsidRPr="00FE76A3">
        <w:rPr>
          <w:color w:val="242121"/>
          <w:sz w:val="28"/>
          <w:shd w:val="clear" w:color="auto" w:fill="FFFFFF"/>
          <w:lang w:val="en-ZA"/>
        </w:rPr>
        <w:t>a damages</w:t>
      </w:r>
      <w:r w:rsidR="00F72845" w:rsidRPr="00FE76A3">
        <w:rPr>
          <w:color w:val="242121"/>
          <w:sz w:val="28"/>
          <w:shd w:val="clear" w:color="auto" w:fill="FFFFFF"/>
          <w:lang w:val="en-ZA"/>
        </w:rPr>
        <w:t xml:space="preserve"> claim on her behalf against Shoprite Checkers. </w:t>
      </w:r>
    </w:p>
    <w:p w14:paraId="74A3DC63" w14:textId="291E496A" w:rsidR="001A6394" w:rsidRPr="00FE76A3" w:rsidRDefault="001A6394" w:rsidP="009B273B">
      <w:pPr>
        <w:tabs>
          <w:tab w:val="left" w:pos="284"/>
        </w:tabs>
        <w:rPr>
          <w:color w:val="242121"/>
          <w:sz w:val="28"/>
          <w:shd w:val="clear" w:color="auto" w:fill="FFFFFF"/>
          <w:lang w:val="en-ZA"/>
        </w:rPr>
      </w:pPr>
    </w:p>
    <w:p w14:paraId="09F31D63" w14:textId="60456F73" w:rsidR="001A6394" w:rsidRPr="00FE76A3" w:rsidRDefault="00311BA3" w:rsidP="009B273B">
      <w:pPr>
        <w:tabs>
          <w:tab w:val="left" w:pos="284"/>
        </w:tabs>
        <w:rPr>
          <w:color w:val="242121"/>
          <w:sz w:val="28"/>
          <w:shd w:val="clear" w:color="auto" w:fill="FFFFFF"/>
          <w:lang w:val="en-ZA"/>
        </w:rPr>
      </w:pPr>
      <w:r w:rsidRPr="00FE76A3">
        <w:rPr>
          <w:color w:val="242121"/>
          <w:sz w:val="28"/>
          <w:shd w:val="clear" w:color="auto" w:fill="FFFFFF"/>
          <w:lang w:val="en-ZA"/>
        </w:rPr>
        <w:t>[</w:t>
      </w:r>
      <w:r w:rsidR="004B15BC" w:rsidRPr="00FE76A3">
        <w:rPr>
          <w:color w:val="242121"/>
          <w:sz w:val="28"/>
          <w:shd w:val="clear" w:color="auto" w:fill="FFFFFF"/>
          <w:lang w:val="en-ZA"/>
        </w:rPr>
        <w:t>35</w:t>
      </w:r>
      <w:r w:rsidR="001A6394" w:rsidRPr="00FE76A3">
        <w:rPr>
          <w:color w:val="242121"/>
          <w:sz w:val="28"/>
          <w:shd w:val="clear" w:color="auto" w:fill="FFFFFF"/>
          <w:lang w:val="en-ZA"/>
        </w:rPr>
        <w:t>]</w:t>
      </w:r>
      <w:r w:rsidR="001A6394" w:rsidRPr="00FE76A3">
        <w:rPr>
          <w:color w:val="242121"/>
          <w:sz w:val="28"/>
          <w:shd w:val="clear" w:color="auto" w:fill="FFFFFF"/>
          <w:lang w:val="en-ZA"/>
        </w:rPr>
        <w:tab/>
        <w:t>Paragraph (i) of s 13(1) of the Prescription Act provides that the relevant period of prescription ‘would, but for the provisions of this subsection, be completed before or on, or within one year after, the da</w:t>
      </w:r>
      <w:r w:rsidR="00477A3E" w:rsidRPr="00FE76A3">
        <w:rPr>
          <w:color w:val="242121"/>
          <w:sz w:val="28"/>
          <w:shd w:val="clear" w:color="auto" w:fill="FFFFFF"/>
          <w:lang w:val="en-ZA"/>
        </w:rPr>
        <w:t>y</w:t>
      </w:r>
      <w:r w:rsidR="001A6394" w:rsidRPr="00FE76A3">
        <w:rPr>
          <w:color w:val="242121"/>
          <w:sz w:val="28"/>
          <w:shd w:val="clear" w:color="auto" w:fill="FFFFFF"/>
          <w:lang w:val="en-ZA"/>
        </w:rPr>
        <w:t xml:space="preserve"> on which the relevant impediment referred to in </w:t>
      </w:r>
      <w:r w:rsidR="00057CC3" w:rsidRPr="00FE76A3">
        <w:rPr>
          <w:color w:val="242121"/>
          <w:sz w:val="28"/>
          <w:shd w:val="clear" w:color="auto" w:fill="FFFFFF"/>
          <w:lang w:val="en-ZA"/>
        </w:rPr>
        <w:t xml:space="preserve">paragraphs </w:t>
      </w:r>
      <w:r w:rsidR="00057CC3" w:rsidRPr="00FE76A3">
        <w:rPr>
          <w:i/>
          <w:color w:val="242121"/>
          <w:sz w:val="28"/>
          <w:shd w:val="clear" w:color="auto" w:fill="FFFFFF"/>
          <w:lang w:val="en-ZA"/>
        </w:rPr>
        <w:t>(a)</w:t>
      </w:r>
      <w:r w:rsidR="00057CC3" w:rsidRPr="00FE76A3">
        <w:rPr>
          <w:color w:val="242121"/>
          <w:sz w:val="28"/>
          <w:shd w:val="clear" w:color="auto" w:fill="FFFFFF"/>
          <w:lang w:val="en-ZA"/>
        </w:rPr>
        <w:t xml:space="preserve">, </w:t>
      </w:r>
      <w:r w:rsidR="00057CC3" w:rsidRPr="00FE76A3">
        <w:rPr>
          <w:i/>
          <w:color w:val="242121"/>
          <w:sz w:val="28"/>
          <w:shd w:val="clear" w:color="auto" w:fill="FFFFFF"/>
          <w:lang w:val="en-ZA"/>
        </w:rPr>
        <w:t>(b)</w:t>
      </w:r>
      <w:r w:rsidR="00057CC3" w:rsidRPr="00FE76A3">
        <w:rPr>
          <w:color w:val="242121"/>
          <w:sz w:val="28"/>
          <w:shd w:val="clear" w:color="auto" w:fill="FFFFFF"/>
          <w:lang w:val="en-ZA"/>
        </w:rPr>
        <w:t xml:space="preserve">, </w:t>
      </w:r>
      <w:r w:rsidR="00057CC3" w:rsidRPr="00FE76A3">
        <w:rPr>
          <w:i/>
          <w:color w:val="242121"/>
          <w:sz w:val="28"/>
          <w:shd w:val="clear" w:color="auto" w:fill="FFFFFF"/>
          <w:lang w:val="en-ZA"/>
        </w:rPr>
        <w:t>(c)</w:t>
      </w:r>
      <w:r w:rsidR="00057CC3" w:rsidRPr="00FE76A3">
        <w:rPr>
          <w:color w:val="242121"/>
          <w:sz w:val="28"/>
          <w:shd w:val="clear" w:color="auto" w:fill="FFFFFF"/>
          <w:lang w:val="en-ZA"/>
        </w:rPr>
        <w:t xml:space="preserve">, </w:t>
      </w:r>
      <w:r w:rsidR="00057CC3" w:rsidRPr="00FE76A3">
        <w:rPr>
          <w:i/>
          <w:color w:val="242121"/>
          <w:sz w:val="28"/>
          <w:shd w:val="clear" w:color="auto" w:fill="FFFFFF"/>
          <w:lang w:val="en-ZA"/>
        </w:rPr>
        <w:t>(d)</w:t>
      </w:r>
      <w:r w:rsidR="00057CC3" w:rsidRPr="00FE76A3">
        <w:rPr>
          <w:color w:val="242121"/>
          <w:sz w:val="28"/>
          <w:shd w:val="clear" w:color="auto" w:fill="FFFFFF"/>
          <w:lang w:val="en-ZA"/>
        </w:rPr>
        <w:t xml:space="preserve">, </w:t>
      </w:r>
      <w:r w:rsidR="00057CC3" w:rsidRPr="00FE76A3">
        <w:rPr>
          <w:i/>
          <w:color w:val="242121"/>
          <w:sz w:val="28"/>
          <w:shd w:val="clear" w:color="auto" w:fill="FFFFFF"/>
          <w:lang w:val="en-ZA"/>
        </w:rPr>
        <w:t>(e)</w:t>
      </w:r>
      <w:r w:rsidR="00057CC3" w:rsidRPr="00FE76A3">
        <w:rPr>
          <w:color w:val="242121"/>
          <w:sz w:val="28"/>
          <w:shd w:val="clear" w:color="auto" w:fill="FFFFFF"/>
          <w:lang w:val="en-ZA"/>
        </w:rPr>
        <w:t xml:space="preserve">, </w:t>
      </w:r>
      <w:r w:rsidR="00057CC3" w:rsidRPr="00FE76A3">
        <w:rPr>
          <w:i/>
          <w:color w:val="242121"/>
          <w:sz w:val="28"/>
          <w:shd w:val="clear" w:color="auto" w:fill="FFFFFF"/>
          <w:lang w:val="en-ZA"/>
        </w:rPr>
        <w:t>(f)</w:t>
      </w:r>
      <w:r w:rsidR="00057CC3" w:rsidRPr="00FE76A3">
        <w:rPr>
          <w:color w:val="242121"/>
          <w:sz w:val="28"/>
          <w:shd w:val="clear" w:color="auto" w:fill="FFFFFF"/>
          <w:lang w:val="en-ZA"/>
        </w:rPr>
        <w:t xml:space="preserve">, </w:t>
      </w:r>
      <w:r w:rsidR="00057CC3" w:rsidRPr="00FE76A3">
        <w:rPr>
          <w:i/>
          <w:color w:val="242121"/>
          <w:sz w:val="28"/>
          <w:shd w:val="clear" w:color="auto" w:fill="FFFFFF"/>
          <w:lang w:val="en-ZA"/>
        </w:rPr>
        <w:t>(g)</w:t>
      </w:r>
      <w:r w:rsidR="00057CC3" w:rsidRPr="00FE76A3">
        <w:rPr>
          <w:color w:val="242121"/>
          <w:sz w:val="28"/>
          <w:shd w:val="clear" w:color="auto" w:fill="FFFFFF"/>
          <w:lang w:val="en-ZA"/>
        </w:rPr>
        <w:t xml:space="preserve"> or </w:t>
      </w:r>
      <w:r w:rsidR="00057CC3" w:rsidRPr="00FE76A3">
        <w:rPr>
          <w:i/>
          <w:color w:val="242121"/>
          <w:sz w:val="28"/>
          <w:shd w:val="clear" w:color="auto" w:fill="FFFFFF"/>
          <w:lang w:val="en-ZA"/>
        </w:rPr>
        <w:t>(h)</w:t>
      </w:r>
      <w:r w:rsidR="00057CC3" w:rsidRPr="00FE76A3">
        <w:rPr>
          <w:color w:val="242121"/>
          <w:sz w:val="28"/>
          <w:shd w:val="clear" w:color="auto" w:fill="FFFFFF"/>
          <w:lang w:val="en-ZA"/>
        </w:rPr>
        <w:t xml:space="preserve"> has ceased to exist, </w:t>
      </w:r>
      <w:r w:rsidR="00C82DFE" w:rsidRPr="00FE76A3">
        <w:rPr>
          <w:color w:val="242121"/>
          <w:sz w:val="28"/>
          <w:shd w:val="clear" w:color="auto" w:fill="FFFFFF"/>
          <w:lang w:val="en-ZA"/>
        </w:rPr>
        <w:t xml:space="preserve">and </w:t>
      </w:r>
      <w:r w:rsidR="00057CC3" w:rsidRPr="00FE76A3">
        <w:rPr>
          <w:color w:val="242121"/>
          <w:sz w:val="28"/>
          <w:shd w:val="clear" w:color="auto" w:fill="FFFFFF"/>
          <w:lang w:val="en-ZA"/>
        </w:rPr>
        <w:t xml:space="preserve">the period of prescription shall not be completed before a year has elapsed after the day referred to in paragraph </w:t>
      </w:r>
      <w:r w:rsidR="00057CC3" w:rsidRPr="00FE76A3">
        <w:rPr>
          <w:i/>
          <w:color w:val="242121"/>
          <w:sz w:val="28"/>
          <w:shd w:val="clear" w:color="auto" w:fill="FFFFFF"/>
          <w:lang w:val="en-ZA"/>
        </w:rPr>
        <w:t>(i)</w:t>
      </w:r>
      <w:r w:rsidR="00057CC3" w:rsidRPr="00FE76A3">
        <w:rPr>
          <w:color w:val="242121"/>
          <w:sz w:val="28"/>
          <w:shd w:val="clear" w:color="auto" w:fill="FFFFFF"/>
          <w:lang w:val="en-ZA"/>
        </w:rPr>
        <w:t>’</w:t>
      </w:r>
      <w:r w:rsidR="00477A3E" w:rsidRPr="00FE76A3">
        <w:rPr>
          <w:color w:val="242121"/>
          <w:sz w:val="28"/>
          <w:shd w:val="clear" w:color="auto" w:fill="FFFFFF"/>
          <w:lang w:val="en-ZA"/>
        </w:rPr>
        <w:t>.</w:t>
      </w:r>
      <w:r w:rsidRPr="00FE76A3">
        <w:rPr>
          <w:color w:val="242121"/>
          <w:sz w:val="28"/>
          <w:shd w:val="clear" w:color="auto" w:fill="FFFFFF"/>
          <w:lang w:val="en-ZA"/>
        </w:rPr>
        <w:t xml:space="preserve"> For the sake of completeness, it </w:t>
      </w:r>
      <w:r w:rsidR="00CD75D1" w:rsidRPr="00FE76A3">
        <w:rPr>
          <w:color w:val="242121"/>
          <w:sz w:val="28"/>
          <w:shd w:val="clear" w:color="auto" w:fill="FFFFFF"/>
          <w:lang w:val="en-ZA"/>
        </w:rPr>
        <w:t>bears</w:t>
      </w:r>
      <w:r w:rsidRPr="00FE76A3">
        <w:rPr>
          <w:color w:val="242121"/>
          <w:sz w:val="28"/>
          <w:shd w:val="clear" w:color="auto" w:fill="FFFFFF"/>
          <w:lang w:val="en-ZA"/>
        </w:rPr>
        <w:t xml:space="preserve"> </w:t>
      </w:r>
      <w:r w:rsidR="00CD75D1" w:rsidRPr="00FE76A3">
        <w:rPr>
          <w:color w:val="242121"/>
          <w:sz w:val="28"/>
          <w:shd w:val="clear" w:color="auto" w:fill="FFFFFF"/>
          <w:lang w:val="en-ZA"/>
        </w:rPr>
        <w:t>emphasising</w:t>
      </w:r>
      <w:r w:rsidRPr="00FE76A3">
        <w:rPr>
          <w:color w:val="242121"/>
          <w:sz w:val="28"/>
          <w:shd w:val="clear" w:color="auto" w:fill="FFFFFF"/>
          <w:lang w:val="en-ZA"/>
        </w:rPr>
        <w:t xml:space="preserve"> tha</w:t>
      </w:r>
      <w:r w:rsidR="00CD75D1" w:rsidRPr="00FE76A3">
        <w:rPr>
          <w:color w:val="242121"/>
          <w:sz w:val="28"/>
          <w:shd w:val="clear" w:color="auto" w:fill="FFFFFF"/>
          <w:lang w:val="en-ZA"/>
        </w:rPr>
        <w:t xml:space="preserve">t </w:t>
      </w:r>
      <w:bookmarkStart w:id="9" w:name="_Hlk125456324"/>
      <w:r w:rsidR="00CD75D1" w:rsidRPr="00FE76A3">
        <w:rPr>
          <w:color w:val="242121"/>
          <w:sz w:val="28"/>
          <w:shd w:val="clear" w:color="auto" w:fill="FFFFFF"/>
          <w:lang w:val="en-ZA"/>
        </w:rPr>
        <w:t>i</w:t>
      </w:r>
      <w:r w:rsidR="00B91F26" w:rsidRPr="00FE76A3">
        <w:rPr>
          <w:color w:val="242121"/>
          <w:sz w:val="28"/>
          <w:shd w:val="clear" w:color="auto" w:fill="FFFFFF"/>
          <w:lang w:val="en-ZA"/>
        </w:rPr>
        <w:t xml:space="preserve">n her situation, Ms </w:t>
      </w:r>
      <w:r w:rsidR="001565E9" w:rsidRPr="00FE76A3">
        <w:rPr>
          <w:color w:val="242121"/>
          <w:sz w:val="28"/>
          <w:shd w:val="clear" w:color="auto" w:fill="FFFFFF"/>
          <w:lang w:val="en-ZA"/>
        </w:rPr>
        <w:t>Mkhwanazi</w:t>
      </w:r>
      <w:r w:rsidR="00B91F26" w:rsidRPr="00FE76A3">
        <w:rPr>
          <w:color w:val="242121"/>
          <w:sz w:val="28"/>
          <w:shd w:val="clear" w:color="auto" w:fill="FFFFFF"/>
          <w:lang w:val="en-ZA"/>
        </w:rPr>
        <w:t xml:space="preserve">’s impediment would cease to exist only when she recovers from her mental or intellectual disability, disorder or incapacity. </w:t>
      </w:r>
    </w:p>
    <w:bookmarkEnd w:id="9"/>
    <w:p w14:paraId="0DDF22E5" w14:textId="491EAD7D" w:rsidR="006C0E0B" w:rsidRPr="00FE76A3" w:rsidRDefault="006C0E0B" w:rsidP="009B273B">
      <w:pPr>
        <w:tabs>
          <w:tab w:val="left" w:pos="284"/>
        </w:tabs>
        <w:rPr>
          <w:color w:val="242121"/>
          <w:sz w:val="28"/>
          <w:shd w:val="clear" w:color="auto" w:fill="FFFFFF"/>
          <w:lang w:val="en-ZA"/>
        </w:rPr>
      </w:pPr>
    </w:p>
    <w:p w14:paraId="38F2822E" w14:textId="7D9839F9" w:rsidR="006C0E0B" w:rsidRPr="00FE76A3" w:rsidRDefault="00487D67" w:rsidP="009B273B">
      <w:pPr>
        <w:tabs>
          <w:tab w:val="left" w:pos="284"/>
        </w:tabs>
        <w:rPr>
          <w:color w:val="242121"/>
          <w:sz w:val="28"/>
          <w:shd w:val="clear" w:color="auto" w:fill="FFFFFF"/>
          <w:lang w:val="en-ZA"/>
        </w:rPr>
      </w:pPr>
      <w:r w:rsidRPr="00FE76A3">
        <w:rPr>
          <w:color w:val="242121"/>
          <w:sz w:val="28"/>
          <w:shd w:val="clear" w:color="auto" w:fill="FFFFFF"/>
          <w:lang w:val="en-ZA"/>
        </w:rPr>
        <w:t>[</w:t>
      </w:r>
      <w:r w:rsidR="004B15BC" w:rsidRPr="00FE76A3">
        <w:rPr>
          <w:color w:val="242121"/>
          <w:sz w:val="28"/>
          <w:shd w:val="clear" w:color="auto" w:fill="FFFFFF"/>
          <w:lang w:val="en-ZA"/>
        </w:rPr>
        <w:t>36</w:t>
      </w:r>
      <w:r w:rsidR="006C0E0B" w:rsidRPr="00FE76A3">
        <w:rPr>
          <w:color w:val="242121"/>
          <w:sz w:val="28"/>
          <w:shd w:val="clear" w:color="auto" w:fill="FFFFFF"/>
          <w:lang w:val="en-ZA"/>
        </w:rPr>
        <w:t>]</w:t>
      </w:r>
      <w:r w:rsidR="006C0E0B" w:rsidRPr="00FE76A3">
        <w:rPr>
          <w:color w:val="242121"/>
          <w:sz w:val="28"/>
          <w:shd w:val="clear" w:color="auto" w:fill="FFFFFF"/>
          <w:lang w:val="en-ZA"/>
        </w:rPr>
        <w:tab/>
        <w:t xml:space="preserve">Finally, it was contended on behalf of Shoprite Checkers that resort </w:t>
      </w:r>
      <w:r w:rsidR="00720663" w:rsidRPr="00FE76A3">
        <w:rPr>
          <w:color w:val="242121"/>
          <w:sz w:val="28"/>
          <w:shd w:val="clear" w:color="auto" w:fill="FFFFFF"/>
          <w:lang w:val="en-ZA"/>
        </w:rPr>
        <w:t>t</w:t>
      </w:r>
      <w:r w:rsidR="006C0E0B" w:rsidRPr="00FE76A3">
        <w:rPr>
          <w:color w:val="242121"/>
          <w:sz w:val="28"/>
          <w:shd w:val="clear" w:color="auto" w:fill="FFFFFF"/>
          <w:lang w:val="en-ZA"/>
        </w:rPr>
        <w:t xml:space="preserve">o </w:t>
      </w:r>
      <w:r w:rsidR="0071765D" w:rsidRPr="00FE76A3">
        <w:rPr>
          <w:color w:val="242121"/>
          <w:sz w:val="28"/>
          <w:shd w:val="clear" w:color="auto" w:fill="FFFFFF"/>
          <w:lang w:val="en-ZA"/>
        </w:rPr>
        <w:t>s</w:t>
      </w:r>
      <w:r w:rsidR="00477A3E" w:rsidRPr="00FE76A3">
        <w:rPr>
          <w:color w:val="242121"/>
          <w:sz w:val="28"/>
          <w:shd w:val="clear" w:color="auto" w:fill="FFFFFF"/>
          <w:lang w:val="en-ZA"/>
        </w:rPr>
        <w:t xml:space="preserve"> </w:t>
      </w:r>
      <w:r w:rsidR="006C0E0B" w:rsidRPr="00FE76A3">
        <w:rPr>
          <w:color w:val="242121"/>
          <w:sz w:val="28"/>
          <w:shd w:val="clear" w:color="auto" w:fill="FFFFFF"/>
          <w:lang w:val="en-ZA"/>
        </w:rPr>
        <w:t>12(3) does not avail</w:t>
      </w:r>
      <w:r w:rsidR="0071765D" w:rsidRPr="00FE76A3">
        <w:rPr>
          <w:color w:val="242121"/>
          <w:sz w:val="28"/>
          <w:shd w:val="clear" w:color="auto" w:fill="FFFFFF"/>
          <w:lang w:val="en-ZA"/>
        </w:rPr>
        <w:t xml:space="preserve"> the curator</w:t>
      </w:r>
      <w:r w:rsidR="006C0E0B" w:rsidRPr="00FE76A3">
        <w:rPr>
          <w:color w:val="242121"/>
          <w:sz w:val="28"/>
          <w:shd w:val="clear" w:color="auto" w:fill="FFFFFF"/>
          <w:lang w:val="en-ZA"/>
        </w:rPr>
        <w:t xml:space="preserve">. It was submitted that this was because </w:t>
      </w:r>
      <w:r w:rsidR="00C82DFE" w:rsidRPr="00FE76A3">
        <w:rPr>
          <w:color w:val="242121"/>
          <w:sz w:val="28"/>
          <w:shd w:val="clear" w:color="auto" w:fill="FFFFFF"/>
          <w:lang w:val="en-ZA"/>
        </w:rPr>
        <w:t xml:space="preserve">the curator, in any event, </w:t>
      </w:r>
      <w:r w:rsidR="006C0E0B" w:rsidRPr="00FE76A3">
        <w:rPr>
          <w:color w:val="242121"/>
          <w:sz w:val="28"/>
          <w:shd w:val="clear" w:color="auto" w:fill="FFFFFF"/>
          <w:lang w:val="en-ZA"/>
        </w:rPr>
        <w:t>failed to exercise due and proper care</w:t>
      </w:r>
      <w:r w:rsidR="005C589B" w:rsidRPr="00FE76A3">
        <w:rPr>
          <w:color w:val="242121"/>
          <w:sz w:val="28"/>
          <w:shd w:val="clear" w:color="auto" w:fill="FFFFFF"/>
          <w:lang w:val="en-ZA"/>
        </w:rPr>
        <w:t>,</w:t>
      </w:r>
      <w:r w:rsidR="006C0E0B" w:rsidRPr="00FE76A3">
        <w:rPr>
          <w:color w:val="242121"/>
          <w:sz w:val="28"/>
          <w:shd w:val="clear" w:color="auto" w:fill="FFFFFF"/>
          <w:lang w:val="en-ZA"/>
        </w:rPr>
        <w:t xml:space="preserve"> </w:t>
      </w:r>
      <w:r w:rsidR="0071765D" w:rsidRPr="00FE76A3">
        <w:rPr>
          <w:color w:val="242121"/>
          <w:sz w:val="28"/>
          <w:shd w:val="clear" w:color="auto" w:fill="FFFFFF"/>
          <w:lang w:val="en-ZA"/>
        </w:rPr>
        <w:t>for</w:t>
      </w:r>
      <w:r w:rsidRPr="00FE76A3">
        <w:rPr>
          <w:color w:val="242121"/>
          <w:sz w:val="28"/>
          <w:shd w:val="clear" w:color="auto" w:fill="FFFFFF"/>
          <w:lang w:val="en-ZA"/>
        </w:rPr>
        <w:t xml:space="preserve"> </w:t>
      </w:r>
      <w:r w:rsidR="006C0E0B" w:rsidRPr="00FE76A3">
        <w:rPr>
          <w:color w:val="242121"/>
          <w:sz w:val="28"/>
          <w:shd w:val="clear" w:color="auto" w:fill="FFFFFF"/>
          <w:lang w:val="en-ZA"/>
        </w:rPr>
        <w:t>he had known since 28 July 2017</w:t>
      </w:r>
      <w:r w:rsidR="00477A3E" w:rsidRPr="00FE76A3">
        <w:rPr>
          <w:color w:val="242121"/>
          <w:sz w:val="28"/>
          <w:shd w:val="clear" w:color="auto" w:fill="FFFFFF"/>
          <w:lang w:val="en-ZA"/>
        </w:rPr>
        <w:t>,</w:t>
      </w:r>
      <w:r w:rsidR="006C0E0B" w:rsidRPr="00FE76A3">
        <w:rPr>
          <w:color w:val="242121"/>
          <w:sz w:val="28"/>
          <w:shd w:val="clear" w:color="auto" w:fill="FFFFFF"/>
          <w:lang w:val="en-ZA"/>
        </w:rPr>
        <w:t xml:space="preserve"> when the special plea of misjoinder </w:t>
      </w:r>
      <w:r w:rsidR="00CA556C" w:rsidRPr="00FE76A3">
        <w:rPr>
          <w:color w:val="242121"/>
          <w:sz w:val="28"/>
          <w:shd w:val="clear" w:color="auto" w:fill="FFFFFF"/>
          <w:lang w:val="en-ZA"/>
        </w:rPr>
        <w:t>in the initial proceedings was delivered, of the identity of the true debtor, ie Shoprite Checkers. Instead, emphasised Shoprite Checkers, he elected to remain supine for a period in excess of a year when he should and could have instituted action timeously to brin</w:t>
      </w:r>
      <w:r w:rsidR="00F84463">
        <w:rPr>
          <w:color w:val="242121"/>
          <w:sz w:val="28"/>
          <w:shd w:val="clear" w:color="auto" w:fill="FFFFFF"/>
          <w:lang w:val="en-ZA"/>
        </w:rPr>
        <w:t>g himself within the terms of s </w:t>
      </w:r>
      <w:r w:rsidR="00CA556C" w:rsidRPr="00FE76A3">
        <w:rPr>
          <w:color w:val="242121"/>
          <w:sz w:val="28"/>
          <w:shd w:val="clear" w:color="auto" w:fill="FFFFFF"/>
          <w:lang w:val="en-ZA"/>
        </w:rPr>
        <w:t>13(1)</w:t>
      </w:r>
      <w:r w:rsidR="00CA556C" w:rsidRPr="00FE76A3">
        <w:rPr>
          <w:i/>
          <w:color w:val="242121"/>
          <w:sz w:val="28"/>
          <w:shd w:val="clear" w:color="auto" w:fill="FFFFFF"/>
          <w:lang w:val="en-ZA"/>
        </w:rPr>
        <w:t>(i)</w:t>
      </w:r>
      <w:r w:rsidR="00CA556C" w:rsidRPr="00FE76A3">
        <w:rPr>
          <w:color w:val="242121"/>
          <w:sz w:val="28"/>
          <w:shd w:val="clear" w:color="auto" w:fill="FFFFFF"/>
          <w:lang w:val="en-ZA"/>
        </w:rPr>
        <w:t xml:space="preserve"> of the Prescription Act and</w:t>
      </w:r>
      <w:r w:rsidRPr="00FE76A3">
        <w:rPr>
          <w:color w:val="242121"/>
          <w:sz w:val="28"/>
          <w:shd w:val="clear" w:color="auto" w:fill="FFFFFF"/>
          <w:lang w:val="en-ZA"/>
        </w:rPr>
        <w:t>, as a result</w:t>
      </w:r>
      <w:r w:rsidR="00CA556C" w:rsidRPr="00FE76A3">
        <w:rPr>
          <w:color w:val="242121"/>
          <w:sz w:val="28"/>
          <w:shd w:val="clear" w:color="auto" w:fill="FFFFFF"/>
          <w:lang w:val="en-ZA"/>
        </w:rPr>
        <w:t xml:space="preserve"> interrupt the completion of prescription as would be expected of a prudent attorney in his position. </w:t>
      </w:r>
    </w:p>
    <w:p w14:paraId="5B7FAF31" w14:textId="526A4DF4" w:rsidR="006F7595" w:rsidRPr="00FE76A3" w:rsidRDefault="006F7595" w:rsidP="009B273B">
      <w:pPr>
        <w:tabs>
          <w:tab w:val="left" w:pos="284"/>
        </w:tabs>
        <w:rPr>
          <w:color w:val="242121"/>
          <w:sz w:val="28"/>
          <w:shd w:val="clear" w:color="auto" w:fill="FFFFFF"/>
          <w:lang w:val="en-ZA"/>
        </w:rPr>
      </w:pPr>
    </w:p>
    <w:p w14:paraId="533D7A8F" w14:textId="1518CF0F" w:rsidR="006F7595" w:rsidRPr="00FE76A3" w:rsidRDefault="00487D67" w:rsidP="009B273B">
      <w:pPr>
        <w:tabs>
          <w:tab w:val="left" w:pos="284"/>
        </w:tabs>
        <w:rPr>
          <w:color w:val="242121"/>
          <w:sz w:val="28"/>
          <w:shd w:val="clear" w:color="auto" w:fill="FFFFFF"/>
          <w:lang w:val="en-ZA"/>
        </w:rPr>
      </w:pPr>
      <w:r w:rsidRPr="00FE76A3">
        <w:rPr>
          <w:color w:val="242121"/>
          <w:sz w:val="28"/>
          <w:shd w:val="clear" w:color="auto" w:fill="FFFFFF"/>
          <w:lang w:val="en-ZA"/>
        </w:rPr>
        <w:t>[</w:t>
      </w:r>
      <w:r w:rsidR="004B15BC" w:rsidRPr="00FE76A3">
        <w:rPr>
          <w:color w:val="242121"/>
          <w:sz w:val="28"/>
          <w:shd w:val="clear" w:color="auto" w:fill="FFFFFF"/>
          <w:lang w:val="en-ZA"/>
        </w:rPr>
        <w:t>37</w:t>
      </w:r>
      <w:r w:rsidR="00E45CEF" w:rsidRPr="00FE76A3">
        <w:rPr>
          <w:color w:val="242121"/>
          <w:sz w:val="28"/>
          <w:shd w:val="clear" w:color="auto" w:fill="FFFFFF"/>
          <w:lang w:val="en-ZA"/>
        </w:rPr>
        <w:t>]</w:t>
      </w:r>
      <w:r w:rsidR="00E45CEF" w:rsidRPr="00FE76A3">
        <w:rPr>
          <w:color w:val="242121"/>
          <w:sz w:val="28"/>
          <w:shd w:val="clear" w:color="auto" w:fill="FFFFFF"/>
          <w:lang w:val="en-ZA"/>
        </w:rPr>
        <w:tab/>
        <w:t>True, the curator</w:t>
      </w:r>
      <w:r w:rsidR="006F7595" w:rsidRPr="00FE76A3">
        <w:rPr>
          <w:color w:val="242121"/>
          <w:sz w:val="28"/>
          <w:shd w:val="clear" w:color="auto" w:fill="FFFFFF"/>
          <w:lang w:val="en-ZA"/>
        </w:rPr>
        <w:t xml:space="preserve"> inexplicably failed – at least from what is before us – to act with expedition and his inaction for more than a year remains unexplained. However, I do not find it necessary to delve into this aspect in light of the conclusion reached </w:t>
      </w:r>
      <w:r w:rsidR="006F7595" w:rsidRPr="00FE76A3">
        <w:rPr>
          <w:color w:val="242121"/>
          <w:sz w:val="28"/>
          <w:shd w:val="clear" w:color="auto" w:fill="FFFFFF"/>
          <w:lang w:val="en-ZA"/>
        </w:rPr>
        <w:lastRenderedPageBreak/>
        <w:t>above as to the import of s 13(1)</w:t>
      </w:r>
      <w:r w:rsidR="006F7595" w:rsidRPr="00FE76A3">
        <w:rPr>
          <w:i/>
          <w:color w:val="242121"/>
          <w:sz w:val="28"/>
          <w:shd w:val="clear" w:color="auto" w:fill="FFFFFF"/>
          <w:lang w:val="en-ZA"/>
        </w:rPr>
        <w:t>(i)</w:t>
      </w:r>
      <w:r w:rsidR="006F7595" w:rsidRPr="00FE76A3">
        <w:rPr>
          <w:color w:val="242121"/>
          <w:sz w:val="28"/>
          <w:shd w:val="clear" w:color="auto" w:fill="FFFFFF"/>
          <w:lang w:val="en-ZA"/>
        </w:rPr>
        <w:t xml:space="preserve">. Accordingly, the </w:t>
      </w:r>
      <w:r w:rsidR="00C82DFE" w:rsidRPr="00FE76A3">
        <w:rPr>
          <w:color w:val="242121"/>
          <w:sz w:val="28"/>
          <w:shd w:val="clear" w:color="auto" w:fill="FFFFFF"/>
          <w:lang w:val="en-ZA"/>
        </w:rPr>
        <w:t xml:space="preserve">conclusion </w:t>
      </w:r>
      <w:r w:rsidR="006F7595" w:rsidRPr="00FE76A3">
        <w:rPr>
          <w:color w:val="242121"/>
          <w:sz w:val="28"/>
          <w:shd w:val="clear" w:color="auto" w:fill="FFFFFF"/>
          <w:lang w:val="en-ZA"/>
        </w:rPr>
        <w:t xml:space="preserve">of the high court with respect to Shoprite Checkers’ special plea of prescription was correct. Thus, the appeal cannot succeed. </w:t>
      </w:r>
    </w:p>
    <w:p w14:paraId="5ACF2570" w14:textId="7F59B0D6" w:rsidR="00333039" w:rsidRPr="00FE76A3" w:rsidRDefault="00333039" w:rsidP="009B273B">
      <w:pPr>
        <w:tabs>
          <w:tab w:val="left" w:pos="284"/>
        </w:tabs>
        <w:rPr>
          <w:color w:val="242121"/>
          <w:sz w:val="28"/>
          <w:shd w:val="clear" w:color="auto" w:fill="FFFFFF"/>
          <w:lang w:val="en-ZA"/>
        </w:rPr>
      </w:pPr>
    </w:p>
    <w:p w14:paraId="2EE1F6DB" w14:textId="55156F8C" w:rsidR="00E45CEF" w:rsidRPr="00FE76A3" w:rsidRDefault="00E45CEF" w:rsidP="009B273B">
      <w:pPr>
        <w:tabs>
          <w:tab w:val="left" w:pos="284"/>
        </w:tabs>
        <w:rPr>
          <w:color w:val="242121"/>
          <w:sz w:val="28"/>
          <w:shd w:val="clear" w:color="auto" w:fill="FFFFFF"/>
          <w:lang w:val="en-ZA"/>
        </w:rPr>
      </w:pPr>
      <w:r w:rsidRPr="00FE76A3">
        <w:rPr>
          <w:color w:val="242121"/>
          <w:sz w:val="28"/>
          <w:shd w:val="clear" w:color="auto" w:fill="FFFFFF"/>
          <w:lang w:val="en-ZA"/>
        </w:rPr>
        <w:t>[</w:t>
      </w:r>
      <w:r w:rsidR="004B15BC" w:rsidRPr="00FE76A3">
        <w:rPr>
          <w:color w:val="242121"/>
          <w:sz w:val="28"/>
          <w:shd w:val="clear" w:color="auto" w:fill="FFFFFF"/>
          <w:lang w:val="en-ZA"/>
        </w:rPr>
        <w:t>38</w:t>
      </w:r>
      <w:r w:rsidRPr="00FE76A3">
        <w:rPr>
          <w:color w:val="242121"/>
          <w:sz w:val="28"/>
          <w:shd w:val="clear" w:color="auto" w:fill="FFFFFF"/>
          <w:lang w:val="en-ZA"/>
        </w:rPr>
        <w:t>]</w:t>
      </w:r>
      <w:r w:rsidR="00477A3E" w:rsidRPr="00FE76A3">
        <w:rPr>
          <w:color w:val="242121"/>
          <w:sz w:val="28"/>
          <w:shd w:val="clear" w:color="auto" w:fill="FFFFFF"/>
          <w:lang w:val="en-ZA"/>
        </w:rPr>
        <w:tab/>
      </w:r>
      <w:r w:rsidRPr="00FE76A3">
        <w:rPr>
          <w:color w:val="242121"/>
          <w:sz w:val="28"/>
          <w:shd w:val="clear" w:color="auto" w:fill="FFFFFF"/>
          <w:lang w:val="en-ZA"/>
        </w:rPr>
        <w:t>It is therefore, not necessary for present purposes</w:t>
      </w:r>
      <w:r w:rsidR="00477A3E" w:rsidRPr="00FE76A3">
        <w:rPr>
          <w:color w:val="242121"/>
          <w:sz w:val="28"/>
          <w:shd w:val="clear" w:color="auto" w:fill="FFFFFF"/>
          <w:lang w:val="en-ZA"/>
        </w:rPr>
        <w:t>,</w:t>
      </w:r>
      <w:r w:rsidRPr="00FE76A3">
        <w:rPr>
          <w:color w:val="242121"/>
          <w:sz w:val="28"/>
          <w:shd w:val="clear" w:color="auto" w:fill="FFFFFF"/>
          <w:lang w:val="en-ZA"/>
        </w:rPr>
        <w:t xml:space="preserve"> to make a definitive pronouncement in relation to the question whether the curator is precluded from invoking s 12 of the Prescription Act in the light of the conclusion reache</w:t>
      </w:r>
      <w:r w:rsidR="007E4D84" w:rsidRPr="00FE76A3">
        <w:rPr>
          <w:color w:val="242121"/>
          <w:sz w:val="28"/>
          <w:shd w:val="clear" w:color="auto" w:fill="FFFFFF"/>
          <w:lang w:val="en-ZA"/>
        </w:rPr>
        <w:t xml:space="preserve">d with respect to s 13(1). </w:t>
      </w:r>
      <w:r w:rsidR="003B5480">
        <w:rPr>
          <w:color w:val="242121"/>
          <w:sz w:val="28"/>
          <w:shd w:val="clear" w:color="auto" w:fill="FFFFFF"/>
          <w:lang w:val="en-ZA"/>
        </w:rPr>
        <w:t>Therefore</w:t>
      </w:r>
      <w:r w:rsidR="007E4D84" w:rsidRPr="00FE76A3">
        <w:rPr>
          <w:color w:val="242121"/>
          <w:sz w:val="28"/>
          <w:shd w:val="clear" w:color="auto" w:fill="FFFFFF"/>
          <w:lang w:val="en-ZA"/>
        </w:rPr>
        <w:t xml:space="preserve">, </w:t>
      </w:r>
      <w:r w:rsidRPr="00FE76A3">
        <w:rPr>
          <w:color w:val="242121"/>
          <w:sz w:val="28"/>
          <w:shd w:val="clear" w:color="auto" w:fill="FFFFFF"/>
          <w:lang w:val="en-ZA"/>
        </w:rPr>
        <w:t xml:space="preserve">it is best to leave this question open for </w:t>
      </w:r>
      <w:r w:rsidR="00D06533" w:rsidRPr="00FE76A3">
        <w:rPr>
          <w:color w:val="242121"/>
          <w:sz w:val="28"/>
          <w:shd w:val="clear" w:color="auto" w:fill="FFFFFF"/>
          <w:lang w:val="en-ZA"/>
        </w:rPr>
        <w:t>determination on another day when it is not only squarely raised but also necessary for the decision of the case.</w:t>
      </w:r>
      <w:r w:rsidR="00D06533" w:rsidRPr="00FE76A3">
        <w:rPr>
          <w:rStyle w:val="FootnoteReference"/>
          <w:color w:val="242121"/>
          <w:sz w:val="28"/>
          <w:shd w:val="clear" w:color="auto" w:fill="FFFFFF"/>
          <w:lang w:val="en-ZA"/>
        </w:rPr>
        <w:footnoteReference w:id="24"/>
      </w:r>
    </w:p>
    <w:p w14:paraId="2FCE38B2" w14:textId="77777777" w:rsidR="00D944BF" w:rsidRPr="00FE76A3" w:rsidRDefault="00D944BF" w:rsidP="009B273B">
      <w:pPr>
        <w:tabs>
          <w:tab w:val="left" w:pos="284"/>
        </w:tabs>
        <w:rPr>
          <w:color w:val="242121"/>
          <w:sz w:val="28"/>
          <w:shd w:val="clear" w:color="auto" w:fill="FFFFFF"/>
          <w:lang w:val="en-ZA"/>
        </w:rPr>
      </w:pPr>
    </w:p>
    <w:p w14:paraId="5764583B" w14:textId="411706E1" w:rsidR="00487D67" w:rsidRPr="00FE76A3" w:rsidRDefault="00487D67" w:rsidP="009B273B">
      <w:pPr>
        <w:tabs>
          <w:tab w:val="left" w:pos="284"/>
        </w:tabs>
        <w:rPr>
          <w:color w:val="242121"/>
          <w:sz w:val="28"/>
          <w:shd w:val="clear" w:color="auto" w:fill="FFFFFF"/>
          <w:lang w:val="en-ZA"/>
        </w:rPr>
      </w:pPr>
      <w:r w:rsidRPr="00FE76A3">
        <w:rPr>
          <w:b/>
          <w:color w:val="242121"/>
          <w:sz w:val="28"/>
          <w:shd w:val="clear" w:color="auto" w:fill="FFFFFF"/>
          <w:lang w:val="en-ZA"/>
        </w:rPr>
        <w:t>O</w:t>
      </w:r>
      <w:r w:rsidR="00477A3E" w:rsidRPr="00FE76A3">
        <w:rPr>
          <w:b/>
          <w:color w:val="242121"/>
          <w:sz w:val="28"/>
          <w:shd w:val="clear" w:color="auto" w:fill="FFFFFF"/>
          <w:lang w:val="en-ZA"/>
        </w:rPr>
        <w:t>rder</w:t>
      </w:r>
    </w:p>
    <w:p w14:paraId="6AE0A916" w14:textId="3B0AAD36" w:rsidR="00333039" w:rsidRPr="00FE76A3" w:rsidRDefault="00333039" w:rsidP="00487D67">
      <w:pPr>
        <w:tabs>
          <w:tab w:val="left" w:pos="284"/>
        </w:tabs>
        <w:rPr>
          <w:color w:val="242121"/>
          <w:sz w:val="28"/>
          <w:shd w:val="clear" w:color="auto" w:fill="FFFFFF"/>
          <w:lang w:val="en-ZA"/>
        </w:rPr>
      </w:pPr>
      <w:r w:rsidRPr="00FE76A3">
        <w:rPr>
          <w:color w:val="242121"/>
          <w:sz w:val="28"/>
          <w:shd w:val="clear" w:color="auto" w:fill="FFFFFF"/>
          <w:lang w:val="en-ZA"/>
        </w:rPr>
        <w:t>[</w:t>
      </w:r>
      <w:r w:rsidR="004B15BC" w:rsidRPr="00FE76A3">
        <w:rPr>
          <w:color w:val="242121"/>
          <w:sz w:val="28"/>
          <w:shd w:val="clear" w:color="auto" w:fill="FFFFFF"/>
          <w:lang w:val="en-ZA"/>
        </w:rPr>
        <w:t>39</w:t>
      </w:r>
      <w:r w:rsidRPr="00FE76A3">
        <w:rPr>
          <w:color w:val="242121"/>
          <w:sz w:val="28"/>
          <w:shd w:val="clear" w:color="auto" w:fill="FFFFFF"/>
          <w:lang w:val="en-ZA"/>
        </w:rPr>
        <w:t>]</w:t>
      </w:r>
      <w:r w:rsidRPr="00FE76A3">
        <w:rPr>
          <w:color w:val="242121"/>
          <w:sz w:val="28"/>
          <w:shd w:val="clear" w:color="auto" w:fill="FFFFFF"/>
          <w:lang w:val="en-ZA"/>
        </w:rPr>
        <w:tab/>
        <w:t>In the result the following order is made:</w:t>
      </w:r>
    </w:p>
    <w:p w14:paraId="5541D6AD" w14:textId="482D7ECA" w:rsidR="00333039" w:rsidRPr="00FE76A3" w:rsidRDefault="00333039" w:rsidP="00487D67">
      <w:pPr>
        <w:tabs>
          <w:tab w:val="left" w:pos="284"/>
        </w:tabs>
        <w:rPr>
          <w:color w:val="242121"/>
          <w:sz w:val="28"/>
          <w:shd w:val="clear" w:color="auto" w:fill="FFFFFF"/>
          <w:lang w:val="en-ZA"/>
        </w:rPr>
      </w:pPr>
      <w:r w:rsidRPr="00FE76A3">
        <w:rPr>
          <w:color w:val="242121"/>
          <w:sz w:val="28"/>
          <w:shd w:val="clear" w:color="auto" w:fill="FFFFFF"/>
          <w:lang w:val="en-ZA"/>
        </w:rPr>
        <w:t>The appeal is dismissed with costs.</w:t>
      </w:r>
    </w:p>
    <w:p w14:paraId="0CD7DEC4" w14:textId="77777777" w:rsidR="00507989" w:rsidRPr="00FE76A3" w:rsidRDefault="00507989" w:rsidP="00487D67">
      <w:pPr>
        <w:tabs>
          <w:tab w:val="left" w:pos="284"/>
        </w:tabs>
        <w:rPr>
          <w:color w:val="242121"/>
          <w:sz w:val="28"/>
          <w:shd w:val="clear" w:color="auto" w:fill="FFFFFF"/>
          <w:lang w:val="en-ZA"/>
        </w:rPr>
      </w:pPr>
    </w:p>
    <w:p w14:paraId="20CC5A46" w14:textId="034511D7" w:rsidR="000805F7" w:rsidRPr="00FE76A3" w:rsidRDefault="000805F7" w:rsidP="009B273B">
      <w:pPr>
        <w:tabs>
          <w:tab w:val="left" w:pos="284"/>
        </w:tabs>
        <w:rPr>
          <w:color w:val="242121"/>
          <w:shd w:val="clear" w:color="auto" w:fill="FFFFFF"/>
          <w:lang w:val="en-ZA"/>
        </w:rPr>
      </w:pPr>
    </w:p>
    <w:p w14:paraId="229CC968" w14:textId="7D963F03" w:rsidR="003A317E" w:rsidRPr="00FE76A3" w:rsidRDefault="003A317E" w:rsidP="009B273B">
      <w:pPr>
        <w:tabs>
          <w:tab w:val="left" w:pos="284"/>
        </w:tabs>
        <w:rPr>
          <w:color w:val="242121"/>
          <w:shd w:val="clear" w:color="auto" w:fill="FFFFFF"/>
          <w:lang w:val="en-ZA"/>
        </w:rPr>
      </w:pPr>
    </w:p>
    <w:p w14:paraId="07FC5971" w14:textId="0DB9B0BC" w:rsidR="003A317E" w:rsidRPr="00FE76A3" w:rsidRDefault="003A317E" w:rsidP="009B273B">
      <w:pPr>
        <w:tabs>
          <w:tab w:val="left" w:pos="284"/>
        </w:tabs>
        <w:rPr>
          <w:color w:val="242121"/>
          <w:shd w:val="clear" w:color="auto" w:fill="FFFFFF"/>
          <w:lang w:val="en-ZA"/>
        </w:rPr>
      </w:pPr>
    </w:p>
    <w:p w14:paraId="27BDE56E" w14:textId="77777777" w:rsidR="003A317E" w:rsidRPr="00FE76A3" w:rsidRDefault="003A317E" w:rsidP="009B273B">
      <w:pPr>
        <w:tabs>
          <w:tab w:val="left" w:pos="284"/>
        </w:tabs>
        <w:rPr>
          <w:color w:val="242121"/>
          <w:shd w:val="clear" w:color="auto" w:fill="FFFFFF"/>
          <w:lang w:val="en-ZA"/>
        </w:rPr>
      </w:pPr>
    </w:p>
    <w:p w14:paraId="4CEA53D9" w14:textId="77777777" w:rsidR="008B223B" w:rsidRPr="00FE76A3" w:rsidRDefault="00322A94" w:rsidP="009B273B">
      <w:pPr>
        <w:tabs>
          <w:tab w:val="left" w:pos="284"/>
        </w:tabs>
        <w:jc w:val="right"/>
        <w:rPr>
          <w:sz w:val="28"/>
          <w:szCs w:val="28"/>
          <w:lang w:val="en-ZA"/>
        </w:rPr>
      </w:pPr>
      <w:r w:rsidRPr="00FE76A3">
        <w:rPr>
          <w:sz w:val="28"/>
          <w:szCs w:val="28"/>
          <w:u w:val="single"/>
          <w:lang w:val="en-ZA"/>
        </w:rPr>
        <w:tab/>
      </w:r>
      <w:r w:rsidRPr="00FE76A3">
        <w:rPr>
          <w:sz w:val="28"/>
          <w:szCs w:val="28"/>
          <w:u w:val="single"/>
          <w:lang w:val="en-ZA"/>
        </w:rPr>
        <w:tab/>
      </w:r>
      <w:r w:rsidRPr="00FE76A3">
        <w:rPr>
          <w:sz w:val="28"/>
          <w:szCs w:val="28"/>
          <w:u w:val="single"/>
          <w:lang w:val="en-ZA"/>
        </w:rPr>
        <w:tab/>
      </w:r>
      <w:r w:rsidRPr="00FE76A3">
        <w:rPr>
          <w:sz w:val="28"/>
          <w:szCs w:val="28"/>
          <w:u w:val="single"/>
          <w:lang w:val="en-ZA"/>
        </w:rPr>
        <w:tab/>
      </w:r>
      <w:r w:rsidRPr="00FE76A3">
        <w:rPr>
          <w:sz w:val="28"/>
          <w:szCs w:val="28"/>
          <w:u w:val="single"/>
          <w:lang w:val="en-ZA"/>
        </w:rPr>
        <w:tab/>
      </w:r>
      <w:r w:rsidRPr="00FE76A3">
        <w:rPr>
          <w:sz w:val="28"/>
          <w:szCs w:val="28"/>
          <w:u w:val="single"/>
          <w:lang w:val="en-ZA"/>
        </w:rPr>
        <w:tab/>
      </w:r>
    </w:p>
    <w:p w14:paraId="549F8033" w14:textId="77777777" w:rsidR="008B223B" w:rsidRPr="00FE76A3" w:rsidRDefault="00322A94">
      <w:pPr>
        <w:ind w:firstLine="4860"/>
        <w:jc w:val="right"/>
        <w:rPr>
          <w:sz w:val="28"/>
          <w:szCs w:val="28"/>
          <w:lang w:val="en-ZA"/>
        </w:rPr>
      </w:pPr>
      <w:r w:rsidRPr="00FE76A3">
        <w:rPr>
          <w:sz w:val="28"/>
          <w:szCs w:val="28"/>
          <w:lang w:val="en-ZA"/>
        </w:rPr>
        <w:t>X M PETSE</w:t>
      </w:r>
    </w:p>
    <w:p w14:paraId="0606129A" w14:textId="77777777" w:rsidR="008B223B" w:rsidRPr="00FE76A3" w:rsidRDefault="00902D42">
      <w:pPr>
        <w:ind w:firstLine="4860"/>
        <w:jc w:val="right"/>
        <w:rPr>
          <w:sz w:val="28"/>
          <w:szCs w:val="28"/>
          <w:lang w:val="en-ZA"/>
        </w:rPr>
      </w:pPr>
      <w:r w:rsidRPr="00FE76A3">
        <w:rPr>
          <w:sz w:val="28"/>
          <w:szCs w:val="28"/>
          <w:lang w:val="en-ZA"/>
        </w:rPr>
        <w:t>ACTING</w:t>
      </w:r>
      <w:r w:rsidR="00322A94" w:rsidRPr="00FE76A3">
        <w:rPr>
          <w:sz w:val="28"/>
          <w:szCs w:val="28"/>
          <w:lang w:val="en-ZA"/>
        </w:rPr>
        <w:t xml:space="preserve"> PRESIDENT</w:t>
      </w:r>
    </w:p>
    <w:p w14:paraId="32044AE7" w14:textId="77777777" w:rsidR="008B223B" w:rsidRPr="00FE76A3" w:rsidRDefault="00322A94">
      <w:pPr>
        <w:ind w:firstLine="4860"/>
        <w:jc w:val="right"/>
        <w:rPr>
          <w:sz w:val="28"/>
          <w:szCs w:val="28"/>
          <w:lang w:val="en-ZA"/>
        </w:rPr>
      </w:pPr>
      <w:r w:rsidRPr="00FE76A3">
        <w:rPr>
          <w:sz w:val="28"/>
          <w:szCs w:val="28"/>
          <w:lang w:val="en-ZA"/>
        </w:rPr>
        <w:t>SUPREME COURT OF APPEAL</w:t>
      </w:r>
    </w:p>
    <w:p w14:paraId="18642CC6" w14:textId="56165CE7" w:rsidR="00594D78" w:rsidRPr="00FE76A3" w:rsidRDefault="00477A3E" w:rsidP="00B224C9">
      <w:pPr>
        <w:rPr>
          <w:sz w:val="28"/>
          <w:szCs w:val="28"/>
        </w:rPr>
      </w:pPr>
      <w:r w:rsidRPr="00FE76A3">
        <w:rPr>
          <w:sz w:val="28"/>
          <w:szCs w:val="28"/>
        </w:rPr>
        <w:br w:type="page"/>
      </w:r>
    </w:p>
    <w:p w14:paraId="2CFB3A2F" w14:textId="2B6FAB46" w:rsidR="008B223B" w:rsidRPr="00FE76A3" w:rsidRDefault="00322A94">
      <w:pPr>
        <w:rPr>
          <w:sz w:val="28"/>
          <w:szCs w:val="28"/>
        </w:rPr>
      </w:pPr>
      <w:r w:rsidRPr="00FE76A3">
        <w:rPr>
          <w:sz w:val="28"/>
          <w:szCs w:val="28"/>
        </w:rPr>
        <w:lastRenderedPageBreak/>
        <w:t>A</w:t>
      </w:r>
      <w:r w:rsidR="00477A3E" w:rsidRPr="00FE76A3">
        <w:rPr>
          <w:sz w:val="28"/>
          <w:szCs w:val="28"/>
        </w:rPr>
        <w:t>ppearances</w:t>
      </w:r>
      <w:r w:rsidR="00507989" w:rsidRPr="00FE76A3">
        <w:rPr>
          <w:sz w:val="28"/>
          <w:szCs w:val="28"/>
        </w:rPr>
        <w:t>:</w:t>
      </w:r>
    </w:p>
    <w:p w14:paraId="3CF3F112" w14:textId="77777777" w:rsidR="008B223B" w:rsidRPr="00FE76A3" w:rsidRDefault="008B223B">
      <w:pPr>
        <w:rPr>
          <w:sz w:val="28"/>
          <w:szCs w:val="28"/>
        </w:rPr>
      </w:pPr>
    </w:p>
    <w:p w14:paraId="75740AC4" w14:textId="7F9AB433" w:rsidR="008B223B" w:rsidRPr="00FE76A3" w:rsidRDefault="008234CB">
      <w:pPr>
        <w:rPr>
          <w:sz w:val="28"/>
          <w:szCs w:val="28"/>
        </w:rPr>
      </w:pPr>
      <w:r w:rsidRPr="00FE76A3">
        <w:rPr>
          <w:sz w:val="28"/>
          <w:szCs w:val="28"/>
        </w:rPr>
        <w:t>For appellant</w:t>
      </w:r>
      <w:r w:rsidR="00322A94" w:rsidRPr="00FE76A3">
        <w:rPr>
          <w:sz w:val="28"/>
          <w:szCs w:val="28"/>
        </w:rPr>
        <w:t>:</w:t>
      </w:r>
      <w:r w:rsidRPr="00FE76A3">
        <w:rPr>
          <w:sz w:val="28"/>
          <w:szCs w:val="28"/>
        </w:rPr>
        <w:tab/>
      </w:r>
      <w:r w:rsidRPr="00FE76A3">
        <w:rPr>
          <w:sz w:val="28"/>
          <w:szCs w:val="28"/>
        </w:rPr>
        <w:tab/>
      </w:r>
      <w:r w:rsidR="00477A3E" w:rsidRPr="00FE76A3">
        <w:rPr>
          <w:sz w:val="28"/>
          <w:szCs w:val="28"/>
        </w:rPr>
        <w:tab/>
      </w:r>
      <w:r w:rsidR="00CA3EAD" w:rsidRPr="00FE76A3">
        <w:rPr>
          <w:sz w:val="28"/>
          <w:szCs w:val="28"/>
        </w:rPr>
        <w:t xml:space="preserve">R </w:t>
      </w:r>
      <w:r w:rsidR="003A317E" w:rsidRPr="00FE76A3">
        <w:rPr>
          <w:sz w:val="28"/>
          <w:szCs w:val="28"/>
        </w:rPr>
        <w:t>Stockwell SC</w:t>
      </w:r>
    </w:p>
    <w:p w14:paraId="7FCDE920" w14:textId="563AB2B1" w:rsidR="008B223B" w:rsidRPr="00FE76A3" w:rsidRDefault="00322A94">
      <w:pPr>
        <w:rPr>
          <w:sz w:val="28"/>
          <w:szCs w:val="28"/>
        </w:rPr>
      </w:pPr>
      <w:r w:rsidRPr="00FE76A3">
        <w:rPr>
          <w:sz w:val="28"/>
          <w:szCs w:val="28"/>
        </w:rPr>
        <w:t>Instructed by:</w:t>
      </w:r>
      <w:r w:rsidR="008234CB" w:rsidRPr="00FE76A3">
        <w:rPr>
          <w:sz w:val="28"/>
          <w:szCs w:val="28"/>
        </w:rPr>
        <w:tab/>
      </w:r>
      <w:r w:rsidR="008234CB" w:rsidRPr="00FE76A3">
        <w:rPr>
          <w:sz w:val="28"/>
          <w:szCs w:val="28"/>
        </w:rPr>
        <w:tab/>
      </w:r>
      <w:r w:rsidR="00477A3E" w:rsidRPr="00FE76A3">
        <w:rPr>
          <w:sz w:val="28"/>
          <w:szCs w:val="28"/>
        </w:rPr>
        <w:tab/>
      </w:r>
      <w:r w:rsidR="00CA3EAD" w:rsidRPr="00FE76A3">
        <w:rPr>
          <w:sz w:val="28"/>
          <w:szCs w:val="28"/>
        </w:rPr>
        <w:t>Whalley &amp; Van der Lith Inc,</w:t>
      </w:r>
      <w:r w:rsidR="005F02A1" w:rsidRPr="00FE76A3">
        <w:rPr>
          <w:sz w:val="28"/>
          <w:szCs w:val="28"/>
        </w:rPr>
        <w:t xml:space="preserve"> </w:t>
      </w:r>
      <w:r w:rsidR="00CA3EAD" w:rsidRPr="00FE76A3">
        <w:rPr>
          <w:sz w:val="28"/>
          <w:szCs w:val="28"/>
        </w:rPr>
        <w:t>Randburg</w:t>
      </w:r>
    </w:p>
    <w:p w14:paraId="19756E6F" w14:textId="24E60545" w:rsidR="008B223B" w:rsidRPr="00FE76A3" w:rsidRDefault="00CA3EAD" w:rsidP="00896C95">
      <w:pPr>
        <w:ind w:left="2880" w:firstLine="720"/>
        <w:rPr>
          <w:sz w:val="28"/>
          <w:szCs w:val="28"/>
        </w:rPr>
      </w:pPr>
      <w:r w:rsidRPr="00FE76A3">
        <w:rPr>
          <w:sz w:val="28"/>
          <w:szCs w:val="28"/>
        </w:rPr>
        <w:t>Alberts Attorneys Inc</w:t>
      </w:r>
      <w:r w:rsidR="00322A94" w:rsidRPr="00FE76A3">
        <w:rPr>
          <w:sz w:val="28"/>
          <w:szCs w:val="28"/>
        </w:rPr>
        <w:t xml:space="preserve">, Bloemfontein </w:t>
      </w:r>
    </w:p>
    <w:p w14:paraId="491A4AE7" w14:textId="77777777" w:rsidR="008234CB" w:rsidRPr="00FE76A3" w:rsidRDefault="008234CB">
      <w:pPr>
        <w:tabs>
          <w:tab w:val="left" w:pos="2340"/>
        </w:tabs>
        <w:rPr>
          <w:sz w:val="28"/>
          <w:szCs w:val="28"/>
        </w:rPr>
      </w:pPr>
    </w:p>
    <w:p w14:paraId="10B84AB3" w14:textId="27650128" w:rsidR="008B223B" w:rsidRPr="00FE76A3" w:rsidRDefault="00322A94">
      <w:pPr>
        <w:tabs>
          <w:tab w:val="left" w:pos="2340"/>
        </w:tabs>
        <w:rPr>
          <w:sz w:val="28"/>
          <w:szCs w:val="28"/>
        </w:rPr>
      </w:pPr>
      <w:r w:rsidRPr="00FE76A3">
        <w:rPr>
          <w:sz w:val="28"/>
          <w:szCs w:val="28"/>
        </w:rPr>
        <w:t>For  respondent:</w:t>
      </w:r>
      <w:r w:rsidR="008234CB" w:rsidRPr="00FE76A3">
        <w:rPr>
          <w:sz w:val="28"/>
          <w:szCs w:val="28"/>
        </w:rPr>
        <w:tab/>
      </w:r>
      <w:r w:rsidR="008234CB" w:rsidRPr="00FE76A3">
        <w:rPr>
          <w:sz w:val="28"/>
          <w:szCs w:val="28"/>
        </w:rPr>
        <w:tab/>
      </w:r>
      <w:r w:rsidR="00477A3E" w:rsidRPr="00FE76A3">
        <w:rPr>
          <w:sz w:val="28"/>
          <w:szCs w:val="28"/>
        </w:rPr>
        <w:tab/>
      </w:r>
      <w:r w:rsidR="00897E02" w:rsidRPr="00FE76A3">
        <w:rPr>
          <w:sz w:val="28"/>
          <w:szCs w:val="28"/>
        </w:rPr>
        <w:t>R S Mtohibe</w:t>
      </w:r>
    </w:p>
    <w:p w14:paraId="09167326" w14:textId="74938755" w:rsidR="008B223B" w:rsidRPr="00FE76A3" w:rsidRDefault="00322A94">
      <w:pPr>
        <w:tabs>
          <w:tab w:val="left" w:pos="2340"/>
          <w:tab w:val="left" w:pos="2520"/>
        </w:tabs>
        <w:rPr>
          <w:sz w:val="28"/>
          <w:szCs w:val="28"/>
        </w:rPr>
      </w:pPr>
      <w:r w:rsidRPr="00FE76A3">
        <w:rPr>
          <w:sz w:val="28"/>
          <w:szCs w:val="28"/>
        </w:rPr>
        <w:t>Instructed by:</w:t>
      </w:r>
      <w:r w:rsidR="008234CB" w:rsidRPr="00FE76A3">
        <w:rPr>
          <w:sz w:val="28"/>
          <w:szCs w:val="28"/>
        </w:rPr>
        <w:tab/>
      </w:r>
      <w:r w:rsidR="008234CB" w:rsidRPr="00FE76A3">
        <w:rPr>
          <w:sz w:val="28"/>
          <w:szCs w:val="28"/>
        </w:rPr>
        <w:tab/>
      </w:r>
      <w:r w:rsidR="008234CB" w:rsidRPr="00FE76A3">
        <w:rPr>
          <w:sz w:val="28"/>
          <w:szCs w:val="28"/>
        </w:rPr>
        <w:tab/>
      </w:r>
      <w:r w:rsidR="00477A3E" w:rsidRPr="00FE76A3">
        <w:rPr>
          <w:sz w:val="28"/>
          <w:szCs w:val="28"/>
        </w:rPr>
        <w:tab/>
      </w:r>
      <w:r w:rsidR="00062A34" w:rsidRPr="00FE76A3">
        <w:rPr>
          <w:sz w:val="28"/>
          <w:szCs w:val="28"/>
        </w:rPr>
        <w:t>E P Sefatsa Attorneys</w:t>
      </w:r>
      <w:r w:rsidRPr="00FE76A3">
        <w:rPr>
          <w:sz w:val="28"/>
          <w:szCs w:val="28"/>
        </w:rPr>
        <w:t xml:space="preserve">, </w:t>
      </w:r>
      <w:r w:rsidR="00062A34" w:rsidRPr="00FE76A3">
        <w:rPr>
          <w:sz w:val="28"/>
          <w:szCs w:val="28"/>
        </w:rPr>
        <w:t>Germiston</w:t>
      </w:r>
    </w:p>
    <w:p w14:paraId="3D4C1C2C" w14:textId="06E16168" w:rsidR="008B223B" w:rsidRPr="009D1B3F" w:rsidRDefault="00062A34" w:rsidP="00896C95">
      <w:pPr>
        <w:ind w:left="2880" w:firstLine="720"/>
        <w:rPr>
          <w:sz w:val="28"/>
          <w:szCs w:val="28"/>
        </w:rPr>
      </w:pPr>
      <w:r w:rsidRPr="00FE76A3">
        <w:rPr>
          <w:sz w:val="28"/>
          <w:szCs w:val="28"/>
        </w:rPr>
        <w:t>L &amp; V Attorneys</w:t>
      </w:r>
      <w:r w:rsidR="00322A94" w:rsidRPr="00FE76A3">
        <w:rPr>
          <w:sz w:val="28"/>
          <w:szCs w:val="28"/>
        </w:rPr>
        <w:t>, Bloemfontein</w:t>
      </w:r>
    </w:p>
    <w:p w14:paraId="491EAD2F" w14:textId="77777777" w:rsidR="00E579D2" w:rsidRPr="009D1B3F" w:rsidRDefault="00E579D2" w:rsidP="008234CB">
      <w:pPr>
        <w:ind w:left="2160" w:firstLine="720"/>
        <w:rPr>
          <w:sz w:val="28"/>
          <w:szCs w:val="28"/>
        </w:rPr>
      </w:pPr>
    </w:p>
    <w:p w14:paraId="0621CE9C" w14:textId="77777777" w:rsidR="00E579D2" w:rsidRPr="009D1B3F" w:rsidRDefault="00E579D2">
      <w:pPr>
        <w:rPr>
          <w:sz w:val="28"/>
          <w:szCs w:val="28"/>
        </w:rPr>
      </w:pPr>
    </w:p>
    <w:sectPr w:rsidR="00E579D2" w:rsidRPr="009D1B3F" w:rsidSect="00896C95">
      <w:headerReference w:type="even" r:id="rId10"/>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37BC" w16cex:dateUtc="2023-01-24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601FC" w16cid:durableId="277A1D50"/>
  <w16cid:commentId w16cid:paraId="0CBF6118" w16cid:durableId="277A37BC"/>
  <w16cid:commentId w16cid:paraId="578771A4" w16cid:durableId="277A1D51"/>
  <w16cid:commentId w16cid:paraId="2A422E54" w16cid:durableId="277A1D52"/>
  <w16cid:commentId w16cid:paraId="587C882F" w16cid:durableId="277A1D53"/>
  <w16cid:commentId w16cid:paraId="64A84996" w16cid:durableId="277A1D54"/>
  <w16cid:commentId w16cid:paraId="09355426" w16cid:durableId="277A1D5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008F2" w14:textId="77777777" w:rsidR="002053D6" w:rsidRDefault="002053D6">
      <w:r>
        <w:separator/>
      </w:r>
    </w:p>
  </w:endnote>
  <w:endnote w:type="continuationSeparator" w:id="0">
    <w:p w14:paraId="1676A060" w14:textId="77777777" w:rsidR="002053D6" w:rsidRDefault="0020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FC18A" w14:textId="77777777" w:rsidR="002053D6" w:rsidRDefault="002053D6">
      <w:r>
        <w:separator/>
      </w:r>
    </w:p>
  </w:footnote>
  <w:footnote w:type="continuationSeparator" w:id="0">
    <w:p w14:paraId="33E5BC49" w14:textId="77777777" w:rsidR="002053D6" w:rsidRDefault="002053D6">
      <w:r>
        <w:continuationSeparator/>
      </w:r>
    </w:p>
  </w:footnote>
  <w:footnote w:id="1">
    <w:p w14:paraId="0B0C8A6D" w14:textId="3D226C14" w:rsidR="002D3121" w:rsidRPr="002C0143" w:rsidRDefault="002D3121" w:rsidP="002C0143">
      <w:pPr>
        <w:pStyle w:val="FootnoteText"/>
        <w:spacing w:line="240" w:lineRule="auto"/>
        <w:rPr>
          <w:i/>
          <w:lang w:val="en-ZA"/>
        </w:rPr>
      </w:pPr>
      <w:r>
        <w:rPr>
          <w:rStyle w:val="FootnoteReference"/>
        </w:rPr>
        <w:footnoteRef/>
      </w:r>
      <w:r>
        <w:t xml:space="preserve"> </w:t>
      </w:r>
      <w:r>
        <w:rPr>
          <w:lang w:val="en-ZA"/>
        </w:rPr>
        <w:t xml:space="preserve">An instruction by a person who lacks the necessary mental capacity to an attorney is invalid. See, for example, </w:t>
      </w:r>
      <w:r w:rsidRPr="00E06AB8">
        <w:rPr>
          <w:i/>
          <w:lang w:val="en-ZA"/>
        </w:rPr>
        <w:t>Vallaro v Road Accident Fund</w:t>
      </w:r>
      <w:r w:rsidRPr="00E06AB8">
        <w:rPr>
          <w:lang w:val="en-ZA"/>
        </w:rPr>
        <w:t xml:space="preserve"> 2021 (4) SA 302 (GJ)</w:t>
      </w:r>
      <w:r>
        <w:rPr>
          <w:lang w:val="en-ZA"/>
        </w:rPr>
        <w:t xml:space="preserve">. It is, however, competent for a subsequently appointed curator ad litem to ratify the legal steps taken as a result of the instruction. See in this regard: </w:t>
      </w:r>
      <w:r w:rsidRPr="00805171">
        <w:rPr>
          <w:i/>
          <w:lang w:val="en-ZA"/>
        </w:rPr>
        <w:t>Kotze NO v Santam</w:t>
      </w:r>
      <w:r>
        <w:rPr>
          <w:i/>
          <w:lang w:val="en-ZA"/>
        </w:rPr>
        <w:t xml:space="preserve"> </w:t>
      </w:r>
      <w:r w:rsidRPr="00805171">
        <w:rPr>
          <w:i/>
          <w:lang w:val="en-ZA"/>
        </w:rPr>
        <w:t>Insurance Ltd</w:t>
      </w:r>
      <w:r w:rsidRPr="00805171">
        <w:rPr>
          <w:lang w:val="en-ZA"/>
        </w:rPr>
        <w:t xml:space="preserve"> 1994 (1) SA 237 (C)</w:t>
      </w:r>
      <w:r>
        <w:rPr>
          <w:lang w:val="en-ZA"/>
        </w:rPr>
        <w:t xml:space="preserve">; [1994] 3 All SA 257 (C), confirmed on appeal in </w:t>
      </w:r>
      <w:r w:rsidRPr="00805171">
        <w:rPr>
          <w:i/>
          <w:lang w:val="en-ZA"/>
        </w:rPr>
        <w:t>Santam Insurance Ltd v Booi</w:t>
      </w:r>
      <w:r w:rsidRPr="00805171">
        <w:rPr>
          <w:lang w:val="en-ZA"/>
        </w:rPr>
        <w:t xml:space="preserve"> 1995 (3) SA 301 (AD)</w:t>
      </w:r>
      <w:r>
        <w:rPr>
          <w:lang w:val="en-ZA"/>
        </w:rPr>
        <w:t xml:space="preserve">; [1995] 2 All SA 537 (A); see also </w:t>
      </w:r>
      <w:r w:rsidRPr="00030056">
        <w:rPr>
          <w:i/>
          <w:lang w:val="en-ZA"/>
        </w:rPr>
        <w:t>Road Accident Fund v Mdeyide (Minister of Transport, Intervening)</w:t>
      </w:r>
      <w:r w:rsidRPr="00030056">
        <w:rPr>
          <w:lang w:val="en-ZA"/>
        </w:rPr>
        <w:t xml:space="preserve"> 2008 (1) SA 535 (CC)</w:t>
      </w:r>
      <w:r>
        <w:rPr>
          <w:lang w:val="en-ZA"/>
        </w:rPr>
        <w:t xml:space="preserve">; 2007 (7) BCLR 805 (CC). </w:t>
      </w:r>
    </w:p>
  </w:footnote>
  <w:footnote w:id="2">
    <w:p w14:paraId="3F8E60C6" w14:textId="15E5C854" w:rsidR="002D3121" w:rsidRDefault="002D3121" w:rsidP="00896C95">
      <w:pPr>
        <w:pStyle w:val="FootnoteText"/>
        <w:spacing w:line="240" w:lineRule="auto"/>
        <w:rPr>
          <w:lang w:val="en-ZA"/>
        </w:rPr>
      </w:pPr>
      <w:r>
        <w:rPr>
          <w:rStyle w:val="FootnoteReference"/>
        </w:rPr>
        <w:footnoteRef/>
      </w:r>
      <w:r>
        <w:t xml:space="preserve"> </w:t>
      </w:r>
      <w:r>
        <w:rPr>
          <w:lang w:val="en-ZA"/>
        </w:rPr>
        <w:t>Rule 33(4) reads:</w:t>
      </w:r>
    </w:p>
    <w:p w14:paraId="2B430134" w14:textId="524F8543" w:rsidR="002D3121" w:rsidRPr="00940BF6" w:rsidRDefault="002D3121" w:rsidP="00896C95">
      <w:pPr>
        <w:pStyle w:val="FootnoteText"/>
        <w:spacing w:line="240" w:lineRule="auto"/>
        <w:rPr>
          <w:lang w:val="en-ZA"/>
        </w:rPr>
      </w:pPr>
      <w:r>
        <w:rPr>
          <w:lang w:val="en-ZA"/>
        </w:rPr>
        <w:t>‘</w:t>
      </w:r>
      <w:r w:rsidRPr="00940BF6">
        <w:rPr>
          <w:lang w:val="en-ZA"/>
        </w:rPr>
        <w:t xml:space="preserve">If, in any pending action, it appears to the court </w:t>
      </w:r>
      <w:r w:rsidRPr="00896C95">
        <w:rPr>
          <w:i/>
          <w:iCs/>
          <w:lang w:val="en-ZA"/>
        </w:rPr>
        <w:t>mero motu</w:t>
      </w:r>
      <w:r w:rsidRPr="00940BF6">
        <w:rPr>
          <w:lang w:val="en-ZA"/>
        </w:rPr>
        <w:t xml:space="preserve"> that there is a</w:t>
      </w:r>
      <w:r>
        <w:rPr>
          <w:lang w:val="en-ZA"/>
        </w:rPr>
        <w:t xml:space="preserve"> </w:t>
      </w:r>
      <w:r w:rsidRPr="00940BF6">
        <w:rPr>
          <w:lang w:val="en-ZA"/>
        </w:rPr>
        <w:t>question of law or fact which may conveniently be decided either before any</w:t>
      </w:r>
      <w:r>
        <w:rPr>
          <w:lang w:val="en-ZA"/>
        </w:rPr>
        <w:t xml:space="preserve"> </w:t>
      </w:r>
      <w:r w:rsidRPr="00940BF6">
        <w:rPr>
          <w:lang w:val="en-ZA"/>
        </w:rPr>
        <w:t>evidence is led or separately from any other question, the court may make an order</w:t>
      </w:r>
      <w:r>
        <w:rPr>
          <w:lang w:val="en-ZA"/>
        </w:rPr>
        <w:t xml:space="preserve"> </w:t>
      </w:r>
      <w:r w:rsidRPr="00940BF6">
        <w:rPr>
          <w:lang w:val="en-ZA"/>
        </w:rPr>
        <w:t>directing the disposal of such question in such manner as it may deem fit and may</w:t>
      </w:r>
      <w:r>
        <w:rPr>
          <w:lang w:val="en-ZA"/>
        </w:rPr>
        <w:t xml:space="preserve"> </w:t>
      </w:r>
      <w:r w:rsidRPr="00940BF6">
        <w:rPr>
          <w:lang w:val="en-ZA"/>
        </w:rPr>
        <w:t>order that all further proceedings be stayed until such question has been disposed of,</w:t>
      </w:r>
      <w:r>
        <w:rPr>
          <w:lang w:val="en-ZA"/>
        </w:rPr>
        <w:t xml:space="preserve"> </w:t>
      </w:r>
      <w:r w:rsidRPr="00940BF6">
        <w:rPr>
          <w:lang w:val="en-ZA"/>
        </w:rPr>
        <w:t>and the court shall on the application of any party make such order unless it appears</w:t>
      </w:r>
      <w:r>
        <w:rPr>
          <w:lang w:val="en-ZA"/>
        </w:rPr>
        <w:t xml:space="preserve"> </w:t>
      </w:r>
      <w:r w:rsidRPr="00940BF6">
        <w:rPr>
          <w:lang w:val="en-ZA"/>
        </w:rPr>
        <w:t>that the questions cannot conveniently be decided separately.</w:t>
      </w:r>
      <w:r>
        <w:rPr>
          <w:lang w:val="en-ZA"/>
        </w:rPr>
        <w:t>’</w:t>
      </w:r>
    </w:p>
  </w:footnote>
  <w:footnote w:id="3">
    <w:p w14:paraId="704ED8E1" w14:textId="7A0A1532" w:rsidR="002D3121" w:rsidRPr="000855C2" w:rsidRDefault="002D3121" w:rsidP="00896C95">
      <w:pPr>
        <w:pStyle w:val="FootnoteText"/>
        <w:spacing w:line="240" w:lineRule="auto"/>
        <w:rPr>
          <w:lang w:val="en-ZA"/>
        </w:rPr>
      </w:pPr>
      <w:r>
        <w:rPr>
          <w:rStyle w:val="FootnoteReference"/>
        </w:rPr>
        <w:footnoteRef/>
      </w:r>
      <w:r>
        <w:t xml:space="preserve"> </w:t>
      </w:r>
      <w:r w:rsidRPr="000855C2">
        <w:rPr>
          <w:i/>
        </w:rPr>
        <w:t>Natal Joint Municipal Pension Fund v Endumeni Municipality</w:t>
      </w:r>
      <w:r>
        <w:t xml:space="preserve"> </w:t>
      </w:r>
      <w:r w:rsidRPr="000855C2">
        <w:t>[2012] ZASCA 13; [2012] 2 All SA 262 (SCA); 2012 (4) SA 593 (SCA)</w:t>
      </w:r>
      <w:r>
        <w:t xml:space="preserve"> (</w:t>
      </w:r>
      <w:r>
        <w:rPr>
          <w:i/>
        </w:rPr>
        <w:t>Endumeni</w:t>
      </w:r>
      <w:r>
        <w:t>).</w:t>
      </w:r>
    </w:p>
  </w:footnote>
  <w:footnote w:id="4">
    <w:p w14:paraId="06CE8DBB" w14:textId="55E0631A" w:rsidR="002D3121" w:rsidRPr="0097491E" w:rsidRDefault="002D3121" w:rsidP="00896C95">
      <w:pPr>
        <w:pStyle w:val="FootnoteText"/>
        <w:spacing w:line="240" w:lineRule="auto"/>
        <w:rPr>
          <w:lang w:val="en-ZA"/>
        </w:rPr>
      </w:pPr>
      <w:r>
        <w:rPr>
          <w:rStyle w:val="FootnoteReference"/>
        </w:rPr>
        <w:footnoteRef/>
      </w:r>
      <w:r>
        <w:t xml:space="preserve"> </w:t>
      </w:r>
      <w:r>
        <w:rPr>
          <w:lang w:val="en-ZA"/>
        </w:rPr>
        <w:t>Ibid para 18.</w:t>
      </w:r>
    </w:p>
  </w:footnote>
  <w:footnote w:id="5">
    <w:p w14:paraId="4DAF237D" w14:textId="77777777" w:rsidR="002D3121" w:rsidRDefault="002D3121" w:rsidP="00896C95">
      <w:pPr>
        <w:pStyle w:val="FootnoteText"/>
        <w:spacing w:line="240" w:lineRule="auto"/>
        <w:rPr>
          <w:lang w:val="en-ZA"/>
        </w:rPr>
      </w:pPr>
      <w:r>
        <w:rPr>
          <w:rStyle w:val="FootnoteReference"/>
        </w:rPr>
        <w:footnoteRef/>
      </w:r>
      <w:r>
        <w:t xml:space="preserve"> </w:t>
      </w:r>
      <w:r>
        <w:rPr>
          <w:lang w:val="en-ZA"/>
        </w:rPr>
        <w:t>Section 39(2) of the Constitution reads:</w:t>
      </w:r>
    </w:p>
    <w:p w14:paraId="60311AEA" w14:textId="0E54A16F" w:rsidR="002D3121" w:rsidRPr="00896C95" w:rsidRDefault="002D3121" w:rsidP="00896C95">
      <w:pPr>
        <w:pStyle w:val="FootnoteText"/>
        <w:spacing w:line="240" w:lineRule="auto"/>
        <w:rPr>
          <w:lang w:val="en-ZA"/>
        </w:rPr>
      </w:pPr>
      <w:r>
        <w:rPr>
          <w:lang w:val="en-ZA"/>
        </w:rPr>
        <w:t>‘When interpreting any legislation, . . . every court, tribunal or forum must promote the spirit, purport and objects of the Bill of Rights.’</w:t>
      </w:r>
    </w:p>
  </w:footnote>
  <w:footnote w:id="6">
    <w:p w14:paraId="010EAFD0" w14:textId="47B1149D" w:rsidR="002D3121" w:rsidRPr="00896C95" w:rsidRDefault="002D3121" w:rsidP="00896C95">
      <w:pPr>
        <w:pStyle w:val="FootnoteText"/>
        <w:spacing w:line="240" w:lineRule="auto"/>
        <w:rPr>
          <w:lang w:val="en-ZA"/>
        </w:rPr>
      </w:pPr>
      <w:r>
        <w:rPr>
          <w:rStyle w:val="FootnoteReference"/>
        </w:rPr>
        <w:footnoteRef/>
      </w:r>
      <w:r>
        <w:t xml:space="preserve"> </w:t>
      </w:r>
      <w:r w:rsidRPr="001D15D7">
        <w:rPr>
          <w:i/>
        </w:rPr>
        <w:t>Makate v Vodacom (Pty) Ltd</w:t>
      </w:r>
      <w:r>
        <w:t xml:space="preserve"> </w:t>
      </w:r>
      <w:r w:rsidRPr="001D15D7">
        <w:t>[2016] ZACC 13; 2016 (6) BCLR 709 (CC); 2016 (4) SA 121 (CC)</w:t>
      </w:r>
      <w:r>
        <w:t xml:space="preserve"> para 87.</w:t>
      </w:r>
    </w:p>
  </w:footnote>
  <w:footnote w:id="7">
    <w:p w14:paraId="4DDE4AAA" w14:textId="49756C17" w:rsidR="002D3121" w:rsidRPr="00C506F0" w:rsidRDefault="002D3121" w:rsidP="00896C95">
      <w:pPr>
        <w:pStyle w:val="FootnoteText"/>
        <w:spacing w:line="240" w:lineRule="auto"/>
        <w:rPr>
          <w:lang w:val="en-ZA"/>
        </w:rPr>
      </w:pPr>
      <w:r>
        <w:rPr>
          <w:rStyle w:val="FootnoteReference"/>
        </w:rPr>
        <w:footnoteRef/>
      </w:r>
      <w:r>
        <w:t xml:space="preserve"> </w:t>
      </w:r>
      <w:r w:rsidRPr="00C506F0">
        <w:rPr>
          <w:i/>
        </w:rPr>
        <w:t>Road Accident Fund and Another v Mdeyide</w:t>
      </w:r>
      <w:r>
        <w:t xml:space="preserve"> </w:t>
      </w:r>
      <w:r w:rsidRPr="00C506F0">
        <w:t>[2010] ZACC 18; 2011 (1) BCLR 1 (CC); 2011 (2) SA 26 (CC)</w:t>
      </w:r>
      <w:r>
        <w:t>.</w:t>
      </w:r>
    </w:p>
  </w:footnote>
  <w:footnote w:id="8">
    <w:p w14:paraId="4623C653" w14:textId="38C097A1" w:rsidR="002D3121" w:rsidRPr="00C506F0" w:rsidRDefault="002D3121" w:rsidP="00896C95">
      <w:pPr>
        <w:pStyle w:val="FootnoteText"/>
        <w:spacing w:line="240" w:lineRule="auto"/>
        <w:rPr>
          <w:lang w:val="en-ZA"/>
        </w:rPr>
      </w:pPr>
      <w:r>
        <w:rPr>
          <w:rStyle w:val="FootnoteReference"/>
        </w:rPr>
        <w:footnoteRef/>
      </w:r>
      <w:r>
        <w:t xml:space="preserve"> Ibid </w:t>
      </w:r>
      <w:r>
        <w:rPr>
          <w:lang w:val="en-ZA"/>
        </w:rPr>
        <w:t>para 10.</w:t>
      </w:r>
    </w:p>
  </w:footnote>
  <w:footnote w:id="9">
    <w:p w14:paraId="46FEE355" w14:textId="1CF57E59" w:rsidR="002D3121" w:rsidRPr="009F4DCD" w:rsidRDefault="002D3121" w:rsidP="00896C95">
      <w:pPr>
        <w:pStyle w:val="FootnoteText"/>
        <w:spacing w:line="240" w:lineRule="auto"/>
        <w:rPr>
          <w:lang w:val="en-ZA"/>
        </w:rPr>
      </w:pPr>
      <w:r>
        <w:rPr>
          <w:rStyle w:val="FootnoteReference"/>
        </w:rPr>
        <w:footnoteRef/>
      </w:r>
      <w:r>
        <w:t xml:space="preserve"> </w:t>
      </w:r>
      <w:r w:rsidRPr="009F4DCD">
        <w:rPr>
          <w:i/>
        </w:rPr>
        <w:t>Investigating Directorate:</w:t>
      </w:r>
      <w:r>
        <w:rPr>
          <w:i/>
        </w:rPr>
        <w:t xml:space="preserve"> </w:t>
      </w:r>
      <w:r w:rsidRPr="009F4DCD">
        <w:rPr>
          <w:i/>
        </w:rPr>
        <w:t>Serious Economic Offences and Others v Hyundai Motor Distributors (Pty) Ltd and Others In re: Hyundai Motor Distributors (Pty) Ltd and Others v Smit NO and Others</w:t>
      </w:r>
      <w:r>
        <w:t xml:space="preserve">  2000 (10) BCLR 1079 (CC)</w:t>
      </w:r>
      <w:r w:rsidRPr="009F4DCD">
        <w:t>; 2001 (1) SA 545 (CC)</w:t>
      </w:r>
      <w:r>
        <w:t xml:space="preserve"> </w:t>
      </w:r>
      <w:r>
        <w:rPr>
          <w:lang w:val="en-ZA"/>
        </w:rPr>
        <w:t>para 24.</w:t>
      </w:r>
    </w:p>
  </w:footnote>
  <w:footnote w:id="10">
    <w:p w14:paraId="3A34937B" w14:textId="765AFAD6" w:rsidR="002D3121" w:rsidRPr="00235866" w:rsidRDefault="002D3121" w:rsidP="00896C95">
      <w:pPr>
        <w:pStyle w:val="FootnoteText"/>
        <w:spacing w:line="240" w:lineRule="auto"/>
        <w:rPr>
          <w:lang w:val="en-US"/>
        </w:rPr>
      </w:pPr>
      <w:r>
        <w:rPr>
          <w:rStyle w:val="FootnoteReference"/>
        </w:rPr>
        <w:footnoteRef/>
      </w:r>
      <w:r>
        <w:t xml:space="preserve"> </w:t>
      </w:r>
      <w:r w:rsidRPr="00235866">
        <w:t xml:space="preserve">For examples see </w:t>
      </w:r>
      <w:r w:rsidRPr="00235866">
        <w:rPr>
          <w:i/>
        </w:rPr>
        <w:t>Bato Star Fishing (Pty) Lid v Minister of Environmental Affairs and Tourism</w:t>
      </w:r>
      <w:r w:rsidRPr="00235866">
        <w:t xml:space="preserve"> </w:t>
      </w:r>
      <w:r>
        <w:t xml:space="preserve">and Others </w:t>
      </w:r>
      <w:r w:rsidRPr="00235866">
        <w:t xml:space="preserve"> 2004 (4) SA 490 (CC); 2004 (7) BCLR 687 (CC) para 90 </w:t>
      </w:r>
      <w:r>
        <w:t xml:space="preserve">|(the judgment of Ngcobo J) </w:t>
      </w:r>
      <w:r w:rsidRPr="00235866">
        <w:t xml:space="preserve">quoted with approval in </w:t>
      </w:r>
      <w:r w:rsidRPr="00235866">
        <w:rPr>
          <w:i/>
        </w:rPr>
        <w:t>Du Toit v Minister for Safety and Security</w:t>
      </w:r>
      <w:r w:rsidRPr="00235866">
        <w:t xml:space="preserve"> </w:t>
      </w:r>
      <w:r w:rsidRPr="00F86DF5">
        <w:rPr>
          <w:i/>
        </w:rPr>
        <w:t>and Another</w:t>
      </w:r>
      <w:r>
        <w:t xml:space="preserve"> </w:t>
      </w:r>
      <w:r w:rsidRPr="00235866">
        <w:t xml:space="preserve">[2009] ZACC 22; 2010 (1) SACR 1 (CC); 2009 (12) BCLR 1171 (CC) para 38; </w:t>
      </w:r>
      <w:r w:rsidRPr="00235866">
        <w:rPr>
          <w:i/>
        </w:rPr>
        <w:t xml:space="preserve">Bertie Van Zyl (Pty) Ltd </w:t>
      </w:r>
      <w:r>
        <w:rPr>
          <w:i/>
        </w:rPr>
        <w:t xml:space="preserve">and Another </w:t>
      </w:r>
      <w:r w:rsidRPr="00235866">
        <w:rPr>
          <w:i/>
        </w:rPr>
        <w:t>v Minister for Safety and Security</w:t>
      </w:r>
      <w:r>
        <w:rPr>
          <w:i/>
        </w:rPr>
        <w:t xml:space="preserve"> and Others </w:t>
      </w:r>
      <w:r w:rsidRPr="00235866">
        <w:t xml:space="preserve"> [2009] ZACC 11; 2010 (2) SA 181 (CC); 2009 (10) BCLR 978 (CC) (</w:t>
      </w:r>
      <w:r w:rsidRPr="00235866">
        <w:rPr>
          <w:i/>
        </w:rPr>
        <w:t>Bertie Van Zy</w:t>
      </w:r>
      <w:r>
        <w:rPr>
          <w:i/>
        </w:rPr>
        <w:t>l</w:t>
      </w:r>
      <w:r w:rsidRPr="00235866">
        <w:t xml:space="preserve">) para 21; </w:t>
      </w:r>
      <w:r w:rsidRPr="00235866">
        <w:rPr>
          <w:i/>
        </w:rPr>
        <w:t xml:space="preserve">KwaZulu-Natal Joint Liaison Committee v MEC </w:t>
      </w:r>
      <w:r>
        <w:rPr>
          <w:i/>
        </w:rPr>
        <w:t xml:space="preserve">Department of </w:t>
      </w:r>
      <w:r w:rsidRPr="00235866">
        <w:rPr>
          <w:i/>
        </w:rPr>
        <w:t>Education, KwaZulu-Natal</w:t>
      </w:r>
      <w:r>
        <w:rPr>
          <w:i/>
        </w:rPr>
        <w:t xml:space="preserve"> and Others</w:t>
      </w:r>
      <w:r w:rsidRPr="00235866">
        <w:t xml:space="preserve"> [2013] ZACC 10; 2013 (4) SA 262 (CC); 2013 (6) BCLR 615 (CC) para 129; </w:t>
      </w:r>
      <w:r w:rsidRPr="00235866">
        <w:rPr>
          <w:i/>
        </w:rPr>
        <w:t>Kubyana v Standard Bank of South Africa Ltd</w:t>
      </w:r>
      <w:r w:rsidRPr="00235866">
        <w:t xml:space="preserve"> [2014] ZACC 1; 2014 (3) SA 56 (CC); 2014 (4) BCLR 400 (CC) paras 77-8</w:t>
      </w:r>
      <w:r>
        <w:t xml:space="preserve">; </w:t>
      </w:r>
      <w:r>
        <w:rPr>
          <w:i/>
          <w:lang w:val="en-US"/>
        </w:rPr>
        <w:t>Cool Ideas 1186 CC v Hubbard</w:t>
      </w:r>
      <w:r>
        <w:rPr>
          <w:lang w:val="en-US"/>
        </w:rPr>
        <w:t xml:space="preserve"> </w:t>
      </w:r>
      <w:r w:rsidRPr="00896C95">
        <w:rPr>
          <w:i/>
          <w:iCs/>
          <w:lang w:val="en-US"/>
        </w:rPr>
        <w:t>and Another</w:t>
      </w:r>
      <w:r>
        <w:rPr>
          <w:lang w:val="en-US"/>
        </w:rPr>
        <w:t xml:space="preserve"> [2014] ZACC 16; 2014 (4) SA 474 (CC); 2014 (8) BCLR 869 (CC) (</w:t>
      </w:r>
      <w:r>
        <w:rPr>
          <w:i/>
          <w:lang w:val="en-US"/>
        </w:rPr>
        <w:t>Cool Ideas</w:t>
      </w:r>
      <w:r>
        <w:rPr>
          <w:lang w:val="en-US"/>
        </w:rPr>
        <w:t xml:space="preserve">) para 28; </w:t>
      </w:r>
      <w:r w:rsidRPr="00275165">
        <w:rPr>
          <w:i/>
          <w:lang w:val="en-US"/>
        </w:rPr>
        <w:t>Natal Joint Municipal Pension Fund v Endumeni Municipality</w:t>
      </w:r>
      <w:r w:rsidRPr="00275165">
        <w:rPr>
          <w:lang w:val="en-US"/>
        </w:rPr>
        <w:t xml:space="preserve"> [2012] ZASCA 13; [2012] 2 All SA 262 (SCA); 2012 (4) SA 593 (SCA)</w:t>
      </w:r>
      <w:r>
        <w:rPr>
          <w:lang w:val="en-US"/>
        </w:rPr>
        <w:t xml:space="preserve"> para 18; </w:t>
      </w:r>
      <w:r w:rsidRPr="00556FE3">
        <w:rPr>
          <w:i/>
          <w:lang w:val="en-US"/>
        </w:rPr>
        <w:t>Bothma-Batho Transport (Edms) Bpk v S Bothma &amp; Seun Transport (Edms) Bpk</w:t>
      </w:r>
      <w:r w:rsidRPr="00556FE3">
        <w:rPr>
          <w:lang w:val="en-US"/>
        </w:rPr>
        <w:t xml:space="preserve"> [2013] ZASCA 176; [2014] 1 All SA 517 (SCA); 2014 (2) SA 494 (SCA)</w:t>
      </w:r>
      <w:r>
        <w:rPr>
          <w:lang w:val="en-US"/>
        </w:rPr>
        <w:t xml:space="preserve">; </w:t>
      </w:r>
      <w:r w:rsidRPr="00660B19">
        <w:rPr>
          <w:i/>
          <w:lang w:val="en-US"/>
        </w:rPr>
        <w:t>G4s Cash Solutions v Zandspruit Cash And Carry (Pty) Ltd and Another</w:t>
      </w:r>
      <w:r w:rsidRPr="00660B19">
        <w:rPr>
          <w:lang w:val="en-US"/>
        </w:rPr>
        <w:t xml:space="preserve"> [2016] ZASCA 113; 2017 (2) SA 24 (SCA)</w:t>
      </w:r>
      <w:r>
        <w:rPr>
          <w:lang w:val="en-US"/>
        </w:rPr>
        <w:t xml:space="preserve"> para 12; </w:t>
      </w:r>
      <w:r w:rsidRPr="0053631A">
        <w:rPr>
          <w:i/>
          <w:lang w:val="en-US"/>
        </w:rPr>
        <w:t>Capitec Bank Holdings Limited and Another v Coral Lagoon Investments 194 (Pty) Ltd and Others</w:t>
      </w:r>
      <w:r w:rsidRPr="0053631A">
        <w:rPr>
          <w:lang w:val="en-US"/>
        </w:rPr>
        <w:t xml:space="preserve"> [2021] ZASCA 99; [2021] 3 All SA 647 (SCA); 2022 (1) SA 100 (SCA)</w:t>
      </w:r>
      <w:r>
        <w:rPr>
          <w:lang w:val="en-US"/>
        </w:rPr>
        <w:t xml:space="preserve"> para 46.</w:t>
      </w:r>
    </w:p>
  </w:footnote>
  <w:footnote w:id="11">
    <w:p w14:paraId="0E286ADC" w14:textId="142D863A" w:rsidR="002D3121" w:rsidRPr="00617A25" w:rsidRDefault="002D3121" w:rsidP="00896C95">
      <w:pPr>
        <w:pStyle w:val="FootnoteText"/>
        <w:spacing w:line="240" w:lineRule="auto"/>
        <w:rPr>
          <w:lang w:val="en-US"/>
        </w:rPr>
      </w:pPr>
      <w:r>
        <w:rPr>
          <w:rStyle w:val="FootnoteReference"/>
        </w:rPr>
        <w:footnoteRef/>
      </w:r>
      <w:r>
        <w:t xml:space="preserve"> </w:t>
      </w:r>
      <w:r w:rsidRPr="00617A25">
        <w:rPr>
          <w:i/>
        </w:rPr>
        <w:t xml:space="preserve">Minister of Police </w:t>
      </w:r>
      <w:r>
        <w:rPr>
          <w:i/>
        </w:rPr>
        <w:t>and</w:t>
      </w:r>
      <w:r w:rsidRPr="00617A25">
        <w:rPr>
          <w:i/>
        </w:rPr>
        <w:t xml:space="preserve"> Others v Fidelity Security Services (Pty) Limited</w:t>
      </w:r>
      <w:r>
        <w:t xml:space="preserve"> </w:t>
      </w:r>
      <w:r w:rsidRPr="00617A25">
        <w:t>[2022] ZACC 16; 2022 (2) SACR 519 (CC)</w:t>
      </w:r>
      <w:r>
        <w:t xml:space="preserve"> para 34.</w:t>
      </w:r>
    </w:p>
  </w:footnote>
  <w:footnote w:id="12">
    <w:p w14:paraId="54E94217" w14:textId="0AC8B542" w:rsidR="002D3121" w:rsidRPr="007249B2" w:rsidRDefault="002D3121" w:rsidP="00896C95">
      <w:pPr>
        <w:pStyle w:val="FootnoteText"/>
        <w:spacing w:line="240" w:lineRule="auto"/>
        <w:rPr>
          <w:lang w:val="en-US"/>
        </w:rPr>
      </w:pPr>
      <w:r>
        <w:rPr>
          <w:rStyle w:val="FootnoteReference"/>
        </w:rPr>
        <w:footnoteRef/>
      </w:r>
      <w:r>
        <w:t xml:space="preserve"> </w:t>
      </w:r>
      <w:r>
        <w:rPr>
          <w:lang w:val="en-US"/>
        </w:rPr>
        <w:t xml:space="preserve">See, for example, </w:t>
      </w:r>
      <w:r w:rsidRPr="000741BB">
        <w:rPr>
          <w:i/>
          <w:lang w:val="en-US"/>
        </w:rPr>
        <w:t>Republican Press (Pty) Ltd v CEPPWAWU and Others</w:t>
      </w:r>
      <w:r w:rsidRPr="000741BB">
        <w:rPr>
          <w:lang w:val="en-US"/>
        </w:rPr>
        <w:t xml:space="preserve"> [2007] ZASCA 121; 2008 (1) SA 404 (SCA); [2007] 11 BLLR 1001 (SCA)</w:t>
      </w:r>
      <w:r>
        <w:rPr>
          <w:lang w:val="en-US"/>
        </w:rPr>
        <w:t xml:space="preserve"> para 19; </w:t>
      </w:r>
      <w:r>
        <w:rPr>
          <w:i/>
          <w:lang w:val="en-US"/>
        </w:rPr>
        <w:t>Jaga v Dönges NO and Another</w:t>
      </w:r>
      <w:r>
        <w:rPr>
          <w:lang w:val="en-US"/>
        </w:rPr>
        <w:t xml:space="preserve"> 1950 (4) SA 633 (A) at 662.</w:t>
      </w:r>
    </w:p>
  </w:footnote>
  <w:footnote w:id="13">
    <w:p w14:paraId="310B70FB" w14:textId="3C3C71D3" w:rsidR="002D3121" w:rsidRPr="00260079" w:rsidRDefault="002D3121" w:rsidP="00896C95">
      <w:pPr>
        <w:pStyle w:val="FootnoteText"/>
        <w:spacing w:line="240" w:lineRule="auto"/>
        <w:rPr>
          <w:lang w:val="en-US"/>
        </w:rPr>
      </w:pPr>
      <w:r>
        <w:rPr>
          <w:rStyle w:val="FootnoteReference"/>
        </w:rPr>
        <w:footnoteRef/>
      </w:r>
      <w:r>
        <w:t xml:space="preserve"> </w:t>
      </w:r>
      <w:r w:rsidRPr="00260079">
        <w:rPr>
          <w:i/>
        </w:rPr>
        <w:t>Road Accident Fund v Smith N</w:t>
      </w:r>
      <w:r>
        <w:rPr>
          <w:i/>
        </w:rPr>
        <w:t>O</w:t>
      </w:r>
      <w:r w:rsidRPr="00260079">
        <w:t xml:space="preserve"> 1999 (1) SA 92 (SCA); [1998] 4 All SA 429 (A)</w:t>
      </w:r>
      <w:r>
        <w:t>.</w:t>
      </w:r>
    </w:p>
  </w:footnote>
  <w:footnote w:id="14">
    <w:p w14:paraId="305B7465" w14:textId="2BD958F6" w:rsidR="002D3121" w:rsidRPr="006156F9" w:rsidRDefault="002D3121" w:rsidP="00896C95">
      <w:pPr>
        <w:pStyle w:val="FootnoteText"/>
        <w:spacing w:line="240" w:lineRule="auto"/>
        <w:rPr>
          <w:lang w:val="en-US"/>
        </w:rPr>
      </w:pPr>
      <w:r>
        <w:rPr>
          <w:rStyle w:val="FootnoteReference"/>
        </w:rPr>
        <w:footnoteRef/>
      </w:r>
      <w:r>
        <w:t xml:space="preserve"> </w:t>
      </w:r>
      <w:r w:rsidRPr="006156F9">
        <w:rPr>
          <w:i/>
        </w:rPr>
        <w:t>ABP 4x4 Motor Dealers (Pty) Ltd v IGI Insurance Co Ltd</w:t>
      </w:r>
      <w:r w:rsidRPr="006156F9">
        <w:t xml:space="preserve"> 1999 (3) SA 924 (SCA</w:t>
      </w:r>
      <w:r>
        <w:t>).</w:t>
      </w:r>
    </w:p>
  </w:footnote>
  <w:footnote w:id="15">
    <w:p w14:paraId="442596A5" w14:textId="75E78F01" w:rsidR="002D3121" w:rsidRPr="00905CC6" w:rsidRDefault="002D3121" w:rsidP="00896C95">
      <w:pPr>
        <w:pStyle w:val="FootnoteText"/>
        <w:spacing w:line="240" w:lineRule="auto"/>
        <w:rPr>
          <w:lang w:val="en-US"/>
        </w:rPr>
      </w:pPr>
      <w:r>
        <w:rPr>
          <w:rStyle w:val="FootnoteReference"/>
        </w:rPr>
        <w:footnoteRef/>
      </w:r>
      <w:r>
        <w:t xml:space="preserve"> </w:t>
      </w:r>
      <w:r w:rsidRPr="00905CC6">
        <w:rPr>
          <w:i/>
        </w:rPr>
        <w:t>Deloitte Haskins &amp; Sells Consultants (Pty) Ltd v Bowthorpe Hellerman Deutsch (Pty) Ltd</w:t>
      </w:r>
      <w:r w:rsidRPr="00905CC6">
        <w:t xml:space="preserve"> </w:t>
      </w:r>
      <w:r>
        <w:t xml:space="preserve">[1991] 1 All SA 400 (A); </w:t>
      </w:r>
      <w:r w:rsidRPr="00905CC6">
        <w:t>1991 (1) SA 5</w:t>
      </w:r>
      <w:r>
        <w:t>25 (AD) at 532G.</w:t>
      </w:r>
    </w:p>
  </w:footnote>
  <w:footnote w:id="16">
    <w:p w14:paraId="3D7E2278" w14:textId="6069EB55" w:rsidR="002D3121" w:rsidRPr="00F029EE" w:rsidRDefault="002D3121" w:rsidP="00896C95">
      <w:pPr>
        <w:pStyle w:val="FootnoteText"/>
        <w:spacing w:line="240" w:lineRule="auto"/>
        <w:rPr>
          <w:lang w:val="en-US"/>
        </w:rPr>
      </w:pPr>
      <w:r>
        <w:rPr>
          <w:rStyle w:val="FootnoteReference"/>
        </w:rPr>
        <w:footnoteRef/>
      </w:r>
      <w:r>
        <w:t xml:space="preserve"> </w:t>
      </w:r>
      <w:r>
        <w:rPr>
          <w:lang w:val="en-US"/>
        </w:rPr>
        <w:t>Section 12(1) of the Prescription Act quoted in para 15 above.</w:t>
      </w:r>
    </w:p>
  </w:footnote>
  <w:footnote w:id="17">
    <w:p w14:paraId="654FF7EE" w14:textId="276A966E" w:rsidR="002D3121" w:rsidRPr="00896C95" w:rsidRDefault="002D3121" w:rsidP="00896C95">
      <w:pPr>
        <w:pStyle w:val="FootnoteText"/>
        <w:spacing w:line="240" w:lineRule="auto"/>
        <w:rPr>
          <w:lang w:val="en-ZA"/>
        </w:rPr>
      </w:pPr>
      <w:r>
        <w:rPr>
          <w:rStyle w:val="FootnoteReference"/>
        </w:rPr>
        <w:footnoteRef/>
      </w:r>
      <w:r>
        <w:t xml:space="preserve"> </w:t>
      </w:r>
      <w:r w:rsidRPr="00DD7774">
        <w:rPr>
          <w:i/>
        </w:rPr>
        <w:t>Truter and Another v Deysel</w:t>
      </w:r>
      <w:r w:rsidRPr="00DD7774">
        <w:t xml:space="preserve"> 2006 (4) SA 168 (SCA)</w:t>
      </w:r>
      <w:r>
        <w:t xml:space="preserve"> para 15.</w:t>
      </w:r>
    </w:p>
  </w:footnote>
  <w:footnote w:id="18">
    <w:p w14:paraId="3554F5EC" w14:textId="3DDE9BCF" w:rsidR="002D3121" w:rsidRPr="00E54409" w:rsidRDefault="002D3121" w:rsidP="00896C95">
      <w:pPr>
        <w:pStyle w:val="FootnoteText"/>
        <w:spacing w:line="240" w:lineRule="auto"/>
        <w:rPr>
          <w:lang w:val="en-ZA"/>
        </w:rPr>
      </w:pPr>
      <w:r>
        <w:rPr>
          <w:rStyle w:val="FootnoteReference"/>
        </w:rPr>
        <w:footnoteRef/>
      </w:r>
      <w:r>
        <w:t xml:space="preserve"> </w:t>
      </w:r>
      <w:r>
        <w:rPr>
          <w:lang w:val="en-ZA"/>
        </w:rPr>
        <w:t>Section 12(3) quoted in para 16 above.</w:t>
      </w:r>
    </w:p>
  </w:footnote>
  <w:footnote w:id="19">
    <w:p w14:paraId="69C3CC36" w14:textId="46E81746" w:rsidR="002D3121" w:rsidRPr="00E54409" w:rsidRDefault="002D3121" w:rsidP="00896C95">
      <w:pPr>
        <w:pStyle w:val="FootnoteText"/>
        <w:spacing w:line="240" w:lineRule="auto"/>
        <w:rPr>
          <w:lang w:val="en-ZA"/>
        </w:rPr>
      </w:pPr>
      <w:r>
        <w:rPr>
          <w:rStyle w:val="FootnoteReference"/>
        </w:rPr>
        <w:footnoteRef/>
      </w:r>
      <w:r>
        <w:t xml:space="preserve"> </w:t>
      </w:r>
      <w:r>
        <w:rPr>
          <w:lang w:val="en-ZA"/>
        </w:rPr>
        <w:t xml:space="preserve">See, for example, </w:t>
      </w:r>
      <w:r w:rsidRPr="0030007F">
        <w:rPr>
          <w:i/>
          <w:lang w:val="en-ZA"/>
        </w:rPr>
        <w:t>Mohlomi v Minister of Defence</w:t>
      </w:r>
      <w:r w:rsidRPr="0030007F">
        <w:rPr>
          <w:lang w:val="en-ZA"/>
        </w:rPr>
        <w:t xml:space="preserve"> 1997 (1) SA 124</w:t>
      </w:r>
      <w:r>
        <w:rPr>
          <w:lang w:val="en-ZA"/>
        </w:rPr>
        <w:t xml:space="preserve">; 1996 (12) BCLR 1559 para 11; </w:t>
      </w:r>
      <w:r w:rsidRPr="00F12FC1">
        <w:rPr>
          <w:i/>
          <w:lang w:val="en-ZA"/>
        </w:rPr>
        <w:t>Engelbrecht v Road Accident Fund and Another</w:t>
      </w:r>
      <w:r w:rsidRPr="00F12FC1">
        <w:rPr>
          <w:lang w:val="en-ZA"/>
        </w:rPr>
        <w:t xml:space="preserve"> </w:t>
      </w:r>
      <w:r>
        <w:rPr>
          <w:lang w:val="en-ZA"/>
        </w:rPr>
        <w:t xml:space="preserve">[2007] ZACC 1; </w:t>
      </w:r>
      <w:r w:rsidRPr="00F12FC1">
        <w:rPr>
          <w:lang w:val="en-ZA"/>
        </w:rPr>
        <w:t>2007 (6) SA</w:t>
      </w:r>
      <w:r>
        <w:rPr>
          <w:lang w:val="en-ZA"/>
        </w:rPr>
        <w:t xml:space="preserve"> 96 (CC); 2007 (5) BCLR 457 (CC) para 29; </w:t>
      </w:r>
      <w:r w:rsidRPr="00B46139">
        <w:rPr>
          <w:i/>
          <w:lang w:val="en-ZA"/>
        </w:rPr>
        <w:t>Brümmer v Minister for Social Development and Others</w:t>
      </w:r>
      <w:r w:rsidRPr="00B46139">
        <w:rPr>
          <w:lang w:val="en-ZA"/>
        </w:rPr>
        <w:t xml:space="preserve"> [2009] ZACC 21; 2009 (6) SA 323 (CC)</w:t>
      </w:r>
      <w:r>
        <w:rPr>
          <w:lang w:val="en-ZA"/>
        </w:rPr>
        <w:t>; 2009 (11) BCLR 1075 (CC) paras 64-67.</w:t>
      </w:r>
    </w:p>
  </w:footnote>
  <w:footnote w:id="20">
    <w:p w14:paraId="2B21EA86" w14:textId="4F661405" w:rsidR="002D3121" w:rsidRPr="00663B2B" w:rsidRDefault="002D3121" w:rsidP="00896C95">
      <w:pPr>
        <w:pStyle w:val="FootnoteText"/>
        <w:spacing w:line="240" w:lineRule="auto"/>
        <w:rPr>
          <w:lang w:val="en-US"/>
        </w:rPr>
      </w:pPr>
      <w:r>
        <w:rPr>
          <w:rStyle w:val="FootnoteReference"/>
        </w:rPr>
        <w:footnoteRef/>
      </w:r>
      <w:r>
        <w:t xml:space="preserve"> </w:t>
      </w:r>
      <w:r w:rsidRPr="009823FB">
        <w:rPr>
          <w:i/>
        </w:rPr>
        <w:t>Mohlomi v Minister of Defence</w:t>
      </w:r>
      <w:r>
        <w:t xml:space="preserve"> 1997 (1) SA 124 (CC); 1996 (12) BCLR 1559 (CC) </w:t>
      </w:r>
      <w:r w:rsidRPr="00F3774E">
        <w:rPr>
          <w:i/>
        </w:rPr>
        <w:t>(Mohlomi)</w:t>
      </w:r>
      <w:r>
        <w:rPr>
          <w:i/>
        </w:rPr>
        <w:t xml:space="preserve"> </w:t>
      </w:r>
      <w:r>
        <w:rPr>
          <w:lang w:val="en-US"/>
        </w:rPr>
        <w:t>para 11.</w:t>
      </w:r>
    </w:p>
  </w:footnote>
  <w:footnote w:id="21">
    <w:p w14:paraId="636AEA47" w14:textId="1A1AEAFF" w:rsidR="002D3121" w:rsidRPr="00536FBF" w:rsidRDefault="002D3121" w:rsidP="00896C95">
      <w:pPr>
        <w:pStyle w:val="FootnoteText"/>
        <w:spacing w:line="240" w:lineRule="auto"/>
        <w:rPr>
          <w:lang w:val="en-US"/>
        </w:rPr>
      </w:pPr>
      <w:r>
        <w:rPr>
          <w:rStyle w:val="FootnoteReference"/>
        </w:rPr>
        <w:footnoteRef/>
      </w:r>
      <w:r>
        <w:t xml:space="preserve"> </w:t>
      </w:r>
      <w:r w:rsidRPr="004D2C9F">
        <w:rPr>
          <w:i/>
        </w:rPr>
        <w:t>Uitenhage Municipality v Molloy</w:t>
      </w:r>
      <w:r w:rsidRPr="004D2C9F">
        <w:t xml:space="preserve"> 1998 (2) SA 735 (SCA)</w:t>
      </w:r>
      <w:r>
        <w:t xml:space="preserve"> </w:t>
      </w:r>
      <w:r>
        <w:rPr>
          <w:lang w:val="en-US"/>
        </w:rPr>
        <w:t>at 742I-743A. See also:</w:t>
      </w:r>
      <w:r w:rsidRPr="007C7910">
        <w:t xml:space="preserve"> </w:t>
      </w:r>
      <w:r w:rsidRPr="007C7910">
        <w:rPr>
          <w:i/>
          <w:lang w:val="en-US"/>
        </w:rPr>
        <w:t>Murray &amp; Roberts Construction (Cape) (Pty) Ltd v Upington Municipality</w:t>
      </w:r>
      <w:r w:rsidRPr="007C7910">
        <w:rPr>
          <w:lang w:val="en-US"/>
        </w:rPr>
        <w:t xml:space="preserve"> 1984 (1) SA 571 (AD)</w:t>
      </w:r>
      <w:r>
        <w:rPr>
          <w:lang w:val="en-US"/>
        </w:rPr>
        <w:t xml:space="preserve"> at 578F-579G.</w:t>
      </w:r>
    </w:p>
  </w:footnote>
  <w:footnote w:id="22">
    <w:p w14:paraId="6772509D" w14:textId="310E919E" w:rsidR="002D3121" w:rsidRPr="00BF2A4B" w:rsidRDefault="002D3121" w:rsidP="00896C95">
      <w:pPr>
        <w:pStyle w:val="FootnoteText"/>
        <w:spacing w:line="240" w:lineRule="auto"/>
        <w:rPr>
          <w:lang w:val="en-ZA"/>
        </w:rPr>
      </w:pPr>
      <w:r>
        <w:rPr>
          <w:rStyle w:val="FootnoteReference"/>
        </w:rPr>
        <w:footnoteRef/>
      </w:r>
      <w:r>
        <w:t xml:space="preserve"> </w:t>
      </w:r>
      <w:r w:rsidRPr="00BF2A4B">
        <w:rPr>
          <w:i/>
        </w:rPr>
        <w:t>Pheasant v Warne</w:t>
      </w:r>
      <w:r w:rsidRPr="00BF2A4B">
        <w:t xml:space="preserve"> 1922 AD 481</w:t>
      </w:r>
      <w:r>
        <w:t xml:space="preserve"> at 488.</w:t>
      </w:r>
    </w:p>
  </w:footnote>
  <w:footnote w:id="23">
    <w:p w14:paraId="423DDC85" w14:textId="4B13047D" w:rsidR="002D3121" w:rsidRPr="00BF2A4B" w:rsidRDefault="002D3121" w:rsidP="00896C95">
      <w:pPr>
        <w:pStyle w:val="FootnoteText"/>
        <w:spacing w:line="240" w:lineRule="auto"/>
        <w:rPr>
          <w:lang w:val="en-ZA"/>
        </w:rPr>
      </w:pPr>
      <w:r>
        <w:rPr>
          <w:rStyle w:val="FootnoteReference"/>
        </w:rPr>
        <w:footnoteRef/>
      </w:r>
      <w:r>
        <w:t xml:space="preserve"> </w:t>
      </w:r>
      <w:r w:rsidRPr="00896C95">
        <w:rPr>
          <w:i/>
          <w:iCs/>
        </w:rPr>
        <w:t>Lange v Lange</w:t>
      </w:r>
      <w:r>
        <w:t xml:space="preserve"> 1945 AD 332.</w:t>
      </w:r>
    </w:p>
  </w:footnote>
  <w:footnote w:id="24">
    <w:p w14:paraId="42BA0E75" w14:textId="5D3CA98D" w:rsidR="002D3121" w:rsidRPr="00D06533" w:rsidRDefault="002D3121" w:rsidP="00896C95">
      <w:pPr>
        <w:pStyle w:val="FootnoteText"/>
        <w:spacing w:line="240" w:lineRule="auto"/>
        <w:rPr>
          <w:lang w:val="en-ZA"/>
        </w:rPr>
      </w:pPr>
      <w:r>
        <w:rPr>
          <w:rStyle w:val="FootnoteReference"/>
        </w:rPr>
        <w:footnoteRef/>
      </w:r>
      <w:r>
        <w:t xml:space="preserve"> Compare: </w:t>
      </w:r>
      <w:r w:rsidRPr="00D944BF">
        <w:rPr>
          <w:i/>
          <w:lang w:val="en-ZA"/>
        </w:rPr>
        <w:t>Western Cape Education Department and Another v George</w:t>
      </w:r>
      <w:r>
        <w:rPr>
          <w:lang w:val="en-ZA"/>
        </w:rPr>
        <w:t xml:space="preserve"> [1998] ZASCA 26; 1998 (3) SA 77 (SCA); [1998] 2 All SA 623 (A)at 84 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5DCB4" w14:textId="77777777" w:rsidR="002D3121" w:rsidRDefault="002D31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0C35A" w14:textId="77777777" w:rsidR="002D3121" w:rsidRDefault="002D312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0130" w14:textId="52DA6B0F" w:rsidR="002D3121" w:rsidRDefault="002D3121">
    <w:pPr>
      <w:pStyle w:val="Header"/>
      <w:jc w:val="right"/>
    </w:pPr>
    <w:r>
      <w:fldChar w:fldCharType="begin"/>
    </w:r>
    <w:r>
      <w:instrText xml:space="preserve"> PAGE   \* MERGEFORMAT </w:instrText>
    </w:r>
    <w:r>
      <w:fldChar w:fldCharType="separate"/>
    </w:r>
    <w:r w:rsidR="007D2BC0">
      <w:rPr>
        <w:noProof/>
      </w:rPr>
      <w:t>4</w:t>
    </w:r>
    <w:r>
      <w:fldChar w:fldCharType="end"/>
    </w:r>
  </w:p>
  <w:p w14:paraId="604D4AE7" w14:textId="77777777" w:rsidR="002D3121" w:rsidRDefault="002D3121">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EC97B" w14:textId="77777777" w:rsidR="002D3121" w:rsidRDefault="002D3121">
    <w:pPr>
      <w:pStyle w:val="Header"/>
      <w:jc w:val="right"/>
    </w:pPr>
  </w:p>
  <w:p w14:paraId="6E4465CC" w14:textId="77777777" w:rsidR="002D3121" w:rsidRDefault="002D31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6B62"/>
    <w:multiLevelType w:val="hybridMultilevel"/>
    <w:tmpl w:val="CC7664C2"/>
    <w:lvl w:ilvl="0" w:tplc="68888AC2">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2E47F8"/>
    <w:multiLevelType w:val="hybridMultilevel"/>
    <w:tmpl w:val="086208FC"/>
    <w:lvl w:ilvl="0" w:tplc="EC7E39CE">
      <w:start w:val="1"/>
      <w:numFmt w:val="lowerRoman"/>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F44654"/>
    <w:multiLevelType w:val="hybridMultilevel"/>
    <w:tmpl w:val="BD2CB942"/>
    <w:lvl w:ilvl="0" w:tplc="F0EC5058">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66342C"/>
    <w:multiLevelType w:val="singleLevel"/>
    <w:tmpl w:val="1766342C"/>
    <w:lvl w:ilvl="0">
      <w:start w:val="1"/>
      <w:numFmt w:val="decimal"/>
      <w:lvlText w:val="[%1]"/>
      <w:lvlJc w:val="left"/>
    </w:lvl>
  </w:abstractNum>
  <w:abstractNum w:abstractNumId="4" w15:restartNumberingAfterBreak="0">
    <w:nsid w:val="1A014549"/>
    <w:multiLevelType w:val="hybridMultilevel"/>
    <w:tmpl w:val="8500F8AA"/>
    <w:lvl w:ilvl="0" w:tplc="C3BC7568">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792226"/>
    <w:multiLevelType w:val="hybridMultilevel"/>
    <w:tmpl w:val="CD62C4E2"/>
    <w:lvl w:ilvl="0" w:tplc="A8D47E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5C2835"/>
    <w:multiLevelType w:val="hybridMultilevel"/>
    <w:tmpl w:val="7CAE805A"/>
    <w:lvl w:ilvl="0" w:tplc="8E84FF4A">
      <w:start w:val="1"/>
      <w:numFmt w:val="lowerRoman"/>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4F876C6"/>
    <w:multiLevelType w:val="hybridMultilevel"/>
    <w:tmpl w:val="B3FE90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7E1E97"/>
    <w:multiLevelType w:val="hybridMultilevel"/>
    <w:tmpl w:val="822EC3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D32566F"/>
    <w:multiLevelType w:val="hybridMultilevel"/>
    <w:tmpl w:val="EE12C382"/>
    <w:lvl w:ilvl="0" w:tplc="1B6C3D9C">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2F1973"/>
    <w:multiLevelType w:val="hybridMultilevel"/>
    <w:tmpl w:val="1F2ADF10"/>
    <w:lvl w:ilvl="0" w:tplc="1C203E8A">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33164AD"/>
    <w:multiLevelType w:val="hybridMultilevel"/>
    <w:tmpl w:val="432C5E34"/>
    <w:lvl w:ilvl="0" w:tplc="F7AE8582">
      <w:start w:val="1"/>
      <w:numFmt w:val="lowerLetter"/>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CA7381"/>
    <w:multiLevelType w:val="hybridMultilevel"/>
    <w:tmpl w:val="07CEE208"/>
    <w:lvl w:ilvl="0" w:tplc="29E80C94">
      <w:start w:val="1"/>
      <w:numFmt w:val="lowerLetter"/>
      <w:lvlText w:val="(%1)"/>
      <w:lvlJc w:val="left"/>
      <w:pPr>
        <w:ind w:left="1080" w:hanging="72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A8B05AC"/>
    <w:multiLevelType w:val="hybridMultilevel"/>
    <w:tmpl w:val="FD4E2642"/>
    <w:lvl w:ilvl="0" w:tplc="45EAB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D481540"/>
    <w:multiLevelType w:val="hybridMultilevel"/>
    <w:tmpl w:val="325080EC"/>
    <w:lvl w:ilvl="0" w:tplc="2C08B95A">
      <w:numFmt w:val="decimalZero"/>
      <w:lvlText w:val="(%1)"/>
      <w:lvlJc w:val="left"/>
      <w:pPr>
        <w:ind w:left="840" w:hanging="4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EFA5EAA"/>
    <w:multiLevelType w:val="hybridMultilevel"/>
    <w:tmpl w:val="FE383570"/>
    <w:lvl w:ilvl="0" w:tplc="262CB8BE">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6" w15:restartNumberingAfterBreak="0">
    <w:nsid w:val="7887BAC6"/>
    <w:multiLevelType w:val="singleLevel"/>
    <w:tmpl w:val="7887BAC6"/>
    <w:lvl w:ilvl="0">
      <w:start w:val="1"/>
      <w:numFmt w:val="decimal"/>
      <w:suff w:val="space"/>
      <w:lvlText w:val="(%1)"/>
      <w:lvlJc w:val="left"/>
    </w:lvl>
  </w:abstractNum>
  <w:num w:numId="1">
    <w:abstractNumId w:val="16"/>
  </w:num>
  <w:num w:numId="2">
    <w:abstractNumId w:val="3"/>
  </w:num>
  <w:num w:numId="3">
    <w:abstractNumId w:val="13"/>
  </w:num>
  <w:num w:numId="4">
    <w:abstractNumId w:val="0"/>
  </w:num>
  <w:num w:numId="5">
    <w:abstractNumId w:val="5"/>
  </w:num>
  <w:num w:numId="6">
    <w:abstractNumId w:val="14"/>
  </w:num>
  <w:num w:numId="7">
    <w:abstractNumId w:val="15"/>
  </w:num>
  <w:num w:numId="8">
    <w:abstractNumId w:val="10"/>
  </w:num>
  <w:num w:numId="9">
    <w:abstractNumId w:val="7"/>
  </w:num>
  <w:num w:numId="10">
    <w:abstractNumId w:val="2"/>
  </w:num>
  <w:num w:numId="11">
    <w:abstractNumId w:val="8"/>
  </w:num>
  <w:num w:numId="12">
    <w:abstractNumId w:val="4"/>
  </w:num>
  <w:num w:numId="13">
    <w:abstractNumId w:val="12"/>
  </w:num>
  <w:num w:numId="14">
    <w:abstractNumId w:val="9"/>
  </w:num>
  <w:num w:numId="15">
    <w:abstractNumId w:val="11"/>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11AA82C-915D-418F-A874-30C215015CBE}"/>
    <w:docVar w:name="dgnword-eventsink" w:val="855721256"/>
    <w:docVar w:name="dgnword-lastRevisionsView" w:val="0"/>
  </w:docVars>
  <w:rsids>
    <w:rsidRoot w:val="3FFE1044"/>
    <w:rsid w:val="000016DA"/>
    <w:rsid w:val="00003FD1"/>
    <w:rsid w:val="00004487"/>
    <w:rsid w:val="00006ABF"/>
    <w:rsid w:val="00013737"/>
    <w:rsid w:val="00017E39"/>
    <w:rsid w:val="00020E8E"/>
    <w:rsid w:val="00021359"/>
    <w:rsid w:val="000217FA"/>
    <w:rsid w:val="000229F8"/>
    <w:rsid w:val="00023708"/>
    <w:rsid w:val="00025280"/>
    <w:rsid w:val="0002573C"/>
    <w:rsid w:val="00025A47"/>
    <w:rsid w:val="00026C45"/>
    <w:rsid w:val="00026FB9"/>
    <w:rsid w:val="000274AB"/>
    <w:rsid w:val="00030056"/>
    <w:rsid w:val="00030F33"/>
    <w:rsid w:val="000360C2"/>
    <w:rsid w:val="00036DA7"/>
    <w:rsid w:val="00037228"/>
    <w:rsid w:val="00043D3D"/>
    <w:rsid w:val="00043DE8"/>
    <w:rsid w:val="000445F7"/>
    <w:rsid w:val="00044625"/>
    <w:rsid w:val="000533C1"/>
    <w:rsid w:val="000565C8"/>
    <w:rsid w:val="00057318"/>
    <w:rsid w:val="00057CC3"/>
    <w:rsid w:val="00062284"/>
    <w:rsid w:val="00062A34"/>
    <w:rsid w:val="00063F00"/>
    <w:rsid w:val="000644C4"/>
    <w:rsid w:val="00065BA8"/>
    <w:rsid w:val="0006778B"/>
    <w:rsid w:val="000729B5"/>
    <w:rsid w:val="00072A9D"/>
    <w:rsid w:val="00072FB6"/>
    <w:rsid w:val="000732CF"/>
    <w:rsid w:val="00073312"/>
    <w:rsid w:val="000741BB"/>
    <w:rsid w:val="000742BF"/>
    <w:rsid w:val="00075D41"/>
    <w:rsid w:val="000805F7"/>
    <w:rsid w:val="00084D6C"/>
    <w:rsid w:val="000855C2"/>
    <w:rsid w:val="0008636F"/>
    <w:rsid w:val="00090C73"/>
    <w:rsid w:val="00090EEE"/>
    <w:rsid w:val="00091995"/>
    <w:rsid w:val="000940C1"/>
    <w:rsid w:val="000942FC"/>
    <w:rsid w:val="000A0A1E"/>
    <w:rsid w:val="000A1EAA"/>
    <w:rsid w:val="000A5670"/>
    <w:rsid w:val="000A6BA3"/>
    <w:rsid w:val="000B023D"/>
    <w:rsid w:val="000B0ADB"/>
    <w:rsid w:val="000B2D41"/>
    <w:rsid w:val="000D0957"/>
    <w:rsid w:val="000D2FC0"/>
    <w:rsid w:val="000D442E"/>
    <w:rsid w:val="000D4AFD"/>
    <w:rsid w:val="000E0CF0"/>
    <w:rsid w:val="000E16D0"/>
    <w:rsid w:val="000E1CCF"/>
    <w:rsid w:val="000E4800"/>
    <w:rsid w:val="000E5794"/>
    <w:rsid w:val="000E7036"/>
    <w:rsid w:val="000F0B4B"/>
    <w:rsid w:val="000F3645"/>
    <w:rsid w:val="000F3C60"/>
    <w:rsid w:val="000F4595"/>
    <w:rsid w:val="000F6B1E"/>
    <w:rsid w:val="000F7BBF"/>
    <w:rsid w:val="000F7DC4"/>
    <w:rsid w:val="00101449"/>
    <w:rsid w:val="00102DD3"/>
    <w:rsid w:val="00105CD7"/>
    <w:rsid w:val="0011629E"/>
    <w:rsid w:val="001200FA"/>
    <w:rsid w:val="0012025F"/>
    <w:rsid w:val="00120B2D"/>
    <w:rsid w:val="001214EC"/>
    <w:rsid w:val="00125697"/>
    <w:rsid w:val="001264CE"/>
    <w:rsid w:val="0012661E"/>
    <w:rsid w:val="00131AA3"/>
    <w:rsid w:val="00134D2F"/>
    <w:rsid w:val="001379A6"/>
    <w:rsid w:val="00140E8E"/>
    <w:rsid w:val="00146103"/>
    <w:rsid w:val="00146951"/>
    <w:rsid w:val="0015031E"/>
    <w:rsid w:val="001508EB"/>
    <w:rsid w:val="001536B9"/>
    <w:rsid w:val="00154EF1"/>
    <w:rsid w:val="00155787"/>
    <w:rsid w:val="001565E9"/>
    <w:rsid w:val="00161141"/>
    <w:rsid w:val="0016114F"/>
    <w:rsid w:val="001614ED"/>
    <w:rsid w:val="001617E5"/>
    <w:rsid w:val="00162479"/>
    <w:rsid w:val="00167378"/>
    <w:rsid w:val="001673EF"/>
    <w:rsid w:val="0017022E"/>
    <w:rsid w:val="001714BA"/>
    <w:rsid w:val="00172CF9"/>
    <w:rsid w:val="00173F59"/>
    <w:rsid w:val="001769AE"/>
    <w:rsid w:val="00176D62"/>
    <w:rsid w:val="00182647"/>
    <w:rsid w:val="00183A51"/>
    <w:rsid w:val="00186CEC"/>
    <w:rsid w:val="0018791C"/>
    <w:rsid w:val="001903FD"/>
    <w:rsid w:val="001905B8"/>
    <w:rsid w:val="0019450B"/>
    <w:rsid w:val="00194557"/>
    <w:rsid w:val="0019494E"/>
    <w:rsid w:val="00196839"/>
    <w:rsid w:val="001A1E62"/>
    <w:rsid w:val="001A3D5E"/>
    <w:rsid w:val="001A6394"/>
    <w:rsid w:val="001A6CF9"/>
    <w:rsid w:val="001B09AC"/>
    <w:rsid w:val="001B43AA"/>
    <w:rsid w:val="001C1082"/>
    <w:rsid w:val="001C719C"/>
    <w:rsid w:val="001D15D7"/>
    <w:rsid w:val="001D2F03"/>
    <w:rsid w:val="001E1203"/>
    <w:rsid w:val="001E1998"/>
    <w:rsid w:val="001E63C8"/>
    <w:rsid w:val="001F1689"/>
    <w:rsid w:val="001F2449"/>
    <w:rsid w:val="001F2C82"/>
    <w:rsid w:val="001F5884"/>
    <w:rsid w:val="001F63EA"/>
    <w:rsid w:val="00204928"/>
    <w:rsid w:val="002053D6"/>
    <w:rsid w:val="0020563E"/>
    <w:rsid w:val="002058F9"/>
    <w:rsid w:val="00207876"/>
    <w:rsid w:val="0021577B"/>
    <w:rsid w:val="00215D89"/>
    <w:rsid w:val="00216CAF"/>
    <w:rsid w:val="00216E2E"/>
    <w:rsid w:val="00217988"/>
    <w:rsid w:val="002247E0"/>
    <w:rsid w:val="00224E32"/>
    <w:rsid w:val="00227EC6"/>
    <w:rsid w:val="00231715"/>
    <w:rsid w:val="0023228E"/>
    <w:rsid w:val="00232FC2"/>
    <w:rsid w:val="00235866"/>
    <w:rsid w:val="00241F95"/>
    <w:rsid w:val="0024206E"/>
    <w:rsid w:val="0024326B"/>
    <w:rsid w:val="00245047"/>
    <w:rsid w:val="00247647"/>
    <w:rsid w:val="00252475"/>
    <w:rsid w:val="00253ABC"/>
    <w:rsid w:val="002555A3"/>
    <w:rsid w:val="002578AC"/>
    <w:rsid w:val="00257AD3"/>
    <w:rsid w:val="00260079"/>
    <w:rsid w:val="00260697"/>
    <w:rsid w:val="0026215A"/>
    <w:rsid w:val="00270DFF"/>
    <w:rsid w:val="0027498B"/>
    <w:rsid w:val="00275165"/>
    <w:rsid w:val="0027626C"/>
    <w:rsid w:val="00277BF8"/>
    <w:rsid w:val="0028292C"/>
    <w:rsid w:val="002836A5"/>
    <w:rsid w:val="00283969"/>
    <w:rsid w:val="00283FF8"/>
    <w:rsid w:val="002846A2"/>
    <w:rsid w:val="002912EC"/>
    <w:rsid w:val="00293616"/>
    <w:rsid w:val="00293B05"/>
    <w:rsid w:val="002949B6"/>
    <w:rsid w:val="002971E7"/>
    <w:rsid w:val="002A5344"/>
    <w:rsid w:val="002B02D8"/>
    <w:rsid w:val="002B104B"/>
    <w:rsid w:val="002B1C9F"/>
    <w:rsid w:val="002B45D6"/>
    <w:rsid w:val="002B64FF"/>
    <w:rsid w:val="002B6830"/>
    <w:rsid w:val="002B76DD"/>
    <w:rsid w:val="002C0143"/>
    <w:rsid w:val="002C1286"/>
    <w:rsid w:val="002C179A"/>
    <w:rsid w:val="002C1B88"/>
    <w:rsid w:val="002C36BD"/>
    <w:rsid w:val="002C3C74"/>
    <w:rsid w:val="002C5AD6"/>
    <w:rsid w:val="002C6C79"/>
    <w:rsid w:val="002D1C2D"/>
    <w:rsid w:val="002D3121"/>
    <w:rsid w:val="002D46CE"/>
    <w:rsid w:val="002E437D"/>
    <w:rsid w:val="002E4B19"/>
    <w:rsid w:val="002E7263"/>
    <w:rsid w:val="002F1D85"/>
    <w:rsid w:val="002F40D2"/>
    <w:rsid w:val="002F7697"/>
    <w:rsid w:val="002F7B05"/>
    <w:rsid w:val="0030007F"/>
    <w:rsid w:val="00301402"/>
    <w:rsid w:val="003037C9"/>
    <w:rsid w:val="003042C3"/>
    <w:rsid w:val="003045FD"/>
    <w:rsid w:val="003107EC"/>
    <w:rsid w:val="003113BC"/>
    <w:rsid w:val="00311BA3"/>
    <w:rsid w:val="00314323"/>
    <w:rsid w:val="00322A94"/>
    <w:rsid w:val="00323131"/>
    <w:rsid w:val="0032573F"/>
    <w:rsid w:val="003272D4"/>
    <w:rsid w:val="00330C04"/>
    <w:rsid w:val="00331B1C"/>
    <w:rsid w:val="00333039"/>
    <w:rsid w:val="003335FF"/>
    <w:rsid w:val="0033554C"/>
    <w:rsid w:val="0033637E"/>
    <w:rsid w:val="00345BDF"/>
    <w:rsid w:val="00346DBF"/>
    <w:rsid w:val="00351BBB"/>
    <w:rsid w:val="003537D5"/>
    <w:rsid w:val="0035475D"/>
    <w:rsid w:val="003551BC"/>
    <w:rsid w:val="003557D3"/>
    <w:rsid w:val="003576F0"/>
    <w:rsid w:val="00357978"/>
    <w:rsid w:val="00360290"/>
    <w:rsid w:val="0036130F"/>
    <w:rsid w:val="00361834"/>
    <w:rsid w:val="003632D2"/>
    <w:rsid w:val="00364D0B"/>
    <w:rsid w:val="0036574A"/>
    <w:rsid w:val="00366B24"/>
    <w:rsid w:val="00366BEF"/>
    <w:rsid w:val="00370345"/>
    <w:rsid w:val="003710B8"/>
    <w:rsid w:val="00371101"/>
    <w:rsid w:val="00371BBC"/>
    <w:rsid w:val="003758EC"/>
    <w:rsid w:val="00375A06"/>
    <w:rsid w:val="00375BDE"/>
    <w:rsid w:val="00376040"/>
    <w:rsid w:val="0038012C"/>
    <w:rsid w:val="00380AA6"/>
    <w:rsid w:val="00384FED"/>
    <w:rsid w:val="0039032A"/>
    <w:rsid w:val="003921BB"/>
    <w:rsid w:val="00392701"/>
    <w:rsid w:val="003929D3"/>
    <w:rsid w:val="00392C78"/>
    <w:rsid w:val="00395C01"/>
    <w:rsid w:val="003968E2"/>
    <w:rsid w:val="00397B61"/>
    <w:rsid w:val="003A0205"/>
    <w:rsid w:val="003A0DFE"/>
    <w:rsid w:val="003A317E"/>
    <w:rsid w:val="003A37CD"/>
    <w:rsid w:val="003A67D0"/>
    <w:rsid w:val="003B05F2"/>
    <w:rsid w:val="003B2599"/>
    <w:rsid w:val="003B259D"/>
    <w:rsid w:val="003B3F65"/>
    <w:rsid w:val="003B541C"/>
    <w:rsid w:val="003B5480"/>
    <w:rsid w:val="003B65B7"/>
    <w:rsid w:val="003B6E37"/>
    <w:rsid w:val="003B7375"/>
    <w:rsid w:val="003B7992"/>
    <w:rsid w:val="003C12AE"/>
    <w:rsid w:val="003C38F6"/>
    <w:rsid w:val="003C46D5"/>
    <w:rsid w:val="003C482D"/>
    <w:rsid w:val="003C6F8D"/>
    <w:rsid w:val="003C7703"/>
    <w:rsid w:val="003C7C49"/>
    <w:rsid w:val="003D05B0"/>
    <w:rsid w:val="003D3021"/>
    <w:rsid w:val="003D608F"/>
    <w:rsid w:val="003E0F92"/>
    <w:rsid w:val="003E2CD3"/>
    <w:rsid w:val="003E36C5"/>
    <w:rsid w:val="003E4078"/>
    <w:rsid w:val="003E4921"/>
    <w:rsid w:val="003E6CC5"/>
    <w:rsid w:val="003E7B1E"/>
    <w:rsid w:val="003F0E97"/>
    <w:rsid w:val="003F187C"/>
    <w:rsid w:val="003F19C8"/>
    <w:rsid w:val="003F60EF"/>
    <w:rsid w:val="003F67B8"/>
    <w:rsid w:val="003F6DA7"/>
    <w:rsid w:val="003F71A0"/>
    <w:rsid w:val="00400CE4"/>
    <w:rsid w:val="0040138D"/>
    <w:rsid w:val="0040713B"/>
    <w:rsid w:val="004071BD"/>
    <w:rsid w:val="00407389"/>
    <w:rsid w:val="004108E7"/>
    <w:rsid w:val="00411524"/>
    <w:rsid w:val="0041368C"/>
    <w:rsid w:val="004154DA"/>
    <w:rsid w:val="0041590E"/>
    <w:rsid w:val="00417DAE"/>
    <w:rsid w:val="00421D8B"/>
    <w:rsid w:val="004226E6"/>
    <w:rsid w:val="004245FA"/>
    <w:rsid w:val="00424ACA"/>
    <w:rsid w:val="00424AFB"/>
    <w:rsid w:val="00424BD4"/>
    <w:rsid w:val="0043319D"/>
    <w:rsid w:val="00436593"/>
    <w:rsid w:val="00440CDD"/>
    <w:rsid w:val="00442616"/>
    <w:rsid w:val="00451627"/>
    <w:rsid w:val="00452211"/>
    <w:rsid w:val="00454AAD"/>
    <w:rsid w:val="00454C47"/>
    <w:rsid w:val="004559EA"/>
    <w:rsid w:val="00456F3F"/>
    <w:rsid w:val="0046101E"/>
    <w:rsid w:val="004639BF"/>
    <w:rsid w:val="004710F7"/>
    <w:rsid w:val="00472173"/>
    <w:rsid w:val="0047545A"/>
    <w:rsid w:val="00476E3B"/>
    <w:rsid w:val="0047710A"/>
    <w:rsid w:val="00477669"/>
    <w:rsid w:val="00477A3E"/>
    <w:rsid w:val="0048114B"/>
    <w:rsid w:val="00481A43"/>
    <w:rsid w:val="00481BBA"/>
    <w:rsid w:val="00482E0C"/>
    <w:rsid w:val="004835A9"/>
    <w:rsid w:val="0048562E"/>
    <w:rsid w:val="00487BD9"/>
    <w:rsid w:val="00487D67"/>
    <w:rsid w:val="004900BA"/>
    <w:rsid w:val="00490E05"/>
    <w:rsid w:val="004921BA"/>
    <w:rsid w:val="004928B2"/>
    <w:rsid w:val="00492FD1"/>
    <w:rsid w:val="00493B55"/>
    <w:rsid w:val="0049426E"/>
    <w:rsid w:val="00497F62"/>
    <w:rsid w:val="004A320F"/>
    <w:rsid w:val="004A3F59"/>
    <w:rsid w:val="004A565E"/>
    <w:rsid w:val="004A586F"/>
    <w:rsid w:val="004A771D"/>
    <w:rsid w:val="004B15BC"/>
    <w:rsid w:val="004B2183"/>
    <w:rsid w:val="004B226B"/>
    <w:rsid w:val="004B4169"/>
    <w:rsid w:val="004B69B0"/>
    <w:rsid w:val="004B6F8A"/>
    <w:rsid w:val="004B7967"/>
    <w:rsid w:val="004C0A6D"/>
    <w:rsid w:val="004C4588"/>
    <w:rsid w:val="004C6E3E"/>
    <w:rsid w:val="004C799F"/>
    <w:rsid w:val="004D03B6"/>
    <w:rsid w:val="004D1CD9"/>
    <w:rsid w:val="004D2C9F"/>
    <w:rsid w:val="004D34DD"/>
    <w:rsid w:val="004D5C8A"/>
    <w:rsid w:val="004E3C93"/>
    <w:rsid w:val="004E488A"/>
    <w:rsid w:val="004E7609"/>
    <w:rsid w:val="004F026D"/>
    <w:rsid w:val="004F28E4"/>
    <w:rsid w:val="004F7E10"/>
    <w:rsid w:val="005011B5"/>
    <w:rsid w:val="0050123F"/>
    <w:rsid w:val="00501BCF"/>
    <w:rsid w:val="00502963"/>
    <w:rsid w:val="00507989"/>
    <w:rsid w:val="00510BC5"/>
    <w:rsid w:val="00510D3F"/>
    <w:rsid w:val="00512CBF"/>
    <w:rsid w:val="0051382C"/>
    <w:rsid w:val="005140EB"/>
    <w:rsid w:val="00517DA6"/>
    <w:rsid w:val="0052021F"/>
    <w:rsid w:val="00520305"/>
    <w:rsid w:val="00520308"/>
    <w:rsid w:val="00520B98"/>
    <w:rsid w:val="005218FE"/>
    <w:rsid w:val="005252CB"/>
    <w:rsid w:val="00531BA8"/>
    <w:rsid w:val="00531F18"/>
    <w:rsid w:val="005335F8"/>
    <w:rsid w:val="0053631A"/>
    <w:rsid w:val="00536905"/>
    <w:rsid w:val="00536FBF"/>
    <w:rsid w:val="005403A5"/>
    <w:rsid w:val="00542A61"/>
    <w:rsid w:val="00544167"/>
    <w:rsid w:val="005522AE"/>
    <w:rsid w:val="0055409F"/>
    <w:rsid w:val="00556FE3"/>
    <w:rsid w:val="00560D0C"/>
    <w:rsid w:val="00561F72"/>
    <w:rsid w:val="00563E47"/>
    <w:rsid w:val="00567FE7"/>
    <w:rsid w:val="00574BA0"/>
    <w:rsid w:val="00576043"/>
    <w:rsid w:val="00577EC1"/>
    <w:rsid w:val="00577EFE"/>
    <w:rsid w:val="00580A2E"/>
    <w:rsid w:val="005827DC"/>
    <w:rsid w:val="00583866"/>
    <w:rsid w:val="005842B5"/>
    <w:rsid w:val="005877AC"/>
    <w:rsid w:val="0059032D"/>
    <w:rsid w:val="0059131C"/>
    <w:rsid w:val="00592AC1"/>
    <w:rsid w:val="0059323C"/>
    <w:rsid w:val="00594A76"/>
    <w:rsid w:val="00594D78"/>
    <w:rsid w:val="00594FA1"/>
    <w:rsid w:val="005A0C39"/>
    <w:rsid w:val="005A32FB"/>
    <w:rsid w:val="005A391F"/>
    <w:rsid w:val="005A4024"/>
    <w:rsid w:val="005B26B9"/>
    <w:rsid w:val="005B41B5"/>
    <w:rsid w:val="005B66BA"/>
    <w:rsid w:val="005B6C1C"/>
    <w:rsid w:val="005B7104"/>
    <w:rsid w:val="005B7129"/>
    <w:rsid w:val="005B7DEE"/>
    <w:rsid w:val="005C2552"/>
    <w:rsid w:val="005C457A"/>
    <w:rsid w:val="005C4DE3"/>
    <w:rsid w:val="005C5705"/>
    <w:rsid w:val="005C589B"/>
    <w:rsid w:val="005C788B"/>
    <w:rsid w:val="005C7D37"/>
    <w:rsid w:val="005D328E"/>
    <w:rsid w:val="005D5F8E"/>
    <w:rsid w:val="005E5133"/>
    <w:rsid w:val="005E644D"/>
    <w:rsid w:val="005E72C1"/>
    <w:rsid w:val="005F02A1"/>
    <w:rsid w:val="005F0358"/>
    <w:rsid w:val="005F23DE"/>
    <w:rsid w:val="005F3859"/>
    <w:rsid w:val="0060045B"/>
    <w:rsid w:val="006023F9"/>
    <w:rsid w:val="00606E05"/>
    <w:rsid w:val="00606E32"/>
    <w:rsid w:val="006104DD"/>
    <w:rsid w:val="006110DE"/>
    <w:rsid w:val="0061261B"/>
    <w:rsid w:val="00614537"/>
    <w:rsid w:val="006156F9"/>
    <w:rsid w:val="00617889"/>
    <w:rsid w:val="00617A25"/>
    <w:rsid w:val="0062137D"/>
    <w:rsid w:val="0062718F"/>
    <w:rsid w:val="006305B4"/>
    <w:rsid w:val="00632D79"/>
    <w:rsid w:val="0063648F"/>
    <w:rsid w:val="006377A3"/>
    <w:rsid w:val="006378EC"/>
    <w:rsid w:val="00640C77"/>
    <w:rsid w:val="00640F72"/>
    <w:rsid w:val="00644FA1"/>
    <w:rsid w:val="00647A60"/>
    <w:rsid w:val="00647B8F"/>
    <w:rsid w:val="00653244"/>
    <w:rsid w:val="0065486C"/>
    <w:rsid w:val="00655150"/>
    <w:rsid w:val="006551FB"/>
    <w:rsid w:val="006560B7"/>
    <w:rsid w:val="00660B19"/>
    <w:rsid w:val="00661A7A"/>
    <w:rsid w:val="00661F17"/>
    <w:rsid w:val="00663B2B"/>
    <w:rsid w:val="006657C6"/>
    <w:rsid w:val="00666096"/>
    <w:rsid w:val="00667377"/>
    <w:rsid w:val="006751DF"/>
    <w:rsid w:val="00676D21"/>
    <w:rsid w:val="006772EF"/>
    <w:rsid w:val="006820D8"/>
    <w:rsid w:val="00682777"/>
    <w:rsid w:val="006839AD"/>
    <w:rsid w:val="006844A4"/>
    <w:rsid w:val="00686FE8"/>
    <w:rsid w:val="0069023F"/>
    <w:rsid w:val="00691F76"/>
    <w:rsid w:val="006922DD"/>
    <w:rsid w:val="006946B1"/>
    <w:rsid w:val="006947E9"/>
    <w:rsid w:val="006A2DEA"/>
    <w:rsid w:val="006A77DA"/>
    <w:rsid w:val="006B4083"/>
    <w:rsid w:val="006B5816"/>
    <w:rsid w:val="006C0E0B"/>
    <w:rsid w:val="006C1ADA"/>
    <w:rsid w:val="006C1D0B"/>
    <w:rsid w:val="006D0C29"/>
    <w:rsid w:val="006D640D"/>
    <w:rsid w:val="006E092A"/>
    <w:rsid w:val="006E1492"/>
    <w:rsid w:val="006E1BB1"/>
    <w:rsid w:val="006E4D90"/>
    <w:rsid w:val="006F0090"/>
    <w:rsid w:val="006F1A25"/>
    <w:rsid w:val="006F54C1"/>
    <w:rsid w:val="006F59E2"/>
    <w:rsid w:val="006F7595"/>
    <w:rsid w:val="006F7BDF"/>
    <w:rsid w:val="007047EB"/>
    <w:rsid w:val="007048AF"/>
    <w:rsid w:val="0071130E"/>
    <w:rsid w:val="00714B93"/>
    <w:rsid w:val="00715A7A"/>
    <w:rsid w:val="00717395"/>
    <w:rsid w:val="0071765D"/>
    <w:rsid w:val="00717AFF"/>
    <w:rsid w:val="0072063A"/>
    <w:rsid w:val="00720663"/>
    <w:rsid w:val="007207E4"/>
    <w:rsid w:val="00720DBA"/>
    <w:rsid w:val="0072342A"/>
    <w:rsid w:val="00724221"/>
    <w:rsid w:val="007249B2"/>
    <w:rsid w:val="007310ED"/>
    <w:rsid w:val="007345B6"/>
    <w:rsid w:val="00736F8E"/>
    <w:rsid w:val="00737F6E"/>
    <w:rsid w:val="00740533"/>
    <w:rsid w:val="007418B9"/>
    <w:rsid w:val="00741960"/>
    <w:rsid w:val="00741EBD"/>
    <w:rsid w:val="00742C31"/>
    <w:rsid w:val="0076316A"/>
    <w:rsid w:val="007639C9"/>
    <w:rsid w:val="00766A5C"/>
    <w:rsid w:val="0077319C"/>
    <w:rsid w:val="00776F76"/>
    <w:rsid w:val="00791380"/>
    <w:rsid w:val="00791D78"/>
    <w:rsid w:val="0079258B"/>
    <w:rsid w:val="00794BF4"/>
    <w:rsid w:val="00796616"/>
    <w:rsid w:val="007A20E7"/>
    <w:rsid w:val="007A44B1"/>
    <w:rsid w:val="007A713A"/>
    <w:rsid w:val="007A7272"/>
    <w:rsid w:val="007A76C0"/>
    <w:rsid w:val="007B1710"/>
    <w:rsid w:val="007B1794"/>
    <w:rsid w:val="007B2664"/>
    <w:rsid w:val="007B623B"/>
    <w:rsid w:val="007B7026"/>
    <w:rsid w:val="007B7CAC"/>
    <w:rsid w:val="007C0B64"/>
    <w:rsid w:val="007C7910"/>
    <w:rsid w:val="007D2BC0"/>
    <w:rsid w:val="007D7A7E"/>
    <w:rsid w:val="007E3FDC"/>
    <w:rsid w:val="007E4D84"/>
    <w:rsid w:val="007E70E4"/>
    <w:rsid w:val="007E7881"/>
    <w:rsid w:val="007E7F12"/>
    <w:rsid w:val="007F073A"/>
    <w:rsid w:val="007F0B1D"/>
    <w:rsid w:val="007F41F2"/>
    <w:rsid w:val="007F5116"/>
    <w:rsid w:val="007F639D"/>
    <w:rsid w:val="007F7F78"/>
    <w:rsid w:val="0080146B"/>
    <w:rsid w:val="008034D0"/>
    <w:rsid w:val="00804A52"/>
    <w:rsid w:val="00805171"/>
    <w:rsid w:val="00805180"/>
    <w:rsid w:val="0080653A"/>
    <w:rsid w:val="008130E8"/>
    <w:rsid w:val="00813DEC"/>
    <w:rsid w:val="00816998"/>
    <w:rsid w:val="008201ED"/>
    <w:rsid w:val="008234CB"/>
    <w:rsid w:val="008252C5"/>
    <w:rsid w:val="00826008"/>
    <w:rsid w:val="008271B5"/>
    <w:rsid w:val="00836EF7"/>
    <w:rsid w:val="00841953"/>
    <w:rsid w:val="00844B1E"/>
    <w:rsid w:val="00844B24"/>
    <w:rsid w:val="00851231"/>
    <w:rsid w:val="00851728"/>
    <w:rsid w:val="00851A17"/>
    <w:rsid w:val="0085523A"/>
    <w:rsid w:val="0085738C"/>
    <w:rsid w:val="00860274"/>
    <w:rsid w:val="008615E2"/>
    <w:rsid w:val="00867BA0"/>
    <w:rsid w:val="00871F9C"/>
    <w:rsid w:val="00872252"/>
    <w:rsid w:val="00872B46"/>
    <w:rsid w:val="00873358"/>
    <w:rsid w:val="008746DB"/>
    <w:rsid w:val="0088484A"/>
    <w:rsid w:val="00885DA3"/>
    <w:rsid w:val="00886BE5"/>
    <w:rsid w:val="00890F3B"/>
    <w:rsid w:val="00894847"/>
    <w:rsid w:val="00896796"/>
    <w:rsid w:val="00896C95"/>
    <w:rsid w:val="00897E02"/>
    <w:rsid w:val="008A0B47"/>
    <w:rsid w:val="008A1472"/>
    <w:rsid w:val="008A14DB"/>
    <w:rsid w:val="008A287C"/>
    <w:rsid w:val="008A39A1"/>
    <w:rsid w:val="008A437D"/>
    <w:rsid w:val="008A549B"/>
    <w:rsid w:val="008A7872"/>
    <w:rsid w:val="008B17C3"/>
    <w:rsid w:val="008B2141"/>
    <w:rsid w:val="008B223B"/>
    <w:rsid w:val="008B4E68"/>
    <w:rsid w:val="008C2612"/>
    <w:rsid w:val="008C4195"/>
    <w:rsid w:val="008C6A70"/>
    <w:rsid w:val="008C6FD8"/>
    <w:rsid w:val="008C76C7"/>
    <w:rsid w:val="008C78BA"/>
    <w:rsid w:val="008D12F4"/>
    <w:rsid w:val="008D1EF7"/>
    <w:rsid w:val="008D23DA"/>
    <w:rsid w:val="008D265D"/>
    <w:rsid w:val="008D37C0"/>
    <w:rsid w:val="008D38D0"/>
    <w:rsid w:val="008D396A"/>
    <w:rsid w:val="008D536E"/>
    <w:rsid w:val="008D5A51"/>
    <w:rsid w:val="008E338F"/>
    <w:rsid w:val="008E5FF1"/>
    <w:rsid w:val="008E7F86"/>
    <w:rsid w:val="008F552B"/>
    <w:rsid w:val="008F60F0"/>
    <w:rsid w:val="008F6507"/>
    <w:rsid w:val="00900113"/>
    <w:rsid w:val="00902D42"/>
    <w:rsid w:val="00904E88"/>
    <w:rsid w:val="00905329"/>
    <w:rsid w:val="009055FD"/>
    <w:rsid w:val="00905CC6"/>
    <w:rsid w:val="009113AA"/>
    <w:rsid w:val="00916558"/>
    <w:rsid w:val="009202CA"/>
    <w:rsid w:val="00923D01"/>
    <w:rsid w:val="00924E53"/>
    <w:rsid w:val="0092555A"/>
    <w:rsid w:val="0092609C"/>
    <w:rsid w:val="0093022C"/>
    <w:rsid w:val="0093250D"/>
    <w:rsid w:val="00935632"/>
    <w:rsid w:val="009367D8"/>
    <w:rsid w:val="00937727"/>
    <w:rsid w:val="00940BF6"/>
    <w:rsid w:val="009434C9"/>
    <w:rsid w:val="00943A25"/>
    <w:rsid w:val="00947B15"/>
    <w:rsid w:val="0095169E"/>
    <w:rsid w:val="0095321B"/>
    <w:rsid w:val="009549AF"/>
    <w:rsid w:val="009573DC"/>
    <w:rsid w:val="00965CB7"/>
    <w:rsid w:val="00967080"/>
    <w:rsid w:val="009710B4"/>
    <w:rsid w:val="00973D48"/>
    <w:rsid w:val="00974608"/>
    <w:rsid w:val="0097491E"/>
    <w:rsid w:val="009749B2"/>
    <w:rsid w:val="0097512A"/>
    <w:rsid w:val="00975ABA"/>
    <w:rsid w:val="00980045"/>
    <w:rsid w:val="009823FB"/>
    <w:rsid w:val="00983F4B"/>
    <w:rsid w:val="009844D4"/>
    <w:rsid w:val="009923B9"/>
    <w:rsid w:val="0099349C"/>
    <w:rsid w:val="00994091"/>
    <w:rsid w:val="00996D5D"/>
    <w:rsid w:val="00997844"/>
    <w:rsid w:val="00997B80"/>
    <w:rsid w:val="009A0B53"/>
    <w:rsid w:val="009A34EF"/>
    <w:rsid w:val="009B1D47"/>
    <w:rsid w:val="009B2636"/>
    <w:rsid w:val="009B273B"/>
    <w:rsid w:val="009B4AE6"/>
    <w:rsid w:val="009B4BC5"/>
    <w:rsid w:val="009B7AEA"/>
    <w:rsid w:val="009C2592"/>
    <w:rsid w:val="009C25D2"/>
    <w:rsid w:val="009C44C5"/>
    <w:rsid w:val="009C57E3"/>
    <w:rsid w:val="009C7767"/>
    <w:rsid w:val="009C7F70"/>
    <w:rsid w:val="009D1B3F"/>
    <w:rsid w:val="009D389E"/>
    <w:rsid w:val="009D4829"/>
    <w:rsid w:val="009D774A"/>
    <w:rsid w:val="009E006C"/>
    <w:rsid w:val="009E058D"/>
    <w:rsid w:val="009E2408"/>
    <w:rsid w:val="009E2697"/>
    <w:rsid w:val="009E476A"/>
    <w:rsid w:val="009E4793"/>
    <w:rsid w:val="009E4F0F"/>
    <w:rsid w:val="009E4FB8"/>
    <w:rsid w:val="009E5FAD"/>
    <w:rsid w:val="009E64B9"/>
    <w:rsid w:val="009E709B"/>
    <w:rsid w:val="009F4DCD"/>
    <w:rsid w:val="009F5EEE"/>
    <w:rsid w:val="00A00759"/>
    <w:rsid w:val="00A012A0"/>
    <w:rsid w:val="00A019FF"/>
    <w:rsid w:val="00A036CF"/>
    <w:rsid w:val="00A03C44"/>
    <w:rsid w:val="00A066B6"/>
    <w:rsid w:val="00A07191"/>
    <w:rsid w:val="00A07C63"/>
    <w:rsid w:val="00A12F61"/>
    <w:rsid w:val="00A14712"/>
    <w:rsid w:val="00A168A5"/>
    <w:rsid w:val="00A214B8"/>
    <w:rsid w:val="00A25563"/>
    <w:rsid w:val="00A3319C"/>
    <w:rsid w:val="00A33B99"/>
    <w:rsid w:val="00A35ECB"/>
    <w:rsid w:val="00A37010"/>
    <w:rsid w:val="00A411AF"/>
    <w:rsid w:val="00A41D3A"/>
    <w:rsid w:val="00A442C7"/>
    <w:rsid w:val="00A44A01"/>
    <w:rsid w:val="00A472C2"/>
    <w:rsid w:val="00A52D91"/>
    <w:rsid w:val="00A55740"/>
    <w:rsid w:val="00A558CE"/>
    <w:rsid w:val="00A61173"/>
    <w:rsid w:val="00A6418A"/>
    <w:rsid w:val="00A70553"/>
    <w:rsid w:val="00A70D39"/>
    <w:rsid w:val="00A73DAA"/>
    <w:rsid w:val="00A73F3C"/>
    <w:rsid w:val="00A7434C"/>
    <w:rsid w:val="00A75C7C"/>
    <w:rsid w:val="00A775FC"/>
    <w:rsid w:val="00A82403"/>
    <w:rsid w:val="00A82D6A"/>
    <w:rsid w:val="00A839C8"/>
    <w:rsid w:val="00A85538"/>
    <w:rsid w:val="00A86F4B"/>
    <w:rsid w:val="00A9394F"/>
    <w:rsid w:val="00A9464B"/>
    <w:rsid w:val="00A96614"/>
    <w:rsid w:val="00AA2C08"/>
    <w:rsid w:val="00AA6B9D"/>
    <w:rsid w:val="00AB3380"/>
    <w:rsid w:val="00AB7EF2"/>
    <w:rsid w:val="00AC0D9E"/>
    <w:rsid w:val="00AC125C"/>
    <w:rsid w:val="00AC24DC"/>
    <w:rsid w:val="00AC29C7"/>
    <w:rsid w:val="00AC4E85"/>
    <w:rsid w:val="00AD060C"/>
    <w:rsid w:val="00AD1055"/>
    <w:rsid w:val="00AD2A16"/>
    <w:rsid w:val="00AD4FD9"/>
    <w:rsid w:val="00AD5228"/>
    <w:rsid w:val="00AD6C1D"/>
    <w:rsid w:val="00AD79C1"/>
    <w:rsid w:val="00AE381E"/>
    <w:rsid w:val="00AE6F17"/>
    <w:rsid w:val="00AF0B9E"/>
    <w:rsid w:val="00AF357E"/>
    <w:rsid w:val="00AF5107"/>
    <w:rsid w:val="00AF7A39"/>
    <w:rsid w:val="00AF7B20"/>
    <w:rsid w:val="00AF7C37"/>
    <w:rsid w:val="00B00FA2"/>
    <w:rsid w:val="00B1367A"/>
    <w:rsid w:val="00B13E6E"/>
    <w:rsid w:val="00B13EC3"/>
    <w:rsid w:val="00B16DB3"/>
    <w:rsid w:val="00B224C9"/>
    <w:rsid w:val="00B23CFD"/>
    <w:rsid w:val="00B2625D"/>
    <w:rsid w:val="00B35E78"/>
    <w:rsid w:val="00B42C7B"/>
    <w:rsid w:val="00B444A7"/>
    <w:rsid w:val="00B46139"/>
    <w:rsid w:val="00B515A8"/>
    <w:rsid w:val="00B53D87"/>
    <w:rsid w:val="00B55EFE"/>
    <w:rsid w:val="00B57423"/>
    <w:rsid w:val="00B60096"/>
    <w:rsid w:val="00B66139"/>
    <w:rsid w:val="00B711CD"/>
    <w:rsid w:val="00B7329A"/>
    <w:rsid w:val="00B760BA"/>
    <w:rsid w:val="00B76645"/>
    <w:rsid w:val="00B855A7"/>
    <w:rsid w:val="00B85E4D"/>
    <w:rsid w:val="00B91F26"/>
    <w:rsid w:val="00B92DE7"/>
    <w:rsid w:val="00B95668"/>
    <w:rsid w:val="00BA09AC"/>
    <w:rsid w:val="00BA6ECA"/>
    <w:rsid w:val="00BB1157"/>
    <w:rsid w:val="00BB2C2B"/>
    <w:rsid w:val="00BB45E8"/>
    <w:rsid w:val="00BB6E2F"/>
    <w:rsid w:val="00BB7CD2"/>
    <w:rsid w:val="00BC1994"/>
    <w:rsid w:val="00BC1CFB"/>
    <w:rsid w:val="00BC3A09"/>
    <w:rsid w:val="00BC5ECD"/>
    <w:rsid w:val="00BD1C75"/>
    <w:rsid w:val="00BD28DD"/>
    <w:rsid w:val="00BE40FE"/>
    <w:rsid w:val="00BE599B"/>
    <w:rsid w:val="00BE6587"/>
    <w:rsid w:val="00BF2161"/>
    <w:rsid w:val="00BF28F7"/>
    <w:rsid w:val="00BF2A4B"/>
    <w:rsid w:val="00BF6C8F"/>
    <w:rsid w:val="00C05FE5"/>
    <w:rsid w:val="00C061C6"/>
    <w:rsid w:val="00C14010"/>
    <w:rsid w:val="00C14282"/>
    <w:rsid w:val="00C1555F"/>
    <w:rsid w:val="00C20763"/>
    <w:rsid w:val="00C274A1"/>
    <w:rsid w:val="00C323F1"/>
    <w:rsid w:val="00C41963"/>
    <w:rsid w:val="00C421E4"/>
    <w:rsid w:val="00C45FCE"/>
    <w:rsid w:val="00C50292"/>
    <w:rsid w:val="00C506F0"/>
    <w:rsid w:val="00C507C8"/>
    <w:rsid w:val="00C509EF"/>
    <w:rsid w:val="00C546F8"/>
    <w:rsid w:val="00C57205"/>
    <w:rsid w:val="00C57AFC"/>
    <w:rsid w:val="00C57C85"/>
    <w:rsid w:val="00C60E97"/>
    <w:rsid w:val="00C62591"/>
    <w:rsid w:val="00C645C5"/>
    <w:rsid w:val="00C7166A"/>
    <w:rsid w:val="00C73946"/>
    <w:rsid w:val="00C7644A"/>
    <w:rsid w:val="00C7738C"/>
    <w:rsid w:val="00C800B0"/>
    <w:rsid w:val="00C81FC6"/>
    <w:rsid w:val="00C82DFE"/>
    <w:rsid w:val="00C84BA0"/>
    <w:rsid w:val="00C84D68"/>
    <w:rsid w:val="00C86C1E"/>
    <w:rsid w:val="00C876B8"/>
    <w:rsid w:val="00C92831"/>
    <w:rsid w:val="00CA0755"/>
    <w:rsid w:val="00CA1EE6"/>
    <w:rsid w:val="00CA2799"/>
    <w:rsid w:val="00CA2868"/>
    <w:rsid w:val="00CA3EAD"/>
    <w:rsid w:val="00CA4DBA"/>
    <w:rsid w:val="00CA556C"/>
    <w:rsid w:val="00CB454C"/>
    <w:rsid w:val="00CB45DF"/>
    <w:rsid w:val="00CB4715"/>
    <w:rsid w:val="00CB6130"/>
    <w:rsid w:val="00CB7EC3"/>
    <w:rsid w:val="00CC1746"/>
    <w:rsid w:val="00CC1AD7"/>
    <w:rsid w:val="00CC316B"/>
    <w:rsid w:val="00CC692C"/>
    <w:rsid w:val="00CC6AB5"/>
    <w:rsid w:val="00CC786B"/>
    <w:rsid w:val="00CD1EB4"/>
    <w:rsid w:val="00CD3AD6"/>
    <w:rsid w:val="00CD622D"/>
    <w:rsid w:val="00CD75D1"/>
    <w:rsid w:val="00CE008C"/>
    <w:rsid w:val="00CE03AD"/>
    <w:rsid w:val="00CE063B"/>
    <w:rsid w:val="00CE074C"/>
    <w:rsid w:val="00CE1E7A"/>
    <w:rsid w:val="00CE3A61"/>
    <w:rsid w:val="00CE4DF8"/>
    <w:rsid w:val="00CF0A6D"/>
    <w:rsid w:val="00CF2756"/>
    <w:rsid w:val="00CF2D89"/>
    <w:rsid w:val="00CF7648"/>
    <w:rsid w:val="00D01D9B"/>
    <w:rsid w:val="00D02581"/>
    <w:rsid w:val="00D04FB1"/>
    <w:rsid w:val="00D06533"/>
    <w:rsid w:val="00D07A35"/>
    <w:rsid w:val="00D11B2B"/>
    <w:rsid w:val="00D12ACB"/>
    <w:rsid w:val="00D12C40"/>
    <w:rsid w:val="00D13E7B"/>
    <w:rsid w:val="00D16DA2"/>
    <w:rsid w:val="00D177D1"/>
    <w:rsid w:val="00D22B5C"/>
    <w:rsid w:val="00D26FD1"/>
    <w:rsid w:val="00D27A29"/>
    <w:rsid w:val="00D27D0F"/>
    <w:rsid w:val="00D30F53"/>
    <w:rsid w:val="00D3380C"/>
    <w:rsid w:val="00D42CBD"/>
    <w:rsid w:val="00D43D0B"/>
    <w:rsid w:val="00D44E13"/>
    <w:rsid w:val="00D4614E"/>
    <w:rsid w:val="00D46748"/>
    <w:rsid w:val="00D538F4"/>
    <w:rsid w:val="00D57257"/>
    <w:rsid w:val="00D57A75"/>
    <w:rsid w:val="00D57C6D"/>
    <w:rsid w:val="00D602A6"/>
    <w:rsid w:val="00D622A6"/>
    <w:rsid w:val="00D6231B"/>
    <w:rsid w:val="00D629B4"/>
    <w:rsid w:val="00D64BA4"/>
    <w:rsid w:val="00D65BEB"/>
    <w:rsid w:val="00D66085"/>
    <w:rsid w:val="00D67B8A"/>
    <w:rsid w:val="00D67E97"/>
    <w:rsid w:val="00D700D2"/>
    <w:rsid w:val="00D71513"/>
    <w:rsid w:val="00D75199"/>
    <w:rsid w:val="00D75577"/>
    <w:rsid w:val="00D75A7F"/>
    <w:rsid w:val="00D7647F"/>
    <w:rsid w:val="00D81D96"/>
    <w:rsid w:val="00D873B3"/>
    <w:rsid w:val="00D91A84"/>
    <w:rsid w:val="00D92B4A"/>
    <w:rsid w:val="00D944BF"/>
    <w:rsid w:val="00D95123"/>
    <w:rsid w:val="00D95C79"/>
    <w:rsid w:val="00D95D28"/>
    <w:rsid w:val="00D975ED"/>
    <w:rsid w:val="00DA1369"/>
    <w:rsid w:val="00DA3BBE"/>
    <w:rsid w:val="00DA535A"/>
    <w:rsid w:val="00DA55D0"/>
    <w:rsid w:val="00DA6D7C"/>
    <w:rsid w:val="00DB2C76"/>
    <w:rsid w:val="00DB4E3D"/>
    <w:rsid w:val="00DC0C99"/>
    <w:rsid w:val="00DC0DDF"/>
    <w:rsid w:val="00DC152C"/>
    <w:rsid w:val="00DC2183"/>
    <w:rsid w:val="00DC4AD8"/>
    <w:rsid w:val="00DD0B79"/>
    <w:rsid w:val="00DD1350"/>
    <w:rsid w:val="00DD2349"/>
    <w:rsid w:val="00DD25DC"/>
    <w:rsid w:val="00DD76AA"/>
    <w:rsid w:val="00DD7774"/>
    <w:rsid w:val="00DD7AC4"/>
    <w:rsid w:val="00DE13D2"/>
    <w:rsid w:val="00DE19FF"/>
    <w:rsid w:val="00DE1D87"/>
    <w:rsid w:val="00DE1FBA"/>
    <w:rsid w:val="00DE765C"/>
    <w:rsid w:val="00DF30E4"/>
    <w:rsid w:val="00DF3EAB"/>
    <w:rsid w:val="00DF3F50"/>
    <w:rsid w:val="00DF4A97"/>
    <w:rsid w:val="00E00469"/>
    <w:rsid w:val="00E04344"/>
    <w:rsid w:val="00E06AB8"/>
    <w:rsid w:val="00E1635F"/>
    <w:rsid w:val="00E21600"/>
    <w:rsid w:val="00E21DA9"/>
    <w:rsid w:val="00E24597"/>
    <w:rsid w:val="00E26093"/>
    <w:rsid w:val="00E26978"/>
    <w:rsid w:val="00E31557"/>
    <w:rsid w:val="00E3749E"/>
    <w:rsid w:val="00E3767D"/>
    <w:rsid w:val="00E40542"/>
    <w:rsid w:val="00E40B7E"/>
    <w:rsid w:val="00E42065"/>
    <w:rsid w:val="00E42262"/>
    <w:rsid w:val="00E45CEF"/>
    <w:rsid w:val="00E4793A"/>
    <w:rsid w:val="00E5286E"/>
    <w:rsid w:val="00E54409"/>
    <w:rsid w:val="00E57175"/>
    <w:rsid w:val="00E579D2"/>
    <w:rsid w:val="00E61EEC"/>
    <w:rsid w:val="00E628DB"/>
    <w:rsid w:val="00E633B9"/>
    <w:rsid w:val="00E678B9"/>
    <w:rsid w:val="00E76688"/>
    <w:rsid w:val="00E77B85"/>
    <w:rsid w:val="00E77D09"/>
    <w:rsid w:val="00E80AAB"/>
    <w:rsid w:val="00E80DEE"/>
    <w:rsid w:val="00E82982"/>
    <w:rsid w:val="00E87570"/>
    <w:rsid w:val="00E90200"/>
    <w:rsid w:val="00E90CDA"/>
    <w:rsid w:val="00E9177E"/>
    <w:rsid w:val="00E93F61"/>
    <w:rsid w:val="00E94783"/>
    <w:rsid w:val="00E957F7"/>
    <w:rsid w:val="00E9644C"/>
    <w:rsid w:val="00EA3829"/>
    <w:rsid w:val="00EA3845"/>
    <w:rsid w:val="00EA4B36"/>
    <w:rsid w:val="00EA7ECB"/>
    <w:rsid w:val="00EB0797"/>
    <w:rsid w:val="00EB37B9"/>
    <w:rsid w:val="00EB6BD3"/>
    <w:rsid w:val="00EB6EEB"/>
    <w:rsid w:val="00EC0968"/>
    <w:rsid w:val="00EC11D8"/>
    <w:rsid w:val="00EC27EC"/>
    <w:rsid w:val="00EC47E7"/>
    <w:rsid w:val="00EC4806"/>
    <w:rsid w:val="00EC6D53"/>
    <w:rsid w:val="00EC7A66"/>
    <w:rsid w:val="00EC7DD4"/>
    <w:rsid w:val="00ED0BFC"/>
    <w:rsid w:val="00ED2101"/>
    <w:rsid w:val="00ED337D"/>
    <w:rsid w:val="00ED4EE0"/>
    <w:rsid w:val="00ED58A7"/>
    <w:rsid w:val="00ED6818"/>
    <w:rsid w:val="00ED791B"/>
    <w:rsid w:val="00EE0240"/>
    <w:rsid w:val="00EE1699"/>
    <w:rsid w:val="00EE1A78"/>
    <w:rsid w:val="00EE4071"/>
    <w:rsid w:val="00EE4DEE"/>
    <w:rsid w:val="00EE6218"/>
    <w:rsid w:val="00EF0D8F"/>
    <w:rsid w:val="00EF2F6D"/>
    <w:rsid w:val="00EF6295"/>
    <w:rsid w:val="00F01ABE"/>
    <w:rsid w:val="00F01E97"/>
    <w:rsid w:val="00F029EE"/>
    <w:rsid w:val="00F034A0"/>
    <w:rsid w:val="00F035F3"/>
    <w:rsid w:val="00F04A2D"/>
    <w:rsid w:val="00F05100"/>
    <w:rsid w:val="00F05420"/>
    <w:rsid w:val="00F073F6"/>
    <w:rsid w:val="00F1034A"/>
    <w:rsid w:val="00F12FC1"/>
    <w:rsid w:val="00F13C13"/>
    <w:rsid w:val="00F14120"/>
    <w:rsid w:val="00F17104"/>
    <w:rsid w:val="00F17FA0"/>
    <w:rsid w:val="00F2132C"/>
    <w:rsid w:val="00F23A40"/>
    <w:rsid w:val="00F2445E"/>
    <w:rsid w:val="00F24683"/>
    <w:rsid w:val="00F24E5F"/>
    <w:rsid w:val="00F25F95"/>
    <w:rsid w:val="00F26A85"/>
    <w:rsid w:val="00F26A9F"/>
    <w:rsid w:val="00F364FA"/>
    <w:rsid w:val="00F36557"/>
    <w:rsid w:val="00F4217B"/>
    <w:rsid w:val="00F46051"/>
    <w:rsid w:val="00F46591"/>
    <w:rsid w:val="00F501E0"/>
    <w:rsid w:val="00F52560"/>
    <w:rsid w:val="00F53ECA"/>
    <w:rsid w:val="00F542EB"/>
    <w:rsid w:val="00F548EE"/>
    <w:rsid w:val="00F57285"/>
    <w:rsid w:val="00F57788"/>
    <w:rsid w:val="00F62802"/>
    <w:rsid w:val="00F62F24"/>
    <w:rsid w:val="00F64795"/>
    <w:rsid w:val="00F65A2D"/>
    <w:rsid w:val="00F6713A"/>
    <w:rsid w:val="00F72455"/>
    <w:rsid w:val="00F72845"/>
    <w:rsid w:val="00F76FC7"/>
    <w:rsid w:val="00F77809"/>
    <w:rsid w:val="00F8245A"/>
    <w:rsid w:val="00F84463"/>
    <w:rsid w:val="00F84AB3"/>
    <w:rsid w:val="00F86DF5"/>
    <w:rsid w:val="00F87A9A"/>
    <w:rsid w:val="00F903EC"/>
    <w:rsid w:val="00F91149"/>
    <w:rsid w:val="00F915B8"/>
    <w:rsid w:val="00F97368"/>
    <w:rsid w:val="00FA06AC"/>
    <w:rsid w:val="00FA2C8E"/>
    <w:rsid w:val="00FA2FA7"/>
    <w:rsid w:val="00FA3DF7"/>
    <w:rsid w:val="00FA5B67"/>
    <w:rsid w:val="00FB03DC"/>
    <w:rsid w:val="00FB1715"/>
    <w:rsid w:val="00FB1B45"/>
    <w:rsid w:val="00FB3292"/>
    <w:rsid w:val="00FB662F"/>
    <w:rsid w:val="00FC0AF3"/>
    <w:rsid w:val="00FC28B6"/>
    <w:rsid w:val="00FD114B"/>
    <w:rsid w:val="00FD147C"/>
    <w:rsid w:val="00FD290B"/>
    <w:rsid w:val="00FD476E"/>
    <w:rsid w:val="00FD635D"/>
    <w:rsid w:val="00FD7256"/>
    <w:rsid w:val="00FE2BF8"/>
    <w:rsid w:val="00FE4410"/>
    <w:rsid w:val="00FE4DC0"/>
    <w:rsid w:val="00FE6534"/>
    <w:rsid w:val="00FE76A3"/>
    <w:rsid w:val="00FF0CD0"/>
    <w:rsid w:val="00FF14B4"/>
    <w:rsid w:val="00FF15EA"/>
    <w:rsid w:val="00FF1E02"/>
    <w:rsid w:val="00FF1E5E"/>
    <w:rsid w:val="00FF3A8F"/>
    <w:rsid w:val="00FF5AE8"/>
    <w:rsid w:val="102B4101"/>
    <w:rsid w:val="3FFE1044"/>
    <w:rsid w:val="40D211BF"/>
    <w:rsid w:val="44A92340"/>
    <w:rsid w:val="4D4F78F1"/>
    <w:rsid w:val="5153491D"/>
    <w:rsid w:val="55CB55AB"/>
    <w:rsid w:val="5D317188"/>
    <w:rsid w:val="5F1D4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88303AB"/>
  <w15:docId w15:val="{60BBA1EC-0740-4F70-A2E9-56DF603E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A" w:eastAsia="en-ZA"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35A"/>
    <w:rPr>
      <w:rFonts w:eastAsia="Times New Roman"/>
      <w:sz w:val="24"/>
      <w:szCs w:val="24"/>
      <w:lang w:val="en-GB" w:eastAsia="en-US"/>
    </w:rPr>
  </w:style>
  <w:style w:type="paragraph" w:styleId="Heading2">
    <w:name w:val="heading 2"/>
    <w:basedOn w:val="Normal"/>
    <w:next w:val="Normal"/>
    <w:link w:val="Heading2Char"/>
    <w:uiPriority w:val="9"/>
    <w:unhideWhenUsed/>
    <w:qFormat/>
    <w:pPr>
      <w:keepNext/>
      <w:keepLines/>
      <w:spacing w:before="40"/>
      <w:outlineLvl w:val="1"/>
    </w:pPr>
    <w:rPr>
      <w:rFonts w:ascii="Calibri Light" w:eastAsia="SimSun" w:hAnsi="Calibri Light"/>
      <w:color w:val="2E75B5"/>
      <w:sz w:val="26"/>
      <w:szCs w:val="26"/>
    </w:rPr>
  </w:style>
  <w:style w:type="paragraph" w:styleId="Heading3">
    <w:name w:val="heading 3"/>
    <w:basedOn w:val="Normal"/>
    <w:next w:val="Normal"/>
    <w:link w:val="Heading3Char"/>
    <w:qFormat/>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rPr>
      <w:b/>
      <w:bCs/>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qFormat/>
    <w:rPr>
      <w:sz w:val="20"/>
      <w:szCs w:val="20"/>
    </w:rPr>
  </w:style>
  <w:style w:type="paragraph" w:styleId="Header">
    <w:name w:val="header"/>
    <w:basedOn w:val="Normal"/>
    <w:link w:val="HeaderChar"/>
    <w:uiPriority w:val="99"/>
    <w:qFormat/>
    <w:pPr>
      <w:tabs>
        <w:tab w:val="center" w:pos="4153"/>
        <w:tab w:val="right" w:pos="8306"/>
      </w:tabs>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pPr>
    <w:rPr>
      <w:lang w:val="en-US"/>
    </w:rPr>
  </w:style>
  <w:style w:type="character" w:styleId="PageNumber">
    <w:name w:val="page number"/>
    <w:basedOn w:val="DefaultParagraphFont"/>
    <w:qFormat/>
    <w:rPr>
      <w:rFonts w:cs="Times New Roman"/>
    </w:rPr>
  </w:style>
  <w:style w:type="character" w:customStyle="1" w:styleId="Heading2Char">
    <w:name w:val="Heading 2 Char"/>
    <w:basedOn w:val="DefaultParagraphFont"/>
    <w:link w:val="Heading2"/>
    <w:uiPriority w:val="9"/>
    <w:semiHidden/>
    <w:rPr>
      <w:rFonts w:ascii="Calibri Light" w:eastAsia="SimSun" w:hAnsi="Calibri Light" w:cs="Times New Roman"/>
      <w:color w:val="2E75B5"/>
      <w:sz w:val="26"/>
      <w:szCs w:val="26"/>
      <w:lang w:val="en-GB"/>
    </w:rPr>
  </w:style>
  <w:style w:type="character" w:customStyle="1" w:styleId="Heading3Char">
    <w:name w:val="Heading 3 Char"/>
    <w:basedOn w:val="DefaultParagraphFont"/>
    <w:link w:val="Heading3"/>
    <w:qFormat/>
    <w:rPr>
      <w:rFonts w:ascii="Arial" w:eastAsia="Times New Roman" w:hAnsi="Arial" w:cs="Arial"/>
      <w:i/>
      <w:iCs/>
      <w:sz w:val="28"/>
      <w:szCs w:val="24"/>
      <w:lang w:val="en-GB"/>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en-GB"/>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val="en-GB"/>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contextualSpacing/>
    </w:pPr>
  </w:style>
  <w:style w:type="paragraph" w:customStyle="1" w:styleId="western">
    <w:name w:val="western"/>
    <w:basedOn w:val="Normal"/>
    <w:qFormat/>
    <w:pPr>
      <w:spacing w:before="144" w:after="288"/>
    </w:pPr>
    <w:rPr>
      <w:lang w:val="en-US"/>
    </w:rPr>
  </w:style>
  <w:style w:type="character" w:styleId="PlaceholderText">
    <w:name w:val="Placeholder Text"/>
    <w:basedOn w:val="DefaultParagraphFont"/>
    <w:uiPriority w:val="99"/>
    <w:semiHidden/>
    <w:rPr>
      <w:color w:val="808080"/>
    </w:rPr>
  </w:style>
  <w:style w:type="paragraph" w:customStyle="1" w:styleId="Revision1">
    <w:name w:val="Revision1"/>
    <w:uiPriority w:val="99"/>
    <w:semiHidden/>
    <w:qFormat/>
    <w:rPr>
      <w:rFonts w:eastAsia="Times New Roman"/>
      <w:sz w:val="24"/>
      <w:szCs w:val="24"/>
      <w:lang w:val="en-GB" w:eastAsia="en-US"/>
    </w:rPr>
  </w:style>
  <w:style w:type="paragraph" w:styleId="Footer">
    <w:name w:val="footer"/>
    <w:basedOn w:val="Normal"/>
    <w:link w:val="FooterChar"/>
    <w:uiPriority w:val="99"/>
    <w:unhideWhenUsed/>
    <w:rsid w:val="000F7DC4"/>
    <w:pPr>
      <w:tabs>
        <w:tab w:val="center" w:pos="4513"/>
        <w:tab w:val="right" w:pos="9026"/>
      </w:tabs>
    </w:pPr>
  </w:style>
  <w:style w:type="character" w:customStyle="1" w:styleId="FooterChar">
    <w:name w:val="Footer Char"/>
    <w:basedOn w:val="DefaultParagraphFont"/>
    <w:link w:val="Footer"/>
    <w:uiPriority w:val="99"/>
    <w:rsid w:val="000F7DC4"/>
    <w:rPr>
      <w:rFonts w:eastAsia="Times New Roman"/>
      <w:sz w:val="24"/>
      <w:szCs w:val="24"/>
      <w:lang w:val="en-GB" w:eastAsia="en-US"/>
    </w:rPr>
  </w:style>
  <w:style w:type="paragraph" w:styleId="Revision">
    <w:name w:val="Revision"/>
    <w:hidden/>
    <w:uiPriority w:val="99"/>
    <w:semiHidden/>
    <w:rsid w:val="00F72455"/>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055">
      <w:bodyDiv w:val="1"/>
      <w:marLeft w:val="0"/>
      <w:marRight w:val="0"/>
      <w:marTop w:val="0"/>
      <w:marBottom w:val="0"/>
      <w:divBdr>
        <w:top w:val="none" w:sz="0" w:space="0" w:color="auto"/>
        <w:left w:val="none" w:sz="0" w:space="0" w:color="auto"/>
        <w:bottom w:val="none" w:sz="0" w:space="0" w:color="auto"/>
        <w:right w:val="none" w:sz="0" w:space="0" w:color="auto"/>
      </w:divBdr>
    </w:div>
    <w:div w:id="74935292">
      <w:bodyDiv w:val="1"/>
      <w:marLeft w:val="0"/>
      <w:marRight w:val="0"/>
      <w:marTop w:val="0"/>
      <w:marBottom w:val="0"/>
      <w:divBdr>
        <w:top w:val="none" w:sz="0" w:space="0" w:color="auto"/>
        <w:left w:val="none" w:sz="0" w:space="0" w:color="auto"/>
        <w:bottom w:val="none" w:sz="0" w:space="0" w:color="auto"/>
        <w:right w:val="none" w:sz="0" w:space="0" w:color="auto"/>
      </w:divBdr>
    </w:div>
    <w:div w:id="87893422">
      <w:bodyDiv w:val="1"/>
      <w:marLeft w:val="0"/>
      <w:marRight w:val="0"/>
      <w:marTop w:val="0"/>
      <w:marBottom w:val="0"/>
      <w:divBdr>
        <w:top w:val="none" w:sz="0" w:space="0" w:color="auto"/>
        <w:left w:val="none" w:sz="0" w:space="0" w:color="auto"/>
        <w:bottom w:val="none" w:sz="0" w:space="0" w:color="auto"/>
        <w:right w:val="none" w:sz="0" w:space="0" w:color="auto"/>
      </w:divBdr>
    </w:div>
    <w:div w:id="136194342">
      <w:bodyDiv w:val="1"/>
      <w:marLeft w:val="0"/>
      <w:marRight w:val="0"/>
      <w:marTop w:val="0"/>
      <w:marBottom w:val="0"/>
      <w:divBdr>
        <w:top w:val="none" w:sz="0" w:space="0" w:color="auto"/>
        <w:left w:val="none" w:sz="0" w:space="0" w:color="auto"/>
        <w:bottom w:val="none" w:sz="0" w:space="0" w:color="auto"/>
        <w:right w:val="none" w:sz="0" w:space="0" w:color="auto"/>
      </w:divBdr>
    </w:div>
    <w:div w:id="144593046">
      <w:bodyDiv w:val="1"/>
      <w:marLeft w:val="0"/>
      <w:marRight w:val="0"/>
      <w:marTop w:val="0"/>
      <w:marBottom w:val="0"/>
      <w:divBdr>
        <w:top w:val="none" w:sz="0" w:space="0" w:color="auto"/>
        <w:left w:val="none" w:sz="0" w:space="0" w:color="auto"/>
        <w:bottom w:val="none" w:sz="0" w:space="0" w:color="auto"/>
        <w:right w:val="none" w:sz="0" w:space="0" w:color="auto"/>
      </w:divBdr>
      <w:divsChild>
        <w:div w:id="1463232382">
          <w:marLeft w:val="0"/>
          <w:marRight w:val="0"/>
          <w:marTop w:val="120"/>
          <w:marBottom w:val="0"/>
          <w:divBdr>
            <w:top w:val="none" w:sz="0" w:space="0" w:color="auto"/>
            <w:left w:val="none" w:sz="0" w:space="0" w:color="auto"/>
            <w:bottom w:val="none" w:sz="0" w:space="0" w:color="auto"/>
            <w:right w:val="none" w:sz="0" w:space="0" w:color="auto"/>
          </w:divBdr>
        </w:div>
        <w:div w:id="248125213">
          <w:marLeft w:val="1134"/>
          <w:marRight w:val="0"/>
          <w:marTop w:val="120"/>
          <w:marBottom w:val="0"/>
          <w:divBdr>
            <w:top w:val="none" w:sz="0" w:space="0" w:color="auto"/>
            <w:left w:val="none" w:sz="0" w:space="0" w:color="auto"/>
            <w:bottom w:val="none" w:sz="0" w:space="0" w:color="auto"/>
            <w:right w:val="none" w:sz="0" w:space="0" w:color="auto"/>
          </w:divBdr>
        </w:div>
        <w:div w:id="1026636854">
          <w:marLeft w:val="1134"/>
          <w:marRight w:val="0"/>
          <w:marTop w:val="120"/>
          <w:marBottom w:val="0"/>
          <w:divBdr>
            <w:top w:val="none" w:sz="0" w:space="0" w:color="auto"/>
            <w:left w:val="none" w:sz="0" w:space="0" w:color="auto"/>
            <w:bottom w:val="none" w:sz="0" w:space="0" w:color="auto"/>
            <w:right w:val="none" w:sz="0" w:space="0" w:color="auto"/>
          </w:divBdr>
        </w:div>
        <w:div w:id="147601199">
          <w:marLeft w:val="1134"/>
          <w:marRight w:val="0"/>
          <w:marTop w:val="120"/>
          <w:marBottom w:val="0"/>
          <w:divBdr>
            <w:top w:val="none" w:sz="0" w:space="0" w:color="auto"/>
            <w:left w:val="none" w:sz="0" w:space="0" w:color="auto"/>
            <w:bottom w:val="none" w:sz="0" w:space="0" w:color="auto"/>
            <w:right w:val="none" w:sz="0" w:space="0" w:color="auto"/>
          </w:divBdr>
        </w:div>
        <w:div w:id="283077416">
          <w:marLeft w:val="1134"/>
          <w:marRight w:val="0"/>
          <w:marTop w:val="120"/>
          <w:marBottom w:val="0"/>
          <w:divBdr>
            <w:top w:val="none" w:sz="0" w:space="0" w:color="auto"/>
            <w:left w:val="none" w:sz="0" w:space="0" w:color="auto"/>
            <w:bottom w:val="none" w:sz="0" w:space="0" w:color="auto"/>
            <w:right w:val="none" w:sz="0" w:space="0" w:color="auto"/>
          </w:divBdr>
        </w:div>
        <w:div w:id="55974466">
          <w:marLeft w:val="1134"/>
          <w:marRight w:val="0"/>
          <w:marTop w:val="120"/>
          <w:marBottom w:val="0"/>
          <w:divBdr>
            <w:top w:val="none" w:sz="0" w:space="0" w:color="auto"/>
            <w:left w:val="none" w:sz="0" w:space="0" w:color="auto"/>
            <w:bottom w:val="none" w:sz="0" w:space="0" w:color="auto"/>
            <w:right w:val="none" w:sz="0" w:space="0" w:color="auto"/>
          </w:divBdr>
        </w:div>
        <w:div w:id="1397317893">
          <w:marLeft w:val="1134"/>
          <w:marRight w:val="0"/>
          <w:marTop w:val="120"/>
          <w:marBottom w:val="0"/>
          <w:divBdr>
            <w:top w:val="none" w:sz="0" w:space="0" w:color="auto"/>
            <w:left w:val="none" w:sz="0" w:space="0" w:color="auto"/>
            <w:bottom w:val="none" w:sz="0" w:space="0" w:color="auto"/>
            <w:right w:val="none" w:sz="0" w:space="0" w:color="auto"/>
          </w:divBdr>
        </w:div>
        <w:div w:id="320891662">
          <w:marLeft w:val="1134"/>
          <w:marRight w:val="0"/>
          <w:marTop w:val="120"/>
          <w:marBottom w:val="0"/>
          <w:divBdr>
            <w:top w:val="none" w:sz="0" w:space="0" w:color="auto"/>
            <w:left w:val="none" w:sz="0" w:space="0" w:color="auto"/>
            <w:bottom w:val="none" w:sz="0" w:space="0" w:color="auto"/>
            <w:right w:val="none" w:sz="0" w:space="0" w:color="auto"/>
          </w:divBdr>
        </w:div>
        <w:div w:id="336736917">
          <w:marLeft w:val="1134"/>
          <w:marRight w:val="0"/>
          <w:marTop w:val="120"/>
          <w:marBottom w:val="0"/>
          <w:divBdr>
            <w:top w:val="none" w:sz="0" w:space="0" w:color="auto"/>
            <w:left w:val="none" w:sz="0" w:space="0" w:color="auto"/>
            <w:bottom w:val="none" w:sz="0" w:space="0" w:color="auto"/>
            <w:right w:val="none" w:sz="0" w:space="0" w:color="auto"/>
          </w:divBdr>
        </w:div>
        <w:div w:id="255940425">
          <w:marLeft w:val="1134"/>
          <w:marRight w:val="0"/>
          <w:marTop w:val="120"/>
          <w:marBottom w:val="0"/>
          <w:divBdr>
            <w:top w:val="none" w:sz="0" w:space="0" w:color="auto"/>
            <w:left w:val="none" w:sz="0" w:space="0" w:color="auto"/>
            <w:bottom w:val="none" w:sz="0" w:space="0" w:color="auto"/>
            <w:right w:val="none" w:sz="0" w:space="0" w:color="auto"/>
          </w:divBdr>
        </w:div>
        <w:div w:id="948970209">
          <w:marLeft w:val="1134"/>
          <w:marRight w:val="0"/>
          <w:marTop w:val="120"/>
          <w:marBottom w:val="0"/>
          <w:divBdr>
            <w:top w:val="none" w:sz="0" w:space="0" w:color="auto"/>
            <w:left w:val="none" w:sz="0" w:space="0" w:color="auto"/>
            <w:bottom w:val="none" w:sz="0" w:space="0" w:color="auto"/>
            <w:right w:val="none" w:sz="0" w:space="0" w:color="auto"/>
          </w:divBdr>
        </w:div>
        <w:div w:id="632710688">
          <w:marLeft w:val="0"/>
          <w:marRight w:val="0"/>
          <w:marTop w:val="240"/>
          <w:marBottom w:val="24"/>
          <w:divBdr>
            <w:top w:val="single" w:sz="8" w:space="2" w:color="808080"/>
            <w:left w:val="none" w:sz="0" w:space="0" w:color="auto"/>
            <w:bottom w:val="none" w:sz="0" w:space="0" w:color="auto"/>
            <w:right w:val="none" w:sz="0" w:space="0" w:color="auto"/>
          </w:divBdr>
        </w:div>
        <w:div w:id="31074659">
          <w:marLeft w:val="1134"/>
          <w:marRight w:val="0"/>
          <w:marTop w:val="120"/>
          <w:marBottom w:val="0"/>
          <w:divBdr>
            <w:top w:val="none" w:sz="0" w:space="0" w:color="auto"/>
            <w:left w:val="none" w:sz="0" w:space="0" w:color="auto"/>
            <w:bottom w:val="none" w:sz="0" w:space="0" w:color="auto"/>
            <w:right w:val="none" w:sz="0" w:space="0" w:color="auto"/>
          </w:divBdr>
        </w:div>
        <w:div w:id="1075861967">
          <w:marLeft w:val="1134"/>
          <w:marRight w:val="0"/>
          <w:marTop w:val="120"/>
          <w:marBottom w:val="0"/>
          <w:divBdr>
            <w:top w:val="none" w:sz="0" w:space="0" w:color="auto"/>
            <w:left w:val="none" w:sz="0" w:space="0" w:color="auto"/>
            <w:bottom w:val="none" w:sz="0" w:space="0" w:color="auto"/>
            <w:right w:val="none" w:sz="0" w:space="0" w:color="auto"/>
          </w:divBdr>
        </w:div>
      </w:divsChild>
    </w:div>
    <w:div w:id="469831471">
      <w:bodyDiv w:val="1"/>
      <w:marLeft w:val="0"/>
      <w:marRight w:val="0"/>
      <w:marTop w:val="0"/>
      <w:marBottom w:val="0"/>
      <w:divBdr>
        <w:top w:val="none" w:sz="0" w:space="0" w:color="auto"/>
        <w:left w:val="none" w:sz="0" w:space="0" w:color="auto"/>
        <w:bottom w:val="none" w:sz="0" w:space="0" w:color="auto"/>
        <w:right w:val="none" w:sz="0" w:space="0" w:color="auto"/>
      </w:divBdr>
    </w:div>
    <w:div w:id="600185231">
      <w:bodyDiv w:val="1"/>
      <w:marLeft w:val="0"/>
      <w:marRight w:val="0"/>
      <w:marTop w:val="0"/>
      <w:marBottom w:val="0"/>
      <w:divBdr>
        <w:top w:val="none" w:sz="0" w:space="0" w:color="auto"/>
        <w:left w:val="none" w:sz="0" w:space="0" w:color="auto"/>
        <w:bottom w:val="none" w:sz="0" w:space="0" w:color="auto"/>
        <w:right w:val="none" w:sz="0" w:space="0" w:color="auto"/>
      </w:divBdr>
    </w:div>
    <w:div w:id="955142118">
      <w:bodyDiv w:val="1"/>
      <w:marLeft w:val="0"/>
      <w:marRight w:val="0"/>
      <w:marTop w:val="0"/>
      <w:marBottom w:val="0"/>
      <w:divBdr>
        <w:top w:val="none" w:sz="0" w:space="0" w:color="auto"/>
        <w:left w:val="none" w:sz="0" w:space="0" w:color="auto"/>
        <w:bottom w:val="none" w:sz="0" w:space="0" w:color="auto"/>
        <w:right w:val="none" w:sz="0" w:space="0" w:color="auto"/>
      </w:divBdr>
    </w:div>
    <w:div w:id="1148285662">
      <w:bodyDiv w:val="1"/>
      <w:marLeft w:val="0"/>
      <w:marRight w:val="0"/>
      <w:marTop w:val="0"/>
      <w:marBottom w:val="0"/>
      <w:divBdr>
        <w:top w:val="none" w:sz="0" w:space="0" w:color="auto"/>
        <w:left w:val="none" w:sz="0" w:space="0" w:color="auto"/>
        <w:bottom w:val="none" w:sz="0" w:space="0" w:color="auto"/>
        <w:right w:val="none" w:sz="0" w:space="0" w:color="auto"/>
      </w:divBdr>
    </w:div>
    <w:div w:id="1170559001">
      <w:bodyDiv w:val="1"/>
      <w:marLeft w:val="0"/>
      <w:marRight w:val="0"/>
      <w:marTop w:val="0"/>
      <w:marBottom w:val="0"/>
      <w:divBdr>
        <w:top w:val="none" w:sz="0" w:space="0" w:color="auto"/>
        <w:left w:val="none" w:sz="0" w:space="0" w:color="auto"/>
        <w:bottom w:val="none" w:sz="0" w:space="0" w:color="auto"/>
        <w:right w:val="none" w:sz="0" w:space="0" w:color="auto"/>
      </w:divBdr>
    </w:div>
    <w:div w:id="1582639187">
      <w:bodyDiv w:val="1"/>
      <w:marLeft w:val="0"/>
      <w:marRight w:val="0"/>
      <w:marTop w:val="0"/>
      <w:marBottom w:val="0"/>
      <w:divBdr>
        <w:top w:val="none" w:sz="0" w:space="0" w:color="auto"/>
        <w:left w:val="none" w:sz="0" w:space="0" w:color="auto"/>
        <w:bottom w:val="none" w:sz="0" w:space="0" w:color="auto"/>
        <w:right w:val="none" w:sz="0" w:space="0" w:color="auto"/>
      </w:divBdr>
    </w:div>
    <w:div w:id="1604150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rona%20Home%20Work\Commissioner%20for%20SARS%20v%20Glencore%20Draft%20Judgment%2015.07.202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2FAC11-59CD-4588-A186-68CD5B69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Commissioner for SARS v Glencore Draft Judgment 15.07.2021</Template>
  <TotalTime>1</TotalTime>
  <Pages>24</Pages>
  <Words>5616</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Ayanda Mdletshe</cp:lastModifiedBy>
  <cp:revision>2</cp:revision>
  <cp:lastPrinted>2022-02-21T08:36:00Z</cp:lastPrinted>
  <dcterms:created xsi:type="dcterms:W3CDTF">2023-02-17T09:01:00Z</dcterms:created>
  <dcterms:modified xsi:type="dcterms:W3CDTF">2023-02-17T09:01:00Z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