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D198E" w14:textId="77777777" w:rsidR="00A77F5E" w:rsidRDefault="00A77F5E" w:rsidP="00A77F5E">
      <w:pPr>
        <w:rPr>
          <w:rFonts w:ascii="Arial" w:eastAsia="Arial" w:hAnsi="Arial" w:cs="Arial"/>
          <w:sz w:val="28"/>
          <w:szCs w:val="28"/>
        </w:rPr>
      </w:pPr>
      <w:bookmarkStart w:id="0" w:name="_GoBack"/>
      <w:bookmarkEnd w:id="0"/>
    </w:p>
    <w:p w14:paraId="59AA4017" w14:textId="77777777" w:rsidR="00A77F5E" w:rsidRDefault="00A77F5E" w:rsidP="00A77F5E">
      <w:pPr>
        <w:jc w:val="center"/>
        <w:rPr>
          <w:rFonts w:ascii="Arial" w:eastAsia="Arial" w:hAnsi="Arial" w:cs="Arial"/>
          <w:b/>
          <w:sz w:val="28"/>
          <w:szCs w:val="28"/>
        </w:rPr>
      </w:pPr>
    </w:p>
    <w:p w14:paraId="73699495" w14:textId="77777777" w:rsidR="00A77F5E" w:rsidRDefault="00A77F5E" w:rsidP="00A77F5E">
      <w:pPr>
        <w:jc w:val="center"/>
        <w:rPr>
          <w:rFonts w:ascii="Arial" w:eastAsia="Arial" w:hAnsi="Arial" w:cs="Arial"/>
          <w:b/>
          <w:sz w:val="28"/>
          <w:szCs w:val="28"/>
        </w:rPr>
      </w:pPr>
    </w:p>
    <w:p w14:paraId="34761D5A" w14:textId="77777777" w:rsidR="00A77F5E" w:rsidRDefault="00A77F5E" w:rsidP="00A77F5E">
      <w:pPr>
        <w:jc w:val="center"/>
        <w:rPr>
          <w:rFonts w:ascii="Arial" w:eastAsia="Arial" w:hAnsi="Arial" w:cs="Arial"/>
          <w:b/>
          <w:sz w:val="28"/>
          <w:szCs w:val="28"/>
        </w:rPr>
      </w:pPr>
      <w:r>
        <w:rPr>
          <w:noProof/>
          <w:lang w:val="en-ZA"/>
        </w:rPr>
        <w:drawing>
          <wp:anchor distT="0" distB="0" distL="114300" distR="114300" simplePos="0" relativeHeight="251659264" behindDoc="0" locked="0" layoutInCell="1" hidden="0" allowOverlap="1" wp14:anchorId="36606133" wp14:editId="2A7DC57C">
            <wp:simplePos x="0" y="0"/>
            <wp:positionH relativeFrom="column">
              <wp:posOffset>2465705</wp:posOffset>
            </wp:positionH>
            <wp:positionV relativeFrom="paragraph">
              <wp:posOffset>-683891</wp:posOffset>
            </wp:positionV>
            <wp:extent cx="800100" cy="914400"/>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00100" cy="914400"/>
                    </a:xfrm>
                    <a:prstGeom prst="rect">
                      <a:avLst/>
                    </a:prstGeom>
                    <a:ln/>
                  </pic:spPr>
                </pic:pic>
              </a:graphicData>
            </a:graphic>
          </wp:anchor>
        </w:drawing>
      </w:r>
    </w:p>
    <w:p w14:paraId="3250DE09" w14:textId="77777777" w:rsidR="00A77F5E" w:rsidRDefault="00A77F5E" w:rsidP="00A77F5E">
      <w:pPr>
        <w:jc w:val="center"/>
        <w:rPr>
          <w:rFonts w:ascii="Arial" w:eastAsia="Arial" w:hAnsi="Arial" w:cs="Arial"/>
          <w:b/>
          <w:sz w:val="28"/>
          <w:szCs w:val="28"/>
        </w:rPr>
      </w:pPr>
    </w:p>
    <w:p w14:paraId="6362DF07" w14:textId="77777777" w:rsidR="00A77F5E" w:rsidRDefault="00A77F5E" w:rsidP="00A77F5E">
      <w:pPr>
        <w:jc w:val="center"/>
        <w:rPr>
          <w:rFonts w:ascii="Arial" w:eastAsia="Arial" w:hAnsi="Arial" w:cs="Arial"/>
          <w:b/>
        </w:rPr>
      </w:pPr>
      <w:r>
        <w:rPr>
          <w:rFonts w:ascii="Arial" w:eastAsia="Arial" w:hAnsi="Arial" w:cs="Arial"/>
          <w:b/>
        </w:rPr>
        <w:t>THE SUPREME COURT OF APPEAL OF SOUTH AFRICA</w:t>
      </w:r>
    </w:p>
    <w:p w14:paraId="6312EEA0" w14:textId="77777777" w:rsidR="00A77F5E" w:rsidRDefault="00A77F5E" w:rsidP="00A77F5E">
      <w:pPr>
        <w:pStyle w:val="Heading3"/>
        <w:jc w:val="center"/>
        <w:rPr>
          <w:b/>
          <w:i w:val="0"/>
        </w:rPr>
      </w:pPr>
      <w:r>
        <w:rPr>
          <w:b/>
          <w:i w:val="0"/>
          <w:sz w:val="24"/>
        </w:rPr>
        <w:t>JUDGMENT</w:t>
      </w:r>
    </w:p>
    <w:p w14:paraId="68595D38" w14:textId="77777777" w:rsidR="00A77F5E" w:rsidRDefault="00A77F5E" w:rsidP="00A77F5E">
      <w:pPr>
        <w:jc w:val="left"/>
        <w:rPr>
          <w:rFonts w:ascii="Arial" w:eastAsia="Arial" w:hAnsi="Arial" w:cs="Arial"/>
          <w:b/>
        </w:rPr>
      </w:pPr>
    </w:p>
    <w:p w14:paraId="52862891" w14:textId="69B092B5" w:rsidR="005F77B4" w:rsidRDefault="005F77B4" w:rsidP="005F77B4">
      <w:pPr>
        <w:jc w:val="right"/>
        <w:rPr>
          <w:rFonts w:ascii="Arial" w:eastAsia="Arial" w:hAnsi="Arial" w:cs="Arial"/>
          <w:b/>
        </w:rPr>
      </w:pPr>
      <w:r w:rsidRPr="006046A3">
        <w:rPr>
          <w:rFonts w:ascii="Arial" w:eastAsia="Arial" w:hAnsi="Arial" w:cs="Arial"/>
          <w:b/>
        </w:rPr>
        <w:t>Reportable</w:t>
      </w:r>
    </w:p>
    <w:p w14:paraId="668448B5" w14:textId="2FFC4CF8" w:rsidR="00A77F5E" w:rsidRDefault="00CE7361" w:rsidP="00CE7361">
      <w:pPr>
        <w:rPr>
          <w:rFonts w:ascii="Arial" w:eastAsia="Arial" w:hAnsi="Arial" w:cs="Arial"/>
        </w:rPr>
      </w:pPr>
      <w:r>
        <w:rPr>
          <w:rFonts w:ascii="Arial" w:eastAsia="Arial" w:hAnsi="Arial" w:cs="Arial"/>
        </w:rPr>
        <w:t xml:space="preserve">                                                                                          </w:t>
      </w:r>
      <w:r w:rsidR="005F77B4">
        <w:rPr>
          <w:rFonts w:ascii="Arial" w:eastAsia="Arial" w:hAnsi="Arial" w:cs="Arial"/>
        </w:rPr>
        <w:t xml:space="preserve">              Case no: 728/2022</w:t>
      </w:r>
    </w:p>
    <w:p w14:paraId="7BE62988" w14:textId="77777777" w:rsidR="00A77F5E" w:rsidRDefault="00A77F5E" w:rsidP="00A77F5E">
      <w:pPr>
        <w:rPr>
          <w:rFonts w:ascii="Arial" w:eastAsia="Arial" w:hAnsi="Arial" w:cs="Arial"/>
        </w:rPr>
      </w:pPr>
      <w:r>
        <w:rPr>
          <w:rFonts w:ascii="Arial" w:eastAsia="Arial" w:hAnsi="Arial" w:cs="Arial"/>
        </w:rPr>
        <w:t>In the matter between:</w:t>
      </w:r>
    </w:p>
    <w:p w14:paraId="47D4482F" w14:textId="77777777" w:rsidR="00A77F5E" w:rsidRDefault="00A77F5E" w:rsidP="00A77F5E">
      <w:pPr>
        <w:widowControl w:val="0"/>
        <w:tabs>
          <w:tab w:val="right" w:pos="9360"/>
        </w:tabs>
        <w:rPr>
          <w:rFonts w:ascii="Arial" w:eastAsia="Arial" w:hAnsi="Arial" w:cs="Arial"/>
          <w:b/>
        </w:rPr>
      </w:pPr>
    </w:p>
    <w:p w14:paraId="35E1FDA1" w14:textId="70F71AB0" w:rsidR="00A77F5E" w:rsidRDefault="005F77B4" w:rsidP="00A77F5E">
      <w:pPr>
        <w:widowControl w:val="0"/>
        <w:tabs>
          <w:tab w:val="right" w:pos="9360"/>
        </w:tabs>
        <w:spacing w:after="120"/>
        <w:rPr>
          <w:rFonts w:ascii="Arial" w:eastAsia="Arial" w:hAnsi="Arial" w:cs="Arial"/>
          <w:b/>
        </w:rPr>
      </w:pPr>
      <w:r>
        <w:rPr>
          <w:rFonts w:ascii="Arial" w:eastAsia="Arial" w:hAnsi="Arial" w:cs="Arial"/>
          <w:b/>
        </w:rPr>
        <w:t xml:space="preserve">LUEVEN METALS (PTY) LTD </w:t>
      </w:r>
      <w:r w:rsidR="00A77F5E" w:rsidRPr="00306737">
        <w:rPr>
          <w:rFonts w:ascii="Arial" w:eastAsia="Arial" w:hAnsi="Arial" w:cs="Arial"/>
          <w:b/>
        </w:rPr>
        <w:tab/>
        <w:t>APPELLANT</w:t>
      </w:r>
    </w:p>
    <w:p w14:paraId="39CBD910" w14:textId="77777777" w:rsidR="00A77F5E" w:rsidRDefault="00A77F5E" w:rsidP="00A77F5E">
      <w:pPr>
        <w:widowControl w:val="0"/>
        <w:tabs>
          <w:tab w:val="right" w:pos="9360"/>
        </w:tabs>
        <w:rPr>
          <w:rFonts w:ascii="Arial" w:eastAsia="Arial" w:hAnsi="Arial" w:cs="Arial"/>
          <w:b/>
        </w:rPr>
      </w:pPr>
    </w:p>
    <w:p w14:paraId="5C5310E7" w14:textId="77777777" w:rsidR="00A77F5E" w:rsidRDefault="00A77F5E" w:rsidP="00A77F5E">
      <w:pPr>
        <w:widowControl w:val="0"/>
        <w:rPr>
          <w:rFonts w:ascii="Arial" w:eastAsia="Arial" w:hAnsi="Arial" w:cs="Arial"/>
        </w:rPr>
      </w:pPr>
      <w:r>
        <w:rPr>
          <w:rFonts w:ascii="Arial" w:eastAsia="Arial" w:hAnsi="Arial" w:cs="Arial"/>
        </w:rPr>
        <w:t>and</w:t>
      </w:r>
    </w:p>
    <w:p w14:paraId="79BC62CE" w14:textId="77777777" w:rsidR="00A77F5E" w:rsidRDefault="00A77F5E" w:rsidP="00A77F5E">
      <w:pPr>
        <w:widowControl w:val="0"/>
        <w:rPr>
          <w:rFonts w:ascii="Arial" w:eastAsia="Arial" w:hAnsi="Arial" w:cs="Arial"/>
        </w:rPr>
      </w:pPr>
    </w:p>
    <w:p w14:paraId="017FE5EC" w14:textId="77777777" w:rsidR="005F77B4" w:rsidRDefault="005F77B4" w:rsidP="00D903DF">
      <w:pPr>
        <w:widowControl w:val="0"/>
        <w:tabs>
          <w:tab w:val="right" w:pos="9360"/>
        </w:tabs>
        <w:spacing w:before="160" w:after="160"/>
        <w:rPr>
          <w:rFonts w:ascii="Arial" w:eastAsia="Arial" w:hAnsi="Arial" w:cs="Arial"/>
          <w:b/>
        </w:rPr>
      </w:pPr>
      <w:r>
        <w:rPr>
          <w:rFonts w:ascii="Arial" w:eastAsia="Arial" w:hAnsi="Arial" w:cs="Arial"/>
          <w:b/>
        </w:rPr>
        <w:t>COMMISSIONER FOR THE SOUTH AFRICAN</w:t>
      </w:r>
    </w:p>
    <w:p w14:paraId="4B276076" w14:textId="5EC6BA0B" w:rsidR="00A77F5E" w:rsidRDefault="005F77B4" w:rsidP="00D903DF">
      <w:pPr>
        <w:widowControl w:val="0"/>
        <w:tabs>
          <w:tab w:val="right" w:pos="9360"/>
        </w:tabs>
        <w:spacing w:before="160" w:after="160"/>
        <w:rPr>
          <w:rFonts w:ascii="Arial" w:eastAsia="Arial" w:hAnsi="Arial" w:cs="Arial"/>
          <w:b/>
        </w:rPr>
      </w:pPr>
      <w:r>
        <w:rPr>
          <w:rFonts w:ascii="Arial" w:eastAsia="Arial" w:hAnsi="Arial" w:cs="Arial"/>
          <w:b/>
        </w:rPr>
        <w:t xml:space="preserve">REVENUE SERVICE </w:t>
      </w:r>
      <w:r w:rsidR="00A77F5E" w:rsidRPr="00306737">
        <w:rPr>
          <w:rFonts w:ascii="Arial" w:eastAsia="Arial" w:hAnsi="Arial" w:cs="Arial"/>
          <w:b/>
        </w:rPr>
        <w:tab/>
        <w:t>RESPONDENT</w:t>
      </w:r>
    </w:p>
    <w:p w14:paraId="13E9121B" w14:textId="711AE96E" w:rsidR="008222EF" w:rsidRPr="00306737" w:rsidRDefault="008222EF" w:rsidP="00E1078C">
      <w:pPr>
        <w:widowControl w:val="0"/>
        <w:tabs>
          <w:tab w:val="right" w:pos="9360"/>
        </w:tabs>
        <w:spacing w:after="120"/>
        <w:rPr>
          <w:rFonts w:ascii="Arial" w:eastAsia="Arial" w:hAnsi="Arial" w:cs="Arial"/>
        </w:rPr>
      </w:pPr>
    </w:p>
    <w:p w14:paraId="1440102F" w14:textId="57EACC3F" w:rsidR="00A77F5E" w:rsidRPr="00306737" w:rsidRDefault="00A77F5E" w:rsidP="00A77F5E">
      <w:pPr>
        <w:ind w:left="2160" w:hanging="2160"/>
        <w:rPr>
          <w:rFonts w:ascii="Arial" w:eastAsia="Arial" w:hAnsi="Arial" w:cs="Arial"/>
          <w:b/>
        </w:rPr>
      </w:pPr>
      <w:r>
        <w:rPr>
          <w:rFonts w:ascii="Arial" w:eastAsia="Arial" w:hAnsi="Arial" w:cs="Arial"/>
          <w:b/>
        </w:rPr>
        <w:t>Neutral citation:</w:t>
      </w:r>
      <w:r>
        <w:rPr>
          <w:rFonts w:ascii="Arial" w:eastAsia="Arial" w:hAnsi="Arial" w:cs="Arial"/>
          <w:b/>
        </w:rPr>
        <w:tab/>
      </w:r>
      <w:r w:rsidR="006807A7" w:rsidRPr="00BB195F">
        <w:rPr>
          <w:rFonts w:ascii="Arial" w:eastAsia="Arial" w:hAnsi="Arial" w:cs="Arial"/>
          <w:i/>
        </w:rPr>
        <w:t>Lueven Metals (Pty) Ltd v Commissioner for the South African Revenue Service</w:t>
      </w:r>
      <w:r w:rsidR="006807A7">
        <w:rPr>
          <w:rFonts w:ascii="Arial" w:eastAsia="Arial" w:hAnsi="Arial" w:cs="Arial"/>
        </w:rPr>
        <w:t xml:space="preserve"> </w:t>
      </w:r>
      <w:r w:rsidR="005F77B4">
        <w:rPr>
          <w:rFonts w:ascii="Arial" w:eastAsia="Arial" w:hAnsi="Arial" w:cs="Arial"/>
        </w:rPr>
        <w:t>(Case no 728/2022</w:t>
      </w:r>
      <w:r w:rsidR="008C42CF">
        <w:rPr>
          <w:rFonts w:ascii="Arial" w:eastAsia="Arial" w:hAnsi="Arial" w:cs="Arial"/>
        </w:rPr>
        <w:t xml:space="preserve">) [2023] </w:t>
      </w:r>
      <w:r w:rsidR="005D57DF">
        <w:rPr>
          <w:rFonts w:ascii="Arial" w:eastAsia="Arial" w:hAnsi="Arial" w:cs="Arial"/>
        </w:rPr>
        <w:t xml:space="preserve">ZASCA </w:t>
      </w:r>
      <w:r w:rsidR="006046A3">
        <w:rPr>
          <w:rFonts w:ascii="Arial" w:eastAsia="Arial" w:hAnsi="Arial" w:cs="Arial"/>
        </w:rPr>
        <w:t>144</w:t>
      </w:r>
      <w:r w:rsidR="005D57DF">
        <w:rPr>
          <w:rFonts w:ascii="Arial" w:eastAsia="Arial" w:hAnsi="Arial" w:cs="Arial"/>
        </w:rPr>
        <w:t xml:space="preserve"> </w:t>
      </w:r>
      <w:r w:rsidRPr="00306737">
        <w:rPr>
          <w:rFonts w:ascii="Arial" w:eastAsia="Arial" w:hAnsi="Arial" w:cs="Arial"/>
        </w:rPr>
        <w:t>(</w:t>
      </w:r>
      <w:r w:rsidR="006046A3" w:rsidRPr="006046A3">
        <w:rPr>
          <w:rFonts w:ascii="Arial" w:eastAsia="Arial" w:hAnsi="Arial" w:cs="Arial"/>
        </w:rPr>
        <w:t xml:space="preserve">8 November </w:t>
      </w:r>
      <w:r w:rsidRPr="006046A3">
        <w:rPr>
          <w:rFonts w:ascii="Arial" w:eastAsia="Arial" w:hAnsi="Arial" w:cs="Arial"/>
        </w:rPr>
        <w:t>2023)</w:t>
      </w:r>
    </w:p>
    <w:p w14:paraId="78B98508" w14:textId="0B900909" w:rsidR="00A77F5E" w:rsidRPr="00306737" w:rsidRDefault="00A77F5E" w:rsidP="006B7536">
      <w:pPr>
        <w:ind w:left="2160" w:hanging="2160"/>
        <w:rPr>
          <w:rFonts w:ascii="Arial" w:eastAsia="Arial" w:hAnsi="Arial" w:cs="Arial"/>
          <w:b/>
        </w:rPr>
      </w:pPr>
      <w:r>
        <w:rPr>
          <w:rFonts w:ascii="Arial" w:eastAsia="Arial" w:hAnsi="Arial" w:cs="Arial"/>
          <w:b/>
        </w:rPr>
        <w:t>Coram:</w:t>
      </w:r>
      <w:r>
        <w:rPr>
          <w:rFonts w:ascii="Arial" w:eastAsia="Arial" w:hAnsi="Arial" w:cs="Arial"/>
        </w:rPr>
        <w:tab/>
      </w:r>
      <w:r w:rsidR="005F77B4">
        <w:rPr>
          <w:rFonts w:ascii="Arial" w:eastAsia="Arial" w:hAnsi="Arial" w:cs="Arial"/>
        </w:rPr>
        <w:t>MOLEMELA P and PONNAN and MEYER JJA and KEIGHTLEY and MALI</w:t>
      </w:r>
      <w:r w:rsidR="00AA474B">
        <w:rPr>
          <w:rFonts w:ascii="Arial" w:eastAsia="Arial" w:hAnsi="Arial" w:cs="Arial"/>
        </w:rPr>
        <w:t xml:space="preserve"> AJ</w:t>
      </w:r>
      <w:r w:rsidR="005F77B4">
        <w:rPr>
          <w:rFonts w:ascii="Arial" w:eastAsia="Arial" w:hAnsi="Arial" w:cs="Arial"/>
        </w:rPr>
        <w:t>J</w:t>
      </w:r>
      <w:r w:rsidRPr="00306737">
        <w:rPr>
          <w:rFonts w:ascii="Arial" w:eastAsia="Arial" w:hAnsi="Arial" w:cs="Arial"/>
        </w:rPr>
        <w:t>A</w:t>
      </w:r>
    </w:p>
    <w:p w14:paraId="00317953" w14:textId="2FB76048" w:rsidR="00A77F5E" w:rsidRPr="00306737" w:rsidRDefault="00A77F5E" w:rsidP="00A77F5E">
      <w:pPr>
        <w:rPr>
          <w:rFonts w:ascii="Arial" w:eastAsia="Arial" w:hAnsi="Arial" w:cs="Arial"/>
          <w:b/>
        </w:rPr>
      </w:pPr>
      <w:r>
        <w:rPr>
          <w:rFonts w:ascii="Arial" w:eastAsia="Arial" w:hAnsi="Arial" w:cs="Arial"/>
          <w:b/>
        </w:rPr>
        <w:t>Heard</w:t>
      </w:r>
      <w:r w:rsidR="005F77B4">
        <w:rPr>
          <w:rFonts w:ascii="Arial" w:eastAsia="Arial" w:hAnsi="Arial" w:cs="Arial"/>
        </w:rPr>
        <w:t>:</w:t>
      </w:r>
      <w:r w:rsidR="005F77B4">
        <w:rPr>
          <w:rFonts w:ascii="Arial" w:eastAsia="Arial" w:hAnsi="Arial" w:cs="Arial"/>
        </w:rPr>
        <w:tab/>
      </w:r>
      <w:r w:rsidR="006B7536">
        <w:rPr>
          <w:rFonts w:ascii="Arial" w:eastAsia="Arial" w:hAnsi="Arial" w:cs="Arial"/>
        </w:rPr>
        <w:tab/>
      </w:r>
      <w:r w:rsidR="005F77B4">
        <w:rPr>
          <w:rFonts w:ascii="Arial" w:eastAsia="Arial" w:hAnsi="Arial" w:cs="Arial"/>
        </w:rPr>
        <w:t>31</w:t>
      </w:r>
      <w:r w:rsidR="00AA474B">
        <w:rPr>
          <w:rFonts w:ascii="Arial" w:eastAsia="Arial" w:hAnsi="Arial" w:cs="Arial"/>
        </w:rPr>
        <w:t xml:space="preserve"> August</w:t>
      </w:r>
      <w:r w:rsidRPr="00306737">
        <w:rPr>
          <w:rFonts w:ascii="Arial" w:eastAsia="Arial" w:hAnsi="Arial" w:cs="Arial"/>
        </w:rPr>
        <w:t xml:space="preserve"> 2023</w:t>
      </w:r>
    </w:p>
    <w:p w14:paraId="05080A8C" w14:textId="47029CB2" w:rsidR="00A77F5E" w:rsidRPr="00306737" w:rsidRDefault="00A77F5E" w:rsidP="00A77F5E">
      <w:pPr>
        <w:rPr>
          <w:rFonts w:ascii="Arial" w:eastAsia="Arial" w:hAnsi="Arial" w:cs="Arial"/>
          <w:b/>
        </w:rPr>
      </w:pPr>
      <w:r w:rsidRPr="005D07C6">
        <w:rPr>
          <w:rFonts w:ascii="Arial" w:eastAsia="Arial" w:hAnsi="Arial" w:cs="Arial"/>
          <w:b/>
        </w:rPr>
        <w:t>Delivered</w:t>
      </w:r>
      <w:r>
        <w:rPr>
          <w:rFonts w:ascii="Arial" w:eastAsia="Arial" w:hAnsi="Arial" w:cs="Arial"/>
        </w:rPr>
        <w:t>:</w:t>
      </w:r>
      <w:r>
        <w:rPr>
          <w:rFonts w:ascii="Arial" w:eastAsia="Arial" w:hAnsi="Arial" w:cs="Arial"/>
        </w:rPr>
        <w:tab/>
      </w:r>
      <w:r w:rsidR="006B7536">
        <w:rPr>
          <w:rFonts w:ascii="Arial" w:eastAsia="Arial" w:hAnsi="Arial" w:cs="Arial"/>
        </w:rPr>
        <w:tab/>
      </w:r>
      <w:r w:rsidR="006046A3" w:rsidRPr="006046A3">
        <w:rPr>
          <w:rFonts w:ascii="Arial" w:eastAsia="Arial" w:hAnsi="Arial" w:cs="Arial"/>
        </w:rPr>
        <w:t>8 November 2023</w:t>
      </w:r>
    </w:p>
    <w:p w14:paraId="2089427A" w14:textId="35516842" w:rsidR="00A45918" w:rsidRPr="008D26FF" w:rsidRDefault="00A77F5E" w:rsidP="00A77F5E">
      <w:pPr>
        <w:rPr>
          <w:rFonts w:ascii="Arial" w:eastAsia="Arial" w:hAnsi="Arial" w:cs="Arial"/>
          <w:bCs/>
        </w:rPr>
      </w:pPr>
      <w:r w:rsidRPr="005D07C6">
        <w:rPr>
          <w:rFonts w:ascii="Arial" w:eastAsia="Arial" w:hAnsi="Arial" w:cs="Arial"/>
          <w:b/>
        </w:rPr>
        <w:t>Summary:</w:t>
      </w:r>
      <w:r>
        <w:rPr>
          <w:rFonts w:ascii="Arial" w:eastAsia="Arial" w:hAnsi="Arial" w:cs="Arial"/>
          <w:b/>
        </w:rPr>
        <w:tab/>
      </w:r>
      <w:r w:rsidR="008D26FF">
        <w:rPr>
          <w:rFonts w:ascii="Arial" w:eastAsia="Arial" w:hAnsi="Arial" w:cs="Arial"/>
          <w:bCs/>
        </w:rPr>
        <w:t>Tax law – declarat</w:t>
      </w:r>
      <w:r w:rsidR="00C04DFD">
        <w:rPr>
          <w:rFonts w:ascii="Arial" w:eastAsia="Arial" w:hAnsi="Arial" w:cs="Arial"/>
          <w:bCs/>
        </w:rPr>
        <w:t xml:space="preserve">ory order – whether appropriate </w:t>
      </w:r>
      <w:r w:rsidR="008D26FF">
        <w:rPr>
          <w:rFonts w:ascii="Arial" w:eastAsia="Arial" w:hAnsi="Arial" w:cs="Arial"/>
          <w:bCs/>
        </w:rPr>
        <w:t>not considered by high court</w:t>
      </w:r>
      <w:r w:rsidR="006807A7">
        <w:rPr>
          <w:rFonts w:ascii="Arial" w:eastAsia="Arial" w:hAnsi="Arial" w:cs="Arial"/>
          <w:bCs/>
        </w:rPr>
        <w:t xml:space="preserve"> – </w:t>
      </w:r>
      <w:r w:rsidR="008D26FF">
        <w:rPr>
          <w:rFonts w:ascii="Arial" w:eastAsia="Arial" w:hAnsi="Arial" w:cs="Arial"/>
          <w:bCs/>
        </w:rPr>
        <w:t xml:space="preserve">narrow basis for entertaining application for declaratory relief in tax matters. </w:t>
      </w:r>
    </w:p>
    <w:p w14:paraId="2500BCDB" w14:textId="044D67F0" w:rsidR="00A77F5E" w:rsidRDefault="00A77F5E" w:rsidP="00FA088F">
      <w:pPr>
        <w:rPr>
          <w:rFonts w:ascii="Arial" w:eastAsia="Arial" w:hAnsi="Arial" w:cs="Arial"/>
          <w:b/>
        </w:rPr>
      </w:pPr>
      <w:r>
        <w:rPr>
          <w:rFonts w:eastAsia="Arial"/>
        </w:rPr>
        <w:br w:type="page"/>
      </w:r>
    </w:p>
    <w:p w14:paraId="07B27EEF" w14:textId="77777777" w:rsidR="005F77B4" w:rsidRPr="003A025A" w:rsidRDefault="005F77B4" w:rsidP="005F77B4">
      <w:pPr>
        <w:rPr>
          <w:rFonts w:eastAsia="Arial"/>
        </w:rPr>
      </w:pPr>
      <w:r>
        <w:rPr>
          <w:rFonts w:ascii="Arial" w:eastAsia="Arial" w:hAnsi="Arial" w:cs="Arial"/>
          <w:b/>
        </w:rPr>
        <w:lastRenderedPageBreak/>
        <w:t>___________________________________________________________________</w:t>
      </w:r>
    </w:p>
    <w:p w14:paraId="65BC4B6C" w14:textId="77777777" w:rsidR="005F77B4" w:rsidRDefault="005F77B4" w:rsidP="005F77B4">
      <w:pPr>
        <w:spacing w:line="276" w:lineRule="auto"/>
        <w:jc w:val="center"/>
        <w:rPr>
          <w:rFonts w:ascii="Arial" w:eastAsia="Arial" w:hAnsi="Arial" w:cs="Arial"/>
          <w:b/>
        </w:rPr>
      </w:pPr>
    </w:p>
    <w:p w14:paraId="03A65BB5" w14:textId="77777777" w:rsidR="005F77B4" w:rsidRDefault="005F77B4" w:rsidP="005F77B4">
      <w:pPr>
        <w:spacing w:line="276" w:lineRule="auto"/>
        <w:jc w:val="center"/>
        <w:rPr>
          <w:rFonts w:ascii="Arial" w:eastAsia="Arial" w:hAnsi="Arial" w:cs="Arial"/>
          <w:b/>
        </w:rPr>
      </w:pPr>
      <w:r>
        <w:rPr>
          <w:rFonts w:ascii="Arial" w:eastAsia="Arial" w:hAnsi="Arial" w:cs="Arial"/>
          <w:b/>
        </w:rPr>
        <w:t>ORDER</w:t>
      </w:r>
    </w:p>
    <w:p w14:paraId="2018F0B1" w14:textId="77777777" w:rsidR="005F77B4" w:rsidRDefault="005F77B4" w:rsidP="005F77B4">
      <w:pPr>
        <w:spacing w:line="276" w:lineRule="auto"/>
        <w:rPr>
          <w:rFonts w:ascii="Arial" w:eastAsia="Arial" w:hAnsi="Arial" w:cs="Arial"/>
          <w:b/>
        </w:rPr>
      </w:pPr>
      <w:r>
        <w:rPr>
          <w:rFonts w:ascii="Arial" w:eastAsia="Arial" w:hAnsi="Arial" w:cs="Arial"/>
          <w:b/>
        </w:rPr>
        <w:t>___________________________________________________________________</w:t>
      </w:r>
    </w:p>
    <w:p w14:paraId="1D8C0034" w14:textId="7E706BCC" w:rsidR="00A77F5E" w:rsidRDefault="00A77F5E" w:rsidP="00A77F5E">
      <w:pPr>
        <w:rPr>
          <w:rFonts w:ascii="Arial" w:hAnsi="Arial" w:cs="Arial"/>
        </w:rPr>
      </w:pPr>
      <w:r>
        <w:rPr>
          <w:rFonts w:ascii="Arial" w:eastAsia="Arial" w:hAnsi="Arial" w:cs="Arial"/>
          <w:b/>
          <w:color w:val="000000"/>
        </w:rPr>
        <w:t>On appeal from</w:t>
      </w:r>
      <w:r>
        <w:rPr>
          <w:rFonts w:ascii="Arial" w:eastAsia="Arial" w:hAnsi="Arial" w:cs="Arial"/>
          <w:color w:val="000000"/>
        </w:rPr>
        <w:t xml:space="preserve">: </w:t>
      </w:r>
      <w:r w:rsidR="005F77B4">
        <w:rPr>
          <w:rFonts w:ascii="Arial" w:hAnsi="Arial" w:cs="Arial"/>
        </w:rPr>
        <w:t>Gauteng</w:t>
      </w:r>
      <w:r w:rsidRPr="00CB576A">
        <w:rPr>
          <w:rFonts w:ascii="Arial" w:hAnsi="Arial" w:cs="Arial"/>
        </w:rPr>
        <w:t xml:space="preserve"> </w:t>
      </w:r>
      <w:r w:rsidRPr="00A70B91">
        <w:rPr>
          <w:rFonts w:ascii="Arial" w:hAnsi="Arial" w:cs="Arial"/>
        </w:rPr>
        <w:t xml:space="preserve">Division of the High Court, </w:t>
      </w:r>
      <w:r w:rsidR="005F77B4">
        <w:rPr>
          <w:rFonts w:ascii="Arial" w:hAnsi="Arial" w:cs="Arial"/>
        </w:rPr>
        <w:t>Pretoria</w:t>
      </w:r>
      <w:r w:rsidR="00E045A4" w:rsidRPr="00A70B91">
        <w:rPr>
          <w:rFonts w:ascii="Arial" w:hAnsi="Arial" w:cs="Arial"/>
        </w:rPr>
        <w:t xml:space="preserve"> (</w:t>
      </w:r>
      <w:r w:rsidR="009E6D1C">
        <w:rPr>
          <w:rFonts w:ascii="Arial" w:hAnsi="Arial" w:cs="Arial"/>
        </w:rPr>
        <w:t>N Davis</w:t>
      </w:r>
      <w:r w:rsidR="005F77B4">
        <w:rPr>
          <w:rFonts w:ascii="Arial" w:hAnsi="Arial" w:cs="Arial"/>
        </w:rPr>
        <w:t xml:space="preserve"> J</w:t>
      </w:r>
      <w:r w:rsidRPr="00A70B91">
        <w:rPr>
          <w:rFonts w:ascii="Arial" w:hAnsi="Arial" w:cs="Arial"/>
        </w:rPr>
        <w:t xml:space="preserve">, </w:t>
      </w:r>
      <w:r w:rsidR="009E6D1C" w:rsidRPr="00A70B91">
        <w:rPr>
          <w:rFonts w:ascii="Arial" w:hAnsi="Arial" w:cs="Arial"/>
        </w:rPr>
        <w:t>sitting as court of first instance</w:t>
      </w:r>
      <w:r w:rsidRPr="00A70B91">
        <w:rPr>
          <w:rFonts w:ascii="Arial" w:hAnsi="Arial" w:cs="Arial"/>
        </w:rPr>
        <w:t>):</w:t>
      </w:r>
    </w:p>
    <w:p w14:paraId="38185C87" w14:textId="0112C0F2" w:rsidR="00C65301" w:rsidRDefault="00C65301" w:rsidP="00A77F5E">
      <w:pPr>
        <w:rPr>
          <w:rFonts w:ascii="Arial" w:hAnsi="Arial" w:cs="Arial"/>
        </w:rPr>
      </w:pPr>
      <w:r>
        <w:rPr>
          <w:rFonts w:ascii="Arial" w:hAnsi="Arial" w:cs="Arial"/>
        </w:rPr>
        <w:t>The appeal is dismissed with costs including those of two counsel.</w:t>
      </w:r>
    </w:p>
    <w:p w14:paraId="35B43C01" w14:textId="77777777" w:rsidR="00A77F5E" w:rsidRDefault="00A77F5E" w:rsidP="00A77F5E">
      <w:pPr>
        <w:pBdr>
          <w:top w:val="nil"/>
          <w:left w:val="nil"/>
          <w:bottom w:val="nil"/>
          <w:right w:val="nil"/>
          <w:between w:val="nil"/>
        </w:pBdr>
        <w:spacing w:line="276" w:lineRule="auto"/>
        <w:ind w:left="360" w:hanging="360"/>
        <w:rPr>
          <w:rFonts w:ascii="Arial" w:eastAsia="Arial" w:hAnsi="Arial" w:cs="Arial"/>
          <w:b/>
          <w:color w:val="000000"/>
        </w:rPr>
      </w:pPr>
      <w:r>
        <w:rPr>
          <w:rFonts w:ascii="Arial" w:eastAsia="Arial" w:hAnsi="Arial" w:cs="Arial"/>
          <w:b/>
          <w:color w:val="000000"/>
        </w:rPr>
        <w:t>___________________________________________________________________</w:t>
      </w:r>
    </w:p>
    <w:p w14:paraId="5E6EB5F2" w14:textId="77777777" w:rsidR="00A77F5E" w:rsidRDefault="00A77F5E" w:rsidP="00A77F5E">
      <w:pPr>
        <w:pBdr>
          <w:top w:val="nil"/>
          <w:left w:val="nil"/>
          <w:bottom w:val="nil"/>
          <w:right w:val="nil"/>
          <w:between w:val="nil"/>
        </w:pBdr>
        <w:spacing w:line="276" w:lineRule="auto"/>
        <w:ind w:left="360" w:hanging="360"/>
        <w:jc w:val="center"/>
        <w:rPr>
          <w:rFonts w:ascii="Arial" w:eastAsia="Arial" w:hAnsi="Arial" w:cs="Arial"/>
          <w:b/>
          <w:color w:val="000000"/>
        </w:rPr>
      </w:pPr>
    </w:p>
    <w:p w14:paraId="5846FEF9" w14:textId="77777777" w:rsidR="00A77F5E" w:rsidRDefault="00A77F5E" w:rsidP="00A77F5E">
      <w:pPr>
        <w:pBdr>
          <w:top w:val="nil"/>
          <w:left w:val="nil"/>
          <w:bottom w:val="nil"/>
          <w:right w:val="nil"/>
          <w:between w:val="nil"/>
        </w:pBdr>
        <w:spacing w:line="276" w:lineRule="auto"/>
        <w:ind w:left="360" w:hanging="360"/>
        <w:jc w:val="center"/>
        <w:rPr>
          <w:rFonts w:ascii="Arial" w:eastAsia="Arial" w:hAnsi="Arial" w:cs="Arial"/>
          <w:b/>
          <w:color w:val="000000"/>
        </w:rPr>
      </w:pPr>
      <w:r>
        <w:rPr>
          <w:rFonts w:ascii="Arial" w:eastAsia="Arial" w:hAnsi="Arial" w:cs="Arial"/>
          <w:b/>
          <w:color w:val="000000"/>
        </w:rPr>
        <w:t>JUDGMENT</w:t>
      </w:r>
    </w:p>
    <w:p w14:paraId="2932CC65" w14:textId="64E22C6E" w:rsidR="000C2862" w:rsidRDefault="00A77F5E" w:rsidP="00D903DF">
      <w:pPr>
        <w:pBdr>
          <w:top w:val="nil"/>
          <w:left w:val="nil"/>
          <w:bottom w:val="nil"/>
          <w:right w:val="nil"/>
          <w:between w:val="nil"/>
        </w:pBdr>
        <w:ind w:left="360" w:hanging="360"/>
        <w:rPr>
          <w:rFonts w:ascii="Arial" w:eastAsia="Arial" w:hAnsi="Arial" w:cs="Arial"/>
          <w:b/>
        </w:rPr>
      </w:pPr>
      <w:r>
        <w:rPr>
          <w:rFonts w:ascii="Arial" w:eastAsia="Arial" w:hAnsi="Arial" w:cs="Arial"/>
          <w:b/>
          <w:color w:val="000000"/>
        </w:rPr>
        <w:t>___________________________________________________________________</w:t>
      </w:r>
    </w:p>
    <w:p w14:paraId="289991EF" w14:textId="12F34BFC" w:rsidR="00ED5C67" w:rsidRDefault="00A77F5E" w:rsidP="00D903DF">
      <w:pPr>
        <w:spacing w:before="120" w:after="120"/>
        <w:rPr>
          <w:rFonts w:ascii="Arial" w:eastAsia="Arial" w:hAnsi="Arial" w:cs="Arial"/>
          <w:b/>
        </w:rPr>
      </w:pPr>
      <w:r>
        <w:rPr>
          <w:rFonts w:ascii="Arial" w:eastAsia="Arial" w:hAnsi="Arial" w:cs="Arial"/>
          <w:b/>
        </w:rPr>
        <w:t>Ponnan JA (</w:t>
      </w:r>
      <w:r w:rsidR="00751491">
        <w:rPr>
          <w:rFonts w:ascii="Arial" w:eastAsia="Arial" w:hAnsi="Arial" w:cs="Arial"/>
          <w:b/>
        </w:rPr>
        <w:t xml:space="preserve">Meyer JA and Keightley and Mali AJJA </w:t>
      </w:r>
      <w:r w:rsidRPr="005D07C6">
        <w:rPr>
          <w:rFonts w:ascii="Arial" w:eastAsia="Arial" w:hAnsi="Arial" w:cs="Arial"/>
          <w:b/>
        </w:rPr>
        <w:t>concurring)</w:t>
      </w:r>
      <w:r w:rsidR="008C42CF">
        <w:rPr>
          <w:rFonts w:ascii="Arial" w:eastAsia="Arial" w:hAnsi="Arial" w:cs="Arial"/>
          <w:b/>
        </w:rPr>
        <w:t>:</w:t>
      </w:r>
    </w:p>
    <w:p w14:paraId="2FA1A4E7" w14:textId="5F7B8E61" w:rsidR="002732F5" w:rsidRDefault="002732F5" w:rsidP="002732F5">
      <w:pPr>
        <w:rPr>
          <w:rFonts w:ascii="Arial" w:hAnsi="Arial" w:cs="Arial"/>
        </w:rPr>
      </w:pPr>
      <w:r>
        <w:rPr>
          <w:rFonts w:ascii="Arial" w:hAnsi="Arial" w:cs="Arial"/>
        </w:rPr>
        <w:t>[1]</w:t>
      </w:r>
      <w:r>
        <w:rPr>
          <w:rFonts w:ascii="Arial" w:hAnsi="Arial" w:cs="Arial"/>
        </w:rPr>
        <w:tab/>
        <w:t>This is an appeal against a judgment of the Gauteng Division of the High Court, Pretoria (per Davis J) (the high court)</w:t>
      </w:r>
      <w:r w:rsidR="0044234E">
        <w:rPr>
          <w:rFonts w:ascii="Arial" w:hAnsi="Arial" w:cs="Arial"/>
        </w:rPr>
        <w:t>,</w:t>
      </w:r>
      <w:r>
        <w:rPr>
          <w:rFonts w:ascii="Arial" w:hAnsi="Arial" w:cs="Arial"/>
        </w:rPr>
        <w:t xml:space="preserve"> dismissing an application for declaratory relief </w:t>
      </w:r>
      <w:r w:rsidR="00C65301">
        <w:rPr>
          <w:rFonts w:ascii="Arial" w:hAnsi="Arial" w:cs="Arial"/>
        </w:rPr>
        <w:t>pertaining to</w:t>
      </w:r>
      <w:r>
        <w:rPr>
          <w:rFonts w:ascii="Arial" w:hAnsi="Arial" w:cs="Arial"/>
        </w:rPr>
        <w:t xml:space="preserve"> s </w:t>
      </w:r>
      <w:r w:rsidRPr="00A51CCF">
        <w:rPr>
          <w:rFonts w:ascii="Arial" w:hAnsi="Arial" w:cs="Arial"/>
        </w:rPr>
        <w:t>11(1)</w:t>
      </w:r>
      <w:r w:rsidRPr="00FF252B">
        <w:rPr>
          <w:rFonts w:ascii="Arial" w:hAnsi="Arial" w:cs="Arial"/>
          <w:i/>
        </w:rPr>
        <w:t>(f)</w:t>
      </w:r>
      <w:r w:rsidRPr="00A51CCF">
        <w:rPr>
          <w:rFonts w:ascii="Arial" w:hAnsi="Arial" w:cs="Arial"/>
        </w:rPr>
        <w:t xml:space="preserve"> of the Value Added Tax Act 89 of 1991 (the VAT Act).</w:t>
      </w:r>
      <w:r w:rsidRPr="00A51CCF">
        <w:rPr>
          <w:rStyle w:val="FootnoteReference"/>
          <w:rFonts w:ascii="Arial" w:hAnsi="Arial" w:cs="Arial"/>
        </w:rPr>
        <w:footnoteReference w:id="1"/>
      </w:r>
    </w:p>
    <w:p w14:paraId="67400DDA" w14:textId="77777777" w:rsidR="002732F5" w:rsidRDefault="002732F5" w:rsidP="002732F5">
      <w:pPr>
        <w:rPr>
          <w:rFonts w:ascii="Arial" w:hAnsi="Arial" w:cs="Arial"/>
        </w:rPr>
      </w:pPr>
    </w:p>
    <w:p w14:paraId="1F605F88" w14:textId="77690FC0" w:rsidR="002732F5" w:rsidRDefault="002732F5" w:rsidP="002732F5">
      <w:pPr>
        <w:rPr>
          <w:rFonts w:ascii="Arial" w:hAnsi="Arial" w:cs="Arial"/>
        </w:rPr>
      </w:pPr>
      <w:r>
        <w:rPr>
          <w:rFonts w:ascii="Arial" w:hAnsi="Arial" w:cs="Arial"/>
        </w:rPr>
        <w:t>[2]</w:t>
      </w:r>
      <w:r>
        <w:rPr>
          <w:rFonts w:ascii="Arial" w:hAnsi="Arial" w:cs="Arial"/>
        </w:rPr>
        <w:tab/>
        <w:t>The appellant, Lueven Metals (Proprietary) Limited, is engaged in the business of the trade and refining of precious metals, such as gold, as well as the silver by-product derived from the gold refining process. It is a registered Category C vendor in terms of the VAT Act.</w:t>
      </w:r>
      <w:r>
        <w:rPr>
          <w:rStyle w:val="FootnoteReference"/>
          <w:rFonts w:ascii="Arial" w:hAnsi="Arial" w:cs="Arial"/>
        </w:rPr>
        <w:footnoteReference w:id="2"/>
      </w:r>
      <w:r>
        <w:rPr>
          <w:rFonts w:ascii="Arial" w:hAnsi="Arial" w:cs="Arial"/>
        </w:rPr>
        <w:t xml:space="preserve"> The appellant purchases lesser purity gold in manufactured form (such as scrap jewellery) or in unwrought form (such as gold bars) (described as gold-containing material) from certain preapproved suppliers. The gold sourced by the appellant is invariably of a lesser purity than pure gold because the latter is usually too soft, susceptible to scratches and thus not suited for everyday use as jewellery. Hence, gold is alloyed with other metals to manufacture jewellery. The alloying of gold with other metals (such as copper and silver) reduces the special characteristics and qua</w:t>
      </w:r>
      <w:r w:rsidR="009668AF">
        <w:rPr>
          <w:rFonts w:ascii="Arial" w:hAnsi="Arial" w:cs="Arial"/>
        </w:rPr>
        <w:t xml:space="preserve">lity of gold – </w:t>
      </w:r>
      <w:r>
        <w:rPr>
          <w:rFonts w:ascii="Arial" w:hAnsi="Arial" w:cs="Arial"/>
        </w:rPr>
        <w:t>the colour changes and the density and purity reduces.</w:t>
      </w:r>
    </w:p>
    <w:p w14:paraId="4F3D9722" w14:textId="77777777" w:rsidR="002732F5" w:rsidRDefault="002732F5" w:rsidP="002732F5">
      <w:pPr>
        <w:rPr>
          <w:rFonts w:ascii="Arial" w:hAnsi="Arial" w:cs="Arial"/>
        </w:rPr>
      </w:pPr>
    </w:p>
    <w:p w14:paraId="08DBCC12" w14:textId="42BBC2DB" w:rsidR="002732F5" w:rsidRDefault="002732F5" w:rsidP="002732F5">
      <w:pPr>
        <w:rPr>
          <w:rFonts w:ascii="Arial" w:hAnsi="Arial" w:cs="Arial"/>
        </w:rPr>
      </w:pPr>
      <w:r>
        <w:rPr>
          <w:rFonts w:ascii="Arial" w:hAnsi="Arial" w:cs="Arial"/>
        </w:rPr>
        <w:lastRenderedPageBreak/>
        <w:t>[3]</w:t>
      </w:r>
      <w:r>
        <w:rPr>
          <w:rFonts w:ascii="Arial" w:hAnsi="Arial" w:cs="Arial"/>
        </w:rPr>
        <w:tab/>
        <w:t xml:space="preserve">The appellant has contracted with Absa Bank Limited, a bank registered under the Banks Act 94 of 1990 (Absa), to supply pure gold bars, after such gold has been refined to a purity level of at least 99.5%, namely pure or fine gold. According to the appellant, the gold-containing material sourced by it (in its lesser state of purity) is not acceptable to Absa, who requires pure (fine) gold refined by a refinery accredited by the London Bullion Market Association (LBMA). The gold-containing material is therefore melted and refined on behalf of the appellant for supply to Absa. </w:t>
      </w:r>
    </w:p>
    <w:p w14:paraId="73308469" w14:textId="77777777" w:rsidR="002732F5" w:rsidRDefault="002732F5" w:rsidP="002732F5">
      <w:pPr>
        <w:rPr>
          <w:rFonts w:ascii="Arial" w:hAnsi="Arial" w:cs="Arial"/>
        </w:rPr>
      </w:pPr>
    </w:p>
    <w:p w14:paraId="2754A0FD" w14:textId="68766871" w:rsidR="002732F5" w:rsidRDefault="002732F5" w:rsidP="002732F5">
      <w:pPr>
        <w:rPr>
          <w:rFonts w:ascii="Arial" w:hAnsi="Arial" w:cs="Arial"/>
        </w:rPr>
      </w:pPr>
      <w:r>
        <w:rPr>
          <w:rFonts w:ascii="Arial" w:hAnsi="Arial" w:cs="Arial"/>
        </w:rPr>
        <w:t>[4]</w:t>
      </w:r>
      <w:r>
        <w:rPr>
          <w:rFonts w:ascii="Arial" w:hAnsi="Arial" w:cs="Arial"/>
        </w:rPr>
        <w:tab/>
        <w:t>As the appellant is not accredited to refine the gold-containing material to meet the standards of the LBMA required by Absa, the appellant deposits its lesser purity gold bars with Rand Refinery, who is so accredited. All gold-containing material deposited with Rand Refinery for further refining must comply with certain specifications. Where these specifications are not met, Rand Refinery will either reject the deposit or impose penalties or additional fees. The appellant therefore refines and processes all gold-containing material in-house to remove deleterious elements to enable it to deposit the gold with Rand Refinery in bar form. The appellant generally refines the gold-containing material to a purity level of between 80 to 90%, to maximise the yield and minimise the penalties or additional fees.</w:t>
      </w:r>
    </w:p>
    <w:p w14:paraId="74B0D2AA" w14:textId="77777777" w:rsidR="002732F5" w:rsidRDefault="002732F5" w:rsidP="002732F5">
      <w:pPr>
        <w:rPr>
          <w:rFonts w:ascii="Arial" w:hAnsi="Arial" w:cs="Arial"/>
        </w:rPr>
      </w:pPr>
    </w:p>
    <w:p w14:paraId="3E8EABE9" w14:textId="35C814E9" w:rsidR="002732F5" w:rsidRDefault="002732F5" w:rsidP="002732F5">
      <w:pPr>
        <w:rPr>
          <w:rFonts w:ascii="Arial" w:hAnsi="Arial" w:cs="Arial"/>
        </w:rPr>
      </w:pPr>
      <w:r>
        <w:rPr>
          <w:rFonts w:ascii="Arial" w:hAnsi="Arial" w:cs="Arial"/>
        </w:rPr>
        <w:t>[5]</w:t>
      </w:r>
      <w:r>
        <w:rPr>
          <w:rFonts w:ascii="Arial" w:hAnsi="Arial" w:cs="Arial"/>
        </w:rPr>
        <w:tab/>
        <w:t>The lesser purity gold bars (refined and produced by the appellant from the gold-containing material) are transported from the appellant’s premises to Rand Refinery, where they are deposited. Rand Refinery requires large quantities to operate effectively and efficiently, which no single depositor can satisfy. When Rand Refinery receives the appellant’s lesser purity gold bars, they are melted and refined together with (co-mingled with) the gold of other depositors. Rand Refinery refines the gold received from the various depositors to a purity level of at least 99.5% to produce gold bars that meet the minimum LBMA standard in conformity with Absa’s requirements. Rand Refinery thereafter delivers the gold bars to Absa.</w:t>
      </w:r>
    </w:p>
    <w:p w14:paraId="0265CFB5" w14:textId="77777777" w:rsidR="002732F5" w:rsidRDefault="002732F5" w:rsidP="002732F5">
      <w:pPr>
        <w:rPr>
          <w:rFonts w:ascii="Arial" w:hAnsi="Arial" w:cs="Arial"/>
        </w:rPr>
      </w:pPr>
    </w:p>
    <w:p w14:paraId="16DDFFDD" w14:textId="5B0E1CA8" w:rsidR="002732F5" w:rsidRDefault="002732F5" w:rsidP="002732F5">
      <w:pPr>
        <w:rPr>
          <w:rFonts w:ascii="Arial" w:hAnsi="Arial" w:cs="Arial"/>
        </w:rPr>
      </w:pPr>
      <w:r>
        <w:rPr>
          <w:rFonts w:ascii="Arial" w:hAnsi="Arial" w:cs="Arial"/>
        </w:rPr>
        <w:t>[6]</w:t>
      </w:r>
      <w:r>
        <w:rPr>
          <w:rFonts w:ascii="Arial" w:hAnsi="Arial" w:cs="Arial"/>
        </w:rPr>
        <w:tab/>
        <w:t>During the appellant’s 2018 to 2020 tax periods, it supplied gold bars to Absa and zero-rated such supplies in terms of s 11(1)</w:t>
      </w:r>
      <w:r w:rsidRPr="00FF252B">
        <w:rPr>
          <w:rFonts w:ascii="Arial" w:hAnsi="Arial" w:cs="Arial"/>
          <w:i/>
        </w:rPr>
        <w:t>(f)</w:t>
      </w:r>
      <w:r>
        <w:rPr>
          <w:rFonts w:ascii="Arial" w:hAnsi="Arial" w:cs="Arial"/>
        </w:rPr>
        <w:t xml:space="preserve"> of the VAT Act. As matters then stood, according to the appellant, ref</w:t>
      </w:r>
      <w:r w:rsidR="009668AF">
        <w:rPr>
          <w:rFonts w:ascii="Arial" w:hAnsi="Arial" w:cs="Arial"/>
        </w:rPr>
        <w:t xml:space="preserve">unds in the total amount of R51 036 </w:t>
      </w:r>
      <w:r>
        <w:rPr>
          <w:rFonts w:ascii="Arial" w:hAnsi="Arial" w:cs="Arial"/>
        </w:rPr>
        <w:t>867.34, together with interest thereon, was due to it by the respondent, the Commissioner for the South African Revenue Service (SARS). On 27 March 2020, SARS, acting in</w:t>
      </w:r>
      <w:r w:rsidRPr="00D41F96">
        <w:rPr>
          <w:rFonts w:ascii="Arial" w:hAnsi="Arial" w:cs="Arial"/>
        </w:rPr>
        <w:t xml:space="preserve"> </w:t>
      </w:r>
      <w:r>
        <w:rPr>
          <w:rFonts w:ascii="Arial" w:hAnsi="Arial" w:cs="Arial"/>
        </w:rPr>
        <w:t xml:space="preserve">terms </w:t>
      </w:r>
      <w:r>
        <w:rPr>
          <w:rFonts w:ascii="Arial" w:hAnsi="Arial" w:cs="Arial"/>
        </w:rPr>
        <w:lastRenderedPageBreak/>
        <w:t>of s 40 of the Tax Administration Act 28 of 2011 (the TAA), notified the appellant of a VAT verification for the relevant period pursuant to s 46. After an exchange of correspondence, on 19 June 2020, SARS notified the appellant of a VAT and Income Tax audit. SARS the</w:t>
      </w:r>
      <w:r w:rsidR="00FF252B">
        <w:rPr>
          <w:rFonts w:ascii="Arial" w:hAnsi="Arial" w:cs="Arial"/>
        </w:rPr>
        <w:t>n</w:t>
      </w:r>
      <w:r>
        <w:rPr>
          <w:rFonts w:ascii="Arial" w:hAnsi="Arial" w:cs="Arial"/>
        </w:rPr>
        <w:t xml:space="preserve"> requested the appellant to submit relevant material in terms of s 46. On 10 March 2021, the appellant was requested to attend in person on 18 March 2021 in terms of s 47 </w:t>
      </w:r>
      <w:r w:rsidR="00BB0CCE">
        <w:rPr>
          <w:rFonts w:ascii="Arial" w:hAnsi="Arial" w:cs="Arial"/>
        </w:rPr>
        <w:t xml:space="preserve">of </w:t>
      </w:r>
      <w:r>
        <w:rPr>
          <w:rFonts w:ascii="Arial" w:hAnsi="Arial" w:cs="Arial"/>
        </w:rPr>
        <w:t>the TAA, to enable SARS to obtain further clarification and to expedite the audit. Following the interview, on 30 March 2021, SARS sought an extension until 8 April 2021 for the issuance of a letter of audit findings.</w:t>
      </w:r>
    </w:p>
    <w:p w14:paraId="7AA920EA" w14:textId="77777777" w:rsidR="00FF252B" w:rsidRDefault="00FF252B" w:rsidP="002732F5">
      <w:pPr>
        <w:rPr>
          <w:rFonts w:ascii="Arial" w:hAnsi="Arial" w:cs="Arial"/>
        </w:rPr>
      </w:pPr>
    </w:p>
    <w:p w14:paraId="5DAD8219" w14:textId="79281F2B" w:rsidR="002732F5" w:rsidRDefault="00FF252B" w:rsidP="002732F5">
      <w:pPr>
        <w:rPr>
          <w:rFonts w:ascii="Arial" w:hAnsi="Arial" w:cs="Arial"/>
        </w:rPr>
      </w:pPr>
      <w:r>
        <w:rPr>
          <w:rFonts w:ascii="Arial" w:hAnsi="Arial" w:cs="Arial"/>
        </w:rPr>
        <w:t>[7]</w:t>
      </w:r>
      <w:r>
        <w:rPr>
          <w:rFonts w:ascii="Arial" w:hAnsi="Arial" w:cs="Arial"/>
        </w:rPr>
        <w:tab/>
      </w:r>
      <w:r w:rsidR="002732F5">
        <w:rPr>
          <w:rFonts w:ascii="Arial" w:hAnsi="Arial" w:cs="Arial"/>
        </w:rPr>
        <w:t>On 8 April 2021, SARS issued an ‘outcome of the audit conducted as envisaged in terms of section 42(2)</w:t>
      </w:r>
      <w:r w:rsidR="002732F5" w:rsidRPr="00FF252B">
        <w:rPr>
          <w:rFonts w:ascii="Arial" w:hAnsi="Arial" w:cs="Arial"/>
          <w:i/>
        </w:rPr>
        <w:t>(b)</w:t>
      </w:r>
      <w:r w:rsidR="002732F5">
        <w:rPr>
          <w:rFonts w:ascii="Arial" w:hAnsi="Arial" w:cs="Arial"/>
        </w:rPr>
        <w:t xml:space="preserve"> of the [TAA]’ (the letter of audit findings). SARS indicated that the audit findings do not concern the 2019 tax period and that further findings in that regard would issue in due course. According to SARS, the VAT declarations and tax invoices provided by the appellant reflected that, in total, zero-rate</w:t>
      </w:r>
      <w:r>
        <w:rPr>
          <w:rFonts w:ascii="Arial" w:hAnsi="Arial" w:cs="Arial"/>
        </w:rPr>
        <w:t xml:space="preserve">d supplies of R4 059 </w:t>
      </w:r>
      <w:r w:rsidR="002732F5">
        <w:rPr>
          <w:rFonts w:ascii="Arial" w:hAnsi="Arial" w:cs="Arial"/>
        </w:rPr>
        <w:t>018 550 had been made to Absa and Rand Refinery. SARS stated that it had reviewed the nature of the goods provided by suppliers to the appellant and determined that the gold purchased by it had previously been subjected to a manufacturing process.</w:t>
      </w:r>
    </w:p>
    <w:p w14:paraId="6464EE7E" w14:textId="77777777" w:rsidR="002732F5" w:rsidRDefault="002732F5" w:rsidP="002732F5">
      <w:pPr>
        <w:rPr>
          <w:rFonts w:ascii="Arial" w:hAnsi="Arial" w:cs="Arial"/>
        </w:rPr>
      </w:pPr>
    </w:p>
    <w:p w14:paraId="0F1E49D1" w14:textId="3166057F" w:rsidR="002732F5" w:rsidRDefault="00FF252B" w:rsidP="002732F5">
      <w:pPr>
        <w:rPr>
          <w:rFonts w:ascii="Arial" w:hAnsi="Arial" w:cs="Arial"/>
        </w:rPr>
      </w:pPr>
      <w:r>
        <w:rPr>
          <w:rFonts w:ascii="Arial" w:hAnsi="Arial" w:cs="Arial"/>
        </w:rPr>
        <w:t>[8</w:t>
      </w:r>
      <w:r w:rsidR="002732F5">
        <w:rPr>
          <w:rFonts w:ascii="Arial" w:hAnsi="Arial" w:cs="Arial"/>
        </w:rPr>
        <w:t>]</w:t>
      </w:r>
      <w:r w:rsidR="002732F5">
        <w:rPr>
          <w:rFonts w:ascii="Arial" w:hAnsi="Arial" w:cs="Arial"/>
        </w:rPr>
        <w:tab/>
        <w:t>SARS took the view that s 11(1)</w:t>
      </w:r>
      <w:r w:rsidR="002732F5" w:rsidRPr="00FF252B">
        <w:rPr>
          <w:rFonts w:ascii="Arial" w:hAnsi="Arial" w:cs="Arial"/>
          <w:i/>
        </w:rPr>
        <w:t>(f)</w:t>
      </w:r>
      <w:r w:rsidR="002732F5">
        <w:rPr>
          <w:rFonts w:ascii="Arial" w:hAnsi="Arial" w:cs="Arial"/>
        </w:rPr>
        <w:t xml:space="preserve"> of the VAT Act prohibits the supply at a zero-rate to the South African Reserve Bank (SARB), the South African Mint Company (Pty) Ltd (Mintco) or any Bank registered under the Banks Act, of gold in any form that has undergone any manufacturing process ‘other than the refining thereof or production of such bars’. SARS accordingly expressed an intention to re-classify the zero-rated sales to Absa as standard-rated sales with VAT of 15% in terms of s 7(1)</w:t>
      </w:r>
      <w:r w:rsidR="002732F5" w:rsidRPr="00FF252B">
        <w:rPr>
          <w:rFonts w:ascii="Arial" w:hAnsi="Arial" w:cs="Arial"/>
          <w:i/>
        </w:rPr>
        <w:t>(a)</w:t>
      </w:r>
      <w:r w:rsidR="002732F5">
        <w:rPr>
          <w:rFonts w:ascii="Arial" w:hAnsi="Arial" w:cs="Arial"/>
        </w:rPr>
        <w:t>, read with s 11(1) and s 64 of the VAT Act. SARS also intimated that it was considering imposing an understatement penalty and raising interest on the appellant’s outstanding VAT liability.</w:t>
      </w:r>
    </w:p>
    <w:p w14:paraId="18029BF0" w14:textId="77777777" w:rsidR="002732F5" w:rsidRDefault="002732F5" w:rsidP="002732F5">
      <w:pPr>
        <w:rPr>
          <w:rFonts w:ascii="Arial" w:hAnsi="Arial" w:cs="Arial"/>
        </w:rPr>
      </w:pPr>
    </w:p>
    <w:p w14:paraId="372504D4" w14:textId="57E166D2" w:rsidR="002732F5" w:rsidRDefault="00FF252B" w:rsidP="002732F5">
      <w:pPr>
        <w:rPr>
          <w:rFonts w:ascii="Arial" w:hAnsi="Arial" w:cs="Arial"/>
        </w:rPr>
      </w:pPr>
      <w:r>
        <w:rPr>
          <w:rFonts w:ascii="Arial" w:hAnsi="Arial" w:cs="Arial"/>
        </w:rPr>
        <w:t>[9</w:t>
      </w:r>
      <w:r w:rsidR="002732F5">
        <w:rPr>
          <w:rFonts w:ascii="Arial" w:hAnsi="Arial" w:cs="Arial"/>
        </w:rPr>
        <w:t>]</w:t>
      </w:r>
      <w:r w:rsidR="002732F5">
        <w:rPr>
          <w:rFonts w:ascii="Arial" w:hAnsi="Arial" w:cs="Arial"/>
        </w:rPr>
        <w:tab/>
        <w:t>On 2 June 2021, the appellant responded to SARS’ letter of audit findings (the appellant’s response). The appellant’s response stated:</w:t>
      </w:r>
    </w:p>
    <w:p w14:paraId="3500B70F" w14:textId="53764CEF" w:rsidR="002732F5" w:rsidRPr="002732F5" w:rsidRDefault="002732F5" w:rsidP="002732F5">
      <w:pPr>
        <w:rPr>
          <w:rFonts w:ascii="Arial" w:hAnsi="Arial" w:cs="Arial"/>
          <w:sz w:val="22"/>
          <w:szCs w:val="22"/>
        </w:rPr>
      </w:pPr>
      <w:r w:rsidRPr="002732F5">
        <w:rPr>
          <w:rFonts w:ascii="Arial" w:hAnsi="Arial" w:cs="Arial"/>
          <w:sz w:val="22"/>
          <w:szCs w:val="22"/>
        </w:rPr>
        <w:t>‘14.1.</w:t>
      </w:r>
      <w:r w:rsidRPr="002732F5">
        <w:rPr>
          <w:rFonts w:ascii="Arial" w:hAnsi="Arial" w:cs="Arial"/>
          <w:sz w:val="22"/>
          <w:szCs w:val="22"/>
        </w:rPr>
        <w:tab/>
        <w:t>S 9(1) of the TAA provides that:</w:t>
      </w:r>
    </w:p>
    <w:p w14:paraId="777B9A21" w14:textId="77777777" w:rsidR="002732F5" w:rsidRPr="002732F5" w:rsidRDefault="002732F5" w:rsidP="002732F5">
      <w:pPr>
        <w:rPr>
          <w:rFonts w:ascii="Arial" w:hAnsi="Arial" w:cs="Arial"/>
          <w:sz w:val="22"/>
          <w:szCs w:val="22"/>
        </w:rPr>
      </w:pPr>
      <w:r w:rsidRPr="002732F5">
        <w:rPr>
          <w:rFonts w:ascii="Arial" w:hAnsi="Arial" w:cs="Arial"/>
          <w:sz w:val="22"/>
          <w:szCs w:val="22"/>
        </w:rPr>
        <w:t xml:space="preserve">“A decision made by a SARS official or a </w:t>
      </w:r>
      <w:r w:rsidRPr="00BB195F">
        <w:rPr>
          <w:rFonts w:ascii="Arial" w:hAnsi="Arial" w:cs="Arial"/>
          <w:i/>
          <w:sz w:val="22"/>
          <w:szCs w:val="22"/>
          <w:u w:val="single"/>
        </w:rPr>
        <w:t>notice to a specific person issued by SARS</w:t>
      </w:r>
      <w:r w:rsidRPr="002732F5">
        <w:rPr>
          <w:rFonts w:ascii="Arial" w:hAnsi="Arial" w:cs="Arial"/>
          <w:sz w:val="22"/>
          <w:szCs w:val="22"/>
        </w:rPr>
        <w:t xml:space="preserve"> under a tax Act, excluding a decision given effect to in an assessment or a notice of assessment that </w:t>
      </w:r>
      <w:r w:rsidRPr="002732F5">
        <w:rPr>
          <w:rFonts w:ascii="Arial" w:hAnsi="Arial" w:cs="Arial"/>
          <w:sz w:val="22"/>
          <w:szCs w:val="22"/>
        </w:rPr>
        <w:lastRenderedPageBreak/>
        <w:t xml:space="preserve">is subject to objection and appeal, </w:t>
      </w:r>
      <w:r w:rsidRPr="00BB195F">
        <w:rPr>
          <w:rFonts w:ascii="Arial" w:hAnsi="Arial" w:cs="Arial"/>
          <w:i/>
          <w:sz w:val="22"/>
          <w:szCs w:val="22"/>
          <w:u w:val="single"/>
        </w:rPr>
        <w:t>may</w:t>
      </w:r>
      <w:r w:rsidRPr="002732F5">
        <w:rPr>
          <w:rFonts w:ascii="Arial" w:hAnsi="Arial" w:cs="Arial"/>
          <w:sz w:val="22"/>
          <w:szCs w:val="22"/>
        </w:rPr>
        <w:t xml:space="preserve"> in the discretion of a SARS official described in paragraph (a), (b) or (c) or </w:t>
      </w:r>
      <w:r w:rsidRPr="00BB195F">
        <w:rPr>
          <w:rFonts w:ascii="Arial" w:hAnsi="Arial" w:cs="Arial"/>
          <w:i/>
          <w:sz w:val="22"/>
          <w:szCs w:val="22"/>
          <w:u w:val="single"/>
        </w:rPr>
        <w:t>at the request of the relevant person</w:t>
      </w:r>
      <w:r w:rsidRPr="002732F5">
        <w:rPr>
          <w:rFonts w:ascii="Arial" w:hAnsi="Arial" w:cs="Arial"/>
          <w:sz w:val="22"/>
          <w:szCs w:val="22"/>
        </w:rPr>
        <w:t xml:space="preserve">, be withdrawn or amended by- </w:t>
      </w:r>
    </w:p>
    <w:p w14:paraId="5BD4E277" w14:textId="77777777" w:rsidR="002732F5" w:rsidRPr="002732F5" w:rsidRDefault="002732F5" w:rsidP="002732F5">
      <w:pPr>
        <w:rPr>
          <w:rFonts w:ascii="Arial" w:hAnsi="Arial" w:cs="Arial"/>
          <w:sz w:val="22"/>
          <w:szCs w:val="22"/>
        </w:rPr>
      </w:pPr>
      <w:r w:rsidRPr="002732F5">
        <w:rPr>
          <w:rFonts w:ascii="Arial" w:hAnsi="Arial" w:cs="Arial"/>
          <w:sz w:val="22"/>
          <w:szCs w:val="22"/>
        </w:rPr>
        <w:t>(a) the SARS official;</w:t>
      </w:r>
    </w:p>
    <w:p w14:paraId="1100E073" w14:textId="77777777" w:rsidR="002732F5" w:rsidRPr="002732F5" w:rsidRDefault="002732F5" w:rsidP="002732F5">
      <w:pPr>
        <w:rPr>
          <w:rFonts w:ascii="Arial" w:hAnsi="Arial" w:cs="Arial"/>
          <w:sz w:val="22"/>
          <w:szCs w:val="22"/>
        </w:rPr>
      </w:pPr>
      <w:r w:rsidRPr="002732F5">
        <w:rPr>
          <w:rFonts w:ascii="Arial" w:hAnsi="Arial" w:cs="Arial"/>
          <w:sz w:val="22"/>
          <w:szCs w:val="22"/>
        </w:rPr>
        <w:t>(b) a SARS official to whom the SARS official reports; or</w:t>
      </w:r>
    </w:p>
    <w:p w14:paraId="69AF60DC" w14:textId="77777777" w:rsidR="002732F5" w:rsidRPr="002732F5" w:rsidRDefault="002732F5" w:rsidP="002732F5">
      <w:pPr>
        <w:rPr>
          <w:rFonts w:ascii="Arial" w:hAnsi="Arial" w:cs="Arial"/>
          <w:sz w:val="22"/>
          <w:szCs w:val="22"/>
        </w:rPr>
      </w:pPr>
      <w:r w:rsidRPr="002732F5">
        <w:rPr>
          <w:rFonts w:ascii="Arial" w:hAnsi="Arial" w:cs="Arial"/>
          <w:sz w:val="22"/>
          <w:szCs w:val="22"/>
        </w:rPr>
        <w:t>(c) a senior SARS official.” (Emphasis added)</w:t>
      </w:r>
    </w:p>
    <w:p w14:paraId="0823C3E6" w14:textId="77777777" w:rsidR="002732F5" w:rsidRPr="002732F5" w:rsidRDefault="002732F5" w:rsidP="002732F5">
      <w:pPr>
        <w:rPr>
          <w:rFonts w:ascii="Arial" w:hAnsi="Arial" w:cs="Arial"/>
          <w:sz w:val="22"/>
          <w:szCs w:val="22"/>
        </w:rPr>
      </w:pPr>
      <w:r w:rsidRPr="002732F5">
        <w:rPr>
          <w:rFonts w:ascii="Arial" w:hAnsi="Arial" w:cs="Arial"/>
          <w:sz w:val="22"/>
          <w:szCs w:val="22"/>
        </w:rPr>
        <w:t>14.2.</w:t>
      </w:r>
      <w:r w:rsidRPr="002732F5">
        <w:rPr>
          <w:rFonts w:ascii="Arial" w:hAnsi="Arial" w:cs="Arial"/>
          <w:sz w:val="22"/>
          <w:szCs w:val="22"/>
        </w:rPr>
        <w:tab/>
        <w:t>With reference to the taxpayer’s contentions set out in this response letter, the taxpayer hereby requests in terms of s 9(1) of the TAA that SARS forthwith:</w:t>
      </w:r>
    </w:p>
    <w:p w14:paraId="5F1EF837" w14:textId="77777777" w:rsidR="002732F5" w:rsidRPr="002732F5" w:rsidRDefault="002732F5" w:rsidP="002732F5">
      <w:pPr>
        <w:rPr>
          <w:rFonts w:ascii="Arial" w:hAnsi="Arial" w:cs="Arial"/>
          <w:sz w:val="22"/>
          <w:szCs w:val="22"/>
        </w:rPr>
      </w:pPr>
      <w:r w:rsidRPr="002732F5">
        <w:rPr>
          <w:rFonts w:ascii="Arial" w:hAnsi="Arial" w:cs="Arial"/>
          <w:sz w:val="22"/>
          <w:szCs w:val="22"/>
        </w:rPr>
        <w:t>14.2.1.</w:t>
      </w:r>
      <w:r w:rsidRPr="002732F5">
        <w:rPr>
          <w:rFonts w:ascii="Arial" w:hAnsi="Arial" w:cs="Arial"/>
          <w:sz w:val="22"/>
          <w:szCs w:val="22"/>
        </w:rPr>
        <w:tab/>
        <w:t>reconsiders its intention in terms of the letter of audit findings to negatively assess the taxpayer;</w:t>
      </w:r>
    </w:p>
    <w:p w14:paraId="42252F85" w14:textId="77777777" w:rsidR="002732F5" w:rsidRPr="002732F5" w:rsidRDefault="002732F5" w:rsidP="002732F5">
      <w:pPr>
        <w:rPr>
          <w:rFonts w:ascii="Arial" w:hAnsi="Arial" w:cs="Arial"/>
          <w:sz w:val="22"/>
          <w:szCs w:val="22"/>
        </w:rPr>
      </w:pPr>
      <w:r w:rsidRPr="002732F5">
        <w:rPr>
          <w:rFonts w:ascii="Arial" w:hAnsi="Arial" w:cs="Arial"/>
          <w:sz w:val="22"/>
          <w:szCs w:val="22"/>
        </w:rPr>
        <w:t>14.2.2.</w:t>
      </w:r>
      <w:r w:rsidRPr="002732F5">
        <w:rPr>
          <w:rFonts w:ascii="Arial" w:hAnsi="Arial" w:cs="Arial"/>
          <w:sz w:val="22"/>
          <w:szCs w:val="22"/>
        </w:rPr>
        <w:tab/>
        <w:t xml:space="preserve">withdraws its decision to raise assessments and to reclassify the taxpayer’s zero-rated sales to standard rated sales; and </w:t>
      </w:r>
    </w:p>
    <w:p w14:paraId="279CDD7B" w14:textId="77777777" w:rsidR="002732F5" w:rsidRPr="002732F5" w:rsidRDefault="002732F5" w:rsidP="002732F5">
      <w:pPr>
        <w:rPr>
          <w:rFonts w:ascii="Arial" w:hAnsi="Arial" w:cs="Arial"/>
          <w:sz w:val="22"/>
          <w:szCs w:val="22"/>
        </w:rPr>
      </w:pPr>
      <w:r w:rsidRPr="002732F5">
        <w:rPr>
          <w:rFonts w:ascii="Arial" w:hAnsi="Arial" w:cs="Arial"/>
          <w:sz w:val="22"/>
          <w:szCs w:val="22"/>
        </w:rPr>
        <w:t>14.2.3.</w:t>
      </w:r>
      <w:r w:rsidRPr="002732F5">
        <w:rPr>
          <w:rFonts w:ascii="Arial" w:hAnsi="Arial" w:cs="Arial"/>
          <w:sz w:val="22"/>
          <w:szCs w:val="22"/>
        </w:rPr>
        <w:tab/>
        <w:t>to pay the taxpayer its outstanding VAT refunds in the amount of R51, 036, 867.34 plus interest.’</w:t>
      </w:r>
    </w:p>
    <w:p w14:paraId="6E52D862" w14:textId="77777777" w:rsidR="002732F5" w:rsidRDefault="002732F5" w:rsidP="002732F5">
      <w:pPr>
        <w:rPr>
          <w:rFonts w:ascii="Arial" w:hAnsi="Arial" w:cs="Arial"/>
        </w:rPr>
      </w:pPr>
    </w:p>
    <w:p w14:paraId="47E97B32" w14:textId="49D1ECB6" w:rsidR="002732F5" w:rsidRDefault="007E14C6" w:rsidP="002732F5">
      <w:pPr>
        <w:rPr>
          <w:rFonts w:ascii="Arial" w:hAnsi="Arial" w:cs="Arial"/>
        </w:rPr>
      </w:pPr>
      <w:r>
        <w:rPr>
          <w:rFonts w:ascii="Arial" w:hAnsi="Arial" w:cs="Arial"/>
        </w:rPr>
        <w:t>[10</w:t>
      </w:r>
      <w:r w:rsidR="002732F5">
        <w:rPr>
          <w:rFonts w:ascii="Arial" w:hAnsi="Arial" w:cs="Arial"/>
        </w:rPr>
        <w:t>]</w:t>
      </w:r>
      <w:r w:rsidR="002732F5">
        <w:rPr>
          <w:rFonts w:ascii="Arial" w:hAnsi="Arial" w:cs="Arial"/>
        </w:rPr>
        <w:tab/>
        <w:t>It concluded:</w:t>
      </w:r>
    </w:p>
    <w:p w14:paraId="0FAA79AC" w14:textId="7C737508" w:rsidR="002732F5" w:rsidRPr="002732F5" w:rsidRDefault="002732F5" w:rsidP="002732F5">
      <w:pPr>
        <w:rPr>
          <w:rFonts w:ascii="Arial" w:hAnsi="Arial" w:cs="Arial"/>
          <w:sz w:val="22"/>
          <w:szCs w:val="22"/>
        </w:rPr>
      </w:pPr>
      <w:r w:rsidRPr="002732F5">
        <w:rPr>
          <w:rFonts w:ascii="Arial" w:hAnsi="Arial" w:cs="Arial"/>
          <w:sz w:val="22"/>
          <w:szCs w:val="22"/>
        </w:rPr>
        <w:t xml:space="preserve">‘In the premises, the taxpayer’s gold sales to ABSA during the relevant tax periods were correctly zero rated in terms of s 11(1)(f) of the VAT Act and, accordingly, the intended VAT assessments should not be raised. As no VAT liability will arise in this regard, penalties, interest and/or understatement penalties cannot validly be imposed by SARS. Should SARS decide to impose understatement penalties despite the contentions advanced herein, SARS is requested to state the facts on which it bases the imposition thereof, as contemplated in </w:t>
      </w:r>
      <w:r w:rsidR="00D272C7">
        <w:rPr>
          <w:rFonts w:ascii="Arial" w:hAnsi="Arial" w:cs="Arial"/>
          <w:sz w:val="22"/>
          <w:szCs w:val="22"/>
        </w:rPr>
        <w:br/>
      </w:r>
      <w:r w:rsidRPr="002732F5">
        <w:rPr>
          <w:rFonts w:ascii="Arial" w:hAnsi="Arial" w:cs="Arial"/>
          <w:sz w:val="22"/>
          <w:szCs w:val="22"/>
        </w:rPr>
        <w:t>s 102(2) of the TAA.’</w:t>
      </w:r>
    </w:p>
    <w:p w14:paraId="1A0A66CC" w14:textId="77777777" w:rsidR="002732F5" w:rsidRDefault="002732F5" w:rsidP="002732F5">
      <w:pPr>
        <w:rPr>
          <w:rFonts w:ascii="Arial" w:hAnsi="Arial" w:cs="Arial"/>
        </w:rPr>
      </w:pPr>
    </w:p>
    <w:p w14:paraId="1C165323" w14:textId="26DD1CCF" w:rsidR="002732F5" w:rsidRDefault="007E14C6" w:rsidP="002732F5">
      <w:pPr>
        <w:rPr>
          <w:rFonts w:ascii="Arial" w:hAnsi="Arial" w:cs="Arial"/>
        </w:rPr>
      </w:pPr>
      <w:r>
        <w:rPr>
          <w:rFonts w:ascii="Arial" w:hAnsi="Arial" w:cs="Arial"/>
        </w:rPr>
        <w:t>[11</w:t>
      </w:r>
      <w:r w:rsidR="002732F5">
        <w:rPr>
          <w:rFonts w:ascii="Arial" w:hAnsi="Arial" w:cs="Arial"/>
        </w:rPr>
        <w:t>]</w:t>
      </w:r>
      <w:r w:rsidR="002732F5">
        <w:rPr>
          <w:rFonts w:ascii="Arial" w:hAnsi="Arial" w:cs="Arial"/>
        </w:rPr>
        <w:tab/>
      </w:r>
      <w:r w:rsidR="00B8573B">
        <w:rPr>
          <w:rFonts w:ascii="Arial" w:hAnsi="Arial" w:cs="Arial"/>
        </w:rPr>
        <w:t>The appellant’s response was dated 2 June 2021. So too, its</w:t>
      </w:r>
      <w:r w:rsidR="002732F5">
        <w:rPr>
          <w:rFonts w:ascii="Arial" w:hAnsi="Arial" w:cs="Arial"/>
        </w:rPr>
        <w:t xml:space="preserve"> notice in terms of s 11(4) of the TAA </w:t>
      </w:r>
      <w:r w:rsidR="0031632D">
        <w:rPr>
          <w:rFonts w:ascii="Arial" w:hAnsi="Arial" w:cs="Arial"/>
        </w:rPr>
        <w:t xml:space="preserve">of an intention </w:t>
      </w:r>
      <w:r w:rsidR="002732F5">
        <w:rPr>
          <w:rFonts w:ascii="Arial" w:hAnsi="Arial" w:cs="Arial"/>
        </w:rPr>
        <w:t>to institute legal proceedings against SARS. The appellant issued the application, which forms the subject of this appeal,</w:t>
      </w:r>
      <w:r>
        <w:rPr>
          <w:rFonts w:ascii="Arial" w:hAnsi="Arial" w:cs="Arial"/>
        </w:rPr>
        <w:t xml:space="preserve"> out of the high court</w:t>
      </w:r>
      <w:r w:rsidR="002732F5">
        <w:rPr>
          <w:rFonts w:ascii="Arial" w:hAnsi="Arial" w:cs="Arial"/>
        </w:rPr>
        <w:t xml:space="preserve"> on 24 June 2021. It sought the following relief:</w:t>
      </w:r>
    </w:p>
    <w:p w14:paraId="1455704E" w14:textId="7B2E4953" w:rsidR="002732F5" w:rsidRPr="002732F5" w:rsidRDefault="002732F5" w:rsidP="002732F5">
      <w:pPr>
        <w:rPr>
          <w:rFonts w:ascii="Arial" w:hAnsi="Arial" w:cs="Arial"/>
          <w:sz w:val="22"/>
          <w:szCs w:val="22"/>
        </w:rPr>
      </w:pPr>
      <w:r w:rsidRPr="002732F5">
        <w:rPr>
          <w:rFonts w:ascii="Arial" w:hAnsi="Arial" w:cs="Arial"/>
          <w:sz w:val="22"/>
          <w:szCs w:val="22"/>
        </w:rPr>
        <w:t>‘1.</w:t>
      </w:r>
      <w:r w:rsidRPr="002732F5">
        <w:rPr>
          <w:rFonts w:ascii="Arial" w:hAnsi="Arial" w:cs="Arial"/>
          <w:sz w:val="22"/>
          <w:szCs w:val="22"/>
        </w:rPr>
        <w:tab/>
        <w:t>Directing (in terms of section 105 of the Tax Administration Act, 28 of 2011 (as amended)), insofar as it may be required, that the dispute between the parties (as set forth in this application) be adjudicated by this Court;</w:t>
      </w:r>
    </w:p>
    <w:p w14:paraId="2CC22C51" w14:textId="77777777" w:rsidR="002732F5" w:rsidRPr="002732F5" w:rsidRDefault="002732F5" w:rsidP="002732F5">
      <w:pPr>
        <w:rPr>
          <w:rFonts w:ascii="Arial" w:hAnsi="Arial" w:cs="Arial"/>
          <w:sz w:val="22"/>
          <w:szCs w:val="22"/>
        </w:rPr>
      </w:pPr>
      <w:r w:rsidRPr="002732F5">
        <w:rPr>
          <w:rFonts w:ascii="Arial" w:hAnsi="Arial" w:cs="Arial"/>
          <w:sz w:val="22"/>
          <w:szCs w:val="22"/>
        </w:rPr>
        <w:t>2.</w:t>
      </w:r>
      <w:r w:rsidRPr="002732F5">
        <w:rPr>
          <w:rFonts w:ascii="Arial" w:hAnsi="Arial" w:cs="Arial"/>
          <w:sz w:val="22"/>
          <w:szCs w:val="22"/>
        </w:rPr>
        <w:tab/>
        <w:t>That a declaratory order be issued in terms whereof it be declared that:</w:t>
      </w:r>
    </w:p>
    <w:p w14:paraId="302AD9F2" w14:textId="77777777" w:rsidR="002732F5" w:rsidRPr="002732F5" w:rsidRDefault="002732F5" w:rsidP="002732F5">
      <w:pPr>
        <w:rPr>
          <w:rFonts w:ascii="Arial" w:hAnsi="Arial" w:cs="Arial"/>
          <w:sz w:val="22"/>
          <w:szCs w:val="22"/>
        </w:rPr>
      </w:pPr>
      <w:r w:rsidRPr="002732F5">
        <w:rPr>
          <w:rFonts w:ascii="Arial" w:hAnsi="Arial" w:cs="Arial"/>
          <w:sz w:val="22"/>
          <w:szCs w:val="22"/>
        </w:rPr>
        <w:t>2.1.</w:t>
      </w:r>
      <w:r w:rsidRPr="002732F5">
        <w:rPr>
          <w:rFonts w:ascii="Arial" w:hAnsi="Arial" w:cs="Arial"/>
          <w:sz w:val="22"/>
          <w:szCs w:val="22"/>
        </w:rPr>
        <w:tab/>
        <w:t xml:space="preserve">The word “gold” in section 11(1)(f) of the Value-Added Tax Act, 89 of 1991 (as amended) (“the VAT Act”) refers to, and only applies to: gold (in any of the eight unwrought forms permitted in the subsection) refined to the grade of purity required for acquisition by the </w:t>
      </w:r>
      <w:r w:rsidRPr="002732F5">
        <w:rPr>
          <w:rFonts w:ascii="Arial" w:hAnsi="Arial" w:cs="Arial"/>
          <w:sz w:val="22"/>
          <w:szCs w:val="22"/>
        </w:rPr>
        <w:lastRenderedPageBreak/>
        <w:t>South African Reserve Bank (“SARB”), the South African Mint Company (Proprietary) Limited (“Mintco”), or any bank registered under the Bank Act, 1990 (Act No. 94 of 1990) (“bank”);</w:t>
      </w:r>
    </w:p>
    <w:p w14:paraId="76F7ED6E" w14:textId="77777777" w:rsidR="002732F5" w:rsidRPr="002732F5" w:rsidRDefault="002732F5" w:rsidP="002732F5">
      <w:pPr>
        <w:rPr>
          <w:rFonts w:ascii="Arial" w:hAnsi="Arial" w:cs="Arial"/>
          <w:sz w:val="22"/>
          <w:szCs w:val="22"/>
        </w:rPr>
      </w:pPr>
      <w:r w:rsidRPr="002732F5">
        <w:rPr>
          <w:rFonts w:ascii="Arial" w:hAnsi="Arial" w:cs="Arial"/>
          <w:sz w:val="22"/>
          <w:szCs w:val="22"/>
        </w:rPr>
        <w:t>2.2.</w:t>
      </w:r>
      <w:r w:rsidRPr="002732F5">
        <w:rPr>
          <w:rFonts w:ascii="Arial" w:hAnsi="Arial" w:cs="Arial"/>
          <w:sz w:val="22"/>
          <w:szCs w:val="22"/>
        </w:rPr>
        <w:tab/>
        <w:t>“Gold” in the form of “bars” supplied to the SARB, Mintco or a bank, in terms of section 11(1)(f) of the VAT Act, refers to gold of a purity equal to or greater than 99.5%;</w:t>
      </w:r>
    </w:p>
    <w:p w14:paraId="205C90F8" w14:textId="77777777" w:rsidR="002732F5" w:rsidRPr="002732F5" w:rsidRDefault="002732F5" w:rsidP="002732F5">
      <w:pPr>
        <w:rPr>
          <w:rFonts w:ascii="Arial" w:hAnsi="Arial" w:cs="Arial"/>
          <w:sz w:val="22"/>
          <w:szCs w:val="22"/>
        </w:rPr>
      </w:pPr>
      <w:r w:rsidRPr="002732F5">
        <w:rPr>
          <w:rFonts w:ascii="Arial" w:hAnsi="Arial" w:cs="Arial"/>
          <w:sz w:val="22"/>
          <w:szCs w:val="22"/>
        </w:rPr>
        <w:t>2.3.</w:t>
      </w:r>
      <w:r w:rsidRPr="002732F5">
        <w:rPr>
          <w:rFonts w:ascii="Arial" w:hAnsi="Arial" w:cs="Arial"/>
          <w:sz w:val="22"/>
          <w:szCs w:val="22"/>
        </w:rPr>
        <w:tab/>
        <w:t>The phrase “which has not undergone any manufacturing process other than the refining thereof or the manufacture or production of” in section 11(1)(f) of the VAT Act, precludes the zero rating of a supply of gold:</w:t>
      </w:r>
    </w:p>
    <w:p w14:paraId="1A324540" w14:textId="77777777" w:rsidR="002732F5" w:rsidRPr="002732F5" w:rsidRDefault="002732F5" w:rsidP="002732F5">
      <w:pPr>
        <w:rPr>
          <w:rFonts w:ascii="Arial" w:hAnsi="Arial" w:cs="Arial"/>
          <w:sz w:val="22"/>
          <w:szCs w:val="22"/>
        </w:rPr>
      </w:pPr>
      <w:r w:rsidRPr="002732F5">
        <w:rPr>
          <w:rFonts w:ascii="Arial" w:hAnsi="Arial" w:cs="Arial"/>
          <w:sz w:val="22"/>
          <w:szCs w:val="22"/>
        </w:rPr>
        <w:t>(i)</w:t>
      </w:r>
      <w:r w:rsidRPr="002732F5">
        <w:rPr>
          <w:rFonts w:ascii="Arial" w:hAnsi="Arial" w:cs="Arial"/>
          <w:sz w:val="22"/>
          <w:szCs w:val="22"/>
        </w:rPr>
        <w:tab/>
        <w:t xml:space="preserve">not being in one of the eight unwrought forms identified in the subsection; and </w:t>
      </w:r>
    </w:p>
    <w:p w14:paraId="159762D9" w14:textId="77777777" w:rsidR="002732F5" w:rsidRPr="002732F5" w:rsidRDefault="002732F5" w:rsidP="002732F5">
      <w:pPr>
        <w:rPr>
          <w:rFonts w:ascii="Arial" w:hAnsi="Arial" w:cs="Arial"/>
          <w:sz w:val="22"/>
          <w:szCs w:val="22"/>
        </w:rPr>
      </w:pPr>
      <w:r w:rsidRPr="002732F5">
        <w:rPr>
          <w:rFonts w:ascii="Arial" w:hAnsi="Arial" w:cs="Arial"/>
          <w:sz w:val="22"/>
          <w:szCs w:val="22"/>
        </w:rPr>
        <w:t>(ii)</w:t>
      </w:r>
      <w:r w:rsidRPr="002732F5">
        <w:rPr>
          <w:rFonts w:ascii="Arial" w:hAnsi="Arial" w:cs="Arial"/>
          <w:sz w:val="22"/>
          <w:szCs w:val="22"/>
        </w:rPr>
        <w:tab/>
        <w:t>that has undergone further manufacturing or production processes once it has reached the state of purity required for acquisition by SARB, Mintco or a bank;</w:t>
      </w:r>
    </w:p>
    <w:p w14:paraId="6BB7D3F4" w14:textId="77777777" w:rsidR="002732F5" w:rsidRPr="002732F5" w:rsidRDefault="002732F5" w:rsidP="002732F5">
      <w:pPr>
        <w:rPr>
          <w:rFonts w:ascii="Arial" w:hAnsi="Arial" w:cs="Arial"/>
          <w:sz w:val="22"/>
          <w:szCs w:val="22"/>
        </w:rPr>
      </w:pPr>
      <w:r w:rsidRPr="002732F5">
        <w:rPr>
          <w:rFonts w:ascii="Arial" w:hAnsi="Arial" w:cs="Arial"/>
          <w:sz w:val="22"/>
          <w:szCs w:val="22"/>
        </w:rPr>
        <w:t>2.4.</w:t>
      </w:r>
      <w:r w:rsidRPr="002732F5">
        <w:rPr>
          <w:rFonts w:ascii="Arial" w:hAnsi="Arial" w:cs="Arial"/>
          <w:sz w:val="22"/>
          <w:szCs w:val="22"/>
        </w:rPr>
        <w:tab/>
        <w:t>The phrase “which has not undergone any manufacturing process other than the refining thereof or the manufacture or production of” in section 11(1)(f) of the VAT Act, refers to any manufacturing process(es) carried out by the vendor supplying gold to the SARB, Mintco or a bank, and does not refer to any process(es) to which gold may have been subjected historically, prior to being refined to the grade of purity required for acquisition by the SARB, Mintco or a bank.’</w:t>
      </w:r>
    </w:p>
    <w:p w14:paraId="58A4F9CE" w14:textId="77777777" w:rsidR="00B8573B" w:rsidRDefault="002732F5" w:rsidP="002732F5">
      <w:pPr>
        <w:rPr>
          <w:rFonts w:ascii="Arial" w:hAnsi="Arial" w:cs="Arial"/>
        </w:rPr>
      </w:pPr>
      <w:r>
        <w:rPr>
          <w:rFonts w:ascii="Arial" w:hAnsi="Arial" w:cs="Arial"/>
        </w:rPr>
        <w:t xml:space="preserve">The application failed before the high court. Davis J dismissed it with costs, but granted leave to the appellant to appeal to this Court. </w:t>
      </w:r>
    </w:p>
    <w:p w14:paraId="23141EC4" w14:textId="77777777" w:rsidR="00B8573B" w:rsidRDefault="00B8573B" w:rsidP="002732F5">
      <w:pPr>
        <w:rPr>
          <w:rFonts w:ascii="Arial" w:hAnsi="Arial" w:cs="Arial"/>
        </w:rPr>
      </w:pPr>
    </w:p>
    <w:p w14:paraId="0D6B1980" w14:textId="60E38A60" w:rsidR="002732F5" w:rsidRDefault="00B8573B" w:rsidP="002732F5">
      <w:pPr>
        <w:rPr>
          <w:rFonts w:ascii="Arial" w:hAnsi="Arial" w:cs="Arial"/>
        </w:rPr>
      </w:pPr>
      <w:r>
        <w:rPr>
          <w:rFonts w:ascii="Arial" w:hAnsi="Arial" w:cs="Arial"/>
        </w:rPr>
        <w:t>[12]</w:t>
      </w:r>
      <w:r>
        <w:rPr>
          <w:rFonts w:ascii="Arial" w:hAnsi="Arial" w:cs="Arial"/>
        </w:rPr>
        <w:tab/>
      </w:r>
      <w:r w:rsidR="002732F5">
        <w:rPr>
          <w:rFonts w:ascii="Arial" w:hAnsi="Arial" w:cs="Arial"/>
        </w:rPr>
        <w:t>Section</w:t>
      </w:r>
      <w:r w:rsidR="002732F5" w:rsidRPr="006D3DB0">
        <w:rPr>
          <w:rFonts w:ascii="Arial" w:hAnsi="Arial" w:cs="Arial"/>
        </w:rPr>
        <w:t xml:space="preserve"> 21(1)</w:t>
      </w:r>
      <w:r w:rsidR="002732F5" w:rsidRPr="007E14C6">
        <w:rPr>
          <w:rFonts w:ascii="Arial" w:hAnsi="Arial" w:cs="Arial"/>
          <w:i/>
        </w:rPr>
        <w:t>(c)</w:t>
      </w:r>
      <w:r w:rsidR="002732F5" w:rsidRPr="006D3DB0">
        <w:rPr>
          <w:rFonts w:ascii="Arial" w:hAnsi="Arial" w:cs="Arial"/>
        </w:rPr>
        <w:t xml:space="preserve"> of the Superior Courts Act 10 of 2013 </w:t>
      </w:r>
      <w:r w:rsidR="002732F5" w:rsidRPr="006D3DB0">
        <w:rPr>
          <w:rFonts w:ascii="Arial" w:hAnsi="Arial" w:cs="Arial"/>
          <w:color w:val="242121"/>
          <w:shd w:val="clear" w:color="auto" w:fill="FFFFFF"/>
        </w:rPr>
        <w:t xml:space="preserve">provides a statutory basis for </w:t>
      </w:r>
      <w:r w:rsidR="007E14C6">
        <w:rPr>
          <w:rFonts w:ascii="Arial" w:hAnsi="Arial" w:cs="Arial"/>
          <w:color w:val="242121"/>
          <w:shd w:val="clear" w:color="auto" w:fill="FFFFFF"/>
        </w:rPr>
        <w:t xml:space="preserve">the grant of declaratory orders </w:t>
      </w:r>
      <w:r w:rsidR="002732F5" w:rsidRPr="006D3DB0">
        <w:rPr>
          <w:rFonts w:ascii="Arial" w:hAnsi="Arial" w:cs="Arial"/>
          <w:color w:val="242121"/>
          <w:shd w:val="clear" w:color="auto" w:fill="FFFFFF"/>
        </w:rPr>
        <w:t>without removing the common law jurisdiction of courts to do</w:t>
      </w:r>
      <w:r w:rsidR="002732F5">
        <w:rPr>
          <w:rFonts w:ascii="Arial" w:hAnsi="Arial" w:cs="Arial"/>
          <w:color w:val="242121"/>
          <w:shd w:val="clear" w:color="auto" w:fill="FFFFFF"/>
        </w:rPr>
        <w:t xml:space="preserve"> so</w:t>
      </w:r>
      <w:r w:rsidR="002732F5" w:rsidRPr="006D3DB0">
        <w:rPr>
          <w:rFonts w:ascii="Arial" w:hAnsi="Arial" w:cs="Arial"/>
          <w:color w:val="242121"/>
          <w:shd w:val="clear" w:color="auto" w:fill="FFFFFF"/>
        </w:rPr>
        <w:t xml:space="preserve">. It is a discretionary remedy. </w:t>
      </w:r>
      <w:r w:rsidR="009956D2">
        <w:rPr>
          <w:rFonts w:ascii="Arial" w:hAnsi="Arial" w:cs="Arial"/>
          <w:color w:val="242121"/>
          <w:shd w:val="clear" w:color="auto" w:fill="FFFFFF"/>
        </w:rPr>
        <w:t xml:space="preserve">The question whether or not relief should be granted under this section has to </w:t>
      </w:r>
      <w:r w:rsidR="00C86029">
        <w:rPr>
          <w:rFonts w:ascii="Arial" w:hAnsi="Arial" w:cs="Arial"/>
          <w:color w:val="242121"/>
          <w:shd w:val="clear" w:color="auto" w:fill="FFFFFF"/>
        </w:rPr>
        <w:t xml:space="preserve">be </w:t>
      </w:r>
      <w:r w:rsidR="009956D2">
        <w:rPr>
          <w:rFonts w:ascii="Arial" w:hAnsi="Arial" w:cs="Arial"/>
          <w:color w:val="242121"/>
          <w:shd w:val="clear" w:color="auto" w:fill="FFFFFF"/>
        </w:rPr>
        <w:t xml:space="preserve">examined in two stages. In the first place, the jurisdictional facts have to be established. When this has been done, the court must decide whether the case is </w:t>
      </w:r>
      <w:r w:rsidR="0052669C">
        <w:rPr>
          <w:rFonts w:ascii="Arial" w:hAnsi="Arial" w:cs="Arial"/>
          <w:color w:val="242121"/>
          <w:shd w:val="clear" w:color="auto" w:fill="FFFFFF"/>
        </w:rPr>
        <w:t xml:space="preserve">a </w:t>
      </w:r>
      <w:r w:rsidR="009956D2">
        <w:rPr>
          <w:rFonts w:ascii="Arial" w:hAnsi="Arial" w:cs="Arial"/>
          <w:color w:val="242121"/>
          <w:shd w:val="clear" w:color="auto" w:fill="FFFFFF"/>
        </w:rPr>
        <w:t>proper one for the exercise of its discretion.</w:t>
      </w:r>
      <w:r w:rsidR="009956D2">
        <w:rPr>
          <w:rStyle w:val="FootnoteReference"/>
          <w:rFonts w:ascii="Arial" w:hAnsi="Arial" w:cs="Arial"/>
          <w:color w:val="242121"/>
          <w:shd w:val="clear" w:color="auto" w:fill="FFFFFF"/>
        </w:rPr>
        <w:footnoteReference w:id="3"/>
      </w:r>
      <w:r w:rsidR="009956D2">
        <w:rPr>
          <w:rFonts w:ascii="Arial" w:hAnsi="Arial" w:cs="Arial"/>
          <w:color w:val="242121"/>
          <w:shd w:val="clear" w:color="auto" w:fill="FFFFFF"/>
        </w:rPr>
        <w:t xml:space="preserve"> </w:t>
      </w:r>
      <w:r w:rsidR="002732F5">
        <w:rPr>
          <w:rFonts w:ascii="Arial" w:hAnsi="Arial" w:cs="Arial"/>
          <w:color w:val="242121"/>
          <w:shd w:val="clear" w:color="auto" w:fill="FFFFFF"/>
        </w:rPr>
        <w:t xml:space="preserve">Thus, </w:t>
      </w:r>
      <w:r w:rsidR="002732F5">
        <w:rPr>
          <w:rFonts w:ascii="Arial" w:hAnsi="Arial" w:cs="Arial"/>
        </w:rPr>
        <w:t>e</w:t>
      </w:r>
      <w:r w:rsidR="002732F5" w:rsidRPr="006D3DB0">
        <w:rPr>
          <w:rFonts w:ascii="Arial" w:hAnsi="Arial" w:cs="Arial"/>
        </w:rPr>
        <w:t>ven if the jurisdictional requirements are met, an applicant does not have an entitlement to an order. It is for</w:t>
      </w:r>
      <w:r>
        <w:rPr>
          <w:rFonts w:ascii="Arial" w:hAnsi="Arial" w:cs="Arial"/>
        </w:rPr>
        <w:t xml:space="preserve"> such</w:t>
      </w:r>
      <w:r w:rsidR="002732F5" w:rsidRPr="006D3DB0">
        <w:rPr>
          <w:rFonts w:ascii="Arial" w:hAnsi="Arial" w:cs="Arial"/>
        </w:rPr>
        <w:t xml:space="preserve"> applicant to show that the circumstances justify the grant of an order.</w:t>
      </w:r>
      <w:r w:rsidR="002732F5">
        <w:rPr>
          <w:rFonts w:ascii="Arial" w:hAnsi="Arial" w:cs="Arial"/>
        </w:rPr>
        <w:t xml:space="preserve"> I am by no means satisfied that those circumstances are present in this matter. Quite the contrary, there are several considerations that suggest that the high court ought to have exercised its discretion against the hearing of the application.</w:t>
      </w:r>
    </w:p>
    <w:p w14:paraId="60BDF39A" w14:textId="77777777" w:rsidR="002732F5" w:rsidRDefault="002732F5" w:rsidP="002732F5">
      <w:pPr>
        <w:rPr>
          <w:rFonts w:ascii="Arial" w:hAnsi="Arial" w:cs="Arial"/>
        </w:rPr>
      </w:pPr>
    </w:p>
    <w:p w14:paraId="5515BC71" w14:textId="31FE0242" w:rsidR="0031632D" w:rsidRDefault="007E14C6" w:rsidP="002732F5">
      <w:pPr>
        <w:rPr>
          <w:rFonts w:ascii="Arial" w:hAnsi="Arial" w:cs="Arial"/>
        </w:rPr>
      </w:pPr>
      <w:r>
        <w:rPr>
          <w:rFonts w:ascii="Arial" w:hAnsi="Arial" w:cs="Arial"/>
        </w:rPr>
        <w:lastRenderedPageBreak/>
        <w:t>[13</w:t>
      </w:r>
      <w:r w:rsidR="002732F5">
        <w:rPr>
          <w:rFonts w:ascii="Arial" w:hAnsi="Arial" w:cs="Arial"/>
        </w:rPr>
        <w:t>]</w:t>
      </w:r>
      <w:r w:rsidR="002732F5">
        <w:rPr>
          <w:rFonts w:ascii="Arial" w:hAnsi="Arial" w:cs="Arial"/>
        </w:rPr>
        <w:tab/>
        <w:t>At the outset of the hearing of the appeal, Counsel were required to address whether absent a directive in terms of s 105 of the TAA,</w:t>
      </w:r>
      <w:r w:rsidR="002732F5">
        <w:rPr>
          <w:rStyle w:val="FootnoteReference"/>
          <w:rFonts w:ascii="Arial" w:hAnsi="Arial" w:cs="Arial"/>
        </w:rPr>
        <w:footnoteReference w:id="4"/>
      </w:r>
      <w:r w:rsidR="002732F5">
        <w:rPr>
          <w:rFonts w:ascii="Arial" w:hAnsi="Arial" w:cs="Arial"/>
        </w:rPr>
        <w:t xml:space="preserve"> the high court could enter into and pronounce on the merits of the application for declaratory relief. This, in the light of the relief sought in prayer 1 of the Notice of Motion. </w:t>
      </w:r>
      <w:r w:rsidR="002732F5" w:rsidRPr="006D3DB0">
        <w:rPr>
          <w:rFonts w:ascii="Arial" w:hAnsi="Arial" w:cs="Arial"/>
        </w:rPr>
        <w:t xml:space="preserve">At the bar in this </w:t>
      </w:r>
      <w:r w:rsidR="00F24EEC">
        <w:rPr>
          <w:rFonts w:ascii="Arial" w:hAnsi="Arial" w:cs="Arial"/>
        </w:rPr>
        <w:t>C</w:t>
      </w:r>
      <w:r w:rsidR="002732F5" w:rsidRPr="006D3DB0">
        <w:rPr>
          <w:rFonts w:ascii="Arial" w:hAnsi="Arial" w:cs="Arial"/>
        </w:rPr>
        <w:t>ourt, the argument advanced by both counsel was that as there was neither an ‘assessment’ nor a ‘deci</w:t>
      </w:r>
      <w:r w:rsidR="002732F5">
        <w:rPr>
          <w:rFonts w:ascii="Arial" w:hAnsi="Arial" w:cs="Arial"/>
        </w:rPr>
        <w:t>sion as described in s 104’</w:t>
      </w:r>
      <w:r w:rsidR="00C04DFD">
        <w:rPr>
          <w:rFonts w:ascii="Arial" w:hAnsi="Arial" w:cs="Arial"/>
        </w:rPr>
        <w:t>,</w:t>
      </w:r>
      <w:r w:rsidR="002732F5">
        <w:rPr>
          <w:rFonts w:ascii="Arial" w:hAnsi="Arial" w:cs="Arial"/>
        </w:rPr>
        <w:t xml:space="preserve"> and as </w:t>
      </w:r>
      <w:r w:rsidR="002732F5" w:rsidRPr="006D3DB0">
        <w:rPr>
          <w:rFonts w:ascii="Arial" w:hAnsi="Arial" w:cs="Arial"/>
        </w:rPr>
        <w:t xml:space="preserve">the nature of </w:t>
      </w:r>
      <w:r w:rsidR="002732F5">
        <w:rPr>
          <w:rFonts w:ascii="Arial" w:hAnsi="Arial" w:cs="Arial"/>
        </w:rPr>
        <w:t xml:space="preserve">the relief </w:t>
      </w:r>
      <w:r w:rsidR="002732F5" w:rsidRPr="006D3DB0">
        <w:rPr>
          <w:rFonts w:ascii="Arial" w:hAnsi="Arial" w:cs="Arial"/>
        </w:rPr>
        <w:t>sought was a declaration of rights, the default rule that a taxpayer may only dispute an assessment by the objection and appeal procedure under the</w:t>
      </w:r>
      <w:r w:rsidR="002732F5">
        <w:rPr>
          <w:rFonts w:ascii="Arial" w:hAnsi="Arial" w:cs="Arial"/>
        </w:rPr>
        <w:t xml:space="preserve"> TAA, did not find application. </w:t>
      </w:r>
    </w:p>
    <w:p w14:paraId="7D794CE9" w14:textId="77777777" w:rsidR="0031632D" w:rsidRDefault="0031632D" w:rsidP="002732F5">
      <w:pPr>
        <w:rPr>
          <w:rFonts w:ascii="Arial" w:hAnsi="Arial" w:cs="Arial"/>
        </w:rPr>
      </w:pPr>
    </w:p>
    <w:p w14:paraId="567A455B" w14:textId="1EB993E3" w:rsidR="002732F5" w:rsidRDefault="0031632D" w:rsidP="002732F5">
      <w:pPr>
        <w:rPr>
          <w:rFonts w:ascii="Arial" w:hAnsi="Arial" w:cs="Arial"/>
        </w:rPr>
      </w:pPr>
      <w:r>
        <w:rPr>
          <w:rFonts w:ascii="Arial" w:hAnsi="Arial" w:cs="Arial"/>
        </w:rPr>
        <w:t>[14]</w:t>
      </w:r>
      <w:r>
        <w:rPr>
          <w:rFonts w:ascii="Arial" w:hAnsi="Arial" w:cs="Arial"/>
        </w:rPr>
        <w:tab/>
      </w:r>
      <w:r w:rsidR="002732F5">
        <w:rPr>
          <w:rFonts w:ascii="Arial" w:hAnsi="Arial" w:cs="Arial"/>
        </w:rPr>
        <w:t>The legislative scheme</w:t>
      </w:r>
      <w:r w:rsidR="002732F5" w:rsidRPr="00007A59">
        <w:rPr>
          <w:rFonts w:ascii="Arial" w:hAnsi="Arial" w:cs="Arial"/>
        </w:rPr>
        <w:t xml:space="preserve"> is </w:t>
      </w:r>
      <w:r w:rsidR="002732F5">
        <w:rPr>
          <w:rFonts w:ascii="Arial" w:hAnsi="Arial" w:cs="Arial"/>
        </w:rPr>
        <w:t>designed</w:t>
      </w:r>
      <w:r w:rsidR="002732F5" w:rsidRPr="00007A59">
        <w:rPr>
          <w:rFonts w:ascii="Arial" w:hAnsi="Arial" w:cs="Arial"/>
        </w:rPr>
        <w:t xml:space="preserve"> to ensure that the objection and appeal process and the resolution </w:t>
      </w:r>
      <w:r w:rsidR="002732F5">
        <w:rPr>
          <w:rFonts w:ascii="Arial" w:hAnsi="Arial" w:cs="Arial"/>
        </w:rPr>
        <w:t>of tax disputes</w:t>
      </w:r>
      <w:r w:rsidR="002732F5" w:rsidRPr="00007A59">
        <w:rPr>
          <w:rFonts w:ascii="Arial" w:hAnsi="Arial" w:cs="Arial"/>
        </w:rPr>
        <w:t xml:space="preserve"> by means of alternative dispute resolution </w:t>
      </w:r>
      <w:r w:rsidR="002732F5">
        <w:rPr>
          <w:rFonts w:ascii="Arial" w:hAnsi="Arial" w:cs="Arial"/>
        </w:rPr>
        <w:t>and</w:t>
      </w:r>
      <w:r w:rsidR="002732F5" w:rsidRPr="00007A59">
        <w:rPr>
          <w:rFonts w:ascii="Arial" w:hAnsi="Arial" w:cs="Arial"/>
        </w:rPr>
        <w:t xml:space="preserve"> </w:t>
      </w:r>
      <w:r w:rsidR="002732F5">
        <w:rPr>
          <w:rFonts w:ascii="Arial" w:hAnsi="Arial" w:cs="Arial"/>
        </w:rPr>
        <w:t xml:space="preserve">then </w:t>
      </w:r>
      <w:r w:rsidR="002732F5" w:rsidRPr="00007A59">
        <w:rPr>
          <w:rFonts w:ascii="Arial" w:hAnsi="Arial" w:cs="Arial"/>
        </w:rPr>
        <w:t>the tax board or the tax court be exhausted</w:t>
      </w:r>
      <w:r w:rsidR="002732F5">
        <w:rPr>
          <w:rFonts w:ascii="Arial" w:hAnsi="Arial" w:cs="Arial"/>
        </w:rPr>
        <w:t>,</w:t>
      </w:r>
      <w:r w:rsidR="002732F5" w:rsidRPr="00007A59">
        <w:rPr>
          <w:rFonts w:ascii="Arial" w:hAnsi="Arial" w:cs="Arial"/>
        </w:rPr>
        <w:t xml:space="preserve"> before </w:t>
      </w:r>
      <w:r w:rsidR="002732F5">
        <w:rPr>
          <w:rFonts w:ascii="Arial" w:hAnsi="Arial" w:cs="Arial"/>
        </w:rPr>
        <w:t>the</w:t>
      </w:r>
      <w:r w:rsidR="002732F5" w:rsidRPr="00007A59">
        <w:rPr>
          <w:rFonts w:ascii="Arial" w:hAnsi="Arial" w:cs="Arial"/>
        </w:rPr>
        <w:t xml:space="preserve"> high court </w:t>
      </w:r>
      <w:r w:rsidR="002732F5">
        <w:rPr>
          <w:rFonts w:ascii="Arial" w:hAnsi="Arial" w:cs="Arial"/>
        </w:rPr>
        <w:t>can be</w:t>
      </w:r>
      <w:r w:rsidR="002732F5" w:rsidRPr="00007A59">
        <w:rPr>
          <w:rFonts w:ascii="Arial" w:hAnsi="Arial" w:cs="Arial"/>
        </w:rPr>
        <w:t xml:space="preserve"> approached</w:t>
      </w:r>
      <w:r w:rsidR="002732F5">
        <w:rPr>
          <w:rFonts w:ascii="Arial" w:hAnsi="Arial" w:cs="Arial"/>
        </w:rPr>
        <w:t>.</w:t>
      </w:r>
      <w:r w:rsidR="002732F5" w:rsidRPr="00007A59">
        <w:rPr>
          <w:rFonts w:ascii="Arial" w:hAnsi="Arial" w:cs="Arial"/>
        </w:rPr>
        <w:t xml:space="preserve"> </w:t>
      </w:r>
      <w:r w:rsidR="002732F5">
        <w:rPr>
          <w:rFonts w:ascii="Arial" w:hAnsi="Arial" w:cs="Arial"/>
        </w:rPr>
        <w:t xml:space="preserve">It also contemplates that in the ordinary course </w:t>
      </w:r>
      <w:r w:rsidR="002732F5" w:rsidRPr="00007A59">
        <w:rPr>
          <w:rFonts w:ascii="Arial" w:hAnsi="Arial" w:cs="Arial"/>
        </w:rPr>
        <w:t>the tax court deal with the dispute</w:t>
      </w:r>
      <w:r w:rsidR="002732F5">
        <w:rPr>
          <w:rFonts w:ascii="Arial" w:hAnsi="Arial" w:cs="Arial"/>
        </w:rPr>
        <w:t>, by way of a</w:t>
      </w:r>
      <w:r w:rsidR="002732F5" w:rsidRPr="00007A59">
        <w:rPr>
          <w:rFonts w:ascii="Arial" w:hAnsi="Arial" w:cs="Arial"/>
        </w:rPr>
        <w:t xml:space="preserve"> trial</w:t>
      </w:r>
      <w:r w:rsidR="002732F5">
        <w:rPr>
          <w:rFonts w:ascii="Arial" w:hAnsi="Arial" w:cs="Arial"/>
        </w:rPr>
        <w:t>,</w:t>
      </w:r>
      <w:r w:rsidR="002732F5" w:rsidRPr="00007A59">
        <w:rPr>
          <w:rFonts w:ascii="Arial" w:hAnsi="Arial" w:cs="Arial"/>
        </w:rPr>
        <w:t xml:space="preserve"> as </w:t>
      </w:r>
      <w:r w:rsidR="002732F5">
        <w:rPr>
          <w:rFonts w:ascii="Arial" w:hAnsi="Arial" w:cs="Arial"/>
        </w:rPr>
        <w:t xml:space="preserve">the </w:t>
      </w:r>
      <w:r w:rsidR="002732F5" w:rsidRPr="00007A59">
        <w:rPr>
          <w:rFonts w:ascii="Arial" w:hAnsi="Arial" w:cs="Arial"/>
        </w:rPr>
        <w:t xml:space="preserve">court of first instance </w:t>
      </w:r>
      <w:r w:rsidR="002732F5">
        <w:rPr>
          <w:rFonts w:ascii="Arial" w:hAnsi="Arial" w:cs="Arial"/>
        </w:rPr>
        <w:t>before the high court can be approached</w:t>
      </w:r>
      <w:r w:rsidR="002732F5" w:rsidRPr="00007A59">
        <w:rPr>
          <w:rFonts w:ascii="Arial" w:hAnsi="Arial" w:cs="Arial"/>
        </w:rPr>
        <w:t>.</w:t>
      </w:r>
      <w:r w:rsidR="002732F5">
        <w:rPr>
          <w:rFonts w:ascii="Arial" w:hAnsi="Arial" w:cs="Arial"/>
        </w:rPr>
        <w:t xml:space="preserve"> Nowhere is this</w:t>
      </w:r>
      <w:r w:rsidR="002732F5" w:rsidRPr="00007A59">
        <w:rPr>
          <w:rFonts w:ascii="Arial" w:hAnsi="Arial" w:cs="Arial"/>
        </w:rPr>
        <w:t xml:space="preserve"> clear</w:t>
      </w:r>
      <w:r w:rsidR="002732F5">
        <w:rPr>
          <w:rFonts w:ascii="Arial" w:hAnsi="Arial" w:cs="Arial"/>
        </w:rPr>
        <w:t>er than</w:t>
      </w:r>
      <w:r w:rsidR="002732F5" w:rsidRPr="00007A59">
        <w:rPr>
          <w:rFonts w:ascii="Arial" w:hAnsi="Arial" w:cs="Arial"/>
        </w:rPr>
        <w:t xml:space="preserve"> from the language, context, history and purpose of s</w:t>
      </w:r>
      <w:r w:rsidR="002732F5">
        <w:rPr>
          <w:rFonts w:ascii="Arial" w:hAnsi="Arial" w:cs="Arial"/>
        </w:rPr>
        <w:t xml:space="preserve"> 105,</w:t>
      </w:r>
      <w:r w:rsidR="002732F5" w:rsidRPr="00007A59">
        <w:rPr>
          <w:rFonts w:ascii="Arial" w:hAnsi="Arial" w:cs="Arial"/>
        </w:rPr>
        <w:t xml:space="preserve"> </w:t>
      </w:r>
      <w:r w:rsidR="002732F5">
        <w:rPr>
          <w:rFonts w:ascii="Arial" w:hAnsi="Arial" w:cs="Arial"/>
        </w:rPr>
        <w:t>which makes it plain that</w:t>
      </w:r>
      <w:r w:rsidR="002732F5" w:rsidRPr="00007A59">
        <w:rPr>
          <w:rFonts w:ascii="Arial" w:hAnsi="Arial" w:cs="Arial"/>
        </w:rPr>
        <w:t xml:space="preserve"> a taxpayer may only dispute an assessment by the objection and appeal procedure under the TAA, unless a high court directs otherwise</w:t>
      </w:r>
      <w:r w:rsidR="002732F5">
        <w:rPr>
          <w:rFonts w:ascii="Arial" w:hAnsi="Arial" w:cs="Arial"/>
        </w:rPr>
        <w:t xml:space="preserve"> (</w:t>
      </w:r>
      <w:r w:rsidR="002732F5" w:rsidRPr="00007A59">
        <w:rPr>
          <w:rFonts w:ascii="Arial" w:hAnsi="Arial" w:cs="Arial"/>
          <w:i/>
          <w:iCs/>
        </w:rPr>
        <w:t>Commissioner for the South African Revenue Service v Rappa Resources (Pty) Ltd</w:t>
      </w:r>
      <w:r w:rsidR="002732F5">
        <w:rPr>
          <w:rFonts w:ascii="Arial" w:hAnsi="Arial" w:cs="Arial"/>
        </w:rPr>
        <w:t>)</w:t>
      </w:r>
      <w:r w:rsidR="002732F5" w:rsidRPr="00007A59">
        <w:rPr>
          <w:rFonts w:ascii="Arial" w:hAnsi="Arial" w:cs="Arial"/>
        </w:rPr>
        <w:t>.</w:t>
      </w:r>
      <w:r w:rsidR="002732F5">
        <w:rPr>
          <w:rStyle w:val="FootnoteReference"/>
          <w:rFonts w:ascii="Arial" w:hAnsi="Arial" w:cs="Arial"/>
        </w:rPr>
        <w:footnoteReference w:id="5"/>
      </w:r>
    </w:p>
    <w:p w14:paraId="2BC3AB32" w14:textId="77777777" w:rsidR="002732F5" w:rsidRPr="0027186D" w:rsidRDefault="002732F5" w:rsidP="002732F5">
      <w:pPr>
        <w:rPr>
          <w:rFonts w:ascii="Arial" w:hAnsi="Arial" w:cs="Arial"/>
        </w:rPr>
      </w:pPr>
    </w:p>
    <w:p w14:paraId="3D575E21" w14:textId="3A2CEDF8" w:rsidR="0031632D" w:rsidRDefault="007E14C6" w:rsidP="002732F5">
      <w:pPr>
        <w:rPr>
          <w:rFonts w:ascii="Arial" w:hAnsi="Arial" w:cs="Arial"/>
        </w:rPr>
      </w:pPr>
      <w:r>
        <w:rPr>
          <w:rFonts w:ascii="Arial" w:hAnsi="Arial" w:cs="Arial"/>
        </w:rPr>
        <w:t>[15</w:t>
      </w:r>
      <w:r w:rsidR="002732F5">
        <w:rPr>
          <w:rFonts w:ascii="Arial" w:hAnsi="Arial" w:cs="Arial"/>
        </w:rPr>
        <w:t>]</w:t>
      </w:r>
      <w:r w:rsidR="002732F5">
        <w:rPr>
          <w:rFonts w:ascii="Arial" w:hAnsi="Arial" w:cs="Arial"/>
        </w:rPr>
        <w:tab/>
        <w:t>What Counsel’s argument boiled down to was not that s 105 did not find application at all in circumstances where declaratory relief was sought; but, properly construed, reduced itself essentially to one of timing. There seemed to be an acceptance that if the appellant had approached the high court for precisely the same relief after an assessment had issued, then s 105 would apply. However, because an assessment had not yet issued, but only a notice of inte</w:t>
      </w:r>
      <w:r w:rsidR="00C04DFD">
        <w:rPr>
          <w:rFonts w:ascii="Arial" w:hAnsi="Arial" w:cs="Arial"/>
        </w:rPr>
        <w:t>ntion to assess, the section did not apply</w:t>
      </w:r>
      <w:r w:rsidR="002732F5">
        <w:rPr>
          <w:rFonts w:ascii="Arial" w:hAnsi="Arial" w:cs="Arial"/>
        </w:rPr>
        <w:t xml:space="preserve">. Why the one taxpayer would be better placed, when both sought precisely the same relief, could not be explained. The illogicality of such a differentiation appears to be compounded when one considers that a taxpayer (such as the appellant) on the receiving end of a decision that is capable of revision and </w:t>
      </w:r>
      <w:r w:rsidR="002732F5">
        <w:rPr>
          <w:rFonts w:ascii="Arial" w:hAnsi="Arial" w:cs="Arial"/>
        </w:rPr>
        <w:lastRenderedPageBreak/>
        <w:t xml:space="preserve">reconsideration would have a lower bar to surpass as opposed to one with a final decision in the form of an assessment. The latter would have to establish exceptional circumstances for </w:t>
      </w:r>
      <w:r w:rsidR="002732F5" w:rsidRPr="00007A59">
        <w:rPr>
          <w:rFonts w:ascii="Arial" w:hAnsi="Arial" w:cs="Arial"/>
        </w:rPr>
        <w:t xml:space="preserve">a high court </w:t>
      </w:r>
      <w:r w:rsidR="002732F5">
        <w:rPr>
          <w:rFonts w:ascii="Arial" w:hAnsi="Arial" w:cs="Arial"/>
        </w:rPr>
        <w:t xml:space="preserve">to authorise a departure from </w:t>
      </w:r>
      <w:r w:rsidR="002732F5" w:rsidRPr="00007A59">
        <w:rPr>
          <w:rFonts w:ascii="Arial" w:hAnsi="Arial" w:cs="Arial"/>
        </w:rPr>
        <w:t>the default rule</w:t>
      </w:r>
      <w:r w:rsidR="002732F5">
        <w:rPr>
          <w:rFonts w:ascii="Arial" w:hAnsi="Arial" w:cs="Arial"/>
        </w:rPr>
        <w:t>.</w:t>
      </w:r>
    </w:p>
    <w:p w14:paraId="5C477FB5" w14:textId="2778D821" w:rsidR="002732F5" w:rsidRDefault="002732F5" w:rsidP="002732F5">
      <w:pPr>
        <w:rPr>
          <w:rFonts w:ascii="Arial" w:hAnsi="Arial" w:cs="Arial"/>
        </w:rPr>
      </w:pPr>
    </w:p>
    <w:p w14:paraId="6777FAA2" w14:textId="0DAF98B2" w:rsidR="0031632D" w:rsidRDefault="00A14218" w:rsidP="002732F5">
      <w:pPr>
        <w:rPr>
          <w:rFonts w:ascii="Arial" w:hAnsi="Arial" w:cs="Arial"/>
          <w:color w:val="242121"/>
          <w:shd w:val="clear" w:color="auto" w:fill="FFFFFF"/>
        </w:rPr>
      </w:pPr>
      <w:r>
        <w:rPr>
          <w:rFonts w:ascii="Arial" w:hAnsi="Arial" w:cs="Arial"/>
        </w:rPr>
        <w:t>[16</w:t>
      </w:r>
      <w:r w:rsidR="002732F5">
        <w:rPr>
          <w:rFonts w:ascii="Arial" w:hAnsi="Arial" w:cs="Arial"/>
        </w:rPr>
        <w:t>]</w:t>
      </w:r>
      <w:r w:rsidR="002732F5">
        <w:rPr>
          <w:rFonts w:ascii="Arial" w:hAnsi="Arial" w:cs="Arial"/>
        </w:rPr>
        <w:tab/>
        <w:t xml:space="preserve">It is contended that authority for granting declaratory orders in tax matters is clearly established. In particular, much store was sought to be placed on two recent judgments of this </w:t>
      </w:r>
      <w:r w:rsidR="00980F65">
        <w:rPr>
          <w:rFonts w:ascii="Arial" w:hAnsi="Arial" w:cs="Arial"/>
        </w:rPr>
        <w:t>C</w:t>
      </w:r>
      <w:r w:rsidR="002732F5">
        <w:rPr>
          <w:rFonts w:ascii="Arial" w:hAnsi="Arial" w:cs="Arial"/>
        </w:rPr>
        <w:t xml:space="preserve">ourt, namely </w:t>
      </w:r>
      <w:r w:rsidR="002732F5" w:rsidRPr="00FC5A05">
        <w:rPr>
          <w:rFonts w:ascii="Arial" w:hAnsi="Arial" w:cs="Arial"/>
          <w:i/>
          <w:iCs/>
        </w:rPr>
        <w:t>Commissioner for the South African Revenue Service v Langholm Farms (Pty) Ltd</w:t>
      </w:r>
      <w:r w:rsidR="00A47252">
        <w:rPr>
          <w:rFonts w:ascii="Arial" w:hAnsi="Arial" w:cs="Arial"/>
          <w:i/>
          <w:iCs/>
        </w:rPr>
        <w:t xml:space="preserve"> </w:t>
      </w:r>
      <w:r w:rsidR="00A47252">
        <w:rPr>
          <w:rFonts w:ascii="Arial" w:hAnsi="Arial" w:cs="Arial"/>
        </w:rPr>
        <w:t>(</w:t>
      </w:r>
      <w:r w:rsidR="00A47252" w:rsidRPr="00FC5A05">
        <w:rPr>
          <w:rFonts w:ascii="Arial" w:hAnsi="Arial" w:cs="Arial"/>
          <w:i/>
          <w:iCs/>
        </w:rPr>
        <w:t>Langholm Farms</w:t>
      </w:r>
      <w:r w:rsidR="00A47252">
        <w:rPr>
          <w:rFonts w:ascii="Arial" w:hAnsi="Arial" w:cs="Arial"/>
        </w:rPr>
        <w:t>)</w:t>
      </w:r>
      <w:r w:rsidR="00634144">
        <w:rPr>
          <w:rFonts w:ascii="Arial" w:hAnsi="Arial" w:cs="Arial"/>
        </w:rPr>
        <w:t>,</w:t>
      </w:r>
      <w:r w:rsidR="002732F5" w:rsidRPr="00A77CEE">
        <w:rPr>
          <w:rStyle w:val="FootnoteReference"/>
          <w:rFonts w:ascii="Arial" w:hAnsi="Arial" w:cs="Arial"/>
          <w:iCs/>
        </w:rPr>
        <w:footnoteReference w:id="6"/>
      </w:r>
      <w:r w:rsidR="002732F5" w:rsidRPr="00A77CEE">
        <w:rPr>
          <w:rFonts w:ascii="Arial" w:hAnsi="Arial" w:cs="Arial"/>
        </w:rPr>
        <w:t xml:space="preserve"> </w:t>
      </w:r>
      <w:r w:rsidR="002732F5">
        <w:rPr>
          <w:rFonts w:ascii="Arial" w:hAnsi="Arial" w:cs="Arial"/>
        </w:rPr>
        <w:t xml:space="preserve">and </w:t>
      </w:r>
      <w:r w:rsidR="002732F5" w:rsidRPr="00A77CEE">
        <w:rPr>
          <w:rFonts w:ascii="Arial" w:hAnsi="Arial" w:cs="Arial"/>
          <w:i/>
          <w:iCs/>
        </w:rPr>
        <w:t xml:space="preserve">Commissioner for the South African </w:t>
      </w:r>
      <w:r w:rsidR="002732F5">
        <w:rPr>
          <w:rFonts w:ascii="Arial" w:hAnsi="Arial" w:cs="Arial"/>
          <w:i/>
          <w:iCs/>
        </w:rPr>
        <w:t>Revenue Service v United Manganese of Kalahari</w:t>
      </w:r>
      <w:r w:rsidR="002732F5" w:rsidRPr="00A77CEE">
        <w:rPr>
          <w:rFonts w:ascii="Arial" w:hAnsi="Arial" w:cs="Arial"/>
          <w:i/>
          <w:iCs/>
        </w:rPr>
        <w:t xml:space="preserve"> (Pty) Ltd</w:t>
      </w:r>
      <w:r w:rsidR="002732F5">
        <w:rPr>
          <w:rFonts w:ascii="Arial" w:hAnsi="Arial" w:cs="Arial"/>
          <w:iCs/>
        </w:rPr>
        <w:t>,</w:t>
      </w:r>
      <w:r w:rsidR="002732F5">
        <w:rPr>
          <w:rStyle w:val="FootnoteReference"/>
          <w:rFonts w:ascii="Arial" w:hAnsi="Arial" w:cs="Arial"/>
          <w:iCs/>
        </w:rPr>
        <w:footnoteReference w:id="7"/>
      </w:r>
      <w:r w:rsidR="002732F5" w:rsidRPr="00A77CEE">
        <w:rPr>
          <w:rFonts w:ascii="Arial" w:hAnsi="Arial" w:cs="Arial"/>
        </w:rPr>
        <w:t xml:space="preserve"> </w:t>
      </w:r>
      <w:r w:rsidR="002732F5">
        <w:rPr>
          <w:rFonts w:ascii="Arial" w:hAnsi="Arial" w:cs="Arial"/>
        </w:rPr>
        <w:t xml:space="preserve">which followed it. The argument being, to borrow from </w:t>
      </w:r>
      <w:r w:rsidR="002732F5" w:rsidRPr="00FC5A05">
        <w:rPr>
          <w:rFonts w:ascii="Arial" w:hAnsi="Arial" w:cs="Arial"/>
          <w:i/>
          <w:iCs/>
        </w:rPr>
        <w:t>Langholm Farms</w:t>
      </w:r>
      <w:r w:rsidR="002732F5">
        <w:rPr>
          <w:rFonts w:ascii="Arial" w:hAnsi="Arial" w:cs="Arial"/>
        </w:rPr>
        <w:t xml:space="preserve">, </w:t>
      </w:r>
      <w:r w:rsidR="002D1EA1">
        <w:rPr>
          <w:rFonts w:ascii="Arial" w:hAnsi="Arial" w:cs="Arial"/>
        </w:rPr>
        <w:t>‘</w:t>
      </w:r>
      <w:r w:rsidR="002732F5" w:rsidRPr="00DF07AD">
        <w:rPr>
          <w:rFonts w:ascii="Arial" w:hAnsi="Arial" w:cs="Arial"/>
          <w:color w:val="242121"/>
          <w:shd w:val="clear" w:color="auto" w:fill="FFFFFF"/>
        </w:rPr>
        <w:t>that is exactly the situation for which declaratory orders are made and seeking one in the context of a taxing statute was endorsed</w:t>
      </w:r>
      <w:r>
        <w:rPr>
          <w:rFonts w:ascii="Arial" w:hAnsi="Arial" w:cs="Arial"/>
          <w:color w:val="242121"/>
          <w:shd w:val="clear" w:color="auto" w:fill="FFFFFF"/>
        </w:rPr>
        <w:t xml:space="preserve"> by the Constitutional Court in </w:t>
      </w:r>
      <w:r w:rsidR="002732F5" w:rsidRPr="00DF07AD">
        <w:rPr>
          <w:rFonts w:ascii="Arial" w:hAnsi="Arial" w:cs="Arial"/>
          <w:i/>
          <w:iCs/>
          <w:color w:val="242121"/>
          <w:shd w:val="clear" w:color="auto" w:fill="FFFFFF"/>
        </w:rPr>
        <w:t>Metcash</w:t>
      </w:r>
      <w:r w:rsidR="002732F5" w:rsidRPr="00DF07AD">
        <w:rPr>
          <w:rFonts w:ascii="Arial" w:hAnsi="Arial" w:cs="Arial"/>
          <w:color w:val="242121"/>
          <w:shd w:val="clear" w:color="auto" w:fill="FFFFFF"/>
        </w:rPr>
        <w:t>’</w:t>
      </w:r>
      <w:r w:rsidR="002D1EA1">
        <w:rPr>
          <w:rFonts w:ascii="Arial" w:hAnsi="Arial" w:cs="Arial"/>
          <w:color w:val="242121"/>
          <w:shd w:val="clear" w:color="auto" w:fill="FFFFFF"/>
        </w:rPr>
        <w:t>.</w:t>
      </w:r>
      <w:r w:rsidR="002732F5">
        <w:rPr>
          <w:rStyle w:val="FootnoteReference"/>
          <w:rFonts w:ascii="Arial" w:hAnsi="Arial" w:cs="Arial"/>
          <w:color w:val="242121"/>
          <w:shd w:val="clear" w:color="auto" w:fill="FFFFFF"/>
        </w:rPr>
        <w:footnoteReference w:id="8"/>
      </w:r>
      <w:r w:rsidR="002732F5">
        <w:rPr>
          <w:rFonts w:ascii="Arial" w:hAnsi="Arial" w:cs="Arial"/>
          <w:color w:val="242121"/>
          <w:shd w:val="clear" w:color="auto" w:fill="FFFFFF"/>
        </w:rPr>
        <w:t xml:space="preserve"> </w:t>
      </w:r>
    </w:p>
    <w:p w14:paraId="54B878FA" w14:textId="77777777" w:rsidR="0031632D" w:rsidRDefault="0031632D" w:rsidP="002732F5">
      <w:pPr>
        <w:rPr>
          <w:rFonts w:ascii="Arial" w:hAnsi="Arial" w:cs="Arial"/>
          <w:color w:val="242121"/>
          <w:shd w:val="clear" w:color="auto" w:fill="FFFFFF"/>
        </w:rPr>
      </w:pPr>
    </w:p>
    <w:p w14:paraId="3273FAF8" w14:textId="3F46CD91" w:rsidR="0052669C" w:rsidRPr="00671FF2" w:rsidRDefault="0052669C" w:rsidP="0052669C">
      <w:pPr>
        <w:rPr>
          <w:rFonts w:ascii="Arial" w:hAnsi="Arial" w:cs="Arial"/>
          <w:iCs/>
          <w:color w:val="242121"/>
          <w:shd w:val="clear" w:color="auto" w:fill="FFFFFF"/>
        </w:rPr>
      </w:pPr>
      <w:r w:rsidRPr="00671FF2">
        <w:rPr>
          <w:rFonts w:ascii="Arial" w:hAnsi="Arial" w:cs="Arial"/>
          <w:color w:val="242121"/>
          <w:shd w:val="clear" w:color="auto" w:fill="FFFFFF"/>
        </w:rPr>
        <w:t>[17]</w:t>
      </w:r>
      <w:r w:rsidRPr="00671FF2">
        <w:rPr>
          <w:rFonts w:ascii="Arial" w:hAnsi="Arial" w:cs="Arial"/>
          <w:color w:val="242121"/>
          <w:shd w:val="clear" w:color="auto" w:fill="FFFFFF"/>
        </w:rPr>
        <w:tab/>
      </w:r>
      <w:r w:rsidR="00634144">
        <w:rPr>
          <w:rFonts w:ascii="Arial" w:hAnsi="Arial" w:cs="Arial"/>
          <w:iCs/>
          <w:color w:val="242121"/>
          <w:shd w:val="clear" w:color="auto" w:fill="FFFFFF"/>
        </w:rPr>
        <w:t>In</w:t>
      </w:r>
      <w:r w:rsidR="00634144" w:rsidRPr="00634144">
        <w:rPr>
          <w:rFonts w:ascii="Arial" w:hAnsi="Arial" w:cs="Arial"/>
          <w:i/>
          <w:iCs/>
          <w:color w:val="242121"/>
          <w:shd w:val="clear" w:color="auto" w:fill="FFFFFF"/>
        </w:rPr>
        <w:t xml:space="preserve"> </w:t>
      </w:r>
      <w:r w:rsidR="00634144" w:rsidRPr="00671FF2">
        <w:rPr>
          <w:rFonts w:ascii="Arial" w:hAnsi="Arial" w:cs="Arial"/>
          <w:i/>
          <w:iCs/>
          <w:color w:val="242121"/>
          <w:shd w:val="clear" w:color="auto" w:fill="FFFFFF"/>
        </w:rPr>
        <w:t>Metcash Trading Limited v Commissioner for the South African Revenue Service</w:t>
      </w:r>
      <w:r w:rsidR="00634144">
        <w:rPr>
          <w:rFonts w:ascii="Arial" w:hAnsi="Arial" w:cs="Arial"/>
          <w:i/>
          <w:color w:val="242121"/>
          <w:shd w:val="clear" w:color="auto" w:fill="FFFFFF"/>
        </w:rPr>
        <w:t xml:space="preserve"> </w:t>
      </w:r>
      <w:r w:rsidR="00634144">
        <w:rPr>
          <w:rFonts w:ascii="Arial" w:hAnsi="Arial" w:cs="Arial"/>
          <w:iCs/>
          <w:color w:val="242121"/>
          <w:shd w:val="clear" w:color="auto" w:fill="FFFFFF"/>
        </w:rPr>
        <w:t>(</w:t>
      </w:r>
      <w:r w:rsidR="00634144">
        <w:rPr>
          <w:rFonts w:ascii="Arial" w:hAnsi="Arial" w:cs="Arial"/>
          <w:i/>
          <w:color w:val="242121"/>
          <w:shd w:val="clear" w:color="auto" w:fill="FFFFFF"/>
        </w:rPr>
        <w:t>Metcash</w:t>
      </w:r>
      <w:r w:rsidR="00634144">
        <w:rPr>
          <w:rFonts w:ascii="Arial" w:hAnsi="Arial" w:cs="Arial"/>
          <w:iCs/>
          <w:color w:val="242121"/>
          <w:shd w:val="clear" w:color="auto" w:fill="FFFFFF"/>
        </w:rPr>
        <w:t xml:space="preserve">), </w:t>
      </w:r>
      <w:r w:rsidRPr="00671FF2">
        <w:rPr>
          <w:rFonts w:ascii="Arial" w:hAnsi="Arial" w:cs="Arial"/>
          <w:iCs/>
          <w:color w:val="242121"/>
          <w:shd w:val="clear" w:color="auto" w:fill="FFFFFF"/>
        </w:rPr>
        <w:t>Kriegler J had this to say:</w:t>
      </w:r>
    </w:p>
    <w:p w14:paraId="266FBB7C" w14:textId="77777777" w:rsidR="0052669C" w:rsidRPr="00671FF2" w:rsidRDefault="0052669C" w:rsidP="0052669C">
      <w:pPr>
        <w:rPr>
          <w:rFonts w:ascii="Arial" w:hAnsi="Arial" w:cs="Arial"/>
          <w:iCs/>
          <w:color w:val="242121"/>
          <w:sz w:val="22"/>
          <w:szCs w:val="22"/>
          <w:shd w:val="clear" w:color="auto" w:fill="FFFFFF"/>
        </w:rPr>
      </w:pPr>
      <w:r w:rsidRPr="00671FF2">
        <w:rPr>
          <w:rFonts w:ascii="Arial" w:hAnsi="Arial" w:cs="Arial"/>
          <w:iCs/>
          <w:color w:val="242121"/>
          <w:sz w:val="22"/>
          <w:szCs w:val="22"/>
          <w:shd w:val="clear" w:color="auto" w:fill="FFFFFF"/>
        </w:rPr>
        <w:t xml:space="preserve">‘Indeed, it has for many years been settled law that the Supreme Court has jurisdiction to hear and determine income tax cases turning on legal issues. Thus in </w:t>
      </w:r>
      <w:r w:rsidRPr="00671FF2">
        <w:rPr>
          <w:rFonts w:ascii="Arial" w:hAnsi="Arial" w:cs="Arial"/>
          <w:i/>
          <w:iCs/>
          <w:color w:val="242121"/>
          <w:sz w:val="22"/>
          <w:szCs w:val="22"/>
          <w:shd w:val="clear" w:color="auto" w:fill="FFFFFF"/>
        </w:rPr>
        <w:t xml:space="preserve">Friedman and Others NNO v Commissioner for Inland Revenue: In re Phillip Frame Will Trust v Commissioner for Inland Revenue </w:t>
      </w:r>
      <w:r w:rsidRPr="00671FF2">
        <w:rPr>
          <w:rFonts w:ascii="Arial" w:hAnsi="Arial" w:cs="Arial"/>
          <w:iCs/>
          <w:color w:val="242121"/>
          <w:sz w:val="22"/>
          <w:szCs w:val="22"/>
          <w:shd w:val="clear" w:color="auto" w:fill="FFFFFF"/>
        </w:rPr>
        <w:t>McCreath J was asked to resolve the legal question whether a testamentary trust was a person within the meaning of the Income Tax Act. Having referred to half a dozen reported cases, four of them in the Appellate Division, where the existence of such jurisdiction was accepted without discussion, and one Prentice Hall report where the point was specifically considered, McCreath J concluded as follows as to his competence to determine the case:</w:t>
      </w:r>
    </w:p>
    <w:p w14:paraId="27785126" w14:textId="77777777" w:rsidR="0052669C" w:rsidRDefault="0052669C" w:rsidP="0052669C">
      <w:pPr>
        <w:rPr>
          <w:rFonts w:ascii="Arial" w:hAnsi="Arial" w:cs="Arial"/>
          <w:iCs/>
          <w:color w:val="242121"/>
          <w:sz w:val="22"/>
          <w:szCs w:val="22"/>
          <w:shd w:val="clear" w:color="auto" w:fill="FFFFFF"/>
        </w:rPr>
      </w:pPr>
      <w:r w:rsidRPr="00671FF2">
        <w:rPr>
          <w:rFonts w:ascii="Arial" w:hAnsi="Arial" w:cs="Arial"/>
          <w:iCs/>
          <w:color w:val="242121"/>
          <w:sz w:val="22"/>
          <w:szCs w:val="22"/>
          <w:shd w:val="clear" w:color="auto" w:fill="FFFFFF"/>
        </w:rPr>
        <w:t>“I am in agreement with the finding of the Court in that case that where the dispute involved no question of fact and is simply one of law the Commissioner and the Special court are not only competent authorities to decide the issue – at any rate when a declaratory order such as that in the present case is being sought.”’</w:t>
      </w:r>
      <w:r w:rsidRPr="00671FF2">
        <w:rPr>
          <w:rStyle w:val="FootnoteReference"/>
          <w:rFonts w:ascii="Arial" w:hAnsi="Arial" w:cs="Arial"/>
          <w:iCs/>
          <w:color w:val="242121"/>
          <w:shd w:val="clear" w:color="auto" w:fill="FFFFFF"/>
        </w:rPr>
        <w:footnoteReference w:id="9"/>
      </w:r>
      <w:r w:rsidRPr="00671FF2">
        <w:rPr>
          <w:rFonts w:ascii="Arial" w:hAnsi="Arial" w:cs="Arial"/>
          <w:iCs/>
          <w:color w:val="242121"/>
          <w:sz w:val="22"/>
          <w:szCs w:val="22"/>
          <w:shd w:val="clear" w:color="auto" w:fill="FFFFFF"/>
        </w:rPr>
        <w:t xml:space="preserve"> (Footnotes omitted)</w:t>
      </w:r>
    </w:p>
    <w:p w14:paraId="7C53D841" w14:textId="77777777" w:rsidR="00634144" w:rsidRPr="00671FF2" w:rsidRDefault="00634144" w:rsidP="0052669C">
      <w:pPr>
        <w:rPr>
          <w:rFonts w:ascii="Arial" w:hAnsi="Arial" w:cs="Arial"/>
          <w:iCs/>
          <w:color w:val="242121"/>
          <w:sz w:val="22"/>
          <w:szCs w:val="22"/>
          <w:shd w:val="clear" w:color="auto" w:fill="FFFFFF"/>
        </w:rPr>
      </w:pPr>
    </w:p>
    <w:p w14:paraId="4DCDF51F" w14:textId="1F35327A" w:rsidR="0052669C" w:rsidRPr="00671FF2" w:rsidRDefault="0052669C" w:rsidP="0052669C">
      <w:pPr>
        <w:rPr>
          <w:rFonts w:ascii="Arial" w:hAnsi="Arial" w:cs="Arial"/>
          <w:iCs/>
          <w:color w:val="242121"/>
          <w:sz w:val="22"/>
          <w:szCs w:val="22"/>
          <w:shd w:val="clear" w:color="auto" w:fill="FFFFFF"/>
        </w:rPr>
      </w:pPr>
      <w:r w:rsidRPr="00671FF2">
        <w:rPr>
          <w:rFonts w:ascii="Arial" w:hAnsi="Arial" w:cs="Arial"/>
          <w:iCs/>
          <w:color w:val="242121"/>
          <w:shd w:val="clear" w:color="auto" w:fill="FFFFFF"/>
        </w:rPr>
        <w:t>[18]</w:t>
      </w:r>
      <w:r w:rsidRPr="00671FF2">
        <w:rPr>
          <w:rFonts w:ascii="Arial" w:hAnsi="Arial" w:cs="Arial"/>
          <w:iCs/>
          <w:color w:val="242121"/>
          <w:shd w:val="clear" w:color="auto" w:fill="FFFFFF"/>
        </w:rPr>
        <w:tab/>
      </w:r>
      <w:r w:rsidRPr="00671FF2">
        <w:rPr>
          <w:rFonts w:ascii="Arial" w:hAnsi="Arial" w:cs="Arial"/>
          <w:color w:val="242121"/>
          <w:shd w:val="clear" w:color="auto" w:fill="FFFFFF"/>
        </w:rPr>
        <w:t xml:space="preserve">As Kriegler J </w:t>
      </w:r>
      <w:r w:rsidR="00975915">
        <w:rPr>
          <w:rFonts w:ascii="Arial" w:hAnsi="Arial" w:cs="Arial"/>
          <w:color w:val="242121"/>
          <w:shd w:val="clear" w:color="auto" w:fill="FFFFFF"/>
        </w:rPr>
        <w:t>acknowledged</w:t>
      </w:r>
      <w:r w:rsidRPr="00671FF2">
        <w:rPr>
          <w:rFonts w:ascii="Arial" w:hAnsi="Arial" w:cs="Arial"/>
          <w:color w:val="242121"/>
          <w:shd w:val="clear" w:color="auto" w:fill="FFFFFF"/>
        </w:rPr>
        <w:t xml:space="preserve"> in </w:t>
      </w:r>
      <w:r w:rsidRPr="00671FF2">
        <w:rPr>
          <w:rFonts w:ascii="Arial" w:hAnsi="Arial" w:cs="Arial"/>
          <w:i/>
          <w:color w:val="242121"/>
          <w:shd w:val="clear" w:color="auto" w:fill="FFFFFF"/>
        </w:rPr>
        <w:t>Metcash</w:t>
      </w:r>
      <w:r w:rsidRPr="00671FF2">
        <w:rPr>
          <w:rFonts w:ascii="Arial" w:hAnsi="Arial" w:cs="Arial"/>
          <w:color w:val="242121"/>
          <w:shd w:val="clear" w:color="auto" w:fill="FFFFFF"/>
        </w:rPr>
        <w:t xml:space="preserve">, in many of the earlier cases there was an acceptance without discussion of the existence of the jurisdiction of the high court </w:t>
      </w:r>
      <w:r w:rsidRPr="00671FF2">
        <w:rPr>
          <w:rFonts w:ascii="Arial" w:hAnsi="Arial" w:cs="Arial"/>
          <w:color w:val="242121"/>
          <w:shd w:val="clear" w:color="auto" w:fill="FFFFFF"/>
        </w:rPr>
        <w:lastRenderedPageBreak/>
        <w:t xml:space="preserve">to hear and determine income tax cases turning on legal issues. </w:t>
      </w:r>
      <w:r w:rsidRPr="00671FF2">
        <w:rPr>
          <w:rFonts w:ascii="Arial" w:hAnsi="Arial" w:cs="Arial"/>
          <w:iCs/>
          <w:color w:val="242121"/>
          <w:shd w:val="clear" w:color="auto" w:fill="FFFFFF"/>
        </w:rPr>
        <w:t>In</w:t>
      </w:r>
      <w:r w:rsidR="00975915">
        <w:rPr>
          <w:rFonts w:ascii="Arial" w:hAnsi="Arial" w:cs="Arial"/>
          <w:iCs/>
          <w:color w:val="242121"/>
          <w:shd w:val="clear" w:color="auto" w:fill="FFFFFF"/>
        </w:rPr>
        <w:t xml:space="preserve"> what is referred to</w:t>
      </w:r>
      <w:r w:rsidR="00975915" w:rsidRPr="00671FF2">
        <w:rPr>
          <w:rFonts w:ascii="Arial" w:hAnsi="Arial" w:cs="Arial"/>
          <w:iCs/>
          <w:color w:val="242121"/>
          <w:shd w:val="clear" w:color="auto" w:fill="FFFFFF"/>
        </w:rPr>
        <w:t xml:space="preserve"> in </w:t>
      </w:r>
      <w:r w:rsidR="00975915" w:rsidRPr="00671FF2">
        <w:rPr>
          <w:rFonts w:ascii="Arial" w:hAnsi="Arial" w:cs="Arial"/>
          <w:i/>
          <w:iCs/>
          <w:color w:val="242121"/>
          <w:shd w:val="clear" w:color="auto" w:fill="FFFFFF"/>
        </w:rPr>
        <w:t xml:space="preserve">Metcash </w:t>
      </w:r>
      <w:r w:rsidR="00975915" w:rsidRPr="00671FF2">
        <w:rPr>
          <w:rFonts w:ascii="Arial" w:hAnsi="Arial" w:cs="Arial"/>
          <w:iCs/>
          <w:color w:val="242121"/>
          <w:shd w:val="clear" w:color="auto" w:fill="FFFFFF"/>
        </w:rPr>
        <w:t xml:space="preserve">as the </w:t>
      </w:r>
      <w:r w:rsidR="00A47252">
        <w:rPr>
          <w:rFonts w:ascii="Arial" w:hAnsi="Arial" w:cs="Arial"/>
          <w:iCs/>
          <w:color w:val="242121"/>
          <w:shd w:val="clear" w:color="auto" w:fill="FFFFFF"/>
        </w:rPr>
        <w:t>‘</w:t>
      </w:r>
      <w:r w:rsidR="00975915">
        <w:rPr>
          <w:rFonts w:ascii="Arial" w:hAnsi="Arial" w:cs="Arial"/>
          <w:iCs/>
          <w:color w:val="242121"/>
          <w:shd w:val="clear" w:color="auto" w:fill="FFFFFF"/>
        </w:rPr>
        <w:t xml:space="preserve">one </w:t>
      </w:r>
      <w:r w:rsidR="00975915" w:rsidRPr="00671FF2">
        <w:rPr>
          <w:rFonts w:ascii="Arial" w:hAnsi="Arial" w:cs="Arial"/>
          <w:iCs/>
          <w:color w:val="242121"/>
          <w:shd w:val="clear" w:color="auto" w:fill="FFFFFF"/>
        </w:rPr>
        <w:t>Prentice Hall report</w:t>
      </w:r>
      <w:r w:rsidR="00A47252">
        <w:rPr>
          <w:rFonts w:ascii="Arial" w:hAnsi="Arial" w:cs="Arial"/>
          <w:iCs/>
          <w:color w:val="242121"/>
          <w:shd w:val="clear" w:color="auto" w:fill="FFFFFF"/>
        </w:rPr>
        <w:t>’</w:t>
      </w:r>
      <w:r w:rsidR="00975915">
        <w:rPr>
          <w:rFonts w:ascii="Arial" w:hAnsi="Arial" w:cs="Arial"/>
          <w:iCs/>
          <w:color w:val="242121"/>
          <w:shd w:val="clear" w:color="auto" w:fill="FFFFFF"/>
        </w:rPr>
        <w:t xml:space="preserve">, </w:t>
      </w:r>
      <w:r w:rsidRPr="00671FF2">
        <w:rPr>
          <w:rFonts w:ascii="Arial" w:hAnsi="Arial" w:cs="Arial"/>
          <w:i/>
          <w:iCs/>
          <w:color w:val="242121"/>
          <w:shd w:val="clear" w:color="auto" w:fill="FFFFFF"/>
        </w:rPr>
        <w:t>Emary NO v CIR</w:t>
      </w:r>
      <w:r w:rsidRPr="00671FF2">
        <w:rPr>
          <w:rFonts w:ascii="Arial" w:hAnsi="Arial" w:cs="Arial"/>
          <w:iCs/>
          <w:color w:val="242121"/>
          <w:shd w:val="clear" w:color="auto" w:fill="FFFFFF"/>
        </w:rPr>
        <w:t xml:space="preserve">, a point </w:t>
      </w:r>
      <w:r w:rsidRPr="00671FF2">
        <w:rPr>
          <w:rFonts w:ascii="Arial" w:hAnsi="Arial" w:cs="Arial"/>
          <w:i/>
          <w:iCs/>
          <w:color w:val="242121"/>
          <w:shd w:val="clear" w:color="auto" w:fill="FFFFFF"/>
        </w:rPr>
        <w:t xml:space="preserve">in limine </w:t>
      </w:r>
      <w:r w:rsidRPr="00671FF2">
        <w:rPr>
          <w:rFonts w:ascii="Arial" w:hAnsi="Arial" w:cs="Arial"/>
          <w:iCs/>
          <w:color w:val="242121"/>
          <w:shd w:val="clear" w:color="auto" w:fill="FFFFFF"/>
        </w:rPr>
        <w:t xml:space="preserve">was taken that the applicants should have submitted the returns demanded of them and that it was for the Commissioner to determine whether or not the applicants are liable for and should be assessed to tax, leaving to them their remedy by way of objection and appeal in terms of the Act. It was accordingly submitted that the court had no jurisdiction to hear and decide the application. In dismissing the point </w:t>
      </w:r>
      <w:r w:rsidRPr="00671FF2">
        <w:rPr>
          <w:rFonts w:ascii="Arial" w:hAnsi="Arial" w:cs="Arial"/>
          <w:i/>
          <w:iCs/>
          <w:color w:val="242121"/>
          <w:shd w:val="clear" w:color="auto" w:fill="FFFFFF"/>
        </w:rPr>
        <w:t>in limine</w:t>
      </w:r>
      <w:r w:rsidRPr="00671FF2">
        <w:rPr>
          <w:rFonts w:ascii="Arial" w:hAnsi="Arial" w:cs="Arial"/>
          <w:iCs/>
          <w:color w:val="242121"/>
          <w:shd w:val="clear" w:color="auto" w:fill="FFFFFF"/>
        </w:rPr>
        <w:t>, Harcourt AJ held: ‘where the dispute involves no question of fact and the question is simply one of law the Commissioner and the Special Court are not the only competent authorities.’</w:t>
      </w:r>
      <w:r w:rsidRPr="00671FF2">
        <w:rPr>
          <w:rStyle w:val="FootnoteReference"/>
          <w:rFonts w:ascii="Arial" w:hAnsi="Arial" w:cs="Arial"/>
          <w:iCs/>
          <w:color w:val="242121"/>
          <w:shd w:val="clear" w:color="auto" w:fill="FFFFFF"/>
        </w:rPr>
        <w:footnoteReference w:id="10"/>
      </w:r>
      <w:r w:rsidRPr="00671FF2">
        <w:rPr>
          <w:rFonts w:ascii="Arial" w:hAnsi="Arial" w:cs="Arial"/>
          <w:i/>
          <w:iCs/>
          <w:color w:val="242121"/>
          <w:shd w:val="clear" w:color="auto" w:fill="FFFFFF"/>
        </w:rPr>
        <w:t xml:space="preserve"> </w:t>
      </w:r>
      <w:r w:rsidRPr="00671FF2">
        <w:rPr>
          <w:rFonts w:ascii="Arial" w:hAnsi="Arial" w:cs="Arial"/>
          <w:iCs/>
          <w:color w:val="242121"/>
          <w:shd w:val="clear" w:color="auto" w:fill="FFFFFF"/>
        </w:rPr>
        <w:t xml:space="preserve">In that, reference was made by the learned Judge to the following reported decisions: </w:t>
      </w:r>
      <w:r w:rsidRPr="00671FF2">
        <w:rPr>
          <w:rFonts w:ascii="Arial" w:hAnsi="Arial" w:cs="Arial"/>
          <w:i/>
          <w:iCs/>
          <w:color w:val="242121"/>
          <w:shd w:val="clear" w:color="auto" w:fill="FFFFFF"/>
        </w:rPr>
        <w:t>Whitfield v Phillips</w:t>
      </w:r>
      <w:r w:rsidRPr="00671FF2">
        <w:rPr>
          <w:rFonts w:ascii="Arial" w:hAnsi="Arial" w:cs="Arial"/>
          <w:iCs/>
          <w:color w:val="242121"/>
          <w:shd w:val="clear" w:color="auto" w:fill="FFFFFF"/>
        </w:rPr>
        <w:t>;</w:t>
      </w:r>
      <w:r w:rsidRPr="00671FF2">
        <w:rPr>
          <w:rStyle w:val="FootnoteReference"/>
          <w:rFonts w:ascii="Arial" w:hAnsi="Arial" w:cs="Arial"/>
          <w:iCs/>
          <w:color w:val="242121"/>
          <w:shd w:val="clear" w:color="auto" w:fill="FFFFFF"/>
        </w:rPr>
        <w:footnoteReference w:id="11"/>
      </w:r>
      <w:r w:rsidRPr="00671FF2">
        <w:rPr>
          <w:rFonts w:ascii="Arial" w:hAnsi="Arial" w:cs="Arial"/>
          <w:iCs/>
          <w:color w:val="242121"/>
          <w:shd w:val="clear" w:color="auto" w:fill="FFFFFF"/>
        </w:rPr>
        <w:t xml:space="preserve"> </w:t>
      </w:r>
      <w:r w:rsidRPr="00671FF2">
        <w:rPr>
          <w:rFonts w:ascii="Arial" w:hAnsi="Arial" w:cs="Arial"/>
          <w:i/>
          <w:iCs/>
          <w:color w:val="242121"/>
          <w:shd w:val="clear" w:color="auto" w:fill="FFFFFF"/>
        </w:rPr>
        <w:t>Gillbanks v Sigournay</w:t>
      </w:r>
      <w:r w:rsidRPr="00671FF2">
        <w:rPr>
          <w:rFonts w:ascii="Arial" w:hAnsi="Arial" w:cs="Arial"/>
          <w:iCs/>
          <w:color w:val="242121"/>
          <w:shd w:val="clear" w:color="auto" w:fill="FFFFFF"/>
        </w:rPr>
        <w:t>;</w:t>
      </w:r>
      <w:r w:rsidRPr="00671FF2">
        <w:rPr>
          <w:rStyle w:val="FootnoteReference"/>
          <w:rFonts w:ascii="Arial" w:hAnsi="Arial" w:cs="Arial"/>
          <w:iCs/>
          <w:color w:val="242121"/>
          <w:shd w:val="clear" w:color="auto" w:fill="FFFFFF"/>
        </w:rPr>
        <w:footnoteReference w:id="12"/>
      </w:r>
      <w:r w:rsidRPr="00671FF2">
        <w:rPr>
          <w:rFonts w:ascii="Arial" w:hAnsi="Arial" w:cs="Arial"/>
          <w:iCs/>
          <w:color w:val="242121"/>
          <w:shd w:val="clear" w:color="auto" w:fill="FFFFFF"/>
        </w:rPr>
        <w:t xml:space="preserve"> </w:t>
      </w:r>
      <w:r w:rsidRPr="00671FF2">
        <w:rPr>
          <w:rFonts w:ascii="Arial" w:hAnsi="Arial" w:cs="Arial"/>
          <w:i/>
          <w:iCs/>
          <w:color w:val="242121"/>
          <w:shd w:val="clear" w:color="auto" w:fill="FFFFFF"/>
        </w:rPr>
        <w:t>Bailey v</w:t>
      </w:r>
      <w:r w:rsidR="001A7B2F">
        <w:rPr>
          <w:rFonts w:ascii="Arial" w:hAnsi="Arial" w:cs="Arial"/>
          <w:i/>
          <w:iCs/>
          <w:color w:val="242121"/>
          <w:shd w:val="clear" w:color="auto" w:fill="FFFFFF"/>
        </w:rPr>
        <w:t xml:space="preserve"> Commissioner for Inland Revenue</w:t>
      </w:r>
      <w:r w:rsidRPr="00671FF2">
        <w:rPr>
          <w:rFonts w:ascii="Arial" w:hAnsi="Arial" w:cs="Arial"/>
          <w:iCs/>
          <w:color w:val="242121"/>
          <w:shd w:val="clear" w:color="auto" w:fill="FFFFFF"/>
        </w:rPr>
        <w:t>;</w:t>
      </w:r>
      <w:r w:rsidRPr="00671FF2">
        <w:rPr>
          <w:rStyle w:val="FootnoteReference"/>
          <w:rFonts w:ascii="Arial" w:hAnsi="Arial" w:cs="Arial"/>
          <w:iCs/>
          <w:color w:val="242121"/>
          <w:shd w:val="clear" w:color="auto" w:fill="FFFFFF"/>
        </w:rPr>
        <w:footnoteReference w:id="13"/>
      </w:r>
      <w:r w:rsidRPr="00671FF2">
        <w:rPr>
          <w:rFonts w:ascii="Arial" w:hAnsi="Arial" w:cs="Arial"/>
          <w:iCs/>
          <w:color w:val="242121"/>
          <w:shd w:val="clear" w:color="auto" w:fill="FFFFFF"/>
        </w:rPr>
        <w:t xml:space="preserve"> </w:t>
      </w:r>
      <w:r w:rsidRPr="00671FF2">
        <w:rPr>
          <w:rFonts w:ascii="Arial" w:hAnsi="Arial" w:cs="Arial"/>
          <w:i/>
          <w:iCs/>
          <w:color w:val="242121"/>
          <w:shd w:val="clear" w:color="auto" w:fill="FFFFFF"/>
        </w:rPr>
        <w:t>C</w:t>
      </w:r>
      <w:r w:rsidR="001A7B2F">
        <w:rPr>
          <w:rFonts w:ascii="Arial" w:hAnsi="Arial" w:cs="Arial"/>
          <w:i/>
          <w:iCs/>
          <w:color w:val="242121"/>
          <w:shd w:val="clear" w:color="auto" w:fill="FFFFFF"/>
        </w:rPr>
        <w:t xml:space="preserve">ommissioner for </w:t>
      </w:r>
      <w:r w:rsidRPr="00671FF2">
        <w:rPr>
          <w:rFonts w:ascii="Arial" w:hAnsi="Arial" w:cs="Arial"/>
          <w:i/>
          <w:iCs/>
          <w:color w:val="242121"/>
          <w:shd w:val="clear" w:color="auto" w:fill="FFFFFF"/>
        </w:rPr>
        <w:t>I</w:t>
      </w:r>
      <w:r w:rsidR="001A7B2F">
        <w:rPr>
          <w:rFonts w:ascii="Arial" w:hAnsi="Arial" w:cs="Arial"/>
          <w:i/>
          <w:iCs/>
          <w:color w:val="242121"/>
          <w:shd w:val="clear" w:color="auto" w:fill="FFFFFF"/>
        </w:rPr>
        <w:t xml:space="preserve">nland </w:t>
      </w:r>
      <w:r w:rsidRPr="00671FF2">
        <w:rPr>
          <w:rFonts w:ascii="Arial" w:hAnsi="Arial" w:cs="Arial"/>
          <w:i/>
          <w:iCs/>
          <w:color w:val="242121"/>
          <w:shd w:val="clear" w:color="auto" w:fill="FFFFFF"/>
        </w:rPr>
        <w:t>R</w:t>
      </w:r>
      <w:r w:rsidR="001A7B2F">
        <w:rPr>
          <w:rFonts w:ascii="Arial" w:hAnsi="Arial" w:cs="Arial"/>
          <w:i/>
          <w:iCs/>
          <w:color w:val="242121"/>
          <w:shd w:val="clear" w:color="auto" w:fill="FFFFFF"/>
        </w:rPr>
        <w:t>evenue</w:t>
      </w:r>
      <w:r w:rsidRPr="00671FF2">
        <w:rPr>
          <w:rFonts w:ascii="Arial" w:hAnsi="Arial" w:cs="Arial"/>
          <w:i/>
          <w:iCs/>
          <w:color w:val="242121"/>
          <w:shd w:val="clear" w:color="auto" w:fill="FFFFFF"/>
        </w:rPr>
        <w:t xml:space="preserve"> v Delfos</w:t>
      </w:r>
      <w:r w:rsidRPr="00671FF2">
        <w:rPr>
          <w:rFonts w:ascii="Arial" w:hAnsi="Arial" w:cs="Arial"/>
          <w:iCs/>
          <w:color w:val="242121"/>
          <w:shd w:val="clear" w:color="auto" w:fill="FFFFFF"/>
        </w:rPr>
        <w:t>;</w:t>
      </w:r>
      <w:r w:rsidRPr="00671FF2">
        <w:rPr>
          <w:rStyle w:val="FootnoteReference"/>
          <w:rFonts w:ascii="Arial" w:hAnsi="Arial" w:cs="Arial"/>
          <w:iCs/>
          <w:color w:val="242121"/>
          <w:shd w:val="clear" w:color="auto" w:fill="FFFFFF"/>
        </w:rPr>
        <w:footnoteReference w:id="14"/>
      </w:r>
      <w:r w:rsidRPr="00671FF2">
        <w:rPr>
          <w:rFonts w:ascii="Arial" w:hAnsi="Arial" w:cs="Arial"/>
          <w:iCs/>
          <w:color w:val="242121"/>
          <w:shd w:val="clear" w:color="auto" w:fill="FFFFFF"/>
        </w:rPr>
        <w:t xml:space="preserve"> </w:t>
      </w:r>
      <w:r w:rsidRPr="00671FF2">
        <w:rPr>
          <w:rFonts w:ascii="Arial" w:hAnsi="Arial" w:cs="Arial"/>
          <w:i/>
          <w:iCs/>
          <w:color w:val="242121"/>
          <w:shd w:val="clear" w:color="auto" w:fill="FFFFFF"/>
        </w:rPr>
        <w:t>Parekh v Receiver of Revenue</w:t>
      </w:r>
      <w:r w:rsidRPr="00671FF2">
        <w:rPr>
          <w:rFonts w:ascii="Arial" w:hAnsi="Arial" w:cs="Arial"/>
          <w:iCs/>
          <w:color w:val="242121"/>
          <w:shd w:val="clear" w:color="auto" w:fill="FFFFFF"/>
        </w:rPr>
        <w:t>;</w:t>
      </w:r>
      <w:r w:rsidRPr="00671FF2">
        <w:rPr>
          <w:rStyle w:val="FootnoteReference"/>
          <w:rFonts w:ascii="Arial" w:hAnsi="Arial" w:cs="Arial"/>
          <w:iCs/>
          <w:color w:val="242121"/>
          <w:shd w:val="clear" w:color="auto" w:fill="FFFFFF"/>
        </w:rPr>
        <w:footnoteReference w:id="15"/>
      </w:r>
      <w:r w:rsidRPr="00671FF2">
        <w:rPr>
          <w:rFonts w:ascii="Arial" w:hAnsi="Arial" w:cs="Arial"/>
          <w:iCs/>
          <w:color w:val="242121"/>
          <w:shd w:val="clear" w:color="auto" w:fill="FFFFFF"/>
        </w:rPr>
        <w:t xml:space="preserve"> </w:t>
      </w:r>
      <w:r w:rsidRPr="00671FF2">
        <w:rPr>
          <w:rFonts w:ascii="Arial" w:hAnsi="Arial" w:cs="Arial"/>
          <w:i/>
          <w:iCs/>
          <w:color w:val="242121"/>
          <w:shd w:val="clear" w:color="auto" w:fill="FFFFFF"/>
        </w:rPr>
        <w:t>R v Kruger</w:t>
      </w:r>
      <w:r w:rsidRPr="00671FF2">
        <w:rPr>
          <w:rFonts w:ascii="Arial" w:hAnsi="Arial" w:cs="Arial"/>
          <w:iCs/>
          <w:color w:val="242121"/>
          <w:shd w:val="clear" w:color="auto" w:fill="FFFFFF"/>
        </w:rPr>
        <w:t>;</w:t>
      </w:r>
      <w:r w:rsidRPr="00671FF2">
        <w:rPr>
          <w:rStyle w:val="FootnoteReference"/>
          <w:rFonts w:ascii="Arial" w:hAnsi="Arial" w:cs="Arial"/>
          <w:iCs/>
          <w:color w:val="242121"/>
          <w:shd w:val="clear" w:color="auto" w:fill="FFFFFF"/>
        </w:rPr>
        <w:footnoteReference w:id="16"/>
      </w:r>
      <w:r w:rsidRPr="00671FF2">
        <w:rPr>
          <w:rFonts w:ascii="Arial" w:hAnsi="Arial" w:cs="Arial"/>
          <w:iCs/>
          <w:color w:val="242121"/>
          <w:shd w:val="clear" w:color="auto" w:fill="FFFFFF"/>
        </w:rPr>
        <w:t xml:space="preserve"> </w:t>
      </w:r>
      <w:r w:rsidRPr="00671FF2">
        <w:rPr>
          <w:rFonts w:ascii="Arial" w:hAnsi="Arial" w:cs="Arial"/>
          <w:i/>
          <w:iCs/>
          <w:color w:val="242121"/>
          <w:shd w:val="clear" w:color="auto" w:fill="FFFFFF"/>
        </w:rPr>
        <w:t>R v Sachs</w:t>
      </w:r>
      <w:r w:rsidRPr="00671FF2">
        <w:rPr>
          <w:rFonts w:ascii="Arial" w:hAnsi="Arial" w:cs="Arial"/>
          <w:iCs/>
          <w:color w:val="242121"/>
          <w:shd w:val="clear" w:color="auto" w:fill="FFFFFF"/>
        </w:rPr>
        <w:t>;</w:t>
      </w:r>
      <w:r w:rsidRPr="00671FF2">
        <w:rPr>
          <w:rStyle w:val="FootnoteReference"/>
          <w:rFonts w:ascii="Arial" w:hAnsi="Arial" w:cs="Arial"/>
          <w:iCs/>
          <w:color w:val="242121"/>
          <w:shd w:val="clear" w:color="auto" w:fill="FFFFFF"/>
        </w:rPr>
        <w:footnoteReference w:id="17"/>
      </w:r>
      <w:r w:rsidRPr="00671FF2">
        <w:rPr>
          <w:rFonts w:ascii="Arial" w:hAnsi="Arial" w:cs="Arial"/>
          <w:iCs/>
          <w:color w:val="242121"/>
          <w:shd w:val="clear" w:color="auto" w:fill="FFFFFF"/>
        </w:rPr>
        <w:t xml:space="preserve"> </w:t>
      </w:r>
      <w:r w:rsidRPr="00671FF2">
        <w:rPr>
          <w:rFonts w:ascii="Arial" w:hAnsi="Arial" w:cs="Arial"/>
          <w:i/>
          <w:iCs/>
          <w:color w:val="242121"/>
          <w:shd w:val="clear" w:color="auto" w:fill="FFFFFF"/>
        </w:rPr>
        <w:t>AG, Natal v Johnstone &amp; Co. Ltd</w:t>
      </w:r>
      <w:r w:rsidRPr="00671FF2">
        <w:rPr>
          <w:rFonts w:ascii="Arial" w:hAnsi="Arial" w:cs="Arial"/>
          <w:iCs/>
          <w:color w:val="242121"/>
          <w:shd w:val="clear" w:color="auto" w:fill="FFFFFF"/>
        </w:rPr>
        <w:t>;</w:t>
      </w:r>
      <w:r w:rsidRPr="00671FF2">
        <w:rPr>
          <w:rStyle w:val="FootnoteReference"/>
          <w:rFonts w:ascii="Arial" w:hAnsi="Arial" w:cs="Arial"/>
          <w:iCs/>
          <w:color w:val="242121"/>
          <w:shd w:val="clear" w:color="auto" w:fill="FFFFFF"/>
        </w:rPr>
        <w:footnoteReference w:id="18"/>
      </w:r>
      <w:r w:rsidRPr="00671FF2">
        <w:rPr>
          <w:rFonts w:ascii="Arial" w:hAnsi="Arial" w:cs="Arial"/>
          <w:iCs/>
          <w:color w:val="242121"/>
          <w:shd w:val="clear" w:color="auto" w:fill="FFFFFF"/>
        </w:rPr>
        <w:t xml:space="preserve"> and, </w:t>
      </w:r>
      <w:r w:rsidRPr="00671FF2">
        <w:rPr>
          <w:rFonts w:ascii="Arial" w:hAnsi="Arial" w:cs="Arial"/>
          <w:i/>
          <w:iCs/>
          <w:color w:val="242121"/>
          <w:shd w:val="clear" w:color="auto" w:fill="FFFFFF"/>
        </w:rPr>
        <w:t>British Chemicals &amp; Biologicals v SA Pharmacy Board.</w:t>
      </w:r>
      <w:r w:rsidRPr="00671FF2">
        <w:rPr>
          <w:rStyle w:val="FootnoteReference"/>
          <w:rFonts w:ascii="Arial" w:hAnsi="Arial" w:cs="Arial"/>
          <w:iCs/>
          <w:color w:val="242121"/>
          <w:shd w:val="clear" w:color="auto" w:fill="FFFFFF"/>
        </w:rPr>
        <w:footnoteReference w:id="19"/>
      </w:r>
    </w:p>
    <w:p w14:paraId="714189B0" w14:textId="77777777" w:rsidR="0052669C" w:rsidRPr="00671FF2" w:rsidRDefault="0052669C" w:rsidP="0052669C">
      <w:pPr>
        <w:rPr>
          <w:rFonts w:ascii="Arial" w:hAnsi="Arial" w:cs="Arial"/>
          <w:i/>
          <w:iCs/>
          <w:color w:val="242121"/>
          <w:shd w:val="clear" w:color="auto" w:fill="FFFFFF"/>
        </w:rPr>
      </w:pPr>
    </w:p>
    <w:p w14:paraId="0BDB2062" w14:textId="482AC6BC" w:rsidR="00671FF2" w:rsidRPr="00671FF2" w:rsidRDefault="0052669C" w:rsidP="00671FF2">
      <w:pPr>
        <w:rPr>
          <w:rFonts w:ascii="Arial" w:hAnsi="Arial" w:cs="Arial"/>
          <w:iCs/>
          <w:color w:val="242121"/>
          <w:shd w:val="clear" w:color="auto" w:fill="FFFFFF"/>
        </w:rPr>
      </w:pPr>
      <w:r w:rsidRPr="00671FF2">
        <w:rPr>
          <w:rFonts w:ascii="Arial" w:hAnsi="Arial" w:cs="Arial"/>
          <w:iCs/>
          <w:color w:val="242121"/>
          <w:shd w:val="clear" w:color="auto" w:fill="FFFFFF"/>
        </w:rPr>
        <w:t>[19]</w:t>
      </w:r>
      <w:r w:rsidRPr="00671FF2">
        <w:rPr>
          <w:rFonts w:ascii="Arial" w:hAnsi="Arial" w:cs="Arial"/>
          <w:iCs/>
          <w:color w:val="242121"/>
          <w:shd w:val="clear" w:color="auto" w:fill="FFFFFF"/>
        </w:rPr>
        <w:tab/>
      </w:r>
      <w:r w:rsidR="00C04DFD">
        <w:rPr>
          <w:rFonts w:ascii="Arial" w:hAnsi="Arial" w:cs="Arial"/>
          <w:iCs/>
          <w:color w:val="242121"/>
          <w:shd w:val="clear" w:color="auto" w:fill="FFFFFF"/>
        </w:rPr>
        <w:t xml:space="preserve">Of the nine cited references in </w:t>
      </w:r>
      <w:r w:rsidR="00C04DFD" w:rsidRPr="00C04DFD">
        <w:rPr>
          <w:rFonts w:ascii="Arial" w:hAnsi="Arial" w:cs="Arial"/>
          <w:i/>
          <w:iCs/>
          <w:color w:val="242121"/>
          <w:shd w:val="clear" w:color="auto" w:fill="FFFFFF"/>
        </w:rPr>
        <w:t>Emary NO v CIR</w:t>
      </w:r>
      <w:r w:rsidR="00C04DFD">
        <w:rPr>
          <w:rFonts w:ascii="Arial" w:hAnsi="Arial" w:cs="Arial"/>
          <w:iCs/>
          <w:color w:val="242121"/>
          <w:shd w:val="clear" w:color="auto" w:fill="FFFFFF"/>
        </w:rPr>
        <w:t>,</w:t>
      </w:r>
      <w:r w:rsidRPr="00671FF2">
        <w:rPr>
          <w:rFonts w:ascii="Arial" w:hAnsi="Arial" w:cs="Arial"/>
          <w:iCs/>
          <w:color w:val="242121"/>
          <w:shd w:val="clear" w:color="auto" w:fill="FFFFFF"/>
        </w:rPr>
        <w:t xml:space="preserve"> the point appears not to have been touched on in </w:t>
      </w:r>
      <w:r w:rsidRPr="00671FF2">
        <w:rPr>
          <w:rFonts w:ascii="Arial" w:hAnsi="Arial" w:cs="Arial"/>
          <w:i/>
          <w:iCs/>
          <w:color w:val="242121"/>
          <w:shd w:val="clear" w:color="auto" w:fill="FFFFFF"/>
        </w:rPr>
        <w:t xml:space="preserve">Bailey v </w:t>
      </w:r>
      <w:r w:rsidR="001A7B2F" w:rsidRPr="00671FF2">
        <w:rPr>
          <w:rFonts w:ascii="Arial" w:hAnsi="Arial" w:cs="Arial"/>
          <w:i/>
          <w:iCs/>
          <w:color w:val="242121"/>
          <w:shd w:val="clear" w:color="auto" w:fill="FFFFFF"/>
        </w:rPr>
        <w:t>C</w:t>
      </w:r>
      <w:r w:rsidR="001A7B2F">
        <w:rPr>
          <w:rFonts w:ascii="Arial" w:hAnsi="Arial" w:cs="Arial"/>
          <w:i/>
          <w:iCs/>
          <w:color w:val="242121"/>
          <w:shd w:val="clear" w:color="auto" w:fill="FFFFFF"/>
        </w:rPr>
        <w:t xml:space="preserve">ommissioner for </w:t>
      </w:r>
      <w:r w:rsidR="001A7B2F" w:rsidRPr="00671FF2">
        <w:rPr>
          <w:rFonts w:ascii="Arial" w:hAnsi="Arial" w:cs="Arial"/>
          <w:i/>
          <w:iCs/>
          <w:color w:val="242121"/>
          <w:shd w:val="clear" w:color="auto" w:fill="FFFFFF"/>
        </w:rPr>
        <w:t>I</w:t>
      </w:r>
      <w:r w:rsidR="001A7B2F">
        <w:rPr>
          <w:rFonts w:ascii="Arial" w:hAnsi="Arial" w:cs="Arial"/>
          <w:i/>
          <w:iCs/>
          <w:color w:val="242121"/>
          <w:shd w:val="clear" w:color="auto" w:fill="FFFFFF"/>
        </w:rPr>
        <w:t xml:space="preserve">nland </w:t>
      </w:r>
      <w:r w:rsidR="001A7B2F" w:rsidRPr="00671FF2">
        <w:rPr>
          <w:rFonts w:ascii="Arial" w:hAnsi="Arial" w:cs="Arial"/>
          <w:i/>
          <w:iCs/>
          <w:color w:val="242121"/>
          <w:shd w:val="clear" w:color="auto" w:fill="FFFFFF"/>
        </w:rPr>
        <w:t>R</w:t>
      </w:r>
      <w:r w:rsidR="001A7B2F">
        <w:rPr>
          <w:rFonts w:ascii="Arial" w:hAnsi="Arial" w:cs="Arial"/>
          <w:i/>
          <w:iCs/>
          <w:color w:val="242121"/>
          <w:shd w:val="clear" w:color="auto" w:fill="FFFFFF"/>
        </w:rPr>
        <w:t>evenue</w:t>
      </w:r>
      <w:r w:rsidRPr="00671FF2">
        <w:rPr>
          <w:rFonts w:ascii="Arial" w:hAnsi="Arial" w:cs="Arial"/>
          <w:iCs/>
          <w:color w:val="242121"/>
          <w:shd w:val="clear" w:color="auto" w:fill="FFFFFF"/>
        </w:rPr>
        <w:t xml:space="preserve">, </w:t>
      </w:r>
      <w:r w:rsidR="001A7B2F" w:rsidRPr="00671FF2">
        <w:rPr>
          <w:rFonts w:ascii="Arial" w:hAnsi="Arial" w:cs="Arial"/>
          <w:i/>
          <w:iCs/>
          <w:color w:val="242121"/>
          <w:shd w:val="clear" w:color="auto" w:fill="FFFFFF"/>
        </w:rPr>
        <w:t>C</w:t>
      </w:r>
      <w:r w:rsidR="001A7B2F">
        <w:rPr>
          <w:rFonts w:ascii="Arial" w:hAnsi="Arial" w:cs="Arial"/>
          <w:i/>
          <w:iCs/>
          <w:color w:val="242121"/>
          <w:shd w:val="clear" w:color="auto" w:fill="FFFFFF"/>
        </w:rPr>
        <w:t xml:space="preserve">ommissioner for </w:t>
      </w:r>
      <w:r w:rsidR="001A7B2F" w:rsidRPr="00671FF2">
        <w:rPr>
          <w:rFonts w:ascii="Arial" w:hAnsi="Arial" w:cs="Arial"/>
          <w:i/>
          <w:iCs/>
          <w:color w:val="242121"/>
          <w:shd w:val="clear" w:color="auto" w:fill="FFFFFF"/>
        </w:rPr>
        <w:t>I</w:t>
      </w:r>
      <w:r w:rsidR="001A7B2F">
        <w:rPr>
          <w:rFonts w:ascii="Arial" w:hAnsi="Arial" w:cs="Arial"/>
          <w:i/>
          <w:iCs/>
          <w:color w:val="242121"/>
          <w:shd w:val="clear" w:color="auto" w:fill="FFFFFF"/>
        </w:rPr>
        <w:t xml:space="preserve">nland </w:t>
      </w:r>
      <w:r w:rsidR="001A7B2F" w:rsidRPr="00671FF2">
        <w:rPr>
          <w:rFonts w:ascii="Arial" w:hAnsi="Arial" w:cs="Arial"/>
          <w:i/>
          <w:iCs/>
          <w:color w:val="242121"/>
          <w:shd w:val="clear" w:color="auto" w:fill="FFFFFF"/>
        </w:rPr>
        <w:t>R</w:t>
      </w:r>
      <w:r w:rsidR="001A7B2F">
        <w:rPr>
          <w:rFonts w:ascii="Arial" w:hAnsi="Arial" w:cs="Arial"/>
          <w:i/>
          <w:iCs/>
          <w:color w:val="242121"/>
          <w:shd w:val="clear" w:color="auto" w:fill="FFFFFF"/>
        </w:rPr>
        <w:t>evenue</w:t>
      </w:r>
      <w:r w:rsidRPr="00671FF2">
        <w:rPr>
          <w:rFonts w:ascii="Arial" w:hAnsi="Arial" w:cs="Arial"/>
          <w:i/>
          <w:iCs/>
          <w:color w:val="242121"/>
          <w:shd w:val="clear" w:color="auto" w:fill="FFFFFF"/>
        </w:rPr>
        <w:t xml:space="preserve"> v Delfos</w:t>
      </w:r>
      <w:r w:rsidRPr="00671FF2">
        <w:rPr>
          <w:rFonts w:ascii="Arial" w:hAnsi="Arial" w:cs="Arial"/>
          <w:iCs/>
          <w:color w:val="242121"/>
          <w:shd w:val="clear" w:color="auto" w:fill="FFFFFF"/>
        </w:rPr>
        <w:t xml:space="preserve">, </w:t>
      </w:r>
      <w:r w:rsidRPr="00671FF2">
        <w:rPr>
          <w:rFonts w:ascii="Arial" w:hAnsi="Arial" w:cs="Arial"/>
          <w:i/>
          <w:iCs/>
          <w:color w:val="242121"/>
          <w:shd w:val="clear" w:color="auto" w:fill="FFFFFF"/>
        </w:rPr>
        <w:t>Parekh v Receiver of Revenue &amp; Another</w:t>
      </w:r>
      <w:r w:rsidRPr="00671FF2">
        <w:rPr>
          <w:rFonts w:ascii="Arial" w:hAnsi="Arial" w:cs="Arial"/>
          <w:iCs/>
          <w:color w:val="242121"/>
          <w:shd w:val="clear" w:color="auto" w:fill="FFFFFF"/>
        </w:rPr>
        <w:t xml:space="preserve"> or </w:t>
      </w:r>
      <w:r w:rsidRPr="00671FF2">
        <w:rPr>
          <w:rFonts w:ascii="Arial" w:hAnsi="Arial" w:cs="Arial"/>
          <w:i/>
          <w:iCs/>
          <w:color w:val="242121"/>
          <w:shd w:val="clear" w:color="auto" w:fill="FFFFFF"/>
        </w:rPr>
        <w:t xml:space="preserve">R v Kruger, </w:t>
      </w:r>
      <w:r w:rsidRPr="00671FF2">
        <w:rPr>
          <w:rFonts w:ascii="Arial" w:hAnsi="Arial" w:cs="Arial"/>
          <w:iCs/>
          <w:color w:val="242121"/>
          <w:shd w:val="clear" w:color="auto" w:fill="FFFFFF"/>
        </w:rPr>
        <w:t xml:space="preserve">whilst </w:t>
      </w:r>
      <w:r w:rsidRPr="00671FF2">
        <w:rPr>
          <w:rFonts w:ascii="Arial" w:hAnsi="Arial" w:cs="Arial"/>
          <w:i/>
          <w:iCs/>
          <w:color w:val="242121"/>
          <w:shd w:val="clear" w:color="auto" w:fill="FFFFFF"/>
        </w:rPr>
        <w:t>Attorney-General of Natal v Johnstone &amp; Co Ltd</w:t>
      </w:r>
      <w:r w:rsidRPr="00671FF2">
        <w:rPr>
          <w:rFonts w:ascii="Arial" w:hAnsi="Arial" w:cs="Arial"/>
          <w:iCs/>
          <w:color w:val="242121"/>
          <w:shd w:val="clear" w:color="auto" w:fill="FFFFFF"/>
        </w:rPr>
        <w:t xml:space="preserve">, </w:t>
      </w:r>
      <w:r w:rsidRPr="00671FF2">
        <w:rPr>
          <w:rFonts w:ascii="Arial" w:hAnsi="Arial" w:cs="Arial"/>
          <w:i/>
          <w:iCs/>
          <w:color w:val="242121"/>
          <w:shd w:val="clear" w:color="auto" w:fill="FFFFFF"/>
        </w:rPr>
        <w:t xml:space="preserve">British Chemicals &amp; Biologicals v SA Pharmacy Board </w:t>
      </w:r>
      <w:r w:rsidRPr="00671FF2">
        <w:rPr>
          <w:rFonts w:ascii="Arial" w:hAnsi="Arial" w:cs="Arial"/>
          <w:iCs/>
          <w:color w:val="242121"/>
          <w:shd w:val="clear" w:color="auto" w:fill="FFFFFF"/>
        </w:rPr>
        <w:t xml:space="preserve">and </w:t>
      </w:r>
      <w:r w:rsidRPr="00671FF2">
        <w:rPr>
          <w:rFonts w:ascii="Arial" w:hAnsi="Arial" w:cs="Arial"/>
          <w:i/>
          <w:iCs/>
          <w:color w:val="242121"/>
          <w:shd w:val="clear" w:color="auto" w:fill="FFFFFF"/>
        </w:rPr>
        <w:t>R v Sachs</w:t>
      </w:r>
      <w:r w:rsidRPr="00671FF2">
        <w:rPr>
          <w:rFonts w:ascii="Arial" w:hAnsi="Arial" w:cs="Arial"/>
          <w:iCs/>
          <w:color w:val="242121"/>
          <w:shd w:val="clear" w:color="auto" w:fill="FFFFFF"/>
        </w:rPr>
        <w:t>, were concerned with the competency of the Court to grant a declaratory order that would have the effect of ensuring an applicant against successful prosecution was recognised. Thus, none of those d</w:t>
      </w:r>
      <w:r w:rsidR="00671FF2">
        <w:rPr>
          <w:rFonts w:ascii="Arial" w:hAnsi="Arial" w:cs="Arial"/>
          <w:iCs/>
          <w:color w:val="242121"/>
          <w:shd w:val="clear" w:color="auto" w:fill="FFFFFF"/>
        </w:rPr>
        <w:t>ecisions are directly on point.</w:t>
      </w:r>
      <w:r w:rsidR="00C04DFD">
        <w:rPr>
          <w:rFonts w:ascii="Arial" w:hAnsi="Arial" w:cs="Arial"/>
          <w:iCs/>
          <w:color w:val="242121"/>
          <w:shd w:val="clear" w:color="auto" w:fill="FFFFFF"/>
        </w:rPr>
        <w:t xml:space="preserve"> That leaves </w:t>
      </w:r>
      <w:r w:rsidR="00671FF2" w:rsidRPr="00671FF2">
        <w:rPr>
          <w:rFonts w:ascii="Arial" w:hAnsi="Arial" w:cs="Arial"/>
          <w:i/>
          <w:iCs/>
          <w:color w:val="242121"/>
          <w:shd w:val="clear" w:color="auto" w:fill="FFFFFF"/>
        </w:rPr>
        <w:t xml:space="preserve">Whitefield v Phillips </w:t>
      </w:r>
      <w:r w:rsidR="00671FF2" w:rsidRPr="00671FF2">
        <w:rPr>
          <w:rFonts w:ascii="Arial" w:hAnsi="Arial" w:cs="Arial"/>
          <w:iCs/>
          <w:color w:val="242121"/>
          <w:shd w:val="clear" w:color="auto" w:fill="FFFFFF"/>
        </w:rPr>
        <w:t xml:space="preserve">and </w:t>
      </w:r>
      <w:r w:rsidR="00671FF2" w:rsidRPr="00671FF2">
        <w:rPr>
          <w:rFonts w:ascii="Arial" w:hAnsi="Arial" w:cs="Arial"/>
          <w:i/>
          <w:iCs/>
          <w:color w:val="242121"/>
          <w:shd w:val="clear" w:color="auto" w:fill="FFFFFF"/>
        </w:rPr>
        <w:t>Gillbanks v Sigournay</w:t>
      </w:r>
      <w:r w:rsidR="00671FF2" w:rsidRPr="00671FF2">
        <w:rPr>
          <w:rFonts w:ascii="Arial" w:hAnsi="Arial" w:cs="Arial"/>
          <w:iCs/>
          <w:color w:val="242121"/>
          <w:shd w:val="clear" w:color="auto" w:fill="FFFFFF"/>
        </w:rPr>
        <w:t>: In the former, Steyn JA said:</w:t>
      </w:r>
    </w:p>
    <w:p w14:paraId="1E93BCCF" w14:textId="373D45B3" w:rsidR="0052669C" w:rsidRPr="00671FF2" w:rsidRDefault="0052669C" w:rsidP="00671FF2">
      <w:pPr>
        <w:rPr>
          <w:rFonts w:ascii="Arial" w:hAnsi="Arial" w:cs="Arial"/>
          <w:iCs/>
          <w:color w:val="242121"/>
          <w:sz w:val="22"/>
          <w:szCs w:val="22"/>
          <w:shd w:val="clear" w:color="auto" w:fill="FFFFFF"/>
        </w:rPr>
      </w:pPr>
      <w:r w:rsidRPr="00671FF2">
        <w:rPr>
          <w:rFonts w:ascii="Arial" w:hAnsi="Arial" w:cs="Arial"/>
          <w:iCs/>
          <w:color w:val="242121"/>
          <w:sz w:val="22"/>
          <w:szCs w:val="22"/>
          <w:shd w:val="clear" w:color="auto" w:fill="FFFFFF"/>
        </w:rPr>
        <w:t xml:space="preserve">‘In dealing with the question whether the award is for income tax purposes to be regarded as a capital accrual or as income, the very first difficulty which would be encountered would be that by Act of Parliament the determination of the merits of that question, as distinct from a </w:t>
      </w:r>
      <w:r w:rsidRPr="00671FF2">
        <w:rPr>
          <w:rFonts w:ascii="Arial" w:hAnsi="Arial" w:cs="Arial"/>
          <w:iCs/>
          <w:color w:val="242121"/>
          <w:sz w:val="22"/>
          <w:szCs w:val="22"/>
          <w:shd w:val="clear" w:color="auto" w:fill="FFFFFF"/>
        </w:rPr>
        <w:lastRenderedPageBreak/>
        <w:t>question of law, has been entrusted entirely to the Commissioner for Inland Revenue and, on appeal from his decision, to the Special Court for hearing income tax appeals. Another court cannot usurp that function.’</w:t>
      </w:r>
      <w:r w:rsidRPr="00671FF2">
        <w:rPr>
          <w:rStyle w:val="FootnoteReference"/>
          <w:rFonts w:ascii="Arial" w:hAnsi="Arial" w:cs="Arial"/>
          <w:iCs/>
          <w:color w:val="242121"/>
          <w:sz w:val="22"/>
          <w:szCs w:val="22"/>
          <w:shd w:val="clear" w:color="auto" w:fill="FFFFFF"/>
        </w:rPr>
        <w:footnoteReference w:id="20"/>
      </w:r>
    </w:p>
    <w:p w14:paraId="24BF2366" w14:textId="77777777" w:rsidR="0052669C" w:rsidRPr="00671FF2" w:rsidRDefault="0052669C" w:rsidP="0052669C">
      <w:pPr>
        <w:rPr>
          <w:rFonts w:ascii="Arial" w:hAnsi="Arial" w:cs="Arial"/>
          <w:iCs/>
          <w:color w:val="242121"/>
          <w:shd w:val="clear" w:color="auto" w:fill="FFFFFF"/>
        </w:rPr>
      </w:pPr>
      <w:r w:rsidRPr="00671FF2">
        <w:rPr>
          <w:rFonts w:ascii="Arial" w:hAnsi="Arial" w:cs="Arial"/>
          <w:iCs/>
          <w:color w:val="242121"/>
          <w:shd w:val="clear" w:color="auto" w:fill="FFFFFF"/>
        </w:rPr>
        <w:t>In the latter, Henochsberg J expressed his disagreement with Steyn JA in these terms:</w:t>
      </w:r>
    </w:p>
    <w:p w14:paraId="53BDBD7F" w14:textId="77777777" w:rsidR="0052669C" w:rsidRPr="00671FF2" w:rsidRDefault="0052669C" w:rsidP="0052669C">
      <w:pPr>
        <w:rPr>
          <w:rFonts w:ascii="Arial" w:hAnsi="Arial" w:cs="Arial"/>
          <w:iCs/>
          <w:color w:val="242121"/>
          <w:sz w:val="22"/>
          <w:szCs w:val="22"/>
          <w:shd w:val="clear" w:color="auto" w:fill="FFFFFF"/>
        </w:rPr>
      </w:pPr>
      <w:r w:rsidRPr="00671FF2">
        <w:rPr>
          <w:rFonts w:ascii="Arial" w:hAnsi="Arial" w:cs="Arial"/>
          <w:iCs/>
          <w:color w:val="242121"/>
          <w:sz w:val="22"/>
          <w:szCs w:val="22"/>
          <w:shd w:val="clear" w:color="auto" w:fill="FFFFFF"/>
        </w:rPr>
        <w:t>‘I find myself, with very great respect, in a difficulty in trying to appreciate the reasoning of the learned Judge of Appeal. It seems to me that the question as to whether, in a case such as this, an award of damages for personal injuries in respect of loss of earning capacity is to be regarded as a capital accrual or as income, is purely one of law and therefore a matter which is competent for any Court to determine.’</w:t>
      </w:r>
      <w:r w:rsidRPr="00671FF2">
        <w:rPr>
          <w:rStyle w:val="FootnoteReference"/>
          <w:rFonts w:ascii="Arial" w:hAnsi="Arial" w:cs="Arial"/>
          <w:iCs/>
          <w:color w:val="242121"/>
          <w:sz w:val="22"/>
          <w:szCs w:val="22"/>
          <w:shd w:val="clear" w:color="auto" w:fill="FFFFFF"/>
        </w:rPr>
        <w:footnoteReference w:id="21"/>
      </w:r>
      <w:r w:rsidRPr="00671FF2">
        <w:rPr>
          <w:rFonts w:ascii="Arial" w:hAnsi="Arial" w:cs="Arial"/>
          <w:iCs/>
          <w:color w:val="242121"/>
          <w:sz w:val="22"/>
          <w:szCs w:val="22"/>
          <w:shd w:val="clear" w:color="auto" w:fill="FFFFFF"/>
        </w:rPr>
        <w:t xml:space="preserve"> </w:t>
      </w:r>
    </w:p>
    <w:p w14:paraId="311B88E1" w14:textId="77777777" w:rsidR="0052669C" w:rsidRPr="005C026C" w:rsidRDefault="0052669C" w:rsidP="0052669C">
      <w:pPr>
        <w:rPr>
          <w:rFonts w:ascii="Arial" w:hAnsi="Arial" w:cs="Arial"/>
          <w:color w:val="242121"/>
          <w:highlight w:val="red"/>
          <w:shd w:val="clear" w:color="auto" w:fill="FFFFFF"/>
        </w:rPr>
      </w:pPr>
    </w:p>
    <w:p w14:paraId="085EEE1E" w14:textId="16CAB577" w:rsidR="0052669C" w:rsidRDefault="00C04DFD" w:rsidP="0052669C">
      <w:pPr>
        <w:rPr>
          <w:rFonts w:ascii="Arial" w:hAnsi="Arial" w:cs="Arial"/>
          <w:i/>
          <w:iCs/>
          <w:color w:val="242121"/>
          <w:shd w:val="clear" w:color="auto" w:fill="FFFFFF"/>
        </w:rPr>
      </w:pPr>
      <w:r>
        <w:rPr>
          <w:rFonts w:ascii="Arial" w:hAnsi="Arial" w:cs="Arial"/>
          <w:color w:val="242121"/>
          <w:shd w:val="clear" w:color="auto" w:fill="FFFFFF"/>
        </w:rPr>
        <w:t>[20</w:t>
      </w:r>
      <w:r w:rsidR="0052669C" w:rsidRPr="00671FF2">
        <w:rPr>
          <w:rFonts w:ascii="Arial" w:hAnsi="Arial" w:cs="Arial"/>
          <w:color w:val="242121"/>
          <w:shd w:val="clear" w:color="auto" w:fill="FFFFFF"/>
        </w:rPr>
        <w:t>]</w:t>
      </w:r>
      <w:r w:rsidR="0052669C" w:rsidRPr="00671FF2">
        <w:rPr>
          <w:rFonts w:ascii="Arial" w:hAnsi="Arial" w:cs="Arial"/>
          <w:color w:val="242121"/>
          <w:shd w:val="clear" w:color="auto" w:fill="FFFFFF"/>
        </w:rPr>
        <w:tab/>
        <w:t xml:space="preserve">As this survey of the authorities illustrates; that the high court </w:t>
      </w:r>
      <w:r w:rsidR="0052669C" w:rsidRPr="00671FF2">
        <w:rPr>
          <w:rFonts w:ascii="Arial" w:hAnsi="Arial" w:cs="Arial"/>
          <w:iCs/>
          <w:color w:val="242121"/>
          <w:shd w:val="clear" w:color="auto" w:fill="FFFFFF"/>
        </w:rPr>
        <w:t>has jurisdiction to hear and determine income tax cases turning on legal issues</w:t>
      </w:r>
      <w:r w:rsidR="0052669C" w:rsidRPr="00671FF2">
        <w:rPr>
          <w:rFonts w:ascii="Arial" w:hAnsi="Arial" w:cs="Arial"/>
          <w:color w:val="242121"/>
          <w:shd w:val="clear" w:color="auto" w:fill="FFFFFF"/>
        </w:rPr>
        <w:t xml:space="preserve">, can, so it would seem, be traced back to the unreasoned conclusion of Henochsberg J in </w:t>
      </w:r>
      <w:r w:rsidR="0052669C" w:rsidRPr="00671FF2">
        <w:rPr>
          <w:rFonts w:ascii="Arial" w:hAnsi="Arial" w:cs="Arial"/>
          <w:i/>
          <w:iCs/>
          <w:color w:val="242121"/>
          <w:shd w:val="clear" w:color="auto" w:fill="FFFFFF"/>
        </w:rPr>
        <w:t xml:space="preserve">Gillbanks v Sigournay, </w:t>
      </w:r>
      <w:r w:rsidR="0052669C" w:rsidRPr="00671FF2">
        <w:rPr>
          <w:rFonts w:ascii="Arial" w:hAnsi="Arial" w:cs="Arial"/>
          <w:iCs/>
          <w:color w:val="242121"/>
          <w:shd w:val="clear" w:color="auto" w:fill="FFFFFF"/>
        </w:rPr>
        <w:t xml:space="preserve">which found uncritical acceptance in </w:t>
      </w:r>
      <w:r w:rsidR="0052669C" w:rsidRPr="00671FF2">
        <w:rPr>
          <w:rFonts w:ascii="Arial" w:hAnsi="Arial" w:cs="Arial"/>
          <w:i/>
          <w:iCs/>
          <w:color w:val="242121"/>
          <w:shd w:val="clear" w:color="auto" w:fill="FFFFFF"/>
        </w:rPr>
        <w:t xml:space="preserve">Emary NO v CIR </w:t>
      </w:r>
      <w:r w:rsidR="0052669C" w:rsidRPr="00671FF2">
        <w:rPr>
          <w:rFonts w:ascii="Arial" w:hAnsi="Arial" w:cs="Arial"/>
          <w:iCs/>
          <w:color w:val="242121"/>
          <w:shd w:val="clear" w:color="auto" w:fill="FFFFFF"/>
        </w:rPr>
        <w:t xml:space="preserve">and thereafter </w:t>
      </w:r>
      <w:r w:rsidR="00A47252">
        <w:rPr>
          <w:rFonts w:ascii="Arial" w:hAnsi="Arial" w:cs="Arial"/>
          <w:iCs/>
          <w:color w:val="242121"/>
          <w:shd w:val="clear" w:color="auto" w:fill="FFFFFF"/>
        </w:rPr>
        <w:t>appears to have taken root</w:t>
      </w:r>
      <w:r w:rsidR="0052669C" w:rsidRPr="00671FF2">
        <w:rPr>
          <w:rFonts w:ascii="Arial" w:hAnsi="Arial" w:cs="Arial"/>
          <w:iCs/>
          <w:color w:val="242121"/>
          <w:shd w:val="clear" w:color="auto" w:fill="FFFFFF"/>
        </w:rPr>
        <w:t xml:space="preserve"> </w:t>
      </w:r>
      <w:r w:rsidR="0052669C" w:rsidRPr="00671FF2">
        <w:rPr>
          <w:rFonts w:ascii="Arial" w:hAnsi="Arial" w:cs="Arial"/>
          <w:i/>
          <w:iCs/>
          <w:color w:val="242121"/>
          <w:shd w:val="clear" w:color="auto" w:fill="FFFFFF"/>
        </w:rPr>
        <w:t>In re Phillip Frame Will Trust v Commissioner for Inland Revenue</w:t>
      </w:r>
      <w:r w:rsidR="0052669C" w:rsidRPr="00671FF2">
        <w:rPr>
          <w:rFonts w:ascii="Arial" w:hAnsi="Arial" w:cs="Arial"/>
          <w:iCs/>
          <w:color w:val="242121"/>
          <w:shd w:val="clear" w:color="auto" w:fill="FFFFFF"/>
        </w:rPr>
        <w:t>.</w:t>
      </w:r>
      <w:r w:rsidR="0052669C" w:rsidRPr="00671FF2">
        <w:rPr>
          <w:rFonts w:ascii="Arial" w:hAnsi="Arial" w:cs="Arial"/>
          <w:color w:val="242121"/>
          <w:shd w:val="clear" w:color="auto" w:fill="FFFFFF"/>
        </w:rPr>
        <w:t xml:space="preserve"> </w:t>
      </w:r>
    </w:p>
    <w:p w14:paraId="3CE1A83A" w14:textId="77777777" w:rsidR="0052669C" w:rsidRDefault="0052669C" w:rsidP="0052669C">
      <w:pPr>
        <w:rPr>
          <w:rFonts w:ascii="Arial" w:hAnsi="Arial" w:cs="Arial"/>
          <w:i/>
          <w:iCs/>
          <w:color w:val="242121"/>
          <w:shd w:val="clear" w:color="auto" w:fill="FFFFFF"/>
        </w:rPr>
      </w:pPr>
    </w:p>
    <w:p w14:paraId="37FF7CCE" w14:textId="2E008DF4" w:rsidR="0052669C" w:rsidRPr="00202D47" w:rsidRDefault="00C04DFD" w:rsidP="0052669C">
      <w:pPr>
        <w:rPr>
          <w:rFonts w:ascii="Arial" w:hAnsi="Arial" w:cs="Arial"/>
          <w:i/>
          <w:iCs/>
          <w:color w:val="242121"/>
          <w:shd w:val="clear" w:color="auto" w:fill="FFFFFF"/>
        </w:rPr>
      </w:pPr>
      <w:r>
        <w:rPr>
          <w:rFonts w:ascii="Arial" w:hAnsi="Arial" w:cs="Arial"/>
        </w:rPr>
        <w:t>[21</w:t>
      </w:r>
      <w:r w:rsidR="0052669C" w:rsidRPr="00671FF2">
        <w:rPr>
          <w:rFonts w:ascii="Arial" w:hAnsi="Arial" w:cs="Arial"/>
        </w:rPr>
        <w:t>]</w:t>
      </w:r>
      <w:r w:rsidR="0052669C" w:rsidRPr="00671FF2">
        <w:rPr>
          <w:rFonts w:ascii="Arial" w:hAnsi="Arial" w:cs="Arial"/>
        </w:rPr>
        <w:tab/>
      </w:r>
      <w:r w:rsidR="00D01310">
        <w:rPr>
          <w:rFonts w:ascii="Arial" w:hAnsi="Arial" w:cs="Arial"/>
        </w:rPr>
        <w:t>That aside,</w:t>
      </w:r>
      <w:r w:rsidR="0028770D" w:rsidRPr="00671FF2">
        <w:rPr>
          <w:rFonts w:ascii="Arial" w:hAnsi="Arial" w:cs="Arial"/>
          <w:color w:val="242121"/>
          <w:shd w:val="clear" w:color="auto" w:fill="FFFFFF"/>
        </w:rPr>
        <w:t xml:space="preserve"> it is important to </w:t>
      </w:r>
      <w:r w:rsidR="0028770D">
        <w:rPr>
          <w:rFonts w:ascii="Arial" w:hAnsi="Arial" w:cs="Arial"/>
          <w:color w:val="242121"/>
          <w:shd w:val="clear" w:color="auto" w:fill="FFFFFF"/>
        </w:rPr>
        <w:t>recognise</w:t>
      </w:r>
      <w:r w:rsidR="0028770D" w:rsidRPr="00671FF2">
        <w:rPr>
          <w:rFonts w:ascii="Arial" w:hAnsi="Arial" w:cs="Arial"/>
          <w:color w:val="242121"/>
          <w:shd w:val="clear" w:color="auto" w:fill="FFFFFF"/>
        </w:rPr>
        <w:t xml:space="preserve"> that the legislative landscape has changed significantly since the decision of the Constitutional Court in </w:t>
      </w:r>
      <w:r w:rsidR="0028770D" w:rsidRPr="00671FF2">
        <w:rPr>
          <w:rFonts w:ascii="Arial" w:hAnsi="Arial" w:cs="Arial"/>
          <w:i/>
          <w:iCs/>
          <w:color w:val="242121"/>
          <w:shd w:val="clear" w:color="auto" w:fill="FFFFFF"/>
        </w:rPr>
        <w:t>Metcash.</w:t>
      </w:r>
      <w:r w:rsidR="0028770D" w:rsidRPr="00671FF2">
        <w:rPr>
          <w:rStyle w:val="FootnoteReference"/>
          <w:rFonts w:ascii="Arial" w:hAnsi="Arial" w:cs="Arial"/>
          <w:iCs/>
          <w:color w:val="242121"/>
          <w:shd w:val="clear" w:color="auto" w:fill="FFFFFF"/>
        </w:rPr>
        <w:footnoteReference w:id="22"/>
      </w:r>
      <w:r w:rsidR="0028770D">
        <w:rPr>
          <w:rFonts w:ascii="Arial" w:hAnsi="Arial" w:cs="Arial"/>
          <w:i/>
          <w:iCs/>
          <w:color w:val="242121"/>
          <w:shd w:val="clear" w:color="auto" w:fill="FFFFFF"/>
        </w:rPr>
        <w:t xml:space="preserve"> </w:t>
      </w:r>
      <w:r w:rsidR="0028770D" w:rsidRPr="00DF07AD">
        <w:rPr>
          <w:rFonts w:ascii="Arial" w:hAnsi="Arial" w:cs="Arial"/>
          <w:color w:val="242121"/>
          <w:shd w:val="clear" w:color="auto" w:fill="FFFFFF"/>
        </w:rPr>
        <w:t xml:space="preserve"> </w:t>
      </w:r>
      <w:r w:rsidR="0052669C" w:rsidRPr="00671FF2">
        <w:rPr>
          <w:rFonts w:ascii="Arial" w:hAnsi="Arial" w:cs="Arial"/>
        </w:rPr>
        <w:t>Prior</w:t>
      </w:r>
      <w:r w:rsidR="0052669C">
        <w:rPr>
          <w:rFonts w:ascii="Arial" w:hAnsi="Arial" w:cs="Arial"/>
        </w:rPr>
        <w:t xml:space="preserve"> to the </w:t>
      </w:r>
      <w:r w:rsidR="0052669C" w:rsidRPr="00007A59">
        <w:rPr>
          <w:rFonts w:ascii="Arial" w:hAnsi="Arial" w:cs="Arial"/>
        </w:rPr>
        <w:t>amendment</w:t>
      </w:r>
      <w:r w:rsidR="0052669C">
        <w:rPr>
          <w:rFonts w:ascii="Arial" w:hAnsi="Arial" w:cs="Arial"/>
        </w:rPr>
        <w:t xml:space="preserve"> of s 105</w:t>
      </w:r>
      <w:r w:rsidR="0052669C" w:rsidRPr="00007A59">
        <w:rPr>
          <w:rFonts w:ascii="Arial" w:hAnsi="Arial" w:cs="Arial"/>
        </w:rPr>
        <w:t>, the taxpayer could elect to take an assessment on review to the high court instead of following the prescribed procedure. That is no longer the case. The amendment was meant to make clear that the default rule is that a taxpayer had to follow the prescribed procedure, unless a high court directs otherwise.</w:t>
      </w:r>
      <w:r w:rsidR="0052669C">
        <w:rPr>
          <w:rFonts w:ascii="Arial" w:hAnsi="Arial" w:cs="Arial"/>
        </w:rPr>
        <w:t xml:space="preserve"> For the present, it suffices to say that the judgments relied upon appear to have far too readily and uncritically accepted that a taxpayer could, in general and without more, approach a high court for declaratory relief. Importantly, those judgments do not lay down that where declaratory orders are sought in tax matters, different principles apply.</w:t>
      </w:r>
      <w:r w:rsidR="0052669C">
        <w:rPr>
          <w:rStyle w:val="FootnoteReference"/>
          <w:rFonts w:ascii="Arial" w:hAnsi="Arial" w:cs="Arial"/>
        </w:rPr>
        <w:footnoteReference w:id="23"/>
      </w:r>
      <w:r w:rsidR="0052669C">
        <w:rPr>
          <w:rFonts w:ascii="Arial" w:hAnsi="Arial" w:cs="Arial"/>
        </w:rPr>
        <w:t xml:space="preserve"> In fact the question whether a declaratory order was appropriate was not considered by the high court in this case.</w:t>
      </w:r>
    </w:p>
    <w:p w14:paraId="5F63CC77" w14:textId="77777777" w:rsidR="0052669C" w:rsidRDefault="0052669C" w:rsidP="0052669C">
      <w:pPr>
        <w:rPr>
          <w:rFonts w:ascii="Arial" w:hAnsi="Arial" w:cs="Arial"/>
        </w:rPr>
      </w:pPr>
    </w:p>
    <w:p w14:paraId="12A7E513" w14:textId="02BD23C3" w:rsidR="0052669C" w:rsidRDefault="00C04DFD" w:rsidP="0052669C">
      <w:pPr>
        <w:rPr>
          <w:rFonts w:ascii="Arial" w:hAnsi="Arial" w:cs="Arial"/>
        </w:rPr>
      </w:pPr>
      <w:r>
        <w:rPr>
          <w:rFonts w:ascii="Arial" w:hAnsi="Arial" w:cs="Arial"/>
        </w:rPr>
        <w:lastRenderedPageBreak/>
        <w:t>[22</w:t>
      </w:r>
      <w:r w:rsidR="0052669C" w:rsidRPr="00671FF2">
        <w:rPr>
          <w:rFonts w:ascii="Arial" w:hAnsi="Arial" w:cs="Arial"/>
        </w:rPr>
        <w:t>]</w:t>
      </w:r>
      <w:r w:rsidR="0052669C" w:rsidRPr="00671FF2">
        <w:rPr>
          <w:rFonts w:ascii="Arial" w:hAnsi="Arial" w:cs="Arial"/>
        </w:rPr>
        <w:tab/>
        <w:t>Thus, even on the acceptance of Counsel’s primary contention that s 105 was not implicated because there was neither an ‘assessment’ nor a ‘decision as described in s 104’, the purpose of s 105 (which was an innovation introduced by the TAA from 1 October 2011 and narrowed down by an amendment made in 2015) and, which accords with the overall scheme of the TAA, was not wholly irrelevant. At the very least, it represented an important pointer to legislative intent and, read together with the other provisions in the TAA, set the overall contextual scene. It was thus not a</w:t>
      </w:r>
      <w:r w:rsidR="00D01310">
        <w:rPr>
          <w:rFonts w:ascii="Arial" w:hAnsi="Arial" w:cs="Arial"/>
        </w:rPr>
        <w:t>n</w:t>
      </w:r>
      <w:r w:rsidR="0052669C" w:rsidRPr="00671FF2">
        <w:rPr>
          <w:rFonts w:ascii="Arial" w:hAnsi="Arial" w:cs="Arial"/>
        </w:rPr>
        <w:t xml:space="preserve"> wholly irrelevant consideration in the determination of whether or not the circumstances were such that relief in the form of a declaratory order was</w:t>
      </w:r>
      <w:r w:rsidR="0052669C">
        <w:rPr>
          <w:rFonts w:ascii="Arial" w:hAnsi="Arial" w:cs="Arial"/>
        </w:rPr>
        <w:t xml:space="preserve"> appropriate. The enquiry was far more nuanced than one may at first blush apprehend. </w:t>
      </w:r>
      <w:r w:rsidR="0052669C" w:rsidRPr="007F53CE">
        <w:rPr>
          <w:rFonts w:ascii="Arial" w:hAnsi="Arial" w:cs="Arial"/>
        </w:rPr>
        <w:t>After all, a declaratory order is not appropriate if there are other specific statutory remedies available.</w:t>
      </w:r>
      <w:r w:rsidR="0052669C" w:rsidRPr="007F53CE">
        <w:rPr>
          <w:rStyle w:val="FootnoteReference"/>
          <w:rFonts w:ascii="Arial" w:hAnsi="Arial" w:cs="Arial"/>
        </w:rPr>
        <w:footnoteReference w:id="24"/>
      </w:r>
    </w:p>
    <w:p w14:paraId="4E0BB656" w14:textId="77777777" w:rsidR="0052669C" w:rsidRDefault="0052669C" w:rsidP="0052669C">
      <w:pPr>
        <w:rPr>
          <w:rFonts w:ascii="Arial" w:hAnsi="Arial" w:cs="Arial"/>
        </w:rPr>
      </w:pPr>
    </w:p>
    <w:p w14:paraId="325ED011" w14:textId="6A7AC530" w:rsidR="0052669C" w:rsidRDefault="00C04DFD" w:rsidP="0052669C">
      <w:pPr>
        <w:rPr>
          <w:rFonts w:ascii="Arial" w:hAnsi="Arial" w:cs="Arial"/>
        </w:rPr>
      </w:pPr>
      <w:r>
        <w:rPr>
          <w:rFonts w:ascii="Arial" w:hAnsi="Arial" w:cs="Arial"/>
        </w:rPr>
        <w:t>[23</w:t>
      </w:r>
      <w:r w:rsidR="0052669C" w:rsidRPr="00671FF2">
        <w:rPr>
          <w:rFonts w:ascii="Arial" w:hAnsi="Arial" w:cs="Arial"/>
        </w:rPr>
        <w:t>]</w:t>
      </w:r>
      <w:r w:rsidR="0052669C" w:rsidRPr="00671FF2">
        <w:rPr>
          <w:rFonts w:ascii="Arial" w:hAnsi="Arial" w:cs="Arial"/>
        </w:rPr>
        <w:tab/>
        <w:t xml:space="preserve">This is not to suggest that there will never be tax disputes </w:t>
      </w:r>
      <w:r w:rsidR="0052669C" w:rsidRPr="00671FF2">
        <w:rPr>
          <w:rFonts w:ascii="Arial" w:hAnsi="Arial" w:cs="Arial"/>
          <w:color w:val="242121"/>
          <w:shd w:val="clear" w:color="auto" w:fill="FFFFFF"/>
        </w:rPr>
        <w:t xml:space="preserve">for which declaratory orders can rightly be sought and made. </w:t>
      </w:r>
      <w:r w:rsidR="0052669C" w:rsidRPr="00671FF2">
        <w:rPr>
          <w:rFonts w:ascii="Arial" w:hAnsi="Arial" w:cs="Arial"/>
        </w:rPr>
        <w:t>However, their occurrence, in my view, is likely to be rare and their circumstances exceptional or at least unusual. In general, and without attempting to lay down any hard and fast rules, the exercise of what after all is a purely discretionary power, should be regarded</w:t>
      </w:r>
      <w:r w:rsidR="0052669C" w:rsidRPr="000926B5">
        <w:rPr>
          <w:rFonts w:ascii="Arial" w:hAnsi="Arial" w:cs="Arial"/>
        </w:rPr>
        <w:t xml:space="preserve"> as a reserve or occasional expedient. </w:t>
      </w:r>
      <w:r w:rsidR="0052669C">
        <w:rPr>
          <w:rFonts w:ascii="Arial" w:hAnsi="Arial" w:cs="Arial"/>
        </w:rPr>
        <w:t xml:space="preserve">No doubt, each case would have to be judged on its own facts and circumstances. </w:t>
      </w:r>
      <w:r w:rsidR="0052669C" w:rsidRPr="009500CB">
        <w:rPr>
          <w:rFonts w:ascii="Arial" w:hAnsi="Arial" w:cs="Arial"/>
        </w:rPr>
        <w:t xml:space="preserve">I have expressly refrained from formulating a test as I believe that </w:t>
      </w:r>
      <w:r w:rsidR="0052669C">
        <w:rPr>
          <w:rFonts w:ascii="Arial" w:hAnsi="Arial" w:cs="Arial"/>
        </w:rPr>
        <w:t xml:space="preserve">each </w:t>
      </w:r>
      <w:r w:rsidR="0052669C" w:rsidRPr="009500CB">
        <w:rPr>
          <w:rFonts w:ascii="Arial" w:hAnsi="Arial" w:cs="Arial"/>
        </w:rPr>
        <w:t>such case can confidently be left to the good sense of the judge concerned</w:t>
      </w:r>
      <w:r w:rsidR="0052669C">
        <w:rPr>
          <w:rFonts w:ascii="Arial" w:hAnsi="Arial" w:cs="Arial"/>
        </w:rPr>
        <w:t xml:space="preserve"> in the exercise of his or her broad general discretion. On any reckoning, this is certainly not such a case.</w:t>
      </w:r>
    </w:p>
    <w:p w14:paraId="7A60F94F" w14:textId="77777777" w:rsidR="0052669C" w:rsidRDefault="0052669C" w:rsidP="0052669C">
      <w:pPr>
        <w:rPr>
          <w:rFonts w:ascii="Arial" w:hAnsi="Arial" w:cs="Arial"/>
        </w:rPr>
      </w:pPr>
    </w:p>
    <w:p w14:paraId="7549436F" w14:textId="69160333" w:rsidR="0052669C" w:rsidRDefault="00C04DFD" w:rsidP="0052669C">
      <w:pPr>
        <w:rPr>
          <w:rFonts w:ascii="Arial" w:hAnsi="Arial" w:cs="Arial"/>
        </w:rPr>
      </w:pPr>
      <w:r>
        <w:rPr>
          <w:rFonts w:ascii="Arial" w:hAnsi="Arial" w:cs="Arial"/>
        </w:rPr>
        <w:t>[24</w:t>
      </w:r>
      <w:r w:rsidR="0052669C" w:rsidRPr="00671FF2">
        <w:rPr>
          <w:rFonts w:ascii="Arial" w:hAnsi="Arial" w:cs="Arial"/>
        </w:rPr>
        <w:t>]</w:t>
      </w:r>
      <w:r w:rsidR="0052669C" w:rsidRPr="00671FF2">
        <w:rPr>
          <w:rFonts w:ascii="Arial" w:hAnsi="Arial" w:cs="Arial"/>
        </w:rPr>
        <w:tab/>
        <w:t>In</w:t>
      </w:r>
      <w:r w:rsidR="0052669C">
        <w:rPr>
          <w:rFonts w:ascii="Arial" w:hAnsi="Arial" w:cs="Arial"/>
        </w:rPr>
        <w:t xml:space="preserve"> responding to the letter of audit findings, the appellant seems to have simply gone through the motions. It </w:t>
      </w:r>
      <w:r w:rsidR="0052669C" w:rsidRPr="0031632D">
        <w:rPr>
          <w:rFonts w:ascii="Arial" w:hAnsi="Arial" w:cs="Arial"/>
        </w:rPr>
        <w:t xml:space="preserve">did not </w:t>
      </w:r>
      <w:r w:rsidR="0052669C">
        <w:rPr>
          <w:rFonts w:ascii="Arial" w:hAnsi="Arial" w:cs="Arial"/>
        </w:rPr>
        <w:t xml:space="preserve">thereafter </w:t>
      </w:r>
      <w:r w:rsidR="0052669C" w:rsidRPr="0031632D">
        <w:rPr>
          <w:rFonts w:ascii="Arial" w:hAnsi="Arial" w:cs="Arial"/>
        </w:rPr>
        <w:t xml:space="preserve">afford SARS the opportunity to reconsider or alter the proposed assessments in the light of </w:t>
      </w:r>
      <w:r w:rsidR="0052669C">
        <w:rPr>
          <w:rFonts w:ascii="Arial" w:hAnsi="Arial" w:cs="Arial"/>
        </w:rPr>
        <w:t>the</w:t>
      </w:r>
      <w:r w:rsidR="0052669C" w:rsidRPr="0031632D">
        <w:rPr>
          <w:rFonts w:ascii="Arial" w:hAnsi="Arial" w:cs="Arial"/>
        </w:rPr>
        <w:t xml:space="preserve"> response.</w:t>
      </w:r>
      <w:r w:rsidR="0052669C">
        <w:rPr>
          <w:rFonts w:ascii="Arial" w:hAnsi="Arial" w:cs="Arial"/>
        </w:rPr>
        <w:t xml:space="preserve"> Having responded to SARS’ notice of assessment with fairly detailed representations, the appellant then pre-empted a reconsideration by or reply from SARS by giving notice and launching the application for declaratory relief. On the very day that the appellant had written to SARS, with a view to persuading it (SARS) to reconsider its position, </w:t>
      </w:r>
      <w:r w:rsidR="0052669C">
        <w:rPr>
          <w:rFonts w:ascii="Arial" w:hAnsi="Arial" w:cs="Arial"/>
        </w:rPr>
        <w:lastRenderedPageBreak/>
        <w:t>the appellant gave the requisite notice in terms of s 11(4) of its intention to institute proceedings before the high court and some three weeks thereafter proceeded to do so. That the appellant genuinely sought to engage with SARS seems doubtful; because the giving of notice without allowing a reasonable time for a reply, and meaningful engagement, were mutually incompatible. In simply ignoring the emphasis placed by the TAA on alternative dispute resolution and in disregarding the need to exhaust its internal remedies, the high court became the appellant’s first port of call. The danger with such an approach is that high courts could potentially be flooded with like matters. There is little to commend an approach by a taxpayer to the high court, without awaiting a response from SARS, including perhaps one that may well be favourable. SARS would be placed in an invidious position if it were forced on a regular basis to defend such matters before the high court.</w:t>
      </w:r>
    </w:p>
    <w:p w14:paraId="16ACDD5B" w14:textId="77777777" w:rsidR="0052669C" w:rsidRDefault="0052669C" w:rsidP="0052669C">
      <w:pPr>
        <w:rPr>
          <w:rFonts w:ascii="Arial" w:hAnsi="Arial" w:cs="Arial"/>
        </w:rPr>
      </w:pPr>
    </w:p>
    <w:p w14:paraId="00B4B26C" w14:textId="4A27BEBC" w:rsidR="0052669C" w:rsidRDefault="0052669C" w:rsidP="0052669C">
      <w:pPr>
        <w:rPr>
          <w:rFonts w:ascii="Arial" w:hAnsi="Arial" w:cs="Arial"/>
        </w:rPr>
      </w:pPr>
      <w:r>
        <w:rPr>
          <w:rFonts w:ascii="Arial" w:hAnsi="Arial" w:cs="Arial"/>
        </w:rPr>
        <w:t>[</w:t>
      </w:r>
      <w:r w:rsidR="00C04DFD">
        <w:rPr>
          <w:rFonts w:ascii="Arial" w:hAnsi="Arial" w:cs="Arial"/>
        </w:rPr>
        <w:t>25</w:t>
      </w:r>
      <w:r w:rsidRPr="00671FF2">
        <w:rPr>
          <w:rFonts w:ascii="Arial" w:hAnsi="Arial" w:cs="Arial"/>
        </w:rPr>
        <w:t>]</w:t>
      </w:r>
      <w:r>
        <w:rPr>
          <w:rFonts w:ascii="Arial" w:hAnsi="Arial" w:cs="Arial"/>
        </w:rPr>
        <w:tab/>
        <w:t>This is not a matter where ‘there is a set of clear, sufficient, uncontested, facts’.</w:t>
      </w:r>
      <w:r>
        <w:rPr>
          <w:rStyle w:val="FootnoteReference"/>
          <w:rFonts w:ascii="Arial" w:hAnsi="Arial" w:cs="Arial"/>
        </w:rPr>
        <w:footnoteReference w:id="25"/>
      </w:r>
      <w:r>
        <w:rPr>
          <w:rFonts w:ascii="Arial" w:hAnsi="Arial" w:cs="Arial"/>
        </w:rPr>
        <w:t xml:space="preserve">  On the appellant’s own showing, the parties had adopted divergent views not only in relation to the law but also the facts. The appellant’s response addressed a range of issues, including: the requirements of s 11(1)</w:t>
      </w:r>
      <w:r w:rsidRPr="00A14218">
        <w:rPr>
          <w:rFonts w:ascii="Arial" w:hAnsi="Arial" w:cs="Arial"/>
          <w:i/>
        </w:rPr>
        <w:t>(f)</w:t>
      </w:r>
      <w:r>
        <w:rPr>
          <w:rFonts w:ascii="Arial" w:hAnsi="Arial" w:cs="Arial"/>
        </w:rPr>
        <w:t xml:space="preserve">, the relevant principles of statutory interpretation and the application of international law; what constitutes gold and </w:t>
      </w:r>
      <w:r w:rsidR="000211CE">
        <w:rPr>
          <w:rFonts w:ascii="Arial" w:hAnsi="Arial" w:cs="Arial"/>
        </w:rPr>
        <w:t xml:space="preserve">the </w:t>
      </w:r>
      <w:r>
        <w:rPr>
          <w:rFonts w:ascii="Arial" w:hAnsi="Arial" w:cs="Arial"/>
        </w:rPr>
        <w:t>gold supply chain; the manufacturing process; the definition of refining and the refining process; the distinction between manufacturing and production; co-mingling and a relevant class ruling; the reasonable care standard and understatement penalties; and, lawful, reasonable and procedurally fair administrative action. All of those were, in truth, matters for adjudication in accordance with the special machinery created by the TAA.</w:t>
      </w:r>
      <w:r>
        <w:rPr>
          <w:rStyle w:val="FootnoteReference"/>
          <w:rFonts w:ascii="Arial" w:hAnsi="Arial" w:cs="Arial"/>
        </w:rPr>
        <w:footnoteReference w:id="26"/>
      </w:r>
      <w:r>
        <w:rPr>
          <w:rFonts w:ascii="Arial" w:hAnsi="Arial" w:cs="Arial"/>
        </w:rPr>
        <w:t xml:space="preserve"> Nowhere is this more clearly illustrated than in the relief sought. From the range of orders sought in this matter it is clear that unlike, for example </w:t>
      </w:r>
      <w:r>
        <w:rPr>
          <w:rFonts w:ascii="Arial" w:hAnsi="Arial" w:cs="Arial"/>
          <w:i/>
        </w:rPr>
        <w:t>In re Phillip Frame Will Trust v Commissioner for Inland Revenue</w:t>
      </w:r>
      <w:r>
        <w:rPr>
          <w:rFonts w:ascii="Arial" w:hAnsi="Arial" w:cs="Arial"/>
        </w:rPr>
        <w:t xml:space="preserve">, the dispute in this matter is not simply one of law but also involves questions of fact. The orders sought are all thus inextricably linked to the facts. </w:t>
      </w:r>
    </w:p>
    <w:p w14:paraId="4BDE0289" w14:textId="77777777" w:rsidR="00811248" w:rsidRDefault="00811248" w:rsidP="0052669C">
      <w:pPr>
        <w:rPr>
          <w:rFonts w:ascii="Arial" w:hAnsi="Arial" w:cs="Arial"/>
        </w:rPr>
      </w:pPr>
    </w:p>
    <w:p w14:paraId="2F2D7BDA" w14:textId="0115309F" w:rsidR="0052669C" w:rsidRPr="00F15273" w:rsidRDefault="0052669C" w:rsidP="0052669C">
      <w:pPr>
        <w:rPr>
          <w:rFonts w:ascii="Arial" w:hAnsi="Arial" w:cs="Arial"/>
        </w:rPr>
      </w:pPr>
      <w:r>
        <w:rPr>
          <w:rFonts w:ascii="Arial" w:hAnsi="Arial" w:cs="Arial"/>
        </w:rPr>
        <w:t>[</w:t>
      </w:r>
      <w:r w:rsidR="00C04DFD">
        <w:rPr>
          <w:rFonts w:ascii="Arial" w:hAnsi="Arial" w:cs="Arial"/>
        </w:rPr>
        <w:t>26</w:t>
      </w:r>
      <w:r w:rsidRPr="00671FF2">
        <w:rPr>
          <w:rFonts w:ascii="Arial" w:hAnsi="Arial" w:cs="Arial"/>
        </w:rPr>
        <w:t>]</w:t>
      </w:r>
      <w:r w:rsidRPr="00671FF2">
        <w:rPr>
          <w:rFonts w:ascii="Arial" w:hAnsi="Arial" w:cs="Arial"/>
        </w:rPr>
        <w:tab/>
        <w:t>The</w:t>
      </w:r>
      <w:r>
        <w:rPr>
          <w:rFonts w:ascii="Arial" w:hAnsi="Arial" w:cs="Arial"/>
        </w:rPr>
        <w:t xml:space="preserve"> circumstances here certainly did not favour a piecemeal consideration of the case and, as it transpires, failed to lead to a reasonably prompt resolution of any </w:t>
      </w:r>
      <w:r>
        <w:rPr>
          <w:rFonts w:ascii="Arial" w:hAnsi="Arial" w:cs="Arial"/>
        </w:rPr>
        <w:lastRenderedPageBreak/>
        <w:t>of the real issues between the parties.</w:t>
      </w:r>
      <w:r w:rsidRPr="00FC4E1B">
        <w:rPr>
          <w:rFonts w:ascii="Verdana" w:hAnsi="Verdana"/>
          <w:color w:val="242121"/>
          <w:sz w:val="27"/>
          <w:szCs w:val="27"/>
          <w:shd w:val="clear" w:color="auto" w:fill="FFFFFF"/>
        </w:rPr>
        <w:t xml:space="preserve"> </w:t>
      </w:r>
      <w:r>
        <w:rPr>
          <w:rFonts w:ascii="Arial" w:hAnsi="Arial" w:cs="Arial"/>
        </w:rPr>
        <w:t>If anything, the approach adopted</w:t>
      </w:r>
      <w:r w:rsidRPr="00FC4E1B">
        <w:rPr>
          <w:rFonts w:ascii="Arial" w:hAnsi="Arial" w:cs="Arial"/>
        </w:rPr>
        <w:t xml:space="preserve"> open</w:t>
      </w:r>
      <w:r>
        <w:rPr>
          <w:rFonts w:ascii="Arial" w:hAnsi="Arial" w:cs="Arial"/>
        </w:rPr>
        <w:t>ed</w:t>
      </w:r>
      <w:r w:rsidRPr="00FC4E1B">
        <w:rPr>
          <w:rFonts w:ascii="Arial" w:hAnsi="Arial" w:cs="Arial"/>
        </w:rPr>
        <w:t xml:space="preserve"> </w:t>
      </w:r>
      <w:r>
        <w:rPr>
          <w:rFonts w:ascii="Arial" w:hAnsi="Arial" w:cs="Arial"/>
        </w:rPr>
        <w:t>‘</w:t>
      </w:r>
      <w:r w:rsidRPr="00FC4E1B">
        <w:rPr>
          <w:rFonts w:ascii="Arial" w:hAnsi="Arial" w:cs="Arial"/>
        </w:rPr>
        <w:t>the door to the “fractional disposal” of actions and the “piecemeal hearing of appeals”’</w:t>
      </w:r>
      <w:r>
        <w:rPr>
          <w:rFonts w:ascii="Arial" w:hAnsi="Arial" w:cs="Arial"/>
        </w:rPr>
        <w:t>.</w:t>
      </w:r>
      <w:r>
        <w:rPr>
          <w:rStyle w:val="FootnoteReference"/>
          <w:rFonts w:ascii="Arial" w:hAnsi="Arial" w:cs="Arial"/>
        </w:rPr>
        <w:footnoteReference w:id="27"/>
      </w:r>
      <w:r>
        <w:rPr>
          <w:rFonts w:ascii="Arial" w:hAnsi="Arial" w:cs="Arial"/>
        </w:rPr>
        <w:t xml:space="preserve"> In </w:t>
      </w:r>
      <w:r w:rsidRPr="0028122B">
        <w:rPr>
          <w:rFonts w:ascii="Arial" w:hAnsi="Arial" w:cs="Arial"/>
          <w:i/>
          <w:iCs/>
        </w:rPr>
        <w:t>Consolidated News Agencies (Pty) Ltd (in liquidation) v Mobile Telephone Networks (Pty) Ltd &amp; another</w:t>
      </w:r>
      <w:r>
        <w:rPr>
          <w:rFonts w:ascii="Arial" w:hAnsi="Arial" w:cs="Arial"/>
          <w:iCs/>
        </w:rPr>
        <w:t>,</w:t>
      </w:r>
      <w:r>
        <w:rPr>
          <w:rFonts w:ascii="Arial" w:hAnsi="Arial" w:cs="Arial"/>
        </w:rPr>
        <w:t xml:space="preserve"> </w:t>
      </w:r>
      <w:r w:rsidRPr="0028122B">
        <w:rPr>
          <w:rFonts w:ascii="Arial" w:hAnsi="Arial" w:cs="Arial"/>
        </w:rPr>
        <w:t>this court said</w:t>
      </w:r>
      <w:r>
        <w:rPr>
          <w:rFonts w:ascii="Arial" w:hAnsi="Arial" w:cs="Arial"/>
        </w:rPr>
        <w:t xml:space="preserve"> the following</w:t>
      </w:r>
      <w:r w:rsidRPr="0028122B">
        <w:rPr>
          <w:rFonts w:ascii="Arial" w:hAnsi="Arial" w:cs="Arial"/>
        </w:rPr>
        <w:t>:</w:t>
      </w:r>
    </w:p>
    <w:p w14:paraId="7EF530E3" w14:textId="77777777" w:rsidR="0052669C" w:rsidRPr="00DA1B5D" w:rsidRDefault="0052669C" w:rsidP="0052669C">
      <w:pPr>
        <w:rPr>
          <w:rFonts w:ascii="Arial" w:hAnsi="Arial" w:cs="Arial"/>
          <w:sz w:val="22"/>
          <w:szCs w:val="22"/>
        </w:rPr>
      </w:pPr>
      <w:r w:rsidRPr="00DA1B5D">
        <w:rPr>
          <w:rFonts w:ascii="Arial" w:hAnsi="Arial" w:cs="Arial"/>
          <w:sz w:val="22"/>
          <w:szCs w:val="22"/>
        </w:rPr>
        <w:t>‘Before concluding we are constrained to make the comments that follow. Piecemeal litigation is not to be encouraged. Sometimes it is desirable to have a single issue decided separately, either by way of a stated case or otherwise. If a decision on a discrete issue disposes of a major part of a case, or will in some way lead to expedition, it might well be desirable to have that issue decided first.</w:t>
      </w:r>
    </w:p>
    <w:p w14:paraId="1F615FE0" w14:textId="77777777" w:rsidR="0052669C" w:rsidRPr="00BE24DB" w:rsidRDefault="0052669C" w:rsidP="0052669C">
      <w:pPr>
        <w:rPr>
          <w:rFonts w:ascii="Arial" w:hAnsi="Arial" w:cs="Arial"/>
        </w:rPr>
      </w:pPr>
      <w:r w:rsidRPr="00DA1B5D">
        <w:rPr>
          <w:rFonts w:ascii="Arial" w:hAnsi="Arial" w:cs="Arial"/>
          <w:sz w:val="22"/>
          <w:szCs w:val="22"/>
        </w:rPr>
        <w:t>This court has warned that in many cases, once properly considered, issues initially thought to be discrete are found to be inextricably linked. And even where the issues are discrete, the expeditious disposal of the litigation is often best served by ventilating all the issues at one hearing. A trial court must be satisfied that it is convenient and proper to try an issue separately.’</w:t>
      </w:r>
      <w:r w:rsidRPr="00BE24DB">
        <w:rPr>
          <w:rStyle w:val="FootnoteReference"/>
          <w:rFonts w:ascii="Arial" w:hAnsi="Arial" w:cs="Arial"/>
        </w:rPr>
        <w:footnoteReference w:id="28"/>
      </w:r>
      <w:r w:rsidRPr="00BE24DB">
        <w:rPr>
          <w:rFonts w:ascii="Arial" w:hAnsi="Arial" w:cs="Arial"/>
        </w:rPr>
        <w:t xml:space="preserve"> </w:t>
      </w:r>
      <w:r w:rsidRPr="000211CE">
        <w:rPr>
          <w:rFonts w:ascii="Arial" w:hAnsi="Arial" w:cs="Arial"/>
          <w:sz w:val="22"/>
          <w:szCs w:val="22"/>
        </w:rPr>
        <w:t>(Footnotes omitted.)</w:t>
      </w:r>
    </w:p>
    <w:p w14:paraId="75A7E9B7" w14:textId="77777777" w:rsidR="0052669C" w:rsidRDefault="0052669C" w:rsidP="0052669C">
      <w:pPr>
        <w:rPr>
          <w:rFonts w:ascii="Arial" w:hAnsi="Arial" w:cs="Arial"/>
        </w:rPr>
      </w:pPr>
    </w:p>
    <w:p w14:paraId="45BE0D69" w14:textId="2202BE55" w:rsidR="0052669C" w:rsidRPr="00C7689A" w:rsidRDefault="0052669C" w:rsidP="0052669C">
      <w:pPr>
        <w:rPr>
          <w:rFonts w:ascii="Arial" w:hAnsi="Arial" w:cs="Arial"/>
        </w:rPr>
      </w:pPr>
      <w:r>
        <w:rPr>
          <w:rFonts w:ascii="Arial" w:hAnsi="Arial" w:cs="Arial"/>
        </w:rPr>
        <w:t>[</w:t>
      </w:r>
      <w:r w:rsidR="00C04DFD">
        <w:rPr>
          <w:rFonts w:ascii="Arial" w:hAnsi="Arial" w:cs="Arial"/>
        </w:rPr>
        <w:t>27</w:t>
      </w:r>
      <w:r w:rsidRPr="00671FF2">
        <w:rPr>
          <w:rFonts w:ascii="Arial" w:hAnsi="Arial" w:cs="Arial"/>
        </w:rPr>
        <w:t>]</w:t>
      </w:r>
      <w:r>
        <w:rPr>
          <w:rFonts w:ascii="Arial" w:hAnsi="Arial" w:cs="Arial"/>
        </w:rPr>
        <w:tab/>
        <w:t>Likewise, it is generally considered inappropriate to allow an appeal when the entire dispute between the parties has yet to be resolved by the court of first instance.</w:t>
      </w:r>
      <w:r>
        <w:rPr>
          <w:rStyle w:val="FootnoteReference"/>
          <w:rFonts w:ascii="Arial" w:hAnsi="Arial" w:cs="Arial"/>
        </w:rPr>
        <w:footnoteReference w:id="29"/>
      </w:r>
      <w:r>
        <w:rPr>
          <w:rFonts w:ascii="Arial" w:hAnsi="Arial" w:cs="Arial"/>
        </w:rPr>
        <w:t xml:space="preserve"> </w:t>
      </w:r>
      <w:r w:rsidRPr="0028122B">
        <w:rPr>
          <w:rFonts w:ascii="Arial" w:hAnsi="Arial" w:cs="Arial"/>
        </w:rPr>
        <w:t>In</w:t>
      </w:r>
      <w:r>
        <w:rPr>
          <w:rFonts w:ascii="Arial" w:hAnsi="Arial" w:cs="Arial"/>
        </w:rPr>
        <w:t xml:space="preserve"> </w:t>
      </w:r>
      <w:r w:rsidRPr="0028122B">
        <w:rPr>
          <w:rFonts w:ascii="Arial" w:hAnsi="Arial" w:cs="Arial"/>
          <w:i/>
          <w:iCs/>
        </w:rPr>
        <w:t>Guardian National Insurance Co Ltd v Searle NO</w:t>
      </w:r>
      <w:r>
        <w:rPr>
          <w:rFonts w:ascii="Arial" w:hAnsi="Arial" w:cs="Arial"/>
        </w:rPr>
        <w:t xml:space="preserve">, </w:t>
      </w:r>
      <w:r w:rsidRPr="0028122B">
        <w:rPr>
          <w:rFonts w:ascii="Arial" w:hAnsi="Arial" w:cs="Arial"/>
        </w:rPr>
        <w:t>the following was stated:</w:t>
      </w:r>
    </w:p>
    <w:p w14:paraId="27155FC5" w14:textId="77777777" w:rsidR="0052669C" w:rsidRPr="002732F5" w:rsidRDefault="0052669C" w:rsidP="0052669C">
      <w:pPr>
        <w:rPr>
          <w:rFonts w:ascii="Arial" w:hAnsi="Arial" w:cs="Arial"/>
          <w:sz w:val="22"/>
          <w:szCs w:val="22"/>
        </w:rPr>
      </w:pPr>
      <w:bookmarkStart w:id="1" w:name="LPHit7"/>
      <w:bookmarkStart w:id="2" w:name="LPHit8"/>
      <w:bookmarkStart w:id="3" w:name="LPHit9"/>
      <w:bookmarkEnd w:id="1"/>
      <w:bookmarkEnd w:id="2"/>
      <w:bookmarkEnd w:id="3"/>
      <w:r w:rsidRPr="002732F5">
        <w:rPr>
          <w:rFonts w:ascii="Arial" w:hAnsi="Arial" w:cs="Arial"/>
          <w:sz w:val="22"/>
          <w:szCs w:val="22"/>
        </w:rPr>
        <w:t>‘As previous decisions of this Court indicate, there are still sound grounds for a basic approach which avoids the piecemeal appellate disposal of the issues in litigation. It is unnecessarily expensive and generally it is desirable, for obvious reasons, that such issues be resolved by the same Court and at one and the same time.’</w:t>
      </w:r>
      <w:r w:rsidRPr="002732F5">
        <w:rPr>
          <w:rStyle w:val="FootnoteReference"/>
          <w:rFonts w:ascii="Arial" w:hAnsi="Arial" w:cs="Arial"/>
          <w:sz w:val="22"/>
          <w:szCs w:val="22"/>
        </w:rPr>
        <w:footnoteReference w:id="30"/>
      </w:r>
    </w:p>
    <w:p w14:paraId="7A07CE3F" w14:textId="77777777" w:rsidR="0052669C" w:rsidRDefault="0052669C" w:rsidP="0052669C">
      <w:pPr>
        <w:rPr>
          <w:rFonts w:ascii="Arial" w:hAnsi="Arial" w:cs="Arial"/>
        </w:rPr>
      </w:pPr>
      <w:r>
        <w:rPr>
          <w:rFonts w:ascii="Arial" w:hAnsi="Arial" w:cs="Arial"/>
        </w:rPr>
        <w:t>In this regard, it is important to emphasise</w:t>
      </w:r>
      <w:r w:rsidRPr="005654E2">
        <w:rPr>
          <w:rFonts w:ascii="Arial" w:hAnsi="Arial" w:cs="Arial"/>
        </w:rPr>
        <w:t xml:space="preserve"> that the business of a court</w:t>
      </w:r>
      <w:r>
        <w:rPr>
          <w:rFonts w:ascii="Arial" w:hAnsi="Arial" w:cs="Arial"/>
        </w:rPr>
        <w:t>,</w:t>
      </w:r>
      <w:r w:rsidRPr="005654E2">
        <w:rPr>
          <w:rFonts w:ascii="Arial" w:hAnsi="Arial" w:cs="Arial"/>
        </w:rPr>
        <w:t xml:space="preserve"> </w:t>
      </w:r>
      <w:r>
        <w:rPr>
          <w:rFonts w:ascii="Arial" w:hAnsi="Arial" w:cs="Arial"/>
        </w:rPr>
        <w:t xml:space="preserve">and in particular an appellate court such as this, </w:t>
      </w:r>
      <w:r w:rsidRPr="005654E2">
        <w:rPr>
          <w:rFonts w:ascii="Arial" w:hAnsi="Arial" w:cs="Arial"/>
        </w:rPr>
        <w:t xml:space="preserve">is generally retrospective; it deals with situations or problems that have </w:t>
      </w:r>
      <w:r>
        <w:rPr>
          <w:rFonts w:ascii="Arial" w:hAnsi="Arial" w:cs="Arial"/>
        </w:rPr>
        <w:t>already ripened or crystallised</w:t>
      </w:r>
      <w:r w:rsidRPr="005654E2">
        <w:rPr>
          <w:rFonts w:ascii="Arial" w:hAnsi="Arial" w:cs="Arial"/>
        </w:rPr>
        <w:t xml:space="preserve"> and not with prospective or hypothetical ones.</w:t>
      </w:r>
      <w:r>
        <w:rPr>
          <w:rStyle w:val="FootnoteReference"/>
          <w:rFonts w:ascii="Arial" w:hAnsi="Arial" w:cs="Arial"/>
        </w:rPr>
        <w:footnoteReference w:id="31"/>
      </w:r>
      <w:r>
        <w:rPr>
          <w:rFonts w:ascii="Arial" w:hAnsi="Arial" w:cs="Arial"/>
        </w:rPr>
        <w:t xml:space="preserve"> No doubt, if a declaratory application avails the appellant now, it will still avail the appellant after the issues have crystallised.</w:t>
      </w:r>
    </w:p>
    <w:p w14:paraId="1880443F" w14:textId="77777777" w:rsidR="0052669C" w:rsidRDefault="0052669C" w:rsidP="0052669C">
      <w:pPr>
        <w:rPr>
          <w:rFonts w:ascii="Arial" w:hAnsi="Arial" w:cs="Arial"/>
        </w:rPr>
      </w:pPr>
    </w:p>
    <w:p w14:paraId="0BC6D405" w14:textId="443ADEF4" w:rsidR="0052669C" w:rsidRPr="00671FF2" w:rsidRDefault="0052669C" w:rsidP="0052669C">
      <w:pPr>
        <w:rPr>
          <w:rFonts w:ascii="Arial" w:hAnsi="Arial" w:cs="Arial"/>
        </w:rPr>
      </w:pPr>
      <w:r>
        <w:rPr>
          <w:rFonts w:ascii="Arial" w:hAnsi="Arial" w:cs="Arial"/>
        </w:rPr>
        <w:lastRenderedPageBreak/>
        <w:t>[</w:t>
      </w:r>
      <w:r w:rsidR="00C04DFD">
        <w:rPr>
          <w:rFonts w:ascii="Arial" w:hAnsi="Arial" w:cs="Arial"/>
        </w:rPr>
        <w:t>28</w:t>
      </w:r>
      <w:r w:rsidRPr="00671FF2">
        <w:rPr>
          <w:rFonts w:ascii="Arial" w:hAnsi="Arial" w:cs="Arial"/>
        </w:rPr>
        <w:t>]</w:t>
      </w:r>
      <w:r w:rsidRPr="00671FF2">
        <w:rPr>
          <w:rFonts w:ascii="Arial" w:hAnsi="Arial" w:cs="Arial"/>
        </w:rPr>
        <w:tab/>
        <w:t xml:space="preserve">In </w:t>
      </w:r>
      <w:r w:rsidRPr="00671FF2">
        <w:rPr>
          <w:rFonts w:ascii="Arial" w:hAnsi="Arial" w:cs="Arial"/>
          <w:i/>
        </w:rPr>
        <w:t>Luzon Investments (Pty) Ltd v Strand Municipality</w:t>
      </w:r>
      <w:r w:rsidRPr="00671FF2">
        <w:rPr>
          <w:rFonts w:ascii="Arial" w:hAnsi="Arial" w:cs="Arial"/>
        </w:rPr>
        <w:t>,</w:t>
      </w:r>
      <w:r w:rsidRPr="00671FF2">
        <w:rPr>
          <w:rStyle w:val="FootnoteReference"/>
          <w:rFonts w:ascii="Arial" w:hAnsi="Arial" w:cs="Arial"/>
        </w:rPr>
        <w:footnoteReference w:id="32"/>
      </w:r>
      <w:r w:rsidRPr="00671FF2">
        <w:rPr>
          <w:rFonts w:ascii="Arial" w:hAnsi="Arial" w:cs="Arial"/>
          <w:i/>
        </w:rPr>
        <w:t xml:space="preserve"> </w:t>
      </w:r>
      <w:r w:rsidRPr="00671FF2">
        <w:rPr>
          <w:rFonts w:ascii="Arial" w:hAnsi="Arial" w:cs="Arial"/>
        </w:rPr>
        <w:t>the full court (per Friedman J (Howie J and Conradie J concurring)) referred to an article by Prof AH Hudson entitled ‘Declaratory Judgments in Theoretical Cases: The Reality of the Dispute’</w:t>
      </w:r>
      <w:r w:rsidR="000211CE">
        <w:rPr>
          <w:rFonts w:ascii="Arial" w:hAnsi="Arial" w:cs="Arial"/>
        </w:rPr>
        <w:t xml:space="preserve"> (that</w:t>
      </w:r>
      <w:r w:rsidRPr="00671FF2">
        <w:rPr>
          <w:rFonts w:ascii="Arial" w:hAnsi="Arial" w:cs="Arial"/>
        </w:rPr>
        <w:t xml:space="preserve"> was approved by the Supreme Court of Canada in </w:t>
      </w:r>
      <w:r w:rsidRPr="00671FF2">
        <w:rPr>
          <w:rFonts w:ascii="Arial" w:hAnsi="Arial" w:cs="Arial"/>
          <w:i/>
        </w:rPr>
        <w:t>Solosky v The Queen</w:t>
      </w:r>
      <w:r w:rsidR="000211CE">
        <w:rPr>
          <w:rFonts w:ascii="Arial" w:hAnsi="Arial" w:cs="Arial"/>
        </w:rPr>
        <w:t>),</w:t>
      </w:r>
      <w:r w:rsidRPr="00671FF2">
        <w:rPr>
          <w:rStyle w:val="FootnoteReference"/>
          <w:rFonts w:ascii="Arial" w:hAnsi="Arial" w:cs="Arial"/>
        </w:rPr>
        <w:footnoteReference w:id="33"/>
      </w:r>
      <w:r w:rsidRPr="00671FF2">
        <w:rPr>
          <w:rFonts w:ascii="Arial" w:hAnsi="Arial" w:cs="Arial"/>
        </w:rPr>
        <w:t xml:space="preserve"> where the learned author stated:</w:t>
      </w:r>
    </w:p>
    <w:p w14:paraId="46015C37" w14:textId="77777777" w:rsidR="00DD6BC2" w:rsidRDefault="00DD6BC2" w:rsidP="00DD6BC2">
      <w:pPr>
        <w:rPr>
          <w:rFonts w:ascii="Arial" w:hAnsi="Arial" w:cs="Arial"/>
        </w:rPr>
      </w:pPr>
      <w:r w:rsidRPr="00DA1B5D">
        <w:rPr>
          <w:rFonts w:ascii="Arial" w:hAnsi="Arial" w:cs="Arial"/>
          <w:sz w:val="22"/>
          <w:szCs w:val="22"/>
        </w:rPr>
        <w:t>‘The declaratory action is discretionary and two factors which will influence the Court in the exercise of its discretion are the utility of the remedy, if granted, and whether, if it is granted, it will settle the questions at issue between the parties.’</w:t>
      </w:r>
      <w:r>
        <w:rPr>
          <w:rStyle w:val="FootnoteReference"/>
          <w:rFonts w:ascii="Arial" w:hAnsi="Arial" w:cs="Arial"/>
        </w:rPr>
        <w:footnoteReference w:id="34"/>
      </w:r>
    </w:p>
    <w:p w14:paraId="2520193D" w14:textId="10B97AAA" w:rsidR="0052669C" w:rsidRPr="009D7D27" w:rsidRDefault="0052669C" w:rsidP="0052669C">
      <w:pPr>
        <w:rPr>
          <w:rFonts w:ascii="Arial" w:hAnsi="Arial" w:cs="Arial"/>
        </w:rPr>
      </w:pPr>
      <w:r w:rsidRPr="00671FF2">
        <w:rPr>
          <w:rFonts w:ascii="Arial" w:hAnsi="Arial" w:cs="Arial"/>
        </w:rPr>
        <w:t>Here, the declarator fails both tests</w:t>
      </w:r>
      <w:r w:rsidR="000211CE">
        <w:rPr>
          <w:rFonts w:ascii="Arial" w:hAnsi="Arial" w:cs="Arial"/>
        </w:rPr>
        <w:t xml:space="preserve"> – it lacks utility and fails to settle the questions at issue between the parties</w:t>
      </w:r>
      <w:r w:rsidRPr="00671FF2">
        <w:rPr>
          <w:rFonts w:ascii="Arial" w:hAnsi="Arial" w:cs="Arial"/>
        </w:rPr>
        <w:t>.</w:t>
      </w:r>
    </w:p>
    <w:p w14:paraId="5B74F1A8" w14:textId="77777777" w:rsidR="0052669C" w:rsidRPr="00C25CBF" w:rsidRDefault="0052669C" w:rsidP="0052669C">
      <w:pPr>
        <w:rPr>
          <w:rFonts w:ascii="Arial" w:hAnsi="Arial" w:cs="Arial"/>
        </w:rPr>
      </w:pPr>
    </w:p>
    <w:p w14:paraId="30679239" w14:textId="19B7ABA7" w:rsidR="0052669C" w:rsidRDefault="0052669C" w:rsidP="0052669C">
      <w:pPr>
        <w:rPr>
          <w:rFonts w:ascii="Arial" w:hAnsi="Arial" w:cs="Arial"/>
        </w:rPr>
      </w:pPr>
      <w:r>
        <w:rPr>
          <w:rFonts w:ascii="Arial" w:hAnsi="Arial" w:cs="Arial"/>
        </w:rPr>
        <w:t>[</w:t>
      </w:r>
      <w:r w:rsidR="00C04DFD">
        <w:rPr>
          <w:rFonts w:ascii="Arial" w:hAnsi="Arial" w:cs="Arial"/>
        </w:rPr>
        <w:t>29</w:t>
      </w:r>
      <w:r w:rsidRPr="00671FF2">
        <w:rPr>
          <w:rFonts w:ascii="Arial" w:hAnsi="Arial" w:cs="Arial"/>
        </w:rPr>
        <w:t>]</w:t>
      </w:r>
      <w:r w:rsidRPr="00671FF2">
        <w:rPr>
          <w:rFonts w:ascii="Arial" w:hAnsi="Arial" w:cs="Arial"/>
        </w:rPr>
        <w:tab/>
        <w:t>In any event, we may well be precluded from entering into the substantive merits of the appeal. This is so because the matter was approached as if an appeal lies against the reasons for judgment. It does not. Rather, an appeal lies against the substantive order made by a court.</w:t>
      </w:r>
      <w:r w:rsidRPr="00671FF2">
        <w:rPr>
          <w:rStyle w:val="FootnoteReference"/>
          <w:rFonts w:ascii="Arial" w:hAnsi="Arial" w:cs="Arial"/>
        </w:rPr>
        <w:footnoteReference w:id="35"/>
      </w:r>
      <w:r w:rsidRPr="00671FF2">
        <w:rPr>
          <w:rFonts w:ascii="Arial" w:hAnsi="Arial" w:cs="Arial"/>
        </w:rPr>
        <w:t xml:space="preserve"> The order in this case reads: ‘the application is dismissed with costs, including the costs of senior and junior counsel’. The high court was called upon to resolve the competing</w:t>
      </w:r>
      <w:r>
        <w:rPr>
          <w:rFonts w:ascii="Arial" w:hAnsi="Arial" w:cs="Arial"/>
        </w:rPr>
        <w:t xml:space="preserve"> contentions of the parties in respect of s </w:t>
      </w:r>
      <w:r w:rsidRPr="00A51CCF">
        <w:rPr>
          <w:rFonts w:ascii="Arial" w:hAnsi="Arial" w:cs="Arial"/>
        </w:rPr>
        <w:t>11(1)</w:t>
      </w:r>
      <w:r w:rsidRPr="00FF252B">
        <w:rPr>
          <w:rFonts w:ascii="Arial" w:hAnsi="Arial" w:cs="Arial"/>
          <w:i/>
        </w:rPr>
        <w:t>(f)</w:t>
      </w:r>
      <w:r w:rsidRPr="00A51CCF">
        <w:rPr>
          <w:rFonts w:ascii="Arial" w:hAnsi="Arial" w:cs="Arial"/>
        </w:rPr>
        <w:t xml:space="preserve"> of the VAT Act</w:t>
      </w:r>
      <w:r>
        <w:rPr>
          <w:rFonts w:ascii="Arial" w:hAnsi="Arial" w:cs="Arial"/>
        </w:rPr>
        <w:t xml:space="preserve">, and although it evidently inclined against the appellant on that score, </w:t>
      </w:r>
      <w:r w:rsidR="000211CE">
        <w:rPr>
          <w:rFonts w:ascii="Arial" w:hAnsi="Arial" w:cs="Arial"/>
        </w:rPr>
        <w:t xml:space="preserve">absent a counter application by SARS, </w:t>
      </w:r>
      <w:r>
        <w:rPr>
          <w:rFonts w:ascii="Arial" w:hAnsi="Arial" w:cs="Arial"/>
        </w:rPr>
        <w:t>it could do no more than dismiss the appellant’s application with costs.</w:t>
      </w:r>
    </w:p>
    <w:p w14:paraId="10616688" w14:textId="77777777" w:rsidR="0052669C" w:rsidRDefault="0052669C" w:rsidP="0052669C">
      <w:pPr>
        <w:rPr>
          <w:rFonts w:ascii="Arial" w:hAnsi="Arial" w:cs="Arial"/>
        </w:rPr>
      </w:pPr>
    </w:p>
    <w:p w14:paraId="212C4821" w14:textId="12C1B352" w:rsidR="00EA6650" w:rsidRDefault="00C04DFD" w:rsidP="00EA6650">
      <w:pPr>
        <w:rPr>
          <w:rFonts w:ascii="Arial" w:hAnsi="Arial" w:cs="Arial"/>
        </w:rPr>
      </w:pPr>
      <w:r>
        <w:rPr>
          <w:rFonts w:ascii="Arial" w:hAnsi="Arial" w:cs="Arial"/>
        </w:rPr>
        <w:t>[30</w:t>
      </w:r>
      <w:r w:rsidR="00EA6650">
        <w:rPr>
          <w:rFonts w:ascii="Arial" w:hAnsi="Arial" w:cs="Arial"/>
        </w:rPr>
        <w:t>]</w:t>
      </w:r>
      <w:r w:rsidR="00EA6650">
        <w:rPr>
          <w:rFonts w:ascii="Arial" w:hAnsi="Arial" w:cs="Arial"/>
        </w:rPr>
        <w:tab/>
        <w:t xml:space="preserve">The cumulative consequence of all of the factors that I have alluded to is that an application for declaratory relief was not appropriate in this matter. The nature of the dispute more properly lent itself to resolution by use of the special machinery of the TAA set up for that purpose. Thus, although the high court incorrectly entertained an application for declaratory relief, it was correct in dismissing it. I may add, that </w:t>
      </w:r>
      <w:r w:rsidR="00EA6650" w:rsidRPr="007540D5">
        <w:rPr>
          <w:rFonts w:ascii="Arial" w:hAnsi="Arial" w:cs="Arial"/>
        </w:rPr>
        <w:t xml:space="preserve">this </w:t>
      </w:r>
      <w:r w:rsidR="00EA6650">
        <w:rPr>
          <w:rFonts w:ascii="Arial" w:hAnsi="Arial" w:cs="Arial"/>
        </w:rPr>
        <w:t>C</w:t>
      </w:r>
      <w:r w:rsidR="00EA6650" w:rsidRPr="007540D5">
        <w:rPr>
          <w:rFonts w:ascii="Arial" w:hAnsi="Arial" w:cs="Arial"/>
        </w:rPr>
        <w:t>ourt c</w:t>
      </w:r>
      <w:r w:rsidR="00EA6650">
        <w:rPr>
          <w:rFonts w:ascii="Arial" w:hAnsi="Arial" w:cs="Arial"/>
        </w:rPr>
        <w:t>ould not</w:t>
      </w:r>
      <w:r w:rsidR="00EA6650" w:rsidRPr="007540D5">
        <w:rPr>
          <w:rFonts w:ascii="Arial" w:hAnsi="Arial" w:cs="Arial"/>
        </w:rPr>
        <w:t xml:space="preserve"> interfere with the exercise of the high court’s discretion to deal or not </w:t>
      </w:r>
      <w:r w:rsidR="00EA6650" w:rsidRPr="007540D5">
        <w:rPr>
          <w:rFonts w:ascii="Arial" w:hAnsi="Arial" w:cs="Arial"/>
        </w:rPr>
        <w:lastRenderedPageBreak/>
        <w:t xml:space="preserve">deal with </w:t>
      </w:r>
      <w:r w:rsidR="00EA6650">
        <w:rPr>
          <w:rFonts w:ascii="Arial" w:hAnsi="Arial" w:cs="Arial"/>
        </w:rPr>
        <w:t>a</w:t>
      </w:r>
      <w:r w:rsidR="00EA6650" w:rsidRPr="007540D5">
        <w:rPr>
          <w:rFonts w:ascii="Arial" w:hAnsi="Arial" w:cs="Arial"/>
        </w:rPr>
        <w:t xml:space="preserve"> matter</w:t>
      </w:r>
      <w:r w:rsidR="00EA6650">
        <w:rPr>
          <w:rFonts w:ascii="Arial" w:hAnsi="Arial" w:cs="Arial"/>
        </w:rPr>
        <w:t xml:space="preserve"> (as should have happened here), unless there was a failure to exercise a judicial discretion.</w:t>
      </w:r>
      <w:r w:rsidR="00EA6650">
        <w:rPr>
          <w:rStyle w:val="FootnoteReference"/>
          <w:rFonts w:ascii="Arial" w:hAnsi="Arial" w:cs="Arial"/>
        </w:rPr>
        <w:footnoteReference w:id="36"/>
      </w:r>
      <w:r w:rsidR="00EA6650" w:rsidRPr="007540D5">
        <w:rPr>
          <w:rFonts w:ascii="Arial" w:hAnsi="Arial" w:cs="Arial"/>
        </w:rPr>
        <w:t xml:space="preserve"> </w:t>
      </w:r>
    </w:p>
    <w:p w14:paraId="3FF7727F" w14:textId="2C5096CA" w:rsidR="0052669C" w:rsidRDefault="0052669C" w:rsidP="0052669C">
      <w:pPr>
        <w:rPr>
          <w:rFonts w:ascii="Arial" w:hAnsi="Arial" w:cs="Arial"/>
        </w:rPr>
      </w:pPr>
    </w:p>
    <w:p w14:paraId="12F03EA4" w14:textId="265CD40B" w:rsidR="0052669C" w:rsidRPr="00EF6063" w:rsidRDefault="00C04DFD" w:rsidP="0052669C">
      <w:pPr>
        <w:rPr>
          <w:rFonts w:ascii="Arial" w:hAnsi="Arial" w:cs="Arial"/>
        </w:rPr>
      </w:pPr>
      <w:r>
        <w:rPr>
          <w:rFonts w:ascii="Arial" w:hAnsi="Arial" w:cs="Arial"/>
        </w:rPr>
        <w:t>[31</w:t>
      </w:r>
      <w:r w:rsidR="0052669C">
        <w:rPr>
          <w:rFonts w:ascii="Arial" w:hAnsi="Arial" w:cs="Arial"/>
        </w:rPr>
        <w:t>]</w:t>
      </w:r>
      <w:r w:rsidR="0052669C">
        <w:rPr>
          <w:rFonts w:ascii="Arial" w:hAnsi="Arial" w:cs="Arial"/>
        </w:rPr>
        <w:tab/>
        <w:t>In the result, the appeal is dismissed with costs including those of two counsel.</w:t>
      </w:r>
    </w:p>
    <w:p w14:paraId="259FDE84" w14:textId="77777777" w:rsidR="0052669C" w:rsidRPr="005654E2" w:rsidRDefault="0052669C" w:rsidP="0052669C">
      <w:pPr>
        <w:rPr>
          <w:rFonts w:ascii="Arial" w:hAnsi="Arial" w:cs="Arial"/>
        </w:rPr>
      </w:pPr>
    </w:p>
    <w:p w14:paraId="5A1D3846" w14:textId="77777777" w:rsidR="002732F5" w:rsidRPr="005654E2" w:rsidRDefault="002732F5" w:rsidP="002732F5">
      <w:pPr>
        <w:rPr>
          <w:rFonts w:ascii="Arial" w:hAnsi="Arial" w:cs="Arial"/>
        </w:rPr>
      </w:pPr>
    </w:p>
    <w:p w14:paraId="6D98C7AD" w14:textId="1CC97F57" w:rsidR="00232028" w:rsidRPr="001D7C8E" w:rsidRDefault="00232028" w:rsidP="001D7C8E">
      <w:pPr>
        <w:spacing w:line="480" w:lineRule="auto"/>
        <w:rPr>
          <w:rFonts w:ascii="Arial" w:hAnsi="Arial" w:cs="Arial"/>
          <w:iCs/>
        </w:rPr>
      </w:pPr>
    </w:p>
    <w:p w14:paraId="4F00FBCD" w14:textId="2E49537B" w:rsidR="00F41B1C" w:rsidRPr="00D01FEF" w:rsidRDefault="00F41B1C" w:rsidP="00F41B1C">
      <w:pPr>
        <w:jc w:val="right"/>
        <w:rPr>
          <w:rFonts w:ascii="Arial" w:eastAsia="Arial" w:hAnsi="Arial" w:cs="Arial"/>
        </w:rPr>
      </w:pPr>
      <w:r w:rsidRPr="00D01FEF">
        <w:rPr>
          <w:rFonts w:ascii="Arial" w:eastAsia="Arial" w:hAnsi="Arial" w:cs="Arial"/>
        </w:rPr>
        <w:tab/>
      </w:r>
      <w:r w:rsidRPr="00D01FEF">
        <w:rPr>
          <w:rFonts w:ascii="Arial" w:eastAsia="Arial" w:hAnsi="Arial" w:cs="Arial"/>
        </w:rPr>
        <w:tab/>
      </w:r>
      <w:r w:rsidRPr="00D01FEF">
        <w:rPr>
          <w:rFonts w:ascii="Arial" w:eastAsia="Arial" w:hAnsi="Arial" w:cs="Arial"/>
        </w:rPr>
        <w:tab/>
      </w:r>
      <w:r w:rsidRPr="00D01FEF">
        <w:rPr>
          <w:rFonts w:ascii="Arial" w:eastAsia="Arial" w:hAnsi="Arial" w:cs="Arial"/>
        </w:rPr>
        <w:tab/>
      </w:r>
      <w:r w:rsidRPr="00D01FEF">
        <w:rPr>
          <w:rFonts w:ascii="Arial" w:eastAsia="Arial" w:hAnsi="Arial" w:cs="Arial"/>
        </w:rPr>
        <w:tab/>
      </w:r>
      <w:r w:rsidRPr="00D01FEF">
        <w:rPr>
          <w:rFonts w:ascii="Arial" w:eastAsia="Arial" w:hAnsi="Arial" w:cs="Arial"/>
        </w:rPr>
        <w:tab/>
      </w:r>
      <w:r w:rsidRPr="00D01FEF">
        <w:rPr>
          <w:rFonts w:ascii="Arial" w:eastAsia="Arial" w:hAnsi="Arial" w:cs="Arial"/>
        </w:rPr>
        <w:tab/>
      </w:r>
      <w:r w:rsidRPr="00D01FEF">
        <w:rPr>
          <w:rFonts w:ascii="Arial" w:eastAsia="Arial" w:hAnsi="Arial" w:cs="Arial"/>
        </w:rPr>
        <w:tab/>
        <w:t>________________</w:t>
      </w:r>
    </w:p>
    <w:p w14:paraId="73C8CC9F" w14:textId="77777777" w:rsidR="00F41B1C" w:rsidRPr="00D01FEF" w:rsidRDefault="00F41B1C" w:rsidP="00F41B1C">
      <w:pPr>
        <w:jc w:val="right"/>
        <w:rPr>
          <w:rFonts w:ascii="Arial" w:eastAsia="Arial" w:hAnsi="Arial" w:cs="Arial"/>
        </w:rPr>
      </w:pPr>
      <w:r w:rsidRPr="00D01FEF">
        <w:rPr>
          <w:rFonts w:ascii="Arial" w:eastAsia="Arial" w:hAnsi="Arial" w:cs="Arial"/>
        </w:rPr>
        <w:t>V M PONNAN</w:t>
      </w:r>
    </w:p>
    <w:p w14:paraId="795EF834" w14:textId="6BEE0A22" w:rsidR="00232028" w:rsidRDefault="00F41B1C" w:rsidP="00F41B1C">
      <w:pPr>
        <w:jc w:val="right"/>
        <w:rPr>
          <w:rFonts w:ascii="Arial" w:eastAsia="Arial" w:hAnsi="Arial" w:cs="Arial"/>
        </w:rPr>
      </w:pPr>
      <w:r w:rsidRPr="00D01FEF">
        <w:rPr>
          <w:rFonts w:ascii="Arial" w:eastAsia="Arial" w:hAnsi="Arial" w:cs="Arial"/>
        </w:rPr>
        <w:t>JUDGE OF APPEAL</w:t>
      </w:r>
    </w:p>
    <w:p w14:paraId="0024DA01" w14:textId="77777777" w:rsidR="00D64434" w:rsidRDefault="00D64434" w:rsidP="00F41B1C">
      <w:pPr>
        <w:jc w:val="right"/>
        <w:rPr>
          <w:rFonts w:ascii="Arial" w:eastAsia="Arial" w:hAnsi="Arial" w:cs="Arial"/>
        </w:rPr>
      </w:pPr>
    </w:p>
    <w:p w14:paraId="19629FF3" w14:textId="77777777" w:rsidR="00F22ACA" w:rsidRPr="00FD2543" w:rsidRDefault="00F22ACA" w:rsidP="00F22ACA">
      <w:pPr>
        <w:rPr>
          <w:rFonts w:ascii="Arial" w:hAnsi="Arial" w:cs="Arial"/>
          <w:b/>
        </w:rPr>
      </w:pPr>
      <w:r w:rsidRPr="00FD2543">
        <w:rPr>
          <w:rFonts w:ascii="Arial" w:hAnsi="Arial" w:cs="Arial"/>
          <w:b/>
        </w:rPr>
        <w:t>Molemela P</w:t>
      </w:r>
    </w:p>
    <w:p w14:paraId="779EFB6D" w14:textId="23483DBF" w:rsidR="00F22ACA" w:rsidRDefault="00F22ACA" w:rsidP="00F22ACA">
      <w:pPr>
        <w:spacing w:after="240"/>
        <w:rPr>
          <w:rFonts w:ascii="Arial" w:hAnsi="Arial" w:cs="Arial"/>
        </w:rPr>
      </w:pPr>
      <w:r>
        <w:rPr>
          <w:rFonts w:ascii="Arial" w:hAnsi="Arial" w:cs="Arial"/>
        </w:rPr>
        <w:t>[</w:t>
      </w:r>
      <w:r w:rsidR="007411CB">
        <w:rPr>
          <w:rFonts w:ascii="Arial" w:hAnsi="Arial" w:cs="Arial"/>
        </w:rPr>
        <w:t>32</w:t>
      </w:r>
      <w:r>
        <w:rPr>
          <w:rFonts w:ascii="Arial" w:hAnsi="Arial" w:cs="Arial"/>
        </w:rPr>
        <w:t>]</w:t>
      </w:r>
      <w:r>
        <w:rPr>
          <w:rFonts w:ascii="Arial" w:hAnsi="Arial" w:cs="Arial"/>
        </w:rPr>
        <w:tab/>
      </w:r>
      <w:r w:rsidRPr="003453D8">
        <w:rPr>
          <w:rFonts w:ascii="Arial" w:hAnsi="Arial" w:cs="Arial"/>
        </w:rPr>
        <w:t xml:space="preserve">I have read the judgment of my </w:t>
      </w:r>
      <w:r>
        <w:rPr>
          <w:rFonts w:ascii="Arial" w:hAnsi="Arial" w:cs="Arial"/>
        </w:rPr>
        <w:t>b</w:t>
      </w:r>
      <w:r w:rsidRPr="003453D8">
        <w:rPr>
          <w:rFonts w:ascii="Arial" w:hAnsi="Arial" w:cs="Arial"/>
        </w:rPr>
        <w:t>rother, Ponnan JA</w:t>
      </w:r>
      <w:r w:rsidR="00364C16">
        <w:rPr>
          <w:rFonts w:ascii="Arial" w:hAnsi="Arial" w:cs="Arial"/>
        </w:rPr>
        <w:t xml:space="preserve"> (</w:t>
      </w:r>
      <w:r w:rsidR="00C92772">
        <w:rPr>
          <w:rFonts w:ascii="Arial" w:hAnsi="Arial" w:cs="Arial"/>
        </w:rPr>
        <w:t xml:space="preserve">the </w:t>
      </w:r>
      <w:r w:rsidR="00224EB4">
        <w:rPr>
          <w:rFonts w:ascii="Arial" w:hAnsi="Arial" w:cs="Arial"/>
        </w:rPr>
        <w:t>majority</w:t>
      </w:r>
      <w:r w:rsidR="00364C16">
        <w:rPr>
          <w:rFonts w:ascii="Arial" w:hAnsi="Arial" w:cs="Arial"/>
        </w:rPr>
        <w:t xml:space="preserve"> judgment)</w:t>
      </w:r>
      <w:r w:rsidRPr="003453D8">
        <w:rPr>
          <w:rFonts w:ascii="Arial" w:hAnsi="Arial" w:cs="Arial"/>
        </w:rPr>
        <w:t xml:space="preserve">. </w:t>
      </w:r>
      <w:r>
        <w:rPr>
          <w:rFonts w:ascii="Arial" w:hAnsi="Arial" w:cs="Arial"/>
        </w:rPr>
        <w:t>Although I to</w:t>
      </w:r>
      <w:r w:rsidRPr="00DE6035">
        <w:rPr>
          <w:rFonts w:ascii="Arial" w:hAnsi="Arial" w:cs="Arial"/>
        </w:rPr>
        <w:t xml:space="preserve">o </w:t>
      </w:r>
      <w:r w:rsidR="00A1148A" w:rsidRPr="00DE6035">
        <w:rPr>
          <w:rFonts w:ascii="Arial" w:hAnsi="Arial" w:cs="Arial"/>
        </w:rPr>
        <w:t>conclude</w:t>
      </w:r>
      <w:r>
        <w:rPr>
          <w:rFonts w:ascii="Arial" w:hAnsi="Arial" w:cs="Arial"/>
        </w:rPr>
        <w:t xml:space="preserve"> that the appeal must be dismissed, I however respectfully disagree with the </w:t>
      </w:r>
      <w:r w:rsidR="00224EB4">
        <w:rPr>
          <w:rFonts w:ascii="Arial" w:hAnsi="Arial" w:cs="Arial"/>
        </w:rPr>
        <w:t>majority</w:t>
      </w:r>
      <w:r>
        <w:rPr>
          <w:rFonts w:ascii="Arial" w:hAnsi="Arial" w:cs="Arial"/>
        </w:rPr>
        <w:t xml:space="preserve"> judgment’s</w:t>
      </w:r>
      <w:r w:rsidRPr="00B001E0">
        <w:rPr>
          <w:rFonts w:ascii="Arial" w:hAnsi="Arial" w:cs="Arial"/>
        </w:rPr>
        <w:t xml:space="preserve"> finding that the high court incorrectly entertained the application for declaratory relief.</w:t>
      </w:r>
    </w:p>
    <w:p w14:paraId="29206FBF" w14:textId="581EC220" w:rsidR="00F22ACA" w:rsidRDefault="00F22ACA" w:rsidP="00F22ACA">
      <w:pPr>
        <w:pStyle w:val="NormalWeb"/>
        <w:shd w:val="clear" w:color="auto" w:fill="FFFFFF"/>
        <w:spacing w:before="0" w:beforeAutospacing="0" w:after="240" w:afterAutospacing="0" w:line="360" w:lineRule="auto"/>
        <w:jc w:val="both"/>
        <w:rPr>
          <w:rFonts w:ascii="Arial" w:hAnsi="Arial" w:cs="Arial"/>
        </w:rPr>
      </w:pPr>
      <w:r>
        <w:rPr>
          <w:rFonts w:ascii="Arial" w:hAnsi="Arial" w:cs="Arial"/>
          <w:color w:val="242121"/>
          <w:lang w:val="en-GB"/>
        </w:rPr>
        <w:t>[</w:t>
      </w:r>
      <w:r w:rsidR="007411CB">
        <w:rPr>
          <w:rFonts w:ascii="Arial" w:hAnsi="Arial" w:cs="Arial"/>
          <w:color w:val="242121"/>
          <w:lang w:val="en-GB"/>
        </w:rPr>
        <w:t>33</w:t>
      </w:r>
      <w:r>
        <w:rPr>
          <w:rFonts w:ascii="Arial" w:hAnsi="Arial" w:cs="Arial"/>
          <w:color w:val="242121"/>
          <w:lang w:val="en-GB"/>
        </w:rPr>
        <w:t>]</w:t>
      </w:r>
      <w:r>
        <w:rPr>
          <w:rFonts w:ascii="Arial" w:hAnsi="Arial" w:cs="Arial"/>
          <w:color w:val="242121"/>
          <w:lang w:val="en-GB"/>
        </w:rPr>
        <w:tab/>
        <w:t xml:space="preserve">The facts of this matter have been comprehensively set out in the </w:t>
      </w:r>
      <w:r w:rsidR="00B34E01">
        <w:rPr>
          <w:rFonts w:ascii="Arial" w:hAnsi="Arial" w:cs="Arial"/>
          <w:color w:val="242121"/>
          <w:lang w:val="en-GB"/>
        </w:rPr>
        <w:t>majority</w:t>
      </w:r>
      <w:r>
        <w:rPr>
          <w:rFonts w:ascii="Arial" w:hAnsi="Arial" w:cs="Arial"/>
          <w:color w:val="242121"/>
          <w:lang w:val="en-GB"/>
        </w:rPr>
        <w:t xml:space="preserve"> judgment and it is therefore not necessary to rehearse them in this section of the judgment. </w:t>
      </w:r>
      <w:r>
        <w:rPr>
          <w:rFonts w:ascii="Arial" w:hAnsi="Arial" w:cs="Arial"/>
        </w:rPr>
        <w:t xml:space="preserve">It is trite that every case must be judged on its own facts and circumstances. As correctly set out in the </w:t>
      </w:r>
      <w:r w:rsidR="00B34E01">
        <w:rPr>
          <w:rFonts w:ascii="Arial" w:hAnsi="Arial" w:cs="Arial"/>
        </w:rPr>
        <w:t>majority</w:t>
      </w:r>
      <w:r>
        <w:rPr>
          <w:rFonts w:ascii="Arial" w:hAnsi="Arial" w:cs="Arial"/>
        </w:rPr>
        <w:t xml:space="preserve"> judgment, s </w:t>
      </w:r>
      <w:r w:rsidRPr="00CF3885">
        <w:rPr>
          <w:rFonts w:ascii="Arial" w:hAnsi="Arial" w:cs="Arial"/>
        </w:rPr>
        <w:t>105 of the TAA makes it plain that a taxpayer may only dispute an assessment by the objection and appeal procedure to the Tax Court under the TAA</w:t>
      </w:r>
      <w:r>
        <w:rPr>
          <w:rFonts w:ascii="Arial" w:hAnsi="Arial" w:cs="Arial"/>
        </w:rPr>
        <w:t>,</w:t>
      </w:r>
      <w:r w:rsidRPr="00CF3885">
        <w:rPr>
          <w:rFonts w:ascii="Arial" w:hAnsi="Arial" w:cs="Arial"/>
        </w:rPr>
        <w:t xml:space="preserve"> unless a high court directs otherwise</w:t>
      </w:r>
      <w:r>
        <w:rPr>
          <w:rFonts w:ascii="Arial" w:hAnsi="Arial" w:cs="Arial"/>
        </w:rPr>
        <w:t>. The term ‘assessment’ means ‘the determination of the amount of a tax liability or refund, by way of self-assessment by the taxpayer or assessment by SARS’,</w:t>
      </w:r>
      <w:r>
        <w:rPr>
          <w:rStyle w:val="FootnoteReference"/>
          <w:rFonts w:ascii="Arial" w:hAnsi="Arial" w:cs="Arial"/>
        </w:rPr>
        <w:footnoteReference w:id="37"/>
      </w:r>
      <w:r>
        <w:rPr>
          <w:rFonts w:ascii="Arial" w:hAnsi="Arial" w:cs="Arial"/>
        </w:rPr>
        <w:t xml:space="preserve"> while ‘decision’ is defined as ‘a decision referred to in s 104(2)’</w:t>
      </w:r>
      <w:r>
        <w:rPr>
          <w:rStyle w:val="FootnoteReference"/>
          <w:rFonts w:ascii="Arial" w:hAnsi="Arial" w:cs="Arial"/>
        </w:rPr>
        <w:footnoteReference w:id="38"/>
      </w:r>
      <w:r>
        <w:rPr>
          <w:rFonts w:ascii="Arial" w:hAnsi="Arial" w:cs="Arial"/>
        </w:rPr>
        <w:t xml:space="preserve"> of the TAA, which includes the decision not to extend the period for lodging the objection, or a decision not to extend the period for the lodging of the appeal. </w:t>
      </w:r>
    </w:p>
    <w:p w14:paraId="5C6BC2A2" w14:textId="646F1F7D" w:rsidR="00F22ACA" w:rsidRDefault="00F22ACA" w:rsidP="00F22ACA">
      <w:pPr>
        <w:pStyle w:val="NormalWeb"/>
        <w:shd w:val="clear" w:color="auto" w:fill="FFFFFF"/>
        <w:spacing w:before="0" w:beforeAutospacing="0" w:after="240" w:afterAutospacing="0" w:line="360" w:lineRule="auto"/>
        <w:jc w:val="both"/>
        <w:rPr>
          <w:rFonts w:ascii="Arial" w:hAnsi="Arial" w:cs="Arial"/>
        </w:rPr>
      </w:pPr>
      <w:r>
        <w:rPr>
          <w:rFonts w:ascii="Arial" w:hAnsi="Arial" w:cs="Arial"/>
        </w:rPr>
        <w:t>[3</w:t>
      </w:r>
      <w:r w:rsidR="007411CB">
        <w:rPr>
          <w:rFonts w:ascii="Arial" w:hAnsi="Arial" w:cs="Arial"/>
        </w:rPr>
        <w:t>4</w:t>
      </w:r>
      <w:r>
        <w:rPr>
          <w:rFonts w:ascii="Arial" w:hAnsi="Arial" w:cs="Arial"/>
        </w:rPr>
        <w:t>]</w:t>
      </w:r>
      <w:r>
        <w:rPr>
          <w:rFonts w:ascii="Arial" w:hAnsi="Arial" w:cs="Arial"/>
        </w:rPr>
        <w:tab/>
        <w:t>In this matter, t</w:t>
      </w:r>
      <w:r w:rsidRPr="00050E4D">
        <w:rPr>
          <w:rFonts w:ascii="Arial" w:hAnsi="Arial" w:cs="Arial"/>
        </w:rPr>
        <w:t xml:space="preserve">he appellant specifically pleaded in its founding affidavit that its application was not intended to dispute an assessment or decision as contemplated </w:t>
      </w:r>
      <w:r w:rsidRPr="00050E4D">
        <w:rPr>
          <w:rFonts w:ascii="Arial" w:hAnsi="Arial" w:cs="Arial"/>
        </w:rPr>
        <w:lastRenderedPageBreak/>
        <w:t xml:space="preserve">in s 104 of the TAA </w:t>
      </w:r>
      <w:r>
        <w:rPr>
          <w:rFonts w:ascii="Arial" w:hAnsi="Arial" w:cs="Arial"/>
        </w:rPr>
        <w:t xml:space="preserve">and went on to </w:t>
      </w:r>
      <w:r w:rsidRPr="00050E4D">
        <w:rPr>
          <w:rFonts w:ascii="Arial" w:hAnsi="Arial" w:cs="Arial"/>
        </w:rPr>
        <w:t xml:space="preserve">assert that the jurisdiction of the high court was consequently not ousted by the </w:t>
      </w:r>
      <w:r>
        <w:rPr>
          <w:rFonts w:ascii="Arial" w:hAnsi="Arial" w:cs="Arial"/>
        </w:rPr>
        <w:t xml:space="preserve">absence of a directive as contemplated in </w:t>
      </w:r>
      <w:r w:rsidRPr="00050E4D">
        <w:rPr>
          <w:rFonts w:ascii="Arial" w:hAnsi="Arial" w:cs="Arial"/>
        </w:rPr>
        <w:t>of s</w:t>
      </w:r>
      <w:r>
        <w:rPr>
          <w:rFonts w:ascii="Arial" w:hAnsi="Arial" w:cs="Arial"/>
        </w:rPr>
        <w:t> </w:t>
      </w:r>
      <w:r w:rsidRPr="00050E4D">
        <w:rPr>
          <w:rFonts w:ascii="Arial" w:hAnsi="Arial" w:cs="Arial"/>
        </w:rPr>
        <w:t>105 of the TAA. SARS took no issue with that assertion in its answering affidavit</w:t>
      </w:r>
      <w:r>
        <w:rPr>
          <w:rFonts w:ascii="Arial" w:hAnsi="Arial" w:cs="Arial"/>
        </w:rPr>
        <w:t xml:space="preserve">. It is worth noting that both counsel confirmed that by the time the application was heard, SARS had still not issued any assessments. Having taken the pleadings and all the circumstances of this case into account, I am satisfied that there was neither an assessment nor decision within the contemplation of s 104 of the TAA. That being the case, s 105 was not implicated. Put differently, on the facts of this case, the s 105 directive did not find application. </w:t>
      </w:r>
      <w:r w:rsidRPr="00C2302E">
        <w:rPr>
          <w:rFonts w:ascii="Arial" w:hAnsi="Arial" w:cs="Arial"/>
          <w:i/>
          <w:iCs/>
        </w:rPr>
        <w:t>Rappa</w:t>
      </w:r>
      <w:r>
        <w:rPr>
          <w:rFonts w:ascii="Arial" w:hAnsi="Arial" w:cs="Arial"/>
        </w:rPr>
        <w:t xml:space="preserve"> is clearly distinguishable on the facts because in that matter, an assessment had already been issued by SARS whereas no assessment had been issued in the matter under consideration; furthermore, the applicant in that matter had instituted a review application and not sought a declarator as is the case here. </w:t>
      </w:r>
    </w:p>
    <w:p w14:paraId="2D16AF4C" w14:textId="1A04A02F" w:rsidR="00F22ACA" w:rsidRPr="00B76F76" w:rsidRDefault="00F22ACA" w:rsidP="00F22ACA">
      <w:pPr>
        <w:pStyle w:val="NormalWeb"/>
        <w:shd w:val="clear" w:color="auto" w:fill="FFFFFF"/>
        <w:spacing w:before="0" w:beforeAutospacing="0" w:after="240" w:afterAutospacing="0" w:line="360" w:lineRule="auto"/>
        <w:jc w:val="both"/>
        <w:rPr>
          <w:rFonts w:ascii="Arial" w:hAnsi="Arial" w:cs="Arial"/>
        </w:rPr>
      </w:pPr>
      <w:r>
        <w:rPr>
          <w:rFonts w:ascii="Arial" w:hAnsi="Arial" w:cs="Arial"/>
        </w:rPr>
        <w:t>[</w:t>
      </w:r>
      <w:r w:rsidR="007411CB">
        <w:rPr>
          <w:rFonts w:ascii="Arial" w:hAnsi="Arial" w:cs="Arial"/>
        </w:rPr>
        <w:t>35</w:t>
      </w:r>
      <w:r>
        <w:rPr>
          <w:rFonts w:ascii="Arial" w:hAnsi="Arial" w:cs="Arial"/>
        </w:rPr>
        <w:t>]</w:t>
      </w:r>
      <w:r>
        <w:rPr>
          <w:rFonts w:ascii="Arial" w:hAnsi="Arial" w:cs="Arial"/>
        </w:rPr>
        <w:tab/>
        <w:t>In terms of s 21(1)</w:t>
      </w:r>
      <w:r w:rsidRPr="00BF579E">
        <w:rPr>
          <w:rFonts w:ascii="Arial" w:hAnsi="Arial" w:cs="Arial"/>
          <w:i/>
          <w:iCs/>
        </w:rPr>
        <w:t xml:space="preserve">(c) </w:t>
      </w:r>
      <w:r>
        <w:rPr>
          <w:rFonts w:ascii="Arial" w:hAnsi="Arial" w:cs="Arial"/>
        </w:rPr>
        <w:t xml:space="preserve">of the Superior Courts Act the court has the power, </w:t>
      </w:r>
      <w:r w:rsidRPr="00152373">
        <w:rPr>
          <w:rFonts w:ascii="Arial" w:hAnsi="Arial" w:cs="Arial"/>
          <w:i/>
          <w:iCs/>
        </w:rPr>
        <w:t>in its discretion</w:t>
      </w:r>
      <w:r>
        <w:rPr>
          <w:rFonts w:ascii="Arial" w:hAnsi="Arial" w:cs="Arial"/>
        </w:rPr>
        <w:t xml:space="preserve"> and at the instance of any interested person, to grant declaratory relief. I</w:t>
      </w:r>
      <w:r w:rsidRPr="008C05D8">
        <w:rPr>
          <w:rFonts w:ascii="Arial" w:hAnsi="Arial" w:cs="Arial"/>
        </w:rPr>
        <w:t>t is trite that two main considerations occupy the presiding judge’s mind when adjudicating an application in which declaratory relief is sought, namely (</w:t>
      </w:r>
      <w:r>
        <w:rPr>
          <w:rFonts w:ascii="Arial" w:hAnsi="Arial" w:cs="Arial"/>
        </w:rPr>
        <w:t>a</w:t>
      </w:r>
      <w:r w:rsidRPr="008C05D8">
        <w:rPr>
          <w:rFonts w:ascii="Arial" w:hAnsi="Arial" w:cs="Arial"/>
        </w:rPr>
        <w:t>) whether an applicant has an interest in an existing, future or contingent right or obligation and, if so, (</w:t>
      </w:r>
      <w:r>
        <w:rPr>
          <w:rFonts w:ascii="Arial" w:hAnsi="Arial" w:cs="Arial"/>
        </w:rPr>
        <w:t>b</w:t>
      </w:r>
      <w:r w:rsidRPr="008C05D8">
        <w:rPr>
          <w:rFonts w:ascii="Arial" w:hAnsi="Arial" w:cs="Arial"/>
        </w:rPr>
        <w:t>) whether the order ought to be granted,</w:t>
      </w:r>
      <w:r w:rsidRPr="008C05D8">
        <w:rPr>
          <w:rStyle w:val="FootnoteReference"/>
          <w:rFonts w:ascii="Arial" w:hAnsi="Arial" w:cs="Arial"/>
        </w:rPr>
        <w:footnoteReference w:id="39"/>
      </w:r>
      <w:r w:rsidRPr="008C05D8">
        <w:rPr>
          <w:rFonts w:ascii="Arial" w:hAnsi="Arial" w:cs="Arial"/>
        </w:rPr>
        <w:t xml:space="preserve"> all things considered. </w:t>
      </w:r>
      <w:r w:rsidRPr="00B76F76">
        <w:rPr>
          <w:rFonts w:ascii="Arial" w:hAnsi="Arial" w:cs="Arial"/>
        </w:rPr>
        <w:t>During the first leg of this two-stage enquiry the court focuses on the necessary condition precedent, namely, whether the applicant has shown an ‘existing, future or contingent right or obligation’.</w:t>
      </w:r>
      <w:r w:rsidRPr="00B76F76">
        <w:rPr>
          <w:rStyle w:val="FootnoteReference"/>
          <w:rFonts w:ascii="Arial" w:hAnsi="Arial" w:cs="Arial"/>
        </w:rPr>
        <w:footnoteReference w:id="40"/>
      </w:r>
      <w:r w:rsidRPr="00B76F76">
        <w:rPr>
          <w:rFonts w:ascii="Arial" w:hAnsi="Arial" w:cs="Arial"/>
        </w:rPr>
        <w:t xml:space="preserve"> This is the jurisdictional requirement. If the court is satisfied that the existence of such conditions has been proven, the second leg of the enquiry is the consideration, within the court’s discretion, </w:t>
      </w:r>
      <w:r w:rsidR="00894C19" w:rsidRPr="00B76F76">
        <w:rPr>
          <w:rFonts w:ascii="Arial" w:hAnsi="Arial" w:cs="Arial"/>
        </w:rPr>
        <w:t>whether</w:t>
      </w:r>
      <w:r w:rsidRPr="00B76F76">
        <w:rPr>
          <w:rFonts w:ascii="Arial" w:hAnsi="Arial" w:cs="Arial"/>
        </w:rPr>
        <w:t xml:space="preserve"> to refuse or grant the order sought.</w:t>
      </w:r>
      <w:r w:rsidRPr="00B76F76">
        <w:rPr>
          <w:rStyle w:val="FootnoteReference"/>
          <w:rFonts w:ascii="Arial" w:hAnsi="Arial" w:cs="Arial"/>
        </w:rPr>
        <w:footnoteReference w:id="41"/>
      </w:r>
      <w:r w:rsidRPr="00B76F76">
        <w:rPr>
          <w:rFonts w:ascii="Arial" w:hAnsi="Arial" w:cs="Arial"/>
        </w:rPr>
        <w:t xml:space="preserve"> </w:t>
      </w:r>
    </w:p>
    <w:p w14:paraId="5A4FC668" w14:textId="1B67631F" w:rsidR="00F22ACA" w:rsidRDefault="00F22ACA" w:rsidP="00F22ACA">
      <w:pPr>
        <w:pStyle w:val="NormalWeb"/>
        <w:shd w:val="clear" w:color="auto" w:fill="FFFFFF"/>
        <w:spacing w:before="0" w:beforeAutospacing="0" w:after="240" w:afterAutospacing="0" w:line="360" w:lineRule="auto"/>
        <w:jc w:val="both"/>
        <w:rPr>
          <w:rFonts w:ascii="Arial" w:hAnsi="Arial" w:cs="Arial"/>
        </w:rPr>
      </w:pPr>
      <w:r>
        <w:rPr>
          <w:rFonts w:ascii="Arial" w:hAnsi="Arial" w:cs="Arial"/>
          <w:color w:val="242121"/>
        </w:rPr>
        <w:t>[</w:t>
      </w:r>
      <w:r w:rsidR="007411CB">
        <w:rPr>
          <w:rFonts w:ascii="Arial" w:hAnsi="Arial" w:cs="Arial"/>
          <w:color w:val="242121"/>
        </w:rPr>
        <w:t>36</w:t>
      </w:r>
      <w:r>
        <w:rPr>
          <w:rFonts w:ascii="Arial" w:hAnsi="Arial" w:cs="Arial"/>
          <w:color w:val="242121"/>
        </w:rPr>
        <w:t>]</w:t>
      </w:r>
      <w:r>
        <w:rPr>
          <w:rFonts w:ascii="Arial" w:hAnsi="Arial" w:cs="Arial"/>
          <w:color w:val="242121"/>
        </w:rPr>
        <w:tab/>
      </w:r>
      <w:r>
        <w:rPr>
          <w:rFonts w:ascii="Arial" w:hAnsi="Arial" w:cs="Arial"/>
        </w:rPr>
        <w:t>Given the common cause fact that an assessment or decision had not been made by SARS and that the narrow issue presented to the high court for determination was the interpretation of s 11(1)</w:t>
      </w:r>
      <w:r w:rsidRPr="00F8709E">
        <w:rPr>
          <w:rFonts w:ascii="Arial" w:hAnsi="Arial" w:cs="Arial"/>
          <w:i/>
          <w:iCs/>
        </w:rPr>
        <w:t>(f)</w:t>
      </w:r>
      <w:r>
        <w:rPr>
          <w:rFonts w:ascii="Arial" w:hAnsi="Arial" w:cs="Arial"/>
        </w:rPr>
        <w:t xml:space="preserve">, </w:t>
      </w:r>
      <w:r w:rsidRPr="00541C96">
        <w:rPr>
          <w:rFonts w:ascii="Arial" w:hAnsi="Arial" w:cs="Arial"/>
          <w:i/>
          <w:iCs/>
        </w:rPr>
        <w:t>a fortiori</w:t>
      </w:r>
      <w:r>
        <w:rPr>
          <w:rFonts w:ascii="Arial" w:hAnsi="Arial" w:cs="Arial"/>
        </w:rPr>
        <w:t xml:space="preserve">, no directive was required from the high </w:t>
      </w:r>
      <w:r>
        <w:rPr>
          <w:rFonts w:ascii="Arial" w:hAnsi="Arial" w:cs="Arial"/>
        </w:rPr>
        <w:lastRenderedPageBreak/>
        <w:t>court for it to exercise its jurisdiction under s 21(1)</w:t>
      </w:r>
      <w:r>
        <w:rPr>
          <w:rFonts w:ascii="Arial" w:hAnsi="Arial" w:cs="Arial"/>
          <w:i/>
          <w:iCs/>
        </w:rPr>
        <w:t>(c)</w:t>
      </w:r>
      <w:r>
        <w:rPr>
          <w:rFonts w:ascii="Arial" w:hAnsi="Arial" w:cs="Arial"/>
        </w:rPr>
        <w:t xml:space="preserve"> of the Superior Courts Act. In a nutshell, nothing barred the high court from entertaining the appellant’s application for the declaratory relief. In coming to this conclusion, I am fortified by two judgments of this Court in which t</w:t>
      </w:r>
      <w:r w:rsidRPr="002E6F49">
        <w:rPr>
          <w:rFonts w:ascii="Arial" w:hAnsi="Arial" w:cs="Arial"/>
        </w:rPr>
        <w:t xml:space="preserve">he bringing of an application for a declarator in respect of the interpretation of legislation pertaining to tax matters </w:t>
      </w:r>
      <w:r>
        <w:rPr>
          <w:rFonts w:ascii="Arial" w:hAnsi="Arial" w:cs="Arial"/>
        </w:rPr>
        <w:t xml:space="preserve">came up for consideration. </w:t>
      </w:r>
    </w:p>
    <w:p w14:paraId="417B6EC7" w14:textId="1B817726" w:rsidR="00F22ACA" w:rsidRPr="008A3E5D" w:rsidRDefault="00F22ACA" w:rsidP="00F22ACA">
      <w:pPr>
        <w:pStyle w:val="NormalWeb"/>
        <w:shd w:val="clear" w:color="auto" w:fill="FFFFFF"/>
        <w:spacing w:before="0" w:beforeAutospacing="0" w:after="0" w:afterAutospacing="0" w:line="360" w:lineRule="auto"/>
        <w:jc w:val="both"/>
        <w:rPr>
          <w:rFonts w:ascii="Arial" w:hAnsi="Arial" w:cs="Arial"/>
        </w:rPr>
      </w:pPr>
      <w:r>
        <w:rPr>
          <w:rFonts w:ascii="Arial" w:hAnsi="Arial" w:cs="Arial"/>
        </w:rPr>
        <w:t>[</w:t>
      </w:r>
      <w:r w:rsidR="007411CB">
        <w:rPr>
          <w:rFonts w:ascii="Arial" w:hAnsi="Arial" w:cs="Arial"/>
        </w:rPr>
        <w:t>37</w:t>
      </w:r>
      <w:r>
        <w:rPr>
          <w:rFonts w:ascii="Arial" w:hAnsi="Arial" w:cs="Arial"/>
        </w:rPr>
        <w:t>]</w:t>
      </w:r>
      <w:r>
        <w:rPr>
          <w:rFonts w:ascii="Arial" w:hAnsi="Arial" w:cs="Arial"/>
        </w:rPr>
        <w:tab/>
        <w:t xml:space="preserve">In </w:t>
      </w:r>
      <w:r w:rsidRPr="00436DD8">
        <w:rPr>
          <w:rFonts w:ascii="Arial" w:hAnsi="Arial" w:cs="Arial"/>
          <w:i/>
          <w:iCs/>
        </w:rPr>
        <w:t>Commissioner for South African Revenue Service v Langholm Farms (Pty) Ltd</w:t>
      </w:r>
      <w:r>
        <w:rPr>
          <w:rStyle w:val="FootnoteReference"/>
          <w:rFonts w:ascii="Arial" w:hAnsi="Arial" w:cs="Arial"/>
        </w:rPr>
        <w:footnoteReference w:id="42"/>
      </w:r>
      <w:r>
        <w:rPr>
          <w:rFonts w:ascii="Arial" w:hAnsi="Arial" w:cs="Arial"/>
        </w:rPr>
        <w:t xml:space="preserve">, </w:t>
      </w:r>
      <w:r w:rsidR="007411CB" w:rsidRPr="00FC5A05">
        <w:rPr>
          <w:rFonts w:ascii="Arial" w:hAnsi="Arial" w:cs="Arial"/>
          <w:i/>
          <w:iCs/>
        </w:rPr>
        <w:t>Langholm Farms</w:t>
      </w:r>
      <w:r>
        <w:rPr>
          <w:rFonts w:ascii="Arial" w:hAnsi="Arial" w:cs="Arial"/>
        </w:rPr>
        <w:t xml:space="preserve"> had submitted diesel refund claims to SARS, which prompted SARS to perform an audit. Based on SARS’ interpretation of s 75(1C)</w:t>
      </w:r>
      <w:r>
        <w:rPr>
          <w:rFonts w:ascii="Arial" w:hAnsi="Arial" w:cs="Arial"/>
          <w:i/>
          <w:iCs/>
        </w:rPr>
        <w:t>(a)</w:t>
      </w:r>
      <w:r>
        <w:rPr>
          <w:rFonts w:ascii="Arial" w:hAnsi="Arial" w:cs="Arial"/>
        </w:rPr>
        <w:t>(iii) of the Customs and Excise Act 91 of 1964 (CEA),</w:t>
      </w:r>
      <w:r>
        <w:rPr>
          <w:rFonts w:ascii="Arial" w:hAnsi="Arial" w:cs="Arial"/>
          <w:i/>
          <w:iCs/>
        </w:rPr>
        <w:t xml:space="preserve"> </w:t>
      </w:r>
      <w:r>
        <w:rPr>
          <w:rFonts w:ascii="Arial" w:hAnsi="Arial" w:cs="Arial"/>
        </w:rPr>
        <w:t xml:space="preserve">SARS subsequently issued a notice of intention to issue a revised assessment disallowing </w:t>
      </w:r>
      <w:r w:rsidR="007411CB" w:rsidRPr="00FC5A05">
        <w:rPr>
          <w:rFonts w:ascii="Arial" w:hAnsi="Arial" w:cs="Arial"/>
          <w:i/>
          <w:iCs/>
        </w:rPr>
        <w:t>Langholm Farms</w:t>
      </w:r>
      <w:r w:rsidRPr="007E5E64">
        <w:rPr>
          <w:rFonts w:ascii="Arial" w:hAnsi="Arial" w:cs="Arial"/>
          <w:i/>
        </w:rPr>
        <w:t>’</w:t>
      </w:r>
      <w:r>
        <w:rPr>
          <w:rFonts w:ascii="Arial" w:hAnsi="Arial" w:cs="Arial"/>
        </w:rPr>
        <w:t xml:space="preserve"> claim on the basis that the diesel refund claims were excessive. </w:t>
      </w:r>
      <w:r w:rsidR="007411CB" w:rsidRPr="00FC5A05">
        <w:rPr>
          <w:rFonts w:ascii="Arial" w:hAnsi="Arial" w:cs="Arial"/>
          <w:i/>
          <w:iCs/>
        </w:rPr>
        <w:t>Langholm Farms</w:t>
      </w:r>
      <w:r>
        <w:rPr>
          <w:rFonts w:ascii="Arial" w:hAnsi="Arial" w:cs="Arial"/>
        </w:rPr>
        <w:t xml:space="preserve"> was invited to submit representations. Instead of responding to SARS’ notice of intent, </w:t>
      </w:r>
      <w:r w:rsidR="00E009CF" w:rsidRPr="00FC5A05">
        <w:rPr>
          <w:rFonts w:ascii="Arial" w:hAnsi="Arial" w:cs="Arial"/>
          <w:i/>
          <w:iCs/>
        </w:rPr>
        <w:t>Langholm Farms</w:t>
      </w:r>
      <w:r>
        <w:rPr>
          <w:rFonts w:ascii="Arial" w:hAnsi="Arial" w:cs="Arial"/>
        </w:rPr>
        <w:t xml:space="preserve"> approached the high court for a declaratory order concerning the correct interpretation of s 75(1C)</w:t>
      </w:r>
      <w:r w:rsidRPr="00D37D9A">
        <w:rPr>
          <w:rFonts w:ascii="Arial" w:hAnsi="Arial" w:cs="Arial"/>
          <w:i/>
        </w:rPr>
        <w:t>(a)</w:t>
      </w:r>
      <w:r>
        <w:rPr>
          <w:rFonts w:ascii="Arial" w:hAnsi="Arial" w:cs="Arial"/>
        </w:rPr>
        <w:t xml:space="preserve">(iii) of the CEA and obtained declaratory relief. On appeal, this Court remarked as follows:  </w:t>
      </w:r>
    </w:p>
    <w:p w14:paraId="3755B0D2" w14:textId="77777777" w:rsidR="00F22ACA" w:rsidRPr="008006B4" w:rsidRDefault="00F22ACA" w:rsidP="00F22ACA">
      <w:pPr>
        <w:pStyle w:val="NormalWeb"/>
        <w:shd w:val="clear" w:color="auto" w:fill="FFFFFF"/>
        <w:spacing w:before="0" w:beforeAutospacing="0" w:after="240" w:afterAutospacing="0" w:line="360" w:lineRule="auto"/>
        <w:jc w:val="both"/>
        <w:rPr>
          <w:rFonts w:ascii="Arial" w:hAnsi="Arial" w:cs="Arial"/>
          <w:sz w:val="22"/>
          <w:szCs w:val="22"/>
        </w:rPr>
      </w:pPr>
      <w:r w:rsidRPr="008A54F3">
        <w:rPr>
          <w:rFonts w:ascii="Arial" w:hAnsi="Arial" w:cs="Arial"/>
          <w:sz w:val="22"/>
          <w:szCs w:val="22"/>
        </w:rPr>
        <w:t>‘…SARS expressed a clear view as to the proper construction of s 75(1C)</w:t>
      </w:r>
      <w:r w:rsidRPr="00D37D9A">
        <w:rPr>
          <w:rFonts w:ascii="Arial" w:hAnsi="Arial" w:cs="Arial"/>
          <w:i/>
          <w:sz w:val="22"/>
          <w:szCs w:val="22"/>
        </w:rPr>
        <w:t>(a)</w:t>
      </w:r>
      <w:r w:rsidRPr="008A54F3">
        <w:rPr>
          <w:rFonts w:ascii="Arial" w:hAnsi="Arial" w:cs="Arial"/>
          <w:sz w:val="22"/>
          <w:szCs w:val="22"/>
        </w:rPr>
        <w:t>(iii). Langholm disagreed and responded with the application, in an effort to resolve the dispute. It is true that Langholm could have waited and provided SARS with the documents it required for a revised assessment, and then challenged such an assessment, and argued the point of law at that stage. The issue is whether it was obliged to do so. In my view there was nothing objectionable in Langholm seeking clarity on an issue of statutory interpretation that would clearly influence the outcome of SARS’ audit</w:t>
      </w:r>
      <w:r>
        <w:rPr>
          <w:rFonts w:ascii="Arial" w:hAnsi="Arial" w:cs="Arial"/>
          <w:sz w:val="22"/>
          <w:szCs w:val="22"/>
        </w:rPr>
        <w:t>…</w:t>
      </w:r>
      <w:r w:rsidRPr="008A54F3">
        <w:rPr>
          <w:rFonts w:ascii="Arial" w:hAnsi="Arial" w:cs="Arial"/>
          <w:sz w:val="22"/>
          <w:szCs w:val="22"/>
        </w:rPr>
        <w:t>There was little point in Langholm entering into a debate or providing further information when none of it would be at all relevant given SARS’ legal view. That is exactly the situation for which declaratory orders are made and seeking one in the context of a taxing statute was endorsed</w:t>
      </w:r>
      <w:r>
        <w:rPr>
          <w:rFonts w:ascii="Arial" w:hAnsi="Arial" w:cs="Arial"/>
          <w:sz w:val="22"/>
          <w:szCs w:val="22"/>
        </w:rPr>
        <w:t xml:space="preserve"> by</w:t>
      </w:r>
      <w:r w:rsidRPr="008A54F3">
        <w:rPr>
          <w:rFonts w:ascii="Arial" w:hAnsi="Arial" w:cs="Arial"/>
          <w:sz w:val="22"/>
          <w:szCs w:val="22"/>
        </w:rPr>
        <w:t xml:space="preserve"> the Constitutional Court in </w:t>
      </w:r>
      <w:r w:rsidRPr="008A54F3">
        <w:rPr>
          <w:rFonts w:ascii="Arial" w:hAnsi="Arial" w:cs="Arial"/>
          <w:i/>
          <w:iCs/>
          <w:sz w:val="22"/>
          <w:szCs w:val="22"/>
        </w:rPr>
        <w:t>Metcash</w:t>
      </w:r>
      <w:r w:rsidRPr="008A54F3">
        <w:rPr>
          <w:rFonts w:ascii="Arial" w:hAnsi="Arial" w:cs="Arial"/>
          <w:sz w:val="22"/>
          <w:szCs w:val="22"/>
        </w:rPr>
        <w:t xml:space="preserve">.’ </w:t>
      </w:r>
      <w:r>
        <w:rPr>
          <w:rStyle w:val="FootnoteReference"/>
          <w:rFonts w:ascii="Arial" w:hAnsi="Arial" w:cs="Arial"/>
          <w:sz w:val="22"/>
          <w:szCs w:val="22"/>
        </w:rPr>
        <w:footnoteReference w:id="43"/>
      </w:r>
    </w:p>
    <w:p w14:paraId="6D6D2AAC" w14:textId="134366FA" w:rsidR="00F22ACA" w:rsidRPr="00486688" w:rsidRDefault="00F22ACA" w:rsidP="00F22ACA">
      <w:pPr>
        <w:pStyle w:val="NormalWeb"/>
        <w:shd w:val="clear" w:color="auto" w:fill="FFFFFF"/>
        <w:spacing w:before="0" w:beforeAutospacing="0" w:after="240" w:afterAutospacing="0" w:line="360" w:lineRule="auto"/>
        <w:jc w:val="both"/>
        <w:rPr>
          <w:rFonts w:ascii="Arial" w:hAnsi="Arial" w:cs="Arial"/>
        </w:rPr>
      </w:pPr>
      <w:r>
        <w:rPr>
          <w:rFonts w:ascii="Arial" w:hAnsi="Arial" w:cs="Arial"/>
        </w:rPr>
        <w:t>[</w:t>
      </w:r>
      <w:r w:rsidR="007411CB">
        <w:rPr>
          <w:rFonts w:ascii="Arial" w:hAnsi="Arial" w:cs="Arial"/>
        </w:rPr>
        <w:t>38</w:t>
      </w:r>
      <w:r>
        <w:rPr>
          <w:rFonts w:ascii="Arial" w:hAnsi="Arial" w:cs="Arial"/>
        </w:rPr>
        <w:t>]</w:t>
      </w:r>
      <w:r>
        <w:rPr>
          <w:rFonts w:ascii="Arial" w:hAnsi="Arial" w:cs="Arial"/>
        </w:rPr>
        <w:tab/>
        <w:t>It is clear from the dictum above that t</w:t>
      </w:r>
      <w:r w:rsidRPr="00486688">
        <w:rPr>
          <w:rFonts w:ascii="Arial" w:hAnsi="Arial" w:cs="Arial"/>
        </w:rPr>
        <w:t xml:space="preserve">his Court’s approval for a taxpayer approaching a high court for declaratory relief in tax matters in the circumscribed circumstances of </w:t>
      </w:r>
      <w:r w:rsidRPr="00D04442">
        <w:rPr>
          <w:rFonts w:ascii="Arial" w:hAnsi="Arial" w:cs="Arial"/>
        </w:rPr>
        <w:t xml:space="preserve">seeking clarity on a statutory interpretation was unequivocal. Given that </w:t>
      </w:r>
      <w:r w:rsidRPr="00D04442">
        <w:rPr>
          <w:rFonts w:ascii="Arial" w:hAnsi="Arial" w:cs="Arial"/>
          <w:i/>
          <w:iCs/>
        </w:rPr>
        <w:t>Metcash</w:t>
      </w:r>
      <w:r w:rsidRPr="00D04442">
        <w:rPr>
          <w:rFonts w:ascii="Arial" w:hAnsi="Arial" w:cs="Arial"/>
        </w:rPr>
        <w:t xml:space="preserve"> held that a</w:t>
      </w:r>
      <w:r w:rsidRPr="00D04442">
        <w:rPr>
          <w:rFonts w:ascii="Arial" w:hAnsi="Arial" w:cs="Arial"/>
          <w:shd w:val="clear" w:color="auto" w:fill="FFFFFF"/>
        </w:rPr>
        <w:t xml:space="preserve"> court would have jurisdiction to grant declaratory relief to a vendor if it were to be alleged that the Commissioner had inter alia misapplied the law </w:t>
      </w:r>
      <w:r w:rsidRPr="00D04442">
        <w:rPr>
          <w:rFonts w:ascii="Arial" w:hAnsi="Arial" w:cs="Arial"/>
          <w:shd w:val="clear" w:color="auto" w:fill="FFFFFF"/>
        </w:rPr>
        <w:lastRenderedPageBreak/>
        <w:t>in holding a particular transaction to be liable to VAT or failed to apply the proper legal test to a particular set of facts,</w:t>
      </w:r>
      <w:r w:rsidRPr="00D04442">
        <w:rPr>
          <w:rStyle w:val="FootnoteReference"/>
          <w:rFonts w:ascii="Arial" w:hAnsi="Arial" w:cs="Arial"/>
          <w:shd w:val="clear" w:color="auto" w:fill="FFFFFF"/>
        </w:rPr>
        <w:footnoteReference w:id="44"/>
      </w:r>
      <w:r w:rsidRPr="00D04442">
        <w:rPr>
          <w:rFonts w:ascii="Arial" w:hAnsi="Arial" w:cs="Arial"/>
          <w:shd w:val="clear" w:color="auto" w:fill="FFFFFF"/>
        </w:rPr>
        <w:t xml:space="preserve"> this Court’s reliance on </w:t>
      </w:r>
      <w:r w:rsidRPr="00D04442">
        <w:rPr>
          <w:rFonts w:ascii="Arial" w:hAnsi="Arial" w:cs="Arial"/>
          <w:i/>
          <w:iCs/>
        </w:rPr>
        <w:t>Metcash</w:t>
      </w:r>
      <w:r w:rsidRPr="00D04442">
        <w:rPr>
          <w:rFonts w:ascii="Arial" w:hAnsi="Arial" w:cs="Arial"/>
        </w:rPr>
        <w:t xml:space="preserve"> was apposite</w:t>
      </w:r>
      <w:r w:rsidRPr="00486688">
        <w:rPr>
          <w:rFonts w:ascii="Arial" w:hAnsi="Arial" w:cs="Arial"/>
        </w:rPr>
        <w:t xml:space="preserve">.   </w:t>
      </w:r>
    </w:p>
    <w:p w14:paraId="100B0624" w14:textId="270BA6AD" w:rsidR="00F22ACA" w:rsidRDefault="00F22ACA" w:rsidP="00F22ACA">
      <w:pPr>
        <w:pStyle w:val="NormalWeb"/>
        <w:shd w:val="clear" w:color="auto" w:fill="FFFFFF"/>
        <w:spacing w:before="0" w:beforeAutospacing="0" w:after="240" w:afterAutospacing="0" w:line="360" w:lineRule="auto"/>
        <w:jc w:val="both"/>
        <w:rPr>
          <w:rFonts w:ascii="Arial" w:hAnsi="Arial" w:cs="Arial"/>
        </w:rPr>
      </w:pPr>
      <w:r>
        <w:rPr>
          <w:rFonts w:ascii="Arial" w:hAnsi="Arial" w:cs="Arial"/>
        </w:rPr>
        <w:t>[</w:t>
      </w:r>
      <w:r w:rsidR="007411CB">
        <w:rPr>
          <w:rFonts w:ascii="Arial" w:hAnsi="Arial" w:cs="Arial"/>
        </w:rPr>
        <w:t>39</w:t>
      </w:r>
      <w:r>
        <w:rPr>
          <w:rFonts w:ascii="Arial" w:hAnsi="Arial" w:cs="Arial"/>
        </w:rPr>
        <w:t>]</w:t>
      </w:r>
      <w:r>
        <w:rPr>
          <w:rFonts w:ascii="Arial" w:hAnsi="Arial" w:cs="Arial"/>
        </w:rPr>
        <w:tab/>
        <w:t xml:space="preserve"> </w:t>
      </w:r>
      <w:bookmarkStart w:id="4" w:name="_Hlk148468210"/>
      <w:r>
        <w:rPr>
          <w:rFonts w:ascii="Arial" w:hAnsi="Arial" w:cs="Arial"/>
        </w:rPr>
        <w:t xml:space="preserve">In </w:t>
      </w:r>
      <w:r w:rsidRPr="00A77CEE">
        <w:rPr>
          <w:rFonts w:ascii="Arial" w:hAnsi="Arial" w:cs="Arial"/>
          <w:i/>
          <w:iCs/>
        </w:rPr>
        <w:t xml:space="preserve">Commissioner for the South African </w:t>
      </w:r>
      <w:r>
        <w:rPr>
          <w:rFonts w:ascii="Arial" w:hAnsi="Arial" w:cs="Arial"/>
          <w:i/>
          <w:iCs/>
        </w:rPr>
        <w:t>Revenue Service v United Manganese of Kalahari</w:t>
      </w:r>
      <w:r w:rsidRPr="00A77CEE">
        <w:rPr>
          <w:rFonts w:ascii="Arial" w:hAnsi="Arial" w:cs="Arial"/>
          <w:i/>
          <w:iCs/>
        </w:rPr>
        <w:t xml:space="preserve"> (Pty) Ltd</w:t>
      </w:r>
      <w:bookmarkEnd w:id="4"/>
      <w:r w:rsidRPr="00B75121">
        <w:rPr>
          <w:rStyle w:val="FootnoteReference"/>
          <w:rFonts w:ascii="Arial" w:hAnsi="Arial" w:cs="Arial"/>
        </w:rPr>
        <w:footnoteReference w:id="45"/>
      </w:r>
      <w:r>
        <w:rPr>
          <w:rFonts w:ascii="Arial" w:hAnsi="Arial" w:cs="Arial"/>
        </w:rPr>
        <w:t xml:space="preserve"> (</w:t>
      </w:r>
      <w:r w:rsidRPr="007411CB">
        <w:rPr>
          <w:rFonts w:ascii="Arial" w:hAnsi="Arial" w:cs="Arial"/>
          <w:i/>
        </w:rPr>
        <w:t>UMK</w:t>
      </w:r>
      <w:r>
        <w:rPr>
          <w:rFonts w:ascii="Arial" w:hAnsi="Arial" w:cs="Arial"/>
        </w:rPr>
        <w:t xml:space="preserve">), </w:t>
      </w:r>
      <w:r w:rsidRPr="007411CB">
        <w:rPr>
          <w:rFonts w:ascii="Arial" w:hAnsi="Arial" w:cs="Arial"/>
          <w:i/>
        </w:rPr>
        <w:t>UMK</w:t>
      </w:r>
      <w:r>
        <w:rPr>
          <w:rFonts w:ascii="Arial" w:hAnsi="Arial" w:cs="Arial"/>
        </w:rPr>
        <w:t xml:space="preserve"> had approached the high court for a declaratory order in circumstances where </w:t>
      </w:r>
      <w:r w:rsidRPr="007E5EDD">
        <w:rPr>
          <w:rFonts w:ascii="Arial" w:hAnsi="Arial" w:cs="Arial"/>
        </w:rPr>
        <w:t>SARS</w:t>
      </w:r>
      <w:r>
        <w:rPr>
          <w:rFonts w:ascii="Arial" w:hAnsi="Arial" w:cs="Arial"/>
        </w:rPr>
        <w:t xml:space="preserve"> had differed from </w:t>
      </w:r>
      <w:r w:rsidRPr="007411CB">
        <w:rPr>
          <w:rFonts w:ascii="Arial" w:hAnsi="Arial" w:cs="Arial"/>
          <w:i/>
        </w:rPr>
        <w:t>UMK</w:t>
      </w:r>
      <w:r>
        <w:rPr>
          <w:rFonts w:ascii="Arial" w:hAnsi="Arial" w:cs="Arial"/>
        </w:rPr>
        <w:t xml:space="preserve"> on the correct manner of calculation based on s 6 of the Mineral and Petroleum Resources Royalty Act 28 of 2008. The audit process had not yet been finalised. The circumstances in which </w:t>
      </w:r>
      <w:r w:rsidRPr="007411CB">
        <w:rPr>
          <w:rFonts w:ascii="Arial" w:hAnsi="Arial" w:cs="Arial"/>
          <w:i/>
        </w:rPr>
        <w:t>UMK</w:t>
      </w:r>
      <w:r>
        <w:rPr>
          <w:rFonts w:ascii="Arial" w:hAnsi="Arial" w:cs="Arial"/>
        </w:rPr>
        <w:t xml:space="preserve"> approached the high court are similar to those in the matter under consideration. On appeal, </w:t>
      </w:r>
      <w:r w:rsidR="00013E7F">
        <w:rPr>
          <w:rFonts w:ascii="Arial" w:hAnsi="Arial" w:cs="Arial"/>
        </w:rPr>
        <w:t xml:space="preserve">the </w:t>
      </w:r>
      <w:r w:rsidR="00013E7F" w:rsidRPr="00DD29DF">
        <w:rPr>
          <w:rFonts w:ascii="Arial" w:hAnsi="Arial" w:cs="Arial"/>
        </w:rPr>
        <w:t>appellant</w:t>
      </w:r>
      <w:r w:rsidR="00013E7F">
        <w:rPr>
          <w:rFonts w:ascii="Arial" w:hAnsi="Arial" w:cs="Arial"/>
        </w:rPr>
        <w:t xml:space="preserve"> </w:t>
      </w:r>
      <w:r>
        <w:rPr>
          <w:rFonts w:ascii="Arial" w:hAnsi="Arial" w:cs="Arial"/>
        </w:rPr>
        <w:t xml:space="preserve">decried the granting of a declaratory order by the high court and contended that the respondent should have awaited the outcome of the audit process and exhausted internal remedies under the TAA. Once this Court had brought the parties’ attention to the </w:t>
      </w:r>
      <w:r w:rsidR="00E009CF" w:rsidRPr="00FC5A05">
        <w:rPr>
          <w:rFonts w:ascii="Arial" w:hAnsi="Arial" w:cs="Arial"/>
          <w:i/>
          <w:iCs/>
        </w:rPr>
        <w:t>Langholm Farms</w:t>
      </w:r>
      <w:r>
        <w:rPr>
          <w:rFonts w:ascii="Arial" w:hAnsi="Arial" w:cs="Arial"/>
        </w:rPr>
        <w:t xml:space="preserve"> judgment, SARS abandoned the above contentions and confined its arguments to the legal issue concerning the proper interpretation of the relevant legislation.</w:t>
      </w:r>
      <w:r>
        <w:rPr>
          <w:rStyle w:val="FootnoteReference"/>
          <w:rFonts w:ascii="Arial" w:hAnsi="Arial" w:cs="Arial"/>
        </w:rPr>
        <w:footnoteReference w:id="46"/>
      </w:r>
      <w:r>
        <w:rPr>
          <w:rFonts w:ascii="Arial" w:hAnsi="Arial" w:cs="Arial"/>
        </w:rPr>
        <w:t xml:space="preserve"> Significantly, these two judgments were delivered well after the 2015 amendment pertaining to s 105 of the TAA. It must be accepted that this Court’s remarks as quoted in the preceding paragraph were made in the context of an awareness about the 2015 amendment to s 105 of the TAA. Clearly, this Court did not consider t</w:t>
      </w:r>
      <w:r w:rsidRPr="005D0290">
        <w:rPr>
          <w:rFonts w:ascii="Arial" w:hAnsi="Arial" w:cs="Arial"/>
        </w:rPr>
        <w:t xml:space="preserve">he dictum in </w:t>
      </w:r>
      <w:r w:rsidRPr="00FB6509">
        <w:rPr>
          <w:rFonts w:ascii="Arial" w:hAnsi="Arial" w:cs="Arial"/>
          <w:i/>
          <w:iCs/>
        </w:rPr>
        <w:t>Metcash</w:t>
      </w:r>
      <w:r w:rsidRPr="005D0290">
        <w:rPr>
          <w:rFonts w:ascii="Arial" w:hAnsi="Arial" w:cs="Arial"/>
        </w:rPr>
        <w:t xml:space="preserve"> </w:t>
      </w:r>
      <w:r>
        <w:rPr>
          <w:rFonts w:ascii="Arial" w:hAnsi="Arial" w:cs="Arial"/>
        </w:rPr>
        <w:t xml:space="preserve">to have been </w:t>
      </w:r>
      <w:r w:rsidRPr="005D0290">
        <w:rPr>
          <w:rFonts w:ascii="Arial" w:hAnsi="Arial" w:cs="Arial"/>
        </w:rPr>
        <w:t xml:space="preserve">impacted by the </w:t>
      </w:r>
      <w:r>
        <w:rPr>
          <w:rFonts w:ascii="Arial" w:hAnsi="Arial" w:cs="Arial"/>
        </w:rPr>
        <w:t xml:space="preserve">2015 amendment.  </w:t>
      </w:r>
    </w:p>
    <w:p w14:paraId="11F75E16" w14:textId="08574EBA" w:rsidR="00F22ACA" w:rsidRDefault="00F22ACA" w:rsidP="00F22ACA">
      <w:pPr>
        <w:pStyle w:val="NormalWeb"/>
        <w:shd w:val="clear" w:color="auto" w:fill="FFFFFF"/>
        <w:spacing w:before="0" w:beforeAutospacing="0" w:after="240" w:afterAutospacing="0" w:line="360" w:lineRule="auto"/>
        <w:jc w:val="both"/>
        <w:rPr>
          <w:rFonts w:ascii="Arial" w:hAnsi="Arial" w:cs="Arial"/>
        </w:rPr>
      </w:pPr>
      <w:r>
        <w:rPr>
          <w:rFonts w:ascii="Arial" w:hAnsi="Arial" w:cs="Arial"/>
        </w:rPr>
        <w:t>[</w:t>
      </w:r>
      <w:r w:rsidR="007411CB">
        <w:rPr>
          <w:rFonts w:ascii="Arial" w:hAnsi="Arial" w:cs="Arial"/>
        </w:rPr>
        <w:t>40</w:t>
      </w:r>
      <w:r>
        <w:rPr>
          <w:rFonts w:ascii="Arial" w:hAnsi="Arial" w:cs="Arial"/>
        </w:rPr>
        <w:t>]</w:t>
      </w:r>
      <w:r>
        <w:rPr>
          <w:rFonts w:ascii="Arial" w:hAnsi="Arial" w:cs="Arial"/>
        </w:rPr>
        <w:tab/>
        <w:t>It is evident from these two judgments</w:t>
      </w:r>
      <w:r>
        <w:rPr>
          <w:rStyle w:val="FootnoteReference"/>
          <w:rFonts w:ascii="Arial" w:hAnsi="Arial" w:cs="Arial"/>
        </w:rPr>
        <w:footnoteReference w:id="47"/>
      </w:r>
      <w:r>
        <w:rPr>
          <w:rFonts w:ascii="Arial" w:hAnsi="Arial" w:cs="Arial"/>
        </w:rPr>
        <w:t xml:space="preserve"> that this Court considered the interpretation of legislative provisions to be within the </w:t>
      </w:r>
      <w:r w:rsidRPr="002E6F49">
        <w:rPr>
          <w:rFonts w:ascii="Arial" w:hAnsi="Arial" w:cs="Arial"/>
        </w:rPr>
        <w:t xml:space="preserve">realm of disputes </w:t>
      </w:r>
      <w:r>
        <w:rPr>
          <w:rFonts w:ascii="Arial" w:hAnsi="Arial" w:cs="Arial"/>
        </w:rPr>
        <w:t xml:space="preserve">of a legal nature </w:t>
      </w:r>
      <w:r w:rsidRPr="002E6F49">
        <w:rPr>
          <w:rFonts w:ascii="Arial" w:hAnsi="Arial" w:cs="Arial"/>
        </w:rPr>
        <w:t>in respect of which a high court could grant a declarator</w:t>
      </w:r>
      <w:r>
        <w:rPr>
          <w:rFonts w:ascii="Arial" w:hAnsi="Arial" w:cs="Arial"/>
        </w:rPr>
        <w:t xml:space="preserve"> in tax matters</w:t>
      </w:r>
      <w:r w:rsidRPr="002E6F49">
        <w:rPr>
          <w:rFonts w:ascii="Arial" w:hAnsi="Arial" w:cs="Arial"/>
        </w:rPr>
        <w:t xml:space="preserve">. </w:t>
      </w:r>
      <w:r>
        <w:rPr>
          <w:rFonts w:ascii="Arial" w:hAnsi="Arial" w:cs="Arial"/>
        </w:rPr>
        <w:t xml:space="preserve">It follows </w:t>
      </w:r>
      <w:r>
        <w:rPr>
          <w:rFonts w:ascii="Arial" w:hAnsi="Arial" w:cs="Arial"/>
        </w:rPr>
        <w:lastRenderedPageBreak/>
        <w:t xml:space="preserve">by parity of reasoning that in the present case, where the only issue for determination was the interpretation of a provision of the VAT Act, </w:t>
      </w:r>
      <w:r w:rsidRPr="002E6F49">
        <w:rPr>
          <w:rFonts w:ascii="Arial" w:hAnsi="Arial" w:cs="Arial"/>
        </w:rPr>
        <w:t>the high court indeed had the jurisdiction to entertain the application for declaratory relief</w:t>
      </w:r>
      <w:r>
        <w:rPr>
          <w:rFonts w:ascii="Arial" w:hAnsi="Arial" w:cs="Arial"/>
        </w:rPr>
        <w:t xml:space="preserve">. </w:t>
      </w:r>
      <w:r w:rsidRPr="00DF2BD3">
        <w:rPr>
          <w:rFonts w:ascii="Arial" w:hAnsi="Arial" w:cs="Arial"/>
        </w:rPr>
        <w:t>On that basis, nothing precluded the high court from entertaining th</w:t>
      </w:r>
      <w:r>
        <w:rPr>
          <w:rFonts w:ascii="Arial" w:hAnsi="Arial" w:cs="Arial"/>
        </w:rPr>
        <w:t>at</w:t>
      </w:r>
      <w:r w:rsidRPr="00DF2BD3">
        <w:rPr>
          <w:rFonts w:ascii="Arial" w:hAnsi="Arial" w:cs="Arial"/>
        </w:rPr>
        <w:t xml:space="preserve"> application for a declaratory order within the contemplation of s 21(1)</w:t>
      </w:r>
      <w:r w:rsidRPr="00DF2BD3">
        <w:rPr>
          <w:rFonts w:ascii="Arial" w:hAnsi="Arial" w:cs="Arial"/>
          <w:i/>
          <w:iCs/>
        </w:rPr>
        <w:t>(c)</w:t>
      </w:r>
      <w:r w:rsidRPr="00DF2BD3">
        <w:rPr>
          <w:rFonts w:ascii="Arial" w:hAnsi="Arial" w:cs="Arial"/>
        </w:rPr>
        <w:t xml:space="preserve"> of the Superior Courts Act.</w:t>
      </w:r>
      <w:r>
        <w:rPr>
          <w:rFonts w:ascii="Arial" w:hAnsi="Arial" w:cs="Arial"/>
        </w:rPr>
        <w:t xml:space="preserve"> Moreover, both counsel stated from the bar that the jurisdiction issue was not raised before the high court. Against the backdrop of the discussion canvassed above, it is hardly surprising that the high court’s judgment did not make any pronouncements on the aspect of jurisdiction. That should really be the end of the matter insofar as the issue regarding whether the jurisdiction of the </w:t>
      </w:r>
      <w:r w:rsidRPr="008C05D8">
        <w:rPr>
          <w:rFonts w:ascii="Arial" w:hAnsi="Arial" w:cs="Arial"/>
        </w:rPr>
        <w:t>high court was engaged or not</w:t>
      </w:r>
      <w:r w:rsidR="00A439A9">
        <w:rPr>
          <w:rFonts w:ascii="Arial" w:hAnsi="Arial" w:cs="Arial"/>
        </w:rPr>
        <w:t xml:space="preserve"> </w:t>
      </w:r>
      <w:r w:rsidR="00A439A9" w:rsidRPr="00941705">
        <w:rPr>
          <w:rFonts w:ascii="Arial" w:hAnsi="Arial" w:cs="Arial"/>
        </w:rPr>
        <w:t>is concerned</w:t>
      </w:r>
      <w:r w:rsidRPr="008C05D8">
        <w:rPr>
          <w:rFonts w:ascii="Arial" w:hAnsi="Arial" w:cs="Arial"/>
        </w:rPr>
        <w:t xml:space="preserve">. </w:t>
      </w:r>
    </w:p>
    <w:p w14:paraId="59E11EA6" w14:textId="32EF02A4" w:rsidR="00F22ACA" w:rsidRPr="008C05D8" w:rsidRDefault="00F22ACA" w:rsidP="00F22ACA">
      <w:pPr>
        <w:pStyle w:val="NormalWeb"/>
        <w:shd w:val="clear" w:color="auto" w:fill="FFFFFF"/>
        <w:spacing w:before="0" w:beforeAutospacing="0" w:after="240" w:afterAutospacing="0" w:line="360" w:lineRule="auto"/>
        <w:jc w:val="both"/>
        <w:rPr>
          <w:rFonts w:ascii="Arial" w:hAnsi="Arial" w:cs="Arial"/>
        </w:rPr>
      </w:pPr>
      <w:r>
        <w:rPr>
          <w:rFonts w:ascii="Arial" w:hAnsi="Arial" w:cs="Arial"/>
        </w:rPr>
        <w:t>[</w:t>
      </w:r>
      <w:r w:rsidR="007411CB">
        <w:rPr>
          <w:rFonts w:ascii="Arial" w:hAnsi="Arial" w:cs="Arial"/>
        </w:rPr>
        <w:t>4</w:t>
      </w:r>
      <w:r>
        <w:rPr>
          <w:rFonts w:ascii="Arial" w:hAnsi="Arial" w:cs="Arial"/>
        </w:rPr>
        <w:t>1]</w:t>
      </w:r>
      <w:r>
        <w:rPr>
          <w:rFonts w:ascii="Arial" w:hAnsi="Arial" w:cs="Arial"/>
        </w:rPr>
        <w:tab/>
      </w:r>
      <w:r w:rsidRPr="008C05D8">
        <w:rPr>
          <w:rFonts w:ascii="Arial" w:hAnsi="Arial" w:cs="Arial"/>
        </w:rPr>
        <w:t>From my point of view, considerations regarding the utility of the remedy and whether, if granted, it would settle the questions at issue between the parties</w:t>
      </w:r>
      <w:r>
        <w:rPr>
          <w:rFonts w:ascii="Arial" w:hAnsi="Arial" w:cs="Arial"/>
        </w:rPr>
        <w:t xml:space="preserve"> (as alluded to in para 28 of the </w:t>
      </w:r>
      <w:r w:rsidR="00D2358D">
        <w:rPr>
          <w:rFonts w:ascii="Arial" w:hAnsi="Arial" w:cs="Arial"/>
        </w:rPr>
        <w:t xml:space="preserve">majority </w:t>
      </w:r>
      <w:r>
        <w:rPr>
          <w:rFonts w:ascii="Arial" w:hAnsi="Arial" w:cs="Arial"/>
        </w:rPr>
        <w:t>judgment)</w:t>
      </w:r>
      <w:r w:rsidRPr="008C05D8">
        <w:rPr>
          <w:rFonts w:ascii="Arial" w:hAnsi="Arial" w:cs="Arial"/>
        </w:rPr>
        <w:t xml:space="preserve"> are aspects that arise during the exercise of the discretion </w:t>
      </w:r>
      <w:r w:rsidR="00725961" w:rsidRPr="00941705">
        <w:rPr>
          <w:rFonts w:ascii="Arial" w:hAnsi="Arial" w:cs="Arial"/>
        </w:rPr>
        <w:t>whether</w:t>
      </w:r>
      <w:r w:rsidRPr="00941705">
        <w:rPr>
          <w:rFonts w:ascii="Arial" w:hAnsi="Arial" w:cs="Arial"/>
        </w:rPr>
        <w:t xml:space="preserve"> to</w:t>
      </w:r>
      <w:r w:rsidRPr="008C05D8">
        <w:rPr>
          <w:rFonts w:ascii="Arial" w:hAnsi="Arial" w:cs="Arial"/>
        </w:rPr>
        <w:t xml:space="preserve"> grant the declaratory relief. Thus, when declaratory relief is refused</w:t>
      </w:r>
      <w:r>
        <w:rPr>
          <w:rFonts w:ascii="Arial" w:hAnsi="Arial" w:cs="Arial"/>
        </w:rPr>
        <w:t xml:space="preserve"> on account of the court not being satisfied on those two aspects</w:t>
      </w:r>
      <w:r w:rsidRPr="008C05D8">
        <w:rPr>
          <w:rFonts w:ascii="Arial" w:hAnsi="Arial" w:cs="Arial"/>
        </w:rPr>
        <w:t xml:space="preserve">, it simply means that the court, in its discretion, held the view that such a relief was not appropriate, given the circumstances of the </w:t>
      </w:r>
      <w:r>
        <w:rPr>
          <w:rFonts w:ascii="Arial" w:hAnsi="Arial" w:cs="Arial"/>
        </w:rPr>
        <w:t xml:space="preserve">particular </w:t>
      </w:r>
      <w:r w:rsidRPr="008C05D8">
        <w:rPr>
          <w:rFonts w:ascii="Arial" w:hAnsi="Arial" w:cs="Arial"/>
        </w:rPr>
        <w:t>case</w:t>
      </w:r>
      <w:r>
        <w:rPr>
          <w:rFonts w:ascii="Arial" w:hAnsi="Arial" w:cs="Arial"/>
        </w:rPr>
        <w:t>; this does not equate to the court not being competent to entertain the declarator</w:t>
      </w:r>
      <w:r w:rsidRPr="008C05D8">
        <w:rPr>
          <w:rFonts w:ascii="Arial" w:hAnsi="Arial" w:cs="Arial"/>
        </w:rPr>
        <w:t>.</w:t>
      </w:r>
      <w:r>
        <w:rPr>
          <w:rFonts w:ascii="Arial" w:hAnsi="Arial" w:cs="Arial"/>
        </w:rPr>
        <w:t xml:space="preserve"> It bears noting that in </w:t>
      </w:r>
      <w:r w:rsidRPr="008A54F3">
        <w:rPr>
          <w:rFonts w:ascii="Arial" w:hAnsi="Arial" w:cs="Arial"/>
          <w:i/>
          <w:iCs/>
        </w:rPr>
        <w:t>Langholm</w:t>
      </w:r>
      <w:r w:rsidR="0029039D">
        <w:rPr>
          <w:rFonts w:ascii="Arial" w:hAnsi="Arial" w:cs="Arial"/>
          <w:i/>
          <w:iCs/>
        </w:rPr>
        <w:t xml:space="preserve"> Farms</w:t>
      </w:r>
      <w:r>
        <w:rPr>
          <w:rFonts w:ascii="Arial" w:hAnsi="Arial" w:cs="Arial"/>
        </w:rPr>
        <w:t xml:space="preserve">, this Court did not uphold the interpretation given by the high court to the relevant provision; instead, it held that the declaratory orders were granted on the mistaken view of the law. It replaced the high court’s order with one dismissing the application for the declarator. It did not find that the high court had incorrectly entertained the application for a declarator. </w:t>
      </w:r>
    </w:p>
    <w:p w14:paraId="2C61AA09" w14:textId="4EC40895" w:rsidR="00F22ACA" w:rsidRDefault="00F22ACA" w:rsidP="00F22ACA">
      <w:pPr>
        <w:pStyle w:val="NormalWeb"/>
        <w:shd w:val="clear" w:color="auto" w:fill="FFFFFF"/>
        <w:spacing w:before="0" w:beforeAutospacing="0" w:after="240" w:afterAutospacing="0" w:line="360" w:lineRule="auto"/>
        <w:jc w:val="both"/>
        <w:rPr>
          <w:rFonts w:ascii="Arial" w:hAnsi="Arial" w:cs="Arial"/>
        </w:rPr>
      </w:pPr>
      <w:r w:rsidRPr="008C05D8">
        <w:rPr>
          <w:rFonts w:ascii="Arial" w:hAnsi="Arial" w:cs="Arial"/>
        </w:rPr>
        <w:t>[</w:t>
      </w:r>
      <w:r w:rsidR="00D2358D">
        <w:rPr>
          <w:rFonts w:ascii="Arial" w:hAnsi="Arial" w:cs="Arial"/>
        </w:rPr>
        <w:t>42</w:t>
      </w:r>
      <w:r w:rsidRPr="008C05D8">
        <w:rPr>
          <w:rFonts w:ascii="Arial" w:hAnsi="Arial" w:cs="Arial"/>
        </w:rPr>
        <w:t>]</w:t>
      </w:r>
      <w:r w:rsidRPr="008C05D8">
        <w:rPr>
          <w:rFonts w:ascii="Arial" w:hAnsi="Arial" w:cs="Arial"/>
        </w:rPr>
        <w:tab/>
      </w:r>
      <w:r>
        <w:rPr>
          <w:rFonts w:ascii="Arial" w:hAnsi="Arial" w:cs="Arial"/>
        </w:rPr>
        <w:t>Lastly, i</w:t>
      </w:r>
      <w:r w:rsidRPr="0050401E">
        <w:rPr>
          <w:rFonts w:ascii="Arial" w:hAnsi="Arial" w:cs="Arial"/>
        </w:rPr>
        <w:t xml:space="preserve">t is evident from the papers that both parties held the view that the declarator pertained to the interpretation of </w:t>
      </w:r>
      <w:r>
        <w:rPr>
          <w:rFonts w:ascii="Arial" w:hAnsi="Arial" w:cs="Arial"/>
        </w:rPr>
        <w:t>s 11(1)</w:t>
      </w:r>
      <w:r w:rsidRPr="00561F26">
        <w:rPr>
          <w:rFonts w:ascii="Arial" w:hAnsi="Arial" w:cs="Arial"/>
          <w:i/>
          <w:iCs/>
        </w:rPr>
        <w:t>(f)</w:t>
      </w:r>
      <w:r>
        <w:rPr>
          <w:rFonts w:ascii="Arial" w:hAnsi="Arial" w:cs="Arial"/>
        </w:rPr>
        <w:t xml:space="preserve"> of the VAT Act </w:t>
      </w:r>
      <w:r w:rsidRPr="0050401E">
        <w:rPr>
          <w:rFonts w:ascii="Arial" w:hAnsi="Arial" w:cs="Arial"/>
        </w:rPr>
        <w:t xml:space="preserve">and </w:t>
      </w:r>
      <w:r>
        <w:rPr>
          <w:rFonts w:ascii="Arial" w:hAnsi="Arial" w:cs="Arial"/>
        </w:rPr>
        <w:t>believed</w:t>
      </w:r>
      <w:r w:rsidRPr="0050401E">
        <w:rPr>
          <w:rFonts w:ascii="Arial" w:hAnsi="Arial" w:cs="Arial"/>
        </w:rPr>
        <w:t xml:space="preserve"> that the high court’s interpretation would lead to greater certainty for all concerned. </w:t>
      </w:r>
      <w:r>
        <w:rPr>
          <w:rFonts w:ascii="Arial" w:hAnsi="Arial" w:cs="Arial"/>
        </w:rPr>
        <w:t xml:space="preserve">The </w:t>
      </w:r>
      <w:r w:rsidR="00B34E01">
        <w:rPr>
          <w:rFonts w:ascii="Arial" w:hAnsi="Arial" w:cs="Arial"/>
        </w:rPr>
        <w:t>majority</w:t>
      </w:r>
      <w:r>
        <w:rPr>
          <w:rFonts w:ascii="Arial" w:hAnsi="Arial" w:cs="Arial"/>
        </w:rPr>
        <w:t xml:space="preserve"> judgment correctly asserts that o</w:t>
      </w:r>
      <w:r w:rsidRPr="008115FE">
        <w:rPr>
          <w:rFonts w:ascii="Arial" w:hAnsi="Arial" w:cs="Arial"/>
        </w:rPr>
        <w:t>n the appellant’s own showing, the parties had adopted divergent views not only in relation to the law but also the facts</w:t>
      </w:r>
      <w:r>
        <w:rPr>
          <w:rFonts w:ascii="Arial" w:hAnsi="Arial" w:cs="Arial"/>
        </w:rPr>
        <w:t xml:space="preserve">. I am of the view that given the factual disputes alluded to in the </w:t>
      </w:r>
      <w:r w:rsidR="00B34E01">
        <w:rPr>
          <w:rFonts w:ascii="Arial" w:hAnsi="Arial" w:cs="Arial"/>
        </w:rPr>
        <w:t>majority</w:t>
      </w:r>
      <w:r>
        <w:rPr>
          <w:rFonts w:ascii="Arial" w:hAnsi="Arial" w:cs="Arial"/>
        </w:rPr>
        <w:t xml:space="preserve"> judgment, the </w:t>
      </w:r>
      <w:r w:rsidRPr="000376DB">
        <w:rPr>
          <w:rFonts w:ascii="Arial" w:hAnsi="Arial" w:cs="Arial"/>
          <w:i/>
          <w:iCs/>
        </w:rPr>
        <w:t>granting</w:t>
      </w:r>
      <w:r>
        <w:rPr>
          <w:rFonts w:ascii="Arial" w:hAnsi="Arial" w:cs="Arial"/>
        </w:rPr>
        <w:t xml:space="preserve"> of declaratory relief was not appropriate under those circumstances (even though the </w:t>
      </w:r>
      <w:r>
        <w:rPr>
          <w:rFonts w:ascii="Arial" w:hAnsi="Arial" w:cs="Arial"/>
        </w:rPr>
        <w:lastRenderedPageBreak/>
        <w:t>court did have the jurisdiction to entertain the application for the declarator).</w:t>
      </w:r>
      <w:r>
        <w:rPr>
          <w:rStyle w:val="FootnoteReference"/>
          <w:rFonts w:ascii="Arial" w:hAnsi="Arial" w:cs="Arial"/>
        </w:rPr>
        <w:footnoteReference w:id="48"/>
      </w:r>
      <w:r>
        <w:rPr>
          <w:rFonts w:ascii="Arial" w:hAnsi="Arial" w:cs="Arial"/>
        </w:rPr>
        <w:t xml:space="preserve"> That being the case, it follows that the high court’s dismissal of the application for declaratory relief cannot be faulted. On this score, there is no basis for tampering with the high court’s decision to dismiss the application for declaratory relief, p</w:t>
      </w:r>
      <w:r w:rsidRPr="00F26418">
        <w:rPr>
          <w:rFonts w:ascii="Arial" w:hAnsi="Arial" w:cs="Arial"/>
        </w:rPr>
        <w:t xml:space="preserve">recisely because </w:t>
      </w:r>
      <w:r>
        <w:rPr>
          <w:rFonts w:ascii="Arial" w:hAnsi="Arial" w:cs="Arial"/>
        </w:rPr>
        <w:t xml:space="preserve">ultimately </w:t>
      </w:r>
      <w:r w:rsidRPr="00F26418">
        <w:rPr>
          <w:rFonts w:ascii="Arial" w:hAnsi="Arial" w:cs="Arial"/>
        </w:rPr>
        <w:t>an appeal lies against an order and not the reasons</w:t>
      </w:r>
      <w:r>
        <w:rPr>
          <w:rFonts w:ascii="Arial" w:hAnsi="Arial" w:cs="Arial"/>
        </w:rPr>
        <w:t xml:space="preserve">. </w:t>
      </w:r>
    </w:p>
    <w:p w14:paraId="39C4EC0B" w14:textId="377FB387" w:rsidR="00F22ACA" w:rsidRDefault="00F22ACA" w:rsidP="00F22ACA">
      <w:pPr>
        <w:pStyle w:val="NormalWeb"/>
        <w:shd w:val="clear" w:color="auto" w:fill="FFFFFF"/>
        <w:spacing w:before="144" w:beforeAutospacing="0" w:after="0" w:afterAutospacing="0" w:line="360" w:lineRule="auto"/>
        <w:jc w:val="both"/>
        <w:rPr>
          <w:rFonts w:ascii="Arial" w:hAnsi="Arial" w:cs="Arial"/>
        </w:rPr>
      </w:pPr>
      <w:r>
        <w:rPr>
          <w:rFonts w:ascii="Arial" w:hAnsi="Arial" w:cs="Arial"/>
        </w:rPr>
        <w:t>[</w:t>
      </w:r>
      <w:r w:rsidR="007411CB">
        <w:rPr>
          <w:rFonts w:ascii="Arial" w:hAnsi="Arial" w:cs="Arial"/>
        </w:rPr>
        <w:t>4</w:t>
      </w:r>
      <w:r w:rsidR="00D2358D">
        <w:rPr>
          <w:rFonts w:ascii="Arial" w:hAnsi="Arial" w:cs="Arial"/>
        </w:rPr>
        <w:t>3</w:t>
      </w:r>
      <w:r>
        <w:rPr>
          <w:rFonts w:ascii="Arial" w:hAnsi="Arial" w:cs="Arial"/>
        </w:rPr>
        <w:t>]</w:t>
      </w:r>
      <w:r>
        <w:rPr>
          <w:rFonts w:ascii="Arial" w:hAnsi="Arial" w:cs="Arial"/>
        </w:rPr>
        <w:tab/>
        <w:t xml:space="preserve">For all the reasons mentioned in this separate concurrence, I agree that the appropriate order is to dismiss the appeal with costs, including those occasioned by the employment of two counsel.  </w:t>
      </w:r>
    </w:p>
    <w:p w14:paraId="52A0347E" w14:textId="77777777" w:rsidR="00F22ACA" w:rsidRDefault="00F22ACA" w:rsidP="00F22ACA">
      <w:pPr>
        <w:pStyle w:val="NormalWeb"/>
        <w:shd w:val="clear" w:color="auto" w:fill="FFFFFF"/>
        <w:spacing w:before="144" w:beforeAutospacing="0" w:after="0" w:afterAutospacing="0" w:line="360" w:lineRule="auto"/>
        <w:jc w:val="both"/>
        <w:rPr>
          <w:rFonts w:ascii="Arial" w:hAnsi="Arial" w:cs="Arial"/>
        </w:rPr>
      </w:pPr>
    </w:p>
    <w:p w14:paraId="670A9F16" w14:textId="1CE97B6F" w:rsidR="00F22ACA" w:rsidRDefault="00F22ACA" w:rsidP="00F22ACA">
      <w:pPr>
        <w:pStyle w:val="NormalWeb"/>
        <w:shd w:val="clear" w:color="auto" w:fill="FFFFFF"/>
        <w:spacing w:before="144" w:beforeAutospacing="0" w:after="0" w:afterAutospacing="0" w:line="360" w:lineRule="auto"/>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411CB">
        <w:rPr>
          <w:rFonts w:ascii="Arial" w:hAnsi="Arial" w:cs="Arial"/>
        </w:rPr>
        <w:t>_____</w:t>
      </w:r>
      <w:r>
        <w:rPr>
          <w:rFonts w:ascii="Arial" w:hAnsi="Arial" w:cs="Arial"/>
        </w:rPr>
        <w:t>_______________</w:t>
      </w:r>
    </w:p>
    <w:p w14:paraId="1D85FC9D" w14:textId="5725F530" w:rsidR="00F22ACA" w:rsidRDefault="00E009CF" w:rsidP="00F22ACA">
      <w:pPr>
        <w:pStyle w:val="NormalWeb"/>
        <w:shd w:val="clear" w:color="auto" w:fill="FFFFFF"/>
        <w:spacing w:before="144" w:beforeAutospacing="0" w:after="0" w:afterAutospacing="0" w:line="360" w:lineRule="auto"/>
        <w:ind w:left="5040" w:firstLine="720"/>
        <w:jc w:val="right"/>
        <w:rPr>
          <w:rFonts w:ascii="Arial" w:hAnsi="Arial" w:cs="Arial"/>
        </w:rPr>
      </w:pPr>
      <w:r>
        <w:rPr>
          <w:rFonts w:ascii="Arial" w:hAnsi="Arial" w:cs="Arial"/>
        </w:rPr>
        <w:t>MB MOLEMELA</w:t>
      </w:r>
    </w:p>
    <w:p w14:paraId="4C8AC453" w14:textId="009940CD" w:rsidR="00D64434" w:rsidRPr="00312235" w:rsidRDefault="00E009CF" w:rsidP="00312235">
      <w:pPr>
        <w:pStyle w:val="NormalWeb"/>
        <w:shd w:val="clear" w:color="auto" w:fill="FFFFFF"/>
        <w:spacing w:before="144" w:beforeAutospacing="0" w:after="0" w:afterAutospacing="0" w:line="360" w:lineRule="auto"/>
        <w:jc w:val="right"/>
        <w:rPr>
          <w:rFonts w:ascii="Arial" w:hAnsi="Arial" w:cs="Arial"/>
        </w:rPr>
      </w:pPr>
      <w:r>
        <w:rPr>
          <w:rFonts w:ascii="Arial" w:hAnsi="Arial" w:cs="Arial"/>
        </w:rPr>
        <w:tab/>
        <w:t>PRESIDENT OF THE SUPREME COURT OF APPEAL</w:t>
      </w:r>
    </w:p>
    <w:p w14:paraId="2607A5CD" w14:textId="77777777" w:rsidR="00232028" w:rsidRDefault="00232028">
      <w:pPr>
        <w:spacing w:after="160" w:line="259" w:lineRule="auto"/>
        <w:jc w:val="left"/>
        <w:rPr>
          <w:rFonts w:ascii="Arial" w:eastAsia="Arial" w:hAnsi="Arial" w:cs="Arial"/>
        </w:rPr>
      </w:pPr>
      <w:r>
        <w:rPr>
          <w:rFonts w:ascii="Arial" w:eastAsia="Arial" w:hAnsi="Arial" w:cs="Arial"/>
        </w:rPr>
        <w:br w:type="page"/>
      </w:r>
    </w:p>
    <w:p w14:paraId="4B64DA40" w14:textId="77777777" w:rsidR="00F41B1C" w:rsidRPr="00A10BEF" w:rsidRDefault="00F41B1C" w:rsidP="00F41B1C">
      <w:pPr>
        <w:rPr>
          <w:rFonts w:ascii="Arial" w:hAnsi="Arial" w:cs="Arial"/>
        </w:rPr>
      </w:pPr>
      <w:r w:rsidRPr="00A10BEF">
        <w:rPr>
          <w:rFonts w:ascii="Arial" w:hAnsi="Arial" w:cs="Arial"/>
        </w:rPr>
        <w:lastRenderedPageBreak/>
        <w:t>Appearances</w:t>
      </w:r>
    </w:p>
    <w:p w14:paraId="7715B0B9" w14:textId="77777777" w:rsidR="00F41B1C" w:rsidRPr="00A10BEF" w:rsidRDefault="00F41B1C" w:rsidP="00F41B1C">
      <w:pPr>
        <w:rPr>
          <w:rFonts w:ascii="Arial" w:eastAsia="Arial" w:hAnsi="Arial" w:cs="Arial"/>
        </w:rPr>
      </w:pPr>
    </w:p>
    <w:p w14:paraId="1629A37E" w14:textId="375DEBE4" w:rsidR="00F41B1C" w:rsidRDefault="00E40759" w:rsidP="00F41B1C">
      <w:pPr>
        <w:tabs>
          <w:tab w:val="left" w:pos="3969"/>
        </w:tabs>
        <w:rPr>
          <w:rFonts w:ascii="Arial" w:eastAsia="Arial" w:hAnsi="Arial" w:cs="Arial"/>
        </w:rPr>
      </w:pPr>
      <w:r>
        <w:rPr>
          <w:rFonts w:ascii="Arial" w:eastAsia="Arial" w:hAnsi="Arial" w:cs="Arial"/>
        </w:rPr>
        <w:t xml:space="preserve">For the </w:t>
      </w:r>
      <w:r w:rsidR="009E6D1C">
        <w:rPr>
          <w:rFonts w:ascii="Arial" w:eastAsia="Arial" w:hAnsi="Arial" w:cs="Arial"/>
        </w:rPr>
        <w:t>appellant:</w:t>
      </w:r>
      <w:r w:rsidR="009E6D1C">
        <w:rPr>
          <w:rFonts w:ascii="Arial" w:eastAsia="Arial" w:hAnsi="Arial" w:cs="Arial"/>
        </w:rPr>
        <w:tab/>
        <w:t>PA Swanepoel</w:t>
      </w:r>
      <w:r>
        <w:rPr>
          <w:rFonts w:ascii="Arial" w:eastAsia="Arial" w:hAnsi="Arial" w:cs="Arial"/>
        </w:rPr>
        <w:t xml:space="preserve"> </w:t>
      </w:r>
      <w:r w:rsidR="00A10BEF" w:rsidRPr="00E40759">
        <w:rPr>
          <w:rFonts w:ascii="Arial" w:eastAsia="Arial" w:hAnsi="Arial" w:cs="Arial"/>
        </w:rPr>
        <w:t xml:space="preserve">SC </w:t>
      </w:r>
      <w:r w:rsidR="007B2327" w:rsidRPr="00E40759">
        <w:rPr>
          <w:rFonts w:ascii="Arial" w:eastAsia="Arial" w:hAnsi="Arial" w:cs="Arial"/>
        </w:rPr>
        <w:t>and</w:t>
      </w:r>
      <w:r w:rsidR="009E6D1C">
        <w:rPr>
          <w:rFonts w:ascii="Arial" w:eastAsia="Arial" w:hAnsi="Arial" w:cs="Arial"/>
        </w:rPr>
        <w:t xml:space="preserve"> CA Boonzaaier</w:t>
      </w:r>
    </w:p>
    <w:p w14:paraId="4EF77BE6" w14:textId="29CE8533" w:rsidR="00E1078C" w:rsidRPr="00E40759" w:rsidRDefault="00E1078C" w:rsidP="00E1078C">
      <w:pPr>
        <w:tabs>
          <w:tab w:val="left" w:pos="3969"/>
        </w:tabs>
        <w:rPr>
          <w:rFonts w:ascii="Arial" w:eastAsia="Arial" w:hAnsi="Arial" w:cs="Arial"/>
        </w:rPr>
      </w:pPr>
      <w:r>
        <w:rPr>
          <w:rFonts w:ascii="Arial" w:eastAsia="Arial" w:hAnsi="Arial" w:cs="Arial"/>
        </w:rPr>
        <w:t>Instructed</w:t>
      </w:r>
      <w:r w:rsidR="009E6D1C">
        <w:rPr>
          <w:rFonts w:ascii="Arial" w:eastAsia="Arial" w:hAnsi="Arial" w:cs="Arial"/>
        </w:rPr>
        <w:t xml:space="preserve"> by:</w:t>
      </w:r>
      <w:r w:rsidR="009E6D1C">
        <w:rPr>
          <w:rFonts w:ascii="Arial" w:eastAsia="Arial" w:hAnsi="Arial" w:cs="Arial"/>
        </w:rPr>
        <w:tab/>
        <w:t>Edward Nathan Sonnenbergs Inc., Pretoria</w:t>
      </w:r>
    </w:p>
    <w:p w14:paraId="3A4C3E5A" w14:textId="3B6BEBD8" w:rsidR="00E1078C" w:rsidRDefault="00E1078C" w:rsidP="00F41B1C">
      <w:pPr>
        <w:tabs>
          <w:tab w:val="left" w:pos="3969"/>
        </w:tabs>
        <w:rPr>
          <w:rFonts w:ascii="Arial" w:eastAsia="Arial" w:hAnsi="Arial" w:cs="Arial"/>
        </w:rPr>
      </w:pPr>
      <w:r w:rsidRPr="00E40759">
        <w:rPr>
          <w:rFonts w:ascii="Arial" w:eastAsia="Arial" w:hAnsi="Arial" w:cs="Arial"/>
        </w:rPr>
        <w:tab/>
      </w:r>
      <w:r w:rsidR="009E6D1C">
        <w:rPr>
          <w:rFonts w:ascii="Arial" w:eastAsia="Arial" w:hAnsi="Arial" w:cs="Arial"/>
        </w:rPr>
        <w:t>McIntyre van der Post Inc.</w:t>
      </w:r>
      <w:r w:rsidRPr="00E40759">
        <w:rPr>
          <w:rFonts w:ascii="Arial" w:eastAsia="Arial" w:hAnsi="Arial" w:cs="Arial"/>
        </w:rPr>
        <w:t>, Bloemfontein.</w:t>
      </w:r>
    </w:p>
    <w:p w14:paraId="5A55D2A2" w14:textId="5730DA81" w:rsidR="00F41B1C" w:rsidRPr="00E40759" w:rsidRDefault="00F41B1C" w:rsidP="0060751C">
      <w:pPr>
        <w:tabs>
          <w:tab w:val="left" w:pos="3969"/>
        </w:tabs>
        <w:rPr>
          <w:rFonts w:ascii="Arial" w:eastAsia="Arial" w:hAnsi="Arial" w:cs="Arial"/>
        </w:rPr>
      </w:pPr>
    </w:p>
    <w:p w14:paraId="297E6646" w14:textId="5D341AC3" w:rsidR="00F41B1C" w:rsidRDefault="00A10BEF" w:rsidP="00F41B1C">
      <w:pPr>
        <w:tabs>
          <w:tab w:val="left" w:pos="3969"/>
        </w:tabs>
        <w:rPr>
          <w:rFonts w:ascii="Arial" w:eastAsia="Arial" w:hAnsi="Arial" w:cs="Arial"/>
        </w:rPr>
      </w:pPr>
      <w:r w:rsidRPr="00E40759">
        <w:rPr>
          <w:rFonts w:ascii="Arial" w:eastAsia="Arial" w:hAnsi="Arial" w:cs="Arial"/>
        </w:rPr>
        <w:t xml:space="preserve">For the </w:t>
      </w:r>
      <w:r w:rsidR="009E6D1C">
        <w:rPr>
          <w:rFonts w:ascii="Arial" w:eastAsia="Arial" w:hAnsi="Arial" w:cs="Arial"/>
        </w:rPr>
        <w:t>respondent:</w:t>
      </w:r>
      <w:r w:rsidR="009E6D1C">
        <w:rPr>
          <w:rFonts w:ascii="Arial" w:eastAsia="Arial" w:hAnsi="Arial" w:cs="Arial"/>
        </w:rPr>
        <w:tab/>
        <w:t>EC Coetzee</w:t>
      </w:r>
      <w:r w:rsidRPr="00E40759">
        <w:rPr>
          <w:rFonts w:ascii="Arial" w:eastAsia="Arial" w:hAnsi="Arial" w:cs="Arial"/>
        </w:rPr>
        <w:t xml:space="preserve"> SC </w:t>
      </w:r>
      <w:r w:rsidR="007B2327" w:rsidRPr="00E40759">
        <w:rPr>
          <w:rFonts w:ascii="Arial" w:eastAsia="Arial" w:hAnsi="Arial" w:cs="Arial"/>
        </w:rPr>
        <w:t>and</w:t>
      </w:r>
      <w:r w:rsidR="009E6D1C">
        <w:rPr>
          <w:rFonts w:ascii="Arial" w:eastAsia="Arial" w:hAnsi="Arial" w:cs="Arial"/>
        </w:rPr>
        <w:t xml:space="preserve"> S Maritz</w:t>
      </w:r>
    </w:p>
    <w:p w14:paraId="6B8F793C" w14:textId="0E7EC5E2" w:rsidR="00E1078C" w:rsidRPr="00E40759" w:rsidRDefault="00E1078C" w:rsidP="00E1078C">
      <w:pPr>
        <w:tabs>
          <w:tab w:val="left" w:pos="3969"/>
        </w:tabs>
        <w:rPr>
          <w:rFonts w:ascii="Arial" w:eastAsia="Arial" w:hAnsi="Arial" w:cs="Arial"/>
        </w:rPr>
      </w:pPr>
      <w:r>
        <w:rPr>
          <w:rFonts w:ascii="Arial" w:eastAsia="Arial" w:hAnsi="Arial" w:cs="Arial"/>
        </w:rPr>
        <w:t>I</w:t>
      </w:r>
      <w:r w:rsidRPr="00E40759">
        <w:rPr>
          <w:rFonts w:ascii="Arial" w:eastAsia="Arial" w:hAnsi="Arial" w:cs="Arial"/>
        </w:rPr>
        <w:t>nstruct</w:t>
      </w:r>
      <w:r w:rsidR="009E6D1C">
        <w:rPr>
          <w:rFonts w:ascii="Arial" w:eastAsia="Arial" w:hAnsi="Arial" w:cs="Arial"/>
        </w:rPr>
        <w:t>ed by:</w:t>
      </w:r>
      <w:r w:rsidR="009E6D1C">
        <w:rPr>
          <w:rFonts w:ascii="Arial" w:eastAsia="Arial" w:hAnsi="Arial" w:cs="Arial"/>
        </w:rPr>
        <w:tab/>
        <w:t>VLZ Inc.</w:t>
      </w:r>
      <w:r>
        <w:rPr>
          <w:rFonts w:ascii="Arial" w:eastAsia="Arial" w:hAnsi="Arial" w:cs="Arial"/>
        </w:rPr>
        <w:t>, Pretoria</w:t>
      </w:r>
    </w:p>
    <w:p w14:paraId="746D5FE4" w14:textId="5C35086E" w:rsidR="00E1078C" w:rsidRDefault="009E6D1C" w:rsidP="00F41B1C">
      <w:pPr>
        <w:tabs>
          <w:tab w:val="left" w:pos="3969"/>
        </w:tabs>
        <w:rPr>
          <w:rFonts w:ascii="Arial" w:eastAsia="Arial" w:hAnsi="Arial" w:cs="Arial"/>
        </w:rPr>
      </w:pPr>
      <w:r>
        <w:rPr>
          <w:rFonts w:ascii="Arial" w:eastAsia="Arial" w:hAnsi="Arial" w:cs="Arial"/>
        </w:rPr>
        <w:tab/>
        <w:t>Honey Attorneys</w:t>
      </w:r>
      <w:r w:rsidR="00E1078C" w:rsidRPr="00E40759">
        <w:rPr>
          <w:rFonts w:ascii="Arial" w:eastAsia="Arial" w:hAnsi="Arial" w:cs="Arial"/>
        </w:rPr>
        <w:t>, Bloemfontein.</w:t>
      </w:r>
    </w:p>
    <w:p w14:paraId="12A09AD4" w14:textId="109BE5EB" w:rsidR="001D7C8E" w:rsidRDefault="001D7C8E">
      <w:pPr>
        <w:spacing w:after="160" w:line="259" w:lineRule="auto"/>
        <w:jc w:val="left"/>
        <w:rPr>
          <w:rFonts w:ascii="Arial" w:eastAsia="Arial" w:hAnsi="Arial" w:cs="Arial"/>
        </w:rPr>
      </w:pPr>
    </w:p>
    <w:sectPr w:rsidR="001D7C8E" w:rsidSect="00FC45E9">
      <w:head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3940E" w14:textId="77777777" w:rsidR="00C83BB2" w:rsidRDefault="00C83BB2" w:rsidP="00182449">
      <w:pPr>
        <w:spacing w:line="240" w:lineRule="auto"/>
      </w:pPr>
      <w:r>
        <w:separator/>
      </w:r>
    </w:p>
  </w:endnote>
  <w:endnote w:type="continuationSeparator" w:id="0">
    <w:p w14:paraId="6FD80B0C" w14:textId="77777777" w:rsidR="00C83BB2" w:rsidRDefault="00C83BB2" w:rsidP="001824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E0C3F" w14:textId="77777777" w:rsidR="00C83BB2" w:rsidRDefault="00C83BB2" w:rsidP="00182449">
      <w:pPr>
        <w:spacing w:line="240" w:lineRule="auto"/>
      </w:pPr>
      <w:r>
        <w:separator/>
      </w:r>
    </w:p>
  </w:footnote>
  <w:footnote w:type="continuationSeparator" w:id="0">
    <w:p w14:paraId="390BFC32" w14:textId="77777777" w:rsidR="00C83BB2" w:rsidRDefault="00C83BB2" w:rsidP="00182449">
      <w:pPr>
        <w:spacing w:line="240" w:lineRule="auto"/>
      </w:pPr>
      <w:r>
        <w:continuationSeparator/>
      </w:r>
    </w:p>
  </w:footnote>
  <w:footnote w:id="1">
    <w:p w14:paraId="7F58CF8A" w14:textId="299681A2" w:rsidR="002732F5" w:rsidRPr="007C6112" w:rsidRDefault="002732F5" w:rsidP="002732F5">
      <w:pPr>
        <w:pStyle w:val="FootnoteText"/>
        <w:spacing w:line="240" w:lineRule="auto"/>
        <w:rPr>
          <w:rFonts w:ascii="Arial" w:hAnsi="Arial" w:cs="Arial"/>
          <w:lang w:val="en-US"/>
        </w:rPr>
      </w:pPr>
      <w:r w:rsidRPr="009E156A">
        <w:rPr>
          <w:rStyle w:val="FootnoteReference"/>
          <w:rFonts w:ascii="Arial" w:hAnsi="Arial" w:cs="Arial"/>
        </w:rPr>
        <w:footnoteRef/>
      </w:r>
      <w:r w:rsidRPr="009E156A">
        <w:rPr>
          <w:rFonts w:ascii="Arial" w:hAnsi="Arial" w:cs="Arial"/>
        </w:rPr>
        <w:t xml:space="preserve"> </w:t>
      </w:r>
      <w:r w:rsidRPr="007C6112">
        <w:rPr>
          <w:rFonts w:ascii="Arial" w:hAnsi="Arial" w:cs="Arial"/>
        </w:rPr>
        <w:t>Section 11(1)</w:t>
      </w:r>
      <w:r w:rsidRPr="007C6112">
        <w:rPr>
          <w:rFonts w:ascii="Arial" w:hAnsi="Arial" w:cs="Arial"/>
          <w:i/>
        </w:rPr>
        <w:t>(f)</w:t>
      </w:r>
      <w:r w:rsidRPr="007C6112">
        <w:rPr>
          <w:rFonts w:ascii="Arial" w:hAnsi="Arial" w:cs="Arial"/>
        </w:rPr>
        <w:t xml:space="preserve"> provides: ‘</w:t>
      </w:r>
      <w:r w:rsidR="00C65301" w:rsidRPr="007C6112">
        <w:rPr>
          <w:rFonts w:ascii="Arial" w:hAnsi="Arial" w:cs="Arial"/>
        </w:rPr>
        <w:t>Where, but for the provisions of this secti</w:t>
      </w:r>
      <w:r w:rsidR="00EB1B8C" w:rsidRPr="007C6112">
        <w:rPr>
          <w:rFonts w:ascii="Arial" w:hAnsi="Arial" w:cs="Arial"/>
        </w:rPr>
        <w:t xml:space="preserve">on, a supply of goods would be </w:t>
      </w:r>
      <w:r w:rsidR="00C65301" w:rsidRPr="007C6112">
        <w:rPr>
          <w:rFonts w:ascii="Arial" w:hAnsi="Arial" w:cs="Arial"/>
        </w:rPr>
        <w:t>charged with tax under section 7(1)</w:t>
      </w:r>
      <w:r w:rsidR="00C65301" w:rsidRPr="007C6112">
        <w:rPr>
          <w:rFonts w:ascii="Arial" w:hAnsi="Arial" w:cs="Arial"/>
          <w:i/>
        </w:rPr>
        <w:t>(a)</w:t>
      </w:r>
      <w:r w:rsidR="00C65301" w:rsidRPr="007C6112">
        <w:rPr>
          <w:rFonts w:ascii="Arial" w:hAnsi="Arial" w:cs="Arial"/>
        </w:rPr>
        <w:t xml:space="preserve">, such supply of goods shall, subject to compliance with subsection (3) of this section, be charged with tax at the rate of zero per cent where </w:t>
      </w:r>
      <w:r w:rsidRPr="007C6112">
        <w:rPr>
          <w:rFonts w:ascii="Arial" w:hAnsi="Arial" w:cs="Arial"/>
        </w:rPr>
        <w:t>the supply is to the South African Reserve Bank, the South African Mint Company (Proprietary) Limited or any deposit-taking institution registered under the Deposit-taking Institutions Act, 1990 (Act No. 94 of 1990), of gold in the form of bars, ingots, buttons, wire, plate or granules or in solution, which has not undergone any manufacturing process other than the refining thereof or the manufacture or production of such bars, ingots, buttons, wire, plates, granules or solution.’</w:t>
      </w:r>
    </w:p>
  </w:footnote>
  <w:footnote w:id="2">
    <w:p w14:paraId="0D1EE10A" w14:textId="38C9F399" w:rsidR="002732F5" w:rsidRPr="007C6112" w:rsidRDefault="002732F5" w:rsidP="002732F5">
      <w:pPr>
        <w:pStyle w:val="FootnoteText"/>
        <w:spacing w:line="240" w:lineRule="auto"/>
        <w:rPr>
          <w:rFonts w:ascii="Arial" w:hAnsi="Arial" w:cs="Arial"/>
          <w:lang w:val="en-US"/>
        </w:rPr>
      </w:pPr>
      <w:r w:rsidRPr="007C6112">
        <w:rPr>
          <w:rStyle w:val="FootnoteReference"/>
          <w:rFonts w:ascii="Arial" w:hAnsi="Arial" w:cs="Arial"/>
        </w:rPr>
        <w:footnoteRef/>
      </w:r>
      <w:r w:rsidRPr="007C6112">
        <w:rPr>
          <w:rFonts w:ascii="Arial" w:hAnsi="Arial" w:cs="Arial"/>
        </w:rPr>
        <w:t xml:space="preserve"> </w:t>
      </w:r>
      <w:r w:rsidR="00672B42" w:rsidRPr="007C6112">
        <w:rPr>
          <w:rFonts w:ascii="Arial" w:hAnsi="Arial" w:cs="Arial"/>
          <w:lang w:val="en-US"/>
        </w:rPr>
        <w:t>C</w:t>
      </w:r>
      <w:r w:rsidRPr="007C6112">
        <w:rPr>
          <w:rFonts w:ascii="Arial" w:hAnsi="Arial" w:cs="Arial"/>
          <w:lang w:val="en-US"/>
        </w:rPr>
        <w:t xml:space="preserve">ategory C </w:t>
      </w:r>
      <w:r w:rsidR="00672B42" w:rsidRPr="007C6112">
        <w:rPr>
          <w:rFonts w:ascii="Arial" w:hAnsi="Arial" w:cs="Arial"/>
          <w:lang w:val="en-US"/>
        </w:rPr>
        <w:t>means the category of v</w:t>
      </w:r>
      <w:r w:rsidRPr="007C6112">
        <w:rPr>
          <w:rFonts w:ascii="Arial" w:hAnsi="Arial" w:cs="Arial"/>
          <w:lang w:val="en-US"/>
        </w:rPr>
        <w:t>endor</w:t>
      </w:r>
      <w:r w:rsidR="00672B42" w:rsidRPr="007C6112">
        <w:rPr>
          <w:rFonts w:ascii="Arial" w:hAnsi="Arial" w:cs="Arial"/>
          <w:lang w:val="en-US"/>
        </w:rPr>
        <w:t>s whose tax periods are periods of</w:t>
      </w:r>
      <w:r w:rsidR="00C65301" w:rsidRPr="007C6112">
        <w:rPr>
          <w:rFonts w:ascii="Arial" w:hAnsi="Arial" w:cs="Arial"/>
          <w:lang w:val="en-US"/>
        </w:rPr>
        <w:t xml:space="preserve"> one</w:t>
      </w:r>
      <w:r w:rsidR="00672B42" w:rsidRPr="007C6112">
        <w:rPr>
          <w:rFonts w:ascii="Arial" w:hAnsi="Arial" w:cs="Arial"/>
          <w:lang w:val="en-US"/>
        </w:rPr>
        <w:t xml:space="preserve"> month</w:t>
      </w:r>
      <w:r w:rsidR="00C65301" w:rsidRPr="007C6112">
        <w:rPr>
          <w:rFonts w:ascii="Arial" w:hAnsi="Arial" w:cs="Arial"/>
          <w:lang w:val="en-US"/>
        </w:rPr>
        <w:t xml:space="preserve"> ending on the last day of each of the 12 months of the calendar year.</w:t>
      </w:r>
    </w:p>
  </w:footnote>
  <w:footnote w:id="3">
    <w:p w14:paraId="4B8C53A5" w14:textId="0182466E" w:rsidR="009956D2" w:rsidRPr="009956D2" w:rsidRDefault="009956D2" w:rsidP="002D32E7">
      <w:pPr>
        <w:pStyle w:val="FootnoteText"/>
        <w:spacing w:line="240" w:lineRule="auto"/>
        <w:rPr>
          <w:rFonts w:ascii="Arial" w:hAnsi="Arial" w:cs="Arial"/>
          <w:lang w:val="en-US"/>
        </w:rPr>
      </w:pPr>
      <w:r w:rsidRPr="009956D2">
        <w:rPr>
          <w:rStyle w:val="FootnoteReference"/>
          <w:rFonts w:ascii="Arial" w:hAnsi="Arial" w:cs="Arial"/>
        </w:rPr>
        <w:footnoteRef/>
      </w:r>
      <w:r w:rsidRPr="009956D2">
        <w:rPr>
          <w:rFonts w:ascii="Arial" w:hAnsi="Arial" w:cs="Arial"/>
        </w:rPr>
        <w:t xml:space="preserve"> </w:t>
      </w:r>
      <w:r>
        <w:rPr>
          <w:rFonts w:ascii="Arial" w:hAnsi="Arial" w:cs="Arial"/>
        </w:rPr>
        <w:t xml:space="preserve">See </w:t>
      </w:r>
      <w:r>
        <w:rPr>
          <w:rFonts w:ascii="Arial" w:hAnsi="Arial" w:cs="Arial"/>
          <w:i/>
        </w:rPr>
        <w:t xml:space="preserve">Family Benefit Friendly Society v Commissioner </w:t>
      </w:r>
      <w:r w:rsidR="00C86029">
        <w:rPr>
          <w:rFonts w:ascii="Arial" w:hAnsi="Arial" w:cs="Arial"/>
          <w:i/>
        </w:rPr>
        <w:t>f</w:t>
      </w:r>
      <w:r>
        <w:rPr>
          <w:rFonts w:ascii="Arial" w:hAnsi="Arial" w:cs="Arial"/>
          <w:i/>
        </w:rPr>
        <w:t xml:space="preserve">or Inland Revenue and Another </w:t>
      </w:r>
      <w:r>
        <w:rPr>
          <w:rFonts w:ascii="Arial" w:hAnsi="Arial" w:cs="Arial"/>
        </w:rPr>
        <w:t>1995 (4) SA 120 (T) at 124E</w:t>
      </w:r>
      <w:r w:rsidR="00F24EEC">
        <w:rPr>
          <w:rFonts w:ascii="Arial" w:hAnsi="Arial" w:cs="Arial"/>
        </w:rPr>
        <w:t>-</w:t>
      </w:r>
      <w:r>
        <w:rPr>
          <w:rFonts w:ascii="Arial" w:hAnsi="Arial" w:cs="Arial"/>
        </w:rPr>
        <w:t xml:space="preserve">F </w:t>
      </w:r>
      <w:r w:rsidR="00202D47">
        <w:rPr>
          <w:rFonts w:ascii="Arial" w:hAnsi="Arial" w:cs="Arial"/>
        </w:rPr>
        <w:t>(</w:t>
      </w:r>
      <w:r w:rsidR="00202D47" w:rsidRPr="00202D47">
        <w:rPr>
          <w:rFonts w:ascii="Arial" w:hAnsi="Arial" w:cs="Arial"/>
          <w:i/>
          <w:iCs/>
        </w:rPr>
        <w:t>Family Benefit Friendly Society</w:t>
      </w:r>
      <w:r w:rsidR="00202D47">
        <w:rPr>
          <w:rFonts w:ascii="Arial" w:hAnsi="Arial" w:cs="Arial"/>
        </w:rPr>
        <w:t xml:space="preserve">) </w:t>
      </w:r>
      <w:r>
        <w:rPr>
          <w:rFonts w:ascii="Arial" w:hAnsi="Arial" w:cs="Arial"/>
        </w:rPr>
        <w:t>and the cases there cited.</w:t>
      </w:r>
    </w:p>
  </w:footnote>
  <w:footnote w:id="4">
    <w:p w14:paraId="03832FB6" w14:textId="2B6E3A47" w:rsidR="002732F5" w:rsidRPr="002D32E7" w:rsidRDefault="002732F5" w:rsidP="002D32E7">
      <w:pPr>
        <w:spacing w:line="240" w:lineRule="auto"/>
        <w:rPr>
          <w:rFonts w:ascii="Arial" w:hAnsi="Arial" w:cs="Arial"/>
          <w:sz w:val="20"/>
          <w:szCs w:val="20"/>
        </w:rPr>
      </w:pPr>
      <w:r w:rsidRPr="002D32E7">
        <w:rPr>
          <w:rStyle w:val="FootnoteReference"/>
          <w:rFonts w:ascii="Arial" w:hAnsi="Arial" w:cs="Arial"/>
          <w:sz w:val="20"/>
          <w:szCs w:val="20"/>
        </w:rPr>
        <w:footnoteRef/>
      </w:r>
      <w:r w:rsidRPr="002D32E7">
        <w:rPr>
          <w:rFonts w:ascii="Arial" w:hAnsi="Arial" w:cs="Arial"/>
          <w:sz w:val="20"/>
          <w:szCs w:val="20"/>
        </w:rPr>
        <w:t xml:space="preserve"> Section 105 provides: ‘A taxpayer may only dispute an assessment or ‘decision’ as described in section 104 in proceedings under this Chapter, unless a High Court otherwise directs.’</w:t>
      </w:r>
    </w:p>
  </w:footnote>
  <w:footnote w:id="5">
    <w:p w14:paraId="5AC9FB82" w14:textId="5F640C6F" w:rsidR="002732F5" w:rsidRPr="002D32E7" w:rsidRDefault="002732F5" w:rsidP="002D32E7">
      <w:pPr>
        <w:pStyle w:val="FootnoteText"/>
        <w:spacing w:line="240" w:lineRule="auto"/>
        <w:rPr>
          <w:rFonts w:ascii="Arial" w:hAnsi="Arial" w:cs="Arial"/>
        </w:rPr>
      </w:pPr>
      <w:r w:rsidRPr="002D32E7">
        <w:rPr>
          <w:rStyle w:val="FootnoteReference"/>
          <w:rFonts w:ascii="Arial" w:hAnsi="Arial" w:cs="Arial"/>
        </w:rPr>
        <w:footnoteRef/>
      </w:r>
      <w:r w:rsidRPr="002D32E7">
        <w:rPr>
          <w:rFonts w:ascii="Arial" w:hAnsi="Arial" w:cs="Arial"/>
        </w:rPr>
        <w:t xml:space="preserve"> </w:t>
      </w:r>
      <w:r w:rsidRPr="002D32E7">
        <w:rPr>
          <w:rFonts w:ascii="Arial" w:hAnsi="Arial" w:cs="Arial"/>
          <w:i/>
          <w:iCs/>
          <w:shd w:val="clear" w:color="auto" w:fill="FFFFFF"/>
        </w:rPr>
        <w:t>Commissioner for the South African Revenue Service v Rappa Resources (</w:t>
      </w:r>
      <w:r w:rsidR="00DA1B5D" w:rsidRPr="002D32E7">
        <w:rPr>
          <w:rFonts w:ascii="Arial" w:hAnsi="Arial" w:cs="Arial"/>
          <w:i/>
          <w:iCs/>
          <w:shd w:val="clear" w:color="auto" w:fill="FFFFFF"/>
        </w:rPr>
        <w:t xml:space="preserve">Pty) Ltd </w:t>
      </w:r>
      <w:hyperlink r:id="rId1" w:tooltip="View LawCiteRecord" w:history="1">
        <w:r w:rsidRPr="002D32E7">
          <w:rPr>
            <w:rStyle w:val="Hyperlink"/>
            <w:rFonts w:ascii="Arial" w:hAnsi="Arial" w:cs="Arial"/>
            <w:color w:val="auto"/>
            <w:u w:val="none"/>
            <w:shd w:val="clear" w:color="auto" w:fill="FFFFFF"/>
          </w:rPr>
          <w:t>[2023] ZASCA 28</w:t>
        </w:r>
      </w:hyperlink>
      <w:r w:rsidR="00DA1B5D" w:rsidRPr="002D32E7">
        <w:rPr>
          <w:rFonts w:ascii="Arial" w:hAnsi="Arial" w:cs="Arial"/>
          <w:shd w:val="clear" w:color="auto" w:fill="FFFFFF"/>
        </w:rPr>
        <w:t>; 2023 (4) SA 488 (SCA).</w:t>
      </w:r>
    </w:p>
  </w:footnote>
  <w:footnote w:id="6">
    <w:p w14:paraId="11C29261" w14:textId="19A448CB" w:rsidR="002732F5" w:rsidRPr="00A77CEE" w:rsidRDefault="002732F5" w:rsidP="002732F5">
      <w:pPr>
        <w:pStyle w:val="FootnoteText"/>
        <w:spacing w:line="240" w:lineRule="auto"/>
        <w:rPr>
          <w:rFonts w:ascii="Arial" w:hAnsi="Arial" w:cs="Arial"/>
        </w:rPr>
      </w:pPr>
      <w:r w:rsidRPr="00A77CEE">
        <w:rPr>
          <w:rStyle w:val="FootnoteReference"/>
          <w:rFonts w:ascii="Arial" w:hAnsi="Arial" w:cs="Arial"/>
        </w:rPr>
        <w:footnoteRef/>
      </w:r>
      <w:r w:rsidRPr="00A77CEE">
        <w:rPr>
          <w:rFonts w:ascii="Arial" w:hAnsi="Arial" w:cs="Arial"/>
        </w:rPr>
        <w:t xml:space="preserve"> </w:t>
      </w:r>
      <w:r w:rsidRPr="00A77CEE">
        <w:rPr>
          <w:rFonts w:ascii="Arial" w:hAnsi="Arial" w:cs="Arial"/>
          <w:i/>
          <w:iCs/>
        </w:rPr>
        <w:t>Commissioner for the South African Revenue Service v Langholm Farms (Pty) Ltd</w:t>
      </w:r>
      <w:r w:rsidRPr="00A77CEE">
        <w:rPr>
          <w:rFonts w:ascii="Arial" w:hAnsi="Arial" w:cs="Arial"/>
        </w:rPr>
        <w:t xml:space="preserve"> [2019] ZASCA 163 </w:t>
      </w:r>
      <w:r>
        <w:rPr>
          <w:rFonts w:ascii="Arial" w:hAnsi="Arial" w:cs="Arial"/>
        </w:rPr>
        <w:t>(</w:t>
      </w:r>
      <w:r w:rsidRPr="00A77CEE">
        <w:rPr>
          <w:rFonts w:ascii="Arial" w:hAnsi="Arial" w:cs="Arial"/>
          <w:i/>
          <w:iCs/>
        </w:rPr>
        <w:t>Langholm Farms</w:t>
      </w:r>
      <w:r>
        <w:rPr>
          <w:rFonts w:ascii="Arial" w:hAnsi="Arial" w:cs="Arial"/>
          <w:iCs/>
        </w:rPr>
        <w:t>)</w:t>
      </w:r>
      <w:r>
        <w:rPr>
          <w:rFonts w:ascii="Arial" w:hAnsi="Arial" w:cs="Arial"/>
          <w:i/>
          <w:iCs/>
        </w:rPr>
        <w:t>.</w:t>
      </w:r>
    </w:p>
  </w:footnote>
  <w:footnote w:id="7">
    <w:p w14:paraId="70765925" w14:textId="672D824D" w:rsidR="002732F5" w:rsidRPr="00F47737" w:rsidRDefault="002732F5" w:rsidP="002732F5">
      <w:pPr>
        <w:pStyle w:val="FootnoteText"/>
        <w:spacing w:line="240" w:lineRule="auto"/>
        <w:rPr>
          <w:rFonts w:ascii="Arial" w:hAnsi="Arial" w:cs="Arial"/>
        </w:rPr>
      </w:pPr>
      <w:r w:rsidRPr="00F47737">
        <w:rPr>
          <w:rStyle w:val="FootnoteReference"/>
          <w:rFonts w:ascii="Arial" w:hAnsi="Arial" w:cs="Arial"/>
        </w:rPr>
        <w:footnoteRef/>
      </w:r>
      <w:r w:rsidRPr="00F47737">
        <w:rPr>
          <w:rFonts w:ascii="Arial" w:hAnsi="Arial" w:cs="Arial"/>
        </w:rPr>
        <w:t xml:space="preserve"> </w:t>
      </w:r>
      <w:r w:rsidR="004D2162">
        <w:rPr>
          <w:rFonts w:ascii="Arial" w:hAnsi="Arial" w:cs="Arial"/>
        </w:rPr>
        <w:t xml:space="preserve">Commissioner, </w:t>
      </w:r>
      <w:r w:rsidRPr="00F47737">
        <w:rPr>
          <w:rFonts w:ascii="Arial" w:hAnsi="Arial" w:cs="Arial"/>
          <w:i/>
          <w:iCs/>
        </w:rPr>
        <w:t>South African Revenue Service v United Manganese of Kalahari (Pty) Ltd</w:t>
      </w:r>
      <w:r w:rsidRPr="00F47737">
        <w:rPr>
          <w:rFonts w:ascii="Arial" w:hAnsi="Arial" w:cs="Arial"/>
          <w:iCs/>
        </w:rPr>
        <w:t xml:space="preserve"> [2020] ZASCA 16</w:t>
      </w:r>
      <w:r w:rsidR="00DA655B">
        <w:rPr>
          <w:rFonts w:ascii="Arial" w:hAnsi="Arial" w:cs="Arial"/>
          <w:iCs/>
        </w:rPr>
        <w:t>; 2020 (4) SA 428 (SCA).</w:t>
      </w:r>
    </w:p>
  </w:footnote>
  <w:footnote w:id="8">
    <w:p w14:paraId="0746CC58" w14:textId="1B2FC342" w:rsidR="002732F5" w:rsidRPr="00F47737" w:rsidRDefault="002732F5" w:rsidP="002732F5">
      <w:pPr>
        <w:pStyle w:val="FootnoteText"/>
        <w:spacing w:line="240" w:lineRule="auto"/>
        <w:rPr>
          <w:rFonts w:ascii="Arial" w:hAnsi="Arial" w:cs="Arial"/>
        </w:rPr>
      </w:pPr>
      <w:r w:rsidRPr="00F47737">
        <w:rPr>
          <w:rStyle w:val="FootnoteReference"/>
          <w:rFonts w:ascii="Arial" w:hAnsi="Arial" w:cs="Arial"/>
        </w:rPr>
        <w:footnoteRef/>
      </w:r>
      <w:r w:rsidRPr="00F47737">
        <w:rPr>
          <w:rFonts w:ascii="Arial" w:hAnsi="Arial" w:cs="Arial"/>
        </w:rPr>
        <w:t xml:space="preserve"> </w:t>
      </w:r>
      <w:r w:rsidRPr="00F47737">
        <w:rPr>
          <w:rFonts w:ascii="Arial" w:hAnsi="Arial" w:cs="Arial"/>
          <w:i/>
          <w:iCs/>
        </w:rPr>
        <w:t>Langholm Farms</w:t>
      </w:r>
      <w:r w:rsidR="001A7B2F">
        <w:rPr>
          <w:rFonts w:ascii="Arial" w:hAnsi="Arial" w:cs="Arial"/>
          <w:i/>
          <w:iCs/>
        </w:rPr>
        <w:t xml:space="preserve"> </w:t>
      </w:r>
      <w:r w:rsidR="001A7B2F">
        <w:rPr>
          <w:rFonts w:ascii="Arial" w:hAnsi="Arial" w:cs="Arial"/>
          <w:iCs/>
        </w:rPr>
        <w:t>fn 6 above</w:t>
      </w:r>
      <w:r w:rsidRPr="00F47737">
        <w:rPr>
          <w:rFonts w:ascii="Arial" w:hAnsi="Arial" w:cs="Arial"/>
          <w:i/>
          <w:iCs/>
        </w:rPr>
        <w:t xml:space="preserve"> </w:t>
      </w:r>
      <w:r w:rsidRPr="00F47737">
        <w:rPr>
          <w:rFonts w:ascii="Arial" w:hAnsi="Arial" w:cs="Arial"/>
          <w:iCs/>
        </w:rPr>
        <w:t>para 10.</w:t>
      </w:r>
    </w:p>
  </w:footnote>
  <w:footnote w:id="9">
    <w:p w14:paraId="012825A1" w14:textId="2EA084A3" w:rsidR="0052669C" w:rsidRDefault="0052669C" w:rsidP="0052669C">
      <w:pPr>
        <w:pStyle w:val="FootnoteText"/>
        <w:spacing w:line="240" w:lineRule="auto"/>
      </w:pPr>
      <w:r w:rsidRPr="00F47737">
        <w:rPr>
          <w:rStyle w:val="FootnoteReference"/>
          <w:rFonts w:ascii="Arial" w:hAnsi="Arial" w:cs="Arial"/>
        </w:rPr>
        <w:footnoteRef/>
      </w:r>
      <w:r w:rsidRPr="00F47737">
        <w:rPr>
          <w:rFonts w:ascii="Arial" w:hAnsi="Arial" w:cs="Arial"/>
        </w:rPr>
        <w:t xml:space="preserve"> </w:t>
      </w:r>
      <w:r w:rsidRPr="00F47737">
        <w:rPr>
          <w:rFonts w:ascii="Arial" w:hAnsi="Arial" w:cs="Arial"/>
          <w:i/>
          <w:iCs/>
          <w:color w:val="242121"/>
          <w:shd w:val="clear" w:color="auto" w:fill="FFFFFF"/>
        </w:rPr>
        <w:t xml:space="preserve">Metcash </w:t>
      </w:r>
      <w:r>
        <w:rPr>
          <w:rFonts w:ascii="Arial" w:hAnsi="Arial" w:cs="Arial"/>
          <w:i/>
          <w:iCs/>
          <w:color w:val="242121"/>
          <w:shd w:val="clear" w:color="auto" w:fill="FFFFFF"/>
        </w:rPr>
        <w:t xml:space="preserve">Trading Limited </w:t>
      </w:r>
      <w:r w:rsidRPr="00F47737">
        <w:rPr>
          <w:rFonts w:ascii="Arial" w:hAnsi="Arial" w:cs="Arial"/>
          <w:i/>
          <w:iCs/>
          <w:color w:val="242121"/>
          <w:shd w:val="clear" w:color="auto" w:fill="FFFFFF"/>
        </w:rPr>
        <w:t xml:space="preserve">v Commissioner </w:t>
      </w:r>
      <w:r>
        <w:rPr>
          <w:rFonts w:ascii="Arial" w:hAnsi="Arial" w:cs="Arial"/>
          <w:i/>
          <w:iCs/>
          <w:color w:val="242121"/>
          <w:shd w:val="clear" w:color="auto" w:fill="FFFFFF"/>
        </w:rPr>
        <w:t xml:space="preserve">for the South African Revenue Service and Another </w:t>
      </w:r>
      <w:r>
        <w:rPr>
          <w:rFonts w:ascii="Arial" w:hAnsi="Arial" w:cs="Arial"/>
          <w:iCs/>
          <w:color w:val="242121"/>
          <w:shd w:val="clear" w:color="auto" w:fill="FFFFFF"/>
        </w:rPr>
        <w:t>[2000] ZACC 21; 2001 (1) SA 1109 (CC); 2001 (1) BCLR 1 (CC) para 44</w:t>
      </w:r>
      <w:r w:rsidR="001A7B2F">
        <w:rPr>
          <w:rFonts w:ascii="Arial" w:hAnsi="Arial" w:cs="Arial"/>
          <w:iCs/>
          <w:color w:val="242121"/>
          <w:shd w:val="clear" w:color="auto" w:fill="FFFFFF"/>
        </w:rPr>
        <w:t xml:space="preserve"> (</w:t>
      </w:r>
      <w:r w:rsidR="001A7B2F" w:rsidRPr="00F47737">
        <w:rPr>
          <w:rFonts w:ascii="Arial" w:hAnsi="Arial" w:cs="Arial"/>
          <w:i/>
          <w:iCs/>
          <w:color w:val="242121"/>
          <w:shd w:val="clear" w:color="auto" w:fill="FFFFFF"/>
        </w:rPr>
        <w:t>Metcash</w:t>
      </w:r>
      <w:r w:rsidR="001A7B2F">
        <w:rPr>
          <w:rFonts w:ascii="Arial" w:hAnsi="Arial" w:cs="Arial"/>
          <w:iCs/>
          <w:color w:val="242121"/>
          <w:shd w:val="clear" w:color="auto" w:fill="FFFFFF"/>
        </w:rPr>
        <w:t>)</w:t>
      </w:r>
      <w:r w:rsidRPr="00F47737">
        <w:rPr>
          <w:rFonts w:ascii="Arial" w:hAnsi="Arial" w:cs="Arial"/>
          <w:i/>
          <w:iCs/>
          <w:color w:val="242121"/>
          <w:shd w:val="clear" w:color="auto" w:fill="FFFFFF"/>
        </w:rPr>
        <w:t>.</w:t>
      </w:r>
    </w:p>
  </w:footnote>
  <w:footnote w:id="10">
    <w:p w14:paraId="7C384363" w14:textId="77777777" w:rsidR="0052669C" w:rsidRPr="00ED499A" w:rsidRDefault="0052669C" w:rsidP="0052669C">
      <w:pPr>
        <w:pStyle w:val="FootnoteText"/>
        <w:spacing w:line="240" w:lineRule="auto"/>
        <w:rPr>
          <w:rFonts w:ascii="Arial" w:hAnsi="Arial" w:cs="Arial"/>
          <w:lang w:val="en-ZA"/>
        </w:rPr>
      </w:pPr>
      <w:r w:rsidRPr="00ED499A">
        <w:rPr>
          <w:rStyle w:val="FootnoteReference"/>
          <w:rFonts w:ascii="Arial" w:hAnsi="Arial" w:cs="Arial"/>
        </w:rPr>
        <w:footnoteRef/>
      </w:r>
      <w:r w:rsidRPr="00ED499A">
        <w:rPr>
          <w:rFonts w:ascii="Arial" w:hAnsi="Arial" w:cs="Arial"/>
        </w:rPr>
        <w:t xml:space="preserve"> </w:t>
      </w:r>
      <w:r w:rsidRPr="00ED499A">
        <w:rPr>
          <w:rFonts w:ascii="Arial" w:hAnsi="Arial" w:cs="Arial"/>
          <w:i/>
          <w:lang w:val="en-ZA"/>
        </w:rPr>
        <w:t xml:space="preserve">Emary NO and Another v CIR </w:t>
      </w:r>
      <w:r w:rsidRPr="00ED499A">
        <w:rPr>
          <w:rFonts w:ascii="Arial" w:hAnsi="Arial" w:cs="Arial"/>
          <w:lang w:val="en-ZA"/>
        </w:rPr>
        <w:t>1959 (2) PH T 16 (D).</w:t>
      </w:r>
    </w:p>
  </w:footnote>
  <w:footnote w:id="11">
    <w:p w14:paraId="157E2C1F" w14:textId="5941ACB1" w:rsidR="0052669C" w:rsidRPr="00ED499A" w:rsidRDefault="0052669C" w:rsidP="0052669C">
      <w:pPr>
        <w:pStyle w:val="FootnoteText"/>
        <w:spacing w:line="240" w:lineRule="auto"/>
        <w:rPr>
          <w:rFonts w:ascii="Arial" w:hAnsi="Arial" w:cs="Arial"/>
          <w:lang w:val="en-ZA"/>
        </w:rPr>
      </w:pPr>
      <w:r w:rsidRPr="00ED499A">
        <w:rPr>
          <w:rStyle w:val="FootnoteReference"/>
          <w:rFonts w:ascii="Arial" w:hAnsi="Arial" w:cs="Arial"/>
        </w:rPr>
        <w:footnoteRef/>
      </w:r>
      <w:r w:rsidRPr="00ED499A">
        <w:rPr>
          <w:rFonts w:ascii="Arial" w:hAnsi="Arial" w:cs="Arial"/>
        </w:rPr>
        <w:t xml:space="preserve"> </w:t>
      </w:r>
      <w:r w:rsidRPr="00ED499A">
        <w:rPr>
          <w:rFonts w:ascii="Arial" w:hAnsi="Arial" w:cs="Arial"/>
          <w:i/>
          <w:iCs/>
          <w:color w:val="242121"/>
          <w:shd w:val="clear" w:color="auto" w:fill="FFFFFF"/>
        </w:rPr>
        <w:t xml:space="preserve">Whitfield v Phillips &amp; Another </w:t>
      </w:r>
      <w:r w:rsidRPr="00ED499A">
        <w:rPr>
          <w:rFonts w:ascii="Arial" w:hAnsi="Arial" w:cs="Arial"/>
          <w:iCs/>
          <w:color w:val="242121"/>
          <w:shd w:val="clear" w:color="auto" w:fill="FFFFFF"/>
        </w:rPr>
        <w:t xml:space="preserve">1957 (3) SA </w:t>
      </w:r>
      <w:r>
        <w:rPr>
          <w:rFonts w:ascii="Arial" w:hAnsi="Arial" w:cs="Arial"/>
          <w:iCs/>
          <w:color w:val="242121"/>
          <w:shd w:val="clear" w:color="auto" w:fill="FFFFFF"/>
        </w:rPr>
        <w:t xml:space="preserve">318 </w:t>
      </w:r>
      <w:r w:rsidRPr="00ED499A">
        <w:rPr>
          <w:rFonts w:ascii="Arial" w:hAnsi="Arial" w:cs="Arial"/>
          <w:iCs/>
          <w:color w:val="242121"/>
          <w:shd w:val="clear" w:color="auto" w:fill="FFFFFF"/>
        </w:rPr>
        <w:t>at 345 (AD)</w:t>
      </w:r>
      <w:r w:rsidR="001A7B2F" w:rsidRPr="001A7B2F">
        <w:rPr>
          <w:rFonts w:ascii="Arial" w:hAnsi="Arial" w:cs="Arial"/>
          <w:iCs/>
          <w:color w:val="242121"/>
          <w:shd w:val="clear" w:color="auto" w:fill="FFFFFF"/>
        </w:rPr>
        <w:t xml:space="preserve"> </w:t>
      </w:r>
      <w:r w:rsidR="001A7B2F" w:rsidRPr="00ED499A">
        <w:rPr>
          <w:rFonts w:ascii="Arial" w:hAnsi="Arial" w:cs="Arial"/>
          <w:iCs/>
          <w:color w:val="242121"/>
          <w:shd w:val="clear" w:color="auto" w:fill="FFFFFF"/>
        </w:rPr>
        <w:t>(</w:t>
      </w:r>
      <w:r w:rsidR="001A7B2F" w:rsidRPr="00ED499A">
        <w:rPr>
          <w:rFonts w:ascii="Arial" w:hAnsi="Arial" w:cs="Arial"/>
          <w:i/>
          <w:iCs/>
          <w:color w:val="242121"/>
          <w:shd w:val="clear" w:color="auto" w:fill="FFFFFF"/>
        </w:rPr>
        <w:t>Whitfield</w:t>
      </w:r>
      <w:r w:rsidR="001A7B2F" w:rsidRPr="00ED499A">
        <w:rPr>
          <w:rFonts w:ascii="Arial" w:hAnsi="Arial" w:cs="Arial"/>
          <w:iCs/>
          <w:color w:val="242121"/>
          <w:shd w:val="clear" w:color="auto" w:fill="FFFFFF"/>
        </w:rPr>
        <w:t>)</w:t>
      </w:r>
      <w:r w:rsidRPr="00ED499A">
        <w:rPr>
          <w:rFonts w:ascii="Arial" w:hAnsi="Arial" w:cs="Arial"/>
          <w:iCs/>
          <w:color w:val="242121"/>
          <w:shd w:val="clear" w:color="auto" w:fill="FFFFFF"/>
        </w:rPr>
        <w:t>.</w:t>
      </w:r>
    </w:p>
  </w:footnote>
  <w:footnote w:id="12">
    <w:p w14:paraId="246F69B8" w14:textId="6C801240" w:rsidR="0052669C" w:rsidRPr="00ED499A" w:rsidRDefault="0052669C" w:rsidP="0052669C">
      <w:pPr>
        <w:pStyle w:val="FootnoteText"/>
        <w:spacing w:line="240" w:lineRule="auto"/>
        <w:rPr>
          <w:rFonts w:ascii="Arial" w:hAnsi="Arial" w:cs="Arial"/>
          <w:lang w:val="en-ZA"/>
        </w:rPr>
      </w:pPr>
      <w:r w:rsidRPr="00ED499A">
        <w:rPr>
          <w:rStyle w:val="FootnoteReference"/>
          <w:rFonts w:ascii="Arial" w:hAnsi="Arial" w:cs="Arial"/>
        </w:rPr>
        <w:footnoteRef/>
      </w:r>
      <w:r w:rsidRPr="00ED499A">
        <w:rPr>
          <w:rFonts w:ascii="Arial" w:hAnsi="Arial" w:cs="Arial"/>
        </w:rPr>
        <w:t xml:space="preserve"> </w:t>
      </w:r>
      <w:r w:rsidRPr="00ED499A">
        <w:rPr>
          <w:rFonts w:ascii="Arial" w:hAnsi="Arial" w:cs="Arial"/>
          <w:i/>
          <w:iCs/>
          <w:color w:val="242121"/>
          <w:shd w:val="clear" w:color="auto" w:fill="FFFFFF"/>
        </w:rPr>
        <w:t xml:space="preserve">Gillbanks v Sigournay </w:t>
      </w:r>
      <w:r w:rsidRPr="00ED499A">
        <w:rPr>
          <w:rFonts w:ascii="Arial" w:hAnsi="Arial" w:cs="Arial"/>
          <w:iCs/>
          <w:color w:val="242121"/>
          <w:shd w:val="clear" w:color="auto" w:fill="FFFFFF"/>
        </w:rPr>
        <w:t xml:space="preserve">1959 (2) SA </w:t>
      </w:r>
      <w:r>
        <w:rPr>
          <w:rFonts w:ascii="Arial" w:hAnsi="Arial" w:cs="Arial"/>
          <w:iCs/>
          <w:color w:val="242121"/>
          <w:shd w:val="clear" w:color="auto" w:fill="FFFFFF"/>
        </w:rPr>
        <w:t>11 at 18-</w:t>
      </w:r>
      <w:r w:rsidRPr="00ED499A">
        <w:rPr>
          <w:rFonts w:ascii="Arial" w:hAnsi="Arial" w:cs="Arial"/>
          <w:iCs/>
          <w:color w:val="242121"/>
          <w:shd w:val="clear" w:color="auto" w:fill="FFFFFF"/>
        </w:rPr>
        <w:t>19 (N)</w:t>
      </w:r>
      <w:r w:rsidR="001A7B2F">
        <w:rPr>
          <w:rFonts w:ascii="Arial" w:hAnsi="Arial" w:cs="Arial"/>
          <w:iCs/>
          <w:color w:val="242121"/>
          <w:shd w:val="clear" w:color="auto" w:fill="FFFFFF"/>
        </w:rPr>
        <w:t xml:space="preserve"> </w:t>
      </w:r>
      <w:r w:rsidR="001A7B2F" w:rsidRPr="0006049A">
        <w:rPr>
          <w:rFonts w:ascii="Arial" w:hAnsi="Arial" w:cs="Arial"/>
          <w:iCs/>
          <w:color w:val="242121"/>
          <w:shd w:val="clear" w:color="auto" w:fill="FFFFFF"/>
        </w:rPr>
        <w:t>(</w:t>
      </w:r>
      <w:r w:rsidR="001A7B2F" w:rsidRPr="00671FF2">
        <w:rPr>
          <w:rFonts w:ascii="Arial" w:hAnsi="Arial" w:cs="Arial"/>
          <w:i/>
          <w:iCs/>
          <w:color w:val="242121"/>
          <w:shd w:val="clear" w:color="auto" w:fill="FFFFFF"/>
        </w:rPr>
        <w:t>Gillbanks</w:t>
      </w:r>
      <w:r w:rsidR="001A7B2F" w:rsidRPr="0006049A">
        <w:rPr>
          <w:rFonts w:ascii="Arial" w:hAnsi="Arial" w:cs="Arial"/>
          <w:iCs/>
          <w:color w:val="242121"/>
          <w:shd w:val="clear" w:color="auto" w:fill="FFFFFF"/>
        </w:rPr>
        <w:t>)</w:t>
      </w:r>
      <w:r w:rsidRPr="00ED499A">
        <w:rPr>
          <w:rFonts w:ascii="Arial" w:hAnsi="Arial" w:cs="Arial"/>
          <w:iCs/>
          <w:color w:val="242121"/>
          <w:shd w:val="clear" w:color="auto" w:fill="FFFFFF"/>
        </w:rPr>
        <w:t>.</w:t>
      </w:r>
    </w:p>
  </w:footnote>
  <w:footnote w:id="13">
    <w:p w14:paraId="6137841E" w14:textId="2604D3FF" w:rsidR="0052669C" w:rsidRPr="00ED499A" w:rsidRDefault="0052669C" w:rsidP="0052669C">
      <w:pPr>
        <w:pStyle w:val="FootnoteText"/>
        <w:spacing w:line="240" w:lineRule="auto"/>
        <w:rPr>
          <w:rFonts w:ascii="Arial" w:hAnsi="Arial" w:cs="Arial"/>
          <w:lang w:val="en-ZA"/>
        </w:rPr>
      </w:pPr>
      <w:r w:rsidRPr="00ED499A">
        <w:rPr>
          <w:rStyle w:val="FootnoteReference"/>
          <w:rFonts w:ascii="Arial" w:hAnsi="Arial" w:cs="Arial"/>
        </w:rPr>
        <w:footnoteRef/>
      </w:r>
      <w:r w:rsidRPr="00ED499A">
        <w:rPr>
          <w:rFonts w:ascii="Arial" w:hAnsi="Arial" w:cs="Arial"/>
        </w:rPr>
        <w:t xml:space="preserve"> </w:t>
      </w:r>
      <w:r w:rsidRPr="00ED499A">
        <w:rPr>
          <w:rFonts w:ascii="Arial" w:hAnsi="Arial" w:cs="Arial"/>
          <w:i/>
          <w:lang w:val="en-ZA"/>
        </w:rPr>
        <w:t>Bailey v C</w:t>
      </w:r>
      <w:r w:rsidR="001A7B2F">
        <w:rPr>
          <w:rFonts w:ascii="Arial" w:hAnsi="Arial" w:cs="Arial"/>
          <w:i/>
          <w:lang w:val="en-ZA"/>
        </w:rPr>
        <w:t xml:space="preserve">ommissioner for </w:t>
      </w:r>
      <w:r w:rsidR="00671FF2">
        <w:rPr>
          <w:rFonts w:ascii="Arial" w:hAnsi="Arial" w:cs="Arial"/>
          <w:i/>
          <w:lang w:val="en-ZA"/>
        </w:rPr>
        <w:t>I</w:t>
      </w:r>
      <w:r w:rsidR="001A7B2F">
        <w:rPr>
          <w:rFonts w:ascii="Arial" w:hAnsi="Arial" w:cs="Arial"/>
          <w:i/>
          <w:lang w:val="en-ZA"/>
        </w:rPr>
        <w:t xml:space="preserve">nland </w:t>
      </w:r>
      <w:r w:rsidR="00671FF2">
        <w:rPr>
          <w:rFonts w:ascii="Arial" w:hAnsi="Arial" w:cs="Arial"/>
          <w:i/>
          <w:lang w:val="en-ZA"/>
        </w:rPr>
        <w:t>R</w:t>
      </w:r>
      <w:r w:rsidR="001A7B2F">
        <w:rPr>
          <w:rFonts w:ascii="Arial" w:hAnsi="Arial" w:cs="Arial"/>
          <w:i/>
          <w:lang w:val="en-ZA"/>
        </w:rPr>
        <w:t>evenue</w:t>
      </w:r>
      <w:r w:rsidRPr="00ED499A">
        <w:rPr>
          <w:rFonts w:ascii="Arial" w:hAnsi="Arial" w:cs="Arial"/>
          <w:i/>
          <w:lang w:val="en-ZA"/>
        </w:rPr>
        <w:t xml:space="preserve"> </w:t>
      </w:r>
      <w:r>
        <w:rPr>
          <w:rFonts w:ascii="Arial" w:hAnsi="Arial" w:cs="Arial"/>
          <w:lang w:val="en-ZA"/>
        </w:rPr>
        <w:t>1933 AD</w:t>
      </w:r>
      <w:r w:rsidRPr="00ED499A">
        <w:rPr>
          <w:rFonts w:ascii="Arial" w:hAnsi="Arial" w:cs="Arial"/>
          <w:lang w:val="en-ZA"/>
        </w:rPr>
        <w:t xml:space="preserve"> </w:t>
      </w:r>
      <w:r>
        <w:rPr>
          <w:rFonts w:ascii="Arial" w:hAnsi="Arial" w:cs="Arial"/>
          <w:lang w:val="en-ZA"/>
        </w:rPr>
        <w:t xml:space="preserve">204 </w:t>
      </w:r>
      <w:r w:rsidRPr="00ED499A">
        <w:rPr>
          <w:rFonts w:ascii="Arial" w:hAnsi="Arial" w:cs="Arial"/>
          <w:lang w:val="en-ZA"/>
        </w:rPr>
        <w:t>at 226.</w:t>
      </w:r>
    </w:p>
  </w:footnote>
  <w:footnote w:id="14">
    <w:p w14:paraId="29D46FA8" w14:textId="59D9EF80" w:rsidR="0052669C" w:rsidRPr="00ED499A" w:rsidRDefault="0052669C" w:rsidP="0052669C">
      <w:pPr>
        <w:pStyle w:val="FootnoteText"/>
        <w:spacing w:line="240" w:lineRule="auto"/>
        <w:rPr>
          <w:rFonts w:ascii="Arial" w:hAnsi="Arial" w:cs="Arial"/>
          <w:lang w:val="en-ZA"/>
        </w:rPr>
      </w:pPr>
      <w:r w:rsidRPr="00ED499A">
        <w:rPr>
          <w:rStyle w:val="FootnoteReference"/>
          <w:rFonts w:ascii="Arial" w:hAnsi="Arial" w:cs="Arial"/>
        </w:rPr>
        <w:footnoteRef/>
      </w:r>
      <w:r w:rsidRPr="00ED499A">
        <w:rPr>
          <w:rFonts w:ascii="Arial" w:hAnsi="Arial" w:cs="Arial"/>
        </w:rPr>
        <w:t xml:space="preserve"> </w:t>
      </w:r>
      <w:r w:rsidRPr="00ED499A">
        <w:rPr>
          <w:rFonts w:ascii="Arial" w:hAnsi="Arial" w:cs="Arial"/>
          <w:i/>
          <w:lang w:val="en-ZA"/>
        </w:rPr>
        <w:t>C</w:t>
      </w:r>
      <w:r w:rsidR="001A7B2F">
        <w:rPr>
          <w:rFonts w:ascii="Arial" w:hAnsi="Arial" w:cs="Arial"/>
          <w:i/>
          <w:lang w:val="en-ZA"/>
        </w:rPr>
        <w:t xml:space="preserve">ommissioner for </w:t>
      </w:r>
      <w:r w:rsidR="00671FF2">
        <w:rPr>
          <w:rFonts w:ascii="Arial" w:hAnsi="Arial" w:cs="Arial"/>
          <w:i/>
          <w:lang w:val="en-ZA"/>
        </w:rPr>
        <w:t>I</w:t>
      </w:r>
      <w:r w:rsidR="001A7B2F">
        <w:rPr>
          <w:rFonts w:ascii="Arial" w:hAnsi="Arial" w:cs="Arial"/>
          <w:i/>
          <w:lang w:val="en-ZA"/>
        </w:rPr>
        <w:t xml:space="preserve">nland </w:t>
      </w:r>
      <w:r w:rsidR="00671FF2">
        <w:rPr>
          <w:rFonts w:ascii="Arial" w:hAnsi="Arial" w:cs="Arial"/>
          <w:i/>
          <w:lang w:val="en-ZA"/>
        </w:rPr>
        <w:t>R</w:t>
      </w:r>
      <w:r w:rsidR="001A7B2F">
        <w:rPr>
          <w:rFonts w:ascii="Arial" w:hAnsi="Arial" w:cs="Arial"/>
          <w:i/>
          <w:lang w:val="en-ZA"/>
        </w:rPr>
        <w:t>evenue</w:t>
      </w:r>
      <w:r w:rsidR="00671FF2">
        <w:rPr>
          <w:rFonts w:ascii="Arial" w:hAnsi="Arial" w:cs="Arial"/>
          <w:i/>
          <w:lang w:val="en-ZA"/>
        </w:rPr>
        <w:t xml:space="preserve"> </w:t>
      </w:r>
      <w:r w:rsidRPr="00ED499A">
        <w:rPr>
          <w:rFonts w:ascii="Arial" w:hAnsi="Arial" w:cs="Arial"/>
          <w:i/>
          <w:lang w:val="en-ZA"/>
        </w:rPr>
        <w:t xml:space="preserve">v Delfos </w:t>
      </w:r>
      <w:r>
        <w:rPr>
          <w:rFonts w:ascii="Arial" w:hAnsi="Arial" w:cs="Arial"/>
          <w:lang w:val="en-ZA"/>
        </w:rPr>
        <w:t>1933 AD 243</w:t>
      </w:r>
      <w:r w:rsidRPr="00ED499A">
        <w:rPr>
          <w:rFonts w:ascii="Arial" w:hAnsi="Arial" w:cs="Arial"/>
          <w:lang w:val="en-ZA"/>
        </w:rPr>
        <w:t xml:space="preserve"> at 252.</w:t>
      </w:r>
    </w:p>
  </w:footnote>
  <w:footnote w:id="15">
    <w:p w14:paraId="55CC4411" w14:textId="77777777" w:rsidR="0052669C" w:rsidRPr="00ED499A" w:rsidRDefault="0052669C" w:rsidP="0052669C">
      <w:pPr>
        <w:pStyle w:val="FootnoteText"/>
        <w:spacing w:line="240" w:lineRule="auto"/>
        <w:rPr>
          <w:rFonts w:ascii="Arial" w:hAnsi="Arial" w:cs="Arial"/>
          <w:lang w:val="en-ZA"/>
        </w:rPr>
      </w:pPr>
      <w:r w:rsidRPr="00ED499A">
        <w:rPr>
          <w:rStyle w:val="FootnoteReference"/>
          <w:rFonts w:ascii="Arial" w:hAnsi="Arial" w:cs="Arial"/>
        </w:rPr>
        <w:footnoteRef/>
      </w:r>
      <w:r w:rsidRPr="00ED499A">
        <w:rPr>
          <w:rFonts w:ascii="Arial" w:hAnsi="Arial" w:cs="Arial"/>
        </w:rPr>
        <w:t xml:space="preserve"> </w:t>
      </w:r>
      <w:r w:rsidRPr="00ED499A">
        <w:rPr>
          <w:rFonts w:ascii="Arial" w:hAnsi="Arial" w:cs="Arial"/>
          <w:i/>
          <w:iCs/>
          <w:color w:val="242121"/>
          <w:shd w:val="clear" w:color="auto" w:fill="FFFFFF"/>
        </w:rPr>
        <w:t xml:space="preserve">Parekh v Receiver of Revenue &amp; Another </w:t>
      </w:r>
      <w:r w:rsidRPr="00ED499A">
        <w:rPr>
          <w:rFonts w:ascii="Arial" w:hAnsi="Arial" w:cs="Arial"/>
          <w:iCs/>
          <w:color w:val="242121"/>
          <w:shd w:val="clear" w:color="auto" w:fill="FFFFFF"/>
        </w:rPr>
        <w:t>1948 (4) SA at 954 (N).</w:t>
      </w:r>
    </w:p>
  </w:footnote>
  <w:footnote w:id="16">
    <w:p w14:paraId="185C1752" w14:textId="77777777" w:rsidR="0052669C" w:rsidRPr="00ED499A" w:rsidRDefault="0052669C" w:rsidP="0052669C">
      <w:pPr>
        <w:pStyle w:val="FootnoteText"/>
        <w:spacing w:line="240" w:lineRule="auto"/>
        <w:rPr>
          <w:rFonts w:ascii="Arial" w:hAnsi="Arial" w:cs="Arial"/>
          <w:lang w:val="en-ZA"/>
        </w:rPr>
      </w:pPr>
      <w:r w:rsidRPr="00ED499A">
        <w:rPr>
          <w:rStyle w:val="FootnoteReference"/>
          <w:rFonts w:ascii="Arial" w:hAnsi="Arial" w:cs="Arial"/>
        </w:rPr>
        <w:footnoteRef/>
      </w:r>
      <w:r w:rsidRPr="00ED499A">
        <w:rPr>
          <w:rFonts w:ascii="Arial" w:hAnsi="Arial" w:cs="Arial"/>
        </w:rPr>
        <w:t xml:space="preserve"> </w:t>
      </w:r>
      <w:r w:rsidRPr="00ED499A">
        <w:rPr>
          <w:rFonts w:ascii="Arial" w:hAnsi="Arial" w:cs="Arial"/>
          <w:i/>
          <w:lang w:val="en-ZA"/>
        </w:rPr>
        <w:t xml:space="preserve">R v Kruger </w:t>
      </w:r>
      <w:r w:rsidRPr="00ED499A">
        <w:rPr>
          <w:rFonts w:ascii="Arial" w:hAnsi="Arial" w:cs="Arial"/>
          <w:lang w:val="en-ZA"/>
        </w:rPr>
        <w:t>1958 (2) SA 673 (C).</w:t>
      </w:r>
    </w:p>
  </w:footnote>
  <w:footnote w:id="17">
    <w:p w14:paraId="1FF761C8" w14:textId="77777777" w:rsidR="0052669C" w:rsidRPr="00ED499A" w:rsidRDefault="0052669C" w:rsidP="0052669C">
      <w:pPr>
        <w:pStyle w:val="FootnoteText"/>
        <w:spacing w:line="240" w:lineRule="auto"/>
        <w:rPr>
          <w:rFonts w:ascii="Arial" w:hAnsi="Arial" w:cs="Arial"/>
          <w:lang w:val="en-ZA"/>
        </w:rPr>
      </w:pPr>
      <w:r w:rsidRPr="00ED499A">
        <w:rPr>
          <w:rStyle w:val="FootnoteReference"/>
          <w:rFonts w:ascii="Arial" w:hAnsi="Arial" w:cs="Arial"/>
        </w:rPr>
        <w:footnoteRef/>
      </w:r>
      <w:r w:rsidRPr="00ED499A">
        <w:rPr>
          <w:rFonts w:ascii="Arial" w:hAnsi="Arial" w:cs="Arial"/>
        </w:rPr>
        <w:t xml:space="preserve"> </w:t>
      </w:r>
      <w:r w:rsidRPr="00ED499A">
        <w:rPr>
          <w:rFonts w:ascii="Arial" w:hAnsi="Arial" w:cs="Arial"/>
          <w:i/>
          <w:lang w:val="en-ZA"/>
        </w:rPr>
        <w:t xml:space="preserve">R v Sachs </w:t>
      </w:r>
      <w:r w:rsidRPr="00ED499A">
        <w:rPr>
          <w:rFonts w:ascii="Arial" w:hAnsi="Arial" w:cs="Arial"/>
          <w:lang w:val="en-ZA"/>
        </w:rPr>
        <w:t xml:space="preserve">1953 (1) SA </w:t>
      </w:r>
      <w:r>
        <w:rPr>
          <w:rFonts w:ascii="Arial" w:hAnsi="Arial" w:cs="Arial"/>
          <w:lang w:val="en-ZA"/>
        </w:rPr>
        <w:t>392 (A) at 410</w:t>
      </w:r>
      <w:r w:rsidRPr="00ED499A">
        <w:rPr>
          <w:rFonts w:ascii="Arial" w:hAnsi="Arial" w:cs="Arial"/>
          <w:lang w:val="en-ZA"/>
        </w:rPr>
        <w:t>.</w:t>
      </w:r>
    </w:p>
  </w:footnote>
  <w:footnote w:id="18">
    <w:p w14:paraId="706F09F3" w14:textId="77777777" w:rsidR="0052669C" w:rsidRPr="00ED499A" w:rsidRDefault="0052669C" w:rsidP="0052669C">
      <w:pPr>
        <w:pStyle w:val="FootnoteText"/>
        <w:spacing w:line="240" w:lineRule="auto"/>
        <w:rPr>
          <w:rFonts w:ascii="Arial" w:hAnsi="Arial" w:cs="Arial"/>
          <w:lang w:val="en-ZA"/>
        </w:rPr>
      </w:pPr>
      <w:r w:rsidRPr="00ED499A">
        <w:rPr>
          <w:rStyle w:val="FootnoteReference"/>
          <w:rFonts w:ascii="Arial" w:hAnsi="Arial" w:cs="Arial"/>
        </w:rPr>
        <w:footnoteRef/>
      </w:r>
      <w:r w:rsidRPr="00ED499A">
        <w:rPr>
          <w:rFonts w:ascii="Arial" w:hAnsi="Arial" w:cs="Arial"/>
        </w:rPr>
        <w:t xml:space="preserve"> </w:t>
      </w:r>
      <w:r>
        <w:rPr>
          <w:rFonts w:ascii="Arial" w:hAnsi="Arial" w:cs="Arial"/>
          <w:i/>
          <w:iCs/>
          <w:color w:val="242121"/>
          <w:shd w:val="clear" w:color="auto" w:fill="FFFFFF"/>
        </w:rPr>
        <w:t>AG, Natal v Johnstone &amp; Co</w:t>
      </w:r>
      <w:r w:rsidRPr="00ED499A">
        <w:rPr>
          <w:rFonts w:ascii="Arial" w:hAnsi="Arial" w:cs="Arial"/>
          <w:i/>
          <w:iCs/>
          <w:color w:val="242121"/>
          <w:shd w:val="clear" w:color="auto" w:fill="FFFFFF"/>
        </w:rPr>
        <w:t xml:space="preserve"> Ltd </w:t>
      </w:r>
      <w:r>
        <w:rPr>
          <w:rFonts w:ascii="Arial" w:hAnsi="Arial" w:cs="Arial"/>
          <w:iCs/>
          <w:color w:val="242121"/>
          <w:shd w:val="clear" w:color="auto" w:fill="FFFFFF"/>
        </w:rPr>
        <w:t>1946 AD</w:t>
      </w:r>
      <w:r w:rsidRPr="00ED499A">
        <w:rPr>
          <w:rFonts w:ascii="Arial" w:hAnsi="Arial" w:cs="Arial"/>
          <w:iCs/>
          <w:color w:val="242121"/>
          <w:shd w:val="clear" w:color="auto" w:fill="FFFFFF"/>
        </w:rPr>
        <w:t xml:space="preserve"> </w:t>
      </w:r>
      <w:r>
        <w:rPr>
          <w:rFonts w:ascii="Arial" w:hAnsi="Arial" w:cs="Arial"/>
          <w:iCs/>
          <w:color w:val="242121"/>
          <w:shd w:val="clear" w:color="auto" w:fill="FFFFFF"/>
        </w:rPr>
        <w:t>256</w:t>
      </w:r>
      <w:r w:rsidRPr="00ED499A">
        <w:rPr>
          <w:rFonts w:ascii="Arial" w:hAnsi="Arial" w:cs="Arial"/>
          <w:i/>
          <w:iCs/>
          <w:color w:val="242121"/>
          <w:shd w:val="clear" w:color="auto" w:fill="FFFFFF"/>
        </w:rPr>
        <w:t xml:space="preserve"> </w:t>
      </w:r>
      <w:r>
        <w:rPr>
          <w:rFonts w:ascii="Arial" w:hAnsi="Arial" w:cs="Arial"/>
          <w:iCs/>
          <w:color w:val="242121"/>
          <w:shd w:val="clear" w:color="auto" w:fill="FFFFFF"/>
        </w:rPr>
        <w:t>at 261-</w:t>
      </w:r>
      <w:r w:rsidRPr="00ED499A">
        <w:rPr>
          <w:rFonts w:ascii="Arial" w:hAnsi="Arial" w:cs="Arial"/>
          <w:iCs/>
          <w:color w:val="242121"/>
          <w:shd w:val="clear" w:color="auto" w:fill="FFFFFF"/>
        </w:rPr>
        <w:t>2.</w:t>
      </w:r>
    </w:p>
  </w:footnote>
  <w:footnote w:id="19">
    <w:p w14:paraId="6EDD9660" w14:textId="77777777" w:rsidR="0052669C" w:rsidRPr="00ED499A" w:rsidRDefault="0052669C" w:rsidP="0052669C">
      <w:pPr>
        <w:pStyle w:val="FootnoteText"/>
        <w:spacing w:line="240" w:lineRule="auto"/>
        <w:rPr>
          <w:rFonts w:ascii="Arial" w:hAnsi="Arial" w:cs="Arial"/>
          <w:lang w:val="en-ZA"/>
        </w:rPr>
      </w:pPr>
      <w:r w:rsidRPr="00ED499A">
        <w:rPr>
          <w:rStyle w:val="FootnoteReference"/>
          <w:rFonts w:ascii="Arial" w:hAnsi="Arial" w:cs="Arial"/>
        </w:rPr>
        <w:footnoteRef/>
      </w:r>
      <w:r w:rsidRPr="00ED499A">
        <w:rPr>
          <w:rFonts w:ascii="Arial" w:hAnsi="Arial" w:cs="Arial"/>
          <w:i/>
          <w:iCs/>
          <w:color w:val="242121"/>
          <w:shd w:val="clear" w:color="auto" w:fill="FFFFFF"/>
        </w:rPr>
        <w:t xml:space="preserve">British Chemicals &amp; Biologicals v SA Pharmacy Board </w:t>
      </w:r>
      <w:r w:rsidRPr="00ED499A">
        <w:rPr>
          <w:rFonts w:ascii="Arial" w:hAnsi="Arial" w:cs="Arial"/>
          <w:iCs/>
          <w:color w:val="242121"/>
          <w:shd w:val="clear" w:color="auto" w:fill="FFFFFF"/>
        </w:rPr>
        <w:t xml:space="preserve">1955 (1) SA </w:t>
      </w:r>
      <w:r>
        <w:rPr>
          <w:rFonts w:ascii="Arial" w:hAnsi="Arial" w:cs="Arial"/>
          <w:iCs/>
          <w:color w:val="242121"/>
          <w:shd w:val="clear" w:color="auto" w:fill="FFFFFF"/>
        </w:rPr>
        <w:t>184 (A) at 192</w:t>
      </w:r>
      <w:r w:rsidRPr="00ED499A">
        <w:rPr>
          <w:rFonts w:ascii="Arial" w:hAnsi="Arial" w:cs="Arial"/>
          <w:iCs/>
          <w:color w:val="242121"/>
          <w:shd w:val="clear" w:color="auto" w:fill="FFFFFF"/>
        </w:rPr>
        <w:t>.</w:t>
      </w:r>
      <w:r w:rsidRPr="00ED499A">
        <w:rPr>
          <w:rFonts w:ascii="Arial" w:hAnsi="Arial" w:cs="Arial"/>
        </w:rPr>
        <w:t xml:space="preserve"> </w:t>
      </w:r>
    </w:p>
  </w:footnote>
  <w:footnote w:id="20">
    <w:p w14:paraId="45DEDEAE" w14:textId="77777777" w:rsidR="0052669C" w:rsidRPr="00ED499A" w:rsidRDefault="0052669C" w:rsidP="0052669C">
      <w:pPr>
        <w:pStyle w:val="FootnoteText"/>
        <w:spacing w:line="240" w:lineRule="auto"/>
        <w:rPr>
          <w:rFonts w:ascii="Arial" w:hAnsi="Arial" w:cs="Arial"/>
          <w:lang w:val="en-ZA"/>
        </w:rPr>
      </w:pPr>
      <w:r w:rsidRPr="00ED499A">
        <w:rPr>
          <w:rStyle w:val="FootnoteReference"/>
          <w:rFonts w:ascii="Arial" w:hAnsi="Arial" w:cs="Arial"/>
        </w:rPr>
        <w:footnoteRef/>
      </w:r>
      <w:r w:rsidRPr="00ED499A">
        <w:rPr>
          <w:rFonts w:ascii="Arial" w:hAnsi="Arial" w:cs="Arial"/>
        </w:rPr>
        <w:t xml:space="preserve"> </w:t>
      </w:r>
      <w:r w:rsidRPr="00ED499A">
        <w:rPr>
          <w:rFonts w:ascii="Arial" w:hAnsi="Arial" w:cs="Arial"/>
          <w:i/>
          <w:iCs/>
          <w:color w:val="242121"/>
          <w:shd w:val="clear" w:color="auto" w:fill="FFFFFF"/>
        </w:rPr>
        <w:t xml:space="preserve">Whitfield </w:t>
      </w:r>
      <w:r>
        <w:rPr>
          <w:rFonts w:ascii="Arial" w:hAnsi="Arial" w:cs="Arial"/>
          <w:iCs/>
          <w:color w:val="242121"/>
          <w:shd w:val="clear" w:color="auto" w:fill="FFFFFF"/>
        </w:rPr>
        <w:t xml:space="preserve">fn 11 above </w:t>
      </w:r>
      <w:r w:rsidRPr="00ED499A">
        <w:rPr>
          <w:rFonts w:ascii="Arial" w:hAnsi="Arial" w:cs="Arial"/>
          <w:iCs/>
          <w:color w:val="242121"/>
          <w:shd w:val="clear" w:color="auto" w:fill="FFFFFF"/>
        </w:rPr>
        <w:t>at 345.</w:t>
      </w:r>
    </w:p>
  </w:footnote>
  <w:footnote w:id="21">
    <w:p w14:paraId="12119227" w14:textId="48DB19C0" w:rsidR="0052669C" w:rsidRPr="00ED499A" w:rsidRDefault="0052669C" w:rsidP="0052669C">
      <w:pPr>
        <w:pStyle w:val="FootnoteText"/>
        <w:spacing w:line="240" w:lineRule="auto"/>
        <w:rPr>
          <w:rFonts w:ascii="Arial" w:hAnsi="Arial" w:cs="Arial"/>
          <w:lang w:val="en-ZA"/>
        </w:rPr>
      </w:pPr>
      <w:r w:rsidRPr="00ED499A">
        <w:rPr>
          <w:rStyle w:val="FootnoteReference"/>
          <w:rFonts w:ascii="Arial" w:hAnsi="Arial" w:cs="Arial"/>
        </w:rPr>
        <w:footnoteRef/>
      </w:r>
      <w:r w:rsidRPr="00ED499A">
        <w:rPr>
          <w:rFonts w:ascii="Arial" w:hAnsi="Arial" w:cs="Arial"/>
        </w:rPr>
        <w:t xml:space="preserve"> </w:t>
      </w:r>
      <w:r w:rsidRPr="00ED499A">
        <w:rPr>
          <w:rFonts w:ascii="Arial" w:hAnsi="Arial" w:cs="Arial"/>
          <w:i/>
          <w:iCs/>
          <w:color w:val="242121"/>
          <w:shd w:val="clear" w:color="auto" w:fill="FFFFFF"/>
        </w:rPr>
        <w:t xml:space="preserve">Gillbanks </w:t>
      </w:r>
      <w:r w:rsidRPr="004113C5">
        <w:rPr>
          <w:rFonts w:ascii="Arial" w:hAnsi="Arial" w:cs="Arial"/>
          <w:iCs/>
          <w:color w:val="242121"/>
          <w:shd w:val="clear" w:color="auto" w:fill="FFFFFF"/>
        </w:rPr>
        <w:t>fn 12</w:t>
      </w:r>
      <w:r>
        <w:rPr>
          <w:rFonts w:ascii="Arial" w:hAnsi="Arial" w:cs="Arial"/>
          <w:i/>
          <w:iCs/>
          <w:color w:val="242121"/>
          <w:shd w:val="clear" w:color="auto" w:fill="FFFFFF"/>
        </w:rPr>
        <w:t xml:space="preserve"> </w:t>
      </w:r>
      <w:r w:rsidR="00671FF2">
        <w:rPr>
          <w:rFonts w:ascii="Arial" w:hAnsi="Arial" w:cs="Arial"/>
          <w:iCs/>
          <w:color w:val="242121"/>
          <w:shd w:val="clear" w:color="auto" w:fill="FFFFFF"/>
        </w:rPr>
        <w:t xml:space="preserve">above </w:t>
      </w:r>
      <w:r w:rsidRPr="00ED499A">
        <w:rPr>
          <w:rFonts w:ascii="Arial" w:hAnsi="Arial" w:cs="Arial"/>
          <w:iCs/>
          <w:color w:val="242121"/>
          <w:shd w:val="clear" w:color="auto" w:fill="FFFFFF"/>
        </w:rPr>
        <w:t>at 19.</w:t>
      </w:r>
    </w:p>
  </w:footnote>
  <w:footnote w:id="22">
    <w:p w14:paraId="60F1BF86" w14:textId="77777777" w:rsidR="0028770D" w:rsidRPr="00ED499A" w:rsidRDefault="0028770D" w:rsidP="0028770D">
      <w:pPr>
        <w:pStyle w:val="FootnoteText"/>
        <w:spacing w:line="240" w:lineRule="auto"/>
        <w:rPr>
          <w:rFonts w:ascii="Arial" w:hAnsi="Arial" w:cs="Arial"/>
        </w:rPr>
      </w:pPr>
      <w:r w:rsidRPr="00ED499A">
        <w:rPr>
          <w:rStyle w:val="FootnoteReference"/>
          <w:rFonts w:ascii="Arial" w:hAnsi="Arial" w:cs="Arial"/>
        </w:rPr>
        <w:footnoteRef/>
      </w:r>
      <w:r w:rsidRPr="00ED499A">
        <w:rPr>
          <w:rFonts w:ascii="Arial" w:hAnsi="Arial" w:cs="Arial"/>
        </w:rPr>
        <w:t xml:space="preserve"> </w:t>
      </w:r>
      <w:r w:rsidRPr="00ED499A">
        <w:rPr>
          <w:rFonts w:ascii="Arial" w:hAnsi="Arial" w:cs="Arial"/>
          <w:i/>
          <w:iCs/>
          <w:color w:val="242121"/>
          <w:shd w:val="clear" w:color="auto" w:fill="FFFFFF"/>
        </w:rPr>
        <w:t xml:space="preserve">Metcash </w:t>
      </w:r>
      <w:r>
        <w:rPr>
          <w:rFonts w:ascii="Arial" w:hAnsi="Arial" w:cs="Arial"/>
          <w:iCs/>
          <w:color w:val="242121"/>
          <w:shd w:val="clear" w:color="auto" w:fill="FFFFFF"/>
        </w:rPr>
        <w:t>fn 9 above</w:t>
      </w:r>
      <w:r w:rsidRPr="00ED499A">
        <w:rPr>
          <w:rFonts w:ascii="Arial" w:hAnsi="Arial" w:cs="Arial"/>
          <w:i/>
          <w:iCs/>
          <w:color w:val="242121"/>
          <w:shd w:val="clear" w:color="auto" w:fill="FFFFFF"/>
        </w:rPr>
        <w:t>.</w:t>
      </w:r>
    </w:p>
  </w:footnote>
  <w:footnote w:id="23">
    <w:p w14:paraId="4B97A464" w14:textId="60A097A0" w:rsidR="0052669C" w:rsidRPr="00ED499A" w:rsidRDefault="0052669C" w:rsidP="0052669C">
      <w:pPr>
        <w:pStyle w:val="FootnoteText"/>
        <w:spacing w:line="240" w:lineRule="auto"/>
        <w:rPr>
          <w:rFonts w:ascii="Arial" w:hAnsi="Arial" w:cs="Arial"/>
        </w:rPr>
      </w:pPr>
      <w:r w:rsidRPr="00ED499A">
        <w:rPr>
          <w:rStyle w:val="FootnoteReference"/>
          <w:rFonts w:ascii="Arial" w:hAnsi="Arial" w:cs="Arial"/>
        </w:rPr>
        <w:footnoteRef/>
      </w:r>
      <w:r w:rsidRPr="00ED499A">
        <w:rPr>
          <w:rFonts w:ascii="Arial" w:hAnsi="Arial" w:cs="Arial"/>
        </w:rPr>
        <w:t xml:space="preserve"> </w:t>
      </w:r>
      <w:r w:rsidRPr="00ED499A">
        <w:rPr>
          <w:rFonts w:ascii="Arial" w:hAnsi="Arial" w:cs="Arial"/>
          <w:i/>
        </w:rPr>
        <w:t>Family Benefit Friendly Society</w:t>
      </w:r>
      <w:r w:rsidRPr="00ED499A">
        <w:rPr>
          <w:rFonts w:ascii="Arial" w:hAnsi="Arial" w:cs="Arial"/>
        </w:rPr>
        <w:t xml:space="preserve"> </w:t>
      </w:r>
      <w:r w:rsidR="001A7B2F">
        <w:rPr>
          <w:rFonts w:ascii="Arial" w:hAnsi="Arial" w:cs="Arial"/>
        </w:rPr>
        <w:t xml:space="preserve">fn 3 above </w:t>
      </w:r>
      <w:r w:rsidRPr="00ED499A">
        <w:rPr>
          <w:rFonts w:ascii="Arial" w:hAnsi="Arial" w:cs="Arial"/>
        </w:rPr>
        <w:t>at 126F.</w:t>
      </w:r>
    </w:p>
  </w:footnote>
  <w:footnote w:id="24">
    <w:p w14:paraId="138A806D" w14:textId="77777777" w:rsidR="0052669C" w:rsidRPr="00716340" w:rsidRDefault="0052669C" w:rsidP="0052669C">
      <w:pPr>
        <w:pStyle w:val="FootnoteText"/>
        <w:spacing w:line="240" w:lineRule="auto"/>
        <w:rPr>
          <w:rFonts w:ascii="Arial" w:hAnsi="Arial" w:cs="Arial"/>
          <w:lang w:val="en-US"/>
        </w:rPr>
      </w:pPr>
      <w:r w:rsidRPr="00716340">
        <w:rPr>
          <w:rStyle w:val="FootnoteReference"/>
          <w:rFonts w:ascii="Arial" w:hAnsi="Arial" w:cs="Arial"/>
        </w:rPr>
        <w:footnoteRef/>
      </w:r>
      <w:r w:rsidRPr="00716340">
        <w:rPr>
          <w:rFonts w:ascii="Arial" w:hAnsi="Arial" w:cs="Arial"/>
        </w:rPr>
        <w:t xml:space="preserve"> </w:t>
      </w:r>
      <w:r w:rsidRPr="00716340">
        <w:rPr>
          <w:rFonts w:ascii="Arial" w:hAnsi="Arial" w:cs="Arial"/>
          <w:i/>
          <w:iCs/>
          <w:lang w:val="en-US"/>
        </w:rPr>
        <w:t>Director of Public Prosecutions</w:t>
      </w:r>
      <w:r>
        <w:rPr>
          <w:rFonts w:ascii="Arial" w:hAnsi="Arial" w:cs="Arial"/>
          <w:i/>
          <w:iCs/>
          <w:lang w:val="en-US"/>
        </w:rPr>
        <w:t xml:space="preserve"> v Mohamed NO and Others </w:t>
      </w:r>
      <w:r>
        <w:rPr>
          <w:rFonts w:ascii="Arial" w:hAnsi="Arial" w:cs="Arial"/>
          <w:iCs/>
          <w:lang w:val="en-US"/>
        </w:rPr>
        <w:t>[2003] ZACC 4; 2003 (1) SACR 56; 2003 (5) BCLR 476;</w:t>
      </w:r>
      <w:r>
        <w:rPr>
          <w:rFonts w:ascii="Arial" w:hAnsi="Arial" w:cs="Arial"/>
          <w:i/>
          <w:iCs/>
          <w:lang w:val="en-US"/>
        </w:rPr>
        <w:t xml:space="preserve"> </w:t>
      </w:r>
      <w:r>
        <w:rPr>
          <w:rFonts w:ascii="Arial" w:hAnsi="Arial" w:cs="Arial"/>
          <w:lang w:val="en-US"/>
        </w:rPr>
        <w:t>2003 (4) SA 1 (CC) para 56.</w:t>
      </w:r>
    </w:p>
  </w:footnote>
  <w:footnote w:id="25">
    <w:p w14:paraId="436D7EE2" w14:textId="77777777" w:rsidR="0052669C" w:rsidRPr="00515440" w:rsidRDefault="0052669C" w:rsidP="0052669C">
      <w:pPr>
        <w:pStyle w:val="FootnoteText"/>
        <w:spacing w:line="240" w:lineRule="auto"/>
        <w:rPr>
          <w:rFonts w:ascii="Arial" w:hAnsi="Arial" w:cs="Arial"/>
        </w:rPr>
      </w:pPr>
      <w:r w:rsidRPr="00515440">
        <w:rPr>
          <w:rStyle w:val="FootnoteReference"/>
          <w:rFonts w:ascii="Arial" w:hAnsi="Arial" w:cs="Arial"/>
        </w:rPr>
        <w:footnoteRef/>
      </w:r>
      <w:r w:rsidRPr="00515440">
        <w:rPr>
          <w:rFonts w:ascii="Arial" w:hAnsi="Arial" w:cs="Arial"/>
          <w:i/>
        </w:rPr>
        <w:t>Mobile Telephone Networks (Pty) Ltd v Commissioner for the South African Revenue Service</w:t>
      </w:r>
      <w:r w:rsidRPr="00515440">
        <w:rPr>
          <w:rFonts w:ascii="Arial" w:hAnsi="Arial" w:cs="Arial"/>
        </w:rPr>
        <w:t xml:space="preserve"> [2022] ZASCA 142</w:t>
      </w:r>
      <w:r>
        <w:rPr>
          <w:rFonts w:ascii="Arial" w:hAnsi="Arial" w:cs="Arial"/>
        </w:rPr>
        <w:t>; [2023] (1) All SA 330 (SCA); 2023 (1) SA 420 (SCA); 85 SATC 235</w:t>
      </w:r>
      <w:r w:rsidRPr="00515440">
        <w:rPr>
          <w:rFonts w:ascii="Arial" w:hAnsi="Arial" w:cs="Arial"/>
        </w:rPr>
        <w:t xml:space="preserve"> para 27</w:t>
      </w:r>
    </w:p>
  </w:footnote>
  <w:footnote w:id="26">
    <w:p w14:paraId="5AA98129" w14:textId="77777777" w:rsidR="0052669C" w:rsidRPr="00B83037" w:rsidRDefault="0052669C" w:rsidP="0052669C">
      <w:pPr>
        <w:spacing w:line="240" w:lineRule="auto"/>
        <w:rPr>
          <w:rFonts w:ascii="Arial" w:hAnsi="Arial" w:cs="Arial"/>
          <w:sz w:val="20"/>
          <w:szCs w:val="20"/>
        </w:rPr>
      </w:pPr>
      <w:r w:rsidRPr="00515440">
        <w:rPr>
          <w:rStyle w:val="FootnoteReference"/>
          <w:rFonts w:ascii="Arial" w:hAnsi="Arial" w:cs="Arial"/>
          <w:sz w:val="20"/>
          <w:szCs w:val="20"/>
        </w:rPr>
        <w:footnoteRef/>
      </w:r>
      <w:r w:rsidRPr="00515440">
        <w:rPr>
          <w:rFonts w:ascii="Arial" w:hAnsi="Arial" w:cs="Arial"/>
          <w:sz w:val="20"/>
          <w:szCs w:val="20"/>
        </w:rPr>
        <w:t xml:space="preserve"> </w:t>
      </w:r>
      <w:r>
        <w:rPr>
          <w:rFonts w:ascii="Arial" w:hAnsi="Arial" w:cs="Arial"/>
          <w:sz w:val="20"/>
          <w:szCs w:val="20"/>
        </w:rPr>
        <w:t xml:space="preserve">Ibid </w:t>
      </w:r>
      <w:r w:rsidRPr="00515440">
        <w:rPr>
          <w:rFonts w:ascii="Arial" w:hAnsi="Arial" w:cs="Arial"/>
          <w:sz w:val="20"/>
          <w:szCs w:val="20"/>
        </w:rPr>
        <w:t xml:space="preserve">para 12. </w:t>
      </w:r>
    </w:p>
  </w:footnote>
  <w:footnote w:id="27">
    <w:p w14:paraId="33CCF2AA" w14:textId="77777777" w:rsidR="0052669C" w:rsidRPr="002D32E7" w:rsidRDefault="0052669C" w:rsidP="0052669C">
      <w:pPr>
        <w:pStyle w:val="FootnoteText"/>
        <w:spacing w:line="240" w:lineRule="auto"/>
        <w:rPr>
          <w:rFonts w:ascii="Arial" w:hAnsi="Arial" w:cs="Arial"/>
        </w:rPr>
      </w:pPr>
      <w:r w:rsidRPr="002D32E7">
        <w:rPr>
          <w:rStyle w:val="FootnoteReference"/>
          <w:rFonts w:ascii="Arial" w:hAnsi="Arial" w:cs="Arial"/>
        </w:rPr>
        <w:footnoteRef/>
      </w:r>
      <w:r w:rsidRPr="002D32E7">
        <w:rPr>
          <w:rFonts w:ascii="Arial" w:hAnsi="Arial" w:cs="Arial"/>
        </w:rPr>
        <w:t xml:space="preserve"> </w:t>
      </w:r>
      <w:r w:rsidRPr="002D32E7">
        <w:rPr>
          <w:rFonts w:ascii="Arial" w:hAnsi="Arial" w:cs="Arial"/>
          <w:i/>
          <w:iCs/>
        </w:rPr>
        <w:t xml:space="preserve">Levco Investments (Pty) Ltd v Standard Bank of SA Ltd </w:t>
      </w:r>
      <w:hyperlink r:id="rId2" w:tooltip="View LawCiteRecord" w:history="1">
        <w:r w:rsidRPr="002D32E7">
          <w:rPr>
            <w:rStyle w:val="Hyperlink"/>
            <w:rFonts w:ascii="Arial" w:hAnsi="Arial" w:cs="Arial"/>
            <w:bCs/>
            <w:color w:val="auto"/>
            <w:u w:val="none"/>
          </w:rPr>
          <w:t>1983 (4) SA 921</w:t>
        </w:r>
      </w:hyperlink>
      <w:r w:rsidRPr="002D32E7">
        <w:rPr>
          <w:rFonts w:ascii="Arial" w:hAnsi="Arial" w:cs="Arial"/>
        </w:rPr>
        <w:t xml:space="preserve"> (A) at 928H.</w:t>
      </w:r>
    </w:p>
  </w:footnote>
  <w:footnote w:id="28">
    <w:p w14:paraId="58862565" w14:textId="77777777" w:rsidR="0052669C" w:rsidRPr="002D32E7" w:rsidRDefault="0052669C" w:rsidP="0052669C">
      <w:pPr>
        <w:pStyle w:val="FootnoteText"/>
        <w:spacing w:line="240" w:lineRule="auto"/>
        <w:rPr>
          <w:rFonts w:ascii="Arial" w:hAnsi="Arial" w:cs="Arial"/>
        </w:rPr>
      </w:pPr>
      <w:r w:rsidRPr="002D32E7">
        <w:rPr>
          <w:rStyle w:val="FootnoteReference"/>
          <w:rFonts w:ascii="Arial" w:hAnsi="Arial" w:cs="Arial"/>
        </w:rPr>
        <w:footnoteRef/>
      </w:r>
      <w:r w:rsidRPr="002D32E7">
        <w:rPr>
          <w:rFonts w:ascii="Arial" w:hAnsi="Arial" w:cs="Arial"/>
        </w:rPr>
        <w:t xml:space="preserve"> </w:t>
      </w:r>
      <w:r w:rsidRPr="002D32E7">
        <w:rPr>
          <w:rFonts w:ascii="Arial" w:hAnsi="Arial" w:cs="Arial"/>
          <w:i/>
          <w:iCs/>
        </w:rPr>
        <w:t>Consolidated News Agencies (Pty) Ltd (in liquidation) v Mobile Telephone Networks (Pty) Ltd &amp; another</w:t>
      </w:r>
      <w:r w:rsidRPr="002D32E7">
        <w:rPr>
          <w:rFonts w:ascii="Arial" w:hAnsi="Arial" w:cs="Arial"/>
        </w:rPr>
        <w:t xml:space="preserve"> </w:t>
      </w:r>
      <w:hyperlink r:id="rId3" w:tooltip="View LawCiteRecord" w:history="1">
        <w:r w:rsidRPr="002D32E7">
          <w:rPr>
            <w:rStyle w:val="Hyperlink"/>
            <w:rFonts w:ascii="Arial" w:hAnsi="Arial" w:cs="Arial"/>
            <w:bCs/>
            <w:color w:val="auto"/>
            <w:u w:val="none"/>
          </w:rPr>
          <w:t>[2009] ZASCA 130</w:t>
        </w:r>
      </w:hyperlink>
      <w:r w:rsidRPr="002D32E7">
        <w:rPr>
          <w:rFonts w:ascii="Arial" w:hAnsi="Arial" w:cs="Arial"/>
        </w:rPr>
        <w:t xml:space="preserve">; [2010] 2 All SA 9 (SCA); </w:t>
      </w:r>
      <w:hyperlink r:id="rId4" w:tooltip="View LawCiteRecord" w:history="1">
        <w:r w:rsidRPr="002D32E7">
          <w:rPr>
            <w:rStyle w:val="Hyperlink"/>
            <w:rFonts w:ascii="Arial" w:hAnsi="Arial" w:cs="Arial"/>
            <w:bCs/>
            <w:color w:val="auto"/>
            <w:u w:val="none"/>
          </w:rPr>
          <w:t>2010 (3) SA 382</w:t>
        </w:r>
      </w:hyperlink>
      <w:r w:rsidRPr="002D32E7">
        <w:rPr>
          <w:rFonts w:ascii="Arial" w:hAnsi="Arial" w:cs="Arial"/>
        </w:rPr>
        <w:t xml:space="preserve"> (SCA) paras 89 and 90.</w:t>
      </w:r>
    </w:p>
  </w:footnote>
  <w:footnote w:id="29">
    <w:p w14:paraId="2D557207" w14:textId="5C7440B1" w:rsidR="0052669C" w:rsidRPr="002D32E7" w:rsidRDefault="0052669C" w:rsidP="0052669C">
      <w:pPr>
        <w:spacing w:line="240" w:lineRule="auto"/>
        <w:rPr>
          <w:rFonts w:ascii="Arial" w:hAnsi="Arial" w:cs="Arial"/>
          <w:sz w:val="20"/>
          <w:szCs w:val="20"/>
        </w:rPr>
      </w:pPr>
      <w:r w:rsidRPr="002D32E7">
        <w:rPr>
          <w:rStyle w:val="FootnoteReference"/>
          <w:rFonts w:ascii="Arial" w:hAnsi="Arial" w:cs="Arial"/>
          <w:sz w:val="20"/>
          <w:szCs w:val="20"/>
        </w:rPr>
        <w:footnoteRef/>
      </w:r>
      <w:r w:rsidRPr="002D32E7">
        <w:rPr>
          <w:rFonts w:ascii="Arial" w:hAnsi="Arial" w:cs="Arial"/>
          <w:sz w:val="20"/>
          <w:szCs w:val="20"/>
        </w:rPr>
        <w:t xml:space="preserve"> </w:t>
      </w:r>
      <w:r w:rsidRPr="002D32E7">
        <w:rPr>
          <w:rFonts w:ascii="Arial" w:hAnsi="Arial" w:cs="Arial"/>
          <w:i/>
          <w:sz w:val="20"/>
          <w:szCs w:val="20"/>
        </w:rPr>
        <w:t>Health Professions Council of South Africa and Another v Emergency Medical Supplies and Training CC t/a EMS</w:t>
      </w:r>
      <w:r w:rsidRPr="002D32E7">
        <w:rPr>
          <w:rFonts w:ascii="Arial" w:hAnsi="Arial" w:cs="Arial"/>
          <w:sz w:val="20"/>
          <w:szCs w:val="20"/>
        </w:rPr>
        <w:t xml:space="preserve"> [2010] ZASCA 65 2010 (6) SA 469 (SCA); [2010] 4 All SA 175 (SCA) at para 16</w:t>
      </w:r>
      <w:r w:rsidR="00DD6BC2">
        <w:rPr>
          <w:rFonts w:ascii="Arial" w:hAnsi="Arial" w:cs="Arial"/>
          <w:sz w:val="20"/>
          <w:szCs w:val="20"/>
        </w:rPr>
        <w:t xml:space="preserve"> (</w:t>
      </w:r>
      <w:r w:rsidR="00DD6BC2" w:rsidRPr="002D32E7">
        <w:rPr>
          <w:rFonts w:ascii="Arial" w:hAnsi="Arial" w:cs="Arial"/>
          <w:i/>
          <w:sz w:val="20"/>
          <w:szCs w:val="20"/>
        </w:rPr>
        <w:t>Health Professions Council of South Africa</w:t>
      </w:r>
      <w:r w:rsidR="00DD6BC2">
        <w:rPr>
          <w:rFonts w:ascii="Arial" w:hAnsi="Arial" w:cs="Arial"/>
          <w:sz w:val="20"/>
          <w:szCs w:val="20"/>
        </w:rPr>
        <w:t>)</w:t>
      </w:r>
      <w:r w:rsidRPr="002D32E7">
        <w:rPr>
          <w:rFonts w:ascii="Arial" w:hAnsi="Arial" w:cs="Arial"/>
          <w:sz w:val="20"/>
          <w:szCs w:val="20"/>
        </w:rPr>
        <w:t>.</w:t>
      </w:r>
    </w:p>
  </w:footnote>
  <w:footnote w:id="30">
    <w:p w14:paraId="42044452" w14:textId="00A84C9C" w:rsidR="0052669C" w:rsidRPr="002D32E7" w:rsidRDefault="0052669C" w:rsidP="0052669C">
      <w:pPr>
        <w:spacing w:line="240" w:lineRule="auto"/>
        <w:rPr>
          <w:rFonts w:ascii="Arial" w:hAnsi="Arial" w:cs="Arial"/>
          <w:sz w:val="20"/>
          <w:szCs w:val="20"/>
        </w:rPr>
      </w:pPr>
      <w:r w:rsidRPr="002D32E7">
        <w:rPr>
          <w:rStyle w:val="FootnoteReference"/>
          <w:rFonts w:ascii="Arial" w:hAnsi="Arial" w:cs="Arial"/>
          <w:sz w:val="20"/>
          <w:szCs w:val="20"/>
        </w:rPr>
        <w:footnoteRef/>
      </w:r>
      <w:r w:rsidRPr="002D32E7">
        <w:rPr>
          <w:rFonts w:ascii="Arial" w:hAnsi="Arial" w:cs="Arial"/>
          <w:sz w:val="20"/>
          <w:szCs w:val="20"/>
        </w:rPr>
        <w:t xml:space="preserve"> </w:t>
      </w:r>
      <w:r w:rsidRPr="002D32E7">
        <w:rPr>
          <w:rFonts w:ascii="Arial" w:hAnsi="Arial" w:cs="Arial"/>
          <w:i/>
          <w:iCs/>
          <w:sz w:val="20"/>
          <w:szCs w:val="20"/>
        </w:rPr>
        <w:t>Guardian National Insurance Co Ltd v Searle NO</w:t>
      </w:r>
      <w:r w:rsidRPr="002D32E7">
        <w:rPr>
          <w:rFonts w:ascii="Arial" w:hAnsi="Arial" w:cs="Arial"/>
          <w:sz w:val="20"/>
          <w:szCs w:val="20"/>
        </w:rPr>
        <w:t xml:space="preserve"> </w:t>
      </w:r>
      <w:hyperlink r:id="rId5" w:tooltip="View Case" w:history="1">
        <w:r w:rsidRPr="002D32E7">
          <w:rPr>
            <w:rStyle w:val="Hyperlink"/>
            <w:rFonts w:ascii="Arial" w:hAnsi="Arial" w:cs="Arial"/>
            <w:bCs/>
            <w:color w:val="auto"/>
            <w:sz w:val="20"/>
            <w:szCs w:val="20"/>
            <w:u w:val="none"/>
          </w:rPr>
          <w:t>[1999] ZASCA 3</w:t>
        </w:r>
      </w:hyperlink>
      <w:r w:rsidRPr="002D32E7">
        <w:rPr>
          <w:rFonts w:ascii="Arial" w:hAnsi="Arial" w:cs="Arial"/>
          <w:sz w:val="20"/>
          <w:szCs w:val="20"/>
        </w:rPr>
        <w:t xml:space="preserve">; [1999] 2 All SA 151 (A); </w:t>
      </w:r>
      <w:hyperlink r:id="rId6" w:tooltip="View LawCiteRecord" w:history="1">
        <w:r w:rsidRPr="002D32E7">
          <w:rPr>
            <w:rStyle w:val="Hyperlink"/>
            <w:rFonts w:ascii="Arial" w:hAnsi="Arial" w:cs="Arial"/>
            <w:bCs/>
            <w:color w:val="auto"/>
            <w:sz w:val="20"/>
            <w:szCs w:val="20"/>
            <w:u w:val="none"/>
          </w:rPr>
          <w:t>1999 (3) SA 296</w:t>
        </w:r>
      </w:hyperlink>
      <w:r w:rsidRPr="002D32E7">
        <w:rPr>
          <w:rFonts w:ascii="Arial" w:hAnsi="Arial" w:cs="Arial"/>
          <w:sz w:val="20"/>
          <w:szCs w:val="20"/>
        </w:rPr>
        <w:t xml:space="preserve"> (SCA) at 301A-C; see also </w:t>
      </w:r>
      <w:r w:rsidRPr="002D32E7">
        <w:rPr>
          <w:rFonts w:ascii="Arial" w:hAnsi="Arial" w:cs="Arial"/>
          <w:i/>
          <w:sz w:val="20"/>
          <w:szCs w:val="20"/>
        </w:rPr>
        <w:t>Health Professions Council of South Africa</w:t>
      </w:r>
      <w:r w:rsidR="00811248">
        <w:rPr>
          <w:rFonts w:ascii="Arial" w:hAnsi="Arial" w:cs="Arial"/>
          <w:i/>
          <w:sz w:val="20"/>
          <w:szCs w:val="20"/>
        </w:rPr>
        <w:t xml:space="preserve"> </w:t>
      </w:r>
      <w:r w:rsidR="00811248">
        <w:rPr>
          <w:rFonts w:ascii="Arial" w:hAnsi="Arial" w:cs="Arial"/>
          <w:iCs/>
          <w:sz w:val="20"/>
          <w:szCs w:val="20"/>
        </w:rPr>
        <w:t>fn 29 above</w:t>
      </w:r>
      <w:r w:rsidRPr="002D32E7">
        <w:rPr>
          <w:rFonts w:ascii="Arial" w:hAnsi="Arial" w:cs="Arial"/>
          <w:i/>
          <w:sz w:val="20"/>
          <w:szCs w:val="20"/>
        </w:rPr>
        <w:t xml:space="preserve"> </w:t>
      </w:r>
      <w:r w:rsidRPr="002D32E7">
        <w:rPr>
          <w:rFonts w:ascii="Arial" w:hAnsi="Arial" w:cs="Arial"/>
          <w:sz w:val="20"/>
          <w:szCs w:val="20"/>
        </w:rPr>
        <w:t>para 16.</w:t>
      </w:r>
    </w:p>
  </w:footnote>
  <w:footnote w:id="31">
    <w:p w14:paraId="38BDC618" w14:textId="3041D454" w:rsidR="0052669C" w:rsidRPr="002D32E7" w:rsidRDefault="0052669C" w:rsidP="0052669C">
      <w:pPr>
        <w:pStyle w:val="FootnoteText"/>
        <w:spacing w:line="240" w:lineRule="auto"/>
        <w:rPr>
          <w:rFonts w:ascii="Arial" w:hAnsi="Arial" w:cs="Arial"/>
        </w:rPr>
      </w:pPr>
      <w:r w:rsidRPr="002D32E7">
        <w:rPr>
          <w:rStyle w:val="FootnoteReference"/>
          <w:rFonts w:ascii="Arial" w:hAnsi="Arial" w:cs="Arial"/>
        </w:rPr>
        <w:footnoteRef/>
      </w:r>
      <w:r w:rsidRPr="002D32E7">
        <w:rPr>
          <w:rFonts w:ascii="Arial" w:hAnsi="Arial" w:cs="Arial"/>
        </w:rPr>
        <w:t xml:space="preserve"> </w:t>
      </w:r>
      <w:r w:rsidRPr="002D32E7">
        <w:rPr>
          <w:rFonts w:ascii="Arial" w:hAnsi="Arial" w:cs="Arial"/>
          <w:i/>
          <w:iCs/>
        </w:rPr>
        <w:t>Ferreira v Levin NO &amp; others</w:t>
      </w:r>
      <w:r w:rsidRPr="002D32E7">
        <w:rPr>
          <w:rFonts w:ascii="Arial" w:hAnsi="Arial" w:cs="Arial"/>
        </w:rPr>
        <w:t xml:space="preserve">; </w:t>
      </w:r>
      <w:r w:rsidRPr="002D32E7">
        <w:rPr>
          <w:rFonts w:ascii="Arial" w:hAnsi="Arial" w:cs="Arial"/>
          <w:i/>
          <w:iCs/>
        </w:rPr>
        <w:t>Vryenhoek v Powell NO &amp; others</w:t>
      </w:r>
      <w:r w:rsidRPr="002D32E7">
        <w:rPr>
          <w:rFonts w:ascii="Arial" w:hAnsi="Arial" w:cs="Arial"/>
        </w:rPr>
        <w:t xml:space="preserve"> </w:t>
      </w:r>
      <w:hyperlink r:id="rId7" w:tooltip="View Case" w:history="1">
        <w:r w:rsidRPr="002D32E7">
          <w:rPr>
            <w:rStyle w:val="Hyperlink"/>
            <w:rFonts w:ascii="Arial" w:hAnsi="Arial" w:cs="Arial"/>
            <w:bCs/>
            <w:color w:val="auto"/>
            <w:u w:val="none"/>
          </w:rPr>
          <w:t>1996 (1) SA 984</w:t>
        </w:r>
      </w:hyperlink>
      <w:r w:rsidRPr="002D32E7">
        <w:rPr>
          <w:rFonts w:ascii="Arial" w:hAnsi="Arial" w:cs="Arial"/>
        </w:rPr>
        <w:t xml:space="preserve"> (CC) para 199; see also </w:t>
      </w:r>
      <w:r w:rsidRPr="002D32E7">
        <w:rPr>
          <w:rFonts w:ascii="Arial" w:hAnsi="Arial" w:cs="Arial"/>
          <w:i/>
        </w:rPr>
        <w:t>Clear Enterprises (Pty) Ltd v Commissioner for South African Revenue Services and Others</w:t>
      </w:r>
      <w:r w:rsidRPr="002D32E7">
        <w:rPr>
          <w:rFonts w:ascii="Arial" w:hAnsi="Arial" w:cs="Arial"/>
        </w:rPr>
        <w:t xml:space="preserve"> [2011] ZASCA 164 para</w:t>
      </w:r>
      <w:r w:rsidR="00DD6BC2">
        <w:rPr>
          <w:rFonts w:ascii="Arial" w:hAnsi="Arial" w:cs="Arial"/>
        </w:rPr>
        <w:t>s</w:t>
      </w:r>
      <w:r w:rsidRPr="002D32E7">
        <w:rPr>
          <w:rFonts w:ascii="Arial" w:hAnsi="Arial" w:cs="Arial"/>
        </w:rPr>
        <w:t xml:space="preserve"> 17 and 18.</w:t>
      </w:r>
    </w:p>
  </w:footnote>
  <w:footnote w:id="32">
    <w:p w14:paraId="63656B6C" w14:textId="4EA7F508" w:rsidR="0052669C" w:rsidRPr="002D32E7" w:rsidRDefault="0052669C" w:rsidP="0052669C">
      <w:pPr>
        <w:pStyle w:val="FootnoteText"/>
        <w:spacing w:line="240" w:lineRule="auto"/>
        <w:rPr>
          <w:rFonts w:ascii="Arial" w:hAnsi="Arial" w:cs="Arial"/>
        </w:rPr>
      </w:pPr>
      <w:r w:rsidRPr="002D32E7">
        <w:rPr>
          <w:rStyle w:val="FootnoteReference"/>
          <w:rFonts w:ascii="Arial" w:hAnsi="Arial" w:cs="Arial"/>
        </w:rPr>
        <w:footnoteRef/>
      </w:r>
      <w:r w:rsidRPr="002D32E7">
        <w:rPr>
          <w:rFonts w:ascii="Arial" w:hAnsi="Arial" w:cs="Arial"/>
        </w:rPr>
        <w:t xml:space="preserve"> </w:t>
      </w:r>
      <w:r w:rsidRPr="002D32E7">
        <w:rPr>
          <w:rFonts w:ascii="Arial" w:hAnsi="Arial" w:cs="Arial"/>
          <w:i/>
        </w:rPr>
        <w:t xml:space="preserve">Luzon Investments (Pty) Ltd v Strand Municipality and Another </w:t>
      </w:r>
      <w:r w:rsidR="00DD6BC2">
        <w:rPr>
          <w:rFonts w:ascii="Arial" w:hAnsi="Arial" w:cs="Arial"/>
        </w:rPr>
        <w:t>1990 (1) SA 215 (C) at 229I–</w:t>
      </w:r>
      <w:r w:rsidRPr="002D32E7">
        <w:rPr>
          <w:rFonts w:ascii="Arial" w:hAnsi="Arial" w:cs="Arial"/>
        </w:rPr>
        <w:t xml:space="preserve">230A. </w:t>
      </w:r>
    </w:p>
  </w:footnote>
  <w:footnote w:id="33">
    <w:p w14:paraId="44D6ECDE" w14:textId="77777777" w:rsidR="0052669C" w:rsidRPr="002D32E7" w:rsidRDefault="0052669C" w:rsidP="0052669C">
      <w:pPr>
        <w:pStyle w:val="FootnoteText"/>
        <w:spacing w:line="240" w:lineRule="auto"/>
        <w:rPr>
          <w:rFonts w:ascii="Arial" w:hAnsi="Arial" w:cs="Arial"/>
        </w:rPr>
      </w:pPr>
      <w:r w:rsidRPr="002D32E7">
        <w:rPr>
          <w:rStyle w:val="FootnoteReference"/>
          <w:rFonts w:ascii="Arial" w:hAnsi="Arial" w:cs="Arial"/>
        </w:rPr>
        <w:footnoteRef/>
      </w:r>
      <w:r w:rsidRPr="002D32E7">
        <w:rPr>
          <w:rFonts w:ascii="Arial" w:hAnsi="Arial" w:cs="Arial"/>
        </w:rPr>
        <w:t xml:space="preserve"> </w:t>
      </w:r>
      <w:r w:rsidRPr="002D32E7">
        <w:rPr>
          <w:rFonts w:ascii="Arial" w:hAnsi="Arial" w:cs="Arial"/>
          <w:i/>
        </w:rPr>
        <w:t xml:space="preserve">Solosky v The Queen </w:t>
      </w:r>
      <w:r w:rsidRPr="002D32E7">
        <w:rPr>
          <w:rFonts w:ascii="Arial" w:hAnsi="Arial" w:cs="Arial"/>
        </w:rPr>
        <w:t>105 DLR (3d) 745 at 754.</w:t>
      </w:r>
    </w:p>
  </w:footnote>
  <w:footnote w:id="34">
    <w:p w14:paraId="3D3B7AAE" w14:textId="77777777" w:rsidR="00DD6BC2" w:rsidRPr="002D32E7" w:rsidRDefault="00DD6BC2" w:rsidP="00DD6BC2">
      <w:pPr>
        <w:pStyle w:val="FootnoteText"/>
        <w:spacing w:line="240" w:lineRule="auto"/>
        <w:rPr>
          <w:rFonts w:ascii="Arial" w:hAnsi="Arial" w:cs="Arial"/>
        </w:rPr>
      </w:pPr>
      <w:r w:rsidRPr="002D32E7">
        <w:rPr>
          <w:rStyle w:val="FootnoteReference"/>
          <w:rFonts w:ascii="Arial" w:hAnsi="Arial" w:cs="Arial"/>
        </w:rPr>
        <w:footnoteRef/>
      </w:r>
      <w:r w:rsidRPr="002D32E7">
        <w:rPr>
          <w:rFonts w:ascii="Arial" w:hAnsi="Arial" w:cs="Arial"/>
        </w:rPr>
        <w:t xml:space="preserve"> </w:t>
      </w:r>
      <w:r w:rsidRPr="00BF1DBB">
        <w:rPr>
          <w:rFonts w:ascii="Arial" w:hAnsi="Arial" w:cs="Arial"/>
        </w:rPr>
        <w:t>A</w:t>
      </w:r>
      <w:r>
        <w:rPr>
          <w:rFonts w:ascii="Arial" w:hAnsi="Arial" w:cs="Arial"/>
        </w:rPr>
        <w:t xml:space="preserve"> H Hudson</w:t>
      </w:r>
      <w:r w:rsidRPr="00BF1DBB">
        <w:rPr>
          <w:rFonts w:ascii="Arial" w:hAnsi="Arial" w:cs="Arial"/>
        </w:rPr>
        <w:t xml:space="preserve"> ‘Declaratory Judgments in Theoretical Cases: The Reality of the Dispute’ </w:t>
      </w:r>
      <w:r w:rsidRPr="002D32E7">
        <w:rPr>
          <w:rFonts w:ascii="Arial" w:hAnsi="Arial" w:cs="Arial"/>
        </w:rPr>
        <w:t xml:space="preserve">(1976-77) 3 Dalhousie Law Review 706 at 708. </w:t>
      </w:r>
    </w:p>
  </w:footnote>
  <w:footnote w:id="35">
    <w:p w14:paraId="22AE43CC" w14:textId="77777777" w:rsidR="0052669C" w:rsidRPr="002D32E7" w:rsidRDefault="0052669C" w:rsidP="0052669C">
      <w:pPr>
        <w:spacing w:line="240" w:lineRule="auto"/>
        <w:rPr>
          <w:rFonts w:ascii="Arial" w:hAnsi="Arial" w:cs="Arial"/>
          <w:sz w:val="20"/>
          <w:szCs w:val="20"/>
          <w:lang w:val="en-ZA"/>
        </w:rPr>
      </w:pPr>
      <w:r w:rsidRPr="002D32E7">
        <w:rPr>
          <w:rStyle w:val="FootnoteReference"/>
          <w:rFonts w:ascii="Arial" w:hAnsi="Arial" w:cs="Arial"/>
          <w:sz w:val="20"/>
          <w:szCs w:val="20"/>
        </w:rPr>
        <w:footnoteRef/>
      </w:r>
      <w:r w:rsidRPr="002D32E7">
        <w:rPr>
          <w:rFonts w:ascii="Arial" w:hAnsi="Arial" w:cs="Arial"/>
          <w:sz w:val="20"/>
          <w:szCs w:val="20"/>
        </w:rPr>
        <w:t xml:space="preserve"> </w:t>
      </w:r>
      <w:r w:rsidRPr="002D32E7">
        <w:rPr>
          <w:rFonts w:ascii="Arial" w:hAnsi="Arial" w:cs="Arial"/>
          <w:i/>
          <w:iCs/>
          <w:sz w:val="20"/>
          <w:szCs w:val="20"/>
        </w:rPr>
        <w:t xml:space="preserve">Western Johannesburg Rent Board &amp; another v Ursula Mansions (Pty) Ltd </w:t>
      </w:r>
      <w:hyperlink r:id="rId8" w:tooltip="View LawCiteRecord" w:history="1">
        <w:r w:rsidRPr="002D32E7">
          <w:rPr>
            <w:rStyle w:val="Hyperlink"/>
            <w:rFonts w:ascii="Arial" w:hAnsi="Arial" w:cs="Arial"/>
            <w:bCs/>
            <w:color w:val="auto"/>
            <w:sz w:val="20"/>
            <w:szCs w:val="20"/>
            <w:u w:val="none"/>
          </w:rPr>
          <w:t>1948 (3) SA 353</w:t>
        </w:r>
      </w:hyperlink>
      <w:r w:rsidRPr="002D32E7">
        <w:rPr>
          <w:rFonts w:ascii="Arial" w:hAnsi="Arial" w:cs="Arial"/>
          <w:sz w:val="20"/>
          <w:szCs w:val="20"/>
        </w:rPr>
        <w:t xml:space="preserve"> (A) at 355; </w:t>
      </w:r>
      <w:r w:rsidRPr="002D32E7">
        <w:rPr>
          <w:rFonts w:ascii="Arial" w:hAnsi="Arial" w:cs="Arial"/>
          <w:i/>
          <w:iCs/>
          <w:sz w:val="20"/>
          <w:szCs w:val="20"/>
          <w:lang w:val="en-ZA"/>
        </w:rPr>
        <w:t>Absa Bank Ltd v Mkhize and Another, Absa Bank Ltd v Chetty, Absa Bank Ltd v Mlipha</w:t>
      </w:r>
      <w:r w:rsidRPr="002D32E7">
        <w:rPr>
          <w:rFonts w:ascii="Arial" w:hAnsi="Arial" w:cs="Arial"/>
          <w:sz w:val="20"/>
          <w:szCs w:val="20"/>
          <w:lang w:val="en-ZA"/>
        </w:rPr>
        <w:t xml:space="preserve"> [2013] ZASCA 139; [2014] 1 All SA 1 (SCA); 2014 (5) SA 16 (SCA) para 64.</w:t>
      </w:r>
    </w:p>
  </w:footnote>
  <w:footnote w:id="36">
    <w:p w14:paraId="05568FDF" w14:textId="77777777" w:rsidR="00EA6650" w:rsidRPr="007540D5" w:rsidRDefault="00EA6650" w:rsidP="00B76F76">
      <w:pPr>
        <w:pStyle w:val="FootnoteText"/>
        <w:spacing w:line="240" w:lineRule="auto"/>
        <w:rPr>
          <w:rFonts w:ascii="Arial" w:hAnsi="Arial" w:cs="Arial"/>
          <w:lang w:val="en-US"/>
        </w:rPr>
      </w:pPr>
      <w:r w:rsidRPr="004D3378">
        <w:rPr>
          <w:rStyle w:val="FootnoteReference"/>
          <w:rFonts w:ascii="Arial" w:hAnsi="Arial" w:cs="Arial"/>
        </w:rPr>
        <w:footnoteRef/>
      </w:r>
      <w:r w:rsidRPr="004D3378">
        <w:rPr>
          <w:rFonts w:ascii="Arial" w:hAnsi="Arial" w:cs="Arial"/>
        </w:rPr>
        <w:t xml:space="preserve"> D Harms </w:t>
      </w:r>
      <w:r w:rsidRPr="004D3378">
        <w:rPr>
          <w:rFonts w:ascii="Arial" w:hAnsi="Arial" w:cs="Arial"/>
          <w:i/>
        </w:rPr>
        <w:t xml:space="preserve">Civil Procedure in the Superior Courts </w:t>
      </w:r>
      <w:r w:rsidRPr="004D3378">
        <w:rPr>
          <w:rFonts w:ascii="Arial" w:hAnsi="Arial" w:cs="Arial"/>
        </w:rPr>
        <w:t>Service Issue 77 (August 2023) at A4.18.</w:t>
      </w:r>
    </w:p>
  </w:footnote>
  <w:footnote w:id="37">
    <w:p w14:paraId="51F2E54A" w14:textId="77777777" w:rsidR="00F22ACA" w:rsidRPr="009D19E2" w:rsidRDefault="00F22ACA" w:rsidP="00B76F76">
      <w:pPr>
        <w:pStyle w:val="FootnoteText"/>
        <w:spacing w:line="240" w:lineRule="auto"/>
        <w:rPr>
          <w:rFonts w:ascii="Arial" w:hAnsi="Arial" w:cs="Arial"/>
        </w:rPr>
      </w:pPr>
      <w:r w:rsidRPr="009D19E2">
        <w:rPr>
          <w:rStyle w:val="FootnoteReference"/>
          <w:rFonts w:ascii="Arial" w:hAnsi="Arial" w:cs="Arial"/>
        </w:rPr>
        <w:footnoteRef/>
      </w:r>
      <w:r w:rsidRPr="009D19E2">
        <w:rPr>
          <w:rFonts w:ascii="Arial" w:hAnsi="Arial" w:cs="Arial"/>
        </w:rPr>
        <w:t xml:space="preserve"> Section 1 of the TAA.</w:t>
      </w:r>
    </w:p>
  </w:footnote>
  <w:footnote w:id="38">
    <w:p w14:paraId="6E533101" w14:textId="77777777" w:rsidR="00F22ACA" w:rsidRPr="009D19E2" w:rsidRDefault="00F22ACA" w:rsidP="00B76F76">
      <w:pPr>
        <w:pStyle w:val="FootnoteText"/>
        <w:spacing w:line="240" w:lineRule="auto"/>
        <w:rPr>
          <w:rFonts w:ascii="Arial" w:hAnsi="Arial" w:cs="Arial"/>
        </w:rPr>
      </w:pPr>
      <w:r w:rsidRPr="009D19E2">
        <w:rPr>
          <w:rStyle w:val="FootnoteReference"/>
          <w:rFonts w:ascii="Arial" w:hAnsi="Arial" w:cs="Arial"/>
        </w:rPr>
        <w:footnoteRef/>
      </w:r>
      <w:r w:rsidRPr="009D19E2">
        <w:rPr>
          <w:rFonts w:ascii="Arial" w:hAnsi="Arial" w:cs="Arial"/>
        </w:rPr>
        <w:t xml:space="preserve"> Section 101 of the TAA.</w:t>
      </w:r>
    </w:p>
  </w:footnote>
  <w:footnote w:id="39">
    <w:p w14:paraId="088BED80" w14:textId="77777777" w:rsidR="00F22ACA" w:rsidRPr="000F3B33" w:rsidRDefault="00F22ACA" w:rsidP="00B76F76">
      <w:pPr>
        <w:pStyle w:val="FootnoteText"/>
        <w:spacing w:line="240" w:lineRule="auto"/>
        <w:rPr>
          <w:rFonts w:ascii="Arial" w:hAnsi="Arial" w:cs="Arial"/>
        </w:rPr>
      </w:pPr>
      <w:r w:rsidRPr="000F3B33">
        <w:rPr>
          <w:rStyle w:val="FootnoteReference"/>
          <w:rFonts w:ascii="Arial" w:hAnsi="Arial" w:cs="Arial"/>
        </w:rPr>
        <w:footnoteRef/>
      </w:r>
      <w:r w:rsidRPr="000F3B33">
        <w:rPr>
          <w:rFonts w:ascii="Arial" w:hAnsi="Arial" w:cs="Arial"/>
        </w:rPr>
        <w:t xml:space="preserve"> </w:t>
      </w:r>
      <w:r w:rsidRPr="000F3B33">
        <w:rPr>
          <w:rFonts w:ascii="Arial" w:hAnsi="Arial" w:cs="Arial"/>
          <w:i/>
          <w:iCs/>
        </w:rPr>
        <w:t>Cordiant Trading CC v Daimler Chrysler Financial Services (Pty) Ltd</w:t>
      </w:r>
      <w:r w:rsidRPr="000F3B33">
        <w:rPr>
          <w:rFonts w:ascii="Arial" w:hAnsi="Arial" w:cs="Arial"/>
        </w:rPr>
        <w:t xml:space="preserve"> [2005] ZASCA 50; [2006] 1 All SA 103 (SCA); 2005 (6) SA 205 (SCA) para 16.</w:t>
      </w:r>
    </w:p>
  </w:footnote>
  <w:footnote w:id="40">
    <w:p w14:paraId="7B22FDF8" w14:textId="77777777" w:rsidR="00F22ACA" w:rsidRPr="000F3B33" w:rsidRDefault="00F22ACA" w:rsidP="00B76F76">
      <w:pPr>
        <w:pStyle w:val="FootnoteText"/>
        <w:spacing w:line="240" w:lineRule="auto"/>
        <w:rPr>
          <w:rFonts w:ascii="Arial" w:hAnsi="Arial" w:cs="Arial"/>
        </w:rPr>
      </w:pPr>
      <w:r w:rsidRPr="000F3B33">
        <w:rPr>
          <w:rStyle w:val="FootnoteReference"/>
          <w:rFonts w:ascii="Arial" w:hAnsi="Arial" w:cs="Arial"/>
        </w:rPr>
        <w:footnoteRef/>
      </w:r>
      <w:r w:rsidRPr="000F3B33">
        <w:rPr>
          <w:rFonts w:ascii="Arial" w:hAnsi="Arial" w:cs="Arial"/>
        </w:rPr>
        <w:t>In terms of s 21(1)(</w:t>
      </w:r>
      <w:r w:rsidRPr="000F3B33">
        <w:rPr>
          <w:rFonts w:ascii="Arial" w:hAnsi="Arial" w:cs="Arial"/>
          <w:i/>
          <w:iCs/>
        </w:rPr>
        <w:t xml:space="preserve">c) </w:t>
      </w:r>
      <w:r w:rsidRPr="000F3B33">
        <w:rPr>
          <w:rFonts w:ascii="Arial" w:hAnsi="Arial" w:cs="Arial"/>
        </w:rPr>
        <w:t>of the Superior Courts Act, the court has the power:</w:t>
      </w:r>
    </w:p>
    <w:p w14:paraId="08761553" w14:textId="77777777" w:rsidR="00F22ACA" w:rsidRPr="000F3B33" w:rsidRDefault="00F22ACA" w:rsidP="00B76F76">
      <w:pPr>
        <w:pStyle w:val="FootnoteText"/>
        <w:spacing w:line="240" w:lineRule="auto"/>
        <w:rPr>
          <w:rFonts w:ascii="Arial" w:hAnsi="Arial" w:cs="Arial"/>
        </w:rPr>
      </w:pPr>
      <w:r w:rsidRPr="000F3B33">
        <w:rPr>
          <w:rFonts w:ascii="Arial" w:hAnsi="Arial" w:cs="Arial"/>
        </w:rPr>
        <w:t>‘In its discretion and at the instance of any interested person, to enquire into and determine any existing, future or contingent right or obligation, notwithstanding that such a person cannot claim any relief consequential upon the determination.’</w:t>
      </w:r>
    </w:p>
  </w:footnote>
  <w:footnote w:id="41">
    <w:p w14:paraId="351CB8F1" w14:textId="77777777" w:rsidR="00F22ACA" w:rsidRPr="000F3B33" w:rsidRDefault="00F22ACA" w:rsidP="00B76F76">
      <w:pPr>
        <w:pStyle w:val="FootnoteText"/>
        <w:spacing w:line="240" w:lineRule="auto"/>
        <w:rPr>
          <w:rFonts w:ascii="Arial" w:hAnsi="Arial" w:cs="Arial"/>
        </w:rPr>
      </w:pPr>
      <w:r w:rsidRPr="000F3B33">
        <w:rPr>
          <w:rStyle w:val="FootnoteReference"/>
          <w:rFonts w:ascii="Arial" w:hAnsi="Arial" w:cs="Arial"/>
        </w:rPr>
        <w:footnoteRef/>
      </w:r>
      <w:r w:rsidRPr="000F3B33">
        <w:rPr>
          <w:rFonts w:ascii="Arial" w:hAnsi="Arial" w:cs="Arial"/>
        </w:rPr>
        <w:t xml:space="preserve"> Ibid para 18.</w:t>
      </w:r>
    </w:p>
  </w:footnote>
  <w:footnote w:id="42">
    <w:p w14:paraId="29EFBA56" w14:textId="52507739" w:rsidR="00F22ACA" w:rsidRPr="000F3B33" w:rsidRDefault="00F22ACA" w:rsidP="00224EB4">
      <w:pPr>
        <w:pStyle w:val="FootnoteText"/>
        <w:spacing w:line="240" w:lineRule="auto"/>
        <w:rPr>
          <w:rFonts w:ascii="Arial" w:hAnsi="Arial" w:cs="Arial"/>
        </w:rPr>
      </w:pPr>
      <w:r w:rsidRPr="000F3B33">
        <w:rPr>
          <w:rStyle w:val="FootnoteReference"/>
          <w:rFonts w:ascii="Arial" w:hAnsi="Arial" w:cs="Arial"/>
        </w:rPr>
        <w:footnoteRef/>
      </w:r>
      <w:r w:rsidRPr="000F3B33">
        <w:rPr>
          <w:rFonts w:ascii="Arial" w:hAnsi="Arial" w:cs="Arial"/>
        </w:rPr>
        <w:t xml:space="preserve"> </w:t>
      </w:r>
      <w:r w:rsidRPr="000F3B33">
        <w:rPr>
          <w:rFonts w:ascii="Arial" w:hAnsi="Arial" w:cs="Arial"/>
          <w:i/>
          <w:iCs/>
        </w:rPr>
        <w:t>Commissioner for South African Revenue Service v Langholm Farms (Pty) Ltd</w:t>
      </w:r>
      <w:r w:rsidRPr="000F3B33">
        <w:rPr>
          <w:rFonts w:ascii="Arial" w:hAnsi="Arial" w:cs="Arial"/>
        </w:rPr>
        <w:t xml:space="preserve"> [2019] ZASCA 163.</w:t>
      </w:r>
    </w:p>
  </w:footnote>
  <w:footnote w:id="43">
    <w:p w14:paraId="6CCC4557" w14:textId="77777777" w:rsidR="00F22ACA" w:rsidRPr="00BD398A" w:rsidRDefault="00F22ACA" w:rsidP="00224EB4">
      <w:pPr>
        <w:pStyle w:val="FootnoteText"/>
        <w:spacing w:line="240" w:lineRule="auto"/>
        <w:rPr>
          <w:rFonts w:ascii="Arial" w:hAnsi="Arial" w:cs="Arial"/>
          <w:lang w:val="en-US"/>
        </w:rPr>
      </w:pPr>
      <w:r w:rsidRPr="00BD398A">
        <w:rPr>
          <w:rStyle w:val="FootnoteReference"/>
          <w:rFonts w:ascii="Arial" w:hAnsi="Arial" w:cs="Arial"/>
        </w:rPr>
        <w:footnoteRef/>
      </w:r>
      <w:r w:rsidRPr="00BD398A">
        <w:rPr>
          <w:rFonts w:ascii="Arial" w:hAnsi="Arial" w:cs="Arial"/>
        </w:rPr>
        <w:t xml:space="preserve"> </w:t>
      </w:r>
      <w:r w:rsidRPr="00BD398A">
        <w:rPr>
          <w:rFonts w:ascii="Arial" w:hAnsi="Arial" w:cs="Arial"/>
          <w:lang w:val="en-US"/>
        </w:rPr>
        <w:t>Ibid para 10.</w:t>
      </w:r>
    </w:p>
  </w:footnote>
  <w:footnote w:id="44">
    <w:p w14:paraId="738CFB1C" w14:textId="77777777" w:rsidR="00F22ACA" w:rsidRPr="00B76F76" w:rsidRDefault="00F22ACA" w:rsidP="00B76F76">
      <w:pPr>
        <w:pStyle w:val="FootnoteText"/>
        <w:spacing w:line="240" w:lineRule="auto"/>
        <w:rPr>
          <w:rFonts w:ascii="Arial" w:hAnsi="Arial" w:cs="Arial"/>
        </w:rPr>
      </w:pPr>
      <w:r w:rsidRPr="00B76F76">
        <w:rPr>
          <w:rStyle w:val="FootnoteReference"/>
          <w:rFonts w:ascii="Arial" w:hAnsi="Arial" w:cs="Arial"/>
        </w:rPr>
        <w:footnoteRef/>
      </w:r>
      <w:r w:rsidRPr="00B76F76">
        <w:rPr>
          <w:rFonts w:ascii="Arial" w:hAnsi="Arial" w:cs="Arial"/>
        </w:rPr>
        <w:t xml:space="preserve"> </w:t>
      </w:r>
      <w:r w:rsidRPr="00B76F76">
        <w:rPr>
          <w:rFonts w:ascii="Arial" w:hAnsi="Arial" w:cs="Arial"/>
          <w:i/>
          <w:iCs/>
        </w:rPr>
        <w:t>Metcash</w:t>
      </w:r>
      <w:r w:rsidRPr="00B76F76">
        <w:rPr>
          <w:rFonts w:ascii="Arial" w:hAnsi="Arial" w:cs="Arial"/>
        </w:rPr>
        <w:t xml:space="preserve"> para 71.</w:t>
      </w:r>
    </w:p>
  </w:footnote>
  <w:footnote w:id="45">
    <w:p w14:paraId="028A5F94" w14:textId="77777777" w:rsidR="00F22ACA" w:rsidRPr="00B76F76" w:rsidRDefault="00F22ACA" w:rsidP="00B76F76">
      <w:pPr>
        <w:pStyle w:val="FootnoteText"/>
        <w:spacing w:line="240" w:lineRule="auto"/>
        <w:rPr>
          <w:rFonts w:ascii="Arial" w:hAnsi="Arial" w:cs="Arial"/>
        </w:rPr>
      </w:pPr>
      <w:r w:rsidRPr="00B76F76">
        <w:rPr>
          <w:rStyle w:val="FootnoteReference"/>
          <w:rFonts w:ascii="Arial" w:hAnsi="Arial" w:cs="Arial"/>
        </w:rPr>
        <w:footnoteRef/>
      </w:r>
      <w:r w:rsidRPr="00B76F76">
        <w:rPr>
          <w:rFonts w:ascii="Arial" w:hAnsi="Arial" w:cs="Arial"/>
        </w:rPr>
        <w:t xml:space="preserve"> </w:t>
      </w:r>
      <w:r w:rsidRPr="00B76F76">
        <w:rPr>
          <w:rFonts w:ascii="Arial" w:hAnsi="Arial" w:cs="Arial"/>
          <w:i/>
          <w:iCs/>
        </w:rPr>
        <w:t xml:space="preserve">Commissioner for the South African Revenue Service v United Manganese of Kalahari (Pty) Ltd </w:t>
      </w:r>
      <w:r w:rsidRPr="00B76F76">
        <w:rPr>
          <w:rFonts w:ascii="Arial" w:hAnsi="Arial" w:cs="Arial"/>
        </w:rPr>
        <w:t xml:space="preserve">Commissioner, </w:t>
      </w:r>
      <w:r w:rsidRPr="00B76F76">
        <w:rPr>
          <w:rFonts w:ascii="Arial" w:hAnsi="Arial" w:cs="Arial"/>
          <w:i/>
          <w:iCs/>
        </w:rPr>
        <w:t>South African Revenue Service v United Manganese of Kalahari (Pty) Ltd</w:t>
      </w:r>
      <w:r w:rsidRPr="00B76F76">
        <w:rPr>
          <w:rFonts w:ascii="Arial" w:hAnsi="Arial" w:cs="Arial"/>
          <w:iCs/>
        </w:rPr>
        <w:t xml:space="preserve"> [2020] ZASCA 16; 2020 (4) SA 428 (SCA).</w:t>
      </w:r>
    </w:p>
  </w:footnote>
  <w:footnote w:id="46">
    <w:p w14:paraId="118174BB" w14:textId="77777777" w:rsidR="00F22ACA" w:rsidRPr="00B76F76" w:rsidRDefault="00F22ACA" w:rsidP="00B76F76">
      <w:pPr>
        <w:pStyle w:val="FootnoteText"/>
        <w:spacing w:line="240" w:lineRule="auto"/>
        <w:rPr>
          <w:rFonts w:ascii="Arial" w:hAnsi="Arial" w:cs="Arial"/>
        </w:rPr>
      </w:pPr>
      <w:r w:rsidRPr="00B76F76">
        <w:rPr>
          <w:rStyle w:val="FootnoteReference"/>
          <w:rFonts w:ascii="Arial" w:hAnsi="Arial" w:cs="Arial"/>
        </w:rPr>
        <w:footnoteRef/>
      </w:r>
      <w:r w:rsidRPr="00B76F76">
        <w:rPr>
          <w:rFonts w:ascii="Arial" w:hAnsi="Arial" w:cs="Arial"/>
        </w:rPr>
        <w:t xml:space="preserve"> That this Court considered itself bound by </w:t>
      </w:r>
      <w:r w:rsidRPr="00B76F76">
        <w:rPr>
          <w:rFonts w:ascii="Arial" w:hAnsi="Arial" w:cs="Arial"/>
          <w:i/>
        </w:rPr>
        <w:t>Langholm Farms</w:t>
      </w:r>
      <w:r w:rsidRPr="00B76F76">
        <w:rPr>
          <w:rFonts w:ascii="Arial" w:hAnsi="Arial" w:cs="Arial"/>
        </w:rPr>
        <w:t xml:space="preserve">’ judgment is evident from para 4 of that judgment, where the following was stated: ‘In its opposing affidavit, in argument before the high court, and in its heads of argument in this court, SARS argued that </w:t>
      </w:r>
      <w:r w:rsidRPr="00B76F76">
        <w:rPr>
          <w:rFonts w:ascii="Arial" w:hAnsi="Arial" w:cs="Arial"/>
          <w:i/>
        </w:rPr>
        <w:t>UMK</w:t>
      </w:r>
      <w:r w:rsidRPr="00B76F76">
        <w:rPr>
          <w:rFonts w:ascii="Arial" w:hAnsi="Arial" w:cs="Arial"/>
        </w:rPr>
        <w:t xml:space="preserve">’s application was premature as the audit process had not yet been finalised. It contended that </w:t>
      </w:r>
      <w:r w:rsidRPr="00B76F76">
        <w:rPr>
          <w:rFonts w:ascii="Arial" w:hAnsi="Arial" w:cs="Arial"/>
          <w:i/>
        </w:rPr>
        <w:t>UMK</w:t>
      </w:r>
      <w:r w:rsidRPr="00B76F76">
        <w:rPr>
          <w:rFonts w:ascii="Arial" w:hAnsi="Arial" w:cs="Arial"/>
        </w:rPr>
        <w:t xml:space="preserve"> should have awaited the outcome of that process and then pursued its internal remedies under the Tax Administration Act 28 of 2011, by way of objection and appeal against any assessment with which it did not agree. Alternatively, it contended that it was inappropriate for </w:t>
      </w:r>
      <w:r w:rsidRPr="00B76F76">
        <w:rPr>
          <w:rFonts w:ascii="Arial" w:hAnsi="Arial" w:cs="Arial"/>
          <w:i/>
        </w:rPr>
        <w:t>UMK</w:t>
      </w:r>
      <w:r w:rsidRPr="00B76F76">
        <w:rPr>
          <w:rFonts w:ascii="Arial" w:hAnsi="Arial" w:cs="Arial"/>
        </w:rPr>
        <w:t xml:space="preserve"> to seek relief by way of a declaratory order. </w:t>
      </w:r>
      <w:r w:rsidRPr="00B76F76">
        <w:rPr>
          <w:rFonts w:ascii="Arial" w:hAnsi="Arial" w:cs="Arial"/>
          <w:i/>
          <w:iCs/>
        </w:rPr>
        <w:t>However, after the parties’ attention was drawn to a recent judgment of this court dealing with a similar argument</w:t>
      </w:r>
      <w:r w:rsidRPr="00B76F76">
        <w:rPr>
          <w:rFonts w:ascii="Arial" w:hAnsi="Arial" w:cs="Arial"/>
        </w:rPr>
        <w:t xml:space="preserve">, we were informed that SARS no longer persisted with these points and would confine its arguments to the legal issue raised by </w:t>
      </w:r>
      <w:r w:rsidRPr="00B76F76">
        <w:rPr>
          <w:rFonts w:ascii="Arial" w:hAnsi="Arial" w:cs="Arial"/>
          <w:i/>
        </w:rPr>
        <w:t>UMK</w:t>
      </w:r>
      <w:r w:rsidRPr="00B76F76">
        <w:rPr>
          <w:rFonts w:ascii="Arial" w:hAnsi="Arial" w:cs="Arial"/>
        </w:rPr>
        <w:t xml:space="preserve"> concerning the proper interpretation of the relevant provisions of the Royalty Act’. (Own emphasis.). </w:t>
      </w:r>
    </w:p>
  </w:footnote>
  <w:footnote w:id="47">
    <w:p w14:paraId="2E67D3BF" w14:textId="77777777" w:rsidR="00F22ACA" w:rsidRPr="00785438" w:rsidRDefault="00F22ACA" w:rsidP="00F22ACA">
      <w:pPr>
        <w:pStyle w:val="FootnoteText"/>
        <w:rPr>
          <w:rFonts w:ascii="Arial" w:hAnsi="Arial" w:cs="Arial"/>
        </w:rPr>
      </w:pPr>
      <w:r w:rsidRPr="00785438">
        <w:rPr>
          <w:rStyle w:val="FootnoteReference"/>
          <w:rFonts w:ascii="Arial" w:hAnsi="Arial" w:cs="Arial"/>
        </w:rPr>
        <w:footnoteRef/>
      </w:r>
      <w:r w:rsidRPr="00785438">
        <w:rPr>
          <w:rFonts w:ascii="Arial" w:hAnsi="Arial" w:cs="Arial"/>
        </w:rPr>
        <w:t xml:space="preserve"> It was not submitted</w:t>
      </w:r>
      <w:r>
        <w:rPr>
          <w:rFonts w:ascii="Arial" w:hAnsi="Arial" w:cs="Arial"/>
        </w:rPr>
        <w:t xml:space="preserve"> before us that </w:t>
      </w:r>
      <w:r w:rsidRPr="00785438">
        <w:rPr>
          <w:rFonts w:ascii="Arial" w:hAnsi="Arial" w:cs="Arial"/>
        </w:rPr>
        <w:t>any of the two judgments were wrongly decided.</w:t>
      </w:r>
    </w:p>
  </w:footnote>
  <w:footnote w:id="48">
    <w:p w14:paraId="60331E80" w14:textId="77777777" w:rsidR="00F22ACA" w:rsidRPr="006F6C2E" w:rsidRDefault="00F22ACA" w:rsidP="005573C7">
      <w:pPr>
        <w:pStyle w:val="FootnoteText"/>
        <w:spacing w:line="240" w:lineRule="auto"/>
        <w:rPr>
          <w:rFonts w:ascii="Arial" w:hAnsi="Arial" w:cs="Arial"/>
        </w:rPr>
      </w:pPr>
      <w:r w:rsidRPr="006F6C2E">
        <w:rPr>
          <w:rStyle w:val="FootnoteReference"/>
          <w:rFonts w:ascii="Arial" w:hAnsi="Arial" w:cs="Arial"/>
        </w:rPr>
        <w:footnoteRef/>
      </w:r>
      <w:r w:rsidRPr="006F6C2E">
        <w:rPr>
          <w:rFonts w:ascii="Arial" w:hAnsi="Arial" w:cs="Arial"/>
        </w:rPr>
        <w:t xml:space="preserve"> See</w:t>
      </w:r>
      <w:r w:rsidRPr="006F6C2E">
        <w:rPr>
          <w:rFonts w:ascii="Arial" w:hAnsi="Arial" w:cs="Arial"/>
          <w:i/>
        </w:rPr>
        <w:t xml:space="preserve"> Mobile Telephone Networks (Pty) Ltd v Commissioner for the South African Revenue Service</w:t>
      </w:r>
      <w:r w:rsidRPr="006F6C2E">
        <w:rPr>
          <w:rFonts w:ascii="Arial" w:hAnsi="Arial" w:cs="Arial"/>
        </w:rPr>
        <w:t xml:space="preserve"> [2022] ZASCA 142; [2023] 1</w:t>
      </w:r>
      <w:r>
        <w:rPr>
          <w:rFonts w:ascii="Arial" w:hAnsi="Arial" w:cs="Arial"/>
        </w:rPr>
        <w:t xml:space="preserve"> </w:t>
      </w:r>
      <w:r w:rsidRPr="006F6C2E">
        <w:rPr>
          <w:rFonts w:ascii="Arial" w:hAnsi="Arial" w:cs="Arial"/>
        </w:rPr>
        <w:t>All SA 330 (SCA); 2023 (1) SA 420 (SCA); 85 SATC 235 para</w:t>
      </w:r>
      <w:r>
        <w:rPr>
          <w:rFonts w:ascii="Arial" w:hAnsi="Arial" w:cs="Arial"/>
        </w:rPr>
        <w:t>s</w:t>
      </w:r>
      <w:r w:rsidRPr="006F6C2E">
        <w:rPr>
          <w:rFonts w:ascii="Arial" w:hAnsi="Arial" w:cs="Arial"/>
        </w:rPr>
        <w:t xml:space="preserve"> 17 </w:t>
      </w:r>
      <w:r>
        <w:rPr>
          <w:rFonts w:ascii="Arial" w:hAnsi="Arial" w:cs="Arial"/>
        </w:rPr>
        <w:t>and</w:t>
      </w:r>
      <w:r w:rsidRPr="006F6C2E">
        <w:rPr>
          <w:rFonts w:ascii="Arial" w:hAnsi="Arial" w:cs="Arial"/>
        </w:rPr>
        <w:t xml:space="preserve"> 27.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937589861"/>
      <w:docPartObj>
        <w:docPartGallery w:val="Page Numbers (Top of Page)"/>
        <w:docPartUnique/>
      </w:docPartObj>
    </w:sdtPr>
    <w:sdtEndPr>
      <w:rPr>
        <w:noProof/>
      </w:rPr>
    </w:sdtEndPr>
    <w:sdtContent>
      <w:p w14:paraId="42B76706" w14:textId="761AF461" w:rsidR="00FC45E9" w:rsidRPr="00C04DFD" w:rsidRDefault="00FC45E9">
        <w:pPr>
          <w:pStyle w:val="Header"/>
          <w:jc w:val="right"/>
          <w:rPr>
            <w:rFonts w:ascii="Arial" w:hAnsi="Arial" w:cs="Arial"/>
          </w:rPr>
        </w:pPr>
        <w:r w:rsidRPr="00C04DFD">
          <w:rPr>
            <w:rFonts w:ascii="Arial" w:hAnsi="Arial" w:cs="Arial"/>
          </w:rPr>
          <w:fldChar w:fldCharType="begin"/>
        </w:r>
        <w:r w:rsidRPr="00C04DFD">
          <w:rPr>
            <w:rFonts w:ascii="Arial" w:hAnsi="Arial" w:cs="Arial"/>
          </w:rPr>
          <w:instrText xml:space="preserve"> PAGE   \* MERGEFORMAT </w:instrText>
        </w:r>
        <w:r w:rsidRPr="00C04DFD">
          <w:rPr>
            <w:rFonts w:ascii="Arial" w:hAnsi="Arial" w:cs="Arial"/>
          </w:rPr>
          <w:fldChar w:fldCharType="separate"/>
        </w:r>
        <w:r w:rsidR="006D6A80">
          <w:rPr>
            <w:rFonts w:ascii="Arial" w:hAnsi="Arial" w:cs="Arial"/>
            <w:noProof/>
          </w:rPr>
          <w:t>20</w:t>
        </w:r>
        <w:r w:rsidRPr="00C04DFD">
          <w:rPr>
            <w:rFonts w:ascii="Arial" w:hAnsi="Arial" w:cs="Arial"/>
            <w:noProof/>
          </w:rPr>
          <w:fldChar w:fldCharType="end"/>
        </w:r>
      </w:p>
    </w:sdtContent>
  </w:sdt>
  <w:p w14:paraId="27D6BBE1" w14:textId="77777777" w:rsidR="00FC45E9" w:rsidRDefault="00FC45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41F24"/>
    <w:multiLevelType w:val="hybridMultilevel"/>
    <w:tmpl w:val="AA7A99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49"/>
    <w:rsid w:val="0000626E"/>
    <w:rsid w:val="00007749"/>
    <w:rsid w:val="00010F5C"/>
    <w:rsid w:val="000111ED"/>
    <w:rsid w:val="00013E7F"/>
    <w:rsid w:val="00015DD7"/>
    <w:rsid w:val="000211CE"/>
    <w:rsid w:val="00022869"/>
    <w:rsid w:val="0004458A"/>
    <w:rsid w:val="00050668"/>
    <w:rsid w:val="000513D7"/>
    <w:rsid w:val="000550FB"/>
    <w:rsid w:val="000554EA"/>
    <w:rsid w:val="00057881"/>
    <w:rsid w:val="000579D1"/>
    <w:rsid w:val="000617FC"/>
    <w:rsid w:val="00066980"/>
    <w:rsid w:val="00074279"/>
    <w:rsid w:val="00075E37"/>
    <w:rsid w:val="00082BE8"/>
    <w:rsid w:val="00094563"/>
    <w:rsid w:val="000955A6"/>
    <w:rsid w:val="000A63AB"/>
    <w:rsid w:val="000A6E5A"/>
    <w:rsid w:val="000B23BA"/>
    <w:rsid w:val="000B5438"/>
    <w:rsid w:val="000C2862"/>
    <w:rsid w:val="000E0BBD"/>
    <w:rsid w:val="000E2552"/>
    <w:rsid w:val="000E2FE3"/>
    <w:rsid w:val="000E69AA"/>
    <w:rsid w:val="000F5AF0"/>
    <w:rsid w:val="001119F6"/>
    <w:rsid w:val="00114E09"/>
    <w:rsid w:val="001245FF"/>
    <w:rsid w:val="00127273"/>
    <w:rsid w:val="001342E4"/>
    <w:rsid w:val="00150971"/>
    <w:rsid w:val="001519B4"/>
    <w:rsid w:val="00155D7E"/>
    <w:rsid w:val="00162E34"/>
    <w:rsid w:val="00165F2D"/>
    <w:rsid w:val="001667F6"/>
    <w:rsid w:val="00171243"/>
    <w:rsid w:val="00182449"/>
    <w:rsid w:val="001839ED"/>
    <w:rsid w:val="00185118"/>
    <w:rsid w:val="00185225"/>
    <w:rsid w:val="00187E30"/>
    <w:rsid w:val="001904BA"/>
    <w:rsid w:val="001A0AF6"/>
    <w:rsid w:val="001A7B2F"/>
    <w:rsid w:val="001A7CF9"/>
    <w:rsid w:val="001B2B55"/>
    <w:rsid w:val="001C7386"/>
    <w:rsid w:val="001D5D06"/>
    <w:rsid w:val="001D5EDF"/>
    <w:rsid w:val="001D7C8E"/>
    <w:rsid w:val="001E478E"/>
    <w:rsid w:val="001E4A95"/>
    <w:rsid w:val="001E66E2"/>
    <w:rsid w:val="001F4E96"/>
    <w:rsid w:val="00202293"/>
    <w:rsid w:val="00202D47"/>
    <w:rsid w:val="00204B78"/>
    <w:rsid w:val="00205C6A"/>
    <w:rsid w:val="00211D38"/>
    <w:rsid w:val="0022046B"/>
    <w:rsid w:val="00224EB4"/>
    <w:rsid w:val="00230D2B"/>
    <w:rsid w:val="002317A4"/>
    <w:rsid w:val="00232028"/>
    <w:rsid w:val="002429D1"/>
    <w:rsid w:val="00255896"/>
    <w:rsid w:val="0025741F"/>
    <w:rsid w:val="00265C2E"/>
    <w:rsid w:val="002732F5"/>
    <w:rsid w:val="00274DEE"/>
    <w:rsid w:val="00284222"/>
    <w:rsid w:val="0028552B"/>
    <w:rsid w:val="0028770D"/>
    <w:rsid w:val="0029039D"/>
    <w:rsid w:val="002927F8"/>
    <w:rsid w:val="002A1ABD"/>
    <w:rsid w:val="002A4771"/>
    <w:rsid w:val="002A5319"/>
    <w:rsid w:val="002A5FEC"/>
    <w:rsid w:val="002A64CA"/>
    <w:rsid w:val="002A6905"/>
    <w:rsid w:val="002A711C"/>
    <w:rsid w:val="002B1BF4"/>
    <w:rsid w:val="002B2298"/>
    <w:rsid w:val="002B3C73"/>
    <w:rsid w:val="002C7C68"/>
    <w:rsid w:val="002D1EA1"/>
    <w:rsid w:val="002D28EA"/>
    <w:rsid w:val="002D32A8"/>
    <w:rsid w:val="002D32E7"/>
    <w:rsid w:val="002D3901"/>
    <w:rsid w:val="002D4CFD"/>
    <w:rsid w:val="002D6DB2"/>
    <w:rsid w:val="002E2C5C"/>
    <w:rsid w:val="002F15CB"/>
    <w:rsid w:val="002F4320"/>
    <w:rsid w:val="00302027"/>
    <w:rsid w:val="003030C8"/>
    <w:rsid w:val="0030409D"/>
    <w:rsid w:val="0030428B"/>
    <w:rsid w:val="00312235"/>
    <w:rsid w:val="0031632D"/>
    <w:rsid w:val="00322067"/>
    <w:rsid w:val="0032666F"/>
    <w:rsid w:val="003318A8"/>
    <w:rsid w:val="00347849"/>
    <w:rsid w:val="003504EE"/>
    <w:rsid w:val="00353016"/>
    <w:rsid w:val="00364C16"/>
    <w:rsid w:val="003708F4"/>
    <w:rsid w:val="003721CC"/>
    <w:rsid w:val="00373400"/>
    <w:rsid w:val="003746CA"/>
    <w:rsid w:val="00396136"/>
    <w:rsid w:val="00397565"/>
    <w:rsid w:val="003A31F5"/>
    <w:rsid w:val="003A3211"/>
    <w:rsid w:val="003A4711"/>
    <w:rsid w:val="003C262B"/>
    <w:rsid w:val="003C3725"/>
    <w:rsid w:val="003C6560"/>
    <w:rsid w:val="003C6ECA"/>
    <w:rsid w:val="003D4581"/>
    <w:rsid w:val="003D5F66"/>
    <w:rsid w:val="003D7515"/>
    <w:rsid w:val="003D7F37"/>
    <w:rsid w:val="003E2448"/>
    <w:rsid w:val="003E609C"/>
    <w:rsid w:val="00401131"/>
    <w:rsid w:val="00402A95"/>
    <w:rsid w:val="00410741"/>
    <w:rsid w:val="004109B2"/>
    <w:rsid w:val="00415929"/>
    <w:rsid w:val="00422211"/>
    <w:rsid w:val="00422B4E"/>
    <w:rsid w:val="0044234E"/>
    <w:rsid w:val="004537DC"/>
    <w:rsid w:val="00454D29"/>
    <w:rsid w:val="004560AE"/>
    <w:rsid w:val="004663C5"/>
    <w:rsid w:val="00467347"/>
    <w:rsid w:val="0049380B"/>
    <w:rsid w:val="00496908"/>
    <w:rsid w:val="004A5B43"/>
    <w:rsid w:val="004A6149"/>
    <w:rsid w:val="004A7BD9"/>
    <w:rsid w:val="004B72A9"/>
    <w:rsid w:val="004C15BB"/>
    <w:rsid w:val="004C7FB3"/>
    <w:rsid w:val="004D2162"/>
    <w:rsid w:val="004D319C"/>
    <w:rsid w:val="004D4CE8"/>
    <w:rsid w:val="004E0CAB"/>
    <w:rsid w:val="004E1FEF"/>
    <w:rsid w:val="004E3671"/>
    <w:rsid w:val="004F5048"/>
    <w:rsid w:val="004F70CA"/>
    <w:rsid w:val="00512F6E"/>
    <w:rsid w:val="005210DB"/>
    <w:rsid w:val="00521E76"/>
    <w:rsid w:val="0052532F"/>
    <w:rsid w:val="0052669C"/>
    <w:rsid w:val="005354FA"/>
    <w:rsid w:val="00536A4E"/>
    <w:rsid w:val="00536A80"/>
    <w:rsid w:val="00540F41"/>
    <w:rsid w:val="0054455D"/>
    <w:rsid w:val="00544F09"/>
    <w:rsid w:val="005458ED"/>
    <w:rsid w:val="005468CE"/>
    <w:rsid w:val="00553360"/>
    <w:rsid w:val="005573C7"/>
    <w:rsid w:val="005649E6"/>
    <w:rsid w:val="00570BF7"/>
    <w:rsid w:val="00576113"/>
    <w:rsid w:val="00581355"/>
    <w:rsid w:val="005842B7"/>
    <w:rsid w:val="005A12A7"/>
    <w:rsid w:val="005C0850"/>
    <w:rsid w:val="005C508C"/>
    <w:rsid w:val="005C5312"/>
    <w:rsid w:val="005D57DF"/>
    <w:rsid w:val="005F0361"/>
    <w:rsid w:val="005F77B4"/>
    <w:rsid w:val="00603371"/>
    <w:rsid w:val="006046A3"/>
    <w:rsid w:val="00605281"/>
    <w:rsid w:val="0060751C"/>
    <w:rsid w:val="006166BF"/>
    <w:rsid w:val="006170E4"/>
    <w:rsid w:val="00617E52"/>
    <w:rsid w:val="006211BE"/>
    <w:rsid w:val="00623783"/>
    <w:rsid w:val="006246AF"/>
    <w:rsid w:val="00625102"/>
    <w:rsid w:val="00625742"/>
    <w:rsid w:val="00630681"/>
    <w:rsid w:val="006312E7"/>
    <w:rsid w:val="00633227"/>
    <w:rsid w:val="00634144"/>
    <w:rsid w:val="006448EF"/>
    <w:rsid w:val="006465CF"/>
    <w:rsid w:val="00651A9C"/>
    <w:rsid w:val="00664133"/>
    <w:rsid w:val="00671FF2"/>
    <w:rsid w:val="00672B42"/>
    <w:rsid w:val="006807A7"/>
    <w:rsid w:val="006832CE"/>
    <w:rsid w:val="006A7BC4"/>
    <w:rsid w:val="006B3902"/>
    <w:rsid w:val="006B7536"/>
    <w:rsid w:val="006D6A80"/>
    <w:rsid w:val="006E29CB"/>
    <w:rsid w:val="0070147F"/>
    <w:rsid w:val="00705382"/>
    <w:rsid w:val="007163B1"/>
    <w:rsid w:val="0072245B"/>
    <w:rsid w:val="00725961"/>
    <w:rsid w:val="00735D84"/>
    <w:rsid w:val="00736AF6"/>
    <w:rsid w:val="007411CB"/>
    <w:rsid w:val="0074721E"/>
    <w:rsid w:val="007474DC"/>
    <w:rsid w:val="00751491"/>
    <w:rsid w:val="00753C49"/>
    <w:rsid w:val="007540D5"/>
    <w:rsid w:val="00754A78"/>
    <w:rsid w:val="0077360C"/>
    <w:rsid w:val="007759FF"/>
    <w:rsid w:val="007801E0"/>
    <w:rsid w:val="0078208D"/>
    <w:rsid w:val="00786C8D"/>
    <w:rsid w:val="007915C5"/>
    <w:rsid w:val="00793F37"/>
    <w:rsid w:val="00796B4F"/>
    <w:rsid w:val="007A1ADF"/>
    <w:rsid w:val="007B2327"/>
    <w:rsid w:val="007C2CBD"/>
    <w:rsid w:val="007C6112"/>
    <w:rsid w:val="007D0F72"/>
    <w:rsid w:val="007D64AB"/>
    <w:rsid w:val="007E1191"/>
    <w:rsid w:val="007E14C6"/>
    <w:rsid w:val="007E23B1"/>
    <w:rsid w:val="007E79B8"/>
    <w:rsid w:val="007F30EE"/>
    <w:rsid w:val="0080286F"/>
    <w:rsid w:val="008032E7"/>
    <w:rsid w:val="00811248"/>
    <w:rsid w:val="008222EF"/>
    <w:rsid w:val="008230C2"/>
    <w:rsid w:val="0083072E"/>
    <w:rsid w:val="008362F4"/>
    <w:rsid w:val="00843C7D"/>
    <w:rsid w:val="00860F1E"/>
    <w:rsid w:val="0086157D"/>
    <w:rsid w:val="0086653F"/>
    <w:rsid w:val="00866A85"/>
    <w:rsid w:val="008679E4"/>
    <w:rsid w:val="00875653"/>
    <w:rsid w:val="00881355"/>
    <w:rsid w:val="00884634"/>
    <w:rsid w:val="008852BE"/>
    <w:rsid w:val="00885422"/>
    <w:rsid w:val="008865A5"/>
    <w:rsid w:val="00894C19"/>
    <w:rsid w:val="008959D3"/>
    <w:rsid w:val="008B088A"/>
    <w:rsid w:val="008B795B"/>
    <w:rsid w:val="008B7DC1"/>
    <w:rsid w:val="008C42CF"/>
    <w:rsid w:val="008D26FF"/>
    <w:rsid w:val="008D71E2"/>
    <w:rsid w:val="008E065A"/>
    <w:rsid w:val="008E2DB1"/>
    <w:rsid w:val="008E31D1"/>
    <w:rsid w:val="008E5FFA"/>
    <w:rsid w:val="008E7155"/>
    <w:rsid w:val="008F0F39"/>
    <w:rsid w:val="008F6043"/>
    <w:rsid w:val="00903431"/>
    <w:rsid w:val="00904EEE"/>
    <w:rsid w:val="00906DA8"/>
    <w:rsid w:val="00910C88"/>
    <w:rsid w:val="0091598D"/>
    <w:rsid w:val="0091598E"/>
    <w:rsid w:val="00915E2A"/>
    <w:rsid w:val="0092082A"/>
    <w:rsid w:val="009219F4"/>
    <w:rsid w:val="00925BE7"/>
    <w:rsid w:val="00937952"/>
    <w:rsid w:val="009404F9"/>
    <w:rsid w:val="00941705"/>
    <w:rsid w:val="00944085"/>
    <w:rsid w:val="00944AEC"/>
    <w:rsid w:val="00953756"/>
    <w:rsid w:val="00955FE3"/>
    <w:rsid w:val="00963B83"/>
    <w:rsid w:val="009668AF"/>
    <w:rsid w:val="00973D98"/>
    <w:rsid w:val="009756C9"/>
    <w:rsid w:val="00975915"/>
    <w:rsid w:val="0098078B"/>
    <w:rsid w:val="00980F65"/>
    <w:rsid w:val="0098108E"/>
    <w:rsid w:val="0098198D"/>
    <w:rsid w:val="00991275"/>
    <w:rsid w:val="009956D2"/>
    <w:rsid w:val="009B327E"/>
    <w:rsid w:val="009B5113"/>
    <w:rsid w:val="009D0585"/>
    <w:rsid w:val="009D11BF"/>
    <w:rsid w:val="009D7534"/>
    <w:rsid w:val="009E5A43"/>
    <w:rsid w:val="009E6D1C"/>
    <w:rsid w:val="009F1F31"/>
    <w:rsid w:val="009F5756"/>
    <w:rsid w:val="00A001AD"/>
    <w:rsid w:val="00A02953"/>
    <w:rsid w:val="00A049A2"/>
    <w:rsid w:val="00A10BEF"/>
    <w:rsid w:val="00A1148A"/>
    <w:rsid w:val="00A14218"/>
    <w:rsid w:val="00A15E31"/>
    <w:rsid w:val="00A177A8"/>
    <w:rsid w:val="00A220A5"/>
    <w:rsid w:val="00A23AE0"/>
    <w:rsid w:val="00A34A6C"/>
    <w:rsid w:val="00A37F1C"/>
    <w:rsid w:val="00A439A9"/>
    <w:rsid w:val="00A45918"/>
    <w:rsid w:val="00A47252"/>
    <w:rsid w:val="00A51838"/>
    <w:rsid w:val="00A639AD"/>
    <w:rsid w:val="00A66C63"/>
    <w:rsid w:val="00A70B91"/>
    <w:rsid w:val="00A77F5E"/>
    <w:rsid w:val="00A8165A"/>
    <w:rsid w:val="00A9386F"/>
    <w:rsid w:val="00A952EB"/>
    <w:rsid w:val="00A97A3B"/>
    <w:rsid w:val="00AA474B"/>
    <w:rsid w:val="00AB488D"/>
    <w:rsid w:val="00AC42FF"/>
    <w:rsid w:val="00AC45AF"/>
    <w:rsid w:val="00AC6BDB"/>
    <w:rsid w:val="00AD2978"/>
    <w:rsid w:val="00AD5D22"/>
    <w:rsid w:val="00AD75E6"/>
    <w:rsid w:val="00AD7E24"/>
    <w:rsid w:val="00AE3AB3"/>
    <w:rsid w:val="00AE7054"/>
    <w:rsid w:val="00AF47E9"/>
    <w:rsid w:val="00AF778B"/>
    <w:rsid w:val="00B03CC9"/>
    <w:rsid w:val="00B15DAF"/>
    <w:rsid w:val="00B20DF1"/>
    <w:rsid w:val="00B27196"/>
    <w:rsid w:val="00B31ADE"/>
    <w:rsid w:val="00B34E01"/>
    <w:rsid w:val="00B54512"/>
    <w:rsid w:val="00B54E54"/>
    <w:rsid w:val="00B562C3"/>
    <w:rsid w:val="00B646C7"/>
    <w:rsid w:val="00B664C3"/>
    <w:rsid w:val="00B67691"/>
    <w:rsid w:val="00B76F76"/>
    <w:rsid w:val="00B77855"/>
    <w:rsid w:val="00B80064"/>
    <w:rsid w:val="00B84499"/>
    <w:rsid w:val="00B84AA4"/>
    <w:rsid w:val="00B8573B"/>
    <w:rsid w:val="00B86DFE"/>
    <w:rsid w:val="00B94930"/>
    <w:rsid w:val="00B958B6"/>
    <w:rsid w:val="00BA6722"/>
    <w:rsid w:val="00BB0605"/>
    <w:rsid w:val="00BB0CCE"/>
    <w:rsid w:val="00BB195F"/>
    <w:rsid w:val="00BB6CE0"/>
    <w:rsid w:val="00BC6BA0"/>
    <w:rsid w:val="00BC6EF3"/>
    <w:rsid w:val="00BC797C"/>
    <w:rsid w:val="00BD1342"/>
    <w:rsid w:val="00BD32DC"/>
    <w:rsid w:val="00BD71FE"/>
    <w:rsid w:val="00BE0747"/>
    <w:rsid w:val="00BF18A6"/>
    <w:rsid w:val="00BF1DBB"/>
    <w:rsid w:val="00C04DFD"/>
    <w:rsid w:val="00C06659"/>
    <w:rsid w:val="00C15862"/>
    <w:rsid w:val="00C17EC9"/>
    <w:rsid w:val="00C2088C"/>
    <w:rsid w:val="00C223AC"/>
    <w:rsid w:val="00C313A9"/>
    <w:rsid w:val="00C31AC9"/>
    <w:rsid w:val="00C411DB"/>
    <w:rsid w:val="00C43EB7"/>
    <w:rsid w:val="00C53F4F"/>
    <w:rsid w:val="00C65301"/>
    <w:rsid w:val="00C67E49"/>
    <w:rsid w:val="00C7618D"/>
    <w:rsid w:val="00C82372"/>
    <w:rsid w:val="00C83BB2"/>
    <w:rsid w:val="00C853EC"/>
    <w:rsid w:val="00C86029"/>
    <w:rsid w:val="00C92772"/>
    <w:rsid w:val="00C95C24"/>
    <w:rsid w:val="00CA2C4D"/>
    <w:rsid w:val="00CA70AC"/>
    <w:rsid w:val="00CB50A9"/>
    <w:rsid w:val="00CB576A"/>
    <w:rsid w:val="00CC07B7"/>
    <w:rsid w:val="00CC4831"/>
    <w:rsid w:val="00CC5D7F"/>
    <w:rsid w:val="00CD0988"/>
    <w:rsid w:val="00CD520E"/>
    <w:rsid w:val="00CD5421"/>
    <w:rsid w:val="00CD6E1E"/>
    <w:rsid w:val="00CE7361"/>
    <w:rsid w:val="00D01310"/>
    <w:rsid w:val="00D030B4"/>
    <w:rsid w:val="00D0367B"/>
    <w:rsid w:val="00D047B8"/>
    <w:rsid w:val="00D0578C"/>
    <w:rsid w:val="00D06C4D"/>
    <w:rsid w:val="00D22396"/>
    <w:rsid w:val="00D22F4A"/>
    <w:rsid w:val="00D2358D"/>
    <w:rsid w:val="00D272C7"/>
    <w:rsid w:val="00D37626"/>
    <w:rsid w:val="00D40F8B"/>
    <w:rsid w:val="00D410FF"/>
    <w:rsid w:val="00D47743"/>
    <w:rsid w:val="00D47F8D"/>
    <w:rsid w:val="00D5511A"/>
    <w:rsid w:val="00D567A2"/>
    <w:rsid w:val="00D64434"/>
    <w:rsid w:val="00D70663"/>
    <w:rsid w:val="00D70E50"/>
    <w:rsid w:val="00D903DF"/>
    <w:rsid w:val="00DA1B5D"/>
    <w:rsid w:val="00DA3BCA"/>
    <w:rsid w:val="00DA655B"/>
    <w:rsid w:val="00DB67E9"/>
    <w:rsid w:val="00DC4EE7"/>
    <w:rsid w:val="00DC5819"/>
    <w:rsid w:val="00DD2215"/>
    <w:rsid w:val="00DD29DF"/>
    <w:rsid w:val="00DD36B7"/>
    <w:rsid w:val="00DD6BC2"/>
    <w:rsid w:val="00DE6035"/>
    <w:rsid w:val="00DF0E05"/>
    <w:rsid w:val="00DF1846"/>
    <w:rsid w:val="00E009CF"/>
    <w:rsid w:val="00E045A4"/>
    <w:rsid w:val="00E07DDA"/>
    <w:rsid w:val="00E1078C"/>
    <w:rsid w:val="00E15DE5"/>
    <w:rsid w:val="00E17248"/>
    <w:rsid w:val="00E218DF"/>
    <w:rsid w:val="00E2732F"/>
    <w:rsid w:val="00E27352"/>
    <w:rsid w:val="00E32659"/>
    <w:rsid w:val="00E40759"/>
    <w:rsid w:val="00E52CB7"/>
    <w:rsid w:val="00E54994"/>
    <w:rsid w:val="00E55082"/>
    <w:rsid w:val="00E66922"/>
    <w:rsid w:val="00E76500"/>
    <w:rsid w:val="00E834E0"/>
    <w:rsid w:val="00E94F6E"/>
    <w:rsid w:val="00E97D32"/>
    <w:rsid w:val="00EA6650"/>
    <w:rsid w:val="00EB16FF"/>
    <w:rsid w:val="00EB1B8C"/>
    <w:rsid w:val="00EB5A37"/>
    <w:rsid w:val="00EB6157"/>
    <w:rsid w:val="00ED5C67"/>
    <w:rsid w:val="00EE0C40"/>
    <w:rsid w:val="00EE5F55"/>
    <w:rsid w:val="00EF52E0"/>
    <w:rsid w:val="00F02403"/>
    <w:rsid w:val="00F024B4"/>
    <w:rsid w:val="00F03099"/>
    <w:rsid w:val="00F075F3"/>
    <w:rsid w:val="00F22ACA"/>
    <w:rsid w:val="00F24EEC"/>
    <w:rsid w:val="00F33EAE"/>
    <w:rsid w:val="00F3479E"/>
    <w:rsid w:val="00F34A11"/>
    <w:rsid w:val="00F41B1C"/>
    <w:rsid w:val="00F45200"/>
    <w:rsid w:val="00F50781"/>
    <w:rsid w:val="00F526CC"/>
    <w:rsid w:val="00F56EBF"/>
    <w:rsid w:val="00F61085"/>
    <w:rsid w:val="00F71BF8"/>
    <w:rsid w:val="00F730F5"/>
    <w:rsid w:val="00F776D7"/>
    <w:rsid w:val="00F81A64"/>
    <w:rsid w:val="00F820F1"/>
    <w:rsid w:val="00F94D13"/>
    <w:rsid w:val="00F97019"/>
    <w:rsid w:val="00FA088F"/>
    <w:rsid w:val="00FA1EC6"/>
    <w:rsid w:val="00FA2E05"/>
    <w:rsid w:val="00FA64D8"/>
    <w:rsid w:val="00FA64EE"/>
    <w:rsid w:val="00FA7D7F"/>
    <w:rsid w:val="00FB3510"/>
    <w:rsid w:val="00FC45E9"/>
    <w:rsid w:val="00FC47D9"/>
    <w:rsid w:val="00FC7815"/>
    <w:rsid w:val="00FD0821"/>
    <w:rsid w:val="00FE20EF"/>
    <w:rsid w:val="00FF0660"/>
    <w:rsid w:val="00FF252B"/>
    <w:rsid w:val="00FF4F1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4618F"/>
  <w15:chartTrackingRefBased/>
  <w15:docId w15:val="{2C0BE234-A526-48ED-8A26-F20976E9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449"/>
    <w:pPr>
      <w:spacing w:after="0" w:line="360" w:lineRule="auto"/>
      <w:jc w:val="both"/>
    </w:pPr>
    <w:rPr>
      <w:rFonts w:ascii="Times New Roman" w:eastAsia="Times New Roman" w:hAnsi="Times New Roman" w:cs="Times New Roman"/>
      <w:sz w:val="24"/>
      <w:szCs w:val="24"/>
      <w:lang w:val="en-GB" w:eastAsia="en-ZA"/>
    </w:rPr>
  </w:style>
  <w:style w:type="paragraph" w:styleId="Heading2">
    <w:name w:val="heading 2"/>
    <w:basedOn w:val="Normal"/>
    <w:next w:val="Normal"/>
    <w:link w:val="Heading2Char"/>
    <w:uiPriority w:val="9"/>
    <w:semiHidden/>
    <w:unhideWhenUsed/>
    <w:qFormat/>
    <w:rsid w:val="00B31A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77F5E"/>
    <w:pPr>
      <w:keepNext/>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82449"/>
    <w:rPr>
      <w:sz w:val="20"/>
      <w:szCs w:val="20"/>
    </w:rPr>
  </w:style>
  <w:style w:type="character" w:customStyle="1" w:styleId="FootnoteTextChar">
    <w:name w:val="Footnote Text Char"/>
    <w:basedOn w:val="DefaultParagraphFont"/>
    <w:link w:val="FootnoteText"/>
    <w:uiPriority w:val="99"/>
    <w:rsid w:val="00182449"/>
    <w:rPr>
      <w:rFonts w:ascii="Times New Roman" w:eastAsia="Times New Roman" w:hAnsi="Times New Roman" w:cs="Times New Roman"/>
      <w:sz w:val="20"/>
      <w:szCs w:val="20"/>
      <w:lang w:val="en-GB" w:eastAsia="en-ZA"/>
    </w:rPr>
  </w:style>
  <w:style w:type="character" w:styleId="FootnoteReference">
    <w:name w:val="footnote reference"/>
    <w:basedOn w:val="DefaultParagraphFont"/>
    <w:uiPriority w:val="99"/>
    <w:semiHidden/>
    <w:unhideWhenUsed/>
    <w:rsid w:val="00182449"/>
    <w:rPr>
      <w:vertAlign w:val="superscript"/>
    </w:rPr>
  </w:style>
  <w:style w:type="paragraph" w:styleId="ListParagraph">
    <w:name w:val="List Paragraph"/>
    <w:basedOn w:val="Normal"/>
    <w:uiPriority w:val="34"/>
    <w:qFormat/>
    <w:rsid w:val="004537DC"/>
    <w:pPr>
      <w:ind w:left="720"/>
      <w:contextualSpacing/>
    </w:pPr>
  </w:style>
  <w:style w:type="character" w:styleId="Hyperlink">
    <w:name w:val="Hyperlink"/>
    <w:basedOn w:val="DefaultParagraphFont"/>
    <w:uiPriority w:val="99"/>
    <w:semiHidden/>
    <w:unhideWhenUsed/>
    <w:rsid w:val="00F526CC"/>
    <w:rPr>
      <w:color w:val="0000FF"/>
      <w:u w:val="single"/>
    </w:rPr>
  </w:style>
  <w:style w:type="character" w:customStyle="1" w:styleId="Heading3Char">
    <w:name w:val="Heading 3 Char"/>
    <w:basedOn w:val="DefaultParagraphFont"/>
    <w:link w:val="Heading3"/>
    <w:rsid w:val="00A77F5E"/>
    <w:rPr>
      <w:rFonts w:ascii="Arial" w:eastAsia="Times New Roman" w:hAnsi="Arial" w:cs="Arial"/>
      <w:i/>
      <w:iCs/>
      <w:sz w:val="28"/>
      <w:szCs w:val="24"/>
      <w:lang w:val="en-GB" w:eastAsia="en-ZA"/>
    </w:rPr>
  </w:style>
  <w:style w:type="character" w:customStyle="1" w:styleId="Heading2Char">
    <w:name w:val="Heading 2 Char"/>
    <w:basedOn w:val="DefaultParagraphFont"/>
    <w:link w:val="Heading2"/>
    <w:uiPriority w:val="9"/>
    <w:semiHidden/>
    <w:rsid w:val="00B31ADE"/>
    <w:rPr>
      <w:rFonts w:asciiTheme="majorHAnsi" w:eastAsiaTheme="majorEastAsia" w:hAnsiTheme="majorHAnsi" w:cstheme="majorBidi"/>
      <w:color w:val="2E74B5" w:themeColor="accent1" w:themeShade="BF"/>
      <w:sz w:val="26"/>
      <w:szCs w:val="26"/>
      <w:lang w:val="en-GB" w:eastAsia="en-ZA"/>
    </w:rPr>
  </w:style>
  <w:style w:type="character" w:styleId="CommentReference">
    <w:name w:val="annotation reference"/>
    <w:basedOn w:val="DefaultParagraphFont"/>
    <w:uiPriority w:val="99"/>
    <w:semiHidden/>
    <w:unhideWhenUsed/>
    <w:rsid w:val="00AC42FF"/>
    <w:rPr>
      <w:sz w:val="16"/>
      <w:szCs w:val="16"/>
    </w:rPr>
  </w:style>
  <w:style w:type="paragraph" w:styleId="CommentText">
    <w:name w:val="annotation text"/>
    <w:basedOn w:val="Normal"/>
    <w:link w:val="CommentTextChar"/>
    <w:uiPriority w:val="99"/>
    <w:unhideWhenUsed/>
    <w:rsid w:val="00AC42FF"/>
    <w:pPr>
      <w:spacing w:line="240" w:lineRule="auto"/>
    </w:pPr>
    <w:rPr>
      <w:sz w:val="20"/>
      <w:szCs w:val="20"/>
    </w:rPr>
  </w:style>
  <w:style w:type="character" w:customStyle="1" w:styleId="CommentTextChar">
    <w:name w:val="Comment Text Char"/>
    <w:basedOn w:val="DefaultParagraphFont"/>
    <w:link w:val="CommentText"/>
    <w:uiPriority w:val="99"/>
    <w:rsid w:val="00AC42FF"/>
    <w:rPr>
      <w:rFonts w:ascii="Times New Roman" w:eastAsia="Times New Roman" w:hAnsi="Times New Roman" w:cs="Times New Roman"/>
      <w:sz w:val="20"/>
      <w:szCs w:val="20"/>
      <w:lang w:val="en-GB" w:eastAsia="en-ZA"/>
    </w:rPr>
  </w:style>
  <w:style w:type="paragraph" w:styleId="CommentSubject">
    <w:name w:val="annotation subject"/>
    <w:basedOn w:val="CommentText"/>
    <w:next w:val="CommentText"/>
    <w:link w:val="CommentSubjectChar"/>
    <w:uiPriority w:val="99"/>
    <w:semiHidden/>
    <w:unhideWhenUsed/>
    <w:rsid w:val="00AC42FF"/>
    <w:rPr>
      <w:b/>
      <w:bCs/>
    </w:rPr>
  </w:style>
  <w:style w:type="character" w:customStyle="1" w:styleId="CommentSubjectChar">
    <w:name w:val="Comment Subject Char"/>
    <w:basedOn w:val="CommentTextChar"/>
    <w:link w:val="CommentSubject"/>
    <w:uiPriority w:val="99"/>
    <w:semiHidden/>
    <w:rsid w:val="00AC42FF"/>
    <w:rPr>
      <w:rFonts w:ascii="Times New Roman" w:eastAsia="Times New Roman" w:hAnsi="Times New Roman" w:cs="Times New Roman"/>
      <w:b/>
      <w:bCs/>
      <w:sz w:val="20"/>
      <w:szCs w:val="20"/>
      <w:lang w:val="en-GB" w:eastAsia="en-ZA"/>
    </w:rPr>
  </w:style>
  <w:style w:type="paragraph" w:styleId="BalloonText">
    <w:name w:val="Balloon Text"/>
    <w:basedOn w:val="Normal"/>
    <w:link w:val="BalloonTextChar"/>
    <w:uiPriority w:val="99"/>
    <w:semiHidden/>
    <w:unhideWhenUsed/>
    <w:rsid w:val="00AC42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2FF"/>
    <w:rPr>
      <w:rFonts w:ascii="Segoe UI" w:eastAsia="Times New Roman" w:hAnsi="Segoe UI" w:cs="Segoe UI"/>
      <w:sz w:val="18"/>
      <w:szCs w:val="18"/>
      <w:lang w:val="en-GB" w:eastAsia="en-ZA"/>
    </w:rPr>
  </w:style>
  <w:style w:type="paragraph" w:styleId="Revision">
    <w:name w:val="Revision"/>
    <w:hidden/>
    <w:uiPriority w:val="99"/>
    <w:semiHidden/>
    <w:rsid w:val="005C0850"/>
    <w:pPr>
      <w:spacing w:after="0" w:line="240" w:lineRule="auto"/>
    </w:pPr>
    <w:rPr>
      <w:rFonts w:ascii="Times New Roman" w:eastAsia="Times New Roman" w:hAnsi="Times New Roman" w:cs="Times New Roman"/>
      <w:sz w:val="24"/>
      <w:szCs w:val="24"/>
      <w:lang w:val="en-GB" w:eastAsia="en-ZA"/>
    </w:rPr>
  </w:style>
  <w:style w:type="paragraph" w:styleId="Header">
    <w:name w:val="header"/>
    <w:basedOn w:val="Normal"/>
    <w:link w:val="HeaderChar"/>
    <w:uiPriority w:val="99"/>
    <w:unhideWhenUsed/>
    <w:rsid w:val="00D410FF"/>
    <w:pPr>
      <w:tabs>
        <w:tab w:val="center" w:pos="4513"/>
        <w:tab w:val="right" w:pos="9026"/>
      </w:tabs>
      <w:spacing w:line="240" w:lineRule="auto"/>
    </w:pPr>
  </w:style>
  <w:style w:type="character" w:customStyle="1" w:styleId="HeaderChar">
    <w:name w:val="Header Char"/>
    <w:basedOn w:val="DefaultParagraphFont"/>
    <w:link w:val="Header"/>
    <w:uiPriority w:val="99"/>
    <w:rsid w:val="00D410FF"/>
    <w:rPr>
      <w:rFonts w:ascii="Times New Roman" w:eastAsia="Times New Roman" w:hAnsi="Times New Roman" w:cs="Times New Roman"/>
      <w:sz w:val="24"/>
      <w:szCs w:val="24"/>
      <w:lang w:val="en-GB" w:eastAsia="en-ZA"/>
    </w:rPr>
  </w:style>
  <w:style w:type="paragraph" w:styleId="Footer">
    <w:name w:val="footer"/>
    <w:basedOn w:val="Normal"/>
    <w:link w:val="FooterChar"/>
    <w:uiPriority w:val="99"/>
    <w:unhideWhenUsed/>
    <w:rsid w:val="00D410FF"/>
    <w:pPr>
      <w:tabs>
        <w:tab w:val="center" w:pos="4513"/>
        <w:tab w:val="right" w:pos="9026"/>
      </w:tabs>
      <w:spacing w:line="240" w:lineRule="auto"/>
    </w:pPr>
  </w:style>
  <w:style w:type="character" w:customStyle="1" w:styleId="FooterChar">
    <w:name w:val="Footer Char"/>
    <w:basedOn w:val="DefaultParagraphFont"/>
    <w:link w:val="Footer"/>
    <w:uiPriority w:val="99"/>
    <w:rsid w:val="00D410FF"/>
    <w:rPr>
      <w:rFonts w:ascii="Times New Roman" w:eastAsia="Times New Roman" w:hAnsi="Times New Roman" w:cs="Times New Roman"/>
      <w:sz w:val="24"/>
      <w:szCs w:val="24"/>
      <w:lang w:val="en-GB" w:eastAsia="en-ZA"/>
    </w:rPr>
  </w:style>
  <w:style w:type="paragraph" w:styleId="NormalWeb">
    <w:name w:val="Normal (Web)"/>
    <w:basedOn w:val="Normal"/>
    <w:uiPriority w:val="99"/>
    <w:unhideWhenUsed/>
    <w:rsid w:val="00F22ACA"/>
    <w:pPr>
      <w:spacing w:before="100" w:beforeAutospacing="1" w:after="100" w:afterAutospacing="1" w:line="240" w:lineRule="auto"/>
      <w:jc w:val="left"/>
    </w:pPr>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3178">
      <w:bodyDiv w:val="1"/>
      <w:marLeft w:val="0"/>
      <w:marRight w:val="0"/>
      <w:marTop w:val="0"/>
      <w:marBottom w:val="0"/>
      <w:divBdr>
        <w:top w:val="none" w:sz="0" w:space="0" w:color="auto"/>
        <w:left w:val="none" w:sz="0" w:space="0" w:color="auto"/>
        <w:bottom w:val="none" w:sz="0" w:space="0" w:color="auto"/>
        <w:right w:val="none" w:sz="0" w:space="0" w:color="auto"/>
      </w:divBdr>
    </w:div>
    <w:div w:id="443311342">
      <w:bodyDiv w:val="1"/>
      <w:marLeft w:val="0"/>
      <w:marRight w:val="0"/>
      <w:marTop w:val="0"/>
      <w:marBottom w:val="0"/>
      <w:divBdr>
        <w:top w:val="none" w:sz="0" w:space="0" w:color="auto"/>
        <w:left w:val="none" w:sz="0" w:space="0" w:color="auto"/>
        <w:bottom w:val="none" w:sz="0" w:space="0" w:color="auto"/>
        <w:right w:val="none" w:sz="0" w:space="0" w:color="auto"/>
      </w:divBdr>
    </w:div>
    <w:div w:id="138648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saflii.org/cgi-bin/LawCite?cit=1948%20%283%29%20SA%20353" TargetMode="External"/><Relationship Id="rId3" Type="http://schemas.openxmlformats.org/officeDocument/2006/relationships/hyperlink" Target="http://www.saflii.org/cgi-bin/LawCite?cit=%5b2009%5d%20ZASCA%20130" TargetMode="External"/><Relationship Id="rId7" Type="http://schemas.openxmlformats.org/officeDocument/2006/relationships/hyperlink" Target="http://www.saflii.org/za/cases/ZACC/1995/13.html" TargetMode="External"/><Relationship Id="rId2" Type="http://schemas.openxmlformats.org/officeDocument/2006/relationships/hyperlink" Target="http://www.saflii.org/cgi-bin/LawCite?cit=1983%20%284%29%20SA%20921" TargetMode="External"/><Relationship Id="rId1" Type="http://schemas.openxmlformats.org/officeDocument/2006/relationships/hyperlink" Target="http://www.saflii.org/cgi-bin/LawCite?cit=%5b2023%5d%20ZASCA%2028" TargetMode="External"/><Relationship Id="rId6" Type="http://schemas.openxmlformats.org/officeDocument/2006/relationships/hyperlink" Target="http://www.saflii.org/cgi-bin/LawCite?cit=1999%20%283%29%20SA%20296" TargetMode="External"/><Relationship Id="rId5" Type="http://schemas.openxmlformats.org/officeDocument/2006/relationships/hyperlink" Target="http://www.saflii.org/za/cases/ZASCA/1999/3.html" TargetMode="External"/><Relationship Id="rId4" Type="http://schemas.openxmlformats.org/officeDocument/2006/relationships/hyperlink" Target="http://www.saflii.org/cgi-bin/LawCite?cit=2010%20%283%29%20SA%203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25395-EEA7-4FA2-BA6D-6976971B7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6178</Words>
  <Characters>35219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Judge-V Ponnan</dc:creator>
  <cp:keywords/>
  <dc:description/>
  <cp:lastModifiedBy>Tshireleco Mabula</cp:lastModifiedBy>
  <cp:revision>2</cp:revision>
  <cp:lastPrinted>2023-11-08T06:15:00Z</cp:lastPrinted>
  <dcterms:created xsi:type="dcterms:W3CDTF">2023-11-08T10:21:00Z</dcterms:created>
  <dcterms:modified xsi:type="dcterms:W3CDTF">2023-11-08T10:21:00Z</dcterms:modified>
</cp:coreProperties>
</file>