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29" w:rsidRDefault="00B43029" w:rsidP="00B43029">
      <w:pPr>
        <w:rPr>
          <w:color w:val="FF0000"/>
          <w:u w:val="single"/>
          <w:lang w:val="en-ZA"/>
        </w:rPr>
      </w:pPr>
      <w:r>
        <w:rPr>
          <w:rFonts w:ascii="Arial" w:hAnsi="Arial" w:cs="Arial"/>
          <w:color w:val="FF0000"/>
        </w:rPr>
        <w:t>Editorial note: Certain information has been redacted from this judgment in compliance with the law.</w:t>
      </w:r>
    </w:p>
    <w:p w:rsidR="00AC1913" w:rsidRPr="007812C8" w:rsidRDefault="00AC1913" w:rsidP="00371869">
      <w:pPr>
        <w:rPr>
          <w:b/>
          <w:bCs/>
          <w:sz w:val="28"/>
          <w:szCs w:val="28"/>
        </w:rPr>
      </w:pPr>
    </w:p>
    <w:p w:rsidR="00AC1913" w:rsidRPr="007812C8" w:rsidRDefault="00AC1913" w:rsidP="00AC1913">
      <w:pPr>
        <w:jc w:val="center"/>
        <w:rPr>
          <w:b/>
          <w:bCs/>
          <w:sz w:val="28"/>
          <w:szCs w:val="28"/>
        </w:rPr>
      </w:pPr>
    </w:p>
    <w:p w:rsidR="005D47E0" w:rsidRDefault="005D47E0" w:rsidP="003A0AEE">
      <w:pPr>
        <w:jc w:val="center"/>
        <w:rPr>
          <w:b/>
          <w:bCs/>
          <w:sz w:val="28"/>
          <w:szCs w:val="28"/>
        </w:rPr>
      </w:pPr>
      <w:r w:rsidRPr="007812C8">
        <w:rPr>
          <w:noProof/>
          <w:sz w:val="28"/>
          <w:szCs w:val="28"/>
          <w:lang w:val="en-ZA" w:eastAsia="en-ZA"/>
        </w:rPr>
        <w:drawing>
          <wp:anchor distT="0" distB="0" distL="114300" distR="114300" simplePos="0" relativeHeight="251659264" behindDoc="0" locked="0" layoutInCell="1" allowOverlap="1" wp14:anchorId="6466BEE0" wp14:editId="54B57C14">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AC1913" w:rsidRPr="007812C8">
        <w:rPr>
          <w:b/>
          <w:bCs/>
          <w:sz w:val="28"/>
          <w:szCs w:val="28"/>
        </w:rPr>
        <w:t xml:space="preserve"> </w:t>
      </w:r>
    </w:p>
    <w:p w:rsidR="005D47E0" w:rsidRDefault="005D47E0" w:rsidP="005D47E0">
      <w:pPr>
        <w:rPr>
          <w:b/>
          <w:bCs/>
          <w:sz w:val="28"/>
          <w:szCs w:val="28"/>
        </w:rPr>
      </w:pPr>
    </w:p>
    <w:p w:rsidR="00AC1913" w:rsidRPr="007812C8" w:rsidRDefault="005D47E0" w:rsidP="003A0AEE">
      <w:pPr>
        <w:jc w:val="center"/>
        <w:rPr>
          <w:b/>
          <w:bCs/>
          <w:sz w:val="28"/>
          <w:szCs w:val="28"/>
        </w:rPr>
      </w:pPr>
      <w:r w:rsidRPr="005D47E0">
        <w:rPr>
          <w:b/>
          <w:bCs/>
          <w:sz w:val="28"/>
          <w:szCs w:val="28"/>
        </w:rPr>
        <w:t xml:space="preserve">THE SUPREME COURT </w:t>
      </w:r>
      <w:r w:rsidR="00AC1913" w:rsidRPr="007812C8">
        <w:rPr>
          <w:b/>
          <w:bCs/>
          <w:sz w:val="28"/>
          <w:szCs w:val="28"/>
        </w:rPr>
        <w:t>OF APPEAL OF SOUTH AFRICA</w:t>
      </w:r>
    </w:p>
    <w:p w:rsidR="00AC1913" w:rsidRPr="007812C8" w:rsidRDefault="00AC1913" w:rsidP="00814B86">
      <w:pPr>
        <w:pStyle w:val="Heading3"/>
        <w:jc w:val="center"/>
        <w:rPr>
          <w:rFonts w:ascii="Times New Roman" w:hAnsi="Times New Roman" w:cs="Times New Roman"/>
          <w:b/>
          <w:i w:val="0"/>
          <w:szCs w:val="28"/>
        </w:rPr>
      </w:pPr>
      <w:r w:rsidRPr="007812C8">
        <w:rPr>
          <w:rFonts w:ascii="Times New Roman" w:hAnsi="Times New Roman" w:cs="Times New Roman"/>
          <w:b/>
          <w:i w:val="0"/>
          <w:szCs w:val="28"/>
        </w:rPr>
        <w:t>JUDGMENT</w:t>
      </w:r>
    </w:p>
    <w:p w:rsidR="00AC1913" w:rsidRPr="007812C8" w:rsidRDefault="00A326F2" w:rsidP="00371869">
      <w:pPr>
        <w:spacing w:before="120"/>
        <w:jc w:val="right"/>
        <w:rPr>
          <w:b/>
          <w:sz w:val="28"/>
          <w:szCs w:val="28"/>
        </w:rPr>
      </w:pPr>
      <w:r>
        <w:rPr>
          <w:b/>
          <w:sz w:val="28"/>
          <w:szCs w:val="28"/>
        </w:rPr>
        <w:t xml:space="preserve">Not </w:t>
      </w:r>
      <w:r w:rsidR="00AC1913" w:rsidRPr="00A31A84">
        <w:rPr>
          <w:b/>
          <w:sz w:val="28"/>
          <w:szCs w:val="28"/>
        </w:rPr>
        <w:t>Reportable</w:t>
      </w:r>
    </w:p>
    <w:p w:rsidR="00AC1913" w:rsidRPr="008B7F75" w:rsidRDefault="00E729E6" w:rsidP="00371869">
      <w:pPr>
        <w:jc w:val="right"/>
        <w:rPr>
          <w:sz w:val="28"/>
          <w:szCs w:val="28"/>
        </w:rPr>
      </w:pPr>
      <w:r>
        <w:rPr>
          <w:sz w:val="28"/>
          <w:szCs w:val="28"/>
        </w:rPr>
        <w:t xml:space="preserve">Case </w:t>
      </w:r>
      <w:r w:rsidR="009B7C98" w:rsidRPr="00497034">
        <w:rPr>
          <w:sz w:val="28"/>
          <w:szCs w:val="28"/>
        </w:rPr>
        <w:t>N</w:t>
      </w:r>
      <w:r w:rsidRPr="00497034">
        <w:rPr>
          <w:sz w:val="28"/>
          <w:szCs w:val="28"/>
        </w:rPr>
        <w:t>o:</w:t>
      </w:r>
      <w:r w:rsidR="001076C1" w:rsidRPr="00497034">
        <w:rPr>
          <w:sz w:val="28"/>
          <w:szCs w:val="28"/>
        </w:rPr>
        <w:t xml:space="preserve"> </w:t>
      </w:r>
      <w:r w:rsidR="004E5CAD" w:rsidRPr="00497034">
        <w:rPr>
          <w:sz w:val="28"/>
          <w:szCs w:val="28"/>
        </w:rPr>
        <w:t>864</w:t>
      </w:r>
      <w:r w:rsidR="00AC1913" w:rsidRPr="002B7CE9">
        <w:rPr>
          <w:sz w:val="28"/>
          <w:szCs w:val="28"/>
        </w:rPr>
        <w:t>/</w:t>
      </w:r>
      <w:r w:rsidR="00873798" w:rsidRPr="008B7F75">
        <w:rPr>
          <w:sz w:val="28"/>
          <w:szCs w:val="28"/>
        </w:rPr>
        <w:t>20</w:t>
      </w:r>
      <w:r w:rsidR="00AC1913" w:rsidRPr="008B7F75">
        <w:rPr>
          <w:sz w:val="28"/>
          <w:szCs w:val="28"/>
        </w:rPr>
        <w:t>2</w:t>
      </w:r>
      <w:r w:rsidR="004E5CAD">
        <w:rPr>
          <w:sz w:val="28"/>
          <w:szCs w:val="28"/>
        </w:rPr>
        <w:t>2</w:t>
      </w:r>
    </w:p>
    <w:p w:rsidR="00AC1913" w:rsidRPr="008B7F75" w:rsidRDefault="00AC1913" w:rsidP="00371869">
      <w:pPr>
        <w:spacing w:line="240" w:lineRule="auto"/>
        <w:jc w:val="right"/>
        <w:rPr>
          <w:sz w:val="28"/>
          <w:szCs w:val="28"/>
        </w:rPr>
      </w:pPr>
    </w:p>
    <w:p w:rsidR="00AC1913" w:rsidRDefault="00AC1913" w:rsidP="00814B86">
      <w:pPr>
        <w:spacing w:line="240" w:lineRule="auto"/>
        <w:rPr>
          <w:sz w:val="28"/>
          <w:szCs w:val="28"/>
        </w:rPr>
      </w:pPr>
      <w:r w:rsidRPr="008B7F75">
        <w:rPr>
          <w:sz w:val="28"/>
          <w:szCs w:val="28"/>
        </w:rPr>
        <w:t>In the matter between:</w:t>
      </w:r>
    </w:p>
    <w:p w:rsidR="001279E5" w:rsidRDefault="001279E5" w:rsidP="00814B86">
      <w:pPr>
        <w:spacing w:line="240" w:lineRule="auto"/>
        <w:rPr>
          <w:sz w:val="28"/>
          <w:szCs w:val="28"/>
        </w:rPr>
      </w:pPr>
    </w:p>
    <w:p w:rsidR="00933494" w:rsidRDefault="00933494">
      <w:pPr>
        <w:spacing w:line="240" w:lineRule="auto"/>
        <w:rPr>
          <w:b/>
          <w:sz w:val="28"/>
          <w:szCs w:val="28"/>
        </w:rPr>
      </w:pPr>
      <w:r>
        <w:rPr>
          <w:b/>
          <w:sz w:val="28"/>
          <w:szCs w:val="28"/>
        </w:rPr>
        <w:t>PETRONELLA DE NYSSCHEN</w:t>
      </w:r>
      <w:r>
        <w:rPr>
          <w:b/>
          <w:sz w:val="28"/>
          <w:szCs w:val="28"/>
        </w:rPr>
        <w:tab/>
      </w:r>
      <w:r>
        <w:rPr>
          <w:b/>
          <w:sz w:val="28"/>
          <w:szCs w:val="28"/>
        </w:rPr>
        <w:tab/>
      </w:r>
      <w:r>
        <w:rPr>
          <w:b/>
          <w:sz w:val="28"/>
          <w:szCs w:val="28"/>
        </w:rPr>
        <w:tab/>
      </w:r>
      <w:r>
        <w:rPr>
          <w:b/>
          <w:sz w:val="28"/>
          <w:szCs w:val="28"/>
        </w:rPr>
        <w:tab/>
        <w:t xml:space="preserve">      APPELLANT</w:t>
      </w:r>
    </w:p>
    <w:p w:rsidR="001279E5" w:rsidRPr="00933494" w:rsidRDefault="001279E5">
      <w:pPr>
        <w:spacing w:line="240" w:lineRule="auto"/>
        <w:rPr>
          <w:b/>
          <w:sz w:val="28"/>
          <w:szCs w:val="28"/>
        </w:rPr>
      </w:pPr>
    </w:p>
    <w:p w:rsidR="00440BC8" w:rsidRDefault="00207AB8">
      <w:pPr>
        <w:tabs>
          <w:tab w:val="right" w:pos="8640"/>
        </w:tabs>
        <w:spacing w:line="240" w:lineRule="auto"/>
        <w:rPr>
          <w:bCs/>
          <w:sz w:val="28"/>
          <w:szCs w:val="28"/>
        </w:rPr>
      </w:pPr>
      <w:r w:rsidRPr="00497034">
        <w:rPr>
          <w:bCs/>
          <w:sz w:val="28"/>
          <w:szCs w:val="28"/>
        </w:rPr>
        <w:t>a</w:t>
      </w:r>
      <w:r w:rsidR="008133D9" w:rsidRPr="00497034">
        <w:rPr>
          <w:bCs/>
          <w:sz w:val="28"/>
          <w:szCs w:val="28"/>
        </w:rPr>
        <w:t>nd</w:t>
      </w:r>
    </w:p>
    <w:p w:rsidR="001279E5" w:rsidRDefault="001279E5">
      <w:pPr>
        <w:tabs>
          <w:tab w:val="right" w:pos="8640"/>
        </w:tabs>
        <w:spacing w:line="240" w:lineRule="auto"/>
        <w:rPr>
          <w:bCs/>
          <w:sz w:val="28"/>
          <w:szCs w:val="28"/>
        </w:rPr>
      </w:pPr>
    </w:p>
    <w:p w:rsidR="00933494" w:rsidRDefault="00933494">
      <w:pPr>
        <w:tabs>
          <w:tab w:val="right" w:pos="8640"/>
        </w:tabs>
        <w:spacing w:line="240" w:lineRule="auto"/>
        <w:rPr>
          <w:b/>
          <w:bCs/>
          <w:sz w:val="28"/>
          <w:szCs w:val="28"/>
        </w:rPr>
      </w:pPr>
      <w:r>
        <w:rPr>
          <w:b/>
          <w:bCs/>
          <w:sz w:val="28"/>
          <w:szCs w:val="28"/>
        </w:rPr>
        <w:t>GOVERNMENT EMPLOYEES</w:t>
      </w:r>
    </w:p>
    <w:p w:rsidR="00933494" w:rsidRPr="008B7F75" w:rsidRDefault="00933494">
      <w:pPr>
        <w:tabs>
          <w:tab w:val="right" w:pos="8640"/>
        </w:tabs>
        <w:spacing w:line="240" w:lineRule="auto"/>
        <w:rPr>
          <w:b/>
          <w:bCs/>
          <w:sz w:val="28"/>
          <w:szCs w:val="28"/>
        </w:rPr>
      </w:pPr>
      <w:r>
        <w:rPr>
          <w:b/>
          <w:bCs/>
          <w:sz w:val="28"/>
          <w:szCs w:val="28"/>
        </w:rPr>
        <w:t>PENSION FUND</w:t>
      </w:r>
      <w:r w:rsidRPr="008B7F75">
        <w:rPr>
          <w:b/>
          <w:bCs/>
          <w:sz w:val="28"/>
          <w:szCs w:val="28"/>
        </w:rPr>
        <w:tab/>
        <w:t xml:space="preserve">     </w:t>
      </w:r>
      <w:r>
        <w:rPr>
          <w:b/>
          <w:bCs/>
          <w:sz w:val="28"/>
          <w:szCs w:val="28"/>
        </w:rPr>
        <w:t>FIRST RESPONDENT</w:t>
      </w:r>
    </w:p>
    <w:p w:rsidR="00933494" w:rsidRPr="008B7F75" w:rsidRDefault="00933494">
      <w:pPr>
        <w:tabs>
          <w:tab w:val="right" w:pos="8640"/>
        </w:tabs>
        <w:spacing w:line="240" w:lineRule="auto"/>
        <w:rPr>
          <w:bCs/>
          <w:sz w:val="28"/>
          <w:szCs w:val="28"/>
        </w:rPr>
      </w:pPr>
    </w:p>
    <w:p w:rsidR="00207AB8" w:rsidRDefault="00933494">
      <w:pPr>
        <w:spacing w:line="240" w:lineRule="auto"/>
        <w:rPr>
          <w:b/>
          <w:sz w:val="28"/>
          <w:szCs w:val="28"/>
        </w:rPr>
      </w:pPr>
      <w:r>
        <w:rPr>
          <w:b/>
          <w:sz w:val="28"/>
          <w:szCs w:val="28"/>
        </w:rPr>
        <w:t xml:space="preserve">CHAIRPERSON: BOARD OF </w:t>
      </w:r>
    </w:p>
    <w:p w:rsidR="00207AB8" w:rsidRDefault="00933494">
      <w:pPr>
        <w:spacing w:line="240" w:lineRule="auto"/>
        <w:rPr>
          <w:b/>
          <w:sz w:val="28"/>
          <w:szCs w:val="28"/>
        </w:rPr>
      </w:pPr>
      <w:r>
        <w:rPr>
          <w:b/>
          <w:sz w:val="28"/>
          <w:szCs w:val="28"/>
        </w:rPr>
        <w:t>TRUSTEES</w:t>
      </w:r>
      <w:r w:rsidR="00207AB8" w:rsidRPr="00497034">
        <w:rPr>
          <w:b/>
          <w:sz w:val="28"/>
          <w:szCs w:val="28"/>
        </w:rPr>
        <w:t>,</w:t>
      </w:r>
      <w:r w:rsidR="00207AB8" w:rsidRPr="00117823">
        <w:rPr>
          <w:b/>
          <w:sz w:val="28"/>
          <w:szCs w:val="28"/>
        </w:rPr>
        <w:t xml:space="preserve"> </w:t>
      </w:r>
      <w:r w:rsidRPr="00117823">
        <w:rPr>
          <w:b/>
          <w:sz w:val="28"/>
          <w:szCs w:val="28"/>
        </w:rPr>
        <w:t>G</w:t>
      </w:r>
      <w:r>
        <w:rPr>
          <w:b/>
          <w:sz w:val="28"/>
          <w:szCs w:val="28"/>
        </w:rPr>
        <w:t xml:space="preserve">OVERNMENT </w:t>
      </w:r>
    </w:p>
    <w:p w:rsidR="00873798" w:rsidRPr="008B7F75" w:rsidRDefault="00933494">
      <w:pPr>
        <w:spacing w:line="240" w:lineRule="auto"/>
        <w:rPr>
          <w:b/>
          <w:sz w:val="28"/>
          <w:szCs w:val="28"/>
        </w:rPr>
      </w:pPr>
      <w:r w:rsidRPr="00497034">
        <w:rPr>
          <w:b/>
          <w:sz w:val="28"/>
          <w:szCs w:val="28"/>
        </w:rPr>
        <w:t xml:space="preserve">EMPLOYEES </w:t>
      </w:r>
      <w:r w:rsidR="00207AB8" w:rsidRPr="00497034">
        <w:rPr>
          <w:b/>
          <w:sz w:val="28"/>
          <w:szCs w:val="28"/>
        </w:rPr>
        <w:t xml:space="preserve">PENSION </w:t>
      </w:r>
      <w:r w:rsidRPr="00497034">
        <w:rPr>
          <w:b/>
          <w:sz w:val="28"/>
          <w:szCs w:val="28"/>
        </w:rPr>
        <w:t>FUN</w:t>
      </w:r>
      <w:r w:rsidRPr="00117823">
        <w:rPr>
          <w:b/>
          <w:sz w:val="28"/>
          <w:szCs w:val="28"/>
        </w:rPr>
        <w:t>D</w:t>
      </w:r>
      <w:r>
        <w:rPr>
          <w:b/>
          <w:sz w:val="28"/>
          <w:szCs w:val="28"/>
        </w:rPr>
        <w:tab/>
      </w:r>
      <w:r w:rsidR="00207AB8">
        <w:rPr>
          <w:b/>
          <w:sz w:val="28"/>
          <w:szCs w:val="28"/>
        </w:rPr>
        <w:t xml:space="preserve">                </w:t>
      </w:r>
      <w:r>
        <w:rPr>
          <w:b/>
          <w:sz w:val="28"/>
          <w:szCs w:val="28"/>
        </w:rPr>
        <w:t xml:space="preserve">SECOND </w:t>
      </w:r>
      <w:r w:rsidRPr="008B7F75">
        <w:rPr>
          <w:b/>
          <w:sz w:val="28"/>
          <w:szCs w:val="28"/>
        </w:rPr>
        <w:t>RESPONDENT</w:t>
      </w:r>
    </w:p>
    <w:p w:rsidR="002B66E0" w:rsidRDefault="002B66E0">
      <w:pPr>
        <w:spacing w:line="240" w:lineRule="auto"/>
        <w:rPr>
          <w:b/>
          <w:sz w:val="28"/>
          <w:szCs w:val="28"/>
        </w:rPr>
      </w:pPr>
    </w:p>
    <w:p w:rsidR="00933494" w:rsidRDefault="00933494">
      <w:pPr>
        <w:spacing w:line="240" w:lineRule="auto"/>
        <w:rPr>
          <w:b/>
          <w:sz w:val="28"/>
          <w:szCs w:val="28"/>
        </w:rPr>
      </w:pPr>
      <w:r>
        <w:rPr>
          <w:b/>
          <w:sz w:val="28"/>
          <w:szCs w:val="28"/>
        </w:rPr>
        <w:t>GOVERNMENT PENSIONS</w:t>
      </w:r>
    </w:p>
    <w:p w:rsidR="00873798" w:rsidRPr="008B7F75" w:rsidRDefault="00152669">
      <w:pPr>
        <w:spacing w:line="240" w:lineRule="auto"/>
        <w:rPr>
          <w:b/>
          <w:sz w:val="28"/>
          <w:szCs w:val="28"/>
        </w:rPr>
      </w:pPr>
      <w:r>
        <w:rPr>
          <w:b/>
          <w:sz w:val="28"/>
          <w:szCs w:val="28"/>
        </w:rPr>
        <w:t>ADMINISTRATION</w:t>
      </w:r>
      <w:r w:rsidR="00933494">
        <w:rPr>
          <w:b/>
          <w:sz w:val="28"/>
          <w:szCs w:val="28"/>
        </w:rPr>
        <w:t xml:space="preserve"> AGENCY</w:t>
      </w:r>
      <w:r w:rsidR="00873798" w:rsidRPr="008B7F75">
        <w:rPr>
          <w:b/>
          <w:sz w:val="28"/>
          <w:szCs w:val="28"/>
        </w:rPr>
        <w:tab/>
      </w:r>
      <w:r w:rsidR="00873798" w:rsidRPr="008B7F75">
        <w:rPr>
          <w:b/>
          <w:sz w:val="28"/>
          <w:szCs w:val="28"/>
        </w:rPr>
        <w:tab/>
        <w:t xml:space="preserve">      </w:t>
      </w:r>
      <w:r w:rsidR="00371869">
        <w:rPr>
          <w:b/>
          <w:sz w:val="28"/>
          <w:szCs w:val="28"/>
        </w:rPr>
        <w:t xml:space="preserve">    </w:t>
      </w:r>
      <w:r w:rsidR="00933494">
        <w:rPr>
          <w:b/>
          <w:sz w:val="28"/>
          <w:szCs w:val="28"/>
        </w:rPr>
        <w:t>THIRD</w:t>
      </w:r>
      <w:r w:rsidR="00873798" w:rsidRPr="008B7F75">
        <w:rPr>
          <w:b/>
          <w:sz w:val="28"/>
          <w:szCs w:val="28"/>
        </w:rPr>
        <w:t xml:space="preserve"> RESPONDENT</w:t>
      </w:r>
    </w:p>
    <w:p w:rsidR="00AC1913" w:rsidRPr="008B7F75" w:rsidRDefault="00AC1913">
      <w:pPr>
        <w:tabs>
          <w:tab w:val="right" w:pos="8640"/>
        </w:tabs>
        <w:spacing w:line="240" w:lineRule="auto"/>
        <w:rPr>
          <w:b/>
          <w:sz w:val="28"/>
          <w:szCs w:val="28"/>
        </w:rPr>
      </w:pPr>
    </w:p>
    <w:p w:rsidR="00B94FB0" w:rsidRDefault="00933494">
      <w:pPr>
        <w:tabs>
          <w:tab w:val="right" w:pos="8640"/>
        </w:tabs>
        <w:spacing w:line="240" w:lineRule="auto"/>
        <w:rPr>
          <w:b/>
          <w:sz w:val="28"/>
          <w:szCs w:val="28"/>
        </w:rPr>
      </w:pPr>
      <w:r>
        <w:rPr>
          <w:b/>
          <w:sz w:val="28"/>
          <w:szCs w:val="28"/>
        </w:rPr>
        <w:t>CHIEF EXECUTIVE OFFICER:</w:t>
      </w:r>
    </w:p>
    <w:p w:rsidR="00933494" w:rsidRDefault="00933494">
      <w:pPr>
        <w:tabs>
          <w:tab w:val="right" w:pos="8640"/>
        </w:tabs>
        <w:spacing w:line="240" w:lineRule="auto"/>
        <w:rPr>
          <w:b/>
          <w:sz w:val="28"/>
          <w:szCs w:val="28"/>
        </w:rPr>
      </w:pPr>
      <w:r>
        <w:rPr>
          <w:b/>
          <w:sz w:val="28"/>
          <w:szCs w:val="28"/>
        </w:rPr>
        <w:t xml:space="preserve">GOVERNMENT PENSIONS </w:t>
      </w:r>
    </w:p>
    <w:p w:rsidR="00933494" w:rsidRDefault="00933494">
      <w:pPr>
        <w:tabs>
          <w:tab w:val="right" w:pos="8640"/>
        </w:tabs>
        <w:spacing w:line="240" w:lineRule="auto"/>
        <w:rPr>
          <w:b/>
          <w:sz w:val="28"/>
          <w:szCs w:val="28"/>
        </w:rPr>
      </w:pPr>
      <w:r>
        <w:rPr>
          <w:b/>
          <w:sz w:val="28"/>
          <w:szCs w:val="28"/>
        </w:rPr>
        <w:t xml:space="preserve">ADMINISTRATION AGENCY                        </w:t>
      </w:r>
      <w:r w:rsidR="00CE4E80">
        <w:rPr>
          <w:b/>
          <w:sz w:val="28"/>
          <w:szCs w:val="28"/>
        </w:rPr>
        <w:t xml:space="preserve">   </w:t>
      </w:r>
      <w:r w:rsidR="00371869">
        <w:rPr>
          <w:b/>
          <w:sz w:val="28"/>
          <w:szCs w:val="28"/>
        </w:rPr>
        <w:t>FOURTH RESPONDENT</w:t>
      </w:r>
    </w:p>
    <w:p w:rsidR="00371869" w:rsidRDefault="00371869">
      <w:pPr>
        <w:tabs>
          <w:tab w:val="right" w:pos="8640"/>
        </w:tabs>
        <w:spacing w:line="240" w:lineRule="auto"/>
        <w:rPr>
          <w:b/>
          <w:sz w:val="28"/>
          <w:szCs w:val="28"/>
        </w:rPr>
      </w:pPr>
    </w:p>
    <w:p w:rsidR="00207AB8" w:rsidRDefault="00371869">
      <w:pPr>
        <w:tabs>
          <w:tab w:val="right" w:pos="8640"/>
        </w:tabs>
        <w:spacing w:line="240" w:lineRule="auto"/>
        <w:rPr>
          <w:b/>
          <w:sz w:val="28"/>
          <w:szCs w:val="28"/>
        </w:rPr>
      </w:pPr>
      <w:r>
        <w:rPr>
          <w:b/>
          <w:sz w:val="28"/>
          <w:szCs w:val="28"/>
        </w:rPr>
        <w:t>DEPARTMENT OF EDUCATION</w:t>
      </w:r>
      <w:r w:rsidR="005B3FAE" w:rsidRPr="00497034">
        <w:rPr>
          <w:b/>
          <w:sz w:val="28"/>
          <w:szCs w:val="28"/>
        </w:rPr>
        <w:t>,</w:t>
      </w:r>
      <w:r>
        <w:rPr>
          <w:b/>
          <w:sz w:val="28"/>
          <w:szCs w:val="28"/>
        </w:rPr>
        <w:t xml:space="preserve"> </w:t>
      </w:r>
    </w:p>
    <w:p w:rsidR="00371869" w:rsidRDefault="00371869">
      <w:pPr>
        <w:tabs>
          <w:tab w:val="right" w:pos="8640"/>
        </w:tabs>
        <w:spacing w:line="240" w:lineRule="auto"/>
        <w:rPr>
          <w:b/>
          <w:sz w:val="28"/>
          <w:szCs w:val="28"/>
        </w:rPr>
      </w:pPr>
      <w:r>
        <w:rPr>
          <w:b/>
          <w:sz w:val="28"/>
          <w:szCs w:val="28"/>
        </w:rPr>
        <w:t>NORTH</w:t>
      </w:r>
      <w:r w:rsidR="00207AB8">
        <w:rPr>
          <w:b/>
          <w:sz w:val="28"/>
          <w:szCs w:val="28"/>
        </w:rPr>
        <w:t xml:space="preserve"> </w:t>
      </w:r>
      <w:r>
        <w:rPr>
          <w:b/>
          <w:sz w:val="28"/>
          <w:szCs w:val="28"/>
        </w:rPr>
        <w:t xml:space="preserve">WEST PROVINCE                                                </w:t>
      </w:r>
      <w:r w:rsidR="00712E84">
        <w:rPr>
          <w:b/>
          <w:sz w:val="28"/>
          <w:szCs w:val="28"/>
        </w:rPr>
        <w:t xml:space="preserve"> </w:t>
      </w:r>
      <w:r>
        <w:rPr>
          <w:b/>
          <w:sz w:val="28"/>
          <w:szCs w:val="28"/>
        </w:rPr>
        <w:t>FIFTH RESPONDENT</w:t>
      </w:r>
    </w:p>
    <w:p w:rsidR="00371869" w:rsidRDefault="00371869">
      <w:pPr>
        <w:tabs>
          <w:tab w:val="right" w:pos="8640"/>
        </w:tabs>
        <w:spacing w:line="240" w:lineRule="auto"/>
        <w:rPr>
          <w:b/>
          <w:sz w:val="28"/>
          <w:szCs w:val="28"/>
        </w:rPr>
      </w:pPr>
    </w:p>
    <w:p w:rsidR="00117823" w:rsidRDefault="00117823">
      <w:pPr>
        <w:tabs>
          <w:tab w:val="right" w:pos="8640"/>
        </w:tabs>
        <w:spacing w:line="240" w:lineRule="auto"/>
        <w:rPr>
          <w:b/>
          <w:sz w:val="28"/>
          <w:szCs w:val="28"/>
        </w:rPr>
      </w:pPr>
    </w:p>
    <w:p w:rsidR="00117823" w:rsidRDefault="00117823">
      <w:pPr>
        <w:tabs>
          <w:tab w:val="right" w:pos="8640"/>
        </w:tabs>
        <w:spacing w:line="240" w:lineRule="auto"/>
        <w:rPr>
          <w:b/>
          <w:sz w:val="28"/>
          <w:szCs w:val="28"/>
        </w:rPr>
      </w:pPr>
    </w:p>
    <w:p w:rsidR="00371869" w:rsidRDefault="00424C5F">
      <w:pPr>
        <w:tabs>
          <w:tab w:val="right" w:pos="8640"/>
        </w:tabs>
        <w:spacing w:line="240" w:lineRule="auto"/>
        <w:rPr>
          <w:b/>
          <w:sz w:val="28"/>
          <w:szCs w:val="28"/>
        </w:rPr>
      </w:pPr>
      <w:r>
        <w:rPr>
          <w:b/>
          <w:sz w:val="28"/>
          <w:szCs w:val="28"/>
        </w:rPr>
        <w:t>ADMINISTRATOR</w:t>
      </w:r>
      <w:r w:rsidR="00371869">
        <w:rPr>
          <w:b/>
          <w:sz w:val="28"/>
          <w:szCs w:val="28"/>
        </w:rPr>
        <w:t xml:space="preserve">: DEPARTMENT </w:t>
      </w:r>
    </w:p>
    <w:p w:rsidR="00207AB8" w:rsidRDefault="00371869">
      <w:pPr>
        <w:tabs>
          <w:tab w:val="right" w:pos="8640"/>
        </w:tabs>
        <w:spacing w:line="240" w:lineRule="auto"/>
        <w:rPr>
          <w:b/>
          <w:sz w:val="28"/>
          <w:szCs w:val="28"/>
        </w:rPr>
      </w:pPr>
      <w:r>
        <w:rPr>
          <w:b/>
          <w:sz w:val="28"/>
          <w:szCs w:val="28"/>
        </w:rPr>
        <w:t>OF EDUCATION</w:t>
      </w:r>
      <w:r w:rsidR="00207AB8" w:rsidRPr="00497034">
        <w:rPr>
          <w:b/>
          <w:sz w:val="28"/>
          <w:szCs w:val="28"/>
        </w:rPr>
        <w:t>,</w:t>
      </w:r>
      <w:r>
        <w:rPr>
          <w:b/>
          <w:sz w:val="28"/>
          <w:szCs w:val="28"/>
        </w:rPr>
        <w:t xml:space="preserve"> NORTH WEST</w:t>
      </w:r>
      <w:r w:rsidR="00207AB8">
        <w:rPr>
          <w:b/>
          <w:sz w:val="28"/>
          <w:szCs w:val="28"/>
        </w:rPr>
        <w:t xml:space="preserve"> </w:t>
      </w:r>
    </w:p>
    <w:p w:rsidR="00371869" w:rsidRDefault="00371869">
      <w:pPr>
        <w:tabs>
          <w:tab w:val="right" w:pos="8640"/>
        </w:tabs>
        <w:spacing w:line="240" w:lineRule="auto"/>
        <w:rPr>
          <w:b/>
          <w:sz w:val="28"/>
          <w:szCs w:val="28"/>
        </w:rPr>
      </w:pPr>
      <w:r w:rsidRPr="00497034">
        <w:rPr>
          <w:b/>
          <w:sz w:val="28"/>
          <w:szCs w:val="28"/>
        </w:rPr>
        <w:t xml:space="preserve">PROVINCE  </w:t>
      </w:r>
      <w:r w:rsidR="00207AB8" w:rsidRPr="00497034">
        <w:rPr>
          <w:b/>
          <w:sz w:val="28"/>
          <w:szCs w:val="28"/>
        </w:rPr>
        <w:t xml:space="preserve">                                                              </w:t>
      </w:r>
      <w:r w:rsidRPr="00497034">
        <w:rPr>
          <w:b/>
          <w:sz w:val="28"/>
          <w:szCs w:val="28"/>
        </w:rPr>
        <w:t xml:space="preserve"> SIXTH RESPONDENT</w:t>
      </w:r>
    </w:p>
    <w:p w:rsidR="00371869" w:rsidRDefault="00371869">
      <w:pPr>
        <w:tabs>
          <w:tab w:val="right" w:pos="8640"/>
        </w:tabs>
        <w:spacing w:line="240" w:lineRule="auto"/>
        <w:rPr>
          <w:b/>
          <w:sz w:val="28"/>
          <w:szCs w:val="28"/>
        </w:rPr>
      </w:pPr>
    </w:p>
    <w:p w:rsidR="00207AB8" w:rsidRDefault="00371869">
      <w:pPr>
        <w:tabs>
          <w:tab w:val="right" w:pos="8640"/>
        </w:tabs>
        <w:spacing w:line="240" w:lineRule="auto"/>
        <w:rPr>
          <w:b/>
          <w:sz w:val="28"/>
          <w:szCs w:val="28"/>
        </w:rPr>
      </w:pPr>
      <w:r>
        <w:rPr>
          <w:b/>
          <w:sz w:val="28"/>
          <w:szCs w:val="28"/>
        </w:rPr>
        <w:t xml:space="preserve">HEAD OF DEPARTMENT: </w:t>
      </w:r>
    </w:p>
    <w:p w:rsidR="00207AB8" w:rsidRDefault="00371869">
      <w:pPr>
        <w:tabs>
          <w:tab w:val="right" w:pos="8640"/>
        </w:tabs>
        <w:spacing w:line="240" w:lineRule="auto"/>
        <w:rPr>
          <w:b/>
          <w:sz w:val="28"/>
          <w:szCs w:val="28"/>
        </w:rPr>
      </w:pPr>
      <w:r>
        <w:rPr>
          <w:b/>
          <w:sz w:val="28"/>
          <w:szCs w:val="28"/>
        </w:rPr>
        <w:t>DEPARTMENT</w:t>
      </w:r>
      <w:r w:rsidR="00207AB8">
        <w:rPr>
          <w:b/>
          <w:sz w:val="28"/>
          <w:szCs w:val="28"/>
        </w:rPr>
        <w:t xml:space="preserve"> </w:t>
      </w:r>
      <w:r>
        <w:rPr>
          <w:b/>
          <w:sz w:val="28"/>
          <w:szCs w:val="28"/>
        </w:rPr>
        <w:t xml:space="preserve">OF EDUCATION </w:t>
      </w:r>
    </w:p>
    <w:p w:rsidR="009B7C98" w:rsidRDefault="00371869" w:rsidP="00814B86">
      <w:pPr>
        <w:tabs>
          <w:tab w:val="right" w:pos="8640"/>
        </w:tabs>
        <w:spacing w:line="240" w:lineRule="auto"/>
        <w:rPr>
          <w:b/>
          <w:sz w:val="28"/>
          <w:szCs w:val="28"/>
        </w:rPr>
      </w:pPr>
      <w:r>
        <w:rPr>
          <w:b/>
          <w:sz w:val="28"/>
          <w:szCs w:val="28"/>
        </w:rPr>
        <w:t>NORTH</w:t>
      </w:r>
      <w:r w:rsidR="00207AB8">
        <w:rPr>
          <w:b/>
          <w:sz w:val="28"/>
          <w:szCs w:val="28"/>
        </w:rPr>
        <w:t xml:space="preserve"> </w:t>
      </w:r>
      <w:r>
        <w:rPr>
          <w:b/>
          <w:sz w:val="28"/>
          <w:szCs w:val="28"/>
        </w:rPr>
        <w:t>WEST PROVINCE</w:t>
      </w:r>
      <w:r>
        <w:rPr>
          <w:b/>
          <w:sz w:val="28"/>
          <w:szCs w:val="28"/>
        </w:rPr>
        <w:tab/>
        <w:t>SEVENTH RESPONDENT</w:t>
      </w:r>
    </w:p>
    <w:p w:rsidR="001279E5" w:rsidRDefault="001279E5" w:rsidP="00814B86">
      <w:pPr>
        <w:tabs>
          <w:tab w:val="right" w:pos="8640"/>
        </w:tabs>
        <w:spacing w:line="240" w:lineRule="auto"/>
        <w:rPr>
          <w:b/>
          <w:bCs/>
          <w:sz w:val="28"/>
          <w:szCs w:val="28"/>
        </w:rPr>
      </w:pPr>
    </w:p>
    <w:p w:rsidR="00AC1913" w:rsidRPr="008B7F75" w:rsidRDefault="00AC1913" w:rsidP="000D3C1E">
      <w:pPr>
        <w:ind w:left="2160" w:hanging="2160"/>
        <w:contextualSpacing/>
        <w:rPr>
          <w:bCs/>
          <w:sz w:val="28"/>
          <w:szCs w:val="28"/>
        </w:rPr>
      </w:pPr>
      <w:r w:rsidRPr="008B7F75">
        <w:rPr>
          <w:b/>
          <w:bCs/>
          <w:sz w:val="28"/>
          <w:szCs w:val="28"/>
        </w:rPr>
        <w:t>Neutral citation:</w:t>
      </w:r>
      <w:r w:rsidRPr="008B7F75">
        <w:rPr>
          <w:bCs/>
          <w:i/>
          <w:sz w:val="28"/>
          <w:szCs w:val="28"/>
        </w:rPr>
        <w:tab/>
      </w:r>
      <w:r w:rsidR="00171C0C">
        <w:rPr>
          <w:bCs/>
          <w:i/>
          <w:sz w:val="28"/>
          <w:szCs w:val="28"/>
        </w:rPr>
        <w:t>De Nysschen</w:t>
      </w:r>
      <w:r w:rsidRPr="008B7F75">
        <w:rPr>
          <w:bCs/>
          <w:i/>
          <w:sz w:val="28"/>
          <w:szCs w:val="28"/>
        </w:rPr>
        <w:t xml:space="preserve"> v </w:t>
      </w:r>
      <w:r w:rsidR="0039624B">
        <w:rPr>
          <w:bCs/>
          <w:i/>
          <w:sz w:val="28"/>
          <w:szCs w:val="28"/>
        </w:rPr>
        <w:t xml:space="preserve">Government Employees Pension Fund </w:t>
      </w:r>
      <w:r w:rsidR="0039624B" w:rsidRPr="008B7F75">
        <w:rPr>
          <w:bCs/>
          <w:i/>
          <w:sz w:val="28"/>
          <w:szCs w:val="28"/>
        </w:rPr>
        <w:t>and</w:t>
      </w:r>
      <w:r w:rsidR="000461DC" w:rsidRPr="008B7F75">
        <w:rPr>
          <w:bCs/>
          <w:i/>
          <w:sz w:val="28"/>
          <w:szCs w:val="28"/>
        </w:rPr>
        <w:t xml:space="preserve"> </w:t>
      </w:r>
      <w:r w:rsidR="0039624B">
        <w:rPr>
          <w:bCs/>
          <w:i/>
          <w:sz w:val="28"/>
          <w:szCs w:val="28"/>
        </w:rPr>
        <w:t xml:space="preserve">Others </w:t>
      </w:r>
      <w:r w:rsidRPr="00497034">
        <w:rPr>
          <w:sz w:val="28"/>
          <w:szCs w:val="28"/>
        </w:rPr>
        <w:t>(</w:t>
      </w:r>
      <w:r w:rsidR="0039624B" w:rsidRPr="00497034">
        <w:rPr>
          <w:bCs/>
          <w:sz w:val="28"/>
          <w:szCs w:val="28"/>
        </w:rPr>
        <w:t>864</w:t>
      </w:r>
      <w:r w:rsidR="00440BC8" w:rsidRPr="00117823">
        <w:rPr>
          <w:bCs/>
          <w:sz w:val="28"/>
          <w:szCs w:val="28"/>
        </w:rPr>
        <w:t>/202</w:t>
      </w:r>
      <w:r w:rsidR="0039624B" w:rsidRPr="00117823">
        <w:rPr>
          <w:bCs/>
          <w:sz w:val="28"/>
          <w:szCs w:val="28"/>
        </w:rPr>
        <w:t>2</w:t>
      </w:r>
      <w:r w:rsidR="00440BC8" w:rsidRPr="00117823">
        <w:rPr>
          <w:bCs/>
          <w:sz w:val="28"/>
          <w:szCs w:val="28"/>
        </w:rPr>
        <w:t>) [</w:t>
      </w:r>
      <w:r w:rsidR="00440BC8" w:rsidRPr="00300B42">
        <w:rPr>
          <w:bCs/>
          <w:sz w:val="28"/>
          <w:szCs w:val="28"/>
        </w:rPr>
        <w:t>2023</w:t>
      </w:r>
      <w:r w:rsidRPr="008B7F75">
        <w:rPr>
          <w:bCs/>
          <w:sz w:val="28"/>
          <w:szCs w:val="28"/>
        </w:rPr>
        <w:t xml:space="preserve">] ZASCA </w:t>
      </w:r>
      <w:r w:rsidR="00DC1FCC" w:rsidRPr="00DC1FCC">
        <w:rPr>
          <w:bCs/>
          <w:sz w:val="28"/>
          <w:szCs w:val="28"/>
        </w:rPr>
        <w:t>147</w:t>
      </w:r>
      <w:r w:rsidRPr="00DC1FCC">
        <w:rPr>
          <w:bCs/>
          <w:sz w:val="28"/>
          <w:szCs w:val="28"/>
        </w:rPr>
        <w:t xml:space="preserve"> (</w:t>
      </w:r>
      <w:r w:rsidR="00DC1FCC" w:rsidRPr="00DC1FCC">
        <w:rPr>
          <w:bCs/>
          <w:sz w:val="28"/>
          <w:szCs w:val="28"/>
        </w:rPr>
        <w:t>09</w:t>
      </w:r>
      <w:r w:rsidR="0039624B" w:rsidRPr="00DC1FCC">
        <w:rPr>
          <w:bCs/>
          <w:sz w:val="28"/>
          <w:szCs w:val="28"/>
        </w:rPr>
        <w:t xml:space="preserve"> </w:t>
      </w:r>
      <w:r w:rsidR="00CA7C0F" w:rsidRPr="00DC1FCC">
        <w:rPr>
          <w:bCs/>
          <w:sz w:val="28"/>
          <w:szCs w:val="28"/>
        </w:rPr>
        <w:t>November</w:t>
      </w:r>
      <w:r w:rsidR="001076C1">
        <w:rPr>
          <w:bCs/>
          <w:sz w:val="28"/>
          <w:szCs w:val="28"/>
        </w:rPr>
        <w:t xml:space="preserve"> </w:t>
      </w:r>
      <w:r w:rsidR="00F86C83" w:rsidRPr="008B7F75">
        <w:rPr>
          <w:bCs/>
          <w:sz w:val="28"/>
          <w:szCs w:val="28"/>
        </w:rPr>
        <w:t>2023</w:t>
      </w:r>
      <w:r w:rsidRPr="008B7F75">
        <w:rPr>
          <w:bCs/>
          <w:sz w:val="28"/>
          <w:szCs w:val="28"/>
        </w:rPr>
        <w:t>)</w:t>
      </w:r>
    </w:p>
    <w:p w:rsidR="00AC1913" w:rsidRPr="008B7F75" w:rsidRDefault="00AC1913" w:rsidP="000D3C1E">
      <w:pPr>
        <w:ind w:left="1440" w:hanging="1440"/>
        <w:contextualSpacing/>
        <w:rPr>
          <w:b/>
          <w:bCs/>
          <w:i/>
          <w:iCs/>
          <w:sz w:val="28"/>
          <w:szCs w:val="28"/>
        </w:rPr>
      </w:pPr>
      <w:r w:rsidRPr="008B7F75">
        <w:rPr>
          <w:b/>
          <w:bCs/>
          <w:sz w:val="28"/>
          <w:szCs w:val="28"/>
        </w:rPr>
        <w:t>Coram:</w:t>
      </w:r>
      <w:r w:rsidRPr="008B7F75">
        <w:rPr>
          <w:sz w:val="28"/>
          <w:szCs w:val="28"/>
        </w:rPr>
        <w:tab/>
      </w:r>
      <w:r w:rsidR="00F751F2" w:rsidRPr="008B7F75">
        <w:rPr>
          <w:sz w:val="28"/>
          <w:szCs w:val="28"/>
        </w:rPr>
        <w:t>DAMBUZA</w:t>
      </w:r>
      <w:r w:rsidRPr="008B7F75">
        <w:rPr>
          <w:sz w:val="28"/>
          <w:szCs w:val="28"/>
        </w:rPr>
        <w:t xml:space="preserve">, </w:t>
      </w:r>
      <w:r w:rsidR="005A7B6B">
        <w:rPr>
          <w:sz w:val="28"/>
          <w:szCs w:val="28"/>
        </w:rPr>
        <w:t xml:space="preserve">MOCUMIE, MAKGOKA and WEINER </w:t>
      </w:r>
      <w:r w:rsidRPr="008B7F75">
        <w:rPr>
          <w:sz w:val="28"/>
          <w:szCs w:val="28"/>
        </w:rPr>
        <w:t>JJA</w:t>
      </w:r>
      <w:r w:rsidR="000D3C1E" w:rsidRPr="008B7F75">
        <w:rPr>
          <w:sz w:val="28"/>
          <w:szCs w:val="28"/>
        </w:rPr>
        <w:t xml:space="preserve"> and</w:t>
      </w:r>
      <w:r w:rsidRPr="008B7F75">
        <w:rPr>
          <w:sz w:val="28"/>
          <w:szCs w:val="28"/>
        </w:rPr>
        <w:t xml:space="preserve"> </w:t>
      </w:r>
      <w:r w:rsidR="005A7B6B">
        <w:rPr>
          <w:sz w:val="28"/>
          <w:szCs w:val="28"/>
        </w:rPr>
        <w:t xml:space="preserve">SIWENDU </w:t>
      </w:r>
      <w:r w:rsidRPr="008B7F75">
        <w:rPr>
          <w:sz w:val="28"/>
          <w:szCs w:val="28"/>
        </w:rPr>
        <w:t>AJA</w:t>
      </w:r>
    </w:p>
    <w:p w:rsidR="00AC1913" w:rsidRPr="008B7F75" w:rsidRDefault="00AC1913" w:rsidP="000D3C1E">
      <w:pPr>
        <w:contextualSpacing/>
        <w:rPr>
          <w:b/>
          <w:bCs/>
          <w:color w:val="FFFF00"/>
          <w:sz w:val="28"/>
          <w:szCs w:val="28"/>
        </w:rPr>
      </w:pPr>
      <w:r w:rsidRPr="008B7F75">
        <w:rPr>
          <w:b/>
          <w:bCs/>
          <w:sz w:val="28"/>
          <w:szCs w:val="28"/>
        </w:rPr>
        <w:t>Heard</w:t>
      </w:r>
      <w:r w:rsidRPr="008B7F75">
        <w:rPr>
          <w:b/>
          <w:sz w:val="28"/>
          <w:szCs w:val="28"/>
        </w:rPr>
        <w:t>:</w:t>
      </w:r>
      <w:r w:rsidRPr="008B7F75">
        <w:rPr>
          <w:sz w:val="28"/>
          <w:szCs w:val="28"/>
        </w:rPr>
        <w:tab/>
      </w:r>
      <w:r w:rsidR="005A7B6B">
        <w:rPr>
          <w:sz w:val="28"/>
          <w:szCs w:val="28"/>
        </w:rPr>
        <w:t>11</w:t>
      </w:r>
      <w:r w:rsidR="00717CBF" w:rsidRPr="008B7F75">
        <w:rPr>
          <w:sz w:val="28"/>
          <w:szCs w:val="28"/>
        </w:rPr>
        <w:t xml:space="preserve"> </w:t>
      </w:r>
      <w:r w:rsidR="005A7B6B">
        <w:rPr>
          <w:sz w:val="28"/>
          <w:szCs w:val="28"/>
        </w:rPr>
        <w:t>SEPTEMBER 2023</w:t>
      </w:r>
    </w:p>
    <w:p w:rsidR="00AC1913" w:rsidRDefault="00AC1913" w:rsidP="000D3C1E">
      <w:pPr>
        <w:contextualSpacing/>
        <w:rPr>
          <w:sz w:val="28"/>
          <w:szCs w:val="28"/>
        </w:rPr>
      </w:pPr>
      <w:r w:rsidRPr="008B7F75">
        <w:rPr>
          <w:b/>
          <w:bCs/>
          <w:sz w:val="28"/>
          <w:szCs w:val="28"/>
        </w:rPr>
        <w:t>Delivered</w:t>
      </w:r>
      <w:r w:rsidRPr="008B7F75">
        <w:rPr>
          <w:b/>
          <w:sz w:val="28"/>
          <w:szCs w:val="28"/>
        </w:rPr>
        <w:t>:</w:t>
      </w:r>
      <w:r w:rsidRPr="008B7F75">
        <w:rPr>
          <w:sz w:val="28"/>
          <w:szCs w:val="28"/>
        </w:rPr>
        <w:tab/>
      </w:r>
      <w:r w:rsidR="00DC1FCC" w:rsidRPr="00DC1FCC">
        <w:rPr>
          <w:sz w:val="28"/>
          <w:szCs w:val="28"/>
        </w:rPr>
        <w:t>09</w:t>
      </w:r>
      <w:r w:rsidR="00497034" w:rsidRPr="00DC1FCC">
        <w:rPr>
          <w:sz w:val="28"/>
          <w:szCs w:val="28"/>
        </w:rPr>
        <w:t xml:space="preserve"> November</w:t>
      </w:r>
      <w:r w:rsidR="0001301A" w:rsidRPr="008B7F75">
        <w:rPr>
          <w:sz w:val="28"/>
          <w:szCs w:val="28"/>
        </w:rPr>
        <w:t xml:space="preserve"> </w:t>
      </w:r>
      <w:r w:rsidRPr="008B7F75">
        <w:rPr>
          <w:sz w:val="28"/>
          <w:szCs w:val="28"/>
        </w:rPr>
        <w:t>202</w:t>
      </w:r>
      <w:r w:rsidR="00F751F2" w:rsidRPr="008B7F75">
        <w:rPr>
          <w:sz w:val="28"/>
          <w:szCs w:val="28"/>
        </w:rPr>
        <w:t>3</w:t>
      </w:r>
    </w:p>
    <w:p w:rsidR="009B7C98" w:rsidRPr="008B7F75" w:rsidRDefault="009B7C98" w:rsidP="000D3C1E">
      <w:pPr>
        <w:contextualSpacing/>
        <w:rPr>
          <w:sz w:val="28"/>
          <w:szCs w:val="28"/>
        </w:rPr>
      </w:pPr>
    </w:p>
    <w:p w:rsidR="00AC1913" w:rsidRPr="00E04592" w:rsidRDefault="00AC1913" w:rsidP="00AC1913">
      <w:pPr>
        <w:contextualSpacing/>
        <w:rPr>
          <w:b/>
          <w:bCs/>
          <w:sz w:val="28"/>
          <w:szCs w:val="28"/>
        </w:rPr>
      </w:pPr>
      <w:r w:rsidRPr="008B7F75">
        <w:rPr>
          <w:b/>
          <w:bCs/>
          <w:sz w:val="28"/>
          <w:szCs w:val="28"/>
        </w:rPr>
        <w:t>Summary:</w:t>
      </w:r>
      <w:r w:rsidR="002B66E0">
        <w:rPr>
          <w:b/>
          <w:bCs/>
          <w:sz w:val="28"/>
          <w:szCs w:val="28"/>
        </w:rPr>
        <w:tab/>
      </w:r>
      <w:r w:rsidR="00713147" w:rsidRPr="00E04592">
        <w:rPr>
          <w:bCs/>
          <w:sz w:val="28"/>
          <w:szCs w:val="28"/>
        </w:rPr>
        <w:t>Civil Procedure</w:t>
      </w:r>
      <w:r w:rsidR="00E729E6" w:rsidRPr="00E04592">
        <w:rPr>
          <w:bCs/>
          <w:sz w:val="28"/>
          <w:szCs w:val="28"/>
        </w:rPr>
        <w:t xml:space="preserve"> – </w:t>
      </w:r>
      <w:r w:rsidR="00713147" w:rsidRPr="00E04592">
        <w:rPr>
          <w:bCs/>
          <w:sz w:val="28"/>
          <w:szCs w:val="28"/>
        </w:rPr>
        <w:t xml:space="preserve">whether </w:t>
      </w:r>
      <w:r w:rsidR="001279E5">
        <w:rPr>
          <w:bCs/>
          <w:sz w:val="28"/>
          <w:szCs w:val="28"/>
        </w:rPr>
        <w:t xml:space="preserve">competent for a court to grant </w:t>
      </w:r>
      <w:r w:rsidR="00713147" w:rsidRPr="00E04592">
        <w:rPr>
          <w:bCs/>
          <w:sz w:val="28"/>
          <w:szCs w:val="28"/>
        </w:rPr>
        <w:t xml:space="preserve">an order for payment </w:t>
      </w:r>
      <w:r w:rsidR="00713147" w:rsidRPr="003D50E0">
        <w:rPr>
          <w:bCs/>
          <w:sz w:val="28"/>
          <w:szCs w:val="28"/>
        </w:rPr>
        <w:t xml:space="preserve">of a debt </w:t>
      </w:r>
      <w:r w:rsidR="001279E5" w:rsidRPr="003D50E0">
        <w:rPr>
          <w:bCs/>
          <w:sz w:val="28"/>
          <w:szCs w:val="28"/>
        </w:rPr>
        <w:t>which was not sought – proper approach to pleadings.</w:t>
      </w:r>
      <w:r w:rsidR="001279E5">
        <w:rPr>
          <w:bCs/>
          <w:sz w:val="28"/>
          <w:szCs w:val="28"/>
        </w:rPr>
        <w:t xml:space="preserve"> </w:t>
      </w:r>
    </w:p>
    <w:p w:rsidR="000D3C1E" w:rsidRPr="00E04592" w:rsidRDefault="000D3C1E">
      <w:pPr>
        <w:spacing w:after="160" w:line="259" w:lineRule="auto"/>
        <w:jc w:val="left"/>
        <w:rPr>
          <w:sz w:val="28"/>
          <w:szCs w:val="28"/>
        </w:rPr>
      </w:pPr>
      <w:r w:rsidRPr="00E04592">
        <w:rPr>
          <w:sz w:val="28"/>
          <w:szCs w:val="28"/>
        </w:rPr>
        <w:br w:type="page"/>
      </w:r>
    </w:p>
    <w:p w:rsidR="00AC1913" w:rsidRPr="00E04592" w:rsidRDefault="00AC1913" w:rsidP="00344D38">
      <w:pPr>
        <w:pBdr>
          <w:bottom w:val="single" w:sz="12" w:space="1" w:color="auto"/>
        </w:pBdr>
        <w:spacing w:line="240" w:lineRule="auto"/>
        <w:rPr>
          <w:sz w:val="28"/>
          <w:szCs w:val="28"/>
        </w:rPr>
      </w:pPr>
      <w:r w:rsidRPr="00E04592">
        <w:rPr>
          <w:noProof/>
          <w:lang w:val="en-ZA" w:eastAsia="en-ZA"/>
        </w:rPr>
        <w:lastRenderedPageBreak/>
        <mc:AlternateContent>
          <mc:Choice Requires="wps">
            <w:drawing>
              <wp:anchor distT="0" distB="0" distL="114300" distR="114300" simplePos="0" relativeHeight="251660288" behindDoc="0" locked="0" layoutInCell="1" allowOverlap="1" wp14:anchorId="5165E9E6" wp14:editId="4DCB0634">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306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rsidR="00AF531E" w:rsidRDefault="00AF531E" w:rsidP="00AC1913">
      <w:pPr>
        <w:pStyle w:val="Heading3"/>
        <w:pBdr>
          <w:bottom w:val="single" w:sz="12" w:space="12" w:color="auto"/>
        </w:pBdr>
        <w:jc w:val="center"/>
        <w:rPr>
          <w:rFonts w:ascii="Times New Roman" w:hAnsi="Times New Roman" w:cs="Times New Roman"/>
          <w:b/>
          <w:i w:val="0"/>
          <w:szCs w:val="28"/>
        </w:rPr>
      </w:pPr>
    </w:p>
    <w:p w:rsidR="00AC1913" w:rsidRPr="00E04592" w:rsidRDefault="00AC1913" w:rsidP="00AC1913">
      <w:pPr>
        <w:pStyle w:val="Heading3"/>
        <w:pBdr>
          <w:bottom w:val="single" w:sz="12" w:space="12" w:color="auto"/>
        </w:pBdr>
        <w:jc w:val="center"/>
        <w:rPr>
          <w:rFonts w:ascii="Times New Roman" w:hAnsi="Times New Roman" w:cs="Times New Roman"/>
          <w:b/>
          <w:i w:val="0"/>
          <w:szCs w:val="28"/>
        </w:rPr>
      </w:pPr>
      <w:r w:rsidRPr="00E04592">
        <w:rPr>
          <w:rFonts w:ascii="Times New Roman" w:hAnsi="Times New Roman" w:cs="Times New Roman"/>
          <w:b/>
          <w:i w:val="0"/>
          <w:szCs w:val="28"/>
        </w:rPr>
        <w:t>ORDER</w:t>
      </w:r>
    </w:p>
    <w:p w:rsidR="00AC1913" w:rsidRPr="00E04592" w:rsidRDefault="00AC1913" w:rsidP="00A502AE">
      <w:pPr>
        <w:spacing w:line="240" w:lineRule="auto"/>
        <w:rPr>
          <w:sz w:val="28"/>
          <w:szCs w:val="28"/>
        </w:rPr>
      </w:pPr>
    </w:p>
    <w:p w:rsidR="00AC1913" w:rsidRPr="00E04592" w:rsidRDefault="00AC1913" w:rsidP="00104384">
      <w:pPr>
        <w:rPr>
          <w:bCs/>
          <w:sz w:val="28"/>
          <w:szCs w:val="28"/>
        </w:rPr>
      </w:pPr>
      <w:r w:rsidRPr="00E04592">
        <w:rPr>
          <w:b/>
          <w:bCs/>
          <w:sz w:val="28"/>
          <w:szCs w:val="28"/>
        </w:rPr>
        <w:t>On appeal from:</w:t>
      </w:r>
      <w:r w:rsidRPr="00E04592">
        <w:rPr>
          <w:bCs/>
          <w:sz w:val="28"/>
          <w:szCs w:val="28"/>
        </w:rPr>
        <w:t xml:space="preserve"> </w:t>
      </w:r>
      <w:r w:rsidR="00B96CF5" w:rsidRPr="00497034">
        <w:rPr>
          <w:bCs/>
          <w:sz w:val="28"/>
          <w:szCs w:val="28"/>
        </w:rPr>
        <w:t>N</w:t>
      </w:r>
      <w:r w:rsidR="00B96CF5" w:rsidRPr="00E04592">
        <w:rPr>
          <w:bCs/>
          <w:sz w:val="28"/>
          <w:szCs w:val="28"/>
        </w:rPr>
        <w:t>orth West</w:t>
      </w:r>
      <w:r w:rsidR="00104384" w:rsidRPr="00E04592">
        <w:rPr>
          <w:bCs/>
          <w:sz w:val="28"/>
          <w:szCs w:val="28"/>
        </w:rPr>
        <w:t xml:space="preserve"> Division of the High</w:t>
      </w:r>
      <w:r w:rsidR="00DE5A42">
        <w:rPr>
          <w:bCs/>
          <w:sz w:val="28"/>
          <w:szCs w:val="28"/>
        </w:rPr>
        <w:t xml:space="preserve"> </w:t>
      </w:r>
      <w:r w:rsidR="00104384" w:rsidRPr="00E04592">
        <w:rPr>
          <w:bCs/>
          <w:sz w:val="28"/>
          <w:szCs w:val="28"/>
        </w:rPr>
        <w:t xml:space="preserve">Court, </w:t>
      </w:r>
      <w:r w:rsidR="00B96CF5" w:rsidRPr="00E04592">
        <w:rPr>
          <w:bCs/>
          <w:sz w:val="28"/>
          <w:szCs w:val="28"/>
        </w:rPr>
        <w:t>Mahikeng</w:t>
      </w:r>
      <w:r w:rsidR="00104384" w:rsidRPr="00E04592">
        <w:rPr>
          <w:bCs/>
          <w:sz w:val="28"/>
          <w:szCs w:val="28"/>
        </w:rPr>
        <w:t xml:space="preserve"> </w:t>
      </w:r>
      <w:r w:rsidR="00104384" w:rsidRPr="00DE5A42">
        <w:rPr>
          <w:bCs/>
          <w:sz w:val="28"/>
          <w:szCs w:val="28"/>
        </w:rPr>
        <w:t>(</w:t>
      </w:r>
      <w:r w:rsidR="00B96CF5" w:rsidRPr="00DE5A42">
        <w:rPr>
          <w:bCs/>
          <w:sz w:val="28"/>
          <w:szCs w:val="28"/>
        </w:rPr>
        <w:t>Gura</w:t>
      </w:r>
      <w:r w:rsidR="00DE5A42" w:rsidRPr="00DE5A42">
        <w:rPr>
          <w:bCs/>
          <w:sz w:val="28"/>
          <w:szCs w:val="28"/>
        </w:rPr>
        <w:t xml:space="preserve"> J</w:t>
      </w:r>
      <w:r w:rsidR="00104384" w:rsidRPr="00E04592">
        <w:rPr>
          <w:bCs/>
          <w:sz w:val="28"/>
          <w:szCs w:val="28"/>
        </w:rPr>
        <w:t xml:space="preserve"> sitting as court of first instance):</w:t>
      </w:r>
    </w:p>
    <w:p w:rsidR="00D37AB9" w:rsidRPr="0044708F" w:rsidRDefault="0044708F" w:rsidP="0044708F">
      <w:pPr>
        <w:spacing w:before="120"/>
        <w:ind w:left="1080" w:hanging="720"/>
        <w:rPr>
          <w:bCs/>
          <w:sz w:val="28"/>
          <w:szCs w:val="28"/>
        </w:rPr>
      </w:pPr>
      <w:r w:rsidRPr="00E04592">
        <w:rPr>
          <w:bCs/>
          <w:sz w:val="28"/>
          <w:szCs w:val="28"/>
        </w:rPr>
        <w:t>1</w:t>
      </w:r>
      <w:r w:rsidRPr="00E04592">
        <w:rPr>
          <w:bCs/>
          <w:sz w:val="28"/>
          <w:szCs w:val="28"/>
        </w:rPr>
        <w:tab/>
      </w:r>
      <w:r w:rsidR="00713147" w:rsidRPr="0044708F">
        <w:rPr>
          <w:bCs/>
          <w:sz w:val="28"/>
          <w:szCs w:val="28"/>
        </w:rPr>
        <w:t>The appeal is upheld with costs.</w:t>
      </w:r>
    </w:p>
    <w:p w:rsidR="005F7925" w:rsidRPr="0044708F" w:rsidRDefault="0044708F" w:rsidP="0044708F">
      <w:pPr>
        <w:spacing w:before="120"/>
        <w:ind w:left="1080" w:hanging="720"/>
        <w:rPr>
          <w:bCs/>
          <w:sz w:val="28"/>
          <w:szCs w:val="28"/>
        </w:rPr>
      </w:pPr>
      <w:r w:rsidRPr="003D50E0">
        <w:rPr>
          <w:bCs/>
          <w:sz w:val="28"/>
          <w:szCs w:val="28"/>
        </w:rPr>
        <w:t>2</w:t>
      </w:r>
      <w:r w:rsidRPr="003D50E0">
        <w:rPr>
          <w:bCs/>
          <w:sz w:val="28"/>
          <w:szCs w:val="28"/>
        </w:rPr>
        <w:tab/>
      </w:r>
      <w:r w:rsidR="008F43D8" w:rsidRPr="0044708F">
        <w:rPr>
          <w:bCs/>
          <w:sz w:val="28"/>
          <w:szCs w:val="28"/>
        </w:rPr>
        <w:t xml:space="preserve">Paragraphs </w:t>
      </w:r>
      <w:r w:rsidR="00713147" w:rsidRPr="0044708F">
        <w:rPr>
          <w:bCs/>
          <w:sz w:val="28"/>
          <w:szCs w:val="28"/>
        </w:rPr>
        <w:t>3</w:t>
      </w:r>
      <w:r w:rsidR="00DE5A42" w:rsidRPr="0044708F">
        <w:rPr>
          <w:bCs/>
          <w:sz w:val="28"/>
          <w:szCs w:val="28"/>
        </w:rPr>
        <w:t>.2</w:t>
      </w:r>
      <w:r w:rsidR="00713147" w:rsidRPr="0044708F">
        <w:rPr>
          <w:bCs/>
          <w:sz w:val="28"/>
          <w:szCs w:val="28"/>
        </w:rPr>
        <w:t xml:space="preserve"> and 3.3 of the </w:t>
      </w:r>
      <w:r w:rsidR="008F43D8" w:rsidRPr="0044708F">
        <w:rPr>
          <w:bCs/>
          <w:sz w:val="28"/>
          <w:szCs w:val="28"/>
        </w:rPr>
        <w:t xml:space="preserve">order </w:t>
      </w:r>
      <w:r w:rsidR="00713147" w:rsidRPr="0044708F">
        <w:rPr>
          <w:bCs/>
          <w:sz w:val="28"/>
          <w:szCs w:val="28"/>
        </w:rPr>
        <w:t xml:space="preserve">of the </w:t>
      </w:r>
      <w:r w:rsidR="00DE5A42" w:rsidRPr="0044708F">
        <w:rPr>
          <w:bCs/>
          <w:sz w:val="28"/>
          <w:szCs w:val="28"/>
        </w:rPr>
        <w:t xml:space="preserve">high </w:t>
      </w:r>
      <w:r w:rsidR="00713147" w:rsidRPr="0044708F">
        <w:rPr>
          <w:bCs/>
          <w:sz w:val="28"/>
          <w:szCs w:val="28"/>
        </w:rPr>
        <w:t xml:space="preserve">court </w:t>
      </w:r>
      <w:r w:rsidR="00AF531E" w:rsidRPr="0044708F">
        <w:rPr>
          <w:bCs/>
          <w:sz w:val="28"/>
          <w:szCs w:val="28"/>
        </w:rPr>
        <w:t xml:space="preserve">are </w:t>
      </w:r>
      <w:r w:rsidR="00713147" w:rsidRPr="0044708F">
        <w:rPr>
          <w:bCs/>
          <w:sz w:val="28"/>
          <w:szCs w:val="28"/>
        </w:rPr>
        <w:t>set aside.</w:t>
      </w:r>
    </w:p>
    <w:p w:rsidR="00AC1913" w:rsidRPr="00E04592" w:rsidRDefault="00AC1913" w:rsidP="00344D38">
      <w:pPr>
        <w:pBdr>
          <w:bottom w:val="single" w:sz="12" w:space="1" w:color="auto"/>
        </w:pBdr>
        <w:spacing w:line="240" w:lineRule="auto"/>
        <w:rPr>
          <w:sz w:val="28"/>
          <w:szCs w:val="28"/>
        </w:rPr>
      </w:pPr>
      <w:r w:rsidRPr="00E04592">
        <w:rPr>
          <w:noProof/>
          <w:sz w:val="28"/>
          <w:szCs w:val="28"/>
          <w:lang w:val="en-ZA" w:eastAsia="en-ZA"/>
        </w:rPr>
        <mc:AlternateContent>
          <mc:Choice Requires="wps">
            <w:drawing>
              <wp:anchor distT="0" distB="0" distL="114300" distR="114300" simplePos="0" relativeHeight="251661312" behindDoc="0" locked="0" layoutInCell="1" allowOverlap="1" wp14:anchorId="00B9D714" wp14:editId="747CDA1A">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B786"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rsidR="00AF531E" w:rsidRDefault="00AF531E" w:rsidP="00AC1913">
      <w:pPr>
        <w:pStyle w:val="Heading3"/>
        <w:pBdr>
          <w:bottom w:val="single" w:sz="12" w:space="12" w:color="auto"/>
        </w:pBdr>
        <w:jc w:val="center"/>
        <w:rPr>
          <w:rFonts w:ascii="Times New Roman" w:hAnsi="Times New Roman" w:cs="Times New Roman"/>
          <w:b/>
          <w:i w:val="0"/>
          <w:szCs w:val="28"/>
        </w:rPr>
      </w:pPr>
    </w:p>
    <w:p w:rsidR="00AC1913" w:rsidRPr="00E04592" w:rsidRDefault="00AC1913" w:rsidP="00AC1913">
      <w:pPr>
        <w:pStyle w:val="Heading3"/>
        <w:pBdr>
          <w:bottom w:val="single" w:sz="12" w:space="12" w:color="auto"/>
        </w:pBdr>
        <w:jc w:val="center"/>
        <w:rPr>
          <w:rFonts w:ascii="Times New Roman" w:hAnsi="Times New Roman" w:cs="Times New Roman"/>
        </w:rPr>
      </w:pPr>
      <w:r w:rsidRPr="00E04592">
        <w:rPr>
          <w:rFonts w:ascii="Times New Roman" w:hAnsi="Times New Roman" w:cs="Times New Roman"/>
          <w:b/>
          <w:i w:val="0"/>
          <w:szCs w:val="28"/>
        </w:rPr>
        <w:t>JUDGMENT</w:t>
      </w:r>
    </w:p>
    <w:p w:rsidR="00B2214D" w:rsidRPr="00863715" w:rsidRDefault="00004D20" w:rsidP="006D1E91">
      <w:pPr>
        <w:spacing w:before="240"/>
        <w:rPr>
          <w:b/>
          <w:sz w:val="28"/>
          <w:szCs w:val="28"/>
        </w:rPr>
      </w:pPr>
      <w:r w:rsidRPr="00863715">
        <w:rPr>
          <w:b/>
          <w:sz w:val="28"/>
          <w:szCs w:val="28"/>
        </w:rPr>
        <w:t xml:space="preserve">Dambuza </w:t>
      </w:r>
      <w:r w:rsidR="00344D38" w:rsidRPr="00863715">
        <w:rPr>
          <w:b/>
          <w:sz w:val="28"/>
          <w:szCs w:val="28"/>
        </w:rPr>
        <w:t xml:space="preserve">JA </w:t>
      </w:r>
      <w:r w:rsidR="00AC1913" w:rsidRPr="00863715">
        <w:rPr>
          <w:b/>
          <w:sz w:val="28"/>
          <w:szCs w:val="28"/>
        </w:rPr>
        <w:t>(</w:t>
      </w:r>
      <w:r w:rsidR="00207503" w:rsidRPr="00863715">
        <w:rPr>
          <w:b/>
          <w:sz w:val="28"/>
          <w:szCs w:val="28"/>
        </w:rPr>
        <w:t>Mocumie</w:t>
      </w:r>
      <w:r w:rsidR="00FC2222" w:rsidRPr="00863715">
        <w:rPr>
          <w:b/>
          <w:sz w:val="28"/>
          <w:szCs w:val="28"/>
        </w:rPr>
        <w:t xml:space="preserve">, </w:t>
      </w:r>
      <w:r w:rsidR="00207503" w:rsidRPr="00863715">
        <w:rPr>
          <w:b/>
          <w:sz w:val="28"/>
          <w:szCs w:val="28"/>
        </w:rPr>
        <w:t>Makgoka, Weiner JJA, and Siwendu AJA</w:t>
      </w:r>
      <w:r w:rsidR="00CC115E">
        <w:rPr>
          <w:b/>
          <w:sz w:val="28"/>
          <w:szCs w:val="28"/>
        </w:rPr>
        <w:t xml:space="preserve"> concurring</w:t>
      </w:r>
      <w:r w:rsidR="00207503" w:rsidRPr="00863715">
        <w:rPr>
          <w:b/>
          <w:sz w:val="28"/>
          <w:szCs w:val="28"/>
        </w:rPr>
        <w:t>)</w:t>
      </w:r>
      <w:r w:rsidR="00B801D9">
        <w:rPr>
          <w:b/>
          <w:sz w:val="28"/>
          <w:szCs w:val="28"/>
        </w:rPr>
        <w:t>:</w:t>
      </w:r>
    </w:p>
    <w:p w:rsidR="00CB44F8" w:rsidRPr="00863715" w:rsidRDefault="00CB44F8" w:rsidP="001C11A0">
      <w:pPr>
        <w:tabs>
          <w:tab w:val="left" w:pos="0"/>
        </w:tabs>
        <w:rPr>
          <w:b/>
          <w:sz w:val="28"/>
          <w:szCs w:val="28"/>
        </w:rPr>
      </w:pPr>
    </w:p>
    <w:p w:rsidR="00C3434A" w:rsidRPr="00863715" w:rsidRDefault="00D47A1D" w:rsidP="00D47A1D">
      <w:pPr>
        <w:tabs>
          <w:tab w:val="left" w:pos="0"/>
        </w:tabs>
        <w:rPr>
          <w:sz w:val="28"/>
          <w:szCs w:val="28"/>
        </w:rPr>
      </w:pPr>
      <w:r w:rsidRPr="00863715">
        <w:rPr>
          <w:sz w:val="28"/>
          <w:szCs w:val="28"/>
        </w:rPr>
        <w:t>[1]</w:t>
      </w:r>
      <w:r w:rsidRPr="00863715">
        <w:rPr>
          <w:sz w:val="28"/>
          <w:szCs w:val="28"/>
        </w:rPr>
        <w:tab/>
      </w:r>
      <w:r w:rsidR="00601C5A" w:rsidRPr="00863715">
        <w:rPr>
          <w:sz w:val="28"/>
          <w:szCs w:val="28"/>
        </w:rPr>
        <w:t>T</w:t>
      </w:r>
      <w:r w:rsidR="00BD1EA5" w:rsidRPr="00863715">
        <w:rPr>
          <w:sz w:val="28"/>
          <w:szCs w:val="28"/>
        </w:rPr>
        <w:t>h</w:t>
      </w:r>
      <w:r w:rsidR="00207AB8" w:rsidRPr="00863715">
        <w:rPr>
          <w:sz w:val="28"/>
          <w:szCs w:val="28"/>
        </w:rPr>
        <w:t>e</w:t>
      </w:r>
      <w:r w:rsidR="00BD1EA5" w:rsidRPr="00863715">
        <w:rPr>
          <w:sz w:val="28"/>
          <w:szCs w:val="28"/>
        </w:rPr>
        <w:t xml:space="preserve"> </w:t>
      </w:r>
      <w:r w:rsidR="00575DD6" w:rsidRPr="00863715">
        <w:rPr>
          <w:sz w:val="28"/>
          <w:szCs w:val="28"/>
        </w:rPr>
        <w:t xml:space="preserve">issue in this </w:t>
      </w:r>
      <w:r w:rsidR="00601C5A" w:rsidRPr="00863715">
        <w:rPr>
          <w:sz w:val="28"/>
          <w:szCs w:val="28"/>
        </w:rPr>
        <w:t xml:space="preserve">appeal </w:t>
      </w:r>
      <w:r w:rsidR="00575DD6" w:rsidRPr="00863715">
        <w:rPr>
          <w:sz w:val="28"/>
          <w:szCs w:val="28"/>
        </w:rPr>
        <w:t>is the competency of an order granted by the North West Division of the High Court, Mahikeng (</w:t>
      </w:r>
      <w:r w:rsidR="001076C1" w:rsidRPr="00863715">
        <w:rPr>
          <w:sz w:val="28"/>
          <w:szCs w:val="28"/>
        </w:rPr>
        <w:t xml:space="preserve">the </w:t>
      </w:r>
      <w:r w:rsidR="00575DD6" w:rsidRPr="00863715">
        <w:rPr>
          <w:sz w:val="28"/>
          <w:szCs w:val="28"/>
        </w:rPr>
        <w:t>high court)</w:t>
      </w:r>
      <w:r w:rsidR="002E5E98" w:rsidRPr="00863715">
        <w:rPr>
          <w:sz w:val="28"/>
          <w:szCs w:val="28"/>
        </w:rPr>
        <w:t xml:space="preserve">, without it having been sought by any of the parties before court. </w:t>
      </w:r>
      <w:r w:rsidR="00AE0E08" w:rsidRPr="00863715">
        <w:rPr>
          <w:sz w:val="28"/>
          <w:szCs w:val="28"/>
        </w:rPr>
        <w:t>T</w:t>
      </w:r>
      <w:r w:rsidR="00BD1EA5" w:rsidRPr="00863715">
        <w:rPr>
          <w:sz w:val="28"/>
          <w:szCs w:val="28"/>
        </w:rPr>
        <w:t>he appellant</w:t>
      </w:r>
      <w:r w:rsidR="00156457" w:rsidRPr="00863715">
        <w:rPr>
          <w:sz w:val="28"/>
          <w:szCs w:val="28"/>
        </w:rPr>
        <w:t>,</w:t>
      </w:r>
      <w:r w:rsidR="00BD1EA5" w:rsidRPr="00863715">
        <w:rPr>
          <w:sz w:val="28"/>
          <w:szCs w:val="28"/>
        </w:rPr>
        <w:t xml:space="preserve"> Ms P</w:t>
      </w:r>
      <w:r w:rsidR="00156457" w:rsidRPr="00863715">
        <w:rPr>
          <w:sz w:val="28"/>
          <w:szCs w:val="28"/>
        </w:rPr>
        <w:t>e</w:t>
      </w:r>
      <w:r w:rsidR="00BD1EA5" w:rsidRPr="00863715">
        <w:rPr>
          <w:sz w:val="28"/>
          <w:szCs w:val="28"/>
        </w:rPr>
        <w:t xml:space="preserve">tronella De Nysschen </w:t>
      </w:r>
      <w:r w:rsidR="0098538B" w:rsidRPr="00863715">
        <w:rPr>
          <w:sz w:val="28"/>
          <w:szCs w:val="28"/>
        </w:rPr>
        <w:t xml:space="preserve">launched </w:t>
      </w:r>
      <w:r w:rsidR="00BD1EA5" w:rsidRPr="00863715">
        <w:rPr>
          <w:sz w:val="28"/>
          <w:szCs w:val="28"/>
        </w:rPr>
        <w:t xml:space="preserve">an application in </w:t>
      </w:r>
      <w:r w:rsidR="003350AA" w:rsidRPr="00863715">
        <w:rPr>
          <w:sz w:val="28"/>
          <w:szCs w:val="28"/>
        </w:rPr>
        <w:t>the high court</w:t>
      </w:r>
      <w:r w:rsidR="00BD1EA5" w:rsidRPr="00863715">
        <w:rPr>
          <w:sz w:val="28"/>
          <w:szCs w:val="28"/>
        </w:rPr>
        <w:t xml:space="preserve">, seeking an order that the </w:t>
      </w:r>
      <w:r w:rsidR="008468CC" w:rsidRPr="00863715">
        <w:rPr>
          <w:sz w:val="28"/>
          <w:szCs w:val="28"/>
        </w:rPr>
        <w:t xml:space="preserve">North West </w:t>
      </w:r>
      <w:r w:rsidR="00117823" w:rsidRPr="00863715">
        <w:rPr>
          <w:sz w:val="28"/>
          <w:szCs w:val="28"/>
        </w:rPr>
        <w:t xml:space="preserve">Province Department </w:t>
      </w:r>
      <w:r w:rsidR="00BD1EA5" w:rsidRPr="00863715">
        <w:rPr>
          <w:sz w:val="28"/>
          <w:szCs w:val="28"/>
        </w:rPr>
        <w:t>of Education</w:t>
      </w:r>
      <w:r w:rsidR="003412B6" w:rsidRPr="00863715">
        <w:rPr>
          <w:sz w:val="28"/>
          <w:szCs w:val="28"/>
        </w:rPr>
        <w:t xml:space="preserve"> </w:t>
      </w:r>
      <w:r w:rsidR="002826C4" w:rsidRPr="00863715">
        <w:rPr>
          <w:rStyle w:val="FootnoteReference"/>
          <w:sz w:val="28"/>
          <w:szCs w:val="28"/>
        </w:rPr>
        <w:footnoteReference w:id="1"/>
      </w:r>
      <w:r w:rsidR="003412B6" w:rsidRPr="00863715">
        <w:rPr>
          <w:sz w:val="28"/>
          <w:szCs w:val="28"/>
        </w:rPr>
        <w:t xml:space="preserve"> </w:t>
      </w:r>
      <w:r w:rsidR="00BD1EA5" w:rsidRPr="00863715">
        <w:rPr>
          <w:sz w:val="28"/>
          <w:szCs w:val="28"/>
        </w:rPr>
        <w:t xml:space="preserve">be directed to submit her </w:t>
      </w:r>
      <w:r w:rsidR="007D4DBF" w:rsidRPr="00863715">
        <w:rPr>
          <w:sz w:val="28"/>
          <w:szCs w:val="28"/>
        </w:rPr>
        <w:t>‘</w:t>
      </w:r>
      <w:r w:rsidR="00BD1EA5" w:rsidRPr="00863715">
        <w:rPr>
          <w:sz w:val="28"/>
          <w:szCs w:val="28"/>
        </w:rPr>
        <w:t>pension fund exit documents</w:t>
      </w:r>
      <w:r w:rsidR="007D4DBF" w:rsidRPr="00863715">
        <w:rPr>
          <w:sz w:val="28"/>
          <w:szCs w:val="28"/>
        </w:rPr>
        <w:t>’</w:t>
      </w:r>
      <w:r w:rsidR="00253F1A" w:rsidRPr="00863715">
        <w:rPr>
          <w:sz w:val="28"/>
          <w:szCs w:val="28"/>
        </w:rPr>
        <w:t xml:space="preserve"> or pension withdrawal documents</w:t>
      </w:r>
      <w:r w:rsidR="00CA7C0F" w:rsidRPr="00863715">
        <w:rPr>
          <w:sz w:val="28"/>
          <w:szCs w:val="28"/>
        </w:rPr>
        <w:t>,</w:t>
      </w:r>
      <w:r w:rsidR="00BD1EA5" w:rsidRPr="00863715">
        <w:rPr>
          <w:sz w:val="28"/>
          <w:szCs w:val="28"/>
        </w:rPr>
        <w:t xml:space="preserve"> to </w:t>
      </w:r>
      <w:r w:rsidR="002826C4" w:rsidRPr="00863715">
        <w:rPr>
          <w:sz w:val="28"/>
          <w:szCs w:val="28"/>
        </w:rPr>
        <w:t xml:space="preserve">the </w:t>
      </w:r>
      <w:r w:rsidR="008468CC" w:rsidRPr="00863715">
        <w:rPr>
          <w:sz w:val="28"/>
          <w:szCs w:val="28"/>
        </w:rPr>
        <w:t xml:space="preserve">first respondent, </w:t>
      </w:r>
      <w:r w:rsidR="00CC115E">
        <w:rPr>
          <w:sz w:val="28"/>
          <w:szCs w:val="28"/>
        </w:rPr>
        <w:t xml:space="preserve">the </w:t>
      </w:r>
      <w:r w:rsidR="002826C4" w:rsidRPr="00863715">
        <w:rPr>
          <w:sz w:val="28"/>
          <w:szCs w:val="28"/>
        </w:rPr>
        <w:t xml:space="preserve">Government </w:t>
      </w:r>
      <w:r w:rsidR="00253F1A" w:rsidRPr="00863715">
        <w:rPr>
          <w:sz w:val="28"/>
          <w:szCs w:val="28"/>
        </w:rPr>
        <w:t xml:space="preserve">Employee </w:t>
      </w:r>
      <w:r w:rsidR="002826C4" w:rsidRPr="00863715">
        <w:rPr>
          <w:sz w:val="28"/>
          <w:szCs w:val="28"/>
        </w:rPr>
        <w:t>Pension Fund</w:t>
      </w:r>
      <w:r w:rsidR="002826C4" w:rsidRPr="00863715">
        <w:rPr>
          <w:rStyle w:val="FootnoteReference"/>
          <w:sz w:val="28"/>
          <w:szCs w:val="28"/>
        </w:rPr>
        <w:footnoteReference w:id="2"/>
      </w:r>
      <w:r w:rsidR="004D6CB1" w:rsidRPr="00863715">
        <w:rPr>
          <w:sz w:val="28"/>
          <w:szCs w:val="28"/>
        </w:rPr>
        <w:t xml:space="preserve"> </w:t>
      </w:r>
      <w:r w:rsidR="00253F1A" w:rsidRPr="00863715">
        <w:rPr>
          <w:sz w:val="28"/>
          <w:szCs w:val="28"/>
        </w:rPr>
        <w:t>(</w:t>
      </w:r>
      <w:r w:rsidR="001076C1" w:rsidRPr="00863715">
        <w:rPr>
          <w:sz w:val="28"/>
          <w:szCs w:val="28"/>
        </w:rPr>
        <w:t xml:space="preserve">the </w:t>
      </w:r>
      <w:r w:rsidR="00253F1A" w:rsidRPr="00863715">
        <w:rPr>
          <w:sz w:val="28"/>
          <w:szCs w:val="28"/>
        </w:rPr>
        <w:t>GEPF)</w:t>
      </w:r>
      <w:r w:rsidR="00BD1EA5" w:rsidRPr="00863715">
        <w:rPr>
          <w:sz w:val="28"/>
          <w:szCs w:val="28"/>
        </w:rPr>
        <w:t xml:space="preserve"> </w:t>
      </w:r>
      <w:r w:rsidR="002826C4" w:rsidRPr="00863715">
        <w:rPr>
          <w:sz w:val="28"/>
          <w:szCs w:val="28"/>
        </w:rPr>
        <w:lastRenderedPageBreak/>
        <w:t>for processing.</w:t>
      </w:r>
      <w:r w:rsidR="00601C5A" w:rsidRPr="00863715">
        <w:rPr>
          <w:sz w:val="28"/>
          <w:szCs w:val="28"/>
        </w:rPr>
        <w:t xml:space="preserve"> </w:t>
      </w:r>
      <w:r w:rsidR="00156457" w:rsidRPr="00863715">
        <w:rPr>
          <w:sz w:val="28"/>
          <w:szCs w:val="28"/>
        </w:rPr>
        <w:t>T</w:t>
      </w:r>
      <w:r w:rsidR="007D4DBF" w:rsidRPr="00863715">
        <w:rPr>
          <w:sz w:val="28"/>
          <w:szCs w:val="28"/>
        </w:rPr>
        <w:t>he high court</w:t>
      </w:r>
      <w:r w:rsidR="00156457" w:rsidRPr="00863715">
        <w:rPr>
          <w:sz w:val="28"/>
          <w:szCs w:val="28"/>
        </w:rPr>
        <w:t xml:space="preserve"> granted the order sought by the appel</w:t>
      </w:r>
      <w:r w:rsidR="00253F1A" w:rsidRPr="00863715">
        <w:rPr>
          <w:sz w:val="28"/>
          <w:szCs w:val="28"/>
        </w:rPr>
        <w:t xml:space="preserve">lant, </w:t>
      </w:r>
      <w:r w:rsidR="00120069" w:rsidRPr="00863715">
        <w:rPr>
          <w:sz w:val="28"/>
          <w:szCs w:val="28"/>
        </w:rPr>
        <w:t>but</w:t>
      </w:r>
      <w:r w:rsidR="00253F1A" w:rsidRPr="00863715">
        <w:rPr>
          <w:sz w:val="28"/>
          <w:szCs w:val="28"/>
        </w:rPr>
        <w:t xml:space="preserve"> </w:t>
      </w:r>
      <w:r w:rsidR="00AE0E08" w:rsidRPr="00863715">
        <w:rPr>
          <w:sz w:val="28"/>
          <w:szCs w:val="28"/>
        </w:rPr>
        <w:t xml:space="preserve">then </w:t>
      </w:r>
      <w:r w:rsidR="00253F1A" w:rsidRPr="00863715">
        <w:rPr>
          <w:sz w:val="28"/>
          <w:szCs w:val="28"/>
        </w:rPr>
        <w:t>went furthe</w:t>
      </w:r>
      <w:r w:rsidR="004D6CB1" w:rsidRPr="00863715">
        <w:rPr>
          <w:sz w:val="28"/>
          <w:szCs w:val="28"/>
        </w:rPr>
        <w:t xml:space="preserve">r to grant </w:t>
      </w:r>
      <w:r w:rsidR="00253F1A" w:rsidRPr="00863715">
        <w:rPr>
          <w:sz w:val="28"/>
          <w:szCs w:val="28"/>
        </w:rPr>
        <w:t>a</w:t>
      </w:r>
      <w:r w:rsidR="004D6CB1" w:rsidRPr="00863715">
        <w:rPr>
          <w:sz w:val="28"/>
          <w:szCs w:val="28"/>
        </w:rPr>
        <w:t xml:space="preserve">n order </w:t>
      </w:r>
      <w:r w:rsidR="00AE0E08" w:rsidRPr="00863715">
        <w:rPr>
          <w:sz w:val="28"/>
          <w:szCs w:val="28"/>
        </w:rPr>
        <w:t>that she pay</w:t>
      </w:r>
      <w:r w:rsidR="007D4DBF" w:rsidRPr="00863715">
        <w:rPr>
          <w:sz w:val="28"/>
          <w:szCs w:val="28"/>
        </w:rPr>
        <w:t xml:space="preserve"> to the Department an amount </w:t>
      </w:r>
      <w:r w:rsidR="00EA4705" w:rsidRPr="00863715">
        <w:rPr>
          <w:sz w:val="28"/>
          <w:szCs w:val="28"/>
        </w:rPr>
        <w:t xml:space="preserve">of </w:t>
      </w:r>
      <w:r w:rsidR="007D4DBF" w:rsidRPr="00863715">
        <w:rPr>
          <w:sz w:val="28"/>
          <w:szCs w:val="28"/>
        </w:rPr>
        <w:t>R5</w:t>
      </w:r>
      <w:r w:rsidR="003350AA" w:rsidRPr="00863715">
        <w:rPr>
          <w:sz w:val="28"/>
          <w:szCs w:val="28"/>
        </w:rPr>
        <w:t xml:space="preserve"> </w:t>
      </w:r>
      <w:r w:rsidR="007D4DBF" w:rsidRPr="00863715">
        <w:rPr>
          <w:sz w:val="28"/>
          <w:szCs w:val="28"/>
        </w:rPr>
        <w:t>194</w:t>
      </w:r>
      <w:r w:rsidR="003350AA" w:rsidRPr="00863715">
        <w:rPr>
          <w:sz w:val="28"/>
          <w:szCs w:val="28"/>
        </w:rPr>
        <w:t xml:space="preserve"> </w:t>
      </w:r>
      <w:r w:rsidR="007D4DBF" w:rsidRPr="00863715">
        <w:rPr>
          <w:sz w:val="28"/>
          <w:szCs w:val="28"/>
        </w:rPr>
        <w:t>418.72</w:t>
      </w:r>
      <w:r w:rsidR="00AC03CC" w:rsidRPr="00863715">
        <w:rPr>
          <w:sz w:val="28"/>
          <w:szCs w:val="28"/>
        </w:rPr>
        <w:t>,</w:t>
      </w:r>
      <w:r w:rsidR="0098538B" w:rsidRPr="00863715">
        <w:rPr>
          <w:sz w:val="28"/>
          <w:szCs w:val="28"/>
        </w:rPr>
        <w:t xml:space="preserve"> </w:t>
      </w:r>
      <w:r w:rsidR="00AE0E08" w:rsidRPr="00863715">
        <w:rPr>
          <w:sz w:val="28"/>
          <w:szCs w:val="28"/>
        </w:rPr>
        <w:t xml:space="preserve">which was </w:t>
      </w:r>
      <w:r w:rsidR="0098538B" w:rsidRPr="00863715">
        <w:rPr>
          <w:sz w:val="28"/>
          <w:szCs w:val="28"/>
        </w:rPr>
        <w:t xml:space="preserve">to </w:t>
      </w:r>
      <w:r w:rsidR="00C3434A" w:rsidRPr="00863715">
        <w:rPr>
          <w:sz w:val="28"/>
          <w:szCs w:val="28"/>
        </w:rPr>
        <w:t>be deducted from the proceeds of her pension</w:t>
      </w:r>
      <w:r w:rsidR="00EA4705" w:rsidRPr="00863715">
        <w:rPr>
          <w:sz w:val="28"/>
          <w:szCs w:val="28"/>
        </w:rPr>
        <w:t xml:space="preserve"> benefit</w:t>
      </w:r>
      <w:r w:rsidR="00C3434A" w:rsidRPr="00863715">
        <w:rPr>
          <w:sz w:val="28"/>
          <w:szCs w:val="28"/>
        </w:rPr>
        <w:t>. This appeal is only against the</w:t>
      </w:r>
      <w:r w:rsidR="001076C1" w:rsidRPr="00863715">
        <w:rPr>
          <w:sz w:val="28"/>
          <w:szCs w:val="28"/>
        </w:rPr>
        <w:t xml:space="preserve"> </w:t>
      </w:r>
      <w:r w:rsidR="00117823" w:rsidRPr="00863715">
        <w:rPr>
          <w:sz w:val="28"/>
          <w:szCs w:val="28"/>
        </w:rPr>
        <w:t xml:space="preserve">order </w:t>
      </w:r>
      <w:r w:rsidR="001076C1" w:rsidRPr="00863715">
        <w:rPr>
          <w:sz w:val="28"/>
          <w:szCs w:val="28"/>
        </w:rPr>
        <w:t xml:space="preserve">for payment. </w:t>
      </w:r>
      <w:r w:rsidR="00C3434A" w:rsidRPr="00863715">
        <w:rPr>
          <w:sz w:val="28"/>
          <w:szCs w:val="28"/>
        </w:rPr>
        <w:t>Leave to appeal was granted by the high court.</w:t>
      </w:r>
    </w:p>
    <w:p w:rsidR="00C3434A" w:rsidRPr="00863715" w:rsidRDefault="00C3434A" w:rsidP="00D47A1D">
      <w:pPr>
        <w:tabs>
          <w:tab w:val="left" w:pos="0"/>
        </w:tabs>
        <w:rPr>
          <w:sz w:val="28"/>
          <w:szCs w:val="28"/>
        </w:rPr>
      </w:pPr>
    </w:p>
    <w:p w:rsidR="00D47A1D" w:rsidRPr="00863715" w:rsidRDefault="00C3434A" w:rsidP="00D47A1D">
      <w:pPr>
        <w:tabs>
          <w:tab w:val="left" w:pos="0"/>
        </w:tabs>
        <w:rPr>
          <w:sz w:val="28"/>
          <w:szCs w:val="28"/>
        </w:rPr>
      </w:pPr>
      <w:r w:rsidRPr="00863715">
        <w:rPr>
          <w:sz w:val="28"/>
          <w:szCs w:val="28"/>
        </w:rPr>
        <w:t>[</w:t>
      </w:r>
      <w:r w:rsidR="00AC03CC" w:rsidRPr="00863715">
        <w:rPr>
          <w:sz w:val="28"/>
          <w:szCs w:val="28"/>
        </w:rPr>
        <w:t>2</w:t>
      </w:r>
      <w:r w:rsidRPr="00863715">
        <w:rPr>
          <w:sz w:val="28"/>
          <w:szCs w:val="28"/>
        </w:rPr>
        <w:t>]</w:t>
      </w:r>
      <w:r w:rsidRPr="00863715">
        <w:rPr>
          <w:sz w:val="28"/>
          <w:szCs w:val="28"/>
        </w:rPr>
        <w:tab/>
        <w:t>The context in which the contested order was granted is the following</w:t>
      </w:r>
      <w:r w:rsidR="001279E5" w:rsidRPr="00863715">
        <w:rPr>
          <w:sz w:val="28"/>
          <w:szCs w:val="28"/>
        </w:rPr>
        <w:t>.</w:t>
      </w:r>
      <w:r w:rsidRPr="00863715">
        <w:rPr>
          <w:sz w:val="28"/>
          <w:szCs w:val="28"/>
        </w:rPr>
        <w:t xml:space="preserve"> </w:t>
      </w:r>
      <w:r w:rsidR="001279E5" w:rsidRPr="00863715">
        <w:rPr>
          <w:sz w:val="28"/>
          <w:szCs w:val="28"/>
        </w:rPr>
        <w:t>F</w:t>
      </w:r>
      <w:r w:rsidR="00992B86" w:rsidRPr="00863715">
        <w:rPr>
          <w:sz w:val="28"/>
          <w:szCs w:val="28"/>
        </w:rPr>
        <w:t xml:space="preserve">rom 15 January 1979 to </w:t>
      </w:r>
      <w:r w:rsidR="00C81512" w:rsidRPr="00863715">
        <w:rPr>
          <w:sz w:val="28"/>
          <w:szCs w:val="28"/>
        </w:rPr>
        <w:t>26 June</w:t>
      </w:r>
      <w:r w:rsidR="00992B86" w:rsidRPr="00863715">
        <w:rPr>
          <w:sz w:val="28"/>
          <w:szCs w:val="28"/>
        </w:rPr>
        <w:t xml:space="preserve"> 20</w:t>
      </w:r>
      <w:r w:rsidR="00C81512" w:rsidRPr="00863715">
        <w:rPr>
          <w:sz w:val="28"/>
          <w:szCs w:val="28"/>
        </w:rPr>
        <w:t>13</w:t>
      </w:r>
      <w:r w:rsidR="001B2DC9" w:rsidRPr="00863715">
        <w:rPr>
          <w:sz w:val="28"/>
          <w:szCs w:val="28"/>
        </w:rPr>
        <w:t>,</w:t>
      </w:r>
      <w:r w:rsidR="00992B86" w:rsidRPr="00863715">
        <w:rPr>
          <w:sz w:val="28"/>
          <w:szCs w:val="28"/>
        </w:rPr>
        <w:t xml:space="preserve"> t</w:t>
      </w:r>
      <w:r w:rsidR="00D47A1D" w:rsidRPr="00863715">
        <w:rPr>
          <w:sz w:val="28"/>
          <w:szCs w:val="28"/>
        </w:rPr>
        <w:t>he appellant was employed by the N</w:t>
      </w:r>
      <w:r w:rsidR="00513E12" w:rsidRPr="00863715">
        <w:rPr>
          <w:sz w:val="28"/>
          <w:szCs w:val="28"/>
        </w:rPr>
        <w:t>orth West Province</w:t>
      </w:r>
      <w:r w:rsidR="00D47A1D" w:rsidRPr="00863715">
        <w:rPr>
          <w:sz w:val="28"/>
          <w:szCs w:val="28"/>
        </w:rPr>
        <w:t xml:space="preserve"> Department of Education</w:t>
      </w:r>
      <w:r w:rsidR="008468CC" w:rsidRPr="00863715">
        <w:rPr>
          <w:sz w:val="28"/>
          <w:szCs w:val="28"/>
        </w:rPr>
        <w:t xml:space="preserve"> (the department)</w:t>
      </w:r>
      <w:r w:rsidR="00C81512" w:rsidRPr="00863715">
        <w:rPr>
          <w:sz w:val="28"/>
          <w:szCs w:val="28"/>
        </w:rPr>
        <w:t>.</w:t>
      </w:r>
      <w:r w:rsidR="00CA7C0F" w:rsidRPr="00863715">
        <w:rPr>
          <w:rStyle w:val="FootnoteReference"/>
          <w:sz w:val="28"/>
          <w:szCs w:val="28"/>
        </w:rPr>
        <w:footnoteReference w:id="3"/>
      </w:r>
      <w:r w:rsidR="00D47A1D" w:rsidRPr="00863715">
        <w:rPr>
          <w:sz w:val="28"/>
          <w:szCs w:val="28"/>
        </w:rPr>
        <w:t xml:space="preserve"> </w:t>
      </w:r>
      <w:r w:rsidR="00C81512" w:rsidRPr="00863715">
        <w:rPr>
          <w:sz w:val="28"/>
          <w:szCs w:val="28"/>
        </w:rPr>
        <w:t>She</w:t>
      </w:r>
      <w:r w:rsidR="00992B86" w:rsidRPr="00863715">
        <w:rPr>
          <w:sz w:val="28"/>
          <w:szCs w:val="28"/>
        </w:rPr>
        <w:t xml:space="preserve"> was promoted at various stages of her career</w:t>
      </w:r>
      <w:r w:rsidR="00EA4705" w:rsidRPr="00863715">
        <w:rPr>
          <w:sz w:val="28"/>
          <w:szCs w:val="28"/>
        </w:rPr>
        <w:t>,</w:t>
      </w:r>
      <w:r w:rsidR="00992B86" w:rsidRPr="00863715">
        <w:rPr>
          <w:sz w:val="28"/>
          <w:szCs w:val="28"/>
        </w:rPr>
        <w:t xml:space="preserve"> until she reached the level of Executive Manager</w:t>
      </w:r>
      <w:r w:rsidR="00D47A1D" w:rsidRPr="00863715">
        <w:rPr>
          <w:sz w:val="28"/>
          <w:szCs w:val="28"/>
        </w:rPr>
        <w:t xml:space="preserve"> </w:t>
      </w:r>
      <w:r w:rsidR="00992B86" w:rsidRPr="00863715">
        <w:rPr>
          <w:sz w:val="28"/>
          <w:szCs w:val="28"/>
        </w:rPr>
        <w:t>(</w:t>
      </w:r>
      <w:r w:rsidR="00D47A1D" w:rsidRPr="00863715">
        <w:rPr>
          <w:sz w:val="28"/>
          <w:szCs w:val="28"/>
        </w:rPr>
        <w:t>Chief Director</w:t>
      </w:r>
      <w:r w:rsidR="00992B86" w:rsidRPr="00863715">
        <w:rPr>
          <w:sz w:val="28"/>
          <w:szCs w:val="28"/>
        </w:rPr>
        <w:t xml:space="preserve">) in the Human Resources Division of the Department. </w:t>
      </w:r>
      <w:r w:rsidR="00513E12" w:rsidRPr="00863715">
        <w:rPr>
          <w:sz w:val="28"/>
          <w:szCs w:val="28"/>
        </w:rPr>
        <w:t xml:space="preserve">It was common cause that, as </w:t>
      </w:r>
      <w:r w:rsidR="00992B86" w:rsidRPr="00863715">
        <w:rPr>
          <w:sz w:val="28"/>
          <w:szCs w:val="28"/>
        </w:rPr>
        <w:t>an employee of the Department</w:t>
      </w:r>
      <w:r w:rsidR="001B2DC9" w:rsidRPr="00863715">
        <w:rPr>
          <w:sz w:val="28"/>
          <w:szCs w:val="28"/>
        </w:rPr>
        <w:t>,</w:t>
      </w:r>
      <w:r w:rsidR="00992B86" w:rsidRPr="00863715">
        <w:rPr>
          <w:sz w:val="28"/>
          <w:szCs w:val="28"/>
        </w:rPr>
        <w:t xml:space="preserve"> </w:t>
      </w:r>
      <w:r w:rsidR="00513E12" w:rsidRPr="00863715">
        <w:rPr>
          <w:sz w:val="28"/>
          <w:szCs w:val="28"/>
        </w:rPr>
        <w:t>she</w:t>
      </w:r>
      <w:r w:rsidR="00992B86" w:rsidRPr="00863715">
        <w:rPr>
          <w:sz w:val="28"/>
          <w:szCs w:val="28"/>
        </w:rPr>
        <w:t xml:space="preserve"> was a member of t</w:t>
      </w:r>
      <w:r w:rsidR="00C81512" w:rsidRPr="00863715">
        <w:rPr>
          <w:sz w:val="28"/>
          <w:szCs w:val="28"/>
        </w:rPr>
        <w:t>he GEPF</w:t>
      </w:r>
      <w:r w:rsidR="00992B86" w:rsidRPr="00863715">
        <w:rPr>
          <w:sz w:val="28"/>
          <w:szCs w:val="28"/>
        </w:rPr>
        <w:t>.</w:t>
      </w:r>
      <w:r w:rsidR="00676A0A" w:rsidRPr="00863715">
        <w:rPr>
          <w:rStyle w:val="FootnoteReference"/>
          <w:sz w:val="28"/>
          <w:szCs w:val="28"/>
        </w:rPr>
        <w:footnoteReference w:id="4"/>
      </w:r>
      <w:r w:rsidR="00992B86" w:rsidRPr="00863715">
        <w:rPr>
          <w:sz w:val="28"/>
          <w:szCs w:val="28"/>
        </w:rPr>
        <w:t xml:space="preserve"> O</w:t>
      </w:r>
      <w:r w:rsidR="00D47A1D" w:rsidRPr="00863715">
        <w:rPr>
          <w:sz w:val="28"/>
          <w:szCs w:val="28"/>
        </w:rPr>
        <w:t xml:space="preserve">n 26 June 2013 her employment was terminated by the Head of </w:t>
      </w:r>
      <w:r w:rsidR="00300B42" w:rsidRPr="00863715">
        <w:rPr>
          <w:sz w:val="28"/>
          <w:szCs w:val="28"/>
        </w:rPr>
        <w:t xml:space="preserve">the </w:t>
      </w:r>
      <w:r w:rsidR="00D47A1D" w:rsidRPr="00863715">
        <w:rPr>
          <w:sz w:val="28"/>
          <w:szCs w:val="28"/>
        </w:rPr>
        <w:t>Department following charges of misconduct.</w:t>
      </w:r>
      <w:r w:rsidR="00CC115E">
        <w:rPr>
          <w:sz w:val="28"/>
          <w:szCs w:val="28"/>
        </w:rPr>
        <w:t xml:space="preserve"> After</w:t>
      </w:r>
      <w:r w:rsidR="005B3FAE" w:rsidRPr="00863715">
        <w:rPr>
          <w:sz w:val="28"/>
          <w:szCs w:val="28"/>
        </w:rPr>
        <w:t xml:space="preserve"> her dismissal</w:t>
      </w:r>
      <w:r w:rsidR="00F457DD" w:rsidRPr="00863715">
        <w:rPr>
          <w:sz w:val="28"/>
          <w:szCs w:val="28"/>
        </w:rPr>
        <w:t>,</w:t>
      </w:r>
      <w:r w:rsidR="005B3FAE" w:rsidRPr="00863715">
        <w:rPr>
          <w:sz w:val="28"/>
          <w:szCs w:val="28"/>
        </w:rPr>
        <w:t xml:space="preserve"> the appellant</w:t>
      </w:r>
      <w:r w:rsidR="00071658" w:rsidRPr="00863715">
        <w:rPr>
          <w:sz w:val="28"/>
          <w:szCs w:val="28"/>
        </w:rPr>
        <w:t xml:space="preserve">’s membership of </w:t>
      </w:r>
      <w:r w:rsidR="008468CC" w:rsidRPr="00863715">
        <w:rPr>
          <w:sz w:val="28"/>
          <w:szCs w:val="28"/>
        </w:rPr>
        <w:t xml:space="preserve">the </w:t>
      </w:r>
      <w:r w:rsidR="00071658" w:rsidRPr="00863715">
        <w:rPr>
          <w:sz w:val="28"/>
          <w:szCs w:val="28"/>
        </w:rPr>
        <w:t>GEPF terminated, and as a result, she</w:t>
      </w:r>
      <w:r w:rsidR="005B3FAE" w:rsidRPr="00863715">
        <w:rPr>
          <w:sz w:val="28"/>
          <w:szCs w:val="28"/>
        </w:rPr>
        <w:t xml:space="preserve"> received </w:t>
      </w:r>
      <w:r w:rsidR="00A36D4D" w:rsidRPr="00863715">
        <w:rPr>
          <w:sz w:val="28"/>
          <w:szCs w:val="28"/>
        </w:rPr>
        <w:t>a</w:t>
      </w:r>
      <w:r w:rsidR="0009394A">
        <w:rPr>
          <w:sz w:val="28"/>
          <w:szCs w:val="28"/>
        </w:rPr>
        <w:t xml:space="preserve"> net</w:t>
      </w:r>
      <w:r w:rsidR="00A36D4D" w:rsidRPr="00863715">
        <w:rPr>
          <w:sz w:val="28"/>
          <w:szCs w:val="28"/>
        </w:rPr>
        <w:t xml:space="preserve"> </w:t>
      </w:r>
      <w:r w:rsidR="00CC115E">
        <w:rPr>
          <w:sz w:val="28"/>
          <w:szCs w:val="28"/>
        </w:rPr>
        <w:t xml:space="preserve">pension </w:t>
      </w:r>
      <w:r w:rsidR="00A36D4D" w:rsidRPr="00863715">
        <w:rPr>
          <w:sz w:val="28"/>
          <w:szCs w:val="28"/>
        </w:rPr>
        <w:t xml:space="preserve">benefit of R5 194 418.72 from </w:t>
      </w:r>
      <w:r w:rsidR="008468CC" w:rsidRPr="00863715">
        <w:rPr>
          <w:sz w:val="28"/>
          <w:szCs w:val="28"/>
        </w:rPr>
        <w:t xml:space="preserve">the </w:t>
      </w:r>
      <w:r w:rsidR="00A36D4D" w:rsidRPr="00863715">
        <w:rPr>
          <w:sz w:val="28"/>
          <w:szCs w:val="28"/>
        </w:rPr>
        <w:t>GEPF.</w:t>
      </w:r>
    </w:p>
    <w:p w:rsidR="00992B86" w:rsidRPr="00863715" w:rsidRDefault="00992B86" w:rsidP="00D47A1D">
      <w:pPr>
        <w:tabs>
          <w:tab w:val="left" w:pos="0"/>
        </w:tabs>
        <w:rPr>
          <w:sz w:val="28"/>
          <w:szCs w:val="28"/>
        </w:rPr>
      </w:pPr>
    </w:p>
    <w:p w:rsidR="00191133" w:rsidRPr="00863715" w:rsidRDefault="00AC03CC" w:rsidP="00D47A1D">
      <w:pPr>
        <w:tabs>
          <w:tab w:val="left" w:pos="0"/>
        </w:tabs>
        <w:rPr>
          <w:sz w:val="28"/>
          <w:szCs w:val="28"/>
        </w:rPr>
      </w:pPr>
      <w:r w:rsidRPr="00863715">
        <w:rPr>
          <w:sz w:val="28"/>
          <w:szCs w:val="28"/>
        </w:rPr>
        <w:t>[3</w:t>
      </w:r>
      <w:r w:rsidR="00D47A1D" w:rsidRPr="00863715">
        <w:rPr>
          <w:sz w:val="28"/>
          <w:szCs w:val="28"/>
        </w:rPr>
        <w:t>]</w:t>
      </w:r>
      <w:r w:rsidR="00D47A1D" w:rsidRPr="00863715">
        <w:rPr>
          <w:sz w:val="28"/>
          <w:szCs w:val="28"/>
        </w:rPr>
        <w:tab/>
        <w:t>The appellant successfully challenged her dismissal at the General Public Service Sectoral Bargaining Council</w:t>
      </w:r>
      <w:r w:rsidR="00E322A1" w:rsidRPr="00863715">
        <w:rPr>
          <w:sz w:val="28"/>
          <w:szCs w:val="28"/>
        </w:rPr>
        <w:t xml:space="preserve"> </w:t>
      </w:r>
      <w:r w:rsidR="00E4147E" w:rsidRPr="00863715">
        <w:rPr>
          <w:sz w:val="28"/>
          <w:szCs w:val="28"/>
        </w:rPr>
        <w:t xml:space="preserve">in an </w:t>
      </w:r>
      <w:r w:rsidR="00E322A1" w:rsidRPr="00863715">
        <w:rPr>
          <w:sz w:val="28"/>
          <w:szCs w:val="28"/>
        </w:rPr>
        <w:t>arbitration</w:t>
      </w:r>
      <w:r w:rsidR="00D47A1D" w:rsidRPr="00863715">
        <w:rPr>
          <w:sz w:val="28"/>
          <w:szCs w:val="28"/>
        </w:rPr>
        <w:t xml:space="preserve">. </w:t>
      </w:r>
      <w:r w:rsidR="00191133" w:rsidRPr="00863715">
        <w:rPr>
          <w:sz w:val="28"/>
          <w:szCs w:val="28"/>
        </w:rPr>
        <w:t>The arbitrator found her dismissal to have been substantively and procedurally unfair</w:t>
      </w:r>
      <w:r w:rsidR="00EA4705" w:rsidRPr="00863715">
        <w:rPr>
          <w:sz w:val="28"/>
          <w:szCs w:val="28"/>
        </w:rPr>
        <w:t>,</w:t>
      </w:r>
      <w:r w:rsidR="00191133" w:rsidRPr="00863715">
        <w:rPr>
          <w:sz w:val="28"/>
          <w:szCs w:val="28"/>
        </w:rPr>
        <w:t xml:space="preserve"> and directed that she be reinstated to her position on the terms that</w:t>
      </w:r>
      <w:r w:rsidR="00C81512" w:rsidRPr="00863715">
        <w:rPr>
          <w:sz w:val="28"/>
          <w:szCs w:val="28"/>
        </w:rPr>
        <w:t xml:space="preserve"> had </w:t>
      </w:r>
      <w:r w:rsidR="00191133" w:rsidRPr="00863715">
        <w:rPr>
          <w:sz w:val="28"/>
          <w:szCs w:val="28"/>
        </w:rPr>
        <w:t xml:space="preserve">governed </w:t>
      </w:r>
      <w:r w:rsidR="00191133" w:rsidRPr="00863715">
        <w:rPr>
          <w:sz w:val="28"/>
          <w:szCs w:val="28"/>
        </w:rPr>
        <w:lastRenderedPageBreak/>
        <w:t xml:space="preserve">her employment prior to her dismissal, without loss of benefits. An attempt by the Department to </w:t>
      </w:r>
      <w:r w:rsidR="0098538B" w:rsidRPr="00863715">
        <w:rPr>
          <w:sz w:val="28"/>
          <w:szCs w:val="28"/>
        </w:rPr>
        <w:t xml:space="preserve">review </w:t>
      </w:r>
      <w:r w:rsidR="00191133" w:rsidRPr="00863715">
        <w:rPr>
          <w:sz w:val="28"/>
          <w:szCs w:val="28"/>
        </w:rPr>
        <w:t xml:space="preserve">the arbitral award </w:t>
      </w:r>
      <w:r w:rsidR="0098538B" w:rsidRPr="00863715">
        <w:rPr>
          <w:sz w:val="28"/>
          <w:szCs w:val="28"/>
        </w:rPr>
        <w:t xml:space="preserve">in </w:t>
      </w:r>
      <w:r w:rsidR="00191133" w:rsidRPr="00863715">
        <w:rPr>
          <w:sz w:val="28"/>
          <w:szCs w:val="28"/>
        </w:rPr>
        <w:t xml:space="preserve">the Labour Court was </w:t>
      </w:r>
      <w:r w:rsidR="008468CC" w:rsidRPr="00863715">
        <w:rPr>
          <w:sz w:val="28"/>
          <w:szCs w:val="28"/>
        </w:rPr>
        <w:t xml:space="preserve">abandoned following </w:t>
      </w:r>
      <w:r w:rsidR="00191133" w:rsidRPr="00863715">
        <w:rPr>
          <w:sz w:val="28"/>
          <w:szCs w:val="28"/>
        </w:rPr>
        <w:t xml:space="preserve">the </w:t>
      </w:r>
      <w:r w:rsidR="00513E12" w:rsidRPr="00863715">
        <w:rPr>
          <w:sz w:val="28"/>
          <w:szCs w:val="28"/>
        </w:rPr>
        <w:t xml:space="preserve">intervention of the </w:t>
      </w:r>
      <w:r w:rsidR="0098538B" w:rsidRPr="00863715">
        <w:rPr>
          <w:sz w:val="28"/>
          <w:szCs w:val="28"/>
        </w:rPr>
        <w:t xml:space="preserve">then </w:t>
      </w:r>
      <w:r w:rsidR="00191133" w:rsidRPr="00863715">
        <w:rPr>
          <w:sz w:val="28"/>
          <w:szCs w:val="28"/>
        </w:rPr>
        <w:t>Provincial Director</w:t>
      </w:r>
      <w:r w:rsidR="00690184" w:rsidRPr="00863715">
        <w:rPr>
          <w:sz w:val="28"/>
          <w:szCs w:val="28"/>
        </w:rPr>
        <w:t>-</w:t>
      </w:r>
      <w:r w:rsidR="00191133" w:rsidRPr="00863715">
        <w:rPr>
          <w:sz w:val="28"/>
          <w:szCs w:val="28"/>
        </w:rPr>
        <w:t>General, P</w:t>
      </w:r>
      <w:r w:rsidR="004D6CB1" w:rsidRPr="00863715">
        <w:rPr>
          <w:sz w:val="28"/>
          <w:szCs w:val="28"/>
        </w:rPr>
        <w:t>rofessor T J Mokgoro</w:t>
      </w:r>
      <w:r w:rsidR="00B60A7D" w:rsidRPr="00863715">
        <w:rPr>
          <w:sz w:val="28"/>
          <w:szCs w:val="28"/>
        </w:rPr>
        <w:t xml:space="preserve">, </w:t>
      </w:r>
      <w:r w:rsidR="00513E12" w:rsidRPr="00863715">
        <w:rPr>
          <w:sz w:val="28"/>
          <w:szCs w:val="28"/>
        </w:rPr>
        <w:t>as a result of which</w:t>
      </w:r>
      <w:r w:rsidR="00DA18F9" w:rsidRPr="00863715">
        <w:rPr>
          <w:sz w:val="28"/>
          <w:szCs w:val="28"/>
        </w:rPr>
        <w:t xml:space="preserve"> a </w:t>
      </w:r>
      <w:r w:rsidR="00CD1C80" w:rsidRPr="00863715">
        <w:rPr>
          <w:sz w:val="28"/>
          <w:szCs w:val="28"/>
        </w:rPr>
        <w:t>written D</w:t>
      </w:r>
      <w:r w:rsidR="00191133" w:rsidRPr="00863715">
        <w:rPr>
          <w:sz w:val="28"/>
          <w:szCs w:val="28"/>
        </w:rPr>
        <w:t xml:space="preserve">eed of </w:t>
      </w:r>
      <w:r w:rsidR="0098538B" w:rsidRPr="00863715">
        <w:rPr>
          <w:sz w:val="28"/>
          <w:szCs w:val="28"/>
        </w:rPr>
        <w:t>S</w:t>
      </w:r>
      <w:r w:rsidR="00191133" w:rsidRPr="00863715">
        <w:rPr>
          <w:sz w:val="28"/>
          <w:szCs w:val="28"/>
        </w:rPr>
        <w:t xml:space="preserve">ettlement </w:t>
      </w:r>
      <w:r w:rsidR="004D6338" w:rsidRPr="00863715">
        <w:rPr>
          <w:sz w:val="28"/>
          <w:szCs w:val="28"/>
        </w:rPr>
        <w:t xml:space="preserve">was </w:t>
      </w:r>
      <w:r w:rsidR="00191133" w:rsidRPr="00863715">
        <w:rPr>
          <w:sz w:val="28"/>
          <w:szCs w:val="28"/>
        </w:rPr>
        <w:t>concluded between the appellant and the Department on 27 May 2015.</w:t>
      </w:r>
    </w:p>
    <w:p w:rsidR="00CD1C80" w:rsidRPr="00863715" w:rsidRDefault="00CD1C80" w:rsidP="00D47A1D">
      <w:pPr>
        <w:tabs>
          <w:tab w:val="left" w:pos="0"/>
        </w:tabs>
        <w:rPr>
          <w:sz w:val="28"/>
          <w:szCs w:val="28"/>
        </w:rPr>
      </w:pPr>
    </w:p>
    <w:p w:rsidR="00CD1C80" w:rsidRPr="00863715" w:rsidRDefault="00DA18F9" w:rsidP="00D47A1D">
      <w:pPr>
        <w:tabs>
          <w:tab w:val="left" w:pos="0"/>
        </w:tabs>
        <w:rPr>
          <w:sz w:val="28"/>
          <w:szCs w:val="28"/>
        </w:rPr>
      </w:pPr>
      <w:r w:rsidRPr="00863715">
        <w:rPr>
          <w:sz w:val="28"/>
          <w:szCs w:val="28"/>
        </w:rPr>
        <w:t>[</w:t>
      </w:r>
      <w:r w:rsidR="00CF183B" w:rsidRPr="00863715">
        <w:rPr>
          <w:sz w:val="28"/>
          <w:szCs w:val="28"/>
        </w:rPr>
        <w:t>4</w:t>
      </w:r>
      <w:r w:rsidRPr="00863715">
        <w:rPr>
          <w:sz w:val="28"/>
          <w:szCs w:val="28"/>
        </w:rPr>
        <w:t>]</w:t>
      </w:r>
      <w:r w:rsidRPr="00863715">
        <w:rPr>
          <w:sz w:val="28"/>
          <w:szCs w:val="28"/>
        </w:rPr>
        <w:tab/>
      </w:r>
      <w:r w:rsidR="00CD1C80" w:rsidRPr="00863715">
        <w:rPr>
          <w:sz w:val="28"/>
          <w:szCs w:val="28"/>
        </w:rPr>
        <w:t>Of relevance in this appeal is paragraph 5 of the Deed o</w:t>
      </w:r>
      <w:r w:rsidR="004D6CB1" w:rsidRPr="00863715">
        <w:rPr>
          <w:sz w:val="28"/>
          <w:szCs w:val="28"/>
        </w:rPr>
        <w:t>f Settlement which reads as follows</w:t>
      </w:r>
      <w:r w:rsidR="00CD1C80" w:rsidRPr="00863715">
        <w:rPr>
          <w:sz w:val="28"/>
          <w:szCs w:val="28"/>
        </w:rPr>
        <w:t>:</w:t>
      </w:r>
    </w:p>
    <w:p w:rsidR="00CD1C80" w:rsidRPr="00863715" w:rsidRDefault="00CD1C80" w:rsidP="00D47A1D">
      <w:pPr>
        <w:tabs>
          <w:tab w:val="left" w:pos="0"/>
        </w:tabs>
        <w:rPr>
          <w:b/>
        </w:rPr>
      </w:pPr>
      <w:r w:rsidRPr="00863715">
        <w:t>‘</w:t>
      </w:r>
      <w:r w:rsidRPr="00863715">
        <w:rPr>
          <w:b/>
        </w:rPr>
        <w:t>5</w:t>
      </w:r>
      <w:r w:rsidRPr="00863715">
        <w:rPr>
          <w:b/>
        </w:rPr>
        <w:tab/>
        <w:t xml:space="preserve">RE-INSTATEMENT OF PENSIONABLE BENEFITS: PENSION NUMBER </w:t>
      </w:r>
      <w:r w:rsidR="00B43029">
        <w:rPr>
          <w:b/>
        </w:rPr>
        <w:t>[…]</w:t>
      </w:r>
      <w:bookmarkStart w:id="0" w:name="_GoBack"/>
      <w:bookmarkEnd w:id="0"/>
    </w:p>
    <w:p w:rsidR="00CD1C80" w:rsidRPr="00863715" w:rsidRDefault="00CD1C80" w:rsidP="00D47A1D">
      <w:pPr>
        <w:tabs>
          <w:tab w:val="left" w:pos="0"/>
        </w:tabs>
        <w:rPr>
          <w:sz w:val="28"/>
          <w:szCs w:val="28"/>
        </w:rPr>
      </w:pPr>
      <w:r w:rsidRPr="00863715">
        <w:t xml:space="preserve">The Employer shall reinstate the employee’s pensionable years of service and benefits to the actuarial </w:t>
      </w:r>
      <w:r w:rsidR="0051500D" w:rsidRPr="00863715">
        <w:t>monetary</w:t>
      </w:r>
      <w:r w:rsidRPr="00863715">
        <w:t xml:space="preserve"> value which the Employee would have been entitled to had the Employee </w:t>
      </w:r>
      <w:r w:rsidRPr="00863715">
        <w:rPr>
          <w:i/>
          <w:u w:val="single"/>
        </w:rPr>
        <w:t xml:space="preserve">not been </w:t>
      </w:r>
      <w:r w:rsidR="00A050C1" w:rsidRPr="00863715">
        <w:rPr>
          <w:i/>
          <w:u w:val="single"/>
        </w:rPr>
        <w:t>dismissed</w:t>
      </w:r>
      <w:r w:rsidR="00A050C1" w:rsidRPr="00863715">
        <w:rPr>
          <w:u w:val="single"/>
        </w:rPr>
        <w:t xml:space="preserve"> in</w:t>
      </w:r>
      <w:r w:rsidRPr="00863715">
        <w:t xml:space="preserve"> accordance with the calculations of the GEPF</w:t>
      </w:r>
      <w:r w:rsidR="008C63C2" w:rsidRPr="00863715">
        <w:t>.</w:t>
      </w:r>
      <w:r w:rsidRPr="00863715">
        <w:t>’</w:t>
      </w:r>
      <w:r w:rsidR="00F457DD" w:rsidRPr="00863715">
        <w:rPr>
          <w:sz w:val="28"/>
          <w:szCs w:val="28"/>
        </w:rPr>
        <w:t xml:space="preserve"> </w:t>
      </w:r>
      <w:r w:rsidR="008468CC" w:rsidRPr="00863715">
        <w:rPr>
          <w:sz w:val="28"/>
          <w:szCs w:val="28"/>
        </w:rPr>
        <w:t>(emphasis in the original text).</w:t>
      </w:r>
    </w:p>
    <w:p w:rsidR="00CD1C80" w:rsidRPr="00863715" w:rsidRDefault="00CD1C80" w:rsidP="00D47A1D">
      <w:pPr>
        <w:tabs>
          <w:tab w:val="left" w:pos="0"/>
        </w:tabs>
        <w:rPr>
          <w:sz w:val="28"/>
          <w:szCs w:val="28"/>
        </w:rPr>
      </w:pPr>
    </w:p>
    <w:p w:rsidR="00AC340D" w:rsidRPr="00863715" w:rsidRDefault="00CD1C80" w:rsidP="00D47A1D">
      <w:pPr>
        <w:tabs>
          <w:tab w:val="left" w:pos="0"/>
        </w:tabs>
        <w:rPr>
          <w:sz w:val="28"/>
          <w:szCs w:val="28"/>
        </w:rPr>
      </w:pPr>
      <w:r w:rsidRPr="00863715">
        <w:rPr>
          <w:sz w:val="28"/>
          <w:szCs w:val="28"/>
        </w:rPr>
        <w:t>[</w:t>
      </w:r>
      <w:r w:rsidR="00F46783" w:rsidRPr="00863715">
        <w:rPr>
          <w:sz w:val="28"/>
          <w:szCs w:val="28"/>
        </w:rPr>
        <w:t>5</w:t>
      </w:r>
      <w:r w:rsidR="00D47A1D" w:rsidRPr="00863715">
        <w:rPr>
          <w:sz w:val="28"/>
          <w:szCs w:val="28"/>
        </w:rPr>
        <w:t>]</w:t>
      </w:r>
      <w:r w:rsidR="00D47A1D" w:rsidRPr="00863715">
        <w:rPr>
          <w:sz w:val="28"/>
          <w:szCs w:val="28"/>
        </w:rPr>
        <w:tab/>
      </w:r>
      <w:r w:rsidR="00B60A7D" w:rsidRPr="00863715">
        <w:rPr>
          <w:sz w:val="28"/>
          <w:szCs w:val="28"/>
        </w:rPr>
        <w:t xml:space="preserve">On </w:t>
      </w:r>
      <w:r w:rsidR="00D47A1D" w:rsidRPr="00863715">
        <w:rPr>
          <w:sz w:val="28"/>
          <w:szCs w:val="28"/>
        </w:rPr>
        <w:t>the same day as the conclusion of the settlement agreement</w:t>
      </w:r>
      <w:r w:rsidR="00A75A18" w:rsidRPr="00863715">
        <w:rPr>
          <w:sz w:val="28"/>
          <w:szCs w:val="28"/>
        </w:rPr>
        <w:t>,</w:t>
      </w:r>
      <w:r w:rsidR="00D47A1D" w:rsidRPr="00863715">
        <w:rPr>
          <w:sz w:val="28"/>
          <w:szCs w:val="28"/>
        </w:rPr>
        <w:t xml:space="preserve"> the</w:t>
      </w:r>
      <w:r w:rsidRPr="00863715">
        <w:rPr>
          <w:sz w:val="28"/>
          <w:szCs w:val="28"/>
        </w:rPr>
        <w:t xml:space="preserve"> </w:t>
      </w:r>
      <w:r w:rsidR="00D47A1D" w:rsidRPr="00863715">
        <w:rPr>
          <w:sz w:val="28"/>
          <w:szCs w:val="28"/>
        </w:rPr>
        <w:t xml:space="preserve">Department’s </w:t>
      </w:r>
      <w:r w:rsidR="008468CC" w:rsidRPr="00863715">
        <w:rPr>
          <w:sz w:val="28"/>
          <w:szCs w:val="28"/>
        </w:rPr>
        <w:t xml:space="preserve">erstwhile </w:t>
      </w:r>
      <w:r w:rsidR="00186952" w:rsidRPr="00863715">
        <w:rPr>
          <w:sz w:val="28"/>
          <w:szCs w:val="28"/>
        </w:rPr>
        <w:t>Superintendent</w:t>
      </w:r>
      <w:r w:rsidR="00A330BE" w:rsidRPr="00863715">
        <w:rPr>
          <w:sz w:val="28"/>
          <w:szCs w:val="28"/>
        </w:rPr>
        <w:t>-</w:t>
      </w:r>
      <w:r w:rsidR="00BF7912" w:rsidRPr="00863715">
        <w:rPr>
          <w:sz w:val="28"/>
          <w:szCs w:val="28"/>
        </w:rPr>
        <w:t>General</w:t>
      </w:r>
      <w:r w:rsidR="004910B8" w:rsidRPr="00863715">
        <w:rPr>
          <w:sz w:val="28"/>
          <w:szCs w:val="28"/>
        </w:rPr>
        <w:t>,</w:t>
      </w:r>
      <w:r w:rsidR="00BF7912" w:rsidRPr="00863715">
        <w:rPr>
          <w:sz w:val="28"/>
          <w:szCs w:val="28"/>
        </w:rPr>
        <w:t xml:space="preserve"> </w:t>
      </w:r>
      <w:r w:rsidR="00D47A1D" w:rsidRPr="00863715">
        <w:rPr>
          <w:sz w:val="28"/>
          <w:szCs w:val="28"/>
        </w:rPr>
        <w:t xml:space="preserve">Dr </w:t>
      </w:r>
      <w:r w:rsidR="00186952" w:rsidRPr="00863715">
        <w:rPr>
          <w:sz w:val="28"/>
          <w:szCs w:val="28"/>
        </w:rPr>
        <w:t xml:space="preserve">I S </w:t>
      </w:r>
      <w:r w:rsidR="00D47A1D" w:rsidRPr="00863715">
        <w:rPr>
          <w:sz w:val="28"/>
          <w:szCs w:val="28"/>
        </w:rPr>
        <w:t>Molal</w:t>
      </w:r>
      <w:r w:rsidR="00186952" w:rsidRPr="00863715">
        <w:rPr>
          <w:sz w:val="28"/>
          <w:szCs w:val="28"/>
        </w:rPr>
        <w:t>e</w:t>
      </w:r>
      <w:r w:rsidR="003C34BD" w:rsidRPr="00863715">
        <w:rPr>
          <w:sz w:val="28"/>
          <w:szCs w:val="28"/>
        </w:rPr>
        <w:t xml:space="preserve">, </w:t>
      </w:r>
      <w:r w:rsidR="00D47A1D" w:rsidRPr="00863715">
        <w:rPr>
          <w:sz w:val="28"/>
          <w:szCs w:val="28"/>
        </w:rPr>
        <w:t xml:space="preserve">wrote </w:t>
      </w:r>
      <w:r w:rsidR="008D5F3F" w:rsidRPr="00863715">
        <w:rPr>
          <w:sz w:val="28"/>
          <w:szCs w:val="28"/>
        </w:rPr>
        <w:t xml:space="preserve">a letter </w:t>
      </w:r>
      <w:r w:rsidR="00D47A1D" w:rsidRPr="00863715">
        <w:rPr>
          <w:sz w:val="28"/>
          <w:szCs w:val="28"/>
        </w:rPr>
        <w:t xml:space="preserve">to </w:t>
      </w:r>
      <w:r w:rsidR="00BF7912" w:rsidRPr="00863715">
        <w:rPr>
          <w:sz w:val="28"/>
          <w:szCs w:val="28"/>
        </w:rPr>
        <w:t xml:space="preserve">the </w:t>
      </w:r>
      <w:r w:rsidR="00D47A1D" w:rsidRPr="00863715">
        <w:rPr>
          <w:sz w:val="28"/>
          <w:szCs w:val="28"/>
        </w:rPr>
        <w:t>GEPF</w:t>
      </w:r>
      <w:r w:rsidR="00C154EF" w:rsidRPr="00863715">
        <w:rPr>
          <w:sz w:val="28"/>
          <w:szCs w:val="28"/>
        </w:rPr>
        <w:t xml:space="preserve"> </w:t>
      </w:r>
      <w:r w:rsidR="00BB4284" w:rsidRPr="00863715">
        <w:rPr>
          <w:sz w:val="28"/>
          <w:szCs w:val="28"/>
        </w:rPr>
        <w:t>request</w:t>
      </w:r>
      <w:r w:rsidR="00AC340D" w:rsidRPr="00863715">
        <w:rPr>
          <w:sz w:val="28"/>
          <w:szCs w:val="28"/>
        </w:rPr>
        <w:t xml:space="preserve">ing it </w:t>
      </w:r>
      <w:r w:rsidR="00B60A7D" w:rsidRPr="00863715">
        <w:rPr>
          <w:sz w:val="28"/>
          <w:szCs w:val="28"/>
        </w:rPr>
        <w:t xml:space="preserve">to </w:t>
      </w:r>
      <w:r w:rsidR="00BB4284" w:rsidRPr="00863715">
        <w:rPr>
          <w:sz w:val="28"/>
          <w:szCs w:val="28"/>
        </w:rPr>
        <w:t>furnish the Department with a detailed calculation of the financial obligation to be paid</w:t>
      </w:r>
      <w:r w:rsidR="00C02916" w:rsidRPr="00863715">
        <w:rPr>
          <w:sz w:val="28"/>
          <w:szCs w:val="28"/>
        </w:rPr>
        <w:t xml:space="preserve"> by the Department to the GEPF</w:t>
      </w:r>
      <w:r w:rsidR="00207503" w:rsidRPr="00863715">
        <w:rPr>
          <w:sz w:val="28"/>
          <w:szCs w:val="28"/>
        </w:rPr>
        <w:t>. The payment was necessary</w:t>
      </w:r>
      <w:r w:rsidR="00BB4284" w:rsidRPr="00863715">
        <w:rPr>
          <w:sz w:val="28"/>
          <w:szCs w:val="28"/>
        </w:rPr>
        <w:t xml:space="preserve"> </w:t>
      </w:r>
      <w:r w:rsidR="00D2178C" w:rsidRPr="00863715">
        <w:rPr>
          <w:sz w:val="28"/>
          <w:szCs w:val="28"/>
        </w:rPr>
        <w:t xml:space="preserve">for </w:t>
      </w:r>
      <w:r w:rsidR="00BF7912" w:rsidRPr="00863715">
        <w:rPr>
          <w:sz w:val="28"/>
          <w:szCs w:val="28"/>
        </w:rPr>
        <w:t>reinstate</w:t>
      </w:r>
      <w:r w:rsidR="00D2178C" w:rsidRPr="00863715">
        <w:rPr>
          <w:sz w:val="28"/>
          <w:szCs w:val="28"/>
        </w:rPr>
        <w:t>ment of</w:t>
      </w:r>
      <w:r w:rsidR="00BF7912" w:rsidRPr="00863715">
        <w:rPr>
          <w:sz w:val="28"/>
          <w:szCs w:val="28"/>
        </w:rPr>
        <w:t xml:space="preserve"> the appellant’s pensionable service</w:t>
      </w:r>
      <w:r w:rsidR="00207503" w:rsidRPr="00863715">
        <w:rPr>
          <w:sz w:val="28"/>
          <w:szCs w:val="28"/>
        </w:rPr>
        <w:t xml:space="preserve">. </w:t>
      </w:r>
      <w:r w:rsidR="00AF66D2" w:rsidRPr="00863715">
        <w:rPr>
          <w:sz w:val="28"/>
          <w:szCs w:val="28"/>
        </w:rPr>
        <w:t>T</w:t>
      </w:r>
      <w:r w:rsidR="00207503" w:rsidRPr="00863715">
        <w:rPr>
          <w:sz w:val="28"/>
          <w:szCs w:val="28"/>
        </w:rPr>
        <w:t>he Superintendent-G</w:t>
      </w:r>
      <w:r w:rsidR="006D2059" w:rsidRPr="00863715">
        <w:rPr>
          <w:sz w:val="28"/>
          <w:szCs w:val="28"/>
        </w:rPr>
        <w:t>e</w:t>
      </w:r>
      <w:r w:rsidR="00207503" w:rsidRPr="00863715">
        <w:rPr>
          <w:sz w:val="28"/>
          <w:szCs w:val="28"/>
        </w:rPr>
        <w:t xml:space="preserve">neral specified that the </w:t>
      </w:r>
      <w:r w:rsidR="00AF66D2" w:rsidRPr="00863715">
        <w:rPr>
          <w:sz w:val="28"/>
          <w:szCs w:val="28"/>
        </w:rPr>
        <w:t>reinstatement pensionable service would be effected</w:t>
      </w:r>
      <w:r w:rsidR="00BF7912" w:rsidRPr="00863715">
        <w:rPr>
          <w:sz w:val="28"/>
          <w:szCs w:val="28"/>
        </w:rPr>
        <w:t xml:space="preserve"> </w:t>
      </w:r>
      <w:r w:rsidR="00BB4284" w:rsidRPr="00863715">
        <w:rPr>
          <w:sz w:val="28"/>
          <w:szCs w:val="28"/>
        </w:rPr>
        <w:t xml:space="preserve">in accordance with </w:t>
      </w:r>
      <w:r w:rsidR="004910B8" w:rsidRPr="00863715">
        <w:rPr>
          <w:sz w:val="28"/>
          <w:szCs w:val="28"/>
        </w:rPr>
        <w:t xml:space="preserve">the provisions of </w:t>
      </w:r>
      <w:r w:rsidR="00BB4284" w:rsidRPr="00863715">
        <w:rPr>
          <w:sz w:val="28"/>
          <w:szCs w:val="28"/>
        </w:rPr>
        <w:t xml:space="preserve">s17(4) of the Government Employees Pension </w:t>
      </w:r>
      <w:r w:rsidR="008D5F3F" w:rsidRPr="00863715">
        <w:rPr>
          <w:sz w:val="28"/>
          <w:szCs w:val="28"/>
        </w:rPr>
        <w:t>L</w:t>
      </w:r>
      <w:r w:rsidR="00BB4284" w:rsidRPr="00863715">
        <w:rPr>
          <w:sz w:val="28"/>
          <w:szCs w:val="28"/>
        </w:rPr>
        <w:t>aw</w:t>
      </w:r>
      <w:r w:rsidR="008B5257" w:rsidRPr="00863715">
        <w:rPr>
          <w:sz w:val="28"/>
          <w:szCs w:val="28"/>
        </w:rPr>
        <w:t xml:space="preserve"> (Pension Law)</w:t>
      </w:r>
      <w:r w:rsidR="008D5F3F" w:rsidRPr="00863715">
        <w:rPr>
          <w:sz w:val="28"/>
          <w:szCs w:val="28"/>
        </w:rPr>
        <w:t>.</w:t>
      </w:r>
      <w:r w:rsidR="008D5F3F" w:rsidRPr="00863715">
        <w:rPr>
          <w:rStyle w:val="FootnoteReference"/>
          <w:sz w:val="28"/>
          <w:szCs w:val="28"/>
        </w:rPr>
        <w:footnoteReference w:id="5"/>
      </w:r>
      <w:r w:rsidR="00D47A1D" w:rsidRPr="00863715">
        <w:rPr>
          <w:sz w:val="28"/>
          <w:szCs w:val="28"/>
        </w:rPr>
        <w:t xml:space="preserve"> </w:t>
      </w:r>
      <w:r w:rsidR="00AC340D" w:rsidRPr="00863715">
        <w:rPr>
          <w:sz w:val="28"/>
          <w:szCs w:val="28"/>
        </w:rPr>
        <w:t xml:space="preserve">This </w:t>
      </w:r>
      <w:r w:rsidR="00C154EF" w:rsidRPr="00863715">
        <w:rPr>
          <w:sz w:val="28"/>
          <w:szCs w:val="28"/>
        </w:rPr>
        <w:t>section</w:t>
      </w:r>
      <w:r w:rsidR="00AC340D" w:rsidRPr="00863715">
        <w:rPr>
          <w:sz w:val="28"/>
          <w:szCs w:val="28"/>
        </w:rPr>
        <w:t xml:space="preserve"> provides that:</w:t>
      </w:r>
    </w:p>
    <w:p w:rsidR="00AC340D" w:rsidRPr="00863715" w:rsidRDefault="0076560B" w:rsidP="00D47A1D">
      <w:pPr>
        <w:tabs>
          <w:tab w:val="left" w:pos="0"/>
        </w:tabs>
        <w:rPr>
          <w:sz w:val="28"/>
          <w:szCs w:val="28"/>
        </w:rPr>
      </w:pPr>
      <w:r w:rsidRPr="00863715">
        <w:t xml:space="preserve">‘If any action taken by the employer or if any legislation adopted by Parliament places any additional financial obligation on the Fund, the employer or the Government or the </w:t>
      </w:r>
      <w:r w:rsidRPr="00863715">
        <w:lastRenderedPageBreak/>
        <w:t>employer and the Government, as the case may be shall pay to the Fund an amount which is required to meet such obligation.’</w:t>
      </w:r>
      <w:r w:rsidRPr="00863715">
        <w:rPr>
          <w:sz w:val="28"/>
          <w:szCs w:val="28"/>
        </w:rPr>
        <w:t xml:space="preserve"> </w:t>
      </w:r>
    </w:p>
    <w:p w:rsidR="00470E3B" w:rsidRPr="00863715" w:rsidRDefault="00470E3B" w:rsidP="00D47A1D">
      <w:pPr>
        <w:tabs>
          <w:tab w:val="left" w:pos="0"/>
        </w:tabs>
        <w:rPr>
          <w:sz w:val="28"/>
          <w:szCs w:val="28"/>
        </w:rPr>
      </w:pPr>
    </w:p>
    <w:p w:rsidR="00EA2289" w:rsidRPr="00863715" w:rsidRDefault="003C34BD" w:rsidP="00D47A1D">
      <w:pPr>
        <w:tabs>
          <w:tab w:val="left" w:pos="0"/>
        </w:tabs>
        <w:rPr>
          <w:sz w:val="28"/>
          <w:szCs w:val="28"/>
        </w:rPr>
      </w:pPr>
      <w:r w:rsidRPr="00863715">
        <w:rPr>
          <w:sz w:val="28"/>
          <w:szCs w:val="28"/>
        </w:rPr>
        <w:t>[6]</w:t>
      </w:r>
      <w:r w:rsidRPr="00863715">
        <w:rPr>
          <w:sz w:val="28"/>
          <w:szCs w:val="28"/>
        </w:rPr>
        <w:tab/>
        <w:t>T</w:t>
      </w:r>
      <w:r w:rsidR="0076560B" w:rsidRPr="00863715">
        <w:rPr>
          <w:sz w:val="28"/>
          <w:szCs w:val="28"/>
        </w:rPr>
        <w:t xml:space="preserve">he </w:t>
      </w:r>
      <w:r w:rsidR="00A050C1" w:rsidRPr="00863715">
        <w:rPr>
          <w:sz w:val="28"/>
          <w:szCs w:val="28"/>
        </w:rPr>
        <w:t>Superintendent-General</w:t>
      </w:r>
      <w:r w:rsidR="00470E3B" w:rsidRPr="00863715">
        <w:rPr>
          <w:sz w:val="28"/>
          <w:szCs w:val="28"/>
        </w:rPr>
        <w:t>’s response was</w:t>
      </w:r>
      <w:r w:rsidR="00E8390A" w:rsidRPr="00863715">
        <w:rPr>
          <w:sz w:val="28"/>
          <w:szCs w:val="28"/>
        </w:rPr>
        <w:t xml:space="preserve"> </w:t>
      </w:r>
      <w:r w:rsidR="00BB4284" w:rsidRPr="00863715">
        <w:rPr>
          <w:sz w:val="28"/>
          <w:szCs w:val="28"/>
        </w:rPr>
        <w:t>th</w:t>
      </w:r>
      <w:r w:rsidR="00E8390A" w:rsidRPr="00863715">
        <w:rPr>
          <w:sz w:val="28"/>
          <w:szCs w:val="28"/>
        </w:rPr>
        <w:t>at w</w:t>
      </w:r>
      <w:r w:rsidR="00FA44A5" w:rsidRPr="00863715">
        <w:rPr>
          <w:sz w:val="28"/>
          <w:szCs w:val="28"/>
        </w:rPr>
        <w:t>hen the appellant was dismissed in March 2013</w:t>
      </w:r>
      <w:r w:rsidR="00C658B8" w:rsidRPr="00863715">
        <w:rPr>
          <w:sz w:val="28"/>
          <w:szCs w:val="28"/>
        </w:rPr>
        <w:t>,</w:t>
      </w:r>
      <w:r w:rsidR="00FA44A5" w:rsidRPr="00863715">
        <w:rPr>
          <w:sz w:val="28"/>
          <w:szCs w:val="28"/>
        </w:rPr>
        <w:t xml:space="preserve"> her membership of the GEPF automatically ceased, leading to payment of her pension benefits</w:t>
      </w:r>
      <w:r w:rsidR="008D5F3F" w:rsidRPr="00863715">
        <w:rPr>
          <w:sz w:val="28"/>
          <w:szCs w:val="28"/>
        </w:rPr>
        <w:t xml:space="preserve"> directly to her</w:t>
      </w:r>
      <w:r w:rsidR="00FA44A5" w:rsidRPr="00863715">
        <w:rPr>
          <w:sz w:val="28"/>
          <w:szCs w:val="28"/>
        </w:rPr>
        <w:t xml:space="preserve">. He </w:t>
      </w:r>
      <w:r w:rsidR="00470E3B" w:rsidRPr="00863715">
        <w:rPr>
          <w:sz w:val="28"/>
          <w:szCs w:val="28"/>
        </w:rPr>
        <w:t>asserted</w:t>
      </w:r>
      <w:r w:rsidR="00FA44A5" w:rsidRPr="00863715">
        <w:rPr>
          <w:sz w:val="28"/>
          <w:szCs w:val="28"/>
        </w:rPr>
        <w:t xml:space="preserve"> that </w:t>
      </w:r>
      <w:r w:rsidR="00AC340D" w:rsidRPr="00863715">
        <w:rPr>
          <w:sz w:val="28"/>
          <w:szCs w:val="28"/>
        </w:rPr>
        <w:t xml:space="preserve">when </w:t>
      </w:r>
      <w:r w:rsidR="00D47A1D" w:rsidRPr="00863715">
        <w:rPr>
          <w:sz w:val="28"/>
          <w:szCs w:val="28"/>
        </w:rPr>
        <w:t>the appellant</w:t>
      </w:r>
      <w:r w:rsidR="00FA44A5" w:rsidRPr="00863715">
        <w:rPr>
          <w:sz w:val="28"/>
          <w:szCs w:val="28"/>
        </w:rPr>
        <w:t xml:space="preserve"> was rein</w:t>
      </w:r>
      <w:r w:rsidR="00AC340D" w:rsidRPr="00863715">
        <w:rPr>
          <w:sz w:val="28"/>
          <w:szCs w:val="28"/>
        </w:rPr>
        <w:t>stated on 1 April 2015</w:t>
      </w:r>
      <w:r w:rsidR="00EA2289" w:rsidRPr="00863715">
        <w:rPr>
          <w:sz w:val="28"/>
          <w:szCs w:val="28"/>
        </w:rPr>
        <w:t>:</w:t>
      </w:r>
    </w:p>
    <w:p w:rsidR="007073B5" w:rsidRPr="00863715" w:rsidRDefault="00A75A18" w:rsidP="00D47A1D">
      <w:pPr>
        <w:tabs>
          <w:tab w:val="left" w:pos="0"/>
        </w:tabs>
      </w:pPr>
      <w:r w:rsidRPr="00863715">
        <w:t>‘</w:t>
      </w:r>
      <w:r w:rsidR="00212594" w:rsidRPr="00863715">
        <w:t xml:space="preserve">Her pension contributions </w:t>
      </w:r>
      <w:r w:rsidR="00D47A1D" w:rsidRPr="00863715">
        <w:t>for the period 1</w:t>
      </w:r>
      <w:r w:rsidR="00CD1C80" w:rsidRPr="00863715">
        <w:t xml:space="preserve"> </w:t>
      </w:r>
      <w:r w:rsidR="00D47A1D" w:rsidRPr="00863715">
        <w:t xml:space="preserve">July 2013 </w:t>
      </w:r>
      <w:r w:rsidR="00212594" w:rsidRPr="00863715">
        <w:t>[</w:t>
      </w:r>
      <w:r w:rsidR="00CD1C80" w:rsidRPr="00863715">
        <w:t>the date of her dismissal</w:t>
      </w:r>
      <w:r w:rsidR="00212594" w:rsidRPr="00863715">
        <w:t>]</w:t>
      </w:r>
      <w:r w:rsidR="00CD1C80" w:rsidRPr="00863715">
        <w:t xml:space="preserve"> </w:t>
      </w:r>
      <w:r w:rsidR="00D47A1D" w:rsidRPr="00863715">
        <w:t>up to 31 March 2015</w:t>
      </w:r>
      <w:r w:rsidR="00FA44A5" w:rsidRPr="00863715">
        <w:t xml:space="preserve"> </w:t>
      </w:r>
      <w:r w:rsidR="00212594" w:rsidRPr="00863715">
        <w:t>[</w:t>
      </w:r>
      <w:r w:rsidR="00FA44A5" w:rsidRPr="00863715">
        <w:t>the date preceding her reinstatement</w:t>
      </w:r>
      <w:r w:rsidR="00212594" w:rsidRPr="00863715">
        <w:t>]</w:t>
      </w:r>
      <w:r w:rsidR="00FA44A5" w:rsidRPr="00863715">
        <w:t xml:space="preserve"> </w:t>
      </w:r>
      <w:r w:rsidR="00212594" w:rsidRPr="00863715">
        <w:t>[</w:t>
      </w:r>
      <w:r w:rsidR="00FA44A5" w:rsidRPr="00863715">
        <w:t>would</w:t>
      </w:r>
      <w:r w:rsidR="00212594" w:rsidRPr="00863715">
        <w:t>]</w:t>
      </w:r>
      <w:r w:rsidR="00FA44A5" w:rsidRPr="00863715">
        <w:t xml:space="preserve"> be recovere</w:t>
      </w:r>
      <w:r w:rsidR="00BB4284" w:rsidRPr="00863715">
        <w:t>d from her pensionable emo</w:t>
      </w:r>
      <w:r w:rsidR="00FA44A5" w:rsidRPr="00863715">
        <w:t xml:space="preserve">luments (back pay) and </w:t>
      </w:r>
      <w:r w:rsidR="00212594" w:rsidRPr="00863715">
        <w:t xml:space="preserve">paid </w:t>
      </w:r>
      <w:r w:rsidR="00FA44A5" w:rsidRPr="00863715">
        <w:t>in full to GEPF</w:t>
      </w:r>
      <w:r w:rsidR="00212594" w:rsidRPr="00863715">
        <w:t>’</w:t>
      </w:r>
      <w:r w:rsidR="00F0136E" w:rsidRPr="00863715">
        <w:t>.</w:t>
      </w:r>
      <w:r w:rsidR="007073B5" w:rsidRPr="00863715">
        <w:t xml:space="preserve"> </w:t>
      </w:r>
      <w:r w:rsidR="007073B5" w:rsidRPr="00863715">
        <w:rPr>
          <w:sz w:val="28"/>
          <w:szCs w:val="28"/>
        </w:rPr>
        <w:t xml:space="preserve">In essence, </w:t>
      </w:r>
      <w:r w:rsidR="006E6950" w:rsidRPr="00863715">
        <w:rPr>
          <w:sz w:val="28"/>
          <w:szCs w:val="28"/>
        </w:rPr>
        <w:t>the Superintendent-General</w:t>
      </w:r>
      <w:r w:rsidR="00470E3B" w:rsidRPr="00863715">
        <w:rPr>
          <w:sz w:val="28"/>
          <w:szCs w:val="28"/>
        </w:rPr>
        <w:t xml:space="preserve"> maintained </w:t>
      </w:r>
      <w:r w:rsidR="007073B5" w:rsidRPr="00863715">
        <w:rPr>
          <w:sz w:val="28"/>
          <w:szCs w:val="28"/>
        </w:rPr>
        <w:t>that once the appellant was reinstated</w:t>
      </w:r>
      <w:r w:rsidR="00513E12" w:rsidRPr="00863715">
        <w:rPr>
          <w:sz w:val="28"/>
          <w:szCs w:val="28"/>
        </w:rPr>
        <w:t>,</w:t>
      </w:r>
      <w:r w:rsidR="007073B5" w:rsidRPr="00863715">
        <w:rPr>
          <w:sz w:val="28"/>
          <w:szCs w:val="28"/>
        </w:rPr>
        <w:t xml:space="preserve"> the provisions of s</w:t>
      </w:r>
      <w:r w:rsidR="00F93CC7" w:rsidRPr="00863715">
        <w:rPr>
          <w:sz w:val="28"/>
          <w:szCs w:val="28"/>
        </w:rPr>
        <w:t xml:space="preserve"> </w:t>
      </w:r>
      <w:r w:rsidR="007073B5" w:rsidRPr="00863715">
        <w:rPr>
          <w:sz w:val="28"/>
          <w:szCs w:val="28"/>
        </w:rPr>
        <w:t>17(4</w:t>
      </w:r>
      <w:r w:rsidR="004D6338" w:rsidRPr="00863715">
        <w:rPr>
          <w:sz w:val="28"/>
          <w:szCs w:val="28"/>
        </w:rPr>
        <w:t>)</w:t>
      </w:r>
      <w:r w:rsidR="007073B5" w:rsidRPr="00863715">
        <w:rPr>
          <w:sz w:val="28"/>
          <w:szCs w:val="28"/>
        </w:rPr>
        <w:t xml:space="preserve"> were triggered.</w:t>
      </w:r>
    </w:p>
    <w:p w:rsidR="00D47A1D" w:rsidRPr="00863715" w:rsidRDefault="00D47A1D" w:rsidP="00AC340D">
      <w:pPr>
        <w:tabs>
          <w:tab w:val="left" w:pos="0"/>
        </w:tabs>
        <w:jc w:val="right"/>
        <w:rPr>
          <w:sz w:val="28"/>
          <w:szCs w:val="28"/>
        </w:rPr>
      </w:pPr>
    </w:p>
    <w:p w:rsidR="00976D27" w:rsidRPr="00863715" w:rsidRDefault="00976D27" w:rsidP="00D47A1D">
      <w:pPr>
        <w:tabs>
          <w:tab w:val="left" w:pos="0"/>
        </w:tabs>
        <w:rPr>
          <w:strike/>
          <w:sz w:val="28"/>
          <w:szCs w:val="28"/>
        </w:rPr>
      </w:pPr>
      <w:r w:rsidRPr="00863715">
        <w:rPr>
          <w:sz w:val="28"/>
          <w:szCs w:val="28"/>
        </w:rPr>
        <w:t>[</w:t>
      </w:r>
      <w:r w:rsidR="0057516B" w:rsidRPr="00863715">
        <w:rPr>
          <w:sz w:val="28"/>
          <w:szCs w:val="28"/>
        </w:rPr>
        <w:t>7</w:t>
      </w:r>
      <w:r w:rsidR="00D47A1D" w:rsidRPr="00863715">
        <w:rPr>
          <w:sz w:val="28"/>
          <w:szCs w:val="28"/>
        </w:rPr>
        <w:t>]</w:t>
      </w:r>
      <w:r w:rsidR="00D47A1D" w:rsidRPr="00863715">
        <w:rPr>
          <w:sz w:val="28"/>
          <w:szCs w:val="28"/>
        </w:rPr>
        <w:tab/>
      </w:r>
      <w:r w:rsidR="00AC340D" w:rsidRPr="00863715">
        <w:rPr>
          <w:sz w:val="28"/>
          <w:szCs w:val="28"/>
        </w:rPr>
        <w:t>The requested calculation was</w:t>
      </w:r>
      <w:r w:rsidR="00EA2289" w:rsidRPr="00863715">
        <w:rPr>
          <w:sz w:val="28"/>
          <w:szCs w:val="28"/>
        </w:rPr>
        <w:t xml:space="preserve"> received by the Department on 18 June 2015. </w:t>
      </w:r>
      <w:r w:rsidR="00EE7AE1" w:rsidRPr="00863715">
        <w:rPr>
          <w:rStyle w:val="FootnoteReference"/>
          <w:sz w:val="28"/>
          <w:szCs w:val="28"/>
        </w:rPr>
        <w:footnoteReference w:id="6"/>
      </w:r>
      <w:r w:rsidR="00276C0A" w:rsidRPr="00863715">
        <w:rPr>
          <w:sz w:val="28"/>
          <w:szCs w:val="28"/>
        </w:rPr>
        <w:t xml:space="preserve"> </w:t>
      </w:r>
      <w:r w:rsidR="00174844" w:rsidRPr="00863715">
        <w:rPr>
          <w:sz w:val="28"/>
          <w:szCs w:val="28"/>
        </w:rPr>
        <w:t xml:space="preserve">The GEPF advised that the amount payable by </w:t>
      </w:r>
      <w:r w:rsidR="00276C0A" w:rsidRPr="00863715">
        <w:rPr>
          <w:sz w:val="28"/>
          <w:szCs w:val="28"/>
        </w:rPr>
        <w:t xml:space="preserve">the Department </w:t>
      </w:r>
      <w:r w:rsidR="00174844" w:rsidRPr="00863715">
        <w:rPr>
          <w:sz w:val="28"/>
          <w:szCs w:val="28"/>
        </w:rPr>
        <w:t xml:space="preserve">for the appellant’s re-admission </w:t>
      </w:r>
      <w:r w:rsidR="00A0721E" w:rsidRPr="00863715">
        <w:rPr>
          <w:sz w:val="28"/>
          <w:szCs w:val="28"/>
        </w:rPr>
        <w:t xml:space="preserve">to the fund </w:t>
      </w:r>
      <w:r w:rsidR="00174844" w:rsidRPr="00863715">
        <w:rPr>
          <w:sz w:val="28"/>
          <w:szCs w:val="28"/>
        </w:rPr>
        <w:t>was</w:t>
      </w:r>
      <w:r w:rsidR="00690184" w:rsidRPr="00863715">
        <w:rPr>
          <w:sz w:val="28"/>
          <w:szCs w:val="28"/>
        </w:rPr>
        <w:t xml:space="preserve"> R7 016 767.76</w:t>
      </w:r>
      <w:r w:rsidR="00A0721E" w:rsidRPr="00863715">
        <w:rPr>
          <w:sz w:val="28"/>
          <w:szCs w:val="28"/>
        </w:rPr>
        <w:t>, which</w:t>
      </w:r>
      <w:r w:rsidR="0041385B" w:rsidRPr="00863715">
        <w:rPr>
          <w:sz w:val="28"/>
          <w:szCs w:val="28"/>
        </w:rPr>
        <w:t xml:space="preserve"> </w:t>
      </w:r>
      <w:r w:rsidR="00662FE7" w:rsidRPr="00863715">
        <w:rPr>
          <w:sz w:val="28"/>
          <w:szCs w:val="28"/>
        </w:rPr>
        <w:t>included Income Tax</w:t>
      </w:r>
      <w:r w:rsidR="00276C0A" w:rsidRPr="00863715">
        <w:rPr>
          <w:sz w:val="28"/>
          <w:szCs w:val="28"/>
        </w:rPr>
        <w:t xml:space="preserve"> and interest.</w:t>
      </w:r>
      <w:r w:rsidR="00A0721E" w:rsidRPr="00863715">
        <w:rPr>
          <w:rStyle w:val="FootnoteReference"/>
          <w:sz w:val="28"/>
          <w:szCs w:val="28"/>
        </w:rPr>
        <w:footnoteReference w:id="7"/>
      </w:r>
      <w:r w:rsidR="00690184" w:rsidRPr="00863715">
        <w:rPr>
          <w:sz w:val="28"/>
          <w:szCs w:val="28"/>
        </w:rPr>
        <w:t xml:space="preserve"> </w:t>
      </w:r>
      <w:r w:rsidR="0009394A">
        <w:rPr>
          <w:sz w:val="28"/>
          <w:szCs w:val="28"/>
        </w:rPr>
        <w:t>That</w:t>
      </w:r>
      <w:r w:rsidR="00AB2854" w:rsidRPr="00863715">
        <w:rPr>
          <w:sz w:val="28"/>
          <w:szCs w:val="28"/>
        </w:rPr>
        <w:t xml:space="preserve"> amount </w:t>
      </w:r>
      <w:r w:rsidR="00AF66D2" w:rsidRPr="00863715">
        <w:rPr>
          <w:sz w:val="28"/>
          <w:szCs w:val="28"/>
        </w:rPr>
        <w:t>was</w:t>
      </w:r>
      <w:r w:rsidR="00AB2854" w:rsidRPr="00863715">
        <w:rPr>
          <w:sz w:val="28"/>
          <w:szCs w:val="28"/>
        </w:rPr>
        <w:t xml:space="preserve"> paid by the Department.</w:t>
      </w:r>
    </w:p>
    <w:p w:rsidR="00976D27" w:rsidRPr="00863715" w:rsidRDefault="00976D27" w:rsidP="00D47A1D">
      <w:pPr>
        <w:tabs>
          <w:tab w:val="left" w:pos="0"/>
        </w:tabs>
        <w:rPr>
          <w:sz w:val="28"/>
          <w:szCs w:val="28"/>
        </w:rPr>
      </w:pPr>
    </w:p>
    <w:p w:rsidR="00976D27" w:rsidRPr="00863715" w:rsidRDefault="00976D27" w:rsidP="00976D27">
      <w:pPr>
        <w:tabs>
          <w:tab w:val="left" w:pos="0"/>
        </w:tabs>
        <w:rPr>
          <w:sz w:val="28"/>
          <w:szCs w:val="28"/>
        </w:rPr>
      </w:pPr>
      <w:r w:rsidRPr="00863715">
        <w:rPr>
          <w:sz w:val="28"/>
          <w:szCs w:val="28"/>
        </w:rPr>
        <w:t>[</w:t>
      </w:r>
      <w:r w:rsidR="0057516B" w:rsidRPr="00863715">
        <w:rPr>
          <w:sz w:val="28"/>
          <w:szCs w:val="28"/>
        </w:rPr>
        <w:t>8</w:t>
      </w:r>
      <w:r w:rsidRPr="00863715">
        <w:rPr>
          <w:sz w:val="28"/>
          <w:szCs w:val="28"/>
        </w:rPr>
        <w:t>]</w:t>
      </w:r>
      <w:r w:rsidRPr="00863715">
        <w:rPr>
          <w:sz w:val="28"/>
          <w:szCs w:val="28"/>
        </w:rPr>
        <w:tab/>
      </w:r>
      <w:r w:rsidR="00EA2289" w:rsidRPr="00863715">
        <w:rPr>
          <w:sz w:val="28"/>
          <w:szCs w:val="28"/>
        </w:rPr>
        <w:t>Subsequent to her reinstatement</w:t>
      </w:r>
      <w:r w:rsidR="003A0AEE" w:rsidRPr="00863715">
        <w:rPr>
          <w:sz w:val="28"/>
          <w:szCs w:val="28"/>
        </w:rPr>
        <w:t>,</w:t>
      </w:r>
      <w:r w:rsidR="00EA2289" w:rsidRPr="00863715">
        <w:rPr>
          <w:sz w:val="28"/>
          <w:szCs w:val="28"/>
        </w:rPr>
        <w:t xml:space="preserve"> </w:t>
      </w:r>
      <w:r w:rsidRPr="00863715">
        <w:rPr>
          <w:sz w:val="28"/>
          <w:szCs w:val="28"/>
        </w:rPr>
        <w:t>the ap</w:t>
      </w:r>
      <w:r w:rsidR="00B661FD" w:rsidRPr="00863715">
        <w:rPr>
          <w:sz w:val="28"/>
          <w:szCs w:val="28"/>
        </w:rPr>
        <w:t>pellant continued in her employ</w:t>
      </w:r>
      <w:r w:rsidRPr="00863715">
        <w:rPr>
          <w:sz w:val="28"/>
          <w:szCs w:val="28"/>
        </w:rPr>
        <w:t>ment with the Department until she reached the prescribed retirement age of 60 years</w:t>
      </w:r>
      <w:r w:rsidR="003A0AEE" w:rsidRPr="00863715">
        <w:rPr>
          <w:sz w:val="28"/>
          <w:szCs w:val="28"/>
        </w:rPr>
        <w:t>,</w:t>
      </w:r>
      <w:r w:rsidRPr="00863715">
        <w:rPr>
          <w:sz w:val="28"/>
          <w:szCs w:val="28"/>
        </w:rPr>
        <w:t xml:space="preserve"> on 11 March 2020. She retired from public service with effect from 1</w:t>
      </w:r>
      <w:r w:rsidR="00EA2289" w:rsidRPr="00863715">
        <w:rPr>
          <w:sz w:val="28"/>
          <w:szCs w:val="28"/>
        </w:rPr>
        <w:t xml:space="preserve"> April 2020</w:t>
      </w:r>
      <w:r w:rsidRPr="00863715">
        <w:rPr>
          <w:sz w:val="28"/>
          <w:szCs w:val="28"/>
        </w:rPr>
        <w:t xml:space="preserve">. </w:t>
      </w:r>
      <w:r w:rsidR="006845B9" w:rsidRPr="00863715">
        <w:rPr>
          <w:sz w:val="28"/>
          <w:szCs w:val="28"/>
        </w:rPr>
        <w:t>Four months prior to her retirement</w:t>
      </w:r>
      <w:r w:rsidR="003A0AEE" w:rsidRPr="00863715">
        <w:rPr>
          <w:sz w:val="28"/>
          <w:szCs w:val="28"/>
        </w:rPr>
        <w:t>,</w:t>
      </w:r>
      <w:r w:rsidR="006845B9" w:rsidRPr="00863715">
        <w:rPr>
          <w:sz w:val="28"/>
          <w:szCs w:val="28"/>
        </w:rPr>
        <w:t xml:space="preserve"> </w:t>
      </w:r>
      <w:r w:rsidR="00FE221B" w:rsidRPr="00863715">
        <w:rPr>
          <w:sz w:val="28"/>
          <w:szCs w:val="28"/>
        </w:rPr>
        <w:t xml:space="preserve">she </w:t>
      </w:r>
      <w:r w:rsidR="006845B9" w:rsidRPr="00863715">
        <w:rPr>
          <w:sz w:val="28"/>
          <w:szCs w:val="28"/>
        </w:rPr>
        <w:t>served a formal notice of her intended retirement on the Department’s administrator (</w:t>
      </w:r>
      <w:r w:rsidR="00F93CC7" w:rsidRPr="00863715">
        <w:rPr>
          <w:sz w:val="28"/>
          <w:szCs w:val="28"/>
        </w:rPr>
        <w:t xml:space="preserve">the </w:t>
      </w:r>
      <w:r w:rsidR="006845B9" w:rsidRPr="00863715">
        <w:rPr>
          <w:sz w:val="28"/>
          <w:szCs w:val="28"/>
        </w:rPr>
        <w:t>sixth respondent). On 7 February 2020</w:t>
      </w:r>
      <w:r w:rsidR="003A0AEE" w:rsidRPr="00863715">
        <w:rPr>
          <w:sz w:val="28"/>
          <w:szCs w:val="28"/>
        </w:rPr>
        <w:t>,</w:t>
      </w:r>
      <w:r w:rsidR="006845B9" w:rsidRPr="00863715">
        <w:rPr>
          <w:sz w:val="28"/>
          <w:szCs w:val="28"/>
        </w:rPr>
        <w:t xml:space="preserve"> she delivered her completed exit </w:t>
      </w:r>
      <w:r w:rsidR="006845B9" w:rsidRPr="00863715">
        <w:rPr>
          <w:sz w:val="28"/>
          <w:szCs w:val="28"/>
        </w:rPr>
        <w:lastRenderedPageBreak/>
        <w:t>documents</w:t>
      </w:r>
      <w:r w:rsidR="006845B9" w:rsidRPr="00863715">
        <w:rPr>
          <w:rStyle w:val="FootnoteReference"/>
          <w:sz w:val="28"/>
          <w:szCs w:val="28"/>
        </w:rPr>
        <w:footnoteReference w:id="8"/>
      </w:r>
      <w:r w:rsidR="004539E5" w:rsidRPr="00863715">
        <w:rPr>
          <w:sz w:val="28"/>
          <w:szCs w:val="28"/>
        </w:rPr>
        <w:t xml:space="preserve"> to the Department’s Human Resources Management Division. </w:t>
      </w:r>
      <w:r w:rsidR="00A75A18" w:rsidRPr="00863715">
        <w:rPr>
          <w:sz w:val="28"/>
          <w:szCs w:val="28"/>
        </w:rPr>
        <w:t xml:space="preserve">The next step </w:t>
      </w:r>
      <w:r w:rsidR="004539E5" w:rsidRPr="00863715">
        <w:rPr>
          <w:sz w:val="28"/>
          <w:szCs w:val="28"/>
        </w:rPr>
        <w:t xml:space="preserve">was </w:t>
      </w:r>
      <w:r w:rsidR="00A75A18" w:rsidRPr="00863715">
        <w:rPr>
          <w:sz w:val="28"/>
          <w:szCs w:val="28"/>
        </w:rPr>
        <w:t xml:space="preserve">for </w:t>
      </w:r>
      <w:r w:rsidR="004539E5" w:rsidRPr="00863715">
        <w:rPr>
          <w:sz w:val="28"/>
          <w:szCs w:val="28"/>
        </w:rPr>
        <w:t xml:space="preserve">the Department </w:t>
      </w:r>
      <w:r w:rsidR="00A75A18" w:rsidRPr="00863715">
        <w:rPr>
          <w:sz w:val="28"/>
          <w:szCs w:val="28"/>
        </w:rPr>
        <w:t>to</w:t>
      </w:r>
      <w:r w:rsidR="004539E5" w:rsidRPr="00863715">
        <w:rPr>
          <w:sz w:val="28"/>
          <w:szCs w:val="28"/>
        </w:rPr>
        <w:t xml:space="preserve"> complet</w:t>
      </w:r>
      <w:r w:rsidR="00A75A18" w:rsidRPr="00863715">
        <w:rPr>
          <w:sz w:val="28"/>
          <w:szCs w:val="28"/>
        </w:rPr>
        <w:t xml:space="preserve">e </w:t>
      </w:r>
      <w:r w:rsidR="004539E5" w:rsidRPr="00863715">
        <w:rPr>
          <w:sz w:val="28"/>
          <w:szCs w:val="28"/>
        </w:rPr>
        <w:t>the prescribed pension withdrawal form</w:t>
      </w:r>
      <w:r w:rsidR="004539E5" w:rsidRPr="00863715">
        <w:rPr>
          <w:rStyle w:val="FootnoteReference"/>
          <w:sz w:val="28"/>
          <w:szCs w:val="28"/>
        </w:rPr>
        <w:footnoteReference w:id="9"/>
      </w:r>
      <w:r w:rsidR="00EA2289" w:rsidRPr="00863715">
        <w:rPr>
          <w:sz w:val="28"/>
          <w:szCs w:val="28"/>
        </w:rPr>
        <w:t xml:space="preserve"> </w:t>
      </w:r>
      <w:r w:rsidR="009A4F0E" w:rsidRPr="00863715">
        <w:rPr>
          <w:sz w:val="28"/>
          <w:szCs w:val="28"/>
        </w:rPr>
        <w:t xml:space="preserve">and </w:t>
      </w:r>
      <w:r w:rsidR="004539E5" w:rsidRPr="00863715">
        <w:rPr>
          <w:sz w:val="28"/>
          <w:szCs w:val="28"/>
        </w:rPr>
        <w:t>submi</w:t>
      </w:r>
      <w:r w:rsidR="009A4F0E" w:rsidRPr="00863715">
        <w:rPr>
          <w:sz w:val="28"/>
          <w:szCs w:val="28"/>
        </w:rPr>
        <w:t xml:space="preserve">t it, </w:t>
      </w:r>
      <w:r w:rsidR="004539E5" w:rsidRPr="00863715">
        <w:rPr>
          <w:sz w:val="28"/>
          <w:szCs w:val="28"/>
        </w:rPr>
        <w:t>together with the completed exit documents</w:t>
      </w:r>
      <w:r w:rsidR="009A4F0E" w:rsidRPr="00863715">
        <w:rPr>
          <w:sz w:val="28"/>
          <w:szCs w:val="28"/>
        </w:rPr>
        <w:t>,</w:t>
      </w:r>
      <w:r w:rsidR="004539E5" w:rsidRPr="00863715">
        <w:rPr>
          <w:sz w:val="28"/>
          <w:szCs w:val="28"/>
        </w:rPr>
        <w:t xml:space="preserve"> to the third respondent, the Government Pensions Administration Agency (GPAA). </w:t>
      </w:r>
      <w:r w:rsidR="00814B10" w:rsidRPr="00863715">
        <w:rPr>
          <w:sz w:val="28"/>
          <w:szCs w:val="28"/>
        </w:rPr>
        <w:t>This the</w:t>
      </w:r>
      <w:r w:rsidR="006E2CE1" w:rsidRPr="00863715">
        <w:rPr>
          <w:sz w:val="28"/>
          <w:szCs w:val="28"/>
        </w:rPr>
        <w:t xml:space="preserve"> Depart</w:t>
      </w:r>
      <w:r w:rsidR="00814B10" w:rsidRPr="00863715">
        <w:rPr>
          <w:sz w:val="28"/>
          <w:szCs w:val="28"/>
        </w:rPr>
        <w:t>ment failed to do</w:t>
      </w:r>
      <w:r w:rsidR="006E2CE1" w:rsidRPr="00863715">
        <w:rPr>
          <w:sz w:val="28"/>
          <w:szCs w:val="28"/>
        </w:rPr>
        <w:t xml:space="preserve">, </w:t>
      </w:r>
      <w:r w:rsidR="004539E5" w:rsidRPr="00863715">
        <w:rPr>
          <w:sz w:val="28"/>
          <w:szCs w:val="28"/>
        </w:rPr>
        <w:t xml:space="preserve">despite several </w:t>
      </w:r>
      <w:r w:rsidR="00300B42" w:rsidRPr="00863715">
        <w:rPr>
          <w:sz w:val="28"/>
          <w:szCs w:val="28"/>
        </w:rPr>
        <w:t>e</w:t>
      </w:r>
      <w:r w:rsidR="004539E5" w:rsidRPr="00863715">
        <w:rPr>
          <w:sz w:val="28"/>
          <w:szCs w:val="28"/>
        </w:rPr>
        <w:t>nquiries and reminders by the appellant.</w:t>
      </w:r>
    </w:p>
    <w:p w:rsidR="004539E5" w:rsidRPr="00863715" w:rsidRDefault="004539E5" w:rsidP="00976D27">
      <w:pPr>
        <w:tabs>
          <w:tab w:val="left" w:pos="0"/>
        </w:tabs>
        <w:rPr>
          <w:sz w:val="28"/>
          <w:szCs w:val="28"/>
        </w:rPr>
      </w:pPr>
    </w:p>
    <w:p w:rsidR="00503D47" w:rsidRPr="00863715" w:rsidRDefault="004539E5" w:rsidP="00503D47">
      <w:pPr>
        <w:tabs>
          <w:tab w:val="left" w:pos="0"/>
        </w:tabs>
        <w:rPr>
          <w:sz w:val="28"/>
          <w:szCs w:val="28"/>
        </w:rPr>
      </w:pPr>
      <w:r w:rsidRPr="00863715">
        <w:rPr>
          <w:sz w:val="28"/>
          <w:szCs w:val="28"/>
        </w:rPr>
        <w:t>[</w:t>
      </w:r>
      <w:r w:rsidR="0057516B" w:rsidRPr="00863715">
        <w:rPr>
          <w:sz w:val="28"/>
          <w:szCs w:val="28"/>
        </w:rPr>
        <w:t>9</w:t>
      </w:r>
      <w:r w:rsidRPr="00863715">
        <w:rPr>
          <w:sz w:val="28"/>
          <w:szCs w:val="28"/>
        </w:rPr>
        <w:t>]</w:t>
      </w:r>
      <w:r w:rsidRPr="00863715">
        <w:rPr>
          <w:sz w:val="28"/>
          <w:szCs w:val="28"/>
        </w:rPr>
        <w:tab/>
      </w:r>
      <w:r w:rsidR="001E6374" w:rsidRPr="00863715">
        <w:rPr>
          <w:sz w:val="28"/>
          <w:szCs w:val="28"/>
        </w:rPr>
        <w:t>In an email dated 9 July 2020</w:t>
      </w:r>
      <w:r w:rsidR="003A0AEE" w:rsidRPr="00863715">
        <w:rPr>
          <w:sz w:val="28"/>
          <w:szCs w:val="28"/>
        </w:rPr>
        <w:t>,</w:t>
      </w:r>
      <w:r w:rsidR="001E6374" w:rsidRPr="00863715">
        <w:rPr>
          <w:sz w:val="28"/>
          <w:szCs w:val="28"/>
        </w:rPr>
        <w:t xml:space="preserve"> the appellant requested the </w:t>
      </w:r>
      <w:r w:rsidR="00172D42" w:rsidRPr="00863715">
        <w:rPr>
          <w:sz w:val="28"/>
          <w:szCs w:val="28"/>
        </w:rPr>
        <w:t xml:space="preserve">Superintendent-General </w:t>
      </w:r>
      <w:r w:rsidR="001E6374" w:rsidRPr="00863715">
        <w:rPr>
          <w:sz w:val="28"/>
          <w:szCs w:val="28"/>
        </w:rPr>
        <w:t xml:space="preserve">to intervene. The response </w:t>
      </w:r>
      <w:r w:rsidR="00912F04" w:rsidRPr="00863715">
        <w:rPr>
          <w:sz w:val="28"/>
          <w:szCs w:val="28"/>
        </w:rPr>
        <w:t xml:space="preserve">was that </w:t>
      </w:r>
      <w:r w:rsidR="002E2003" w:rsidRPr="00863715">
        <w:rPr>
          <w:sz w:val="28"/>
          <w:szCs w:val="28"/>
        </w:rPr>
        <w:t xml:space="preserve">the Department had paid an amount </w:t>
      </w:r>
      <w:r w:rsidR="004E283D" w:rsidRPr="00863715">
        <w:rPr>
          <w:sz w:val="28"/>
          <w:szCs w:val="28"/>
        </w:rPr>
        <w:t xml:space="preserve">of </w:t>
      </w:r>
      <w:r w:rsidR="002E2003" w:rsidRPr="00863715">
        <w:rPr>
          <w:sz w:val="28"/>
          <w:szCs w:val="28"/>
        </w:rPr>
        <w:t>R7</w:t>
      </w:r>
      <w:r w:rsidR="003A0AEE" w:rsidRPr="00863715">
        <w:rPr>
          <w:sz w:val="28"/>
          <w:szCs w:val="28"/>
        </w:rPr>
        <w:t xml:space="preserve"> </w:t>
      </w:r>
      <w:r w:rsidR="002E2003" w:rsidRPr="00863715">
        <w:rPr>
          <w:sz w:val="28"/>
          <w:szCs w:val="28"/>
        </w:rPr>
        <w:t>016</w:t>
      </w:r>
      <w:r w:rsidR="003A0AEE" w:rsidRPr="00863715">
        <w:rPr>
          <w:sz w:val="28"/>
          <w:szCs w:val="28"/>
        </w:rPr>
        <w:t xml:space="preserve"> </w:t>
      </w:r>
      <w:r w:rsidR="002E2003" w:rsidRPr="00863715">
        <w:rPr>
          <w:sz w:val="28"/>
          <w:szCs w:val="28"/>
        </w:rPr>
        <w:t xml:space="preserve">767.76 to GEPF </w:t>
      </w:r>
      <w:r w:rsidR="009A4F0E" w:rsidRPr="00863715">
        <w:rPr>
          <w:sz w:val="28"/>
          <w:szCs w:val="28"/>
        </w:rPr>
        <w:t>‘</w:t>
      </w:r>
      <w:r w:rsidR="002E2003" w:rsidRPr="00863715">
        <w:rPr>
          <w:sz w:val="28"/>
          <w:szCs w:val="28"/>
        </w:rPr>
        <w:t>to ensure smooth transition and proper continuation</w:t>
      </w:r>
      <w:r w:rsidR="003A7DAE" w:rsidRPr="00863715">
        <w:rPr>
          <w:sz w:val="28"/>
          <w:szCs w:val="28"/>
        </w:rPr>
        <w:t>’</w:t>
      </w:r>
      <w:r w:rsidR="002E2003" w:rsidRPr="00863715">
        <w:rPr>
          <w:sz w:val="28"/>
          <w:szCs w:val="28"/>
        </w:rPr>
        <w:t xml:space="preserve"> of</w:t>
      </w:r>
      <w:r w:rsidR="003A7DAE" w:rsidRPr="00863715">
        <w:rPr>
          <w:sz w:val="28"/>
          <w:szCs w:val="28"/>
        </w:rPr>
        <w:t xml:space="preserve"> the appellant’s pensionable</w:t>
      </w:r>
      <w:r w:rsidR="002E2003" w:rsidRPr="00863715">
        <w:rPr>
          <w:sz w:val="28"/>
          <w:szCs w:val="28"/>
        </w:rPr>
        <w:t xml:space="preserve"> service from 1979 to 2020, with the view that the appellant would refund</w:t>
      </w:r>
      <w:r w:rsidR="003A7DAE" w:rsidRPr="00863715">
        <w:rPr>
          <w:sz w:val="28"/>
          <w:szCs w:val="28"/>
        </w:rPr>
        <w:t xml:space="preserve"> </w:t>
      </w:r>
      <w:r w:rsidR="002E2003" w:rsidRPr="00863715">
        <w:rPr>
          <w:sz w:val="28"/>
          <w:szCs w:val="28"/>
        </w:rPr>
        <w:t xml:space="preserve">the </w:t>
      </w:r>
      <w:r w:rsidR="00912F04" w:rsidRPr="00863715">
        <w:rPr>
          <w:sz w:val="28"/>
          <w:szCs w:val="28"/>
        </w:rPr>
        <w:t xml:space="preserve">Department </w:t>
      </w:r>
      <w:r w:rsidR="002E2003" w:rsidRPr="00863715">
        <w:rPr>
          <w:sz w:val="28"/>
          <w:szCs w:val="28"/>
        </w:rPr>
        <w:t>the</w:t>
      </w:r>
      <w:r w:rsidR="00912F04" w:rsidRPr="00863715">
        <w:rPr>
          <w:sz w:val="28"/>
          <w:szCs w:val="28"/>
        </w:rPr>
        <w:t xml:space="preserve"> </w:t>
      </w:r>
      <w:r w:rsidR="00CD37A7">
        <w:rPr>
          <w:sz w:val="28"/>
          <w:szCs w:val="28"/>
        </w:rPr>
        <w:t>pension benefit</w:t>
      </w:r>
      <w:r w:rsidR="00912F04" w:rsidRPr="00863715">
        <w:rPr>
          <w:sz w:val="28"/>
          <w:szCs w:val="28"/>
        </w:rPr>
        <w:t xml:space="preserve"> pa</w:t>
      </w:r>
      <w:r w:rsidR="00CD37A7">
        <w:rPr>
          <w:sz w:val="28"/>
          <w:szCs w:val="28"/>
        </w:rPr>
        <w:t>id to her</w:t>
      </w:r>
      <w:r w:rsidR="00912F04" w:rsidRPr="00863715">
        <w:rPr>
          <w:sz w:val="28"/>
          <w:szCs w:val="28"/>
        </w:rPr>
        <w:t xml:space="preserve"> upon her dismissal. </w:t>
      </w:r>
      <w:r w:rsidR="003A7DAE" w:rsidRPr="00863715">
        <w:rPr>
          <w:sz w:val="28"/>
          <w:szCs w:val="28"/>
        </w:rPr>
        <w:t>She had not refunded the money as expected.</w:t>
      </w:r>
      <w:r w:rsidR="00BB50D4" w:rsidRPr="00863715">
        <w:rPr>
          <w:sz w:val="28"/>
          <w:szCs w:val="28"/>
        </w:rPr>
        <w:t xml:space="preserve"> Furthermore,</w:t>
      </w:r>
      <w:r w:rsidR="00912F04" w:rsidRPr="00863715">
        <w:rPr>
          <w:sz w:val="28"/>
          <w:szCs w:val="28"/>
        </w:rPr>
        <w:t xml:space="preserve"> </w:t>
      </w:r>
      <w:r w:rsidR="00451354" w:rsidRPr="00863715">
        <w:rPr>
          <w:sz w:val="28"/>
          <w:szCs w:val="28"/>
        </w:rPr>
        <w:t xml:space="preserve">the appellant’s </w:t>
      </w:r>
      <w:r w:rsidR="00912F04" w:rsidRPr="00863715">
        <w:rPr>
          <w:sz w:val="28"/>
          <w:szCs w:val="28"/>
        </w:rPr>
        <w:t>representation of her pensionable service in her exit documents as starting from 1979 to 2020</w:t>
      </w:r>
      <w:r w:rsidR="00BB50D4" w:rsidRPr="00863715">
        <w:rPr>
          <w:sz w:val="28"/>
          <w:szCs w:val="28"/>
        </w:rPr>
        <w:t xml:space="preserve"> was incorrect</w:t>
      </w:r>
      <w:r w:rsidR="00424C5F" w:rsidRPr="00863715">
        <w:rPr>
          <w:sz w:val="28"/>
          <w:szCs w:val="28"/>
        </w:rPr>
        <w:t>, it was alleged</w:t>
      </w:r>
      <w:r w:rsidR="00F94005" w:rsidRPr="00863715">
        <w:rPr>
          <w:sz w:val="28"/>
          <w:szCs w:val="28"/>
        </w:rPr>
        <w:t>. According to the Department</w:t>
      </w:r>
      <w:r w:rsidR="008B6402" w:rsidRPr="00863715">
        <w:rPr>
          <w:sz w:val="28"/>
          <w:szCs w:val="28"/>
        </w:rPr>
        <w:t xml:space="preserve"> the correct service period </w:t>
      </w:r>
      <w:r w:rsidR="00F94005" w:rsidRPr="00863715">
        <w:rPr>
          <w:sz w:val="28"/>
          <w:szCs w:val="28"/>
        </w:rPr>
        <w:t>began</w:t>
      </w:r>
      <w:r w:rsidR="008B6402" w:rsidRPr="00863715">
        <w:rPr>
          <w:sz w:val="28"/>
          <w:szCs w:val="28"/>
        </w:rPr>
        <w:t xml:space="preserve"> from her date of reinstatement until her date of retirement</w:t>
      </w:r>
      <w:r w:rsidR="003865BA" w:rsidRPr="00863715">
        <w:rPr>
          <w:sz w:val="28"/>
          <w:szCs w:val="28"/>
        </w:rPr>
        <w:t>.</w:t>
      </w:r>
      <w:r w:rsidR="00912F04" w:rsidRPr="00863715">
        <w:rPr>
          <w:sz w:val="28"/>
          <w:szCs w:val="28"/>
        </w:rPr>
        <w:t xml:space="preserve"> </w:t>
      </w:r>
      <w:r w:rsidR="00BB50D4" w:rsidRPr="00863715">
        <w:rPr>
          <w:sz w:val="28"/>
          <w:szCs w:val="28"/>
        </w:rPr>
        <w:t>The</w:t>
      </w:r>
      <w:r w:rsidR="00503D47" w:rsidRPr="00863715">
        <w:rPr>
          <w:sz w:val="28"/>
          <w:szCs w:val="28"/>
        </w:rPr>
        <w:t xml:space="preserve"> </w:t>
      </w:r>
      <w:r w:rsidR="00BB50D4" w:rsidRPr="00863715">
        <w:rPr>
          <w:sz w:val="28"/>
          <w:szCs w:val="28"/>
        </w:rPr>
        <w:t xml:space="preserve">Department </w:t>
      </w:r>
      <w:r w:rsidR="00503D47" w:rsidRPr="00863715">
        <w:rPr>
          <w:sz w:val="28"/>
          <w:szCs w:val="28"/>
        </w:rPr>
        <w:t>gave the appellant</w:t>
      </w:r>
      <w:r w:rsidR="00AB6039" w:rsidRPr="00863715">
        <w:rPr>
          <w:sz w:val="28"/>
          <w:szCs w:val="28"/>
        </w:rPr>
        <w:t xml:space="preserve"> 14 days to advise </w:t>
      </w:r>
      <w:r w:rsidR="00503D47" w:rsidRPr="00863715">
        <w:rPr>
          <w:sz w:val="28"/>
          <w:szCs w:val="28"/>
        </w:rPr>
        <w:t>it</w:t>
      </w:r>
      <w:r w:rsidR="00AB6039" w:rsidRPr="00863715">
        <w:rPr>
          <w:sz w:val="28"/>
          <w:szCs w:val="28"/>
        </w:rPr>
        <w:t xml:space="preserve"> on how the ‘departmental debt </w:t>
      </w:r>
      <w:r w:rsidR="00BB50D4" w:rsidRPr="00863715">
        <w:rPr>
          <w:sz w:val="28"/>
          <w:szCs w:val="28"/>
        </w:rPr>
        <w:t>would</w:t>
      </w:r>
      <w:r w:rsidR="00AB6039" w:rsidRPr="00863715">
        <w:rPr>
          <w:sz w:val="28"/>
          <w:szCs w:val="28"/>
        </w:rPr>
        <w:t xml:space="preserve"> be recovered.</w:t>
      </w:r>
      <w:r w:rsidR="009B0FE2" w:rsidRPr="00863715">
        <w:rPr>
          <w:sz w:val="28"/>
          <w:szCs w:val="28"/>
        </w:rPr>
        <w:t>’</w:t>
      </w:r>
    </w:p>
    <w:p w:rsidR="00BD10B2" w:rsidRPr="00863715" w:rsidRDefault="00BD10B2" w:rsidP="00503D47">
      <w:pPr>
        <w:tabs>
          <w:tab w:val="left" w:pos="0"/>
        </w:tabs>
        <w:rPr>
          <w:sz w:val="28"/>
          <w:szCs w:val="28"/>
        </w:rPr>
      </w:pPr>
    </w:p>
    <w:p w:rsidR="00BD10B2" w:rsidRPr="00863715" w:rsidRDefault="00BD10B2" w:rsidP="00BD10B2">
      <w:pPr>
        <w:tabs>
          <w:tab w:val="left" w:pos="0"/>
        </w:tabs>
        <w:rPr>
          <w:sz w:val="28"/>
          <w:szCs w:val="28"/>
        </w:rPr>
      </w:pPr>
      <w:r w:rsidRPr="00863715">
        <w:rPr>
          <w:sz w:val="28"/>
          <w:szCs w:val="28"/>
        </w:rPr>
        <w:t>[</w:t>
      </w:r>
      <w:r w:rsidR="0057516B" w:rsidRPr="00863715">
        <w:rPr>
          <w:sz w:val="28"/>
          <w:szCs w:val="28"/>
        </w:rPr>
        <w:t>10</w:t>
      </w:r>
      <w:r w:rsidRPr="00863715">
        <w:rPr>
          <w:sz w:val="28"/>
          <w:szCs w:val="28"/>
        </w:rPr>
        <w:t>]</w:t>
      </w:r>
      <w:r w:rsidRPr="00863715">
        <w:rPr>
          <w:sz w:val="28"/>
          <w:szCs w:val="28"/>
        </w:rPr>
        <w:tab/>
        <w:t xml:space="preserve">In a letter dated 14 July 2020 the appellant’s attorneys </w:t>
      </w:r>
      <w:r w:rsidR="00EE7AE1" w:rsidRPr="00863715">
        <w:rPr>
          <w:sz w:val="28"/>
          <w:szCs w:val="28"/>
        </w:rPr>
        <w:t xml:space="preserve">wrote to </w:t>
      </w:r>
      <w:r w:rsidRPr="00863715">
        <w:rPr>
          <w:sz w:val="28"/>
          <w:szCs w:val="28"/>
        </w:rPr>
        <w:t>the Head of the Department as follows:</w:t>
      </w:r>
    </w:p>
    <w:p w:rsidR="00BD10B2" w:rsidRPr="00863715" w:rsidRDefault="00BD10B2" w:rsidP="00BD10B2">
      <w:pPr>
        <w:tabs>
          <w:tab w:val="left" w:pos="0"/>
        </w:tabs>
      </w:pPr>
      <w:r w:rsidRPr="00863715">
        <w:rPr>
          <w:rStyle w:val="FootnoteReference"/>
          <w:sz w:val="28"/>
          <w:szCs w:val="28"/>
        </w:rPr>
        <w:t>‘</w:t>
      </w:r>
      <w:r w:rsidRPr="00863715">
        <w:t xml:space="preserve">At all relevant times to the negotiations which preceded the signing of the Settlement Agreement, the Department was aware that our client had received payment of a pension </w:t>
      </w:r>
      <w:r w:rsidRPr="00863715">
        <w:lastRenderedPageBreak/>
        <w:t>gratuity calculated on a basis of (unfair) dismissal, and utilised these funds as a result of the loss of her remuneration;</w:t>
      </w:r>
    </w:p>
    <w:p w:rsidR="00BD10B2" w:rsidRPr="00863715" w:rsidRDefault="00BD10B2" w:rsidP="00BD10B2">
      <w:pPr>
        <w:tabs>
          <w:tab w:val="left" w:pos="0"/>
        </w:tabs>
      </w:pPr>
      <w:r w:rsidRPr="00863715">
        <w:t>The Department did, however, decide to fully and retrospectively to the 15 January 1979 reinstate our client’s pensionable services and benefits, and paid the amount as calculated by the GEPF (which calculation reflected the pension gratuity paid to Mrs De Nysschen previously) over to the GEPF;</w:t>
      </w:r>
    </w:p>
    <w:p w:rsidR="00F46783" w:rsidRPr="00863715" w:rsidRDefault="00BD10B2" w:rsidP="00BD10B2">
      <w:pPr>
        <w:tabs>
          <w:tab w:val="left" w:pos="0"/>
        </w:tabs>
      </w:pPr>
      <w:r w:rsidRPr="00863715">
        <w:t>It had never been contemplated between the parties that Mrs De Nysschen would be required to reimburse the pension gratuity received prior to the Settlement Agreement, and for that reason, the agreement contains no such reason. The intention of the parties at the time of the signature is clearly recorded in clause 5 of the settlement agreement, i</w:t>
      </w:r>
      <w:r w:rsidR="00DC1FCC">
        <w:t>.</w:t>
      </w:r>
      <w:r w:rsidRPr="00863715">
        <w:t>e for the Department to reinstate the full actuarial value of our client’s pension interest with the GEPF, as if she had not been dismissed, and to pay the amount required to do so, as calculated by the GEPF’s actuaries, over to the Fund.’</w:t>
      </w:r>
    </w:p>
    <w:p w:rsidR="00EA2289" w:rsidRPr="00863715" w:rsidRDefault="006E3DC6" w:rsidP="00503D47">
      <w:pPr>
        <w:tabs>
          <w:tab w:val="left" w:pos="0"/>
        </w:tabs>
        <w:rPr>
          <w:sz w:val="28"/>
          <w:szCs w:val="28"/>
        </w:rPr>
      </w:pPr>
      <w:r w:rsidRPr="00863715">
        <w:rPr>
          <w:sz w:val="28"/>
          <w:szCs w:val="28"/>
        </w:rPr>
        <w:t>This led to an impasse. The Department insisted</w:t>
      </w:r>
      <w:r w:rsidR="00503D47" w:rsidRPr="00863715">
        <w:rPr>
          <w:sz w:val="28"/>
          <w:szCs w:val="28"/>
        </w:rPr>
        <w:t>,</w:t>
      </w:r>
      <w:r w:rsidRPr="00863715">
        <w:rPr>
          <w:sz w:val="28"/>
          <w:szCs w:val="28"/>
        </w:rPr>
        <w:t xml:space="preserve"> even on receipt of </w:t>
      </w:r>
      <w:r w:rsidR="00424C5F" w:rsidRPr="00863715">
        <w:rPr>
          <w:sz w:val="28"/>
          <w:szCs w:val="28"/>
        </w:rPr>
        <w:t>a</w:t>
      </w:r>
      <w:r w:rsidR="0057081F" w:rsidRPr="00863715">
        <w:rPr>
          <w:sz w:val="28"/>
          <w:szCs w:val="28"/>
        </w:rPr>
        <w:t xml:space="preserve"> </w:t>
      </w:r>
      <w:r w:rsidRPr="00863715">
        <w:rPr>
          <w:sz w:val="28"/>
          <w:szCs w:val="28"/>
        </w:rPr>
        <w:t>letter of demand from the appellant’s attorneys, that the appellant should complete fresh exit documents</w:t>
      </w:r>
      <w:r w:rsidR="00FF15A9" w:rsidRPr="00863715">
        <w:rPr>
          <w:sz w:val="28"/>
          <w:szCs w:val="28"/>
        </w:rPr>
        <w:t xml:space="preserve"> with a rectified</w:t>
      </w:r>
      <w:r w:rsidRPr="00863715">
        <w:rPr>
          <w:sz w:val="28"/>
          <w:szCs w:val="28"/>
        </w:rPr>
        <w:t xml:space="preserve"> period of her pensionable service. </w:t>
      </w:r>
    </w:p>
    <w:p w:rsidR="006E3DC6" w:rsidRPr="00863715" w:rsidRDefault="006E3DC6" w:rsidP="00D47A1D">
      <w:pPr>
        <w:tabs>
          <w:tab w:val="left" w:pos="0"/>
        </w:tabs>
        <w:rPr>
          <w:sz w:val="28"/>
          <w:szCs w:val="28"/>
        </w:rPr>
      </w:pPr>
    </w:p>
    <w:p w:rsidR="00C826F9" w:rsidRPr="00863715" w:rsidRDefault="00BE02D1" w:rsidP="00BE02D1">
      <w:pPr>
        <w:tabs>
          <w:tab w:val="left" w:pos="0"/>
        </w:tabs>
        <w:rPr>
          <w:sz w:val="28"/>
          <w:szCs w:val="28"/>
        </w:rPr>
      </w:pPr>
      <w:r w:rsidRPr="00863715">
        <w:rPr>
          <w:sz w:val="28"/>
          <w:szCs w:val="28"/>
        </w:rPr>
        <w:t>[1</w:t>
      </w:r>
      <w:r w:rsidR="00F94005" w:rsidRPr="00863715">
        <w:rPr>
          <w:sz w:val="28"/>
          <w:szCs w:val="28"/>
        </w:rPr>
        <w:t>1</w:t>
      </w:r>
      <w:r w:rsidR="004E283D" w:rsidRPr="00863715">
        <w:rPr>
          <w:sz w:val="28"/>
          <w:szCs w:val="28"/>
        </w:rPr>
        <w:t>]</w:t>
      </w:r>
      <w:r w:rsidR="006E3DC6" w:rsidRPr="00863715">
        <w:rPr>
          <w:sz w:val="28"/>
          <w:szCs w:val="28"/>
        </w:rPr>
        <w:tab/>
      </w:r>
      <w:r w:rsidR="0057081F" w:rsidRPr="00863715">
        <w:rPr>
          <w:sz w:val="28"/>
          <w:szCs w:val="28"/>
        </w:rPr>
        <w:t xml:space="preserve">Ultimately, the appellant approached the high court for the relief that has already been stated. </w:t>
      </w:r>
      <w:r w:rsidR="00503D47" w:rsidRPr="00863715">
        <w:rPr>
          <w:sz w:val="28"/>
          <w:szCs w:val="28"/>
        </w:rPr>
        <w:t>In support of her application</w:t>
      </w:r>
      <w:r w:rsidR="008B5257" w:rsidRPr="00863715">
        <w:rPr>
          <w:sz w:val="28"/>
          <w:szCs w:val="28"/>
        </w:rPr>
        <w:t>,</w:t>
      </w:r>
      <w:r w:rsidR="00503D47" w:rsidRPr="00863715">
        <w:rPr>
          <w:sz w:val="28"/>
          <w:szCs w:val="28"/>
        </w:rPr>
        <w:t xml:space="preserve"> </w:t>
      </w:r>
      <w:r w:rsidR="0057081F" w:rsidRPr="00863715">
        <w:rPr>
          <w:sz w:val="28"/>
          <w:szCs w:val="28"/>
        </w:rPr>
        <w:t>she</w:t>
      </w:r>
      <w:r w:rsidR="00503D47" w:rsidRPr="00863715">
        <w:rPr>
          <w:sz w:val="28"/>
          <w:szCs w:val="28"/>
        </w:rPr>
        <w:t xml:space="preserve"> asserted that the </w:t>
      </w:r>
      <w:r w:rsidR="00BD10B2" w:rsidRPr="00863715">
        <w:rPr>
          <w:sz w:val="28"/>
          <w:szCs w:val="28"/>
        </w:rPr>
        <w:t xml:space="preserve">restoration of </w:t>
      </w:r>
      <w:r w:rsidR="00503D47" w:rsidRPr="00863715">
        <w:rPr>
          <w:sz w:val="28"/>
          <w:szCs w:val="28"/>
        </w:rPr>
        <w:t xml:space="preserve">her pre-reinstatement pensionable service by the Department </w:t>
      </w:r>
      <w:r w:rsidR="006D6D39" w:rsidRPr="00863715">
        <w:rPr>
          <w:sz w:val="28"/>
          <w:szCs w:val="28"/>
        </w:rPr>
        <w:t>re</w:t>
      </w:r>
      <w:r w:rsidR="00503D47" w:rsidRPr="00863715">
        <w:rPr>
          <w:sz w:val="28"/>
          <w:szCs w:val="28"/>
        </w:rPr>
        <w:t xml:space="preserve">ndered her pensionable service effective from </w:t>
      </w:r>
      <w:r w:rsidR="00EE1812" w:rsidRPr="00863715">
        <w:rPr>
          <w:sz w:val="28"/>
          <w:szCs w:val="28"/>
        </w:rPr>
        <w:t xml:space="preserve">15 January </w:t>
      </w:r>
      <w:r w:rsidR="00503D47" w:rsidRPr="00863715">
        <w:rPr>
          <w:sz w:val="28"/>
          <w:szCs w:val="28"/>
        </w:rPr>
        <w:t xml:space="preserve">1979 to 1 April 2020. </w:t>
      </w:r>
      <w:r w:rsidR="00EE1812" w:rsidRPr="00863715">
        <w:rPr>
          <w:sz w:val="28"/>
          <w:szCs w:val="28"/>
        </w:rPr>
        <w:t xml:space="preserve">Consequently, </w:t>
      </w:r>
      <w:r w:rsidR="005155E5" w:rsidRPr="00863715">
        <w:rPr>
          <w:sz w:val="28"/>
          <w:szCs w:val="28"/>
        </w:rPr>
        <w:t xml:space="preserve">she asserted, </w:t>
      </w:r>
      <w:r w:rsidR="00723C03">
        <w:rPr>
          <w:sz w:val="28"/>
          <w:szCs w:val="28"/>
        </w:rPr>
        <w:t>her pensionable service</w:t>
      </w:r>
      <w:r w:rsidR="00EE1812" w:rsidRPr="00863715">
        <w:rPr>
          <w:sz w:val="28"/>
          <w:szCs w:val="28"/>
        </w:rPr>
        <w:t xml:space="preserve"> was correct</w:t>
      </w:r>
      <w:r w:rsidR="005155E5" w:rsidRPr="00863715">
        <w:rPr>
          <w:sz w:val="28"/>
          <w:szCs w:val="28"/>
        </w:rPr>
        <w:t>ly stated</w:t>
      </w:r>
      <w:r w:rsidR="00BD10B2" w:rsidRPr="00863715">
        <w:rPr>
          <w:sz w:val="28"/>
          <w:szCs w:val="28"/>
        </w:rPr>
        <w:t xml:space="preserve"> in her exit documents</w:t>
      </w:r>
      <w:r w:rsidR="00EE1812" w:rsidRPr="00863715">
        <w:rPr>
          <w:sz w:val="28"/>
          <w:szCs w:val="28"/>
        </w:rPr>
        <w:t xml:space="preserve">. </w:t>
      </w:r>
      <w:r w:rsidR="00503D47" w:rsidRPr="00863715">
        <w:rPr>
          <w:sz w:val="28"/>
          <w:szCs w:val="28"/>
        </w:rPr>
        <w:t xml:space="preserve">She </w:t>
      </w:r>
      <w:r w:rsidRPr="00863715">
        <w:rPr>
          <w:sz w:val="28"/>
          <w:szCs w:val="28"/>
        </w:rPr>
        <w:t>stressed</w:t>
      </w:r>
      <w:r w:rsidR="00503D47" w:rsidRPr="00863715">
        <w:rPr>
          <w:sz w:val="28"/>
          <w:szCs w:val="28"/>
        </w:rPr>
        <w:t xml:space="preserve"> </w:t>
      </w:r>
      <w:r w:rsidR="008B5257" w:rsidRPr="00863715">
        <w:rPr>
          <w:sz w:val="28"/>
          <w:szCs w:val="28"/>
        </w:rPr>
        <w:t xml:space="preserve">further </w:t>
      </w:r>
      <w:r w:rsidR="00503D47" w:rsidRPr="00863715">
        <w:rPr>
          <w:sz w:val="28"/>
          <w:szCs w:val="28"/>
        </w:rPr>
        <w:t xml:space="preserve">that the Department </w:t>
      </w:r>
      <w:r w:rsidRPr="00863715">
        <w:rPr>
          <w:sz w:val="28"/>
          <w:szCs w:val="28"/>
        </w:rPr>
        <w:t xml:space="preserve">was obliged to submit her withdrawal documents without delay, </w:t>
      </w:r>
      <w:r w:rsidR="005155E5" w:rsidRPr="00863715">
        <w:rPr>
          <w:sz w:val="28"/>
          <w:szCs w:val="28"/>
        </w:rPr>
        <w:t xml:space="preserve">and </w:t>
      </w:r>
      <w:r w:rsidRPr="00863715">
        <w:rPr>
          <w:sz w:val="28"/>
          <w:szCs w:val="28"/>
        </w:rPr>
        <w:t>that its refusal to do so constituted unlawful self-help which bordered on extortion</w:t>
      </w:r>
      <w:r w:rsidR="005155E5" w:rsidRPr="00863715">
        <w:rPr>
          <w:sz w:val="28"/>
          <w:szCs w:val="28"/>
        </w:rPr>
        <w:t xml:space="preserve">. She also pointed out that </w:t>
      </w:r>
      <w:r w:rsidRPr="00863715">
        <w:rPr>
          <w:sz w:val="28"/>
          <w:szCs w:val="28"/>
        </w:rPr>
        <w:t xml:space="preserve">it </w:t>
      </w:r>
      <w:r w:rsidR="00EE1812" w:rsidRPr="00863715">
        <w:rPr>
          <w:sz w:val="28"/>
          <w:szCs w:val="28"/>
        </w:rPr>
        <w:t xml:space="preserve">was open to </w:t>
      </w:r>
      <w:r w:rsidR="00F46783" w:rsidRPr="00863715">
        <w:rPr>
          <w:sz w:val="28"/>
          <w:szCs w:val="28"/>
        </w:rPr>
        <w:t xml:space="preserve">the Department </w:t>
      </w:r>
      <w:r w:rsidR="00EE1812" w:rsidRPr="00863715">
        <w:rPr>
          <w:sz w:val="28"/>
          <w:szCs w:val="28"/>
        </w:rPr>
        <w:t>to</w:t>
      </w:r>
      <w:r w:rsidRPr="00863715">
        <w:rPr>
          <w:sz w:val="28"/>
          <w:szCs w:val="28"/>
        </w:rPr>
        <w:t xml:space="preserve"> indicate</w:t>
      </w:r>
      <w:r w:rsidR="006D6D39" w:rsidRPr="00863715">
        <w:rPr>
          <w:sz w:val="28"/>
          <w:szCs w:val="28"/>
        </w:rPr>
        <w:t>,</w:t>
      </w:r>
      <w:r w:rsidRPr="00863715">
        <w:rPr>
          <w:sz w:val="28"/>
          <w:szCs w:val="28"/>
        </w:rPr>
        <w:t xml:space="preserve"> </w:t>
      </w:r>
      <w:r w:rsidR="00EE1812" w:rsidRPr="00863715">
        <w:rPr>
          <w:sz w:val="28"/>
          <w:szCs w:val="28"/>
        </w:rPr>
        <w:t xml:space="preserve">on the withdrawal </w:t>
      </w:r>
      <w:r w:rsidR="00EE1812" w:rsidRPr="00863715">
        <w:rPr>
          <w:sz w:val="28"/>
          <w:szCs w:val="28"/>
        </w:rPr>
        <w:lastRenderedPageBreak/>
        <w:t>form</w:t>
      </w:r>
      <w:r w:rsidR="006D6D39" w:rsidRPr="00863715">
        <w:rPr>
          <w:sz w:val="28"/>
          <w:szCs w:val="28"/>
        </w:rPr>
        <w:t>,</w:t>
      </w:r>
      <w:r w:rsidR="00EE1812" w:rsidRPr="00863715">
        <w:rPr>
          <w:sz w:val="28"/>
          <w:szCs w:val="28"/>
        </w:rPr>
        <w:t xml:space="preserve"> </w:t>
      </w:r>
      <w:r w:rsidR="00200688" w:rsidRPr="00863715">
        <w:rPr>
          <w:sz w:val="28"/>
          <w:szCs w:val="28"/>
        </w:rPr>
        <w:t xml:space="preserve">the alleged </w:t>
      </w:r>
      <w:r w:rsidRPr="00863715">
        <w:rPr>
          <w:sz w:val="28"/>
          <w:szCs w:val="28"/>
        </w:rPr>
        <w:t>departmental debt</w:t>
      </w:r>
      <w:r w:rsidR="00703145" w:rsidRPr="00863715">
        <w:rPr>
          <w:sz w:val="28"/>
          <w:szCs w:val="28"/>
        </w:rPr>
        <w:t>,</w:t>
      </w:r>
      <w:r w:rsidRPr="00863715">
        <w:rPr>
          <w:sz w:val="28"/>
          <w:szCs w:val="28"/>
        </w:rPr>
        <w:t xml:space="preserve"> and request the </w:t>
      </w:r>
      <w:r w:rsidR="008B5257" w:rsidRPr="00863715">
        <w:rPr>
          <w:sz w:val="28"/>
          <w:szCs w:val="28"/>
        </w:rPr>
        <w:t>GEPF</w:t>
      </w:r>
      <w:r w:rsidRPr="00863715">
        <w:rPr>
          <w:sz w:val="28"/>
          <w:szCs w:val="28"/>
        </w:rPr>
        <w:t xml:space="preserve"> to exercise its discretion in</w:t>
      </w:r>
      <w:r w:rsidR="00814B10" w:rsidRPr="00863715">
        <w:rPr>
          <w:sz w:val="28"/>
          <w:szCs w:val="28"/>
        </w:rPr>
        <w:t xml:space="preserve"> terms of</w:t>
      </w:r>
      <w:r w:rsidRPr="00863715">
        <w:rPr>
          <w:sz w:val="28"/>
          <w:szCs w:val="28"/>
        </w:rPr>
        <w:t xml:space="preserve"> s</w:t>
      </w:r>
      <w:r w:rsidR="008B5257" w:rsidRPr="00863715">
        <w:rPr>
          <w:sz w:val="28"/>
          <w:szCs w:val="28"/>
        </w:rPr>
        <w:t xml:space="preserve"> </w:t>
      </w:r>
      <w:r w:rsidRPr="00863715">
        <w:rPr>
          <w:sz w:val="28"/>
          <w:szCs w:val="28"/>
        </w:rPr>
        <w:t>21(3) of the Pension Law.</w:t>
      </w:r>
      <w:r w:rsidR="00EE1812" w:rsidRPr="00863715">
        <w:rPr>
          <w:rStyle w:val="FootnoteReference"/>
          <w:sz w:val="28"/>
          <w:szCs w:val="28"/>
        </w:rPr>
        <w:footnoteReference w:id="10"/>
      </w:r>
    </w:p>
    <w:p w:rsidR="003865BA" w:rsidRPr="00863715" w:rsidRDefault="003865BA" w:rsidP="00BE02D1">
      <w:pPr>
        <w:tabs>
          <w:tab w:val="left" w:pos="0"/>
        </w:tabs>
        <w:rPr>
          <w:sz w:val="28"/>
          <w:szCs w:val="28"/>
        </w:rPr>
      </w:pPr>
    </w:p>
    <w:p w:rsidR="00C826F9" w:rsidRPr="00863715" w:rsidRDefault="00C826F9" w:rsidP="00BE02D1">
      <w:pPr>
        <w:tabs>
          <w:tab w:val="left" w:pos="0"/>
        </w:tabs>
        <w:rPr>
          <w:sz w:val="28"/>
          <w:szCs w:val="28"/>
        </w:rPr>
      </w:pPr>
      <w:r w:rsidRPr="00863715">
        <w:rPr>
          <w:sz w:val="28"/>
          <w:szCs w:val="28"/>
        </w:rPr>
        <w:t>[1</w:t>
      </w:r>
      <w:r w:rsidR="004773BF" w:rsidRPr="00863715">
        <w:rPr>
          <w:sz w:val="28"/>
          <w:szCs w:val="28"/>
        </w:rPr>
        <w:t>2</w:t>
      </w:r>
      <w:r w:rsidRPr="00863715">
        <w:rPr>
          <w:sz w:val="28"/>
          <w:szCs w:val="28"/>
        </w:rPr>
        <w:t>]</w:t>
      </w:r>
      <w:r w:rsidRPr="00863715">
        <w:rPr>
          <w:sz w:val="28"/>
          <w:szCs w:val="28"/>
        </w:rPr>
        <w:tab/>
        <w:t>As against the GEPF and the GPAA</w:t>
      </w:r>
      <w:r w:rsidR="006E1496" w:rsidRPr="00863715">
        <w:rPr>
          <w:sz w:val="28"/>
          <w:szCs w:val="28"/>
        </w:rPr>
        <w:t>,</w:t>
      </w:r>
      <w:r w:rsidRPr="00863715">
        <w:rPr>
          <w:sz w:val="28"/>
          <w:szCs w:val="28"/>
        </w:rPr>
        <w:t xml:space="preserve"> the appellant contended that</w:t>
      </w:r>
      <w:r w:rsidR="006E1496" w:rsidRPr="00863715">
        <w:rPr>
          <w:sz w:val="28"/>
          <w:szCs w:val="28"/>
        </w:rPr>
        <w:t>,</w:t>
      </w:r>
      <w:r w:rsidRPr="00863715">
        <w:rPr>
          <w:sz w:val="28"/>
          <w:szCs w:val="28"/>
        </w:rPr>
        <w:t xml:space="preserve"> they both had no valid reason for their failure to process her pension benefit because the GEPF </w:t>
      </w:r>
      <w:r w:rsidR="00B83C84" w:rsidRPr="00863715">
        <w:rPr>
          <w:sz w:val="28"/>
          <w:szCs w:val="28"/>
        </w:rPr>
        <w:t>used</w:t>
      </w:r>
      <w:r w:rsidRPr="00863715">
        <w:rPr>
          <w:sz w:val="28"/>
          <w:szCs w:val="28"/>
        </w:rPr>
        <w:t xml:space="preserve"> the same personal electronic database (PERSAL) as the Department. In </w:t>
      </w:r>
      <w:r w:rsidR="00B83C84" w:rsidRPr="00863715">
        <w:rPr>
          <w:sz w:val="28"/>
          <w:szCs w:val="28"/>
        </w:rPr>
        <w:t>addition,</w:t>
      </w:r>
      <w:r w:rsidRPr="00863715">
        <w:rPr>
          <w:sz w:val="28"/>
          <w:szCs w:val="28"/>
        </w:rPr>
        <w:t xml:space="preserve"> the GPAA had all her employment and pension details.</w:t>
      </w:r>
      <w:r w:rsidR="00B83C84" w:rsidRPr="00863715">
        <w:rPr>
          <w:sz w:val="28"/>
          <w:szCs w:val="28"/>
        </w:rPr>
        <w:t xml:space="preserve"> No relief however, was sought against these entities.</w:t>
      </w:r>
    </w:p>
    <w:p w:rsidR="00C826F9" w:rsidRPr="00863715" w:rsidRDefault="00C826F9" w:rsidP="00BE02D1">
      <w:pPr>
        <w:tabs>
          <w:tab w:val="left" w:pos="0"/>
        </w:tabs>
        <w:rPr>
          <w:sz w:val="28"/>
          <w:szCs w:val="28"/>
        </w:rPr>
      </w:pPr>
    </w:p>
    <w:p w:rsidR="00C826F9" w:rsidRPr="00863715" w:rsidRDefault="00DF4ED1" w:rsidP="00C826F9">
      <w:pPr>
        <w:tabs>
          <w:tab w:val="left" w:pos="0"/>
        </w:tabs>
        <w:rPr>
          <w:sz w:val="28"/>
          <w:szCs w:val="28"/>
        </w:rPr>
      </w:pPr>
      <w:r w:rsidRPr="00863715">
        <w:rPr>
          <w:sz w:val="28"/>
          <w:szCs w:val="28"/>
        </w:rPr>
        <w:t>[1</w:t>
      </w:r>
      <w:r w:rsidR="004773BF" w:rsidRPr="00863715">
        <w:rPr>
          <w:sz w:val="28"/>
          <w:szCs w:val="28"/>
        </w:rPr>
        <w:t>3</w:t>
      </w:r>
      <w:r w:rsidR="00C826F9" w:rsidRPr="00863715">
        <w:rPr>
          <w:sz w:val="28"/>
          <w:szCs w:val="28"/>
        </w:rPr>
        <w:t>]</w:t>
      </w:r>
      <w:r w:rsidR="00C826F9" w:rsidRPr="00863715">
        <w:rPr>
          <w:sz w:val="28"/>
          <w:szCs w:val="28"/>
        </w:rPr>
        <w:tab/>
        <w:t>The Department</w:t>
      </w:r>
      <w:r w:rsidRPr="00863715">
        <w:rPr>
          <w:sz w:val="28"/>
          <w:szCs w:val="28"/>
        </w:rPr>
        <w:t xml:space="preserve">’s </w:t>
      </w:r>
      <w:r w:rsidR="00814B10" w:rsidRPr="00863715">
        <w:rPr>
          <w:sz w:val="28"/>
          <w:szCs w:val="28"/>
        </w:rPr>
        <w:t xml:space="preserve">answer </w:t>
      </w:r>
      <w:r w:rsidRPr="00863715">
        <w:rPr>
          <w:sz w:val="28"/>
          <w:szCs w:val="28"/>
        </w:rPr>
        <w:t>was</w:t>
      </w:r>
      <w:r w:rsidR="00C826F9" w:rsidRPr="00863715">
        <w:rPr>
          <w:sz w:val="28"/>
          <w:szCs w:val="28"/>
        </w:rPr>
        <w:t xml:space="preserve"> </w:t>
      </w:r>
      <w:r w:rsidR="00703145" w:rsidRPr="00863715">
        <w:rPr>
          <w:sz w:val="28"/>
          <w:szCs w:val="28"/>
        </w:rPr>
        <w:t xml:space="preserve">a </w:t>
      </w:r>
      <w:r w:rsidR="004773BF" w:rsidRPr="00863715">
        <w:rPr>
          <w:sz w:val="28"/>
          <w:szCs w:val="28"/>
        </w:rPr>
        <w:t>combination</w:t>
      </w:r>
      <w:r w:rsidR="00703145" w:rsidRPr="00863715">
        <w:rPr>
          <w:sz w:val="28"/>
          <w:szCs w:val="28"/>
        </w:rPr>
        <w:t xml:space="preserve"> of defences. It contended </w:t>
      </w:r>
      <w:r w:rsidR="00C826F9" w:rsidRPr="00863715">
        <w:rPr>
          <w:sz w:val="28"/>
          <w:szCs w:val="28"/>
        </w:rPr>
        <w:t xml:space="preserve">that the </w:t>
      </w:r>
      <w:r w:rsidRPr="00863715">
        <w:rPr>
          <w:sz w:val="28"/>
          <w:szCs w:val="28"/>
        </w:rPr>
        <w:t xml:space="preserve">relief sought by the </w:t>
      </w:r>
      <w:r w:rsidR="00C826F9" w:rsidRPr="00863715">
        <w:rPr>
          <w:sz w:val="28"/>
          <w:szCs w:val="28"/>
        </w:rPr>
        <w:t>appellant</w:t>
      </w:r>
      <w:r w:rsidRPr="00863715">
        <w:rPr>
          <w:sz w:val="28"/>
          <w:szCs w:val="28"/>
        </w:rPr>
        <w:t xml:space="preserve"> would result in contravention of th</w:t>
      </w:r>
      <w:r w:rsidR="00C826F9" w:rsidRPr="00863715">
        <w:rPr>
          <w:sz w:val="28"/>
          <w:szCs w:val="28"/>
        </w:rPr>
        <w:t>e objectives of the Public Finance Management Act</w:t>
      </w:r>
      <w:r w:rsidR="006E1496" w:rsidRPr="00863715">
        <w:rPr>
          <w:rStyle w:val="FootnoteReference"/>
          <w:sz w:val="28"/>
          <w:szCs w:val="28"/>
        </w:rPr>
        <w:footnoteReference w:id="11"/>
      </w:r>
      <w:r w:rsidR="00C826F9" w:rsidRPr="00863715">
        <w:rPr>
          <w:sz w:val="28"/>
          <w:szCs w:val="28"/>
        </w:rPr>
        <w:t xml:space="preserve"> </w:t>
      </w:r>
      <w:r w:rsidRPr="00863715">
        <w:rPr>
          <w:sz w:val="28"/>
          <w:szCs w:val="28"/>
        </w:rPr>
        <w:t>(the PFMA)</w:t>
      </w:r>
      <w:r w:rsidR="00F866EB" w:rsidRPr="00863715">
        <w:rPr>
          <w:sz w:val="28"/>
          <w:szCs w:val="28"/>
        </w:rPr>
        <w:t xml:space="preserve">. The suggestion was that processing her exit documents in terms of the pensionable service of January 1979 to her retirement date would result in </w:t>
      </w:r>
      <w:r w:rsidR="00D90F7F" w:rsidRPr="00863715">
        <w:rPr>
          <w:sz w:val="28"/>
          <w:szCs w:val="28"/>
        </w:rPr>
        <w:t xml:space="preserve">a double </w:t>
      </w:r>
      <w:r w:rsidR="00F866EB" w:rsidRPr="00863715">
        <w:rPr>
          <w:sz w:val="28"/>
          <w:szCs w:val="28"/>
        </w:rPr>
        <w:t xml:space="preserve">payment of pension benefit to her. The Department </w:t>
      </w:r>
      <w:r w:rsidR="00D90F7F" w:rsidRPr="00863715">
        <w:rPr>
          <w:sz w:val="28"/>
          <w:szCs w:val="28"/>
        </w:rPr>
        <w:t xml:space="preserve">also </w:t>
      </w:r>
      <w:r w:rsidR="00723C03">
        <w:rPr>
          <w:sz w:val="28"/>
          <w:szCs w:val="28"/>
        </w:rPr>
        <w:t>argued</w:t>
      </w:r>
      <w:r w:rsidR="004C3678" w:rsidRPr="00863715">
        <w:rPr>
          <w:sz w:val="28"/>
          <w:szCs w:val="28"/>
        </w:rPr>
        <w:t xml:space="preserve"> </w:t>
      </w:r>
      <w:r w:rsidR="00B83C84" w:rsidRPr="00863715">
        <w:rPr>
          <w:sz w:val="28"/>
          <w:szCs w:val="28"/>
        </w:rPr>
        <w:t xml:space="preserve">that </w:t>
      </w:r>
      <w:r w:rsidR="00F866EB" w:rsidRPr="00863715">
        <w:rPr>
          <w:sz w:val="28"/>
          <w:szCs w:val="28"/>
        </w:rPr>
        <w:t>the appellant’s</w:t>
      </w:r>
      <w:r w:rsidR="00B83C84" w:rsidRPr="00863715">
        <w:rPr>
          <w:sz w:val="28"/>
          <w:szCs w:val="28"/>
        </w:rPr>
        <w:t xml:space="preserve"> case </w:t>
      </w:r>
      <w:r w:rsidR="00C826F9" w:rsidRPr="00863715">
        <w:rPr>
          <w:sz w:val="28"/>
          <w:szCs w:val="28"/>
        </w:rPr>
        <w:t>was frivolous, misconceived and constituted an abuse of court processes.</w:t>
      </w:r>
      <w:r w:rsidR="004773BF" w:rsidRPr="00863715">
        <w:rPr>
          <w:sz w:val="28"/>
          <w:szCs w:val="28"/>
        </w:rPr>
        <w:t xml:space="preserve"> </w:t>
      </w:r>
      <w:r w:rsidR="00D90F7F" w:rsidRPr="00863715">
        <w:rPr>
          <w:sz w:val="28"/>
          <w:szCs w:val="28"/>
        </w:rPr>
        <w:t xml:space="preserve">It </w:t>
      </w:r>
      <w:r w:rsidR="00CC5B64" w:rsidRPr="00863715">
        <w:rPr>
          <w:sz w:val="28"/>
          <w:szCs w:val="28"/>
        </w:rPr>
        <w:t>persisted in its</w:t>
      </w:r>
      <w:r w:rsidR="00B83C84" w:rsidRPr="00863715">
        <w:rPr>
          <w:sz w:val="28"/>
          <w:szCs w:val="28"/>
        </w:rPr>
        <w:t xml:space="preserve"> refusal </w:t>
      </w:r>
      <w:r w:rsidR="00165CCD" w:rsidRPr="00863715">
        <w:rPr>
          <w:sz w:val="28"/>
          <w:szCs w:val="28"/>
        </w:rPr>
        <w:t>to submit the appellant</w:t>
      </w:r>
      <w:r w:rsidR="004773BF" w:rsidRPr="00863715">
        <w:rPr>
          <w:sz w:val="28"/>
          <w:szCs w:val="28"/>
        </w:rPr>
        <w:t>’</w:t>
      </w:r>
      <w:r w:rsidR="00165CCD" w:rsidRPr="00863715">
        <w:rPr>
          <w:sz w:val="28"/>
          <w:szCs w:val="28"/>
        </w:rPr>
        <w:t>s exit documents</w:t>
      </w:r>
      <w:r w:rsidR="00200688" w:rsidRPr="00863715">
        <w:rPr>
          <w:sz w:val="28"/>
          <w:szCs w:val="28"/>
        </w:rPr>
        <w:t>.</w:t>
      </w:r>
      <w:r w:rsidR="00165CCD" w:rsidRPr="00863715">
        <w:rPr>
          <w:sz w:val="28"/>
          <w:szCs w:val="28"/>
        </w:rPr>
        <w:t xml:space="preserve"> </w:t>
      </w:r>
      <w:r w:rsidR="008D788C" w:rsidRPr="00863715">
        <w:rPr>
          <w:sz w:val="28"/>
          <w:szCs w:val="28"/>
        </w:rPr>
        <w:lastRenderedPageBreak/>
        <w:t>Relying on s</w:t>
      </w:r>
      <w:r w:rsidR="00C40D22" w:rsidRPr="00863715">
        <w:rPr>
          <w:sz w:val="28"/>
          <w:szCs w:val="28"/>
        </w:rPr>
        <w:t xml:space="preserve"> </w:t>
      </w:r>
      <w:r w:rsidR="008D788C" w:rsidRPr="00863715">
        <w:rPr>
          <w:sz w:val="28"/>
          <w:szCs w:val="28"/>
        </w:rPr>
        <w:t>17(4) of the Act</w:t>
      </w:r>
      <w:r w:rsidR="00C40D22" w:rsidRPr="00863715">
        <w:rPr>
          <w:sz w:val="28"/>
          <w:szCs w:val="28"/>
        </w:rPr>
        <w:t>,</w:t>
      </w:r>
      <w:r w:rsidR="00C826F9" w:rsidRPr="00863715">
        <w:rPr>
          <w:sz w:val="28"/>
          <w:szCs w:val="28"/>
        </w:rPr>
        <w:t xml:space="preserve"> </w:t>
      </w:r>
      <w:r w:rsidR="008D788C" w:rsidRPr="00863715">
        <w:rPr>
          <w:sz w:val="28"/>
          <w:szCs w:val="28"/>
        </w:rPr>
        <w:t>it</w:t>
      </w:r>
      <w:r w:rsidR="00165CCD" w:rsidRPr="00863715">
        <w:rPr>
          <w:sz w:val="28"/>
          <w:szCs w:val="28"/>
        </w:rPr>
        <w:t xml:space="preserve"> </w:t>
      </w:r>
      <w:r w:rsidR="004773BF" w:rsidRPr="00863715">
        <w:rPr>
          <w:sz w:val="28"/>
          <w:szCs w:val="28"/>
        </w:rPr>
        <w:t>demanded</w:t>
      </w:r>
      <w:r w:rsidR="00703145" w:rsidRPr="00863715">
        <w:rPr>
          <w:sz w:val="28"/>
          <w:szCs w:val="28"/>
        </w:rPr>
        <w:t xml:space="preserve"> that </w:t>
      </w:r>
      <w:r w:rsidR="00080ED5" w:rsidRPr="00863715">
        <w:rPr>
          <w:sz w:val="28"/>
          <w:szCs w:val="28"/>
        </w:rPr>
        <w:t>the appellant</w:t>
      </w:r>
      <w:r w:rsidR="00CC5B64" w:rsidRPr="00863715">
        <w:rPr>
          <w:sz w:val="28"/>
          <w:szCs w:val="28"/>
        </w:rPr>
        <w:t xml:space="preserve"> </w:t>
      </w:r>
      <w:r w:rsidR="004773BF" w:rsidRPr="00863715">
        <w:rPr>
          <w:sz w:val="28"/>
          <w:szCs w:val="28"/>
        </w:rPr>
        <w:t xml:space="preserve">should </w:t>
      </w:r>
      <w:r w:rsidR="00CC5B64" w:rsidRPr="00863715">
        <w:rPr>
          <w:sz w:val="28"/>
          <w:szCs w:val="28"/>
        </w:rPr>
        <w:t>consent to a</w:t>
      </w:r>
      <w:r w:rsidR="00C826F9" w:rsidRPr="00863715">
        <w:rPr>
          <w:sz w:val="28"/>
          <w:szCs w:val="28"/>
        </w:rPr>
        <w:t xml:space="preserve"> </w:t>
      </w:r>
      <w:r w:rsidR="00CC5B64" w:rsidRPr="00863715">
        <w:rPr>
          <w:sz w:val="28"/>
          <w:szCs w:val="28"/>
        </w:rPr>
        <w:t>set</w:t>
      </w:r>
      <w:r w:rsidR="00C826F9" w:rsidRPr="00863715">
        <w:rPr>
          <w:sz w:val="28"/>
          <w:szCs w:val="28"/>
        </w:rPr>
        <w:t>-</w:t>
      </w:r>
      <w:r w:rsidR="00CC5B64" w:rsidRPr="00863715">
        <w:rPr>
          <w:sz w:val="28"/>
          <w:szCs w:val="28"/>
        </w:rPr>
        <w:t xml:space="preserve">off </w:t>
      </w:r>
      <w:r w:rsidR="00080ED5" w:rsidRPr="00863715">
        <w:rPr>
          <w:sz w:val="28"/>
          <w:szCs w:val="28"/>
        </w:rPr>
        <w:t xml:space="preserve">of the departmental debt against the pension benefit due to her, </w:t>
      </w:r>
      <w:r w:rsidR="001F77F4" w:rsidRPr="00863715">
        <w:rPr>
          <w:sz w:val="28"/>
          <w:szCs w:val="28"/>
        </w:rPr>
        <w:t>to</w:t>
      </w:r>
      <w:r w:rsidR="00C826F9" w:rsidRPr="00863715">
        <w:rPr>
          <w:sz w:val="28"/>
          <w:szCs w:val="28"/>
        </w:rPr>
        <w:t xml:space="preserve"> enable the Department to recoup what had already been paid out to her. </w:t>
      </w:r>
      <w:r w:rsidR="00165CCD" w:rsidRPr="00863715">
        <w:rPr>
          <w:sz w:val="28"/>
          <w:szCs w:val="28"/>
        </w:rPr>
        <w:t xml:space="preserve">It </w:t>
      </w:r>
      <w:r w:rsidR="001173E3" w:rsidRPr="00863715">
        <w:rPr>
          <w:sz w:val="28"/>
          <w:szCs w:val="28"/>
        </w:rPr>
        <w:t xml:space="preserve">also </w:t>
      </w:r>
      <w:r w:rsidR="00165CCD" w:rsidRPr="00863715">
        <w:rPr>
          <w:sz w:val="28"/>
          <w:szCs w:val="28"/>
        </w:rPr>
        <w:t xml:space="preserve">invoked the provisions of </w:t>
      </w:r>
      <w:r w:rsidR="00C75803">
        <w:rPr>
          <w:sz w:val="28"/>
          <w:szCs w:val="28"/>
        </w:rPr>
        <w:t xml:space="preserve">Government Employee </w:t>
      </w:r>
      <w:r w:rsidR="00165CCD" w:rsidRPr="00863715">
        <w:rPr>
          <w:sz w:val="28"/>
          <w:szCs w:val="28"/>
        </w:rPr>
        <w:t xml:space="preserve">Pension Fund Rule </w:t>
      </w:r>
      <w:r w:rsidR="001173E3" w:rsidRPr="00863715">
        <w:rPr>
          <w:sz w:val="28"/>
          <w:szCs w:val="28"/>
        </w:rPr>
        <w:t>1</w:t>
      </w:r>
      <w:r w:rsidR="00165CCD" w:rsidRPr="00863715">
        <w:rPr>
          <w:sz w:val="28"/>
          <w:szCs w:val="28"/>
        </w:rPr>
        <w:t>0.2, arguing that in terms thereof</w:t>
      </w:r>
      <w:r w:rsidR="0055203A" w:rsidRPr="00863715">
        <w:rPr>
          <w:sz w:val="28"/>
          <w:szCs w:val="28"/>
        </w:rPr>
        <w:t>,</w:t>
      </w:r>
      <w:r w:rsidR="00165CCD" w:rsidRPr="00863715">
        <w:rPr>
          <w:sz w:val="28"/>
          <w:szCs w:val="28"/>
        </w:rPr>
        <w:t xml:space="preserve"> the appellant was obliged to </w:t>
      </w:r>
      <w:r w:rsidR="001173E3" w:rsidRPr="00863715">
        <w:rPr>
          <w:sz w:val="28"/>
          <w:szCs w:val="28"/>
        </w:rPr>
        <w:t>pay</w:t>
      </w:r>
      <w:r w:rsidR="00165CCD" w:rsidRPr="00863715">
        <w:rPr>
          <w:sz w:val="28"/>
          <w:szCs w:val="28"/>
        </w:rPr>
        <w:t xml:space="preserve"> </w:t>
      </w:r>
      <w:r w:rsidR="00DC38FB" w:rsidRPr="00863715">
        <w:rPr>
          <w:sz w:val="28"/>
          <w:szCs w:val="28"/>
        </w:rPr>
        <w:t xml:space="preserve">back </w:t>
      </w:r>
      <w:r w:rsidR="00165CCD" w:rsidRPr="00863715">
        <w:rPr>
          <w:sz w:val="28"/>
          <w:szCs w:val="28"/>
        </w:rPr>
        <w:t>the pension benefit that had been paid to her after her dismissal.</w:t>
      </w:r>
      <w:r w:rsidR="008D4FC2" w:rsidRPr="00863715">
        <w:rPr>
          <w:rStyle w:val="FootnoteReference"/>
          <w:sz w:val="28"/>
          <w:szCs w:val="28"/>
        </w:rPr>
        <w:footnoteReference w:id="12"/>
      </w:r>
      <w:r w:rsidR="00120069" w:rsidRPr="00863715">
        <w:rPr>
          <w:sz w:val="28"/>
          <w:szCs w:val="28"/>
        </w:rPr>
        <w:t xml:space="preserve"> </w:t>
      </w:r>
    </w:p>
    <w:p w:rsidR="00C826F9" w:rsidRPr="00863715" w:rsidRDefault="00C826F9" w:rsidP="00BE02D1">
      <w:pPr>
        <w:tabs>
          <w:tab w:val="left" w:pos="0"/>
        </w:tabs>
        <w:rPr>
          <w:sz w:val="28"/>
          <w:szCs w:val="28"/>
        </w:rPr>
      </w:pPr>
    </w:p>
    <w:p w:rsidR="0080331C" w:rsidRPr="00863715" w:rsidRDefault="00CC5B64" w:rsidP="00503D47">
      <w:pPr>
        <w:tabs>
          <w:tab w:val="left" w:pos="0"/>
        </w:tabs>
      </w:pPr>
      <w:r w:rsidRPr="00863715">
        <w:rPr>
          <w:sz w:val="28"/>
          <w:szCs w:val="28"/>
        </w:rPr>
        <w:t>[1</w:t>
      </w:r>
      <w:r w:rsidR="00DC38FB" w:rsidRPr="00863715">
        <w:rPr>
          <w:sz w:val="28"/>
          <w:szCs w:val="28"/>
        </w:rPr>
        <w:t>4</w:t>
      </w:r>
      <w:r w:rsidRPr="00863715">
        <w:rPr>
          <w:sz w:val="28"/>
          <w:szCs w:val="28"/>
        </w:rPr>
        <w:t>]</w:t>
      </w:r>
      <w:r w:rsidRPr="00863715">
        <w:rPr>
          <w:sz w:val="28"/>
          <w:szCs w:val="28"/>
        </w:rPr>
        <w:tab/>
        <w:t>The high court was in agreement with the appellant that her pensionable service period commenced from 15 January 1979 and continued until 31 March 2020. It also found that</w:t>
      </w:r>
      <w:r w:rsidR="0055203A" w:rsidRPr="00863715">
        <w:rPr>
          <w:sz w:val="28"/>
          <w:szCs w:val="28"/>
        </w:rPr>
        <w:t>,</w:t>
      </w:r>
      <w:r w:rsidRPr="00863715">
        <w:rPr>
          <w:sz w:val="28"/>
          <w:szCs w:val="28"/>
        </w:rPr>
        <w:t xml:space="preserve"> </w:t>
      </w:r>
      <w:r w:rsidR="00165CCD" w:rsidRPr="00863715">
        <w:rPr>
          <w:sz w:val="28"/>
          <w:szCs w:val="28"/>
        </w:rPr>
        <w:t xml:space="preserve">in </w:t>
      </w:r>
      <w:r w:rsidRPr="00863715">
        <w:rPr>
          <w:sz w:val="28"/>
          <w:szCs w:val="28"/>
        </w:rPr>
        <w:t xml:space="preserve">refusing to submit </w:t>
      </w:r>
      <w:r w:rsidR="00165CCD" w:rsidRPr="00863715">
        <w:rPr>
          <w:sz w:val="28"/>
          <w:szCs w:val="28"/>
        </w:rPr>
        <w:t>her</w:t>
      </w:r>
      <w:r w:rsidRPr="00863715">
        <w:rPr>
          <w:sz w:val="28"/>
          <w:szCs w:val="28"/>
        </w:rPr>
        <w:t xml:space="preserve"> exit documents</w:t>
      </w:r>
      <w:r w:rsidR="0055203A" w:rsidRPr="00863715">
        <w:rPr>
          <w:sz w:val="28"/>
          <w:szCs w:val="28"/>
        </w:rPr>
        <w:t>,</w:t>
      </w:r>
      <w:r w:rsidRPr="00863715">
        <w:rPr>
          <w:sz w:val="28"/>
          <w:szCs w:val="28"/>
        </w:rPr>
        <w:t xml:space="preserve"> the </w:t>
      </w:r>
      <w:r w:rsidR="0055203A" w:rsidRPr="00863715">
        <w:rPr>
          <w:sz w:val="28"/>
          <w:szCs w:val="28"/>
        </w:rPr>
        <w:t>D</w:t>
      </w:r>
      <w:r w:rsidRPr="00863715">
        <w:rPr>
          <w:sz w:val="28"/>
          <w:szCs w:val="28"/>
        </w:rPr>
        <w:t>epartment had acted unlawfully</w:t>
      </w:r>
      <w:r w:rsidR="005F66F7" w:rsidRPr="00863715">
        <w:rPr>
          <w:sz w:val="28"/>
          <w:szCs w:val="28"/>
        </w:rPr>
        <w:t xml:space="preserve">. </w:t>
      </w:r>
      <w:r w:rsidR="001173E3" w:rsidRPr="00863715">
        <w:rPr>
          <w:sz w:val="28"/>
          <w:szCs w:val="28"/>
        </w:rPr>
        <w:t>Hence</w:t>
      </w:r>
      <w:r w:rsidR="0055203A" w:rsidRPr="00863715">
        <w:rPr>
          <w:sz w:val="28"/>
          <w:szCs w:val="28"/>
        </w:rPr>
        <w:t>,</w:t>
      </w:r>
      <w:r w:rsidR="001173E3" w:rsidRPr="00863715">
        <w:rPr>
          <w:sz w:val="28"/>
          <w:szCs w:val="28"/>
        </w:rPr>
        <w:t xml:space="preserve"> it granted the interdictory relief that the appellant had sought.</w:t>
      </w:r>
    </w:p>
    <w:p w:rsidR="00080ED5" w:rsidRPr="00863715" w:rsidRDefault="00080ED5" w:rsidP="00503D47">
      <w:pPr>
        <w:tabs>
          <w:tab w:val="left" w:pos="0"/>
        </w:tabs>
      </w:pPr>
    </w:p>
    <w:p w:rsidR="00EA7C15" w:rsidRPr="00863715" w:rsidRDefault="0080331C" w:rsidP="00503D47">
      <w:pPr>
        <w:tabs>
          <w:tab w:val="left" w:pos="0"/>
        </w:tabs>
        <w:rPr>
          <w:sz w:val="28"/>
          <w:szCs w:val="28"/>
        </w:rPr>
      </w:pPr>
      <w:r w:rsidRPr="00863715">
        <w:rPr>
          <w:sz w:val="28"/>
          <w:szCs w:val="28"/>
        </w:rPr>
        <w:lastRenderedPageBreak/>
        <w:t>[1</w:t>
      </w:r>
      <w:r w:rsidR="00DC38FB" w:rsidRPr="00863715">
        <w:rPr>
          <w:sz w:val="28"/>
          <w:szCs w:val="28"/>
        </w:rPr>
        <w:t>5</w:t>
      </w:r>
      <w:r w:rsidRPr="00863715">
        <w:rPr>
          <w:sz w:val="28"/>
          <w:szCs w:val="28"/>
        </w:rPr>
        <w:t>]</w:t>
      </w:r>
      <w:r w:rsidRPr="00863715">
        <w:rPr>
          <w:sz w:val="28"/>
          <w:szCs w:val="28"/>
        </w:rPr>
        <w:tab/>
      </w:r>
      <w:r w:rsidR="005E520E" w:rsidRPr="00863715">
        <w:rPr>
          <w:sz w:val="28"/>
          <w:szCs w:val="28"/>
        </w:rPr>
        <w:t>T</w:t>
      </w:r>
      <w:r w:rsidR="001173E3" w:rsidRPr="00863715">
        <w:rPr>
          <w:sz w:val="28"/>
          <w:szCs w:val="28"/>
        </w:rPr>
        <w:t xml:space="preserve">he </w:t>
      </w:r>
      <w:r w:rsidR="00163B26" w:rsidRPr="00863715">
        <w:rPr>
          <w:sz w:val="28"/>
          <w:szCs w:val="28"/>
        </w:rPr>
        <w:t xml:space="preserve">high </w:t>
      </w:r>
      <w:r w:rsidR="001173E3" w:rsidRPr="00863715">
        <w:rPr>
          <w:sz w:val="28"/>
          <w:szCs w:val="28"/>
        </w:rPr>
        <w:t xml:space="preserve">court </w:t>
      </w:r>
      <w:r w:rsidR="005E520E" w:rsidRPr="00863715">
        <w:rPr>
          <w:sz w:val="28"/>
          <w:szCs w:val="28"/>
        </w:rPr>
        <w:t xml:space="preserve">then </w:t>
      </w:r>
      <w:r w:rsidR="001173E3" w:rsidRPr="00863715">
        <w:rPr>
          <w:sz w:val="28"/>
          <w:szCs w:val="28"/>
        </w:rPr>
        <w:t>went further to find that ‘the major issue between the parties’ would remain unresolved if its judgment did not ‘address’ the alleged debt. It reasoned as follows</w:t>
      </w:r>
      <w:r w:rsidR="005F66F7" w:rsidRPr="00863715">
        <w:rPr>
          <w:sz w:val="28"/>
          <w:szCs w:val="28"/>
        </w:rPr>
        <w:t>:</w:t>
      </w:r>
    </w:p>
    <w:p w:rsidR="00EA7C15" w:rsidRPr="00863715" w:rsidRDefault="005F66F7" w:rsidP="00503D47">
      <w:pPr>
        <w:tabs>
          <w:tab w:val="left" w:pos="0"/>
        </w:tabs>
      </w:pPr>
      <w:r w:rsidRPr="00863715">
        <w:t>‘[t]he facts of this application a</w:t>
      </w:r>
      <w:r w:rsidR="00165CCD" w:rsidRPr="00863715">
        <w:t>re</w:t>
      </w:r>
      <w:r w:rsidRPr="00863715">
        <w:t xml:space="preserve"> so clearly interwoven with the circumstances surrounding the payment to the applicant of R5</w:t>
      </w:r>
      <w:r w:rsidR="00163B26" w:rsidRPr="00863715">
        <w:t xml:space="preserve"> </w:t>
      </w:r>
      <w:r w:rsidRPr="00863715">
        <w:t>194</w:t>
      </w:r>
      <w:r w:rsidR="00163B26" w:rsidRPr="00863715">
        <w:t xml:space="preserve"> </w:t>
      </w:r>
      <w:r w:rsidRPr="00863715">
        <w:t>418.72 that the interests of justice demand that the cloud around this payment be settled once and for all in this judgment</w:t>
      </w:r>
      <w:r w:rsidR="00EA7C15" w:rsidRPr="00863715">
        <w:t xml:space="preserve"> </w:t>
      </w:r>
      <w:r w:rsidRPr="00863715">
        <w:t>.</w:t>
      </w:r>
      <w:r w:rsidR="00EA7C15" w:rsidRPr="00863715">
        <w:t xml:space="preserve"> . . </w:t>
      </w:r>
    </w:p>
    <w:p w:rsidR="00A27473" w:rsidRPr="00863715" w:rsidRDefault="00A27473" w:rsidP="00503D47">
      <w:pPr>
        <w:tabs>
          <w:tab w:val="left" w:pos="0"/>
        </w:tabs>
      </w:pPr>
    </w:p>
    <w:p w:rsidR="00EA7C15" w:rsidRPr="00863715" w:rsidRDefault="00EA7C15" w:rsidP="00503D47">
      <w:pPr>
        <w:tabs>
          <w:tab w:val="left" w:pos="0"/>
        </w:tabs>
      </w:pPr>
      <w:r w:rsidRPr="00863715">
        <w:t xml:space="preserve">Having perused paragraph 5 of the settlement agreement several times I find nothing therein which says the applicant is not liable to repay the money which she has already received. As a matter of fact, the whole settlement agreement between the parties is silent about </w:t>
      </w:r>
      <w:r w:rsidR="00165CCD" w:rsidRPr="00863715">
        <w:t>the</w:t>
      </w:r>
      <w:r w:rsidRPr="00863715">
        <w:t xml:space="preserve"> R5</w:t>
      </w:r>
      <w:r w:rsidR="00163B26" w:rsidRPr="00863715">
        <w:t xml:space="preserve"> </w:t>
      </w:r>
      <w:r w:rsidRPr="00863715">
        <w:t>194</w:t>
      </w:r>
      <w:r w:rsidR="00163B26" w:rsidRPr="00863715">
        <w:t xml:space="preserve"> </w:t>
      </w:r>
      <w:r w:rsidRPr="00863715">
        <w:t xml:space="preserve">418.72 which the applicant received in 2013. Equally the arbitration agreement is also silent about the said payment of 2013. Throughout the whole case, the applicant does not come out clear to state who is liable to reimburse the Department of </w:t>
      </w:r>
      <w:r w:rsidR="00DC38FB" w:rsidRPr="00863715">
        <w:t xml:space="preserve">   </w:t>
      </w:r>
      <w:r w:rsidRPr="00863715">
        <w:t>R5</w:t>
      </w:r>
      <w:r w:rsidR="00163B26" w:rsidRPr="00863715">
        <w:t xml:space="preserve"> </w:t>
      </w:r>
      <w:r w:rsidRPr="00863715">
        <w:t>194</w:t>
      </w:r>
      <w:r w:rsidR="00163B26" w:rsidRPr="00863715">
        <w:t xml:space="preserve"> </w:t>
      </w:r>
      <w:r w:rsidRPr="00863715">
        <w:t xml:space="preserve">418.72 which she has received . . . </w:t>
      </w:r>
    </w:p>
    <w:p w:rsidR="00EC7C61" w:rsidRPr="00863715" w:rsidRDefault="00EC7C61" w:rsidP="00503D47">
      <w:pPr>
        <w:tabs>
          <w:tab w:val="left" w:pos="0"/>
        </w:tabs>
      </w:pPr>
    </w:p>
    <w:p w:rsidR="00EA7C15" w:rsidRPr="00863715" w:rsidRDefault="00165CCD" w:rsidP="00503D47">
      <w:pPr>
        <w:tabs>
          <w:tab w:val="left" w:pos="0"/>
        </w:tabs>
      </w:pPr>
      <w:r w:rsidRPr="00863715">
        <w:t>Therefore,</w:t>
      </w:r>
      <w:r w:rsidR="00EA7C15" w:rsidRPr="00863715">
        <w:t xml:space="preserve"> I find no justification in law and on facts why the applicant repudiates liability in this case. What the parties and the court know is that the alleged payment was neither a bonus nor a gift to the applicant. She cannot escape liability of refunding this money. The Department paid this money to the GEPF after the applicant was reinstated</w:t>
      </w:r>
      <w:r w:rsidR="008E2F32" w:rsidRPr="00863715">
        <w:t>. I repeat, by paying the money to the GEPF, the Department was not redeeming its own indebtedness to the GEPF but the indebtedness of the applicant to the tune of R5</w:t>
      </w:r>
      <w:r w:rsidR="00163B26" w:rsidRPr="00863715">
        <w:t xml:space="preserve"> </w:t>
      </w:r>
      <w:r w:rsidR="008E2F32" w:rsidRPr="00863715">
        <w:t>194</w:t>
      </w:r>
      <w:r w:rsidR="00163B26" w:rsidRPr="00863715">
        <w:t xml:space="preserve"> </w:t>
      </w:r>
      <w:r w:rsidRPr="00863715">
        <w:t>418.72.’</w:t>
      </w:r>
    </w:p>
    <w:p w:rsidR="0080331C" w:rsidRPr="00863715" w:rsidRDefault="0080331C" w:rsidP="00503D47">
      <w:pPr>
        <w:tabs>
          <w:tab w:val="left" w:pos="0"/>
        </w:tabs>
      </w:pPr>
    </w:p>
    <w:p w:rsidR="005E520E" w:rsidRPr="00863715" w:rsidRDefault="005E520E" w:rsidP="005E520E">
      <w:pPr>
        <w:tabs>
          <w:tab w:val="left" w:pos="0"/>
        </w:tabs>
        <w:rPr>
          <w:sz w:val="28"/>
          <w:szCs w:val="28"/>
        </w:rPr>
      </w:pPr>
      <w:r w:rsidRPr="00863715">
        <w:rPr>
          <w:sz w:val="28"/>
          <w:szCs w:val="28"/>
        </w:rPr>
        <w:t>[1</w:t>
      </w:r>
      <w:r w:rsidR="00DC38FB" w:rsidRPr="00863715">
        <w:rPr>
          <w:sz w:val="28"/>
          <w:szCs w:val="28"/>
        </w:rPr>
        <w:t>6</w:t>
      </w:r>
      <w:r w:rsidRPr="00863715">
        <w:rPr>
          <w:sz w:val="28"/>
          <w:szCs w:val="28"/>
        </w:rPr>
        <w:t>]</w:t>
      </w:r>
      <w:r w:rsidRPr="00863715">
        <w:rPr>
          <w:sz w:val="28"/>
          <w:szCs w:val="28"/>
        </w:rPr>
        <w:tab/>
        <w:t xml:space="preserve">The high court was correct in finding that the </w:t>
      </w:r>
      <w:r w:rsidR="00DC38FB" w:rsidRPr="00863715">
        <w:rPr>
          <w:sz w:val="28"/>
          <w:szCs w:val="28"/>
        </w:rPr>
        <w:t>reason</w:t>
      </w:r>
      <w:r w:rsidRPr="00863715">
        <w:rPr>
          <w:sz w:val="28"/>
          <w:szCs w:val="28"/>
        </w:rPr>
        <w:t xml:space="preserve"> </w:t>
      </w:r>
      <w:r w:rsidR="000519E6" w:rsidRPr="00863715">
        <w:rPr>
          <w:sz w:val="28"/>
          <w:szCs w:val="28"/>
        </w:rPr>
        <w:t xml:space="preserve">for </w:t>
      </w:r>
      <w:r w:rsidRPr="00863715">
        <w:rPr>
          <w:sz w:val="28"/>
          <w:szCs w:val="28"/>
        </w:rPr>
        <w:t>the refusal to submit the appellant’s exit documents to the GEPF was not a valid defence to the relief sought by the appellant. It was not in dispute that the Department, as the appellant’s employer, was obliged to facilitate the processing of her pension benefit documents. Once the interdictory relief was granted, that should have been the end of the matter.</w:t>
      </w:r>
    </w:p>
    <w:p w:rsidR="005E520E" w:rsidRPr="00863715" w:rsidRDefault="005E520E" w:rsidP="00503D47">
      <w:pPr>
        <w:tabs>
          <w:tab w:val="left" w:pos="0"/>
        </w:tabs>
      </w:pPr>
    </w:p>
    <w:p w:rsidR="00F208EE" w:rsidRPr="00863715" w:rsidRDefault="00F208EE" w:rsidP="008F43D8">
      <w:pPr>
        <w:tabs>
          <w:tab w:val="left" w:pos="0"/>
        </w:tabs>
        <w:rPr>
          <w:sz w:val="28"/>
          <w:szCs w:val="28"/>
        </w:rPr>
      </w:pPr>
      <w:r w:rsidRPr="00863715">
        <w:rPr>
          <w:sz w:val="28"/>
          <w:szCs w:val="28"/>
        </w:rPr>
        <w:lastRenderedPageBreak/>
        <w:t>[1</w:t>
      </w:r>
      <w:r w:rsidR="00DC38FB" w:rsidRPr="00863715">
        <w:rPr>
          <w:sz w:val="28"/>
          <w:szCs w:val="28"/>
        </w:rPr>
        <w:t>7</w:t>
      </w:r>
      <w:r w:rsidRPr="00863715">
        <w:rPr>
          <w:sz w:val="28"/>
          <w:szCs w:val="28"/>
        </w:rPr>
        <w:t>]</w:t>
      </w:r>
      <w:r w:rsidRPr="00863715">
        <w:rPr>
          <w:sz w:val="28"/>
          <w:szCs w:val="28"/>
        </w:rPr>
        <w:tab/>
      </w:r>
      <w:r w:rsidR="00C75803">
        <w:rPr>
          <w:sz w:val="28"/>
          <w:szCs w:val="28"/>
        </w:rPr>
        <w:t>T</w:t>
      </w:r>
      <w:r w:rsidR="00E73F04" w:rsidRPr="00863715">
        <w:rPr>
          <w:sz w:val="28"/>
          <w:szCs w:val="28"/>
        </w:rPr>
        <w:t xml:space="preserve">he court erred in </w:t>
      </w:r>
      <w:r w:rsidR="005E520E" w:rsidRPr="00863715">
        <w:rPr>
          <w:sz w:val="28"/>
          <w:szCs w:val="28"/>
        </w:rPr>
        <w:t xml:space="preserve">granting the </w:t>
      </w:r>
      <w:r w:rsidR="00C75803">
        <w:rPr>
          <w:sz w:val="28"/>
          <w:szCs w:val="28"/>
        </w:rPr>
        <w:t xml:space="preserve">further, unsolicited order for </w:t>
      </w:r>
      <w:r w:rsidR="005E520E" w:rsidRPr="00863715">
        <w:rPr>
          <w:sz w:val="28"/>
          <w:szCs w:val="28"/>
        </w:rPr>
        <w:t>payment against the appellant</w:t>
      </w:r>
      <w:r w:rsidR="00E73F04" w:rsidRPr="00863715">
        <w:rPr>
          <w:sz w:val="28"/>
          <w:szCs w:val="28"/>
        </w:rPr>
        <w:t xml:space="preserve">. Apart from the fact that no such order </w:t>
      </w:r>
      <w:r w:rsidR="005E520E" w:rsidRPr="00863715">
        <w:rPr>
          <w:sz w:val="28"/>
          <w:szCs w:val="28"/>
        </w:rPr>
        <w:t xml:space="preserve">had been </w:t>
      </w:r>
      <w:r w:rsidR="00E73F04" w:rsidRPr="00863715">
        <w:rPr>
          <w:sz w:val="28"/>
          <w:szCs w:val="28"/>
        </w:rPr>
        <w:t>sought</w:t>
      </w:r>
      <w:r w:rsidR="00657324" w:rsidRPr="00863715">
        <w:rPr>
          <w:sz w:val="28"/>
          <w:szCs w:val="28"/>
        </w:rPr>
        <w:t xml:space="preserve"> by the Department</w:t>
      </w:r>
      <w:r w:rsidR="00E41FDA" w:rsidRPr="00863715">
        <w:rPr>
          <w:sz w:val="28"/>
          <w:szCs w:val="28"/>
        </w:rPr>
        <w:t>,</w:t>
      </w:r>
      <w:r w:rsidR="00E73F04" w:rsidRPr="00863715">
        <w:rPr>
          <w:sz w:val="28"/>
          <w:szCs w:val="28"/>
        </w:rPr>
        <w:t xml:space="preserve"> the issue of the (re</w:t>
      </w:r>
      <w:r w:rsidR="00DC38FB" w:rsidRPr="00863715">
        <w:rPr>
          <w:sz w:val="28"/>
          <w:szCs w:val="28"/>
        </w:rPr>
        <w:t>)</w:t>
      </w:r>
      <w:r w:rsidR="00E73F04" w:rsidRPr="00863715">
        <w:rPr>
          <w:sz w:val="28"/>
          <w:szCs w:val="28"/>
        </w:rPr>
        <w:t xml:space="preserve">payment of </w:t>
      </w:r>
      <w:r w:rsidR="00DC38FB" w:rsidRPr="00863715">
        <w:rPr>
          <w:sz w:val="28"/>
          <w:szCs w:val="28"/>
        </w:rPr>
        <w:t xml:space="preserve">the </w:t>
      </w:r>
      <w:r w:rsidR="005E520E" w:rsidRPr="00863715">
        <w:rPr>
          <w:sz w:val="28"/>
          <w:szCs w:val="28"/>
        </w:rPr>
        <w:t xml:space="preserve">pension benefit </w:t>
      </w:r>
      <w:r w:rsidR="00E73F04" w:rsidRPr="00863715">
        <w:rPr>
          <w:sz w:val="28"/>
          <w:szCs w:val="28"/>
        </w:rPr>
        <w:t xml:space="preserve">was not necessary for determination of the </w:t>
      </w:r>
      <w:r w:rsidR="00657324" w:rsidRPr="00863715">
        <w:rPr>
          <w:sz w:val="28"/>
          <w:szCs w:val="28"/>
        </w:rPr>
        <w:t>mandatory interdict</w:t>
      </w:r>
      <w:r w:rsidR="00E73F04" w:rsidRPr="00863715">
        <w:rPr>
          <w:sz w:val="28"/>
          <w:szCs w:val="28"/>
        </w:rPr>
        <w:t>.</w:t>
      </w:r>
      <w:r w:rsidRPr="00863715">
        <w:rPr>
          <w:sz w:val="28"/>
          <w:szCs w:val="28"/>
        </w:rPr>
        <w:t xml:space="preserve"> </w:t>
      </w:r>
      <w:r w:rsidR="00C75803" w:rsidRPr="00863715">
        <w:rPr>
          <w:sz w:val="28"/>
          <w:szCs w:val="28"/>
        </w:rPr>
        <w:t>Both this court and the Constitutional Court have repeatedly expressed the principle that the dispute between parties is defined in the pleadings before court. Courts may, on their own accord raise issues of law that emerge fully from the record where c</w:t>
      </w:r>
      <w:r w:rsidR="00C75803">
        <w:rPr>
          <w:sz w:val="28"/>
          <w:szCs w:val="28"/>
        </w:rPr>
        <w:t>onsideration of those issues is</w:t>
      </w:r>
      <w:r w:rsidR="00C75803" w:rsidRPr="00863715">
        <w:rPr>
          <w:sz w:val="28"/>
          <w:szCs w:val="28"/>
        </w:rPr>
        <w:t xml:space="preserve"> necessary for the decision of the case.</w:t>
      </w:r>
      <w:r w:rsidR="00C75803" w:rsidRPr="00863715">
        <w:rPr>
          <w:rStyle w:val="FootnoteReference"/>
          <w:sz w:val="28"/>
          <w:szCs w:val="28"/>
        </w:rPr>
        <w:footnoteReference w:id="13"/>
      </w:r>
      <w:r w:rsidR="00C75803" w:rsidRPr="00863715">
        <w:rPr>
          <w:sz w:val="28"/>
          <w:szCs w:val="28"/>
        </w:rPr>
        <w:t xml:space="preserve"> </w:t>
      </w:r>
      <w:r w:rsidR="00A92CBE">
        <w:rPr>
          <w:sz w:val="28"/>
          <w:szCs w:val="28"/>
        </w:rPr>
        <w:t>In this case, t</w:t>
      </w:r>
      <w:r w:rsidR="00E73F04" w:rsidRPr="00863715">
        <w:rPr>
          <w:sz w:val="28"/>
          <w:szCs w:val="28"/>
        </w:rPr>
        <w:t xml:space="preserve">he </w:t>
      </w:r>
      <w:r w:rsidRPr="00863715">
        <w:rPr>
          <w:sz w:val="28"/>
          <w:szCs w:val="28"/>
        </w:rPr>
        <w:t xml:space="preserve">foundation </w:t>
      </w:r>
      <w:r w:rsidR="00E73F04" w:rsidRPr="00863715">
        <w:rPr>
          <w:sz w:val="28"/>
          <w:szCs w:val="28"/>
        </w:rPr>
        <w:t xml:space="preserve">for the relief sought by the appellant </w:t>
      </w:r>
      <w:r w:rsidRPr="00863715">
        <w:rPr>
          <w:sz w:val="28"/>
          <w:szCs w:val="28"/>
        </w:rPr>
        <w:t>was the Department’s refusal to submit her exit documents to the</w:t>
      </w:r>
      <w:r w:rsidR="009914C0" w:rsidRPr="00863715">
        <w:rPr>
          <w:sz w:val="28"/>
          <w:szCs w:val="28"/>
        </w:rPr>
        <w:t xml:space="preserve"> GEPF. The Department’s defence</w:t>
      </w:r>
      <w:r w:rsidRPr="00863715">
        <w:rPr>
          <w:sz w:val="28"/>
          <w:szCs w:val="28"/>
        </w:rPr>
        <w:t xml:space="preserve"> was that</w:t>
      </w:r>
      <w:r w:rsidR="00E41FDA" w:rsidRPr="00863715">
        <w:rPr>
          <w:sz w:val="28"/>
          <w:szCs w:val="28"/>
        </w:rPr>
        <w:t>,</w:t>
      </w:r>
      <w:r w:rsidRPr="00863715">
        <w:rPr>
          <w:sz w:val="28"/>
          <w:szCs w:val="28"/>
        </w:rPr>
        <w:t xml:space="preserve"> its refusal to submit the documents was justified given the appellant’s obligation to pay to it the </w:t>
      </w:r>
      <w:r w:rsidR="0068734F" w:rsidRPr="00863715">
        <w:rPr>
          <w:sz w:val="28"/>
          <w:szCs w:val="28"/>
        </w:rPr>
        <w:t>pension benefit paid to her</w:t>
      </w:r>
      <w:r w:rsidRPr="00863715">
        <w:rPr>
          <w:sz w:val="28"/>
          <w:szCs w:val="28"/>
        </w:rPr>
        <w:t xml:space="preserve">. </w:t>
      </w:r>
      <w:r w:rsidR="00E73F04" w:rsidRPr="00863715">
        <w:rPr>
          <w:sz w:val="28"/>
          <w:szCs w:val="28"/>
        </w:rPr>
        <w:t>The issue fel</w:t>
      </w:r>
      <w:r w:rsidR="00CB1AEF" w:rsidRPr="00863715">
        <w:rPr>
          <w:sz w:val="28"/>
          <w:szCs w:val="28"/>
        </w:rPr>
        <w:t xml:space="preserve">l to be determined </w:t>
      </w:r>
      <w:r w:rsidR="00DC7093" w:rsidRPr="00863715">
        <w:rPr>
          <w:sz w:val="28"/>
          <w:szCs w:val="28"/>
        </w:rPr>
        <w:t xml:space="preserve">solely </w:t>
      </w:r>
      <w:r w:rsidR="00CB1AEF" w:rsidRPr="00863715">
        <w:rPr>
          <w:sz w:val="28"/>
          <w:szCs w:val="28"/>
        </w:rPr>
        <w:t xml:space="preserve">on the </w:t>
      </w:r>
      <w:r w:rsidR="00E73F04" w:rsidRPr="00863715">
        <w:rPr>
          <w:sz w:val="28"/>
          <w:szCs w:val="28"/>
        </w:rPr>
        <w:t xml:space="preserve">pleadings </w:t>
      </w:r>
      <w:r w:rsidR="00CB1AEF" w:rsidRPr="00863715">
        <w:rPr>
          <w:sz w:val="28"/>
          <w:szCs w:val="28"/>
        </w:rPr>
        <w:t>and evidence</w:t>
      </w:r>
      <w:r w:rsidR="005E520E" w:rsidRPr="00863715">
        <w:rPr>
          <w:sz w:val="28"/>
          <w:szCs w:val="28"/>
        </w:rPr>
        <w:t xml:space="preserve"> rather than on the interests of justice basis advanced by the high court</w:t>
      </w:r>
      <w:r w:rsidR="0068734F" w:rsidRPr="00863715">
        <w:rPr>
          <w:sz w:val="28"/>
          <w:szCs w:val="28"/>
        </w:rPr>
        <w:t>.</w:t>
      </w:r>
    </w:p>
    <w:p w:rsidR="00DC35A0" w:rsidRPr="00863715" w:rsidRDefault="00DC35A0" w:rsidP="00503D47">
      <w:pPr>
        <w:tabs>
          <w:tab w:val="left" w:pos="0"/>
        </w:tabs>
        <w:rPr>
          <w:sz w:val="28"/>
          <w:szCs w:val="28"/>
        </w:rPr>
      </w:pPr>
    </w:p>
    <w:p w:rsidR="00CB1AEF" w:rsidRPr="00863715" w:rsidRDefault="00E514AA" w:rsidP="00503D47">
      <w:pPr>
        <w:tabs>
          <w:tab w:val="left" w:pos="0"/>
        </w:tabs>
        <w:rPr>
          <w:sz w:val="28"/>
          <w:szCs w:val="28"/>
        </w:rPr>
      </w:pPr>
      <w:r w:rsidRPr="00863715">
        <w:rPr>
          <w:sz w:val="28"/>
          <w:szCs w:val="28"/>
        </w:rPr>
        <w:t>[</w:t>
      </w:r>
      <w:r w:rsidR="00571115" w:rsidRPr="00863715">
        <w:rPr>
          <w:sz w:val="28"/>
          <w:szCs w:val="28"/>
        </w:rPr>
        <w:t>1</w:t>
      </w:r>
      <w:r w:rsidR="0068734F" w:rsidRPr="00863715">
        <w:rPr>
          <w:sz w:val="28"/>
          <w:szCs w:val="28"/>
        </w:rPr>
        <w:t>8</w:t>
      </w:r>
      <w:r w:rsidRPr="00863715">
        <w:rPr>
          <w:sz w:val="28"/>
          <w:szCs w:val="28"/>
        </w:rPr>
        <w:t>]</w:t>
      </w:r>
      <w:r w:rsidRPr="00863715">
        <w:rPr>
          <w:sz w:val="28"/>
          <w:szCs w:val="28"/>
        </w:rPr>
        <w:tab/>
      </w:r>
      <w:r w:rsidR="004910B8" w:rsidRPr="00863715">
        <w:rPr>
          <w:sz w:val="28"/>
          <w:szCs w:val="28"/>
        </w:rPr>
        <w:t>As it was submitted on behalf of the appellant, i</w:t>
      </w:r>
      <w:r w:rsidR="00BF4E38" w:rsidRPr="00863715">
        <w:rPr>
          <w:sz w:val="28"/>
          <w:szCs w:val="28"/>
        </w:rPr>
        <w:t xml:space="preserve">f </w:t>
      </w:r>
      <w:r w:rsidR="007914B3" w:rsidRPr="00863715">
        <w:rPr>
          <w:sz w:val="28"/>
          <w:szCs w:val="28"/>
        </w:rPr>
        <w:t xml:space="preserve">the </w:t>
      </w:r>
      <w:r w:rsidR="00C55BA1" w:rsidRPr="00863715">
        <w:rPr>
          <w:sz w:val="28"/>
          <w:szCs w:val="28"/>
        </w:rPr>
        <w:t xml:space="preserve">Department </w:t>
      </w:r>
      <w:r w:rsidR="00871309" w:rsidRPr="00863715">
        <w:rPr>
          <w:sz w:val="28"/>
          <w:szCs w:val="28"/>
        </w:rPr>
        <w:t xml:space="preserve">intended to claim, in these proceedings, </w:t>
      </w:r>
      <w:r w:rsidR="00BF4E38" w:rsidRPr="00863715">
        <w:rPr>
          <w:sz w:val="28"/>
          <w:szCs w:val="28"/>
        </w:rPr>
        <w:t>repayment of a debt due to it</w:t>
      </w:r>
      <w:r w:rsidR="00871309" w:rsidRPr="00863715">
        <w:rPr>
          <w:sz w:val="28"/>
          <w:szCs w:val="28"/>
        </w:rPr>
        <w:t>,</w:t>
      </w:r>
      <w:r w:rsidR="00BF4E38" w:rsidRPr="00863715">
        <w:rPr>
          <w:sz w:val="28"/>
          <w:szCs w:val="28"/>
        </w:rPr>
        <w:t xml:space="preserve"> </w:t>
      </w:r>
      <w:r w:rsidR="00871309" w:rsidRPr="00863715">
        <w:rPr>
          <w:sz w:val="28"/>
          <w:szCs w:val="28"/>
        </w:rPr>
        <w:t xml:space="preserve">it </w:t>
      </w:r>
      <w:r w:rsidR="00BF4E38" w:rsidRPr="00863715">
        <w:rPr>
          <w:sz w:val="28"/>
          <w:szCs w:val="28"/>
        </w:rPr>
        <w:t>was incumbent</w:t>
      </w:r>
      <w:r w:rsidR="0003462A" w:rsidRPr="00863715">
        <w:rPr>
          <w:sz w:val="28"/>
          <w:szCs w:val="28"/>
        </w:rPr>
        <w:t xml:space="preserve"> upon it to set out a properly pleaded claim</w:t>
      </w:r>
      <w:r w:rsidR="00CB1AEF" w:rsidRPr="00863715">
        <w:rPr>
          <w:sz w:val="28"/>
          <w:szCs w:val="28"/>
        </w:rPr>
        <w:t xml:space="preserve">, </w:t>
      </w:r>
      <w:r w:rsidR="00D01D47" w:rsidRPr="00863715">
        <w:rPr>
          <w:sz w:val="28"/>
          <w:szCs w:val="28"/>
        </w:rPr>
        <w:t>and</w:t>
      </w:r>
      <w:r w:rsidR="00CB1AEF" w:rsidRPr="00863715">
        <w:rPr>
          <w:sz w:val="28"/>
          <w:szCs w:val="28"/>
        </w:rPr>
        <w:t xml:space="preserve"> the relief</w:t>
      </w:r>
      <w:r w:rsidR="00D01D47" w:rsidRPr="00863715">
        <w:rPr>
          <w:sz w:val="28"/>
          <w:szCs w:val="28"/>
        </w:rPr>
        <w:t xml:space="preserve"> sought</w:t>
      </w:r>
      <w:r w:rsidR="009914C0" w:rsidRPr="00863715">
        <w:rPr>
          <w:sz w:val="28"/>
          <w:szCs w:val="28"/>
        </w:rPr>
        <w:t>.</w:t>
      </w:r>
      <w:r w:rsidR="0003462A" w:rsidRPr="00863715">
        <w:rPr>
          <w:sz w:val="28"/>
          <w:szCs w:val="28"/>
        </w:rPr>
        <w:t xml:space="preserve"> </w:t>
      </w:r>
      <w:r w:rsidR="001A3588" w:rsidRPr="00863715">
        <w:rPr>
          <w:sz w:val="28"/>
          <w:szCs w:val="28"/>
        </w:rPr>
        <w:t>It</w:t>
      </w:r>
      <w:r w:rsidR="00CB1AEF" w:rsidRPr="00863715">
        <w:rPr>
          <w:sz w:val="28"/>
          <w:szCs w:val="28"/>
        </w:rPr>
        <w:t xml:space="preserve"> failed to </w:t>
      </w:r>
      <w:r w:rsidR="0003462A" w:rsidRPr="00863715">
        <w:rPr>
          <w:sz w:val="28"/>
          <w:szCs w:val="28"/>
        </w:rPr>
        <w:t>do so despite</w:t>
      </w:r>
      <w:r w:rsidR="00BF4E38" w:rsidRPr="00863715">
        <w:rPr>
          <w:sz w:val="28"/>
          <w:szCs w:val="28"/>
        </w:rPr>
        <w:t xml:space="preserve"> </w:t>
      </w:r>
      <w:r w:rsidR="0080331C" w:rsidRPr="00863715">
        <w:rPr>
          <w:sz w:val="28"/>
          <w:szCs w:val="28"/>
        </w:rPr>
        <w:t xml:space="preserve">a number of invitations extended </w:t>
      </w:r>
      <w:r w:rsidR="00363A34" w:rsidRPr="00863715">
        <w:rPr>
          <w:sz w:val="28"/>
          <w:szCs w:val="28"/>
        </w:rPr>
        <w:t xml:space="preserve">to it </w:t>
      </w:r>
      <w:r w:rsidR="0080331C" w:rsidRPr="00863715">
        <w:rPr>
          <w:sz w:val="28"/>
          <w:szCs w:val="28"/>
        </w:rPr>
        <w:t>by the appellant</w:t>
      </w:r>
      <w:r w:rsidR="00A92CBE">
        <w:rPr>
          <w:sz w:val="28"/>
          <w:szCs w:val="28"/>
        </w:rPr>
        <w:t>.</w:t>
      </w:r>
      <w:r w:rsidR="0080331C" w:rsidRPr="00863715">
        <w:rPr>
          <w:sz w:val="28"/>
          <w:szCs w:val="28"/>
        </w:rPr>
        <w:t xml:space="preserve"> </w:t>
      </w:r>
      <w:r w:rsidR="00A92CBE">
        <w:rPr>
          <w:sz w:val="28"/>
          <w:szCs w:val="28"/>
        </w:rPr>
        <w:t xml:space="preserve">It merely contended </w:t>
      </w:r>
      <w:r w:rsidR="007914B3" w:rsidRPr="00863715">
        <w:rPr>
          <w:sz w:val="28"/>
          <w:szCs w:val="28"/>
        </w:rPr>
        <w:t>that the appellant was indebted to it.</w:t>
      </w:r>
      <w:r w:rsidR="001A3588" w:rsidRPr="00863715">
        <w:rPr>
          <w:sz w:val="28"/>
          <w:szCs w:val="28"/>
        </w:rPr>
        <w:t xml:space="preserve"> It was improper for the high court to grant relief that had not been sought.</w:t>
      </w:r>
      <w:r w:rsidR="00081F55" w:rsidRPr="00863715">
        <w:rPr>
          <w:sz w:val="28"/>
          <w:szCs w:val="28"/>
        </w:rPr>
        <w:t xml:space="preserve"> </w:t>
      </w:r>
      <w:r w:rsidR="0068734F" w:rsidRPr="00863715">
        <w:rPr>
          <w:sz w:val="28"/>
          <w:szCs w:val="28"/>
        </w:rPr>
        <w:t>The appeal must therefore succeed.</w:t>
      </w:r>
    </w:p>
    <w:p w:rsidR="00CB1AEF" w:rsidRPr="00863715" w:rsidRDefault="00CB1AEF" w:rsidP="00503D47">
      <w:pPr>
        <w:tabs>
          <w:tab w:val="left" w:pos="0"/>
        </w:tabs>
        <w:rPr>
          <w:sz w:val="28"/>
          <w:szCs w:val="28"/>
        </w:rPr>
      </w:pPr>
    </w:p>
    <w:p w:rsidR="00C25F3E" w:rsidRPr="00863715" w:rsidRDefault="00E04592" w:rsidP="00503D47">
      <w:pPr>
        <w:tabs>
          <w:tab w:val="left" w:pos="0"/>
        </w:tabs>
        <w:rPr>
          <w:sz w:val="28"/>
          <w:szCs w:val="28"/>
        </w:rPr>
      </w:pPr>
      <w:r w:rsidRPr="00863715">
        <w:rPr>
          <w:sz w:val="28"/>
          <w:szCs w:val="28"/>
        </w:rPr>
        <w:t>Consequently,</w:t>
      </w:r>
      <w:r w:rsidR="00C25F3E" w:rsidRPr="00863715">
        <w:rPr>
          <w:sz w:val="28"/>
          <w:szCs w:val="28"/>
        </w:rPr>
        <w:t xml:space="preserve"> </w:t>
      </w:r>
      <w:r w:rsidR="00871309" w:rsidRPr="00863715">
        <w:rPr>
          <w:sz w:val="28"/>
          <w:szCs w:val="28"/>
        </w:rPr>
        <w:t>I make the following order</w:t>
      </w:r>
      <w:r w:rsidR="00C25F3E" w:rsidRPr="00863715">
        <w:rPr>
          <w:sz w:val="28"/>
          <w:szCs w:val="28"/>
        </w:rPr>
        <w:t>:</w:t>
      </w:r>
    </w:p>
    <w:p w:rsidR="00C25F3E" w:rsidRPr="0044708F" w:rsidRDefault="0044708F" w:rsidP="0044708F">
      <w:pPr>
        <w:spacing w:before="120"/>
        <w:ind w:left="1080" w:hanging="720"/>
        <w:rPr>
          <w:bCs/>
          <w:sz w:val="28"/>
          <w:szCs w:val="28"/>
        </w:rPr>
      </w:pPr>
      <w:r w:rsidRPr="00863715">
        <w:rPr>
          <w:bCs/>
          <w:sz w:val="28"/>
          <w:szCs w:val="28"/>
        </w:rPr>
        <w:lastRenderedPageBreak/>
        <w:t>1</w:t>
      </w:r>
      <w:r w:rsidRPr="00863715">
        <w:rPr>
          <w:bCs/>
          <w:sz w:val="28"/>
          <w:szCs w:val="28"/>
        </w:rPr>
        <w:tab/>
      </w:r>
      <w:r w:rsidR="00C25F3E" w:rsidRPr="0044708F">
        <w:rPr>
          <w:bCs/>
          <w:sz w:val="28"/>
          <w:szCs w:val="28"/>
        </w:rPr>
        <w:t>The appeal is upheld with costs.</w:t>
      </w:r>
    </w:p>
    <w:p w:rsidR="00C25F3E" w:rsidRPr="0044708F" w:rsidRDefault="0044708F" w:rsidP="0044708F">
      <w:pPr>
        <w:spacing w:before="120"/>
        <w:ind w:left="1080" w:hanging="720"/>
        <w:rPr>
          <w:bCs/>
          <w:sz w:val="28"/>
          <w:szCs w:val="28"/>
        </w:rPr>
      </w:pPr>
      <w:r w:rsidRPr="00863715">
        <w:rPr>
          <w:bCs/>
          <w:sz w:val="28"/>
          <w:szCs w:val="28"/>
        </w:rPr>
        <w:t>2</w:t>
      </w:r>
      <w:r w:rsidRPr="00863715">
        <w:rPr>
          <w:bCs/>
          <w:sz w:val="28"/>
          <w:szCs w:val="28"/>
        </w:rPr>
        <w:tab/>
      </w:r>
      <w:r w:rsidR="00A94F10" w:rsidRPr="0044708F">
        <w:rPr>
          <w:bCs/>
          <w:sz w:val="28"/>
          <w:szCs w:val="28"/>
        </w:rPr>
        <w:t xml:space="preserve">Paragraphs </w:t>
      </w:r>
      <w:r w:rsidR="00447FA0" w:rsidRPr="0044708F">
        <w:rPr>
          <w:bCs/>
          <w:sz w:val="28"/>
          <w:szCs w:val="28"/>
        </w:rPr>
        <w:t>3.2</w:t>
      </w:r>
      <w:r w:rsidR="00C25F3E" w:rsidRPr="0044708F">
        <w:rPr>
          <w:bCs/>
          <w:sz w:val="28"/>
          <w:szCs w:val="28"/>
        </w:rPr>
        <w:t xml:space="preserve"> and 3.3 of the </w:t>
      </w:r>
      <w:r w:rsidR="00A94F10" w:rsidRPr="0044708F">
        <w:rPr>
          <w:bCs/>
          <w:sz w:val="28"/>
          <w:szCs w:val="28"/>
        </w:rPr>
        <w:t xml:space="preserve">order </w:t>
      </w:r>
      <w:r w:rsidR="00C25F3E" w:rsidRPr="0044708F">
        <w:rPr>
          <w:bCs/>
          <w:sz w:val="28"/>
          <w:szCs w:val="28"/>
        </w:rPr>
        <w:t xml:space="preserve">of the </w:t>
      </w:r>
      <w:r w:rsidR="00717DD1" w:rsidRPr="0044708F">
        <w:rPr>
          <w:bCs/>
          <w:sz w:val="28"/>
          <w:szCs w:val="28"/>
        </w:rPr>
        <w:t xml:space="preserve">high </w:t>
      </w:r>
      <w:r w:rsidR="000C1FFE" w:rsidRPr="0044708F">
        <w:rPr>
          <w:bCs/>
          <w:sz w:val="28"/>
          <w:szCs w:val="28"/>
        </w:rPr>
        <w:t>court are</w:t>
      </w:r>
      <w:r w:rsidR="00A94F10" w:rsidRPr="0044708F">
        <w:rPr>
          <w:bCs/>
          <w:sz w:val="28"/>
          <w:szCs w:val="28"/>
        </w:rPr>
        <w:t xml:space="preserve"> </w:t>
      </w:r>
      <w:r w:rsidR="00C25F3E" w:rsidRPr="0044708F">
        <w:rPr>
          <w:bCs/>
          <w:sz w:val="28"/>
          <w:szCs w:val="28"/>
        </w:rPr>
        <w:t>set aside.</w:t>
      </w:r>
    </w:p>
    <w:p w:rsidR="00C25F3E" w:rsidRPr="00E04592" w:rsidRDefault="00C25F3E" w:rsidP="00503D47">
      <w:pPr>
        <w:tabs>
          <w:tab w:val="left" w:pos="0"/>
        </w:tabs>
        <w:rPr>
          <w:sz w:val="28"/>
          <w:szCs w:val="28"/>
        </w:rPr>
      </w:pPr>
    </w:p>
    <w:p w:rsidR="00814B86" w:rsidRDefault="00814B86" w:rsidP="00AC1913">
      <w:pPr>
        <w:ind w:firstLine="4860"/>
        <w:jc w:val="right"/>
        <w:rPr>
          <w:b/>
          <w:sz w:val="28"/>
          <w:szCs w:val="28"/>
        </w:rPr>
      </w:pPr>
    </w:p>
    <w:p w:rsidR="001A08AF" w:rsidRPr="00D63B05" w:rsidRDefault="00D63B05" w:rsidP="00D63B05">
      <w:pPr>
        <w:ind w:firstLine="4860"/>
        <w:jc w:val="right"/>
        <w:rPr>
          <w:b/>
          <w:sz w:val="28"/>
          <w:szCs w:val="28"/>
        </w:rPr>
      </w:pPr>
      <w:r>
        <w:rPr>
          <w:b/>
          <w:noProof/>
          <w:sz w:val="28"/>
          <w:szCs w:val="28"/>
          <w:lang w:val="en-ZA" w:eastAsia="en-ZA"/>
        </w:rPr>
        <w:t>____________________</w:t>
      </w:r>
    </w:p>
    <w:p w:rsidR="00AC1913" w:rsidRPr="0076560B" w:rsidRDefault="00AC1913" w:rsidP="001A3588">
      <w:pPr>
        <w:ind w:firstLine="4860"/>
        <w:jc w:val="right"/>
        <w:rPr>
          <w:b/>
          <w:sz w:val="28"/>
          <w:szCs w:val="28"/>
        </w:rPr>
      </w:pPr>
      <w:r w:rsidRPr="0076560B">
        <w:rPr>
          <w:b/>
          <w:sz w:val="28"/>
          <w:szCs w:val="28"/>
        </w:rPr>
        <w:t xml:space="preserve">N </w:t>
      </w:r>
      <w:r w:rsidR="00440BC8" w:rsidRPr="0076560B">
        <w:rPr>
          <w:b/>
          <w:sz w:val="28"/>
          <w:szCs w:val="28"/>
        </w:rPr>
        <w:t>DAMBUZA</w:t>
      </w:r>
    </w:p>
    <w:p w:rsidR="00191133" w:rsidRPr="0076560B" w:rsidRDefault="00AC1913" w:rsidP="00191133">
      <w:pPr>
        <w:ind w:firstLine="4860"/>
        <w:jc w:val="right"/>
        <w:rPr>
          <w:b/>
          <w:sz w:val="28"/>
          <w:szCs w:val="28"/>
        </w:rPr>
      </w:pPr>
      <w:r w:rsidRPr="0076560B">
        <w:rPr>
          <w:b/>
          <w:sz w:val="28"/>
          <w:szCs w:val="28"/>
        </w:rPr>
        <w:t>JUDGE OF APPEAL</w:t>
      </w:r>
    </w:p>
    <w:p w:rsidR="003B56B7" w:rsidRPr="004C3AF7" w:rsidRDefault="003B56B7" w:rsidP="00191133">
      <w:pPr>
        <w:rPr>
          <w:sz w:val="28"/>
          <w:szCs w:val="28"/>
        </w:rPr>
      </w:pPr>
      <w:r w:rsidRPr="004C3AF7">
        <w:rPr>
          <w:sz w:val="28"/>
          <w:szCs w:val="28"/>
        </w:rPr>
        <w:br w:type="page"/>
      </w:r>
    </w:p>
    <w:p w:rsidR="003B56B7" w:rsidRPr="004C3AF7" w:rsidRDefault="003B56B7" w:rsidP="00AC1913">
      <w:pPr>
        <w:rPr>
          <w:sz w:val="28"/>
          <w:szCs w:val="28"/>
        </w:rPr>
      </w:pPr>
    </w:p>
    <w:p w:rsidR="00AC1913" w:rsidRPr="004C3AF7" w:rsidRDefault="002E4309" w:rsidP="00AC1913">
      <w:pPr>
        <w:rPr>
          <w:sz w:val="28"/>
          <w:szCs w:val="28"/>
        </w:rPr>
      </w:pPr>
      <w:r w:rsidRPr="004C3AF7">
        <w:rPr>
          <w:sz w:val="28"/>
          <w:szCs w:val="28"/>
        </w:rPr>
        <w:t>A</w:t>
      </w:r>
      <w:r w:rsidR="00E520E9" w:rsidRPr="004C3AF7">
        <w:rPr>
          <w:sz w:val="28"/>
          <w:szCs w:val="28"/>
        </w:rPr>
        <w:t>ppearances</w:t>
      </w:r>
      <w:r w:rsidR="00F90160" w:rsidRPr="004C3AF7">
        <w:rPr>
          <w:sz w:val="28"/>
          <w:szCs w:val="28"/>
        </w:rPr>
        <w:t>:</w:t>
      </w:r>
    </w:p>
    <w:p w:rsidR="00AC1913" w:rsidRPr="004C3AF7" w:rsidRDefault="00AC1913" w:rsidP="00AC1913">
      <w:pPr>
        <w:rPr>
          <w:sz w:val="28"/>
          <w:szCs w:val="28"/>
        </w:rPr>
      </w:pPr>
    </w:p>
    <w:p w:rsidR="00A24353" w:rsidRPr="004C3AF7" w:rsidRDefault="009E7AE5" w:rsidP="00AC1913">
      <w:pPr>
        <w:rPr>
          <w:sz w:val="28"/>
          <w:szCs w:val="28"/>
        </w:rPr>
      </w:pPr>
      <w:r w:rsidRPr="008E4C47">
        <w:rPr>
          <w:sz w:val="28"/>
          <w:szCs w:val="28"/>
        </w:rPr>
        <w:t>Counsel f</w:t>
      </w:r>
      <w:r w:rsidR="00AC1913" w:rsidRPr="008E4C47">
        <w:rPr>
          <w:sz w:val="28"/>
          <w:szCs w:val="28"/>
        </w:rPr>
        <w:t xml:space="preserve">or </w:t>
      </w:r>
      <w:r w:rsidR="007214B4" w:rsidRPr="00B64A60">
        <w:rPr>
          <w:sz w:val="28"/>
          <w:szCs w:val="28"/>
        </w:rPr>
        <w:t>the</w:t>
      </w:r>
      <w:r w:rsidR="007214B4" w:rsidRPr="008E4C47">
        <w:rPr>
          <w:sz w:val="28"/>
          <w:szCs w:val="28"/>
        </w:rPr>
        <w:t xml:space="preserve"> </w:t>
      </w:r>
      <w:r w:rsidR="00D61430" w:rsidRPr="008E4C47">
        <w:rPr>
          <w:sz w:val="28"/>
          <w:szCs w:val="28"/>
        </w:rPr>
        <w:t>appellant</w:t>
      </w:r>
      <w:r w:rsidR="00AC1913" w:rsidRPr="008E4C47">
        <w:rPr>
          <w:sz w:val="28"/>
          <w:szCs w:val="28"/>
        </w:rPr>
        <w:t>:</w:t>
      </w:r>
      <w:r w:rsidR="00AC1913" w:rsidRPr="008E4C47">
        <w:rPr>
          <w:sz w:val="28"/>
          <w:szCs w:val="28"/>
        </w:rPr>
        <w:tab/>
      </w:r>
      <w:r w:rsidR="00862AE7" w:rsidRPr="008E4C47">
        <w:rPr>
          <w:sz w:val="28"/>
          <w:szCs w:val="28"/>
        </w:rPr>
        <w:tab/>
        <w:t xml:space="preserve">        </w:t>
      </w:r>
      <w:r w:rsidR="008E4C47">
        <w:rPr>
          <w:sz w:val="28"/>
          <w:szCs w:val="28"/>
        </w:rPr>
        <w:t xml:space="preserve"> </w:t>
      </w:r>
      <w:r w:rsidR="00862AE7" w:rsidRPr="008E4C47">
        <w:rPr>
          <w:sz w:val="28"/>
          <w:szCs w:val="28"/>
        </w:rPr>
        <w:t>MG Higte</w:t>
      </w:r>
      <w:r w:rsidR="00AC1913" w:rsidRPr="004C3AF7">
        <w:rPr>
          <w:sz w:val="28"/>
          <w:szCs w:val="28"/>
        </w:rPr>
        <w:tab/>
      </w:r>
    </w:p>
    <w:p w:rsidR="00A24353" w:rsidRPr="004C3AF7" w:rsidRDefault="008C4C58" w:rsidP="00AC1913">
      <w:pPr>
        <w:rPr>
          <w:sz w:val="28"/>
          <w:szCs w:val="28"/>
        </w:rPr>
      </w:pPr>
      <w:r w:rsidRPr="004C3AF7">
        <w:rPr>
          <w:bCs/>
          <w:sz w:val="28"/>
          <w:szCs w:val="28"/>
        </w:rPr>
        <w:t>Instructed by:</w:t>
      </w:r>
      <w:r w:rsidR="00A24353" w:rsidRPr="004C3AF7">
        <w:rPr>
          <w:sz w:val="28"/>
          <w:szCs w:val="28"/>
        </w:rPr>
        <w:tab/>
      </w:r>
      <w:r w:rsidR="00A24353" w:rsidRPr="004C3AF7">
        <w:rPr>
          <w:sz w:val="28"/>
          <w:szCs w:val="28"/>
        </w:rPr>
        <w:tab/>
      </w:r>
      <w:r w:rsidR="00A24353" w:rsidRPr="004C3AF7">
        <w:rPr>
          <w:sz w:val="28"/>
          <w:szCs w:val="28"/>
        </w:rPr>
        <w:tab/>
      </w:r>
      <w:r w:rsidR="00A24353" w:rsidRPr="004C3AF7">
        <w:rPr>
          <w:sz w:val="28"/>
          <w:szCs w:val="28"/>
        </w:rPr>
        <w:tab/>
      </w:r>
      <w:r w:rsidRPr="004C3AF7">
        <w:rPr>
          <w:sz w:val="28"/>
          <w:szCs w:val="28"/>
        </w:rPr>
        <w:t xml:space="preserve">         </w:t>
      </w:r>
      <w:r w:rsidR="00862AE7">
        <w:rPr>
          <w:sz w:val="28"/>
          <w:szCs w:val="28"/>
        </w:rPr>
        <w:t>Nienaber and Wissing Attorneys,</w:t>
      </w:r>
    </w:p>
    <w:p w:rsidR="00AC1913" w:rsidRPr="004C3AF7" w:rsidRDefault="00A24353" w:rsidP="00AC1913">
      <w:pPr>
        <w:rPr>
          <w:sz w:val="28"/>
          <w:szCs w:val="28"/>
        </w:rPr>
      </w:pPr>
      <w:r w:rsidRPr="004C3AF7">
        <w:rPr>
          <w:sz w:val="28"/>
          <w:szCs w:val="28"/>
        </w:rPr>
        <w:tab/>
      </w:r>
      <w:r w:rsidRPr="004C3AF7">
        <w:rPr>
          <w:sz w:val="28"/>
          <w:szCs w:val="28"/>
        </w:rPr>
        <w:tab/>
      </w:r>
      <w:r w:rsidRPr="004C3AF7">
        <w:rPr>
          <w:sz w:val="28"/>
          <w:szCs w:val="28"/>
        </w:rPr>
        <w:tab/>
      </w:r>
      <w:r w:rsidRPr="004C3AF7">
        <w:rPr>
          <w:sz w:val="28"/>
          <w:szCs w:val="28"/>
        </w:rPr>
        <w:tab/>
      </w:r>
      <w:r w:rsidRPr="004C3AF7">
        <w:rPr>
          <w:sz w:val="28"/>
          <w:szCs w:val="28"/>
        </w:rPr>
        <w:tab/>
      </w:r>
      <w:r w:rsidR="003311E1" w:rsidRPr="004C3AF7">
        <w:rPr>
          <w:sz w:val="28"/>
          <w:szCs w:val="28"/>
        </w:rPr>
        <w:tab/>
      </w:r>
      <w:r w:rsidR="00862AE7">
        <w:rPr>
          <w:sz w:val="28"/>
          <w:szCs w:val="28"/>
        </w:rPr>
        <w:t xml:space="preserve">         Mahikeng</w:t>
      </w:r>
      <w:r w:rsidR="00AC1913" w:rsidRPr="004C3AF7">
        <w:rPr>
          <w:sz w:val="28"/>
          <w:szCs w:val="28"/>
        </w:rPr>
        <w:tab/>
      </w:r>
    </w:p>
    <w:p w:rsidR="009E7AE5" w:rsidRPr="004C3AF7" w:rsidRDefault="00F63377" w:rsidP="00D61430">
      <w:pPr>
        <w:rPr>
          <w:bCs/>
          <w:sz w:val="28"/>
          <w:szCs w:val="28"/>
        </w:rPr>
      </w:pP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003311E1" w:rsidRPr="004C3AF7">
        <w:rPr>
          <w:bCs/>
          <w:sz w:val="28"/>
          <w:szCs w:val="28"/>
        </w:rPr>
        <w:t xml:space="preserve"> </w:t>
      </w:r>
      <w:r w:rsidR="003311E1" w:rsidRPr="004C3AF7">
        <w:rPr>
          <w:bCs/>
          <w:sz w:val="28"/>
          <w:szCs w:val="28"/>
        </w:rPr>
        <w:tab/>
        <w:t xml:space="preserve">         </w:t>
      </w:r>
      <w:r w:rsidR="00862AE7">
        <w:rPr>
          <w:bCs/>
          <w:sz w:val="28"/>
          <w:szCs w:val="28"/>
        </w:rPr>
        <w:t>McIntyer Van Der Post</w:t>
      </w:r>
      <w:r w:rsidR="008C4C58" w:rsidRPr="004C3AF7">
        <w:rPr>
          <w:bCs/>
          <w:sz w:val="28"/>
          <w:szCs w:val="28"/>
        </w:rPr>
        <w:t>,</w:t>
      </w:r>
    </w:p>
    <w:p w:rsidR="00F63377" w:rsidRPr="004C3AF7" w:rsidRDefault="00F63377" w:rsidP="00D61430">
      <w:pPr>
        <w:rPr>
          <w:bCs/>
          <w:sz w:val="28"/>
          <w:szCs w:val="28"/>
        </w:rPr>
      </w:pP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00456A61">
        <w:rPr>
          <w:bCs/>
          <w:sz w:val="28"/>
          <w:szCs w:val="28"/>
        </w:rPr>
        <w:t xml:space="preserve">         </w:t>
      </w:r>
      <w:r w:rsidRPr="004C3AF7">
        <w:rPr>
          <w:bCs/>
          <w:sz w:val="28"/>
          <w:szCs w:val="28"/>
        </w:rPr>
        <w:t>Bloemfontein</w:t>
      </w:r>
    </w:p>
    <w:p w:rsidR="009E7AE5" w:rsidRPr="004C3AF7" w:rsidRDefault="009E7AE5" w:rsidP="00D61430">
      <w:pPr>
        <w:rPr>
          <w:bCs/>
          <w:sz w:val="28"/>
          <w:szCs w:val="28"/>
        </w:rPr>
      </w:pPr>
    </w:p>
    <w:p w:rsidR="009E7AE5" w:rsidRPr="004C3AF7" w:rsidRDefault="009E7AE5" w:rsidP="005256F6">
      <w:pPr>
        <w:ind w:left="4320" w:hanging="4320"/>
        <w:rPr>
          <w:bCs/>
          <w:sz w:val="28"/>
          <w:szCs w:val="28"/>
        </w:rPr>
      </w:pPr>
      <w:r w:rsidRPr="004C3AF7">
        <w:rPr>
          <w:bCs/>
          <w:sz w:val="28"/>
          <w:szCs w:val="28"/>
        </w:rPr>
        <w:t xml:space="preserve">Counsel for </w:t>
      </w:r>
      <w:r w:rsidR="007214B4" w:rsidRPr="00B64A60">
        <w:rPr>
          <w:bCs/>
          <w:sz w:val="28"/>
          <w:szCs w:val="28"/>
        </w:rPr>
        <w:t>the</w:t>
      </w:r>
      <w:r w:rsidR="007214B4" w:rsidRPr="008E4C47">
        <w:rPr>
          <w:bCs/>
          <w:sz w:val="28"/>
          <w:szCs w:val="28"/>
        </w:rPr>
        <w:t xml:space="preserve"> </w:t>
      </w:r>
      <w:r w:rsidR="00456A61" w:rsidRPr="008E4C47">
        <w:rPr>
          <w:bCs/>
          <w:sz w:val="28"/>
          <w:szCs w:val="28"/>
        </w:rPr>
        <w:t>fifth</w:t>
      </w:r>
      <w:r w:rsidR="00456A61">
        <w:rPr>
          <w:bCs/>
          <w:sz w:val="28"/>
          <w:szCs w:val="28"/>
        </w:rPr>
        <w:t xml:space="preserve"> to seven</w:t>
      </w:r>
      <w:r w:rsidR="007214B4">
        <w:rPr>
          <w:bCs/>
          <w:sz w:val="28"/>
          <w:szCs w:val="28"/>
        </w:rPr>
        <w:t>th</w:t>
      </w:r>
      <w:r w:rsidRPr="004C3AF7">
        <w:rPr>
          <w:bCs/>
          <w:sz w:val="28"/>
          <w:szCs w:val="28"/>
        </w:rPr>
        <w:t xml:space="preserve"> </w:t>
      </w:r>
      <w:r w:rsidR="00862AE7">
        <w:rPr>
          <w:bCs/>
          <w:sz w:val="28"/>
          <w:szCs w:val="28"/>
        </w:rPr>
        <w:t>respondent</w:t>
      </w:r>
      <w:r w:rsidR="00456A61">
        <w:rPr>
          <w:bCs/>
          <w:sz w:val="28"/>
          <w:szCs w:val="28"/>
        </w:rPr>
        <w:t>s</w:t>
      </w:r>
      <w:r w:rsidRPr="004C3AF7">
        <w:rPr>
          <w:bCs/>
          <w:sz w:val="28"/>
          <w:szCs w:val="28"/>
        </w:rPr>
        <w:t xml:space="preserve">: </w:t>
      </w:r>
      <w:r w:rsidR="00456A61">
        <w:rPr>
          <w:bCs/>
          <w:sz w:val="28"/>
          <w:szCs w:val="28"/>
        </w:rPr>
        <w:t>TJ Makgate</w:t>
      </w:r>
      <w:r w:rsidRPr="004C3AF7">
        <w:rPr>
          <w:bCs/>
          <w:sz w:val="28"/>
          <w:szCs w:val="28"/>
        </w:rPr>
        <w:t xml:space="preserve"> </w:t>
      </w:r>
      <w:r w:rsidR="00F63377" w:rsidRPr="004C3AF7">
        <w:rPr>
          <w:bCs/>
          <w:sz w:val="28"/>
          <w:szCs w:val="28"/>
        </w:rPr>
        <w:t>and</w:t>
      </w:r>
      <w:r w:rsidR="005256F6" w:rsidRPr="004C3AF7">
        <w:rPr>
          <w:bCs/>
          <w:sz w:val="28"/>
          <w:szCs w:val="28"/>
        </w:rPr>
        <w:t xml:space="preserve"> </w:t>
      </w:r>
      <w:r w:rsidR="00456A61">
        <w:rPr>
          <w:bCs/>
          <w:sz w:val="28"/>
          <w:szCs w:val="28"/>
        </w:rPr>
        <w:t>S Raselalome</w:t>
      </w:r>
    </w:p>
    <w:p w:rsidR="009E7AE5" w:rsidRPr="004C3AF7" w:rsidRDefault="009E7AE5" w:rsidP="00D61430">
      <w:pPr>
        <w:rPr>
          <w:bCs/>
          <w:sz w:val="28"/>
          <w:szCs w:val="28"/>
        </w:rPr>
      </w:pPr>
      <w:r w:rsidRPr="004C3AF7">
        <w:rPr>
          <w:bCs/>
          <w:sz w:val="28"/>
          <w:szCs w:val="28"/>
        </w:rPr>
        <w:t>Instructed by:</w:t>
      </w:r>
      <w:r w:rsidR="00F63377" w:rsidRPr="004C3AF7">
        <w:rPr>
          <w:bCs/>
          <w:sz w:val="28"/>
          <w:szCs w:val="28"/>
        </w:rPr>
        <w:tab/>
      </w:r>
      <w:r w:rsidR="00F63377" w:rsidRPr="004C3AF7">
        <w:rPr>
          <w:bCs/>
          <w:sz w:val="28"/>
          <w:szCs w:val="28"/>
        </w:rPr>
        <w:tab/>
      </w:r>
      <w:r w:rsidR="00F63377" w:rsidRPr="004C3AF7">
        <w:rPr>
          <w:bCs/>
          <w:sz w:val="28"/>
          <w:szCs w:val="28"/>
        </w:rPr>
        <w:tab/>
      </w:r>
      <w:r w:rsidR="00F63377" w:rsidRPr="004C3AF7">
        <w:rPr>
          <w:bCs/>
          <w:sz w:val="28"/>
          <w:szCs w:val="28"/>
        </w:rPr>
        <w:tab/>
      </w:r>
      <w:r w:rsidR="00F63377" w:rsidRPr="004C3AF7">
        <w:rPr>
          <w:bCs/>
          <w:sz w:val="28"/>
          <w:szCs w:val="28"/>
        </w:rPr>
        <w:tab/>
        <w:t xml:space="preserve">State </w:t>
      </w:r>
      <w:r w:rsidR="00A24353" w:rsidRPr="004C3AF7">
        <w:rPr>
          <w:bCs/>
          <w:sz w:val="28"/>
          <w:szCs w:val="28"/>
        </w:rPr>
        <w:t xml:space="preserve">Attorney, </w:t>
      </w:r>
      <w:r w:rsidR="00456A61">
        <w:rPr>
          <w:bCs/>
          <w:sz w:val="28"/>
          <w:szCs w:val="28"/>
        </w:rPr>
        <w:t>Mahikeng</w:t>
      </w:r>
    </w:p>
    <w:p w:rsidR="00D61430" w:rsidRPr="004C3AF7" w:rsidRDefault="00F63377" w:rsidP="00D61430">
      <w:pPr>
        <w:rPr>
          <w:bCs/>
          <w:sz w:val="28"/>
          <w:szCs w:val="28"/>
        </w:rPr>
      </w:pP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Pr="004C3AF7">
        <w:rPr>
          <w:bCs/>
          <w:sz w:val="28"/>
          <w:szCs w:val="28"/>
        </w:rPr>
        <w:tab/>
      </w:r>
      <w:r w:rsidR="00A24353" w:rsidRPr="004C3AF7">
        <w:rPr>
          <w:bCs/>
          <w:sz w:val="28"/>
          <w:szCs w:val="28"/>
        </w:rPr>
        <w:t xml:space="preserve">State Attorney, </w:t>
      </w:r>
      <w:r w:rsidR="00A24353" w:rsidRPr="008E4C47">
        <w:rPr>
          <w:bCs/>
          <w:sz w:val="28"/>
          <w:szCs w:val="28"/>
        </w:rPr>
        <w:t>Bloemfontein</w:t>
      </w:r>
      <w:r w:rsidR="007214B4" w:rsidRPr="008E4C47">
        <w:rPr>
          <w:bCs/>
          <w:sz w:val="28"/>
          <w:szCs w:val="28"/>
        </w:rPr>
        <w:t>.</w:t>
      </w:r>
      <w:r w:rsidR="00AC1913" w:rsidRPr="004C3AF7">
        <w:rPr>
          <w:bCs/>
          <w:sz w:val="28"/>
          <w:szCs w:val="28"/>
        </w:rPr>
        <w:tab/>
      </w:r>
    </w:p>
    <w:p w:rsidR="00AC1913" w:rsidRPr="004C3AF7" w:rsidRDefault="00EB306B" w:rsidP="00AC1913">
      <w:pPr>
        <w:rPr>
          <w:bCs/>
          <w:sz w:val="28"/>
          <w:szCs w:val="28"/>
        </w:rPr>
      </w:pPr>
      <w:r w:rsidRPr="004C3AF7">
        <w:rPr>
          <w:bCs/>
          <w:sz w:val="28"/>
          <w:szCs w:val="28"/>
        </w:rPr>
        <w:t xml:space="preserve">                                                 </w:t>
      </w:r>
    </w:p>
    <w:p w:rsidR="00AC1913" w:rsidRPr="007812C8" w:rsidRDefault="00AC1913" w:rsidP="00D61430">
      <w:pPr>
        <w:rPr>
          <w:bCs/>
          <w:sz w:val="28"/>
          <w:szCs w:val="28"/>
        </w:rPr>
      </w:pPr>
      <w:r w:rsidRPr="007812C8">
        <w:rPr>
          <w:bCs/>
          <w:sz w:val="28"/>
          <w:szCs w:val="28"/>
        </w:rPr>
        <w:tab/>
      </w:r>
    </w:p>
    <w:p w:rsidR="00EB306B" w:rsidRPr="007812C8" w:rsidRDefault="00EB306B" w:rsidP="00D61430">
      <w:pPr>
        <w:rPr>
          <w:bCs/>
          <w:sz w:val="28"/>
          <w:szCs w:val="28"/>
        </w:rPr>
      </w:pPr>
      <w:r w:rsidRPr="007812C8">
        <w:rPr>
          <w:bCs/>
          <w:sz w:val="28"/>
          <w:szCs w:val="28"/>
        </w:rPr>
        <w:t xml:space="preserve">                                                    </w:t>
      </w:r>
    </w:p>
    <w:p w:rsidR="007143F2" w:rsidRDefault="00F935DF">
      <w:pPr>
        <w:rPr>
          <w:bCs/>
          <w:sz w:val="28"/>
          <w:szCs w:val="28"/>
        </w:rPr>
      </w:pPr>
      <w:r>
        <w:rPr>
          <w:bCs/>
          <w:sz w:val="28"/>
          <w:szCs w:val="28"/>
        </w:rPr>
        <w:t xml:space="preserve">       </w:t>
      </w:r>
    </w:p>
    <w:p w:rsidR="007E5B50" w:rsidRDefault="007E5B50">
      <w:pPr>
        <w:rPr>
          <w:bCs/>
          <w:sz w:val="28"/>
          <w:szCs w:val="28"/>
        </w:rPr>
      </w:pPr>
    </w:p>
    <w:p w:rsidR="007E5B50" w:rsidRDefault="007E5B50">
      <w:pPr>
        <w:rPr>
          <w:bCs/>
          <w:sz w:val="28"/>
          <w:szCs w:val="28"/>
        </w:rPr>
      </w:pPr>
    </w:p>
    <w:p w:rsidR="00431B2D" w:rsidRPr="00A41397" w:rsidRDefault="00431B2D" w:rsidP="00A41397">
      <w:pPr>
        <w:rPr>
          <w:bCs/>
          <w:sz w:val="28"/>
          <w:szCs w:val="28"/>
        </w:rPr>
      </w:pPr>
    </w:p>
    <w:p w:rsidR="007E5B50" w:rsidRDefault="007E5B50">
      <w:pPr>
        <w:rPr>
          <w:bCs/>
          <w:sz w:val="28"/>
          <w:szCs w:val="28"/>
        </w:rPr>
      </w:pPr>
    </w:p>
    <w:p w:rsidR="007E5B50" w:rsidRDefault="007E5B50">
      <w:pPr>
        <w:rPr>
          <w:bCs/>
          <w:sz w:val="28"/>
          <w:szCs w:val="28"/>
        </w:rPr>
      </w:pPr>
    </w:p>
    <w:p w:rsidR="007E5B50" w:rsidRDefault="007E5B50">
      <w:pPr>
        <w:rPr>
          <w:bCs/>
          <w:sz w:val="28"/>
          <w:szCs w:val="28"/>
        </w:rPr>
      </w:pPr>
    </w:p>
    <w:p w:rsidR="007E5B50" w:rsidRDefault="007E5B50">
      <w:pPr>
        <w:rPr>
          <w:bCs/>
          <w:sz w:val="28"/>
          <w:szCs w:val="28"/>
        </w:rPr>
      </w:pPr>
    </w:p>
    <w:p w:rsidR="007E5B50" w:rsidRDefault="007E5B50">
      <w:pPr>
        <w:rPr>
          <w:bCs/>
          <w:sz w:val="28"/>
          <w:szCs w:val="28"/>
        </w:rPr>
      </w:pPr>
    </w:p>
    <w:p w:rsidR="007E5B50" w:rsidRDefault="007E5B50">
      <w:pPr>
        <w:rPr>
          <w:bCs/>
          <w:sz w:val="28"/>
          <w:szCs w:val="28"/>
        </w:rPr>
      </w:pPr>
    </w:p>
    <w:p w:rsidR="00745257" w:rsidRPr="007E5B50" w:rsidRDefault="00745257">
      <w:pPr>
        <w:rPr>
          <w:bCs/>
          <w:sz w:val="28"/>
          <w:szCs w:val="28"/>
        </w:rPr>
      </w:pPr>
    </w:p>
    <w:sectPr w:rsidR="00745257" w:rsidRPr="007E5B50" w:rsidSect="00E43153">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8745B" w16cid:durableId="28EA02E7"/>
  <w16cid:commentId w16cid:paraId="1CD4AF96" w16cid:durableId="28EA02E8"/>
  <w16cid:commentId w16cid:paraId="2660CFF5" w16cid:durableId="28EA02E9"/>
  <w16cid:commentId w16cid:paraId="6B16A1E6" w16cid:durableId="28EA02EA"/>
  <w16cid:commentId w16cid:paraId="115F69C8" w16cid:durableId="28EA02EB"/>
  <w16cid:commentId w16cid:paraId="1469CFA3" w16cid:durableId="28EA02EC"/>
  <w16cid:commentId w16cid:paraId="3A4F599C" w16cid:durableId="28EA02ED"/>
  <w16cid:commentId w16cid:paraId="112D94C2" w16cid:durableId="28EA02EE"/>
  <w16cid:commentId w16cid:paraId="1CB09D36" w16cid:durableId="28EA02EF"/>
  <w16cid:commentId w16cid:paraId="3E8BE613" w16cid:durableId="28EA02F0"/>
  <w16cid:commentId w16cid:paraId="18064F5B" w16cid:durableId="28EA02F1"/>
  <w16cid:commentId w16cid:paraId="451F117A" w16cid:durableId="28EA02F2"/>
  <w16cid:commentId w16cid:paraId="53EE50BB" w16cid:durableId="28EA02F3"/>
  <w16cid:commentId w16cid:paraId="789C06D9" w16cid:durableId="28EA02F4"/>
  <w16cid:commentId w16cid:paraId="14BFA8C6" w16cid:durableId="28EA02F5"/>
  <w16cid:commentId w16cid:paraId="17BA63D0" w16cid:durableId="28EA02F6"/>
  <w16cid:commentId w16cid:paraId="6493D8A9" w16cid:durableId="28EA02F7"/>
  <w16cid:commentId w16cid:paraId="16EBAAC8" w16cid:durableId="28EA02F8"/>
  <w16cid:commentId w16cid:paraId="6A0376E5" w16cid:durableId="28EA02F9"/>
  <w16cid:commentId w16cid:paraId="21F530E5" w16cid:durableId="28EA02FA"/>
  <w16cid:commentId w16cid:paraId="1B3354A1" w16cid:durableId="28EA02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58" w:rsidRDefault="005E3158" w:rsidP="00AC1913">
      <w:pPr>
        <w:spacing w:line="240" w:lineRule="auto"/>
      </w:pPr>
      <w:r>
        <w:separator/>
      </w:r>
    </w:p>
  </w:endnote>
  <w:endnote w:type="continuationSeparator" w:id="0">
    <w:p w:rsidR="005E3158" w:rsidRDefault="005E3158" w:rsidP="00AC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58" w:rsidRDefault="005E3158" w:rsidP="00AC1913">
      <w:pPr>
        <w:spacing w:line="240" w:lineRule="auto"/>
      </w:pPr>
      <w:r>
        <w:separator/>
      </w:r>
    </w:p>
  </w:footnote>
  <w:footnote w:type="continuationSeparator" w:id="0">
    <w:p w:rsidR="005E3158" w:rsidRDefault="005E3158" w:rsidP="00AC1913">
      <w:pPr>
        <w:spacing w:line="240" w:lineRule="auto"/>
      </w:pPr>
      <w:r>
        <w:continuationSeparator/>
      </w:r>
    </w:p>
  </w:footnote>
  <w:footnote w:id="1">
    <w:p w:rsidR="00C11EA8" w:rsidRPr="00863715" w:rsidRDefault="00C11EA8" w:rsidP="00C724B3">
      <w:pPr>
        <w:pStyle w:val="FootnoteText"/>
        <w:spacing w:line="240" w:lineRule="auto"/>
        <w:rPr>
          <w:lang w:val="en-US"/>
        </w:rPr>
      </w:pPr>
      <w:r w:rsidRPr="00863715">
        <w:rPr>
          <w:rStyle w:val="FootnoteReference"/>
        </w:rPr>
        <w:footnoteRef/>
      </w:r>
      <w:r w:rsidRPr="00863715">
        <w:t xml:space="preserve"> </w:t>
      </w:r>
      <w:r w:rsidRPr="00863715">
        <w:rPr>
          <w:lang w:val="en-US"/>
        </w:rPr>
        <w:t xml:space="preserve">The Department, together with its administrator and its Head of Department cited are the fifth, sixth and seventh respondents in this appeal. They were cited as the fifth, sixth and seventh respondents in the high court application. </w:t>
      </w:r>
    </w:p>
  </w:footnote>
  <w:footnote w:id="2">
    <w:p w:rsidR="00C11EA8" w:rsidRPr="00863715" w:rsidRDefault="00C11EA8" w:rsidP="00C724B3">
      <w:pPr>
        <w:pStyle w:val="FootnoteText"/>
        <w:spacing w:line="240" w:lineRule="auto"/>
        <w:rPr>
          <w:lang w:val="en-US"/>
        </w:rPr>
      </w:pPr>
      <w:r w:rsidRPr="00863715">
        <w:rPr>
          <w:rStyle w:val="FootnoteReference"/>
        </w:rPr>
        <w:footnoteRef/>
      </w:r>
      <w:r w:rsidRPr="00863715">
        <w:t xml:space="preserve"> </w:t>
      </w:r>
      <w:r w:rsidRPr="00863715">
        <w:rPr>
          <w:lang w:val="en-US"/>
        </w:rPr>
        <w:t xml:space="preserve">The Government Employees Fund, the Chairman of its Board of Trustees, the Government Pensions Administration Agency and its Chairman, being the first to fourth respondents in this appeal, were cited as the first to fourth respondents in the high court application. </w:t>
      </w:r>
    </w:p>
  </w:footnote>
  <w:footnote w:id="3">
    <w:p w:rsidR="00CA7C0F" w:rsidRPr="00863715" w:rsidRDefault="00CA7C0F" w:rsidP="008E4C47">
      <w:pPr>
        <w:pStyle w:val="FootnoteText"/>
        <w:spacing w:line="240" w:lineRule="auto"/>
        <w:rPr>
          <w:lang w:val="en-US"/>
        </w:rPr>
      </w:pPr>
      <w:r w:rsidRPr="00863715">
        <w:rPr>
          <w:rStyle w:val="FootnoteReference"/>
        </w:rPr>
        <w:footnoteRef/>
      </w:r>
      <w:r w:rsidRPr="00863715">
        <w:t xml:space="preserve"> </w:t>
      </w:r>
      <w:r w:rsidRPr="00863715">
        <w:rPr>
          <w:lang w:val="en-US"/>
        </w:rPr>
        <w:t xml:space="preserve">Prior to 1994 the North West Province was part of the </w:t>
      </w:r>
      <w:r w:rsidR="00676A0A" w:rsidRPr="00863715">
        <w:rPr>
          <w:lang w:val="en-US"/>
        </w:rPr>
        <w:t>old Transvaal Province. It includes part of the old homeland of Bophuthatswana; https/www.sahistory.org.za.</w:t>
      </w:r>
      <w:r w:rsidR="000916FF" w:rsidRPr="00863715">
        <w:rPr>
          <w:lang w:val="en-US"/>
        </w:rPr>
        <w:t xml:space="preserve"> Although the parties agree that the appellant was employed by the North West Province from 1979 it can be assumed that </w:t>
      </w:r>
      <w:r w:rsidR="00E4147E" w:rsidRPr="00863715">
        <w:rPr>
          <w:lang w:val="en-US"/>
        </w:rPr>
        <w:t>prior to 1994 she was employed either by the old South African Government or the Government of Bophuthatswana.</w:t>
      </w:r>
      <w:r w:rsidR="000916FF" w:rsidRPr="00863715">
        <w:rPr>
          <w:lang w:val="en-US"/>
        </w:rPr>
        <w:t xml:space="preserve"> </w:t>
      </w:r>
    </w:p>
  </w:footnote>
  <w:footnote w:id="4">
    <w:p w:rsidR="00676A0A" w:rsidRPr="00863715" w:rsidRDefault="00676A0A" w:rsidP="008E4C47">
      <w:pPr>
        <w:pStyle w:val="FootnoteText"/>
        <w:spacing w:line="240" w:lineRule="auto"/>
        <w:rPr>
          <w:lang w:val="en-US"/>
        </w:rPr>
      </w:pPr>
      <w:r w:rsidRPr="00863715">
        <w:rPr>
          <w:rStyle w:val="FootnoteReference"/>
        </w:rPr>
        <w:footnoteRef/>
      </w:r>
      <w:r w:rsidRPr="00863715">
        <w:t xml:space="preserve"> </w:t>
      </w:r>
      <w:r w:rsidRPr="00863715">
        <w:rPr>
          <w:lang w:val="en-US"/>
        </w:rPr>
        <w:t xml:space="preserve">The GEPF was founded in May 1996 </w:t>
      </w:r>
      <w:r w:rsidR="000916FF" w:rsidRPr="00863715">
        <w:rPr>
          <w:lang w:val="en-US"/>
        </w:rPr>
        <w:t>when various public sector pension funds were consolidated into GEPF; https/www.gepf.co.za. The appellant’s membership would have derived from her employment in</w:t>
      </w:r>
      <w:r w:rsidR="00E4147E" w:rsidRPr="00863715">
        <w:rPr>
          <w:lang w:val="en-US"/>
        </w:rPr>
        <w:t xml:space="preserve"> the public sector prior to 199</w:t>
      </w:r>
      <w:r w:rsidR="00AA3733" w:rsidRPr="00863715">
        <w:rPr>
          <w:lang w:val="en-US"/>
        </w:rPr>
        <w:t>4</w:t>
      </w:r>
      <w:r w:rsidR="00E4147E" w:rsidRPr="00863715">
        <w:rPr>
          <w:lang w:val="en-US"/>
        </w:rPr>
        <w:t>.</w:t>
      </w:r>
      <w:r w:rsidR="000916FF" w:rsidRPr="00863715">
        <w:rPr>
          <w:lang w:val="en-US"/>
        </w:rPr>
        <w:t xml:space="preserve"> </w:t>
      </w:r>
    </w:p>
  </w:footnote>
  <w:footnote w:id="5">
    <w:p w:rsidR="00C11EA8" w:rsidRPr="00863715" w:rsidRDefault="00C11EA8">
      <w:pPr>
        <w:pStyle w:val="FootnoteText"/>
        <w:rPr>
          <w:lang w:val="en-ZA"/>
        </w:rPr>
      </w:pPr>
      <w:r w:rsidRPr="00863715">
        <w:rPr>
          <w:rStyle w:val="FootnoteReference"/>
        </w:rPr>
        <w:footnoteRef/>
      </w:r>
      <w:r w:rsidRPr="00863715">
        <w:t xml:space="preserve"> Government Employees Pension Law</w:t>
      </w:r>
      <w:r w:rsidR="00723C03">
        <w:t>, 1996</w:t>
      </w:r>
      <w:r w:rsidRPr="00863715">
        <w:t xml:space="preserve"> </w:t>
      </w:r>
      <w:r w:rsidR="00723C03">
        <w:t xml:space="preserve">(Act </w:t>
      </w:r>
      <w:r w:rsidRPr="00863715">
        <w:t>21 of 1996</w:t>
      </w:r>
      <w:r w:rsidR="00723C03">
        <w:t>)</w:t>
      </w:r>
      <w:r w:rsidRPr="00863715">
        <w:t>.</w:t>
      </w:r>
    </w:p>
  </w:footnote>
  <w:footnote w:id="6">
    <w:p w:rsidR="00C11EA8" w:rsidRPr="00863715" w:rsidRDefault="00C11EA8" w:rsidP="008E4C47">
      <w:pPr>
        <w:pStyle w:val="FootnoteText"/>
        <w:spacing w:line="240" w:lineRule="auto"/>
        <w:rPr>
          <w:lang w:val="en-US"/>
        </w:rPr>
      </w:pPr>
      <w:r w:rsidRPr="00863715">
        <w:rPr>
          <w:rStyle w:val="FootnoteReference"/>
        </w:rPr>
        <w:footnoteRef/>
      </w:r>
      <w:r w:rsidRPr="00863715">
        <w:t xml:space="preserve"> </w:t>
      </w:r>
      <w:r w:rsidRPr="00863715">
        <w:rPr>
          <w:lang w:val="en-US"/>
        </w:rPr>
        <w:t>The term pensionable service ‘buy back’ is used by the parties to describe th</w:t>
      </w:r>
      <w:r w:rsidR="00174844" w:rsidRPr="00863715">
        <w:rPr>
          <w:lang w:val="en-US"/>
        </w:rPr>
        <w:t>e</w:t>
      </w:r>
      <w:r w:rsidRPr="00863715">
        <w:rPr>
          <w:lang w:val="en-US"/>
        </w:rPr>
        <w:t xml:space="preserve"> procedure</w:t>
      </w:r>
      <w:r w:rsidR="00174844" w:rsidRPr="00863715">
        <w:rPr>
          <w:lang w:val="en-US"/>
        </w:rPr>
        <w:t xml:space="preserve"> in terms of which a (former) member of GEPF is re-admitted to the fund.</w:t>
      </w:r>
    </w:p>
  </w:footnote>
  <w:footnote w:id="7">
    <w:p w:rsidR="00A0721E" w:rsidRPr="00863715" w:rsidRDefault="00A0721E" w:rsidP="008E4C47">
      <w:pPr>
        <w:pStyle w:val="FootnoteText"/>
        <w:spacing w:line="240" w:lineRule="auto"/>
        <w:rPr>
          <w:lang w:val="en-US"/>
        </w:rPr>
      </w:pPr>
      <w:r w:rsidRPr="00863715">
        <w:rPr>
          <w:rStyle w:val="FootnoteReference"/>
        </w:rPr>
        <w:footnoteRef/>
      </w:r>
      <w:r w:rsidRPr="00863715">
        <w:t xml:space="preserve"> </w:t>
      </w:r>
      <w:r w:rsidRPr="00863715">
        <w:rPr>
          <w:lang w:val="en-US"/>
        </w:rPr>
        <w:t xml:space="preserve">As explained in para 2 above, </w:t>
      </w:r>
      <w:r w:rsidR="00CD37A7">
        <w:rPr>
          <w:lang w:val="en-US"/>
        </w:rPr>
        <w:t>there is</w:t>
      </w:r>
      <w:r w:rsidR="0057516B" w:rsidRPr="00863715">
        <w:rPr>
          <w:lang w:val="en-US"/>
        </w:rPr>
        <w:t xml:space="preserve"> no disagreement between the parties about the appellant’s assertion that </w:t>
      </w:r>
      <w:r w:rsidRPr="00863715">
        <w:rPr>
          <w:lang w:val="en-US"/>
        </w:rPr>
        <w:t xml:space="preserve">what was paid out to </w:t>
      </w:r>
      <w:r w:rsidR="0057516B" w:rsidRPr="00863715">
        <w:rPr>
          <w:lang w:val="en-US"/>
        </w:rPr>
        <w:t>her</w:t>
      </w:r>
      <w:r w:rsidRPr="00863715">
        <w:rPr>
          <w:lang w:val="en-US"/>
        </w:rPr>
        <w:t xml:space="preserve"> after Income Tax deduction was R5 194 418.72.</w:t>
      </w:r>
    </w:p>
  </w:footnote>
  <w:footnote w:id="8">
    <w:p w:rsidR="00C11EA8" w:rsidRPr="00863715" w:rsidRDefault="00C11EA8" w:rsidP="008E4C47">
      <w:pPr>
        <w:pStyle w:val="FootnoteText"/>
        <w:spacing w:line="240" w:lineRule="auto"/>
        <w:rPr>
          <w:lang w:val="en-US"/>
        </w:rPr>
      </w:pPr>
      <w:r w:rsidRPr="00863715">
        <w:rPr>
          <w:rStyle w:val="FootnoteReference"/>
        </w:rPr>
        <w:footnoteRef/>
      </w:r>
      <w:r w:rsidRPr="00863715">
        <w:t xml:space="preserve"> </w:t>
      </w:r>
      <w:r w:rsidRPr="00863715">
        <w:rPr>
          <w:lang w:val="en-US"/>
        </w:rPr>
        <w:t xml:space="preserve">Forms Z864, Z894, Z583 and a ‘Choice Form’. </w:t>
      </w:r>
    </w:p>
  </w:footnote>
  <w:footnote w:id="9">
    <w:p w:rsidR="00C11EA8" w:rsidRPr="00863715" w:rsidRDefault="00C11EA8" w:rsidP="008E4C47">
      <w:pPr>
        <w:pStyle w:val="FootnoteText"/>
        <w:spacing w:line="240" w:lineRule="auto"/>
        <w:rPr>
          <w:lang w:val="en-US"/>
        </w:rPr>
      </w:pPr>
      <w:r w:rsidRPr="00863715">
        <w:rPr>
          <w:rStyle w:val="FootnoteReference"/>
        </w:rPr>
        <w:footnoteRef/>
      </w:r>
      <w:r w:rsidRPr="00863715">
        <w:t xml:space="preserve"> </w:t>
      </w:r>
      <w:r w:rsidRPr="00863715">
        <w:rPr>
          <w:lang w:val="en-US"/>
        </w:rPr>
        <w:t>Z102.</w:t>
      </w:r>
    </w:p>
  </w:footnote>
  <w:footnote w:id="10">
    <w:p w:rsidR="00C11EA8" w:rsidRPr="00863715" w:rsidRDefault="00C11EA8" w:rsidP="00C724B3">
      <w:pPr>
        <w:pStyle w:val="FootnoteText"/>
        <w:spacing w:line="240" w:lineRule="auto"/>
        <w:rPr>
          <w:lang w:val="en-ZA"/>
        </w:rPr>
      </w:pPr>
      <w:r w:rsidRPr="00863715">
        <w:rPr>
          <w:rStyle w:val="FootnoteReference"/>
        </w:rPr>
        <w:footnoteRef/>
      </w:r>
      <w:r w:rsidRPr="00863715">
        <w:t xml:space="preserve"> </w:t>
      </w:r>
      <w:r w:rsidRPr="00863715">
        <w:rPr>
          <w:lang w:val="en-ZA"/>
        </w:rPr>
        <w:t>The section provides that:</w:t>
      </w:r>
    </w:p>
    <w:p w:rsidR="00C11EA8" w:rsidRPr="00863715" w:rsidRDefault="00C11EA8" w:rsidP="00C724B3">
      <w:pPr>
        <w:pStyle w:val="FootnoteText"/>
        <w:spacing w:line="240" w:lineRule="auto"/>
        <w:rPr>
          <w:lang w:val="en-ZA"/>
        </w:rPr>
      </w:pPr>
      <w:r w:rsidRPr="00863715">
        <w:rPr>
          <w:lang w:val="en-ZA"/>
        </w:rPr>
        <w:t>‘21 (3) Notwithstanding the provisions of subsection (1) or of any other law­</w:t>
      </w:r>
    </w:p>
    <w:p w:rsidR="00C11EA8" w:rsidRPr="00863715" w:rsidRDefault="00C11EA8" w:rsidP="00C724B3">
      <w:pPr>
        <w:pStyle w:val="FootnoteText"/>
        <w:spacing w:line="240" w:lineRule="auto"/>
        <w:rPr>
          <w:lang w:val="en-ZA"/>
        </w:rPr>
      </w:pPr>
      <w:r w:rsidRPr="00863715">
        <w:rPr>
          <w:lang w:val="en-ZA"/>
        </w:rPr>
        <w:t>(a)   any amount which is payable to the employer or the Fund by any member in the employment of such employer on the date of his or</w:t>
      </w:r>
    </w:p>
    <w:p w:rsidR="00C11EA8" w:rsidRPr="00863715" w:rsidRDefault="00C11EA8" w:rsidP="00C724B3">
      <w:pPr>
        <w:pStyle w:val="FootnoteText"/>
        <w:spacing w:line="240" w:lineRule="auto"/>
        <w:rPr>
          <w:lang w:val="en-ZA"/>
        </w:rPr>
      </w:pPr>
      <w:r w:rsidRPr="00863715">
        <w:rPr>
          <w:lang w:val="en-ZA"/>
        </w:rPr>
        <w:t>her retirement or discharge, or which the employer is liable to pay in respect of such member;</w:t>
      </w:r>
    </w:p>
    <w:p w:rsidR="00C11EA8" w:rsidRPr="00863715" w:rsidRDefault="00C11EA8" w:rsidP="00C724B3">
      <w:pPr>
        <w:pStyle w:val="FootnoteText"/>
        <w:spacing w:line="240" w:lineRule="auto"/>
        <w:rPr>
          <w:lang w:val="en-ZA"/>
        </w:rPr>
      </w:pPr>
      <w:r w:rsidRPr="00863715">
        <w:rPr>
          <w:lang w:val="en-ZA"/>
        </w:rPr>
        <w:t>(b)   any amount which has been paid to any member, pensioner or beneficiary in accordance with the provisions of this Law and to which</w:t>
      </w:r>
    </w:p>
    <w:p w:rsidR="00C11EA8" w:rsidRPr="00863715" w:rsidRDefault="00C11EA8" w:rsidP="00C724B3">
      <w:pPr>
        <w:pStyle w:val="FootnoteText"/>
        <w:spacing w:line="240" w:lineRule="auto"/>
        <w:rPr>
          <w:lang w:val="en-ZA"/>
        </w:rPr>
      </w:pPr>
      <w:r w:rsidRPr="00863715">
        <w:rPr>
          <w:lang w:val="en-ZA"/>
        </w:rPr>
        <w:t>such member, pensioner or beneficiary was not entitled;</w:t>
      </w:r>
    </w:p>
    <w:p w:rsidR="00C11EA8" w:rsidRPr="00863715" w:rsidRDefault="00C11EA8" w:rsidP="00C724B3">
      <w:pPr>
        <w:pStyle w:val="FootnoteText"/>
        <w:spacing w:line="240" w:lineRule="auto"/>
        <w:rPr>
          <w:lang w:val="en-ZA"/>
        </w:rPr>
      </w:pPr>
      <w:r w:rsidRPr="00863715">
        <w:rPr>
          <w:lang w:val="en-ZA"/>
        </w:rPr>
        <w:t>(c)   the amount of any loss which has been sustained by the employer through theft, fraud, negligence or any misconduct on the part of</w:t>
      </w:r>
    </w:p>
    <w:p w:rsidR="00C11EA8" w:rsidRPr="00863715" w:rsidRDefault="00C11EA8" w:rsidP="00C724B3">
      <w:pPr>
        <w:pStyle w:val="FootnoteText"/>
        <w:spacing w:line="240" w:lineRule="auto"/>
        <w:rPr>
          <w:lang w:val="en-ZA"/>
        </w:rPr>
      </w:pPr>
      <w:r w:rsidRPr="00863715">
        <w:rPr>
          <w:lang w:val="en-ZA"/>
        </w:rPr>
        <w:t>any member, pensioner or beneficiary which has been admitted by such member or pensioner in writing or has been proved in a court</w:t>
      </w:r>
    </w:p>
    <w:p w:rsidR="00C11EA8" w:rsidRPr="00863715" w:rsidRDefault="00C11EA8" w:rsidP="00C724B3">
      <w:pPr>
        <w:pStyle w:val="FootnoteText"/>
        <w:spacing w:line="240" w:lineRule="auto"/>
        <w:rPr>
          <w:lang w:val="en-ZA"/>
        </w:rPr>
      </w:pPr>
      <w:r w:rsidRPr="00863715">
        <w:rPr>
          <w:lang w:val="en-ZA"/>
        </w:rPr>
        <w:t>of law;</w:t>
      </w:r>
    </w:p>
    <w:p w:rsidR="00C11EA8" w:rsidRPr="00863715" w:rsidRDefault="00C11EA8" w:rsidP="00C724B3">
      <w:pPr>
        <w:pStyle w:val="FootnoteText"/>
        <w:spacing w:line="240" w:lineRule="auto"/>
        <w:rPr>
          <w:lang w:val="en-ZA"/>
        </w:rPr>
      </w:pPr>
      <w:r w:rsidRPr="00863715">
        <w:rPr>
          <w:lang w:val="en-ZA"/>
        </w:rPr>
        <w:t>(d)   any amount, plus interest at the rate determined by the Board after consultation with the actuary, due to the Fund in respect of an amount for which the Fund becomes liable under a guarantee furnished in respect of a member for a loan granted by some other person to that member in terms of the rules.’</w:t>
      </w:r>
    </w:p>
  </w:footnote>
  <w:footnote w:id="11">
    <w:p w:rsidR="00C11EA8" w:rsidRPr="00863715" w:rsidRDefault="00C11EA8">
      <w:pPr>
        <w:pStyle w:val="FootnoteText"/>
        <w:rPr>
          <w:lang w:val="en-ZA"/>
        </w:rPr>
      </w:pPr>
      <w:r w:rsidRPr="00863715">
        <w:rPr>
          <w:rStyle w:val="FootnoteReference"/>
        </w:rPr>
        <w:footnoteRef/>
      </w:r>
      <w:r w:rsidR="00723C03">
        <w:t xml:space="preserve"> Public Finance Management Act</w:t>
      </w:r>
      <w:r w:rsidRPr="00863715">
        <w:t xml:space="preserve"> </w:t>
      </w:r>
      <w:r w:rsidR="00723C03">
        <w:t>No.</w:t>
      </w:r>
      <w:r w:rsidRPr="00863715">
        <w:t>1 of 1999.</w:t>
      </w:r>
    </w:p>
  </w:footnote>
  <w:footnote w:id="12">
    <w:p w:rsidR="008D4FC2" w:rsidRPr="00863715" w:rsidRDefault="008D4FC2" w:rsidP="004910B8">
      <w:pPr>
        <w:pStyle w:val="FootnoteText"/>
        <w:spacing w:line="240" w:lineRule="auto"/>
        <w:rPr>
          <w:lang w:val="en-US"/>
        </w:rPr>
      </w:pPr>
      <w:r w:rsidRPr="00863715">
        <w:rPr>
          <w:rStyle w:val="FootnoteReference"/>
        </w:rPr>
        <w:footnoteRef/>
      </w:r>
      <w:r w:rsidRPr="00863715">
        <w:t xml:space="preserve"> </w:t>
      </w:r>
      <w:r w:rsidRPr="00863715">
        <w:rPr>
          <w:lang w:val="en-US"/>
        </w:rPr>
        <w:t>Rule 10 of the GEPF Rules deals with ‘[r]ecognition of previous and other periods of service as pensionable service’. Rule 10.2 provides that:</w:t>
      </w:r>
    </w:p>
    <w:p w:rsidR="00B53767" w:rsidRPr="00863715" w:rsidRDefault="00804F14" w:rsidP="004910B8">
      <w:pPr>
        <w:pStyle w:val="FootnoteText"/>
        <w:spacing w:line="240" w:lineRule="auto"/>
        <w:rPr>
          <w:lang w:val="en-US"/>
        </w:rPr>
      </w:pPr>
      <w:r w:rsidRPr="00863715">
        <w:rPr>
          <w:lang w:val="en-US"/>
        </w:rPr>
        <w:t>‘In a case of a person who was re-admitted to the fund, and who at an earlier stage received a benefit (excluding a benefit payable for the reason referred to in rule 14.1.1</w:t>
      </w:r>
      <w:r w:rsidR="00DC38FB" w:rsidRPr="00863715">
        <w:rPr>
          <w:lang w:val="en-US"/>
        </w:rPr>
        <w:t xml:space="preserve"> </w:t>
      </w:r>
      <w:r w:rsidRPr="00863715">
        <w:rPr>
          <w:lang w:val="en-US"/>
        </w:rPr>
        <w:t>and 14.3.1)</w:t>
      </w:r>
      <w:r w:rsidR="00B53767" w:rsidRPr="00863715">
        <w:rPr>
          <w:lang w:val="en-US"/>
        </w:rPr>
        <w:t xml:space="preserve"> from the Fund, the Temporary Employees Pension Fund or a previous fund, such earlier period of pensionable service in respect of which a benefit as aforesaid was paid to him or her; Provided that-</w:t>
      </w:r>
    </w:p>
    <w:p w:rsidR="00804F14" w:rsidRPr="00863715" w:rsidRDefault="0044708F" w:rsidP="0044708F">
      <w:pPr>
        <w:pStyle w:val="FootnoteText"/>
        <w:spacing w:line="240" w:lineRule="auto"/>
        <w:ind w:left="410" w:hanging="360"/>
        <w:rPr>
          <w:lang w:val="en-US"/>
        </w:rPr>
      </w:pPr>
      <w:r w:rsidRPr="00863715">
        <w:rPr>
          <w:lang w:val="en-US"/>
        </w:rPr>
        <w:t>(a)</w:t>
      </w:r>
      <w:r w:rsidRPr="00863715">
        <w:rPr>
          <w:lang w:val="en-US"/>
        </w:rPr>
        <w:tab/>
      </w:r>
      <w:r w:rsidR="00B53767" w:rsidRPr="00863715">
        <w:rPr>
          <w:lang w:val="en-US"/>
        </w:rPr>
        <w:t>the recognition of such earlier period of pensionable service shall be subject to the pro</w:t>
      </w:r>
      <w:r w:rsidR="00DC38FB" w:rsidRPr="00863715">
        <w:rPr>
          <w:lang w:val="en-US"/>
        </w:rPr>
        <w:t>v</w:t>
      </w:r>
      <w:r w:rsidR="00B53767" w:rsidRPr="00863715">
        <w:rPr>
          <w:lang w:val="en-US"/>
        </w:rPr>
        <w:t>i</w:t>
      </w:r>
      <w:r w:rsidR="000519E6" w:rsidRPr="00863715">
        <w:rPr>
          <w:lang w:val="en-US"/>
        </w:rPr>
        <w:t>si</w:t>
      </w:r>
      <w:r w:rsidR="00B53767" w:rsidRPr="00863715">
        <w:rPr>
          <w:lang w:val="en-US"/>
        </w:rPr>
        <w:t xml:space="preserve">ons of rule 17 </w:t>
      </w:r>
      <w:r w:rsidR="00B53767" w:rsidRPr="00863715">
        <w:rPr>
          <w:i/>
          <w:lang w:val="en-US"/>
        </w:rPr>
        <w:t>mutatis mutandis</w:t>
      </w:r>
      <w:r w:rsidR="00B53767" w:rsidRPr="00863715">
        <w:rPr>
          <w:lang w:val="en-US"/>
        </w:rPr>
        <w:t>;</w:t>
      </w:r>
    </w:p>
    <w:p w:rsidR="00B53767" w:rsidRPr="00863715" w:rsidRDefault="0044708F" w:rsidP="0044708F">
      <w:pPr>
        <w:pStyle w:val="FootnoteText"/>
        <w:spacing w:line="240" w:lineRule="auto"/>
        <w:ind w:left="410" w:hanging="360"/>
        <w:rPr>
          <w:lang w:val="en-US"/>
        </w:rPr>
      </w:pPr>
      <w:r w:rsidRPr="00863715">
        <w:rPr>
          <w:lang w:val="en-US"/>
        </w:rPr>
        <w:t>(b)</w:t>
      </w:r>
      <w:r w:rsidRPr="00863715">
        <w:rPr>
          <w:lang w:val="en-US"/>
        </w:rPr>
        <w:tab/>
      </w:r>
      <w:r w:rsidR="00B53767" w:rsidRPr="00863715">
        <w:rPr>
          <w:lang w:val="en-US"/>
        </w:rPr>
        <w:t xml:space="preserve">if such a person was a member of the Government Service Pension Fund immediately prior to the fixed date, his or her written request was received by the Fund within the </w:t>
      </w:r>
      <w:r w:rsidR="00804DB2" w:rsidRPr="00863715">
        <w:rPr>
          <w:lang w:val="en-US"/>
        </w:rPr>
        <w:t>twelve-month</w:t>
      </w:r>
      <w:r w:rsidR="00B53767" w:rsidRPr="00863715">
        <w:rPr>
          <w:lang w:val="en-US"/>
        </w:rPr>
        <w:t xml:space="preserve"> period immediately following the fixed date;</w:t>
      </w:r>
    </w:p>
    <w:p w:rsidR="00551A3A" w:rsidRPr="00863715" w:rsidRDefault="0044708F" w:rsidP="0044708F">
      <w:pPr>
        <w:pStyle w:val="FootnoteText"/>
        <w:spacing w:line="240" w:lineRule="auto"/>
        <w:ind w:left="410" w:hanging="360"/>
        <w:rPr>
          <w:lang w:val="en-US"/>
        </w:rPr>
      </w:pPr>
      <w:r w:rsidRPr="00863715">
        <w:rPr>
          <w:lang w:val="en-US"/>
        </w:rPr>
        <w:t>(c)</w:t>
      </w:r>
      <w:r w:rsidRPr="00863715">
        <w:rPr>
          <w:lang w:val="en-US"/>
        </w:rPr>
        <w:tab/>
      </w:r>
      <w:r w:rsidR="00B53767" w:rsidRPr="00863715">
        <w:rPr>
          <w:lang w:val="en-US"/>
        </w:rPr>
        <w:t>if such a person was a member of the Temporary Employee</w:t>
      </w:r>
      <w:r w:rsidR="00551A3A" w:rsidRPr="00863715">
        <w:rPr>
          <w:lang w:val="en-US"/>
        </w:rPr>
        <w:t>s</w:t>
      </w:r>
      <w:r w:rsidR="00B53767" w:rsidRPr="00863715">
        <w:rPr>
          <w:lang w:val="en-US"/>
        </w:rPr>
        <w:t xml:space="preserve"> Pension Fund </w:t>
      </w:r>
      <w:r w:rsidR="00551A3A" w:rsidRPr="00863715">
        <w:rPr>
          <w:lang w:val="en-US"/>
        </w:rPr>
        <w:t xml:space="preserve">or a previous fund, as the case may be, immediately prior to the date determined in terms of 14(1) or 15 (1) of the Law, his or her written request was received by the Fund within the </w:t>
      </w:r>
      <w:r w:rsidR="00804DB2" w:rsidRPr="00863715">
        <w:rPr>
          <w:lang w:val="en-US"/>
        </w:rPr>
        <w:t>twelve-month</w:t>
      </w:r>
      <w:r w:rsidR="00551A3A" w:rsidRPr="00863715">
        <w:rPr>
          <w:lang w:val="en-US"/>
        </w:rPr>
        <w:t xml:space="preserve"> period immediately following that date; Provided that the Regulations pertain</w:t>
      </w:r>
      <w:r w:rsidR="00AD3773" w:rsidRPr="00863715">
        <w:rPr>
          <w:lang w:val="en-US"/>
        </w:rPr>
        <w:t>in</w:t>
      </w:r>
      <w:r w:rsidR="00551A3A" w:rsidRPr="00863715">
        <w:rPr>
          <w:lang w:val="en-US"/>
        </w:rPr>
        <w:t>g to the Temporary Employees Pension Fund or the previous fund provided for the recognition of such period of service as pensionable service;</w:t>
      </w:r>
    </w:p>
    <w:p w:rsidR="006807EC" w:rsidRPr="00863715" w:rsidRDefault="0044708F" w:rsidP="0044708F">
      <w:pPr>
        <w:pStyle w:val="FootnoteText"/>
        <w:spacing w:line="240" w:lineRule="auto"/>
        <w:ind w:left="410" w:hanging="360"/>
        <w:rPr>
          <w:lang w:val="en-US"/>
        </w:rPr>
      </w:pPr>
      <w:r w:rsidRPr="00863715">
        <w:rPr>
          <w:lang w:val="en-US"/>
        </w:rPr>
        <w:t>(d)</w:t>
      </w:r>
      <w:r w:rsidRPr="00863715">
        <w:rPr>
          <w:lang w:val="en-US"/>
        </w:rPr>
        <w:tab/>
      </w:r>
      <w:r w:rsidR="00551A3A" w:rsidRPr="00863715">
        <w:rPr>
          <w:lang w:val="en-US"/>
        </w:rPr>
        <w:t>if such a member was so re-admitted to the Fund after the fixed date or the date determined in terms of section 14(1) and 15(1) of the Law, as the case may be,  the re-admittance took place within a period of</w:t>
      </w:r>
      <w:r w:rsidR="006807EC" w:rsidRPr="00863715">
        <w:rPr>
          <w:lang w:val="en-US"/>
        </w:rPr>
        <w:t xml:space="preserve"> thirty-six months after the member had terminated his or her membership of the Fund, the Temporary Employees Pension Fund, or a previous fund; Provided, further, that such written request by the member was received by the Fund within the twelve month period immediately following his or her re-admittance to the Fund;</w:t>
      </w:r>
    </w:p>
    <w:p w:rsidR="00B53767" w:rsidRPr="00863715" w:rsidRDefault="0044708F" w:rsidP="0044708F">
      <w:pPr>
        <w:pStyle w:val="FootnoteText"/>
        <w:spacing w:line="240" w:lineRule="auto"/>
        <w:ind w:left="410" w:hanging="360"/>
        <w:rPr>
          <w:lang w:val="en-US"/>
        </w:rPr>
      </w:pPr>
      <w:r w:rsidRPr="00863715">
        <w:rPr>
          <w:lang w:val="en-US"/>
        </w:rPr>
        <w:t>(e)</w:t>
      </w:r>
      <w:r w:rsidRPr="00863715">
        <w:rPr>
          <w:lang w:val="en-US"/>
        </w:rPr>
        <w:tab/>
      </w:r>
      <w:r w:rsidR="006807EC" w:rsidRPr="00863715">
        <w:rPr>
          <w:lang w:val="en-US"/>
        </w:rPr>
        <w:t xml:space="preserve">the member referred to in </w:t>
      </w:r>
      <w:r w:rsidR="006807EC" w:rsidRPr="00863715">
        <w:rPr>
          <w:i/>
          <w:lang w:val="en-US"/>
        </w:rPr>
        <w:t>(b)</w:t>
      </w:r>
      <w:r w:rsidR="006807EC" w:rsidRPr="00863715">
        <w:rPr>
          <w:lang w:val="en-US"/>
        </w:rPr>
        <w:t>,</w:t>
      </w:r>
      <w:r w:rsidR="006807EC" w:rsidRPr="00863715">
        <w:rPr>
          <w:i/>
          <w:lang w:val="en-US"/>
        </w:rPr>
        <w:t xml:space="preserve"> (c) </w:t>
      </w:r>
      <w:r w:rsidR="006807EC" w:rsidRPr="00863715">
        <w:rPr>
          <w:lang w:val="en-US"/>
        </w:rPr>
        <w:t xml:space="preserve">or </w:t>
      </w:r>
      <w:r w:rsidR="006807EC" w:rsidRPr="00863715">
        <w:rPr>
          <w:i/>
          <w:lang w:val="en-US"/>
        </w:rPr>
        <w:t>(d)</w:t>
      </w:r>
      <w:r w:rsidR="006807EC" w:rsidRPr="00863715">
        <w:rPr>
          <w:lang w:val="en-US"/>
        </w:rPr>
        <w:t xml:space="preserve"> above submits proof to the satisfaction of the Board of such previous pensionable service and offers payment of the amount of such benefit to the Board’. </w:t>
      </w:r>
      <w:r w:rsidR="00551A3A" w:rsidRPr="00863715">
        <w:rPr>
          <w:lang w:val="en-US"/>
        </w:rPr>
        <w:t xml:space="preserve"> </w:t>
      </w:r>
    </w:p>
  </w:footnote>
  <w:footnote w:id="13">
    <w:p w:rsidR="00C75803" w:rsidRPr="00B64A60" w:rsidRDefault="00C75803" w:rsidP="00C75803">
      <w:pPr>
        <w:pStyle w:val="FootnoteText"/>
        <w:rPr>
          <w:lang w:val="en-US"/>
        </w:rPr>
      </w:pPr>
      <w:r w:rsidRPr="00863715">
        <w:rPr>
          <w:rStyle w:val="FootnoteReference"/>
        </w:rPr>
        <w:footnoteRef/>
      </w:r>
      <w:r w:rsidRPr="00863715">
        <w:t xml:space="preserve"> See </w:t>
      </w:r>
      <w:r w:rsidRPr="00863715">
        <w:rPr>
          <w:i/>
        </w:rPr>
        <w:t xml:space="preserve">Bliss Brand (Pty) Ltd v Advertising Regulatory Board NPC and Others </w:t>
      </w:r>
      <w:r w:rsidRPr="00863715">
        <w:t>[2023] ZACC 19 and other authorities cited in that judgment.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8" w:rsidRDefault="00C11E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EA8" w:rsidRDefault="00C11EA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rsidR="00C11EA8" w:rsidRDefault="00C11EA8">
        <w:pPr>
          <w:pStyle w:val="Header"/>
          <w:jc w:val="right"/>
        </w:pPr>
        <w:r>
          <w:fldChar w:fldCharType="begin"/>
        </w:r>
        <w:r>
          <w:instrText xml:space="preserve"> PAGE   \* MERGEFORMAT </w:instrText>
        </w:r>
        <w:r>
          <w:fldChar w:fldCharType="separate"/>
        </w:r>
        <w:r w:rsidR="00B43029">
          <w:rPr>
            <w:noProof/>
          </w:rPr>
          <w:t>5</w:t>
        </w:r>
        <w:r>
          <w:rPr>
            <w:noProof/>
          </w:rPr>
          <w:fldChar w:fldCharType="end"/>
        </w:r>
      </w:p>
    </w:sdtContent>
  </w:sdt>
  <w:p w:rsidR="00C11EA8" w:rsidRDefault="00C11EA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rsidR="00C11EA8" w:rsidRDefault="005E3158">
        <w:pPr>
          <w:pStyle w:val="Header"/>
          <w:jc w:val="right"/>
        </w:pPr>
      </w:p>
    </w:sdtContent>
  </w:sdt>
  <w:p w:rsidR="00C11EA8" w:rsidRDefault="00C11E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060"/>
    <w:multiLevelType w:val="hybridMultilevel"/>
    <w:tmpl w:val="12C8D224"/>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D50F4F"/>
    <w:multiLevelType w:val="hybridMultilevel"/>
    <w:tmpl w:val="1890BEDE"/>
    <w:lvl w:ilvl="0" w:tplc="980EE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1170" w:firstLine="0"/>
      </w:pPr>
      <w:rPr>
        <w:rFonts w:ascii="Times New Roman" w:hAnsi="Times New Roman" w:hint="default"/>
        <w:b w:val="0"/>
        <w:bCs w:val="0"/>
        <w:i w:val="0"/>
        <w:iCs w:val="0"/>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87B44"/>
    <w:multiLevelType w:val="hybridMultilevel"/>
    <w:tmpl w:val="64E8A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466B2B"/>
    <w:multiLevelType w:val="hybridMultilevel"/>
    <w:tmpl w:val="350A4342"/>
    <w:lvl w:ilvl="0" w:tplc="FF10B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74155"/>
    <w:multiLevelType w:val="hybridMultilevel"/>
    <w:tmpl w:val="9556A78C"/>
    <w:lvl w:ilvl="0" w:tplc="B8369C46">
      <w:start w:val="1"/>
      <w:numFmt w:val="lowerLetter"/>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6" w15:restartNumberingAfterBreak="0">
    <w:nsid w:val="1C93797A"/>
    <w:multiLevelType w:val="hybridMultilevel"/>
    <w:tmpl w:val="166A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D597B"/>
    <w:multiLevelType w:val="hybridMultilevel"/>
    <w:tmpl w:val="C70EFD42"/>
    <w:lvl w:ilvl="0" w:tplc="36E0BC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ECD629A"/>
    <w:multiLevelType w:val="hybridMultilevel"/>
    <w:tmpl w:val="DEB436E4"/>
    <w:lvl w:ilvl="0" w:tplc="F65498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D251B7"/>
    <w:multiLevelType w:val="hybridMultilevel"/>
    <w:tmpl w:val="53881606"/>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2227E3"/>
    <w:multiLevelType w:val="hybridMultilevel"/>
    <w:tmpl w:val="C546BFFA"/>
    <w:lvl w:ilvl="0" w:tplc="D51E8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71393"/>
    <w:multiLevelType w:val="hybridMultilevel"/>
    <w:tmpl w:val="4B60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F15D4F"/>
    <w:multiLevelType w:val="hybridMultilevel"/>
    <w:tmpl w:val="DEB436E4"/>
    <w:lvl w:ilvl="0" w:tplc="F65498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6E19FD"/>
    <w:multiLevelType w:val="hybridMultilevel"/>
    <w:tmpl w:val="3F5E81A6"/>
    <w:lvl w:ilvl="0" w:tplc="AF0271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B39D9"/>
    <w:multiLevelType w:val="hybridMultilevel"/>
    <w:tmpl w:val="D390DAB8"/>
    <w:lvl w:ilvl="0" w:tplc="F20E85A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755B8"/>
    <w:multiLevelType w:val="multilevel"/>
    <w:tmpl w:val="56AA12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D20783"/>
    <w:multiLevelType w:val="hybridMultilevel"/>
    <w:tmpl w:val="327AF2D6"/>
    <w:lvl w:ilvl="0" w:tplc="F2E4B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A2716"/>
    <w:multiLevelType w:val="hybridMultilevel"/>
    <w:tmpl w:val="96BC4186"/>
    <w:lvl w:ilvl="0" w:tplc="3DAAF51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97936C4"/>
    <w:multiLevelType w:val="hybridMultilevel"/>
    <w:tmpl w:val="5C04755A"/>
    <w:lvl w:ilvl="0" w:tplc="D2BE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F27FD"/>
    <w:multiLevelType w:val="hybridMultilevel"/>
    <w:tmpl w:val="8DF0C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650BD9"/>
    <w:multiLevelType w:val="hybridMultilevel"/>
    <w:tmpl w:val="DEB436E4"/>
    <w:lvl w:ilvl="0" w:tplc="F65498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3F23DB"/>
    <w:multiLevelType w:val="hybridMultilevel"/>
    <w:tmpl w:val="06FC7656"/>
    <w:lvl w:ilvl="0" w:tplc="99FA7DD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4010D58"/>
    <w:multiLevelType w:val="hybridMultilevel"/>
    <w:tmpl w:val="35042B8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5870067"/>
    <w:multiLevelType w:val="hybridMultilevel"/>
    <w:tmpl w:val="58869E3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9EF2366"/>
    <w:multiLevelType w:val="hybridMultilevel"/>
    <w:tmpl w:val="AADC660C"/>
    <w:lvl w:ilvl="0" w:tplc="9D10171A">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FE5B29"/>
    <w:multiLevelType w:val="hybridMultilevel"/>
    <w:tmpl w:val="8296164C"/>
    <w:lvl w:ilvl="0" w:tplc="4124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6"/>
  </w:num>
  <w:num w:numId="5">
    <w:abstractNumId w:val="25"/>
  </w:num>
  <w:num w:numId="6">
    <w:abstractNumId w:val="4"/>
  </w:num>
  <w:num w:numId="7">
    <w:abstractNumId w:val="10"/>
  </w:num>
  <w:num w:numId="8">
    <w:abstractNumId w:val="1"/>
  </w:num>
  <w:num w:numId="9">
    <w:abstractNumId w:val="18"/>
  </w:num>
  <w:num w:numId="10">
    <w:abstractNumId w:val="21"/>
  </w:num>
  <w:num w:numId="11">
    <w:abstractNumId w:val="19"/>
  </w:num>
  <w:num w:numId="12">
    <w:abstractNumId w:val="7"/>
  </w:num>
  <w:num w:numId="13">
    <w:abstractNumId w:val="20"/>
  </w:num>
  <w:num w:numId="14">
    <w:abstractNumId w:val="12"/>
  </w:num>
  <w:num w:numId="15">
    <w:abstractNumId w:val="24"/>
  </w:num>
  <w:num w:numId="16">
    <w:abstractNumId w:val="15"/>
  </w:num>
  <w:num w:numId="17">
    <w:abstractNumId w:val="13"/>
  </w:num>
  <w:num w:numId="18">
    <w:abstractNumId w:val="22"/>
  </w:num>
  <w:num w:numId="19">
    <w:abstractNumId w:val="11"/>
  </w:num>
  <w:num w:numId="20">
    <w:abstractNumId w:val="17"/>
  </w:num>
  <w:num w:numId="21">
    <w:abstractNumId w:val="3"/>
  </w:num>
  <w:num w:numId="22">
    <w:abstractNumId w:val="0"/>
  </w:num>
  <w:num w:numId="23">
    <w:abstractNumId w:val="9"/>
  </w:num>
  <w:num w:numId="24">
    <w:abstractNumId w:val="2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47C628-5DCD-4F3F-896C-022595D6CF5E}"/>
    <w:docVar w:name="dgnword-eventsink" w:val="1577211957040"/>
  </w:docVars>
  <w:rsids>
    <w:rsidRoot w:val="00AC1913"/>
    <w:rsid w:val="0000035A"/>
    <w:rsid w:val="00004D20"/>
    <w:rsid w:val="000077BE"/>
    <w:rsid w:val="0001301A"/>
    <w:rsid w:val="000215FB"/>
    <w:rsid w:val="000344D6"/>
    <w:rsid w:val="0003462A"/>
    <w:rsid w:val="00035BA2"/>
    <w:rsid w:val="000461DC"/>
    <w:rsid w:val="000472BB"/>
    <w:rsid w:val="00047856"/>
    <w:rsid w:val="00047DE3"/>
    <w:rsid w:val="000519E6"/>
    <w:rsid w:val="000536EF"/>
    <w:rsid w:val="00056410"/>
    <w:rsid w:val="0006086D"/>
    <w:rsid w:val="00063B57"/>
    <w:rsid w:val="00067D1F"/>
    <w:rsid w:val="00071658"/>
    <w:rsid w:val="00073911"/>
    <w:rsid w:val="00080ED5"/>
    <w:rsid w:val="00081F55"/>
    <w:rsid w:val="000916FF"/>
    <w:rsid w:val="0009394A"/>
    <w:rsid w:val="000965AB"/>
    <w:rsid w:val="000978F4"/>
    <w:rsid w:val="000A3242"/>
    <w:rsid w:val="000B4513"/>
    <w:rsid w:val="000B586D"/>
    <w:rsid w:val="000B5C6C"/>
    <w:rsid w:val="000B64E2"/>
    <w:rsid w:val="000C1FFE"/>
    <w:rsid w:val="000C600E"/>
    <w:rsid w:val="000C6D61"/>
    <w:rsid w:val="000C75DA"/>
    <w:rsid w:val="000D3C1E"/>
    <w:rsid w:val="000D57E0"/>
    <w:rsid w:val="000E46BD"/>
    <w:rsid w:val="000F2BB2"/>
    <w:rsid w:val="000F5C3E"/>
    <w:rsid w:val="000F6028"/>
    <w:rsid w:val="000F6634"/>
    <w:rsid w:val="000F6CBB"/>
    <w:rsid w:val="00101A7C"/>
    <w:rsid w:val="00104384"/>
    <w:rsid w:val="001076C1"/>
    <w:rsid w:val="001101C7"/>
    <w:rsid w:val="00115C38"/>
    <w:rsid w:val="001173E3"/>
    <w:rsid w:val="00117823"/>
    <w:rsid w:val="00120069"/>
    <w:rsid w:val="00122A33"/>
    <w:rsid w:val="00122BCA"/>
    <w:rsid w:val="00125B70"/>
    <w:rsid w:val="00126A6C"/>
    <w:rsid w:val="0012777D"/>
    <w:rsid w:val="001279E5"/>
    <w:rsid w:val="00127AE4"/>
    <w:rsid w:val="0013381A"/>
    <w:rsid w:val="001366E9"/>
    <w:rsid w:val="001367C8"/>
    <w:rsid w:val="00137049"/>
    <w:rsid w:val="0014317D"/>
    <w:rsid w:val="001451B4"/>
    <w:rsid w:val="001463DD"/>
    <w:rsid w:val="00152669"/>
    <w:rsid w:val="00152F44"/>
    <w:rsid w:val="00156457"/>
    <w:rsid w:val="001574C9"/>
    <w:rsid w:val="001576B2"/>
    <w:rsid w:val="00161F94"/>
    <w:rsid w:val="00163B26"/>
    <w:rsid w:val="00165CCD"/>
    <w:rsid w:val="00171C0C"/>
    <w:rsid w:val="00172D42"/>
    <w:rsid w:val="00174844"/>
    <w:rsid w:val="00177461"/>
    <w:rsid w:val="001847B0"/>
    <w:rsid w:val="00184EE4"/>
    <w:rsid w:val="00186952"/>
    <w:rsid w:val="00191133"/>
    <w:rsid w:val="00196B0B"/>
    <w:rsid w:val="001A08AF"/>
    <w:rsid w:val="001A098A"/>
    <w:rsid w:val="001A1D1D"/>
    <w:rsid w:val="001A3588"/>
    <w:rsid w:val="001A406F"/>
    <w:rsid w:val="001A5E96"/>
    <w:rsid w:val="001B2DC9"/>
    <w:rsid w:val="001B465D"/>
    <w:rsid w:val="001B70BE"/>
    <w:rsid w:val="001B7169"/>
    <w:rsid w:val="001B7A48"/>
    <w:rsid w:val="001C11A0"/>
    <w:rsid w:val="001D3C06"/>
    <w:rsid w:val="001D3EED"/>
    <w:rsid w:val="001D4526"/>
    <w:rsid w:val="001D61C7"/>
    <w:rsid w:val="001D7158"/>
    <w:rsid w:val="001D7E1F"/>
    <w:rsid w:val="001E2A3E"/>
    <w:rsid w:val="001E2B38"/>
    <w:rsid w:val="001E6374"/>
    <w:rsid w:val="001F77F4"/>
    <w:rsid w:val="00200688"/>
    <w:rsid w:val="00207503"/>
    <w:rsid w:val="00207870"/>
    <w:rsid w:val="00207AB8"/>
    <w:rsid w:val="00212594"/>
    <w:rsid w:val="00216A05"/>
    <w:rsid w:val="00224430"/>
    <w:rsid w:val="00225248"/>
    <w:rsid w:val="002273A4"/>
    <w:rsid w:val="00235E00"/>
    <w:rsid w:val="002363BE"/>
    <w:rsid w:val="002402D7"/>
    <w:rsid w:val="00250E0B"/>
    <w:rsid w:val="00250F70"/>
    <w:rsid w:val="00253F1A"/>
    <w:rsid w:val="00254411"/>
    <w:rsid w:val="0025569A"/>
    <w:rsid w:val="002557A7"/>
    <w:rsid w:val="002565C8"/>
    <w:rsid w:val="00257467"/>
    <w:rsid w:val="00265461"/>
    <w:rsid w:val="00271A40"/>
    <w:rsid w:val="002731D3"/>
    <w:rsid w:val="0027362B"/>
    <w:rsid w:val="0027487E"/>
    <w:rsid w:val="00276C0A"/>
    <w:rsid w:val="00277CF2"/>
    <w:rsid w:val="00277E5D"/>
    <w:rsid w:val="002826C4"/>
    <w:rsid w:val="00286FB4"/>
    <w:rsid w:val="00292B0A"/>
    <w:rsid w:val="00294B1B"/>
    <w:rsid w:val="002A0C0B"/>
    <w:rsid w:val="002A7A5A"/>
    <w:rsid w:val="002B0B53"/>
    <w:rsid w:val="002B14B1"/>
    <w:rsid w:val="002B66E0"/>
    <w:rsid w:val="002B7CE9"/>
    <w:rsid w:val="002C1757"/>
    <w:rsid w:val="002C5D1E"/>
    <w:rsid w:val="002D3B49"/>
    <w:rsid w:val="002D75F9"/>
    <w:rsid w:val="002E2003"/>
    <w:rsid w:val="002E4309"/>
    <w:rsid w:val="002E5E98"/>
    <w:rsid w:val="002F1CD1"/>
    <w:rsid w:val="002F5D3A"/>
    <w:rsid w:val="002F6260"/>
    <w:rsid w:val="002F77EA"/>
    <w:rsid w:val="00300B42"/>
    <w:rsid w:val="00301B03"/>
    <w:rsid w:val="00303EE1"/>
    <w:rsid w:val="00304DC5"/>
    <w:rsid w:val="00311383"/>
    <w:rsid w:val="00314ED4"/>
    <w:rsid w:val="0031693D"/>
    <w:rsid w:val="00321BA0"/>
    <w:rsid w:val="0032746D"/>
    <w:rsid w:val="003311E1"/>
    <w:rsid w:val="003334D9"/>
    <w:rsid w:val="003350AA"/>
    <w:rsid w:val="00335143"/>
    <w:rsid w:val="00336F59"/>
    <w:rsid w:val="003412B6"/>
    <w:rsid w:val="003420D8"/>
    <w:rsid w:val="00344D38"/>
    <w:rsid w:val="003518C8"/>
    <w:rsid w:val="00352D55"/>
    <w:rsid w:val="003538C3"/>
    <w:rsid w:val="003559BE"/>
    <w:rsid w:val="003615B0"/>
    <w:rsid w:val="003624D8"/>
    <w:rsid w:val="00363A34"/>
    <w:rsid w:val="00365D51"/>
    <w:rsid w:val="00366093"/>
    <w:rsid w:val="00367659"/>
    <w:rsid w:val="003702FD"/>
    <w:rsid w:val="00370496"/>
    <w:rsid w:val="00371869"/>
    <w:rsid w:val="00371DFD"/>
    <w:rsid w:val="00375F8C"/>
    <w:rsid w:val="003770E3"/>
    <w:rsid w:val="00383744"/>
    <w:rsid w:val="0038499A"/>
    <w:rsid w:val="003865BA"/>
    <w:rsid w:val="00394C78"/>
    <w:rsid w:val="00395210"/>
    <w:rsid w:val="0039624B"/>
    <w:rsid w:val="00396C04"/>
    <w:rsid w:val="003A0AEE"/>
    <w:rsid w:val="003A44EF"/>
    <w:rsid w:val="003A5090"/>
    <w:rsid w:val="003A7DAE"/>
    <w:rsid w:val="003B56B7"/>
    <w:rsid w:val="003C0574"/>
    <w:rsid w:val="003C19FF"/>
    <w:rsid w:val="003C2E13"/>
    <w:rsid w:val="003C34BD"/>
    <w:rsid w:val="003C5BB9"/>
    <w:rsid w:val="003C6ACC"/>
    <w:rsid w:val="003D376E"/>
    <w:rsid w:val="003D49A2"/>
    <w:rsid w:val="003D50E0"/>
    <w:rsid w:val="003D632C"/>
    <w:rsid w:val="003E51A8"/>
    <w:rsid w:val="00400E21"/>
    <w:rsid w:val="00405689"/>
    <w:rsid w:val="00405F3B"/>
    <w:rsid w:val="0041385B"/>
    <w:rsid w:val="00423DDF"/>
    <w:rsid w:val="00424C5F"/>
    <w:rsid w:val="00430D5C"/>
    <w:rsid w:val="00431B2D"/>
    <w:rsid w:val="00433B11"/>
    <w:rsid w:val="004341BA"/>
    <w:rsid w:val="00435E5F"/>
    <w:rsid w:val="00440BC8"/>
    <w:rsid w:val="0044228C"/>
    <w:rsid w:val="00443123"/>
    <w:rsid w:val="00445A41"/>
    <w:rsid w:val="00445AC3"/>
    <w:rsid w:val="004468D4"/>
    <w:rsid w:val="0044708F"/>
    <w:rsid w:val="00447FA0"/>
    <w:rsid w:val="00451354"/>
    <w:rsid w:val="004520A9"/>
    <w:rsid w:val="004539E5"/>
    <w:rsid w:val="00456A61"/>
    <w:rsid w:val="00466414"/>
    <w:rsid w:val="00470E3B"/>
    <w:rsid w:val="00473443"/>
    <w:rsid w:val="00476D0D"/>
    <w:rsid w:val="004773BF"/>
    <w:rsid w:val="00482470"/>
    <w:rsid w:val="00483A81"/>
    <w:rsid w:val="00484352"/>
    <w:rsid w:val="004860C6"/>
    <w:rsid w:val="004876B2"/>
    <w:rsid w:val="004910B8"/>
    <w:rsid w:val="00491AD1"/>
    <w:rsid w:val="004932A4"/>
    <w:rsid w:val="00497034"/>
    <w:rsid w:val="004A2B02"/>
    <w:rsid w:val="004B017F"/>
    <w:rsid w:val="004B02C0"/>
    <w:rsid w:val="004B1432"/>
    <w:rsid w:val="004C1069"/>
    <w:rsid w:val="004C143F"/>
    <w:rsid w:val="004C1AB7"/>
    <w:rsid w:val="004C3005"/>
    <w:rsid w:val="004C32B7"/>
    <w:rsid w:val="004C3678"/>
    <w:rsid w:val="004C3AF7"/>
    <w:rsid w:val="004C3F4B"/>
    <w:rsid w:val="004D0AA6"/>
    <w:rsid w:val="004D35F0"/>
    <w:rsid w:val="004D42E5"/>
    <w:rsid w:val="004D5884"/>
    <w:rsid w:val="004D6338"/>
    <w:rsid w:val="004D6CB1"/>
    <w:rsid w:val="004D7DB6"/>
    <w:rsid w:val="004E03FD"/>
    <w:rsid w:val="004E283D"/>
    <w:rsid w:val="004E5CAD"/>
    <w:rsid w:val="004F617C"/>
    <w:rsid w:val="005031EF"/>
    <w:rsid w:val="00503D47"/>
    <w:rsid w:val="00506826"/>
    <w:rsid w:val="00511B33"/>
    <w:rsid w:val="00513B9C"/>
    <w:rsid w:val="00513E12"/>
    <w:rsid w:val="0051500D"/>
    <w:rsid w:val="005155E5"/>
    <w:rsid w:val="005158AF"/>
    <w:rsid w:val="005176E7"/>
    <w:rsid w:val="00517AA0"/>
    <w:rsid w:val="005206B1"/>
    <w:rsid w:val="005256F6"/>
    <w:rsid w:val="00527512"/>
    <w:rsid w:val="005313E7"/>
    <w:rsid w:val="0053167F"/>
    <w:rsid w:val="005427D7"/>
    <w:rsid w:val="00543D64"/>
    <w:rsid w:val="0054557A"/>
    <w:rsid w:val="00551A3A"/>
    <w:rsid w:val="0055203A"/>
    <w:rsid w:val="00552A42"/>
    <w:rsid w:val="00561040"/>
    <w:rsid w:val="00562699"/>
    <w:rsid w:val="0056367F"/>
    <w:rsid w:val="00564991"/>
    <w:rsid w:val="00566FDA"/>
    <w:rsid w:val="0057081F"/>
    <w:rsid w:val="00570C2F"/>
    <w:rsid w:val="00571115"/>
    <w:rsid w:val="00574AD4"/>
    <w:rsid w:val="0057516B"/>
    <w:rsid w:val="005758A8"/>
    <w:rsid w:val="00575DD6"/>
    <w:rsid w:val="005835C0"/>
    <w:rsid w:val="00597639"/>
    <w:rsid w:val="005A042D"/>
    <w:rsid w:val="005A7B6B"/>
    <w:rsid w:val="005B3451"/>
    <w:rsid w:val="005B3FAE"/>
    <w:rsid w:val="005B6E5E"/>
    <w:rsid w:val="005B6FD8"/>
    <w:rsid w:val="005C2DA5"/>
    <w:rsid w:val="005C35D8"/>
    <w:rsid w:val="005C40AF"/>
    <w:rsid w:val="005C7602"/>
    <w:rsid w:val="005C7F91"/>
    <w:rsid w:val="005D0FB2"/>
    <w:rsid w:val="005D3B4A"/>
    <w:rsid w:val="005D470B"/>
    <w:rsid w:val="005D47E0"/>
    <w:rsid w:val="005E3158"/>
    <w:rsid w:val="005E520E"/>
    <w:rsid w:val="005F07B1"/>
    <w:rsid w:val="005F66F7"/>
    <w:rsid w:val="005F7925"/>
    <w:rsid w:val="00601C5A"/>
    <w:rsid w:val="006063F3"/>
    <w:rsid w:val="006118DA"/>
    <w:rsid w:val="00612D69"/>
    <w:rsid w:val="00613570"/>
    <w:rsid w:val="00622399"/>
    <w:rsid w:val="006266CC"/>
    <w:rsid w:val="00627790"/>
    <w:rsid w:val="0063145E"/>
    <w:rsid w:val="006316AF"/>
    <w:rsid w:val="00632170"/>
    <w:rsid w:val="006328D2"/>
    <w:rsid w:val="006342A3"/>
    <w:rsid w:val="00636030"/>
    <w:rsid w:val="00637585"/>
    <w:rsid w:val="00642C72"/>
    <w:rsid w:val="006500F7"/>
    <w:rsid w:val="00650EF8"/>
    <w:rsid w:val="0065505E"/>
    <w:rsid w:val="00657324"/>
    <w:rsid w:val="006577C3"/>
    <w:rsid w:val="00662FE7"/>
    <w:rsid w:val="006638E1"/>
    <w:rsid w:val="00664EE9"/>
    <w:rsid w:val="0067574D"/>
    <w:rsid w:val="00676A0A"/>
    <w:rsid w:val="006807EC"/>
    <w:rsid w:val="00683179"/>
    <w:rsid w:val="006845B9"/>
    <w:rsid w:val="00684756"/>
    <w:rsid w:val="00686A83"/>
    <w:rsid w:val="0068734F"/>
    <w:rsid w:val="00690184"/>
    <w:rsid w:val="006A156C"/>
    <w:rsid w:val="006A33A3"/>
    <w:rsid w:val="006A3C15"/>
    <w:rsid w:val="006B4B2F"/>
    <w:rsid w:val="006C406A"/>
    <w:rsid w:val="006C5E36"/>
    <w:rsid w:val="006D0788"/>
    <w:rsid w:val="006D1E91"/>
    <w:rsid w:val="006D2059"/>
    <w:rsid w:val="006D2D93"/>
    <w:rsid w:val="006D6D39"/>
    <w:rsid w:val="006D78FF"/>
    <w:rsid w:val="006E0E07"/>
    <w:rsid w:val="006E1496"/>
    <w:rsid w:val="006E2CE1"/>
    <w:rsid w:val="006E3DC6"/>
    <w:rsid w:val="006E568D"/>
    <w:rsid w:val="006E6950"/>
    <w:rsid w:val="006E7785"/>
    <w:rsid w:val="006F0B60"/>
    <w:rsid w:val="006F5684"/>
    <w:rsid w:val="00703145"/>
    <w:rsid w:val="0070673B"/>
    <w:rsid w:val="007073B5"/>
    <w:rsid w:val="00711289"/>
    <w:rsid w:val="00711569"/>
    <w:rsid w:val="00712E84"/>
    <w:rsid w:val="00713147"/>
    <w:rsid w:val="007143F2"/>
    <w:rsid w:val="007154E5"/>
    <w:rsid w:val="00717CBF"/>
    <w:rsid w:val="00717DD1"/>
    <w:rsid w:val="007214B4"/>
    <w:rsid w:val="007223E4"/>
    <w:rsid w:val="00723C03"/>
    <w:rsid w:val="007245AB"/>
    <w:rsid w:val="007247FD"/>
    <w:rsid w:val="00727F1E"/>
    <w:rsid w:val="0073034F"/>
    <w:rsid w:val="00730EBC"/>
    <w:rsid w:val="00745257"/>
    <w:rsid w:val="00751DCA"/>
    <w:rsid w:val="0076560B"/>
    <w:rsid w:val="00765A63"/>
    <w:rsid w:val="00766DCD"/>
    <w:rsid w:val="007739E0"/>
    <w:rsid w:val="0077425E"/>
    <w:rsid w:val="007812C8"/>
    <w:rsid w:val="0079047F"/>
    <w:rsid w:val="007914B3"/>
    <w:rsid w:val="007958F0"/>
    <w:rsid w:val="007976B4"/>
    <w:rsid w:val="007A0F34"/>
    <w:rsid w:val="007C3336"/>
    <w:rsid w:val="007C6F04"/>
    <w:rsid w:val="007D3E43"/>
    <w:rsid w:val="007D4DBF"/>
    <w:rsid w:val="007D71F3"/>
    <w:rsid w:val="007E3448"/>
    <w:rsid w:val="007E5B50"/>
    <w:rsid w:val="007F16BB"/>
    <w:rsid w:val="007F211B"/>
    <w:rsid w:val="007F3B92"/>
    <w:rsid w:val="008020CC"/>
    <w:rsid w:val="00802FF5"/>
    <w:rsid w:val="0080331C"/>
    <w:rsid w:val="00803E2C"/>
    <w:rsid w:val="00804DB2"/>
    <w:rsid w:val="00804F14"/>
    <w:rsid w:val="00807AF4"/>
    <w:rsid w:val="00810978"/>
    <w:rsid w:val="008133D9"/>
    <w:rsid w:val="008146F8"/>
    <w:rsid w:val="00814B10"/>
    <w:rsid w:val="00814B86"/>
    <w:rsid w:val="00826844"/>
    <w:rsid w:val="00826875"/>
    <w:rsid w:val="00831F83"/>
    <w:rsid w:val="00832CA9"/>
    <w:rsid w:val="00832D7C"/>
    <w:rsid w:val="00833A18"/>
    <w:rsid w:val="008402EA"/>
    <w:rsid w:val="00841289"/>
    <w:rsid w:val="00846738"/>
    <w:rsid w:val="008468CC"/>
    <w:rsid w:val="00846C55"/>
    <w:rsid w:val="0085017B"/>
    <w:rsid w:val="00853521"/>
    <w:rsid w:val="00860049"/>
    <w:rsid w:val="00862A17"/>
    <w:rsid w:val="00862AE7"/>
    <w:rsid w:val="00863715"/>
    <w:rsid w:val="00867F31"/>
    <w:rsid w:val="00871309"/>
    <w:rsid w:val="00871FA1"/>
    <w:rsid w:val="00873798"/>
    <w:rsid w:val="008766E8"/>
    <w:rsid w:val="0089469C"/>
    <w:rsid w:val="00894DB5"/>
    <w:rsid w:val="008A39D5"/>
    <w:rsid w:val="008A60ED"/>
    <w:rsid w:val="008A7188"/>
    <w:rsid w:val="008B0C58"/>
    <w:rsid w:val="008B5257"/>
    <w:rsid w:val="008B6402"/>
    <w:rsid w:val="008B7730"/>
    <w:rsid w:val="008B7B09"/>
    <w:rsid w:val="008B7F75"/>
    <w:rsid w:val="008C18C4"/>
    <w:rsid w:val="008C1A7B"/>
    <w:rsid w:val="008C4C58"/>
    <w:rsid w:val="008C63C2"/>
    <w:rsid w:val="008D13C2"/>
    <w:rsid w:val="008D410E"/>
    <w:rsid w:val="008D4FC2"/>
    <w:rsid w:val="008D5F3F"/>
    <w:rsid w:val="008D6044"/>
    <w:rsid w:val="008D6B34"/>
    <w:rsid w:val="008D788C"/>
    <w:rsid w:val="008E2F32"/>
    <w:rsid w:val="008E4C47"/>
    <w:rsid w:val="008F0DAE"/>
    <w:rsid w:val="008F1F9E"/>
    <w:rsid w:val="008F43D8"/>
    <w:rsid w:val="008F6C92"/>
    <w:rsid w:val="008F7423"/>
    <w:rsid w:val="0090063D"/>
    <w:rsid w:val="00900F51"/>
    <w:rsid w:val="00901497"/>
    <w:rsid w:val="009016F4"/>
    <w:rsid w:val="00906EC7"/>
    <w:rsid w:val="00912F04"/>
    <w:rsid w:val="0091308B"/>
    <w:rsid w:val="0091309E"/>
    <w:rsid w:val="00915943"/>
    <w:rsid w:val="00921DCB"/>
    <w:rsid w:val="00927F69"/>
    <w:rsid w:val="009331DF"/>
    <w:rsid w:val="00933494"/>
    <w:rsid w:val="009356E6"/>
    <w:rsid w:val="00936311"/>
    <w:rsid w:val="0093750C"/>
    <w:rsid w:val="0094724F"/>
    <w:rsid w:val="00954227"/>
    <w:rsid w:val="00954AA3"/>
    <w:rsid w:val="00965F65"/>
    <w:rsid w:val="009706BE"/>
    <w:rsid w:val="00972155"/>
    <w:rsid w:val="00972299"/>
    <w:rsid w:val="0097269F"/>
    <w:rsid w:val="0097371A"/>
    <w:rsid w:val="00976D27"/>
    <w:rsid w:val="009773EF"/>
    <w:rsid w:val="00982699"/>
    <w:rsid w:val="00982F34"/>
    <w:rsid w:val="00984439"/>
    <w:rsid w:val="0098538B"/>
    <w:rsid w:val="00985D48"/>
    <w:rsid w:val="00990177"/>
    <w:rsid w:val="009914C0"/>
    <w:rsid w:val="0099293C"/>
    <w:rsid w:val="00992B86"/>
    <w:rsid w:val="009966C0"/>
    <w:rsid w:val="009A2C3F"/>
    <w:rsid w:val="009A3CB1"/>
    <w:rsid w:val="009A4F0E"/>
    <w:rsid w:val="009B0FE2"/>
    <w:rsid w:val="009B3409"/>
    <w:rsid w:val="009B7C98"/>
    <w:rsid w:val="009C56C2"/>
    <w:rsid w:val="009C6B73"/>
    <w:rsid w:val="009E119C"/>
    <w:rsid w:val="009E3344"/>
    <w:rsid w:val="009E7AE5"/>
    <w:rsid w:val="009F39EE"/>
    <w:rsid w:val="009F3B22"/>
    <w:rsid w:val="00A0298C"/>
    <w:rsid w:val="00A04D39"/>
    <w:rsid w:val="00A050C1"/>
    <w:rsid w:val="00A0721E"/>
    <w:rsid w:val="00A148D1"/>
    <w:rsid w:val="00A1600E"/>
    <w:rsid w:val="00A21005"/>
    <w:rsid w:val="00A24185"/>
    <w:rsid w:val="00A24353"/>
    <w:rsid w:val="00A26264"/>
    <w:rsid w:val="00A27473"/>
    <w:rsid w:val="00A31A84"/>
    <w:rsid w:val="00A326F2"/>
    <w:rsid w:val="00A330BE"/>
    <w:rsid w:val="00A3457C"/>
    <w:rsid w:val="00A36D4D"/>
    <w:rsid w:val="00A41397"/>
    <w:rsid w:val="00A46083"/>
    <w:rsid w:val="00A46105"/>
    <w:rsid w:val="00A47FF0"/>
    <w:rsid w:val="00A502AE"/>
    <w:rsid w:val="00A5363B"/>
    <w:rsid w:val="00A554F3"/>
    <w:rsid w:val="00A63395"/>
    <w:rsid w:val="00A64859"/>
    <w:rsid w:val="00A65F37"/>
    <w:rsid w:val="00A720CA"/>
    <w:rsid w:val="00A72988"/>
    <w:rsid w:val="00A72CE5"/>
    <w:rsid w:val="00A752B1"/>
    <w:rsid w:val="00A75A18"/>
    <w:rsid w:val="00A75FA5"/>
    <w:rsid w:val="00A82EC5"/>
    <w:rsid w:val="00A86730"/>
    <w:rsid w:val="00A92CBE"/>
    <w:rsid w:val="00A94F10"/>
    <w:rsid w:val="00AA3733"/>
    <w:rsid w:val="00AA4857"/>
    <w:rsid w:val="00AA494F"/>
    <w:rsid w:val="00AA5F43"/>
    <w:rsid w:val="00AB1E35"/>
    <w:rsid w:val="00AB2854"/>
    <w:rsid w:val="00AB41EF"/>
    <w:rsid w:val="00AB6039"/>
    <w:rsid w:val="00AC03CC"/>
    <w:rsid w:val="00AC0692"/>
    <w:rsid w:val="00AC1913"/>
    <w:rsid w:val="00AC340D"/>
    <w:rsid w:val="00AC38EA"/>
    <w:rsid w:val="00AC3EF2"/>
    <w:rsid w:val="00AC4392"/>
    <w:rsid w:val="00AD128C"/>
    <w:rsid w:val="00AD3773"/>
    <w:rsid w:val="00AE0E08"/>
    <w:rsid w:val="00AE44D3"/>
    <w:rsid w:val="00AE4DB5"/>
    <w:rsid w:val="00AF3E7E"/>
    <w:rsid w:val="00AF531E"/>
    <w:rsid w:val="00AF66D2"/>
    <w:rsid w:val="00AF7017"/>
    <w:rsid w:val="00B03380"/>
    <w:rsid w:val="00B03761"/>
    <w:rsid w:val="00B04BA2"/>
    <w:rsid w:val="00B060B0"/>
    <w:rsid w:val="00B11A82"/>
    <w:rsid w:val="00B12A08"/>
    <w:rsid w:val="00B12AD4"/>
    <w:rsid w:val="00B12DF7"/>
    <w:rsid w:val="00B13D11"/>
    <w:rsid w:val="00B153D8"/>
    <w:rsid w:val="00B1770C"/>
    <w:rsid w:val="00B2214D"/>
    <w:rsid w:val="00B31091"/>
    <w:rsid w:val="00B35C5D"/>
    <w:rsid w:val="00B370F4"/>
    <w:rsid w:val="00B40F23"/>
    <w:rsid w:val="00B42CDF"/>
    <w:rsid w:val="00B43029"/>
    <w:rsid w:val="00B446F3"/>
    <w:rsid w:val="00B47149"/>
    <w:rsid w:val="00B53767"/>
    <w:rsid w:val="00B544C3"/>
    <w:rsid w:val="00B60A7D"/>
    <w:rsid w:val="00B62ABD"/>
    <w:rsid w:val="00B64A60"/>
    <w:rsid w:val="00B661FD"/>
    <w:rsid w:val="00B67DA6"/>
    <w:rsid w:val="00B7228F"/>
    <w:rsid w:val="00B7656B"/>
    <w:rsid w:val="00B801D9"/>
    <w:rsid w:val="00B83C84"/>
    <w:rsid w:val="00B916F7"/>
    <w:rsid w:val="00B925BD"/>
    <w:rsid w:val="00B94F0B"/>
    <w:rsid w:val="00B94FB0"/>
    <w:rsid w:val="00B96CF5"/>
    <w:rsid w:val="00BA3025"/>
    <w:rsid w:val="00BA7516"/>
    <w:rsid w:val="00BB1775"/>
    <w:rsid w:val="00BB2CED"/>
    <w:rsid w:val="00BB4284"/>
    <w:rsid w:val="00BB50D4"/>
    <w:rsid w:val="00BB5654"/>
    <w:rsid w:val="00BC05C2"/>
    <w:rsid w:val="00BC46B5"/>
    <w:rsid w:val="00BC7100"/>
    <w:rsid w:val="00BD10B2"/>
    <w:rsid w:val="00BD1EA5"/>
    <w:rsid w:val="00BD36CF"/>
    <w:rsid w:val="00BE02D1"/>
    <w:rsid w:val="00BE0B8C"/>
    <w:rsid w:val="00BE6E67"/>
    <w:rsid w:val="00BF137E"/>
    <w:rsid w:val="00BF4E38"/>
    <w:rsid w:val="00BF7912"/>
    <w:rsid w:val="00C02916"/>
    <w:rsid w:val="00C0382A"/>
    <w:rsid w:val="00C04A6C"/>
    <w:rsid w:val="00C064DE"/>
    <w:rsid w:val="00C065F1"/>
    <w:rsid w:val="00C11EA8"/>
    <w:rsid w:val="00C11ED4"/>
    <w:rsid w:val="00C14D0F"/>
    <w:rsid w:val="00C154EF"/>
    <w:rsid w:val="00C23587"/>
    <w:rsid w:val="00C24191"/>
    <w:rsid w:val="00C25F3E"/>
    <w:rsid w:val="00C32095"/>
    <w:rsid w:val="00C3434A"/>
    <w:rsid w:val="00C35B71"/>
    <w:rsid w:val="00C40D22"/>
    <w:rsid w:val="00C4140B"/>
    <w:rsid w:val="00C41BB4"/>
    <w:rsid w:val="00C42EB2"/>
    <w:rsid w:val="00C47BE4"/>
    <w:rsid w:val="00C51B35"/>
    <w:rsid w:val="00C5595C"/>
    <w:rsid w:val="00C55BA1"/>
    <w:rsid w:val="00C563A6"/>
    <w:rsid w:val="00C57833"/>
    <w:rsid w:val="00C6158B"/>
    <w:rsid w:val="00C634FC"/>
    <w:rsid w:val="00C658B8"/>
    <w:rsid w:val="00C65DD3"/>
    <w:rsid w:val="00C724B3"/>
    <w:rsid w:val="00C73692"/>
    <w:rsid w:val="00C7421F"/>
    <w:rsid w:val="00C75803"/>
    <w:rsid w:val="00C80402"/>
    <w:rsid w:val="00C81512"/>
    <w:rsid w:val="00C826F9"/>
    <w:rsid w:val="00C83F78"/>
    <w:rsid w:val="00C87B49"/>
    <w:rsid w:val="00C90727"/>
    <w:rsid w:val="00C91595"/>
    <w:rsid w:val="00C91FDA"/>
    <w:rsid w:val="00C926FA"/>
    <w:rsid w:val="00C93C0F"/>
    <w:rsid w:val="00C94B8A"/>
    <w:rsid w:val="00CA284F"/>
    <w:rsid w:val="00CA31E8"/>
    <w:rsid w:val="00CA76EB"/>
    <w:rsid w:val="00CA7C0F"/>
    <w:rsid w:val="00CB1AEF"/>
    <w:rsid w:val="00CB44F8"/>
    <w:rsid w:val="00CB4A4C"/>
    <w:rsid w:val="00CC115E"/>
    <w:rsid w:val="00CC224C"/>
    <w:rsid w:val="00CC3E2F"/>
    <w:rsid w:val="00CC5B64"/>
    <w:rsid w:val="00CD1C80"/>
    <w:rsid w:val="00CD2220"/>
    <w:rsid w:val="00CD37A7"/>
    <w:rsid w:val="00CE02D5"/>
    <w:rsid w:val="00CE4E0E"/>
    <w:rsid w:val="00CE4E80"/>
    <w:rsid w:val="00CE7B19"/>
    <w:rsid w:val="00CF06B0"/>
    <w:rsid w:val="00CF10E3"/>
    <w:rsid w:val="00CF183B"/>
    <w:rsid w:val="00CF4826"/>
    <w:rsid w:val="00D01D47"/>
    <w:rsid w:val="00D02C12"/>
    <w:rsid w:val="00D07F3C"/>
    <w:rsid w:val="00D12AF6"/>
    <w:rsid w:val="00D133BF"/>
    <w:rsid w:val="00D1560A"/>
    <w:rsid w:val="00D2067B"/>
    <w:rsid w:val="00D2092B"/>
    <w:rsid w:val="00D2178C"/>
    <w:rsid w:val="00D21875"/>
    <w:rsid w:val="00D21E6E"/>
    <w:rsid w:val="00D31CF8"/>
    <w:rsid w:val="00D324B1"/>
    <w:rsid w:val="00D33BB0"/>
    <w:rsid w:val="00D354C7"/>
    <w:rsid w:val="00D3633D"/>
    <w:rsid w:val="00D36C58"/>
    <w:rsid w:val="00D37AB9"/>
    <w:rsid w:val="00D4119D"/>
    <w:rsid w:val="00D47007"/>
    <w:rsid w:val="00D47A1D"/>
    <w:rsid w:val="00D60DEA"/>
    <w:rsid w:val="00D61430"/>
    <w:rsid w:val="00D63B05"/>
    <w:rsid w:val="00D748D0"/>
    <w:rsid w:val="00D76C1B"/>
    <w:rsid w:val="00D80903"/>
    <w:rsid w:val="00D87785"/>
    <w:rsid w:val="00D90F7F"/>
    <w:rsid w:val="00D915BD"/>
    <w:rsid w:val="00DA05D7"/>
    <w:rsid w:val="00DA18F9"/>
    <w:rsid w:val="00DA4683"/>
    <w:rsid w:val="00DA67BB"/>
    <w:rsid w:val="00DB29D6"/>
    <w:rsid w:val="00DC1591"/>
    <w:rsid w:val="00DC1FCC"/>
    <w:rsid w:val="00DC2F64"/>
    <w:rsid w:val="00DC35A0"/>
    <w:rsid w:val="00DC38FB"/>
    <w:rsid w:val="00DC3F17"/>
    <w:rsid w:val="00DC4E55"/>
    <w:rsid w:val="00DC7093"/>
    <w:rsid w:val="00DD37B9"/>
    <w:rsid w:val="00DD6D13"/>
    <w:rsid w:val="00DE0D62"/>
    <w:rsid w:val="00DE3BBB"/>
    <w:rsid w:val="00DE58AA"/>
    <w:rsid w:val="00DE5A42"/>
    <w:rsid w:val="00DF4ED1"/>
    <w:rsid w:val="00E016A7"/>
    <w:rsid w:val="00E0452A"/>
    <w:rsid w:val="00E04592"/>
    <w:rsid w:val="00E058D7"/>
    <w:rsid w:val="00E11125"/>
    <w:rsid w:val="00E111B3"/>
    <w:rsid w:val="00E111FB"/>
    <w:rsid w:val="00E16703"/>
    <w:rsid w:val="00E25064"/>
    <w:rsid w:val="00E25C60"/>
    <w:rsid w:val="00E25FBC"/>
    <w:rsid w:val="00E263F2"/>
    <w:rsid w:val="00E26F79"/>
    <w:rsid w:val="00E303FB"/>
    <w:rsid w:val="00E322A1"/>
    <w:rsid w:val="00E348FB"/>
    <w:rsid w:val="00E35948"/>
    <w:rsid w:val="00E370AC"/>
    <w:rsid w:val="00E40B7E"/>
    <w:rsid w:val="00E4147E"/>
    <w:rsid w:val="00E41FDA"/>
    <w:rsid w:val="00E43153"/>
    <w:rsid w:val="00E45665"/>
    <w:rsid w:val="00E514AA"/>
    <w:rsid w:val="00E520E9"/>
    <w:rsid w:val="00E54063"/>
    <w:rsid w:val="00E60AF8"/>
    <w:rsid w:val="00E61A49"/>
    <w:rsid w:val="00E631D2"/>
    <w:rsid w:val="00E7044C"/>
    <w:rsid w:val="00E7085B"/>
    <w:rsid w:val="00E7117F"/>
    <w:rsid w:val="00E7293A"/>
    <w:rsid w:val="00E729E6"/>
    <w:rsid w:val="00E735BB"/>
    <w:rsid w:val="00E73F04"/>
    <w:rsid w:val="00E765F6"/>
    <w:rsid w:val="00E77054"/>
    <w:rsid w:val="00E8390A"/>
    <w:rsid w:val="00E83A67"/>
    <w:rsid w:val="00E8522C"/>
    <w:rsid w:val="00E93BF1"/>
    <w:rsid w:val="00EA187D"/>
    <w:rsid w:val="00EA2289"/>
    <w:rsid w:val="00EA2ED9"/>
    <w:rsid w:val="00EA4705"/>
    <w:rsid w:val="00EA6B0B"/>
    <w:rsid w:val="00EA7C15"/>
    <w:rsid w:val="00EB169A"/>
    <w:rsid w:val="00EB306B"/>
    <w:rsid w:val="00EB4F93"/>
    <w:rsid w:val="00EB53FC"/>
    <w:rsid w:val="00EC1A9D"/>
    <w:rsid w:val="00EC21E1"/>
    <w:rsid w:val="00EC3E32"/>
    <w:rsid w:val="00EC7C61"/>
    <w:rsid w:val="00ED3B78"/>
    <w:rsid w:val="00ED3C02"/>
    <w:rsid w:val="00EE0698"/>
    <w:rsid w:val="00EE1812"/>
    <w:rsid w:val="00EE1A69"/>
    <w:rsid w:val="00EE1E95"/>
    <w:rsid w:val="00EE7AE1"/>
    <w:rsid w:val="00F0136E"/>
    <w:rsid w:val="00F14554"/>
    <w:rsid w:val="00F208EE"/>
    <w:rsid w:val="00F21B1E"/>
    <w:rsid w:val="00F27170"/>
    <w:rsid w:val="00F32A8B"/>
    <w:rsid w:val="00F35125"/>
    <w:rsid w:val="00F36260"/>
    <w:rsid w:val="00F37CB3"/>
    <w:rsid w:val="00F41AEB"/>
    <w:rsid w:val="00F44749"/>
    <w:rsid w:val="00F457DD"/>
    <w:rsid w:val="00F45C7C"/>
    <w:rsid w:val="00F46783"/>
    <w:rsid w:val="00F474C5"/>
    <w:rsid w:val="00F51BC3"/>
    <w:rsid w:val="00F54AB0"/>
    <w:rsid w:val="00F611D7"/>
    <w:rsid w:val="00F621A1"/>
    <w:rsid w:val="00F63377"/>
    <w:rsid w:val="00F65C38"/>
    <w:rsid w:val="00F6628E"/>
    <w:rsid w:val="00F72945"/>
    <w:rsid w:val="00F7329D"/>
    <w:rsid w:val="00F732D2"/>
    <w:rsid w:val="00F751F2"/>
    <w:rsid w:val="00F8286E"/>
    <w:rsid w:val="00F84F8C"/>
    <w:rsid w:val="00F866EB"/>
    <w:rsid w:val="00F86C83"/>
    <w:rsid w:val="00F875C3"/>
    <w:rsid w:val="00F90160"/>
    <w:rsid w:val="00F935DF"/>
    <w:rsid w:val="00F93CC7"/>
    <w:rsid w:val="00F94005"/>
    <w:rsid w:val="00F94B7F"/>
    <w:rsid w:val="00FA44A5"/>
    <w:rsid w:val="00FC0CDF"/>
    <w:rsid w:val="00FC1D75"/>
    <w:rsid w:val="00FC2222"/>
    <w:rsid w:val="00FC2798"/>
    <w:rsid w:val="00FD1D46"/>
    <w:rsid w:val="00FD6A1F"/>
    <w:rsid w:val="00FD773A"/>
    <w:rsid w:val="00FE221B"/>
    <w:rsid w:val="00FF141C"/>
    <w:rsid w:val="00FF15A9"/>
    <w:rsid w:val="00FF4035"/>
    <w:rsid w:val="00FF408C"/>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461B"/>
  <w15:chartTrackingRefBased/>
  <w15:docId w15:val="{BB4F880C-740B-448F-8641-8A9421C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13"/>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C1913"/>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913"/>
    <w:rPr>
      <w:rFonts w:ascii="Arial" w:eastAsia="Times New Roman" w:hAnsi="Arial" w:cs="Arial"/>
      <w:i/>
      <w:iCs/>
      <w:sz w:val="28"/>
      <w:szCs w:val="24"/>
      <w:lang w:val="en-GB"/>
    </w:rPr>
  </w:style>
  <w:style w:type="paragraph" w:styleId="Header">
    <w:name w:val="header"/>
    <w:basedOn w:val="Normal"/>
    <w:link w:val="HeaderChar"/>
    <w:uiPriority w:val="99"/>
    <w:rsid w:val="00AC1913"/>
    <w:pPr>
      <w:tabs>
        <w:tab w:val="center" w:pos="4153"/>
        <w:tab w:val="right" w:pos="8306"/>
      </w:tabs>
    </w:pPr>
  </w:style>
  <w:style w:type="character" w:customStyle="1" w:styleId="HeaderChar">
    <w:name w:val="Header Char"/>
    <w:basedOn w:val="DefaultParagraphFont"/>
    <w:link w:val="Header"/>
    <w:uiPriority w:val="99"/>
    <w:rsid w:val="00AC1913"/>
    <w:rPr>
      <w:rFonts w:ascii="Times New Roman" w:eastAsia="Times New Roman" w:hAnsi="Times New Roman" w:cs="Times New Roman"/>
      <w:sz w:val="24"/>
      <w:szCs w:val="24"/>
      <w:lang w:val="en-GB"/>
    </w:rPr>
  </w:style>
  <w:style w:type="character" w:styleId="PageNumber">
    <w:name w:val="page number"/>
    <w:basedOn w:val="DefaultParagraphFont"/>
    <w:rsid w:val="00AC1913"/>
    <w:rPr>
      <w:rFonts w:cs="Times New Roman"/>
    </w:rPr>
  </w:style>
  <w:style w:type="paragraph" w:styleId="FootnoteText">
    <w:name w:val="footnote text"/>
    <w:basedOn w:val="Normal"/>
    <w:link w:val="FootnoteTextChar"/>
    <w:uiPriority w:val="99"/>
    <w:rsid w:val="00AC1913"/>
    <w:rPr>
      <w:sz w:val="20"/>
      <w:szCs w:val="20"/>
    </w:rPr>
  </w:style>
  <w:style w:type="character" w:customStyle="1" w:styleId="FootnoteTextChar">
    <w:name w:val="Footnote Text Char"/>
    <w:basedOn w:val="DefaultParagraphFont"/>
    <w:link w:val="FootnoteText"/>
    <w:uiPriority w:val="99"/>
    <w:rsid w:val="00AC191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C1913"/>
    <w:pPr>
      <w:ind w:left="720"/>
      <w:contextualSpacing/>
    </w:pPr>
  </w:style>
  <w:style w:type="character" w:styleId="FootnoteReference">
    <w:name w:val="footnote reference"/>
    <w:basedOn w:val="DefaultParagraphFont"/>
    <w:uiPriority w:val="99"/>
    <w:semiHidden/>
    <w:unhideWhenUsed/>
    <w:rsid w:val="00AC1913"/>
    <w:rPr>
      <w:vertAlign w:val="superscript"/>
    </w:rPr>
  </w:style>
  <w:style w:type="paragraph" w:styleId="BalloonText">
    <w:name w:val="Balloon Text"/>
    <w:basedOn w:val="Normal"/>
    <w:link w:val="BalloonTextChar"/>
    <w:uiPriority w:val="99"/>
    <w:semiHidden/>
    <w:unhideWhenUsed/>
    <w:rsid w:val="008B77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30"/>
    <w:rPr>
      <w:rFonts w:ascii="Segoe UI" w:eastAsia="Times New Roman" w:hAnsi="Segoe UI" w:cs="Segoe UI"/>
      <w:sz w:val="18"/>
      <w:szCs w:val="18"/>
      <w:lang w:val="en-GB"/>
    </w:rPr>
  </w:style>
  <w:style w:type="paragraph" w:customStyle="1" w:styleId="bodytext">
    <w:name w:val="bodytext"/>
    <w:basedOn w:val="Normal"/>
    <w:rsid w:val="00A82EC5"/>
    <w:pPr>
      <w:spacing w:before="100" w:beforeAutospacing="1" w:after="100" w:afterAutospacing="1" w:line="240" w:lineRule="auto"/>
      <w:jc w:val="left"/>
    </w:pPr>
    <w:rPr>
      <w:lang w:val="en-US"/>
    </w:rPr>
  </w:style>
  <w:style w:type="paragraph" w:customStyle="1" w:styleId="qt-1">
    <w:name w:val="qt-1"/>
    <w:basedOn w:val="Normal"/>
    <w:rsid w:val="00A82EC5"/>
    <w:pPr>
      <w:spacing w:before="100" w:beforeAutospacing="1" w:after="100" w:afterAutospacing="1" w:line="240" w:lineRule="auto"/>
      <w:jc w:val="left"/>
    </w:pPr>
    <w:rPr>
      <w:lang w:val="en-US"/>
    </w:rPr>
  </w:style>
  <w:style w:type="character" w:customStyle="1" w:styleId="mc">
    <w:name w:val="mc"/>
    <w:basedOn w:val="DefaultParagraphFont"/>
    <w:rsid w:val="00A752B1"/>
  </w:style>
  <w:style w:type="character" w:styleId="Hyperlink">
    <w:name w:val="Hyperlink"/>
    <w:basedOn w:val="DefaultParagraphFont"/>
    <w:uiPriority w:val="99"/>
    <w:semiHidden/>
    <w:unhideWhenUsed/>
    <w:rsid w:val="00A65F37"/>
    <w:rPr>
      <w:color w:val="0000FF"/>
      <w:u w:val="single"/>
    </w:rPr>
  </w:style>
  <w:style w:type="paragraph" w:styleId="Revision">
    <w:name w:val="Revision"/>
    <w:hidden/>
    <w:uiPriority w:val="99"/>
    <w:semiHidden/>
    <w:rsid w:val="000D3C1E"/>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273A4"/>
    <w:rPr>
      <w:sz w:val="16"/>
      <w:szCs w:val="16"/>
    </w:rPr>
  </w:style>
  <w:style w:type="paragraph" w:styleId="CommentText">
    <w:name w:val="annotation text"/>
    <w:basedOn w:val="Normal"/>
    <w:link w:val="CommentTextChar"/>
    <w:uiPriority w:val="99"/>
    <w:semiHidden/>
    <w:unhideWhenUsed/>
    <w:rsid w:val="002273A4"/>
    <w:pPr>
      <w:spacing w:line="240" w:lineRule="auto"/>
    </w:pPr>
    <w:rPr>
      <w:sz w:val="20"/>
      <w:szCs w:val="20"/>
    </w:rPr>
  </w:style>
  <w:style w:type="character" w:customStyle="1" w:styleId="CommentTextChar">
    <w:name w:val="Comment Text Char"/>
    <w:basedOn w:val="DefaultParagraphFont"/>
    <w:link w:val="CommentText"/>
    <w:uiPriority w:val="99"/>
    <w:semiHidden/>
    <w:rsid w:val="002273A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73A4"/>
    <w:rPr>
      <w:b/>
      <w:bCs/>
    </w:rPr>
  </w:style>
  <w:style w:type="character" w:customStyle="1" w:styleId="CommentSubjectChar">
    <w:name w:val="Comment Subject Char"/>
    <w:basedOn w:val="CommentTextChar"/>
    <w:link w:val="CommentSubject"/>
    <w:uiPriority w:val="99"/>
    <w:semiHidden/>
    <w:rsid w:val="002273A4"/>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8D6B34"/>
    <w:pPr>
      <w:spacing w:line="240" w:lineRule="auto"/>
    </w:pPr>
    <w:rPr>
      <w:sz w:val="20"/>
      <w:szCs w:val="20"/>
    </w:rPr>
  </w:style>
  <w:style w:type="character" w:customStyle="1" w:styleId="EndnoteTextChar">
    <w:name w:val="Endnote Text Char"/>
    <w:basedOn w:val="DefaultParagraphFont"/>
    <w:link w:val="EndnoteText"/>
    <w:uiPriority w:val="99"/>
    <w:semiHidden/>
    <w:rsid w:val="008D6B3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6B34"/>
    <w:rPr>
      <w:vertAlign w:val="superscript"/>
    </w:rPr>
  </w:style>
  <w:style w:type="paragraph" w:styleId="Footer">
    <w:name w:val="footer"/>
    <w:basedOn w:val="Normal"/>
    <w:link w:val="FooterChar"/>
    <w:uiPriority w:val="99"/>
    <w:unhideWhenUsed/>
    <w:rsid w:val="008468CC"/>
    <w:pPr>
      <w:tabs>
        <w:tab w:val="center" w:pos="4513"/>
        <w:tab w:val="right" w:pos="9026"/>
      </w:tabs>
      <w:spacing w:line="240" w:lineRule="auto"/>
    </w:pPr>
  </w:style>
  <w:style w:type="character" w:customStyle="1" w:styleId="FooterChar">
    <w:name w:val="Footer Char"/>
    <w:basedOn w:val="DefaultParagraphFont"/>
    <w:link w:val="Footer"/>
    <w:uiPriority w:val="99"/>
    <w:rsid w:val="008468C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493">
      <w:bodyDiv w:val="1"/>
      <w:marLeft w:val="0"/>
      <w:marRight w:val="0"/>
      <w:marTop w:val="0"/>
      <w:marBottom w:val="0"/>
      <w:divBdr>
        <w:top w:val="none" w:sz="0" w:space="0" w:color="auto"/>
        <w:left w:val="none" w:sz="0" w:space="0" w:color="auto"/>
        <w:bottom w:val="none" w:sz="0" w:space="0" w:color="auto"/>
        <w:right w:val="none" w:sz="0" w:space="0" w:color="auto"/>
      </w:divBdr>
    </w:div>
    <w:div w:id="1285696382">
      <w:bodyDiv w:val="1"/>
      <w:marLeft w:val="0"/>
      <w:marRight w:val="0"/>
      <w:marTop w:val="0"/>
      <w:marBottom w:val="0"/>
      <w:divBdr>
        <w:top w:val="none" w:sz="0" w:space="0" w:color="auto"/>
        <w:left w:val="none" w:sz="0" w:space="0" w:color="auto"/>
        <w:bottom w:val="none" w:sz="0" w:space="0" w:color="auto"/>
        <w:right w:val="none" w:sz="0" w:space="0" w:color="auto"/>
      </w:divBdr>
      <w:divsChild>
        <w:div w:id="1608467300">
          <w:marLeft w:val="0"/>
          <w:marRight w:val="0"/>
          <w:marTop w:val="120"/>
          <w:marBottom w:val="0"/>
          <w:divBdr>
            <w:top w:val="none" w:sz="0" w:space="0" w:color="auto"/>
            <w:left w:val="none" w:sz="0" w:space="0" w:color="auto"/>
            <w:bottom w:val="none" w:sz="0" w:space="0" w:color="auto"/>
            <w:right w:val="none" w:sz="0" w:space="0" w:color="auto"/>
          </w:divBdr>
        </w:div>
        <w:div w:id="7491985">
          <w:marLeft w:val="0"/>
          <w:marRight w:val="0"/>
          <w:marTop w:val="120"/>
          <w:marBottom w:val="0"/>
          <w:divBdr>
            <w:top w:val="none" w:sz="0" w:space="0" w:color="auto"/>
            <w:left w:val="none" w:sz="0" w:space="0" w:color="auto"/>
            <w:bottom w:val="none" w:sz="0" w:space="0" w:color="auto"/>
            <w:right w:val="none" w:sz="0" w:space="0" w:color="auto"/>
          </w:divBdr>
        </w:div>
        <w:div w:id="1212956597">
          <w:marLeft w:val="0"/>
          <w:marRight w:val="0"/>
          <w:marTop w:val="240"/>
          <w:marBottom w:val="24"/>
          <w:divBdr>
            <w:top w:val="single" w:sz="8" w:space="2" w:color="808080"/>
            <w:left w:val="none" w:sz="0" w:space="0" w:color="auto"/>
            <w:bottom w:val="none" w:sz="0" w:space="0" w:color="auto"/>
            <w:right w:val="none" w:sz="0" w:space="0" w:color="auto"/>
          </w:divBdr>
        </w:div>
        <w:div w:id="346491361">
          <w:marLeft w:val="0"/>
          <w:marRight w:val="0"/>
          <w:marTop w:val="120"/>
          <w:marBottom w:val="0"/>
          <w:divBdr>
            <w:top w:val="none" w:sz="0" w:space="0" w:color="auto"/>
            <w:left w:val="none" w:sz="0" w:space="0" w:color="auto"/>
            <w:bottom w:val="none" w:sz="0" w:space="0" w:color="auto"/>
            <w:right w:val="none" w:sz="0" w:space="0" w:color="auto"/>
          </w:divBdr>
        </w:div>
        <w:div w:id="153301327">
          <w:marLeft w:val="0"/>
          <w:marRight w:val="0"/>
          <w:marTop w:val="120"/>
          <w:marBottom w:val="0"/>
          <w:divBdr>
            <w:top w:val="none" w:sz="0" w:space="0" w:color="auto"/>
            <w:left w:val="none" w:sz="0" w:space="0" w:color="auto"/>
            <w:bottom w:val="none" w:sz="0" w:space="0" w:color="auto"/>
            <w:right w:val="none" w:sz="0" w:space="0" w:color="auto"/>
          </w:divBdr>
        </w:div>
      </w:divsChild>
    </w:div>
    <w:div w:id="1546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BB3F-C369-4463-9BD2-AE7AE7D9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Judge-Nambitha Dambuza</dc:creator>
  <cp:keywords/>
  <dc:description/>
  <cp:lastModifiedBy>Mary Bruce</cp:lastModifiedBy>
  <cp:revision>4</cp:revision>
  <cp:lastPrinted>2023-11-09T06:59:00Z</cp:lastPrinted>
  <dcterms:created xsi:type="dcterms:W3CDTF">2023-11-09T07:00:00Z</dcterms:created>
  <dcterms:modified xsi:type="dcterms:W3CDTF">2023-11-09T12:59:00Z</dcterms:modified>
</cp:coreProperties>
</file>