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FDA0A" w14:textId="77777777" w:rsidR="00005AA9" w:rsidRPr="00620926" w:rsidRDefault="00005AA9" w:rsidP="00005AA9">
      <w:pPr>
        <w:spacing w:after="0"/>
        <w:jc w:val="center"/>
        <w:rPr>
          <w:rFonts w:ascii="Arial" w:eastAsia="Arial" w:hAnsi="Arial" w:cs="Arial"/>
          <w:b/>
          <w:color w:val="221E1F"/>
          <w:sz w:val="24"/>
          <w:szCs w:val="24"/>
          <w:lang w:eastAsia="en-ZA"/>
        </w:rPr>
      </w:pPr>
      <w:bookmarkStart w:id="0" w:name="_Hlk147413659"/>
      <w:r w:rsidRPr="00620926">
        <w:rPr>
          <w:rFonts w:ascii="Calibri" w:eastAsia="Calibri" w:hAnsi="Calibri" w:cs="Calibri"/>
          <w:noProof/>
          <w:lang w:eastAsia="en-ZA"/>
        </w:rPr>
        <w:drawing>
          <wp:anchor distT="0" distB="0" distL="114300" distR="114300" simplePos="0" relativeHeight="251659264" behindDoc="0" locked="0" layoutInCell="1" hidden="0" allowOverlap="1" wp14:anchorId="3142BA3C" wp14:editId="67EF4D9C">
            <wp:simplePos x="0" y="0"/>
            <wp:positionH relativeFrom="column">
              <wp:posOffset>2533650</wp:posOffset>
            </wp:positionH>
            <wp:positionV relativeFrom="paragraph">
              <wp:posOffset>76200</wp:posOffset>
            </wp:positionV>
            <wp:extent cx="740410" cy="923925"/>
            <wp:effectExtent l="0" t="0" r="0" b="0"/>
            <wp:wrapTopAndBottom distT="0" distB="0"/>
            <wp:docPr id="1" name="image1.png" descr="coatarms2"/>
            <wp:cNvGraphicFramePr/>
            <a:graphic xmlns:a="http://schemas.openxmlformats.org/drawingml/2006/main">
              <a:graphicData uri="http://schemas.openxmlformats.org/drawingml/2006/picture">
                <pic:pic xmlns:pic="http://schemas.openxmlformats.org/drawingml/2006/picture">
                  <pic:nvPicPr>
                    <pic:cNvPr id="0" name="image1.png" descr="coatarms2"/>
                    <pic:cNvPicPr preferRelativeResize="0"/>
                  </pic:nvPicPr>
                  <pic:blipFill>
                    <a:blip r:embed="rId8"/>
                    <a:srcRect/>
                    <a:stretch>
                      <a:fillRect/>
                    </a:stretch>
                  </pic:blipFill>
                  <pic:spPr>
                    <a:xfrm>
                      <a:off x="0" y="0"/>
                      <a:ext cx="740410" cy="923925"/>
                    </a:xfrm>
                    <a:prstGeom prst="rect">
                      <a:avLst/>
                    </a:prstGeom>
                    <a:ln/>
                  </pic:spPr>
                </pic:pic>
              </a:graphicData>
            </a:graphic>
          </wp:anchor>
        </w:drawing>
      </w:r>
    </w:p>
    <w:p w14:paraId="78AC6A47" w14:textId="7B227906" w:rsidR="00005AA9" w:rsidRPr="00620926" w:rsidRDefault="00005AA9" w:rsidP="001A61F6">
      <w:pPr>
        <w:spacing w:after="120" w:line="276" w:lineRule="auto"/>
        <w:jc w:val="center"/>
        <w:rPr>
          <w:rFonts w:ascii="Times New Roman" w:eastAsia="Arial" w:hAnsi="Times New Roman" w:cs="Times New Roman"/>
          <w:b/>
          <w:color w:val="221E1F"/>
          <w:sz w:val="28"/>
          <w:szCs w:val="28"/>
          <w:lang w:eastAsia="en-ZA"/>
        </w:rPr>
      </w:pPr>
      <w:r w:rsidRPr="00620926">
        <w:rPr>
          <w:rFonts w:ascii="Times New Roman" w:eastAsia="Arial" w:hAnsi="Times New Roman" w:cs="Times New Roman"/>
          <w:b/>
          <w:color w:val="221E1F"/>
          <w:sz w:val="28"/>
          <w:szCs w:val="28"/>
          <w:lang w:eastAsia="en-ZA"/>
        </w:rPr>
        <w:t>THE SUPREME COURT OF APPEAL OF SOUTH AFRICA</w:t>
      </w:r>
    </w:p>
    <w:p w14:paraId="09760BED" w14:textId="3CAA35EB" w:rsidR="00005AA9" w:rsidRPr="00620926" w:rsidRDefault="00005AA9" w:rsidP="001A61F6">
      <w:pPr>
        <w:spacing w:after="120" w:line="276" w:lineRule="auto"/>
        <w:jc w:val="center"/>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JUDGMENT</w:t>
      </w:r>
    </w:p>
    <w:p w14:paraId="68E34C24" w14:textId="77777777" w:rsidR="00244085" w:rsidRPr="00620926" w:rsidRDefault="00244085" w:rsidP="001A61F6">
      <w:pPr>
        <w:spacing w:after="120" w:line="276" w:lineRule="auto"/>
        <w:jc w:val="center"/>
        <w:rPr>
          <w:rFonts w:ascii="Times New Roman" w:eastAsia="Arial" w:hAnsi="Times New Roman" w:cs="Times New Roman"/>
          <w:b/>
          <w:sz w:val="28"/>
          <w:szCs w:val="28"/>
          <w:lang w:eastAsia="en-ZA"/>
        </w:rPr>
      </w:pPr>
    </w:p>
    <w:p w14:paraId="6A319302" w14:textId="228197F9" w:rsidR="00005AA9" w:rsidRPr="00620926" w:rsidRDefault="00B54305" w:rsidP="001A61F6">
      <w:pPr>
        <w:spacing w:after="0" w:line="276" w:lineRule="auto"/>
        <w:ind w:left="720" w:right="72" w:firstLine="720"/>
        <w:jc w:val="right"/>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Not Reportable</w:t>
      </w:r>
    </w:p>
    <w:p w14:paraId="0AE194EA" w14:textId="3CF3F1E6" w:rsidR="00005AA9" w:rsidRPr="00620926" w:rsidRDefault="00005AA9" w:rsidP="001A61F6">
      <w:pPr>
        <w:spacing w:after="0" w:line="276" w:lineRule="auto"/>
        <w:ind w:right="72"/>
        <w:jc w:val="right"/>
        <w:rPr>
          <w:rFonts w:ascii="Times New Roman" w:eastAsia="Arial" w:hAnsi="Times New Roman" w:cs="Times New Roman"/>
          <w:sz w:val="28"/>
          <w:szCs w:val="28"/>
          <w:lang w:eastAsia="en-ZA"/>
        </w:rPr>
      </w:pPr>
      <w:r w:rsidRPr="00620926">
        <w:rPr>
          <w:rFonts w:ascii="Times New Roman" w:eastAsia="Arial" w:hAnsi="Times New Roman" w:cs="Times New Roman"/>
          <w:sz w:val="28"/>
          <w:szCs w:val="28"/>
          <w:lang w:eastAsia="en-ZA"/>
        </w:rPr>
        <w:t xml:space="preserve">Case No: </w:t>
      </w:r>
      <w:r w:rsidR="0068640D" w:rsidRPr="00620926">
        <w:rPr>
          <w:rFonts w:ascii="Times New Roman" w:eastAsia="Arial" w:hAnsi="Times New Roman" w:cs="Times New Roman"/>
          <w:sz w:val="28"/>
          <w:szCs w:val="28"/>
          <w:lang w:eastAsia="en-ZA"/>
        </w:rPr>
        <w:t>66</w:t>
      </w:r>
      <w:r w:rsidR="0044234F" w:rsidRPr="00620926">
        <w:rPr>
          <w:rFonts w:ascii="Times New Roman" w:eastAsia="Arial" w:hAnsi="Times New Roman" w:cs="Times New Roman"/>
          <w:sz w:val="28"/>
          <w:szCs w:val="28"/>
          <w:lang w:eastAsia="en-ZA"/>
        </w:rPr>
        <w:t>0</w:t>
      </w:r>
      <w:r w:rsidRPr="00620926">
        <w:rPr>
          <w:rFonts w:ascii="Times New Roman" w:eastAsia="Arial" w:hAnsi="Times New Roman" w:cs="Times New Roman"/>
          <w:sz w:val="28"/>
          <w:szCs w:val="28"/>
          <w:lang w:eastAsia="en-ZA"/>
        </w:rPr>
        <w:t>/202</w:t>
      </w:r>
      <w:r w:rsidR="0068640D" w:rsidRPr="00620926">
        <w:rPr>
          <w:rFonts w:ascii="Times New Roman" w:eastAsia="Arial" w:hAnsi="Times New Roman" w:cs="Times New Roman"/>
          <w:sz w:val="28"/>
          <w:szCs w:val="28"/>
          <w:lang w:eastAsia="en-ZA"/>
        </w:rPr>
        <w:t>2</w:t>
      </w:r>
    </w:p>
    <w:p w14:paraId="3AAD7DC2" w14:textId="77777777" w:rsidR="00536F17" w:rsidRPr="00620926" w:rsidRDefault="00536F17" w:rsidP="00E07113">
      <w:pPr>
        <w:spacing w:after="0" w:line="360" w:lineRule="auto"/>
        <w:ind w:right="72"/>
        <w:jc w:val="right"/>
        <w:rPr>
          <w:rFonts w:ascii="Times New Roman" w:eastAsia="Arial" w:hAnsi="Times New Roman" w:cs="Times New Roman"/>
          <w:sz w:val="28"/>
          <w:szCs w:val="28"/>
          <w:lang w:eastAsia="en-ZA"/>
        </w:rPr>
      </w:pPr>
    </w:p>
    <w:p w14:paraId="0B1A78AD" w14:textId="77777777" w:rsidR="00005AA9" w:rsidRPr="00620926" w:rsidRDefault="00005AA9" w:rsidP="001A61F6">
      <w:pPr>
        <w:spacing w:after="0" w:line="360" w:lineRule="auto"/>
        <w:jc w:val="both"/>
        <w:rPr>
          <w:rFonts w:ascii="Times New Roman" w:eastAsia="Arial" w:hAnsi="Times New Roman" w:cs="Times New Roman"/>
          <w:sz w:val="28"/>
          <w:szCs w:val="28"/>
          <w:lang w:eastAsia="en-ZA"/>
        </w:rPr>
      </w:pPr>
      <w:r w:rsidRPr="00620926">
        <w:rPr>
          <w:rFonts w:ascii="Times New Roman" w:eastAsia="Arial" w:hAnsi="Times New Roman" w:cs="Times New Roman"/>
          <w:sz w:val="28"/>
          <w:szCs w:val="28"/>
          <w:lang w:eastAsia="en-ZA"/>
        </w:rPr>
        <w:t>In the matter between:</w:t>
      </w:r>
    </w:p>
    <w:p w14:paraId="4FCF96A7" w14:textId="77777777" w:rsidR="00BF081F" w:rsidRPr="00620926" w:rsidRDefault="00BF081F" w:rsidP="0044234F">
      <w:pPr>
        <w:spacing w:after="0" w:line="240" w:lineRule="auto"/>
        <w:ind w:right="72"/>
        <w:rPr>
          <w:rFonts w:ascii="Times New Roman" w:eastAsia="Arial" w:hAnsi="Times New Roman" w:cs="Times New Roman"/>
          <w:b/>
          <w:sz w:val="28"/>
          <w:szCs w:val="28"/>
          <w:lang w:eastAsia="en-ZA"/>
        </w:rPr>
      </w:pPr>
    </w:p>
    <w:p w14:paraId="759A99A5" w14:textId="647B869A" w:rsidR="00AD024B" w:rsidRPr="00620926" w:rsidRDefault="0044234F" w:rsidP="0044234F">
      <w:pPr>
        <w:spacing w:after="0" w:line="240" w:lineRule="auto"/>
        <w:ind w:right="72"/>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 xml:space="preserve">CHAIRPERSON OF THE WESTERN </w:t>
      </w:r>
    </w:p>
    <w:p w14:paraId="1733D398" w14:textId="50AF4CA7" w:rsidR="0044234F" w:rsidRPr="00620926" w:rsidRDefault="0044234F" w:rsidP="004D5618">
      <w:pPr>
        <w:spacing w:after="0" w:line="240" w:lineRule="auto"/>
        <w:ind w:right="72"/>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CAPE</w:t>
      </w:r>
      <w:r w:rsidR="00AD024B" w:rsidRPr="00620926">
        <w:rPr>
          <w:rFonts w:ascii="Times New Roman" w:eastAsia="Arial" w:hAnsi="Times New Roman" w:cs="Times New Roman"/>
          <w:b/>
          <w:sz w:val="28"/>
          <w:szCs w:val="28"/>
          <w:lang w:eastAsia="en-ZA"/>
        </w:rPr>
        <w:t xml:space="preserve"> </w:t>
      </w:r>
      <w:r w:rsidRPr="00620926">
        <w:rPr>
          <w:rFonts w:ascii="Times New Roman" w:eastAsia="Arial" w:hAnsi="Times New Roman" w:cs="Times New Roman"/>
          <w:b/>
          <w:sz w:val="28"/>
          <w:szCs w:val="28"/>
          <w:lang w:eastAsia="en-ZA"/>
        </w:rPr>
        <w:t>GAMBLING AND RACING BOARD</w:t>
      </w:r>
      <w:r w:rsidRPr="00620926">
        <w:rPr>
          <w:rFonts w:ascii="Times New Roman" w:eastAsia="Arial" w:hAnsi="Times New Roman" w:cs="Times New Roman"/>
          <w:b/>
          <w:sz w:val="28"/>
          <w:szCs w:val="28"/>
          <w:lang w:eastAsia="en-ZA"/>
        </w:rPr>
        <w:tab/>
        <w:t xml:space="preserve">       </w:t>
      </w:r>
      <w:r w:rsidR="00AD024B" w:rsidRPr="00620926">
        <w:rPr>
          <w:rFonts w:ascii="Times New Roman" w:eastAsia="Arial" w:hAnsi="Times New Roman" w:cs="Times New Roman"/>
          <w:b/>
          <w:sz w:val="28"/>
          <w:szCs w:val="28"/>
          <w:lang w:eastAsia="en-ZA"/>
        </w:rPr>
        <w:t xml:space="preserve"> </w:t>
      </w:r>
      <w:r w:rsidRPr="00620926">
        <w:rPr>
          <w:rFonts w:ascii="Times New Roman" w:eastAsia="Arial" w:hAnsi="Times New Roman" w:cs="Times New Roman"/>
          <w:b/>
          <w:sz w:val="28"/>
          <w:szCs w:val="28"/>
          <w:lang w:eastAsia="en-ZA"/>
        </w:rPr>
        <w:t>FIRST APPELLANT</w:t>
      </w:r>
    </w:p>
    <w:p w14:paraId="7BE1E912" w14:textId="77777777" w:rsidR="00AD024B" w:rsidRPr="00620926" w:rsidRDefault="00AD024B" w:rsidP="004D5618">
      <w:pPr>
        <w:spacing w:after="0" w:line="240" w:lineRule="auto"/>
        <w:ind w:right="72"/>
        <w:rPr>
          <w:rFonts w:ascii="Times New Roman" w:eastAsia="Arial" w:hAnsi="Times New Roman" w:cs="Times New Roman"/>
          <w:b/>
          <w:sz w:val="28"/>
          <w:szCs w:val="28"/>
          <w:lang w:eastAsia="en-ZA"/>
        </w:rPr>
      </w:pPr>
    </w:p>
    <w:p w14:paraId="25BAB784" w14:textId="6AF78D0D" w:rsidR="0044234F" w:rsidRPr="00620926" w:rsidRDefault="0044234F" w:rsidP="00A91D0A">
      <w:pPr>
        <w:spacing w:after="0" w:line="240" w:lineRule="auto"/>
        <w:ind w:right="72"/>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WESTERN CAPE</w:t>
      </w:r>
    </w:p>
    <w:p w14:paraId="071EFF59" w14:textId="78F2580A" w:rsidR="0044234F" w:rsidRPr="00620926" w:rsidRDefault="0044234F" w:rsidP="00A91D0A">
      <w:pPr>
        <w:spacing w:after="0" w:line="360" w:lineRule="auto"/>
        <w:ind w:right="72"/>
        <w:jc w:val="right"/>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GAMBLING AND RACING BOARD</w:t>
      </w:r>
      <w:r w:rsidRPr="00620926">
        <w:rPr>
          <w:rFonts w:ascii="Times New Roman" w:eastAsia="Arial" w:hAnsi="Times New Roman" w:cs="Times New Roman"/>
          <w:b/>
          <w:sz w:val="28"/>
          <w:szCs w:val="28"/>
          <w:lang w:eastAsia="en-ZA"/>
        </w:rPr>
        <w:tab/>
      </w:r>
      <w:r w:rsidRPr="00620926">
        <w:rPr>
          <w:rFonts w:ascii="Times New Roman" w:eastAsia="Arial" w:hAnsi="Times New Roman" w:cs="Times New Roman"/>
          <w:b/>
          <w:sz w:val="28"/>
          <w:szCs w:val="28"/>
          <w:lang w:eastAsia="en-ZA"/>
        </w:rPr>
        <w:tab/>
        <w:t xml:space="preserve">   SECOND APPELLANT</w:t>
      </w:r>
    </w:p>
    <w:p w14:paraId="0428737E" w14:textId="77777777" w:rsidR="00AD024B" w:rsidRPr="00620926" w:rsidRDefault="00AD024B" w:rsidP="00A91D0A">
      <w:pPr>
        <w:spacing w:after="0" w:line="360" w:lineRule="auto"/>
        <w:ind w:right="72"/>
        <w:jc w:val="right"/>
        <w:rPr>
          <w:rFonts w:ascii="Times New Roman" w:eastAsia="Arial" w:hAnsi="Times New Roman" w:cs="Times New Roman"/>
          <w:b/>
          <w:sz w:val="28"/>
          <w:szCs w:val="28"/>
          <w:lang w:eastAsia="en-ZA"/>
        </w:rPr>
      </w:pPr>
    </w:p>
    <w:p w14:paraId="72E66885" w14:textId="77777777" w:rsidR="00AD024B" w:rsidRPr="00620926" w:rsidRDefault="0044234F" w:rsidP="00A91D0A">
      <w:pPr>
        <w:spacing w:after="0" w:line="240" w:lineRule="auto"/>
        <w:ind w:right="72"/>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 xml:space="preserve">VUKANI GAMING WESTERN </w:t>
      </w:r>
    </w:p>
    <w:p w14:paraId="777143E0" w14:textId="5C43D896" w:rsidR="0044234F" w:rsidRPr="00620926" w:rsidRDefault="0044234F" w:rsidP="004D5618">
      <w:pPr>
        <w:spacing w:after="0" w:line="240" w:lineRule="auto"/>
        <w:ind w:right="72"/>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CAPE (PTY) LTD</w:t>
      </w:r>
      <w:r w:rsidR="00AD024B" w:rsidRPr="00620926">
        <w:rPr>
          <w:rFonts w:ascii="Times New Roman" w:eastAsia="Arial" w:hAnsi="Times New Roman" w:cs="Times New Roman"/>
          <w:b/>
          <w:sz w:val="28"/>
          <w:szCs w:val="28"/>
          <w:lang w:eastAsia="en-ZA"/>
        </w:rPr>
        <w:t xml:space="preserve"> </w:t>
      </w:r>
      <w:r w:rsidRPr="00620926">
        <w:rPr>
          <w:rFonts w:ascii="Times New Roman" w:eastAsia="Arial" w:hAnsi="Times New Roman" w:cs="Times New Roman"/>
          <w:b/>
          <w:sz w:val="28"/>
          <w:szCs w:val="28"/>
          <w:lang w:eastAsia="en-ZA"/>
        </w:rPr>
        <w:t>t/a V SLOTS</w:t>
      </w:r>
      <w:r w:rsidRPr="00620926">
        <w:rPr>
          <w:rFonts w:ascii="Times New Roman" w:eastAsia="Arial" w:hAnsi="Times New Roman" w:cs="Times New Roman"/>
          <w:b/>
          <w:sz w:val="28"/>
          <w:szCs w:val="28"/>
          <w:lang w:eastAsia="en-ZA"/>
        </w:rPr>
        <w:tab/>
      </w:r>
      <w:r w:rsidRPr="00620926">
        <w:rPr>
          <w:rFonts w:ascii="Times New Roman" w:eastAsia="Arial" w:hAnsi="Times New Roman" w:cs="Times New Roman"/>
          <w:b/>
          <w:sz w:val="28"/>
          <w:szCs w:val="28"/>
          <w:lang w:eastAsia="en-ZA"/>
        </w:rPr>
        <w:tab/>
      </w:r>
      <w:r w:rsidR="00AD024B" w:rsidRPr="00620926">
        <w:rPr>
          <w:rFonts w:ascii="Times New Roman" w:eastAsia="Arial" w:hAnsi="Times New Roman" w:cs="Times New Roman"/>
          <w:b/>
          <w:sz w:val="28"/>
          <w:szCs w:val="28"/>
          <w:lang w:eastAsia="en-ZA"/>
        </w:rPr>
        <w:t xml:space="preserve">                 </w:t>
      </w:r>
      <w:r w:rsidRPr="00620926">
        <w:rPr>
          <w:rFonts w:ascii="Times New Roman" w:eastAsia="Arial" w:hAnsi="Times New Roman" w:cs="Times New Roman"/>
          <w:b/>
          <w:sz w:val="28"/>
          <w:szCs w:val="28"/>
          <w:lang w:eastAsia="en-ZA"/>
        </w:rPr>
        <w:t>THIRD APPELLANT</w:t>
      </w:r>
    </w:p>
    <w:p w14:paraId="681A2167" w14:textId="77777777" w:rsidR="00860BE5" w:rsidRPr="00620926" w:rsidRDefault="00860BE5" w:rsidP="004D5618">
      <w:pPr>
        <w:spacing w:after="0" w:line="240" w:lineRule="auto"/>
        <w:ind w:right="72"/>
        <w:rPr>
          <w:rFonts w:ascii="Times New Roman" w:eastAsia="Arial" w:hAnsi="Times New Roman" w:cs="Times New Roman"/>
          <w:b/>
          <w:sz w:val="28"/>
          <w:szCs w:val="28"/>
          <w:lang w:eastAsia="en-ZA"/>
        </w:rPr>
      </w:pPr>
    </w:p>
    <w:p w14:paraId="0A9FE828" w14:textId="77777777" w:rsidR="00AD024B" w:rsidRPr="00620926" w:rsidRDefault="00AD024B" w:rsidP="004D5618">
      <w:pPr>
        <w:spacing w:after="0" w:line="240" w:lineRule="auto"/>
        <w:ind w:right="72"/>
        <w:rPr>
          <w:rFonts w:ascii="Times New Roman" w:eastAsia="Arial" w:hAnsi="Times New Roman" w:cs="Times New Roman"/>
          <w:b/>
          <w:sz w:val="28"/>
          <w:szCs w:val="28"/>
          <w:lang w:eastAsia="en-ZA"/>
        </w:rPr>
      </w:pPr>
    </w:p>
    <w:p w14:paraId="464BFADB" w14:textId="77777777" w:rsidR="0044234F" w:rsidRPr="00620926" w:rsidRDefault="0044234F" w:rsidP="00A91D0A">
      <w:pPr>
        <w:spacing w:after="0" w:line="240" w:lineRule="auto"/>
        <w:ind w:right="72"/>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GRAND GAMING WESTERN CAPE</w:t>
      </w:r>
    </w:p>
    <w:p w14:paraId="6BE38B1B" w14:textId="77777777" w:rsidR="0044234F" w:rsidRPr="00620926" w:rsidRDefault="0044234F" w:rsidP="00A91D0A">
      <w:pPr>
        <w:spacing w:after="0" w:line="360" w:lineRule="auto"/>
        <w:ind w:right="72"/>
        <w:jc w:val="right"/>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(RF) (PTY) LTD t/a GRAND SLOTS</w:t>
      </w:r>
      <w:r w:rsidRPr="00620926">
        <w:rPr>
          <w:rFonts w:ascii="Times New Roman" w:eastAsia="Arial" w:hAnsi="Times New Roman" w:cs="Times New Roman"/>
          <w:b/>
          <w:sz w:val="28"/>
          <w:szCs w:val="28"/>
          <w:lang w:eastAsia="en-ZA"/>
        </w:rPr>
        <w:tab/>
      </w:r>
      <w:r w:rsidRPr="00620926">
        <w:rPr>
          <w:rFonts w:ascii="Times New Roman" w:eastAsia="Arial" w:hAnsi="Times New Roman" w:cs="Times New Roman"/>
          <w:b/>
          <w:sz w:val="28"/>
          <w:szCs w:val="28"/>
          <w:lang w:eastAsia="en-ZA"/>
        </w:rPr>
        <w:tab/>
        <w:t xml:space="preserve">   FOURTH APPELLANT</w:t>
      </w:r>
    </w:p>
    <w:p w14:paraId="0E35F657" w14:textId="77777777" w:rsidR="00BF081F" w:rsidRPr="00620926" w:rsidRDefault="00BF081F" w:rsidP="00A91D0A">
      <w:pPr>
        <w:spacing w:after="0" w:line="360" w:lineRule="auto"/>
        <w:ind w:right="72"/>
        <w:jc w:val="both"/>
        <w:rPr>
          <w:rFonts w:ascii="Times New Roman" w:eastAsia="Arial" w:hAnsi="Times New Roman" w:cs="Times New Roman"/>
          <w:sz w:val="28"/>
          <w:szCs w:val="28"/>
          <w:lang w:eastAsia="en-ZA"/>
        </w:rPr>
      </w:pPr>
    </w:p>
    <w:p w14:paraId="7C57A17A" w14:textId="6F19892E" w:rsidR="0044234F" w:rsidRPr="00620926" w:rsidRDefault="0044234F" w:rsidP="00A91D0A">
      <w:pPr>
        <w:spacing w:after="0" w:line="360" w:lineRule="auto"/>
        <w:ind w:right="72"/>
        <w:jc w:val="both"/>
        <w:rPr>
          <w:rFonts w:ascii="Times New Roman" w:eastAsia="Arial" w:hAnsi="Times New Roman" w:cs="Times New Roman"/>
          <w:sz w:val="28"/>
          <w:szCs w:val="28"/>
          <w:lang w:eastAsia="en-ZA"/>
        </w:rPr>
      </w:pPr>
      <w:proofErr w:type="gramStart"/>
      <w:r w:rsidRPr="00620926">
        <w:rPr>
          <w:rFonts w:ascii="Times New Roman" w:eastAsia="Arial" w:hAnsi="Times New Roman" w:cs="Times New Roman"/>
          <w:sz w:val="28"/>
          <w:szCs w:val="28"/>
          <w:lang w:eastAsia="en-ZA"/>
        </w:rPr>
        <w:t>and</w:t>
      </w:r>
      <w:proofErr w:type="gramEnd"/>
    </w:p>
    <w:p w14:paraId="47382426" w14:textId="77777777" w:rsidR="00BF081F" w:rsidRPr="00620926" w:rsidRDefault="00BF081F" w:rsidP="00A91D0A">
      <w:pPr>
        <w:spacing w:after="0" w:line="240" w:lineRule="auto"/>
        <w:ind w:right="72"/>
        <w:jc w:val="both"/>
        <w:rPr>
          <w:rFonts w:ascii="Times New Roman" w:eastAsia="Arial" w:hAnsi="Times New Roman" w:cs="Times New Roman"/>
          <w:b/>
          <w:sz w:val="28"/>
          <w:szCs w:val="28"/>
          <w:lang w:eastAsia="en-ZA"/>
        </w:rPr>
      </w:pPr>
    </w:p>
    <w:p w14:paraId="60760206" w14:textId="48DAC4D9" w:rsidR="0044234F" w:rsidRPr="00620926" w:rsidRDefault="0044234F" w:rsidP="00A91D0A">
      <w:pPr>
        <w:spacing w:after="0" w:line="240" w:lineRule="auto"/>
        <w:ind w:right="72"/>
        <w:jc w:val="both"/>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GOLDRUSH GROUP MANAGEMENT</w:t>
      </w:r>
    </w:p>
    <w:p w14:paraId="2A389392" w14:textId="5D81B0B2" w:rsidR="0044234F" w:rsidRPr="00620926" w:rsidRDefault="0044234F" w:rsidP="00A91D0A">
      <w:pPr>
        <w:spacing w:after="0" w:line="360" w:lineRule="auto"/>
        <w:ind w:right="72"/>
        <w:jc w:val="right"/>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(PTY) LTD</w:t>
      </w:r>
      <w:r w:rsidRPr="00620926">
        <w:rPr>
          <w:rFonts w:ascii="Times New Roman" w:eastAsia="Arial" w:hAnsi="Times New Roman" w:cs="Times New Roman"/>
          <w:b/>
          <w:sz w:val="28"/>
          <w:szCs w:val="28"/>
          <w:lang w:eastAsia="en-ZA"/>
        </w:rPr>
        <w:tab/>
      </w:r>
      <w:r w:rsidRPr="00620926">
        <w:rPr>
          <w:rFonts w:ascii="Times New Roman" w:eastAsia="Arial" w:hAnsi="Times New Roman" w:cs="Times New Roman"/>
          <w:b/>
          <w:sz w:val="28"/>
          <w:szCs w:val="28"/>
          <w:lang w:eastAsia="en-ZA"/>
        </w:rPr>
        <w:tab/>
      </w:r>
      <w:r w:rsidRPr="00620926">
        <w:rPr>
          <w:rFonts w:ascii="Times New Roman" w:eastAsia="Arial" w:hAnsi="Times New Roman" w:cs="Times New Roman"/>
          <w:b/>
          <w:sz w:val="28"/>
          <w:szCs w:val="28"/>
          <w:lang w:eastAsia="en-ZA"/>
        </w:rPr>
        <w:tab/>
      </w:r>
      <w:r w:rsidRPr="00620926">
        <w:rPr>
          <w:rFonts w:ascii="Times New Roman" w:eastAsia="Arial" w:hAnsi="Times New Roman" w:cs="Times New Roman"/>
          <w:b/>
          <w:sz w:val="28"/>
          <w:szCs w:val="28"/>
          <w:lang w:eastAsia="en-ZA"/>
        </w:rPr>
        <w:tab/>
      </w:r>
      <w:r w:rsidRPr="00620926">
        <w:rPr>
          <w:rFonts w:ascii="Times New Roman" w:eastAsia="Arial" w:hAnsi="Times New Roman" w:cs="Times New Roman"/>
          <w:b/>
          <w:sz w:val="28"/>
          <w:szCs w:val="28"/>
          <w:lang w:eastAsia="en-ZA"/>
        </w:rPr>
        <w:tab/>
      </w:r>
      <w:r w:rsidRPr="00620926">
        <w:rPr>
          <w:rFonts w:ascii="Times New Roman" w:eastAsia="Arial" w:hAnsi="Times New Roman" w:cs="Times New Roman"/>
          <w:b/>
          <w:sz w:val="28"/>
          <w:szCs w:val="28"/>
          <w:lang w:eastAsia="en-ZA"/>
        </w:rPr>
        <w:tab/>
      </w:r>
      <w:r w:rsidRPr="00620926">
        <w:rPr>
          <w:rFonts w:ascii="Times New Roman" w:eastAsia="Arial" w:hAnsi="Times New Roman" w:cs="Times New Roman"/>
          <w:b/>
          <w:sz w:val="28"/>
          <w:szCs w:val="28"/>
          <w:lang w:eastAsia="en-ZA"/>
        </w:rPr>
        <w:tab/>
        <w:t xml:space="preserve">     FIRST RESPONDENT</w:t>
      </w:r>
    </w:p>
    <w:p w14:paraId="53647202" w14:textId="77777777" w:rsidR="00860BE5" w:rsidRPr="00620926" w:rsidRDefault="00860BE5" w:rsidP="00A91D0A">
      <w:pPr>
        <w:spacing w:after="0" w:line="360" w:lineRule="auto"/>
        <w:ind w:right="72"/>
        <w:jc w:val="right"/>
        <w:rPr>
          <w:rFonts w:ascii="Times New Roman" w:eastAsia="Arial" w:hAnsi="Times New Roman" w:cs="Times New Roman"/>
          <w:b/>
          <w:sz w:val="28"/>
          <w:szCs w:val="28"/>
          <w:lang w:eastAsia="en-ZA"/>
        </w:rPr>
      </w:pPr>
    </w:p>
    <w:p w14:paraId="735D6EE1" w14:textId="77777777" w:rsidR="00AD024B" w:rsidRPr="00620926" w:rsidRDefault="0044234F" w:rsidP="00A91D0A">
      <w:pPr>
        <w:spacing w:after="0" w:line="240" w:lineRule="auto"/>
        <w:ind w:right="72"/>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 xml:space="preserve">MEMBER OF THE EXECUTIVE </w:t>
      </w:r>
    </w:p>
    <w:p w14:paraId="06376F2C" w14:textId="33427BF2" w:rsidR="00AD024B" w:rsidRPr="00620926" w:rsidRDefault="0044234F" w:rsidP="00B54305">
      <w:pPr>
        <w:spacing w:after="0" w:line="240" w:lineRule="auto"/>
        <w:ind w:right="72"/>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COUNCIL FOR FINANCE</w:t>
      </w:r>
    </w:p>
    <w:p w14:paraId="7B615AD6" w14:textId="4931C937" w:rsidR="0044234F" w:rsidRPr="00620926" w:rsidRDefault="00B54305" w:rsidP="00B54305">
      <w:pPr>
        <w:spacing w:after="0" w:line="240" w:lineRule="auto"/>
        <w:ind w:right="72"/>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(WESTERN CAPE)</w:t>
      </w:r>
      <w:r w:rsidR="00AD024B" w:rsidRPr="00620926">
        <w:rPr>
          <w:rFonts w:ascii="Times New Roman" w:eastAsia="Arial" w:hAnsi="Times New Roman" w:cs="Times New Roman"/>
          <w:b/>
          <w:sz w:val="28"/>
          <w:szCs w:val="28"/>
          <w:lang w:eastAsia="en-ZA"/>
        </w:rPr>
        <w:t xml:space="preserve">                                               </w:t>
      </w:r>
      <w:r w:rsidR="00860BE5" w:rsidRPr="00620926">
        <w:rPr>
          <w:rFonts w:ascii="Times New Roman" w:eastAsia="Arial" w:hAnsi="Times New Roman" w:cs="Times New Roman"/>
          <w:b/>
          <w:sz w:val="28"/>
          <w:szCs w:val="28"/>
          <w:lang w:eastAsia="en-ZA"/>
        </w:rPr>
        <w:t xml:space="preserve"> </w:t>
      </w:r>
      <w:r w:rsidR="0044234F" w:rsidRPr="00620926">
        <w:rPr>
          <w:rFonts w:ascii="Times New Roman" w:eastAsia="Arial" w:hAnsi="Times New Roman" w:cs="Times New Roman"/>
          <w:b/>
          <w:sz w:val="28"/>
          <w:szCs w:val="28"/>
          <w:lang w:eastAsia="en-ZA"/>
        </w:rPr>
        <w:t>SECOND RESPONDENT</w:t>
      </w:r>
    </w:p>
    <w:p w14:paraId="63F685B4" w14:textId="77777777" w:rsidR="00952B1B" w:rsidRPr="00620926" w:rsidRDefault="00952B1B" w:rsidP="00952B1B">
      <w:pPr>
        <w:spacing w:after="0" w:line="360" w:lineRule="auto"/>
        <w:ind w:right="72"/>
        <w:rPr>
          <w:rFonts w:ascii="Times New Roman" w:eastAsia="Arial" w:hAnsi="Times New Roman" w:cs="Times New Roman"/>
          <w:b/>
          <w:sz w:val="28"/>
          <w:szCs w:val="28"/>
          <w:lang w:eastAsia="en-ZA"/>
        </w:rPr>
      </w:pPr>
    </w:p>
    <w:p w14:paraId="71341A7D" w14:textId="6332053E" w:rsidR="00952B1B" w:rsidRPr="00620926" w:rsidRDefault="00005AA9" w:rsidP="00990092">
      <w:pPr>
        <w:spacing w:after="120" w:line="360" w:lineRule="auto"/>
        <w:ind w:left="2268" w:hanging="2268"/>
        <w:jc w:val="both"/>
        <w:rPr>
          <w:rFonts w:ascii="Times New Roman" w:eastAsia="Arial" w:hAnsi="Times New Roman" w:cs="Times New Roman"/>
          <w:sz w:val="28"/>
          <w:szCs w:val="28"/>
          <w:lang w:eastAsia="en-ZA"/>
        </w:rPr>
      </w:pPr>
      <w:r w:rsidRPr="00620926">
        <w:rPr>
          <w:rFonts w:ascii="Times New Roman" w:eastAsia="Arial" w:hAnsi="Times New Roman" w:cs="Times New Roman"/>
          <w:b/>
          <w:sz w:val="28"/>
          <w:szCs w:val="28"/>
          <w:lang w:eastAsia="en-ZA"/>
        </w:rPr>
        <w:lastRenderedPageBreak/>
        <w:t>Neutral citation:</w:t>
      </w:r>
      <w:r w:rsidR="00315B3D" w:rsidRPr="00620926">
        <w:rPr>
          <w:rFonts w:ascii="Times New Roman" w:eastAsia="Arial" w:hAnsi="Times New Roman" w:cs="Times New Roman"/>
          <w:b/>
          <w:sz w:val="28"/>
          <w:szCs w:val="28"/>
          <w:lang w:eastAsia="en-ZA"/>
        </w:rPr>
        <w:tab/>
      </w:r>
      <w:r w:rsidR="0044234F" w:rsidRPr="00620926">
        <w:rPr>
          <w:rFonts w:ascii="Times New Roman" w:eastAsia="Arial" w:hAnsi="Times New Roman" w:cs="Times New Roman"/>
          <w:i/>
          <w:sz w:val="28"/>
          <w:szCs w:val="28"/>
          <w:lang w:eastAsia="en-ZA"/>
        </w:rPr>
        <w:t xml:space="preserve">Chairperson of the Western Cape Gambling and Racing Board and Others v </w:t>
      </w:r>
      <w:proofErr w:type="spellStart"/>
      <w:r w:rsidR="0044234F" w:rsidRPr="00620926">
        <w:rPr>
          <w:rFonts w:ascii="Times New Roman" w:eastAsia="Arial" w:hAnsi="Times New Roman" w:cs="Times New Roman"/>
          <w:i/>
          <w:sz w:val="28"/>
          <w:szCs w:val="28"/>
          <w:lang w:eastAsia="en-ZA"/>
        </w:rPr>
        <w:t>Goldrush</w:t>
      </w:r>
      <w:proofErr w:type="spellEnd"/>
      <w:r w:rsidR="0044234F" w:rsidRPr="00620926">
        <w:rPr>
          <w:rFonts w:ascii="Times New Roman" w:eastAsia="Arial" w:hAnsi="Times New Roman" w:cs="Times New Roman"/>
          <w:i/>
          <w:sz w:val="28"/>
          <w:szCs w:val="28"/>
          <w:lang w:eastAsia="en-ZA"/>
        </w:rPr>
        <w:t xml:space="preserve"> Group Management (Pty) Ltd and Another</w:t>
      </w:r>
      <w:r w:rsidR="00056A27">
        <w:rPr>
          <w:rFonts w:ascii="Times New Roman" w:eastAsia="Arial" w:hAnsi="Times New Roman" w:cs="Times New Roman"/>
          <w:sz w:val="28"/>
          <w:szCs w:val="28"/>
          <w:lang w:eastAsia="en-ZA"/>
        </w:rPr>
        <w:t xml:space="preserve"> (660/2022)</w:t>
      </w:r>
      <w:bookmarkStart w:id="1" w:name="_GoBack"/>
      <w:bookmarkEnd w:id="1"/>
      <w:r w:rsidR="0044234F" w:rsidRPr="00620926">
        <w:rPr>
          <w:rFonts w:ascii="Times New Roman" w:eastAsia="Arial" w:hAnsi="Times New Roman" w:cs="Times New Roman"/>
          <w:i/>
          <w:sz w:val="28"/>
          <w:szCs w:val="28"/>
          <w:lang w:eastAsia="en-ZA"/>
        </w:rPr>
        <w:t xml:space="preserve"> </w:t>
      </w:r>
      <w:r w:rsidR="0044234F" w:rsidRPr="00620926">
        <w:rPr>
          <w:rFonts w:ascii="Times New Roman" w:eastAsia="Arial" w:hAnsi="Times New Roman" w:cs="Times New Roman"/>
          <w:sz w:val="28"/>
          <w:szCs w:val="28"/>
          <w:lang w:eastAsia="en-ZA"/>
        </w:rPr>
        <w:t xml:space="preserve">[2023] ZASCA </w:t>
      </w:r>
      <w:r w:rsidR="006E4745">
        <w:rPr>
          <w:rFonts w:ascii="Times New Roman" w:eastAsia="Arial" w:hAnsi="Times New Roman" w:cs="Times New Roman"/>
          <w:sz w:val="28"/>
          <w:szCs w:val="28"/>
          <w:lang w:eastAsia="en-ZA"/>
        </w:rPr>
        <w:t xml:space="preserve">148 </w:t>
      </w:r>
      <w:r w:rsidR="0044234F" w:rsidRPr="00620926">
        <w:rPr>
          <w:rFonts w:ascii="Times New Roman" w:eastAsia="Arial" w:hAnsi="Times New Roman" w:cs="Times New Roman"/>
          <w:sz w:val="28"/>
          <w:szCs w:val="28"/>
          <w:lang w:eastAsia="en-ZA"/>
        </w:rPr>
        <w:t>(</w:t>
      </w:r>
      <w:r w:rsidR="009E53BC" w:rsidRPr="00620926">
        <w:rPr>
          <w:rFonts w:ascii="Times New Roman" w:eastAsia="Arial" w:hAnsi="Times New Roman" w:cs="Times New Roman"/>
          <w:sz w:val="28"/>
          <w:szCs w:val="28"/>
          <w:lang w:eastAsia="en-ZA"/>
        </w:rPr>
        <w:t>10 November</w:t>
      </w:r>
      <w:r w:rsidR="0044234F" w:rsidRPr="00620926">
        <w:rPr>
          <w:rFonts w:ascii="Times New Roman" w:eastAsia="Arial" w:hAnsi="Times New Roman" w:cs="Times New Roman"/>
          <w:sz w:val="28"/>
          <w:szCs w:val="28"/>
          <w:lang w:eastAsia="en-ZA"/>
        </w:rPr>
        <w:t xml:space="preserve"> 2023)</w:t>
      </w:r>
    </w:p>
    <w:p w14:paraId="7D6FFC4E" w14:textId="4D7674AC" w:rsidR="00952B1B" w:rsidRPr="00620926" w:rsidRDefault="00005AA9" w:rsidP="00990092">
      <w:pPr>
        <w:spacing w:after="120" w:line="360" w:lineRule="auto"/>
        <w:ind w:left="1440" w:right="74" w:hanging="1440"/>
        <w:jc w:val="both"/>
        <w:rPr>
          <w:rFonts w:ascii="Times New Roman" w:eastAsia="Arial" w:hAnsi="Times New Roman" w:cs="Times New Roman"/>
          <w:sz w:val="28"/>
          <w:szCs w:val="28"/>
          <w:lang w:eastAsia="en-ZA"/>
        </w:rPr>
      </w:pPr>
      <w:r w:rsidRPr="00620926">
        <w:rPr>
          <w:rFonts w:ascii="Times New Roman" w:eastAsia="Arial" w:hAnsi="Times New Roman" w:cs="Times New Roman"/>
          <w:b/>
          <w:sz w:val="28"/>
          <w:szCs w:val="28"/>
          <w:lang w:eastAsia="en-ZA"/>
        </w:rPr>
        <w:t>Coram:</w:t>
      </w:r>
      <w:r w:rsidR="00A23A58" w:rsidRPr="00620926">
        <w:rPr>
          <w:rFonts w:ascii="Times New Roman" w:eastAsia="Arial" w:hAnsi="Times New Roman" w:cs="Times New Roman"/>
          <w:b/>
          <w:sz w:val="28"/>
          <w:szCs w:val="28"/>
          <w:lang w:eastAsia="en-ZA"/>
        </w:rPr>
        <w:tab/>
      </w:r>
      <w:r w:rsidR="006F5360" w:rsidRPr="00620926">
        <w:rPr>
          <w:rFonts w:ascii="Times New Roman" w:eastAsia="Arial" w:hAnsi="Times New Roman" w:cs="Times New Roman"/>
          <w:sz w:val="28"/>
          <w:szCs w:val="28"/>
          <w:lang w:eastAsia="en-ZA"/>
        </w:rPr>
        <w:t>MAKGOKA</w:t>
      </w:r>
      <w:r w:rsidR="0044234F" w:rsidRPr="00620926">
        <w:rPr>
          <w:rFonts w:ascii="Times New Roman" w:eastAsia="Arial" w:hAnsi="Times New Roman" w:cs="Times New Roman"/>
          <w:sz w:val="28"/>
          <w:szCs w:val="28"/>
          <w:lang w:eastAsia="en-ZA"/>
        </w:rPr>
        <w:t>, MABINDLA-BOQWANA</w:t>
      </w:r>
      <w:r w:rsidR="006F5360" w:rsidRPr="00620926">
        <w:rPr>
          <w:rFonts w:ascii="Times New Roman" w:eastAsia="Arial" w:hAnsi="Times New Roman" w:cs="Times New Roman"/>
          <w:sz w:val="28"/>
          <w:szCs w:val="28"/>
          <w:lang w:eastAsia="en-ZA"/>
        </w:rPr>
        <w:t xml:space="preserve">, MEYER, </w:t>
      </w:r>
      <w:r w:rsidR="0044234F" w:rsidRPr="00620926">
        <w:rPr>
          <w:rFonts w:ascii="Times New Roman" w:eastAsia="Arial" w:hAnsi="Times New Roman" w:cs="Times New Roman"/>
          <w:sz w:val="28"/>
          <w:szCs w:val="28"/>
          <w:lang w:eastAsia="en-ZA"/>
        </w:rPr>
        <w:t xml:space="preserve">GOOSEN and </w:t>
      </w:r>
      <w:r w:rsidR="006F5360" w:rsidRPr="00620926">
        <w:rPr>
          <w:rFonts w:ascii="Times New Roman" w:eastAsia="Arial" w:hAnsi="Times New Roman" w:cs="Times New Roman"/>
          <w:sz w:val="28"/>
          <w:szCs w:val="28"/>
          <w:lang w:eastAsia="en-ZA"/>
        </w:rPr>
        <w:t>MOLEFE</w:t>
      </w:r>
      <w:r w:rsidR="0044234F" w:rsidRPr="00620926">
        <w:rPr>
          <w:rFonts w:ascii="Times New Roman" w:eastAsia="Arial" w:hAnsi="Times New Roman" w:cs="Times New Roman"/>
          <w:sz w:val="28"/>
          <w:szCs w:val="28"/>
          <w:lang w:eastAsia="en-ZA"/>
        </w:rPr>
        <w:t xml:space="preserve"> JJA</w:t>
      </w:r>
    </w:p>
    <w:p w14:paraId="7B26636B" w14:textId="20D0B843" w:rsidR="00952B1B" w:rsidRPr="00620926" w:rsidRDefault="00005AA9" w:rsidP="001A61F6">
      <w:pPr>
        <w:spacing w:after="0" w:line="360" w:lineRule="auto"/>
        <w:jc w:val="both"/>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Heard:</w:t>
      </w:r>
      <w:r w:rsidRPr="00620926">
        <w:rPr>
          <w:rFonts w:ascii="Times New Roman" w:eastAsia="Arial" w:hAnsi="Times New Roman" w:cs="Times New Roman"/>
          <w:b/>
          <w:sz w:val="28"/>
          <w:szCs w:val="28"/>
          <w:lang w:eastAsia="en-ZA"/>
        </w:rPr>
        <w:tab/>
      </w:r>
      <w:r w:rsidR="0044234F" w:rsidRPr="00620926">
        <w:rPr>
          <w:rFonts w:ascii="Times New Roman" w:eastAsia="Arial" w:hAnsi="Times New Roman" w:cs="Times New Roman"/>
          <w:sz w:val="28"/>
          <w:szCs w:val="28"/>
          <w:lang w:eastAsia="en-ZA"/>
        </w:rPr>
        <w:t>15 August 2023</w:t>
      </w:r>
    </w:p>
    <w:p w14:paraId="4C6A8A58" w14:textId="5A0E4888" w:rsidR="00952B1B" w:rsidRPr="00620926" w:rsidRDefault="00005AA9" w:rsidP="00536F17">
      <w:pPr>
        <w:spacing w:after="0" w:line="360" w:lineRule="auto"/>
        <w:ind w:left="1440" w:right="72" w:hanging="1440"/>
        <w:jc w:val="both"/>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Delivered:</w:t>
      </w:r>
      <w:bookmarkStart w:id="2" w:name="_gjdgxs" w:colFirst="0" w:colLast="0"/>
      <w:bookmarkEnd w:id="2"/>
      <w:r w:rsidR="001B3BAB" w:rsidRPr="00620926">
        <w:rPr>
          <w:rFonts w:ascii="Times New Roman" w:eastAsia="Arial" w:hAnsi="Times New Roman" w:cs="Times New Roman"/>
          <w:b/>
          <w:sz w:val="28"/>
          <w:szCs w:val="28"/>
          <w:lang w:eastAsia="en-ZA"/>
        </w:rPr>
        <w:tab/>
      </w:r>
      <w:r w:rsidR="009E53BC" w:rsidRPr="00620926">
        <w:rPr>
          <w:rFonts w:ascii="Times New Roman" w:eastAsia="Arial" w:hAnsi="Times New Roman" w:cs="Times New Roman"/>
          <w:bCs/>
          <w:sz w:val="28"/>
          <w:szCs w:val="28"/>
          <w:lang w:eastAsia="en-ZA"/>
        </w:rPr>
        <w:t>10 November</w:t>
      </w:r>
      <w:r w:rsidR="001B3BAB" w:rsidRPr="00620926">
        <w:rPr>
          <w:rFonts w:ascii="Times New Roman" w:eastAsia="Arial" w:hAnsi="Times New Roman" w:cs="Times New Roman"/>
          <w:bCs/>
          <w:sz w:val="28"/>
          <w:szCs w:val="28"/>
          <w:lang w:eastAsia="en-ZA"/>
        </w:rPr>
        <w:t xml:space="preserve"> 2023</w:t>
      </w:r>
    </w:p>
    <w:p w14:paraId="333E3449" w14:textId="3E48EFD6" w:rsidR="00581186" w:rsidRPr="00620926" w:rsidRDefault="00005AA9" w:rsidP="001A61F6">
      <w:pPr>
        <w:spacing w:after="0" w:line="360" w:lineRule="auto"/>
        <w:ind w:right="72"/>
        <w:jc w:val="both"/>
        <w:rPr>
          <w:rFonts w:ascii="Times New Roman" w:eastAsia="Arial" w:hAnsi="Times New Roman" w:cs="Times New Roman"/>
          <w:sz w:val="28"/>
          <w:szCs w:val="28"/>
          <w:lang w:eastAsia="en-ZA"/>
        </w:rPr>
      </w:pPr>
      <w:r w:rsidRPr="00620926">
        <w:rPr>
          <w:rFonts w:ascii="Times New Roman" w:eastAsia="Arial" w:hAnsi="Times New Roman" w:cs="Times New Roman"/>
          <w:b/>
          <w:sz w:val="28"/>
          <w:szCs w:val="28"/>
          <w:lang w:eastAsia="en-ZA"/>
        </w:rPr>
        <w:t>Summary:</w:t>
      </w:r>
      <w:r w:rsidR="0017312C" w:rsidRPr="00620926">
        <w:rPr>
          <w:rFonts w:ascii="Times New Roman" w:eastAsia="Arial" w:hAnsi="Times New Roman" w:cs="Times New Roman"/>
          <w:sz w:val="28"/>
          <w:szCs w:val="28"/>
          <w:lang w:eastAsia="en-ZA"/>
        </w:rPr>
        <w:tab/>
      </w:r>
      <w:r w:rsidR="009E53BC" w:rsidRPr="00620926">
        <w:rPr>
          <w:rFonts w:ascii="Times New Roman" w:eastAsia="Arial" w:hAnsi="Times New Roman" w:cs="Times New Roman"/>
          <w:sz w:val="28"/>
          <w:szCs w:val="28"/>
          <w:lang w:eastAsia="en-ZA"/>
        </w:rPr>
        <w:t xml:space="preserve">Review – </w:t>
      </w:r>
      <w:r w:rsidR="004E70DA" w:rsidRPr="00620926">
        <w:rPr>
          <w:rFonts w:ascii="Times New Roman" w:eastAsia="Arial" w:hAnsi="Times New Roman" w:cs="Times New Roman"/>
          <w:sz w:val="28"/>
          <w:szCs w:val="28"/>
          <w:lang w:eastAsia="en-ZA"/>
        </w:rPr>
        <w:t xml:space="preserve">Gambling </w:t>
      </w:r>
      <w:bookmarkStart w:id="3" w:name="_Hlk150405089"/>
      <w:r w:rsidR="004E70DA" w:rsidRPr="00620926">
        <w:rPr>
          <w:rFonts w:ascii="Times New Roman" w:eastAsia="Arial" w:hAnsi="Times New Roman" w:cs="Times New Roman"/>
          <w:sz w:val="28"/>
          <w:szCs w:val="28"/>
          <w:lang w:eastAsia="en-ZA"/>
        </w:rPr>
        <w:t>–</w:t>
      </w:r>
      <w:bookmarkEnd w:id="3"/>
      <w:r w:rsidR="004E70DA" w:rsidRPr="00620926">
        <w:rPr>
          <w:rFonts w:ascii="Times New Roman" w:eastAsia="Arial" w:hAnsi="Times New Roman" w:cs="Times New Roman"/>
          <w:sz w:val="28"/>
          <w:szCs w:val="28"/>
          <w:lang w:eastAsia="en-ZA"/>
        </w:rPr>
        <w:t xml:space="preserve"> Provincial Gambling Board having licenced two limited </w:t>
      </w:r>
      <w:proofErr w:type="spellStart"/>
      <w:r w:rsidR="004E70DA" w:rsidRPr="00620926">
        <w:rPr>
          <w:rFonts w:ascii="Times New Roman" w:eastAsia="Arial" w:hAnsi="Times New Roman" w:cs="Times New Roman"/>
          <w:sz w:val="28"/>
          <w:szCs w:val="28"/>
          <w:lang w:eastAsia="en-ZA"/>
        </w:rPr>
        <w:t>payout</w:t>
      </w:r>
      <w:proofErr w:type="spellEnd"/>
      <w:r w:rsidR="004E70DA" w:rsidRPr="00620926">
        <w:rPr>
          <w:rFonts w:ascii="Times New Roman" w:eastAsia="Arial" w:hAnsi="Times New Roman" w:cs="Times New Roman"/>
          <w:sz w:val="28"/>
          <w:szCs w:val="28"/>
          <w:lang w:eastAsia="en-ZA"/>
        </w:rPr>
        <w:t xml:space="preserve"> gambling machine operators</w:t>
      </w:r>
      <w:r w:rsidR="009E53BC" w:rsidRPr="00620926">
        <w:rPr>
          <w:rFonts w:ascii="Times New Roman" w:eastAsia="Arial" w:hAnsi="Times New Roman" w:cs="Times New Roman"/>
          <w:sz w:val="28"/>
          <w:szCs w:val="28"/>
          <w:lang w:eastAsia="en-ZA"/>
        </w:rPr>
        <w:t xml:space="preserve"> and allocated limited </w:t>
      </w:r>
      <w:proofErr w:type="spellStart"/>
      <w:r w:rsidR="009E53BC" w:rsidRPr="00620926">
        <w:rPr>
          <w:rFonts w:ascii="Times New Roman" w:eastAsia="Arial" w:hAnsi="Times New Roman" w:cs="Times New Roman"/>
          <w:sz w:val="28"/>
          <w:szCs w:val="28"/>
          <w:lang w:eastAsia="en-ZA"/>
        </w:rPr>
        <w:t>payout</w:t>
      </w:r>
      <w:proofErr w:type="spellEnd"/>
      <w:r w:rsidR="009E53BC" w:rsidRPr="00620926">
        <w:rPr>
          <w:rFonts w:ascii="Times New Roman" w:eastAsia="Arial" w:hAnsi="Times New Roman" w:cs="Times New Roman"/>
          <w:sz w:val="28"/>
          <w:szCs w:val="28"/>
          <w:lang w:eastAsia="en-ZA"/>
        </w:rPr>
        <w:t xml:space="preserve"> machines to them</w:t>
      </w:r>
      <w:r w:rsidR="004E70DA" w:rsidRPr="00620926">
        <w:rPr>
          <w:rFonts w:ascii="Times New Roman" w:eastAsia="Arial" w:hAnsi="Times New Roman" w:cs="Times New Roman"/>
          <w:sz w:val="28"/>
          <w:szCs w:val="28"/>
          <w:lang w:eastAsia="en-ZA"/>
        </w:rPr>
        <w:t xml:space="preserve"> – decision taken to allocate additional limited </w:t>
      </w:r>
      <w:proofErr w:type="spellStart"/>
      <w:r w:rsidR="004E70DA" w:rsidRPr="00620926">
        <w:rPr>
          <w:rFonts w:ascii="Times New Roman" w:eastAsia="Arial" w:hAnsi="Times New Roman" w:cs="Times New Roman"/>
          <w:sz w:val="28"/>
          <w:szCs w:val="28"/>
          <w:lang w:eastAsia="en-ZA"/>
        </w:rPr>
        <w:t>payout</w:t>
      </w:r>
      <w:proofErr w:type="spellEnd"/>
      <w:r w:rsidR="004E70DA" w:rsidRPr="00620926">
        <w:rPr>
          <w:rFonts w:ascii="Times New Roman" w:eastAsia="Arial" w:hAnsi="Times New Roman" w:cs="Times New Roman"/>
          <w:sz w:val="28"/>
          <w:szCs w:val="28"/>
          <w:lang w:eastAsia="en-ZA"/>
        </w:rPr>
        <w:t xml:space="preserve"> machines to existing operators in accordance with prior reservation to do so –</w:t>
      </w:r>
      <w:r w:rsidR="00A57698" w:rsidRPr="00620926">
        <w:rPr>
          <w:rFonts w:ascii="Times New Roman" w:eastAsia="Arial" w:hAnsi="Times New Roman" w:cs="Times New Roman"/>
          <w:sz w:val="28"/>
          <w:szCs w:val="28"/>
          <w:lang w:eastAsia="en-ZA"/>
        </w:rPr>
        <w:t xml:space="preserve"> </w:t>
      </w:r>
      <w:r w:rsidR="004D5618" w:rsidRPr="00620926">
        <w:rPr>
          <w:rFonts w:ascii="Times New Roman" w:eastAsia="Arial" w:hAnsi="Times New Roman" w:cs="Times New Roman"/>
          <w:sz w:val="28"/>
          <w:szCs w:val="28"/>
          <w:lang w:eastAsia="en-ZA"/>
        </w:rPr>
        <w:t>party,</w:t>
      </w:r>
      <w:r w:rsidR="004E70DA" w:rsidRPr="00620926">
        <w:rPr>
          <w:rFonts w:ascii="Times New Roman" w:eastAsia="Arial" w:hAnsi="Times New Roman" w:cs="Times New Roman"/>
          <w:sz w:val="28"/>
          <w:szCs w:val="28"/>
          <w:lang w:eastAsia="en-ZA"/>
        </w:rPr>
        <w:t xml:space="preserve"> </w:t>
      </w:r>
      <w:r w:rsidR="00AD024B" w:rsidRPr="00620926">
        <w:rPr>
          <w:rFonts w:ascii="Times New Roman" w:eastAsia="Arial" w:hAnsi="Times New Roman" w:cs="Times New Roman"/>
          <w:sz w:val="28"/>
          <w:szCs w:val="28"/>
          <w:lang w:eastAsia="en-ZA"/>
        </w:rPr>
        <w:t xml:space="preserve">which was not part of the initial </w:t>
      </w:r>
      <w:r w:rsidR="009E53BC" w:rsidRPr="00620926">
        <w:rPr>
          <w:rFonts w:ascii="Times New Roman" w:eastAsia="Arial" w:hAnsi="Times New Roman" w:cs="Times New Roman"/>
          <w:sz w:val="28"/>
          <w:szCs w:val="28"/>
          <w:lang w:eastAsia="en-ZA"/>
        </w:rPr>
        <w:t xml:space="preserve">licencing and </w:t>
      </w:r>
      <w:r w:rsidR="00AD024B" w:rsidRPr="00620926">
        <w:rPr>
          <w:rFonts w:ascii="Times New Roman" w:eastAsia="Arial" w:hAnsi="Times New Roman" w:cs="Times New Roman"/>
          <w:sz w:val="28"/>
          <w:szCs w:val="28"/>
          <w:lang w:eastAsia="en-ZA"/>
        </w:rPr>
        <w:t>allocation</w:t>
      </w:r>
      <w:r w:rsidR="009E53BC" w:rsidRPr="00620926">
        <w:rPr>
          <w:rFonts w:ascii="Times New Roman" w:eastAsia="Arial" w:hAnsi="Times New Roman" w:cs="Times New Roman"/>
          <w:sz w:val="28"/>
          <w:szCs w:val="28"/>
          <w:lang w:eastAsia="en-ZA"/>
        </w:rPr>
        <w:t xml:space="preserve"> process</w:t>
      </w:r>
      <w:r w:rsidR="00AD024B" w:rsidRPr="00620926">
        <w:rPr>
          <w:rFonts w:ascii="Times New Roman" w:eastAsia="Arial" w:hAnsi="Times New Roman" w:cs="Times New Roman"/>
          <w:sz w:val="28"/>
          <w:szCs w:val="28"/>
          <w:lang w:eastAsia="en-ZA"/>
        </w:rPr>
        <w:t xml:space="preserve">, </w:t>
      </w:r>
      <w:r w:rsidR="00A57698" w:rsidRPr="00620926">
        <w:rPr>
          <w:rFonts w:ascii="Times New Roman" w:eastAsia="Arial" w:hAnsi="Times New Roman" w:cs="Times New Roman"/>
          <w:sz w:val="28"/>
          <w:szCs w:val="28"/>
          <w:lang w:eastAsia="en-ZA"/>
        </w:rPr>
        <w:t xml:space="preserve">lacking </w:t>
      </w:r>
      <w:r w:rsidR="004E70DA" w:rsidRPr="00620926">
        <w:rPr>
          <w:rFonts w:ascii="Times New Roman" w:eastAsia="Arial" w:hAnsi="Times New Roman" w:cs="Times New Roman"/>
          <w:sz w:val="28"/>
          <w:szCs w:val="28"/>
          <w:lang w:eastAsia="en-ZA"/>
        </w:rPr>
        <w:t xml:space="preserve">standing to </w:t>
      </w:r>
      <w:r w:rsidR="009E53BC" w:rsidRPr="00620926">
        <w:rPr>
          <w:rFonts w:ascii="Times New Roman" w:eastAsia="Arial" w:hAnsi="Times New Roman" w:cs="Times New Roman"/>
          <w:sz w:val="28"/>
          <w:szCs w:val="28"/>
          <w:lang w:eastAsia="en-ZA"/>
        </w:rPr>
        <w:t>challenge the allocation</w:t>
      </w:r>
      <w:r w:rsidR="00A57698" w:rsidRPr="00620926">
        <w:rPr>
          <w:rFonts w:ascii="Times New Roman" w:eastAsia="Arial" w:hAnsi="Times New Roman" w:cs="Times New Roman"/>
          <w:sz w:val="28"/>
          <w:szCs w:val="28"/>
          <w:lang w:eastAsia="en-ZA"/>
        </w:rPr>
        <w:t xml:space="preserve"> on</w:t>
      </w:r>
      <w:r w:rsidR="004E70DA" w:rsidRPr="00620926">
        <w:rPr>
          <w:rFonts w:ascii="Times New Roman" w:eastAsia="Arial" w:hAnsi="Times New Roman" w:cs="Times New Roman"/>
          <w:sz w:val="28"/>
          <w:szCs w:val="28"/>
          <w:lang w:eastAsia="en-ZA"/>
        </w:rPr>
        <w:t xml:space="preserve"> review </w:t>
      </w:r>
      <w:r w:rsidR="00A57698" w:rsidRPr="00620926">
        <w:rPr>
          <w:rFonts w:ascii="Times New Roman" w:eastAsia="Arial" w:hAnsi="Times New Roman" w:cs="Times New Roman"/>
          <w:sz w:val="28"/>
          <w:szCs w:val="28"/>
          <w:lang w:eastAsia="en-ZA"/>
        </w:rPr>
        <w:t>– Board decision in any event lawful.</w:t>
      </w:r>
      <w:r w:rsidR="004E70DA" w:rsidRPr="00620926">
        <w:rPr>
          <w:rFonts w:ascii="Times New Roman" w:eastAsia="Arial" w:hAnsi="Times New Roman" w:cs="Times New Roman"/>
          <w:sz w:val="28"/>
          <w:szCs w:val="28"/>
          <w:lang w:eastAsia="en-ZA"/>
        </w:rPr>
        <w:t xml:space="preserve"> </w:t>
      </w:r>
      <w:r w:rsidR="00581186" w:rsidRPr="00620926">
        <w:rPr>
          <w:rFonts w:ascii="Times New Roman" w:eastAsia="Arial" w:hAnsi="Times New Roman" w:cs="Times New Roman"/>
          <w:sz w:val="28"/>
          <w:szCs w:val="28"/>
          <w:lang w:eastAsia="en-ZA"/>
        </w:rPr>
        <w:br w:type="page"/>
      </w:r>
    </w:p>
    <w:p w14:paraId="7DC966F4" w14:textId="7FA86DBF" w:rsidR="00005AA9" w:rsidRPr="00620926" w:rsidRDefault="00005AA9" w:rsidP="00990092">
      <w:pPr>
        <w:spacing w:after="120" w:line="360" w:lineRule="auto"/>
        <w:jc w:val="both"/>
        <w:rPr>
          <w:rFonts w:ascii="Times New Roman" w:eastAsia="Arial" w:hAnsi="Times New Roman" w:cs="Times New Roman"/>
          <w:sz w:val="28"/>
          <w:szCs w:val="28"/>
          <w:lang w:eastAsia="en-ZA"/>
        </w:rPr>
      </w:pPr>
      <w:r w:rsidRPr="00620926">
        <w:rPr>
          <w:rFonts w:ascii="Times New Roman" w:eastAsia="Arial" w:hAnsi="Times New Roman" w:cs="Times New Roman"/>
          <w:sz w:val="28"/>
          <w:szCs w:val="28"/>
          <w:lang w:eastAsia="en-ZA"/>
        </w:rPr>
        <w:lastRenderedPageBreak/>
        <w:t>___________________________________</w:t>
      </w:r>
      <w:r w:rsidR="00AC505C" w:rsidRPr="00620926">
        <w:rPr>
          <w:rFonts w:ascii="Times New Roman" w:eastAsia="Arial" w:hAnsi="Times New Roman" w:cs="Times New Roman"/>
          <w:sz w:val="28"/>
          <w:szCs w:val="28"/>
          <w:lang w:eastAsia="en-ZA"/>
        </w:rPr>
        <w:t>_____________________________</w:t>
      </w:r>
    </w:p>
    <w:p w14:paraId="6217F794" w14:textId="28AD5772" w:rsidR="00005AA9" w:rsidRPr="00620926" w:rsidRDefault="00005AA9" w:rsidP="00005AA9">
      <w:pPr>
        <w:spacing w:after="0" w:line="360" w:lineRule="auto"/>
        <w:jc w:val="center"/>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ORDER</w:t>
      </w:r>
    </w:p>
    <w:p w14:paraId="4C81E48C" w14:textId="37B5F60E" w:rsidR="00005AA9" w:rsidRPr="00620926" w:rsidRDefault="00005AA9" w:rsidP="00005AA9">
      <w:pPr>
        <w:spacing w:after="0" w:line="360" w:lineRule="auto"/>
        <w:jc w:val="both"/>
        <w:rPr>
          <w:rFonts w:ascii="Times New Roman" w:eastAsia="Arial" w:hAnsi="Times New Roman" w:cs="Times New Roman"/>
          <w:sz w:val="28"/>
          <w:szCs w:val="28"/>
          <w:lang w:eastAsia="en-ZA"/>
        </w:rPr>
      </w:pPr>
      <w:r w:rsidRPr="00620926">
        <w:rPr>
          <w:rFonts w:ascii="Times New Roman" w:eastAsia="Arial" w:hAnsi="Times New Roman" w:cs="Times New Roman"/>
          <w:sz w:val="28"/>
          <w:szCs w:val="28"/>
          <w:lang w:eastAsia="en-ZA"/>
        </w:rPr>
        <w:t>___________________________________</w:t>
      </w:r>
      <w:r w:rsidR="00AC505C" w:rsidRPr="00620926">
        <w:rPr>
          <w:rFonts w:ascii="Times New Roman" w:eastAsia="Arial" w:hAnsi="Times New Roman" w:cs="Times New Roman"/>
          <w:sz w:val="28"/>
          <w:szCs w:val="28"/>
          <w:lang w:eastAsia="en-ZA"/>
        </w:rPr>
        <w:t>_____________________________</w:t>
      </w:r>
    </w:p>
    <w:p w14:paraId="456B7533" w14:textId="477300BB" w:rsidR="00197D22" w:rsidRPr="00620926" w:rsidRDefault="00005AA9" w:rsidP="00A91D0A">
      <w:pPr>
        <w:spacing w:after="0" w:line="360" w:lineRule="auto"/>
        <w:ind w:right="72"/>
        <w:jc w:val="both"/>
        <w:rPr>
          <w:rFonts w:ascii="Times New Roman" w:eastAsia="Arial" w:hAnsi="Times New Roman" w:cs="Times New Roman"/>
          <w:sz w:val="28"/>
          <w:szCs w:val="28"/>
          <w:lang w:eastAsia="en-ZA"/>
        </w:rPr>
      </w:pPr>
      <w:r w:rsidRPr="00620926">
        <w:rPr>
          <w:rFonts w:ascii="Times New Roman" w:eastAsia="Arial" w:hAnsi="Times New Roman" w:cs="Times New Roman"/>
          <w:b/>
          <w:sz w:val="28"/>
          <w:szCs w:val="28"/>
          <w:lang w:eastAsia="en-ZA"/>
        </w:rPr>
        <w:t>On appeal from:</w:t>
      </w:r>
      <w:r w:rsidR="00A23A58" w:rsidRPr="00620926">
        <w:rPr>
          <w:rFonts w:ascii="Times New Roman" w:eastAsia="Arial" w:hAnsi="Times New Roman" w:cs="Times New Roman"/>
          <w:b/>
          <w:sz w:val="28"/>
          <w:szCs w:val="28"/>
          <w:lang w:eastAsia="en-ZA"/>
        </w:rPr>
        <w:t xml:space="preserve"> </w:t>
      </w:r>
      <w:bookmarkStart w:id="4" w:name="_Hlk134726452"/>
      <w:r w:rsidR="00A91D0A" w:rsidRPr="00620926">
        <w:rPr>
          <w:rFonts w:ascii="Times New Roman" w:eastAsia="Arial" w:hAnsi="Times New Roman" w:cs="Times New Roman"/>
          <w:sz w:val="28"/>
          <w:szCs w:val="28"/>
          <w:lang w:eastAsia="en-ZA"/>
        </w:rPr>
        <w:t>Western Cape Division of the High Court, Cape Town (</w:t>
      </w:r>
      <w:proofErr w:type="spellStart"/>
      <w:r w:rsidR="00A91D0A" w:rsidRPr="00620926">
        <w:rPr>
          <w:rFonts w:ascii="Times New Roman" w:eastAsia="Arial" w:hAnsi="Times New Roman" w:cs="Times New Roman"/>
          <w:sz w:val="28"/>
          <w:szCs w:val="28"/>
          <w:lang w:eastAsia="en-ZA"/>
        </w:rPr>
        <w:t>Kusevitsky</w:t>
      </w:r>
      <w:proofErr w:type="spellEnd"/>
      <w:r w:rsidR="00A91D0A" w:rsidRPr="00620926">
        <w:rPr>
          <w:rFonts w:ascii="Times New Roman" w:eastAsia="Arial" w:hAnsi="Times New Roman" w:cs="Times New Roman"/>
          <w:sz w:val="28"/>
          <w:szCs w:val="28"/>
          <w:lang w:eastAsia="en-ZA"/>
        </w:rPr>
        <w:t xml:space="preserve"> J, sitting</w:t>
      </w:r>
      <w:r w:rsidR="00A91D0A" w:rsidRPr="00620926">
        <w:rPr>
          <w:rFonts w:ascii="Times New Roman" w:eastAsia="Calibri" w:hAnsi="Times New Roman" w:cs="Times New Roman"/>
          <w:sz w:val="28"/>
          <w:szCs w:val="28"/>
          <w:lang w:eastAsia="en-ZA"/>
        </w:rPr>
        <w:t xml:space="preserve"> </w:t>
      </w:r>
      <w:r w:rsidR="00A91D0A" w:rsidRPr="00620926">
        <w:rPr>
          <w:rFonts w:ascii="Times New Roman" w:eastAsia="Arial" w:hAnsi="Times New Roman" w:cs="Times New Roman"/>
          <w:sz w:val="28"/>
          <w:szCs w:val="28"/>
          <w:lang w:eastAsia="en-ZA"/>
        </w:rPr>
        <w:t>as court of first instance):</w:t>
      </w:r>
    </w:p>
    <w:p w14:paraId="053039B5" w14:textId="03F1D94F" w:rsidR="006F5360" w:rsidRPr="00620926" w:rsidRDefault="006F5360" w:rsidP="00A91D0A">
      <w:pPr>
        <w:spacing w:after="0" w:line="360" w:lineRule="auto"/>
        <w:ind w:right="72"/>
        <w:jc w:val="both"/>
        <w:rPr>
          <w:rFonts w:ascii="Times New Roman" w:eastAsia="Arial" w:hAnsi="Times New Roman" w:cs="Times New Roman"/>
          <w:sz w:val="28"/>
          <w:szCs w:val="28"/>
          <w:lang w:eastAsia="en-ZA"/>
        </w:rPr>
      </w:pPr>
      <w:r w:rsidRPr="00620926">
        <w:rPr>
          <w:rFonts w:ascii="Times New Roman" w:eastAsia="Arial" w:hAnsi="Times New Roman" w:cs="Times New Roman"/>
          <w:sz w:val="28"/>
          <w:szCs w:val="28"/>
          <w:lang w:eastAsia="en-ZA"/>
        </w:rPr>
        <w:t>1</w:t>
      </w:r>
      <w:r w:rsidR="00A57698" w:rsidRPr="00620926">
        <w:rPr>
          <w:rFonts w:ascii="Times New Roman" w:eastAsia="Arial" w:hAnsi="Times New Roman" w:cs="Times New Roman"/>
          <w:sz w:val="28"/>
          <w:szCs w:val="28"/>
          <w:lang w:eastAsia="en-ZA"/>
        </w:rPr>
        <w:t xml:space="preserve"> </w:t>
      </w:r>
      <w:r w:rsidRPr="00620926">
        <w:rPr>
          <w:rFonts w:ascii="Times New Roman" w:eastAsia="Arial" w:hAnsi="Times New Roman" w:cs="Times New Roman"/>
          <w:sz w:val="28"/>
          <w:szCs w:val="28"/>
          <w:lang w:eastAsia="en-ZA"/>
        </w:rPr>
        <w:t>The appeal is upheld with costs, including the costs of two counsel</w:t>
      </w:r>
      <w:r w:rsidR="004E70DA" w:rsidRPr="00620926">
        <w:rPr>
          <w:rFonts w:ascii="Times New Roman" w:eastAsia="Arial" w:hAnsi="Times New Roman" w:cs="Times New Roman"/>
          <w:sz w:val="28"/>
          <w:szCs w:val="28"/>
          <w:lang w:eastAsia="en-ZA"/>
        </w:rPr>
        <w:t xml:space="preserve"> where so employed</w:t>
      </w:r>
      <w:r w:rsidRPr="00620926">
        <w:rPr>
          <w:rFonts w:ascii="Times New Roman" w:eastAsia="Arial" w:hAnsi="Times New Roman" w:cs="Times New Roman"/>
          <w:sz w:val="28"/>
          <w:szCs w:val="28"/>
          <w:lang w:eastAsia="en-ZA"/>
        </w:rPr>
        <w:t>.</w:t>
      </w:r>
    </w:p>
    <w:p w14:paraId="64D2605D" w14:textId="08095913" w:rsidR="006F5360" w:rsidRPr="00620926" w:rsidRDefault="006F5360" w:rsidP="00A91D0A">
      <w:pPr>
        <w:spacing w:after="0" w:line="360" w:lineRule="auto"/>
        <w:ind w:right="72"/>
        <w:jc w:val="both"/>
        <w:rPr>
          <w:rFonts w:ascii="Times New Roman" w:eastAsia="Arial" w:hAnsi="Times New Roman" w:cs="Times New Roman"/>
          <w:sz w:val="28"/>
          <w:szCs w:val="28"/>
          <w:lang w:eastAsia="en-ZA"/>
        </w:rPr>
      </w:pPr>
      <w:r w:rsidRPr="00620926">
        <w:rPr>
          <w:rFonts w:ascii="Times New Roman" w:eastAsia="Arial" w:hAnsi="Times New Roman" w:cs="Times New Roman"/>
          <w:sz w:val="28"/>
          <w:szCs w:val="28"/>
          <w:lang w:eastAsia="en-ZA"/>
        </w:rPr>
        <w:t>2</w:t>
      </w:r>
      <w:r w:rsidR="00A57698" w:rsidRPr="00620926">
        <w:rPr>
          <w:rFonts w:ascii="Times New Roman" w:eastAsia="Arial" w:hAnsi="Times New Roman" w:cs="Times New Roman"/>
          <w:sz w:val="28"/>
          <w:szCs w:val="28"/>
          <w:lang w:eastAsia="en-ZA"/>
        </w:rPr>
        <w:t xml:space="preserve"> </w:t>
      </w:r>
      <w:r w:rsidRPr="00620926">
        <w:rPr>
          <w:rFonts w:ascii="Times New Roman" w:eastAsia="Arial" w:hAnsi="Times New Roman" w:cs="Times New Roman"/>
          <w:sz w:val="28"/>
          <w:szCs w:val="28"/>
          <w:lang w:eastAsia="en-ZA"/>
        </w:rPr>
        <w:t xml:space="preserve">The order of the high court </w:t>
      </w:r>
      <w:r w:rsidR="002B453D" w:rsidRPr="00620926">
        <w:rPr>
          <w:rFonts w:ascii="Times New Roman" w:eastAsia="Arial" w:hAnsi="Times New Roman" w:cs="Times New Roman"/>
          <w:sz w:val="28"/>
          <w:szCs w:val="28"/>
          <w:lang w:eastAsia="en-ZA"/>
        </w:rPr>
        <w:t>is</w:t>
      </w:r>
      <w:r w:rsidRPr="00620926">
        <w:rPr>
          <w:rFonts w:ascii="Times New Roman" w:eastAsia="Arial" w:hAnsi="Times New Roman" w:cs="Times New Roman"/>
          <w:sz w:val="28"/>
          <w:szCs w:val="28"/>
          <w:lang w:eastAsia="en-ZA"/>
        </w:rPr>
        <w:t xml:space="preserve"> set aside and </w:t>
      </w:r>
      <w:r w:rsidR="005456AA" w:rsidRPr="00620926">
        <w:rPr>
          <w:rFonts w:ascii="Times New Roman" w:eastAsia="Arial" w:hAnsi="Times New Roman" w:cs="Times New Roman"/>
          <w:sz w:val="28"/>
          <w:szCs w:val="28"/>
          <w:lang w:eastAsia="en-ZA"/>
        </w:rPr>
        <w:t>replaced</w:t>
      </w:r>
      <w:r w:rsidRPr="00620926">
        <w:rPr>
          <w:rFonts w:ascii="Times New Roman" w:eastAsia="Arial" w:hAnsi="Times New Roman" w:cs="Times New Roman"/>
          <w:sz w:val="28"/>
          <w:szCs w:val="28"/>
          <w:lang w:eastAsia="en-ZA"/>
        </w:rPr>
        <w:t xml:space="preserve"> with the following order:</w:t>
      </w:r>
    </w:p>
    <w:p w14:paraId="445EA92E" w14:textId="37A561BF" w:rsidR="006F5360" w:rsidRPr="00620926" w:rsidRDefault="006F5360" w:rsidP="006F36F4">
      <w:pPr>
        <w:spacing w:after="0" w:line="360" w:lineRule="auto"/>
        <w:ind w:left="426" w:right="72"/>
        <w:jc w:val="both"/>
        <w:rPr>
          <w:rFonts w:ascii="Times New Roman" w:eastAsia="Arial" w:hAnsi="Times New Roman" w:cs="Times New Roman"/>
          <w:sz w:val="28"/>
          <w:szCs w:val="28"/>
          <w:lang w:eastAsia="en-ZA"/>
        </w:rPr>
      </w:pPr>
      <w:r w:rsidRPr="00620926">
        <w:rPr>
          <w:rFonts w:ascii="Times New Roman" w:eastAsia="Arial" w:hAnsi="Times New Roman" w:cs="Times New Roman"/>
          <w:sz w:val="28"/>
          <w:szCs w:val="28"/>
          <w:lang w:eastAsia="en-ZA"/>
        </w:rPr>
        <w:t>‘The application is dismissed with costs, including the costs of two counsel</w:t>
      </w:r>
      <w:r w:rsidR="004E70DA" w:rsidRPr="00620926">
        <w:rPr>
          <w:rFonts w:ascii="Times New Roman" w:eastAsia="Arial" w:hAnsi="Times New Roman" w:cs="Times New Roman"/>
          <w:sz w:val="28"/>
          <w:szCs w:val="28"/>
          <w:lang w:eastAsia="en-ZA"/>
        </w:rPr>
        <w:t xml:space="preserve"> where so employed</w:t>
      </w:r>
      <w:r w:rsidRPr="00620926">
        <w:rPr>
          <w:rFonts w:ascii="Times New Roman" w:eastAsia="Arial" w:hAnsi="Times New Roman" w:cs="Times New Roman"/>
          <w:sz w:val="28"/>
          <w:szCs w:val="28"/>
          <w:lang w:eastAsia="en-ZA"/>
        </w:rPr>
        <w:t>.’</w:t>
      </w:r>
    </w:p>
    <w:bookmarkEnd w:id="4"/>
    <w:p w14:paraId="111E9266" w14:textId="4028FFFB" w:rsidR="00005AA9" w:rsidRPr="00620926" w:rsidRDefault="00005AA9" w:rsidP="00990092">
      <w:pPr>
        <w:spacing w:after="120" w:line="360" w:lineRule="auto"/>
        <w:ind w:right="72"/>
        <w:jc w:val="both"/>
        <w:rPr>
          <w:rFonts w:ascii="Times New Roman" w:eastAsia="Arial" w:hAnsi="Times New Roman" w:cs="Times New Roman"/>
          <w:sz w:val="28"/>
          <w:szCs w:val="28"/>
          <w:lang w:eastAsia="en-ZA"/>
        </w:rPr>
      </w:pPr>
      <w:r w:rsidRPr="00620926">
        <w:rPr>
          <w:rFonts w:ascii="Times New Roman" w:eastAsia="Arial" w:hAnsi="Times New Roman" w:cs="Times New Roman"/>
          <w:sz w:val="28"/>
          <w:szCs w:val="28"/>
          <w:lang w:eastAsia="en-ZA"/>
        </w:rPr>
        <w:t>___________________________________</w:t>
      </w:r>
      <w:r w:rsidR="00AC505C" w:rsidRPr="00620926">
        <w:rPr>
          <w:rFonts w:ascii="Times New Roman" w:eastAsia="Arial" w:hAnsi="Times New Roman" w:cs="Times New Roman"/>
          <w:sz w:val="28"/>
          <w:szCs w:val="28"/>
          <w:lang w:eastAsia="en-ZA"/>
        </w:rPr>
        <w:t>____________________________</w:t>
      </w:r>
    </w:p>
    <w:p w14:paraId="0EC02716" w14:textId="77777777" w:rsidR="00005AA9" w:rsidRPr="00620926" w:rsidRDefault="00005AA9" w:rsidP="00005AA9">
      <w:pPr>
        <w:spacing w:after="0" w:line="360" w:lineRule="auto"/>
        <w:ind w:right="72"/>
        <w:jc w:val="center"/>
        <w:rPr>
          <w:rFonts w:ascii="Times New Roman" w:eastAsia="Arial" w:hAnsi="Times New Roman" w:cs="Times New Roman"/>
          <w:b/>
          <w:sz w:val="28"/>
          <w:szCs w:val="28"/>
          <w:lang w:eastAsia="en-ZA"/>
        </w:rPr>
      </w:pPr>
      <w:r w:rsidRPr="00620926">
        <w:rPr>
          <w:rFonts w:ascii="Times New Roman" w:eastAsia="Arial" w:hAnsi="Times New Roman" w:cs="Times New Roman"/>
          <w:b/>
          <w:sz w:val="28"/>
          <w:szCs w:val="28"/>
          <w:lang w:eastAsia="en-ZA"/>
        </w:rPr>
        <w:t>JUDGMENT</w:t>
      </w:r>
    </w:p>
    <w:p w14:paraId="7CA839AD" w14:textId="63475CFA" w:rsidR="00005AA9" w:rsidRPr="00620926" w:rsidRDefault="00005AA9" w:rsidP="00005AA9">
      <w:pPr>
        <w:spacing w:after="0" w:line="360" w:lineRule="auto"/>
        <w:ind w:right="72"/>
        <w:jc w:val="both"/>
        <w:rPr>
          <w:rFonts w:ascii="Times New Roman" w:eastAsia="Arial" w:hAnsi="Times New Roman" w:cs="Times New Roman"/>
          <w:sz w:val="28"/>
          <w:szCs w:val="28"/>
          <w:lang w:eastAsia="en-ZA"/>
        </w:rPr>
      </w:pPr>
      <w:r w:rsidRPr="00620926">
        <w:rPr>
          <w:rFonts w:ascii="Times New Roman" w:eastAsia="Arial" w:hAnsi="Times New Roman" w:cs="Times New Roman"/>
          <w:sz w:val="28"/>
          <w:szCs w:val="28"/>
          <w:lang w:eastAsia="en-ZA"/>
        </w:rPr>
        <w:t>___________________________________</w:t>
      </w:r>
      <w:r w:rsidR="00AC505C" w:rsidRPr="00620926">
        <w:rPr>
          <w:rFonts w:ascii="Times New Roman" w:eastAsia="Arial" w:hAnsi="Times New Roman" w:cs="Times New Roman"/>
          <w:sz w:val="28"/>
          <w:szCs w:val="28"/>
          <w:lang w:eastAsia="en-ZA"/>
        </w:rPr>
        <w:t>____________________________</w:t>
      </w:r>
    </w:p>
    <w:p w14:paraId="174B9392" w14:textId="575594B5" w:rsidR="00CD2DAD" w:rsidRPr="00620926" w:rsidRDefault="00E66623" w:rsidP="004D5618">
      <w:pPr>
        <w:spacing w:before="120" w:after="120" w:line="360" w:lineRule="auto"/>
        <w:ind w:right="74"/>
        <w:jc w:val="both"/>
        <w:rPr>
          <w:rFonts w:ascii="Times New Roman" w:hAnsi="Times New Roman" w:cs="Times New Roman"/>
          <w:sz w:val="28"/>
          <w:szCs w:val="28"/>
          <w:lang w:val="en-GB"/>
        </w:rPr>
      </w:pPr>
      <w:r w:rsidRPr="00620926">
        <w:rPr>
          <w:rFonts w:ascii="Times New Roman" w:eastAsia="Arial" w:hAnsi="Times New Roman" w:cs="Times New Roman"/>
          <w:b/>
          <w:sz w:val="28"/>
          <w:szCs w:val="28"/>
          <w:lang w:eastAsia="en-ZA"/>
        </w:rPr>
        <w:t xml:space="preserve">Goosen </w:t>
      </w:r>
      <w:r w:rsidR="00D26D51" w:rsidRPr="00620926">
        <w:rPr>
          <w:rFonts w:ascii="Times New Roman" w:eastAsia="Arial" w:hAnsi="Times New Roman" w:cs="Times New Roman"/>
          <w:b/>
          <w:sz w:val="28"/>
          <w:szCs w:val="28"/>
          <w:lang w:eastAsia="en-ZA"/>
        </w:rPr>
        <w:t>JA</w:t>
      </w:r>
      <w:r w:rsidR="00005AA9" w:rsidRPr="00620926">
        <w:rPr>
          <w:rFonts w:ascii="Times New Roman" w:eastAsia="Arial" w:hAnsi="Times New Roman" w:cs="Times New Roman"/>
          <w:b/>
          <w:sz w:val="28"/>
          <w:szCs w:val="28"/>
          <w:lang w:eastAsia="en-ZA"/>
        </w:rPr>
        <w:t xml:space="preserve"> (</w:t>
      </w:r>
      <w:r w:rsidR="00A57698" w:rsidRPr="00620926">
        <w:rPr>
          <w:rFonts w:ascii="Times New Roman" w:eastAsia="Arial" w:hAnsi="Times New Roman" w:cs="Times New Roman"/>
          <w:b/>
          <w:sz w:val="28"/>
          <w:szCs w:val="28"/>
          <w:lang w:eastAsia="en-ZA"/>
        </w:rPr>
        <w:t>Makgoka, Mabindla-Boqwana, Meyer and Molefe JJA concurring</w:t>
      </w:r>
      <w:r w:rsidR="00065C06" w:rsidRPr="00620926">
        <w:rPr>
          <w:rFonts w:ascii="Times New Roman" w:eastAsia="Arial" w:hAnsi="Times New Roman" w:cs="Times New Roman"/>
          <w:b/>
          <w:sz w:val="28"/>
          <w:szCs w:val="28"/>
          <w:lang w:eastAsia="en-ZA"/>
        </w:rPr>
        <w:t>)</w:t>
      </w:r>
      <w:r w:rsidR="00A57698" w:rsidRPr="00620926">
        <w:rPr>
          <w:rFonts w:ascii="Times New Roman" w:eastAsia="Arial" w:hAnsi="Times New Roman" w:cs="Times New Roman"/>
          <w:b/>
          <w:sz w:val="28"/>
          <w:szCs w:val="28"/>
          <w:lang w:eastAsia="en-ZA"/>
        </w:rPr>
        <w:t>:</w:t>
      </w:r>
    </w:p>
    <w:p w14:paraId="29C5F1D1" w14:textId="26DF2332" w:rsidR="00BC3AA0" w:rsidRPr="00620926" w:rsidRDefault="00065C06" w:rsidP="00A23A58">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[1]</w:t>
      </w:r>
      <w:r w:rsidRPr="00620926">
        <w:rPr>
          <w:rFonts w:ascii="Times New Roman" w:hAnsi="Times New Roman" w:cs="Times New Roman"/>
          <w:sz w:val="28"/>
          <w:szCs w:val="28"/>
          <w:lang w:val="en-GB"/>
        </w:rPr>
        <w:tab/>
      </w:r>
      <w:r w:rsidR="00FE6FC1" w:rsidRPr="00620926">
        <w:rPr>
          <w:rFonts w:ascii="Times New Roman" w:hAnsi="Times New Roman" w:cs="Times New Roman"/>
          <w:sz w:val="28"/>
          <w:szCs w:val="28"/>
          <w:lang w:val="en-GB"/>
        </w:rPr>
        <w:t xml:space="preserve">The appeal concerns a decision taken by the Western Cape Gambling and Racing Board (the </w:t>
      </w:r>
      <w:r w:rsidR="006A58AF" w:rsidRPr="00620926">
        <w:rPr>
          <w:rFonts w:ascii="Times New Roman" w:hAnsi="Times New Roman" w:cs="Times New Roman"/>
          <w:sz w:val="28"/>
          <w:szCs w:val="28"/>
          <w:lang w:val="en-GB"/>
        </w:rPr>
        <w:t>B</w:t>
      </w:r>
      <w:r w:rsidR="00FE6FC1" w:rsidRPr="00620926">
        <w:rPr>
          <w:rFonts w:ascii="Times New Roman" w:hAnsi="Times New Roman" w:cs="Times New Roman"/>
          <w:sz w:val="28"/>
          <w:szCs w:val="28"/>
          <w:lang w:val="en-GB"/>
        </w:rPr>
        <w:t>oard)</w:t>
      </w:r>
      <w:r w:rsidR="00347295" w:rsidRPr="00620926">
        <w:rPr>
          <w:rFonts w:ascii="Times New Roman" w:hAnsi="Times New Roman" w:cs="Times New Roman"/>
          <w:sz w:val="28"/>
          <w:szCs w:val="28"/>
          <w:lang w:val="en-GB"/>
        </w:rPr>
        <w:t xml:space="preserve"> to allocate a number of limited pay out gambling machines (LPMs)</w:t>
      </w:r>
      <w:r w:rsidR="00F612BE" w:rsidRPr="00620926">
        <w:rPr>
          <w:rStyle w:val="FootnoteReference"/>
          <w:rFonts w:ascii="Times New Roman" w:hAnsi="Times New Roman" w:cs="Times New Roman"/>
          <w:sz w:val="28"/>
          <w:szCs w:val="28"/>
          <w:lang w:val="en-GB"/>
        </w:rPr>
        <w:footnoteReference w:id="1"/>
      </w:r>
      <w:r w:rsidR="00347295" w:rsidRPr="00620926">
        <w:rPr>
          <w:rFonts w:ascii="Times New Roman" w:hAnsi="Times New Roman" w:cs="Times New Roman"/>
          <w:sz w:val="28"/>
          <w:szCs w:val="28"/>
          <w:lang w:val="en-GB"/>
        </w:rPr>
        <w:t xml:space="preserve"> to </w:t>
      </w:r>
      <w:r w:rsidR="001F5567" w:rsidRPr="00620926">
        <w:rPr>
          <w:rFonts w:ascii="Times New Roman" w:hAnsi="Times New Roman" w:cs="Times New Roman"/>
          <w:sz w:val="28"/>
          <w:szCs w:val="28"/>
          <w:lang w:val="en-GB"/>
        </w:rPr>
        <w:t xml:space="preserve">two licenced operators. The Western Cape Division of the High Court (the high court) set aside the </w:t>
      </w:r>
      <w:r w:rsidR="004573B2" w:rsidRPr="00620926">
        <w:rPr>
          <w:rFonts w:ascii="Times New Roman" w:hAnsi="Times New Roman" w:cs="Times New Roman"/>
          <w:sz w:val="28"/>
          <w:szCs w:val="28"/>
          <w:lang w:val="en-GB"/>
        </w:rPr>
        <w:t>decision. The appeal is with the leave of the high court.</w:t>
      </w:r>
    </w:p>
    <w:p w14:paraId="442EC88F" w14:textId="77777777" w:rsidR="00BC3AA0" w:rsidRPr="00620926" w:rsidRDefault="00BC3AA0" w:rsidP="00A23A58">
      <w:pPr>
        <w:spacing w:after="0" w:line="360" w:lineRule="auto"/>
        <w:jc w:val="both"/>
        <w:rPr>
          <w:rFonts w:ascii="Times New Roman" w:hAnsi="Times New Roman" w:cs="Times New Roman"/>
          <w:sz w:val="28"/>
          <w:szCs w:val="28"/>
          <w:lang w:val="en-GB"/>
        </w:rPr>
      </w:pPr>
    </w:p>
    <w:p w14:paraId="446CA438" w14:textId="68D64E35" w:rsidR="007C3FD2" w:rsidRPr="00620926" w:rsidRDefault="00FE6FC1" w:rsidP="00A23A58">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[2]</w:t>
      </w:r>
      <w:r w:rsidRPr="00620926">
        <w:rPr>
          <w:rFonts w:ascii="Times New Roman" w:hAnsi="Times New Roman" w:cs="Times New Roman"/>
          <w:sz w:val="28"/>
          <w:szCs w:val="28"/>
          <w:lang w:val="en-GB"/>
        </w:rPr>
        <w:tab/>
      </w:r>
      <w:r w:rsidR="00065C06" w:rsidRPr="00620926">
        <w:rPr>
          <w:rFonts w:ascii="Times New Roman" w:hAnsi="Times New Roman" w:cs="Times New Roman"/>
          <w:sz w:val="28"/>
          <w:szCs w:val="28"/>
          <w:lang w:val="en-GB"/>
        </w:rPr>
        <w:t>T</w:t>
      </w:r>
      <w:r w:rsidR="007251C0" w:rsidRPr="00620926">
        <w:rPr>
          <w:rFonts w:ascii="Times New Roman" w:hAnsi="Times New Roman" w:cs="Times New Roman"/>
          <w:sz w:val="28"/>
          <w:szCs w:val="28"/>
          <w:lang w:val="en-GB"/>
        </w:rPr>
        <w:t xml:space="preserve">he first appellant </w:t>
      </w:r>
      <w:r w:rsidR="004573B2" w:rsidRPr="00620926">
        <w:rPr>
          <w:rFonts w:ascii="Times New Roman" w:hAnsi="Times New Roman" w:cs="Times New Roman"/>
          <w:sz w:val="28"/>
          <w:szCs w:val="28"/>
          <w:lang w:val="en-GB"/>
        </w:rPr>
        <w:t>is</w:t>
      </w:r>
      <w:r w:rsidR="007251C0" w:rsidRPr="00620926">
        <w:rPr>
          <w:rFonts w:ascii="Times New Roman" w:hAnsi="Times New Roman" w:cs="Times New Roman"/>
          <w:sz w:val="28"/>
          <w:szCs w:val="28"/>
          <w:lang w:val="en-GB"/>
        </w:rPr>
        <w:t xml:space="preserve"> the Chairperson of</w:t>
      </w:r>
      <w:r w:rsidR="004573B2" w:rsidRPr="00620926">
        <w:rPr>
          <w:rFonts w:ascii="Times New Roman" w:hAnsi="Times New Roman" w:cs="Times New Roman"/>
          <w:sz w:val="28"/>
          <w:szCs w:val="28"/>
          <w:lang w:val="en-GB"/>
        </w:rPr>
        <w:t xml:space="preserve"> the </w:t>
      </w:r>
      <w:r w:rsidR="006A58AF" w:rsidRPr="00620926">
        <w:rPr>
          <w:rFonts w:ascii="Times New Roman" w:hAnsi="Times New Roman" w:cs="Times New Roman"/>
          <w:sz w:val="28"/>
          <w:szCs w:val="28"/>
          <w:lang w:val="en-GB"/>
        </w:rPr>
        <w:t>B</w:t>
      </w:r>
      <w:r w:rsidR="004573B2" w:rsidRPr="00620926">
        <w:rPr>
          <w:rFonts w:ascii="Times New Roman" w:hAnsi="Times New Roman" w:cs="Times New Roman"/>
          <w:sz w:val="28"/>
          <w:szCs w:val="28"/>
          <w:lang w:val="en-GB"/>
        </w:rPr>
        <w:t>oard</w:t>
      </w:r>
      <w:r w:rsidR="006E682D" w:rsidRPr="00620926">
        <w:rPr>
          <w:rFonts w:ascii="Times New Roman" w:hAnsi="Times New Roman" w:cs="Times New Roman"/>
          <w:sz w:val="28"/>
          <w:szCs w:val="28"/>
          <w:lang w:val="en-GB"/>
        </w:rPr>
        <w:t>. The second appellant i</w:t>
      </w:r>
      <w:r w:rsidR="00771419" w:rsidRPr="00620926">
        <w:rPr>
          <w:rFonts w:ascii="Times New Roman" w:hAnsi="Times New Roman" w:cs="Times New Roman"/>
          <w:sz w:val="28"/>
          <w:szCs w:val="28"/>
          <w:lang w:val="en-GB"/>
        </w:rPr>
        <w:t>s</w:t>
      </w:r>
      <w:r w:rsidR="006E682D" w:rsidRPr="00620926">
        <w:rPr>
          <w:rFonts w:ascii="Times New Roman" w:hAnsi="Times New Roman" w:cs="Times New Roman"/>
          <w:sz w:val="28"/>
          <w:szCs w:val="28"/>
          <w:lang w:val="en-GB"/>
        </w:rPr>
        <w:t xml:space="preserve"> the Board. I shall refer to them collectively as</w:t>
      </w:r>
      <w:r w:rsidR="00EE6628" w:rsidRPr="00620926">
        <w:rPr>
          <w:rFonts w:ascii="Times New Roman" w:hAnsi="Times New Roman" w:cs="Times New Roman"/>
          <w:sz w:val="28"/>
          <w:szCs w:val="28"/>
          <w:lang w:val="en-GB"/>
        </w:rPr>
        <w:t xml:space="preserve"> </w:t>
      </w:r>
      <w:r w:rsidR="00AD024B" w:rsidRPr="00620926">
        <w:rPr>
          <w:rFonts w:ascii="Times New Roman" w:hAnsi="Times New Roman" w:cs="Times New Roman"/>
          <w:sz w:val="28"/>
          <w:szCs w:val="28"/>
          <w:lang w:val="en-GB"/>
        </w:rPr>
        <w:t>‘</w:t>
      </w:r>
      <w:r w:rsidR="00EE6628" w:rsidRPr="00620926">
        <w:rPr>
          <w:rFonts w:ascii="Times New Roman" w:hAnsi="Times New Roman" w:cs="Times New Roman"/>
          <w:sz w:val="28"/>
          <w:szCs w:val="28"/>
          <w:lang w:val="en-GB"/>
        </w:rPr>
        <w:t>the Board.</w:t>
      </w:r>
      <w:r w:rsidR="00AD024B" w:rsidRPr="00620926">
        <w:rPr>
          <w:rFonts w:ascii="Times New Roman" w:hAnsi="Times New Roman" w:cs="Times New Roman"/>
          <w:sz w:val="28"/>
          <w:szCs w:val="28"/>
          <w:lang w:val="en-GB"/>
        </w:rPr>
        <w:t>’</w:t>
      </w:r>
      <w:r w:rsidR="007251C0" w:rsidRPr="00620926">
        <w:rPr>
          <w:rFonts w:ascii="Times New Roman" w:hAnsi="Times New Roman" w:cs="Times New Roman"/>
          <w:sz w:val="28"/>
          <w:szCs w:val="28"/>
          <w:lang w:val="en-GB"/>
        </w:rPr>
        <w:t xml:space="preserve"> </w:t>
      </w:r>
      <w:r w:rsidR="0001047A" w:rsidRPr="00620926">
        <w:rPr>
          <w:rFonts w:ascii="Times New Roman" w:hAnsi="Times New Roman" w:cs="Times New Roman"/>
          <w:sz w:val="28"/>
          <w:szCs w:val="28"/>
          <w:lang w:val="en-GB"/>
        </w:rPr>
        <w:t xml:space="preserve">The Board was established in terms of the Western Cape </w:t>
      </w:r>
      <w:r w:rsidR="00E938FC" w:rsidRPr="00620926">
        <w:rPr>
          <w:rFonts w:ascii="Times New Roman" w:hAnsi="Times New Roman" w:cs="Times New Roman"/>
          <w:sz w:val="28"/>
          <w:szCs w:val="28"/>
          <w:lang w:val="en-GB"/>
        </w:rPr>
        <w:t>Gambling and Racing Act 4 of 1996 (the Western Cape Act)</w:t>
      </w:r>
      <w:r w:rsidR="00DE42C9" w:rsidRPr="00620926">
        <w:rPr>
          <w:rFonts w:ascii="Times New Roman" w:hAnsi="Times New Roman" w:cs="Times New Roman"/>
          <w:sz w:val="28"/>
          <w:szCs w:val="28"/>
          <w:lang w:val="en-GB"/>
        </w:rPr>
        <w:t xml:space="preserve"> </w:t>
      </w:r>
      <w:r w:rsidR="0001047A" w:rsidRPr="00620926">
        <w:rPr>
          <w:rFonts w:ascii="Times New Roman" w:hAnsi="Times New Roman" w:cs="Times New Roman"/>
          <w:sz w:val="28"/>
          <w:szCs w:val="28"/>
          <w:lang w:val="en-GB"/>
        </w:rPr>
        <w:t xml:space="preserve">and is the designated licencing authority for the Western </w:t>
      </w:r>
      <w:r w:rsidR="0001047A" w:rsidRPr="00620926">
        <w:rPr>
          <w:rFonts w:ascii="Times New Roman" w:hAnsi="Times New Roman" w:cs="Times New Roman"/>
          <w:sz w:val="28"/>
          <w:szCs w:val="28"/>
          <w:lang w:val="en-GB"/>
        </w:rPr>
        <w:lastRenderedPageBreak/>
        <w:t>Cape Province.</w:t>
      </w:r>
      <w:r w:rsidR="0001047A" w:rsidRPr="00620926">
        <w:rPr>
          <w:rFonts w:ascii="Times New Roman" w:hAnsi="Times New Roman" w:cs="Times New Roman"/>
          <w:sz w:val="28"/>
          <w:szCs w:val="28"/>
          <w:vertAlign w:val="superscript"/>
          <w:lang w:val="en-GB"/>
        </w:rPr>
        <w:footnoteReference w:id="2"/>
      </w:r>
      <w:r w:rsidR="0001047A" w:rsidRPr="00620926">
        <w:rPr>
          <w:rFonts w:ascii="Times New Roman" w:hAnsi="Times New Roman" w:cs="Times New Roman"/>
          <w:sz w:val="28"/>
          <w:szCs w:val="28"/>
          <w:lang w:val="en-GB"/>
        </w:rPr>
        <w:t xml:space="preserve"> </w:t>
      </w:r>
      <w:r w:rsidR="007251C0" w:rsidRPr="00620926">
        <w:rPr>
          <w:rFonts w:ascii="Times New Roman" w:hAnsi="Times New Roman" w:cs="Times New Roman"/>
          <w:sz w:val="28"/>
          <w:szCs w:val="28"/>
          <w:lang w:val="en-GB"/>
        </w:rPr>
        <w:t xml:space="preserve">The third appellant is </w:t>
      </w:r>
      <w:proofErr w:type="spellStart"/>
      <w:r w:rsidR="007251C0" w:rsidRPr="00620926">
        <w:rPr>
          <w:rFonts w:ascii="Times New Roman" w:hAnsi="Times New Roman" w:cs="Times New Roman"/>
          <w:sz w:val="28"/>
          <w:szCs w:val="28"/>
          <w:lang w:val="en-GB"/>
        </w:rPr>
        <w:t>Vukani</w:t>
      </w:r>
      <w:proofErr w:type="spellEnd"/>
      <w:r w:rsidR="007251C0" w:rsidRPr="00620926">
        <w:rPr>
          <w:rFonts w:ascii="Times New Roman" w:hAnsi="Times New Roman" w:cs="Times New Roman"/>
          <w:sz w:val="28"/>
          <w:szCs w:val="28"/>
          <w:lang w:val="en-GB"/>
        </w:rPr>
        <w:t xml:space="preserve"> Gaming Western Cape (Pty) Ltd t/a V-Slots (V-Slots). The fourth appellant is Grand Gaming Western Cape (RF) (Pty) Ltd t/a Grand Slots (Grand Slots). </w:t>
      </w:r>
      <w:r w:rsidR="006A5E59" w:rsidRPr="00620926">
        <w:rPr>
          <w:rFonts w:ascii="Times New Roman" w:hAnsi="Times New Roman" w:cs="Times New Roman"/>
          <w:sz w:val="28"/>
          <w:szCs w:val="28"/>
          <w:lang w:val="en-GB"/>
        </w:rPr>
        <w:t>V-Slots and Grand Slots are</w:t>
      </w:r>
      <w:r w:rsidR="00AD024B" w:rsidRPr="00620926">
        <w:rPr>
          <w:rFonts w:ascii="Times New Roman" w:hAnsi="Times New Roman" w:cs="Times New Roman"/>
          <w:sz w:val="28"/>
          <w:szCs w:val="28"/>
          <w:lang w:val="en-GB"/>
        </w:rPr>
        <w:t xml:space="preserve"> the</w:t>
      </w:r>
      <w:r w:rsidR="006A5E59" w:rsidRPr="00620926">
        <w:rPr>
          <w:rFonts w:ascii="Times New Roman" w:hAnsi="Times New Roman" w:cs="Times New Roman"/>
          <w:sz w:val="28"/>
          <w:szCs w:val="28"/>
          <w:lang w:val="en-GB"/>
        </w:rPr>
        <w:t xml:space="preserve"> licenced operators of </w:t>
      </w:r>
      <w:r w:rsidR="00AD024B" w:rsidRPr="00620926">
        <w:rPr>
          <w:rFonts w:ascii="Times New Roman" w:hAnsi="Times New Roman" w:cs="Times New Roman"/>
          <w:sz w:val="28"/>
          <w:szCs w:val="28"/>
          <w:lang w:val="en-GB"/>
        </w:rPr>
        <w:t xml:space="preserve">LPMs </w:t>
      </w:r>
      <w:r w:rsidR="006A5E59" w:rsidRPr="00620926">
        <w:rPr>
          <w:rFonts w:ascii="Times New Roman" w:hAnsi="Times New Roman" w:cs="Times New Roman"/>
          <w:sz w:val="28"/>
          <w:szCs w:val="28"/>
          <w:lang w:val="en-GB"/>
        </w:rPr>
        <w:t>in the province. They are commonly referred to as ‘route operators’.</w:t>
      </w:r>
    </w:p>
    <w:p w14:paraId="6D7C9496" w14:textId="77777777" w:rsidR="000A4723" w:rsidRPr="00620926" w:rsidRDefault="000A4723" w:rsidP="00A23A58">
      <w:pPr>
        <w:spacing w:after="0" w:line="360" w:lineRule="auto"/>
        <w:jc w:val="both"/>
        <w:rPr>
          <w:rFonts w:ascii="Times New Roman" w:hAnsi="Times New Roman" w:cs="Times New Roman"/>
          <w:sz w:val="28"/>
          <w:szCs w:val="28"/>
          <w:lang w:val="en-GB"/>
        </w:rPr>
      </w:pPr>
    </w:p>
    <w:p w14:paraId="2B070B61" w14:textId="0936BFFF" w:rsidR="00A31117" w:rsidRPr="00620926" w:rsidRDefault="00FA2979" w:rsidP="00A23A58">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[3]</w:t>
      </w:r>
      <w:r w:rsidRPr="00620926">
        <w:rPr>
          <w:rFonts w:ascii="Times New Roman" w:hAnsi="Times New Roman" w:cs="Times New Roman"/>
          <w:sz w:val="28"/>
          <w:szCs w:val="28"/>
          <w:lang w:val="en-GB"/>
        </w:rPr>
        <w:tab/>
      </w:r>
      <w:r w:rsidR="007251C0" w:rsidRPr="00620926">
        <w:rPr>
          <w:rFonts w:ascii="Times New Roman" w:hAnsi="Times New Roman" w:cs="Times New Roman"/>
          <w:sz w:val="28"/>
          <w:szCs w:val="28"/>
          <w:lang w:val="en-GB"/>
        </w:rPr>
        <w:t xml:space="preserve">The first respondent is </w:t>
      </w:r>
      <w:proofErr w:type="spellStart"/>
      <w:r w:rsidR="007251C0" w:rsidRPr="00620926">
        <w:rPr>
          <w:rFonts w:ascii="Times New Roman" w:hAnsi="Times New Roman" w:cs="Times New Roman"/>
          <w:sz w:val="28"/>
          <w:szCs w:val="28"/>
          <w:lang w:val="en-GB"/>
        </w:rPr>
        <w:t>Goldrush</w:t>
      </w:r>
      <w:proofErr w:type="spellEnd"/>
      <w:r w:rsidR="007251C0" w:rsidRPr="00620926">
        <w:rPr>
          <w:rFonts w:ascii="Times New Roman" w:hAnsi="Times New Roman" w:cs="Times New Roman"/>
          <w:sz w:val="28"/>
          <w:szCs w:val="28"/>
          <w:lang w:val="en-GB"/>
        </w:rPr>
        <w:t xml:space="preserve"> Group Management (Pty) Ltd (</w:t>
      </w:r>
      <w:proofErr w:type="spellStart"/>
      <w:r w:rsidR="00773719" w:rsidRPr="00620926">
        <w:rPr>
          <w:rFonts w:ascii="Times New Roman" w:hAnsi="Times New Roman" w:cs="Times New Roman"/>
          <w:sz w:val="28"/>
          <w:szCs w:val="28"/>
          <w:lang w:val="en-GB"/>
        </w:rPr>
        <w:t>Goldrush</w:t>
      </w:r>
      <w:proofErr w:type="spellEnd"/>
      <w:r w:rsidR="007251C0" w:rsidRPr="00620926">
        <w:rPr>
          <w:rFonts w:ascii="Times New Roman" w:hAnsi="Times New Roman" w:cs="Times New Roman"/>
          <w:sz w:val="28"/>
          <w:szCs w:val="28"/>
          <w:lang w:val="en-GB"/>
        </w:rPr>
        <w:t>). The second respondent is the Member of the Executive Council for Finance, Western Cape (the MEC)</w:t>
      </w:r>
      <w:r w:rsidR="008A55A5" w:rsidRPr="00620926">
        <w:rPr>
          <w:rFonts w:ascii="Times New Roman" w:hAnsi="Times New Roman" w:cs="Times New Roman"/>
          <w:sz w:val="28"/>
          <w:szCs w:val="28"/>
          <w:lang w:val="en-GB"/>
        </w:rPr>
        <w:t>, who played no role in the matter</w:t>
      </w:r>
      <w:r w:rsidR="00AD024B" w:rsidRPr="00620926">
        <w:rPr>
          <w:rFonts w:ascii="Times New Roman" w:hAnsi="Times New Roman" w:cs="Times New Roman"/>
          <w:sz w:val="28"/>
          <w:szCs w:val="28"/>
          <w:lang w:val="en-GB"/>
        </w:rPr>
        <w:t xml:space="preserve">, and was cited </w:t>
      </w:r>
      <w:r w:rsidR="000C1F81" w:rsidRPr="00620926">
        <w:rPr>
          <w:rFonts w:ascii="Times New Roman" w:hAnsi="Times New Roman" w:cs="Times New Roman"/>
          <w:sz w:val="28"/>
          <w:szCs w:val="28"/>
          <w:lang w:val="en-GB"/>
        </w:rPr>
        <w:t>as the provincial executive responsible for gambling in the Province</w:t>
      </w:r>
      <w:r w:rsidR="008A55A5" w:rsidRPr="00620926">
        <w:rPr>
          <w:rFonts w:ascii="Times New Roman" w:hAnsi="Times New Roman" w:cs="Times New Roman"/>
          <w:sz w:val="28"/>
          <w:szCs w:val="28"/>
          <w:lang w:val="en-GB"/>
        </w:rPr>
        <w:t>.</w:t>
      </w:r>
      <w:r w:rsidR="00DC3DFA" w:rsidRPr="00620926">
        <w:rPr>
          <w:rFonts w:ascii="Times New Roman" w:hAnsi="Times New Roman" w:cs="Times New Roman"/>
          <w:sz w:val="28"/>
          <w:szCs w:val="28"/>
          <w:lang w:val="en-GB"/>
        </w:rPr>
        <w:t xml:space="preserve"> </w:t>
      </w:r>
      <w:proofErr w:type="spellStart"/>
      <w:r w:rsidR="00773719" w:rsidRPr="00620926">
        <w:rPr>
          <w:rFonts w:ascii="Times New Roman" w:hAnsi="Times New Roman" w:cs="Times New Roman"/>
          <w:sz w:val="28"/>
          <w:szCs w:val="28"/>
          <w:lang w:val="en-GB"/>
        </w:rPr>
        <w:t>Goldrush</w:t>
      </w:r>
      <w:proofErr w:type="spellEnd"/>
      <w:r w:rsidR="00A31117" w:rsidRPr="00620926">
        <w:rPr>
          <w:rFonts w:ascii="Times New Roman" w:hAnsi="Times New Roman" w:cs="Times New Roman"/>
          <w:sz w:val="28"/>
          <w:szCs w:val="28"/>
          <w:lang w:val="en-GB"/>
        </w:rPr>
        <w:t xml:space="preserve"> is a wholly owned subsidi</w:t>
      </w:r>
      <w:r w:rsidR="00B85ACC" w:rsidRPr="00620926">
        <w:rPr>
          <w:rFonts w:ascii="Times New Roman" w:hAnsi="Times New Roman" w:cs="Times New Roman"/>
          <w:sz w:val="28"/>
          <w:szCs w:val="28"/>
          <w:lang w:val="en-GB"/>
        </w:rPr>
        <w:t>ary</w:t>
      </w:r>
      <w:r w:rsidR="00A31117" w:rsidRPr="00620926">
        <w:rPr>
          <w:rFonts w:ascii="Times New Roman" w:hAnsi="Times New Roman" w:cs="Times New Roman"/>
          <w:sz w:val="28"/>
          <w:szCs w:val="28"/>
          <w:lang w:val="en-GB"/>
        </w:rPr>
        <w:t xml:space="preserve"> of </w:t>
      </w:r>
      <w:proofErr w:type="spellStart"/>
      <w:r w:rsidR="00A31117" w:rsidRPr="00620926">
        <w:rPr>
          <w:rFonts w:ascii="Times New Roman" w:hAnsi="Times New Roman" w:cs="Times New Roman"/>
          <w:sz w:val="28"/>
          <w:szCs w:val="28"/>
          <w:lang w:val="en-GB"/>
        </w:rPr>
        <w:t>Goldrush</w:t>
      </w:r>
      <w:proofErr w:type="spellEnd"/>
      <w:r w:rsidR="00A31117" w:rsidRPr="00620926">
        <w:rPr>
          <w:rFonts w:ascii="Times New Roman" w:hAnsi="Times New Roman" w:cs="Times New Roman"/>
          <w:sz w:val="28"/>
          <w:szCs w:val="28"/>
          <w:lang w:val="en-GB"/>
        </w:rPr>
        <w:t xml:space="preserve"> Group (Pty) Ltd (</w:t>
      </w:r>
      <w:proofErr w:type="spellStart"/>
      <w:r w:rsidR="00A31117" w:rsidRPr="00620926">
        <w:rPr>
          <w:rFonts w:ascii="Times New Roman" w:hAnsi="Times New Roman" w:cs="Times New Roman"/>
          <w:sz w:val="28"/>
          <w:szCs w:val="28"/>
          <w:lang w:val="en-GB"/>
        </w:rPr>
        <w:t>Goldrush</w:t>
      </w:r>
      <w:proofErr w:type="spellEnd"/>
      <w:r w:rsidR="00A31117" w:rsidRPr="00620926">
        <w:rPr>
          <w:rFonts w:ascii="Times New Roman" w:hAnsi="Times New Roman" w:cs="Times New Roman"/>
          <w:sz w:val="28"/>
          <w:szCs w:val="28"/>
          <w:lang w:val="en-GB"/>
        </w:rPr>
        <w:t xml:space="preserve"> Group)</w:t>
      </w:r>
      <w:r w:rsidR="00460B07" w:rsidRPr="00620926">
        <w:rPr>
          <w:rFonts w:ascii="Times New Roman" w:hAnsi="Times New Roman" w:cs="Times New Roman"/>
          <w:sz w:val="28"/>
          <w:szCs w:val="28"/>
          <w:lang w:val="en-GB"/>
        </w:rPr>
        <w:t>,</w:t>
      </w:r>
      <w:r w:rsidR="00A31117" w:rsidRPr="00620926">
        <w:rPr>
          <w:rFonts w:ascii="Times New Roman" w:hAnsi="Times New Roman" w:cs="Times New Roman"/>
          <w:sz w:val="28"/>
          <w:szCs w:val="28"/>
          <w:lang w:val="en-GB"/>
        </w:rPr>
        <w:t xml:space="preserve"> which is a holding company </w:t>
      </w:r>
      <w:r w:rsidR="002B7080" w:rsidRPr="00620926">
        <w:rPr>
          <w:rFonts w:ascii="Times New Roman" w:hAnsi="Times New Roman" w:cs="Times New Roman"/>
          <w:sz w:val="28"/>
          <w:szCs w:val="28"/>
          <w:lang w:val="en-GB"/>
        </w:rPr>
        <w:t>of</w:t>
      </w:r>
      <w:r w:rsidR="00A31117" w:rsidRPr="00620926">
        <w:rPr>
          <w:rFonts w:ascii="Times New Roman" w:hAnsi="Times New Roman" w:cs="Times New Roman"/>
          <w:sz w:val="28"/>
          <w:szCs w:val="28"/>
          <w:lang w:val="en-GB"/>
        </w:rPr>
        <w:t xml:space="preserve"> </w:t>
      </w:r>
      <w:r w:rsidR="00460B07" w:rsidRPr="00620926">
        <w:rPr>
          <w:rFonts w:ascii="Times New Roman" w:hAnsi="Times New Roman" w:cs="Times New Roman"/>
          <w:sz w:val="28"/>
          <w:szCs w:val="28"/>
          <w:lang w:val="en-GB"/>
        </w:rPr>
        <w:t xml:space="preserve">affiliated </w:t>
      </w:r>
      <w:r w:rsidR="00A31117" w:rsidRPr="00620926">
        <w:rPr>
          <w:rFonts w:ascii="Times New Roman" w:hAnsi="Times New Roman" w:cs="Times New Roman"/>
          <w:sz w:val="28"/>
          <w:szCs w:val="28"/>
          <w:lang w:val="en-GB"/>
        </w:rPr>
        <w:t xml:space="preserve">entities that have interests in the gambling industry in several provinces. </w:t>
      </w:r>
      <w:proofErr w:type="spellStart"/>
      <w:r w:rsidR="00773719" w:rsidRPr="00620926">
        <w:rPr>
          <w:rFonts w:ascii="Times New Roman" w:hAnsi="Times New Roman" w:cs="Times New Roman"/>
          <w:sz w:val="28"/>
          <w:szCs w:val="28"/>
          <w:lang w:val="en-GB"/>
        </w:rPr>
        <w:t>Goldrush</w:t>
      </w:r>
      <w:proofErr w:type="spellEnd"/>
      <w:r w:rsidR="00A31117" w:rsidRPr="00620926">
        <w:rPr>
          <w:rFonts w:ascii="Times New Roman" w:hAnsi="Times New Roman" w:cs="Times New Roman"/>
          <w:sz w:val="28"/>
          <w:szCs w:val="28"/>
          <w:lang w:val="en-GB"/>
        </w:rPr>
        <w:t xml:space="preserve"> described itself as a company specialising in the management of licenced operators in the gambling industry. </w:t>
      </w:r>
      <w:proofErr w:type="spellStart"/>
      <w:r w:rsidR="00773719" w:rsidRPr="00620926">
        <w:rPr>
          <w:rFonts w:ascii="Times New Roman" w:hAnsi="Times New Roman" w:cs="Times New Roman"/>
          <w:sz w:val="28"/>
          <w:szCs w:val="28"/>
          <w:lang w:val="en-GB"/>
        </w:rPr>
        <w:t>Goldrush</w:t>
      </w:r>
      <w:proofErr w:type="spellEnd"/>
      <w:r w:rsidR="00A31117" w:rsidRPr="00620926">
        <w:rPr>
          <w:rFonts w:ascii="Times New Roman" w:hAnsi="Times New Roman" w:cs="Times New Roman"/>
          <w:sz w:val="28"/>
          <w:szCs w:val="28"/>
          <w:lang w:val="en-GB"/>
        </w:rPr>
        <w:t xml:space="preserve"> holds no interest</w:t>
      </w:r>
      <w:r w:rsidR="00DC3DFA" w:rsidRPr="00620926">
        <w:rPr>
          <w:rFonts w:ascii="Times New Roman" w:hAnsi="Times New Roman" w:cs="Times New Roman"/>
          <w:sz w:val="28"/>
          <w:szCs w:val="28"/>
          <w:lang w:val="en-GB"/>
        </w:rPr>
        <w:t xml:space="preserve"> </w:t>
      </w:r>
      <w:r w:rsidR="00A31117" w:rsidRPr="00620926">
        <w:rPr>
          <w:rFonts w:ascii="Times New Roman" w:hAnsi="Times New Roman" w:cs="Times New Roman"/>
          <w:sz w:val="28"/>
          <w:szCs w:val="28"/>
          <w:lang w:val="en-GB"/>
        </w:rPr>
        <w:t>in any licenced operators within the Western Cape Province.</w:t>
      </w:r>
    </w:p>
    <w:p w14:paraId="0C95C7BD" w14:textId="77777777" w:rsidR="00BD72F7" w:rsidRPr="00620926" w:rsidRDefault="00BD72F7" w:rsidP="00A23A58">
      <w:pPr>
        <w:spacing w:after="0" w:line="360" w:lineRule="auto"/>
        <w:jc w:val="both"/>
        <w:rPr>
          <w:rFonts w:ascii="Times New Roman" w:hAnsi="Times New Roman" w:cs="Times New Roman"/>
          <w:sz w:val="28"/>
          <w:szCs w:val="28"/>
          <w:lang w:val="en-GB"/>
        </w:rPr>
      </w:pPr>
    </w:p>
    <w:p w14:paraId="7C33D679" w14:textId="1D47C515" w:rsidR="00BD72F7" w:rsidRPr="00620926" w:rsidRDefault="00BD72F7" w:rsidP="00A23A58">
      <w:pPr>
        <w:spacing w:after="0" w:line="360" w:lineRule="auto"/>
        <w:jc w:val="both"/>
        <w:rPr>
          <w:rFonts w:ascii="Times New Roman" w:hAnsi="Times New Roman" w:cs="Times New Roman"/>
          <w:b/>
          <w:bCs/>
          <w:sz w:val="28"/>
          <w:szCs w:val="28"/>
          <w:lang w:val="en-GB"/>
        </w:rPr>
      </w:pPr>
      <w:r w:rsidRPr="00620926">
        <w:rPr>
          <w:rFonts w:ascii="Times New Roman" w:hAnsi="Times New Roman" w:cs="Times New Roman"/>
          <w:b/>
          <w:bCs/>
          <w:sz w:val="28"/>
          <w:szCs w:val="28"/>
          <w:lang w:val="en-GB"/>
        </w:rPr>
        <w:t>The facts</w:t>
      </w:r>
    </w:p>
    <w:p w14:paraId="32858807" w14:textId="162FB60F" w:rsidR="00BD72F7" w:rsidRPr="00620926" w:rsidRDefault="00BD72F7" w:rsidP="00BE744C">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DC3DFA" w:rsidRPr="00620926">
        <w:rPr>
          <w:rFonts w:ascii="Times New Roman" w:hAnsi="Times New Roman" w:cs="Times New Roman"/>
          <w:sz w:val="28"/>
          <w:szCs w:val="28"/>
          <w:lang w:val="en-GB"/>
        </w:rPr>
        <w:t>4</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Regulations promulgated in terms of s 87(1) and (2) of the </w:t>
      </w:r>
      <w:r w:rsidR="000C1F81" w:rsidRPr="00620926">
        <w:rPr>
          <w:rFonts w:ascii="Times New Roman" w:hAnsi="Times New Roman" w:cs="Times New Roman"/>
          <w:sz w:val="28"/>
          <w:szCs w:val="28"/>
          <w:lang w:val="en-GB"/>
        </w:rPr>
        <w:t xml:space="preserve">National </w:t>
      </w:r>
      <w:r w:rsidRPr="00620926">
        <w:rPr>
          <w:rFonts w:ascii="Times New Roman" w:hAnsi="Times New Roman" w:cs="Times New Roman"/>
          <w:sz w:val="28"/>
          <w:szCs w:val="28"/>
          <w:lang w:val="en-GB"/>
        </w:rPr>
        <w:t>Gambling Act</w:t>
      </w:r>
      <w:r w:rsidR="00860BE5" w:rsidRPr="00620926">
        <w:rPr>
          <w:rFonts w:ascii="Times New Roman" w:hAnsi="Times New Roman" w:cs="Times New Roman"/>
          <w:sz w:val="28"/>
          <w:szCs w:val="28"/>
          <w:lang w:val="en-GB"/>
        </w:rPr>
        <w:t xml:space="preserve"> 7 of 2004 (the National Gambling Act)</w:t>
      </w:r>
      <w:r w:rsidRPr="00620926">
        <w:rPr>
          <w:rFonts w:ascii="Times New Roman" w:hAnsi="Times New Roman" w:cs="Times New Roman"/>
          <w:sz w:val="28"/>
          <w:szCs w:val="28"/>
          <w:lang w:val="en-GB"/>
        </w:rPr>
        <w:t>, fix the maximum number of LPMs to be licenced in the Western Cape Province at 9000. In the first phase of licencing LP</w:t>
      </w:r>
      <w:r w:rsidR="00A57698" w:rsidRPr="00620926">
        <w:rPr>
          <w:rFonts w:ascii="Times New Roman" w:hAnsi="Times New Roman" w:cs="Times New Roman"/>
          <w:sz w:val="28"/>
          <w:szCs w:val="28"/>
          <w:lang w:val="en-GB"/>
        </w:rPr>
        <w:t>M</w:t>
      </w:r>
      <w:r w:rsidRPr="00620926">
        <w:rPr>
          <w:rFonts w:ascii="Times New Roman" w:hAnsi="Times New Roman" w:cs="Times New Roman"/>
          <w:sz w:val="28"/>
          <w:szCs w:val="28"/>
          <w:lang w:val="en-GB"/>
        </w:rPr>
        <w:t>s, the provinces were restricted to a maximum of 50 per cent of the total number allowed.</w:t>
      </w:r>
      <w:r w:rsidR="00BE744C" w:rsidRPr="00620926">
        <w:rPr>
          <w:rFonts w:ascii="Times New Roman" w:hAnsi="Times New Roman" w:cs="Times New Roman"/>
          <w:sz w:val="28"/>
          <w:szCs w:val="28"/>
          <w:lang w:val="en-GB"/>
        </w:rPr>
        <w:t xml:space="preserve"> </w:t>
      </w:r>
    </w:p>
    <w:p w14:paraId="47C046E4" w14:textId="77777777" w:rsidR="00BD72F7" w:rsidRPr="00620926" w:rsidRDefault="00BD72F7" w:rsidP="00BD72F7">
      <w:pPr>
        <w:spacing w:after="0" w:line="360" w:lineRule="auto"/>
        <w:jc w:val="both"/>
        <w:rPr>
          <w:rFonts w:ascii="Times New Roman" w:hAnsi="Times New Roman" w:cs="Times New Roman"/>
          <w:sz w:val="28"/>
          <w:szCs w:val="28"/>
          <w:lang w:val="en-GB"/>
        </w:rPr>
      </w:pPr>
    </w:p>
    <w:p w14:paraId="366C6435" w14:textId="1A5D77BB" w:rsidR="00BD72F7" w:rsidRPr="00620926" w:rsidRDefault="00BD72F7" w:rsidP="00BD72F7">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DC3DFA" w:rsidRPr="00620926">
        <w:rPr>
          <w:rFonts w:ascii="Times New Roman" w:hAnsi="Times New Roman" w:cs="Times New Roman"/>
          <w:sz w:val="28"/>
          <w:szCs w:val="28"/>
          <w:lang w:val="en-GB"/>
        </w:rPr>
        <w:t>5</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In 2004, the Board initiated the process of establishing the LPM gambling sector in the province. Acting in terms of s 31 of the Western Cape Act, it published a R</w:t>
      </w:r>
      <w:r w:rsidR="008F4C91" w:rsidRPr="00620926">
        <w:rPr>
          <w:rFonts w:ascii="Times New Roman" w:hAnsi="Times New Roman" w:cs="Times New Roman"/>
          <w:sz w:val="28"/>
          <w:szCs w:val="28"/>
          <w:lang w:val="en-GB"/>
        </w:rPr>
        <w:t xml:space="preserve">equest </w:t>
      </w:r>
      <w:r w:rsidR="000C1F81" w:rsidRPr="00620926">
        <w:rPr>
          <w:rFonts w:ascii="Times New Roman" w:hAnsi="Times New Roman" w:cs="Times New Roman"/>
          <w:sz w:val="28"/>
          <w:szCs w:val="28"/>
          <w:lang w:val="en-GB"/>
        </w:rPr>
        <w:t>f</w:t>
      </w:r>
      <w:r w:rsidR="008F4C91" w:rsidRPr="00620926">
        <w:rPr>
          <w:rFonts w:ascii="Times New Roman" w:hAnsi="Times New Roman" w:cs="Times New Roman"/>
          <w:sz w:val="28"/>
          <w:szCs w:val="28"/>
          <w:lang w:val="en-GB"/>
        </w:rPr>
        <w:t xml:space="preserve">or </w:t>
      </w:r>
      <w:r w:rsidRPr="00620926">
        <w:rPr>
          <w:rFonts w:ascii="Times New Roman" w:hAnsi="Times New Roman" w:cs="Times New Roman"/>
          <w:sz w:val="28"/>
          <w:szCs w:val="28"/>
          <w:lang w:val="en-GB"/>
        </w:rPr>
        <w:t>P</w:t>
      </w:r>
      <w:r w:rsidR="008F4C91" w:rsidRPr="00620926">
        <w:rPr>
          <w:rFonts w:ascii="Times New Roman" w:hAnsi="Times New Roman" w:cs="Times New Roman"/>
          <w:sz w:val="28"/>
          <w:szCs w:val="28"/>
          <w:lang w:val="en-GB"/>
        </w:rPr>
        <w:t>roposals (</w:t>
      </w:r>
      <w:r w:rsidR="000C1F81" w:rsidRPr="00620926">
        <w:rPr>
          <w:rFonts w:ascii="Times New Roman" w:hAnsi="Times New Roman" w:cs="Times New Roman"/>
          <w:sz w:val="28"/>
          <w:szCs w:val="28"/>
          <w:lang w:val="en-GB"/>
        </w:rPr>
        <w:t xml:space="preserve">the </w:t>
      </w:r>
      <w:r w:rsidR="008F4C91" w:rsidRPr="00620926">
        <w:rPr>
          <w:rFonts w:ascii="Times New Roman" w:hAnsi="Times New Roman" w:cs="Times New Roman"/>
          <w:sz w:val="28"/>
          <w:szCs w:val="28"/>
          <w:lang w:val="en-GB"/>
        </w:rPr>
        <w:t>RFP)</w:t>
      </w:r>
      <w:r w:rsidRPr="00620926">
        <w:rPr>
          <w:rFonts w:ascii="Times New Roman" w:hAnsi="Times New Roman" w:cs="Times New Roman"/>
          <w:sz w:val="28"/>
          <w:szCs w:val="28"/>
          <w:lang w:val="en-GB"/>
        </w:rPr>
        <w:t>, inviting applications for the allocation of ‘route operator licences’</w:t>
      </w:r>
      <w:r w:rsidR="000C1F81"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 xml:space="preserve"> </w:t>
      </w:r>
      <w:proofErr w:type="spellStart"/>
      <w:r w:rsidRPr="00620926">
        <w:rPr>
          <w:rFonts w:ascii="Times New Roman" w:hAnsi="Times New Roman" w:cs="Times New Roman"/>
          <w:sz w:val="28"/>
          <w:szCs w:val="28"/>
          <w:lang w:val="en-GB"/>
        </w:rPr>
        <w:t>ie</w:t>
      </w:r>
      <w:proofErr w:type="spellEnd"/>
      <w:r w:rsidRPr="00620926">
        <w:rPr>
          <w:rFonts w:ascii="Times New Roman" w:hAnsi="Times New Roman" w:cs="Times New Roman"/>
          <w:sz w:val="28"/>
          <w:szCs w:val="28"/>
          <w:lang w:val="en-GB"/>
        </w:rPr>
        <w:t xml:space="preserve"> licences to operate LMPs in the </w:t>
      </w:r>
      <w:r w:rsidRPr="00620926">
        <w:rPr>
          <w:rFonts w:ascii="Times New Roman" w:hAnsi="Times New Roman" w:cs="Times New Roman"/>
          <w:sz w:val="28"/>
          <w:szCs w:val="28"/>
          <w:lang w:val="en-GB"/>
        </w:rPr>
        <w:lastRenderedPageBreak/>
        <w:t xml:space="preserve">province. </w:t>
      </w:r>
      <w:r w:rsidR="00A57698" w:rsidRPr="00620926">
        <w:rPr>
          <w:rFonts w:ascii="Times New Roman" w:hAnsi="Times New Roman" w:cs="Times New Roman"/>
          <w:sz w:val="28"/>
          <w:szCs w:val="28"/>
          <w:lang w:val="en-GB"/>
        </w:rPr>
        <w:t>T</w:t>
      </w:r>
      <w:r w:rsidR="00EC3D44" w:rsidRPr="00620926">
        <w:rPr>
          <w:rFonts w:ascii="Times New Roman" w:hAnsi="Times New Roman" w:cs="Times New Roman"/>
          <w:sz w:val="28"/>
          <w:szCs w:val="28"/>
          <w:lang w:val="en-GB"/>
        </w:rPr>
        <w:t>he Board had determined that it would</w:t>
      </w:r>
      <w:r w:rsidR="00375126" w:rsidRPr="00620926">
        <w:rPr>
          <w:rFonts w:ascii="Times New Roman" w:hAnsi="Times New Roman" w:cs="Times New Roman"/>
          <w:sz w:val="28"/>
          <w:szCs w:val="28"/>
          <w:lang w:val="en-GB"/>
        </w:rPr>
        <w:t xml:space="preserve"> make available 3000 LPMs to be allocated to </w:t>
      </w:r>
      <w:r w:rsidRPr="00620926">
        <w:rPr>
          <w:rFonts w:ascii="Times New Roman" w:hAnsi="Times New Roman" w:cs="Times New Roman"/>
          <w:sz w:val="28"/>
          <w:szCs w:val="28"/>
          <w:lang w:val="en-GB"/>
        </w:rPr>
        <w:t>route operator</w:t>
      </w:r>
      <w:r w:rsidR="00B107C2" w:rsidRPr="00620926">
        <w:rPr>
          <w:rFonts w:ascii="Times New Roman" w:hAnsi="Times New Roman" w:cs="Times New Roman"/>
          <w:sz w:val="28"/>
          <w:szCs w:val="28"/>
          <w:lang w:val="en-GB"/>
        </w:rPr>
        <w:t>s. It</w:t>
      </w:r>
      <w:r w:rsidR="005A1C1B" w:rsidRPr="00620926">
        <w:rPr>
          <w:rFonts w:ascii="Times New Roman" w:hAnsi="Times New Roman" w:cs="Times New Roman"/>
          <w:sz w:val="28"/>
          <w:szCs w:val="28"/>
          <w:lang w:val="en-GB"/>
        </w:rPr>
        <w:t xml:space="preserve"> indicated, in the RFP,</w:t>
      </w:r>
      <w:r w:rsidRPr="00620926">
        <w:rPr>
          <w:rFonts w:ascii="Times New Roman" w:hAnsi="Times New Roman" w:cs="Times New Roman"/>
          <w:sz w:val="28"/>
          <w:szCs w:val="28"/>
          <w:lang w:val="en-GB"/>
        </w:rPr>
        <w:t xml:space="preserve"> </w:t>
      </w:r>
      <w:r w:rsidR="005A1C1B" w:rsidRPr="00620926">
        <w:rPr>
          <w:rFonts w:ascii="Times New Roman" w:hAnsi="Times New Roman" w:cs="Times New Roman"/>
          <w:sz w:val="28"/>
          <w:szCs w:val="28"/>
          <w:lang w:val="en-GB"/>
        </w:rPr>
        <w:t>that it intended to appoint three operators</w:t>
      </w:r>
      <w:r w:rsidR="006A40F4" w:rsidRPr="00620926">
        <w:rPr>
          <w:rFonts w:ascii="Times New Roman" w:hAnsi="Times New Roman" w:cs="Times New Roman"/>
          <w:sz w:val="28"/>
          <w:szCs w:val="28"/>
          <w:lang w:val="en-GB"/>
        </w:rPr>
        <w:t xml:space="preserve"> and that each would be allocated 1000 LPMs. </w:t>
      </w:r>
    </w:p>
    <w:p w14:paraId="6321FF3C" w14:textId="77777777" w:rsidR="00BD72F7" w:rsidRPr="00620926" w:rsidRDefault="00BD72F7" w:rsidP="00BD72F7">
      <w:pPr>
        <w:spacing w:after="0" w:line="360" w:lineRule="auto"/>
        <w:jc w:val="both"/>
        <w:rPr>
          <w:rFonts w:ascii="Times New Roman" w:hAnsi="Times New Roman" w:cs="Times New Roman"/>
          <w:sz w:val="28"/>
          <w:szCs w:val="28"/>
          <w:lang w:val="en-GB"/>
        </w:rPr>
      </w:pPr>
    </w:p>
    <w:p w14:paraId="2A4999CF" w14:textId="79B4B37E" w:rsidR="00BD72F7" w:rsidRPr="00620926" w:rsidRDefault="00BD72F7" w:rsidP="00BD72F7">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AF797F" w:rsidRPr="00620926">
        <w:rPr>
          <w:rFonts w:ascii="Times New Roman" w:hAnsi="Times New Roman" w:cs="Times New Roman"/>
          <w:sz w:val="28"/>
          <w:szCs w:val="28"/>
          <w:lang w:val="en-GB"/>
        </w:rPr>
        <w:t>6</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The Board received five applications in response to the RFP. </w:t>
      </w:r>
      <w:proofErr w:type="spellStart"/>
      <w:r w:rsidRPr="00620926">
        <w:rPr>
          <w:rFonts w:ascii="Times New Roman" w:hAnsi="Times New Roman" w:cs="Times New Roman"/>
          <w:sz w:val="28"/>
          <w:szCs w:val="28"/>
          <w:lang w:val="en-GB"/>
        </w:rPr>
        <w:t>Goldrush</w:t>
      </w:r>
      <w:proofErr w:type="spellEnd"/>
      <w:r w:rsidRPr="00620926">
        <w:rPr>
          <w:rFonts w:ascii="Times New Roman" w:hAnsi="Times New Roman" w:cs="Times New Roman"/>
          <w:sz w:val="28"/>
          <w:szCs w:val="28"/>
          <w:lang w:val="en-GB"/>
        </w:rPr>
        <w:t xml:space="preserve"> was not an applicant. It did not exist at the time. </w:t>
      </w:r>
      <w:r w:rsidR="00F20C37" w:rsidRPr="00620926">
        <w:rPr>
          <w:rFonts w:ascii="Times New Roman" w:hAnsi="Times New Roman" w:cs="Times New Roman"/>
          <w:sz w:val="28"/>
          <w:szCs w:val="28"/>
          <w:lang w:val="en-GB"/>
        </w:rPr>
        <w:t>Following its evaluation of the applications, t</w:t>
      </w:r>
      <w:r w:rsidRPr="00620926">
        <w:rPr>
          <w:rFonts w:ascii="Times New Roman" w:hAnsi="Times New Roman" w:cs="Times New Roman"/>
          <w:sz w:val="28"/>
          <w:szCs w:val="28"/>
          <w:lang w:val="en-GB"/>
        </w:rPr>
        <w:t xml:space="preserve">he Board </w:t>
      </w:r>
      <w:r w:rsidR="00F20C37" w:rsidRPr="00620926">
        <w:rPr>
          <w:rFonts w:ascii="Times New Roman" w:hAnsi="Times New Roman" w:cs="Times New Roman"/>
          <w:sz w:val="28"/>
          <w:szCs w:val="28"/>
          <w:lang w:val="en-GB"/>
        </w:rPr>
        <w:t>decided to appoint</w:t>
      </w:r>
      <w:r w:rsidRPr="00620926">
        <w:rPr>
          <w:rFonts w:ascii="Times New Roman" w:hAnsi="Times New Roman" w:cs="Times New Roman"/>
          <w:sz w:val="28"/>
          <w:szCs w:val="28"/>
          <w:lang w:val="en-GB"/>
        </w:rPr>
        <w:t xml:space="preserve"> only two </w:t>
      </w:r>
      <w:r w:rsidR="009C356A" w:rsidRPr="00620926">
        <w:rPr>
          <w:rFonts w:ascii="Times New Roman" w:hAnsi="Times New Roman" w:cs="Times New Roman"/>
          <w:sz w:val="28"/>
          <w:szCs w:val="28"/>
          <w:lang w:val="en-GB"/>
        </w:rPr>
        <w:t xml:space="preserve">route </w:t>
      </w:r>
      <w:r w:rsidRPr="00620926">
        <w:rPr>
          <w:rFonts w:ascii="Times New Roman" w:hAnsi="Times New Roman" w:cs="Times New Roman"/>
          <w:sz w:val="28"/>
          <w:szCs w:val="28"/>
          <w:lang w:val="en-GB"/>
        </w:rPr>
        <w:t xml:space="preserve">operators, namely V-Slots and Grand Slots. It allocated </w:t>
      </w:r>
      <w:r w:rsidR="000D67A0" w:rsidRPr="00620926">
        <w:rPr>
          <w:rFonts w:ascii="Times New Roman" w:hAnsi="Times New Roman" w:cs="Times New Roman"/>
          <w:sz w:val="28"/>
          <w:szCs w:val="28"/>
          <w:lang w:val="en-GB"/>
        </w:rPr>
        <w:t xml:space="preserve">its stated </w:t>
      </w:r>
      <w:r w:rsidR="0073095A" w:rsidRPr="00620926">
        <w:rPr>
          <w:rFonts w:ascii="Times New Roman" w:hAnsi="Times New Roman" w:cs="Times New Roman"/>
          <w:sz w:val="28"/>
          <w:szCs w:val="28"/>
          <w:lang w:val="en-GB"/>
        </w:rPr>
        <w:t xml:space="preserve">minimum of </w:t>
      </w:r>
      <w:r w:rsidRPr="00620926">
        <w:rPr>
          <w:rFonts w:ascii="Times New Roman" w:hAnsi="Times New Roman" w:cs="Times New Roman"/>
          <w:sz w:val="28"/>
          <w:szCs w:val="28"/>
          <w:lang w:val="en-GB"/>
        </w:rPr>
        <w:t>1000 LPMs to each of them</w:t>
      </w:r>
      <w:r w:rsidR="000C1F81" w:rsidRPr="00620926">
        <w:rPr>
          <w:rFonts w:ascii="Times New Roman" w:hAnsi="Times New Roman" w:cs="Times New Roman"/>
          <w:sz w:val="28"/>
          <w:szCs w:val="28"/>
          <w:lang w:val="en-GB"/>
        </w:rPr>
        <w:t>, with the result that 1000</w:t>
      </w:r>
      <w:r w:rsidR="000578EB" w:rsidRPr="00620926">
        <w:rPr>
          <w:rFonts w:ascii="Times New Roman" w:hAnsi="Times New Roman" w:cs="Times New Roman"/>
          <w:sz w:val="28"/>
          <w:szCs w:val="28"/>
          <w:lang w:val="en-GB"/>
        </w:rPr>
        <w:t xml:space="preserve"> LPMs remained unallocated</w:t>
      </w:r>
      <w:r w:rsidRPr="00620926">
        <w:rPr>
          <w:rFonts w:ascii="Times New Roman" w:hAnsi="Times New Roman" w:cs="Times New Roman"/>
          <w:sz w:val="28"/>
          <w:szCs w:val="28"/>
          <w:lang w:val="en-GB"/>
        </w:rPr>
        <w:t xml:space="preserve">. </w:t>
      </w:r>
    </w:p>
    <w:p w14:paraId="649E5B16" w14:textId="77777777" w:rsidR="00BD72F7" w:rsidRPr="00620926" w:rsidRDefault="00BD72F7" w:rsidP="00BD72F7">
      <w:pPr>
        <w:spacing w:after="0" w:line="360" w:lineRule="auto"/>
        <w:jc w:val="both"/>
        <w:rPr>
          <w:rFonts w:ascii="Times New Roman" w:hAnsi="Times New Roman" w:cs="Times New Roman"/>
          <w:sz w:val="28"/>
          <w:szCs w:val="28"/>
          <w:lang w:val="en-GB"/>
        </w:rPr>
      </w:pPr>
    </w:p>
    <w:p w14:paraId="2A19405F" w14:textId="25DA125A" w:rsidR="00BD72F7" w:rsidRPr="00620926" w:rsidRDefault="00BD72F7" w:rsidP="00BD72F7">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307CF2" w:rsidRPr="00620926">
        <w:rPr>
          <w:rFonts w:ascii="Times New Roman" w:hAnsi="Times New Roman" w:cs="Times New Roman"/>
          <w:sz w:val="28"/>
          <w:szCs w:val="28"/>
          <w:lang w:val="en-GB"/>
        </w:rPr>
        <w:t>7</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 During 2017, V-Slots and Grand Slots made written submissions to the Board to allocate to them</w:t>
      </w:r>
      <w:r w:rsidR="00DE1217" w:rsidRPr="00620926">
        <w:rPr>
          <w:rFonts w:ascii="Times New Roman" w:hAnsi="Times New Roman" w:cs="Times New Roman"/>
          <w:sz w:val="28"/>
          <w:szCs w:val="28"/>
          <w:lang w:val="en-GB"/>
        </w:rPr>
        <w:t xml:space="preserve"> the </w:t>
      </w:r>
      <w:r w:rsidR="000578EB" w:rsidRPr="00620926">
        <w:rPr>
          <w:rFonts w:ascii="Times New Roman" w:hAnsi="Times New Roman" w:cs="Times New Roman"/>
          <w:sz w:val="28"/>
          <w:szCs w:val="28"/>
          <w:lang w:val="en-GB"/>
        </w:rPr>
        <w:t xml:space="preserve">remaining 1000 </w:t>
      </w:r>
      <w:r w:rsidR="00DE1217" w:rsidRPr="00620926">
        <w:rPr>
          <w:rFonts w:ascii="Times New Roman" w:hAnsi="Times New Roman" w:cs="Times New Roman"/>
          <w:sz w:val="28"/>
          <w:szCs w:val="28"/>
          <w:lang w:val="en-GB"/>
        </w:rPr>
        <w:t>LPMs</w:t>
      </w:r>
      <w:r w:rsidRPr="00620926">
        <w:rPr>
          <w:rFonts w:ascii="Times New Roman" w:hAnsi="Times New Roman" w:cs="Times New Roman"/>
          <w:sz w:val="28"/>
          <w:szCs w:val="28"/>
          <w:lang w:val="en-GB"/>
        </w:rPr>
        <w:t xml:space="preserve">. The Board’s LPM Committee considered the submissions and recommended to the Board that it allocate the remaining 1000 LPMs, split as 500 LPMs to each. On 29 August 2017, the Board decided to allocate </w:t>
      </w:r>
      <w:r w:rsidR="000578EB" w:rsidRPr="00620926">
        <w:rPr>
          <w:rFonts w:ascii="Times New Roman" w:hAnsi="Times New Roman" w:cs="Times New Roman"/>
          <w:sz w:val="28"/>
          <w:szCs w:val="28"/>
          <w:lang w:val="en-GB"/>
        </w:rPr>
        <w:t xml:space="preserve">the remaining </w:t>
      </w:r>
      <w:r w:rsidRPr="00620926">
        <w:rPr>
          <w:rFonts w:ascii="Times New Roman" w:hAnsi="Times New Roman" w:cs="Times New Roman"/>
          <w:sz w:val="28"/>
          <w:szCs w:val="28"/>
          <w:lang w:val="en-GB"/>
        </w:rPr>
        <w:t>LPMs to V-Slots and Grand Slots</w:t>
      </w:r>
      <w:r w:rsidR="000578EB" w:rsidRPr="00620926">
        <w:rPr>
          <w:rFonts w:ascii="Times New Roman" w:hAnsi="Times New Roman" w:cs="Times New Roman"/>
          <w:sz w:val="28"/>
          <w:szCs w:val="28"/>
          <w:lang w:val="en-GB"/>
        </w:rPr>
        <w:t xml:space="preserve"> as recommended by the LPM Committee</w:t>
      </w:r>
      <w:r w:rsidRPr="00620926">
        <w:rPr>
          <w:rFonts w:ascii="Times New Roman" w:hAnsi="Times New Roman" w:cs="Times New Roman"/>
          <w:sz w:val="28"/>
          <w:szCs w:val="28"/>
          <w:lang w:val="en-GB"/>
        </w:rPr>
        <w:t>.</w:t>
      </w:r>
    </w:p>
    <w:p w14:paraId="25C74D23" w14:textId="77777777" w:rsidR="00BD72F7" w:rsidRPr="00620926" w:rsidRDefault="00BD72F7" w:rsidP="00BD72F7">
      <w:pPr>
        <w:spacing w:after="0" w:line="360" w:lineRule="auto"/>
        <w:jc w:val="both"/>
        <w:rPr>
          <w:rFonts w:ascii="Times New Roman" w:hAnsi="Times New Roman" w:cs="Times New Roman"/>
          <w:sz w:val="28"/>
          <w:szCs w:val="28"/>
          <w:lang w:val="en-GB"/>
        </w:rPr>
      </w:pPr>
    </w:p>
    <w:p w14:paraId="69E6FC46" w14:textId="663D21D5" w:rsidR="00BD72F7" w:rsidRPr="00620926" w:rsidRDefault="00BD72F7" w:rsidP="00BD72F7">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5A4FA5" w:rsidRPr="00620926">
        <w:rPr>
          <w:rFonts w:ascii="Times New Roman" w:hAnsi="Times New Roman" w:cs="Times New Roman"/>
          <w:sz w:val="28"/>
          <w:szCs w:val="28"/>
          <w:lang w:val="en-GB"/>
        </w:rPr>
        <w:t>8</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On 13 December 2017, a delegation from </w:t>
      </w:r>
      <w:proofErr w:type="spellStart"/>
      <w:r w:rsidRPr="00620926">
        <w:rPr>
          <w:rFonts w:ascii="Times New Roman" w:hAnsi="Times New Roman" w:cs="Times New Roman"/>
          <w:sz w:val="28"/>
          <w:szCs w:val="28"/>
          <w:lang w:val="en-GB"/>
        </w:rPr>
        <w:t>Goldrush</w:t>
      </w:r>
      <w:proofErr w:type="spellEnd"/>
      <w:r w:rsidRPr="00620926">
        <w:rPr>
          <w:rFonts w:ascii="Times New Roman" w:hAnsi="Times New Roman" w:cs="Times New Roman"/>
          <w:sz w:val="28"/>
          <w:szCs w:val="28"/>
          <w:lang w:val="en-GB"/>
        </w:rPr>
        <w:t xml:space="preserve"> Group made a presentation to the Board regarding the potential for </w:t>
      </w:r>
      <w:r w:rsidR="005A4FA5" w:rsidRPr="00620926">
        <w:rPr>
          <w:rFonts w:ascii="Times New Roman" w:hAnsi="Times New Roman" w:cs="Times New Roman"/>
          <w:sz w:val="28"/>
          <w:szCs w:val="28"/>
          <w:lang w:val="en-GB"/>
        </w:rPr>
        <w:t xml:space="preserve">the </w:t>
      </w:r>
      <w:r w:rsidRPr="00620926">
        <w:rPr>
          <w:rFonts w:ascii="Times New Roman" w:hAnsi="Times New Roman" w:cs="Times New Roman"/>
          <w:sz w:val="28"/>
          <w:szCs w:val="28"/>
          <w:lang w:val="en-GB"/>
        </w:rPr>
        <w:t xml:space="preserve">appointment of a third route operator in the province. Nothing came of this. Just under a year later, on 4 December 2018, </w:t>
      </w:r>
      <w:proofErr w:type="spellStart"/>
      <w:r w:rsidRPr="00620926">
        <w:rPr>
          <w:rFonts w:ascii="Times New Roman" w:hAnsi="Times New Roman" w:cs="Times New Roman"/>
          <w:sz w:val="28"/>
          <w:szCs w:val="28"/>
          <w:lang w:val="en-GB"/>
        </w:rPr>
        <w:t>Goldrush’s</w:t>
      </w:r>
      <w:proofErr w:type="spellEnd"/>
      <w:r w:rsidRPr="00620926">
        <w:rPr>
          <w:rFonts w:ascii="Times New Roman" w:hAnsi="Times New Roman" w:cs="Times New Roman"/>
          <w:sz w:val="28"/>
          <w:szCs w:val="28"/>
          <w:lang w:val="en-GB"/>
        </w:rPr>
        <w:t xml:space="preserve"> attorneys wrote to the Board, that it had come to their</w:t>
      </w:r>
      <w:r w:rsidR="004F5102" w:rsidRPr="00620926">
        <w:rPr>
          <w:rFonts w:ascii="Times New Roman" w:hAnsi="Times New Roman" w:cs="Times New Roman"/>
          <w:sz w:val="28"/>
          <w:szCs w:val="28"/>
          <w:lang w:val="en-GB"/>
        </w:rPr>
        <w:t xml:space="preserve"> client’s</w:t>
      </w:r>
      <w:r w:rsidRPr="00620926">
        <w:rPr>
          <w:rFonts w:ascii="Times New Roman" w:hAnsi="Times New Roman" w:cs="Times New Roman"/>
          <w:sz w:val="28"/>
          <w:szCs w:val="28"/>
          <w:lang w:val="en-GB"/>
        </w:rPr>
        <w:t xml:space="preserve"> attention that the Board either had or intended to increase the number of LPMs allocated to V-Slots and Grand Slots. They sought confirmation of this and raised several contentions regarding due process</w:t>
      </w:r>
      <w:r w:rsidR="006B738E" w:rsidRPr="00620926">
        <w:rPr>
          <w:rFonts w:ascii="Times New Roman" w:hAnsi="Times New Roman" w:cs="Times New Roman"/>
          <w:sz w:val="28"/>
          <w:szCs w:val="28"/>
          <w:lang w:val="en-GB"/>
        </w:rPr>
        <w:t xml:space="preserve">. </w:t>
      </w:r>
      <w:r w:rsidRPr="00620926">
        <w:rPr>
          <w:rFonts w:ascii="Times New Roman" w:hAnsi="Times New Roman" w:cs="Times New Roman"/>
          <w:sz w:val="28"/>
          <w:szCs w:val="28"/>
          <w:lang w:val="en-GB"/>
        </w:rPr>
        <w:t xml:space="preserve">On 12 December 2018, they submitted a formal request for access to information in terms of the Promotion of Access to Information Act 3 of 2000 (PAIA). </w:t>
      </w:r>
    </w:p>
    <w:p w14:paraId="5D68EAFC" w14:textId="77777777" w:rsidR="00BD72F7" w:rsidRPr="00620926" w:rsidRDefault="00BD72F7" w:rsidP="00BD72F7">
      <w:pPr>
        <w:spacing w:after="0" w:line="360" w:lineRule="auto"/>
        <w:jc w:val="both"/>
        <w:rPr>
          <w:rFonts w:ascii="Times New Roman" w:hAnsi="Times New Roman" w:cs="Times New Roman"/>
          <w:sz w:val="28"/>
          <w:szCs w:val="28"/>
          <w:lang w:val="en-GB"/>
        </w:rPr>
      </w:pPr>
    </w:p>
    <w:p w14:paraId="1D0BB26C" w14:textId="2DDAFFCC" w:rsidR="00BD72F7" w:rsidRPr="00620926" w:rsidRDefault="00BD72F7" w:rsidP="00BD72F7">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D874FD" w:rsidRPr="00620926">
        <w:rPr>
          <w:rFonts w:ascii="Times New Roman" w:hAnsi="Times New Roman" w:cs="Times New Roman"/>
          <w:sz w:val="28"/>
          <w:szCs w:val="28"/>
          <w:lang w:val="en-GB"/>
        </w:rPr>
        <w:t>9</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On 13 December 2018, the Board replied to </w:t>
      </w:r>
      <w:proofErr w:type="spellStart"/>
      <w:r w:rsidRPr="00620926">
        <w:rPr>
          <w:rFonts w:ascii="Times New Roman" w:hAnsi="Times New Roman" w:cs="Times New Roman"/>
          <w:sz w:val="28"/>
          <w:szCs w:val="28"/>
          <w:lang w:val="en-GB"/>
        </w:rPr>
        <w:t>Goldrush’s</w:t>
      </w:r>
      <w:proofErr w:type="spellEnd"/>
      <w:r w:rsidRPr="00620926">
        <w:rPr>
          <w:rFonts w:ascii="Times New Roman" w:hAnsi="Times New Roman" w:cs="Times New Roman"/>
          <w:sz w:val="28"/>
          <w:szCs w:val="28"/>
          <w:lang w:val="en-GB"/>
        </w:rPr>
        <w:t xml:space="preserve"> letter of 4 December. It confirmed that it had issued the </w:t>
      </w:r>
      <w:r w:rsidR="004F3BE5" w:rsidRPr="00620926">
        <w:rPr>
          <w:rFonts w:ascii="Times New Roman" w:hAnsi="Times New Roman" w:cs="Times New Roman"/>
          <w:sz w:val="28"/>
          <w:szCs w:val="28"/>
          <w:lang w:val="en-GB"/>
        </w:rPr>
        <w:t>remaining</w:t>
      </w:r>
      <w:r w:rsidRPr="00620926">
        <w:rPr>
          <w:rFonts w:ascii="Times New Roman" w:hAnsi="Times New Roman" w:cs="Times New Roman"/>
          <w:sz w:val="28"/>
          <w:szCs w:val="28"/>
          <w:lang w:val="en-GB"/>
        </w:rPr>
        <w:t xml:space="preserve"> 1000 LPMs as an equal </w:t>
      </w:r>
      <w:r w:rsidRPr="00620926">
        <w:rPr>
          <w:rFonts w:ascii="Times New Roman" w:hAnsi="Times New Roman" w:cs="Times New Roman"/>
          <w:sz w:val="28"/>
          <w:szCs w:val="28"/>
          <w:lang w:val="en-GB"/>
        </w:rPr>
        <w:lastRenderedPageBreak/>
        <w:t>split to the two licenced route operators. The Board said that it did not intend inviting applications for further route operators.</w:t>
      </w:r>
    </w:p>
    <w:p w14:paraId="64C889C9" w14:textId="77777777" w:rsidR="00BD72F7" w:rsidRPr="00620926" w:rsidRDefault="00BD72F7" w:rsidP="00BD72F7">
      <w:pPr>
        <w:spacing w:after="0" w:line="360" w:lineRule="auto"/>
        <w:jc w:val="both"/>
        <w:rPr>
          <w:rFonts w:ascii="Times New Roman" w:hAnsi="Times New Roman" w:cs="Times New Roman"/>
          <w:sz w:val="28"/>
          <w:szCs w:val="28"/>
          <w:lang w:val="en-GB"/>
        </w:rPr>
      </w:pPr>
    </w:p>
    <w:p w14:paraId="59EA2D94" w14:textId="4561118C" w:rsidR="00E83358" w:rsidRPr="00620926" w:rsidRDefault="00BD72F7" w:rsidP="00CD430B">
      <w:pPr>
        <w:spacing w:after="0" w:line="360" w:lineRule="auto"/>
        <w:jc w:val="both"/>
        <w:rPr>
          <w:rFonts w:ascii="Times New Roman" w:hAnsi="Times New Roman" w:cs="Times New Roman"/>
          <w:b/>
          <w:sz w:val="28"/>
          <w:szCs w:val="28"/>
          <w:lang w:val="en-GB"/>
        </w:rPr>
      </w:pPr>
      <w:r w:rsidRPr="00620926">
        <w:rPr>
          <w:rFonts w:ascii="Times New Roman" w:hAnsi="Times New Roman" w:cs="Times New Roman"/>
          <w:sz w:val="28"/>
          <w:szCs w:val="28"/>
          <w:lang w:val="en-GB"/>
        </w:rPr>
        <w:t>[1</w:t>
      </w:r>
      <w:r w:rsidR="00E11770" w:rsidRPr="00620926">
        <w:rPr>
          <w:rFonts w:ascii="Times New Roman" w:hAnsi="Times New Roman" w:cs="Times New Roman"/>
          <w:sz w:val="28"/>
          <w:szCs w:val="28"/>
          <w:lang w:val="en-GB"/>
        </w:rPr>
        <w:t>0</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On 12 December 2018, prior to the Board’s reply referred to above, </w:t>
      </w:r>
      <w:proofErr w:type="spellStart"/>
      <w:r w:rsidRPr="00620926">
        <w:rPr>
          <w:rFonts w:ascii="Times New Roman" w:hAnsi="Times New Roman" w:cs="Times New Roman"/>
          <w:sz w:val="28"/>
          <w:szCs w:val="28"/>
          <w:lang w:val="en-GB"/>
        </w:rPr>
        <w:t>Goldrush</w:t>
      </w:r>
      <w:proofErr w:type="spellEnd"/>
      <w:r w:rsidRPr="00620926">
        <w:rPr>
          <w:rFonts w:ascii="Times New Roman" w:hAnsi="Times New Roman" w:cs="Times New Roman"/>
          <w:sz w:val="28"/>
          <w:szCs w:val="28"/>
          <w:lang w:val="en-GB"/>
        </w:rPr>
        <w:t xml:space="preserve"> submitted a request for reasons for the Board’s decision to allocate the remaining 1000 LPM’s to V-Slots and Grand Slots. It also requested an undertaking from the Board not to proceed with the allocation. It undertook to institute a review application within 30 days and threatened an urgent application to interdict the Board if no undertaking was provided. The Board replied on 21 </w:t>
      </w:r>
    </w:p>
    <w:p w14:paraId="7C5AD8D4" w14:textId="07E36D92" w:rsidR="00BD72F7" w:rsidRPr="00620926" w:rsidRDefault="00BD72F7" w:rsidP="00CD430B">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 xml:space="preserve">December 2018, refusing to provide the undertaking. </w:t>
      </w:r>
    </w:p>
    <w:p w14:paraId="5DB3DD32" w14:textId="77777777" w:rsidR="00E83358" w:rsidRPr="00620926" w:rsidRDefault="00E83358" w:rsidP="00A23A58">
      <w:pPr>
        <w:spacing w:after="0" w:line="360" w:lineRule="auto"/>
        <w:jc w:val="both"/>
        <w:rPr>
          <w:rFonts w:ascii="Times New Roman" w:hAnsi="Times New Roman" w:cs="Times New Roman"/>
          <w:b/>
          <w:sz w:val="28"/>
          <w:szCs w:val="28"/>
          <w:lang w:val="en-GB"/>
        </w:rPr>
      </w:pPr>
    </w:p>
    <w:p w14:paraId="402D968B" w14:textId="4DB2C171" w:rsidR="00796569" w:rsidRPr="00620926" w:rsidRDefault="00E83358" w:rsidP="00A23A58">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b/>
          <w:sz w:val="28"/>
          <w:szCs w:val="28"/>
          <w:lang w:val="en-GB"/>
        </w:rPr>
        <w:t>In the high court</w:t>
      </w:r>
    </w:p>
    <w:p w14:paraId="05DAB810" w14:textId="54CCD440" w:rsidR="00065C06" w:rsidRPr="00620926" w:rsidRDefault="00065C06" w:rsidP="00A23A58">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485BD4" w:rsidRPr="00620926">
        <w:rPr>
          <w:rFonts w:ascii="Times New Roman" w:hAnsi="Times New Roman" w:cs="Times New Roman"/>
          <w:sz w:val="28"/>
          <w:szCs w:val="28"/>
          <w:lang w:val="en-GB"/>
        </w:rPr>
        <w:t>11</w:t>
      </w:r>
      <w:r w:rsidR="00B85ACC"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r>
      <w:r w:rsidR="00796569" w:rsidRPr="00620926">
        <w:rPr>
          <w:rFonts w:ascii="Times New Roman" w:hAnsi="Times New Roman" w:cs="Times New Roman"/>
          <w:sz w:val="28"/>
          <w:szCs w:val="28"/>
          <w:lang w:val="en-GB"/>
        </w:rPr>
        <w:t xml:space="preserve">On 25 March 2019, </w:t>
      </w:r>
      <w:proofErr w:type="spellStart"/>
      <w:r w:rsidR="00773719" w:rsidRPr="00620926">
        <w:rPr>
          <w:rFonts w:ascii="Times New Roman" w:hAnsi="Times New Roman" w:cs="Times New Roman"/>
          <w:sz w:val="28"/>
          <w:szCs w:val="28"/>
          <w:lang w:val="en-GB"/>
        </w:rPr>
        <w:t>Goldrush</w:t>
      </w:r>
      <w:proofErr w:type="spellEnd"/>
      <w:r w:rsidR="00796569" w:rsidRPr="00620926">
        <w:rPr>
          <w:rFonts w:ascii="Times New Roman" w:hAnsi="Times New Roman" w:cs="Times New Roman"/>
          <w:sz w:val="28"/>
          <w:szCs w:val="28"/>
          <w:lang w:val="en-GB"/>
        </w:rPr>
        <w:t xml:space="preserve"> </w:t>
      </w:r>
      <w:r w:rsidR="00763888" w:rsidRPr="00620926">
        <w:rPr>
          <w:rFonts w:ascii="Times New Roman" w:hAnsi="Times New Roman" w:cs="Times New Roman"/>
          <w:sz w:val="28"/>
          <w:szCs w:val="28"/>
          <w:lang w:val="en-GB"/>
        </w:rPr>
        <w:t>launched</w:t>
      </w:r>
      <w:r w:rsidR="00460B07" w:rsidRPr="00620926">
        <w:rPr>
          <w:rFonts w:ascii="Times New Roman" w:hAnsi="Times New Roman" w:cs="Times New Roman"/>
          <w:sz w:val="28"/>
          <w:szCs w:val="28"/>
          <w:lang w:val="en-GB"/>
        </w:rPr>
        <w:t xml:space="preserve"> </w:t>
      </w:r>
      <w:r w:rsidR="00796569" w:rsidRPr="00620926">
        <w:rPr>
          <w:rFonts w:ascii="Times New Roman" w:hAnsi="Times New Roman" w:cs="Times New Roman"/>
          <w:sz w:val="28"/>
          <w:szCs w:val="28"/>
          <w:lang w:val="en-GB"/>
        </w:rPr>
        <w:t>an application in the high court</w:t>
      </w:r>
      <w:r w:rsidR="006E12D2" w:rsidRPr="00620926">
        <w:rPr>
          <w:rFonts w:ascii="Times New Roman" w:hAnsi="Times New Roman" w:cs="Times New Roman"/>
          <w:sz w:val="28"/>
          <w:szCs w:val="28"/>
          <w:lang w:val="en-GB"/>
        </w:rPr>
        <w:t xml:space="preserve"> to review and set aside </w:t>
      </w:r>
      <w:r w:rsidR="00C91D22" w:rsidRPr="00620926">
        <w:rPr>
          <w:rFonts w:ascii="Times New Roman" w:hAnsi="Times New Roman" w:cs="Times New Roman"/>
          <w:sz w:val="28"/>
          <w:szCs w:val="28"/>
          <w:lang w:val="en-GB"/>
        </w:rPr>
        <w:t xml:space="preserve">the Board </w:t>
      </w:r>
      <w:r w:rsidR="006E12D2" w:rsidRPr="00620926">
        <w:rPr>
          <w:rFonts w:ascii="Times New Roman" w:hAnsi="Times New Roman" w:cs="Times New Roman"/>
          <w:sz w:val="28"/>
          <w:szCs w:val="28"/>
          <w:lang w:val="en-GB"/>
        </w:rPr>
        <w:t xml:space="preserve">decision taken in </w:t>
      </w:r>
      <w:r w:rsidR="00C91D22" w:rsidRPr="00620926">
        <w:rPr>
          <w:rFonts w:ascii="Times New Roman" w:hAnsi="Times New Roman" w:cs="Times New Roman"/>
          <w:sz w:val="28"/>
          <w:szCs w:val="28"/>
          <w:lang w:val="en-GB"/>
        </w:rPr>
        <w:t xml:space="preserve">August </w:t>
      </w:r>
      <w:r w:rsidR="006E12D2" w:rsidRPr="00620926">
        <w:rPr>
          <w:rFonts w:ascii="Times New Roman" w:hAnsi="Times New Roman" w:cs="Times New Roman"/>
          <w:sz w:val="28"/>
          <w:szCs w:val="28"/>
          <w:lang w:val="en-GB"/>
        </w:rPr>
        <w:t>2017,</w:t>
      </w:r>
      <w:r w:rsidR="00A57698" w:rsidRPr="00620926">
        <w:rPr>
          <w:rStyle w:val="FootnoteReference"/>
          <w:rFonts w:ascii="Times New Roman" w:hAnsi="Times New Roman" w:cs="Times New Roman"/>
          <w:sz w:val="28"/>
          <w:szCs w:val="28"/>
          <w:lang w:val="en-GB"/>
        </w:rPr>
        <w:footnoteReference w:id="3"/>
      </w:r>
      <w:r w:rsidR="006E12D2" w:rsidRPr="00620926">
        <w:rPr>
          <w:rFonts w:ascii="Times New Roman" w:hAnsi="Times New Roman" w:cs="Times New Roman"/>
          <w:sz w:val="28"/>
          <w:szCs w:val="28"/>
          <w:lang w:val="en-GB"/>
        </w:rPr>
        <w:t xml:space="preserve"> to allocate the remaining 1000 </w:t>
      </w:r>
      <w:r w:rsidR="00811D6F" w:rsidRPr="00620926">
        <w:rPr>
          <w:rFonts w:ascii="Times New Roman" w:hAnsi="Times New Roman" w:cs="Times New Roman"/>
          <w:sz w:val="28"/>
          <w:szCs w:val="28"/>
          <w:lang w:val="en-GB"/>
        </w:rPr>
        <w:t xml:space="preserve">LPMs </w:t>
      </w:r>
      <w:r w:rsidR="006E12D2" w:rsidRPr="00620926">
        <w:rPr>
          <w:rFonts w:ascii="Times New Roman" w:hAnsi="Times New Roman" w:cs="Times New Roman"/>
          <w:sz w:val="28"/>
          <w:szCs w:val="28"/>
          <w:lang w:val="en-GB"/>
        </w:rPr>
        <w:t>proportionally to V-Slots and Grand Slots</w:t>
      </w:r>
      <w:r w:rsidR="00763888" w:rsidRPr="00620926">
        <w:rPr>
          <w:rFonts w:ascii="Times New Roman" w:hAnsi="Times New Roman" w:cs="Times New Roman"/>
          <w:sz w:val="28"/>
          <w:szCs w:val="28"/>
          <w:lang w:val="en-GB"/>
        </w:rPr>
        <w:t>.</w:t>
      </w:r>
      <w:r w:rsidR="006E12D2" w:rsidRPr="00620926">
        <w:rPr>
          <w:rFonts w:ascii="Times New Roman" w:hAnsi="Times New Roman" w:cs="Times New Roman"/>
          <w:sz w:val="28"/>
          <w:szCs w:val="28"/>
          <w:lang w:val="en-GB"/>
        </w:rPr>
        <w:t xml:space="preserve"> The notice of motion was framed in two parts. In </w:t>
      </w:r>
      <w:r w:rsidR="00460B07" w:rsidRPr="00620926">
        <w:rPr>
          <w:rFonts w:ascii="Times New Roman" w:hAnsi="Times New Roman" w:cs="Times New Roman"/>
          <w:sz w:val="28"/>
          <w:szCs w:val="28"/>
          <w:lang w:val="en-GB"/>
        </w:rPr>
        <w:t>P</w:t>
      </w:r>
      <w:r w:rsidR="006E12D2" w:rsidRPr="00620926">
        <w:rPr>
          <w:rFonts w:ascii="Times New Roman" w:hAnsi="Times New Roman" w:cs="Times New Roman"/>
          <w:sz w:val="28"/>
          <w:szCs w:val="28"/>
          <w:lang w:val="en-GB"/>
        </w:rPr>
        <w:t xml:space="preserve">art A, </w:t>
      </w:r>
      <w:proofErr w:type="spellStart"/>
      <w:r w:rsidR="00773719" w:rsidRPr="00620926">
        <w:rPr>
          <w:rFonts w:ascii="Times New Roman" w:hAnsi="Times New Roman" w:cs="Times New Roman"/>
          <w:sz w:val="28"/>
          <w:szCs w:val="28"/>
          <w:lang w:val="en-GB"/>
        </w:rPr>
        <w:t>Goldrush</w:t>
      </w:r>
      <w:proofErr w:type="spellEnd"/>
      <w:r w:rsidR="006E12D2" w:rsidRPr="00620926">
        <w:rPr>
          <w:rFonts w:ascii="Times New Roman" w:hAnsi="Times New Roman" w:cs="Times New Roman"/>
          <w:sz w:val="28"/>
          <w:szCs w:val="28"/>
          <w:lang w:val="en-GB"/>
        </w:rPr>
        <w:t xml:space="preserve"> sought an </w:t>
      </w:r>
      <w:r w:rsidR="00811D6F" w:rsidRPr="00620926">
        <w:rPr>
          <w:rFonts w:ascii="Times New Roman" w:hAnsi="Times New Roman" w:cs="Times New Roman"/>
          <w:sz w:val="28"/>
          <w:szCs w:val="28"/>
          <w:lang w:val="en-GB"/>
        </w:rPr>
        <w:t xml:space="preserve">urgent </w:t>
      </w:r>
      <w:r w:rsidR="006E12D2" w:rsidRPr="00620926">
        <w:rPr>
          <w:rFonts w:ascii="Times New Roman" w:hAnsi="Times New Roman" w:cs="Times New Roman"/>
          <w:sz w:val="28"/>
          <w:szCs w:val="28"/>
          <w:lang w:val="en-GB"/>
        </w:rPr>
        <w:t xml:space="preserve">interdict pending the review relief sought in Part B. </w:t>
      </w:r>
      <w:proofErr w:type="spellStart"/>
      <w:r w:rsidR="00773719" w:rsidRPr="00620926">
        <w:rPr>
          <w:rFonts w:ascii="Times New Roman" w:hAnsi="Times New Roman" w:cs="Times New Roman"/>
          <w:sz w:val="28"/>
          <w:szCs w:val="28"/>
          <w:lang w:val="en-GB"/>
        </w:rPr>
        <w:t>Goldrush</w:t>
      </w:r>
      <w:proofErr w:type="spellEnd"/>
      <w:r w:rsidR="004B7F21" w:rsidRPr="00620926">
        <w:rPr>
          <w:rFonts w:ascii="Times New Roman" w:hAnsi="Times New Roman" w:cs="Times New Roman"/>
          <w:sz w:val="28"/>
          <w:szCs w:val="28"/>
          <w:lang w:val="en-GB"/>
        </w:rPr>
        <w:t xml:space="preserve"> did not</w:t>
      </w:r>
      <w:r w:rsidR="00E83358" w:rsidRPr="00620926">
        <w:rPr>
          <w:rFonts w:ascii="Times New Roman" w:hAnsi="Times New Roman" w:cs="Times New Roman"/>
          <w:sz w:val="28"/>
          <w:szCs w:val="28"/>
          <w:lang w:val="en-GB"/>
        </w:rPr>
        <w:t xml:space="preserve">, however, </w:t>
      </w:r>
      <w:r w:rsidR="004B7F21" w:rsidRPr="00620926">
        <w:rPr>
          <w:rFonts w:ascii="Times New Roman" w:hAnsi="Times New Roman" w:cs="Times New Roman"/>
          <w:sz w:val="28"/>
          <w:szCs w:val="28"/>
          <w:lang w:val="en-GB"/>
        </w:rPr>
        <w:t>pursue th</w:t>
      </w:r>
      <w:r w:rsidR="00811D6F" w:rsidRPr="00620926">
        <w:rPr>
          <w:rFonts w:ascii="Times New Roman" w:hAnsi="Times New Roman" w:cs="Times New Roman"/>
          <w:sz w:val="28"/>
          <w:szCs w:val="28"/>
          <w:lang w:val="en-GB"/>
        </w:rPr>
        <w:t>e</w:t>
      </w:r>
      <w:r w:rsidR="004B7F21" w:rsidRPr="00620926">
        <w:rPr>
          <w:rFonts w:ascii="Times New Roman" w:hAnsi="Times New Roman" w:cs="Times New Roman"/>
          <w:sz w:val="28"/>
          <w:szCs w:val="28"/>
          <w:lang w:val="en-GB"/>
        </w:rPr>
        <w:t xml:space="preserve"> relief</w:t>
      </w:r>
      <w:r w:rsidR="00811D6F" w:rsidRPr="00620926">
        <w:rPr>
          <w:rFonts w:ascii="Times New Roman" w:hAnsi="Times New Roman" w:cs="Times New Roman"/>
          <w:sz w:val="28"/>
          <w:szCs w:val="28"/>
          <w:lang w:val="en-GB"/>
        </w:rPr>
        <w:t xml:space="preserve"> it had sought in Part A, and</w:t>
      </w:r>
      <w:r w:rsidR="004B7F21" w:rsidRPr="00620926">
        <w:rPr>
          <w:rFonts w:ascii="Times New Roman" w:hAnsi="Times New Roman" w:cs="Times New Roman"/>
          <w:sz w:val="28"/>
          <w:szCs w:val="28"/>
          <w:lang w:val="en-GB"/>
        </w:rPr>
        <w:t xml:space="preserve"> </w:t>
      </w:r>
      <w:r w:rsidR="00811D6F" w:rsidRPr="00620926">
        <w:rPr>
          <w:rFonts w:ascii="Times New Roman" w:hAnsi="Times New Roman" w:cs="Times New Roman"/>
          <w:sz w:val="28"/>
          <w:szCs w:val="28"/>
          <w:lang w:val="en-GB"/>
        </w:rPr>
        <w:t>i</w:t>
      </w:r>
      <w:r w:rsidR="004B7F21" w:rsidRPr="00620926">
        <w:rPr>
          <w:rFonts w:ascii="Times New Roman" w:hAnsi="Times New Roman" w:cs="Times New Roman"/>
          <w:sz w:val="28"/>
          <w:szCs w:val="28"/>
          <w:lang w:val="en-GB"/>
        </w:rPr>
        <w:t>nstead</w:t>
      </w:r>
      <w:r w:rsidR="00811D6F" w:rsidRPr="00620926">
        <w:rPr>
          <w:rFonts w:ascii="Times New Roman" w:hAnsi="Times New Roman" w:cs="Times New Roman"/>
          <w:sz w:val="28"/>
          <w:szCs w:val="28"/>
          <w:lang w:val="en-GB"/>
        </w:rPr>
        <w:t xml:space="preserve"> set </w:t>
      </w:r>
      <w:r w:rsidR="004B7F21" w:rsidRPr="00620926">
        <w:rPr>
          <w:rFonts w:ascii="Times New Roman" w:hAnsi="Times New Roman" w:cs="Times New Roman"/>
          <w:sz w:val="28"/>
          <w:szCs w:val="28"/>
          <w:lang w:val="en-GB"/>
        </w:rPr>
        <w:t>the matter down for hearing of the review.</w:t>
      </w:r>
      <w:r w:rsidR="006E12D2" w:rsidRPr="00620926">
        <w:rPr>
          <w:rFonts w:ascii="Times New Roman" w:hAnsi="Times New Roman" w:cs="Times New Roman"/>
          <w:sz w:val="28"/>
          <w:szCs w:val="28"/>
          <w:lang w:val="en-GB"/>
        </w:rPr>
        <w:t xml:space="preserve"> </w:t>
      </w:r>
    </w:p>
    <w:p w14:paraId="61FAEA30" w14:textId="77777777" w:rsidR="00A23A58" w:rsidRPr="00620926" w:rsidRDefault="00A23A58" w:rsidP="00A23A58">
      <w:pPr>
        <w:spacing w:after="0" w:line="360" w:lineRule="auto"/>
        <w:jc w:val="both"/>
        <w:rPr>
          <w:rFonts w:ascii="Times New Roman" w:hAnsi="Times New Roman" w:cs="Times New Roman"/>
          <w:sz w:val="28"/>
          <w:szCs w:val="28"/>
          <w:lang w:val="en-GB"/>
        </w:rPr>
      </w:pPr>
    </w:p>
    <w:p w14:paraId="780D6931" w14:textId="573AA998" w:rsidR="00D44E91" w:rsidRPr="00620926" w:rsidRDefault="00065C06" w:rsidP="00F32D7A">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CF205A" w:rsidRPr="00620926">
        <w:rPr>
          <w:rFonts w:ascii="Times New Roman" w:hAnsi="Times New Roman" w:cs="Times New Roman"/>
          <w:sz w:val="28"/>
          <w:szCs w:val="28"/>
          <w:lang w:val="en-GB"/>
        </w:rPr>
        <w:t>12</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r>
      <w:proofErr w:type="spellStart"/>
      <w:r w:rsidR="007D64E7" w:rsidRPr="00620926">
        <w:rPr>
          <w:rFonts w:ascii="Times New Roman" w:hAnsi="Times New Roman" w:cs="Times New Roman"/>
          <w:sz w:val="28"/>
          <w:szCs w:val="28"/>
          <w:lang w:val="en-GB"/>
        </w:rPr>
        <w:t>Goldrush</w:t>
      </w:r>
      <w:proofErr w:type="spellEnd"/>
      <w:r w:rsidR="007D64E7" w:rsidRPr="00620926">
        <w:rPr>
          <w:rFonts w:ascii="Times New Roman" w:hAnsi="Times New Roman" w:cs="Times New Roman"/>
          <w:sz w:val="28"/>
          <w:szCs w:val="28"/>
          <w:lang w:val="en-GB"/>
        </w:rPr>
        <w:t xml:space="preserve"> contended that </w:t>
      </w:r>
      <w:r w:rsidR="00811D6F" w:rsidRPr="00620926">
        <w:rPr>
          <w:rFonts w:ascii="Times New Roman" w:hAnsi="Times New Roman" w:cs="Times New Roman"/>
          <w:sz w:val="28"/>
          <w:szCs w:val="28"/>
          <w:lang w:val="en-GB"/>
        </w:rPr>
        <w:t xml:space="preserve">when </w:t>
      </w:r>
      <w:r w:rsidR="007D64E7" w:rsidRPr="00620926">
        <w:rPr>
          <w:rFonts w:ascii="Times New Roman" w:hAnsi="Times New Roman" w:cs="Times New Roman"/>
          <w:sz w:val="28"/>
          <w:szCs w:val="28"/>
          <w:lang w:val="en-GB"/>
        </w:rPr>
        <w:t>the Board</w:t>
      </w:r>
      <w:r w:rsidR="00811D6F" w:rsidRPr="00620926">
        <w:rPr>
          <w:rFonts w:ascii="Times New Roman" w:hAnsi="Times New Roman" w:cs="Times New Roman"/>
          <w:sz w:val="28"/>
          <w:szCs w:val="28"/>
          <w:lang w:val="en-GB"/>
        </w:rPr>
        <w:t xml:space="preserve"> decided to allocate the remaining 1000 LPMs, it</w:t>
      </w:r>
      <w:r w:rsidR="007D64E7" w:rsidRPr="00620926">
        <w:rPr>
          <w:rFonts w:ascii="Times New Roman" w:hAnsi="Times New Roman" w:cs="Times New Roman"/>
          <w:sz w:val="28"/>
          <w:szCs w:val="28"/>
          <w:lang w:val="en-GB"/>
        </w:rPr>
        <w:t xml:space="preserve"> was obliged to call for bids</w:t>
      </w:r>
      <w:r w:rsidR="00811D6F" w:rsidRPr="00620926">
        <w:rPr>
          <w:rFonts w:ascii="Times New Roman" w:hAnsi="Times New Roman" w:cs="Times New Roman"/>
          <w:sz w:val="28"/>
          <w:szCs w:val="28"/>
          <w:lang w:val="en-GB"/>
        </w:rPr>
        <w:t>, and not simply to allocate them to V-Slots and Grand Slots as it did.</w:t>
      </w:r>
      <w:r w:rsidR="007D64E7" w:rsidRPr="00620926">
        <w:rPr>
          <w:rFonts w:ascii="Times New Roman" w:hAnsi="Times New Roman" w:cs="Times New Roman"/>
          <w:sz w:val="28"/>
          <w:szCs w:val="28"/>
          <w:lang w:val="en-GB"/>
        </w:rPr>
        <w:t xml:space="preserve"> </w:t>
      </w:r>
      <w:proofErr w:type="spellStart"/>
      <w:r w:rsidR="00416511" w:rsidRPr="00620926">
        <w:rPr>
          <w:rFonts w:ascii="Times New Roman" w:hAnsi="Times New Roman" w:cs="Times New Roman"/>
          <w:sz w:val="28"/>
          <w:szCs w:val="28"/>
          <w:lang w:val="en-GB"/>
        </w:rPr>
        <w:t>Goldrush</w:t>
      </w:r>
      <w:proofErr w:type="spellEnd"/>
      <w:r w:rsidR="00416511" w:rsidRPr="00620926">
        <w:rPr>
          <w:rFonts w:ascii="Times New Roman" w:hAnsi="Times New Roman" w:cs="Times New Roman"/>
          <w:sz w:val="28"/>
          <w:szCs w:val="28"/>
          <w:lang w:val="en-GB"/>
        </w:rPr>
        <w:t xml:space="preserve"> </w:t>
      </w:r>
      <w:r w:rsidR="009E7F6E" w:rsidRPr="00620926">
        <w:rPr>
          <w:rFonts w:ascii="Times New Roman" w:hAnsi="Times New Roman" w:cs="Times New Roman"/>
          <w:sz w:val="28"/>
          <w:szCs w:val="28"/>
          <w:lang w:val="en-GB"/>
        </w:rPr>
        <w:t xml:space="preserve">averred that had </w:t>
      </w:r>
      <w:r w:rsidR="00416511" w:rsidRPr="00620926">
        <w:rPr>
          <w:rFonts w:ascii="Times New Roman" w:hAnsi="Times New Roman" w:cs="Times New Roman"/>
          <w:sz w:val="28"/>
          <w:szCs w:val="28"/>
          <w:lang w:val="en-GB"/>
        </w:rPr>
        <w:t xml:space="preserve">the Board </w:t>
      </w:r>
      <w:r w:rsidR="009E7F6E" w:rsidRPr="00620926">
        <w:rPr>
          <w:rFonts w:ascii="Times New Roman" w:hAnsi="Times New Roman" w:cs="Times New Roman"/>
          <w:sz w:val="28"/>
          <w:szCs w:val="28"/>
          <w:lang w:val="en-GB"/>
        </w:rPr>
        <w:t xml:space="preserve">done so, </w:t>
      </w:r>
      <w:r w:rsidR="002E4089" w:rsidRPr="00620926">
        <w:rPr>
          <w:rFonts w:ascii="Times New Roman" w:hAnsi="Times New Roman" w:cs="Times New Roman"/>
          <w:sz w:val="28"/>
          <w:szCs w:val="28"/>
          <w:lang w:val="en-GB"/>
        </w:rPr>
        <w:t>it would have applied for such allocation. It alleged that it had substantial involvement and experience in the gambling industry</w:t>
      </w:r>
      <w:r w:rsidR="00A97DFA" w:rsidRPr="00620926">
        <w:rPr>
          <w:rFonts w:ascii="Times New Roman" w:hAnsi="Times New Roman" w:cs="Times New Roman"/>
          <w:sz w:val="28"/>
          <w:szCs w:val="28"/>
          <w:lang w:val="en-GB"/>
        </w:rPr>
        <w:t xml:space="preserve"> and that this would have ensured success in its application. In regard to its standing in the </w:t>
      </w:r>
      <w:r w:rsidR="00014EDA" w:rsidRPr="00620926">
        <w:rPr>
          <w:rFonts w:ascii="Times New Roman" w:hAnsi="Times New Roman" w:cs="Times New Roman"/>
          <w:sz w:val="28"/>
          <w:szCs w:val="28"/>
          <w:lang w:val="en-GB"/>
        </w:rPr>
        <w:t xml:space="preserve">review application, </w:t>
      </w:r>
      <w:proofErr w:type="spellStart"/>
      <w:r w:rsidR="00014EDA" w:rsidRPr="00620926">
        <w:rPr>
          <w:rFonts w:ascii="Times New Roman" w:hAnsi="Times New Roman" w:cs="Times New Roman"/>
          <w:sz w:val="28"/>
          <w:szCs w:val="28"/>
          <w:lang w:val="en-GB"/>
        </w:rPr>
        <w:t>Goldrush</w:t>
      </w:r>
      <w:proofErr w:type="spellEnd"/>
      <w:r w:rsidR="00014EDA" w:rsidRPr="00620926">
        <w:rPr>
          <w:rFonts w:ascii="Times New Roman" w:hAnsi="Times New Roman" w:cs="Times New Roman"/>
          <w:sz w:val="28"/>
          <w:szCs w:val="28"/>
          <w:lang w:val="en-GB"/>
        </w:rPr>
        <w:t xml:space="preserve"> asserted that its involvement in the industry gave it a direct </w:t>
      </w:r>
      <w:r w:rsidR="00014EDA" w:rsidRPr="00620926">
        <w:rPr>
          <w:rFonts w:ascii="Times New Roman" w:hAnsi="Times New Roman" w:cs="Times New Roman"/>
          <w:sz w:val="28"/>
          <w:szCs w:val="28"/>
          <w:lang w:val="en-GB"/>
        </w:rPr>
        <w:lastRenderedPageBreak/>
        <w:t xml:space="preserve">and substantial interest </w:t>
      </w:r>
      <w:r w:rsidR="00324BDB" w:rsidRPr="00620926">
        <w:rPr>
          <w:rFonts w:ascii="Times New Roman" w:hAnsi="Times New Roman" w:cs="Times New Roman"/>
          <w:sz w:val="28"/>
          <w:szCs w:val="28"/>
          <w:lang w:val="en-GB"/>
        </w:rPr>
        <w:t>in matter.</w:t>
      </w:r>
      <w:r w:rsidR="006C0A59" w:rsidRPr="00620926">
        <w:rPr>
          <w:rFonts w:ascii="Times New Roman" w:hAnsi="Times New Roman" w:cs="Times New Roman"/>
          <w:sz w:val="28"/>
          <w:szCs w:val="28"/>
          <w:lang w:val="en-GB"/>
        </w:rPr>
        <w:t xml:space="preserve"> </w:t>
      </w:r>
      <w:r w:rsidR="00672AC1" w:rsidRPr="00620926">
        <w:rPr>
          <w:rFonts w:ascii="Times New Roman" w:hAnsi="Times New Roman" w:cs="Times New Roman"/>
          <w:sz w:val="28"/>
          <w:szCs w:val="28"/>
          <w:lang w:val="en-GB"/>
        </w:rPr>
        <w:t xml:space="preserve">It </w:t>
      </w:r>
      <w:r w:rsidR="006C0A59" w:rsidRPr="00620926">
        <w:rPr>
          <w:rFonts w:ascii="Times New Roman" w:hAnsi="Times New Roman" w:cs="Times New Roman"/>
          <w:sz w:val="28"/>
          <w:szCs w:val="28"/>
          <w:lang w:val="en-GB"/>
        </w:rPr>
        <w:t>advanced no claim to standing based on a broader public interest.</w:t>
      </w:r>
    </w:p>
    <w:p w14:paraId="76008785" w14:textId="77777777" w:rsidR="00D44E91" w:rsidRPr="00620926" w:rsidRDefault="00D44E91" w:rsidP="00F32D7A">
      <w:pPr>
        <w:spacing w:after="0" w:line="360" w:lineRule="auto"/>
        <w:jc w:val="both"/>
        <w:rPr>
          <w:rFonts w:ascii="Times New Roman" w:hAnsi="Times New Roman" w:cs="Times New Roman"/>
          <w:sz w:val="28"/>
          <w:szCs w:val="28"/>
          <w:lang w:val="en-GB"/>
        </w:rPr>
      </w:pPr>
    </w:p>
    <w:p w14:paraId="127B0A4E" w14:textId="62CE2860" w:rsidR="00CC4B14" w:rsidRPr="00620926" w:rsidRDefault="00672AC1" w:rsidP="00F32D7A">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[1</w:t>
      </w:r>
      <w:r w:rsidR="00E83358" w:rsidRPr="00620926">
        <w:rPr>
          <w:rFonts w:ascii="Times New Roman" w:hAnsi="Times New Roman" w:cs="Times New Roman"/>
          <w:sz w:val="28"/>
          <w:szCs w:val="28"/>
          <w:lang w:val="en-GB"/>
        </w:rPr>
        <w:t>3</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r>
      <w:r w:rsidR="00A813D4" w:rsidRPr="00620926">
        <w:rPr>
          <w:rFonts w:ascii="Times New Roman" w:hAnsi="Times New Roman" w:cs="Times New Roman"/>
          <w:sz w:val="28"/>
          <w:szCs w:val="28"/>
          <w:lang w:val="en-GB"/>
        </w:rPr>
        <w:t>T</w:t>
      </w:r>
      <w:r w:rsidR="00346696" w:rsidRPr="00620926">
        <w:rPr>
          <w:rFonts w:ascii="Times New Roman" w:hAnsi="Times New Roman" w:cs="Times New Roman"/>
          <w:sz w:val="28"/>
          <w:szCs w:val="28"/>
          <w:lang w:val="en-GB"/>
        </w:rPr>
        <w:t xml:space="preserve">wo preliminary </w:t>
      </w:r>
      <w:r w:rsidR="00B775E0" w:rsidRPr="00620926">
        <w:rPr>
          <w:rFonts w:ascii="Times New Roman" w:hAnsi="Times New Roman" w:cs="Times New Roman"/>
          <w:sz w:val="28"/>
          <w:szCs w:val="28"/>
          <w:lang w:val="en-GB"/>
        </w:rPr>
        <w:t>issues</w:t>
      </w:r>
      <w:r w:rsidR="00346696" w:rsidRPr="00620926">
        <w:rPr>
          <w:rFonts w:ascii="Times New Roman" w:hAnsi="Times New Roman" w:cs="Times New Roman"/>
          <w:sz w:val="28"/>
          <w:szCs w:val="28"/>
          <w:lang w:val="en-GB"/>
        </w:rPr>
        <w:t xml:space="preserve"> were raised in opposition to the application</w:t>
      </w:r>
      <w:r w:rsidR="00B775E0" w:rsidRPr="00620926">
        <w:rPr>
          <w:rFonts w:ascii="Times New Roman" w:hAnsi="Times New Roman" w:cs="Times New Roman"/>
          <w:sz w:val="28"/>
          <w:szCs w:val="28"/>
          <w:lang w:val="en-GB"/>
        </w:rPr>
        <w:t xml:space="preserve"> by all of the appellants.</w:t>
      </w:r>
      <w:r w:rsidR="00D2430B" w:rsidRPr="00620926">
        <w:rPr>
          <w:rFonts w:ascii="Times New Roman" w:hAnsi="Times New Roman" w:cs="Times New Roman"/>
          <w:sz w:val="28"/>
          <w:szCs w:val="28"/>
          <w:lang w:val="en-GB"/>
        </w:rPr>
        <w:t xml:space="preserve"> They </w:t>
      </w:r>
      <w:r w:rsidR="00A813D4" w:rsidRPr="00620926">
        <w:rPr>
          <w:rFonts w:ascii="Times New Roman" w:hAnsi="Times New Roman" w:cs="Times New Roman"/>
          <w:sz w:val="28"/>
          <w:szCs w:val="28"/>
          <w:lang w:val="en-GB"/>
        </w:rPr>
        <w:t xml:space="preserve">contended that </w:t>
      </w:r>
      <w:proofErr w:type="spellStart"/>
      <w:r w:rsidR="00773719" w:rsidRPr="00620926">
        <w:rPr>
          <w:rFonts w:ascii="Times New Roman" w:hAnsi="Times New Roman" w:cs="Times New Roman"/>
          <w:sz w:val="28"/>
          <w:szCs w:val="28"/>
          <w:lang w:val="en-GB"/>
        </w:rPr>
        <w:t>Goldrush</w:t>
      </w:r>
      <w:proofErr w:type="spellEnd"/>
      <w:r w:rsidR="00A813D4" w:rsidRPr="00620926">
        <w:rPr>
          <w:rFonts w:ascii="Times New Roman" w:hAnsi="Times New Roman" w:cs="Times New Roman"/>
          <w:sz w:val="28"/>
          <w:szCs w:val="28"/>
          <w:lang w:val="en-GB"/>
        </w:rPr>
        <w:t xml:space="preserve"> did not have </w:t>
      </w:r>
      <w:r w:rsidR="00A813D4" w:rsidRPr="00620926">
        <w:rPr>
          <w:rFonts w:ascii="Times New Roman" w:hAnsi="Times New Roman" w:cs="Times New Roman"/>
          <w:iCs/>
          <w:sz w:val="28"/>
          <w:szCs w:val="28"/>
          <w:lang w:val="en-GB"/>
        </w:rPr>
        <w:t>standing</w:t>
      </w:r>
      <w:r w:rsidR="00346696" w:rsidRPr="00620926">
        <w:rPr>
          <w:rFonts w:ascii="Times New Roman" w:hAnsi="Times New Roman" w:cs="Times New Roman"/>
          <w:sz w:val="28"/>
          <w:szCs w:val="28"/>
          <w:lang w:val="en-GB"/>
        </w:rPr>
        <w:t xml:space="preserve"> to institute </w:t>
      </w:r>
      <w:r w:rsidR="00A813D4" w:rsidRPr="00620926">
        <w:rPr>
          <w:rFonts w:ascii="Times New Roman" w:hAnsi="Times New Roman" w:cs="Times New Roman"/>
          <w:sz w:val="28"/>
          <w:szCs w:val="28"/>
          <w:lang w:val="en-GB"/>
        </w:rPr>
        <w:t xml:space="preserve">the review </w:t>
      </w:r>
      <w:r w:rsidR="00346696" w:rsidRPr="00620926">
        <w:rPr>
          <w:rFonts w:ascii="Times New Roman" w:hAnsi="Times New Roman" w:cs="Times New Roman"/>
          <w:sz w:val="28"/>
          <w:szCs w:val="28"/>
          <w:lang w:val="en-GB"/>
        </w:rPr>
        <w:t xml:space="preserve">proceedings. </w:t>
      </w:r>
      <w:r w:rsidR="00D2430B" w:rsidRPr="00620926">
        <w:rPr>
          <w:rFonts w:ascii="Times New Roman" w:hAnsi="Times New Roman" w:cs="Times New Roman"/>
          <w:sz w:val="28"/>
          <w:szCs w:val="28"/>
          <w:lang w:val="en-GB"/>
        </w:rPr>
        <w:t>They also</w:t>
      </w:r>
      <w:r w:rsidR="00A813D4" w:rsidRPr="00620926">
        <w:rPr>
          <w:rFonts w:ascii="Times New Roman" w:hAnsi="Times New Roman" w:cs="Times New Roman"/>
          <w:sz w:val="28"/>
          <w:szCs w:val="28"/>
          <w:lang w:val="en-GB"/>
        </w:rPr>
        <w:t xml:space="preserve"> </w:t>
      </w:r>
      <w:r w:rsidR="00E157F3" w:rsidRPr="00620926">
        <w:rPr>
          <w:rFonts w:ascii="Times New Roman" w:hAnsi="Times New Roman" w:cs="Times New Roman"/>
          <w:sz w:val="28"/>
          <w:szCs w:val="28"/>
          <w:lang w:val="en-GB"/>
        </w:rPr>
        <w:t>alleged</w:t>
      </w:r>
      <w:r w:rsidR="00A813D4" w:rsidRPr="00620926">
        <w:rPr>
          <w:rFonts w:ascii="Times New Roman" w:hAnsi="Times New Roman" w:cs="Times New Roman"/>
          <w:sz w:val="28"/>
          <w:szCs w:val="28"/>
          <w:lang w:val="en-GB"/>
        </w:rPr>
        <w:t xml:space="preserve"> that </w:t>
      </w:r>
      <w:proofErr w:type="spellStart"/>
      <w:r w:rsidR="00A813D4" w:rsidRPr="00620926">
        <w:rPr>
          <w:rFonts w:ascii="Times New Roman" w:hAnsi="Times New Roman" w:cs="Times New Roman"/>
          <w:sz w:val="28"/>
          <w:szCs w:val="28"/>
          <w:lang w:val="en-GB"/>
        </w:rPr>
        <w:t>Goldrush</w:t>
      </w:r>
      <w:proofErr w:type="spellEnd"/>
      <w:r w:rsidR="00A813D4" w:rsidRPr="00620926">
        <w:rPr>
          <w:rFonts w:ascii="Times New Roman" w:hAnsi="Times New Roman" w:cs="Times New Roman"/>
          <w:sz w:val="28"/>
          <w:szCs w:val="28"/>
          <w:lang w:val="en-GB"/>
        </w:rPr>
        <w:t xml:space="preserve"> had </w:t>
      </w:r>
      <w:r w:rsidR="00346696" w:rsidRPr="00620926">
        <w:rPr>
          <w:rFonts w:ascii="Times New Roman" w:hAnsi="Times New Roman" w:cs="Times New Roman"/>
          <w:sz w:val="28"/>
          <w:szCs w:val="28"/>
          <w:lang w:val="en-GB"/>
        </w:rPr>
        <w:t>inordinate</w:t>
      </w:r>
      <w:r w:rsidR="00A813D4" w:rsidRPr="00620926">
        <w:rPr>
          <w:rFonts w:ascii="Times New Roman" w:hAnsi="Times New Roman" w:cs="Times New Roman"/>
          <w:sz w:val="28"/>
          <w:szCs w:val="28"/>
          <w:lang w:val="en-GB"/>
        </w:rPr>
        <w:t>ly</w:t>
      </w:r>
      <w:r w:rsidR="00346696" w:rsidRPr="00620926">
        <w:rPr>
          <w:rFonts w:ascii="Times New Roman" w:hAnsi="Times New Roman" w:cs="Times New Roman"/>
          <w:sz w:val="28"/>
          <w:szCs w:val="28"/>
          <w:lang w:val="en-GB"/>
        </w:rPr>
        <w:t xml:space="preserve"> delay</w:t>
      </w:r>
      <w:r w:rsidR="00A813D4" w:rsidRPr="00620926">
        <w:rPr>
          <w:rFonts w:ascii="Times New Roman" w:hAnsi="Times New Roman" w:cs="Times New Roman"/>
          <w:sz w:val="28"/>
          <w:szCs w:val="28"/>
          <w:lang w:val="en-GB"/>
        </w:rPr>
        <w:t>ed</w:t>
      </w:r>
      <w:r w:rsidR="00346696" w:rsidRPr="00620926">
        <w:rPr>
          <w:rFonts w:ascii="Times New Roman" w:hAnsi="Times New Roman" w:cs="Times New Roman"/>
          <w:sz w:val="28"/>
          <w:szCs w:val="28"/>
          <w:lang w:val="en-GB"/>
        </w:rPr>
        <w:t xml:space="preserve"> in </w:t>
      </w:r>
      <w:r w:rsidR="00B455CE" w:rsidRPr="00620926">
        <w:rPr>
          <w:rFonts w:ascii="Times New Roman" w:hAnsi="Times New Roman" w:cs="Times New Roman"/>
          <w:sz w:val="28"/>
          <w:szCs w:val="28"/>
          <w:lang w:val="en-GB"/>
        </w:rPr>
        <w:t xml:space="preserve">bringing </w:t>
      </w:r>
      <w:r w:rsidR="00346696" w:rsidRPr="00620926">
        <w:rPr>
          <w:rFonts w:ascii="Times New Roman" w:hAnsi="Times New Roman" w:cs="Times New Roman"/>
          <w:sz w:val="28"/>
          <w:szCs w:val="28"/>
          <w:lang w:val="en-GB"/>
        </w:rPr>
        <w:t xml:space="preserve">the </w:t>
      </w:r>
      <w:r w:rsidR="00B455CE" w:rsidRPr="00620926">
        <w:rPr>
          <w:rFonts w:ascii="Times New Roman" w:hAnsi="Times New Roman" w:cs="Times New Roman"/>
          <w:sz w:val="28"/>
          <w:szCs w:val="28"/>
          <w:lang w:val="en-GB"/>
        </w:rPr>
        <w:t>review and</w:t>
      </w:r>
      <w:r w:rsidR="00346696" w:rsidRPr="00620926">
        <w:rPr>
          <w:rFonts w:ascii="Times New Roman" w:hAnsi="Times New Roman" w:cs="Times New Roman"/>
          <w:sz w:val="28"/>
          <w:szCs w:val="28"/>
          <w:lang w:val="en-GB"/>
        </w:rPr>
        <w:t xml:space="preserve"> </w:t>
      </w:r>
      <w:r w:rsidR="00B455CE" w:rsidRPr="00620926">
        <w:rPr>
          <w:rFonts w:ascii="Times New Roman" w:hAnsi="Times New Roman" w:cs="Times New Roman"/>
          <w:sz w:val="28"/>
          <w:szCs w:val="28"/>
          <w:lang w:val="en-GB"/>
        </w:rPr>
        <w:t xml:space="preserve">had </w:t>
      </w:r>
      <w:r w:rsidR="00346696" w:rsidRPr="00620926">
        <w:rPr>
          <w:rFonts w:ascii="Times New Roman" w:hAnsi="Times New Roman" w:cs="Times New Roman"/>
          <w:sz w:val="28"/>
          <w:szCs w:val="28"/>
          <w:lang w:val="en-GB"/>
        </w:rPr>
        <w:t>fail</w:t>
      </w:r>
      <w:r w:rsidR="00B455CE" w:rsidRPr="00620926">
        <w:rPr>
          <w:rFonts w:ascii="Times New Roman" w:hAnsi="Times New Roman" w:cs="Times New Roman"/>
          <w:sz w:val="28"/>
          <w:szCs w:val="28"/>
          <w:lang w:val="en-GB"/>
        </w:rPr>
        <w:t>ed</w:t>
      </w:r>
      <w:r w:rsidR="00346696" w:rsidRPr="00620926">
        <w:rPr>
          <w:rFonts w:ascii="Times New Roman" w:hAnsi="Times New Roman" w:cs="Times New Roman"/>
          <w:sz w:val="28"/>
          <w:szCs w:val="28"/>
          <w:lang w:val="en-GB"/>
        </w:rPr>
        <w:t xml:space="preserve"> to make out a proper case for condonation of the delay.</w:t>
      </w:r>
      <w:r w:rsidR="009E22FB" w:rsidRPr="00620926">
        <w:rPr>
          <w:rFonts w:ascii="Times New Roman" w:hAnsi="Times New Roman" w:cs="Times New Roman"/>
          <w:sz w:val="28"/>
          <w:szCs w:val="28"/>
          <w:lang w:val="en-GB"/>
        </w:rPr>
        <w:t xml:space="preserve"> </w:t>
      </w:r>
      <w:r w:rsidR="002B453D" w:rsidRPr="00620926">
        <w:rPr>
          <w:rFonts w:ascii="Times New Roman" w:hAnsi="Times New Roman" w:cs="Times New Roman"/>
          <w:sz w:val="28"/>
          <w:szCs w:val="28"/>
          <w:lang w:val="en-GB"/>
        </w:rPr>
        <w:t>Regarding</w:t>
      </w:r>
      <w:r w:rsidR="00CC4B14" w:rsidRPr="00620926">
        <w:rPr>
          <w:rFonts w:ascii="Times New Roman" w:hAnsi="Times New Roman" w:cs="Times New Roman"/>
          <w:sz w:val="28"/>
          <w:szCs w:val="28"/>
          <w:lang w:val="en-GB"/>
        </w:rPr>
        <w:t xml:space="preserve"> the substantive grounds </w:t>
      </w:r>
      <w:r w:rsidR="005474CF" w:rsidRPr="00620926">
        <w:rPr>
          <w:rFonts w:ascii="Times New Roman" w:hAnsi="Times New Roman" w:cs="Times New Roman"/>
          <w:sz w:val="28"/>
          <w:szCs w:val="28"/>
          <w:lang w:val="en-GB"/>
        </w:rPr>
        <w:t>for</w:t>
      </w:r>
      <w:r w:rsidR="00CC4B14" w:rsidRPr="00620926">
        <w:rPr>
          <w:rFonts w:ascii="Times New Roman" w:hAnsi="Times New Roman" w:cs="Times New Roman"/>
          <w:sz w:val="28"/>
          <w:szCs w:val="28"/>
          <w:lang w:val="en-GB"/>
        </w:rPr>
        <w:t xml:space="preserve"> review, the Board </w:t>
      </w:r>
      <w:r w:rsidR="00B455CE" w:rsidRPr="00620926">
        <w:rPr>
          <w:rFonts w:ascii="Times New Roman" w:hAnsi="Times New Roman" w:cs="Times New Roman"/>
          <w:sz w:val="28"/>
          <w:szCs w:val="28"/>
          <w:lang w:val="en-GB"/>
        </w:rPr>
        <w:t>explained</w:t>
      </w:r>
      <w:r w:rsidR="005474CF" w:rsidRPr="00620926">
        <w:rPr>
          <w:rFonts w:ascii="Times New Roman" w:hAnsi="Times New Roman" w:cs="Times New Roman"/>
          <w:sz w:val="28"/>
          <w:szCs w:val="28"/>
          <w:lang w:val="en-GB"/>
        </w:rPr>
        <w:t xml:space="preserve"> </w:t>
      </w:r>
      <w:r w:rsidR="00CC4B14" w:rsidRPr="00620926">
        <w:rPr>
          <w:rFonts w:ascii="Times New Roman" w:hAnsi="Times New Roman" w:cs="Times New Roman"/>
          <w:sz w:val="28"/>
          <w:szCs w:val="28"/>
          <w:lang w:val="en-GB"/>
        </w:rPr>
        <w:t xml:space="preserve">that the RFP had expressly reserved the right to appoint fewer than three licenced operators and, in that event, to allocate additional LPMs to the licenced operators. It </w:t>
      </w:r>
      <w:r w:rsidR="000108A8" w:rsidRPr="00620926">
        <w:rPr>
          <w:rFonts w:ascii="Times New Roman" w:hAnsi="Times New Roman" w:cs="Times New Roman"/>
          <w:sz w:val="28"/>
          <w:szCs w:val="28"/>
          <w:lang w:val="en-GB"/>
        </w:rPr>
        <w:t>stated</w:t>
      </w:r>
      <w:r w:rsidR="00CC4B14" w:rsidRPr="00620926">
        <w:rPr>
          <w:rFonts w:ascii="Times New Roman" w:hAnsi="Times New Roman" w:cs="Times New Roman"/>
          <w:sz w:val="28"/>
          <w:szCs w:val="28"/>
          <w:lang w:val="en-GB"/>
        </w:rPr>
        <w:t xml:space="preserve"> that the allocation of the </w:t>
      </w:r>
      <w:r w:rsidR="00416511" w:rsidRPr="00620926">
        <w:rPr>
          <w:rFonts w:ascii="Times New Roman" w:hAnsi="Times New Roman" w:cs="Times New Roman"/>
          <w:sz w:val="28"/>
          <w:szCs w:val="28"/>
          <w:lang w:val="en-GB"/>
        </w:rPr>
        <w:t xml:space="preserve">remaining 1000 </w:t>
      </w:r>
      <w:r w:rsidR="00CC4B14" w:rsidRPr="00620926">
        <w:rPr>
          <w:rFonts w:ascii="Times New Roman" w:hAnsi="Times New Roman" w:cs="Times New Roman"/>
          <w:sz w:val="28"/>
          <w:szCs w:val="28"/>
          <w:lang w:val="en-GB"/>
        </w:rPr>
        <w:t xml:space="preserve">LPMs, was in accordance with the terms of the RFP. Its decision to appoint only two licenced operators had been taken </w:t>
      </w:r>
      <w:r w:rsidR="00B455CE" w:rsidRPr="00620926">
        <w:rPr>
          <w:rFonts w:ascii="Times New Roman" w:hAnsi="Times New Roman" w:cs="Times New Roman"/>
          <w:sz w:val="28"/>
          <w:szCs w:val="28"/>
          <w:lang w:val="en-GB"/>
        </w:rPr>
        <w:t>pursuant to</w:t>
      </w:r>
      <w:r w:rsidR="00CC4B14" w:rsidRPr="00620926">
        <w:rPr>
          <w:rFonts w:ascii="Times New Roman" w:hAnsi="Times New Roman" w:cs="Times New Roman"/>
          <w:sz w:val="28"/>
          <w:szCs w:val="28"/>
          <w:lang w:val="en-GB"/>
        </w:rPr>
        <w:t xml:space="preserve"> a rigo</w:t>
      </w:r>
      <w:r w:rsidR="009E22FB" w:rsidRPr="00620926">
        <w:rPr>
          <w:rFonts w:ascii="Times New Roman" w:hAnsi="Times New Roman" w:cs="Times New Roman"/>
          <w:sz w:val="28"/>
          <w:szCs w:val="28"/>
          <w:lang w:val="en-GB"/>
        </w:rPr>
        <w:t>rous</w:t>
      </w:r>
      <w:r w:rsidR="00CC4B14" w:rsidRPr="00620926">
        <w:rPr>
          <w:rFonts w:ascii="Times New Roman" w:hAnsi="Times New Roman" w:cs="Times New Roman"/>
          <w:sz w:val="28"/>
          <w:szCs w:val="28"/>
          <w:lang w:val="en-GB"/>
        </w:rPr>
        <w:t xml:space="preserve"> selection process with full public participation and remained ext</w:t>
      </w:r>
      <w:r w:rsidR="009E22FB" w:rsidRPr="00620926">
        <w:rPr>
          <w:rFonts w:ascii="Times New Roman" w:hAnsi="Times New Roman" w:cs="Times New Roman"/>
          <w:sz w:val="28"/>
          <w:szCs w:val="28"/>
          <w:lang w:val="en-GB"/>
        </w:rPr>
        <w:t>ant</w:t>
      </w:r>
      <w:r w:rsidR="00CC4B14" w:rsidRPr="00620926">
        <w:rPr>
          <w:rFonts w:ascii="Times New Roman" w:hAnsi="Times New Roman" w:cs="Times New Roman"/>
          <w:sz w:val="28"/>
          <w:szCs w:val="28"/>
          <w:lang w:val="en-GB"/>
        </w:rPr>
        <w:t>. It was not obliged to invite applications for the award of further rout</w:t>
      </w:r>
      <w:r w:rsidR="009E22FB" w:rsidRPr="00620926">
        <w:rPr>
          <w:rFonts w:ascii="Times New Roman" w:hAnsi="Times New Roman" w:cs="Times New Roman"/>
          <w:sz w:val="28"/>
          <w:szCs w:val="28"/>
          <w:lang w:val="en-GB"/>
        </w:rPr>
        <w:t>e</w:t>
      </w:r>
      <w:r w:rsidR="00CC4B14" w:rsidRPr="00620926">
        <w:rPr>
          <w:rFonts w:ascii="Times New Roman" w:hAnsi="Times New Roman" w:cs="Times New Roman"/>
          <w:sz w:val="28"/>
          <w:szCs w:val="28"/>
          <w:lang w:val="en-GB"/>
        </w:rPr>
        <w:t xml:space="preserve"> operator licences. </w:t>
      </w:r>
      <w:r w:rsidR="00B455CE" w:rsidRPr="00620926">
        <w:rPr>
          <w:rFonts w:ascii="Times New Roman" w:hAnsi="Times New Roman" w:cs="Times New Roman"/>
          <w:sz w:val="28"/>
          <w:szCs w:val="28"/>
          <w:lang w:val="en-GB"/>
        </w:rPr>
        <w:t>Thus, its</w:t>
      </w:r>
      <w:r w:rsidR="00CC4B14" w:rsidRPr="00620926">
        <w:rPr>
          <w:rFonts w:ascii="Times New Roman" w:hAnsi="Times New Roman" w:cs="Times New Roman"/>
          <w:sz w:val="28"/>
          <w:szCs w:val="28"/>
          <w:lang w:val="en-GB"/>
        </w:rPr>
        <w:t xml:space="preserve"> decision to allocate the remaining LPMs to V-Slots and Grand Slots was within </w:t>
      </w:r>
      <w:r w:rsidR="00332D1D" w:rsidRPr="00620926">
        <w:rPr>
          <w:rFonts w:ascii="Times New Roman" w:hAnsi="Times New Roman" w:cs="Times New Roman"/>
          <w:sz w:val="28"/>
          <w:szCs w:val="28"/>
          <w:lang w:val="en-GB"/>
        </w:rPr>
        <w:t xml:space="preserve">its </w:t>
      </w:r>
      <w:r w:rsidR="00CC4B14" w:rsidRPr="00620926">
        <w:rPr>
          <w:rFonts w:ascii="Times New Roman" w:hAnsi="Times New Roman" w:cs="Times New Roman"/>
          <w:sz w:val="28"/>
          <w:szCs w:val="28"/>
          <w:lang w:val="en-GB"/>
        </w:rPr>
        <w:t>power.</w:t>
      </w:r>
    </w:p>
    <w:p w14:paraId="46B17006" w14:textId="77777777" w:rsidR="00E83358" w:rsidRPr="00620926" w:rsidRDefault="00E83358" w:rsidP="00F32D7A">
      <w:pPr>
        <w:spacing w:after="0" w:line="360" w:lineRule="auto"/>
        <w:jc w:val="both"/>
        <w:rPr>
          <w:rFonts w:ascii="Times New Roman" w:hAnsi="Times New Roman" w:cs="Times New Roman"/>
          <w:sz w:val="28"/>
          <w:szCs w:val="28"/>
          <w:lang w:val="en-GB"/>
        </w:rPr>
      </w:pPr>
    </w:p>
    <w:p w14:paraId="562DB3E4" w14:textId="21A78C22" w:rsidR="00E83358" w:rsidRPr="00620926" w:rsidRDefault="00CC4B14" w:rsidP="00F32D7A">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B455CE" w:rsidRPr="00620926">
        <w:rPr>
          <w:rFonts w:ascii="Times New Roman" w:hAnsi="Times New Roman" w:cs="Times New Roman"/>
          <w:sz w:val="28"/>
          <w:szCs w:val="28"/>
          <w:lang w:val="en-GB"/>
        </w:rPr>
        <w:t>1</w:t>
      </w:r>
      <w:r w:rsidR="00E83358" w:rsidRPr="00620926">
        <w:rPr>
          <w:rFonts w:ascii="Times New Roman" w:hAnsi="Times New Roman" w:cs="Times New Roman"/>
          <w:sz w:val="28"/>
          <w:szCs w:val="28"/>
          <w:lang w:val="en-GB"/>
        </w:rPr>
        <w:t>4</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r>
      <w:r w:rsidR="009B4D01" w:rsidRPr="00620926">
        <w:rPr>
          <w:rFonts w:ascii="Times New Roman" w:hAnsi="Times New Roman" w:cs="Times New Roman"/>
          <w:sz w:val="28"/>
          <w:szCs w:val="28"/>
          <w:lang w:val="en-GB"/>
        </w:rPr>
        <w:t xml:space="preserve"> </w:t>
      </w:r>
      <w:r w:rsidR="007D3076" w:rsidRPr="00620926">
        <w:rPr>
          <w:rFonts w:ascii="Times New Roman" w:hAnsi="Times New Roman" w:cs="Times New Roman"/>
          <w:sz w:val="28"/>
          <w:szCs w:val="28"/>
          <w:lang w:val="en-GB"/>
        </w:rPr>
        <w:t>In its judgment on 20 April 2021, t</w:t>
      </w:r>
      <w:r w:rsidR="009B4D01" w:rsidRPr="00620926">
        <w:rPr>
          <w:rFonts w:ascii="Times New Roman" w:hAnsi="Times New Roman" w:cs="Times New Roman"/>
          <w:sz w:val="28"/>
          <w:szCs w:val="28"/>
          <w:lang w:val="en-GB"/>
        </w:rPr>
        <w:t xml:space="preserve">he high court found that </w:t>
      </w:r>
      <w:proofErr w:type="spellStart"/>
      <w:r w:rsidR="00773719" w:rsidRPr="00620926">
        <w:rPr>
          <w:rFonts w:ascii="Times New Roman" w:hAnsi="Times New Roman" w:cs="Times New Roman"/>
          <w:sz w:val="28"/>
          <w:szCs w:val="28"/>
          <w:lang w:val="en-GB"/>
        </w:rPr>
        <w:t>Goldrush</w:t>
      </w:r>
      <w:r w:rsidR="009B4D01" w:rsidRPr="00620926">
        <w:rPr>
          <w:rFonts w:ascii="Times New Roman" w:hAnsi="Times New Roman" w:cs="Times New Roman"/>
          <w:sz w:val="28"/>
          <w:szCs w:val="28"/>
          <w:lang w:val="en-GB"/>
        </w:rPr>
        <w:t>’s</w:t>
      </w:r>
      <w:proofErr w:type="spellEnd"/>
      <w:r w:rsidR="009B4D01" w:rsidRPr="00620926">
        <w:rPr>
          <w:rFonts w:ascii="Times New Roman" w:hAnsi="Times New Roman" w:cs="Times New Roman"/>
          <w:sz w:val="28"/>
          <w:szCs w:val="28"/>
          <w:lang w:val="en-GB"/>
        </w:rPr>
        <w:t xml:space="preserve"> </w:t>
      </w:r>
      <w:r w:rsidR="009E22FB" w:rsidRPr="00620926">
        <w:rPr>
          <w:rFonts w:ascii="Times New Roman" w:hAnsi="Times New Roman" w:cs="Times New Roman"/>
          <w:sz w:val="28"/>
          <w:szCs w:val="28"/>
          <w:lang w:val="en-GB"/>
        </w:rPr>
        <w:t>claim</w:t>
      </w:r>
      <w:r w:rsidR="009B4D01" w:rsidRPr="00620926">
        <w:rPr>
          <w:rFonts w:ascii="Times New Roman" w:hAnsi="Times New Roman" w:cs="Times New Roman"/>
          <w:sz w:val="28"/>
          <w:szCs w:val="28"/>
          <w:lang w:val="en-GB"/>
        </w:rPr>
        <w:t xml:space="preserve"> to </w:t>
      </w:r>
      <w:r w:rsidR="002217BE" w:rsidRPr="00620926">
        <w:rPr>
          <w:rFonts w:ascii="Times New Roman" w:hAnsi="Times New Roman" w:cs="Times New Roman"/>
          <w:sz w:val="28"/>
          <w:szCs w:val="28"/>
          <w:lang w:val="en-GB"/>
        </w:rPr>
        <w:t>own</w:t>
      </w:r>
      <w:r w:rsidR="009E22FB" w:rsidRPr="00620926">
        <w:rPr>
          <w:rFonts w:ascii="Times New Roman" w:hAnsi="Times New Roman" w:cs="Times New Roman"/>
          <w:sz w:val="28"/>
          <w:szCs w:val="28"/>
          <w:lang w:val="en-GB"/>
        </w:rPr>
        <w:t xml:space="preserve">-interest </w:t>
      </w:r>
      <w:r w:rsidR="009B4D01" w:rsidRPr="00620926">
        <w:rPr>
          <w:rFonts w:ascii="Times New Roman" w:hAnsi="Times New Roman" w:cs="Times New Roman"/>
          <w:sz w:val="28"/>
          <w:szCs w:val="28"/>
          <w:lang w:val="en-GB"/>
        </w:rPr>
        <w:t xml:space="preserve">standing was speculative and hypothetical. </w:t>
      </w:r>
      <w:r w:rsidR="004446FD" w:rsidRPr="00620926">
        <w:rPr>
          <w:rFonts w:ascii="Times New Roman" w:hAnsi="Times New Roman" w:cs="Times New Roman"/>
          <w:sz w:val="28"/>
          <w:szCs w:val="28"/>
          <w:lang w:val="en-GB"/>
        </w:rPr>
        <w:t>A</w:t>
      </w:r>
      <w:r w:rsidR="009B4D01" w:rsidRPr="00620926">
        <w:rPr>
          <w:rFonts w:ascii="Times New Roman" w:hAnsi="Times New Roman" w:cs="Times New Roman"/>
          <w:sz w:val="28"/>
          <w:szCs w:val="28"/>
          <w:lang w:val="en-GB"/>
        </w:rPr>
        <w:t>ccordingly</w:t>
      </w:r>
      <w:r w:rsidR="00416511" w:rsidRPr="00620926">
        <w:rPr>
          <w:rFonts w:ascii="Times New Roman" w:hAnsi="Times New Roman" w:cs="Times New Roman"/>
          <w:sz w:val="28"/>
          <w:szCs w:val="28"/>
          <w:lang w:val="en-GB"/>
        </w:rPr>
        <w:t>, the high court concluded,</w:t>
      </w:r>
      <w:r w:rsidR="009B4D01" w:rsidRPr="00620926">
        <w:rPr>
          <w:rFonts w:ascii="Times New Roman" w:hAnsi="Times New Roman" w:cs="Times New Roman"/>
          <w:sz w:val="28"/>
          <w:szCs w:val="28"/>
          <w:lang w:val="en-GB"/>
        </w:rPr>
        <w:t xml:space="preserve"> </w:t>
      </w:r>
      <w:r w:rsidR="004446FD" w:rsidRPr="00620926">
        <w:rPr>
          <w:rFonts w:ascii="Times New Roman" w:hAnsi="Times New Roman" w:cs="Times New Roman"/>
          <w:sz w:val="28"/>
          <w:szCs w:val="28"/>
          <w:lang w:val="en-GB"/>
        </w:rPr>
        <w:t xml:space="preserve">it </w:t>
      </w:r>
      <w:r w:rsidR="009B4D01" w:rsidRPr="00620926">
        <w:rPr>
          <w:rFonts w:ascii="Times New Roman" w:hAnsi="Times New Roman" w:cs="Times New Roman"/>
          <w:sz w:val="28"/>
          <w:szCs w:val="28"/>
          <w:lang w:val="en-GB"/>
        </w:rPr>
        <w:t xml:space="preserve">lacked </w:t>
      </w:r>
      <w:r w:rsidR="00BA3FA8" w:rsidRPr="00620926">
        <w:rPr>
          <w:rFonts w:ascii="Times New Roman" w:hAnsi="Times New Roman" w:cs="Times New Roman"/>
          <w:iCs/>
          <w:sz w:val="28"/>
          <w:szCs w:val="28"/>
          <w:lang w:val="en-GB"/>
        </w:rPr>
        <w:t>standing</w:t>
      </w:r>
      <w:r w:rsidR="009B4D01" w:rsidRPr="00620926">
        <w:rPr>
          <w:rFonts w:ascii="Times New Roman" w:hAnsi="Times New Roman" w:cs="Times New Roman"/>
          <w:sz w:val="28"/>
          <w:szCs w:val="28"/>
          <w:lang w:val="en-GB"/>
        </w:rPr>
        <w:t xml:space="preserve"> to challenge the Board’s decision.</w:t>
      </w:r>
      <w:r w:rsidR="001F45A9" w:rsidRPr="00620926">
        <w:rPr>
          <w:rFonts w:ascii="Times New Roman" w:hAnsi="Times New Roman" w:cs="Times New Roman"/>
          <w:sz w:val="28"/>
          <w:szCs w:val="28"/>
          <w:lang w:val="en-GB"/>
        </w:rPr>
        <w:t xml:space="preserve"> </w:t>
      </w:r>
      <w:r w:rsidR="004446FD" w:rsidRPr="00620926">
        <w:rPr>
          <w:rFonts w:ascii="Times New Roman" w:hAnsi="Times New Roman" w:cs="Times New Roman"/>
          <w:sz w:val="28"/>
          <w:szCs w:val="28"/>
          <w:lang w:val="en-GB"/>
        </w:rPr>
        <w:t xml:space="preserve">As to </w:t>
      </w:r>
      <w:r w:rsidR="009B4D01" w:rsidRPr="00620926">
        <w:rPr>
          <w:rFonts w:ascii="Times New Roman" w:hAnsi="Times New Roman" w:cs="Times New Roman"/>
          <w:sz w:val="28"/>
          <w:szCs w:val="28"/>
          <w:lang w:val="en-GB"/>
        </w:rPr>
        <w:t>the unreasonable delay issue</w:t>
      </w:r>
      <w:r w:rsidR="004446FD" w:rsidRPr="00620926">
        <w:rPr>
          <w:rFonts w:ascii="Times New Roman" w:hAnsi="Times New Roman" w:cs="Times New Roman"/>
          <w:sz w:val="28"/>
          <w:szCs w:val="28"/>
          <w:lang w:val="en-GB"/>
        </w:rPr>
        <w:t>, the high court</w:t>
      </w:r>
      <w:r w:rsidR="009B4D01" w:rsidRPr="00620926">
        <w:rPr>
          <w:rFonts w:ascii="Times New Roman" w:hAnsi="Times New Roman" w:cs="Times New Roman"/>
          <w:sz w:val="28"/>
          <w:szCs w:val="28"/>
          <w:lang w:val="en-GB"/>
        </w:rPr>
        <w:t xml:space="preserve"> found that there was no explanation before it for the delay. It </w:t>
      </w:r>
      <w:r w:rsidR="00B455CE" w:rsidRPr="00620926">
        <w:rPr>
          <w:rFonts w:ascii="Times New Roman" w:hAnsi="Times New Roman" w:cs="Times New Roman"/>
          <w:sz w:val="28"/>
          <w:szCs w:val="28"/>
          <w:lang w:val="en-GB"/>
        </w:rPr>
        <w:t>found</w:t>
      </w:r>
      <w:r w:rsidR="009B4D01" w:rsidRPr="00620926">
        <w:rPr>
          <w:rFonts w:ascii="Times New Roman" w:hAnsi="Times New Roman" w:cs="Times New Roman"/>
          <w:sz w:val="28"/>
          <w:szCs w:val="28"/>
          <w:lang w:val="en-GB"/>
        </w:rPr>
        <w:t xml:space="preserve"> </w:t>
      </w:r>
      <w:r w:rsidR="004202EB" w:rsidRPr="00620926">
        <w:rPr>
          <w:rFonts w:ascii="Times New Roman" w:hAnsi="Times New Roman" w:cs="Times New Roman"/>
          <w:sz w:val="28"/>
          <w:szCs w:val="28"/>
          <w:lang w:val="en-GB"/>
        </w:rPr>
        <w:t xml:space="preserve">that </w:t>
      </w:r>
      <w:proofErr w:type="spellStart"/>
      <w:r w:rsidR="00773719" w:rsidRPr="00620926">
        <w:rPr>
          <w:rFonts w:ascii="Times New Roman" w:hAnsi="Times New Roman" w:cs="Times New Roman"/>
          <w:sz w:val="28"/>
          <w:szCs w:val="28"/>
          <w:lang w:val="en-GB"/>
        </w:rPr>
        <w:t>Goldrush</w:t>
      </w:r>
      <w:proofErr w:type="spellEnd"/>
      <w:r w:rsidR="004202EB" w:rsidRPr="00620926">
        <w:rPr>
          <w:rFonts w:ascii="Times New Roman" w:hAnsi="Times New Roman" w:cs="Times New Roman"/>
          <w:sz w:val="28"/>
          <w:szCs w:val="28"/>
          <w:lang w:val="en-GB"/>
        </w:rPr>
        <w:t xml:space="preserve"> must have known about the decision to allocate the </w:t>
      </w:r>
      <w:r w:rsidR="00E83358" w:rsidRPr="00620926">
        <w:rPr>
          <w:rFonts w:ascii="Times New Roman" w:hAnsi="Times New Roman" w:cs="Times New Roman"/>
          <w:sz w:val="28"/>
          <w:szCs w:val="28"/>
          <w:lang w:val="en-GB"/>
        </w:rPr>
        <w:t xml:space="preserve">remaining </w:t>
      </w:r>
      <w:r w:rsidR="004202EB" w:rsidRPr="00620926">
        <w:rPr>
          <w:rFonts w:ascii="Times New Roman" w:hAnsi="Times New Roman" w:cs="Times New Roman"/>
          <w:sz w:val="28"/>
          <w:szCs w:val="28"/>
          <w:lang w:val="en-GB"/>
        </w:rPr>
        <w:t xml:space="preserve">LPMs in December 2017. </w:t>
      </w:r>
      <w:r w:rsidR="004446FD" w:rsidRPr="00620926">
        <w:rPr>
          <w:rFonts w:ascii="Times New Roman" w:hAnsi="Times New Roman" w:cs="Times New Roman"/>
          <w:sz w:val="28"/>
          <w:szCs w:val="28"/>
          <w:lang w:val="en-GB"/>
        </w:rPr>
        <w:t xml:space="preserve">It </w:t>
      </w:r>
      <w:r w:rsidR="00B10671" w:rsidRPr="00620926">
        <w:rPr>
          <w:rFonts w:ascii="Times New Roman" w:hAnsi="Times New Roman" w:cs="Times New Roman"/>
          <w:sz w:val="28"/>
          <w:szCs w:val="28"/>
          <w:lang w:val="en-GB"/>
        </w:rPr>
        <w:t>concluded</w:t>
      </w:r>
      <w:r w:rsidR="004202EB" w:rsidRPr="00620926">
        <w:rPr>
          <w:rFonts w:ascii="Times New Roman" w:hAnsi="Times New Roman" w:cs="Times New Roman"/>
          <w:sz w:val="28"/>
          <w:szCs w:val="28"/>
          <w:lang w:val="en-GB"/>
        </w:rPr>
        <w:t xml:space="preserve"> that the delay in instituting the review (in March 2019) was unexplained and unreasonable. However, in considering whether the delay should be overlooked</w:t>
      </w:r>
      <w:r w:rsidR="009E22FB" w:rsidRPr="00620926">
        <w:rPr>
          <w:rFonts w:ascii="Times New Roman" w:hAnsi="Times New Roman" w:cs="Times New Roman"/>
          <w:sz w:val="28"/>
          <w:szCs w:val="28"/>
          <w:lang w:val="en-GB"/>
        </w:rPr>
        <w:t xml:space="preserve"> in the interests of justice</w:t>
      </w:r>
      <w:r w:rsidR="00004F4B" w:rsidRPr="00620926">
        <w:rPr>
          <w:rFonts w:ascii="Times New Roman" w:hAnsi="Times New Roman" w:cs="Times New Roman"/>
          <w:sz w:val="28"/>
          <w:szCs w:val="28"/>
          <w:lang w:val="en-GB"/>
        </w:rPr>
        <w:t>, it</w:t>
      </w:r>
      <w:r w:rsidR="004202EB" w:rsidRPr="00620926">
        <w:rPr>
          <w:rFonts w:ascii="Times New Roman" w:hAnsi="Times New Roman" w:cs="Times New Roman"/>
          <w:sz w:val="28"/>
          <w:szCs w:val="28"/>
          <w:lang w:val="en-GB"/>
        </w:rPr>
        <w:t xml:space="preserve"> considered </w:t>
      </w:r>
      <w:r w:rsidR="009E22FB" w:rsidRPr="00620926">
        <w:rPr>
          <w:rFonts w:ascii="Times New Roman" w:hAnsi="Times New Roman" w:cs="Times New Roman"/>
          <w:sz w:val="28"/>
          <w:szCs w:val="28"/>
          <w:lang w:val="en-GB"/>
        </w:rPr>
        <w:t xml:space="preserve">the </w:t>
      </w:r>
      <w:r w:rsidR="00004F4B" w:rsidRPr="00620926">
        <w:rPr>
          <w:rFonts w:ascii="Times New Roman" w:hAnsi="Times New Roman" w:cs="Times New Roman"/>
          <w:sz w:val="28"/>
          <w:szCs w:val="28"/>
          <w:lang w:val="en-GB"/>
        </w:rPr>
        <w:t>‘potential prejudice</w:t>
      </w:r>
      <w:r w:rsidR="004202EB" w:rsidRPr="00620926">
        <w:rPr>
          <w:rFonts w:ascii="Times New Roman" w:hAnsi="Times New Roman" w:cs="Times New Roman"/>
          <w:sz w:val="28"/>
          <w:szCs w:val="28"/>
          <w:lang w:val="en-GB"/>
        </w:rPr>
        <w:t xml:space="preserve"> to affected parties’ and </w:t>
      </w:r>
      <w:r w:rsidR="009E22FB" w:rsidRPr="00620926">
        <w:rPr>
          <w:rFonts w:ascii="Times New Roman" w:hAnsi="Times New Roman" w:cs="Times New Roman"/>
          <w:sz w:val="28"/>
          <w:szCs w:val="28"/>
          <w:lang w:val="en-GB"/>
        </w:rPr>
        <w:t xml:space="preserve">the </w:t>
      </w:r>
      <w:r w:rsidR="004202EB" w:rsidRPr="00620926">
        <w:rPr>
          <w:rFonts w:ascii="Times New Roman" w:hAnsi="Times New Roman" w:cs="Times New Roman"/>
          <w:sz w:val="28"/>
          <w:szCs w:val="28"/>
          <w:lang w:val="en-GB"/>
        </w:rPr>
        <w:t>prospect</w:t>
      </w:r>
      <w:r w:rsidR="009E22FB" w:rsidRPr="00620926">
        <w:rPr>
          <w:rFonts w:ascii="Times New Roman" w:hAnsi="Times New Roman" w:cs="Times New Roman"/>
          <w:sz w:val="28"/>
          <w:szCs w:val="28"/>
          <w:lang w:val="en-GB"/>
        </w:rPr>
        <w:t>s</w:t>
      </w:r>
      <w:r w:rsidR="004202EB" w:rsidRPr="00620926">
        <w:rPr>
          <w:rFonts w:ascii="Times New Roman" w:hAnsi="Times New Roman" w:cs="Times New Roman"/>
          <w:sz w:val="28"/>
          <w:szCs w:val="28"/>
          <w:lang w:val="en-GB"/>
        </w:rPr>
        <w:t xml:space="preserve"> </w:t>
      </w:r>
      <w:r w:rsidR="00004F4B" w:rsidRPr="00620926">
        <w:rPr>
          <w:rFonts w:ascii="Times New Roman" w:hAnsi="Times New Roman" w:cs="Times New Roman"/>
          <w:sz w:val="28"/>
          <w:szCs w:val="28"/>
          <w:lang w:val="en-GB"/>
        </w:rPr>
        <w:t xml:space="preserve">of </w:t>
      </w:r>
      <w:r w:rsidR="004202EB" w:rsidRPr="00620926">
        <w:rPr>
          <w:rFonts w:ascii="Times New Roman" w:hAnsi="Times New Roman" w:cs="Times New Roman"/>
          <w:sz w:val="28"/>
          <w:szCs w:val="28"/>
          <w:lang w:val="en-GB"/>
        </w:rPr>
        <w:t>success.</w:t>
      </w:r>
      <w:r w:rsidR="00375E80" w:rsidRPr="00620926">
        <w:rPr>
          <w:rFonts w:ascii="Times New Roman" w:hAnsi="Times New Roman" w:cs="Times New Roman"/>
          <w:sz w:val="28"/>
          <w:szCs w:val="28"/>
          <w:lang w:val="en-GB"/>
        </w:rPr>
        <w:t xml:space="preserve"> </w:t>
      </w:r>
      <w:r w:rsidR="004446FD" w:rsidRPr="00620926">
        <w:rPr>
          <w:rFonts w:ascii="Times New Roman" w:hAnsi="Times New Roman" w:cs="Times New Roman"/>
          <w:sz w:val="28"/>
          <w:szCs w:val="28"/>
          <w:lang w:val="en-GB"/>
        </w:rPr>
        <w:t xml:space="preserve">In </w:t>
      </w:r>
      <w:r w:rsidR="00B455CE" w:rsidRPr="00620926">
        <w:rPr>
          <w:rFonts w:ascii="Times New Roman" w:hAnsi="Times New Roman" w:cs="Times New Roman"/>
          <w:sz w:val="28"/>
          <w:szCs w:val="28"/>
          <w:lang w:val="en-GB"/>
        </w:rPr>
        <w:t>regard to the latter</w:t>
      </w:r>
      <w:r w:rsidR="00303424" w:rsidRPr="00620926">
        <w:rPr>
          <w:rFonts w:ascii="Times New Roman" w:hAnsi="Times New Roman" w:cs="Times New Roman"/>
          <w:sz w:val="28"/>
          <w:szCs w:val="28"/>
          <w:lang w:val="en-GB"/>
        </w:rPr>
        <w:t>,</w:t>
      </w:r>
      <w:r w:rsidR="004446FD" w:rsidRPr="00620926">
        <w:rPr>
          <w:rFonts w:ascii="Times New Roman" w:hAnsi="Times New Roman" w:cs="Times New Roman"/>
          <w:sz w:val="28"/>
          <w:szCs w:val="28"/>
          <w:lang w:val="en-GB"/>
        </w:rPr>
        <w:t xml:space="preserve"> the high court found </w:t>
      </w:r>
      <w:r w:rsidR="004202EB" w:rsidRPr="00620926">
        <w:rPr>
          <w:rFonts w:ascii="Times New Roman" w:hAnsi="Times New Roman" w:cs="Times New Roman"/>
          <w:sz w:val="28"/>
          <w:szCs w:val="28"/>
          <w:lang w:val="en-GB"/>
        </w:rPr>
        <w:t xml:space="preserve">the decision </w:t>
      </w:r>
      <w:r w:rsidR="004446FD" w:rsidRPr="00620926">
        <w:rPr>
          <w:rFonts w:ascii="Times New Roman" w:hAnsi="Times New Roman" w:cs="Times New Roman"/>
          <w:sz w:val="28"/>
          <w:szCs w:val="28"/>
          <w:lang w:val="en-GB"/>
        </w:rPr>
        <w:t xml:space="preserve">to be </w:t>
      </w:r>
      <w:r w:rsidR="004202EB" w:rsidRPr="00620926">
        <w:rPr>
          <w:rFonts w:ascii="Times New Roman" w:hAnsi="Times New Roman" w:cs="Times New Roman"/>
          <w:sz w:val="28"/>
          <w:szCs w:val="28"/>
          <w:lang w:val="en-GB"/>
        </w:rPr>
        <w:t>reviewable ‘under s 6(2</w:t>
      </w:r>
      <w:proofErr w:type="gramStart"/>
      <w:r w:rsidR="004202EB" w:rsidRPr="00620926">
        <w:rPr>
          <w:rFonts w:ascii="Times New Roman" w:hAnsi="Times New Roman" w:cs="Times New Roman"/>
          <w:sz w:val="28"/>
          <w:szCs w:val="28"/>
          <w:lang w:val="en-GB"/>
        </w:rPr>
        <w:t>)(</w:t>
      </w:r>
      <w:proofErr w:type="gramEnd"/>
      <w:r w:rsidR="004202EB" w:rsidRPr="00620926">
        <w:rPr>
          <w:rFonts w:ascii="Times New Roman" w:hAnsi="Times New Roman" w:cs="Times New Roman"/>
          <w:i/>
          <w:sz w:val="28"/>
          <w:szCs w:val="28"/>
          <w:lang w:val="en-GB"/>
        </w:rPr>
        <w:t>e</w:t>
      </w:r>
      <w:r w:rsidR="004202EB" w:rsidRPr="00620926">
        <w:rPr>
          <w:rFonts w:ascii="Times New Roman" w:hAnsi="Times New Roman" w:cs="Times New Roman"/>
          <w:sz w:val="28"/>
          <w:szCs w:val="28"/>
          <w:lang w:val="en-GB"/>
        </w:rPr>
        <w:t>)(iii) of PA</w:t>
      </w:r>
      <w:r w:rsidR="00416511" w:rsidRPr="00620926">
        <w:rPr>
          <w:rFonts w:ascii="Times New Roman" w:hAnsi="Times New Roman" w:cs="Times New Roman"/>
          <w:sz w:val="28"/>
          <w:szCs w:val="28"/>
          <w:lang w:val="en-GB"/>
        </w:rPr>
        <w:t>J</w:t>
      </w:r>
      <w:r w:rsidR="004202EB" w:rsidRPr="00620926">
        <w:rPr>
          <w:rFonts w:ascii="Times New Roman" w:hAnsi="Times New Roman" w:cs="Times New Roman"/>
          <w:sz w:val="28"/>
          <w:szCs w:val="28"/>
          <w:lang w:val="en-GB"/>
        </w:rPr>
        <w:t xml:space="preserve">A on the basis that </w:t>
      </w:r>
      <w:r w:rsidR="004446FD" w:rsidRPr="00620926">
        <w:rPr>
          <w:rFonts w:ascii="Times New Roman" w:hAnsi="Times New Roman" w:cs="Times New Roman"/>
          <w:sz w:val="28"/>
          <w:szCs w:val="28"/>
          <w:lang w:val="en-GB"/>
        </w:rPr>
        <w:t>the Board</w:t>
      </w:r>
      <w:r w:rsidR="004202EB" w:rsidRPr="00620926">
        <w:rPr>
          <w:rFonts w:ascii="Times New Roman" w:hAnsi="Times New Roman" w:cs="Times New Roman"/>
          <w:sz w:val="28"/>
          <w:szCs w:val="28"/>
          <w:lang w:val="en-GB"/>
        </w:rPr>
        <w:t xml:space="preserve"> failed to </w:t>
      </w:r>
      <w:r w:rsidR="004202EB" w:rsidRPr="00620926">
        <w:rPr>
          <w:rFonts w:ascii="Times New Roman" w:hAnsi="Times New Roman" w:cs="Times New Roman"/>
          <w:sz w:val="28"/>
          <w:szCs w:val="28"/>
          <w:lang w:val="en-GB"/>
        </w:rPr>
        <w:lastRenderedPageBreak/>
        <w:t>properly consider relevant consideration</w:t>
      </w:r>
      <w:r w:rsidR="00375E80" w:rsidRPr="00620926">
        <w:rPr>
          <w:rFonts w:ascii="Times New Roman" w:hAnsi="Times New Roman" w:cs="Times New Roman"/>
          <w:sz w:val="28"/>
          <w:szCs w:val="28"/>
          <w:lang w:val="en-GB"/>
        </w:rPr>
        <w:t>s</w:t>
      </w:r>
      <w:r w:rsidR="004202EB" w:rsidRPr="00620926">
        <w:rPr>
          <w:rFonts w:ascii="Times New Roman" w:hAnsi="Times New Roman" w:cs="Times New Roman"/>
          <w:sz w:val="28"/>
          <w:szCs w:val="28"/>
          <w:lang w:val="en-GB"/>
        </w:rPr>
        <w:t xml:space="preserve"> in deciding to approve Grand Slots and V-Slots additional licences</w:t>
      </w:r>
      <w:r w:rsidR="00303424" w:rsidRPr="00620926">
        <w:rPr>
          <w:rFonts w:ascii="Times New Roman" w:hAnsi="Times New Roman" w:cs="Times New Roman"/>
          <w:sz w:val="28"/>
          <w:szCs w:val="28"/>
          <w:lang w:val="en-GB"/>
        </w:rPr>
        <w:t>’</w:t>
      </w:r>
      <w:r w:rsidR="004202EB" w:rsidRPr="00620926">
        <w:rPr>
          <w:rFonts w:ascii="Times New Roman" w:hAnsi="Times New Roman" w:cs="Times New Roman"/>
          <w:sz w:val="28"/>
          <w:szCs w:val="28"/>
          <w:lang w:val="en-GB"/>
        </w:rPr>
        <w:t>.</w:t>
      </w:r>
      <w:r w:rsidR="00375E80" w:rsidRPr="00620926">
        <w:rPr>
          <w:rFonts w:ascii="Times New Roman" w:hAnsi="Times New Roman" w:cs="Times New Roman"/>
          <w:sz w:val="28"/>
          <w:szCs w:val="28"/>
          <w:lang w:val="en-GB"/>
        </w:rPr>
        <w:t xml:space="preserve"> </w:t>
      </w:r>
    </w:p>
    <w:p w14:paraId="68ECDB86" w14:textId="77777777" w:rsidR="00E83358" w:rsidRPr="00620926" w:rsidRDefault="00E83358" w:rsidP="00F32D7A">
      <w:pPr>
        <w:spacing w:after="0" w:line="360" w:lineRule="auto"/>
        <w:jc w:val="both"/>
        <w:rPr>
          <w:rFonts w:ascii="Times New Roman" w:hAnsi="Times New Roman" w:cs="Times New Roman"/>
          <w:sz w:val="28"/>
          <w:szCs w:val="28"/>
          <w:lang w:val="en-GB"/>
        </w:rPr>
      </w:pPr>
    </w:p>
    <w:p w14:paraId="4DFEAD6D" w14:textId="64F99B86" w:rsidR="00E83358" w:rsidRPr="00620926" w:rsidRDefault="00E83358" w:rsidP="00E83358">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[15]</w:t>
      </w:r>
      <w:r w:rsidRPr="00620926">
        <w:rPr>
          <w:rFonts w:ascii="Times New Roman" w:hAnsi="Times New Roman" w:cs="Times New Roman"/>
          <w:sz w:val="28"/>
          <w:szCs w:val="28"/>
          <w:lang w:val="en-GB"/>
        </w:rPr>
        <w:tab/>
        <w:t xml:space="preserve">The high court set aside the Board’s decision to allocate the remaining LPMs proportionally to V-Slots and Grand Slots. </w:t>
      </w:r>
      <w:proofErr w:type="gramStart"/>
      <w:r w:rsidRPr="00620926">
        <w:rPr>
          <w:rFonts w:ascii="Times New Roman" w:hAnsi="Times New Roman" w:cs="Times New Roman"/>
          <w:sz w:val="28"/>
          <w:szCs w:val="28"/>
          <w:lang w:val="en-GB"/>
        </w:rPr>
        <w:t>and</w:t>
      </w:r>
      <w:proofErr w:type="gramEnd"/>
      <w:r w:rsidRPr="00620926">
        <w:rPr>
          <w:rFonts w:ascii="Times New Roman" w:hAnsi="Times New Roman" w:cs="Times New Roman"/>
          <w:sz w:val="28"/>
          <w:szCs w:val="28"/>
          <w:lang w:val="en-GB"/>
        </w:rPr>
        <w:t xml:space="preserve"> granted the following further orders:</w:t>
      </w:r>
    </w:p>
    <w:p w14:paraId="3E501AB8" w14:textId="77777777" w:rsidR="00E83358" w:rsidRPr="00620926" w:rsidRDefault="00E83358" w:rsidP="00E83358">
      <w:pPr>
        <w:spacing w:after="0" w:line="360" w:lineRule="auto"/>
        <w:jc w:val="both"/>
        <w:rPr>
          <w:rFonts w:ascii="Times New Roman" w:hAnsi="Times New Roman" w:cs="Times New Roman"/>
          <w:sz w:val="24"/>
          <w:szCs w:val="24"/>
          <w:lang w:val="en-GB"/>
        </w:rPr>
      </w:pPr>
      <w:r w:rsidRPr="00620926">
        <w:rPr>
          <w:rFonts w:ascii="Times New Roman" w:hAnsi="Times New Roman" w:cs="Times New Roman"/>
          <w:sz w:val="24"/>
          <w:szCs w:val="24"/>
          <w:lang w:val="en-GB"/>
        </w:rPr>
        <w:t>‘2.</w:t>
      </w:r>
      <w:r w:rsidRPr="00620926">
        <w:rPr>
          <w:rFonts w:ascii="Times New Roman" w:hAnsi="Times New Roman" w:cs="Times New Roman"/>
          <w:sz w:val="24"/>
          <w:szCs w:val="24"/>
          <w:lang w:val="en-GB"/>
        </w:rPr>
        <w:tab/>
        <w:t>This order shall not affect existing LPM’s that have already been allocated and installed at licenced site routes pursuant to the 2017 decision.</w:t>
      </w:r>
    </w:p>
    <w:p w14:paraId="221DE2CE" w14:textId="77777777" w:rsidR="00E83358" w:rsidRPr="00620926" w:rsidRDefault="00E83358" w:rsidP="00E83358">
      <w:pPr>
        <w:spacing w:after="0" w:line="360" w:lineRule="auto"/>
        <w:jc w:val="both"/>
        <w:rPr>
          <w:rFonts w:ascii="Times New Roman" w:hAnsi="Times New Roman" w:cs="Times New Roman"/>
          <w:sz w:val="24"/>
          <w:szCs w:val="24"/>
          <w:lang w:val="en-GB"/>
        </w:rPr>
      </w:pPr>
      <w:r w:rsidRPr="00620926">
        <w:rPr>
          <w:rFonts w:ascii="Times New Roman" w:hAnsi="Times New Roman" w:cs="Times New Roman"/>
          <w:sz w:val="24"/>
          <w:szCs w:val="24"/>
          <w:lang w:val="en-GB"/>
        </w:rPr>
        <w:t>3.</w:t>
      </w:r>
      <w:r w:rsidRPr="00620926">
        <w:rPr>
          <w:rFonts w:ascii="Times New Roman" w:hAnsi="Times New Roman" w:cs="Times New Roman"/>
          <w:sz w:val="24"/>
          <w:szCs w:val="24"/>
          <w:lang w:val="en-GB"/>
        </w:rPr>
        <w:tab/>
      </w:r>
      <w:proofErr w:type="gramStart"/>
      <w:r w:rsidRPr="00620926">
        <w:rPr>
          <w:rFonts w:ascii="Times New Roman" w:hAnsi="Times New Roman" w:cs="Times New Roman"/>
          <w:sz w:val="24"/>
          <w:szCs w:val="24"/>
          <w:lang w:val="en-GB"/>
        </w:rPr>
        <w:t>In</w:t>
      </w:r>
      <w:proofErr w:type="gramEnd"/>
      <w:r w:rsidRPr="00620926">
        <w:rPr>
          <w:rFonts w:ascii="Times New Roman" w:hAnsi="Times New Roman" w:cs="Times New Roman"/>
          <w:sz w:val="24"/>
          <w:szCs w:val="24"/>
          <w:lang w:val="en-GB"/>
        </w:rPr>
        <w:t xml:space="preserve"> the event that there are non-operational LPM licences that are licenced and have not been allocated to a site, the Board is ordered to advertise same should it be prudent to do so.’</w:t>
      </w:r>
    </w:p>
    <w:p w14:paraId="0196804F" w14:textId="6F92CA21" w:rsidR="00E83358" w:rsidRPr="00620926" w:rsidRDefault="00E83358" w:rsidP="00E83358">
      <w:pPr>
        <w:spacing w:after="0" w:line="360" w:lineRule="auto"/>
        <w:jc w:val="both"/>
        <w:rPr>
          <w:rFonts w:ascii="Times New Roman" w:hAnsi="Times New Roman" w:cs="Times New Roman"/>
          <w:sz w:val="28"/>
          <w:szCs w:val="28"/>
          <w:lang w:val="en-GB"/>
        </w:rPr>
      </w:pPr>
    </w:p>
    <w:p w14:paraId="61AEA035" w14:textId="66234A13" w:rsidR="00E83358" w:rsidRPr="00620926" w:rsidRDefault="00E83358" w:rsidP="00E83358">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[16]</w:t>
      </w:r>
      <w:r w:rsidRPr="00620926">
        <w:rPr>
          <w:rFonts w:ascii="Times New Roman" w:hAnsi="Times New Roman" w:cs="Times New Roman"/>
          <w:sz w:val="28"/>
          <w:szCs w:val="28"/>
          <w:lang w:val="en-GB"/>
        </w:rPr>
        <w:tab/>
        <w:t xml:space="preserve">The high court made no order regarding the costs of the abandoned interdict relief sought in Part A of the notice of motion. The learned judge ordered the present appellants to pay the costs of the application. As indicated, leave to appeal was granted by the high court. It also granted leave to </w:t>
      </w:r>
      <w:proofErr w:type="spellStart"/>
      <w:r w:rsidRPr="00620926">
        <w:rPr>
          <w:rFonts w:ascii="Times New Roman" w:hAnsi="Times New Roman" w:cs="Times New Roman"/>
          <w:sz w:val="28"/>
          <w:szCs w:val="28"/>
          <w:lang w:val="en-GB"/>
        </w:rPr>
        <w:t>Goldrush</w:t>
      </w:r>
      <w:proofErr w:type="spellEnd"/>
      <w:r w:rsidRPr="00620926">
        <w:rPr>
          <w:rFonts w:ascii="Times New Roman" w:hAnsi="Times New Roman" w:cs="Times New Roman"/>
          <w:sz w:val="28"/>
          <w:szCs w:val="28"/>
          <w:lang w:val="en-GB"/>
        </w:rPr>
        <w:t xml:space="preserve"> to cross-appeal against certain findings. The high court granted an order in terms of s 18(3) of the Superior Courts Act 10 of 2013, declaring its order operative pending the appeal.</w:t>
      </w:r>
    </w:p>
    <w:p w14:paraId="7611BD31" w14:textId="77777777" w:rsidR="004202EB" w:rsidRPr="00620926" w:rsidRDefault="004202EB" w:rsidP="00F32D7A">
      <w:pPr>
        <w:spacing w:after="0" w:line="360" w:lineRule="auto"/>
        <w:jc w:val="both"/>
        <w:rPr>
          <w:rFonts w:ascii="Times New Roman" w:hAnsi="Times New Roman" w:cs="Times New Roman"/>
          <w:sz w:val="28"/>
          <w:szCs w:val="28"/>
          <w:lang w:val="en-GB"/>
        </w:rPr>
      </w:pPr>
    </w:p>
    <w:p w14:paraId="2193F40B" w14:textId="20A7A953" w:rsidR="004202EB" w:rsidRPr="00620926" w:rsidRDefault="004202EB" w:rsidP="00F32D7A">
      <w:pPr>
        <w:spacing w:after="0" w:line="360" w:lineRule="auto"/>
        <w:jc w:val="both"/>
        <w:rPr>
          <w:rFonts w:ascii="Times New Roman" w:hAnsi="Times New Roman" w:cs="Times New Roman"/>
          <w:b/>
          <w:sz w:val="28"/>
          <w:szCs w:val="28"/>
          <w:lang w:val="en-GB"/>
        </w:rPr>
      </w:pPr>
      <w:r w:rsidRPr="00620926">
        <w:rPr>
          <w:rFonts w:ascii="Times New Roman" w:hAnsi="Times New Roman" w:cs="Times New Roman"/>
          <w:b/>
          <w:sz w:val="28"/>
          <w:szCs w:val="28"/>
          <w:lang w:val="en-GB"/>
        </w:rPr>
        <w:t>The issues on appeal</w:t>
      </w:r>
    </w:p>
    <w:p w14:paraId="1AD4B53F" w14:textId="5B68DB65" w:rsidR="009F70AA" w:rsidRPr="00620926" w:rsidRDefault="004202EB" w:rsidP="001F45A9">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1F45A9" w:rsidRPr="00620926">
        <w:rPr>
          <w:rFonts w:ascii="Times New Roman" w:hAnsi="Times New Roman" w:cs="Times New Roman"/>
          <w:sz w:val="28"/>
          <w:szCs w:val="28"/>
          <w:lang w:val="en-GB"/>
        </w:rPr>
        <w:t>1</w:t>
      </w:r>
      <w:r w:rsidR="00F778B5" w:rsidRPr="00620926">
        <w:rPr>
          <w:rFonts w:ascii="Times New Roman" w:hAnsi="Times New Roman" w:cs="Times New Roman"/>
          <w:sz w:val="28"/>
          <w:szCs w:val="28"/>
          <w:lang w:val="en-GB"/>
        </w:rPr>
        <w:t>7</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r>
      <w:r w:rsidR="001F45A9" w:rsidRPr="00620926">
        <w:rPr>
          <w:rFonts w:ascii="Times New Roman" w:hAnsi="Times New Roman" w:cs="Times New Roman"/>
          <w:sz w:val="28"/>
          <w:szCs w:val="28"/>
          <w:lang w:val="en-GB"/>
        </w:rPr>
        <w:t>As was the case in the high court, t</w:t>
      </w:r>
      <w:r w:rsidRPr="00620926">
        <w:rPr>
          <w:rFonts w:ascii="Times New Roman" w:hAnsi="Times New Roman" w:cs="Times New Roman"/>
          <w:sz w:val="28"/>
          <w:szCs w:val="28"/>
          <w:lang w:val="en-GB"/>
        </w:rPr>
        <w:t xml:space="preserve">hree issues arise </w:t>
      </w:r>
      <w:r w:rsidR="001F45A9" w:rsidRPr="00620926">
        <w:rPr>
          <w:rFonts w:ascii="Times New Roman" w:hAnsi="Times New Roman" w:cs="Times New Roman"/>
          <w:sz w:val="28"/>
          <w:szCs w:val="28"/>
          <w:lang w:val="en-GB"/>
        </w:rPr>
        <w:t>on</w:t>
      </w:r>
      <w:r w:rsidRPr="00620926">
        <w:rPr>
          <w:rFonts w:ascii="Times New Roman" w:hAnsi="Times New Roman" w:cs="Times New Roman"/>
          <w:sz w:val="28"/>
          <w:szCs w:val="28"/>
          <w:lang w:val="en-GB"/>
        </w:rPr>
        <w:t xml:space="preserve"> appeal</w:t>
      </w:r>
      <w:r w:rsidR="001F45A9"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 xml:space="preserve"> The first </w:t>
      </w:r>
      <w:r w:rsidR="001F45A9" w:rsidRPr="00620926">
        <w:rPr>
          <w:rFonts w:ascii="Times New Roman" w:hAnsi="Times New Roman" w:cs="Times New Roman"/>
          <w:sz w:val="28"/>
          <w:szCs w:val="28"/>
          <w:lang w:val="en-GB"/>
        </w:rPr>
        <w:t>concerns</w:t>
      </w:r>
      <w:r w:rsidRPr="00620926">
        <w:rPr>
          <w:rFonts w:ascii="Times New Roman" w:hAnsi="Times New Roman" w:cs="Times New Roman"/>
          <w:sz w:val="28"/>
          <w:szCs w:val="28"/>
          <w:lang w:val="en-GB"/>
        </w:rPr>
        <w:t xml:space="preserve"> the standing of </w:t>
      </w:r>
      <w:proofErr w:type="spellStart"/>
      <w:r w:rsidR="00773719" w:rsidRPr="00620926">
        <w:rPr>
          <w:rFonts w:ascii="Times New Roman" w:hAnsi="Times New Roman" w:cs="Times New Roman"/>
          <w:sz w:val="28"/>
          <w:szCs w:val="28"/>
          <w:lang w:val="en-GB"/>
        </w:rPr>
        <w:t>Goldrush</w:t>
      </w:r>
      <w:proofErr w:type="spellEnd"/>
      <w:r w:rsidRPr="00620926">
        <w:rPr>
          <w:rFonts w:ascii="Times New Roman" w:hAnsi="Times New Roman" w:cs="Times New Roman"/>
          <w:sz w:val="28"/>
          <w:szCs w:val="28"/>
          <w:lang w:val="en-GB"/>
        </w:rPr>
        <w:t xml:space="preserve">. The second relates to the delay in prosecuting the review. </w:t>
      </w:r>
      <w:r w:rsidR="001F45A9" w:rsidRPr="00620926">
        <w:rPr>
          <w:rFonts w:ascii="Times New Roman" w:hAnsi="Times New Roman" w:cs="Times New Roman"/>
          <w:sz w:val="28"/>
          <w:szCs w:val="28"/>
          <w:lang w:val="en-GB"/>
        </w:rPr>
        <w:t>The third concerns</w:t>
      </w:r>
      <w:r w:rsidR="009F70AA" w:rsidRPr="00620926">
        <w:rPr>
          <w:rFonts w:ascii="Times New Roman" w:hAnsi="Times New Roman" w:cs="Times New Roman"/>
          <w:sz w:val="28"/>
          <w:szCs w:val="28"/>
          <w:lang w:val="en-GB"/>
        </w:rPr>
        <w:t xml:space="preserve"> the merits of the </w:t>
      </w:r>
      <w:r w:rsidR="001F45A9" w:rsidRPr="00620926">
        <w:rPr>
          <w:rFonts w:ascii="Times New Roman" w:hAnsi="Times New Roman" w:cs="Times New Roman"/>
          <w:sz w:val="28"/>
          <w:szCs w:val="28"/>
          <w:lang w:val="en-GB"/>
        </w:rPr>
        <w:t xml:space="preserve">review </w:t>
      </w:r>
      <w:r w:rsidR="009F70AA" w:rsidRPr="00620926">
        <w:rPr>
          <w:rFonts w:ascii="Times New Roman" w:hAnsi="Times New Roman" w:cs="Times New Roman"/>
          <w:sz w:val="28"/>
          <w:szCs w:val="28"/>
          <w:lang w:val="en-GB"/>
        </w:rPr>
        <w:t>challenge</w:t>
      </w:r>
      <w:r w:rsidR="001F45A9" w:rsidRPr="00620926">
        <w:rPr>
          <w:rFonts w:ascii="Times New Roman" w:hAnsi="Times New Roman" w:cs="Times New Roman"/>
          <w:sz w:val="28"/>
          <w:szCs w:val="28"/>
          <w:lang w:val="en-GB"/>
        </w:rPr>
        <w:t xml:space="preserve">. </w:t>
      </w:r>
    </w:p>
    <w:p w14:paraId="459C2060" w14:textId="77777777" w:rsidR="005B460B" w:rsidRPr="00620926" w:rsidRDefault="005B460B" w:rsidP="00F32D7A">
      <w:pPr>
        <w:spacing w:after="0" w:line="360" w:lineRule="auto"/>
        <w:jc w:val="both"/>
        <w:rPr>
          <w:rFonts w:ascii="Times New Roman" w:hAnsi="Times New Roman" w:cs="Times New Roman"/>
          <w:sz w:val="28"/>
          <w:szCs w:val="28"/>
          <w:lang w:val="en-GB"/>
        </w:rPr>
      </w:pPr>
    </w:p>
    <w:p w14:paraId="2A392991" w14:textId="032B8ECB" w:rsidR="00090450" w:rsidRPr="00620926" w:rsidRDefault="003E6FAA" w:rsidP="00F32D7A">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722913" w:rsidRPr="00620926">
        <w:rPr>
          <w:rFonts w:ascii="Times New Roman" w:hAnsi="Times New Roman" w:cs="Times New Roman"/>
          <w:sz w:val="28"/>
          <w:szCs w:val="28"/>
          <w:lang w:val="en-GB"/>
        </w:rPr>
        <w:t>1</w:t>
      </w:r>
      <w:r w:rsidR="001A30B4" w:rsidRPr="00620926">
        <w:rPr>
          <w:rFonts w:ascii="Times New Roman" w:hAnsi="Times New Roman" w:cs="Times New Roman"/>
          <w:sz w:val="28"/>
          <w:szCs w:val="28"/>
          <w:lang w:val="en-GB"/>
        </w:rPr>
        <w:t>8</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The standing of a party to pursue a legal remedy is a matter of ‘procedural justiciability’.</w:t>
      </w:r>
      <w:r w:rsidRPr="00620926">
        <w:rPr>
          <w:rStyle w:val="FootnoteReference"/>
          <w:rFonts w:ascii="Times New Roman" w:hAnsi="Times New Roman" w:cs="Times New Roman"/>
          <w:sz w:val="28"/>
          <w:szCs w:val="28"/>
          <w:lang w:val="en-GB"/>
        </w:rPr>
        <w:footnoteReference w:id="4"/>
      </w:r>
      <w:r w:rsidRPr="00620926">
        <w:rPr>
          <w:rFonts w:ascii="Times New Roman" w:hAnsi="Times New Roman" w:cs="Times New Roman"/>
          <w:sz w:val="28"/>
          <w:szCs w:val="28"/>
          <w:lang w:val="en-GB"/>
        </w:rPr>
        <w:t xml:space="preserve"> The central question is whether the party who brings the suit is one who is entitled to seek the remedy.</w:t>
      </w:r>
      <w:r w:rsidRPr="00620926">
        <w:rPr>
          <w:rStyle w:val="FootnoteReference"/>
          <w:rFonts w:ascii="Times New Roman" w:hAnsi="Times New Roman" w:cs="Times New Roman"/>
          <w:sz w:val="28"/>
          <w:szCs w:val="28"/>
          <w:lang w:val="en-GB"/>
        </w:rPr>
        <w:footnoteReference w:id="5"/>
      </w:r>
      <w:r w:rsidRPr="00620926">
        <w:rPr>
          <w:rFonts w:ascii="Times New Roman" w:hAnsi="Times New Roman" w:cs="Times New Roman"/>
          <w:sz w:val="28"/>
          <w:szCs w:val="28"/>
          <w:lang w:val="en-GB"/>
        </w:rPr>
        <w:t xml:space="preserve"> In the context of judicial review, a claim </w:t>
      </w:r>
      <w:r w:rsidRPr="00620926">
        <w:rPr>
          <w:rFonts w:ascii="Times New Roman" w:hAnsi="Times New Roman" w:cs="Times New Roman"/>
          <w:sz w:val="28"/>
          <w:szCs w:val="28"/>
          <w:lang w:val="en-GB"/>
        </w:rPr>
        <w:lastRenderedPageBreak/>
        <w:t xml:space="preserve">to standing must be determined with reference to the administrative conduct or decision which the applicant seeks to bring under review. </w:t>
      </w:r>
      <w:r w:rsidR="00090450" w:rsidRPr="00620926">
        <w:rPr>
          <w:rFonts w:ascii="Times New Roman" w:hAnsi="Times New Roman" w:cs="Times New Roman"/>
          <w:sz w:val="28"/>
          <w:szCs w:val="28"/>
          <w:lang w:val="en-GB"/>
        </w:rPr>
        <w:t xml:space="preserve">In </w:t>
      </w:r>
      <w:r w:rsidR="00090450" w:rsidRPr="00620926">
        <w:rPr>
          <w:rFonts w:ascii="Times New Roman" w:hAnsi="Times New Roman" w:cs="Times New Roman"/>
          <w:i/>
          <w:iCs/>
          <w:sz w:val="28"/>
          <w:szCs w:val="28"/>
          <w:lang w:val="en-GB"/>
        </w:rPr>
        <w:t xml:space="preserve">Giant Concerts CC v </w:t>
      </w:r>
      <w:proofErr w:type="spellStart"/>
      <w:r w:rsidR="00090450" w:rsidRPr="00620926">
        <w:rPr>
          <w:rFonts w:ascii="Times New Roman" w:hAnsi="Times New Roman" w:cs="Times New Roman"/>
          <w:i/>
          <w:iCs/>
          <w:sz w:val="28"/>
          <w:szCs w:val="28"/>
          <w:lang w:val="en-GB"/>
        </w:rPr>
        <w:t>Rinaldo</w:t>
      </w:r>
      <w:proofErr w:type="spellEnd"/>
      <w:r w:rsidR="00090450" w:rsidRPr="00620926">
        <w:rPr>
          <w:rFonts w:ascii="Times New Roman" w:hAnsi="Times New Roman" w:cs="Times New Roman"/>
          <w:i/>
          <w:iCs/>
          <w:sz w:val="28"/>
          <w:szCs w:val="28"/>
          <w:lang w:val="en-GB"/>
        </w:rPr>
        <w:t xml:space="preserve"> Investments (Pty) Ltd </w:t>
      </w:r>
      <w:r w:rsidR="00090450" w:rsidRPr="00620926">
        <w:rPr>
          <w:rFonts w:ascii="Times New Roman" w:hAnsi="Times New Roman" w:cs="Times New Roman"/>
          <w:iCs/>
          <w:sz w:val="28"/>
          <w:szCs w:val="28"/>
          <w:lang w:val="en-GB"/>
        </w:rPr>
        <w:t>(</w:t>
      </w:r>
      <w:r w:rsidR="00090450" w:rsidRPr="00620926">
        <w:rPr>
          <w:rFonts w:ascii="Times New Roman" w:hAnsi="Times New Roman" w:cs="Times New Roman"/>
          <w:i/>
          <w:iCs/>
          <w:sz w:val="28"/>
          <w:szCs w:val="28"/>
          <w:lang w:val="en-GB"/>
        </w:rPr>
        <w:t>Giant Concerts</w:t>
      </w:r>
      <w:r w:rsidR="00090450" w:rsidRPr="00620926">
        <w:rPr>
          <w:rFonts w:ascii="Times New Roman" w:hAnsi="Times New Roman" w:cs="Times New Roman"/>
          <w:iCs/>
          <w:sz w:val="28"/>
          <w:szCs w:val="28"/>
          <w:lang w:val="en-GB"/>
        </w:rPr>
        <w:t>)</w:t>
      </w:r>
      <w:r w:rsidR="00652012" w:rsidRPr="00620926">
        <w:rPr>
          <w:rFonts w:ascii="Times New Roman" w:hAnsi="Times New Roman" w:cs="Times New Roman"/>
          <w:iCs/>
          <w:sz w:val="28"/>
          <w:szCs w:val="28"/>
          <w:lang w:val="en-GB"/>
        </w:rPr>
        <w:t>,</w:t>
      </w:r>
      <w:r w:rsidR="00090450" w:rsidRPr="00620926">
        <w:rPr>
          <w:rStyle w:val="FootnoteReference"/>
          <w:rFonts w:ascii="Times New Roman" w:hAnsi="Times New Roman" w:cs="Times New Roman"/>
          <w:sz w:val="28"/>
          <w:szCs w:val="28"/>
          <w:lang w:val="en-GB"/>
        </w:rPr>
        <w:footnoteReference w:id="6"/>
      </w:r>
      <w:r w:rsidR="00090450" w:rsidRPr="00620926">
        <w:rPr>
          <w:rFonts w:ascii="Times New Roman" w:hAnsi="Times New Roman" w:cs="Times New Roman"/>
          <w:sz w:val="28"/>
          <w:szCs w:val="28"/>
          <w:lang w:val="en-GB"/>
        </w:rPr>
        <w:t xml:space="preserve"> the Constitutional Court held that a litigant asserting own-interest standing in the context of administrative review must ‘show that the decisions it seeks to attack had the capacity to affect its own legal rights </w:t>
      </w:r>
      <w:r w:rsidR="002B453D" w:rsidRPr="00620926">
        <w:rPr>
          <w:rFonts w:ascii="Times New Roman" w:hAnsi="Times New Roman" w:cs="Times New Roman"/>
          <w:sz w:val="28"/>
          <w:szCs w:val="28"/>
          <w:lang w:val="en-GB"/>
        </w:rPr>
        <w:t>or</w:t>
      </w:r>
      <w:r w:rsidR="00090450" w:rsidRPr="00620926">
        <w:rPr>
          <w:rFonts w:ascii="Times New Roman" w:hAnsi="Times New Roman" w:cs="Times New Roman"/>
          <w:sz w:val="28"/>
          <w:szCs w:val="28"/>
          <w:lang w:val="en-GB"/>
        </w:rPr>
        <w:t xml:space="preserve"> interests’. </w:t>
      </w:r>
    </w:p>
    <w:p w14:paraId="1991D611" w14:textId="77777777" w:rsidR="00090450" w:rsidRPr="00620926" w:rsidRDefault="00090450" w:rsidP="00F32D7A">
      <w:pPr>
        <w:spacing w:after="0" w:line="360" w:lineRule="auto"/>
        <w:jc w:val="both"/>
        <w:rPr>
          <w:rFonts w:ascii="Times New Roman" w:hAnsi="Times New Roman" w:cs="Times New Roman"/>
          <w:sz w:val="28"/>
          <w:szCs w:val="28"/>
          <w:lang w:val="en-GB"/>
        </w:rPr>
      </w:pPr>
    </w:p>
    <w:p w14:paraId="202BEBEE" w14:textId="1807805C" w:rsidR="00090450" w:rsidRPr="00620926" w:rsidRDefault="00090450" w:rsidP="00F32D7A">
      <w:pPr>
        <w:spacing w:after="0" w:line="360" w:lineRule="auto"/>
        <w:jc w:val="both"/>
        <w:rPr>
          <w:rFonts w:ascii="Times New Roman" w:hAnsi="Times New Roman" w:cs="Times New Roman"/>
          <w:sz w:val="28"/>
          <w:szCs w:val="28"/>
        </w:rPr>
      </w:pPr>
      <w:r w:rsidRPr="00620926">
        <w:rPr>
          <w:rFonts w:ascii="Times New Roman" w:hAnsi="Times New Roman" w:cs="Times New Roman"/>
          <w:sz w:val="28"/>
          <w:szCs w:val="28"/>
          <w:lang w:val="en-GB"/>
        </w:rPr>
        <w:t>[</w:t>
      </w:r>
      <w:r w:rsidR="001A30B4" w:rsidRPr="00620926">
        <w:rPr>
          <w:rFonts w:ascii="Times New Roman" w:hAnsi="Times New Roman" w:cs="Times New Roman"/>
          <w:sz w:val="28"/>
          <w:szCs w:val="28"/>
          <w:lang w:val="en-GB"/>
        </w:rPr>
        <w:t>19</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In this matter, as in </w:t>
      </w:r>
      <w:r w:rsidRPr="00620926">
        <w:rPr>
          <w:rFonts w:ascii="Times New Roman" w:hAnsi="Times New Roman" w:cs="Times New Roman"/>
          <w:i/>
          <w:iCs/>
          <w:sz w:val="28"/>
          <w:szCs w:val="28"/>
          <w:lang w:val="en-GB"/>
        </w:rPr>
        <w:t>Giant Concerts</w:t>
      </w:r>
      <w:r w:rsidRPr="00620926">
        <w:rPr>
          <w:rFonts w:ascii="Times New Roman" w:hAnsi="Times New Roman" w:cs="Times New Roman"/>
          <w:sz w:val="28"/>
          <w:szCs w:val="28"/>
        </w:rPr>
        <w:t xml:space="preserve">, </w:t>
      </w:r>
      <w:proofErr w:type="spellStart"/>
      <w:r w:rsidR="00773719" w:rsidRPr="00620926">
        <w:rPr>
          <w:rFonts w:ascii="Times New Roman" w:hAnsi="Times New Roman" w:cs="Times New Roman"/>
          <w:sz w:val="28"/>
          <w:szCs w:val="28"/>
        </w:rPr>
        <w:t>Goldrush</w:t>
      </w:r>
      <w:proofErr w:type="spellEnd"/>
      <w:r w:rsidRPr="00620926">
        <w:rPr>
          <w:rFonts w:ascii="Times New Roman" w:hAnsi="Times New Roman" w:cs="Times New Roman"/>
          <w:sz w:val="28"/>
          <w:szCs w:val="28"/>
        </w:rPr>
        <w:t xml:space="preserve"> made no claim to interest on the basis of representation of any other party unable to assert its rights</w:t>
      </w:r>
      <w:r w:rsidR="00204949" w:rsidRPr="00620926">
        <w:rPr>
          <w:rFonts w:ascii="Times New Roman" w:hAnsi="Times New Roman" w:cs="Times New Roman"/>
          <w:sz w:val="28"/>
          <w:szCs w:val="28"/>
        </w:rPr>
        <w:t xml:space="preserve"> as envisaged in s 38(b) of the Constitution</w:t>
      </w:r>
      <w:r w:rsidRPr="00620926">
        <w:rPr>
          <w:rFonts w:ascii="Times New Roman" w:hAnsi="Times New Roman" w:cs="Times New Roman"/>
          <w:sz w:val="28"/>
          <w:szCs w:val="28"/>
        </w:rPr>
        <w:t xml:space="preserve"> or </w:t>
      </w:r>
      <w:r w:rsidR="002B453D" w:rsidRPr="00620926">
        <w:rPr>
          <w:rFonts w:ascii="Times New Roman" w:hAnsi="Times New Roman" w:cs="Times New Roman"/>
          <w:sz w:val="28"/>
          <w:szCs w:val="28"/>
        </w:rPr>
        <w:t xml:space="preserve">based on </w:t>
      </w:r>
      <w:r w:rsidRPr="00620926">
        <w:rPr>
          <w:rFonts w:ascii="Times New Roman" w:hAnsi="Times New Roman" w:cs="Times New Roman"/>
          <w:sz w:val="28"/>
          <w:szCs w:val="28"/>
        </w:rPr>
        <w:t xml:space="preserve">the public interest. </w:t>
      </w:r>
      <w:r w:rsidR="00770A20" w:rsidRPr="00620926">
        <w:rPr>
          <w:rFonts w:ascii="Times New Roman" w:hAnsi="Times New Roman" w:cs="Times New Roman"/>
          <w:sz w:val="28"/>
          <w:szCs w:val="28"/>
        </w:rPr>
        <w:t xml:space="preserve">The high court’s finding that </w:t>
      </w:r>
      <w:proofErr w:type="spellStart"/>
      <w:r w:rsidR="00773719" w:rsidRPr="00620926">
        <w:rPr>
          <w:rFonts w:ascii="Times New Roman" w:hAnsi="Times New Roman" w:cs="Times New Roman"/>
          <w:sz w:val="28"/>
          <w:szCs w:val="28"/>
        </w:rPr>
        <w:t>Goldrush</w:t>
      </w:r>
      <w:proofErr w:type="spellEnd"/>
      <w:r w:rsidR="00770A20" w:rsidRPr="00620926">
        <w:rPr>
          <w:rFonts w:ascii="Times New Roman" w:hAnsi="Times New Roman" w:cs="Times New Roman"/>
          <w:sz w:val="28"/>
          <w:szCs w:val="28"/>
        </w:rPr>
        <w:t xml:space="preserve"> did not establish a public interest standing</w:t>
      </w:r>
      <w:r w:rsidR="00DD7D8C" w:rsidRPr="00620926">
        <w:rPr>
          <w:rFonts w:ascii="Times New Roman" w:hAnsi="Times New Roman" w:cs="Times New Roman"/>
          <w:sz w:val="28"/>
          <w:szCs w:val="28"/>
        </w:rPr>
        <w:t xml:space="preserve"> was not challenged. In argument before this Court,</w:t>
      </w:r>
      <w:r w:rsidR="00722913" w:rsidRPr="00620926">
        <w:rPr>
          <w:rFonts w:ascii="Times New Roman" w:hAnsi="Times New Roman" w:cs="Times New Roman"/>
          <w:sz w:val="28"/>
          <w:szCs w:val="28"/>
        </w:rPr>
        <w:t xml:space="preserve"> counsel for </w:t>
      </w:r>
      <w:proofErr w:type="spellStart"/>
      <w:r w:rsidR="00722913" w:rsidRPr="00620926">
        <w:rPr>
          <w:rFonts w:ascii="Times New Roman" w:hAnsi="Times New Roman" w:cs="Times New Roman"/>
          <w:sz w:val="28"/>
          <w:szCs w:val="28"/>
        </w:rPr>
        <w:t>Goldrush</w:t>
      </w:r>
      <w:proofErr w:type="spellEnd"/>
      <w:r w:rsidR="00DD7D8C" w:rsidRPr="00620926">
        <w:rPr>
          <w:rFonts w:ascii="Times New Roman" w:hAnsi="Times New Roman" w:cs="Times New Roman"/>
          <w:sz w:val="28"/>
          <w:szCs w:val="28"/>
        </w:rPr>
        <w:t xml:space="preserve"> accepted that </w:t>
      </w:r>
      <w:r w:rsidR="00722913" w:rsidRPr="00620926">
        <w:rPr>
          <w:rFonts w:ascii="Times New Roman" w:hAnsi="Times New Roman" w:cs="Times New Roman"/>
          <w:sz w:val="28"/>
          <w:szCs w:val="28"/>
        </w:rPr>
        <w:t xml:space="preserve">it </w:t>
      </w:r>
      <w:r w:rsidR="00DD7D8C" w:rsidRPr="00620926">
        <w:rPr>
          <w:rFonts w:ascii="Times New Roman" w:hAnsi="Times New Roman" w:cs="Times New Roman"/>
          <w:sz w:val="28"/>
          <w:szCs w:val="28"/>
        </w:rPr>
        <w:t>had only asserted an own-interest</w:t>
      </w:r>
      <w:r w:rsidR="00722913" w:rsidRPr="00620926">
        <w:rPr>
          <w:rFonts w:ascii="Times New Roman" w:hAnsi="Times New Roman" w:cs="Times New Roman"/>
          <w:sz w:val="28"/>
          <w:szCs w:val="28"/>
        </w:rPr>
        <w:t xml:space="preserve"> claim to standing</w:t>
      </w:r>
      <w:r w:rsidR="00DD7D8C" w:rsidRPr="00620926">
        <w:rPr>
          <w:rFonts w:ascii="Times New Roman" w:hAnsi="Times New Roman" w:cs="Times New Roman"/>
          <w:sz w:val="28"/>
          <w:szCs w:val="28"/>
        </w:rPr>
        <w:t>.</w:t>
      </w:r>
    </w:p>
    <w:p w14:paraId="30F075A9" w14:textId="77777777" w:rsidR="00DD7D8C" w:rsidRPr="00620926" w:rsidRDefault="00DD7D8C" w:rsidP="00F32D7A">
      <w:pPr>
        <w:spacing w:after="0" w:line="360" w:lineRule="auto"/>
        <w:jc w:val="both"/>
        <w:rPr>
          <w:rFonts w:ascii="Times New Roman" w:hAnsi="Times New Roman" w:cs="Times New Roman"/>
          <w:sz w:val="28"/>
          <w:szCs w:val="28"/>
        </w:rPr>
      </w:pPr>
    </w:p>
    <w:p w14:paraId="615BDF21" w14:textId="66295130" w:rsidR="00DD7D8C" w:rsidRPr="00620926" w:rsidRDefault="00DD7D8C" w:rsidP="00F32D7A">
      <w:pPr>
        <w:spacing w:after="0" w:line="360" w:lineRule="auto"/>
        <w:jc w:val="both"/>
        <w:rPr>
          <w:rFonts w:ascii="Times New Roman" w:hAnsi="Times New Roman" w:cs="Times New Roman"/>
          <w:sz w:val="28"/>
          <w:szCs w:val="28"/>
        </w:rPr>
      </w:pPr>
      <w:r w:rsidRPr="00620926">
        <w:rPr>
          <w:rFonts w:ascii="Times New Roman" w:hAnsi="Times New Roman" w:cs="Times New Roman"/>
          <w:sz w:val="28"/>
          <w:szCs w:val="28"/>
        </w:rPr>
        <w:t>[2</w:t>
      </w:r>
      <w:r w:rsidR="001A30B4" w:rsidRPr="00620926">
        <w:rPr>
          <w:rFonts w:ascii="Times New Roman" w:hAnsi="Times New Roman" w:cs="Times New Roman"/>
          <w:sz w:val="28"/>
          <w:szCs w:val="28"/>
        </w:rPr>
        <w:t>0</w:t>
      </w:r>
      <w:r w:rsidRPr="00620926">
        <w:rPr>
          <w:rFonts w:ascii="Times New Roman" w:hAnsi="Times New Roman" w:cs="Times New Roman"/>
          <w:sz w:val="28"/>
          <w:szCs w:val="28"/>
        </w:rPr>
        <w:t>]</w:t>
      </w:r>
      <w:r w:rsidRPr="00620926">
        <w:rPr>
          <w:rFonts w:ascii="Times New Roman" w:hAnsi="Times New Roman" w:cs="Times New Roman"/>
          <w:sz w:val="28"/>
          <w:szCs w:val="28"/>
        </w:rPr>
        <w:tab/>
      </w:r>
      <w:r w:rsidR="00722913" w:rsidRPr="00620926">
        <w:rPr>
          <w:rFonts w:ascii="Times New Roman" w:hAnsi="Times New Roman" w:cs="Times New Roman"/>
          <w:sz w:val="28"/>
          <w:szCs w:val="28"/>
          <w:lang w:val="en-GB"/>
        </w:rPr>
        <w:t xml:space="preserve">In order to determine whether a decision has the capacity to affect a party’s legal rights or interests, the nature and effect of the decision must be considered. </w:t>
      </w:r>
      <w:r w:rsidRPr="00620926">
        <w:rPr>
          <w:rFonts w:ascii="Times New Roman" w:hAnsi="Times New Roman" w:cs="Times New Roman"/>
          <w:sz w:val="28"/>
          <w:szCs w:val="28"/>
        </w:rPr>
        <w:t xml:space="preserve">The decision under attack was </w:t>
      </w:r>
      <w:r w:rsidR="00722913" w:rsidRPr="00620926">
        <w:rPr>
          <w:rFonts w:ascii="Times New Roman" w:hAnsi="Times New Roman" w:cs="Times New Roman"/>
          <w:sz w:val="28"/>
          <w:szCs w:val="28"/>
        </w:rPr>
        <w:t>one</w:t>
      </w:r>
      <w:r w:rsidRPr="00620926">
        <w:rPr>
          <w:rFonts w:ascii="Times New Roman" w:hAnsi="Times New Roman" w:cs="Times New Roman"/>
          <w:sz w:val="28"/>
          <w:szCs w:val="28"/>
        </w:rPr>
        <w:t xml:space="preserve"> to allocate </w:t>
      </w:r>
      <w:r w:rsidR="00464854" w:rsidRPr="00620926">
        <w:rPr>
          <w:rFonts w:ascii="Times New Roman" w:hAnsi="Times New Roman" w:cs="Times New Roman"/>
          <w:sz w:val="28"/>
          <w:szCs w:val="28"/>
        </w:rPr>
        <w:t xml:space="preserve">the remaining 1000 </w:t>
      </w:r>
      <w:r w:rsidRPr="00620926">
        <w:rPr>
          <w:rFonts w:ascii="Times New Roman" w:hAnsi="Times New Roman" w:cs="Times New Roman"/>
          <w:sz w:val="28"/>
          <w:szCs w:val="28"/>
        </w:rPr>
        <w:t xml:space="preserve">LPMs </w:t>
      </w:r>
      <w:r w:rsidR="00464854" w:rsidRPr="00620926">
        <w:rPr>
          <w:rFonts w:ascii="Times New Roman" w:hAnsi="Times New Roman" w:cs="Times New Roman"/>
          <w:sz w:val="28"/>
          <w:szCs w:val="28"/>
        </w:rPr>
        <w:t xml:space="preserve">proportionally </w:t>
      </w:r>
      <w:r w:rsidRPr="00620926">
        <w:rPr>
          <w:rFonts w:ascii="Times New Roman" w:hAnsi="Times New Roman" w:cs="Times New Roman"/>
          <w:sz w:val="28"/>
          <w:szCs w:val="28"/>
        </w:rPr>
        <w:t>to the licenced route operators.</w:t>
      </w:r>
      <w:r w:rsidR="001B1F10" w:rsidRPr="00620926">
        <w:rPr>
          <w:rFonts w:ascii="Times New Roman" w:hAnsi="Times New Roman" w:cs="Times New Roman"/>
          <w:sz w:val="28"/>
          <w:szCs w:val="28"/>
        </w:rPr>
        <w:t xml:space="preserve"> </w:t>
      </w:r>
      <w:proofErr w:type="spellStart"/>
      <w:r w:rsidR="00773719" w:rsidRPr="00620926">
        <w:rPr>
          <w:rFonts w:ascii="Times New Roman" w:hAnsi="Times New Roman" w:cs="Times New Roman"/>
          <w:sz w:val="28"/>
          <w:szCs w:val="28"/>
        </w:rPr>
        <w:t>Goldrush</w:t>
      </w:r>
      <w:proofErr w:type="spellEnd"/>
      <w:r w:rsidR="001B1F10" w:rsidRPr="00620926">
        <w:rPr>
          <w:rFonts w:ascii="Times New Roman" w:hAnsi="Times New Roman" w:cs="Times New Roman"/>
          <w:sz w:val="28"/>
          <w:szCs w:val="28"/>
        </w:rPr>
        <w:t xml:space="preserve"> sought the setting aside of that decision. It sought no other related or consequential relief by which its asserted rights might be vindicated. In its founding affidavit it claimed that the decision affected its right to apply for a route operator licence in relation to the </w:t>
      </w:r>
      <w:r w:rsidR="004063B1" w:rsidRPr="00620926">
        <w:rPr>
          <w:rFonts w:ascii="Times New Roman" w:hAnsi="Times New Roman" w:cs="Times New Roman"/>
          <w:sz w:val="28"/>
          <w:szCs w:val="28"/>
        </w:rPr>
        <w:t xml:space="preserve">remaining </w:t>
      </w:r>
      <w:r w:rsidR="001B1F10" w:rsidRPr="00620926">
        <w:rPr>
          <w:rFonts w:ascii="Times New Roman" w:hAnsi="Times New Roman" w:cs="Times New Roman"/>
          <w:sz w:val="28"/>
          <w:szCs w:val="28"/>
        </w:rPr>
        <w:t xml:space="preserve">LPMs. It framed the ‘impugned decision’ as one which encompassed a decision not to advertise the </w:t>
      </w:r>
      <w:r w:rsidR="004063B1" w:rsidRPr="00620926">
        <w:rPr>
          <w:rFonts w:ascii="Times New Roman" w:hAnsi="Times New Roman" w:cs="Times New Roman"/>
          <w:sz w:val="28"/>
          <w:szCs w:val="28"/>
        </w:rPr>
        <w:t xml:space="preserve">remaining 1000 </w:t>
      </w:r>
      <w:r w:rsidR="001B1F10" w:rsidRPr="00620926">
        <w:rPr>
          <w:rFonts w:ascii="Times New Roman" w:hAnsi="Times New Roman" w:cs="Times New Roman"/>
          <w:sz w:val="28"/>
          <w:szCs w:val="28"/>
        </w:rPr>
        <w:t xml:space="preserve">LPMs for allocation to other parties who may qualify for route operator licences. It asserted that, </w:t>
      </w:r>
      <w:r w:rsidR="002B453D" w:rsidRPr="00620926">
        <w:rPr>
          <w:rFonts w:ascii="Times New Roman" w:hAnsi="Times New Roman" w:cs="Times New Roman"/>
          <w:sz w:val="28"/>
          <w:szCs w:val="28"/>
        </w:rPr>
        <w:t xml:space="preserve">based on </w:t>
      </w:r>
      <w:r w:rsidR="001B1F10" w:rsidRPr="00620926">
        <w:rPr>
          <w:rFonts w:ascii="Times New Roman" w:hAnsi="Times New Roman" w:cs="Times New Roman"/>
          <w:sz w:val="28"/>
          <w:szCs w:val="28"/>
        </w:rPr>
        <w:t xml:space="preserve">its experience in the gambling industry, it was likely to qualify for a route operator licence and therefore be entitled to allocation of the </w:t>
      </w:r>
      <w:r w:rsidR="004063B1" w:rsidRPr="00620926">
        <w:rPr>
          <w:rFonts w:ascii="Times New Roman" w:hAnsi="Times New Roman" w:cs="Times New Roman"/>
          <w:sz w:val="28"/>
          <w:szCs w:val="28"/>
        </w:rPr>
        <w:t xml:space="preserve">remaining </w:t>
      </w:r>
      <w:r w:rsidR="001B1F10" w:rsidRPr="00620926">
        <w:rPr>
          <w:rFonts w:ascii="Times New Roman" w:hAnsi="Times New Roman" w:cs="Times New Roman"/>
          <w:sz w:val="28"/>
          <w:szCs w:val="28"/>
        </w:rPr>
        <w:t>LPMs.</w:t>
      </w:r>
    </w:p>
    <w:p w14:paraId="39E90FD2" w14:textId="77777777" w:rsidR="00311C18" w:rsidRPr="00620926" w:rsidRDefault="00311C18" w:rsidP="00F32D7A">
      <w:pPr>
        <w:spacing w:after="0" w:line="360" w:lineRule="auto"/>
        <w:jc w:val="both"/>
        <w:rPr>
          <w:rFonts w:ascii="Times New Roman" w:hAnsi="Times New Roman" w:cs="Times New Roman"/>
          <w:sz w:val="28"/>
          <w:szCs w:val="28"/>
        </w:rPr>
      </w:pPr>
    </w:p>
    <w:p w14:paraId="6B80DA36" w14:textId="7E99F52F" w:rsidR="00FD59AE" w:rsidRPr="00620926" w:rsidRDefault="00311C18" w:rsidP="00F32D7A">
      <w:pPr>
        <w:spacing w:after="0" w:line="360" w:lineRule="auto"/>
        <w:jc w:val="both"/>
        <w:rPr>
          <w:rFonts w:ascii="Times New Roman" w:hAnsi="Times New Roman" w:cs="Times New Roman"/>
          <w:sz w:val="28"/>
          <w:szCs w:val="28"/>
        </w:rPr>
      </w:pPr>
      <w:r w:rsidRPr="00620926">
        <w:rPr>
          <w:rFonts w:ascii="Times New Roman" w:hAnsi="Times New Roman" w:cs="Times New Roman"/>
          <w:sz w:val="28"/>
          <w:szCs w:val="28"/>
        </w:rPr>
        <w:lastRenderedPageBreak/>
        <w:t>[2</w:t>
      </w:r>
      <w:r w:rsidR="001A30B4" w:rsidRPr="00620926">
        <w:rPr>
          <w:rFonts w:ascii="Times New Roman" w:hAnsi="Times New Roman" w:cs="Times New Roman"/>
          <w:sz w:val="28"/>
          <w:szCs w:val="28"/>
        </w:rPr>
        <w:t>1</w:t>
      </w:r>
      <w:r w:rsidRPr="00620926">
        <w:rPr>
          <w:rFonts w:ascii="Times New Roman" w:hAnsi="Times New Roman" w:cs="Times New Roman"/>
          <w:sz w:val="28"/>
          <w:szCs w:val="28"/>
        </w:rPr>
        <w:t>]</w:t>
      </w:r>
      <w:r w:rsidRPr="00620926">
        <w:rPr>
          <w:rFonts w:ascii="Times New Roman" w:hAnsi="Times New Roman" w:cs="Times New Roman"/>
          <w:sz w:val="28"/>
          <w:szCs w:val="28"/>
        </w:rPr>
        <w:tab/>
        <w:t xml:space="preserve">The </w:t>
      </w:r>
      <w:r w:rsidR="00696294" w:rsidRPr="00620926">
        <w:rPr>
          <w:rFonts w:ascii="Times New Roman" w:hAnsi="Times New Roman" w:cs="Times New Roman"/>
          <w:sz w:val="28"/>
          <w:szCs w:val="28"/>
        </w:rPr>
        <w:t xml:space="preserve">review </w:t>
      </w:r>
      <w:r w:rsidRPr="00620926">
        <w:rPr>
          <w:rFonts w:ascii="Times New Roman" w:hAnsi="Times New Roman" w:cs="Times New Roman"/>
          <w:sz w:val="28"/>
          <w:szCs w:val="28"/>
        </w:rPr>
        <w:t>challenge</w:t>
      </w:r>
      <w:r w:rsidR="0099610D" w:rsidRPr="00620926">
        <w:rPr>
          <w:rFonts w:ascii="Times New Roman" w:hAnsi="Times New Roman" w:cs="Times New Roman"/>
          <w:sz w:val="28"/>
          <w:szCs w:val="28"/>
        </w:rPr>
        <w:t xml:space="preserve">, however, was </w:t>
      </w:r>
      <w:r w:rsidR="005456AA" w:rsidRPr="00620926">
        <w:rPr>
          <w:rFonts w:ascii="Times New Roman" w:hAnsi="Times New Roman" w:cs="Times New Roman"/>
          <w:sz w:val="28"/>
          <w:szCs w:val="28"/>
        </w:rPr>
        <w:t>against</w:t>
      </w:r>
      <w:r w:rsidRPr="00620926">
        <w:rPr>
          <w:rFonts w:ascii="Times New Roman" w:hAnsi="Times New Roman" w:cs="Times New Roman"/>
          <w:sz w:val="28"/>
          <w:szCs w:val="28"/>
        </w:rPr>
        <w:t xml:space="preserve"> the allocation of </w:t>
      </w:r>
      <w:r w:rsidR="004063B1" w:rsidRPr="00620926">
        <w:rPr>
          <w:rFonts w:ascii="Times New Roman" w:hAnsi="Times New Roman" w:cs="Times New Roman"/>
          <w:sz w:val="28"/>
          <w:szCs w:val="28"/>
        </w:rPr>
        <w:t xml:space="preserve">remaining </w:t>
      </w:r>
      <w:r w:rsidRPr="00620926">
        <w:rPr>
          <w:rFonts w:ascii="Times New Roman" w:hAnsi="Times New Roman" w:cs="Times New Roman"/>
          <w:sz w:val="28"/>
          <w:szCs w:val="28"/>
        </w:rPr>
        <w:t xml:space="preserve">LPMs to the </w:t>
      </w:r>
      <w:r w:rsidR="001B13C6" w:rsidRPr="00620926">
        <w:rPr>
          <w:rFonts w:ascii="Times New Roman" w:hAnsi="Times New Roman" w:cs="Times New Roman"/>
          <w:sz w:val="28"/>
          <w:szCs w:val="28"/>
        </w:rPr>
        <w:t xml:space="preserve">licenced </w:t>
      </w:r>
      <w:r w:rsidR="001B53E7" w:rsidRPr="00620926">
        <w:rPr>
          <w:rFonts w:ascii="Times New Roman" w:hAnsi="Times New Roman" w:cs="Times New Roman"/>
          <w:sz w:val="28"/>
          <w:szCs w:val="28"/>
        </w:rPr>
        <w:t>route operators</w:t>
      </w:r>
      <w:r w:rsidR="0099610D" w:rsidRPr="00620926">
        <w:rPr>
          <w:rFonts w:ascii="Times New Roman" w:hAnsi="Times New Roman" w:cs="Times New Roman"/>
          <w:sz w:val="28"/>
          <w:szCs w:val="28"/>
        </w:rPr>
        <w:t xml:space="preserve"> and not on the failure to invite applications for route operator licences.</w:t>
      </w:r>
      <w:r w:rsidR="001B53E7" w:rsidRPr="00620926">
        <w:rPr>
          <w:rFonts w:ascii="Times New Roman" w:hAnsi="Times New Roman" w:cs="Times New Roman"/>
          <w:sz w:val="28"/>
          <w:szCs w:val="28"/>
        </w:rPr>
        <w:t xml:space="preserve"> </w:t>
      </w:r>
      <w:proofErr w:type="spellStart"/>
      <w:r w:rsidR="00773719" w:rsidRPr="00620926">
        <w:rPr>
          <w:rFonts w:ascii="Times New Roman" w:hAnsi="Times New Roman" w:cs="Times New Roman"/>
          <w:sz w:val="28"/>
          <w:szCs w:val="28"/>
        </w:rPr>
        <w:t>Goldrush</w:t>
      </w:r>
      <w:r w:rsidR="0099610D" w:rsidRPr="00620926">
        <w:rPr>
          <w:rFonts w:ascii="Times New Roman" w:hAnsi="Times New Roman" w:cs="Times New Roman"/>
          <w:sz w:val="28"/>
          <w:szCs w:val="28"/>
        </w:rPr>
        <w:t>’s</w:t>
      </w:r>
      <w:proofErr w:type="spellEnd"/>
      <w:r w:rsidR="00FD59AE" w:rsidRPr="00620926">
        <w:rPr>
          <w:rFonts w:ascii="Times New Roman" w:hAnsi="Times New Roman" w:cs="Times New Roman"/>
          <w:sz w:val="28"/>
          <w:szCs w:val="28"/>
        </w:rPr>
        <w:t xml:space="preserve"> assert</w:t>
      </w:r>
      <w:r w:rsidR="004F0AFF" w:rsidRPr="00620926">
        <w:rPr>
          <w:rFonts w:ascii="Times New Roman" w:hAnsi="Times New Roman" w:cs="Times New Roman"/>
          <w:sz w:val="28"/>
          <w:szCs w:val="28"/>
        </w:rPr>
        <w:t>ed</w:t>
      </w:r>
      <w:r w:rsidR="00FD59AE" w:rsidRPr="00620926">
        <w:rPr>
          <w:rFonts w:ascii="Times New Roman" w:hAnsi="Times New Roman" w:cs="Times New Roman"/>
          <w:sz w:val="28"/>
          <w:szCs w:val="28"/>
        </w:rPr>
        <w:t xml:space="preserve"> commercial interest in applying for a route operator licence </w:t>
      </w:r>
      <w:r w:rsidR="0099610D" w:rsidRPr="00620926">
        <w:rPr>
          <w:rFonts w:ascii="Times New Roman" w:hAnsi="Times New Roman" w:cs="Times New Roman"/>
          <w:sz w:val="28"/>
          <w:szCs w:val="28"/>
        </w:rPr>
        <w:t>was</w:t>
      </w:r>
      <w:r w:rsidR="00FD59AE" w:rsidRPr="00620926">
        <w:rPr>
          <w:rFonts w:ascii="Times New Roman" w:hAnsi="Times New Roman" w:cs="Times New Roman"/>
          <w:sz w:val="28"/>
          <w:szCs w:val="28"/>
        </w:rPr>
        <w:t xml:space="preserve"> not implicated or affected by the </w:t>
      </w:r>
      <w:r w:rsidR="002B0F10" w:rsidRPr="00620926">
        <w:rPr>
          <w:rFonts w:ascii="Times New Roman" w:hAnsi="Times New Roman" w:cs="Times New Roman"/>
          <w:sz w:val="28"/>
          <w:szCs w:val="28"/>
        </w:rPr>
        <w:t>allocation</w:t>
      </w:r>
      <w:r w:rsidR="00FD59AE" w:rsidRPr="00620926">
        <w:rPr>
          <w:rFonts w:ascii="Times New Roman" w:hAnsi="Times New Roman" w:cs="Times New Roman"/>
          <w:sz w:val="28"/>
          <w:szCs w:val="28"/>
        </w:rPr>
        <w:t xml:space="preserve"> to existing licenced operators. Th</w:t>
      </w:r>
      <w:r w:rsidR="0099610D" w:rsidRPr="00620926">
        <w:rPr>
          <w:rFonts w:ascii="Times New Roman" w:hAnsi="Times New Roman" w:cs="Times New Roman"/>
          <w:sz w:val="28"/>
          <w:szCs w:val="28"/>
        </w:rPr>
        <w:t>ose interests</w:t>
      </w:r>
      <w:r w:rsidR="00FD59AE" w:rsidRPr="00620926">
        <w:rPr>
          <w:rFonts w:ascii="Times New Roman" w:hAnsi="Times New Roman" w:cs="Times New Roman"/>
          <w:sz w:val="28"/>
          <w:szCs w:val="28"/>
        </w:rPr>
        <w:t xml:space="preserve"> are only affected by the decision not to invite applications for further route operator</w:t>
      </w:r>
      <w:r w:rsidR="0099610D" w:rsidRPr="00620926">
        <w:rPr>
          <w:rFonts w:ascii="Times New Roman" w:hAnsi="Times New Roman" w:cs="Times New Roman"/>
          <w:sz w:val="28"/>
          <w:szCs w:val="28"/>
        </w:rPr>
        <w:t xml:space="preserve"> licences</w:t>
      </w:r>
      <w:r w:rsidR="00FD59AE" w:rsidRPr="00620926">
        <w:rPr>
          <w:rFonts w:ascii="Times New Roman" w:hAnsi="Times New Roman" w:cs="Times New Roman"/>
          <w:sz w:val="28"/>
          <w:szCs w:val="28"/>
        </w:rPr>
        <w:t xml:space="preserve">. </w:t>
      </w:r>
    </w:p>
    <w:p w14:paraId="4CCFB2F9" w14:textId="77777777" w:rsidR="002B0F10" w:rsidRPr="00620926" w:rsidRDefault="002B0F10" w:rsidP="00F32D7A">
      <w:pPr>
        <w:spacing w:after="0" w:line="360" w:lineRule="auto"/>
        <w:jc w:val="both"/>
        <w:rPr>
          <w:rFonts w:ascii="Times New Roman" w:hAnsi="Times New Roman" w:cs="Times New Roman"/>
          <w:sz w:val="28"/>
          <w:szCs w:val="28"/>
        </w:rPr>
      </w:pPr>
    </w:p>
    <w:p w14:paraId="3656BF0C" w14:textId="52AEE49A" w:rsidR="009D23A7" w:rsidRPr="00620926" w:rsidRDefault="002B0F10" w:rsidP="00F32D7A">
      <w:pPr>
        <w:spacing w:after="0" w:line="360" w:lineRule="auto"/>
        <w:jc w:val="both"/>
        <w:rPr>
          <w:rFonts w:ascii="Times New Roman" w:hAnsi="Times New Roman" w:cs="Times New Roman"/>
          <w:sz w:val="28"/>
          <w:szCs w:val="28"/>
        </w:rPr>
      </w:pPr>
      <w:r w:rsidRPr="00620926">
        <w:rPr>
          <w:rFonts w:ascii="Times New Roman" w:hAnsi="Times New Roman" w:cs="Times New Roman"/>
          <w:sz w:val="28"/>
          <w:szCs w:val="28"/>
        </w:rPr>
        <w:t>[</w:t>
      </w:r>
      <w:r w:rsidR="00064613" w:rsidRPr="00620926">
        <w:rPr>
          <w:rFonts w:ascii="Times New Roman" w:hAnsi="Times New Roman" w:cs="Times New Roman"/>
          <w:sz w:val="28"/>
          <w:szCs w:val="28"/>
        </w:rPr>
        <w:t>2</w:t>
      </w:r>
      <w:r w:rsidR="001A30B4" w:rsidRPr="00620926">
        <w:rPr>
          <w:rFonts w:ascii="Times New Roman" w:hAnsi="Times New Roman" w:cs="Times New Roman"/>
          <w:sz w:val="28"/>
          <w:szCs w:val="28"/>
        </w:rPr>
        <w:t>2</w:t>
      </w:r>
      <w:r w:rsidRPr="00620926">
        <w:rPr>
          <w:rFonts w:ascii="Times New Roman" w:hAnsi="Times New Roman" w:cs="Times New Roman"/>
          <w:sz w:val="28"/>
          <w:szCs w:val="28"/>
        </w:rPr>
        <w:t>]</w:t>
      </w:r>
      <w:r w:rsidRPr="00620926">
        <w:rPr>
          <w:rFonts w:ascii="Times New Roman" w:hAnsi="Times New Roman" w:cs="Times New Roman"/>
          <w:sz w:val="28"/>
          <w:szCs w:val="28"/>
        </w:rPr>
        <w:tab/>
      </w:r>
      <w:proofErr w:type="spellStart"/>
      <w:r w:rsidR="00773719" w:rsidRPr="00620926">
        <w:rPr>
          <w:rFonts w:ascii="Times New Roman" w:hAnsi="Times New Roman" w:cs="Times New Roman"/>
          <w:sz w:val="28"/>
          <w:szCs w:val="28"/>
        </w:rPr>
        <w:t>Goldrush</w:t>
      </w:r>
      <w:proofErr w:type="spellEnd"/>
      <w:r w:rsidRPr="00620926">
        <w:rPr>
          <w:rFonts w:ascii="Times New Roman" w:hAnsi="Times New Roman" w:cs="Times New Roman"/>
          <w:sz w:val="28"/>
          <w:szCs w:val="28"/>
        </w:rPr>
        <w:t>, in summary, ha</w:t>
      </w:r>
      <w:r w:rsidR="0099610D" w:rsidRPr="00620926">
        <w:rPr>
          <w:rFonts w:ascii="Times New Roman" w:hAnsi="Times New Roman" w:cs="Times New Roman"/>
          <w:sz w:val="28"/>
          <w:szCs w:val="28"/>
        </w:rPr>
        <w:t>d</w:t>
      </w:r>
      <w:r w:rsidRPr="00620926">
        <w:rPr>
          <w:rFonts w:ascii="Times New Roman" w:hAnsi="Times New Roman" w:cs="Times New Roman"/>
          <w:sz w:val="28"/>
          <w:szCs w:val="28"/>
        </w:rPr>
        <w:t xml:space="preserve"> no demonstrable own-standing commercial interest in the Board’s decision to allocate </w:t>
      </w:r>
      <w:r w:rsidR="004063B1" w:rsidRPr="00620926">
        <w:rPr>
          <w:rFonts w:ascii="Times New Roman" w:hAnsi="Times New Roman" w:cs="Times New Roman"/>
          <w:sz w:val="28"/>
          <w:szCs w:val="28"/>
        </w:rPr>
        <w:t xml:space="preserve">the remaining </w:t>
      </w:r>
      <w:r w:rsidRPr="00620926">
        <w:rPr>
          <w:rFonts w:ascii="Times New Roman" w:hAnsi="Times New Roman" w:cs="Times New Roman"/>
          <w:sz w:val="28"/>
          <w:szCs w:val="28"/>
        </w:rPr>
        <w:t xml:space="preserve">LPMs to existing licenced route operators. The high court was therefore correct in its conclusion that </w:t>
      </w:r>
      <w:proofErr w:type="spellStart"/>
      <w:r w:rsidR="00773719" w:rsidRPr="00620926">
        <w:rPr>
          <w:rFonts w:ascii="Times New Roman" w:hAnsi="Times New Roman" w:cs="Times New Roman"/>
          <w:sz w:val="28"/>
          <w:szCs w:val="28"/>
        </w:rPr>
        <w:t>Goldrush</w:t>
      </w:r>
      <w:proofErr w:type="spellEnd"/>
      <w:r w:rsidRPr="00620926">
        <w:rPr>
          <w:rFonts w:ascii="Times New Roman" w:hAnsi="Times New Roman" w:cs="Times New Roman"/>
          <w:sz w:val="28"/>
          <w:szCs w:val="28"/>
        </w:rPr>
        <w:t xml:space="preserve"> lacked standing to bring the application.</w:t>
      </w:r>
      <w:r w:rsidR="009D23A7" w:rsidRPr="00620926">
        <w:rPr>
          <w:rFonts w:ascii="Times New Roman" w:hAnsi="Times New Roman" w:cs="Times New Roman"/>
          <w:sz w:val="28"/>
          <w:szCs w:val="28"/>
        </w:rPr>
        <w:t xml:space="preserve"> Counsel for </w:t>
      </w:r>
      <w:proofErr w:type="spellStart"/>
      <w:r w:rsidR="00773719" w:rsidRPr="00620926">
        <w:rPr>
          <w:rFonts w:ascii="Times New Roman" w:hAnsi="Times New Roman" w:cs="Times New Roman"/>
          <w:sz w:val="28"/>
          <w:szCs w:val="28"/>
        </w:rPr>
        <w:t>Goldrush</w:t>
      </w:r>
      <w:proofErr w:type="spellEnd"/>
      <w:r w:rsidR="009D23A7" w:rsidRPr="00620926">
        <w:rPr>
          <w:rFonts w:ascii="Times New Roman" w:hAnsi="Times New Roman" w:cs="Times New Roman"/>
          <w:sz w:val="28"/>
          <w:szCs w:val="28"/>
        </w:rPr>
        <w:t xml:space="preserve"> submitted that, in any event, the high court had correctly accorded standing to </w:t>
      </w:r>
      <w:proofErr w:type="spellStart"/>
      <w:r w:rsidR="00773719" w:rsidRPr="00620926">
        <w:rPr>
          <w:rFonts w:ascii="Times New Roman" w:hAnsi="Times New Roman" w:cs="Times New Roman"/>
          <w:sz w:val="28"/>
          <w:szCs w:val="28"/>
        </w:rPr>
        <w:t>Goldrush</w:t>
      </w:r>
      <w:proofErr w:type="spellEnd"/>
      <w:r w:rsidR="009D23A7" w:rsidRPr="00620926">
        <w:rPr>
          <w:rFonts w:ascii="Times New Roman" w:hAnsi="Times New Roman" w:cs="Times New Roman"/>
          <w:sz w:val="28"/>
          <w:szCs w:val="28"/>
        </w:rPr>
        <w:t xml:space="preserve"> on the basis of the </w:t>
      </w:r>
      <w:r w:rsidR="00D41EC0" w:rsidRPr="00620926">
        <w:rPr>
          <w:rFonts w:ascii="Times New Roman" w:hAnsi="Times New Roman" w:cs="Times New Roman"/>
          <w:sz w:val="28"/>
          <w:szCs w:val="28"/>
        </w:rPr>
        <w:t xml:space="preserve">interests of justice </w:t>
      </w:r>
      <w:r w:rsidR="009D23A7" w:rsidRPr="00620926">
        <w:rPr>
          <w:rFonts w:ascii="Times New Roman" w:hAnsi="Times New Roman" w:cs="Times New Roman"/>
          <w:sz w:val="28"/>
          <w:szCs w:val="28"/>
        </w:rPr>
        <w:t xml:space="preserve">exception </w:t>
      </w:r>
      <w:r w:rsidR="00A91633" w:rsidRPr="00620926">
        <w:rPr>
          <w:rFonts w:ascii="Times New Roman" w:hAnsi="Times New Roman" w:cs="Times New Roman"/>
          <w:sz w:val="28"/>
          <w:szCs w:val="28"/>
        </w:rPr>
        <w:t xml:space="preserve">envisaged in </w:t>
      </w:r>
      <w:r w:rsidR="00A91633" w:rsidRPr="00620926">
        <w:rPr>
          <w:rFonts w:ascii="Times New Roman" w:hAnsi="Times New Roman" w:cs="Times New Roman"/>
          <w:i/>
          <w:iCs/>
          <w:sz w:val="28"/>
          <w:szCs w:val="28"/>
        </w:rPr>
        <w:t>Giant Concerts</w:t>
      </w:r>
      <w:r w:rsidR="00D41EC0" w:rsidRPr="00620926">
        <w:rPr>
          <w:rFonts w:ascii="Times New Roman" w:hAnsi="Times New Roman" w:cs="Times New Roman"/>
          <w:i/>
          <w:iCs/>
          <w:sz w:val="28"/>
          <w:szCs w:val="28"/>
        </w:rPr>
        <w:t>.</w:t>
      </w:r>
      <w:r w:rsidR="00D41EC0" w:rsidRPr="00620926">
        <w:rPr>
          <w:rFonts w:ascii="Times New Roman" w:hAnsi="Times New Roman" w:cs="Times New Roman"/>
          <w:sz w:val="28"/>
          <w:szCs w:val="28"/>
        </w:rPr>
        <w:t xml:space="preserve"> </w:t>
      </w:r>
      <w:r w:rsidR="00DF2144" w:rsidRPr="00620926">
        <w:rPr>
          <w:rFonts w:ascii="Times New Roman" w:hAnsi="Times New Roman" w:cs="Times New Roman"/>
          <w:sz w:val="28"/>
          <w:szCs w:val="28"/>
        </w:rPr>
        <w:t>The Constitutional Court there observed</w:t>
      </w:r>
      <w:r w:rsidR="0099610D" w:rsidRPr="00620926">
        <w:rPr>
          <w:rFonts w:ascii="Times New Roman" w:hAnsi="Times New Roman" w:cs="Times New Roman"/>
          <w:sz w:val="28"/>
          <w:szCs w:val="28"/>
        </w:rPr>
        <w:t>:</w:t>
      </w:r>
      <w:r w:rsidR="004063B1" w:rsidRPr="00620926">
        <w:rPr>
          <w:rFonts w:ascii="Times New Roman" w:hAnsi="Times New Roman" w:cs="Times New Roman"/>
          <w:sz w:val="28"/>
          <w:szCs w:val="28"/>
        </w:rPr>
        <w:t xml:space="preserve"> </w:t>
      </w:r>
      <w:r w:rsidR="00DF2144" w:rsidRPr="00620926">
        <w:rPr>
          <w:rFonts w:ascii="Times New Roman" w:hAnsi="Times New Roman" w:cs="Times New Roman"/>
          <w:sz w:val="28"/>
          <w:szCs w:val="28"/>
        </w:rPr>
        <w:t xml:space="preserve"> </w:t>
      </w:r>
    </w:p>
    <w:p w14:paraId="04A5F7DD" w14:textId="263FBE15" w:rsidR="00DF2144" w:rsidRPr="00620926" w:rsidRDefault="00DF2144" w:rsidP="00107829">
      <w:pPr>
        <w:spacing w:after="0" w:line="360" w:lineRule="auto"/>
        <w:jc w:val="both"/>
        <w:rPr>
          <w:sz w:val="24"/>
          <w:szCs w:val="24"/>
        </w:rPr>
      </w:pPr>
      <w:r w:rsidRPr="00620926">
        <w:rPr>
          <w:rFonts w:ascii="Times New Roman" w:hAnsi="Times New Roman" w:cs="Times New Roman"/>
          <w:sz w:val="24"/>
          <w:szCs w:val="24"/>
        </w:rPr>
        <w:t>‘. . . [T]hat the interests of justice under the Constitution may require courts to be hesitant to dispose of cases on standing alone where broader concerns of accountability and responsiveness may require investigation and determination of the merits. By corollary, there may be cases where the interests of justice or the public interest might compel a court to scrutinise action even if the applicant’s standing is questionable. When the public interest cries out for relief, an applicant should not fail merely for acting in his or her own interest.’</w:t>
      </w:r>
      <w:r w:rsidRPr="00620926">
        <w:rPr>
          <w:rStyle w:val="FootnoteReference"/>
          <w:rFonts w:ascii="Times New Roman" w:hAnsi="Times New Roman" w:cs="Times New Roman"/>
          <w:sz w:val="24"/>
          <w:szCs w:val="24"/>
        </w:rPr>
        <w:footnoteReference w:id="7"/>
      </w:r>
    </w:p>
    <w:p w14:paraId="5CB99503" w14:textId="3CABF735" w:rsidR="00005AA9" w:rsidRPr="00620926" w:rsidRDefault="00005AA9" w:rsidP="00B95853">
      <w:pPr>
        <w:spacing w:after="0" w:line="360" w:lineRule="auto"/>
        <w:jc w:val="both"/>
        <w:rPr>
          <w:rFonts w:ascii="Times New Roman" w:hAnsi="Times New Roman" w:cs="Times New Roman"/>
          <w:sz w:val="28"/>
          <w:szCs w:val="28"/>
          <w:lang w:val="en-GB"/>
        </w:rPr>
      </w:pPr>
    </w:p>
    <w:p w14:paraId="6928B800" w14:textId="16D6D3C6" w:rsidR="00B95853" w:rsidRPr="00620926" w:rsidRDefault="00B95853"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064613" w:rsidRPr="00620926">
        <w:rPr>
          <w:rFonts w:ascii="Times New Roman" w:hAnsi="Times New Roman" w:cs="Times New Roman"/>
          <w:sz w:val="28"/>
          <w:szCs w:val="28"/>
          <w:lang w:val="en-GB"/>
        </w:rPr>
        <w:t>2</w:t>
      </w:r>
      <w:r w:rsidR="001A30B4" w:rsidRPr="00620926">
        <w:rPr>
          <w:rFonts w:ascii="Times New Roman" w:hAnsi="Times New Roman" w:cs="Times New Roman"/>
          <w:sz w:val="28"/>
          <w:szCs w:val="28"/>
          <w:lang w:val="en-GB"/>
        </w:rPr>
        <w:t>3</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What the </w:t>
      </w:r>
      <w:r w:rsidRPr="00620926">
        <w:rPr>
          <w:rFonts w:ascii="Times New Roman" w:hAnsi="Times New Roman" w:cs="Times New Roman"/>
          <w:i/>
          <w:sz w:val="28"/>
          <w:szCs w:val="28"/>
          <w:lang w:val="en-GB"/>
        </w:rPr>
        <w:t>dictum</w:t>
      </w:r>
      <w:r w:rsidRPr="00620926">
        <w:rPr>
          <w:rFonts w:ascii="Times New Roman" w:hAnsi="Times New Roman" w:cs="Times New Roman"/>
          <w:sz w:val="28"/>
          <w:szCs w:val="28"/>
          <w:lang w:val="en-GB"/>
        </w:rPr>
        <w:t xml:space="preserve"> suggests is that </w:t>
      </w:r>
      <w:r w:rsidR="00064613" w:rsidRPr="00620926">
        <w:rPr>
          <w:rFonts w:ascii="Times New Roman" w:hAnsi="Times New Roman" w:cs="Times New Roman"/>
          <w:sz w:val="28"/>
          <w:szCs w:val="28"/>
          <w:lang w:val="en-GB"/>
        </w:rPr>
        <w:t>if there are</w:t>
      </w:r>
      <w:r w:rsidRPr="00620926">
        <w:rPr>
          <w:rFonts w:ascii="Times New Roman" w:hAnsi="Times New Roman" w:cs="Times New Roman"/>
          <w:sz w:val="28"/>
          <w:szCs w:val="28"/>
          <w:lang w:val="en-GB"/>
        </w:rPr>
        <w:t xml:space="preserve"> circumstances which would justify a claim to standing based upon the public interest or the interests of justice but that such claim is not made, the own</w:t>
      </w:r>
      <w:r w:rsidR="002217BE"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 xml:space="preserve">interest litigant should not fail merely because their standing is questionable. </w:t>
      </w:r>
      <w:r w:rsidR="00AF5C61" w:rsidRPr="00620926">
        <w:rPr>
          <w:rFonts w:ascii="Times New Roman" w:hAnsi="Times New Roman" w:cs="Times New Roman"/>
          <w:sz w:val="28"/>
          <w:szCs w:val="28"/>
          <w:lang w:val="en-GB"/>
        </w:rPr>
        <w:t xml:space="preserve">The proposition is qualified by the fact that ‘the public interest cries out for relief’. An indication of what those circumstances may be is given at the conclusion of the judgment in </w:t>
      </w:r>
      <w:r w:rsidR="00AF5C61" w:rsidRPr="00620926">
        <w:rPr>
          <w:rFonts w:ascii="Times New Roman" w:hAnsi="Times New Roman" w:cs="Times New Roman"/>
          <w:i/>
          <w:iCs/>
          <w:sz w:val="28"/>
          <w:szCs w:val="28"/>
          <w:lang w:val="en-GB"/>
        </w:rPr>
        <w:t xml:space="preserve">Giant </w:t>
      </w:r>
      <w:r w:rsidR="00AF5C61" w:rsidRPr="00620926">
        <w:rPr>
          <w:rFonts w:ascii="Times New Roman" w:hAnsi="Times New Roman" w:cs="Times New Roman"/>
          <w:i/>
          <w:iCs/>
          <w:sz w:val="28"/>
          <w:szCs w:val="28"/>
          <w:lang w:val="en-GB"/>
        </w:rPr>
        <w:lastRenderedPageBreak/>
        <w:t>Concerts</w:t>
      </w:r>
      <w:r w:rsidR="00AF5C61" w:rsidRPr="00620926">
        <w:rPr>
          <w:rFonts w:ascii="Times New Roman" w:hAnsi="Times New Roman" w:cs="Times New Roman"/>
          <w:sz w:val="28"/>
          <w:szCs w:val="28"/>
          <w:lang w:val="en-GB"/>
        </w:rPr>
        <w:t xml:space="preserve"> where the Constitutional Court reaffirmed the principle that a party who has no standing has no legal interest in the adjudication of the matter, and said:</w:t>
      </w:r>
    </w:p>
    <w:p w14:paraId="64C6C668" w14:textId="763D6129" w:rsidR="00AF5C61" w:rsidRPr="00620926" w:rsidRDefault="00AF5C61"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4"/>
          <w:szCs w:val="24"/>
          <w:lang w:val="en-GB"/>
        </w:rPr>
        <w:t>‘When a party has no standing, it is not necessary to consider the merits, unless there is at least a strong indication of fraud or other gross irregularity in the conduct of a public body.’</w:t>
      </w:r>
      <w:r w:rsidR="001437A3" w:rsidRPr="00620926">
        <w:rPr>
          <w:rStyle w:val="FootnoteReference"/>
          <w:rFonts w:ascii="Times New Roman" w:hAnsi="Times New Roman" w:cs="Times New Roman"/>
          <w:sz w:val="24"/>
          <w:szCs w:val="24"/>
          <w:lang w:val="en-GB"/>
        </w:rPr>
        <w:footnoteReference w:id="8"/>
      </w:r>
    </w:p>
    <w:p w14:paraId="230E8865" w14:textId="77777777" w:rsidR="00AF5C61" w:rsidRPr="00620926" w:rsidRDefault="00AF5C61" w:rsidP="00B95853">
      <w:pPr>
        <w:spacing w:after="0" w:line="360" w:lineRule="auto"/>
        <w:jc w:val="both"/>
        <w:rPr>
          <w:rFonts w:ascii="Times New Roman" w:hAnsi="Times New Roman" w:cs="Times New Roman"/>
          <w:sz w:val="28"/>
          <w:szCs w:val="28"/>
          <w:lang w:val="en-GB"/>
        </w:rPr>
      </w:pPr>
    </w:p>
    <w:p w14:paraId="5005E1E4" w14:textId="68DCA922" w:rsidR="00E02376" w:rsidRPr="00620926" w:rsidRDefault="00E02376"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064613" w:rsidRPr="00620926">
        <w:rPr>
          <w:rFonts w:ascii="Times New Roman" w:hAnsi="Times New Roman" w:cs="Times New Roman"/>
          <w:sz w:val="28"/>
          <w:szCs w:val="28"/>
          <w:lang w:val="en-GB"/>
        </w:rPr>
        <w:t>2</w:t>
      </w:r>
      <w:r w:rsidR="001A30B4" w:rsidRPr="00620926">
        <w:rPr>
          <w:rFonts w:ascii="Times New Roman" w:hAnsi="Times New Roman" w:cs="Times New Roman"/>
          <w:sz w:val="28"/>
          <w:szCs w:val="28"/>
          <w:lang w:val="en-GB"/>
        </w:rPr>
        <w:t>4</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In this case, there is </w:t>
      </w:r>
      <w:r w:rsidR="00064613" w:rsidRPr="00620926">
        <w:rPr>
          <w:rFonts w:ascii="Times New Roman" w:hAnsi="Times New Roman" w:cs="Times New Roman"/>
          <w:sz w:val="28"/>
          <w:szCs w:val="28"/>
          <w:lang w:val="en-GB"/>
        </w:rPr>
        <w:t>no suggestion</w:t>
      </w:r>
      <w:r w:rsidRPr="00620926">
        <w:rPr>
          <w:rFonts w:ascii="Times New Roman" w:hAnsi="Times New Roman" w:cs="Times New Roman"/>
          <w:sz w:val="28"/>
          <w:szCs w:val="28"/>
          <w:lang w:val="en-GB"/>
        </w:rPr>
        <w:t xml:space="preserve"> of fraud or irregularity. There is equally no indication of administrative conduct which is manifestly objectionable. The process by which route operators were licenced complied with the statutory requirements. The RFP declared the Boa</w:t>
      </w:r>
      <w:r w:rsidR="00D231DD" w:rsidRPr="00620926">
        <w:rPr>
          <w:rFonts w:ascii="Times New Roman" w:hAnsi="Times New Roman" w:cs="Times New Roman"/>
          <w:sz w:val="28"/>
          <w:szCs w:val="28"/>
          <w:lang w:val="en-GB"/>
        </w:rPr>
        <w:t>r</w:t>
      </w:r>
      <w:r w:rsidRPr="00620926">
        <w:rPr>
          <w:rFonts w:ascii="Times New Roman" w:hAnsi="Times New Roman" w:cs="Times New Roman"/>
          <w:sz w:val="28"/>
          <w:szCs w:val="28"/>
          <w:lang w:val="en-GB"/>
        </w:rPr>
        <w:t xml:space="preserve">d’s intention to appoint three suitably qualified route operators and to allocate to them 1000 LPMs in the </w:t>
      </w:r>
      <w:r w:rsidR="00C84CA9" w:rsidRPr="00620926">
        <w:rPr>
          <w:rFonts w:ascii="Times New Roman" w:hAnsi="Times New Roman" w:cs="Times New Roman"/>
          <w:sz w:val="28"/>
          <w:szCs w:val="28"/>
          <w:lang w:val="en-GB"/>
        </w:rPr>
        <w:t xml:space="preserve">first phase of establishing the industry. Applications were invited and those received were subjected to a rigorous selection process. The RFP </w:t>
      </w:r>
      <w:r w:rsidR="00065402" w:rsidRPr="00620926">
        <w:rPr>
          <w:rFonts w:ascii="Times New Roman" w:hAnsi="Times New Roman" w:cs="Times New Roman"/>
          <w:sz w:val="28"/>
          <w:szCs w:val="28"/>
          <w:lang w:val="en-GB"/>
        </w:rPr>
        <w:t>indicated</w:t>
      </w:r>
      <w:r w:rsidR="00C84CA9" w:rsidRPr="00620926">
        <w:rPr>
          <w:rFonts w:ascii="Times New Roman" w:hAnsi="Times New Roman" w:cs="Times New Roman"/>
          <w:sz w:val="28"/>
          <w:szCs w:val="28"/>
          <w:lang w:val="en-GB"/>
        </w:rPr>
        <w:t xml:space="preserve"> that in the event that fewer than three </w:t>
      </w:r>
      <w:r w:rsidR="00065402" w:rsidRPr="00620926">
        <w:rPr>
          <w:rFonts w:ascii="Times New Roman" w:hAnsi="Times New Roman" w:cs="Times New Roman"/>
          <w:sz w:val="28"/>
          <w:szCs w:val="28"/>
          <w:lang w:val="en-GB"/>
        </w:rPr>
        <w:t>operators</w:t>
      </w:r>
      <w:r w:rsidR="00C84CA9" w:rsidRPr="00620926">
        <w:rPr>
          <w:rFonts w:ascii="Times New Roman" w:hAnsi="Times New Roman" w:cs="Times New Roman"/>
          <w:sz w:val="28"/>
          <w:szCs w:val="28"/>
          <w:lang w:val="en-GB"/>
        </w:rPr>
        <w:t xml:space="preserve"> were licenced the available LPMs might be proportionally allocated to those appointed. </w:t>
      </w:r>
      <w:r w:rsidR="00065402" w:rsidRPr="00620926">
        <w:rPr>
          <w:rFonts w:ascii="Times New Roman" w:hAnsi="Times New Roman" w:cs="Times New Roman"/>
          <w:sz w:val="28"/>
          <w:szCs w:val="28"/>
          <w:lang w:val="en-GB"/>
        </w:rPr>
        <w:t xml:space="preserve">It reserved the right to do so. When called upon to explain why it had allocated the </w:t>
      </w:r>
      <w:r w:rsidR="00E00119" w:rsidRPr="00620926">
        <w:rPr>
          <w:rFonts w:ascii="Times New Roman" w:hAnsi="Times New Roman" w:cs="Times New Roman"/>
          <w:sz w:val="28"/>
          <w:szCs w:val="28"/>
          <w:lang w:val="en-GB"/>
        </w:rPr>
        <w:t xml:space="preserve">remaining </w:t>
      </w:r>
      <w:r w:rsidR="00065402" w:rsidRPr="00620926">
        <w:rPr>
          <w:rFonts w:ascii="Times New Roman" w:hAnsi="Times New Roman" w:cs="Times New Roman"/>
          <w:sz w:val="28"/>
          <w:szCs w:val="28"/>
          <w:lang w:val="en-GB"/>
        </w:rPr>
        <w:t xml:space="preserve">LPMs to the existing route operators, the Board explained that it had acted in accordance with the RFP issued at the time that route operators were appointed. The Board </w:t>
      </w:r>
      <w:r w:rsidR="004C6F5C" w:rsidRPr="00620926">
        <w:rPr>
          <w:rFonts w:ascii="Times New Roman" w:hAnsi="Times New Roman" w:cs="Times New Roman"/>
          <w:sz w:val="28"/>
          <w:szCs w:val="28"/>
          <w:lang w:val="en-GB"/>
        </w:rPr>
        <w:t>was</w:t>
      </w:r>
      <w:r w:rsidR="00065402" w:rsidRPr="00620926">
        <w:rPr>
          <w:rFonts w:ascii="Times New Roman" w:hAnsi="Times New Roman" w:cs="Times New Roman"/>
          <w:sz w:val="28"/>
          <w:szCs w:val="28"/>
          <w:lang w:val="en-GB"/>
        </w:rPr>
        <w:t xml:space="preserve"> not obliged to invite </w:t>
      </w:r>
      <w:r w:rsidR="00E00119" w:rsidRPr="00620926">
        <w:rPr>
          <w:rFonts w:ascii="Times New Roman" w:hAnsi="Times New Roman" w:cs="Times New Roman"/>
          <w:sz w:val="28"/>
          <w:szCs w:val="28"/>
          <w:lang w:val="en-GB"/>
        </w:rPr>
        <w:t xml:space="preserve">further </w:t>
      </w:r>
      <w:r w:rsidR="00065402" w:rsidRPr="00620926">
        <w:rPr>
          <w:rFonts w:ascii="Times New Roman" w:hAnsi="Times New Roman" w:cs="Times New Roman"/>
          <w:sz w:val="28"/>
          <w:szCs w:val="28"/>
          <w:lang w:val="en-GB"/>
        </w:rPr>
        <w:t xml:space="preserve">applications for route operator licences. It did so in 2004 and decided then, as it was entitled to, to </w:t>
      </w:r>
      <w:r w:rsidR="00773719" w:rsidRPr="00620926">
        <w:rPr>
          <w:rFonts w:ascii="Times New Roman" w:hAnsi="Times New Roman" w:cs="Times New Roman"/>
          <w:sz w:val="28"/>
          <w:szCs w:val="28"/>
          <w:lang w:val="en-GB"/>
        </w:rPr>
        <w:t>licence</w:t>
      </w:r>
      <w:r w:rsidR="00065402" w:rsidRPr="00620926">
        <w:rPr>
          <w:rFonts w:ascii="Times New Roman" w:hAnsi="Times New Roman" w:cs="Times New Roman"/>
          <w:sz w:val="28"/>
          <w:szCs w:val="28"/>
          <w:lang w:val="en-GB"/>
        </w:rPr>
        <w:t xml:space="preserve"> on</w:t>
      </w:r>
      <w:r w:rsidR="001437A3" w:rsidRPr="00620926">
        <w:rPr>
          <w:rFonts w:ascii="Times New Roman" w:hAnsi="Times New Roman" w:cs="Times New Roman"/>
          <w:sz w:val="28"/>
          <w:szCs w:val="28"/>
          <w:lang w:val="en-GB"/>
        </w:rPr>
        <w:t>ly</w:t>
      </w:r>
      <w:r w:rsidR="00065402" w:rsidRPr="00620926">
        <w:rPr>
          <w:rFonts w:ascii="Times New Roman" w:hAnsi="Times New Roman" w:cs="Times New Roman"/>
          <w:sz w:val="28"/>
          <w:szCs w:val="28"/>
          <w:lang w:val="en-GB"/>
        </w:rPr>
        <w:t xml:space="preserve"> two route operators. There is no statutory requirement for the advertisement of available LPMs to be allocated to route operators. </w:t>
      </w:r>
    </w:p>
    <w:p w14:paraId="78B7EC0F" w14:textId="77777777" w:rsidR="00065402" w:rsidRPr="00620926" w:rsidRDefault="00065402" w:rsidP="00B95853">
      <w:pPr>
        <w:spacing w:after="0" w:line="360" w:lineRule="auto"/>
        <w:jc w:val="both"/>
        <w:rPr>
          <w:rFonts w:ascii="Times New Roman" w:hAnsi="Times New Roman" w:cs="Times New Roman"/>
          <w:sz w:val="28"/>
          <w:szCs w:val="28"/>
          <w:lang w:val="en-GB"/>
        </w:rPr>
      </w:pPr>
    </w:p>
    <w:p w14:paraId="54CE541B" w14:textId="6AC8159C" w:rsidR="00065402" w:rsidRPr="00620926" w:rsidRDefault="00065402"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064613" w:rsidRPr="00620926">
        <w:rPr>
          <w:rFonts w:ascii="Times New Roman" w:hAnsi="Times New Roman" w:cs="Times New Roman"/>
          <w:sz w:val="28"/>
          <w:szCs w:val="28"/>
          <w:lang w:val="en-GB"/>
        </w:rPr>
        <w:t>2</w:t>
      </w:r>
      <w:r w:rsidR="001A30B4" w:rsidRPr="00620926">
        <w:rPr>
          <w:rFonts w:ascii="Times New Roman" w:hAnsi="Times New Roman" w:cs="Times New Roman"/>
          <w:sz w:val="28"/>
          <w:szCs w:val="28"/>
          <w:lang w:val="en-GB"/>
        </w:rPr>
        <w:t>5</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These are all factors readily discernible from the context in which the decision to allocate LPMs was challenged. Nothing </w:t>
      </w:r>
      <w:r w:rsidR="00350159" w:rsidRPr="00620926">
        <w:rPr>
          <w:rFonts w:ascii="Times New Roman" w:hAnsi="Times New Roman" w:cs="Times New Roman"/>
          <w:sz w:val="28"/>
          <w:szCs w:val="28"/>
          <w:lang w:val="en-GB"/>
        </w:rPr>
        <w:t xml:space="preserve">cries out, in the public interest, for investigation and adjudication. In the circumstances, the case was not justiciable even on the ‘exception’ provided in </w:t>
      </w:r>
      <w:r w:rsidR="00350159" w:rsidRPr="00620926">
        <w:rPr>
          <w:rFonts w:ascii="Times New Roman" w:hAnsi="Times New Roman" w:cs="Times New Roman"/>
          <w:i/>
          <w:iCs/>
          <w:sz w:val="28"/>
          <w:szCs w:val="28"/>
          <w:lang w:val="en-GB"/>
        </w:rPr>
        <w:t>Giant Concerts.</w:t>
      </w:r>
    </w:p>
    <w:p w14:paraId="3BB0FBB1" w14:textId="77777777" w:rsidR="00350159" w:rsidRPr="00620926" w:rsidRDefault="00350159" w:rsidP="00B95853">
      <w:pPr>
        <w:spacing w:after="0" w:line="360" w:lineRule="auto"/>
        <w:jc w:val="both"/>
        <w:rPr>
          <w:rFonts w:ascii="Times New Roman" w:hAnsi="Times New Roman" w:cs="Times New Roman"/>
          <w:sz w:val="28"/>
          <w:szCs w:val="28"/>
          <w:lang w:val="en-GB"/>
        </w:rPr>
      </w:pPr>
    </w:p>
    <w:p w14:paraId="738142B4" w14:textId="0DA4F57A" w:rsidR="004C6F5C" w:rsidRPr="00620926" w:rsidRDefault="00350159"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lastRenderedPageBreak/>
        <w:t>[</w:t>
      </w:r>
      <w:r w:rsidR="00064613" w:rsidRPr="00620926">
        <w:rPr>
          <w:rFonts w:ascii="Times New Roman" w:hAnsi="Times New Roman" w:cs="Times New Roman"/>
          <w:sz w:val="28"/>
          <w:szCs w:val="28"/>
          <w:lang w:val="en-GB"/>
        </w:rPr>
        <w:t>2</w:t>
      </w:r>
      <w:r w:rsidR="001A30B4" w:rsidRPr="00620926">
        <w:rPr>
          <w:rFonts w:ascii="Times New Roman" w:hAnsi="Times New Roman" w:cs="Times New Roman"/>
          <w:sz w:val="28"/>
          <w:szCs w:val="28"/>
          <w:lang w:val="en-GB"/>
        </w:rPr>
        <w:t>6</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The finding that </w:t>
      </w:r>
      <w:proofErr w:type="spellStart"/>
      <w:r w:rsidR="00773719" w:rsidRPr="00620926">
        <w:rPr>
          <w:rFonts w:ascii="Times New Roman" w:hAnsi="Times New Roman" w:cs="Times New Roman"/>
          <w:sz w:val="28"/>
          <w:szCs w:val="28"/>
          <w:lang w:val="en-GB"/>
        </w:rPr>
        <w:t>Goldrush</w:t>
      </w:r>
      <w:proofErr w:type="spellEnd"/>
      <w:r w:rsidRPr="00620926">
        <w:rPr>
          <w:rFonts w:ascii="Times New Roman" w:hAnsi="Times New Roman" w:cs="Times New Roman"/>
          <w:sz w:val="28"/>
          <w:szCs w:val="28"/>
          <w:lang w:val="en-GB"/>
        </w:rPr>
        <w:t xml:space="preserve"> did not establish own-interest standing</w:t>
      </w:r>
      <w:r w:rsidR="00BA5D0B" w:rsidRPr="00620926">
        <w:rPr>
          <w:rFonts w:ascii="Times New Roman" w:hAnsi="Times New Roman" w:cs="Times New Roman"/>
          <w:sz w:val="28"/>
          <w:szCs w:val="28"/>
          <w:lang w:val="en-GB"/>
        </w:rPr>
        <w:t xml:space="preserve"> and that there is no basis to hold that </w:t>
      </w:r>
      <w:r w:rsidR="00064613" w:rsidRPr="00620926">
        <w:rPr>
          <w:rFonts w:ascii="Times New Roman" w:hAnsi="Times New Roman" w:cs="Times New Roman"/>
          <w:sz w:val="28"/>
          <w:szCs w:val="28"/>
          <w:lang w:val="en-GB"/>
        </w:rPr>
        <w:t>the</w:t>
      </w:r>
      <w:r w:rsidR="00BA5D0B" w:rsidRPr="00620926">
        <w:rPr>
          <w:rFonts w:ascii="Times New Roman" w:hAnsi="Times New Roman" w:cs="Times New Roman"/>
          <w:sz w:val="28"/>
          <w:szCs w:val="28"/>
          <w:lang w:val="en-GB"/>
        </w:rPr>
        <w:t xml:space="preserve"> matter is nevertheless justiciable on the basis of broader public interest or the interests of justice, </w:t>
      </w:r>
      <w:r w:rsidR="00FE22DE" w:rsidRPr="00620926">
        <w:rPr>
          <w:rFonts w:ascii="Times New Roman" w:hAnsi="Times New Roman" w:cs="Times New Roman"/>
          <w:sz w:val="28"/>
          <w:szCs w:val="28"/>
          <w:lang w:val="en-GB"/>
        </w:rPr>
        <w:t>means that the</w:t>
      </w:r>
      <w:r w:rsidR="00BA5D0B" w:rsidRPr="00620926">
        <w:rPr>
          <w:rFonts w:ascii="Times New Roman" w:hAnsi="Times New Roman" w:cs="Times New Roman"/>
          <w:sz w:val="28"/>
          <w:szCs w:val="28"/>
          <w:lang w:val="en-GB"/>
        </w:rPr>
        <w:t xml:space="preserve"> appeal</w:t>
      </w:r>
      <w:r w:rsidR="00FE22DE" w:rsidRPr="00620926">
        <w:rPr>
          <w:rFonts w:ascii="Times New Roman" w:hAnsi="Times New Roman" w:cs="Times New Roman"/>
          <w:sz w:val="28"/>
          <w:szCs w:val="28"/>
          <w:lang w:val="en-GB"/>
        </w:rPr>
        <w:t xml:space="preserve"> must succeed</w:t>
      </w:r>
      <w:r w:rsidR="00BA5D0B" w:rsidRPr="00620926">
        <w:rPr>
          <w:rFonts w:ascii="Times New Roman" w:hAnsi="Times New Roman" w:cs="Times New Roman"/>
          <w:sz w:val="28"/>
          <w:szCs w:val="28"/>
          <w:lang w:val="en-GB"/>
        </w:rPr>
        <w:t xml:space="preserve">. </w:t>
      </w:r>
      <w:r w:rsidR="009C0405" w:rsidRPr="00620926">
        <w:rPr>
          <w:rFonts w:ascii="Times New Roman" w:hAnsi="Times New Roman" w:cs="Times New Roman"/>
          <w:sz w:val="28"/>
          <w:szCs w:val="28"/>
          <w:lang w:val="en-GB"/>
        </w:rPr>
        <w:t>The high court</w:t>
      </w:r>
      <w:r w:rsidR="001B13C6" w:rsidRPr="00620926">
        <w:rPr>
          <w:rFonts w:ascii="Times New Roman" w:hAnsi="Times New Roman" w:cs="Times New Roman"/>
          <w:sz w:val="28"/>
          <w:szCs w:val="28"/>
          <w:lang w:val="en-GB"/>
        </w:rPr>
        <w:t xml:space="preserve">, however, </w:t>
      </w:r>
      <w:r w:rsidR="00752A9C" w:rsidRPr="00620926">
        <w:rPr>
          <w:rFonts w:ascii="Times New Roman" w:hAnsi="Times New Roman" w:cs="Times New Roman"/>
          <w:sz w:val="28"/>
          <w:szCs w:val="28"/>
          <w:lang w:val="en-GB"/>
        </w:rPr>
        <w:t>ventured into the merits of the review</w:t>
      </w:r>
      <w:r w:rsidR="00796076" w:rsidRPr="00620926">
        <w:rPr>
          <w:rFonts w:ascii="Times New Roman" w:hAnsi="Times New Roman" w:cs="Times New Roman"/>
          <w:sz w:val="28"/>
          <w:szCs w:val="28"/>
          <w:lang w:val="en-GB"/>
        </w:rPr>
        <w:t xml:space="preserve"> </w:t>
      </w:r>
      <w:r w:rsidR="004C6F5C" w:rsidRPr="00620926">
        <w:rPr>
          <w:rFonts w:ascii="Times New Roman" w:hAnsi="Times New Roman" w:cs="Times New Roman"/>
          <w:sz w:val="28"/>
          <w:szCs w:val="28"/>
          <w:lang w:val="en-GB"/>
        </w:rPr>
        <w:t xml:space="preserve">when </w:t>
      </w:r>
      <w:r w:rsidR="002370FC" w:rsidRPr="00620926">
        <w:rPr>
          <w:rFonts w:ascii="Times New Roman" w:hAnsi="Times New Roman" w:cs="Times New Roman"/>
          <w:sz w:val="28"/>
          <w:szCs w:val="28"/>
          <w:lang w:val="en-GB"/>
        </w:rPr>
        <w:t>dealing</w:t>
      </w:r>
      <w:r w:rsidR="004C6F5C" w:rsidRPr="00620926">
        <w:rPr>
          <w:rFonts w:ascii="Times New Roman" w:hAnsi="Times New Roman" w:cs="Times New Roman"/>
          <w:sz w:val="28"/>
          <w:szCs w:val="28"/>
          <w:lang w:val="en-GB"/>
        </w:rPr>
        <w:t xml:space="preserve"> with the unreasonable delay in bringing the review. It concluded that the review should succeed. On this basis it was prepared to countenance the delay and found that the review was justiciable despite </w:t>
      </w:r>
      <w:proofErr w:type="spellStart"/>
      <w:r w:rsidR="004C6F5C" w:rsidRPr="00620926">
        <w:rPr>
          <w:rFonts w:ascii="Times New Roman" w:hAnsi="Times New Roman" w:cs="Times New Roman"/>
          <w:sz w:val="28"/>
          <w:szCs w:val="28"/>
          <w:lang w:val="en-GB"/>
        </w:rPr>
        <w:t>Go</w:t>
      </w:r>
      <w:r w:rsidR="002370FC" w:rsidRPr="00620926">
        <w:rPr>
          <w:rFonts w:ascii="Times New Roman" w:hAnsi="Times New Roman" w:cs="Times New Roman"/>
          <w:sz w:val="28"/>
          <w:szCs w:val="28"/>
          <w:lang w:val="en-GB"/>
        </w:rPr>
        <w:t>ld</w:t>
      </w:r>
      <w:r w:rsidR="004C6F5C" w:rsidRPr="00620926">
        <w:rPr>
          <w:rFonts w:ascii="Times New Roman" w:hAnsi="Times New Roman" w:cs="Times New Roman"/>
          <w:sz w:val="28"/>
          <w:szCs w:val="28"/>
          <w:lang w:val="en-GB"/>
        </w:rPr>
        <w:t>rush’s</w:t>
      </w:r>
      <w:proofErr w:type="spellEnd"/>
      <w:r w:rsidR="004C6F5C" w:rsidRPr="00620926">
        <w:rPr>
          <w:rFonts w:ascii="Times New Roman" w:hAnsi="Times New Roman" w:cs="Times New Roman"/>
          <w:sz w:val="28"/>
          <w:szCs w:val="28"/>
          <w:lang w:val="en-GB"/>
        </w:rPr>
        <w:t xml:space="preserve"> lack of standing. In effect, the high court conferred standing because it found that the review ought to succeed. This approach is wrong. </w:t>
      </w:r>
    </w:p>
    <w:p w14:paraId="428E2EB5" w14:textId="77777777" w:rsidR="004C6F5C" w:rsidRPr="00620926" w:rsidRDefault="004C6F5C" w:rsidP="00B95853">
      <w:pPr>
        <w:spacing w:after="0" w:line="360" w:lineRule="auto"/>
        <w:jc w:val="both"/>
        <w:rPr>
          <w:rFonts w:ascii="Times New Roman" w:hAnsi="Times New Roman" w:cs="Times New Roman"/>
          <w:sz w:val="28"/>
          <w:szCs w:val="28"/>
          <w:lang w:val="en-GB"/>
        </w:rPr>
      </w:pPr>
    </w:p>
    <w:p w14:paraId="598B05E9" w14:textId="4115D90D" w:rsidR="00430921" w:rsidRPr="00620926" w:rsidRDefault="004C6F5C"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[27]</w:t>
      </w:r>
      <w:r w:rsidRPr="00620926">
        <w:rPr>
          <w:rFonts w:ascii="Times New Roman" w:hAnsi="Times New Roman" w:cs="Times New Roman"/>
          <w:sz w:val="28"/>
          <w:szCs w:val="28"/>
          <w:lang w:val="en-GB"/>
        </w:rPr>
        <w:tab/>
        <w:t xml:space="preserve">In any event, </w:t>
      </w:r>
      <w:r w:rsidR="002370FC" w:rsidRPr="00620926">
        <w:rPr>
          <w:rFonts w:ascii="Times New Roman" w:hAnsi="Times New Roman" w:cs="Times New Roman"/>
          <w:sz w:val="28"/>
          <w:szCs w:val="28"/>
          <w:lang w:val="en-GB"/>
        </w:rPr>
        <w:t xml:space="preserve">the high court’s conclusion on the merits </w:t>
      </w:r>
      <w:r w:rsidR="00696294" w:rsidRPr="00620926">
        <w:rPr>
          <w:rFonts w:ascii="Times New Roman" w:hAnsi="Times New Roman" w:cs="Times New Roman"/>
          <w:sz w:val="28"/>
          <w:szCs w:val="28"/>
          <w:lang w:val="en-GB"/>
        </w:rPr>
        <w:t>is</w:t>
      </w:r>
      <w:r w:rsidR="002370FC" w:rsidRPr="00620926">
        <w:rPr>
          <w:rFonts w:ascii="Times New Roman" w:hAnsi="Times New Roman" w:cs="Times New Roman"/>
          <w:sz w:val="28"/>
          <w:szCs w:val="28"/>
          <w:lang w:val="en-GB"/>
        </w:rPr>
        <w:t xml:space="preserve"> not sustainable. </w:t>
      </w:r>
      <w:proofErr w:type="spellStart"/>
      <w:r w:rsidR="00696294" w:rsidRPr="00620926">
        <w:rPr>
          <w:rFonts w:ascii="Times New Roman" w:hAnsi="Times New Roman" w:cs="Times New Roman"/>
          <w:sz w:val="28"/>
          <w:szCs w:val="28"/>
          <w:lang w:val="en-GB"/>
        </w:rPr>
        <w:t>Goldrush</w:t>
      </w:r>
      <w:proofErr w:type="spellEnd"/>
      <w:r w:rsidR="002370FC" w:rsidRPr="00620926">
        <w:rPr>
          <w:rFonts w:ascii="Times New Roman" w:hAnsi="Times New Roman" w:cs="Times New Roman"/>
          <w:sz w:val="28"/>
          <w:szCs w:val="28"/>
          <w:lang w:val="en-GB"/>
        </w:rPr>
        <w:t xml:space="preserve"> </w:t>
      </w:r>
      <w:r w:rsidR="004E0087" w:rsidRPr="00620926">
        <w:rPr>
          <w:rFonts w:ascii="Times New Roman" w:hAnsi="Times New Roman" w:cs="Times New Roman"/>
          <w:sz w:val="28"/>
          <w:szCs w:val="28"/>
          <w:lang w:val="en-GB"/>
        </w:rPr>
        <w:t>contend</w:t>
      </w:r>
      <w:r w:rsidR="002370FC" w:rsidRPr="00620926">
        <w:rPr>
          <w:rFonts w:ascii="Times New Roman" w:hAnsi="Times New Roman" w:cs="Times New Roman"/>
          <w:sz w:val="28"/>
          <w:szCs w:val="28"/>
          <w:lang w:val="en-GB"/>
        </w:rPr>
        <w:t>ed</w:t>
      </w:r>
      <w:r w:rsidR="004E0087" w:rsidRPr="00620926">
        <w:rPr>
          <w:rFonts w:ascii="Times New Roman" w:hAnsi="Times New Roman" w:cs="Times New Roman"/>
          <w:sz w:val="28"/>
          <w:szCs w:val="28"/>
          <w:lang w:val="en-GB"/>
        </w:rPr>
        <w:t xml:space="preserve"> that the RFP</w:t>
      </w:r>
      <w:r w:rsidR="00C55795" w:rsidRPr="00620926">
        <w:rPr>
          <w:rFonts w:ascii="Times New Roman" w:hAnsi="Times New Roman" w:cs="Times New Roman"/>
          <w:sz w:val="28"/>
          <w:szCs w:val="28"/>
          <w:lang w:val="en-GB"/>
        </w:rPr>
        <w:t xml:space="preserve"> did not permit the allocation of the </w:t>
      </w:r>
      <w:r w:rsidR="001F13DC" w:rsidRPr="00620926">
        <w:rPr>
          <w:rFonts w:ascii="Times New Roman" w:hAnsi="Times New Roman" w:cs="Times New Roman"/>
          <w:sz w:val="28"/>
          <w:szCs w:val="28"/>
          <w:lang w:val="en-GB"/>
        </w:rPr>
        <w:t xml:space="preserve">initially unallocated 1000 LPMs to </w:t>
      </w:r>
      <w:r w:rsidR="00DF1E5F" w:rsidRPr="00620926">
        <w:rPr>
          <w:rFonts w:ascii="Times New Roman" w:hAnsi="Times New Roman" w:cs="Times New Roman"/>
          <w:sz w:val="28"/>
          <w:szCs w:val="28"/>
          <w:lang w:val="en-GB"/>
        </w:rPr>
        <w:t>V-Slots and Grand Slots in the absence of those LPMs being advertised for allocation</w:t>
      </w:r>
      <w:r w:rsidR="00E606E7" w:rsidRPr="00620926">
        <w:rPr>
          <w:rFonts w:ascii="Times New Roman" w:hAnsi="Times New Roman" w:cs="Times New Roman"/>
          <w:sz w:val="28"/>
          <w:szCs w:val="28"/>
          <w:lang w:val="en-GB"/>
        </w:rPr>
        <w:t xml:space="preserve"> to other route operators.</w:t>
      </w:r>
      <w:r w:rsidR="00792474" w:rsidRPr="00620926">
        <w:rPr>
          <w:rFonts w:ascii="Times New Roman" w:hAnsi="Times New Roman" w:cs="Times New Roman"/>
          <w:sz w:val="28"/>
          <w:szCs w:val="28"/>
          <w:lang w:val="en-GB"/>
        </w:rPr>
        <w:t xml:space="preserve"> This stance resulted in a </w:t>
      </w:r>
      <w:r w:rsidR="006B738E" w:rsidRPr="00620926">
        <w:rPr>
          <w:rFonts w:ascii="Times New Roman" w:hAnsi="Times New Roman" w:cs="Times New Roman"/>
          <w:sz w:val="28"/>
          <w:szCs w:val="28"/>
          <w:lang w:val="en-GB"/>
        </w:rPr>
        <w:t>tortured</w:t>
      </w:r>
      <w:r w:rsidR="00792474" w:rsidRPr="00620926">
        <w:rPr>
          <w:rFonts w:ascii="Times New Roman" w:hAnsi="Times New Roman" w:cs="Times New Roman"/>
          <w:sz w:val="28"/>
          <w:szCs w:val="28"/>
          <w:lang w:val="en-GB"/>
        </w:rPr>
        <w:t xml:space="preserve"> argument to the effect that the RFP</w:t>
      </w:r>
      <w:r w:rsidR="00026EC8" w:rsidRPr="00620926">
        <w:rPr>
          <w:rFonts w:ascii="Times New Roman" w:hAnsi="Times New Roman" w:cs="Times New Roman"/>
          <w:sz w:val="28"/>
          <w:szCs w:val="28"/>
          <w:lang w:val="en-GB"/>
        </w:rPr>
        <w:t xml:space="preserve"> had ‘run its course’ </w:t>
      </w:r>
      <w:r w:rsidR="006B738E" w:rsidRPr="00620926">
        <w:rPr>
          <w:rFonts w:ascii="Times New Roman" w:hAnsi="Times New Roman" w:cs="Times New Roman"/>
          <w:sz w:val="28"/>
          <w:szCs w:val="28"/>
          <w:lang w:val="en-GB"/>
        </w:rPr>
        <w:t>as far as</w:t>
      </w:r>
      <w:r w:rsidR="00026EC8" w:rsidRPr="00620926">
        <w:rPr>
          <w:rFonts w:ascii="Times New Roman" w:hAnsi="Times New Roman" w:cs="Times New Roman"/>
          <w:sz w:val="28"/>
          <w:szCs w:val="28"/>
          <w:lang w:val="en-GB"/>
        </w:rPr>
        <w:t xml:space="preserve"> the </w:t>
      </w:r>
      <w:r w:rsidR="00D42E01" w:rsidRPr="00620926">
        <w:rPr>
          <w:rFonts w:ascii="Times New Roman" w:hAnsi="Times New Roman" w:cs="Times New Roman"/>
          <w:sz w:val="28"/>
          <w:szCs w:val="28"/>
          <w:lang w:val="en-GB"/>
        </w:rPr>
        <w:t xml:space="preserve">initial 3000 LPMs were concerned, but not in respect of </w:t>
      </w:r>
      <w:r w:rsidR="00456AD4" w:rsidRPr="00620926">
        <w:rPr>
          <w:rFonts w:ascii="Times New Roman" w:hAnsi="Times New Roman" w:cs="Times New Roman"/>
          <w:sz w:val="28"/>
          <w:szCs w:val="28"/>
          <w:lang w:val="en-GB"/>
        </w:rPr>
        <w:t xml:space="preserve">LPMs </w:t>
      </w:r>
      <w:r w:rsidR="00BC32C4" w:rsidRPr="00620926">
        <w:rPr>
          <w:rFonts w:ascii="Times New Roman" w:hAnsi="Times New Roman" w:cs="Times New Roman"/>
          <w:sz w:val="28"/>
          <w:szCs w:val="28"/>
          <w:lang w:val="en-GB"/>
        </w:rPr>
        <w:t xml:space="preserve">to </w:t>
      </w:r>
      <w:r w:rsidR="00456AD4" w:rsidRPr="00620926">
        <w:rPr>
          <w:rFonts w:ascii="Times New Roman" w:hAnsi="Times New Roman" w:cs="Times New Roman"/>
          <w:sz w:val="28"/>
          <w:szCs w:val="28"/>
          <w:lang w:val="en-GB"/>
        </w:rPr>
        <w:t xml:space="preserve">which </w:t>
      </w:r>
      <w:r w:rsidR="002B1068" w:rsidRPr="00620926">
        <w:rPr>
          <w:rFonts w:ascii="Times New Roman" w:hAnsi="Times New Roman" w:cs="Times New Roman"/>
          <w:sz w:val="28"/>
          <w:szCs w:val="28"/>
          <w:lang w:val="en-GB"/>
        </w:rPr>
        <w:t xml:space="preserve">the </w:t>
      </w:r>
      <w:r w:rsidR="00696294" w:rsidRPr="00620926">
        <w:rPr>
          <w:rFonts w:ascii="Times New Roman" w:hAnsi="Times New Roman" w:cs="Times New Roman"/>
          <w:sz w:val="28"/>
          <w:szCs w:val="28"/>
          <w:lang w:val="en-GB"/>
        </w:rPr>
        <w:t>P</w:t>
      </w:r>
      <w:r w:rsidR="002B1068" w:rsidRPr="00620926">
        <w:rPr>
          <w:rFonts w:ascii="Times New Roman" w:hAnsi="Times New Roman" w:cs="Times New Roman"/>
          <w:sz w:val="28"/>
          <w:szCs w:val="28"/>
          <w:lang w:val="en-GB"/>
        </w:rPr>
        <w:t xml:space="preserve">rovince is entitled and which </w:t>
      </w:r>
      <w:r w:rsidR="00456AD4" w:rsidRPr="00620926">
        <w:rPr>
          <w:rFonts w:ascii="Times New Roman" w:hAnsi="Times New Roman" w:cs="Times New Roman"/>
          <w:sz w:val="28"/>
          <w:szCs w:val="28"/>
          <w:lang w:val="en-GB"/>
        </w:rPr>
        <w:t>may in due course be allocated</w:t>
      </w:r>
      <w:r w:rsidR="002B1068" w:rsidRPr="00620926">
        <w:rPr>
          <w:rFonts w:ascii="Times New Roman" w:hAnsi="Times New Roman" w:cs="Times New Roman"/>
          <w:sz w:val="28"/>
          <w:szCs w:val="28"/>
          <w:lang w:val="en-GB"/>
        </w:rPr>
        <w:t>.</w:t>
      </w:r>
    </w:p>
    <w:p w14:paraId="5956EFD6" w14:textId="77777777" w:rsidR="000B7D79" w:rsidRPr="00620926" w:rsidRDefault="000B7D79" w:rsidP="00B95853">
      <w:pPr>
        <w:spacing w:after="0" w:line="360" w:lineRule="auto"/>
        <w:jc w:val="both"/>
        <w:rPr>
          <w:rFonts w:ascii="Times New Roman" w:hAnsi="Times New Roman" w:cs="Times New Roman"/>
          <w:sz w:val="28"/>
          <w:szCs w:val="28"/>
          <w:lang w:val="en-GB"/>
        </w:rPr>
      </w:pPr>
    </w:p>
    <w:p w14:paraId="17147A76" w14:textId="1057D224" w:rsidR="001E4E2A" w:rsidRPr="00620926" w:rsidRDefault="000B7D79" w:rsidP="001E4E2A">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EC63FE" w:rsidRPr="00620926">
        <w:rPr>
          <w:rFonts w:ascii="Times New Roman" w:hAnsi="Times New Roman" w:cs="Times New Roman"/>
          <w:sz w:val="28"/>
          <w:szCs w:val="28"/>
          <w:lang w:val="en-GB"/>
        </w:rPr>
        <w:t>2</w:t>
      </w:r>
      <w:r w:rsidR="00CC051F" w:rsidRPr="00620926">
        <w:rPr>
          <w:rFonts w:ascii="Times New Roman" w:hAnsi="Times New Roman" w:cs="Times New Roman"/>
          <w:sz w:val="28"/>
          <w:szCs w:val="28"/>
          <w:lang w:val="en-GB"/>
        </w:rPr>
        <w:t>8</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r>
      <w:r w:rsidR="002370FC" w:rsidRPr="00620926">
        <w:rPr>
          <w:rFonts w:ascii="Times New Roman" w:hAnsi="Times New Roman" w:cs="Times New Roman"/>
          <w:sz w:val="28"/>
          <w:szCs w:val="28"/>
          <w:lang w:val="en-GB"/>
        </w:rPr>
        <w:t>However, c</w:t>
      </w:r>
      <w:r w:rsidR="00E00119" w:rsidRPr="00620926">
        <w:rPr>
          <w:rFonts w:ascii="Times New Roman" w:hAnsi="Times New Roman" w:cs="Times New Roman"/>
          <w:sz w:val="28"/>
          <w:szCs w:val="28"/>
          <w:lang w:val="en-GB"/>
        </w:rPr>
        <w:t>lause III of t</w:t>
      </w:r>
      <w:r w:rsidR="001E4E2A" w:rsidRPr="00620926">
        <w:rPr>
          <w:rFonts w:ascii="Times New Roman" w:hAnsi="Times New Roman" w:cs="Times New Roman"/>
          <w:sz w:val="28"/>
          <w:szCs w:val="28"/>
          <w:lang w:val="en-GB"/>
        </w:rPr>
        <w:t>he RFP contained the following</w:t>
      </w:r>
      <w:r w:rsidR="00BE744C" w:rsidRPr="00620926">
        <w:rPr>
          <w:rFonts w:ascii="Times New Roman" w:hAnsi="Times New Roman" w:cs="Times New Roman"/>
          <w:sz w:val="28"/>
          <w:szCs w:val="28"/>
          <w:lang w:val="en-GB"/>
        </w:rPr>
        <w:t xml:space="preserve"> </w:t>
      </w:r>
      <w:r w:rsidR="00E00119" w:rsidRPr="00620926">
        <w:rPr>
          <w:rFonts w:ascii="Times New Roman" w:hAnsi="Times New Roman" w:cs="Times New Roman"/>
          <w:sz w:val="28"/>
          <w:szCs w:val="28"/>
          <w:lang w:val="en-GB"/>
        </w:rPr>
        <w:t>provisions</w:t>
      </w:r>
      <w:r w:rsidR="001E4E2A" w:rsidRPr="00620926">
        <w:rPr>
          <w:rFonts w:ascii="Times New Roman" w:hAnsi="Times New Roman" w:cs="Times New Roman"/>
          <w:sz w:val="28"/>
          <w:szCs w:val="28"/>
          <w:lang w:val="en-GB"/>
        </w:rPr>
        <w:t>:</w:t>
      </w:r>
    </w:p>
    <w:p w14:paraId="07AAB373" w14:textId="77777777" w:rsidR="001E4E2A" w:rsidRPr="00620926" w:rsidRDefault="001E4E2A" w:rsidP="001E4E2A">
      <w:pPr>
        <w:spacing w:after="0" w:line="360" w:lineRule="auto"/>
        <w:jc w:val="both"/>
        <w:rPr>
          <w:rFonts w:ascii="Times New Roman" w:hAnsi="Times New Roman" w:cs="Times New Roman"/>
          <w:sz w:val="24"/>
          <w:szCs w:val="24"/>
          <w:lang w:val="en-GB"/>
        </w:rPr>
      </w:pPr>
      <w:r w:rsidRPr="00620926">
        <w:rPr>
          <w:rFonts w:ascii="Times New Roman" w:hAnsi="Times New Roman" w:cs="Times New Roman"/>
          <w:sz w:val="24"/>
          <w:szCs w:val="24"/>
          <w:lang w:val="en-GB"/>
        </w:rPr>
        <w:t xml:space="preserve">‘The Board intends to issue a maximum of three licences and allocate a thousand limited gambling machines per Licence holder. The intention therefore is not to issue less than a thousand limited gambling machines per limited gambling machine operator – </w:t>
      </w:r>
      <w:r w:rsidRPr="00620926">
        <w:rPr>
          <w:rFonts w:ascii="Times New Roman" w:hAnsi="Times New Roman" w:cs="Times New Roman"/>
          <w:i/>
          <w:iCs/>
          <w:sz w:val="24"/>
          <w:szCs w:val="24"/>
          <w:lang w:val="en-GB"/>
        </w:rPr>
        <w:t>if fewer than three Applicants are found suitable for licencing, the Board reserves the right to increase the number of machines allocated per Applicant proportionally, subject to National norms, or to re-advertise and invite other applications.</w:t>
      </w:r>
      <w:r w:rsidRPr="00620926">
        <w:rPr>
          <w:rFonts w:ascii="Times New Roman" w:hAnsi="Times New Roman" w:cs="Times New Roman"/>
          <w:sz w:val="24"/>
          <w:szCs w:val="24"/>
          <w:lang w:val="en-GB"/>
        </w:rPr>
        <w:t xml:space="preserve"> Through this process the Board seeks to ensure that only reputable and experienced Operators will be active in the Province. The Board is also mindful of its duty to guard against over-stimulation of the latent demand for gambling, which would have a negative impact on the social fabric of the Province.</w:t>
      </w:r>
    </w:p>
    <w:p w14:paraId="3AB2F2B2" w14:textId="77777777" w:rsidR="001E4E2A" w:rsidRPr="00620926" w:rsidRDefault="001E4E2A" w:rsidP="001E4E2A">
      <w:pPr>
        <w:spacing w:after="0" w:line="360" w:lineRule="auto"/>
        <w:jc w:val="both"/>
        <w:rPr>
          <w:rFonts w:ascii="Times New Roman" w:hAnsi="Times New Roman" w:cs="Times New Roman"/>
          <w:sz w:val="24"/>
          <w:szCs w:val="24"/>
          <w:lang w:val="en-GB"/>
        </w:rPr>
      </w:pPr>
    </w:p>
    <w:p w14:paraId="4C63F0C5" w14:textId="2F5239B2" w:rsidR="000B7D79" w:rsidRPr="00620926" w:rsidRDefault="001E4E2A" w:rsidP="001E4E2A">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4"/>
          <w:szCs w:val="24"/>
          <w:lang w:val="en-GB"/>
        </w:rPr>
        <w:lastRenderedPageBreak/>
        <w:t xml:space="preserve">Prospective Operators should also take note of the options which the Board has identified regarding the possible future expansion of the industry in the Western Cape. If, once the industry has become established, it appears that the market and social and economic conditions then prevailing in the Province will accommodate the allocation of further limited gambling machines, the Board may offer further machines to existing Licenced Operators, against payment of such further fees as may be provided for by legislation at that time, after consulting industry role-players. </w:t>
      </w:r>
      <w:r w:rsidRPr="00620926">
        <w:rPr>
          <w:rFonts w:ascii="Times New Roman" w:hAnsi="Times New Roman" w:cs="Times New Roman"/>
          <w:i/>
          <w:iCs/>
          <w:sz w:val="24"/>
          <w:szCs w:val="24"/>
          <w:lang w:val="en-GB"/>
        </w:rPr>
        <w:t>Should the Board elect to follow this course and should the existing licenced Operators not take up the offer to expand their operations, the Board may invite licence applications from other entities.</w:t>
      </w:r>
      <w:r w:rsidRPr="00620926">
        <w:rPr>
          <w:rFonts w:ascii="Times New Roman" w:hAnsi="Times New Roman" w:cs="Times New Roman"/>
          <w:sz w:val="24"/>
          <w:szCs w:val="24"/>
          <w:lang w:val="en-GB"/>
        </w:rPr>
        <w:t>’</w:t>
      </w:r>
      <w:r w:rsidR="007A5DCC" w:rsidRPr="00620926">
        <w:rPr>
          <w:rFonts w:ascii="Times New Roman" w:hAnsi="Times New Roman" w:cs="Times New Roman"/>
          <w:sz w:val="24"/>
          <w:szCs w:val="24"/>
          <w:lang w:val="en-GB"/>
        </w:rPr>
        <w:t xml:space="preserve"> (</w:t>
      </w:r>
      <w:r w:rsidR="007A5DCC" w:rsidRPr="00620926">
        <w:rPr>
          <w:rFonts w:ascii="Times New Roman" w:hAnsi="Times New Roman" w:cs="Times New Roman"/>
          <w:sz w:val="28"/>
          <w:szCs w:val="28"/>
          <w:lang w:val="en-GB"/>
        </w:rPr>
        <w:t>Emphasis added.</w:t>
      </w:r>
      <w:r w:rsidR="007A5DCC" w:rsidRPr="00620926">
        <w:rPr>
          <w:rFonts w:ascii="Times New Roman" w:hAnsi="Times New Roman" w:cs="Times New Roman"/>
          <w:sz w:val="24"/>
          <w:szCs w:val="24"/>
          <w:lang w:val="en-GB"/>
        </w:rPr>
        <w:t>)</w:t>
      </w:r>
    </w:p>
    <w:p w14:paraId="07CA8B94" w14:textId="77777777" w:rsidR="000046F0" w:rsidRPr="00620926" w:rsidRDefault="000046F0" w:rsidP="00B95853">
      <w:pPr>
        <w:spacing w:after="0" w:line="360" w:lineRule="auto"/>
        <w:jc w:val="both"/>
        <w:rPr>
          <w:rFonts w:ascii="Times New Roman" w:hAnsi="Times New Roman" w:cs="Times New Roman"/>
          <w:sz w:val="28"/>
          <w:szCs w:val="28"/>
          <w:lang w:val="en-GB"/>
        </w:rPr>
      </w:pPr>
    </w:p>
    <w:p w14:paraId="00BC9177" w14:textId="03239433" w:rsidR="000046F0" w:rsidRPr="00620926" w:rsidRDefault="000046F0"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CC051F" w:rsidRPr="00620926">
        <w:rPr>
          <w:rFonts w:ascii="Times New Roman" w:hAnsi="Times New Roman" w:cs="Times New Roman"/>
          <w:sz w:val="28"/>
          <w:szCs w:val="28"/>
          <w:lang w:val="en-GB"/>
        </w:rPr>
        <w:t>29</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r>
      <w:r w:rsidR="00830FEA" w:rsidRPr="00620926">
        <w:rPr>
          <w:rFonts w:ascii="Times New Roman" w:hAnsi="Times New Roman" w:cs="Times New Roman"/>
          <w:sz w:val="28"/>
          <w:szCs w:val="28"/>
          <w:lang w:val="en-GB"/>
        </w:rPr>
        <w:t>The</w:t>
      </w:r>
      <w:r w:rsidR="00E00119" w:rsidRPr="00620926">
        <w:rPr>
          <w:rFonts w:ascii="Times New Roman" w:hAnsi="Times New Roman" w:cs="Times New Roman"/>
          <w:sz w:val="28"/>
          <w:szCs w:val="28"/>
          <w:lang w:val="en-GB"/>
        </w:rPr>
        <w:t>se provisions</w:t>
      </w:r>
      <w:r w:rsidR="00830FEA" w:rsidRPr="00620926">
        <w:rPr>
          <w:rFonts w:ascii="Times New Roman" w:hAnsi="Times New Roman" w:cs="Times New Roman"/>
          <w:sz w:val="28"/>
          <w:szCs w:val="28"/>
          <w:lang w:val="en-GB"/>
        </w:rPr>
        <w:t xml:space="preserve"> </w:t>
      </w:r>
      <w:r w:rsidR="004A45E0" w:rsidRPr="00620926">
        <w:rPr>
          <w:rFonts w:ascii="Times New Roman" w:hAnsi="Times New Roman" w:cs="Times New Roman"/>
          <w:sz w:val="28"/>
          <w:szCs w:val="28"/>
          <w:lang w:val="en-GB"/>
        </w:rPr>
        <w:t xml:space="preserve">explain the Board’s </w:t>
      </w:r>
      <w:r w:rsidR="00B22CF8" w:rsidRPr="00620926">
        <w:rPr>
          <w:rFonts w:ascii="Times New Roman" w:hAnsi="Times New Roman" w:cs="Times New Roman"/>
          <w:sz w:val="28"/>
          <w:szCs w:val="28"/>
          <w:lang w:val="en-GB"/>
        </w:rPr>
        <w:t xml:space="preserve">intentions in the appointment of </w:t>
      </w:r>
      <w:r w:rsidR="000522FB" w:rsidRPr="00620926">
        <w:rPr>
          <w:rFonts w:ascii="Times New Roman" w:hAnsi="Times New Roman" w:cs="Times New Roman"/>
          <w:sz w:val="28"/>
          <w:szCs w:val="28"/>
          <w:lang w:val="en-GB"/>
        </w:rPr>
        <w:t xml:space="preserve">licenced operators and the allocation of LPMs to them in unequivocal terms. </w:t>
      </w:r>
      <w:r w:rsidR="00E00119" w:rsidRPr="00620926">
        <w:rPr>
          <w:rFonts w:ascii="Times New Roman" w:hAnsi="Times New Roman" w:cs="Times New Roman"/>
          <w:sz w:val="28"/>
          <w:szCs w:val="28"/>
          <w:lang w:val="en-GB"/>
        </w:rPr>
        <w:t>When it was published, t</w:t>
      </w:r>
      <w:r w:rsidR="006E708B" w:rsidRPr="00620926">
        <w:rPr>
          <w:rFonts w:ascii="Times New Roman" w:hAnsi="Times New Roman" w:cs="Times New Roman"/>
          <w:sz w:val="28"/>
          <w:szCs w:val="28"/>
          <w:lang w:val="en-GB"/>
        </w:rPr>
        <w:t>he RFP</w:t>
      </w:r>
      <w:r w:rsidR="00384D6E" w:rsidRPr="00620926">
        <w:rPr>
          <w:rFonts w:ascii="Times New Roman" w:hAnsi="Times New Roman" w:cs="Times New Roman"/>
          <w:sz w:val="28"/>
          <w:szCs w:val="28"/>
          <w:lang w:val="en-GB"/>
        </w:rPr>
        <w:t xml:space="preserve"> served to outline the policy</w:t>
      </w:r>
      <w:r w:rsidR="0051276E" w:rsidRPr="00620926">
        <w:rPr>
          <w:rFonts w:ascii="Times New Roman" w:hAnsi="Times New Roman" w:cs="Times New Roman"/>
          <w:sz w:val="28"/>
          <w:szCs w:val="28"/>
          <w:lang w:val="en-GB"/>
        </w:rPr>
        <w:t xml:space="preserve"> that the Board would follow in relation to the development of the industry in the </w:t>
      </w:r>
      <w:r w:rsidR="00696294" w:rsidRPr="00620926">
        <w:rPr>
          <w:rFonts w:ascii="Times New Roman" w:hAnsi="Times New Roman" w:cs="Times New Roman"/>
          <w:sz w:val="28"/>
          <w:szCs w:val="28"/>
          <w:lang w:val="en-GB"/>
        </w:rPr>
        <w:t>P</w:t>
      </w:r>
      <w:r w:rsidR="0051276E" w:rsidRPr="00620926">
        <w:rPr>
          <w:rFonts w:ascii="Times New Roman" w:hAnsi="Times New Roman" w:cs="Times New Roman"/>
          <w:sz w:val="28"/>
          <w:szCs w:val="28"/>
          <w:lang w:val="en-GB"/>
        </w:rPr>
        <w:t>rovince</w:t>
      </w:r>
      <w:r w:rsidR="009112D6" w:rsidRPr="00620926">
        <w:rPr>
          <w:rFonts w:ascii="Times New Roman" w:hAnsi="Times New Roman" w:cs="Times New Roman"/>
          <w:sz w:val="28"/>
          <w:szCs w:val="28"/>
          <w:lang w:val="en-GB"/>
        </w:rPr>
        <w:t xml:space="preserve">. It also served to explain to prospective operators how the Board would </w:t>
      </w:r>
      <w:r w:rsidR="00E56716" w:rsidRPr="00620926">
        <w:rPr>
          <w:rFonts w:ascii="Times New Roman" w:hAnsi="Times New Roman" w:cs="Times New Roman"/>
          <w:sz w:val="28"/>
          <w:szCs w:val="28"/>
          <w:lang w:val="en-GB"/>
        </w:rPr>
        <w:t xml:space="preserve">approach the granting of licences and what </w:t>
      </w:r>
      <w:r w:rsidR="00AB6FD7" w:rsidRPr="00620926">
        <w:rPr>
          <w:rFonts w:ascii="Times New Roman" w:hAnsi="Times New Roman" w:cs="Times New Roman"/>
          <w:sz w:val="28"/>
          <w:szCs w:val="28"/>
          <w:lang w:val="en-GB"/>
        </w:rPr>
        <w:t>was expected of such operators. It is important to rec</w:t>
      </w:r>
      <w:r w:rsidR="0081653A" w:rsidRPr="00620926">
        <w:rPr>
          <w:rFonts w:ascii="Times New Roman" w:hAnsi="Times New Roman" w:cs="Times New Roman"/>
          <w:sz w:val="28"/>
          <w:szCs w:val="28"/>
          <w:lang w:val="en-GB"/>
        </w:rPr>
        <w:t>all that each Province is entitled to a specified number of LPMs</w:t>
      </w:r>
      <w:r w:rsidR="00A14284" w:rsidRPr="00620926">
        <w:rPr>
          <w:rFonts w:ascii="Times New Roman" w:hAnsi="Times New Roman" w:cs="Times New Roman"/>
          <w:sz w:val="28"/>
          <w:szCs w:val="28"/>
          <w:lang w:val="en-GB"/>
        </w:rPr>
        <w:t xml:space="preserve">. In the case of the Western Cape that number was set at 9000. In the </w:t>
      </w:r>
      <w:r w:rsidR="004D20DB" w:rsidRPr="00620926">
        <w:rPr>
          <w:rFonts w:ascii="Times New Roman" w:hAnsi="Times New Roman" w:cs="Times New Roman"/>
          <w:sz w:val="28"/>
          <w:szCs w:val="28"/>
          <w:lang w:val="en-GB"/>
        </w:rPr>
        <w:t xml:space="preserve">first </w:t>
      </w:r>
      <w:r w:rsidR="00F822C9" w:rsidRPr="00620926">
        <w:rPr>
          <w:rFonts w:ascii="Times New Roman" w:hAnsi="Times New Roman" w:cs="Times New Roman"/>
          <w:sz w:val="28"/>
          <w:szCs w:val="28"/>
          <w:lang w:val="en-GB"/>
        </w:rPr>
        <w:t>phase</w:t>
      </w:r>
      <w:r w:rsidR="004D20DB" w:rsidRPr="00620926">
        <w:rPr>
          <w:rFonts w:ascii="Times New Roman" w:hAnsi="Times New Roman" w:cs="Times New Roman"/>
          <w:sz w:val="28"/>
          <w:szCs w:val="28"/>
          <w:lang w:val="en-GB"/>
        </w:rPr>
        <w:t xml:space="preserve"> of the development of the LPM industry, provinces were restricted to</w:t>
      </w:r>
      <w:r w:rsidR="00265A6D" w:rsidRPr="00620926">
        <w:rPr>
          <w:rFonts w:ascii="Times New Roman" w:hAnsi="Times New Roman" w:cs="Times New Roman"/>
          <w:sz w:val="28"/>
          <w:szCs w:val="28"/>
          <w:lang w:val="en-GB"/>
        </w:rPr>
        <w:t xml:space="preserve"> making available only </w:t>
      </w:r>
      <w:r w:rsidR="00BE744C" w:rsidRPr="00620926">
        <w:rPr>
          <w:rFonts w:ascii="Times New Roman" w:hAnsi="Times New Roman" w:cs="Times New Roman"/>
          <w:sz w:val="28"/>
          <w:szCs w:val="28"/>
          <w:lang w:val="en-GB"/>
        </w:rPr>
        <w:t xml:space="preserve">50 </w:t>
      </w:r>
      <w:r w:rsidR="00265A6D" w:rsidRPr="00620926">
        <w:rPr>
          <w:rFonts w:ascii="Times New Roman" w:hAnsi="Times New Roman" w:cs="Times New Roman"/>
          <w:sz w:val="28"/>
          <w:szCs w:val="28"/>
          <w:lang w:val="en-GB"/>
        </w:rPr>
        <w:t>percent of the total number. The Board, however, elected</w:t>
      </w:r>
      <w:r w:rsidR="00D04201" w:rsidRPr="00620926">
        <w:rPr>
          <w:rFonts w:ascii="Times New Roman" w:hAnsi="Times New Roman" w:cs="Times New Roman"/>
          <w:sz w:val="28"/>
          <w:szCs w:val="28"/>
          <w:lang w:val="en-GB"/>
        </w:rPr>
        <w:t xml:space="preserve"> to make available only 3000. </w:t>
      </w:r>
      <w:r w:rsidR="00FA191A" w:rsidRPr="00620926">
        <w:rPr>
          <w:rFonts w:ascii="Times New Roman" w:hAnsi="Times New Roman" w:cs="Times New Roman"/>
          <w:sz w:val="28"/>
          <w:szCs w:val="28"/>
          <w:lang w:val="en-GB"/>
        </w:rPr>
        <w:t>As it turned out</w:t>
      </w:r>
      <w:r w:rsidR="000D7B4D" w:rsidRPr="00620926">
        <w:rPr>
          <w:rFonts w:ascii="Times New Roman" w:hAnsi="Times New Roman" w:cs="Times New Roman"/>
          <w:sz w:val="28"/>
          <w:szCs w:val="28"/>
          <w:lang w:val="en-GB"/>
        </w:rPr>
        <w:t>, the Board only appointed two operators and only allocated 2000 LPMs</w:t>
      </w:r>
      <w:r w:rsidR="00A413DF" w:rsidRPr="00620926">
        <w:rPr>
          <w:rFonts w:ascii="Times New Roman" w:hAnsi="Times New Roman" w:cs="Times New Roman"/>
          <w:sz w:val="28"/>
          <w:szCs w:val="28"/>
          <w:lang w:val="en-GB"/>
        </w:rPr>
        <w:t xml:space="preserve"> to them.</w:t>
      </w:r>
    </w:p>
    <w:p w14:paraId="5BF25019" w14:textId="77777777" w:rsidR="00A413DF" w:rsidRPr="00620926" w:rsidRDefault="00A413DF" w:rsidP="00B95853">
      <w:pPr>
        <w:spacing w:after="0" w:line="360" w:lineRule="auto"/>
        <w:jc w:val="both"/>
        <w:rPr>
          <w:rFonts w:ascii="Times New Roman" w:hAnsi="Times New Roman" w:cs="Times New Roman"/>
          <w:sz w:val="28"/>
          <w:szCs w:val="28"/>
          <w:lang w:val="en-GB"/>
        </w:rPr>
      </w:pPr>
    </w:p>
    <w:p w14:paraId="2E2C2AFE" w14:textId="5D48ACBB" w:rsidR="00A413DF" w:rsidRPr="00620926" w:rsidRDefault="00A413DF"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[3</w:t>
      </w:r>
      <w:r w:rsidR="00CC051F" w:rsidRPr="00620926">
        <w:rPr>
          <w:rFonts w:ascii="Times New Roman" w:hAnsi="Times New Roman" w:cs="Times New Roman"/>
          <w:sz w:val="28"/>
          <w:szCs w:val="28"/>
          <w:lang w:val="en-GB"/>
        </w:rPr>
        <w:t>0</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Counsel for </w:t>
      </w:r>
      <w:proofErr w:type="spellStart"/>
      <w:r w:rsidRPr="00620926">
        <w:rPr>
          <w:rFonts w:ascii="Times New Roman" w:hAnsi="Times New Roman" w:cs="Times New Roman"/>
          <w:sz w:val="28"/>
          <w:szCs w:val="28"/>
          <w:lang w:val="en-GB"/>
        </w:rPr>
        <w:t>Goldrush</w:t>
      </w:r>
      <w:proofErr w:type="spellEnd"/>
      <w:r w:rsidR="007D65EE" w:rsidRPr="00620926">
        <w:rPr>
          <w:rFonts w:ascii="Times New Roman" w:hAnsi="Times New Roman" w:cs="Times New Roman"/>
          <w:sz w:val="28"/>
          <w:szCs w:val="28"/>
          <w:lang w:val="en-GB"/>
        </w:rPr>
        <w:t xml:space="preserve"> conceded that </w:t>
      </w:r>
      <w:r w:rsidR="00BB2FD6" w:rsidRPr="00620926">
        <w:rPr>
          <w:rFonts w:ascii="Times New Roman" w:hAnsi="Times New Roman" w:cs="Times New Roman"/>
          <w:sz w:val="28"/>
          <w:szCs w:val="28"/>
          <w:lang w:val="en-GB"/>
        </w:rPr>
        <w:t xml:space="preserve">at the time that V-Slots and Grand Slots were appointed as operators, </w:t>
      </w:r>
      <w:r w:rsidR="007D65EE" w:rsidRPr="00620926">
        <w:rPr>
          <w:rFonts w:ascii="Times New Roman" w:hAnsi="Times New Roman" w:cs="Times New Roman"/>
          <w:sz w:val="28"/>
          <w:szCs w:val="28"/>
          <w:lang w:val="en-GB"/>
        </w:rPr>
        <w:t>the Board would have been entitled</w:t>
      </w:r>
      <w:proofErr w:type="gramStart"/>
      <w:r w:rsidR="00865E40" w:rsidRPr="00620926">
        <w:rPr>
          <w:rFonts w:ascii="Times New Roman" w:hAnsi="Times New Roman" w:cs="Times New Roman"/>
          <w:sz w:val="28"/>
          <w:szCs w:val="28"/>
          <w:lang w:val="en-GB"/>
        </w:rPr>
        <w:t>,</w:t>
      </w:r>
      <w:r w:rsidR="00BE744C" w:rsidRPr="00620926">
        <w:rPr>
          <w:rFonts w:ascii="Times New Roman" w:hAnsi="Times New Roman" w:cs="Times New Roman"/>
          <w:sz w:val="28"/>
          <w:szCs w:val="28"/>
          <w:lang w:val="en-GB"/>
        </w:rPr>
        <w:t xml:space="preserve"> </w:t>
      </w:r>
      <w:r w:rsidR="00865E40" w:rsidRPr="00620926">
        <w:rPr>
          <w:rFonts w:ascii="Times New Roman" w:hAnsi="Times New Roman" w:cs="Times New Roman"/>
          <w:sz w:val="28"/>
          <w:szCs w:val="28"/>
          <w:lang w:val="en-GB"/>
        </w:rPr>
        <w:t xml:space="preserve"> </w:t>
      </w:r>
      <w:r w:rsidR="00BB2FD6" w:rsidRPr="00620926">
        <w:rPr>
          <w:rFonts w:ascii="Times New Roman" w:hAnsi="Times New Roman" w:cs="Times New Roman"/>
          <w:sz w:val="28"/>
          <w:szCs w:val="28"/>
          <w:lang w:val="en-GB"/>
        </w:rPr>
        <w:t>pursuant</w:t>
      </w:r>
      <w:proofErr w:type="gramEnd"/>
      <w:r w:rsidR="00BB2FD6" w:rsidRPr="00620926">
        <w:rPr>
          <w:rFonts w:ascii="Times New Roman" w:hAnsi="Times New Roman" w:cs="Times New Roman"/>
          <w:sz w:val="28"/>
          <w:szCs w:val="28"/>
          <w:lang w:val="en-GB"/>
        </w:rPr>
        <w:t xml:space="preserve"> to the RFP, </w:t>
      </w:r>
      <w:r w:rsidR="0052235A" w:rsidRPr="00620926">
        <w:rPr>
          <w:rFonts w:ascii="Times New Roman" w:hAnsi="Times New Roman" w:cs="Times New Roman"/>
          <w:sz w:val="28"/>
          <w:szCs w:val="28"/>
          <w:lang w:val="en-GB"/>
        </w:rPr>
        <w:t>to have allocated</w:t>
      </w:r>
      <w:r w:rsidR="00E3728C" w:rsidRPr="00620926">
        <w:rPr>
          <w:rFonts w:ascii="Times New Roman" w:hAnsi="Times New Roman" w:cs="Times New Roman"/>
          <w:sz w:val="28"/>
          <w:szCs w:val="28"/>
          <w:lang w:val="en-GB"/>
        </w:rPr>
        <w:t xml:space="preserve"> to each of them </w:t>
      </w:r>
      <w:r w:rsidR="00BE744C" w:rsidRPr="00620926">
        <w:rPr>
          <w:rFonts w:ascii="Times New Roman" w:hAnsi="Times New Roman" w:cs="Times New Roman"/>
          <w:sz w:val="28"/>
          <w:szCs w:val="28"/>
          <w:lang w:val="en-GB"/>
        </w:rPr>
        <w:t xml:space="preserve">the whole of 3000 </w:t>
      </w:r>
      <w:r w:rsidR="00E3728C" w:rsidRPr="00620926">
        <w:rPr>
          <w:rFonts w:ascii="Times New Roman" w:hAnsi="Times New Roman" w:cs="Times New Roman"/>
          <w:sz w:val="28"/>
          <w:szCs w:val="28"/>
          <w:lang w:val="en-GB"/>
        </w:rPr>
        <w:t>LPMs</w:t>
      </w:r>
      <w:r w:rsidR="00BE744C" w:rsidRPr="00620926">
        <w:rPr>
          <w:rFonts w:ascii="Times New Roman" w:hAnsi="Times New Roman" w:cs="Times New Roman"/>
          <w:sz w:val="28"/>
          <w:szCs w:val="28"/>
          <w:lang w:val="en-GB"/>
        </w:rPr>
        <w:t xml:space="preserve">, </w:t>
      </w:r>
      <w:proofErr w:type="spellStart"/>
      <w:r w:rsidR="00BE744C" w:rsidRPr="00620926">
        <w:rPr>
          <w:rFonts w:ascii="Times New Roman" w:hAnsi="Times New Roman" w:cs="Times New Roman"/>
          <w:sz w:val="28"/>
          <w:szCs w:val="28"/>
          <w:lang w:val="en-GB"/>
        </w:rPr>
        <w:t>ie</w:t>
      </w:r>
      <w:proofErr w:type="spellEnd"/>
      <w:r w:rsidR="00BE744C" w:rsidRPr="00620926">
        <w:rPr>
          <w:rFonts w:ascii="Times New Roman" w:hAnsi="Times New Roman" w:cs="Times New Roman"/>
          <w:sz w:val="28"/>
          <w:szCs w:val="28"/>
          <w:lang w:val="en-GB"/>
        </w:rPr>
        <w:t xml:space="preserve"> 1500 LPMs each, </w:t>
      </w:r>
      <w:r w:rsidR="00E3728C" w:rsidRPr="00620926">
        <w:rPr>
          <w:rFonts w:ascii="Times New Roman" w:hAnsi="Times New Roman" w:cs="Times New Roman"/>
          <w:sz w:val="28"/>
          <w:szCs w:val="28"/>
          <w:lang w:val="en-GB"/>
        </w:rPr>
        <w:t xml:space="preserve"> </w:t>
      </w:r>
      <w:r w:rsidR="00F65AB3" w:rsidRPr="00620926">
        <w:rPr>
          <w:rFonts w:ascii="Times New Roman" w:hAnsi="Times New Roman" w:cs="Times New Roman"/>
          <w:sz w:val="28"/>
          <w:szCs w:val="28"/>
          <w:lang w:val="en-GB"/>
        </w:rPr>
        <w:t xml:space="preserve">Counsel also accepted that </w:t>
      </w:r>
      <w:r w:rsidR="009B1CD2" w:rsidRPr="00620926">
        <w:rPr>
          <w:rFonts w:ascii="Times New Roman" w:hAnsi="Times New Roman" w:cs="Times New Roman"/>
          <w:sz w:val="28"/>
          <w:szCs w:val="28"/>
          <w:lang w:val="en-GB"/>
        </w:rPr>
        <w:t>in respect of the allocation of ‘further’ LPMs</w:t>
      </w:r>
      <w:r w:rsidR="002D3B22" w:rsidRPr="00620926">
        <w:rPr>
          <w:rFonts w:ascii="Times New Roman" w:hAnsi="Times New Roman" w:cs="Times New Roman"/>
          <w:sz w:val="28"/>
          <w:szCs w:val="28"/>
          <w:lang w:val="en-GB"/>
        </w:rPr>
        <w:t xml:space="preserve">, the Board was entitled to offer those LPMs to </w:t>
      </w:r>
      <w:r w:rsidR="00826C8B" w:rsidRPr="00620926">
        <w:rPr>
          <w:rFonts w:ascii="Times New Roman" w:hAnsi="Times New Roman" w:cs="Times New Roman"/>
          <w:sz w:val="28"/>
          <w:szCs w:val="28"/>
          <w:lang w:val="en-GB"/>
        </w:rPr>
        <w:t xml:space="preserve">existing licence holders as provided in the RFP. </w:t>
      </w:r>
      <w:r w:rsidR="00A73824" w:rsidRPr="00620926">
        <w:rPr>
          <w:rFonts w:ascii="Times New Roman" w:hAnsi="Times New Roman" w:cs="Times New Roman"/>
          <w:sz w:val="28"/>
          <w:szCs w:val="28"/>
          <w:lang w:val="en-GB"/>
        </w:rPr>
        <w:t xml:space="preserve">However, so the argument went, the Board was not entitled </w:t>
      </w:r>
      <w:r w:rsidR="00A73824" w:rsidRPr="00620926">
        <w:rPr>
          <w:rFonts w:ascii="Times New Roman" w:hAnsi="Times New Roman" w:cs="Times New Roman"/>
          <w:sz w:val="28"/>
          <w:szCs w:val="28"/>
          <w:lang w:val="en-GB"/>
        </w:rPr>
        <w:lastRenderedPageBreak/>
        <w:t xml:space="preserve">to allocate the </w:t>
      </w:r>
      <w:r w:rsidR="00BB2FD6" w:rsidRPr="00620926">
        <w:rPr>
          <w:rFonts w:ascii="Times New Roman" w:hAnsi="Times New Roman" w:cs="Times New Roman"/>
          <w:sz w:val="28"/>
          <w:szCs w:val="28"/>
          <w:lang w:val="en-GB"/>
        </w:rPr>
        <w:t xml:space="preserve">remaining </w:t>
      </w:r>
      <w:r w:rsidR="00683684" w:rsidRPr="00620926">
        <w:rPr>
          <w:rFonts w:ascii="Times New Roman" w:hAnsi="Times New Roman" w:cs="Times New Roman"/>
          <w:sz w:val="28"/>
          <w:szCs w:val="28"/>
          <w:lang w:val="en-GB"/>
        </w:rPr>
        <w:t>1000 LPMs to V-Slots and Grand Slots as it had done</w:t>
      </w:r>
      <w:r w:rsidR="00D66A1F" w:rsidRPr="00620926">
        <w:rPr>
          <w:rFonts w:ascii="Times New Roman" w:hAnsi="Times New Roman" w:cs="Times New Roman"/>
          <w:sz w:val="28"/>
          <w:szCs w:val="28"/>
          <w:lang w:val="en-GB"/>
        </w:rPr>
        <w:t>, without advertising</w:t>
      </w:r>
      <w:r w:rsidR="00181659" w:rsidRPr="00620926">
        <w:rPr>
          <w:rFonts w:ascii="Times New Roman" w:hAnsi="Times New Roman" w:cs="Times New Roman"/>
          <w:sz w:val="28"/>
          <w:szCs w:val="28"/>
          <w:lang w:val="en-GB"/>
        </w:rPr>
        <w:t>.</w:t>
      </w:r>
      <w:r w:rsidR="000D5A8F" w:rsidRPr="00620926">
        <w:rPr>
          <w:rFonts w:ascii="Times New Roman" w:hAnsi="Times New Roman" w:cs="Times New Roman"/>
          <w:sz w:val="28"/>
          <w:szCs w:val="28"/>
          <w:lang w:val="en-GB"/>
        </w:rPr>
        <w:t xml:space="preserve"> </w:t>
      </w:r>
      <w:r w:rsidR="00DC652F" w:rsidRPr="00620926">
        <w:rPr>
          <w:rFonts w:ascii="Times New Roman" w:hAnsi="Times New Roman" w:cs="Times New Roman"/>
          <w:sz w:val="28"/>
          <w:szCs w:val="28"/>
          <w:lang w:val="en-GB"/>
        </w:rPr>
        <w:t>The argument need only be stated to be rejected.</w:t>
      </w:r>
    </w:p>
    <w:p w14:paraId="220FB0A1" w14:textId="77777777" w:rsidR="001469AE" w:rsidRPr="00620926" w:rsidRDefault="001469AE" w:rsidP="00B95853">
      <w:pPr>
        <w:spacing w:after="0" w:line="360" w:lineRule="auto"/>
        <w:jc w:val="both"/>
        <w:rPr>
          <w:rFonts w:ascii="Times New Roman" w:hAnsi="Times New Roman" w:cs="Times New Roman"/>
          <w:sz w:val="28"/>
          <w:szCs w:val="28"/>
          <w:lang w:val="en-GB"/>
        </w:rPr>
      </w:pPr>
    </w:p>
    <w:p w14:paraId="12596A14" w14:textId="19E709BF" w:rsidR="001469AE" w:rsidRPr="00620926" w:rsidRDefault="001469AE"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[3</w:t>
      </w:r>
      <w:r w:rsidR="00CC051F" w:rsidRPr="00620926">
        <w:rPr>
          <w:rFonts w:ascii="Times New Roman" w:hAnsi="Times New Roman" w:cs="Times New Roman"/>
          <w:sz w:val="28"/>
          <w:szCs w:val="28"/>
          <w:lang w:val="en-GB"/>
        </w:rPr>
        <w:t>1</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The lawfulness of the </w:t>
      </w:r>
      <w:r w:rsidR="004A1A7C" w:rsidRPr="00620926">
        <w:rPr>
          <w:rFonts w:ascii="Times New Roman" w:hAnsi="Times New Roman" w:cs="Times New Roman"/>
          <w:sz w:val="28"/>
          <w:szCs w:val="28"/>
          <w:lang w:val="en-GB"/>
        </w:rPr>
        <w:t xml:space="preserve">RFP was not challenged. </w:t>
      </w:r>
      <w:r w:rsidR="00A10881" w:rsidRPr="00620926">
        <w:rPr>
          <w:rFonts w:ascii="Times New Roman" w:hAnsi="Times New Roman" w:cs="Times New Roman"/>
          <w:sz w:val="28"/>
          <w:szCs w:val="28"/>
          <w:lang w:val="en-GB"/>
        </w:rPr>
        <w:t xml:space="preserve">Nor was </w:t>
      </w:r>
      <w:r w:rsidR="00BC5603" w:rsidRPr="00620926">
        <w:rPr>
          <w:rFonts w:ascii="Times New Roman" w:hAnsi="Times New Roman" w:cs="Times New Roman"/>
          <w:sz w:val="28"/>
          <w:szCs w:val="28"/>
          <w:lang w:val="en-GB"/>
        </w:rPr>
        <w:t xml:space="preserve">there a </w:t>
      </w:r>
      <w:r w:rsidR="00346DA5" w:rsidRPr="00620926">
        <w:rPr>
          <w:rFonts w:ascii="Times New Roman" w:hAnsi="Times New Roman" w:cs="Times New Roman"/>
          <w:sz w:val="28"/>
          <w:szCs w:val="28"/>
          <w:lang w:val="en-GB"/>
        </w:rPr>
        <w:t>challenge</w:t>
      </w:r>
      <w:r w:rsidR="00BC5603" w:rsidRPr="00620926">
        <w:rPr>
          <w:rFonts w:ascii="Times New Roman" w:hAnsi="Times New Roman" w:cs="Times New Roman"/>
          <w:sz w:val="28"/>
          <w:szCs w:val="28"/>
          <w:lang w:val="en-GB"/>
        </w:rPr>
        <w:t xml:space="preserve"> to </w:t>
      </w:r>
      <w:r w:rsidR="00A10881" w:rsidRPr="00620926">
        <w:rPr>
          <w:rFonts w:ascii="Times New Roman" w:hAnsi="Times New Roman" w:cs="Times New Roman"/>
          <w:sz w:val="28"/>
          <w:szCs w:val="28"/>
          <w:lang w:val="en-GB"/>
        </w:rPr>
        <w:t xml:space="preserve">the Board’s reservation of the right to </w:t>
      </w:r>
      <w:r w:rsidR="00047DE8" w:rsidRPr="00620926">
        <w:rPr>
          <w:rFonts w:ascii="Times New Roman" w:hAnsi="Times New Roman" w:cs="Times New Roman"/>
          <w:sz w:val="28"/>
          <w:szCs w:val="28"/>
          <w:lang w:val="en-GB"/>
        </w:rPr>
        <w:t xml:space="preserve">allocate LPMs </w:t>
      </w:r>
      <w:r w:rsidR="00A21FBE" w:rsidRPr="00620926">
        <w:rPr>
          <w:rFonts w:ascii="Times New Roman" w:hAnsi="Times New Roman" w:cs="Times New Roman"/>
          <w:sz w:val="28"/>
          <w:szCs w:val="28"/>
          <w:lang w:val="en-GB"/>
        </w:rPr>
        <w:t>as provided by the RFP.</w:t>
      </w:r>
      <w:r w:rsidR="00D963FC" w:rsidRPr="00620926">
        <w:rPr>
          <w:rFonts w:ascii="Times New Roman" w:hAnsi="Times New Roman" w:cs="Times New Roman"/>
          <w:sz w:val="28"/>
          <w:szCs w:val="28"/>
          <w:lang w:val="en-GB"/>
        </w:rPr>
        <w:t xml:space="preserve"> </w:t>
      </w:r>
      <w:r w:rsidR="00EC081A" w:rsidRPr="00620926">
        <w:rPr>
          <w:rFonts w:ascii="Times New Roman" w:hAnsi="Times New Roman" w:cs="Times New Roman"/>
          <w:sz w:val="28"/>
          <w:szCs w:val="28"/>
          <w:lang w:val="en-GB"/>
        </w:rPr>
        <w:t xml:space="preserve">The absence of a challenge to </w:t>
      </w:r>
      <w:r w:rsidR="00C23C53" w:rsidRPr="00620926">
        <w:rPr>
          <w:rFonts w:ascii="Times New Roman" w:hAnsi="Times New Roman" w:cs="Times New Roman"/>
          <w:sz w:val="28"/>
          <w:szCs w:val="28"/>
          <w:lang w:val="en-GB"/>
        </w:rPr>
        <w:t>the lawfulness of the RFP, and the administrative decisions which underpin it, is an insurmountable</w:t>
      </w:r>
      <w:r w:rsidR="00644A4E" w:rsidRPr="00620926">
        <w:rPr>
          <w:rFonts w:ascii="Times New Roman" w:hAnsi="Times New Roman" w:cs="Times New Roman"/>
          <w:sz w:val="28"/>
          <w:szCs w:val="28"/>
          <w:lang w:val="en-GB"/>
        </w:rPr>
        <w:t xml:space="preserve"> </w:t>
      </w:r>
      <w:r w:rsidR="00346DA5" w:rsidRPr="00620926">
        <w:rPr>
          <w:rFonts w:ascii="Times New Roman" w:hAnsi="Times New Roman" w:cs="Times New Roman"/>
          <w:sz w:val="28"/>
          <w:szCs w:val="28"/>
          <w:lang w:val="en-GB"/>
        </w:rPr>
        <w:t>obstacle</w:t>
      </w:r>
      <w:r w:rsidR="00644A4E" w:rsidRPr="00620926">
        <w:rPr>
          <w:rFonts w:ascii="Times New Roman" w:hAnsi="Times New Roman" w:cs="Times New Roman"/>
          <w:sz w:val="28"/>
          <w:szCs w:val="28"/>
          <w:lang w:val="en-GB"/>
        </w:rPr>
        <w:t xml:space="preserve"> in the path of </w:t>
      </w:r>
      <w:proofErr w:type="spellStart"/>
      <w:r w:rsidR="00BB2FD6" w:rsidRPr="00620926">
        <w:rPr>
          <w:rFonts w:ascii="Times New Roman" w:hAnsi="Times New Roman" w:cs="Times New Roman"/>
          <w:sz w:val="28"/>
          <w:szCs w:val="28"/>
          <w:lang w:val="en-GB"/>
        </w:rPr>
        <w:t>Goldrush’s</w:t>
      </w:r>
      <w:proofErr w:type="spellEnd"/>
      <w:r w:rsidR="00644A4E" w:rsidRPr="00620926">
        <w:rPr>
          <w:rFonts w:ascii="Times New Roman" w:hAnsi="Times New Roman" w:cs="Times New Roman"/>
          <w:sz w:val="28"/>
          <w:szCs w:val="28"/>
          <w:lang w:val="en-GB"/>
        </w:rPr>
        <w:t xml:space="preserve"> review.</w:t>
      </w:r>
      <w:r w:rsidR="00346DA5" w:rsidRPr="00620926">
        <w:rPr>
          <w:rStyle w:val="FootnoteReference"/>
          <w:rFonts w:ascii="Times New Roman" w:hAnsi="Times New Roman" w:cs="Times New Roman"/>
          <w:sz w:val="28"/>
          <w:szCs w:val="28"/>
          <w:lang w:val="en-GB"/>
        </w:rPr>
        <w:footnoteReference w:id="9"/>
      </w:r>
      <w:r w:rsidR="00047DE8" w:rsidRPr="00620926">
        <w:rPr>
          <w:rFonts w:ascii="Times New Roman" w:hAnsi="Times New Roman" w:cs="Times New Roman"/>
          <w:sz w:val="28"/>
          <w:szCs w:val="28"/>
          <w:lang w:val="en-GB"/>
        </w:rPr>
        <w:t xml:space="preserve"> </w:t>
      </w:r>
      <w:r w:rsidR="0088665B" w:rsidRPr="00620926">
        <w:rPr>
          <w:rFonts w:ascii="Times New Roman" w:hAnsi="Times New Roman" w:cs="Times New Roman"/>
          <w:sz w:val="28"/>
          <w:szCs w:val="28"/>
          <w:lang w:val="en-GB"/>
        </w:rPr>
        <w:t>The Board was entitled to set out its policy objectives in the RFP</w:t>
      </w:r>
      <w:r w:rsidR="00337679" w:rsidRPr="00620926">
        <w:rPr>
          <w:rFonts w:ascii="Times New Roman" w:hAnsi="Times New Roman" w:cs="Times New Roman"/>
          <w:sz w:val="28"/>
          <w:szCs w:val="28"/>
          <w:lang w:val="en-GB"/>
        </w:rPr>
        <w:t xml:space="preserve"> and was entitled to exercise its powers in accordance with such objectives. It reserved the right</w:t>
      </w:r>
      <w:r w:rsidR="007F3611" w:rsidRPr="00620926">
        <w:rPr>
          <w:rFonts w:ascii="Times New Roman" w:hAnsi="Times New Roman" w:cs="Times New Roman"/>
          <w:sz w:val="28"/>
          <w:szCs w:val="28"/>
          <w:lang w:val="en-GB"/>
        </w:rPr>
        <w:t xml:space="preserve"> to appoint </w:t>
      </w:r>
      <w:r w:rsidR="002370FC" w:rsidRPr="00620926">
        <w:rPr>
          <w:rFonts w:ascii="Times New Roman" w:hAnsi="Times New Roman" w:cs="Times New Roman"/>
          <w:sz w:val="28"/>
          <w:szCs w:val="28"/>
          <w:lang w:val="en-GB"/>
        </w:rPr>
        <w:t xml:space="preserve">licenced route </w:t>
      </w:r>
      <w:r w:rsidR="007F3611" w:rsidRPr="00620926">
        <w:rPr>
          <w:rFonts w:ascii="Times New Roman" w:hAnsi="Times New Roman" w:cs="Times New Roman"/>
          <w:sz w:val="28"/>
          <w:szCs w:val="28"/>
          <w:lang w:val="en-GB"/>
        </w:rPr>
        <w:t>operators and to make allocations of LPMs</w:t>
      </w:r>
      <w:r w:rsidR="001163AD" w:rsidRPr="00620926">
        <w:rPr>
          <w:rFonts w:ascii="Times New Roman" w:hAnsi="Times New Roman" w:cs="Times New Roman"/>
          <w:sz w:val="28"/>
          <w:szCs w:val="28"/>
          <w:lang w:val="en-GB"/>
        </w:rPr>
        <w:t xml:space="preserve"> in the manner provided by the RFP.</w:t>
      </w:r>
      <w:r w:rsidR="00E00401" w:rsidRPr="00620926">
        <w:rPr>
          <w:rFonts w:ascii="Times New Roman" w:hAnsi="Times New Roman" w:cs="Times New Roman"/>
          <w:sz w:val="28"/>
          <w:szCs w:val="28"/>
          <w:lang w:val="en-GB"/>
        </w:rPr>
        <w:t xml:space="preserve"> It acted in accordance with such reservation</w:t>
      </w:r>
      <w:r w:rsidR="00D4592B" w:rsidRPr="00620926">
        <w:rPr>
          <w:rFonts w:ascii="Times New Roman" w:hAnsi="Times New Roman" w:cs="Times New Roman"/>
          <w:sz w:val="28"/>
          <w:szCs w:val="28"/>
          <w:lang w:val="en-GB"/>
        </w:rPr>
        <w:t>, as it was entitled to do.</w:t>
      </w:r>
    </w:p>
    <w:p w14:paraId="36E85424" w14:textId="77777777" w:rsidR="00075764" w:rsidRPr="00620926" w:rsidRDefault="00075764" w:rsidP="00B95853">
      <w:pPr>
        <w:spacing w:after="0" w:line="360" w:lineRule="auto"/>
        <w:jc w:val="both"/>
        <w:rPr>
          <w:rFonts w:ascii="Times New Roman" w:hAnsi="Times New Roman" w:cs="Times New Roman"/>
          <w:sz w:val="28"/>
          <w:szCs w:val="28"/>
          <w:lang w:val="en-GB"/>
        </w:rPr>
      </w:pPr>
    </w:p>
    <w:p w14:paraId="757DD703" w14:textId="4F6D9D42" w:rsidR="00075764" w:rsidRPr="00620926" w:rsidRDefault="00075764"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[3</w:t>
      </w:r>
      <w:r w:rsidR="00CC051F" w:rsidRPr="00620926">
        <w:rPr>
          <w:rFonts w:ascii="Times New Roman" w:hAnsi="Times New Roman" w:cs="Times New Roman"/>
          <w:sz w:val="28"/>
          <w:szCs w:val="28"/>
          <w:lang w:val="en-GB"/>
        </w:rPr>
        <w:t>2</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t xml:space="preserve">The high court failed to take </w:t>
      </w:r>
      <w:r w:rsidR="003875D2" w:rsidRPr="00620926">
        <w:rPr>
          <w:rFonts w:ascii="Times New Roman" w:hAnsi="Times New Roman" w:cs="Times New Roman"/>
          <w:sz w:val="28"/>
          <w:szCs w:val="28"/>
          <w:lang w:val="en-GB"/>
        </w:rPr>
        <w:t>cognisance</w:t>
      </w:r>
      <w:r w:rsidRPr="00620926">
        <w:rPr>
          <w:rFonts w:ascii="Times New Roman" w:hAnsi="Times New Roman" w:cs="Times New Roman"/>
          <w:sz w:val="28"/>
          <w:szCs w:val="28"/>
          <w:lang w:val="en-GB"/>
        </w:rPr>
        <w:t xml:space="preserve"> of the fact that the Board had acted </w:t>
      </w:r>
      <w:r w:rsidR="001A65C8" w:rsidRPr="00620926">
        <w:rPr>
          <w:rFonts w:ascii="Times New Roman" w:hAnsi="Times New Roman" w:cs="Times New Roman"/>
          <w:sz w:val="28"/>
          <w:szCs w:val="28"/>
          <w:lang w:val="en-GB"/>
        </w:rPr>
        <w:t>within its powers. It appears to have considered that the allocation of LPMs</w:t>
      </w:r>
      <w:r w:rsidR="004E4492" w:rsidRPr="00620926">
        <w:rPr>
          <w:rFonts w:ascii="Times New Roman" w:hAnsi="Times New Roman" w:cs="Times New Roman"/>
          <w:sz w:val="28"/>
          <w:szCs w:val="28"/>
          <w:lang w:val="en-GB"/>
        </w:rPr>
        <w:t xml:space="preserve"> involved</w:t>
      </w:r>
      <w:r w:rsidR="00F66F08" w:rsidRPr="00620926">
        <w:rPr>
          <w:rFonts w:ascii="Times New Roman" w:hAnsi="Times New Roman" w:cs="Times New Roman"/>
          <w:sz w:val="28"/>
          <w:szCs w:val="28"/>
          <w:lang w:val="en-GB"/>
        </w:rPr>
        <w:t xml:space="preserve"> ‘additional licences’</w:t>
      </w:r>
      <w:r w:rsidR="00AF43EC" w:rsidRPr="00620926">
        <w:rPr>
          <w:rFonts w:ascii="Times New Roman" w:hAnsi="Times New Roman" w:cs="Times New Roman"/>
          <w:sz w:val="28"/>
          <w:szCs w:val="28"/>
          <w:lang w:val="en-GB"/>
        </w:rPr>
        <w:t xml:space="preserve"> and that such </w:t>
      </w:r>
      <w:r w:rsidR="00AF43EC" w:rsidRPr="00620926">
        <w:rPr>
          <w:rFonts w:ascii="Times New Roman" w:hAnsi="Times New Roman" w:cs="Times New Roman"/>
          <w:i/>
          <w:iCs/>
          <w:sz w:val="28"/>
          <w:szCs w:val="28"/>
          <w:lang w:val="en-GB"/>
        </w:rPr>
        <w:t>allocation</w:t>
      </w:r>
      <w:r w:rsidR="00AF43EC" w:rsidRPr="00620926">
        <w:rPr>
          <w:rFonts w:ascii="Times New Roman" w:hAnsi="Times New Roman" w:cs="Times New Roman"/>
          <w:sz w:val="28"/>
          <w:szCs w:val="28"/>
          <w:lang w:val="en-GB"/>
        </w:rPr>
        <w:t xml:space="preserve"> required a </w:t>
      </w:r>
      <w:r w:rsidR="00D224E3" w:rsidRPr="00620926">
        <w:rPr>
          <w:rFonts w:ascii="Times New Roman" w:hAnsi="Times New Roman" w:cs="Times New Roman"/>
          <w:sz w:val="28"/>
          <w:szCs w:val="28"/>
          <w:lang w:val="en-GB"/>
        </w:rPr>
        <w:t>process</w:t>
      </w:r>
      <w:r w:rsidR="00F82D54" w:rsidRPr="00620926">
        <w:rPr>
          <w:rFonts w:ascii="Times New Roman" w:hAnsi="Times New Roman" w:cs="Times New Roman"/>
          <w:sz w:val="28"/>
          <w:szCs w:val="28"/>
          <w:lang w:val="en-GB"/>
        </w:rPr>
        <w:t xml:space="preserve"> initiated by way of advertisement. In this the high court erred.</w:t>
      </w:r>
      <w:r w:rsidR="00BB2FD6" w:rsidRPr="00620926">
        <w:rPr>
          <w:rFonts w:ascii="Times New Roman" w:hAnsi="Times New Roman" w:cs="Times New Roman"/>
          <w:sz w:val="28"/>
          <w:szCs w:val="28"/>
          <w:lang w:val="en-GB"/>
        </w:rPr>
        <w:t xml:space="preserve"> It is so that t</w:t>
      </w:r>
      <w:r w:rsidR="00A03E8B" w:rsidRPr="00620926">
        <w:rPr>
          <w:rFonts w:ascii="Times New Roman" w:hAnsi="Times New Roman" w:cs="Times New Roman"/>
          <w:sz w:val="28"/>
          <w:szCs w:val="28"/>
          <w:lang w:val="en-GB"/>
        </w:rPr>
        <w:t xml:space="preserve">he </w:t>
      </w:r>
      <w:r w:rsidR="006932C3" w:rsidRPr="00620926">
        <w:rPr>
          <w:rFonts w:ascii="Times New Roman" w:hAnsi="Times New Roman" w:cs="Times New Roman"/>
          <w:sz w:val="28"/>
          <w:szCs w:val="28"/>
          <w:lang w:val="en-GB"/>
        </w:rPr>
        <w:t>appointment of licenced operators</w:t>
      </w:r>
      <w:r w:rsidR="006D2DD4" w:rsidRPr="00620926">
        <w:rPr>
          <w:rFonts w:ascii="Times New Roman" w:hAnsi="Times New Roman" w:cs="Times New Roman"/>
          <w:sz w:val="28"/>
          <w:szCs w:val="28"/>
          <w:lang w:val="en-GB"/>
        </w:rPr>
        <w:t xml:space="preserve"> </w:t>
      </w:r>
      <w:r w:rsidR="001B13C6" w:rsidRPr="00620926">
        <w:rPr>
          <w:rFonts w:ascii="Times New Roman" w:hAnsi="Times New Roman" w:cs="Times New Roman"/>
          <w:sz w:val="28"/>
          <w:szCs w:val="28"/>
          <w:lang w:val="en-GB"/>
        </w:rPr>
        <w:t>requires publication of an invitation to apply.</w:t>
      </w:r>
      <w:r w:rsidR="006D2DD4" w:rsidRPr="00620926">
        <w:rPr>
          <w:rFonts w:ascii="Times New Roman" w:hAnsi="Times New Roman" w:cs="Times New Roman"/>
          <w:sz w:val="28"/>
          <w:szCs w:val="28"/>
          <w:lang w:val="en-GB"/>
        </w:rPr>
        <w:t xml:space="preserve"> </w:t>
      </w:r>
      <w:r w:rsidR="000F1EDB" w:rsidRPr="00620926">
        <w:rPr>
          <w:rFonts w:ascii="Times New Roman" w:hAnsi="Times New Roman" w:cs="Times New Roman"/>
          <w:sz w:val="28"/>
          <w:szCs w:val="28"/>
          <w:lang w:val="en-GB"/>
        </w:rPr>
        <w:t xml:space="preserve">That </w:t>
      </w:r>
      <w:r w:rsidR="004F3BE5" w:rsidRPr="00620926">
        <w:rPr>
          <w:rFonts w:ascii="Times New Roman" w:hAnsi="Times New Roman" w:cs="Times New Roman"/>
          <w:sz w:val="28"/>
          <w:szCs w:val="28"/>
          <w:lang w:val="en-GB"/>
        </w:rPr>
        <w:t xml:space="preserve">process, however, </w:t>
      </w:r>
      <w:r w:rsidR="000F1EDB" w:rsidRPr="00620926">
        <w:rPr>
          <w:rFonts w:ascii="Times New Roman" w:hAnsi="Times New Roman" w:cs="Times New Roman"/>
          <w:sz w:val="28"/>
          <w:szCs w:val="28"/>
          <w:lang w:val="en-GB"/>
        </w:rPr>
        <w:t>had already run its course when the RFP was issued</w:t>
      </w:r>
      <w:r w:rsidR="002E591E" w:rsidRPr="00620926">
        <w:rPr>
          <w:rFonts w:ascii="Times New Roman" w:hAnsi="Times New Roman" w:cs="Times New Roman"/>
          <w:sz w:val="28"/>
          <w:szCs w:val="28"/>
          <w:lang w:val="en-GB"/>
        </w:rPr>
        <w:t xml:space="preserve"> and when the Board decided to appoint V-Slots and Grand Slots. </w:t>
      </w:r>
      <w:r w:rsidR="002657A2" w:rsidRPr="00620926">
        <w:rPr>
          <w:rFonts w:ascii="Times New Roman" w:hAnsi="Times New Roman" w:cs="Times New Roman"/>
          <w:sz w:val="28"/>
          <w:szCs w:val="28"/>
          <w:lang w:val="en-GB"/>
        </w:rPr>
        <w:t xml:space="preserve">The </w:t>
      </w:r>
      <w:r w:rsidR="002657A2" w:rsidRPr="00620926">
        <w:rPr>
          <w:rFonts w:ascii="Times New Roman" w:hAnsi="Times New Roman" w:cs="Times New Roman"/>
          <w:i/>
          <w:iCs/>
          <w:sz w:val="28"/>
          <w:szCs w:val="28"/>
          <w:lang w:val="en-GB"/>
        </w:rPr>
        <w:t>allocation</w:t>
      </w:r>
      <w:r w:rsidR="002657A2" w:rsidRPr="00620926">
        <w:rPr>
          <w:rFonts w:ascii="Times New Roman" w:hAnsi="Times New Roman" w:cs="Times New Roman"/>
          <w:sz w:val="28"/>
          <w:szCs w:val="28"/>
          <w:lang w:val="en-GB"/>
        </w:rPr>
        <w:t xml:space="preserve"> of LPMs to licenced operators</w:t>
      </w:r>
      <w:r w:rsidR="00017C59" w:rsidRPr="00620926">
        <w:rPr>
          <w:rFonts w:ascii="Times New Roman" w:hAnsi="Times New Roman" w:cs="Times New Roman"/>
          <w:sz w:val="28"/>
          <w:szCs w:val="28"/>
          <w:lang w:val="en-GB"/>
        </w:rPr>
        <w:t xml:space="preserve"> requires no </w:t>
      </w:r>
      <w:r w:rsidR="00237FEC" w:rsidRPr="00620926">
        <w:rPr>
          <w:rFonts w:ascii="Times New Roman" w:hAnsi="Times New Roman" w:cs="Times New Roman"/>
          <w:sz w:val="28"/>
          <w:szCs w:val="28"/>
          <w:lang w:val="en-GB"/>
        </w:rPr>
        <w:t>licencing process.</w:t>
      </w:r>
      <w:r w:rsidR="008C54F6" w:rsidRPr="00620926">
        <w:rPr>
          <w:rFonts w:ascii="Times New Roman" w:hAnsi="Times New Roman" w:cs="Times New Roman"/>
          <w:sz w:val="28"/>
          <w:szCs w:val="28"/>
          <w:lang w:val="en-GB"/>
        </w:rPr>
        <w:t xml:space="preserve"> LPMs can only be allocated to operators who have been licenced</w:t>
      </w:r>
      <w:r w:rsidR="00D3305D" w:rsidRPr="00620926">
        <w:rPr>
          <w:rFonts w:ascii="Times New Roman" w:hAnsi="Times New Roman" w:cs="Times New Roman"/>
          <w:sz w:val="28"/>
          <w:szCs w:val="28"/>
          <w:lang w:val="en-GB"/>
        </w:rPr>
        <w:t xml:space="preserve">. </w:t>
      </w:r>
    </w:p>
    <w:p w14:paraId="4A3012F8" w14:textId="77777777" w:rsidR="00E50960" w:rsidRPr="00620926" w:rsidRDefault="00E50960" w:rsidP="00B95853">
      <w:pPr>
        <w:spacing w:after="0" w:line="360" w:lineRule="auto"/>
        <w:jc w:val="both"/>
        <w:rPr>
          <w:rFonts w:ascii="Times New Roman" w:hAnsi="Times New Roman" w:cs="Times New Roman"/>
          <w:sz w:val="28"/>
          <w:szCs w:val="28"/>
          <w:lang w:val="en-GB"/>
        </w:rPr>
      </w:pPr>
    </w:p>
    <w:p w14:paraId="142EF77D" w14:textId="2A11A08E" w:rsidR="00E50960" w:rsidRPr="00620926" w:rsidRDefault="00E50960"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4579EA" w:rsidRPr="00620926">
        <w:rPr>
          <w:rFonts w:ascii="Times New Roman" w:hAnsi="Times New Roman" w:cs="Times New Roman"/>
          <w:sz w:val="28"/>
          <w:szCs w:val="28"/>
          <w:lang w:val="en-GB"/>
        </w:rPr>
        <w:t>3</w:t>
      </w:r>
      <w:r w:rsidR="00CC051F" w:rsidRPr="00620926">
        <w:rPr>
          <w:rFonts w:ascii="Times New Roman" w:hAnsi="Times New Roman" w:cs="Times New Roman"/>
          <w:sz w:val="28"/>
          <w:szCs w:val="28"/>
          <w:lang w:val="en-GB"/>
        </w:rPr>
        <w:t>3</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r>
      <w:r w:rsidR="00C93FD8" w:rsidRPr="00620926">
        <w:rPr>
          <w:rFonts w:ascii="Times New Roman" w:hAnsi="Times New Roman" w:cs="Times New Roman"/>
          <w:sz w:val="28"/>
          <w:szCs w:val="28"/>
          <w:lang w:val="en-GB"/>
        </w:rPr>
        <w:t xml:space="preserve">In the circumstances, the high court’s conclusion that the </w:t>
      </w:r>
      <w:r w:rsidR="00B40C6E" w:rsidRPr="00620926">
        <w:rPr>
          <w:rFonts w:ascii="Times New Roman" w:hAnsi="Times New Roman" w:cs="Times New Roman"/>
          <w:sz w:val="28"/>
          <w:szCs w:val="28"/>
          <w:lang w:val="en-GB"/>
        </w:rPr>
        <w:t xml:space="preserve">Board’s decision </w:t>
      </w:r>
      <w:r w:rsidR="00BD70FD" w:rsidRPr="00620926">
        <w:rPr>
          <w:rFonts w:ascii="Times New Roman" w:hAnsi="Times New Roman" w:cs="Times New Roman"/>
          <w:sz w:val="28"/>
          <w:szCs w:val="28"/>
          <w:lang w:val="en-GB"/>
        </w:rPr>
        <w:t>was unlawful, cannot stand.</w:t>
      </w:r>
      <w:r w:rsidR="00C9015E" w:rsidRPr="00620926">
        <w:rPr>
          <w:rFonts w:ascii="Times New Roman" w:hAnsi="Times New Roman" w:cs="Times New Roman"/>
          <w:sz w:val="28"/>
          <w:szCs w:val="28"/>
          <w:lang w:val="en-GB"/>
        </w:rPr>
        <w:t xml:space="preserve"> </w:t>
      </w:r>
      <w:r w:rsidRPr="00620926">
        <w:rPr>
          <w:rFonts w:ascii="Times New Roman" w:hAnsi="Times New Roman" w:cs="Times New Roman"/>
          <w:sz w:val="28"/>
          <w:szCs w:val="28"/>
          <w:lang w:val="en-GB"/>
        </w:rPr>
        <w:t>The order granted by the high court went further tha</w:t>
      </w:r>
      <w:r w:rsidR="002B7080" w:rsidRPr="00620926">
        <w:rPr>
          <w:rFonts w:ascii="Times New Roman" w:hAnsi="Times New Roman" w:cs="Times New Roman"/>
          <w:sz w:val="28"/>
          <w:szCs w:val="28"/>
          <w:lang w:val="en-GB"/>
        </w:rPr>
        <w:t>n</w:t>
      </w:r>
      <w:r w:rsidRPr="00620926">
        <w:rPr>
          <w:rFonts w:ascii="Times New Roman" w:hAnsi="Times New Roman" w:cs="Times New Roman"/>
          <w:sz w:val="28"/>
          <w:szCs w:val="28"/>
          <w:lang w:val="en-GB"/>
        </w:rPr>
        <w:t xml:space="preserve"> </w:t>
      </w:r>
      <w:r w:rsidR="00C9015E" w:rsidRPr="00620926">
        <w:rPr>
          <w:rFonts w:ascii="Times New Roman" w:hAnsi="Times New Roman" w:cs="Times New Roman"/>
          <w:sz w:val="28"/>
          <w:szCs w:val="28"/>
          <w:lang w:val="en-GB"/>
        </w:rPr>
        <w:t xml:space="preserve">the relief </w:t>
      </w:r>
      <w:r w:rsidR="002370FC" w:rsidRPr="00620926">
        <w:rPr>
          <w:rFonts w:ascii="Times New Roman" w:hAnsi="Times New Roman" w:cs="Times New Roman"/>
          <w:sz w:val="28"/>
          <w:szCs w:val="28"/>
          <w:lang w:val="en-GB"/>
        </w:rPr>
        <w:t>s</w:t>
      </w:r>
      <w:r w:rsidRPr="00620926">
        <w:rPr>
          <w:rFonts w:ascii="Times New Roman" w:hAnsi="Times New Roman" w:cs="Times New Roman"/>
          <w:sz w:val="28"/>
          <w:szCs w:val="28"/>
          <w:lang w:val="en-GB"/>
        </w:rPr>
        <w:t xml:space="preserve">ought. </w:t>
      </w:r>
      <w:proofErr w:type="spellStart"/>
      <w:r w:rsidR="00640BDD" w:rsidRPr="00620926">
        <w:rPr>
          <w:rFonts w:ascii="Times New Roman" w:hAnsi="Times New Roman" w:cs="Times New Roman"/>
          <w:sz w:val="28"/>
          <w:szCs w:val="28"/>
          <w:lang w:val="en-GB"/>
        </w:rPr>
        <w:t>Go</w:t>
      </w:r>
      <w:r w:rsidR="005229E0" w:rsidRPr="00620926">
        <w:rPr>
          <w:rFonts w:ascii="Times New Roman" w:hAnsi="Times New Roman" w:cs="Times New Roman"/>
          <w:sz w:val="28"/>
          <w:szCs w:val="28"/>
          <w:lang w:val="en-GB"/>
        </w:rPr>
        <w:t>ldr</w:t>
      </w:r>
      <w:r w:rsidR="00640BDD" w:rsidRPr="00620926">
        <w:rPr>
          <w:rFonts w:ascii="Times New Roman" w:hAnsi="Times New Roman" w:cs="Times New Roman"/>
          <w:sz w:val="28"/>
          <w:szCs w:val="28"/>
          <w:lang w:val="en-GB"/>
        </w:rPr>
        <w:t>ush’s</w:t>
      </w:r>
      <w:proofErr w:type="spellEnd"/>
      <w:r w:rsidR="00640BDD" w:rsidRPr="00620926">
        <w:rPr>
          <w:rFonts w:ascii="Times New Roman" w:hAnsi="Times New Roman" w:cs="Times New Roman"/>
          <w:sz w:val="28"/>
          <w:szCs w:val="28"/>
          <w:lang w:val="en-GB"/>
        </w:rPr>
        <w:t xml:space="preserve"> conditional cross</w:t>
      </w:r>
      <w:r w:rsidR="002370FC" w:rsidRPr="00620926">
        <w:rPr>
          <w:rFonts w:ascii="Times New Roman" w:hAnsi="Times New Roman" w:cs="Times New Roman"/>
          <w:sz w:val="28"/>
          <w:szCs w:val="28"/>
          <w:lang w:val="en-GB"/>
        </w:rPr>
        <w:t>-</w:t>
      </w:r>
      <w:r w:rsidR="00640BDD" w:rsidRPr="00620926">
        <w:rPr>
          <w:rFonts w:ascii="Times New Roman" w:hAnsi="Times New Roman" w:cs="Times New Roman"/>
          <w:sz w:val="28"/>
          <w:szCs w:val="28"/>
          <w:lang w:val="en-GB"/>
        </w:rPr>
        <w:t>appeal against</w:t>
      </w:r>
      <w:r w:rsidR="007C014D" w:rsidRPr="00620926">
        <w:rPr>
          <w:rFonts w:ascii="Times New Roman" w:hAnsi="Times New Roman" w:cs="Times New Roman"/>
          <w:sz w:val="28"/>
          <w:szCs w:val="28"/>
          <w:lang w:val="en-GB"/>
        </w:rPr>
        <w:t xml:space="preserve"> paragraph 3 of the high court order was abandoned. Its cross</w:t>
      </w:r>
      <w:r w:rsidR="002370FC" w:rsidRPr="00620926">
        <w:rPr>
          <w:rFonts w:ascii="Times New Roman" w:hAnsi="Times New Roman" w:cs="Times New Roman"/>
          <w:sz w:val="28"/>
          <w:szCs w:val="28"/>
          <w:lang w:val="en-GB"/>
        </w:rPr>
        <w:t>-</w:t>
      </w:r>
      <w:r w:rsidR="007C014D" w:rsidRPr="00620926">
        <w:rPr>
          <w:rFonts w:ascii="Times New Roman" w:hAnsi="Times New Roman" w:cs="Times New Roman"/>
          <w:sz w:val="28"/>
          <w:szCs w:val="28"/>
          <w:lang w:val="en-GB"/>
        </w:rPr>
        <w:t xml:space="preserve">appeal relating to </w:t>
      </w:r>
      <w:r w:rsidR="006B7FF2" w:rsidRPr="00620926">
        <w:rPr>
          <w:rFonts w:ascii="Times New Roman" w:hAnsi="Times New Roman" w:cs="Times New Roman"/>
          <w:sz w:val="28"/>
          <w:szCs w:val="28"/>
          <w:lang w:val="en-GB"/>
        </w:rPr>
        <w:t>the high court</w:t>
      </w:r>
      <w:r w:rsidR="00840AD6" w:rsidRPr="00620926">
        <w:rPr>
          <w:rFonts w:ascii="Times New Roman" w:hAnsi="Times New Roman" w:cs="Times New Roman"/>
          <w:sz w:val="28"/>
          <w:szCs w:val="28"/>
          <w:lang w:val="en-GB"/>
        </w:rPr>
        <w:t xml:space="preserve"> finding </w:t>
      </w:r>
      <w:r w:rsidR="00840AD6" w:rsidRPr="00620926">
        <w:rPr>
          <w:rFonts w:ascii="Times New Roman" w:hAnsi="Times New Roman" w:cs="Times New Roman"/>
          <w:sz w:val="28"/>
          <w:szCs w:val="28"/>
          <w:lang w:val="en-GB"/>
        </w:rPr>
        <w:lastRenderedPageBreak/>
        <w:t xml:space="preserve">that it lacked own-interest standing </w:t>
      </w:r>
      <w:r w:rsidR="00BB59BE" w:rsidRPr="00620926">
        <w:rPr>
          <w:rFonts w:ascii="Times New Roman" w:hAnsi="Times New Roman" w:cs="Times New Roman"/>
          <w:sz w:val="28"/>
          <w:szCs w:val="28"/>
          <w:lang w:val="en-GB"/>
        </w:rPr>
        <w:t>must fail for the reason</w:t>
      </w:r>
      <w:r w:rsidR="005229E0" w:rsidRPr="00620926">
        <w:rPr>
          <w:rFonts w:ascii="Times New Roman" w:hAnsi="Times New Roman" w:cs="Times New Roman"/>
          <w:sz w:val="28"/>
          <w:szCs w:val="28"/>
          <w:lang w:val="en-GB"/>
        </w:rPr>
        <w:t>s</w:t>
      </w:r>
      <w:r w:rsidR="00BB59BE" w:rsidRPr="00620926">
        <w:rPr>
          <w:rFonts w:ascii="Times New Roman" w:hAnsi="Times New Roman" w:cs="Times New Roman"/>
          <w:sz w:val="28"/>
          <w:szCs w:val="28"/>
          <w:lang w:val="en-GB"/>
        </w:rPr>
        <w:t xml:space="preserve"> set out above.</w:t>
      </w:r>
      <w:r w:rsidR="006B7FF2" w:rsidRPr="00620926">
        <w:rPr>
          <w:rFonts w:ascii="Times New Roman" w:hAnsi="Times New Roman" w:cs="Times New Roman"/>
          <w:sz w:val="28"/>
          <w:szCs w:val="28"/>
          <w:lang w:val="en-GB"/>
        </w:rPr>
        <w:t xml:space="preserve"> </w:t>
      </w:r>
      <w:r w:rsidRPr="00620926">
        <w:rPr>
          <w:rFonts w:ascii="Times New Roman" w:hAnsi="Times New Roman" w:cs="Times New Roman"/>
          <w:sz w:val="28"/>
          <w:szCs w:val="28"/>
          <w:lang w:val="en-GB"/>
        </w:rPr>
        <w:t xml:space="preserve">In the light of the conclusion to which I have come, nothing further need be said about the </w:t>
      </w:r>
      <w:r w:rsidR="00256242" w:rsidRPr="00620926">
        <w:rPr>
          <w:rFonts w:ascii="Times New Roman" w:hAnsi="Times New Roman" w:cs="Times New Roman"/>
          <w:sz w:val="28"/>
          <w:szCs w:val="28"/>
          <w:lang w:val="en-GB"/>
        </w:rPr>
        <w:t xml:space="preserve">high court </w:t>
      </w:r>
      <w:r w:rsidRPr="00620926">
        <w:rPr>
          <w:rFonts w:ascii="Times New Roman" w:hAnsi="Times New Roman" w:cs="Times New Roman"/>
          <w:sz w:val="28"/>
          <w:szCs w:val="28"/>
          <w:lang w:val="en-GB"/>
        </w:rPr>
        <w:t>order</w:t>
      </w:r>
      <w:r w:rsidR="00256242" w:rsidRPr="00620926">
        <w:rPr>
          <w:rFonts w:ascii="Times New Roman" w:hAnsi="Times New Roman" w:cs="Times New Roman"/>
          <w:sz w:val="28"/>
          <w:szCs w:val="28"/>
          <w:lang w:val="en-GB"/>
        </w:rPr>
        <w:t>s</w:t>
      </w:r>
      <w:r w:rsidRPr="00620926">
        <w:rPr>
          <w:rFonts w:ascii="Times New Roman" w:hAnsi="Times New Roman" w:cs="Times New Roman"/>
          <w:sz w:val="28"/>
          <w:szCs w:val="28"/>
          <w:lang w:val="en-GB"/>
        </w:rPr>
        <w:t>, save in respect of costs</w:t>
      </w:r>
      <w:r w:rsidR="006B738E" w:rsidRPr="00620926">
        <w:rPr>
          <w:rFonts w:ascii="Times New Roman" w:hAnsi="Times New Roman" w:cs="Times New Roman"/>
          <w:sz w:val="28"/>
          <w:szCs w:val="28"/>
          <w:lang w:val="en-GB"/>
        </w:rPr>
        <w:t xml:space="preserve">. </w:t>
      </w:r>
      <w:r w:rsidR="002370FC" w:rsidRPr="00620926">
        <w:rPr>
          <w:rFonts w:ascii="Times New Roman" w:hAnsi="Times New Roman" w:cs="Times New Roman"/>
          <w:sz w:val="28"/>
          <w:szCs w:val="28"/>
          <w:lang w:val="en-GB"/>
        </w:rPr>
        <w:t>T</w:t>
      </w:r>
      <w:r w:rsidR="004F3BE5" w:rsidRPr="00620926">
        <w:rPr>
          <w:rFonts w:ascii="Times New Roman" w:hAnsi="Times New Roman" w:cs="Times New Roman"/>
          <w:sz w:val="28"/>
          <w:szCs w:val="28"/>
          <w:lang w:val="en-GB"/>
        </w:rPr>
        <w:t>he</w:t>
      </w:r>
      <w:r w:rsidRPr="00620926">
        <w:rPr>
          <w:rFonts w:ascii="Times New Roman" w:hAnsi="Times New Roman" w:cs="Times New Roman"/>
          <w:sz w:val="28"/>
          <w:szCs w:val="28"/>
          <w:lang w:val="en-GB"/>
        </w:rPr>
        <w:t xml:space="preserve"> relief that was initially sought in </w:t>
      </w:r>
      <w:r w:rsidR="00B94583" w:rsidRPr="00620926">
        <w:rPr>
          <w:rFonts w:ascii="Times New Roman" w:hAnsi="Times New Roman" w:cs="Times New Roman"/>
          <w:sz w:val="28"/>
          <w:szCs w:val="28"/>
          <w:lang w:val="en-GB"/>
        </w:rPr>
        <w:t>P</w:t>
      </w:r>
      <w:r w:rsidRPr="00620926">
        <w:rPr>
          <w:rFonts w:ascii="Times New Roman" w:hAnsi="Times New Roman" w:cs="Times New Roman"/>
          <w:sz w:val="28"/>
          <w:szCs w:val="28"/>
          <w:lang w:val="en-GB"/>
        </w:rPr>
        <w:t>art A of the notice of motion was not pursued</w:t>
      </w:r>
      <w:r w:rsidR="00D63B5E" w:rsidRPr="00620926">
        <w:rPr>
          <w:rFonts w:ascii="Times New Roman" w:hAnsi="Times New Roman" w:cs="Times New Roman"/>
          <w:sz w:val="28"/>
          <w:szCs w:val="28"/>
          <w:lang w:val="en-GB"/>
        </w:rPr>
        <w:t xml:space="preserve"> before the high court. </w:t>
      </w:r>
      <w:proofErr w:type="spellStart"/>
      <w:r w:rsidR="00773719" w:rsidRPr="00620926">
        <w:rPr>
          <w:rFonts w:ascii="Times New Roman" w:hAnsi="Times New Roman" w:cs="Times New Roman"/>
          <w:sz w:val="28"/>
          <w:szCs w:val="28"/>
          <w:lang w:val="en-GB"/>
        </w:rPr>
        <w:t>Goldrush</w:t>
      </w:r>
      <w:proofErr w:type="spellEnd"/>
      <w:r w:rsidR="00D63B5E" w:rsidRPr="00620926">
        <w:rPr>
          <w:rFonts w:ascii="Times New Roman" w:hAnsi="Times New Roman" w:cs="Times New Roman"/>
          <w:sz w:val="28"/>
          <w:szCs w:val="28"/>
          <w:lang w:val="en-GB"/>
        </w:rPr>
        <w:t xml:space="preserve"> </w:t>
      </w:r>
      <w:r w:rsidR="004E70DA" w:rsidRPr="00620926">
        <w:rPr>
          <w:rFonts w:ascii="Times New Roman" w:hAnsi="Times New Roman" w:cs="Times New Roman"/>
          <w:sz w:val="28"/>
          <w:szCs w:val="28"/>
          <w:lang w:val="en-GB"/>
        </w:rPr>
        <w:t>abandoned</w:t>
      </w:r>
      <w:r w:rsidR="00D63B5E" w:rsidRPr="00620926">
        <w:rPr>
          <w:rFonts w:ascii="Times New Roman" w:hAnsi="Times New Roman" w:cs="Times New Roman"/>
          <w:sz w:val="28"/>
          <w:szCs w:val="28"/>
          <w:lang w:val="en-GB"/>
        </w:rPr>
        <w:t xml:space="preserve"> th</w:t>
      </w:r>
      <w:r w:rsidR="004A27AD" w:rsidRPr="00620926">
        <w:rPr>
          <w:rFonts w:ascii="Times New Roman" w:hAnsi="Times New Roman" w:cs="Times New Roman"/>
          <w:sz w:val="28"/>
          <w:szCs w:val="28"/>
          <w:lang w:val="en-GB"/>
        </w:rPr>
        <w:t xml:space="preserve">at </w:t>
      </w:r>
      <w:r w:rsidR="00D63B5E" w:rsidRPr="00620926">
        <w:rPr>
          <w:rFonts w:ascii="Times New Roman" w:hAnsi="Times New Roman" w:cs="Times New Roman"/>
          <w:sz w:val="28"/>
          <w:szCs w:val="28"/>
          <w:lang w:val="en-GB"/>
        </w:rPr>
        <w:t xml:space="preserve">relief after a full set of affidavits had been filed. The high court made no order in relation to those costs. In the light of the outcome of the appeal, </w:t>
      </w:r>
      <w:proofErr w:type="spellStart"/>
      <w:r w:rsidR="00773719" w:rsidRPr="00620926">
        <w:rPr>
          <w:rFonts w:ascii="Times New Roman" w:hAnsi="Times New Roman" w:cs="Times New Roman"/>
          <w:sz w:val="28"/>
          <w:szCs w:val="28"/>
          <w:lang w:val="en-GB"/>
        </w:rPr>
        <w:t>Goldrush</w:t>
      </w:r>
      <w:proofErr w:type="spellEnd"/>
      <w:r w:rsidR="00D63B5E" w:rsidRPr="00620926">
        <w:rPr>
          <w:rFonts w:ascii="Times New Roman" w:hAnsi="Times New Roman" w:cs="Times New Roman"/>
          <w:sz w:val="28"/>
          <w:szCs w:val="28"/>
          <w:lang w:val="en-GB"/>
        </w:rPr>
        <w:t xml:space="preserve"> must also bear those costs. The </w:t>
      </w:r>
      <w:r w:rsidR="00773719" w:rsidRPr="00620926">
        <w:rPr>
          <w:rFonts w:ascii="Times New Roman" w:hAnsi="Times New Roman" w:cs="Times New Roman"/>
          <w:sz w:val="28"/>
          <w:szCs w:val="28"/>
          <w:lang w:val="en-GB"/>
        </w:rPr>
        <w:t>substituted</w:t>
      </w:r>
      <w:r w:rsidR="00D63B5E" w:rsidRPr="00620926">
        <w:rPr>
          <w:rFonts w:ascii="Times New Roman" w:hAnsi="Times New Roman" w:cs="Times New Roman"/>
          <w:sz w:val="28"/>
          <w:szCs w:val="28"/>
          <w:lang w:val="en-GB"/>
        </w:rPr>
        <w:t xml:space="preserve"> order below </w:t>
      </w:r>
      <w:r w:rsidR="00773719" w:rsidRPr="00620926">
        <w:rPr>
          <w:rFonts w:ascii="Times New Roman" w:hAnsi="Times New Roman" w:cs="Times New Roman"/>
          <w:sz w:val="28"/>
          <w:szCs w:val="28"/>
          <w:lang w:val="en-GB"/>
        </w:rPr>
        <w:t>must</w:t>
      </w:r>
      <w:r w:rsidR="00D63B5E" w:rsidRPr="00620926">
        <w:rPr>
          <w:rFonts w:ascii="Times New Roman" w:hAnsi="Times New Roman" w:cs="Times New Roman"/>
          <w:sz w:val="28"/>
          <w:szCs w:val="28"/>
          <w:lang w:val="en-GB"/>
        </w:rPr>
        <w:t xml:space="preserve"> be read to include all of the costs of the application before the high court.</w:t>
      </w:r>
    </w:p>
    <w:p w14:paraId="1A4F5657" w14:textId="77777777" w:rsidR="00773719" w:rsidRPr="00620926" w:rsidRDefault="00773719" w:rsidP="00B95853">
      <w:pPr>
        <w:spacing w:after="0" w:line="360" w:lineRule="auto"/>
        <w:jc w:val="both"/>
        <w:rPr>
          <w:rFonts w:ascii="Times New Roman" w:hAnsi="Times New Roman" w:cs="Times New Roman"/>
          <w:sz w:val="28"/>
          <w:szCs w:val="28"/>
          <w:lang w:val="en-GB"/>
        </w:rPr>
      </w:pPr>
    </w:p>
    <w:p w14:paraId="493C94A8" w14:textId="05EBEF38" w:rsidR="00D63B5E" w:rsidRPr="00620926" w:rsidRDefault="00D63B5E"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w:t>
      </w:r>
      <w:r w:rsidR="004579EA" w:rsidRPr="00620926">
        <w:rPr>
          <w:rFonts w:ascii="Times New Roman" w:hAnsi="Times New Roman" w:cs="Times New Roman"/>
          <w:sz w:val="28"/>
          <w:szCs w:val="28"/>
          <w:lang w:val="en-GB"/>
        </w:rPr>
        <w:t>3</w:t>
      </w:r>
      <w:r w:rsidR="00CC051F" w:rsidRPr="00620926">
        <w:rPr>
          <w:rFonts w:ascii="Times New Roman" w:hAnsi="Times New Roman" w:cs="Times New Roman"/>
          <w:sz w:val="28"/>
          <w:szCs w:val="28"/>
          <w:lang w:val="en-GB"/>
        </w:rPr>
        <w:t>4</w:t>
      </w:r>
      <w:r w:rsidRPr="00620926">
        <w:rPr>
          <w:rFonts w:ascii="Times New Roman" w:hAnsi="Times New Roman" w:cs="Times New Roman"/>
          <w:sz w:val="28"/>
          <w:szCs w:val="28"/>
          <w:lang w:val="en-GB"/>
        </w:rPr>
        <w:t>]</w:t>
      </w:r>
      <w:r w:rsidRPr="00620926">
        <w:rPr>
          <w:rFonts w:ascii="Times New Roman" w:hAnsi="Times New Roman" w:cs="Times New Roman"/>
          <w:sz w:val="28"/>
          <w:szCs w:val="28"/>
          <w:lang w:val="en-GB"/>
        </w:rPr>
        <w:tab/>
      </w:r>
      <w:r w:rsidR="001B13C6" w:rsidRPr="00620926">
        <w:rPr>
          <w:rFonts w:ascii="Times New Roman" w:hAnsi="Times New Roman" w:cs="Times New Roman"/>
          <w:sz w:val="28"/>
          <w:szCs w:val="28"/>
          <w:lang w:val="en-GB"/>
        </w:rPr>
        <w:t>I make t</w:t>
      </w:r>
      <w:r w:rsidRPr="00620926">
        <w:rPr>
          <w:rFonts w:ascii="Times New Roman" w:hAnsi="Times New Roman" w:cs="Times New Roman"/>
          <w:sz w:val="28"/>
          <w:szCs w:val="28"/>
          <w:lang w:val="en-GB"/>
        </w:rPr>
        <w:t>he following order:</w:t>
      </w:r>
    </w:p>
    <w:p w14:paraId="229C1D43" w14:textId="1D056AEC" w:rsidR="00D63B5E" w:rsidRPr="00620926" w:rsidRDefault="00D63B5E"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1 The appeal is upheld with costs, such costs to include the costs of two counsel where so employed.</w:t>
      </w:r>
    </w:p>
    <w:p w14:paraId="435D6307" w14:textId="2C1C11EA" w:rsidR="00D63B5E" w:rsidRPr="00620926" w:rsidRDefault="00D63B5E" w:rsidP="00B95853">
      <w:pPr>
        <w:spacing w:after="0" w:line="360" w:lineRule="auto"/>
        <w:jc w:val="both"/>
        <w:rPr>
          <w:rFonts w:ascii="Times New Roman" w:hAnsi="Times New Roman" w:cs="Times New Roman"/>
          <w:sz w:val="28"/>
          <w:szCs w:val="28"/>
          <w:lang w:val="en-GB"/>
        </w:rPr>
      </w:pPr>
      <w:r w:rsidRPr="00620926">
        <w:rPr>
          <w:rFonts w:ascii="Times New Roman" w:hAnsi="Times New Roman" w:cs="Times New Roman"/>
          <w:sz w:val="28"/>
          <w:szCs w:val="28"/>
          <w:lang w:val="en-GB"/>
        </w:rPr>
        <w:t xml:space="preserve">2 The order of the high court </w:t>
      </w:r>
      <w:r w:rsidR="002B453D" w:rsidRPr="00620926">
        <w:rPr>
          <w:rFonts w:ascii="Times New Roman" w:hAnsi="Times New Roman" w:cs="Times New Roman"/>
          <w:sz w:val="28"/>
          <w:szCs w:val="28"/>
          <w:lang w:val="en-GB"/>
        </w:rPr>
        <w:t xml:space="preserve">is </w:t>
      </w:r>
      <w:r w:rsidRPr="00620926">
        <w:rPr>
          <w:rFonts w:ascii="Times New Roman" w:hAnsi="Times New Roman" w:cs="Times New Roman"/>
          <w:sz w:val="28"/>
          <w:szCs w:val="28"/>
          <w:lang w:val="en-GB"/>
        </w:rPr>
        <w:t xml:space="preserve">set aside and </w:t>
      </w:r>
      <w:r w:rsidR="002370FC" w:rsidRPr="00620926">
        <w:rPr>
          <w:rFonts w:ascii="Times New Roman" w:hAnsi="Times New Roman" w:cs="Times New Roman"/>
          <w:sz w:val="28"/>
          <w:szCs w:val="28"/>
          <w:lang w:val="en-GB"/>
        </w:rPr>
        <w:t>replaced</w:t>
      </w:r>
      <w:r w:rsidRPr="00620926">
        <w:rPr>
          <w:rFonts w:ascii="Times New Roman" w:hAnsi="Times New Roman" w:cs="Times New Roman"/>
          <w:sz w:val="28"/>
          <w:szCs w:val="28"/>
          <w:lang w:val="en-GB"/>
        </w:rPr>
        <w:t xml:space="preserve"> with the following</w:t>
      </w:r>
      <w:r w:rsidR="002B7080" w:rsidRPr="00620926">
        <w:rPr>
          <w:rFonts w:ascii="Times New Roman" w:hAnsi="Times New Roman" w:cs="Times New Roman"/>
          <w:sz w:val="28"/>
          <w:szCs w:val="28"/>
          <w:lang w:val="en-GB"/>
        </w:rPr>
        <w:t xml:space="preserve"> order</w:t>
      </w:r>
      <w:r w:rsidRPr="00620926">
        <w:rPr>
          <w:rFonts w:ascii="Times New Roman" w:hAnsi="Times New Roman" w:cs="Times New Roman"/>
          <w:sz w:val="28"/>
          <w:szCs w:val="28"/>
          <w:lang w:val="en-GB"/>
        </w:rPr>
        <w:t>:</w:t>
      </w:r>
    </w:p>
    <w:p w14:paraId="122AF52A" w14:textId="21CEEE56" w:rsidR="00D63B5E" w:rsidRPr="00620926" w:rsidRDefault="00D63B5E" w:rsidP="00B95853">
      <w:pPr>
        <w:spacing w:after="0" w:line="360" w:lineRule="auto"/>
        <w:jc w:val="both"/>
        <w:rPr>
          <w:rFonts w:ascii="Times New Roman" w:hAnsi="Times New Roman" w:cs="Times New Roman"/>
          <w:sz w:val="28"/>
          <w:szCs w:val="28"/>
        </w:rPr>
      </w:pPr>
      <w:r w:rsidRPr="00620926">
        <w:rPr>
          <w:rFonts w:ascii="Times New Roman" w:hAnsi="Times New Roman" w:cs="Times New Roman"/>
          <w:sz w:val="28"/>
          <w:szCs w:val="28"/>
          <w:lang w:val="en-GB"/>
        </w:rPr>
        <w:t>‘The application is dismissed with costs, including the costs of two counsel where so employed.’</w:t>
      </w:r>
    </w:p>
    <w:p w14:paraId="636C9189" w14:textId="77777777" w:rsidR="00D66661" w:rsidRPr="00620926" w:rsidRDefault="00D66661" w:rsidP="00337BA1">
      <w:pPr>
        <w:spacing w:after="0" w:line="360" w:lineRule="auto"/>
        <w:jc w:val="both"/>
        <w:rPr>
          <w:rFonts w:ascii="Times New Roman" w:hAnsi="Times New Roman" w:cs="Times New Roman"/>
          <w:sz w:val="28"/>
          <w:szCs w:val="28"/>
          <w:lang w:val="en-US"/>
        </w:rPr>
      </w:pPr>
    </w:p>
    <w:p w14:paraId="44B0DAB2" w14:textId="77777777" w:rsidR="00D85351" w:rsidRPr="00620926" w:rsidRDefault="00D85351" w:rsidP="00337BA1">
      <w:pPr>
        <w:spacing w:after="0" w:line="360" w:lineRule="auto"/>
        <w:jc w:val="both"/>
        <w:rPr>
          <w:rFonts w:ascii="Times New Roman" w:hAnsi="Times New Roman" w:cs="Times New Roman"/>
          <w:sz w:val="28"/>
          <w:szCs w:val="28"/>
          <w:lang w:val="en-US"/>
        </w:rPr>
      </w:pPr>
    </w:p>
    <w:p w14:paraId="7C217F0D" w14:textId="77777777" w:rsidR="00D85351" w:rsidRPr="00620926" w:rsidRDefault="00D85351" w:rsidP="00337BA1">
      <w:pPr>
        <w:spacing w:after="0" w:line="360" w:lineRule="auto"/>
        <w:jc w:val="both"/>
        <w:rPr>
          <w:rFonts w:ascii="Times New Roman" w:hAnsi="Times New Roman" w:cs="Times New Roman"/>
          <w:sz w:val="28"/>
          <w:szCs w:val="28"/>
          <w:lang w:val="en-US"/>
        </w:rPr>
      </w:pPr>
    </w:p>
    <w:p w14:paraId="263275E0" w14:textId="77777777" w:rsidR="006211A4" w:rsidRPr="00620926" w:rsidRDefault="006211A4" w:rsidP="006211A4">
      <w:pPr>
        <w:spacing w:after="0" w:line="360" w:lineRule="auto"/>
        <w:ind w:left="5040"/>
        <w:jc w:val="right"/>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_______________________</w:t>
      </w:r>
    </w:p>
    <w:p w14:paraId="78E0CF97" w14:textId="1BDE2FE0" w:rsidR="006211A4" w:rsidRPr="00620926" w:rsidRDefault="006211A4" w:rsidP="006211A4">
      <w:pPr>
        <w:spacing w:after="0" w:line="360" w:lineRule="auto"/>
        <w:ind w:left="5040"/>
        <w:jc w:val="right"/>
        <w:rPr>
          <w:rFonts w:ascii="Times New Roman" w:eastAsia="Times New Roman" w:hAnsi="Times New Roman" w:cs="Times New Roman"/>
          <w:b/>
          <w:bCs/>
          <w:sz w:val="28"/>
          <w:szCs w:val="28"/>
          <w:lang w:val="en-GB"/>
        </w:rPr>
      </w:pPr>
      <w:r w:rsidRPr="00620926">
        <w:rPr>
          <w:rFonts w:ascii="Times New Roman" w:eastAsia="Times New Roman" w:hAnsi="Times New Roman" w:cs="Times New Roman"/>
          <w:b/>
          <w:bCs/>
          <w:sz w:val="28"/>
          <w:szCs w:val="28"/>
          <w:lang w:val="en-GB"/>
        </w:rPr>
        <w:t>G GOOSEN</w:t>
      </w:r>
    </w:p>
    <w:p w14:paraId="6388BD0E" w14:textId="337C574B" w:rsidR="006211A4" w:rsidRPr="00620926" w:rsidRDefault="006211A4" w:rsidP="006211A4">
      <w:pPr>
        <w:spacing w:after="0" w:line="360" w:lineRule="auto"/>
        <w:ind w:left="5040"/>
        <w:jc w:val="right"/>
        <w:rPr>
          <w:rFonts w:ascii="Times New Roman" w:eastAsia="Times New Roman" w:hAnsi="Times New Roman" w:cs="Times New Roman"/>
          <w:b/>
          <w:bCs/>
          <w:sz w:val="28"/>
          <w:szCs w:val="28"/>
          <w:lang w:val="en-GB"/>
        </w:rPr>
      </w:pPr>
      <w:r w:rsidRPr="00620926">
        <w:rPr>
          <w:rFonts w:ascii="Times New Roman" w:eastAsia="Times New Roman" w:hAnsi="Times New Roman" w:cs="Times New Roman"/>
          <w:b/>
          <w:bCs/>
          <w:sz w:val="28"/>
          <w:szCs w:val="28"/>
          <w:lang w:val="en-GB"/>
        </w:rPr>
        <w:t>JUDGE OF APPEAL</w:t>
      </w:r>
    </w:p>
    <w:p w14:paraId="541D9486" w14:textId="35DF6989" w:rsidR="006211A4" w:rsidRPr="00620926" w:rsidRDefault="006211A4">
      <w:pPr>
        <w:rPr>
          <w:rFonts w:ascii="Times New Roman" w:hAnsi="Times New Roman" w:cs="Times New Roman"/>
          <w:sz w:val="28"/>
          <w:szCs w:val="28"/>
          <w:lang w:val="en-US"/>
        </w:rPr>
      </w:pPr>
      <w:r w:rsidRPr="00620926">
        <w:rPr>
          <w:rFonts w:ascii="Times New Roman" w:hAnsi="Times New Roman" w:cs="Times New Roman"/>
          <w:sz w:val="28"/>
          <w:szCs w:val="28"/>
          <w:lang w:val="en-US"/>
        </w:rPr>
        <w:br w:type="page"/>
      </w:r>
    </w:p>
    <w:p w14:paraId="5A83665C" w14:textId="4B768698" w:rsidR="00A91D0A" w:rsidRPr="00620926" w:rsidRDefault="006211A4" w:rsidP="00A91D0A">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620926">
        <w:rPr>
          <w:rFonts w:ascii="Times New Roman" w:eastAsia="Times New Roman" w:hAnsi="Times New Roman" w:cs="Times New Roman"/>
          <w:sz w:val="28"/>
          <w:szCs w:val="28"/>
          <w:lang w:val="en-US"/>
        </w:rPr>
        <w:lastRenderedPageBreak/>
        <w:t>Appearances</w:t>
      </w:r>
    </w:p>
    <w:p w14:paraId="7DFAC616" w14:textId="77777777" w:rsidR="00A91D0A" w:rsidRPr="00620926" w:rsidRDefault="00A91D0A" w:rsidP="00A91D0A">
      <w:pPr>
        <w:widowControl w:val="0"/>
        <w:autoSpaceDE w:val="0"/>
        <w:autoSpaceDN w:val="0"/>
        <w:adjustRightInd w:val="0"/>
        <w:spacing w:after="0" w:line="360" w:lineRule="auto"/>
        <w:rPr>
          <w:rFonts w:ascii="Arial" w:eastAsia="Times New Roman" w:hAnsi="Arial" w:cs="Arial"/>
          <w:b/>
          <w:sz w:val="20"/>
          <w:szCs w:val="20"/>
        </w:rPr>
      </w:pPr>
    </w:p>
    <w:p w14:paraId="188E4510" w14:textId="34873597"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 xml:space="preserve">For </w:t>
      </w:r>
      <w:r w:rsidR="00A40605" w:rsidRPr="00620926">
        <w:rPr>
          <w:rFonts w:ascii="Times New Roman" w:eastAsia="Times New Roman" w:hAnsi="Times New Roman" w:cs="Times New Roman"/>
          <w:sz w:val="28"/>
          <w:szCs w:val="28"/>
          <w:lang w:val="en-GB"/>
        </w:rPr>
        <w:t xml:space="preserve">first and second </w:t>
      </w:r>
      <w:r w:rsidRPr="00620926">
        <w:rPr>
          <w:rFonts w:ascii="Times New Roman" w:eastAsia="Times New Roman" w:hAnsi="Times New Roman" w:cs="Times New Roman"/>
          <w:sz w:val="28"/>
          <w:szCs w:val="28"/>
          <w:lang w:val="en-GB"/>
        </w:rPr>
        <w:t>appellants:</w:t>
      </w:r>
      <w:r w:rsidRPr="00620926">
        <w:rPr>
          <w:rFonts w:ascii="Times New Roman" w:eastAsia="Times New Roman" w:hAnsi="Times New Roman" w:cs="Times New Roman"/>
          <w:sz w:val="28"/>
          <w:szCs w:val="28"/>
          <w:lang w:val="en-GB"/>
        </w:rPr>
        <w:tab/>
        <w:t>R T Williams SC</w:t>
      </w:r>
    </w:p>
    <w:p w14:paraId="24FC2F16" w14:textId="7CEE2BB9" w:rsidR="00A91D0A" w:rsidRPr="00620926" w:rsidRDefault="00A91D0A" w:rsidP="00A91D0A">
      <w:pPr>
        <w:widowControl w:val="0"/>
        <w:autoSpaceDE w:val="0"/>
        <w:autoSpaceDN w:val="0"/>
        <w:adjustRightInd w:val="0"/>
        <w:spacing w:after="0" w:line="360" w:lineRule="auto"/>
        <w:ind w:left="3600" w:hanging="3600"/>
        <w:jc w:val="both"/>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Instructed by:</w:t>
      </w:r>
      <w:r w:rsidR="005B460B" w:rsidRPr="00620926">
        <w:rPr>
          <w:rFonts w:ascii="Times New Roman" w:eastAsia="Times New Roman" w:hAnsi="Times New Roman" w:cs="Times New Roman"/>
          <w:sz w:val="28"/>
          <w:szCs w:val="28"/>
          <w:lang w:val="en-GB"/>
        </w:rPr>
        <w:tab/>
      </w:r>
      <w:proofErr w:type="spellStart"/>
      <w:r w:rsidRPr="00620926">
        <w:rPr>
          <w:rFonts w:ascii="Times New Roman" w:eastAsia="Times New Roman" w:hAnsi="Times New Roman" w:cs="Times New Roman"/>
          <w:sz w:val="28"/>
          <w:szCs w:val="28"/>
          <w:lang w:val="en-GB"/>
        </w:rPr>
        <w:t>Fairbridges</w:t>
      </w:r>
      <w:proofErr w:type="spellEnd"/>
      <w:r w:rsidRPr="00620926">
        <w:rPr>
          <w:rFonts w:ascii="Times New Roman" w:eastAsia="Times New Roman" w:hAnsi="Times New Roman" w:cs="Times New Roman"/>
          <w:sz w:val="28"/>
          <w:szCs w:val="28"/>
          <w:lang w:val="en-GB"/>
        </w:rPr>
        <w:t xml:space="preserve"> Wertheim Becker Attorneys, Cape </w:t>
      </w:r>
      <w:r w:rsidR="005B460B" w:rsidRPr="00620926">
        <w:rPr>
          <w:rFonts w:ascii="Times New Roman" w:eastAsia="Times New Roman" w:hAnsi="Times New Roman" w:cs="Times New Roman"/>
          <w:sz w:val="28"/>
          <w:szCs w:val="28"/>
          <w:lang w:val="en-GB"/>
        </w:rPr>
        <w:t>T</w:t>
      </w:r>
      <w:r w:rsidRPr="00620926">
        <w:rPr>
          <w:rFonts w:ascii="Times New Roman" w:eastAsia="Times New Roman" w:hAnsi="Times New Roman" w:cs="Times New Roman"/>
          <w:sz w:val="28"/>
          <w:szCs w:val="28"/>
          <w:lang w:val="en-GB"/>
        </w:rPr>
        <w:t>own</w:t>
      </w:r>
    </w:p>
    <w:p w14:paraId="79A72246" w14:textId="11940491"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proofErr w:type="spellStart"/>
      <w:r w:rsidRPr="00620926">
        <w:rPr>
          <w:rFonts w:ascii="Times New Roman" w:eastAsia="Times New Roman" w:hAnsi="Times New Roman" w:cs="Times New Roman"/>
          <w:sz w:val="28"/>
          <w:szCs w:val="28"/>
          <w:lang w:val="en-US"/>
        </w:rPr>
        <w:t>Lovius</w:t>
      </w:r>
      <w:proofErr w:type="spellEnd"/>
      <w:r w:rsidRPr="00620926">
        <w:rPr>
          <w:rFonts w:ascii="Times New Roman" w:eastAsia="Times New Roman" w:hAnsi="Times New Roman" w:cs="Times New Roman"/>
          <w:sz w:val="28"/>
          <w:szCs w:val="28"/>
          <w:lang w:val="en-US"/>
        </w:rPr>
        <w:t xml:space="preserve"> Block Attorneys</w:t>
      </w:r>
      <w:r w:rsidRPr="00620926">
        <w:rPr>
          <w:rFonts w:ascii="Times New Roman" w:eastAsia="Times New Roman" w:hAnsi="Times New Roman" w:cs="Times New Roman"/>
          <w:color w:val="000000"/>
          <w:sz w:val="28"/>
          <w:szCs w:val="28"/>
          <w:lang w:val="en-US" w:eastAsia="en-GB"/>
        </w:rPr>
        <w:t>, Bloemfontein</w:t>
      </w:r>
    </w:p>
    <w:p w14:paraId="1BDADBFB" w14:textId="77777777"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sz w:val="28"/>
          <w:szCs w:val="28"/>
          <w:lang w:val="en-GB"/>
        </w:rPr>
      </w:pPr>
    </w:p>
    <w:p w14:paraId="3635EC19" w14:textId="3C1B520B"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 xml:space="preserve">For </w:t>
      </w:r>
      <w:r w:rsidR="00A40605" w:rsidRPr="00620926">
        <w:rPr>
          <w:rFonts w:ascii="Times New Roman" w:eastAsia="Times New Roman" w:hAnsi="Times New Roman" w:cs="Times New Roman"/>
          <w:sz w:val="28"/>
          <w:szCs w:val="28"/>
          <w:lang w:val="en-GB"/>
        </w:rPr>
        <w:t xml:space="preserve">third </w:t>
      </w:r>
      <w:r w:rsidRPr="00620926">
        <w:rPr>
          <w:rFonts w:ascii="Times New Roman" w:eastAsia="Times New Roman" w:hAnsi="Times New Roman" w:cs="Times New Roman"/>
          <w:sz w:val="28"/>
          <w:szCs w:val="28"/>
          <w:lang w:val="en-GB"/>
        </w:rPr>
        <w:t>appellant:</w:t>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t xml:space="preserve">I Jamie SC (with M </w:t>
      </w:r>
      <w:proofErr w:type="spellStart"/>
      <w:r w:rsidRPr="00620926">
        <w:rPr>
          <w:rFonts w:ascii="Times New Roman" w:eastAsia="Times New Roman" w:hAnsi="Times New Roman" w:cs="Times New Roman"/>
          <w:sz w:val="28"/>
          <w:szCs w:val="28"/>
          <w:lang w:val="en-GB"/>
        </w:rPr>
        <w:t>Adhikari</w:t>
      </w:r>
      <w:proofErr w:type="spellEnd"/>
      <w:r w:rsidRPr="00620926">
        <w:rPr>
          <w:rFonts w:ascii="Times New Roman" w:eastAsia="Times New Roman" w:hAnsi="Times New Roman" w:cs="Times New Roman"/>
          <w:sz w:val="28"/>
          <w:szCs w:val="28"/>
          <w:lang w:val="en-GB"/>
        </w:rPr>
        <w:t>)</w:t>
      </w:r>
    </w:p>
    <w:p w14:paraId="4DAF5299" w14:textId="40545D38"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Instructed by:</w:t>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t xml:space="preserve">Edward Nathan </w:t>
      </w:r>
      <w:proofErr w:type="spellStart"/>
      <w:r w:rsidRPr="00620926">
        <w:rPr>
          <w:rFonts w:ascii="Times New Roman" w:eastAsia="Times New Roman" w:hAnsi="Times New Roman" w:cs="Times New Roman"/>
          <w:sz w:val="28"/>
          <w:szCs w:val="28"/>
          <w:lang w:val="en-GB"/>
        </w:rPr>
        <w:t>Sonnenbergs</w:t>
      </w:r>
      <w:proofErr w:type="spellEnd"/>
      <w:r w:rsidRPr="00620926">
        <w:rPr>
          <w:rFonts w:ascii="Times New Roman" w:eastAsia="Times New Roman" w:hAnsi="Times New Roman" w:cs="Times New Roman"/>
          <w:sz w:val="28"/>
          <w:szCs w:val="28"/>
          <w:lang w:val="en-GB"/>
        </w:rPr>
        <w:t xml:space="preserve"> Inc</w:t>
      </w:r>
      <w:r w:rsidR="002370FC" w:rsidRPr="00620926">
        <w:rPr>
          <w:rFonts w:ascii="Times New Roman" w:eastAsia="Times New Roman" w:hAnsi="Times New Roman" w:cs="Times New Roman"/>
          <w:sz w:val="28"/>
          <w:szCs w:val="28"/>
          <w:lang w:val="en-GB"/>
        </w:rPr>
        <w:t>.</w:t>
      </w:r>
      <w:r w:rsidRPr="00620926">
        <w:rPr>
          <w:rFonts w:ascii="Times New Roman" w:eastAsia="Times New Roman" w:hAnsi="Times New Roman" w:cs="Times New Roman"/>
          <w:sz w:val="28"/>
          <w:szCs w:val="28"/>
          <w:lang w:val="en-GB"/>
        </w:rPr>
        <w:t>, Cape Town</w:t>
      </w:r>
    </w:p>
    <w:p w14:paraId="5A00976A" w14:textId="679ECC5D"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proofErr w:type="spellStart"/>
      <w:r w:rsidRPr="00620926">
        <w:rPr>
          <w:rFonts w:ascii="Times New Roman" w:eastAsia="Times New Roman" w:hAnsi="Times New Roman" w:cs="Times New Roman"/>
          <w:sz w:val="28"/>
          <w:szCs w:val="28"/>
          <w:lang w:val="en-US"/>
        </w:rPr>
        <w:t>Lovius</w:t>
      </w:r>
      <w:proofErr w:type="spellEnd"/>
      <w:r w:rsidRPr="00620926">
        <w:rPr>
          <w:rFonts w:ascii="Times New Roman" w:eastAsia="Times New Roman" w:hAnsi="Times New Roman" w:cs="Times New Roman"/>
          <w:sz w:val="28"/>
          <w:szCs w:val="28"/>
          <w:lang w:val="en-US"/>
        </w:rPr>
        <w:t xml:space="preserve"> Block Attorneys</w:t>
      </w:r>
      <w:r w:rsidRPr="00620926">
        <w:rPr>
          <w:rFonts w:ascii="Times New Roman" w:eastAsia="Times New Roman" w:hAnsi="Times New Roman" w:cs="Times New Roman"/>
          <w:color w:val="000000"/>
          <w:sz w:val="28"/>
          <w:szCs w:val="28"/>
          <w:lang w:val="en-US" w:eastAsia="en-GB"/>
        </w:rPr>
        <w:t>, Bloemfontein</w:t>
      </w:r>
    </w:p>
    <w:p w14:paraId="63BDA38F" w14:textId="77777777"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b/>
          <w:sz w:val="28"/>
          <w:szCs w:val="28"/>
          <w:lang w:val="en-GB"/>
        </w:rPr>
      </w:pPr>
    </w:p>
    <w:p w14:paraId="7D388DEC" w14:textId="2462EBC2"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 xml:space="preserve">For </w:t>
      </w:r>
      <w:r w:rsidR="00A40605" w:rsidRPr="00620926">
        <w:rPr>
          <w:rFonts w:ascii="Times New Roman" w:eastAsia="Times New Roman" w:hAnsi="Times New Roman" w:cs="Times New Roman"/>
          <w:sz w:val="28"/>
          <w:szCs w:val="28"/>
          <w:lang w:val="en-GB"/>
        </w:rPr>
        <w:t xml:space="preserve">fourth </w:t>
      </w:r>
      <w:r w:rsidRPr="00620926">
        <w:rPr>
          <w:rFonts w:ascii="Times New Roman" w:eastAsia="Times New Roman" w:hAnsi="Times New Roman" w:cs="Times New Roman"/>
          <w:sz w:val="28"/>
          <w:szCs w:val="28"/>
          <w:lang w:val="en-GB"/>
        </w:rPr>
        <w:t>appellant:</w:t>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t xml:space="preserve">K Pillay SC (with G </w:t>
      </w:r>
      <w:proofErr w:type="spellStart"/>
      <w:r w:rsidRPr="00620926">
        <w:rPr>
          <w:rFonts w:ascii="Times New Roman" w:eastAsia="Times New Roman" w:hAnsi="Times New Roman" w:cs="Times New Roman"/>
          <w:sz w:val="28"/>
          <w:szCs w:val="28"/>
          <w:lang w:val="en-GB"/>
        </w:rPr>
        <w:t>Solik</w:t>
      </w:r>
      <w:proofErr w:type="spellEnd"/>
      <w:r w:rsidRPr="00620926">
        <w:rPr>
          <w:rFonts w:ascii="Times New Roman" w:eastAsia="Times New Roman" w:hAnsi="Times New Roman" w:cs="Times New Roman"/>
          <w:sz w:val="28"/>
          <w:szCs w:val="28"/>
          <w:lang w:val="en-GB"/>
        </w:rPr>
        <w:t>)</w:t>
      </w:r>
    </w:p>
    <w:p w14:paraId="7DA982ED" w14:textId="77777777" w:rsidR="00A91D0A" w:rsidRPr="00620926" w:rsidRDefault="00A91D0A" w:rsidP="00A91D0A">
      <w:pPr>
        <w:widowControl w:val="0"/>
        <w:autoSpaceDE w:val="0"/>
        <w:autoSpaceDN w:val="0"/>
        <w:adjustRightInd w:val="0"/>
        <w:spacing w:after="0" w:line="360" w:lineRule="auto"/>
        <w:ind w:left="3600" w:hanging="3600"/>
        <w:jc w:val="both"/>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Instructed by:</w:t>
      </w:r>
      <w:r w:rsidRPr="00620926">
        <w:rPr>
          <w:rFonts w:ascii="Times New Roman" w:eastAsia="Times New Roman" w:hAnsi="Times New Roman" w:cs="Times New Roman"/>
          <w:sz w:val="28"/>
          <w:szCs w:val="28"/>
          <w:lang w:val="en-GB"/>
        </w:rPr>
        <w:tab/>
      </w:r>
      <w:proofErr w:type="spellStart"/>
      <w:r w:rsidRPr="00620926">
        <w:rPr>
          <w:rFonts w:ascii="Times New Roman" w:eastAsia="Times New Roman" w:hAnsi="Times New Roman" w:cs="Times New Roman"/>
          <w:sz w:val="28"/>
          <w:szCs w:val="28"/>
          <w:lang w:val="en-GB"/>
        </w:rPr>
        <w:t>Bernadt</w:t>
      </w:r>
      <w:proofErr w:type="spellEnd"/>
      <w:r w:rsidRPr="00620926">
        <w:rPr>
          <w:rFonts w:ascii="Times New Roman" w:eastAsia="Times New Roman" w:hAnsi="Times New Roman" w:cs="Times New Roman"/>
          <w:sz w:val="28"/>
          <w:szCs w:val="28"/>
          <w:lang w:val="en-GB"/>
        </w:rPr>
        <w:t xml:space="preserve"> </w:t>
      </w:r>
      <w:proofErr w:type="spellStart"/>
      <w:r w:rsidRPr="00620926">
        <w:rPr>
          <w:rFonts w:ascii="Times New Roman" w:eastAsia="Times New Roman" w:hAnsi="Times New Roman" w:cs="Times New Roman"/>
          <w:sz w:val="28"/>
          <w:szCs w:val="28"/>
          <w:lang w:val="en-GB"/>
        </w:rPr>
        <w:t>Vukic</w:t>
      </w:r>
      <w:proofErr w:type="spellEnd"/>
      <w:r w:rsidRPr="00620926">
        <w:rPr>
          <w:rFonts w:ascii="Times New Roman" w:eastAsia="Times New Roman" w:hAnsi="Times New Roman" w:cs="Times New Roman"/>
          <w:sz w:val="28"/>
          <w:szCs w:val="28"/>
          <w:lang w:val="en-GB"/>
        </w:rPr>
        <w:t xml:space="preserve"> Potash and Getz Attorneys, Cape Town</w:t>
      </w:r>
    </w:p>
    <w:p w14:paraId="6B10C963" w14:textId="5DF73FC4"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b/>
          <w:sz w:val="28"/>
          <w:szCs w:val="28"/>
          <w:lang w:val="en-GB"/>
        </w:rPr>
      </w:pP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proofErr w:type="spellStart"/>
      <w:r w:rsidRPr="00620926">
        <w:rPr>
          <w:rFonts w:ascii="Times New Roman" w:eastAsia="Times New Roman" w:hAnsi="Times New Roman" w:cs="Times New Roman"/>
          <w:sz w:val="28"/>
          <w:szCs w:val="28"/>
          <w:lang w:val="en-US"/>
        </w:rPr>
        <w:t>Lovius</w:t>
      </w:r>
      <w:proofErr w:type="spellEnd"/>
      <w:r w:rsidRPr="00620926">
        <w:rPr>
          <w:rFonts w:ascii="Times New Roman" w:eastAsia="Times New Roman" w:hAnsi="Times New Roman" w:cs="Times New Roman"/>
          <w:sz w:val="28"/>
          <w:szCs w:val="28"/>
          <w:lang w:val="en-US"/>
        </w:rPr>
        <w:t xml:space="preserve"> Block Attorneys</w:t>
      </w:r>
      <w:r w:rsidRPr="00620926">
        <w:rPr>
          <w:rFonts w:ascii="Times New Roman" w:eastAsia="Times New Roman" w:hAnsi="Times New Roman" w:cs="Times New Roman"/>
          <w:color w:val="000000"/>
          <w:sz w:val="28"/>
          <w:szCs w:val="28"/>
          <w:lang w:val="en-US" w:eastAsia="en-GB"/>
        </w:rPr>
        <w:t>, Bloemfontein</w:t>
      </w:r>
    </w:p>
    <w:p w14:paraId="7E0ACE93" w14:textId="77777777"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b/>
          <w:sz w:val="28"/>
          <w:szCs w:val="28"/>
          <w:lang w:val="en-GB"/>
        </w:rPr>
      </w:pPr>
    </w:p>
    <w:p w14:paraId="7FA3E817" w14:textId="52F7F05F" w:rsidR="00A91D0A" w:rsidRPr="00620926" w:rsidRDefault="002370FC" w:rsidP="00A91D0A">
      <w:pPr>
        <w:widowControl w:val="0"/>
        <w:autoSpaceDE w:val="0"/>
        <w:autoSpaceDN w:val="0"/>
        <w:adjustRightInd w:val="0"/>
        <w:spacing w:after="0" w:line="360" w:lineRule="auto"/>
        <w:jc w:val="both"/>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F</w:t>
      </w:r>
      <w:r w:rsidR="00A91D0A" w:rsidRPr="00620926">
        <w:rPr>
          <w:rFonts w:ascii="Times New Roman" w:eastAsia="Times New Roman" w:hAnsi="Times New Roman" w:cs="Times New Roman"/>
          <w:sz w:val="28"/>
          <w:szCs w:val="28"/>
          <w:lang w:val="en-GB"/>
        </w:rPr>
        <w:t xml:space="preserve">or </w:t>
      </w:r>
      <w:r w:rsidR="00A40605" w:rsidRPr="00620926">
        <w:rPr>
          <w:rFonts w:ascii="Times New Roman" w:eastAsia="Times New Roman" w:hAnsi="Times New Roman" w:cs="Times New Roman"/>
          <w:sz w:val="28"/>
          <w:szCs w:val="28"/>
          <w:lang w:val="en-GB"/>
        </w:rPr>
        <w:t xml:space="preserve">first </w:t>
      </w:r>
      <w:r w:rsidR="00A91D0A" w:rsidRPr="00620926">
        <w:rPr>
          <w:rFonts w:ascii="Times New Roman" w:eastAsia="Times New Roman" w:hAnsi="Times New Roman" w:cs="Times New Roman"/>
          <w:sz w:val="28"/>
          <w:szCs w:val="28"/>
          <w:lang w:val="en-GB"/>
        </w:rPr>
        <w:t>respondent:</w:t>
      </w:r>
      <w:r w:rsidR="00A91D0A"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00A91D0A" w:rsidRPr="00620926">
        <w:rPr>
          <w:rFonts w:ascii="Times New Roman" w:eastAsia="Times New Roman" w:hAnsi="Times New Roman" w:cs="Times New Roman"/>
          <w:sz w:val="28"/>
          <w:szCs w:val="28"/>
          <w:lang w:val="en-GB"/>
        </w:rPr>
        <w:t>B Roux SC (with I B Currie)</w:t>
      </w:r>
    </w:p>
    <w:p w14:paraId="4E0BC2F3" w14:textId="7F890FDF" w:rsidR="00A91D0A" w:rsidRPr="00620926" w:rsidRDefault="00A91D0A" w:rsidP="00A91D0A">
      <w:pPr>
        <w:widowControl w:val="0"/>
        <w:autoSpaceDE w:val="0"/>
        <w:autoSpaceDN w:val="0"/>
        <w:adjustRightInd w:val="0"/>
        <w:spacing w:after="0" w:line="360" w:lineRule="auto"/>
        <w:jc w:val="both"/>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Instructed by:</w:t>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proofErr w:type="spellStart"/>
      <w:r w:rsidRPr="00620926">
        <w:rPr>
          <w:rFonts w:ascii="Times New Roman" w:eastAsia="Times New Roman" w:hAnsi="Times New Roman" w:cs="Times New Roman"/>
          <w:sz w:val="28"/>
          <w:szCs w:val="28"/>
          <w:lang w:val="en-GB"/>
        </w:rPr>
        <w:t>Cliffe</w:t>
      </w:r>
      <w:proofErr w:type="spellEnd"/>
      <w:r w:rsidRPr="00620926">
        <w:rPr>
          <w:rFonts w:ascii="Times New Roman" w:eastAsia="Times New Roman" w:hAnsi="Times New Roman" w:cs="Times New Roman"/>
          <w:sz w:val="28"/>
          <w:szCs w:val="28"/>
          <w:lang w:val="en-GB"/>
        </w:rPr>
        <w:t xml:space="preserve"> Dekker </w:t>
      </w:r>
      <w:proofErr w:type="spellStart"/>
      <w:r w:rsidRPr="00620926">
        <w:rPr>
          <w:rFonts w:ascii="Times New Roman" w:eastAsia="Times New Roman" w:hAnsi="Times New Roman" w:cs="Times New Roman"/>
          <w:sz w:val="28"/>
          <w:szCs w:val="28"/>
          <w:lang w:val="en-GB"/>
        </w:rPr>
        <w:t>Hofmeyr</w:t>
      </w:r>
      <w:proofErr w:type="spellEnd"/>
      <w:r w:rsidRPr="00620926">
        <w:rPr>
          <w:rFonts w:ascii="Times New Roman" w:eastAsia="Times New Roman" w:hAnsi="Times New Roman" w:cs="Times New Roman"/>
          <w:sz w:val="28"/>
          <w:szCs w:val="28"/>
          <w:lang w:val="en-GB"/>
        </w:rPr>
        <w:t xml:space="preserve"> Inc</w:t>
      </w:r>
      <w:r w:rsidR="002370FC" w:rsidRPr="00620926">
        <w:rPr>
          <w:rFonts w:ascii="Times New Roman" w:eastAsia="Times New Roman" w:hAnsi="Times New Roman" w:cs="Times New Roman"/>
          <w:sz w:val="28"/>
          <w:szCs w:val="28"/>
          <w:lang w:val="en-GB"/>
        </w:rPr>
        <w:t>.</w:t>
      </w:r>
      <w:r w:rsidRPr="00620926">
        <w:rPr>
          <w:rFonts w:ascii="Times New Roman" w:eastAsia="Times New Roman" w:hAnsi="Times New Roman" w:cs="Times New Roman"/>
          <w:sz w:val="28"/>
          <w:szCs w:val="28"/>
          <w:lang w:val="en-GB"/>
        </w:rPr>
        <w:t xml:space="preserve">, </w:t>
      </w:r>
      <w:proofErr w:type="spellStart"/>
      <w:r w:rsidRPr="00620926">
        <w:rPr>
          <w:rFonts w:ascii="Times New Roman" w:eastAsia="Times New Roman" w:hAnsi="Times New Roman" w:cs="Times New Roman"/>
          <w:sz w:val="28"/>
          <w:szCs w:val="28"/>
          <w:lang w:val="en-GB"/>
        </w:rPr>
        <w:t>Sandton</w:t>
      </w:r>
      <w:proofErr w:type="spellEnd"/>
    </w:p>
    <w:p w14:paraId="3442C336" w14:textId="05EAD100" w:rsidR="00A91D0A" w:rsidRPr="00C24AB9" w:rsidRDefault="00A91D0A" w:rsidP="00A91D0A">
      <w:pPr>
        <w:widowControl w:val="0"/>
        <w:autoSpaceDE w:val="0"/>
        <w:autoSpaceDN w:val="0"/>
        <w:adjustRightInd w:val="0"/>
        <w:spacing w:after="0" w:line="360" w:lineRule="auto"/>
        <w:jc w:val="both"/>
        <w:rPr>
          <w:rFonts w:ascii="Times New Roman" w:eastAsia="Times New Roman" w:hAnsi="Times New Roman" w:cs="Times New Roman"/>
          <w:sz w:val="28"/>
          <w:szCs w:val="28"/>
          <w:lang w:val="en-GB"/>
        </w:rPr>
      </w:pP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r w:rsidRPr="00620926">
        <w:rPr>
          <w:rFonts w:ascii="Times New Roman" w:eastAsia="Times New Roman" w:hAnsi="Times New Roman" w:cs="Times New Roman"/>
          <w:sz w:val="28"/>
          <w:szCs w:val="28"/>
          <w:lang w:val="en-GB"/>
        </w:rPr>
        <w:tab/>
      </w:r>
      <w:proofErr w:type="spellStart"/>
      <w:r w:rsidRPr="00620926">
        <w:rPr>
          <w:rFonts w:ascii="Times New Roman" w:eastAsia="Times New Roman" w:hAnsi="Times New Roman" w:cs="Times New Roman"/>
          <w:sz w:val="28"/>
          <w:szCs w:val="28"/>
          <w:lang w:val="en-GB"/>
        </w:rPr>
        <w:t>Noordman</w:t>
      </w:r>
      <w:r w:rsidR="00D85351" w:rsidRPr="00620926">
        <w:rPr>
          <w:rFonts w:ascii="Times New Roman" w:eastAsia="Times New Roman" w:hAnsi="Times New Roman" w:cs="Times New Roman"/>
          <w:sz w:val="28"/>
          <w:szCs w:val="28"/>
          <w:lang w:val="en-GB"/>
        </w:rPr>
        <w:t>s</w:t>
      </w:r>
      <w:proofErr w:type="spellEnd"/>
      <w:r w:rsidR="00D85351" w:rsidRPr="00620926">
        <w:rPr>
          <w:rFonts w:ascii="Times New Roman" w:eastAsia="Times New Roman" w:hAnsi="Times New Roman" w:cs="Times New Roman"/>
          <w:sz w:val="28"/>
          <w:szCs w:val="28"/>
          <w:lang w:val="en-GB"/>
        </w:rPr>
        <w:t xml:space="preserve"> Attorneys</w:t>
      </w:r>
      <w:r w:rsidRPr="00620926">
        <w:rPr>
          <w:rFonts w:ascii="Times New Roman" w:eastAsia="Times New Roman" w:hAnsi="Times New Roman" w:cs="Times New Roman"/>
          <w:sz w:val="28"/>
          <w:szCs w:val="28"/>
          <w:lang w:val="en-GB"/>
        </w:rPr>
        <w:t>, Bloemfontein</w:t>
      </w:r>
      <w:r w:rsidR="002370FC" w:rsidRPr="00620926">
        <w:rPr>
          <w:rFonts w:ascii="Times New Roman" w:eastAsia="Times New Roman" w:hAnsi="Times New Roman" w:cs="Times New Roman"/>
          <w:sz w:val="28"/>
          <w:szCs w:val="28"/>
          <w:lang w:val="en-GB"/>
        </w:rPr>
        <w:t>.</w:t>
      </w:r>
    </w:p>
    <w:p w14:paraId="4F16C1B1" w14:textId="77777777" w:rsidR="006211A4" w:rsidRPr="00A53C30"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p>
    <w:p w14:paraId="42F8C10F" w14:textId="77777777" w:rsidR="006211A4" w:rsidRPr="006211A4" w:rsidRDefault="006211A4" w:rsidP="006211A4">
      <w:pPr>
        <w:widowControl w:val="0"/>
        <w:autoSpaceDE w:val="0"/>
        <w:autoSpaceDN w:val="0"/>
        <w:adjustRightInd w:val="0"/>
        <w:spacing w:after="0" w:line="276" w:lineRule="auto"/>
        <w:rPr>
          <w:rFonts w:ascii="Times New Roman" w:eastAsia="Times New Roman" w:hAnsi="Times New Roman" w:cs="Times New Roman"/>
          <w:b/>
          <w:sz w:val="28"/>
          <w:szCs w:val="28"/>
          <w:lang w:val="en-US"/>
        </w:rPr>
      </w:pPr>
    </w:p>
    <w:p w14:paraId="5C132534" w14:textId="77777777" w:rsidR="006211A4" w:rsidRPr="006211A4" w:rsidRDefault="006211A4" w:rsidP="006211A4">
      <w:pPr>
        <w:widowControl w:val="0"/>
        <w:autoSpaceDE w:val="0"/>
        <w:autoSpaceDN w:val="0"/>
        <w:adjustRightInd w:val="0"/>
        <w:spacing w:after="0" w:line="276" w:lineRule="auto"/>
        <w:rPr>
          <w:rFonts w:ascii="Arial" w:eastAsia="Times New Roman" w:hAnsi="Arial" w:cs="Arial"/>
          <w:lang w:val="en-US"/>
        </w:rPr>
      </w:pPr>
    </w:p>
    <w:p w14:paraId="52693626" w14:textId="77777777" w:rsidR="006211A4" w:rsidRDefault="006211A4" w:rsidP="00337BA1">
      <w:pPr>
        <w:spacing w:after="0" w:line="360" w:lineRule="auto"/>
        <w:jc w:val="both"/>
        <w:rPr>
          <w:rFonts w:ascii="Times New Roman" w:hAnsi="Times New Roman" w:cs="Times New Roman"/>
          <w:sz w:val="28"/>
          <w:szCs w:val="28"/>
          <w:lang w:val="en-US"/>
        </w:rPr>
      </w:pPr>
    </w:p>
    <w:p w14:paraId="2891D5AC" w14:textId="41B23AA6" w:rsidR="00A32D58" w:rsidRPr="00A32D58" w:rsidRDefault="00A32D58" w:rsidP="00337BA1">
      <w:pPr>
        <w:spacing w:after="0" w:line="360" w:lineRule="auto"/>
        <w:jc w:val="both"/>
        <w:rPr>
          <w:rFonts w:ascii="Times New Roman" w:hAnsi="Times New Roman" w:cs="Times New Roman"/>
          <w:sz w:val="28"/>
          <w:szCs w:val="28"/>
          <w:lang w:val="en-US"/>
        </w:rPr>
      </w:pPr>
    </w:p>
    <w:p w14:paraId="42013286" w14:textId="77777777" w:rsidR="002A540A" w:rsidRPr="002A540A" w:rsidRDefault="002A540A" w:rsidP="00337BA1">
      <w:pPr>
        <w:spacing w:after="0" w:line="360" w:lineRule="auto"/>
        <w:jc w:val="both"/>
        <w:rPr>
          <w:rFonts w:ascii="Times New Roman" w:hAnsi="Times New Roman" w:cs="Times New Roman"/>
          <w:sz w:val="28"/>
          <w:szCs w:val="28"/>
          <w:lang w:val="en-US"/>
        </w:rPr>
      </w:pPr>
    </w:p>
    <w:p w14:paraId="5000A270" w14:textId="79335999" w:rsidR="002A540A" w:rsidRPr="002A540A" w:rsidRDefault="002A540A" w:rsidP="00337BA1">
      <w:pPr>
        <w:spacing w:after="0" w:line="360" w:lineRule="auto"/>
        <w:jc w:val="both"/>
        <w:rPr>
          <w:rFonts w:ascii="Times New Roman" w:hAnsi="Times New Roman" w:cs="Times New Roman"/>
          <w:sz w:val="28"/>
          <w:szCs w:val="28"/>
        </w:rPr>
      </w:pPr>
    </w:p>
    <w:p w14:paraId="59F25F2D" w14:textId="77777777" w:rsidR="0047180F" w:rsidRPr="0047180F" w:rsidRDefault="0047180F" w:rsidP="00337BA1">
      <w:pPr>
        <w:spacing w:after="0" w:line="360" w:lineRule="auto"/>
        <w:jc w:val="both"/>
        <w:rPr>
          <w:rFonts w:ascii="Times New Roman" w:hAnsi="Times New Roman" w:cs="Times New Roman"/>
          <w:sz w:val="28"/>
          <w:szCs w:val="28"/>
          <w:lang w:val="en-US"/>
        </w:rPr>
      </w:pPr>
    </w:p>
    <w:bookmarkEnd w:id="0"/>
    <w:p w14:paraId="4720CB0B" w14:textId="088A57A5" w:rsidR="00C42E6B" w:rsidRPr="00292B9D" w:rsidRDefault="00C42E6B" w:rsidP="00292B9D">
      <w:pPr>
        <w:spacing w:after="0" w:line="360" w:lineRule="auto"/>
        <w:jc w:val="both"/>
        <w:rPr>
          <w:rFonts w:ascii="Times New Roman" w:hAnsi="Times New Roman" w:cs="Times New Roman"/>
          <w:sz w:val="28"/>
          <w:szCs w:val="28"/>
        </w:rPr>
      </w:pPr>
    </w:p>
    <w:sectPr w:rsidR="00C42E6B" w:rsidRPr="00292B9D" w:rsidSect="008E48F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E6E6D" w14:textId="77777777" w:rsidR="00B20B48" w:rsidRDefault="00B20B48" w:rsidP="00AC505C">
      <w:pPr>
        <w:spacing w:after="0" w:line="240" w:lineRule="auto"/>
      </w:pPr>
      <w:r>
        <w:separator/>
      </w:r>
    </w:p>
  </w:endnote>
  <w:endnote w:type="continuationSeparator" w:id="0">
    <w:p w14:paraId="6A9F8290" w14:textId="77777777" w:rsidR="00B20B48" w:rsidRDefault="00B20B48" w:rsidP="00AC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A91D2" w14:textId="77777777" w:rsidR="00B20B48" w:rsidRDefault="00B20B48" w:rsidP="00AC505C">
      <w:pPr>
        <w:spacing w:after="0" w:line="240" w:lineRule="auto"/>
      </w:pPr>
      <w:r>
        <w:separator/>
      </w:r>
    </w:p>
  </w:footnote>
  <w:footnote w:type="continuationSeparator" w:id="0">
    <w:p w14:paraId="3CF3D1A4" w14:textId="77777777" w:rsidR="00B20B48" w:rsidRDefault="00B20B48" w:rsidP="00AC505C">
      <w:pPr>
        <w:spacing w:after="0" w:line="240" w:lineRule="auto"/>
      </w:pPr>
      <w:r>
        <w:continuationSeparator/>
      </w:r>
    </w:p>
  </w:footnote>
  <w:footnote w:id="1">
    <w:p w14:paraId="59560F27" w14:textId="64CF08B6" w:rsidR="00860BE5" w:rsidRPr="00CF205A" w:rsidRDefault="00860BE5">
      <w:pPr>
        <w:pStyle w:val="FootnoteText"/>
        <w:rPr>
          <w:rFonts w:ascii="Times New Roman" w:hAnsi="Times New Roman" w:cs="Times New Roman"/>
        </w:rPr>
      </w:pPr>
      <w:r w:rsidRPr="00CF205A">
        <w:rPr>
          <w:rStyle w:val="FootnoteReference"/>
          <w:rFonts w:ascii="Times New Roman" w:hAnsi="Times New Roman" w:cs="Times New Roman"/>
        </w:rPr>
        <w:footnoteRef/>
      </w:r>
      <w:r w:rsidRPr="00CF205A">
        <w:rPr>
          <w:rFonts w:ascii="Times New Roman" w:hAnsi="Times New Roman" w:cs="Times New Roman"/>
          <w:lang w:val="en-GB"/>
        </w:rPr>
        <w:t xml:space="preserve">Section 26 of the National Gambling Act 7 of 2004 (the </w:t>
      </w:r>
      <w:r>
        <w:rPr>
          <w:rFonts w:ascii="Times New Roman" w:hAnsi="Times New Roman" w:cs="Times New Roman"/>
          <w:lang w:val="en-GB"/>
        </w:rPr>
        <w:t xml:space="preserve">National </w:t>
      </w:r>
      <w:r w:rsidRPr="00CF205A">
        <w:rPr>
          <w:rFonts w:ascii="Times New Roman" w:hAnsi="Times New Roman" w:cs="Times New Roman"/>
          <w:lang w:val="en-GB"/>
        </w:rPr>
        <w:t xml:space="preserve">Gambling Act), read with s 46 of the Western Cape Gambling and Racing Act 4 of 1996 (the Western Cape Act) define a limited </w:t>
      </w:r>
      <w:proofErr w:type="spellStart"/>
      <w:r w:rsidRPr="00CF205A">
        <w:rPr>
          <w:rFonts w:ascii="Times New Roman" w:hAnsi="Times New Roman" w:cs="Times New Roman"/>
          <w:lang w:val="en-GB"/>
        </w:rPr>
        <w:t>payout</w:t>
      </w:r>
      <w:proofErr w:type="spellEnd"/>
      <w:r w:rsidRPr="00CF205A">
        <w:rPr>
          <w:rFonts w:ascii="Times New Roman" w:hAnsi="Times New Roman" w:cs="Times New Roman"/>
          <w:lang w:val="en-GB"/>
        </w:rPr>
        <w:t xml:space="preserve"> machine as a gambling machine with a restricted prize.</w:t>
      </w:r>
    </w:p>
  </w:footnote>
  <w:footnote w:id="2">
    <w:p w14:paraId="6F75FB9E" w14:textId="141E0A7A" w:rsidR="00860BE5" w:rsidRPr="000B65D1" w:rsidRDefault="00860BE5" w:rsidP="0001047A">
      <w:pPr>
        <w:pStyle w:val="FootnoteText"/>
        <w:jc w:val="both"/>
        <w:rPr>
          <w:rFonts w:ascii="Times New Roman" w:hAnsi="Times New Roman" w:cs="Times New Roman"/>
          <w:color w:val="FF0000"/>
          <w:lang w:val="en-GB"/>
        </w:rPr>
      </w:pPr>
      <w:r w:rsidRPr="004E70DA">
        <w:rPr>
          <w:rStyle w:val="FootnoteReference"/>
          <w:rFonts w:ascii="Times New Roman" w:hAnsi="Times New Roman" w:cs="Times New Roman"/>
        </w:rPr>
        <w:footnoteRef/>
      </w:r>
      <w:r w:rsidRPr="004E70DA">
        <w:rPr>
          <w:rFonts w:ascii="Times New Roman" w:hAnsi="Times New Roman" w:cs="Times New Roman"/>
        </w:rPr>
        <w:t xml:space="preserve"> </w:t>
      </w:r>
      <w:r w:rsidRPr="004E70DA">
        <w:rPr>
          <w:rFonts w:ascii="Times New Roman" w:hAnsi="Times New Roman" w:cs="Times New Roman"/>
          <w:lang w:val="en-GB"/>
        </w:rPr>
        <w:t>Section</w:t>
      </w:r>
      <w:r>
        <w:rPr>
          <w:rFonts w:ascii="Times New Roman" w:hAnsi="Times New Roman" w:cs="Times New Roman"/>
          <w:lang w:val="en-GB"/>
        </w:rPr>
        <w:t xml:space="preserve"> 2 </w:t>
      </w:r>
      <w:r w:rsidRPr="004E70DA">
        <w:rPr>
          <w:rFonts w:ascii="Times New Roman" w:hAnsi="Times New Roman" w:cs="Times New Roman"/>
          <w:lang w:val="en-GB"/>
        </w:rPr>
        <w:t>of the Western Cape Act read with s</w:t>
      </w:r>
      <w:r>
        <w:rPr>
          <w:rFonts w:ascii="Times New Roman" w:hAnsi="Times New Roman" w:cs="Times New Roman"/>
          <w:lang w:val="en-GB"/>
        </w:rPr>
        <w:t xml:space="preserve"> 30 </w:t>
      </w:r>
      <w:r w:rsidRPr="004E70DA">
        <w:rPr>
          <w:rFonts w:ascii="Times New Roman" w:hAnsi="Times New Roman" w:cs="Times New Roman"/>
          <w:lang w:val="en-GB"/>
        </w:rPr>
        <w:t xml:space="preserve">of the </w:t>
      </w:r>
      <w:r w:rsidR="00081409">
        <w:rPr>
          <w:rFonts w:ascii="Times New Roman" w:hAnsi="Times New Roman" w:cs="Times New Roman"/>
          <w:lang w:val="en-GB"/>
        </w:rPr>
        <w:t xml:space="preserve">National </w:t>
      </w:r>
      <w:r w:rsidRPr="004E70DA">
        <w:rPr>
          <w:rFonts w:ascii="Times New Roman" w:hAnsi="Times New Roman" w:cs="Times New Roman"/>
          <w:lang w:val="en-GB"/>
        </w:rPr>
        <w:t>Gambling Act.</w:t>
      </w:r>
    </w:p>
  </w:footnote>
  <w:footnote w:id="3">
    <w:p w14:paraId="3A9E68AF" w14:textId="77777777" w:rsidR="00A57698" w:rsidRPr="00E83358" w:rsidRDefault="00A57698" w:rsidP="00A57698">
      <w:pPr>
        <w:pStyle w:val="FootnoteText"/>
        <w:rPr>
          <w:rFonts w:ascii="Times New Roman" w:hAnsi="Times New Roman" w:cs="Times New Roman"/>
        </w:rPr>
      </w:pPr>
      <w:r w:rsidRPr="00A57698">
        <w:rPr>
          <w:rStyle w:val="FootnoteReference"/>
          <w:rFonts w:ascii="Times New Roman" w:hAnsi="Times New Roman" w:cs="Times New Roman"/>
        </w:rPr>
        <w:footnoteRef/>
      </w:r>
      <w:r w:rsidRPr="00A57698">
        <w:rPr>
          <w:rFonts w:ascii="Times New Roman" w:hAnsi="Times New Roman" w:cs="Times New Roman"/>
        </w:rPr>
        <w:t xml:space="preserve"> The notice of motion incorrectly refers to a decision taken in November. It was, however, common cause that the decision was taken on 29 August 2017.</w:t>
      </w:r>
    </w:p>
  </w:footnote>
  <w:footnote w:id="4">
    <w:p w14:paraId="515C9341" w14:textId="7B112563" w:rsidR="00860BE5" w:rsidRPr="004E70DA" w:rsidRDefault="00860BE5" w:rsidP="004E70DA">
      <w:pPr>
        <w:pStyle w:val="FootnoteText"/>
        <w:jc w:val="both"/>
        <w:rPr>
          <w:rFonts w:ascii="Times New Roman" w:hAnsi="Times New Roman" w:cs="Times New Roman"/>
        </w:rPr>
      </w:pPr>
      <w:r w:rsidRPr="004E70DA">
        <w:rPr>
          <w:rStyle w:val="FootnoteReference"/>
          <w:rFonts w:ascii="Times New Roman" w:hAnsi="Times New Roman" w:cs="Times New Roman"/>
        </w:rPr>
        <w:footnoteRef/>
      </w:r>
      <w:r w:rsidRPr="004E70DA">
        <w:rPr>
          <w:rFonts w:ascii="Times New Roman" w:hAnsi="Times New Roman" w:cs="Times New Roman"/>
        </w:rPr>
        <w:t xml:space="preserve"> </w:t>
      </w:r>
      <w:r>
        <w:rPr>
          <w:rFonts w:ascii="Times New Roman" w:hAnsi="Times New Roman" w:cs="Times New Roman"/>
        </w:rPr>
        <w:t xml:space="preserve">C </w:t>
      </w:r>
      <w:proofErr w:type="spellStart"/>
      <w:r w:rsidRPr="004E70DA">
        <w:rPr>
          <w:rFonts w:ascii="Times New Roman" w:hAnsi="Times New Roman" w:cs="Times New Roman"/>
        </w:rPr>
        <w:t>Hoexter</w:t>
      </w:r>
      <w:proofErr w:type="spellEnd"/>
      <w:r w:rsidRPr="004E70DA">
        <w:rPr>
          <w:rFonts w:ascii="Times New Roman" w:hAnsi="Times New Roman" w:cs="Times New Roman"/>
        </w:rPr>
        <w:t xml:space="preserve"> and </w:t>
      </w:r>
      <w:r>
        <w:rPr>
          <w:rFonts w:ascii="Times New Roman" w:hAnsi="Times New Roman" w:cs="Times New Roman"/>
        </w:rPr>
        <w:t xml:space="preserve">G </w:t>
      </w:r>
      <w:proofErr w:type="spellStart"/>
      <w:r w:rsidRPr="004E70DA">
        <w:rPr>
          <w:rFonts w:ascii="Times New Roman" w:hAnsi="Times New Roman" w:cs="Times New Roman"/>
        </w:rPr>
        <w:t>Penfold</w:t>
      </w:r>
      <w:proofErr w:type="spellEnd"/>
      <w:r w:rsidRPr="004E70DA">
        <w:rPr>
          <w:rFonts w:ascii="Times New Roman" w:hAnsi="Times New Roman" w:cs="Times New Roman"/>
        </w:rPr>
        <w:t xml:space="preserve"> </w:t>
      </w:r>
      <w:r w:rsidRPr="004E70DA">
        <w:rPr>
          <w:rFonts w:ascii="Times New Roman" w:hAnsi="Times New Roman" w:cs="Times New Roman"/>
          <w:i/>
          <w:iCs/>
        </w:rPr>
        <w:t>Administrative Law in South Africa</w:t>
      </w:r>
      <w:r w:rsidRPr="004E70DA">
        <w:rPr>
          <w:rFonts w:ascii="Times New Roman" w:hAnsi="Times New Roman" w:cs="Times New Roman"/>
        </w:rPr>
        <w:t xml:space="preserve"> 3</w:t>
      </w:r>
      <w:r>
        <w:rPr>
          <w:rFonts w:ascii="Times New Roman" w:hAnsi="Times New Roman" w:cs="Times New Roman"/>
        </w:rPr>
        <w:t xml:space="preserve"> </w:t>
      </w:r>
      <w:proofErr w:type="spellStart"/>
      <w:proofErr w:type="gramStart"/>
      <w:r w:rsidRPr="004E70DA">
        <w:rPr>
          <w:rFonts w:ascii="Times New Roman" w:hAnsi="Times New Roman" w:cs="Times New Roman"/>
        </w:rPr>
        <w:t>ed</w:t>
      </w:r>
      <w:proofErr w:type="spellEnd"/>
      <w:proofErr w:type="gramEnd"/>
      <w:r>
        <w:rPr>
          <w:rFonts w:ascii="Times New Roman" w:hAnsi="Times New Roman" w:cs="Times New Roman"/>
        </w:rPr>
        <w:t xml:space="preserve"> (2021)</w:t>
      </w:r>
      <w:r w:rsidRPr="004E70DA">
        <w:rPr>
          <w:rFonts w:ascii="Times New Roman" w:hAnsi="Times New Roman" w:cs="Times New Roman"/>
        </w:rPr>
        <w:t xml:space="preserve"> </w:t>
      </w:r>
      <w:r>
        <w:rPr>
          <w:rFonts w:ascii="Times New Roman" w:hAnsi="Times New Roman" w:cs="Times New Roman"/>
        </w:rPr>
        <w:t xml:space="preserve">at </w:t>
      </w:r>
      <w:r w:rsidRPr="004E70DA">
        <w:rPr>
          <w:rFonts w:ascii="Times New Roman" w:hAnsi="Times New Roman" w:cs="Times New Roman"/>
        </w:rPr>
        <w:t>659.</w:t>
      </w:r>
    </w:p>
  </w:footnote>
  <w:footnote w:id="5">
    <w:p w14:paraId="62A9128C" w14:textId="6F80F52B" w:rsidR="00860BE5" w:rsidRPr="004E70DA" w:rsidRDefault="00860BE5" w:rsidP="004E70DA">
      <w:pPr>
        <w:pStyle w:val="FootnoteText"/>
        <w:jc w:val="both"/>
        <w:rPr>
          <w:rFonts w:ascii="Times New Roman" w:hAnsi="Times New Roman" w:cs="Times New Roman"/>
        </w:rPr>
      </w:pPr>
      <w:r w:rsidRPr="004E70DA">
        <w:rPr>
          <w:rStyle w:val="FootnoteReference"/>
          <w:rFonts w:ascii="Times New Roman" w:hAnsi="Times New Roman" w:cs="Times New Roman"/>
        </w:rPr>
        <w:footnoteRef/>
      </w:r>
      <w:r w:rsidRPr="004E70DA">
        <w:rPr>
          <w:rFonts w:ascii="Times New Roman" w:hAnsi="Times New Roman" w:cs="Times New Roman"/>
        </w:rPr>
        <w:t xml:space="preserve"> </w:t>
      </w:r>
      <w:r w:rsidRPr="004E70DA">
        <w:rPr>
          <w:rFonts w:ascii="Times New Roman" w:hAnsi="Times New Roman" w:cs="Times New Roman"/>
          <w:i/>
          <w:iCs/>
        </w:rPr>
        <w:t xml:space="preserve">Giant Concerts CC v </w:t>
      </w:r>
      <w:proofErr w:type="spellStart"/>
      <w:r w:rsidRPr="004E70DA">
        <w:rPr>
          <w:rFonts w:ascii="Times New Roman" w:hAnsi="Times New Roman" w:cs="Times New Roman"/>
          <w:i/>
          <w:iCs/>
        </w:rPr>
        <w:t>Rinaldo</w:t>
      </w:r>
      <w:proofErr w:type="spellEnd"/>
      <w:r w:rsidRPr="004E70DA">
        <w:rPr>
          <w:rFonts w:ascii="Times New Roman" w:hAnsi="Times New Roman" w:cs="Times New Roman"/>
          <w:i/>
          <w:iCs/>
        </w:rPr>
        <w:t xml:space="preserve"> Investments (Pty) Ltd and Others</w:t>
      </w:r>
      <w:r w:rsidRPr="004E70DA">
        <w:rPr>
          <w:rFonts w:ascii="Times New Roman" w:hAnsi="Times New Roman" w:cs="Times New Roman"/>
        </w:rPr>
        <w:t xml:space="preserve"> [2012] ZACC 28; 2013 (3) BCLR 251 (CC) para 34.</w:t>
      </w:r>
    </w:p>
  </w:footnote>
  <w:footnote w:id="6">
    <w:p w14:paraId="1F34C44C" w14:textId="5BD44837" w:rsidR="00860BE5" w:rsidRPr="004E70DA" w:rsidRDefault="00860BE5" w:rsidP="004E70DA">
      <w:pPr>
        <w:pStyle w:val="FootnoteText"/>
        <w:jc w:val="both"/>
        <w:rPr>
          <w:rFonts w:ascii="Times New Roman" w:hAnsi="Times New Roman" w:cs="Times New Roman"/>
        </w:rPr>
      </w:pPr>
      <w:r w:rsidRPr="004E70DA">
        <w:rPr>
          <w:rStyle w:val="FootnoteReference"/>
          <w:rFonts w:ascii="Times New Roman" w:hAnsi="Times New Roman" w:cs="Times New Roman"/>
        </w:rPr>
        <w:footnoteRef/>
      </w:r>
      <w:r w:rsidRPr="004E70DA">
        <w:rPr>
          <w:rFonts w:ascii="Times New Roman" w:hAnsi="Times New Roman" w:cs="Times New Roman"/>
        </w:rPr>
        <w:t xml:space="preserve"> </w:t>
      </w:r>
      <w:r>
        <w:rPr>
          <w:rFonts w:ascii="Times New Roman" w:hAnsi="Times New Roman" w:cs="Times New Roman"/>
        </w:rPr>
        <w:t xml:space="preserve">Ibid </w:t>
      </w:r>
      <w:r w:rsidRPr="004E70DA">
        <w:rPr>
          <w:rFonts w:ascii="Times New Roman" w:hAnsi="Times New Roman" w:cs="Times New Roman"/>
        </w:rPr>
        <w:t>para 30.</w:t>
      </w:r>
    </w:p>
  </w:footnote>
  <w:footnote w:id="7">
    <w:p w14:paraId="50E37A24" w14:textId="3B236E01" w:rsidR="00860BE5" w:rsidRPr="004E70DA" w:rsidRDefault="00860BE5" w:rsidP="004E70DA">
      <w:pPr>
        <w:pStyle w:val="FootnoteText"/>
        <w:jc w:val="both"/>
        <w:rPr>
          <w:rFonts w:ascii="Times New Roman" w:hAnsi="Times New Roman" w:cs="Times New Roman"/>
        </w:rPr>
      </w:pPr>
      <w:r w:rsidRPr="004E70DA">
        <w:rPr>
          <w:rStyle w:val="FootnoteReference"/>
          <w:rFonts w:ascii="Times New Roman" w:hAnsi="Times New Roman" w:cs="Times New Roman"/>
        </w:rPr>
        <w:footnoteRef/>
      </w:r>
      <w:r w:rsidRPr="004E70DA">
        <w:rPr>
          <w:rFonts w:ascii="Times New Roman" w:hAnsi="Times New Roman" w:cs="Times New Roman"/>
        </w:rPr>
        <w:t xml:space="preserve"> </w:t>
      </w:r>
      <w:r w:rsidRPr="004E70DA">
        <w:rPr>
          <w:rFonts w:ascii="Times New Roman" w:hAnsi="Times New Roman" w:cs="Times New Roman"/>
          <w:i/>
          <w:iCs/>
        </w:rPr>
        <w:t>Giant Concerts</w:t>
      </w:r>
      <w:r w:rsidRPr="004E70DA">
        <w:rPr>
          <w:rFonts w:ascii="Times New Roman" w:hAnsi="Times New Roman" w:cs="Times New Roman"/>
        </w:rPr>
        <w:t xml:space="preserve"> </w:t>
      </w:r>
      <w:proofErr w:type="spellStart"/>
      <w:proofErr w:type="gramStart"/>
      <w:r w:rsidRPr="004E70DA">
        <w:rPr>
          <w:rFonts w:ascii="Times New Roman" w:hAnsi="Times New Roman" w:cs="Times New Roman"/>
        </w:rPr>
        <w:t>fn</w:t>
      </w:r>
      <w:proofErr w:type="spellEnd"/>
      <w:proofErr w:type="gramEnd"/>
      <w:r w:rsidRPr="004E70DA">
        <w:rPr>
          <w:rFonts w:ascii="Times New Roman" w:hAnsi="Times New Roman" w:cs="Times New Roman"/>
        </w:rPr>
        <w:t xml:space="preserve"> 5 above para 34.</w:t>
      </w:r>
    </w:p>
  </w:footnote>
  <w:footnote w:id="8">
    <w:p w14:paraId="2BC55642" w14:textId="5A98D802" w:rsidR="00860BE5" w:rsidRPr="000B65D1" w:rsidRDefault="00860BE5" w:rsidP="000B65D1">
      <w:pPr>
        <w:pStyle w:val="FootnoteText"/>
        <w:jc w:val="both"/>
        <w:rPr>
          <w:rFonts w:ascii="Times New Roman" w:hAnsi="Times New Roman" w:cs="Times New Roman"/>
        </w:rPr>
      </w:pPr>
      <w:r w:rsidRPr="000B65D1">
        <w:rPr>
          <w:rStyle w:val="FootnoteReference"/>
          <w:rFonts w:ascii="Times New Roman" w:hAnsi="Times New Roman" w:cs="Times New Roman"/>
        </w:rPr>
        <w:footnoteRef/>
      </w:r>
      <w:r w:rsidRPr="000B65D1">
        <w:rPr>
          <w:rFonts w:ascii="Times New Roman" w:hAnsi="Times New Roman" w:cs="Times New Roman"/>
        </w:rPr>
        <w:t xml:space="preserve"> Ibid para 58.</w:t>
      </w:r>
    </w:p>
  </w:footnote>
  <w:footnote w:id="9">
    <w:p w14:paraId="5E7DA53D" w14:textId="465BB00F" w:rsidR="00860BE5" w:rsidRPr="00017ED7" w:rsidRDefault="00860BE5">
      <w:pPr>
        <w:pStyle w:val="FootnoteText"/>
        <w:rPr>
          <w:rFonts w:ascii="Times New Roman" w:hAnsi="Times New Roman" w:cs="Times New Roman"/>
        </w:rPr>
      </w:pPr>
      <w:r w:rsidRPr="00017ED7">
        <w:rPr>
          <w:rStyle w:val="FootnoteReference"/>
          <w:rFonts w:ascii="Times New Roman" w:hAnsi="Times New Roman" w:cs="Times New Roman"/>
        </w:rPr>
        <w:footnoteRef/>
      </w:r>
      <w:r w:rsidRPr="00017ED7">
        <w:rPr>
          <w:rFonts w:ascii="Times New Roman" w:hAnsi="Times New Roman" w:cs="Times New Roman"/>
        </w:rPr>
        <w:t xml:space="preserve"> C</w:t>
      </w:r>
      <w:r w:rsidR="002370FC">
        <w:rPr>
          <w:rFonts w:ascii="Times New Roman" w:hAnsi="Times New Roman" w:cs="Times New Roman"/>
        </w:rPr>
        <w:t>ompare</w:t>
      </w:r>
      <w:r w:rsidRPr="00017ED7">
        <w:rPr>
          <w:rFonts w:ascii="Times New Roman" w:hAnsi="Times New Roman" w:cs="Times New Roman"/>
        </w:rPr>
        <w:t xml:space="preserve"> </w:t>
      </w:r>
      <w:r w:rsidRPr="00017ED7">
        <w:rPr>
          <w:rFonts w:ascii="Times New Roman" w:hAnsi="Times New Roman" w:cs="Times New Roman"/>
          <w:i/>
          <w:iCs/>
        </w:rPr>
        <w:t>Peermont Global (North West) (Pty) Ltd v Chairperson of the North West Gambling Review Tribunal and Others and Two Other Cases</w:t>
      </w:r>
      <w:r w:rsidRPr="00017ED7">
        <w:rPr>
          <w:rFonts w:ascii="Times New Roman" w:hAnsi="Times New Roman" w:cs="Times New Roman"/>
        </w:rPr>
        <w:t xml:space="preserve"> [2022] ZASCA 80 para 43-44.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25481342"/>
      <w:docPartObj>
        <w:docPartGallery w:val="Page Numbers (Top of Page)"/>
        <w:docPartUnique/>
      </w:docPartObj>
    </w:sdtPr>
    <w:sdtEndPr>
      <w:rPr>
        <w:noProof/>
      </w:rPr>
    </w:sdtEndPr>
    <w:sdtContent>
      <w:p w14:paraId="71AC54D0" w14:textId="363F5D95" w:rsidR="00860BE5" w:rsidRPr="001A61F6" w:rsidRDefault="00860BE5">
        <w:pPr>
          <w:pStyle w:val="Header"/>
          <w:jc w:val="right"/>
          <w:rPr>
            <w:rFonts w:ascii="Times New Roman" w:hAnsi="Times New Roman" w:cs="Times New Roman"/>
            <w:sz w:val="28"/>
            <w:szCs w:val="28"/>
          </w:rPr>
        </w:pPr>
        <w:r w:rsidRPr="001A61F6">
          <w:rPr>
            <w:rFonts w:ascii="Times New Roman" w:hAnsi="Times New Roman" w:cs="Times New Roman"/>
            <w:sz w:val="28"/>
            <w:szCs w:val="28"/>
          </w:rPr>
          <w:fldChar w:fldCharType="begin"/>
        </w:r>
        <w:r w:rsidRPr="001A61F6">
          <w:rPr>
            <w:rFonts w:ascii="Times New Roman" w:hAnsi="Times New Roman" w:cs="Times New Roman"/>
            <w:sz w:val="28"/>
            <w:szCs w:val="28"/>
          </w:rPr>
          <w:instrText xml:space="preserve"> PAGE   \* MERGEFORMAT </w:instrText>
        </w:r>
        <w:r w:rsidRPr="001A61F6">
          <w:rPr>
            <w:rFonts w:ascii="Times New Roman" w:hAnsi="Times New Roman" w:cs="Times New Roman"/>
            <w:sz w:val="28"/>
            <w:szCs w:val="28"/>
          </w:rPr>
          <w:fldChar w:fldCharType="separate"/>
        </w:r>
        <w:r w:rsidR="00056A27">
          <w:rPr>
            <w:rFonts w:ascii="Times New Roman" w:hAnsi="Times New Roman" w:cs="Times New Roman"/>
            <w:noProof/>
            <w:sz w:val="28"/>
            <w:szCs w:val="28"/>
          </w:rPr>
          <w:t>16</w:t>
        </w:r>
        <w:r w:rsidRPr="001A61F6">
          <w:rPr>
            <w:rFonts w:ascii="Times New Roman" w:hAnsi="Times New Roman" w:cs="Times New Roman"/>
            <w:noProof/>
            <w:sz w:val="28"/>
            <w:szCs w:val="28"/>
          </w:rPr>
          <w:fldChar w:fldCharType="end"/>
        </w:r>
      </w:p>
    </w:sdtContent>
  </w:sdt>
  <w:p w14:paraId="4CA199EB" w14:textId="77777777" w:rsidR="00860BE5" w:rsidRPr="00DF4E7F" w:rsidRDefault="00860BE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4D7"/>
    <w:multiLevelType w:val="hybridMultilevel"/>
    <w:tmpl w:val="9DAE84AC"/>
    <w:lvl w:ilvl="0" w:tplc="CAB28B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786D25"/>
    <w:multiLevelType w:val="hybridMultilevel"/>
    <w:tmpl w:val="AF5497A8"/>
    <w:lvl w:ilvl="0" w:tplc="409279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181E4E"/>
    <w:multiLevelType w:val="multilevel"/>
    <w:tmpl w:val="A58A1958"/>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E71FA8-3D70-4D41-9474-1E2B1A6F2555}"/>
    <w:docVar w:name="dgnword-eventsink" w:val="2868630270320"/>
    <w:docVar w:name="dgnword-lastRevisionsView" w:val="0"/>
  </w:docVars>
  <w:rsids>
    <w:rsidRoot w:val="00005AA9"/>
    <w:rsid w:val="000026CD"/>
    <w:rsid w:val="000033E9"/>
    <w:rsid w:val="000046F0"/>
    <w:rsid w:val="00004F4B"/>
    <w:rsid w:val="00005AA9"/>
    <w:rsid w:val="0001047A"/>
    <w:rsid w:val="000108A8"/>
    <w:rsid w:val="0001101F"/>
    <w:rsid w:val="000125C0"/>
    <w:rsid w:val="0001489D"/>
    <w:rsid w:val="00014AF9"/>
    <w:rsid w:val="00014EDA"/>
    <w:rsid w:val="00015580"/>
    <w:rsid w:val="00015FD6"/>
    <w:rsid w:val="000166E7"/>
    <w:rsid w:val="000169F9"/>
    <w:rsid w:val="00017C59"/>
    <w:rsid w:val="00017ED7"/>
    <w:rsid w:val="00023E09"/>
    <w:rsid w:val="00026EC8"/>
    <w:rsid w:val="00033EC2"/>
    <w:rsid w:val="00034386"/>
    <w:rsid w:val="00041C66"/>
    <w:rsid w:val="00045C53"/>
    <w:rsid w:val="00047DE8"/>
    <w:rsid w:val="000522FB"/>
    <w:rsid w:val="0005689D"/>
    <w:rsid w:val="00056A27"/>
    <w:rsid w:val="000578EB"/>
    <w:rsid w:val="00064613"/>
    <w:rsid w:val="00064B05"/>
    <w:rsid w:val="00065402"/>
    <w:rsid w:val="00065C06"/>
    <w:rsid w:val="00070B2D"/>
    <w:rsid w:val="00073B76"/>
    <w:rsid w:val="00075764"/>
    <w:rsid w:val="000759F1"/>
    <w:rsid w:val="00075CC7"/>
    <w:rsid w:val="00077089"/>
    <w:rsid w:val="00081409"/>
    <w:rsid w:val="0008224C"/>
    <w:rsid w:val="00083B53"/>
    <w:rsid w:val="00085714"/>
    <w:rsid w:val="00090450"/>
    <w:rsid w:val="000A4723"/>
    <w:rsid w:val="000B64BF"/>
    <w:rsid w:val="000B65D1"/>
    <w:rsid w:val="000B7D79"/>
    <w:rsid w:val="000C1F81"/>
    <w:rsid w:val="000C235A"/>
    <w:rsid w:val="000D5A8F"/>
    <w:rsid w:val="000D67A0"/>
    <w:rsid w:val="000D7373"/>
    <w:rsid w:val="000D75BF"/>
    <w:rsid w:val="000D7B4D"/>
    <w:rsid w:val="000F1EDB"/>
    <w:rsid w:val="000F3726"/>
    <w:rsid w:val="000F5238"/>
    <w:rsid w:val="000F5AE6"/>
    <w:rsid w:val="001044B9"/>
    <w:rsid w:val="00104BE0"/>
    <w:rsid w:val="00105B25"/>
    <w:rsid w:val="00107829"/>
    <w:rsid w:val="001131A1"/>
    <w:rsid w:val="001163AD"/>
    <w:rsid w:val="00117076"/>
    <w:rsid w:val="0012142B"/>
    <w:rsid w:val="001247FE"/>
    <w:rsid w:val="0012503D"/>
    <w:rsid w:val="001437A3"/>
    <w:rsid w:val="00145071"/>
    <w:rsid w:val="001469AE"/>
    <w:rsid w:val="00147CC0"/>
    <w:rsid w:val="001546D7"/>
    <w:rsid w:val="0016336D"/>
    <w:rsid w:val="00163F76"/>
    <w:rsid w:val="00167AA9"/>
    <w:rsid w:val="00171AF4"/>
    <w:rsid w:val="0017312C"/>
    <w:rsid w:val="00177946"/>
    <w:rsid w:val="00180A8C"/>
    <w:rsid w:val="00181659"/>
    <w:rsid w:val="001916FD"/>
    <w:rsid w:val="00194B76"/>
    <w:rsid w:val="00195C26"/>
    <w:rsid w:val="00197D22"/>
    <w:rsid w:val="001A30B4"/>
    <w:rsid w:val="001A375A"/>
    <w:rsid w:val="001A61F6"/>
    <w:rsid w:val="001A65C8"/>
    <w:rsid w:val="001B13C6"/>
    <w:rsid w:val="001B1F10"/>
    <w:rsid w:val="001B2E40"/>
    <w:rsid w:val="001B366B"/>
    <w:rsid w:val="001B3BAB"/>
    <w:rsid w:val="001B53E7"/>
    <w:rsid w:val="001C5C44"/>
    <w:rsid w:val="001E4C0B"/>
    <w:rsid w:val="001E4E2A"/>
    <w:rsid w:val="001E5F21"/>
    <w:rsid w:val="001F13DC"/>
    <w:rsid w:val="001F45A9"/>
    <w:rsid w:val="001F5567"/>
    <w:rsid w:val="001F59E5"/>
    <w:rsid w:val="001F67E9"/>
    <w:rsid w:val="00204949"/>
    <w:rsid w:val="0020535F"/>
    <w:rsid w:val="002117B6"/>
    <w:rsid w:val="00213361"/>
    <w:rsid w:val="00216E3E"/>
    <w:rsid w:val="002217BE"/>
    <w:rsid w:val="0022239E"/>
    <w:rsid w:val="00226A04"/>
    <w:rsid w:val="00226E91"/>
    <w:rsid w:val="002277A3"/>
    <w:rsid w:val="002366E3"/>
    <w:rsid w:val="002370FC"/>
    <w:rsid w:val="00237657"/>
    <w:rsid w:val="002376F0"/>
    <w:rsid w:val="00237FEC"/>
    <w:rsid w:val="00240319"/>
    <w:rsid w:val="00244085"/>
    <w:rsid w:val="00250ECD"/>
    <w:rsid w:val="00251312"/>
    <w:rsid w:val="00256242"/>
    <w:rsid w:val="0025674E"/>
    <w:rsid w:val="00260855"/>
    <w:rsid w:val="00260EB9"/>
    <w:rsid w:val="0026414E"/>
    <w:rsid w:val="002647B4"/>
    <w:rsid w:val="002657A2"/>
    <w:rsid w:val="00265A6D"/>
    <w:rsid w:val="00281EB0"/>
    <w:rsid w:val="00287456"/>
    <w:rsid w:val="002909F0"/>
    <w:rsid w:val="00292B9D"/>
    <w:rsid w:val="00296473"/>
    <w:rsid w:val="002A0F6D"/>
    <w:rsid w:val="002A540A"/>
    <w:rsid w:val="002A5D95"/>
    <w:rsid w:val="002B0F10"/>
    <w:rsid w:val="002B1068"/>
    <w:rsid w:val="002B120B"/>
    <w:rsid w:val="002B24E2"/>
    <w:rsid w:val="002B2FEF"/>
    <w:rsid w:val="002B3BA4"/>
    <w:rsid w:val="002B453D"/>
    <w:rsid w:val="002B7080"/>
    <w:rsid w:val="002C6CB8"/>
    <w:rsid w:val="002D0564"/>
    <w:rsid w:val="002D3B22"/>
    <w:rsid w:val="002E2D53"/>
    <w:rsid w:val="002E4089"/>
    <w:rsid w:val="002E591E"/>
    <w:rsid w:val="00303424"/>
    <w:rsid w:val="00304C0C"/>
    <w:rsid w:val="00307CF2"/>
    <w:rsid w:val="003105B4"/>
    <w:rsid w:val="00311C18"/>
    <w:rsid w:val="00315B3D"/>
    <w:rsid w:val="00322736"/>
    <w:rsid w:val="00323793"/>
    <w:rsid w:val="00324BDB"/>
    <w:rsid w:val="0032746C"/>
    <w:rsid w:val="00332A6D"/>
    <w:rsid w:val="00332D1D"/>
    <w:rsid w:val="003358D2"/>
    <w:rsid w:val="00337679"/>
    <w:rsid w:val="00337BA1"/>
    <w:rsid w:val="00345810"/>
    <w:rsid w:val="00346696"/>
    <w:rsid w:val="00346DA5"/>
    <w:rsid w:val="00347295"/>
    <w:rsid w:val="00350159"/>
    <w:rsid w:val="00355219"/>
    <w:rsid w:val="00355FC1"/>
    <w:rsid w:val="00356288"/>
    <w:rsid w:val="00375126"/>
    <w:rsid w:val="00375E80"/>
    <w:rsid w:val="00380086"/>
    <w:rsid w:val="00384D6E"/>
    <w:rsid w:val="003875D2"/>
    <w:rsid w:val="00387853"/>
    <w:rsid w:val="00393AC1"/>
    <w:rsid w:val="0039775A"/>
    <w:rsid w:val="00397BE9"/>
    <w:rsid w:val="003B157A"/>
    <w:rsid w:val="003C2531"/>
    <w:rsid w:val="003C5843"/>
    <w:rsid w:val="003D6B3B"/>
    <w:rsid w:val="003E5199"/>
    <w:rsid w:val="003E6FAA"/>
    <w:rsid w:val="004052F6"/>
    <w:rsid w:val="004063B1"/>
    <w:rsid w:val="00414567"/>
    <w:rsid w:val="00416511"/>
    <w:rsid w:val="004202EB"/>
    <w:rsid w:val="00430921"/>
    <w:rsid w:val="004316E4"/>
    <w:rsid w:val="0043607B"/>
    <w:rsid w:val="00436179"/>
    <w:rsid w:val="004416E5"/>
    <w:rsid w:val="0044234F"/>
    <w:rsid w:val="004446FD"/>
    <w:rsid w:val="00445896"/>
    <w:rsid w:val="00454377"/>
    <w:rsid w:val="00456AD4"/>
    <w:rsid w:val="00457198"/>
    <w:rsid w:val="004573B2"/>
    <w:rsid w:val="004579EA"/>
    <w:rsid w:val="00460B07"/>
    <w:rsid w:val="00464854"/>
    <w:rsid w:val="00465E86"/>
    <w:rsid w:val="0047180F"/>
    <w:rsid w:val="00484629"/>
    <w:rsid w:val="004858F1"/>
    <w:rsid w:val="00485BD4"/>
    <w:rsid w:val="004917EC"/>
    <w:rsid w:val="00492A2B"/>
    <w:rsid w:val="004955F1"/>
    <w:rsid w:val="004A0062"/>
    <w:rsid w:val="004A0A43"/>
    <w:rsid w:val="004A1A7C"/>
    <w:rsid w:val="004A24FB"/>
    <w:rsid w:val="004A27AD"/>
    <w:rsid w:val="004A45E0"/>
    <w:rsid w:val="004A7257"/>
    <w:rsid w:val="004A7B63"/>
    <w:rsid w:val="004B444F"/>
    <w:rsid w:val="004B743C"/>
    <w:rsid w:val="004B7F21"/>
    <w:rsid w:val="004C05BD"/>
    <w:rsid w:val="004C2B61"/>
    <w:rsid w:val="004C2B95"/>
    <w:rsid w:val="004C44EA"/>
    <w:rsid w:val="004C6F5C"/>
    <w:rsid w:val="004C7F89"/>
    <w:rsid w:val="004D02BF"/>
    <w:rsid w:val="004D20DB"/>
    <w:rsid w:val="004D40CE"/>
    <w:rsid w:val="004D5618"/>
    <w:rsid w:val="004E0087"/>
    <w:rsid w:val="004E4492"/>
    <w:rsid w:val="004E599E"/>
    <w:rsid w:val="004E70DA"/>
    <w:rsid w:val="004E7A02"/>
    <w:rsid w:val="004F0046"/>
    <w:rsid w:val="004F0AFF"/>
    <w:rsid w:val="004F3BE5"/>
    <w:rsid w:val="004F5102"/>
    <w:rsid w:val="005032A6"/>
    <w:rsid w:val="0051276E"/>
    <w:rsid w:val="00513301"/>
    <w:rsid w:val="005139F6"/>
    <w:rsid w:val="00516F6A"/>
    <w:rsid w:val="0052235A"/>
    <w:rsid w:val="005229E0"/>
    <w:rsid w:val="00524709"/>
    <w:rsid w:val="0053582F"/>
    <w:rsid w:val="00536F17"/>
    <w:rsid w:val="005456AA"/>
    <w:rsid w:val="005474CF"/>
    <w:rsid w:val="00554250"/>
    <w:rsid w:val="00573897"/>
    <w:rsid w:val="005758A1"/>
    <w:rsid w:val="00576DC4"/>
    <w:rsid w:val="00581186"/>
    <w:rsid w:val="005817AA"/>
    <w:rsid w:val="00584F54"/>
    <w:rsid w:val="005928F2"/>
    <w:rsid w:val="005936F7"/>
    <w:rsid w:val="005A0965"/>
    <w:rsid w:val="005A1C1B"/>
    <w:rsid w:val="005A4FA5"/>
    <w:rsid w:val="005B0A80"/>
    <w:rsid w:val="005B20B0"/>
    <w:rsid w:val="005B2DC1"/>
    <w:rsid w:val="005B383C"/>
    <w:rsid w:val="005B460B"/>
    <w:rsid w:val="005B6DFB"/>
    <w:rsid w:val="005B78FC"/>
    <w:rsid w:val="005C5186"/>
    <w:rsid w:val="005D0625"/>
    <w:rsid w:val="005D2B77"/>
    <w:rsid w:val="005D59D5"/>
    <w:rsid w:val="005F4AD2"/>
    <w:rsid w:val="005F5D25"/>
    <w:rsid w:val="006004DD"/>
    <w:rsid w:val="006018AD"/>
    <w:rsid w:val="00611CDF"/>
    <w:rsid w:val="00611E37"/>
    <w:rsid w:val="006147EC"/>
    <w:rsid w:val="00620926"/>
    <w:rsid w:val="006211A4"/>
    <w:rsid w:val="00626429"/>
    <w:rsid w:val="00635968"/>
    <w:rsid w:val="00640BDD"/>
    <w:rsid w:val="00642DF2"/>
    <w:rsid w:val="00644A4E"/>
    <w:rsid w:val="00652012"/>
    <w:rsid w:val="006600D2"/>
    <w:rsid w:val="00667DB4"/>
    <w:rsid w:val="00672AC1"/>
    <w:rsid w:val="00672C3D"/>
    <w:rsid w:val="00673959"/>
    <w:rsid w:val="00680E73"/>
    <w:rsid w:val="00682A5A"/>
    <w:rsid w:val="00683684"/>
    <w:rsid w:val="0068528E"/>
    <w:rsid w:val="0068640D"/>
    <w:rsid w:val="006932C3"/>
    <w:rsid w:val="00695058"/>
    <w:rsid w:val="00696294"/>
    <w:rsid w:val="00697B19"/>
    <w:rsid w:val="006A2A5A"/>
    <w:rsid w:val="006A40F4"/>
    <w:rsid w:val="006A58AF"/>
    <w:rsid w:val="006A5E59"/>
    <w:rsid w:val="006B29B2"/>
    <w:rsid w:val="006B738E"/>
    <w:rsid w:val="006B7FF2"/>
    <w:rsid w:val="006C0A59"/>
    <w:rsid w:val="006C7DE4"/>
    <w:rsid w:val="006D2DD4"/>
    <w:rsid w:val="006D40B6"/>
    <w:rsid w:val="006E12D2"/>
    <w:rsid w:val="006E3AA7"/>
    <w:rsid w:val="006E4745"/>
    <w:rsid w:val="006E682D"/>
    <w:rsid w:val="006E708B"/>
    <w:rsid w:val="006F36F4"/>
    <w:rsid w:val="006F5360"/>
    <w:rsid w:val="007032B3"/>
    <w:rsid w:val="00704BD1"/>
    <w:rsid w:val="00711C85"/>
    <w:rsid w:val="00722795"/>
    <w:rsid w:val="00722913"/>
    <w:rsid w:val="007251C0"/>
    <w:rsid w:val="0073095A"/>
    <w:rsid w:val="00734E91"/>
    <w:rsid w:val="00737DB5"/>
    <w:rsid w:val="00743ABD"/>
    <w:rsid w:val="00746731"/>
    <w:rsid w:val="00752A9C"/>
    <w:rsid w:val="00755649"/>
    <w:rsid w:val="00760DD5"/>
    <w:rsid w:val="00762A81"/>
    <w:rsid w:val="00763888"/>
    <w:rsid w:val="00763D3F"/>
    <w:rsid w:val="00767BE2"/>
    <w:rsid w:val="00770A20"/>
    <w:rsid w:val="00771419"/>
    <w:rsid w:val="00773719"/>
    <w:rsid w:val="00777ADA"/>
    <w:rsid w:val="00780DB8"/>
    <w:rsid w:val="0078553D"/>
    <w:rsid w:val="00786FCD"/>
    <w:rsid w:val="00792474"/>
    <w:rsid w:val="00796076"/>
    <w:rsid w:val="00796569"/>
    <w:rsid w:val="007A5DCC"/>
    <w:rsid w:val="007A77B1"/>
    <w:rsid w:val="007B0EA8"/>
    <w:rsid w:val="007B522B"/>
    <w:rsid w:val="007C014D"/>
    <w:rsid w:val="007C3FD2"/>
    <w:rsid w:val="007C6B97"/>
    <w:rsid w:val="007C7678"/>
    <w:rsid w:val="007D3076"/>
    <w:rsid w:val="007D5147"/>
    <w:rsid w:val="007D64E7"/>
    <w:rsid w:val="007D6540"/>
    <w:rsid w:val="007D65EE"/>
    <w:rsid w:val="007E5D43"/>
    <w:rsid w:val="007F3611"/>
    <w:rsid w:val="007F78B2"/>
    <w:rsid w:val="00804C28"/>
    <w:rsid w:val="00810DEC"/>
    <w:rsid w:val="00811D6F"/>
    <w:rsid w:val="00814DED"/>
    <w:rsid w:val="0081653A"/>
    <w:rsid w:val="00823E9C"/>
    <w:rsid w:val="00826C8B"/>
    <w:rsid w:val="00830FEA"/>
    <w:rsid w:val="0083481E"/>
    <w:rsid w:val="00835A4D"/>
    <w:rsid w:val="00840AD6"/>
    <w:rsid w:val="00842630"/>
    <w:rsid w:val="008439E5"/>
    <w:rsid w:val="00847083"/>
    <w:rsid w:val="008527B9"/>
    <w:rsid w:val="00853A16"/>
    <w:rsid w:val="00854F40"/>
    <w:rsid w:val="0085515B"/>
    <w:rsid w:val="008563EA"/>
    <w:rsid w:val="00860BE5"/>
    <w:rsid w:val="0086338E"/>
    <w:rsid w:val="0086555B"/>
    <w:rsid w:val="00865E40"/>
    <w:rsid w:val="008660C4"/>
    <w:rsid w:val="00872D42"/>
    <w:rsid w:val="00873D23"/>
    <w:rsid w:val="0087733B"/>
    <w:rsid w:val="0088047C"/>
    <w:rsid w:val="008805A7"/>
    <w:rsid w:val="00882381"/>
    <w:rsid w:val="00883558"/>
    <w:rsid w:val="0088665B"/>
    <w:rsid w:val="0089276D"/>
    <w:rsid w:val="00893EBA"/>
    <w:rsid w:val="008A1905"/>
    <w:rsid w:val="008A55A5"/>
    <w:rsid w:val="008B09AC"/>
    <w:rsid w:val="008B383C"/>
    <w:rsid w:val="008B4BA4"/>
    <w:rsid w:val="008B74CE"/>
    <w:rsid w:val="008C2496"/>
    <w:rsid w:val="008C4D59"/>
    <w:rsid w:val="008C54F6"/>
    <w:rsid w:val="008D2104"/>
    <w:rsid w:val="008E48F9"/>
    <w:rsid w:val="008E4A06"/>
    <w:rsid w:val="008E7D1C"/>
    <w:rsid w:val="008F4C91"/>
    <w:rsid w:val="00903D36"/>
    <w:rsid w:val="009112D6"/>
    <w:rsid w:val="009172DE"/>
    <w:rsid w:val="00920156"/>
    <w:rsid w:val="0092422F"/>
    <w:rsid w:val="00927DE1"/>
    <w:rsid w:val="009342FB"/>
    <w:rsid w:val="00935179"/>
    <w:rsid w:val="00935AF5"/>
    <w:rsid w:val="00942B41"/>
    <w:rsid w:val="00943B54"/>
    <w:rsid w:val="0095208F"/>
    <w:rsid w:val="00952B1B"/>
    <w:rsid w:val="00961302"/>
    <w:rsid w:val="00962C6E"/>
    <w:rsid w:val="009824BB"/>
    <w:rsid w:val="009830FF"/>
    <w:rsid w:val="00984650"/>
    <w:rsid w:val="009853D5"/>
    <w:rsid w:val="00985DAA"/>
    <w:rsid w:val="00990092"/>
    <w:rsid w:val="009906FD"/>
    <w:rsid w:val="0099610D"/>
    <w:rsid w:val="009A0818"/>
    <w:rsid w:val="009A3F45"/>
    <w:rsid w:val="009B1CD2"/>
    <w:rsid w:val="009B4010"/>
    <w:rsid w:val="009B4D01"/>
    <w:rsid w:val="009B5716"/>
    <w:rsid w:val="009C0405"/>
    <w:rsid w:val="009C356A"/>
    <w:rsid w:val="009C4A3B"/>
    <w:rsid w:val="009D23A7"/>
    <w:rsid w:val="009D7461"/>
    <w:rsid w:val="009E22FB"/>
    <w:rsid w:val="009E53BC"/>
    <w:rsid w:val="009E54F8"/>
    <w:rsid w:val="009E5E82"/>
    <w:rsid w:val="009E7F6E"/>
    <w:rsid w:val="009F70AA"/>
    <w:rsid w:val="009F7B8E"/>
    <w:rsid w:val="00A03E8B"/>
    <w:rsid w:val="00A10881"/>
    <w:rsid w:val="00A14284"/>
    <w:rsid w:val="00A206AD"/>
    <w:rsid w:val="00A21590"/>
    <w:rsid w:val="00A21FBE"/>
    <w:rsid w:val="00A22D34"/>
    <w:rsid w:val="00A232D8"/>
    <w:rsid w:val="00A23A58"/>
    <w:rsid w:val="00A23D98"/>
    <w:rsid w:val="00A31117"/>
    <w:rsid w:val="00A31C8E"/>
    <w:rsid w:val="00A32D58"/>
    <w:rsid w:val="00A34EC5"/>
    <w:rsid w:val="00A40605"/>
    <w:rsid w:val="00A413DF"/>
    <w:rsid w:val="00A44464"/>
    <w:rsid w:val="00A44D3D"/>
    <w:rsid w:val="00A53C30"/>
    <w:rsid w:val="00A57698"/>
    <w:rsid w:val="00A636A4"/>
    <w:rsid w:val="00A72BA3"/>
    <w:rsid w:val="00A73824"/>
    <w:rsid w:val="00A759B0"/>
    <w:rsid w:val="00A813D4"/>
    <w:rsid w:val="00A852BD"/>
    <w:rsid w:val="00A91633"/>
    <w:rsid w:val="00A91D0A"/>
    <w:rsid w:val="00A945F1"/>
    <w:rsid w:val="00A97DFA"/>
    <w:rsid w:val="00AA4EF3"/>
    <w:rsid w:val="00AB5CAE"/>
    <w:rsid w:val="00AB6FD7"/>
    <w:rsid w:val="00AC3BD5"/>
    <w:rsid w:val="00AC505C"/>
    <w:rsid w:val="00AC531C"/>
    <w:rsid w:val="00AD024B"/>
    <w:rsid w:val="00AD0466"/>
    <w:rsid w:val="00AD5679"/>
    <w:rsid w:val="00AE4134"/>
    <w:rsid w:val="00AE464D"/>
    <w:rsid w:val="00AE640E"/>
    <w:rsid w:val="00AF3392"/>
    <w:rsid w:val="00AF43EC"/>
    <w:rsid w:val="00AF552A"/>
    <w:rsid w:val="00AF5C61"/>
    <w:rsid w:val="00AF6E8F"/>
    <w:rsid w:val="00AF73FB"/>
    <w:rsid w:val="00AF797F"/>
    <w:rsid w:val="00B01CB7"/>
    <w:rsid w:val="00B10671"/>
    <w:rsid w:val="00B107C2"/>
    <w:rsid w:val="00B20B48"/>
    <w:rsid w:val="00B22CF8"/>
    <w:rsid w:val="00B30FA9"/>
    <w:rsid w:val="00B31F9D"/>
    <w:rsid w:val="00B35CAD"/>
    <w:rsid w:val="00B37F55"/>
    <w:rsid w:val="00B40C6E"/>
    <w:rsid w:val="00B44980"/>
    <w:rsid w:val="00B45235"/>
    <w:rsid w:val="00B455CE"/>
    <w:rsid w:val="00B5150B"/>
    <w:rsid w:val="00B53988"/>
    <w:rsid w:val="00B53A14"/>
    <w:rsid w:val="00B54305"/>
    <w:rsid w:val="00B565B3"/>
    <w:rsid w:val="00B6239D"/>
    <w:rsid w:val="00B65130"/>
    <w:rsid w:val="00B71AEA"/>
    <w:rsid w:val="00B775E0"/>
    <w:rsid w:val="00B8182A"/>
    <w:rsid w:val="00B84F07"/>
    <w:rsid w:val="00B85ACC"/>
    <w:rsid w:val="00B926B1"/>
    <w:rsid w:val="00B94583"/>
    <w:rsid w:val="00B95044"/>
    <w:rsid w:val="00B95853"/>
    <w:rsid w:val="00BA3FA8"/>
    <w:rsid w:val="00BA5B8C"/>
    <w:rsid w:val="00BA5D0B"/>
    <w:rsid w:val="00BA731C"/>
    <w:rsid w:val="00BA7747"/>
    <w:rsid w:val="00BB2FD6"/>
    <w:rsid w:val="00BB3969"/>
    <w:rsid w:val="00BB59BE"/>
    <w:rsid w:val="00BC32C4"/>
    <w:rsid w:val="00BC3AA0"/>
    <w:rsid w:val="00BC5603"/>
    <w:rsid w:val="00BC5EB7"/>
    <w:rsid w:val="00BD42DD"/>
    <w:rsid w:val="00BD53A7"/>
    <w:rsid w:val="00BD70FD"/>
    <w:rsid w:val="00BD72F7"/>
    <w:rsid w:val="00BD738B"/>
    <w:rsid w:val="00BE073C"/>
    <w:rsid w:val="00BE744C"/>
    <w:rsid w:val="00BE7F92"/>
    <w:rsid w:val="00BF081F"/>
    <w:rsid w:val="00BF61EC"/>
    <w:rsid w:val="00C03A94"/>
    <w:rsid w:val="00C050BD"/>
    <w:rsid w:val="00C051FB"/>
    <w:rsid w:val="00C06C7C"/>
    <w:rsid w:val="00C23185"/>
    <w:rsid w:val="00C23C53"/>
    <w:rsid w:val="00C24AB9"/>
    <w:rsid w:val="00C26125"/>
    <w:rsid w:val="00C3050B"/>
    <w:rsid w:val="00C3069A"/>
    <w:rsid w:val="00C42E6B"/>
    <w:rsid w:val="00C442D1"/>
    <w:rsid w:val="00C46D75"/>
    <w:rsid w:val="00C55493"/>
    <w:rsid w:val="00C55795"/>
    <w:rsid w:val="00C55F78"/>
    <w:rsid w:val="00C64D55"/>
    <w:rsid w:val="00C65879"/>
    <w:rsid w:val="00C7180B"/>
    <w:rsid w:val="00C735F9"/>
    <w:rsid w:val="00C80D40"/>
    <w:rsid w:val="00C81340"/>
    <w:rsid w:val="00C84C85"/>
    <w:rsid w:val="00C84CA9"/>
    <w:rsid w:val="00C9015E"/>
    <w:rsid w:val="00C91D22"/>
    <w:rsid w:val="00C93FD8"/>
    <w:rsid w:val="00CA1F8E"/>
    <w:rsid w:val="00CB521E"/>
    <w:rsid w:val="00CC051F"/>
    <w:rsid w:val="00CC07A3"/>
    <w:rsid w:val="00CC1EFF"/>
    <w:rsid w:val="00CC4AFE"/>
    <w:rsid w:val="00CC4B14"/>
    <w:rsid w:val="00CD2DAD"/>
    <w:rsid w:val="00CD430B"/>
    <w:rsid w:val="00CE0FF9"/>
    <w:rsid w:val="00CF205A"/>
    <w:rsid w:val="00CF5D56"/>
    <w:rsid w:val="00D04201"/>
    <w:rsid w:val="00D04821"/>
    <w:rsid w:val="00D066D9"/>
    <w:rsid w:val="00D10EE7"/>
    <w:rsid w:val="00D224E3"/>
    <w:rsid w:val="00D231DD"/>
    <w:rsid w:val="00D2430B"/>
    <w:rsid w:val="00D2533F"/>
    <w:rsid w:val="00D26D51"/>
    <w:rsid w:val="00D3305D"/>
    <w:rsid w:val="00D41EC0"/>
    <w:rsid w:val="00D42990"/>
    <w:rsid w:val="00D42E01"/>
    <w:rsid w:val="00D43C6E"/>
    <w:rsid w:val="00D44E91"/>
    <w:rsid w:val="00D4592B"/>
    <w:rsid w:val="00D51B66"/>
    <w:rsid w:val="00D56782"/>
    <w:rsid w:val="00D60828"/>
    <w:rsid w:val="00D63111"/>
    <w:rsid w:val="00D63B5E"/>
    <w:rsid w:val="00D66661"/>
    <w:rsid w:val="00D66A1F"/>
    <w:rsid w:val="00D775FE"/>
    <w:rsid w:val="00D80465"/>
    <w:rsid w:val="00D81141"/>
    <w:rsid w:val="00D834CE"/>
    <w:rsid w:val="00D85351"/>
    <w:rsid w:val="00D85CB4"/>
    <w:rsid w:val="00D874FD"/>
    <w:rsid w:val="00D9138F"/>
    <w:rsid w:val="00D94120"/>
    <w:rsid w:val="00D963FC"/>
    <w:rsid w:val="00DB0EEE"/>
    <w:rsid w:val="00DB7A47"/>
    <w:rsid w:val="00DC0475"/>
    <w:rsid w:val="00DC1396"/>
    <w:rsid w:val="00DC3DFA"/>
    <w:rsid w:val="00DC5E23"/>
    <w:rsid w:val="00DC652F"/>
    <w:rsid w:val="00DD0DBC"/>
    <w:rsid w:val="00DD1C44"/>
    <w:rsid w:val="00DD49ED"/>
    <w:rsid w:val="00DD7D8C"/>
    <w:rsid w:val="00DE1217"/>
    <w:rsid w:val="00DE2E7E"/>
    <w:rsid w:val="00DE3069"/>
    <w:rsid w:val="00DE42C9"/>
    <w:rsid w:val="00DE7DCE"/>
    <w:rsid w:val="00DF03AA"/>
    <w:rsid w:val="00DF1E5F"/>
    <w:rsid w:val="00DF2144"/>
    <w:rsid w:val="00DF3B0A"/>
    <w:rsid w:val="00DF4E7F"/>
    <w:rsid w:val="00E00119"/>
    <w:rsid w:val="00E00401"/>
    <w:rsid w:val="00E02376"/>
    <w:rsid w:val="00E031EF"/>
    <w:rsid w:val="00E04C6B"/>
    <w:rsid w:val="00E05F75"/>
    <w:rsid w:val="00E07113"/>
    <w:rsid w:val="00E11770"/>
    <w:rsid w:val="00E157F3"/>
    <w:rsid w:val="00E16BC2"/>
    <w:rsid w:val="00E209B9"/>
    <w:rsid w:val="00E227F9"/>
    <w:rsid w:val="00E34C9C"/>
    <w:rsid w:val="00E3728C"/>
    <w:rsid w:val="00E40342"/>
    <w:rsid w:val="00E453B9"/>
    <w:rsid w:val="00E50960"/>
    <w:rsid w:val="00E55689"/>
    <w:rsid w:val="00E56716"/>
    <w:rsid w:val="00E606E7"/>
    <w:rsid w:val="00E61587"/>
    <w:rsid w:val="00E61D0D"/>
    <w:rsid w:val="00E65611"/>
    <w:rsid w:val="00E65F79"/>
    <w:rsid w:val="00E66623"/>
    <w:rsid w:val="00E730D6"/>
    <w:rsid w:val="00E7336E"/>
    <w:rsid w:val="00E81E79"/>
    <w:rsid w:val="00E83358"/>
    <w:rsid w:val="00E85E1D"/>
    <w:rsid w:val="00E87F61"/>
    <w:rsid w:val="00E91ECC"/>
    <w:rsid w:val="00E93445"/>
    <w:rsid w:val="00E938FC"/>
    <w:rsid w:val="00EA172F"/>
    <w:rsid w:val="00EA2DA8"/>
    <w:rsid w:val="00EA5E63"/>
    <w:rsid w:val="00EB2A56"/>
    <w:rsid w:val="00EB3F85"/>
    <w:rsid w:val="00EB437E"/>
    <w:rsid w:val="00EB5C05"/>
    <w:rsid w:val="00EB603D"/>
    <w:rsid w:val="00EB7914"/>
    <w:rsid w:val="00EC081A"/>
    <w:rsid w:val="00EC3D1B"/>
    <w:rsid w:val="00EC3D44"/>
    <w:rsid w:val="00EC5911"/>
    <w:rsid w:val="00EC5FFF"/>
    <w:rsid w:val="00EC63FE"/>
    <w:rsid w:val="00EC726F"/>
    <w:rsid w:val="00ED69F6"/>
    <w:rsid w:val="00EE0F86"/>
    <w:rsid w:val="00EE3156"/>
    <w:rsid w:val="00EE6628"/>
    <w:rsid w:val="00EF4794"/>
    <w:rsid w:val="00EF4819"/>
    <w:rsid w:val="00F06082"/>
    <w:rsid w:val="00F20C37"/>
    <w:rsid w:val="00F216C9"/>
    <w:rsid w:val="00F236BE"/>
    <w:rsid w:val="00F25D3F"/>
    <w:rsid w:val="00F27062"/>
    <w:rsid w:val="00F27B78"/>
    <w:rsid w:val="00F32D7A"/>
    <w:rsid w:val="00F360CF"/>
    <w:rsid w:val="00F361FA"/>
    <w:rsid w:val="00F373EC"/>
    <w:rsid w:val="00F538C4"/>
    <w:rsid w:val="00F53A0F"/>
    <w:rsid w:val="00F5734E"/>
    <w:rsid w:val="00F57F30"/>
    <w:rsid w:val="00F612BE"/>
    <w:rsid w:val="00F65AB3"/>
    <w:rsid w:val="00F66F08"/>
    <w:rsid w:val="00F778B5"/>
    <w:rsid w:val="00F8109A"/>
    <w:rsid w:val="00F822C9"/>
    <w:rsid w:val="00F82D54"/>
    <w:rsid w:val="00F85570"/>
    <w:rsid w:val="00F87FCA"/>
    <w:rsid w:val="00F9010A"/>
    <w:rsid w:val="00FA191A"/>
    <w:rsid w:val="00FA2979"/>
    <w:rsid w:val="00FA2EE6"/>
    <w:rsid w:val="00FB13ED"/>
    <w:rsid w:val="00FB2310"/>
    <w:rsid w:val="00FC795B"/>
    <w:rsid w:val="00FC7DA7"/>
    <w:rsid w:val="00FC7F72"/>
    <w:rsid w:val="00FD59AE"/>
    <w:rsid w:val="00FD777B"/>
    <w:rsid w:val="00FE22DE"/>
    <w:rsid w:val="00FE6F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21C0"/>
  <w15:chartTrackingRefBased/>
  <w15:docId w15:val="{3979F391-683D-4484-957D-72CAF53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22"/>
  </w:style>
  <w:style w:type="paragraph" w:styleId="Heading2">
    <w:name w:val="heading 2"/>
    <w:basedOn w:val="Normal"/>
    <w:link w:val="Heading2Char"/>
    <w:uiPriority w:val="9"/>
    <w:qFormat/>
    <w:rsid w:val="00767BE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05C"/>
  </w:style>
  <w:style w:type="paragraph" w:styleId="Footer">
    <w:name w:val="footer"/>
    <w:basedOn w:val="Normal"/>
    <w:link w:val="FooterChar"/>
    <w:uiPriority w:val="99"/>
    <w:unhideWhenUsed/>
    <w:rsid w:val="00AC5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5C"/>
  </w:style>
  <w:style w:type="paragraph" w:styleId="FootnoteText">
    <w:name w:val="footnote text"/>
    <w:basedOn w:val="Normal"/>
    <w:link w:val="FootnoteTextChar"/>
    <w:uiPriority w:val="99"/>
    <w:semiHidden/>
    <w:unhideWhenUsed/>
    <w:rsid w:val="008E4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8F9"/>
    <w:rPr>
      <w:sz w:val="20"/>
      <w:szCs w:val="20"/>
    </w:rPr>
  </w:style>
  <w:style w:type="character" w:styleId="FootnoteReference">
    <w:name w:val="footnote reference"/>
    <w:basedOn w:val="DefaultParagraphFont"/>
    <w:uiPriority w:val="99"/>
    <w:semiHidden/>
    <w:unhideWhenUsed/>
    <w:rsid w:val="008E48F9"/>
    <w:rPr>
      <w:vertAlign w:val="superscript"/>
    </w:rPr>
  </w:style>
  <w:style w:type="paragraph" w:styleId="BalloonText">
    <w:name w:val="Balloon Text"/>
    <w:basedOn w:val="Normal"/>
    <w:link w:val="BalloonTextChar"/>
    <w:uiPriority w:val="99"/>
    <w:semiHidden/>
    <w:unhideWhenUsed/>
    <w:rsid w:val="00581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86"/>
    <w:rPr>
      <w:rFonts w:ascii="Segoe UI" w:hAnsi="Segoe UI" w:cs="Segoe UI"/>
      <w:sz w:val="18"/>
      <w:szCs w:val="18"/>
    </w:rPr>
  </w:style>
  <w:style w:type="paragraph" w:styleId="ListParagraph">
    <w:name w:val="List Paragraph"/>
    <w:basedOn w:val="Normal"/>
    <w:uiPriority w:val="34"/>
    <w:qFormat/>
    <w:rsid w:val="00F538C4"/>
    <w:pPr>
      <w:ind w:left="720"/>
      <w:contextualSpacing/>
    </w:pPr>
  </w:style>
  <w:style w:type="character" w:styleId="CommentReference">
    <w:name w:val="annotation reference"/>
    <w:basedOn w:val="DefaultParagraphFont"/>
    <w:uiPriority w:val="99"/>
    <w:semiHidden/>
    <w:unhideWhenUsed/>
    <w:rsid w:val="00AE640E"/>
    <w:rPr>
      <w:sz w:val="16"/>
      <w:szCs w:val="16"/>
    </w:rPr>
  </w:style>
  <w:style w:type="paragraph" w:styleId="CommentText">
    <w:name w:val="annotation text"/>
    <w:basedOn w:val="Normal"/>
    <w:link w:val="CommentTextChar"/>
    <w:uiPriority w:val="99"/>
    <w:semiHidden/>
    <w:unhideWhenUsed/>
    <w:rsid w:val="00AE640E"/>
    <w:pPr>
      <w:spacing w:line="240" w:lineRule="auto"/>
    </w:pPr>
    <w:rPr>
      <w:sz w:val="20"/>
      <w:szCs w:val="20"/>
    </w:rPr>
  </w:style>
  <w:style w:type="character" w:customStyle="1" w:styleId="CommentTextChar">
    <w:name w:val="Comment Text Char"/>
    <w:basedOn w:val="DefaultParagraphFont"/>
    <w:link w:val="CommentText"/>
    <w:uiPriority w:val="99"/>
    <w:semiHidden/>
    <w:rsid w:val="00AE640E"/>
    <w:rPr>
      <w:sz w:val="20"/>
      <w:szCs w:val="20"/>
    </w:rPr>
  </w:style>
  <w:style w:type="paragraph" w:styleId="CommentSubject">
    <w:name w:val="annotation subject"/>
    <w:basedOn w:val="CommentText"/>
    <w:next w:val="CommentText"/>
    <w:link w:val="CommentSubjectChar"/>
    <w:uiPriority w:val="99"/>
    <w:semiHidden/>
    <w:unhideWhenUsed/>
    <w:rsid w:val="00AE640E"/>
    <w:rPr>
      <w:b/>
      <w:bCs/>
    </w:rPr>
  </w:style>
  <w:style w:type="character" w:customStyle="1" w:styleId="CommentSubjectChar">
    <w:name w:val="Comment Subject Char"/>
    <w:basedOn w:val="CommentTextChar"/>
    <w:link w:val="CommentSubject"/>
    <w:uiPriority w:val="99"/>
    <w:semiHidden/>
    <w:rsid w:val="00AE640E"/>
    <w:rPr>
      <w:b/>
      <w:bCs/>
      <w:sz w:val="20"/>
      <w:szCs w:val="20"/>
    </w:rPr>
  </w:style>
  <w:style w:type="paragraph" w:customStyle="1" w:styleId="lg-section">
    <w:name w:val="lg-section"/>
    <w:basedOn w:val="Normal"/>
    <w:rsid w:val="00611C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611CD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25D3F"/>
    <w:rPr>
      <w:color w:val="0563C1" w:themeColor="hyperlink"/>
      <w:u w:val="single"/>
    </w:rPr>
  </w:style>
  <w:style w:type="paragraph" w:styleId="NormalWeb">
    <w:name w:val="Normal (Web)"/>
    <w:basedOn w:val="Normal"/>
    <w:uiPriority w:val="99"/>
    <w:semiHidden/>
    <w:unhideWhenUsed/>
    <w:rsid w:val="00EA5E63"/>
    <w:rPr>
      <w:rFonts w:ascii="Times New Roman" w:hAnsi="Times New Roman" w:cs="Times New Roman"/>
      <w:sz w:val="24"/>
      <w:szCs w:val="24"/>
    </w:rPr>
  </w:style>
  <w:style w:type="paragraph" w:styleId="Revision">
    <w:name w:val="Revision"/>
    <w:hidden/>
    <w:uiPriority w:val="99"/>
    <w:semiHidden/>
    <w:rsid w:val="00DD1C44"/>
    <w:pPr>
      <w:spacing w:after="0" w:line="240" w:lineRule="auto"/>
    </w:pPr>
  </w:style>
  <w:style w:type="character" w:customStyle="1" w:styleId="Heading2Char">
    <w:name w:val="Heading 2 Char"/>
    <w:basedOn w:val="DefaultParagraphFont"/>
    <w:link w:val="Heading2"/>
    <w:uiPriority w:val="9"/>
    <w:rsid w:val="00767BE2"/>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5065">
      <w:bodyDiv w:val="1"/>
      <w:marLeft w:val="0"/>
      <w:marRight w:val="0"/>
      <w:marTop w:val="0"/>
      <w:marBottom w:val="0"/>
      <w:divBdr>
        <w:top w:val="none" w:sz="0" w:space="0" w:color="auto"/>
        <w:left w:val="none" w:sz="0" w:space="0" w:color="auto"/>
        <w:bottom w:val="none" w:sz="0" w:space="0" w:color="auto"/>
        <w:right w:val="none" w:sz="0" w:space="0" w:color="auto"/>
      </w:divBdr>
    </w:div>
    <w:div w:id="954945078">
      <w:bodyDiv w:val="1"/>
      <w:marLeft w:val="0"/>
      <w:marRight w:val="0"/>
      <w:marTop w:val="0"/>
      <w:marBottom w:val="0"/>
      <w:divBdr>
        <w:top w:val="none" w:sz="0" w:space="0" w:color="auto"/>
        <w:left w:val="none" w:sz="0" w:space="0" w:color="auto"/>
        <w:bottom w:val="none" w:sz="0" w:space="0" w:color="auto"/>
        <w:right w:val="none" w:sz="0" w:space="0" w:color="auto"/>
      </w:divBdr>
    </w:div>
    <w:div w:id="1128668867">
      <w:bodyDiv w:val="1"/>
      <w:marLeft w:val="0"/>
      <w:marRight w:val="0"/>
      <w:marTop w:val="0"/>
      <w:marBottom w:val="0"/>
      <w:divBdr>
        <w:top w:val="none" w:sz="0" w:space="0" w:color="auto"/>
        <w:left w:val="none" w:sz="0" w:space="0" w:color="auto"/>
        <w:bottom w:val="none" w:sz="0" w:space="0" w:color="auto"/>
        <w:right w:val="none" w:sz="0" w:space="0" w:color="auto"/>
      </w:divBdr>
    </w:div>
    <w:div w:id="1406606889">
      <w:bodyDiv w:val="1"/>
      <w:marLeft w:val="0"/>
      <w:marRight w:val="0"/>
      <w:marTop w:val="0"/>
      <w:marBottom w:val="0"/>
      <w:divBdr>
        <w:top w:val="none" w:sz="0" w:space="0" w:color="auto"/>
        <w:left w:val="none" w:sz="0" w:space="0" w:color="auto"/>
        <w:bottom w:val="none" w:sz="0" w:space="0" w:color="auto"/>
        <w:right w:val="none" w:sz="0" w:space="0" w:color="auto"/>
      </w:divBdr>
    </w:div>
    <w:div w:id="1548880208">
      <w:bodyDiv w:val="1"/>
      <w:marLeft w:val="0"/>
      <w:marRight w:val="0"/>
      <w:marTop w:val="0"/>
      <w:marBottom w:val="0"/>
      <w:divBdr>
        <w:top w:val="none" w:sz="0" w:space="0" w:color="auto"/>
        <w:left w:val="none" w:sz="0" w:space="0" w:color="auto"/>
        <w:bottom w:val="none" w:sz="0" w:space="0" w:color="auto"/>
        <w:right w:val="none" w:sz="0" w:space="0" w:color="auto"/>
      </w:divBdr>
    </w:div>
    <w:div w:id="19916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B128-8CBB-434F-B10E-20AC4670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Judge-Glenn Goosen</dc:creator>
  <cp:keywords/>
  <dc:description/>
  <cp:lastModifiedBy>Veruschka DeKlerk</cp:lastModifiedBy>
  <cp:revision>4</cp:revision>
  <cp:lastPrinted>2023-09-21T07:59:00Z</cp:lastPrinted>
  <dcterms:created xsi:type="dcterms:W3CDTF">2023-11-09T08:29:00Z</dcterms:created>
  <dcterms:modified xsi:type="dcterms:W3CDTF">2023-11-10T10:32:00Z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df559828a187e1cc4eaf26807cdcdfd728606f6be27f25e4a06b7a3247b3821a</vt:lpwstr>
  </property>
</Properties>
</file>