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19563D" w:rsidRDefault="006B27C8" w:rsidP="004D2880">
      <w:pPr>
        <w:rPr>
          <w:b/>
          <w:bCs/>
          <w:sz w:val="28"/>
          <w:szCs w:val="28"/>
        </w:rPr>
      </w:pPr>
      <w:bookmarkStart w:id="0" w:name="_GoBack"/>
      <w:bookmarkEnd w:id="0"/>
      <w:r w:rsidRPr="0019563D">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19563D" w:rsidRDefault="004D2880" w:rsidP="004D2880">
      <w:pPr>
        <w:rPr>
          <w:b/>
          <w:bCs/>
          <w:sz w:val="28"/>
          <w:szCs w:val="28"/>
        </w:rPr>
      </w:pPr>
    </w:p>
    <w:p w14:paraId="755F506B" w14:textId="77777777" w:rsidR="006B27C8" w:rsidRPr="0019563D" w:rsidRDefault="006B27C8" w:rsidP="004D2880">
      <w:pPr>
        <w:rPr>
          <w:b/>
          <w:bCs/>
          <w:sz w:val="28"/>
          <w:szCs w:val="28"/>
        </w:rPr>
      </w:pPr>
    </w:p>
    <w:p w14:paraId="649D0E48" w14:textId="77777777" w:rsidR="004D2880" w:rsidRPr="0019563D" w:rsidRDefault="004D2880" w:rsidP="004D2880">
      <w:pPr>
        <w:rPr>
          <w:b/>
          <w:bCs/>
          <w:sz w:val="16"/>
          <w:szCs w:val="16"/>
        </w:rPr>
      </w:pPr>
    </w:p>
    <w:p w14:paraId="7839D245" w14:textId="77777777" w:rsidR="00EA529D" w:rsidRPr="0019563D" w:rsidRDefault="00EA529D" w:rsidP="004D2880">
      <w:pPr>
        <w:jc w:val="center"/>
        <w:rPr>
          <w:b/>
          <w:bCs/>
          <w:sz w:val="28"/>
          <w:szCs w:val="28"/>
        </w:rPr>
      </w:pPr>
      <w:r w:rsidRPr="0019563D">
        <w:rPr>
          <w:b/>
          <w:bCs/>
          <w:sz w:val="28"/>
          <w:szCs w:val="28"/>
        </w:rPr>
        <w:t>THE SUPREME COURT OF APPEAL OF SOUTH AFRICA</w:t>
      </w:r>
    </w:p>
    <w:p w14:paraId="5D449368" w14:textId="77777777" w:rsidR="00EA529D" w:rsidRPr="0019563D" w:rsidRDefault="00EA529D" w:rsidP="004D2880">
      <w:pPr>
        <w:pStyle w:val="Heading3"/>
        <w:jc w:val="center"/>
        <w:rPr>
          <w:rFonts w:ascii="Times New Roman" w:hAnsi="Times New Roman" w:cs="Times New Roman"/>
          <w:b/>
          <w:i w:val="0"/>
          <w:szCs w:val="28"/>
        </w:rPr>
      </w:pPr>
      <w:r w:rsidRPr="0019563D">
        <w:rPr>
          <w:rFonts w:ascii="Times New Roman" w:hAnsi="Times New Roman" w:cs="Times New Roman"/>
          <w:b/>
          <w:i w:val="0"/>
          <w:szCs w:val="28"/>
        </w:rPr>
        <w:t>JUDGMENT</w:t>
      </w:r>
    </w:p>
    <w:p w14:paraId="5C4D9455" w14:textId="77777777" w:rsidR="006B2912" w:rsidRPr="0019563D" w:rsidRDefault="006B2912" w:rsidP="004D2880">
      <w:pPr>
        <w:jc w:val="right"/>
        <w:rPr>
          <w:b/>
          <w:sz w:val="28"/>
          <w:szCs w:val="28"/>
        </w:rPr>
      </w:pPr>
    </w:p>
    <w:p w14:paraId="2AD7DDD1" w14:textId="08D2F901" w:rsidR="00EA529D" w:rsidRPr="0019563D" w:rsidRDefault="0063488B" w:rsidP="004D2880">
      <w:pPr>
        <w:jc w:val="right"/>
        <w:rPr>
          <w:b/>
          <w:sz w:val="28"/>
          <w:szCs w:val="28"/>
        </w:rPr>
      </w:pPr>
      <w:r w:rsidRPr="0019563D">
        <w:rPr>
          <w:b/>
          <w:sz w:val="28"/>
          <w:szCs w:val="28"/>
        </w:rPr>
        <w:t>Reportable</w:t>
      </w:r>
    </w:p>
    <w:p w14:paraId="36655705" w14:textId="5FAEE2FF" w:rsidR="00EA529D" w:rsidRPr="0019563D" w:rsidRDefault="00EA529D" w:rsidP="004D2880">
      <w:pPr>
        <w:jc w:val="right"/>
        <w:rPr>
          <w:sz w:val="28"/>
          <w:szCs w:val="28"/>
        </w:rPr>
      </w:pPr>
      <w:r w:rsidRPr="0019563D">
        <w:rPr>
          <w:sz w:val="28"/>
          <w:szCs w:val="28"/>
        </w:rPr>
        <w:t xml:space="preserve">Case no: </w:t>
      </w:r>
      <w:r w:rsidR="00574506" w:rsidRPr="0019563D">
        <w:rPr>
          <w:sz w:val="28"/>
          <w:szCs w:val="28"/>
        </w:rPr>
        <w:t>4</w:t>
      </w:r>
      <w:r w:rsidR="001025FE" w:rsidRPr="0019563D">
        <w:rPr>
          <w:sz w:val="28"/>
          <w:szCs w:val="28"/>
        </w:rPr>
        <w:t>5</w:t>
      </w:r>
      <w:r w:rsidR="00BB0B08" w:rsidRPr="0019563D">
        <w:rPr>
          <w:sz w:val="28"/>
          <w:szCs w:val="28"/>
        </w:rPr>
        <w:t>4</w:t>
      </w:r>
      <w:r w:rsidR="00266C47" w:rsidRPr="0019563D">
        <w:rPr>
          <w:sz w:val="28"/>
          <w:szCs w:val="28"/>
        </w:rPr>
        <w:t>/20</w:t>
      </w:r>
      <w:r w:rsidR="00130006" w:rsidRPr="0019563D">
        <w:rPr>
          <w:sz w:val="28"/>
          <w:szCs w:val="28"/>
        </w:rPr>
        <w:t>22</w:t>
      </w:r>
    </w:p>
    <w:p w14:paraId="68C82837" w14:textId="77777777" w:rsidR="00BF09AC" w:rsidRPr="0019563D" w:rsidRDefault="00BF09AC" w:rsidP="00BF09AC">
      <w:pPr>
        <w:tabs>
          <w:tab w:val="left" w:pos="5954"/>
        </w:tabs>
        <w:contextualSpacing/>
        <w:rPr>
          <w:sz w:val="28"/>
          <w:szCs w:val="28"/>
        </w:rPr>
      </w:pPr>
      <w:r w:rsidRPr="0019563D">
        <w:rPr>
          <w:sz w:val="28"/>
          <w:szCs w:val="28"/>
        </w:rPr>
        <w:t>In the matter between:</w:t>
      </w:r>
    </w:p>
    <w:p w14:paraId="61BBB82B" w14:textId="31F8A93A" w:rsidR="00BF09AC" w:rsidRPr="0019563D" w:rsidRDefault="005B10E8" w:rsidP="00846352">
      <w:pPr>
        <w:tabs>
          <w:tab w:val="right" w:pos="9356"/>
        </w:tabs>
        <w:contextualSpacing/>
        <w:jc w:val="left"/>
        <w:rPr>
          <w:b/>
          <w:sz w:val="28"/>
          <w:szCs w:val="28"/>
        </w:rPr>
      </w:pPr>
      <w:r w:rsidRPr="0019563D">
        <w:rPr>
          <w:b/>
          <w:sz w:val="28"/>
          <w:szCs w:val="28"/>
        </w:rPr>
        <w:t>I</w:t>
      </w:r>
      <w:r w:rsidR="00BD43AD" w:rsidRPr="0019563D">
        <w:rPr>
          <w:b/>
          <w:sz w:val="28"/>
          <w:szCs w:val="28"/>
        </w:rPr>
        <w:t>L</w:t>
      </w:r>
      <w:r w:rsidRPr="0019563D">
        <w:rPr>
          <w:b/>
          <w:sz w:val="28"/>
          <w:szCs w:val="28"/>
        </w:rPr>
        <w:t>S</w:t>
      </w:r>
      <w:r w:rsidR="00BD43AD" w:rsidRPr="0019563D">
        <w:rPr>
          <w:b/>
          <w:sz w:val="28"/>
          <w:szCs w:val="28"/>
        </w:rPr>
        <w:t>E BECKER</w:t>
      </w:r>
      <w:r w:rsidR="00BF09AC" w:rsidRPr="0019563D">
        <w:rPr>
          <w:b/>
          <w:sz w:val="28"/>
          <w:szCs w:val="28"/>
        </w:rPr>
        <w:tab/>
      </w:r>
      <w:r w:rsidR="001B29EC" w:rsidRPr="0019563D">
        <w:rPr>
          <w:b/>
          <w:sz w:val="28"/>
          <w:szCs w:val="28"/>
        </w:rPr>
        <w:t xml:space="preserve">FIRST </w:t>
      </w:r>
      <w:r w:rsidR="00BF09AC" w:rsidRPr="0019563D">
        <w:rPr>
          <w:b/>
          <w:sz w:val="28"/>
          <w:szCs w:val="28"/>
        </w:rPr>
        <w:t>APPELLANT</w:t>
      </w:r>
    </w:p>
    <w:p w14:paraId="0D7A4D6A" w14:textId="77777777" w:rsidR="001B29EC" w:rsidRPr="0019563D" w:rsidRDefault="001B29EC" w:rsidP="00846352">
      <w:pPr>
        <w:tabs>
          <w:tab w:val="right" w:pos="9356"/>
        </w:tabs>
        <w:contextualSpacing/>
        <w:jc w:val="left"/>
        <w:rPr>
          <w:b/>
          <w:sz w:val="16"/>
          <w:szCs w:val="16"/>
        </w:rPr>
      </w:pPr>
    </w:p>
    <w:p w14:paraId="27F8925B" w14:textId="3722F4BC" w:rsidR="001B29EC" w:rsidRPr="0019563D" w:rsidRDefault="00BD43AD" w:rsidP="00846352">
      <w:pPr>
        <w:tabs>
          <w:tab w:val="right" w:pos="9356"/>
        </w:tabs>
        <w:contextualSpacing/>
        <w:jc w:val="left"/>
        <w:rPr>
          <w:b/>
          <w:sz w:val="28"/>
          <w:szCs w:val="28"/>
        </w:rPr>
      </w:pPr>
      <w:r w:rsidRPr="0019563D">
        <w:rPr>
          <w:b/>
          <w:sz w:val="28"/>
          <w:szCs w:val="28"/>
        </w:rPr>
        <w:t>EUGENE BECKER</w:t>
      </w:r>
      <w:r w:rsidR="001B29EC" w:rsidRPr="0019563D">
        <w:rPr>
          <w:b/>
          <w:sz w:val="28"/>
          <w:szCs w:val="28"/>
        </w:rPr>
        <w:tab/>
        <w:t>SECOND APPELLANT</w:t>
      </w:r>
    </w:p>
    <w:p w14:paraId="1D5306B6" w14:textId="77777777" w:rsidR="000D0A48" w:rsidRPr="0019563D" w:rsidRDefault="000D0A48" w:rsidP="00846352">
      <w:pPr>
        <w:tabs>
          <w:tab w:val="right" w:pos="9356"/>
        </w:tabs>
        <w:contextualSpacing/>
        <w:jc w:val="left"/>
        <w:rPr>
          <w:b/>
          <w:sz w:val="16"/>
          <w:szCs w:val="16"/>
        </w:rPr>
      </w:pPr>
    </w:p>
    <w:p w14:paraId="3636819F" w14:textId="3817BF5A" w:rsidR="000D0A48" w:rsidRPr="0019563D" w:rsidRDefault="00BD43AD" w:rsidP="00846352">
      <w:pPr>
        <w:tabs>
          <w:tab w:val="right" w:pos="9356"/>
        </w:tabs>
        <w:contextualSpacing/>
        <w:jc w:val="left"/>
        <w:rPr>
          <w:b/>
          <w:sz w:val="28"/>
          <w:szCs w:val="28"/>
        </w:rPr>
      </w:pPr>
      <w:r w:rsidRPr="0019563D">
        <w:rPr>
          <w:b/>
          <w:sz w:val="28"/>
          <w:szCs w:val="28"/>
        </w:rPr>
        <w:t>FUSION GUARANTEES (PTY) LTD</w:t>
      </w:r>
      <w:r w:rsidR="000D0A48" w:rsidRPr="0019563D">
        <w:rPr>
          <w:b/>
          <w:sz w:val="28"/>
          <w:szCs w:val="28"/>
        </w:rPr>
        <w:tab/>
        <w:t>THIRD APPELLANT</w:t>
      </w:r>
    </w:p>
    <w:p w14:paraId="799542ED" w14:textId="77777777" w:rsidR="00BF09AC" w:rsidRPr="0019563D" w:rsidRDefault="00BF09AC" w:rsidP="00BF09AC">
      <w:pPr>
        <w:tabs>
          <w:tab w:val="left" w:pos="5954"/>
        </w:tabs>
        <w:contextualSpacing/>
        <w:jc w:val="left"/>
        <w:rPr>
          <w:b/>
          <w:sz w:val="16"/>
          <w:szCs w:val="16"/>
        </w:rPr>
      </w:pPr>
    </w:p>
    <w:p w14:paraId="6E358138" w14:textId="77777777" w:rsidR="00BF09AC" w:rsidRPr="0019563D" w:rsidRDefault="00BF09AC" w:rsidP="00BF09AC">
      <w:pPr>
        <w:tabs>
          <w:tab w:val="left" w:pos="5954"/>
        </w:tabs>
        <w:contextualSpacing/>
        <w:jc w:val="left"/>
        <w:rPr>
          <w:sz w:val="28"/>
          <w:szCs w:val="28"/>
        </w:rPr>
      </w:pPr>
      <w:r w:rsidRPr="0019563D">
        <w:rPr>
          <w:sz w:val="28"/>
          <w:szCs w:val="28"/>
        </w:rPr>
        <w:t>and</w:t>
      </w:r>
    </w:p>
    <w:p w14:paraId="334FF10C" w14:textId="77777777" w:rsidR="001025FE" w:rsidRPr="0019563D" w:rsidRDefault="001025FE" w:rsidP="001025FE">
      <w:pPr>
        <w:tabs>
          <w:tab w:val="left" w:pos="5954"/>
        </w:tabs>
        <w:spacing w:line="240" w:lineRule="auto"/>
        <w:contextualSpacing/>
        <w:jc w:val="left"/>
        <w:rPr>
          <w:sz w:val="16"/>
          <w:szCs w:val="16"/>
        </w:rPr>
      </w:pPr>
    </w:p>
    <w:p w14:paraId="3F8D4934" w14:textId="3FE1674D" w:rsidR="00102833" w:rsidRPr="0019563D" w:rsidRDefault="00102833" w:rsidP="000F3F4B">
      <w:pPr>
        <w:tabs>
          <w:tab w:val="left" w:pos="5954"/>
          <w:tab w:val="right" w:pos="9356"/>
        </w:tabs>
        <w:contextualSpacing/>
        <w:jc w:val="left"/>
        <w:rPr>
          <w:b/>
          <w:sz w:val="28"/>
          <w:szCs w:val="28"/>
        </w:rPr>
      </w:pPr>
      <w:r w:rsidRPr="0019563D">
        <w:rPr>
          <w:b/>
          <w:sz w:val="28"/>
          <w:szCs w:val="28"/>
        </w:rPr>
        <w:t>THE FINA</w:t>
      </w:r>
      <w:r w:rsidR="00572D04" w:rsidRPr="0019563D">
        <w:rPr>
          <w:b/>
          <w:sz w:val="28"/>
          <w:szCs w:val="28"/>
        </w:rPr>
        <w:t>N</w:t>
      </w:r>
      <w:r w:rsidRPr="0019563D">
        <w:rPr>
          <w:b/>
          <w:sz w:val="28"/>
          <w:szCs w:val="28"/>
        </w:rPr>
        <w:t>CIAL SERVICES</w:t>
      </w:r>
    </w:p>
    <w:p w14:paraId="7F8F5754" w14:textId="70674628" w:rsidR="00BF09AC" w:rsidRPr="0019563D" w:rsidRDefault="00102833" w:rsidP="000F3F4B">
      <w:pPr>
        <w:tabs>
          <w:tab w:val="left" w:pos="5954"/>
          <w:tab w:val="right" w:pos="9356"/>
        </w:tabs>
        <w:contextualSpacing/>
        <w:jc w:val="left"/>
        <w:rPr>
          <w:b/>
          <w:sz w:val="28"/>
          <w:szCs w:val="28"/>
        </w:rPr>
      </w:pPr>
      <w:r w:rsidRPr="0019563D">
        <w:rPr>
          <w:b/>
          <w:sz w:val="28"/>
          <w:szCs w:val="28"/>
        </w:rPr>
        <w:t>CONDUCT AUTHORITY</w:t>
      </w:r>
      <w:r w:rsidR="00BF09AC" w:rsidRPr="0019563D">
        <w:rPr>
          <w:b/>
          <w:sz w:val="28"/>
          <w:szCs w:val="28"/>
        </w:rPr>
        <w:tab/>
      </w:r>
      <w:r w:rsidR="00BF09AC" w:rsidRPr="0019563D">
        <w:rPr>
          <w:b/>
          <w:sz w:val="28"/>
          <w:szCs w:val="28"/>
        </w:rPr>
        <w:tab/>
      </w:r>
      <w:r w:rsidRPr="0019563D">
        <w:rPr>
          <w:b/>
          <w:sz w:val="28"/>
          <w:szCs w:val="28"/>
        </w:rPr>
        <w:t xml:space="preserve">FIRST </w:t>
      </w:r>
      <w:r w:rsidR="00BF09AC" w:rsidRPr="0019563D">
        <w:rPr>
          <w:b/>
          <w:sz w:val="28"/>
          <w:szCs w:val="28"/>
        </w:rPr>
        <w:t>RESPONDENT</w:t>
      </w:r>
    </w:p>
    <w:p w14:paraId="4C97E795" w14:textId="77777777" w:rsidR="00713959" w:rsidRPr="0019563D" w:rsidRDefault="00713959" w:rsidP="000F3F4B">
      <w:pPr>
        <w:tabs>
          <w:tab w:val="left" w:pos="5954"/>
          <w:tab w:val="right" w:pos="9356"/>
        </w:tabs>
        <w:contextualSpacing/>
        <w:jc w:val="left"/>
        <w:rPr>
          <w:b/>
          <w:sz w:val="16"/>
          <w:szCs w:val="16"/>
        </w:rPr>
      </w:pPr>
    </w:p>
    <w:p w14:paraId="44FB532F" w14:textId="78B30637" w:rsidR="00102833" w:rsidRPr="0019563D" w:rsidRDefault="00102833" w:rsidP="000F3F4B">
      <w:pPr>
        <w:tabs>
          <w:tab w:val="left" w:pos="5954"/>
          <w:tab w:val="right" w:pos="9356"/>
        </w:tabs>
        <w:contextualSpacing/>
        <w:jc w:val="left"/>
        <w:rPr>
          <w:b/>
          <w:sz w:val="28"/>
          <w:szCs w:val="28"/>
        </w:rPr>
      </w:pPr>
      <w:r w:rsidRPr="0019563D">
        <w:rPr>
          <w:b/>
          <w:sz w:val="28"/>
          <w:szCs w:val="28"/>
        </w:rPr>
        <w:t>THE HONOURABLE MINISTER</w:t>
      </w:r>
    </w:p>
    <w:p w14:paraId="0CCEF294" w14:textId="28C8A89E" w:rsidR="00476B17" w:rsidRPr="0019563D" w:rsidRDefault="00713959" w:rsidP="000F3F4B">
      <w:pPr>
        <w:tabs>
          <w:tab w:val="left" w:pos="5954"/>
          <w:tab w:val="right" w:pos="9356"/>
        </w:tabs>
        <w:contextualSpacing/>
        <w:jc w:val="left"/>
        <w:rPr>
          <w:b/>
          <w:sz w:val="28"/>
          <w:szCs w:val="28"/>
        </w:rPr>
      </w:pPr>
      <w:r w:rsidRPr="0019563D">
        <w:rPr>
          <w:b/>
          <w:sz w:val="28"/>
          <w:szCs w:val="28"/>
        </w:rPr>
        <w:t>ENOCH GODONGWANA IN</w:t>
      </w:r>
      <w:r w:rsidR="00910592" w:rsidRPr="0019563D">
        <w:rPr>
          <w:b/>
          <w:sz w:val="28"/>
          <w:szCs w:val="28"/>
        </w:rPr>
        <w:t xml:space="preserve"> </w:t>
      </w:r>
      <w:r w:rsidR="00476B17" w:rsidRPr="0019563D">
        <w:rPr>
          <w:b/>
          <w:sz w:val="28"/>
          <w:szCs w:val="28"/>
        </w:rPr>
        <w:t>HIS</w:t>
      </w:r>
    </w:p>
    <w:p w14:paraId="6CA52DF4" w14:textId="34F973BD" w:rsidR="00476B17" w:rsidRPr="0019563D" w:rsidRDefault="00910592" w:rsidP="000F3F4B">
      <w:pPr>
        <w:tabs>
          <w:tab w:val="left" w:pos="5954"/>
          <w:tab w:val="right" w:pos="9356"/>
        </w:tabs>
        <w:contextualSpacing/>
        <w:jc w:val="left"/>
        <w:rPr>
          <w:b/>
          <w:sz w:val="28"/>
          <w:szCs w:val="28"/>
        </w:rPr>
      </w:pPr>
      <w:r w:rsidRPr="0019563D">
        <w:rPr>
          <w:b/>
          <w:sz w:val="28"/>
          <w:szCs w:val="28"/>
        </w:rPr>
        <w:t xml:space="preserve">CAPACITY AS THE MINISTER </w:t>
      </w:r>
    </w:p>
    <w:p w14:paraId="50BEA671" w14:textId="17E0DE9B" w:rsidR="00910592" w:rsidRPr="0019563D" w:rsidRDefault="00910592" w:rsidP="000F3F4B">
      <w:pPr>
        <w:tabs>
          <w:tab w:val="left" w:pos="5954"/>
          <w:tab w:val="right" w:pos="9356"/>
        </w:tabs>
        <w:contextualSpacing/>
        <w:jc w:val="left"/>
        <w:rPr>
          <w:b/>
          <w:sz w:val="28"/>
          <w:szCs w:val="28"/>
        </w:rPr>
      </w:pPr>
      <w:r w:rsidRPr="0019563D">
        <w:rPr>
          <w:b/>
          <w:sz w:val="28"/>
          <w:szCs w:val="28"/>
        </w:rPr>
        <w:t>OF FINANCE</w:t>
      </w:r>
      <w:r w:rsidRPr="0019563D">
        <w:rPr>
          <w:b/>
          <w:sz w:val="28"/>
          <w:szCs w:val="28"/>
        </w:rPr>
        <w:tab/>
      </w:r>
      <w:r w:rsidRPr="0019563D">
        <w:rPr>
          <w:b/>
          <w:sz w:val="28"/>
          <w:szCs w:val="28"/>
        </w:rPr>
        <w:tab/>
        <w:t>SECOND RESPONDENT</w:t>
      </w:r>
    </w:p>
    <w:p w14:paraId="60D9F84B" w14:textId="77777777" w:rsidR="00476B17" w:rsidRPr="0019563D" w:rsidRDefault="00476B17" w:rsidP="000F3F4B">
      <w:pPr>
        <w:tabs>
          <w:tab w:val="left" w:pos="5954"/>
          <w:tab w:val="right" w:pos="9356"/>
        </w:tabs>
        <w:contextualSpacing/>
        <w:jc w:val="left"/>
        <w:rPr>
          <w:b/>
          <w:sz w:val="16"/>
          <w:szCs w:val="16"/>
        </w:rPr>
      </w:pPr>
    </w:p>
    <w:p w14:paraId="25173EE6" w14:textId="063F0A15" w:rsidR="00476B17" w:rsidRPr="0019563D" w:rsidRDefault="00476B17" w:rsidP="000F3F4B">
      <w:pPr>
        <w:tabs>
          <w:tab w:val="left" w:pos="5954"/>
          <w:tab w:val="right" w:pos="9356"/>
        </w:tabs>
        <w:contextualSpacing/>
        <w:jc w:val="left"/>
        <w:rPr>
          <w:b/>
          <w:sz w:val="28"/>
          <w:szCs w:val="28"/>
        </w:rPr>
      </w:pPr>
      <w:r w:rsidRPr="0019563D">
        <w:rPr>
          <w:b/>
          <w:sz w:val="28"/>
          <w:szCs w:val="28"/>
        </w:rPr>
        <w:t>THE NATIONAL CREDIT REGULATOR</w:t>
      </w:r>
      <w:r w:rsidRPr="0019563D">
        <w:rPr>
          <w:b/>
          <w:sz w:val="28"/>
          <w:szCs w:val="28"/>
        </w:rPr>
        <w:tab/>
      </w:r>
      <w:r w:rsidRPr="0019563D">
        <w:rPr>
          <w:b/>
          <w:sz w:val="28"/>
          <w:szCs w:val="28"/>
        </w:rPr>
        <w:tab/>
        <w:t>THIRD RESPONDENT</w:t>
      </w:r>
    </w:p>
    <w:p w14:paraId="07D4B561" w14:textId="77777777" w:rsidR="00476B17" w:rsidRPr="0019563D" w:rsidRDefault="00476B17" w:rsidP="000F3F4B">
      <w:pPr>
        <w:tabs>
          <w:tab w:val="left" w:pos="5954"/>
          <w:tab w:val="right" w:pos="9356"/>
        </w:tabs>
        <w:contextualSpacing/>
        <w:jc w:val="left"/>
        <w:rPr>
          <w:b/>
          <w:sz w:val="16"/>
          <w:szCs w:val="16"/>
        </w:rPr>
      </w:pPr>
    </w:p>
    <w:p w14:paraId="3B7271D0" w14:textId="0D1D56FC" w:rsidR="00476B17" w:rsidRPr="0019563D" w:rsidRDefault="001A421F" w:rsidP="000F3F4B">
      <w:pPr>
        <w:tabs>
          <w:tab w:val="left" w:pos="5954"/>
          <w:tab w:val="right" w:pos="9356"/>
        </w:tabs>
        <w:contextualSpacing/>
        <w:jc w:val="left"/>
        <w:rPr>
          <w:b/>
          <w:sz w:val="28"/>
          <w:szCs w:val="28"/>
        </w:rPr>
      </w:pPr>
      <w:r w:rsidRPr="0019563D">
        <w:rPr>
          <w:b/>
          <w:sz w:val="28"/>
          <w:szCs w:val="28"/>
        </w:rPr>
        <w:t xml:space="preserve">THE PRUDENTIAL AUTHORITY </w:t>
      </w:r>
    </w:p>
    <w:p w14:paraId="63F6C62B" w14:textId="4F413729" w:rsidR="001A421F" w:rsidRPr="0019563D" w:rsidRDefault="001A421F" w:rsidP="000F3F4B">
      <w:pPr>
        <w:tabs>
          <w:tab w:val="left" w:pos="5954"/>
          <w:tab w:val="right" w:pos="9356"/>
        </w:tabs>
        <w:contextualSpacing/>
        <w:jc w:val="left"/>
        <w:rPr>
          <w:b/>
          <w:sz w:val="28"/>
          <w:szCs w:val="28"/>
        </w:rPr>
      </w:pPr>
      <w:r w:rsidRPr="0019563D">
        <w:rPr>
          <w:b/>
          <w:sz w:val="28"/>
          <w:szCs w:val="28"/>
        </w:rPr>
        <w:t>OF SOUTH AFRICA</w:t>
      </w:r>
      <w:r w:rsidRPr="0019563D">
        <w:rPr>
          <w:b/>
          <w:sz w:val="28"/>
          <w:szCs w:val="28"/>
        </w:rPr>
        <w:tab/>
      </w:r>
      <w:r w:rsidRPr="0019563D">
        <w:rPr>
          <w:b/>
          <w:sz w:val="28"/>
          <w:szCs w:val="28"/>
        </w:rPr>
        <w:tab/>
        <w:t>FOURTH RESPONDENT</w:t>
      </w:r>
    </w:p>
    <w:p w14:paraId="3FCF50E0" w14:textId="54C13D05" w:rsidR="00B31FF4" w:rsidRPr="0019563D" w:rsidRDefault="00EA529D" w:rsidP="00EF2AA7">
      <w:pPr>
        <w:spacing w:before="240"/>
        <w:ind w:left="2160" w:hanging="2160"/>
        <w:rPr>
          <w:bCs/>
          <w:sz w:val="28"/>
          <w:szCs w:val="28"/>
        </w:rPr>
      </w:pPr>
      <w:r w:rsidRPr="0019563D">
        <w:rPr>
          <w:b/>
          <w:bCs/>
          <w:sz w:val="28"/>
          <w:szCs w:val="28"/>
        </w:rPr>
        <w:lastRenderedPageBreak/>
        <w:t>Neutral citation:</w:t>
      </w:r>
      <w:r w:rsidRPr="0019563D">
        <w:rPr>
          <w:b/>
          <w:bCs/>
          <w:sz w:val="28"/>
          <w:szCs w:val="28"/>
        </w:rPr>
        <w:tab/>
      </w:r>
      <w:r w:rsidR="006B36CD" w:rsidRPr="006B36CD">
        <w:rPr>
          <w:bCs/>
          <w:i/>
          <w:sz w:val="28"/>
          <w:szCs w:val="28"/>
        </w:rPr>
        <w:t>Ilse</w:t>
      </w:r>
      <w:r w:rsidR="006B36CD">
        <w:rPr>
          <w:bCs/>
          <w:i/>
          <w:sz w:val="28"/>
          <w:szCs w:val="28"/>
        </w:rPr>
        <w:t xml:space="preserve"> </w:t>
      </w:r>
      <w:r w:rsidR="00EA1D18" w:rsidRPr="0019563D">
        <w:rPr>
          <w:bCs/>
          <w:i/>
          <w:sz w:val="28"/>
          <w:szCs w:val="28"/>
          <w:lang w:val="en-GB"/>
        </w:rPr>
        <w:t>Becker and</w:t>
      </w:r>
      <w:r w:rsidR="00800E6C" w:rsidRPr="0019563D">
        <w:rPr>
          <w:bCs/>
          <w:i/>
          <w:sz w:val="28"/>
          <w:szCs w:val="28"/>
          <w:lang w:val="en-GB"/>
        </w:rPr>
        <w:t xml:space="preserve"> Others v </w:t>
      </w:r>
      <w:r w:rsidR="00EA1D18" w:rsidRPr="0019563D">
        <w:rPr>
          <w:bCs/>
          <w:i/>
          <w:sz w:val="28"/>
          <w:szCs w:val="28"/>
          <w:lang w:val="en-GB"/>
        </w:rPr>
        <w:t>The Financial Services Conduct Authority and Others</w:t>
      </w:r>
      <w:r w:rsidR="00BF09AC" w:rsidRPr="0019563D">
        <w:rPr>
          <w:bCs/>
          <w:i/>
          <w:sz w:val="28"/>
          <w:szCs w:val="28"/>
          <w:lang w:val="en-GB"/>
        </w:rPr>
        <w:t xml:space="preserve"> </w:t>
      </w:r>
      <w:r w:rsidR="00BF09AC" w:rsidRPr="0019563D">
        <w:rPr>
          <w:bCs/>
          <w:sz w:val="28"/>
          <w:szCs w:val="28"/>
          <w:lang w:val="en-GB"/>
        </w:rPr>
        <w:t>(</w:t>
      </w:r>
      <w:r w:rsidR="00EA1D18" w:rsidRPr="0019563D">
        <w:rPr>
          <w:bCs/>
          <w:sz w:val="28"/>
          <w:szCs w:val="28"/>
          <w:lang w:val="en-GB"/>
        </w:rPr>
        <w:t>4</w:t>
      </w:r>
      <w:r w:rsidR="00C33968" w:rsidRPr="0019563D">
        <w:rPr>
          <w:bCs/>
          <w:sz w:val="28"/>
          <w:szCs w:val="28"/>
          <w:lang w:val="en-GB"/>
        </w:rPr>
        <w:t>5</w:t>
      </w:r>
      <w:r w:rsidR="00EA1D18" w:rsidRPr="0019563D">
        <w:rPr>
          <w:bCs/>
          <w:sz w:val="28"/>
          <w:szCs w:val="28"/>
          <w:lang w:val="en-GB"/>
        </w:rPr>
        <w:t>4</w:t>
      </w:r>
      <w:r w:rsidR="00BF09AC" w:rsidRPr="0019563D">
        <w:rPr>
          <w:bCs/>
          <w:sz w:val="28"/>
          <w:szCs w:val="28"/>
          <w:lang w:val="en-GB"/>
        </w:rPr>
        <w:t>/2022)</w:t>
      </w:r>
      <w:r w:rsidR="00270C43" w:rsidRPr="0019563D">
        <w:rPr>
          <w:bCs/>
          <w:sz w:val="28"/>
          <w:szCs w:val="28"/>
          <w:lang w:val="en-GB"/>
        </w:rPr>
        <w:t xml:space="preserve"> </w:t>
      </w:r>
      <w:r w:rsidRPr="0019563D">
        <w:rPr>
          <w:bCs/>
          <w:sz w:val="28"/>
          <w:szCs w:val="28"/>
        </w:rPr>
        <w:t>[202</w:t>
      </w:r>
      <w:r w:rsidR="00884663" w:rsidRPr="0019563D">
        <w:rPr>
          <w:bCs/>
          <w:sz w:val="28"/>
          <w:szCs w:val="28"/>
        </w:rPr>
        <w:t>3</w:t>
      </w:r>
      <w:r w:rsidRPr="0019563D">
        <w:rPr>
          <w:bCs/>
          <w:sz w:val="28"/>
          <w:szCs w:val="28"/>
        </w:rPr>
        <w:t xml:space="preserve">] ZASCA </w:t>
      </w:r>
      <w:r w:rsidR="00E221BE" w:rsidRPr="0019563D">
        <w:rPr>
          <w:bCs/>
          <w:sz w:val="28"/>
          <w:szCs w:val="28"/>
        </w:rPr>
        <w:t>149</w:t>
      </w:r>
      <w:r w:rsidRPr="0019563D">
        <w:rPr>
          <w:bCs/>
          <w:sz w:val="28"/>
          <w:szCs w:val="28"/>
        </w:rPr>
        <w:t xml:space="preserve"> (</w:t>
      </w:r>
      <w:r w:rsidR="004435A0" w:rsidRPr="0019563D">
        <w:rPr>
          <w:bCs/>
          <w:sz w:val="28"/>
          <w:szCs w:val="28"/>
        </w:rPr>
        <w:t>10</w:t>
      </w:r>
      <w:r w:rsidR="00784918" w:rsidRPr="0019563D">
        <w:rPr>
          <w:bCs/>
          <w:sz w:val="28"/>
          <w:szCs w:val="28"/>
        </w:rPr>
        <w:t xml:space="preserve"> </w:t>
      </w:r>
      <w:r w:rsidR="00B77712" w:rsidRPr="0019563D">
        <w:rPr>
          <w:bCs/>
          <w:sz w:val="28"/>
          <w:szCs w:val="28"/>
        </w:rPr>
        <w:t xml:space="preserve">November </w:t>
      </w:r>
      <w:r w:rsidR="00884663" w:rsidRPr="0019563D">
        <w:rPr>
          <w:bCs/>
          <w:sz w:val="28"/>
          <w:szCs w:val="28"/>
        </w:rPr>
        <w:t>2023</w:t>
      </w:r>
      <w:r w:rsidRPr="0019563D">
        <w:rPr>
          <w:bCs/>
          <w:sz w:val="28"/>
          <w:szCs w:val="28"/>
        </w:rPr>
        <w:t>)</w:t>
      </w:r>
    </w:p>
    <w:p w14:paraId="0F5E7AEB" w14:textId="4C92A520" w:rsidR="009D7C7C" w:rsidRPr="0019563D" w:rsidRDefault="00EA529D" w:rsidP="00C369B9">
      <w:pPr>
        <w:spacing w:before="240"/>
        <w:ind w:left="2160" w:hanging="2160"/>
        <w:rPr>
          <w:bCs/>
          <w:sz w:val="28"/>
          <w:szCs w:val="28"/>
        </w:rPr>
      </w:pPr>
      <w:r w:rsidRPr="0019563D">
        <w:rPr>
          <w:b/>
          <w:bCs/>
          <w:sz w:val="28"/>
          <w:szCs w:val="28"/>
        </w:rPr>
        <w:t>Coram:</w:t>
      </w:r>
      <w:r w:rsidRPr="0019563D">
        <w:rPr>
          <w:sz w:val="28"/>
          <w:szCs w:val="28"/>
        </w:rPr>
        <w:tab/>
      </w:r>
      <w:r w:rsidR="009E75DF" w:rsidRPr="0019563D">
        <w:rPr>
          <w:bCs/>
          <w:sz w:val="28"/>
          <w:szCs w:val="28"/>
        </w:rPr>
        <w:t>PETSE DP and MOTHLE and</w:t>
      </w:r>
      <w:r w:rsidR="00BF09AC" w:rsidRPr="0019563D">
        <w:rPr>
          <w:bCs/>
          <w:sz w:val="28"/>
          <w:szCs w:val="28"/>
        </w:rPr>
        <w:t xml:space="preserve"> M</w:t>
      </w:r>
      <w:r w:rsidR="00784918" w:rsidRPr="0019563D">
        <w:rPr>
          <w:bCs/>
          <w:sz w:val="28"/>
          <w:szCs w:val="28"/>
        </w:rPr>
        <w:t>E</w:t>
      </w:r>
      <w:r w:rsidR="009E75DF" w:rsidRPr="0019563D">
        <w:rPr>
          <w:bCs/>
          <w:sz w:val="28"/>
          <w:szCs w:val="28"/>
        </w:rPr>
        <w:t>YER JJA</w:t>
      </w:r>
      <w:r w:rsidR="00BF09AC" w:rsidRPr="0019563D">
        <w:rPr>
          <w:bCs/>
          <w:sz w:val="28"/>
          <w:szCs w:val="28"/>
        </w:rPr>
        <w:t xml:space="preserve"> and </w:t>
      </w:r>
      <w:r w:rsidR="009E75DF" w:rsidRPr="0019563D">
        <w:rPr>
          <w:bCs/>
          <w:sz w:val="28"/>
          <w:szCs w:val="28"/>
        </w:rPr>
        <w:t>SIWENDU</w:t>
      </w:r>
      <w:r w:rsidR="00BF09AC" w:rsidRPr="0019563D">
        <w:rPr>
          <w:bCs/>
          <w:sz w:val="28"/>
          <w:szCs w:val="28"/>
        </w:rPr>
        <w:t xml:space="preserve"> and UNTERHALTER A</w:t>
      </w:r>
      <w:r w:rsidR="009E75DF" w:rsidRPr="0019563D">
        <w:rPr>
          <w:bCs/>
          <w:sz w:val="28"/>
          <w:szCs w:val="28"/>
        </w:rPr>
        <w:t>J</w:t>
      </w:r>
      <w:r w:rsidR="00BF09AC" w:rsidRPr="0019563D">
        <w:rPr>
          <w:bCs/>
          <w:sz w:val="28"/>
          <w:szCs w:val="28"/>
        </w:rPr>
        <w:t>JA</w:t>
      </w:r>
    </w:p>
    <w:p w14:paraId="369E3F2C" w14:textId="100AE199" w:rsidR="004D2880" w:rsidRPr="0019563D" w:rsidRDefault="00EA529D" w:rsidP="00D66AAB">
      <w:pPr>
        <w:spacing w:before="240"/>
        <w:rPr>
          <w:sz w:val="28"/>
          <w:szCs w:val="28"/>
        </w:rPr>
      </w:pPr>
      <w:r w:rsidRPr="0019563D">
        <w:rPr>
          <w:b/>
          <w:bCs/>
          <w:sz w:val="28"/>
          <w:szCs w:val="28"/>
        </w:rPr>
        <w:t>Heard</w:t>
      </w:r>
      <w:r w:rsidRPr="0019563D">
        <w:rPr>
          <w:b/>
          <w:sz w:val="28"/>
          <w:szCs w:val="28"/>
        </w:rPr>
        <w:t>:</w:t>
      </w:r>
      <w:r w:rsidRPr="0019563D">
        <w:rPr>
          <w:sz w:val="28"/>
          <w:szCs w:val="28"/>
        </w:rPr>
        <w:tab/>
      </w:r>
      <w:r w:rsidR="009627EF" w:rsidRPr="0019563D">
        <w:rPr>
          <w:sz w:val="28"/>
          <w:szCs w:val="28"/>
        </w:rPr>
        <w:tab/>
      </w:r>
      <w:r w:rsidR="009E75DF" w:rsidRPr="0019563D">
        <w:rPr>
          <w:sz w:val="28"/>
          <w:szCs w:val="28"/>
        </w:rPr>
        <w:t>15</w:t>
      </w:r>
      <w:r w:rsidR="00712AC6" w:rsidRPr="0019563D">
        <w:rPr>
          <w:sz w:val="28"/>
          <w:szCs w:val="28"/>
        </w:rPr>
        <w:t xml:space="preserve"> September</w:t>
      </w:r>
      <w:r w:rsidR="00E44EC8" w:rsidRPr="0019563D">
        <w:rPr>
          <w:sz w:val="28"/>
          <w:szCs w:val="28"/>
        </w:rPr>
        <w:t xml:space="preserve"> 2023</w:t>
      </w:r>
    </w:p>
    <w:p w14:paraId="6FEA3E7E" w14:textId="7203B59A" w:rsidR="006B27C8" w:rsidRPr="0019563D" w:rsidRDefault="00EA529D" w:rsidP="00C369B9">
      <w:pPr>
        <w:spacing w:before="240"/>
        <w:rPr>
          <w:sz w:val="28"/>
          <w:szCs w:val="28"/>
        </w:rPr>
      </w:pPr>
      <w:r w:rsidRPr="0019563D">
        <w:rPr>
          <w:b/>
          <w:bCs/>
          <w:sz w:val="28"/>
          <w:szCs w:val="28"/>
        </w:rPr>
        <w:t>Delivered</w:t>
      </w:r>
      <w:r w:rsidRPr="0019563D">
        <w:rPr>
          <w:b/>
          <w:sz w:val="28"/>
          <w:szCs w:val="28"/>
        </w:rPr>
        <w:t>:</w:t>
      </w:r>
      <w:r w:rsidRPr="0019563D">
        <w:rPr>
          <w:sz w:val="28"/>
          <w:szCs w:val="28"/>
        </w:rPr>
        <w:tab/>
      </w:r>
      <w:r w:rsidR="009627EF" w:rsidRPr="0019563D">
        <w:rPr>
          <w:sz w:val="28"/>
          <w:szCs w:val="28"/>
        </w:rPr>
        <w:tab/>
      </w:r>
      <w:r w:rsidR="004435A0" w:rsidRPr="0019563D">
        <w:rPr>
          <w:sz w:val="28"/>
          <w:szCs w:val="28"/>
        </w:rPr>
        <w:t>10</w:t>
      </w:r>
      <w:r w:rsidR="00553FA7" w:rsidRPr="0019563D">
        <w:rPr>
          <w:sz w:val="28"/>
          <w:szCs w:val="28"/>
        </w:rPr>
        <w:t xml:space="preserve"> </w:t>
      </w:r>
      <w:r w:rsidR="00B77712" w:rsidRPr="0019563D">
        <w:rPr>
          <w:sz w:val="28"/>
          <w:szCs w:val="28"/>
        </w:rPr>
        <w:t>November</w:t>
      </w:r>
      <w:r w:rsidR="00A62CEA" w:rsidRPr="0019563D">
        <w:rPr>
          <w:sz w:val="28"/>
          <w:szCs w:val="28"/>
        </w:rPr>
        <w:t xml:space="preserve"> </w:t>
      </w:r>
      <w:r w:rsidR="00E44EC8" w:rsidRPr="0019563D">
        <w:rPr>
          <w:sz w:val="28"/>
          <w:szCs w:val="28"/>
        </w:rPr>
        <w:t>2023</w:t>
      </w:r>
    </w:p>
    <w:p w14:paraId="583E0678" w14:textId="395BAB9A" w:rsidR="006C76A0" w:rsidRPr="0019563D" w:rsidRDefault="00750305" w:rsidP="00154C26">
      <w:pPr>
        <w:spacing w:before="240"/>
        <w:rPr>
          <w:sz w:val="28"/>
          <w:szCs w:val="28"/>
        </w:rPr>
      </w:pPr>
      <w:r w:rsidRPr="0019563D">
        <w:rPr>
          <w:b/>
          <w:bCs/>
          <w:sz w:val="28"/>
          <w:szCs w:val="28"/>
        </w:rPr>
        <w:t>Summary:</w:t>
      </w:r>
      <w:r w:rsidRPr="0019563D">
        <w:rPr>
          <w:sz w:val="28"/>
          <w:szCs w:val="28"/>
        </w:rPr>
        <w:tab/>
      </w:r>
      <w:r w:rsidR="006B27C8" w:rsidRPr="0019563D">
        <w:rPr>
          <w:sz w:val="28"/>
          <w:szCs w:val="28"/>
        </w:rPr>
        <w:tab/>
      </w:r>
      <w:r w:rsidR="006C76A0" w:rsidRPr="0019563D">
        <w:rPr>
          <w:sz w:val="28"/>
          <w:szCs w:val="28"/>
        </w:rPr>
        <w:t>Constitutional law – financial services regulation –</w:t>
      </w:r>
      <w:r w:rsidR="0044601A" w:rsidRPr="0019563D">
        <w:rPr>
          <w:sz w:val="28"/>
          <w:szCs w:val="28"/>
        </w:rPr>
        <w:t xml:space="preserve"> </w:t>
      </w:r>
      <w:r w:rsidR="0019563D" w:rsidRPr="0019563D">
        <w:rPr>
          <w:sz w:val="28"/>
          <w:szCs w:val="28"/>
        </w:rPr>
        <w:t xml:space="preserve">whether </w:t>
      </w:r>
      <w:r w:rsidR="006C76A0" w:rsidRPr="0019563D">
        <w:rPr>
          <w:sz w:val="28"/>
          <w:szCs w:val="28"/>
        </w:rPr>
        <w:t>ss 154, 167 and 231 of the Financial Sector Regulation Act 9 of 2017 (</w:t>
      </w:r>
      <w:r w:rsidR="0019563D" w:rsidRPr="0019563D">
        <w:rPr>
          <w:sz w:val="28"/>
          <w:szCs w:val="28"/>
        </w:rPr>
        <w:t>the Act</w:t>
      </w:r>
      <w:r w:rsidR="006C76A0" w:rsidRPr="0019563D">
        <w:rPr>
          <w:sz w:val="28"/>
          <w:szCs w:val="28"/>
        </w:rPr>
        <w:t>)</w:t>
      </w:r>
      <w:r w:rsidR="00B77712" w:rsidRPr="0019563D">
        <w:rPr>
          <w:sz w:val="28"/>
          <w:szCs w:val="28"/>
        </w:rPr>
        <w:t xml:space="preserve"> unconstitutional and invalid</w:t>
      </w:r>
      <w:r w:rsidR="006C76A0" w:rsidRPr="0019563D">
        <w:rPr>
          <w:sz w:val="28"/>
          <w:szCs w:val="28"/>
        </w:rPr>
        <w:t xml:space="preserve"> </w:t>
      </w:r>
      <w:r w:rsidR="00BE01C6" w:rsidRPr="0019563D">
        <w:rPr>
          <w:sz w:val="28"/>
          <w:szCs w:val="28"/>
        </w:rPr>
        <w:t>–</w:t>
      </w:r>
      <w:r w:rsidR="00270CD5" w:rsidRPr="0019563D">
        <w:rPr>
          <w:sz w:val="28"/>
          <w:szCs w:val="28"/>
        </w:rPr>
        <w:t xml:space="preserve"> fail</w:t>
      </w:r>
      <w:r w:rsidR="008F497D" w:rsidRPr="0019563D">
        <w:rPr>
          <w:sz w:val="28"/>
          <w:szCs w:val="28"/>
        </w:rPr>
        <w:t>ure</w:t>
      </w:r>
      <w:r w:rsidR="00270CD5" w:rsidRPr="0019563D">
        <w:rPr>
          <w:sz w:val="28"/>
          <w:szCs w:val="28"/>
        </w:rPr>
        <w:t xml:space="preserve"> to observe procedural fairness in deciding whether a person has contravened a financial sector law</w:t>
      </w:r>
      <w:r w:rsidR="00BE01C6" w:rsidRPr="0019563D">
        <w:rPr>
          <w:sz w:val="28"/>
          <w:szCs w:val="28"/>
        </w:rPr>
        <w:t xml:space="preserve"> –</w:t>
      </w:r>
      <w:r w:rsidR="00270CD5" w:rsidRPr="0019563D">
        <w:rPr>
          <w:sz w:val="28"/>
          <w:szCs w:val="28"/>
        </w:rPr>
        <w:t xml:space="preserve"> challenge to constitutional validity in terms of s</w:t>
      </w:r>
      <w:r w:rsidR="008F497D" w:rsidRPr="0019563D">
        <w:rPr>
          <w:sz w:val="28"/>
          <w:szCs w:val="28"/>
        </w:rPr>
        <w:t> </w:t>
      </w:r>
      <w:r w:rsidR="00270CD5" w:rsidRPr="0019563D">
        <w:rPr>
          <w:sz w:val="28"/>
          <w:szCs w:val="28"/>
        </w:rPr>
        <w:t>33 of the Constitution</w:t>
      </w:r>
      <w:r w:rsidR="00BE01C6" w:rsidRPr="0019563D">
        <w:rPr>
          <w:sz w:val="28"/>
          <w:szCs w:val="28"/>
        </w:rPr>
        <w:t xml:space="preserve"> –</w:t>
      </w:r>
      <w:r w:rsidR="00270CD5" w:rsidRPr="0019563D">
        <w:rPr>
          <w:sz w:val="28"/>
          <w:szCs w:val="28"/>
        </w:rPr>
        <w:t xml:space="preserve"> subsidiarity</w:t>
      </w:r>
      <w:r w:rsidR="009B6B2C" w:rsidRPr="0019563D">
        <w:rPr>
          <w:sz w:val="28"/>
          <w:szCs w:val="28"/>
        </w:rPr>
        <w:t xml:space="preserve"> – </w:t>
      </w:r>
      <w:r w:rsidR="00270CD5" w:rsidRPr="0019563D">
        <w:rPr>
          <w:sz w:val="28"/>
          <w:szCs w:val="28"/>
        </w:rPr>
        <w:t>application of s</w:t>
      </w:r>
      <w:r w:rsidR="008F497D" w:rsidRPr="0019563D">
        <w:rPr>
          <w:sz w:val="28"/>
          <w:szCs w:val="28"/>
        </w:rPr>
        <w:t> </w:t>
      </w:r>
      <w:r w:rsidR="00270CD5" w:rsidRPr="0019563D">
        <w:rPr>
          <w:sz w:val="28"/>
          <w:szCs w:val="28"/>
        </w:rPr>
        <w:t>3 of the Promotion of Administrative Justice Act 3 of 2000</w:t>
      </w:r>
      <w:r w:rsidR="00BB0B08" w:rsidRPr="0019563D">
        <w:rPr>
          <w:sz w:val="28"/>
          <w:szCs w:val="28"/>
        </w:rPr>
        <w:t xml:space="preserve"> (PAJA)</w:t>
      </w:r>
      <w:r w:rsidR="00BE01C6" w:rsidRPr="0019563D">
        <w:rPr>
          <w:sz w:val="28"/>
          <w:szCs w:val="28"/>
        </w:rPr>
        <w:t>.</w:t>
      </w:r>
    </w:p>
    <w:p w14:paraId="3FE6AA20" w14:textId="432F3037" w:rsidR="00BF09AC" w:rsidRPr="0019563D" w:rsidRDefault="00750305" w:rsidP="00154C26">
      <w:pPr>
        <w:spacing w:before="240"/>
        <w:rPr>
          <w:sz w:val="28"/>
          <w:szCs w:val="28"/>
          <w:lang w:val="en-US"/>
        </w:rPr>
      </w:pPr>
      <w:r w:rsidRPr="0019563D">
        <w:rPr>
          <w:sz w:val="28"/>
          <w:szCs w:val="28"/>
          <w:lang w:val="en-US"/>
        </w:rPr>
        <w:br w:type="page"/>
      </w:r>
    </w:p>
    <w:p w14:paraId="5B69BFFF" w14:textId="77777777" w:rsidR="00BF09AC" w:rsidRPr="0019563D" w:rsidRDefault="00BF09AC" w:rsidP="00BF09AC">
      <w:pPr>
        <w:rPr>
          <w:sz w:val="28"/>
          <w:szCs w:val="28"/>
          <w:lang w:val="en-GB"/>
        </w:rPr>
      </w:pPr>
      <w:r w:rsidRPr="0019563D">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D16022" id="Straight Connector 6"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">
                <o:lock v:ext="edit" shapetype="f"/>
              </v:line>
            </w:pict>
          </mc:Fallback>
        </mc:AlternateContent>
      </w:r>
      <w:r w:rsidRPr="0019563D">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72C76D" id="Straight Connector 5" o:spid="_x0000_s1026" style="position:absolute;z-index:251665408;visibility:visible;mso-wrap-style:square;mso-width-percent:0;mso-height-percent:0;mso-wrap-distance-left:3.17486mm;mso-wrap-distance-top:.3mm;mso-wrap-distance-right:3.17486mm;mso-wrap-distance-bottom:.3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02F78E3B" w14:textId="77777777" w:rsidR="00BF09AC" w:rsidRPr="0019563D" w:rsidRDefault="00BF09AC" w:rsidP="00BF09AC">
      <w:pPr>
        <w:jc w:val="center"/>
        <w:rPr>
          <w:b/>
          <w:iCs/>
          <w:sz w:val="28"/>
          <w:szCs w:val="28"/>
          <w:lang w:val="en-GB"/>
        </w:rPr>
      </w:pPr>
      <w:r w:rsidRPr="0019563D">
        <w:rPr>
          <w:b/>
          <w:iCs/>
          <w:sz w:val="28"/>
          <w:szCs w:val="28"/>
          <w:lang w:val="en-GB"/>
        </w:rPr>
        <w:t>ORDER</w:t>
      </w:r>
    </w:p>
    <w:p w14:paraId="6E1812D2" w14:textId="77777777" w:rsidR="00BF09AC" w:rsidRPr="0019563D" w:rsidRDefault="00BF09AC" w:rsidP="00BF09AC">
      <w:pPr>
        <w:rPr>
          <w:b/>
          <w:bCs/>
          <w:sz w:val="28"/>
          <w:szCs w:val="28"/>
          <w:lang w:val="en-GB"/>
        </w:rPr>
      </w:pPr>
      <w:r w:rsidRPr="0019563D">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05D735" id="Straight Connector 4"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">
                <o:lock v:ext="edit" shapetype="f"/>
              </v:line>
            </w:pict>
          </mc:Fallback>
        </mc:AlternateContent>
      </w:r>
    </w:p>
    <w:p w14:paraId="2C96F4A2" w14:textId="2AECA7FA" w:rsidR="006F609A" w:rsidRPr="0019563D" w:rsidRDefault="00BF09AC" w:rsidP="0032538C">
      <w:pPr>
        <w:spacing w:before="240"/>
        <w:rPr>
          <w:sz w:val="28"/>
          <w:szCs w:val="28"/>
        </w:rPr>
      </w:pPr>
      <w:r w:rsidRPr="0019563D">
        <w:rPr>
          <w:b/>
          <w:sz w:val="28"/>
          <w:szCs w:val="28"/>
        </w:rPr>
        <w:t>On appeal from:</w:t>
      </w:r>
      <w:r w:rsidRPr="0019563D">
        <w:rPr>
          <w:sz w:val="28"/>
          <w:szCs w:val="28"/>
        </w:rPr>
        <w:t xml:space="preserve"> </w:t>
      </w:r>
      <w:r w:rsidR="00B1121A" w:rsidRPr="0019563D">
        <w:rPr>
          <w:sz w:val="28"/>
          <w:szCs w:val="28"/>
        </w:rPr>
        <w:t>Gauteng</w:t>
      </w:r>
      <w:r w:rsidRPr="0019563D">
        <w:rPr>
          <w:sz w:val="28"/>
          <w:szCs w:val="28"/>
        </w:rPr>
        <w:t xml:space="preserve"> Division of the High Court, </w:t>
      </w:r>
      <w:r w:rsidR="001F6746" w:rsidRPr="0019563D">
        <w:rPr>
          <w:sz w:val="28"/>
          <w:szCs w:val="28"/>
        </w:rPr>
        <w:t>Pretoria</w:t>
      </w:r>
      <w:r w:rsidRPr="0019563D">
        <w:rPr>
          <w:sz w:val="28"/>
          <w:szCs w:val="28"/>
        </w:rPr>
        <w:t xml:space="preserve"> (</w:t>
      </w:r>
      <w:r w:rsidR="001F6746" w:rsidRPr="0019563D">
        <w:rPr>
          <w:sz w:val="28"/>
          <w:szCs w:val="28"/>
        </w:rPr>
        <w:t>Ncongwane</w:t>
      </w:r>
      <w:r w:rsidR="00BD3A00" w:rsidRPr="0019563D">
        <w:rPr>
          <w:sz w:val="28"/>
          <w:szCs w:val="28"/>
        </w:rPr>
        <w:t xml:space="preserve"> AJ</w:t>
      </w:r>
      <w:r w:rsidRPr="0019563D">
        <w:rPr>
          <w:sz w:val="28"/>
          <w:szCs w:val="28"/>
        </w:rPr>
        <w:t xml:space="preserve">, sitting as court of </w:t>
      </w:r>
      <w:r w:rsidR="00BD3A00" w:rsidRPr="0019563D">
        <w:rPr>
          <w:sz w:val="28"/>
          <w:szCs w:val="28"/>
        </w:rPr>
        <w:t>first instance</w:t>
      </w:r>
      <w:r w:rsidRPr="0019563D">
        <w:rPr>
          <w:sz w:val="28"/>
          <w:szCs w:val="28"/>
        </w:rPr>
        <w:t xml:space="preserve">): </w:t>
      </w:r>
    </w:p>
    <w:p w14:paraId="70812101" w14:textId="16D6964D" w:rsidR="00A553BE" w:rsidRPr="0019563D" w:rsidRDefault="00A553BE" w:rsidP="00A553BE">
      <w:pPr>
        <w:rPr>
          <w:sz w:val="28"/>
          <w:szCs w:val="28"/>
        </w:rPr>
      </w:pPr>
      <w:r w:rsidRPr="0019563D">
        <w:rPr>
          <w:sz w:val="28"/>
          <w:szCs w:val="28"/>
        </w:rPr>
        <w:t xml:space="preserve">The appeal is dismissed with costs, such costs to include the </w:t>
      </w:r>
      <w:r w:rsidR="0044601A" w:rsidRPr="0019563D">
        <w:rPr>
          <w:sz w:val="28"/>
          <w:szCs w:val="28"/>
        </w:rPr>
        <w:t>costs</w:t>
      </w:r>
      <w:r w:rsidRPr="0019563D">
        <w:rPr>
          <w:sz w:val="28"/>
          <w:szCs w:val="28"/>
        </w:rPr>
        <w:t xml:space="preserve"> of two counsel, where so employed.</w:t>
      </w:r>
    </w:p>
    <w:p w14:paraId="1AE316FE" w14:textId="77777777" w:rsidR="00BD3A00" w:rsidRPr="0019563D" w:rsidRDefault="00BD3A00" w:rsidP="00B77712">
      <w:pPr>
        <w:spacing w:line="240" w:lineRule="auto"/>
        <w:rPr>
          <w:sz w:val="28"/>
          <w:szCs w:val="28"/>
          <w:lang w:val="en-GB"/>
        </w:rPr>
      </w:pPr>
    </w:p>
    <w:p w14:paraId="6F7E28DF" w14:textId="77777777" w:rsidR="00BF09AC" w:rsidRPr="0019563D" w:rsidRDefault="00BF09AC" w:rsidP="00BF09AC">
      <w:pPr>
        <w:rPr>
          <w:sz w:val="28"/>
          <w:szCs w:val="28"/>
          <w:lang w:val="en-GB"/>
        </w:rPr>
      </w:pPr>
      <w:r w:rsidRPr="0019563D">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E89429" id="Straight Connector 3"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">
                <o:lock v:ext="edit" shapetype="f"/>
              </v:line>
            </w:pict>
          </mc:Fallback>
        </mc:AlternateContent>
      </w:r>
      <w:r w:rsidRPr="0019563D">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E6F819" id="Straight Connector 2" o:spid="_x0000_s1026" style="position:absolute;z-index:251661312;visibility:visible;mso-wrap-style:square;mso-width-percent:0;mso-height-percent:0;mso-wrap-distance-left:3.17486mm;mso-wrap-distance-top:.3mm;mso-wrap-distance-right:3.17486mm;mso-wrap-distance-bottom:.3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">
                <o:lock v:ext="edit" shapetype="f"/>
              </v:line>
            </w:pict>
          </mc:Fallback>
        </mc:AlternateContent>
      </w:r>
    </w:p>
    <w:p w14:paraId="55F2E4D4" w14:textId="77777777" w:rsidR="00BF09AC" w:rsidRPr="0019563D" w:rsidRDefault="00BF09AC" w:rsidP="00BF09AC">
      <w:pPr>
        <w:jc w:val="center"/>
        <w:rPr>
          <w:b/>
          <w:iCs/>
          <w:sz w:val="28"/>
          <w:szCs w:val="28"/>
          <w:lang w:val="en-GB"/>
        </w:rPr>
      </w:pPr>
      <w:r w:rsidRPr="0019563D">
        <w:rPr>
          <w:b/>
          <w:iCs/>
          <w:sz w:val="28"/>
          <w:szCs w:val="28"/>
          <w:lang w:val="en-GB"/>
        </w:rPr>
        <w:t>JUDGMENT</w:t>
      </w:r>
    </w:p>
    <w:p w14:paraId="62416F8E" w14:textId="77777777" w:rsidR="00BF09AC" w:rsidRPr="0019563D" w:rsidRDefault="00BF09AC" w:rsidP="00BF09AC">
      <w:pPr>
        <w:rPr>
          <w:b/>
          <w:bCs/>
          <w:sz w:val="28"/>
          <w:szCs w:val="28"/>
          <w:lang w:val="en-GB"/>
        </w:rPr>
      </w:pPr>
      <w:r w:rsidRPr="0019563D">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A2011B" id="Straight Connector 1"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">
                <o:lock v:ext="edit" shapetype="f"/>
              </v:line>
            </w:pict>
          </mc:Fallback>
        </mc:AlternateContent>
      </w:r>
    </w:p>
    <w:p w14:paraId="036192ED" w14:textId="4B8FED5C" w:rsidR="0031085B" w:rsidRPr="0019563D" w:rsidRDefault="0031085B" w:rsidP="0031085B">
      <w:pPr>
        <w:rPr>
          <w:b/>
          <w:sz w:val="28"/>
          <w:szCs w:val="28"/>
          <w:lang w:val="en-GB"/>
        </w:rPr>
      </w:pPr>
      <w:r w:rsidRPr="0019563D">
        <w:rPr>
          <w:b/>
          <w:sz w:val="28"/>
          <w:szCs w:val="28"/>
          <w:lang w:val="en-GB"/>
        </w:rPr>
        <w:t>Unterhalter AJA (</w:t>
      </w:r>
      <w:r w:rsidR="004D30F7" w:rsidRPr="0019563D">
        <w:rPr>
          <w:b/>
          <w:sz w:val="28"/>
          <w:szCs w:val="28"/>
          <w:lang w:val="en-GB"/>
        </w:rPr>
        <w:t>Petse DP and Mothle and Meyer JJA and Siwendu AJA</w:t>
      </w:r>
      <w:r w:rsidR="005542C0" w:rsidRPr="0019563D">
        <w:rPr>
          <w:b/>
          <w:sz w:val="28"/>
          <w:szCs w:val="28"/>
          <w:lang w:val="en-GB"/>
        </w:rPr>
        <w:t xml:space="preserve"> </w:t>
      </w:r>
      <w:r w:rsidRPr="0019563D">
        <w:rPr>
          <w:b/>
          <w:sz w:val="28"/>
          <w:szCs w:val="28"/>
          <w:lang w:val="en-GB"/>
        </w:rPr>
        <w:t>concurring):</w:t>
      </w:r>
      <w:r w:rsidR="004D30F7" w:rsidRPr="0019563D">
        <w:rPr>
          <w:b/>
          <w:sz w:val="28"/>
          <w:szCs w:val="28"/>
          <w:lang w:val="en-GB"/>
        </w:rPr>
        <w:t xml:space="preserve"> </w:t>
      </w:r>
    </w:p>
    <w:p w14:paraId="514E36A2" w14:textId="77777777" w:rsidR="005A0622" w:rsidRPr="0019563D" w:rsidRDefault="005A0622" w:rsidP="0031085B">
      <w:pPr>
        <w:rPr>
          <w:b/>
          <w:sz w:val="28"/>
          <w:szCs w:val="28"/>
        </w:rPr>
      </w:pPr>
    </w:p>
    <w:p w14:paraId="4092C8F5" w14:textId="77777777" w:rsidR="0031085B" w:rsidRPr="0019563D" w:rsidRDefault="0031085B" w:rsidP="0031085B">
      <w:pPr>
        <w:rPr>
          <w:b/>
          <w:sz w:val="28"/>
          <w:szCs w:val="28"/>
        </w:rPr>
      </w:pPr>
      <w:r w:rsidRPr="0019563D">
        <w:rPr>
          <w:b/>
          <w:sz w:val="28"/>
          <w:szCs w:val="28"/>
        </w:rPr>
        <w:t>Introduction</w:t>
      </w:r>
    </w:p>
    <w:p w14:paraId="4A05D36D" w14:textId="447A3805" w:rsidR="00361306" w:rsidRPr="0019563D" w:rsidRDefault="007A4195" w:rsidP="007A4195">
      <w:pPr>
        <w:rPr>
          <w:sz w:val="28"/>
          <w:szCs w:val="28"/>
        </w:rPr>
      </w:pPr>
      <w:r w:rsidRPr="0019563D">
        <w:rPr>
          <w:sz w:val="28"/>
          <w:szCs w:val="28"/>
        </w:rPr>
        <w:t>[1]</w:t>
      </w:r>
      <w:r w:rsidRPr="0019563D">
        <w:rPr>
          <w:sz w:val="28"/>
          <w:szCs w:val="28"/>
        </w:rPr>
        <w:tab/>
      </w:r>
      <w:r w:rsidR="009B1AF7" w:rsidRPr="0019563D">
        <w:rPr>
          <w:sz w:val="28"/>
          <w:szCs w:val="28"/>
        </w:rPr>
        <w:t>The first and second appellants</w:t>
      </w:r>
      <w:r w:rsidR="0044601A" w:rsidRPr="0019563D">
        <w:rPr>
          <w:sz w:val="28"/>
          <w:szCs w:val="28"/>
        </w:rPr>
        <w:t>, Ms Ilse Becker and Mr Eugene Becker respectively,</w:t>
      </w:r>
      <w:r w:rsidR="009B1AF7" w:rsidRPr="0019563D">
        <w:rPr>
          <w:sz w:val="28"/>
          <w:szCs w:val="28"/>
        </w:rPr>
        <w:t xml:space="preserve"> (the Beckers) are the directors of </w:t>
      </w:r>
      <w:r w:rsidR="005B23CB" w:rsidRPr="0019563D">
        <w:rPr>
          <w:sz w:val="28"/>
          <w:szCs w:val="28"/>
        </w:rPr>
        <w:t>t</w:t>
      </w:r>
      <w:r w:rsidR="00361306" w:rsidRPr="0019563D">
        <w:rPr>
          <w:sz w:val="28"/>
          <w:szCs w:val="28"/>
        </w:rPr>
        <w:t>he third appellant (</w:t>
      </w:r>
      <w:r w:rsidR="005B23CB" w:rsidRPr="0019563D">
        <w:rPr>
          <w:sz w:val="28"/>
          <w:szCs w:val="28"/>
        </w:rPr>
        <w:t>Fusion Guarantees (Pty) Ltd (</w:t>
      </w:r>
      <w:r w:rsidR="00361306" w:rsidRPr="0019563D">
        <w:rPr>
          <w:sz w:val="28"/>
          <w:szCs w:val="28"/>
        </w:rPr>
        <w:t>Fusion</w:t>
      </w:r>
      <w:r w:rsidR="005B23CB" w:rsidRPr="0019563D">
        <w:rPr>
          <w:sz w:val="28"/>
          <w:szCs w:val="28"/>
        </w:rPr>
        <w:t>)</w:t>
      </w:r>
      <w:r w:rsidR="00361306" w:rsidRPr="0019563D">
        <w:rPr>
          <w:sz w:val="28"/>
          <w:szCs w:val="28"/>
        </w:rPr>
        <w:t>)</w:t>
      </w:r>
      <w:r w:rsidR="005B23CB" w:rsidRPr="0019563D">
        <w:rPr>
          <w:sz w:val="28"/>
          <w:szCs w:val="28"/>
        </w:rPr>
        <w:t>.</w:t>
      </w:r>
      <w:r w:rsidR="001F44BE" w:rsidRPr="0019563D">
        <w:rPr>
          <w:sz w:val="28"/>
          <w:szCs w:val="28"/>
        </w:rPr>
        <w:t xml:space="preserve"> Fusion</w:t>
      </w:r>
      <w:r w:rsidR="00361306" w:rsidRPr="0019563D">
        <w:rPr>
          <w:sz w:val="28"/>
          <w:szCs w:val="28"/>
        </w:rPr>
        <w:t xml:space="preserve"> is a company</w:t>
      </w:r>
      <w:r w:rsidR="00D3005B" w:rsidRPr="0019563D">
        <w:rPr>
          <w:sz w:val="28"/>
          <w:szCs w:val="28"/>
        </w:rPr>
        <w:t xml:space="preserve">, the </w:t>
      </w:r>
      <w:r w:rsidR="00361306" w:rsidRPr="0019563D">
        <w:rPr>
          <w:sz w:val="28"/>
          <w:szCs w:val="28"/>
        </w:rPr>
        <w:t xml:space="preserve">business </w:t>
      </w:r>
      <w:r w:rsidR="00D3005B" w:rsidRPr="0019563D">
        <w:rPr>
          <w:sz w:val="28"/>
          <w:szCs w:val="28"/>
        </w:rPr>
        <w:t xml:space="preserve">of which </w:t>
      </w:r>
      <w:r w:rsidR="00361306" w:rsidRPr="0019563D">
        <w:rPr>
          <w:sz w:val="28"/>
          <w:szCs w:val="28"/>
        </w:rPr>
        <w:t>is to offer guarantees and sureties. The first respondent is the Financial Services Conduct Authority (the Authority). The Authority was established in terms of s</w:t>
      </w:r>
      <w:r w:rsidR="001F44BE" w:rsidRPr="0019563D">
        <w:rPr>
          <w:sz w:val="28"/>
          <w:szCs w:val="28"/>
        </w:rPr>
        <w:t> </w:t>
      </w:r>
      <w:r w:rsidR="00361306" w:rsidRPr="0019563D">
        <w:rPr>
          <w:sz w:val="28"/>
          <w:szCs w:val="28"/>
        </w:rPr>
        <w:t>56 of the Financial Sector Regulation Act 9 of 2017 (the Act). Among its functions, the Authority is charged with the power to regulate and supervise the conduct of financial institutions in terms of the Act.</w:t>
      </w:r>
    </w:p>
    <w:p w14:paraId="05CC18BC" w14:textId="77777777" w:rsidR="00D8466D" w:rsidRPr="0019563D" w:rsidRDefault="00D8466D" w:rsidP="00D8466D">
      <w:pPr>
        <w:rPr>
          <w:sz w:val="28"/>
          <w:szCs w:val="28"/>
        </w:rPr>
      </w:pPr>
    </w:p>
    <w:p w14:paraId="78A5CDB0" w14:textId="53ECF4DA" w:rsidR="00361306" w:rsidRPr="0019563D" w:rsidRDefault="007A4195" w:rsidP="007A4195">
      <w:pPr>
        <w:rPr>
          <w:sz w:val="28"/>
          <w:szCs w:val="28"/>
        </w:rPr>
      </w:pPr>
      <w:r w:rsidRPr="0019563D">
        <w:rPr>
          <w:sz w:val="28"/>
          <w:szCs w:val="28"/>
        </w:rPr>
        <w:t>[2]</w:t>
      </w:r>
      <w:r w:rsidRPr="0019563D">
        <w:rPr>
          <w:sz w:val="28"/>
          <w:szCs w:val="28"/>
        </w:rPr>
        <w:tab/>
      </w:r>
      <w:r w:rsidR="00361306" w:rsidRPr="0019563D">
        <w:rPr>
          <w:sz w:val="28"/>
          <w:szCs w:val="28"/>
        </w:rPr>
        <w:t>A</w:t>
      </w:r>
      <w:r w:rsidR="0044601A" w:rsidRPr="0019563D">
        <w:rPr>
          <w:sz w:val="28"/>
          <w:szCs w:val="28"/>
        </w:rPr>
        <w:t>t the behest of the Authority a</w:t>
      </w:r>
      <w:r w:rsidR="00361306" w:rsidRPr="0019563D">
        <w:rPr>
          <w:sz w:val="28"/>
          <w:szCs w:val="28"/>
        </w:rPr>
        <w:t>n investigation was conducted</w:t>
      </w:r>
      <w:r w:rsidR="0030443F" w:rsidRPr="0019563D">
        <w:rPr>
          <w:sz w:val="28"/>
          <w:szCs w:val="28"/>
        </w:rPr>
        <w:t>,</w:t>
      </w:r>
      <w:r w:rsidR="00361306" w:rsidRPr="0019563D">
        <w:rPr>
          <w:sz w:val="28"/>
          <w:szCs w:val="28"/>
        </w:rPr>
        <w:t xml:space="preserve"> in terms of s</w:t>
      </w:r>
      <w:r w:rsidR="0030443F" w:rsidRPr="0019563D">
        <w:rPr>
          <w:sz w:val="28"/>
          <w:szCs w:val="28"/>
        </w:rPr>
        <w:t> </w:t>
      </w:r>
      <w:r w:rsidR="00361306" w:rsidRPr="0019563D">
        <w:rPr>
          <w:sz w:val="28"/>
          <w:szCs w:val="28"/>
        </w:rPr>
        <w:t>80 of the Financial Institutions Act 80 of 1998</w:t>
      </w:r>
      <w:r w:rsidR="0030443F" w:rsidRPr="0019563D">
        <w:rPr>
          <w:sz w:val="28"/>
          <w:szCs w:val="28"/>
        </w:rPr>
        <w:t>,</w:t>
      </w:r>
      <w:r w:rsidR="00361306" w:rsidRPr="0019563D">
        <w:rPr>
          <w:sz w:val="28"/>
          <w:szCs w:val="28"/>
        </w:rPr>
        <w:t xml:space="preserve"> into the affairs of Fusion. Mr Panday rendered an inspection report, dated 16 July 2019. He concluded that Fusion was in </w:t>
      </w:r>
      <w:r w:rsidR="00361306" w:rsidRPr="0019563D">
        <w:rPr>
          <w:sz w:val="28"/>
          <w:szCs w:val="28"/>
        </w:rPr>
        <w:lastRenderedPageBreak/>
        <w:t xml:space="preserve">contravention of the Short-Term Insurance Act 53 of 1998. On 12 February 2020, Mr Dikokwe of the Authority gave notice to Fusion and the Beckers of </w:t>
      </w:r>
      <w:r w:rsidR="00D3005B" w:rsidRPr="0019563D">
        <w:rPr>
          <w:sz w:val="28"/>
          <w:szCs w:val="28"/>
        </w:rPr>
        <w:t>the Authority’s</w:t>
      </w:r>
      <w:r w:rsidR="00361306" w:rsidRPr="0019563D">
        <w:rPr>
          <w:sz w:val="28"/>
          <w:szCs w:val="28"/>
        </w:rPr>
        <w:t xml:space="preserve"> intention to take regulatory action against them. The notice stated that, based on the findings of the investigation, the Authority was of the </w:t>
      </w:r>
      <w:r w:rsidR="00361306" w:rsidRPr="0019563D">
        <w:rPr>
          <w:i/>
          <w:iCs/>
          <w:sz w:val="28"/>
          <w:szCs w:val="28"/>
        </w:rPr>
        <w:t>prima facie</w:t>
      </w:r>
      <w:r w:rsidR="00361306" w:rsidRPr="0019563D">
        <w:rPr>
          <w:sz w:val="28"/>
          <w:szCs w:val="28"/>
        </w:rPr>
        <w:t xml:space="preserve"> view that Fusion, through the agency of the Beckers, was in contravention of certain financial sector laws. The Authority indicated that it intended to impose an administrative penalty of R200</w:t>
      </w:r>
      <w:r w:rsidR="00C43F4E" w:rsidRPr="0019563D">
        <w:rPr>
          <w:sz w:val="28"/>
          <w:szCs w:val="28"/>
        </w:rPr>
        <w:t> </w:t>
      </w:r>
      <w:r w:rsidR="00361306" w:rsidRPr="0019563D">
        <w:rPr>
          <w:sz w:val="28"/>
          <w:szCs w:val="28"/>
        </w:rPr>
        <w:t>million on Fusion, and make a debarment order in respect of the Beckers for a period of 15</w:t>
      </w:r>
      <w:r w:rsidR="004E1D4C" w:rsidRPr="0019563D">
        <w:rPr>
          <w:sz w:val="28"/>
          <w:szCs w:val="28"/>
        </w:rPr>
        <w:t> </w:t>
      </w:r>
      <w:r w:rsidR="00361306" w:rsidRPr="0019563D">
        <w:rPr>
          <w:sz w:val="28"/>
          <w:szCs w:val="28"/>
        </w:rPr>
        <w:t xml:space="preserve">years. The notice set out the factors that the Authority took into consideration in determining the regulatory actions the Authority intended to take. Fusion and the Beckers were afforded </w:t>
      </w:r>
      <w:r w:rsidR="00D3005B" w:rsidRPr="0019563D">
        <w:rPr>
          <w:sz w:val="28"/>
          <w:szCs w:val="28"/>
        </w:rPr>
        <w:t>an</w:t>
      </w:r>
      <w:r w:rsidR="00361306" w:rsidRPr="0019563D">
        <w:rPr>
          <w:sz w:val="28"/>
          <w:szCs w:val="28"/>
        </w:rPr>
        <w:t xml:space="preserve"> opportunity to make submissions on the investigation report, the proposed administrative penalty, and the proposed debarment.</w:t>
      </w:r>
    </w:p>
    <w:p w14:paraId="7729E391" w14:textId="77777777" w:rsidR="00361306" w:rsidRPr="0019563D" w:rsidRDefault="00361306" w:rsidP="00361306">
      <w:pPr>
        <w:rPr>
          <w:sz w:val="28"/>
          <w:szCs w:val="28"/>
        </w:rPr>
      </w:pPr>
    </w:p>
    <w:p w14:paraId="580E4C20" w14:textId="6AE45064" w:rsidR="00361306" w:rsidRPr="0019563D" w:rsidRDefault="007A4195" w:rsidP="007A4195">
      <w:pPr>
        <w:rPr>
          <w:sz w:val="28"/>
          <w:szCs w:val="28"/>
        </w:rPr>
      </w:pPr>
      <w:r w:rsidRPr="0019563D">
        <w:rPr>
          <w:sz w:val="28"/>
          <w:szCs w:val="28"/>
        </w:rPr>
        <w:t>[3]</w:t>
      </w:r>
      <w:r w:rsidRPr="0019563D">
        <w:rPr>
          <w:sz w:val="28"/>
          <w:szCs w:val="28"/>
        </w:rPr>
        <w:tab/>
      </w:r>
      <w:r w:rsidR="00361306" w:rsidRPr="0019563D">
        <w:rPr>
          <w:sz w:val="28"/>
          <w:szCs w:val="28"/>
        </w:rPr>
        <w:t xml:space="preserve">Fusion and the Beckers took up this invitation, and made detailed submissions. They also made application to the </w:t>
      </w:r>
      <w:r w:rsidR="00C43F4E" w:rsidRPr="0019563D">
        <w:rPr>
          <w:sz w:val="28"/>
          <w:szCs w:val="28"/>
        </w:rPr>
        <w:t xml:space="preserve">Gauteng Division of the High Court, Pretoria (the </w:t>
      </w:r>
      <w:r w:rsidR="00361306" w:rsidRPr="0019563D">
        <w:rPr>
          <w:sz w:val="28"/>
          <w:szCs w:val="28"/>
        </w:rPr>
        <w:t>high court</w:t>
      </w:r>
      <w:r w:rsidR="00C43F4E" w:rsidRPr="0019563D">
        <w:rPr>
          <w:sz w:val="28"/>
          <w:szCs w:val="28"/>
        </w:rPr>
        <w:t>)</w:t>
      </w:r>
      <w:r w:rsidR="00361306" w:rsidRPr="0019563D">
        <w:rPr>
          <w:sz w:val="28"/>
          <w:szCs w:val="28"/>
        </w:rPr>
        <w:t xml:space="preserve"> to declare ss 154, 167, 230 and 231 of the Act (collectively, the impugned provisions) unconstitutional and invalid. </w:t>
      </w:r>
      <w:r w:rsidR="00D90322" w:rsidRPr="0019563D">
        <w:rPr>
          <w:sz w:val="28"/>
          <w:szCs w:val="28"/>
        </w:rPr>
        <w:t xml:space="preserve">They cited, among others, the Authority and the Minister of Finance as respondents. </w:t>
      </w:r>
      <w:r w:rsidR="00361306" w:rsidRPr="0019563D">
        <w:rPr>
          <w:sz w:val="28"/>
          <w:szCs w:val="28"/>
        </w:rPr>
        <w:t>Before the high court, the challenge to s</w:t>
      </w:r>
      <w:r w:rsidR="00C43F4E" w:rsidRPr="0019563D">
        <w:rPr>
          <w:sz w:val="28"/>
          <w:szCs w:val="28"/>
        </w:rPr>
        <w:t> </w:t>
      </w:r>
      <w:r w:rsidR="00361306" w:rsidRPr="0019563D">
        <w:rPr>
          <w:sz w:val="28"/>
          <w:szCs w:val="28"/>
        </w:rPr>
        <w:t>230 was not persisted with. The high court dismissed the application. With</w:t>
      </w:r>
      <w:r w:rsidR="0044601A" w:rsidRPr="0019563D">
        <w:rPr>
          <w:sz w:val="28"/>
          <w:szCs w:val="28"/>
        </w:rPr>
        <w:t xml:space="preserve"> its</w:t>
      </w:r>
      <w:r w:rsidR="00361306" w:rsidRPr="0019563D">
        <w:rPr>
          <w:sz w:val="28"/>
          <w:szCs w:val="28"/>
        </w:rPr>
        <w:t xml:space="preserve"> leave, Fusion and the Beckers now appeal to this Court.</w:t>
      </w:r>
      <w:r w:rsidR="00D90322" w:rsidRPr="0019563D">
        <w:rPr>
          <w:sz w:val="28"/>
          <w:szCs w:val="28"/>
        </w:rPr>
        <w:t xml:space="preserve"> The Authority and the Minister of Finance oppose the appeal and seek its dismissal. While this litigation has been engaged, the Authority has not taken a final decision to impose an administrative penalty or make a debarment order.</w:t>
      </w:r>
    </w:p>
    <w:p w14:paraId="3C5F433B" w14:textId="77777777" w:rsidR="00D90322" w:rsidRPr="0019563D" w:rsidRDefault="00D90322" w:rsidP="00C43F4E">
      <w:pPr>
        <w:rPr>
          <w:sz w:val="28"/>
          <w:szCs w:val="28"/>
        </w:rPr>
      </w:pPr>
    </w:p>
    <w:p w14:paraId="4A35F59F" w14:textId="5481AE6D" w:rsidR="00361306" w:rsidRPr="0019563D" w:rsidRDefault="00361306" w:rsidP="00361306">
      <w:pPr>
        <w:rPr>
          <w:b/>
          <w:bCs/>
          <w:sz w:val="28"/>
          <w:szCs w:val="28"/>
        </w:rPr>
      </w:pPr>
      <w:r w:rsidRPr="0019563D">
        <w:rPr>
          <w:b/>
          <w:bCs/>
          <w:sz w:val="28"/>
          <w:szCs w:val="28"/>
        </w:rPr>
        <w:t>The issues on appeal</w:t>
      </w:r>
    </w:p>
    <w:p w14:paraId="359C4ECE" w14:textId="38713AAA" w:rsidR="00361306" w:rsidRPr="0019563D" w:rsidRDefault="007A4195" w:rsidP="007A4195">
      <w:pPr>
        <w:rPr>
          <w:sz w:val="28"/>
          <w:szCs w:val="28"/>
        </w:rPr>
      </w:pPr>
      <w:r w:rsidRPr="0019563D">
        <w:rPr>
          <w:sz w:val="28"/>
          <w:szCs w:val="28"/>
        </w:rPr>
        <w:t>[4]</w:t>
      </w:r>
      <w:r w:rsidRPr="0019563D">
        <w:rPr>
          <w:sz w:val="28"/>
          <w:szCs w:val="28"/>
        </w:rPr>
        <w:tab/>
      </w:r>
      <w:r w:rsidR="00361306" w:rsidRPr="0019563D">
        <w:rPr>
          <w:sz w:val="28"/>
          <w:szCs w:val="28"/>
        </w:rPr>
        <w:t xml:space="preserve">In oral argument before us, counsel for Fusion and the Beckers, commendably, simplified their challenge on appeal. First, they no longer challenge </w:t>
      </w:r>
      <w:r w:rsidR="00361306" w:rsidRPr="0019563D">
        <w:rPr>
          <w:sz w:val="28"/>
          <w:szCs w:val="28"/>
        </w:rPr>
        <w:lastRenderedPageBreak/>
        <w:t>the impugned provisions on the basis that they infringe s</w:t>
      </w:r>
      <w:r w:rsidR="00E1244F" w:rsidRPr="0019563D">
        <w:rPr>
          <w:sz w:val="28"/>
          <w:szCs w:val="28"/>
        </w:rPr>
        <w:t> </w:t>
      </w:r>
      <w:r w:rsidR="00361306" w:rsidRPr="0019563D">
        <w:rPr>
          <w:sz w:val="28"/>
          <w:szCs w:val="28"/>
        </w:rPr>
        <w:t xml:space="preserve">22 of the Constitution. Second, they draw a distinction between the finding of the Authority that there has been a contravention of a financial sector law and the appropriate sanctions that should be imposed, upon such a finding having been made. </w:t>
      </w:r>
    </w:p>
    <w:p w14:paraId="2954926A" w14:textId="77777777" w:rsidR="0075618B" w:rsidRPr="0019563D" w:rsidRDefault="0075618B" w:rsidP="0075618B">
      <w:pPr>
        <w:rPr>
          <w:sz w:val="28"/>
          <w:szCs w:val="28"/>
        </w:rPr>
      </w:pPr>
    </w:p>
    <w:p w14:paraId="248E4CB5" w14:textId="64980E80" w:rsidR="00361306" w:rsidRPr="0019563D" w:rsidRDefault="007A4195" w:rsidP="007A4195">
      <w:pPr>
        <w:rPr>
          <w:sz w:val="28"/>
          <w:szCs w:val="28"/>
        </w:rPr>
      </w:pPr>
      <w:r w:rsidRPr="0019563D">
        <w:rPr>
          <w:sz w:val="28"/>
          <w:szCs w:val="28"/>
        </w:rPr>
        <w:t>[5]</w:t>
      </w:r>
      <w:r w:rsidRPr="0019563D">
        <w:rPr>
          <w:sz w:val="28"/>
          <w:szCs w:val="28"/>
        </w:rPr>
        <w:tab/>
      </w:r>
      <w:r w:rsidR="00361306" w:rsidRPr="0019563D">
        <w:rPr>
          <w:sz w:val="28"/>
          <w:szCs w:val="28"/>
        </w:rPr>
        <w:t>Third, the challenge they make is directed, in the first place, to the scheme of the Act in terms of which the Authority makes a finding of a contravention of a financial sector law. Fusion and the Beckers contend that the Act does not permit them a hearing in respect of this finding. That</w:t>
      </w:r>
      <w:r w:rsidR="00F03EDA" w:rsidRPr="0019563D">
        <w:rPr>
          <w:sz w:val="28"/>
          <w:szCs w:val="28"/>
        </w:rPr>
        <w:t xml:space="preserve">, they </w:t>
      </w:r>
      <w:r w:rsidR="00E15623" w:rsidRPr="0019563D">
        <w:rPr>
          <w:sz w:val="28"/>
          <w:szCs w:val="28"/>
        </w:rPr>
        <w:t>contend</w:t>
      </w:r>
      <w:r w:rsidR="00F03EDA" w:rsidRPr="0019563D">
        <w:rPr>
          <w:sz w:val="28"/>
          <w:szCs w:val="28"/>
        </w:rPr>
        <w:t>,</w:t>
      </w:r>
      <w:r w:rsidR="00361306" w:rsidRPr="0019563D">
        <w:rPr>
          <w:sz w:val="28"/>
          <w:szCs w:val="28"/>
        </w:rPr>
        <w:t xml:space="preserve"> is unfair and constitutes an infringeme</w:t>
      </w:r>
      <w:r w:rsidR="0075618B" w:rsidRPr="0019563D">
        <w:rPr>
          <w:sz w:val="28"/>
          <w:szCs w:val="28"/>
        </w:rPr>
        <w:t>nt of s</w:t>
      </w:r>
      <w:r w:rsidR="00E1244F" w:rsidRPr="0019563D">
        <w:rPr>
          <w:sz w:val="28"/>
          <w:szCs w:val="28"/>
        </w:rPr>
        <w:t> </w:t>
      </w:r>
      <w:r w:rsidR="0075618B" w:rsidRPr="0019563D">
        <w:rPr>
          <w:sz w:val="28"/>
          <w:szCs w:val="28"/>
        </w:rPr>
        <w:t>33 of the Constitution.</w:t>
      </w:r>
    </w:p>
    <w:p w14:paraId="74BDD89C" w14:textId="77777777" w:rsidR="0075618B" w:rsidRPr="0019563D" w:rsidRDefault="0075618B" w:rsidP="0075618B">
      <w:pPr>
        <w:rPr>
          <w:sz w:val="28"/>
          <w:szCs w:val="28"/>
        </w:rPr>
      </w:pPr>
    </w:p>
    <w:p w14:paraId="448C0203" w14:textId="0701A15D" w:rsidR="00361306" w:rsidRPr="0019563D" w:rsidRDefault="007A4195" w:rsidP="007A4195">
      <w:pPr>
        <w:rPr>
          <w:sz w:val="28"/>
          <w:szCs w:val="28"/>
        </w:rPr>
      </w:pPr>
      <w:r w:rsidRPr="0019563D">
        <w:rPr>
          <w:sz w:val="28"/>
          <w:szCs w:val="28"/>
        </w:rPr>
        <w:t>[6]</w:t>
      </w:r>
      <w:r w:rsidRPr="0019563D">
        <w:rPr>
          <w:sz w:val="28"/>
          <w:szCs w:val="28"/>
        </w:rPr>
        <w:tab/>
      </w:r>
      <w:r w:rsidR="00361306" w:rsidRPr="0019563D">
        <w:rPr>
          <w:sz w:val="28"/>
          <w:szCs w:val="28"/>
        </w:rPr>
        <w:t>Fourth, when the Authority comes to decide upon the appropriate sanctions that should be imposed upon persons found to have contravened a financial sector law, here a different kind of unfairness arises. The Authority is not an impartial and independent tribunal</w:t>
      </w:r>
      <w:r w:rsidR="00D3005B" w:rsidRPr="0019563D">
        <w:rPr>
          <w:sz w:val="28"/>
          <w:szCs w:val="28"/>
        </w:rPr>
        <w:t>,</w:t>
      </w:r>
      <w:r w:rsidR="00361306" w:rsidRPr="0019563D">
        <w:rPr>
          <w:sz w:val="28"/>
          <w:szCs w:val="28"/>
        </w:rPr>
        <w:t xml:space="preserve"> and hence the power of the Authority to impose an administrative penalty and order disbarment offends s</w:t>
      </w:r>
      <w:r w:rsidR="00101C96" w:rsidRPr="0019563D">
        <w:rPr>
          <w:sz w:val="28"/>
          <w:szCs w:val="28"/>
        </w:rPr>
        <w:t> </w:t>
      </w:r>
      <w:r w:rsidR="00361306" w:rsidRPr="0019563D">
        <w:rPr>
          <w:sz w:val="28"/>
          <w:szCs w:val="28"/>
        </w:rPr>
        <w:t>34 of the Constitution.</w:t>
      </w:r>
    </w:p>
    <w:p w14:paraId="20860E2A" w14:textId="77777777" w:rsidR="00E15623" w:rsidRPr="0019563D" w:rsidRDefault="00E15623" w:rsidP="00E15623">
      <w:pPr>
        <w:rPr>
          <w:sz w:val="28"/>
          <w:szCs w:val="28"/>
        </w:rPr>
      </w:pPr>
    </w:p>
    <w:p w14:paraId="0B99314E" w14:textId="076D4BCD" w:rsidR="00361306" w:rsidRPr="0019563D" w:rsidRDefault="007A4195" w:rsidP="007A4195">
      <w:pPr>
        <w:rPr>
          <w:sz w:val="28"/>
          <w:szCs w:val="28"/>
        </w:rPr>
      </w:pPr>
      <w:r w:rsidRPr="0019563D">
        <w:rPr>
          <w:sz w:val="28"/>
          <w:szCs w:val="28"/>
        </w:rPr>
        <w:t>[7]</w:t>
      </w:r>
      <w:r w:rsidRPr="0019563D">
        <w:rPr>
          <w:sz w:val="28"/>
          <w:szCs w:val="28"/>
        </w:rPr>
        <w:tab/>
      </w:r>
      <w:r w:rsidR="00361306" w:rsidRPr="0019563D">
        <w:rPr>
          <w:sz w:val="28"/>
          <w:szCs w:val="28"/>
        </w:rPr>
        <w:t>Fifth, if we do not find that the challenge</w:t>
      </w:r>
      <w:r w:rsidR="00101C96" w:rsidRPr="0019563D">
        <w:rPr>
          <w:sz w:val="28"/>
          <w:szCs w:val="28"/>
        </w:rPr>
        <w:t>,</w:t>
      </w:r>
      <w:r w:rsidR="00361306" w:rsidRPr="0019563D">
        <w:rPr>
          <w:sz w:val="28"/>
          <w:szCs w:val="28"/>
        </w:rPr>
        <w:t xml:space="preserve"> predicat</w:t>
      </w:r>
      <w:r w:rsidR="00101C96" w:rsidRPr="0019563D">
        <w:rPr>
          <w:sz w:val="28"/>
          <w:szCs w:val="28"/>
        </w:rPr>
        <w:t>ed</w:t>
      </w:r>
      <w:r w:rsidR="00361306" w:rsidRPr="0019563D">
        <w:rPr>
          <w:sz w:val="28"/>
          <w:szCs w:val="28"/>
        </w:rPr>
        <w:t xml:space="preserve"> upon s</w:t>
      </w:r>
      <w:r w:rsidR="00101C96" w:rsidRPr="0019563D">
        <w:rPr>
          <w:sz w:val="28"/>
          <w:szCs w:val="28"/>
        </w:rPr>
        <w:t> </w:t>
      </w:r>
      <w:r w:rsidR="00361306" w:rsidRPr="0019563D">
        <w:rPr>
          <w:sz w:val="28"/>
          <w:szCs w:val="28"/>
        </w:rPr>
        <w:t>33 of the Constitution</w:t>
      </w:r>
      <w:r w:rsidR="00101C96" w:rsidRPr="0019563D">
        <w:rPr>
          <w:sz w:val="28"/>
          <w:szCs w:val="28"/>
        </w:rPr>
        <w:t>,</w:t>
      </w:r>
      <w:r w:rsidR="00361306" w:rsidRPr="0019563D">
        <w:rPr>
          <w:sz w:val="28"/>
          <w:szCs w:val="28"/>
        </w:rPr>
        <w:t xml:space="preserve"> is </w:t>
      </w:r>
      <w:r w:rsidR="00101C96" w:rsidRPr="0019563D">
        <w:rPr>
          <w:sz w:val="28"/>
          <w:szCs w:val="28"/>
        </w:rPr>
        <w:t>valid</w:t>
      </w:r>
      <w:r w:rsidR="00361306" w:rsidRPr="0019563D">
        <w:rPr>
          <w:sz w:val="28"/>
          <w:szCs w:val="28"/>
        </w:rPr>
        <w:t>, then Fusion and the Beckers do not persist in their challenge under s</w:t>
      </w:r>
      <w:r w:rsidR="00E1244F" w:rsidRPr="0019563D">
        <w:rPr>
          <w:sz w:val="28"/>
          <w:szCs w:val="28"/>
        </w:rPr>
        <w:t> </w:t>
      </w:r>
      <w:r w:rsidR="00361306" w:rsidRPr="0019563D">
        <w:rPr>
          <w:sz w:val="28"/>
          <w:szCs w:val="28"/>
        </w:rPr>
        <w:t>34.</w:t>
      </w:r>
    </w:p>
    <w:p w14:paraId="62C2B633" w14:textId="77777777" w:rsidR="00101C96" w:rsidRPr="0019563D" w:rsidRDefault="00101C96" w:rsidP="00101C96">
      <w:pPr>
        <w:rPr>
          <w:sz w:val="28"/>
          <w:szCs w:val="28"/>
        </w:rPr>
      </w:pPr>
    </w:p>
    <w:p w14:paraId="5852FCCE" w14:textId="349713F5" w:rsidR="00F251EE" w:rsidRPr="0019563D" w:rsidRDefault="00F03EDA" w:rsidP="00F251EE">
      <w:pPr>
        <w:rPr>
          <w:b/>
          <w:bCs/>
          <w:sz w:val="28"/>
          <w:szCs w:val="28"/>
        </w:rPr>
      </w:pPr>
      <w:r w:rsidRPr="0019563D">
        <w:rPr>
          <w:b/>
          <w:bCs/>
          <w:sz w:val="28"/>
          <w:szCs w:val="28"/>
        </w:rPr>
        <w:t>The fairness challenge</w:t>
      </w:r>
    </w:p>
    <w:p w14:paraId="640BDD65" w14:textId="75E5AEBC" w:rsidR="00F251EE" w:rsidRPr="0019563D" w:rsidRDefault="007A4195" w:rsidP="007A4195">
      <w:pPr>
        <w:rPr>
          <w:sz w:val="28"/>
          <w:szCs w:val="28"/>
        </w:rPr>
      </w:pPr>
      <w:r w:rsidRPr="0019563D">
        <w:rPr>
          <w:sz w:val="28"/>
          <w:szCs w:val="28"/>
        </w:rPr>
        <w:t>[8]</w:t>
      </w:r>
      <w:r w:rsidRPr="0019563D">
        <w:rPr>
          <w:sz w:val="28"/>
          <w:szCs w:val="28"/>
        </w:rPr>
        <w:tab/>
      </w:r>
      <w:r w:rsidR="00F03EDA" w:rsidRPr="0019563D">
        <w:rPr>
          <w:sz w:val="28"/>
          <w:szCs w:val="28"/>
        </w:rPr>
        <w:t>Fusion and the Beckers challenge the constitutional validity of the powers enjoyed by the Authority</w:t>
      </w:r>
      <w:r w:rsidR="00101C96" w:rsidRPr="0019563D">
        <w:rPr>
          <w:sz w:val="28"/>
          <w:szCs w:val="28"/>
        </w:rPr>
        <w:t>,</w:t>
      </w:r>
      <w:r w:rsidR="00F03EDA" w:rsidRPr="0019563D">
        <w:rPr>
          <w:sz w:val="28"/>
          <w:szCs w:val="28"/>
        </w:rPr>
        <w:t xml:space="preserve"> in terms of the Act</w:t>
      </w:r>
      <w:r w:rsidR="00101C96" w:rsidRPr="0019563D">
        <w:rPr>
          <w:sz w:val="28"/>
          <w:szCs w:val="28"/>
        </w:rPr>
        <w:t>,</w:t>
      </w:r>
      <w:r w:rsidR="00F03EDA" w:rsidRPr="0019563D">
        <w:rPr>
          <w:sz w:val="28"/>
          <w:szCs w:val="28"/>
        </w:rPr>
        <w:t xml:space="preserve"> to make a debarment order and impose administrative penalties. Section 154 sets out the consultation requirements with which the Authority must comply</w:t>
      </w:r>
      <w:r w:rsidR="00101C96" w:rsidRPr="0019563D">
        <w:rPr>
          <w:sz w:val="28"/>
          <w:szCs w:val="28"/>
        </w:rPr>
        <w:t>,</w:t>
      </w:r>
      <w:r w:rsidR="00F03EDA" w:rsidRPr="0019563D">
        <w:rPr>
          <w:sz w:val="28"/>
          <w:szCs w:val="28"/>
        </w:rPr>
        <w:t xml:space="preserve"> before making a debarment order in respect of a natural person. The Authority must give a draft of the debarment order to the person </w:t>
      </w:r>
      <w:r w:rsidR="00F03EDA" w:rsidRPr="0019563D">
        <w:rPr>
          <w:sz w:val="28"/>
          <w:szCs w:val="28"/>
        </w:rPr>
        <w:lastRenderedPageBreak/>
        <w:t>affected; provide reasons and other relevant information about the proposed debarment; and invite the person to make submissions ‘on the matter, and give the person a reasonable period to do so’. Section 154(3) then provides as follows:</w:t>
      </w:r>
    </w:p>
    <w:p w14:paraId="2B6F09D4" w14:textId="77777777" w:rsidR="009E3C5A" w:rsidRPr="0019563D" w:rsidRDefault="009E3C5A" w:rsidP="009E3C5A">
      <w:r w:rsidRPr="0019563D">
        <w:t>‘In deciding whether or not to make a debarment order in respect of a natural person, the responsible authority must take into account at least –</w:t>
      </w:r>
    </w:p>
    <w:p w14:paraId="5DD8CF2C" w14:textId="2BABB905" w:rsidR="009E3C5A" w:rsidRPr="0019563D" w:rsidRDefault="007A4195" w:rsidP="007A4195">
      <w:pPr>
        <w:tabs>
          <w:tab w:val="left" w:pos="270"/>
        </w:tabs>
        <w:ind w:left="450" w:hanging="166"/>
      </w:pPr>
      <w:r w:rsidRPr="0019563D">
        <w:t>(a)</w:t>
      </w:r>
      <w:r w:rsidRPr="0019563D">
        <w:tab/>
      </w:r>
      <w:r w:rsidR="009E3C5A" w:rsidRPr="0019563D">
        <w:t>the submissions made by, or on behalf of, the person; and</w:t>
      </w:r>
    </w:p>
    <w:p w14:paraId="6190BDEC" w14:textId="09F0D312" w:rsidR="009E3C5A" w:rsidRPr="0019563D" w:rsidRDefault="007A4195" w:rsidP="007A4195">
      <w:pPr>
        <w:tabs>
          <w:tab w:val="left" w:pos="270"/>
        </w:tabs>
        <w:ind w:left="709" w:hanging="425"/>
      </w:pPr>
      <w:r w:rsidRPr="0019563D">
        <w:t>(b)</w:t>
      </w:r>
      <w:r w:rsidRPr="0019563D">
        <w:tab/>
      </w:r>
      <w:r w:rsidR="009E3C5A" w:rsidRPr="0019563D">
        <w:t>any advice from the other financial sector regulator.’</w:t>
      </w:r>
    </w:p>
    <w:p w14:paraId="299A394A" w14:textId="77777777" w:rsidR="009E3C5A" w:rsidRPr="0019563D" w:rsidRDefault="009E3C5A" w:rsidP="009E3C5A">
      <w:pPr>
        <w:rPr>
          <w:sz w:val="28"/>
          <w:szCs w:val="28"/>
        </w:rPr>
      </w:pPr>
    </w:p>
    <w:p w14:paraId="6FB255A0" w14:textId="692FA450" w:rsidR="00F03EDA" w:rsidRPr="0019563D" w:rsidRDefault="007A4195" w:rsidP="007A4195">
      <w:pPr>
        <w:rPr>
          <w:sz w:val="28"/>
          <w:szCs w:val="28"/>
        </w:rPr>
      </w:pPr>
      <w:r w:rsidRPr="0019563D">
        <w:rPr>
          <w:sz w:val="28"/>
          <w:szCs w:val="28"/>
        </w:rPr>
        <w:t>[9]</w:t>
      </w:r>
      <w:r w:rsidRPr="0019563D">
        <w:rPr>
          <w:sz w:val="28"/>
          <w:szCs w:val="28"/>
        </w:rPr>
        <w:tab/>
      </w:r>
      <w:r w:rsidR="00F03EDA" w:rsidRPr="0019563D">
        <w:rPr>
          <w:sz w:val="28"/>
          <w:szCs w:val="28"/>
        </w:rPr>
        <w:t>Section 167(1) of the Act empowers the Authority to impose an administrative penalty upon a person if they have contravened a financial sector law. Section 167(2) sets out the matters that the Authority must</w:t>
      </w:r>
      <w:r w:rsidR="00D3005B" w:rsidRPr="0019563D">
        <w:rPr>
          <w:sz w:val="28"/>
          <w:szCs w:val="28"/>
        </w:rPr>
        <w:t xml:space="preserve">, </w:t>
      </w:r>
      <w:r w:rsidR="00F03EDA" w:rsidRPr="0019563D">
        <w:rPr>
          <w:sz w:val="28"/>
          <w:szCs w:val="28"/>
        </w:rPr>
        <w:t>and those that they may</w:t>
      </w:r>
      <w:r w:rsidR="00D3005B" w:rsidRPr="0019563D">
        <w:rPr>
          <w:sz w:val="28"/>
          <w:szCs w:val="28"/>
        </w:rPr>
        <w:t>,</w:t>
      </w:r>
      <w:r w:rsidR="00F03EDA" w:rsidRPr="0019563D">
        <w:rPr>
          <w:sz w:val="28"/>
          <w:szCs w:val="28"/>
        </w:rPr>
        <w:t xml:space="preserve"> have regard to in determining an appropriate administrative penalty for particular conduct. The Authority must have regard to ‘any submissions by, or on behalf of, the person that is relevant to the matter, including mitigating factors referred to in those submissions’ (s</w:t>
      </w:r>
      <w:r w:rsidR="00E1244F" w:rsidRPr="0019563D">
        <w:rPr>
          <w:sz w:val="28"/>
          <w:szCs w:val="28"/>
        </w:rPr>
        <w:t> </w:t>
      </w:r>
      <w:r w:rsidR="00F03EDA" w:rsidRPr="0019563D">
        <w:rPr>
          <w:sz w:val="28"/>
          <w:szCs w:val="28"/>
        </w:rPr>
        <w:t>167(2)</w:t>
      </w:r>
      <w:r w:rsidR="00F03EDA" w:rsidRPr="0019563D">
        <w:rPr>
          <w:i/>
          <w:sz w:val="28"/>
          <w:szCs w:val="28"/>
        </w:rPr>
        <w:t>(a)</w:t>
      </w:r>
      <w:r w:rsidR="00F03EDA" w:rsidRPr="0019563D">
        <w:rPr>
          <w:sz w:val="28"/>
          <w:szCs w:val="28"/>
        </w:rPr>
        <w:t>(iii)).</w:t>
      </w:r>
    </w:p>
    <w:p w14:paraId="1C524712" w14:textId="77777777" w:rsidR="00F251EE" w:rsidRPr="0019563D" w:rsidRDefault="00F251EE" w:rsidP="00F251EE">
      <w:pPr>
        <w:rPr>
          <w:sz w:val="28"/>
          <w:szCs w:val="28"/>
        </w:rPr>
      </w:pPr>
    </w:p>
    <w:p w14:paraId="4F32D84F" w14:textId="5EB537EF" w:rsidR="00F251EE" w:rsidRPr="0019563D" w:rsidRDefault="007A4195" w:rsidP="007A4195">
      <w:pPr>
        <w:rPr>
          <w:sz w:val="28"/>
          <w:szCs w:val="28"/>
        </w:rPr>
      </w:pPr>
      <w:r w:rsidRPr="0019563D">
        <w:rPr>
          <w:sz w:val="28"/>
          <w:szCs w:val="28"/>
        </w:rPr>
        <w:t>[10]</w:t>
      </w:r>
      <w:r w:rsidRPr="0019563D">
        <w:rPr>
          <w:sz w:val="28"/>
          <w:szCs w:val="28"/>
        </w:rPr>
        <w:tab/>
      </w:r>
      <w:r w:rsidR="003B4568" w:rsidRPr="0019563D">
        <w:rPr>
          <w:sz w:val="28"/>
          <w:szCs w:val="28"/>
        </w:rPr>
        <w:t xml:space="preserve">The </w:t>
      </w:r>
      <w:r w:rsidR="00D90322" w:rsidRPr="0019563D">
        <w:rPr>
          <w:sz w:val="28"/>
          <w:szCs w:val="28"/>
        </w:rPr>
        <w:t xml:space="preserve">constitutional </w:t>
      </w:r>
      <w:r w:rsidR="003B4568" w:rsidRPr="0019563D">
        <w:rPr>
          <w:sz w:val="28"/>
          <w:szCs w:val="28"/>
        </w:rPr>
        <w:t xml:space="preserve">challenge </w:t>
      </w:r>
      <w:r w:rsidR="00D90322" w:rsidRPr="0019563D">
        <w:rPr>
          <w:sz w:val="28"/>
          <w:szCs w:val="28"/>
        </w:rPr>
        <w:t>of</w:t>
      </w:r>
      <w:r w:rsidR="003B4568" w:rsidRPr="0019563D">
        <w:rPr>
          <w:sz w:val="28"/>
          <w:szCs w:val="28"/>
        </w:rPr>
        <w:t xml:space="preserve"> Fusion and the Beckers</w:t>
      </w:r>
      <w:r w:rsidR="00472BF6" w:rsidRPr="0019563D">
        <w:rPr>
          <w:sz w:val="28"/>
          <w:szCs w:val="28"/>
        </w:rPr>
        <w:t>,</w:t>
      </w:r>
      <w:r w:rsidR="003B4568" w:rsidRPr="0019563D">
        <w:rPr>
          <w:sz w:val="28"/>
          <w:szCs w:val="28"/>
        </w:rPr>
        <w:t xml:space="preserve"> </w:t>
      </w:r>
      <w:r w:rsidR="007F4FA4" w:rsidRPr="0019563D">
        <w:rPr>
          <w:sz w:val="28"/>
          <w:szCs w:val="28"/>
        </w:rPr>
        <w:t xml:space="preserve">regarding </w:t>
      </w:r>
      <w:r w:rsidR="003B4568" w:rsidRPr="0019563D">
        <w:rPr>
          <w:sz w:val="28"/>
          <w:szCs w:val="28"/>
        </w:rPr>
        <w:t>the power of the Authority to make a debarment order and impose an administrative penalty</w:t>
      </w:r>
      <w:r w:rsidR="00472BF6" w:rsidRPr="0019563D">
        <w:rPr>
          <w:sz w:val="28"/>
          <w:szCs w:val="28"/>
        </w:rPr>
        <w:t>,</w:t>
      </w:r>
      <w:r w:rsidR="003B4568" w:rsidRPr="0019563D">
        <w:rPr>
          <w:sz w:val="28"/>
          <w:szCs w:val="28"/>
        </w:rPr>
        <w:t xml:space="preserve"> has undergone some refinement. Their challenge was ultimately cast in the following way. Sections 154 and 167 afford a right to those who might be subject to sanction to make submissions to the Authority, and the Authority is required to consider those submissions before deciding whether or not to exercise its powers of sanction. But this is inadequate protection. Section 33(1) of the Constitution provides that everyone has the right to administrative action that is lawful, reasonable and procedurally fair. While ss 154 and 167 provide for those at risk of sanction to make submissions before the Authority determines whether to impose a sanction, there is no like procedural fairness that is accorded to persons under the Act whose conduct </w:t>
      </w:r>
      <w:r w:rsidR="003B4568" w:rsidRPr="0019563D">
        <w:rPr>
          <w:sz w:val="28"/>
          <w:szCs w:val="28"/>
        </w:rPr>
        <w:lastRenderedPageBreak/>
        <w:t>has been found by the Authority to have contravened a financial sector law. Such a finding is the jurisdictional predicate for the exercise of powers by the Authority to impose a sanction, whether by imposing an administrative penalty or making a debarment order. Yet, so it was contended, the competence of the Authority to decide whether a contravention of a financial sector law has taken place is unconstrained by the obligation to invite submissions from the person who is alleged to have acted i</w:t>
      </w:r>
      <w:r w:rsidR="007A5896" w:rsidRPr="0019563D">
        <w:rPr>
          <w:sz w:val="28"/>
          <w:szCs w:val="28"/>
        </w:rPr>
        <w:t>n contravention of the law, and</w:t>
      </w:r>
      <w:r w:rsidR="00D3005B" w:rsidRPr="0019563D">
        <w:rPr>
          <w:sz w:val="28"/>
          <w:szCs w:val="28"/>
        </w:rPr>
        <w:t xml:space="preserve"> only </w:t>
      </w:r>
      <w:r w:rsidR="003B4568" w:rsidRPr="0019563D">
        <w:rPr>
          <w:sz w:val="28"/>
          <w:szCs w:val="28"/>
        </w:rPr>
        <w:t>then</w:t>
      </w:r>
      <w:r w:rsidR="00D3005B" w:rsidRPr="0019563D">
        <w:rPr>
          <w:sz w:val="28"/>
          <w:szCs w:val="28"/>
        </w:rPr>
        <w:t xml:space="preserve"> </w:t>
      </w:r>
      <w:r w:rsidR="003B4568" w:rsidRPr="0019563D">
        <w:rPr>
          <w:sz w:val="28"/>
          <w:szCs w:val="28"/>
        </w:rPr>
        <w:t>to determine whether there has been a contravention, taking account of these submissions. This want of constraint upon the exercise of the Authority’s power is an infringement of the rights of Fusion and the Beckers to procedural fairness</w:t>
      </w:r>
      <w:r w:rsidR="000F2A13" w:rsidRPr="0019563D">
        <w:rPr>
          <w:sz w:val="28"/>
          <w:szCs w:val="28"/>
        </w:rPr>
        <w:t>,</w:t>
      </w:r>
      <w:r w:rsidR="003B4568" w:rsidRPr="0019563D">
        <w:rPr>
          <w:sz w:val="28"/>
          <w:szCs w:val="28"/>
        </w:rPr>
        <w:t xml:space="preserve"> </w:t>
      </w:r>
      <w:r w:rsidR="000F2A13" w:rsidRPr="0019563D">
        <w:rPr>
          <w:sz w:val="28"/>
          <w:szCs w:val="28"/>
        </w:rPr>
        <w:t xml:space="preserve">recognised in </w:t>
      </w:r>
      <w:r w:rsidR="003B4568" w:rsidRPr="0019563D">
        <w:rPr>
          <w:sz w:val="28"/>
          <w:szCs w:val="28"/>
        </w:rPr>
        <w:t>s</w:t>
      </w:r>
      <w:r w:rsidR="007A5896" w:rsidRPr="0019563D">
        <w:rPr>
          <w:sz w:val="28"/>
          <w:szCs w:val="28"/>
        </w:rPr>
        <w:t> </w:t>
      </w:r>
      <w:r w:rsidR="003B4568" w:rsidRPr="0019563D">
        <w:rPr>
          <w:sz w:val="28"/>
          <w:szCs w:val="28"/>
        </w:rPr>
        <w:t>33(1) of the Constitution.</w:t>
      </w:r>
    </w:p>
    <w:p w14:paraId="68289C87" w14:textId="77777777" w:rsidR="000F2A13" w:rsidRPr="0019563D" w:rsidRDefault="000F2A13" w:rsidP="000F2A13">
      <w:pPr>
        <w:rPr>
          <w:sz w:val="28"/>
          <w:szCs w:val="28"/>
        </w:rPr>
      </w:pPr>
    </w:p>
    <w:p w14:paraId="6711CF99" w14:textId="713378FB" w:rsidR="003B4568" w:rsidRPr="0019563D" w:rsidRDefault="007A4195" w:rsidP="007A4195">
      <w:pPr>
        <w:rPr>
          <w:sz w:val="28"/>
          <w:szCs w:val="28"/>
        </w:rPr>
      </w:pPr>
      <w:r w:rsidRPr="0019563D">
        <w:rPr>
          <w:sz w:val="28"/>
          <w:szCs w:val="28"/>
        </w:rPr>
        <w:t>[11]</w:t>
      </w:r>
      <w:r w:rsidRPr="0019563D">
        <w:rPr>
          <w:sz w:val="28"/>
          <w:szCs w:val="28"/>
        </w:rPr>
        <w:tab/>
      </w:r>
      <w:r w:rsidR="00D90322" w:rsidRPr="0019563D">
        <w:rPr>
          <w:sz w:val="28"/>
          <w:szCs w:val="28"/>
        </w:rPr>
        <w:t>Counsel for the Minister of Finance submitted that the constitutional challenge made by Fusion and the Beckers was not open to them because the principle of constitutional subsidiarity provided a complete answer to their challenge. The Promotion of Administrative Justice Act 3 of 2000 (PAJA) was enacted to give effe</w:t>
      </w:r>
      <w:r w:rsidR="007B077C" w:rsidRPr="0019563D">
        <w:rPr>
          <w:sz w:val="28"/>
          <w:szCs w:val="28"/>
        </w:rPr>
        <w:t>ct to the rights protected in s </w:t>
      </w:r>
      <w:r w:rsidR="00D90322" w:rsidRPr="0019563D">
        <w:rPr>
          <w:sz w:val="28"/>
          <w:szCs w:val="28"/>
        </w:rPr>
        <w:t>33 of the Constitution. Where a statute confers power to take administrative action, such action is made subject to the disciplines of PAJA, unless the statute excludes its application or is otherwise inconsistent with PAJA. Absent such exclusion or inconsistency, a statute cannot be directly challenged for its inconsistency with s</w:t>
      </w:r>
      <w:r w:rsidR="000F2A13" w:rsidRPr="0019563D">
        <w:rPr>
          <w:sz w:val="28"/>
          <w:szCs w:val="28"/>
        </w:rPr>
        <w:t> </w:t>
      </w:r>
      <w:r w:rsidR="00D90322" w:rsidRPr="0019563D">
        <w:rPr>
          <w:sz w:val="28"/>
          <w:szCs w:val="28"/>
        </w:rPr>
        <w:t>33 of the Constitution because whatever administrative action the statute empowers</w:t>
      </w:r>
      <w:r w:rsidR="000F2A13" w:rsidRPr="0019563D">
        <w:rPr>
          <w:sz w:val="28"/>
          <w:szCs w:val="28"/>
        </w:rPr>
        <w:t>,</w:t>
      </w:r>
      <w:r w:rsidR="00D90322" w:rsidRPr="0019563D">
        <w:rPr>
          <w:sz w:val="28"/>
          <w:szCs w:val="28"/>
        </w:rPr>
        <w:t xml:space="preserve"> it is subject to the protections of PAJA which, in turn, gives effect to the rights in s</w:t>
      </w:r>
      <w:r w:rsidR="00E1244F" w:rsidRPr="0019563D">
        <w:rPr>
          <w:sz w:val="28"/>
          <w:szCs w:val="28"/>
        </w:rPr>
        <w:t> </w:t>
      </w:r>
      <w:r w:rsidR="00D90322" w:rsidRPr="0019563D">
        <w:rPr>
          <w:sz w:val="28"/>
          <w:szCs w:val="28"/>
        </w:rPr>
        <w:t>33 of the Constitution.</w:t>
      </w:r>
    </w:p>
    <w:p w14:paraId="42496F0B" w14:textId="77777777" w:rsidR="00F251EE" w:rsidRPr="0019563D" w:rsidRDefault="00F251EE" w:rsidP="00973499">
      <w:pPr>
        <w:rPr>
          <w:sz w:val="28"/>
          <w:szCs w:val="28"/>
        </w:rPr>
      </w:pPr>
    </w:p>
    <w:p w14:paraId="7ED659B4" w14:textId="4D4BD4E7" w:rsidR="00F251EE" w:rsidRPr="0019563D" w:rsidRDefault="007A4195" w:rsidP="007A4195">
      <w:pPr>
        <w:rPr>
          <w:sz w:val="28"/>
          <w:szCs w:val="28"/>
        </w:rPr>
      </w:pPr>
      <w:r w:rsidRPr="0019563D">
        <w:rPr>
          <w:sz w:val="28"/>
          <w:szCs w:val="28"/>
        </w:rPr>
        <w:t>[12]</w:t>
      </w:r>
      <w:r w:rsidRPr="0019563D">
        <w:rPr>
          <w:sz w:val="28"/>
          <w:szCs w:val="28"/>
        </w:rPr>
        <w:tab/>
      </w:r>
      <w:r w:rsidR="00D90322" w:rsidRPr="0019563D">
        <w:rPr>
          <w:sz w:val="28"/>
          <w:szCs w:val="28"/>
        </w:rPr>
        <w:t>The principle of subsidiarity was central to the reasoning that led the high</w:t>
      </w:r>
      <w:r w:rsidR="000F2A13" w:rsidRPr="0019563D">
        <w:rPr>
          <w:sz w:val="28"/>
          <w:szCs w:val="28"/>
        </w:rPr>
        <w:t> </w:t>
      </w:r>
      <w:r w:rsidR="00D90322" w:rsidRPr="0019563D">
        <w:rPr>
          <w:sz w:val="28"/>
          <w:szCs w:val="28"/>
        </w:rPr>
        <w:t>court to dismiss the constitutional challenge</w:t>
      </w:r>
      <w:r w:rsidR="00F251EE" w:rsidRPr="0019563D">
        <w:rPr>
          <w:sz w:val="28"/>
          <w:szCs w:val="28"/>
        </w:rPr>
        <w:t>.</w:t>
      </w:r>
      <w:r w:rsidR="00D90322" w:rsidRPr="0019563D">
        <w:rPr>
          <w:sz w:val="28"/>
          <w:szCs w:val="28"/>
        </w:rPr>
        <w:t xml:space="preserve"> Before us, the application of the principle of subsidiarity was debated, and, in particular, the holding of the Constitutional Court in </w:t>
      </w:r>
      <w:r w:rsidR="00D90322" w:rsidRPr="0019563D">
        <w:rPr>
          <w:i/>
          <w:iCs/>
          <w:sz w:val="28"/>
          <w:szCs w:val="28"/>
        </w:rPr>
        <w:t>Zondi</w:t>
      </w:r>
      <w:r w:rsidR="005E52FE" w:rsidRPr="0019563D">
        <w:rPr>
          <w:i/>
          <w:lang w:val="en-US"/>
        </w:rPr>
        <w:t xml:space="preserve"> </w:t>
      </w:r>
      <w:r w:rsidR="005E52FE" w:rsidRPr="0019563D">
        <w:rPr>
          <w:i/>
          <w:iCs/>
          <w:sz w:val="28"/>
          <w:szCs w:val="28"/>
          <w:lang w:val="en-US"/>
        </w:rPr>
        <w:t xml:space="preserve">v Member of the Executive Council for Traditional </w:t>
      </w:r>
      <w:r w:rsidR="005E52FE" w:rsidRPr="0019563D">
        <w:rPr>
          <w:i/>
          <w:iCs/>
          <w:sz w:val="28"/>
          <w:szCs w:val="28"/>
          <w:lang w:val="en-US"/>
        </w:rPr>
        <w:lastRenderedPageBreak/>
        <w:t xml:space="preserve">and Local Affairs &amp; Others </w:t>
      </w:r>
      <w:r w:rsidR="005E52FE" w:rsidRPr="0019563D">
        <w:rPr>
          <w:iCs/>
          <w:sz w:val="28"/>
          <w:szCs w:val="28"/>
          <w:lang w:val="en-US"/>
        </w:rPr>
        <w:t>(</w:t>
      </w:r>
      <w:r w:rsidR="005E52FE" w:rsidRPr="0019563D">
        <w:rPr>
          <w:i/>
          <w:iCs/>
          <w:sz w:val="28"/>
          <w:szCs w:val="28"/>
          <w:lang w:val="en-US"/>
        </w:rPr>
        <w:t>Zondi</w:t>
      </w:r>
      <w:r w:rsidR="005E52FE" w:rsidRPr="0019563D">
        <w:rPr>
          <w:iCs/>
          <w:sz w:val="28"/>
          <w:szCs w:val="28"/>
          <w:lang w:val="en-US"/>
        </w:rPr>
        <w:t>).</w:t>
      </w:r>
      <w:r w:rsidR="00E53E6E" w:rsidRPr="0019563D">
        <w:rPr>
          <w:rStyle w:val="FootnoteReference"/>
          <w:i/>
          <w:iCs/>
          <w:sz w:val="28"/>
          <w:szCs w:val="28"/>
        </w:rPr>
        <w:footnoteReference w:id="1"/>
      </w:r>
      <w:r w:rsidR="00E53E6E" w:rsidRPr="0019563D">
        <w:rPr>
          <w:sz w:val="28"/>
          <w:szCs w:val="28"/>
        </w:rPr>
        <w:t xml:space="preserve"> </w:t>
      </w:r>
      <w:r w:rsidR="00E53E6E" w:rsidRPr="0019563D">
        <w:rPr>
          <w:i/>
          <w:iCs/>
          <w:sz w:val="28"/>
          <w:szCs w:val="28"/>
        </w:rPr>
        <w:t>Zondi</w:t>
      </w:r>
      <w:r w:rsidR="00E53E6E" w:rsidRPr="0019563D">
        <w:rPr>
          <w:sz w:val="28"/>
          <w:szCs w:val="28"/>
        </w:rPr>
        <w:t xml:space="preserve"> requires that before a statute can be found to be inconsistent with s</w:t>
      </w:r>
      <w:r w:rsidR="005E52FE" w:rsidRPr="0019563D">
        <w:rPr>
          <w:sz w:val="28"/>
          <w:szCs w:val="28"/>
        </w:rPr>
        <w:t> </w:t>
      </w:r>
      <w:r w:rsidR="00E53E6E" w:rsidRPr="0019563D">
        <w:rPr>
          <w:sz w:val="28"/>
          <w:szCs w:val="28"/>
        </w:rPr>
        <w:t>33 of the Constitution, the statute must be read with PAJA. Generally, PAJA will be of application to any administrative action that the statute empowers, and hence, no s</w:t>
      </w:r>
      <w:r w:rsidR="005E52FE" w:rsidRPr="0019563D">
        <w:rPr>
          <w:sz w:val="28"/>
          <w:szCs w:val="28"/>
        </w:rPr>
        <w:t> </w:t>
      </w:r>
      <w:r w:rsidR="00E53E6E" w:rsidRPr="0019563D">
        <w:rPr>
          <w:sz w:val="28"/>
          <w:szCs w:val="28"/>
        </w:rPr>
        <w:t>33 inconsistency can arise, unless PAJA is itself deficient in some way in giving effect to the rights in s</w:t>
      </w:r>
      <w:r w:rsidR="005E52FE" w:rsidRPr="0019563D">
        <w:rPr>
          <w:sz w:val="28"/>
          <w:szCs w:val="28"/>
        </w:rPr>
        <w:t> </w:t>
      </w:r>
      <w:r w:rsidR="00E53E6E" w:rsidRPr="0019563D">
        <w:rPr>
          <w:sz w:val="28"/>
          <w:szCs w:val="28"/>
        </w:rPr>
        <w:t>33.</w:t>
      </w:r>
    </w:p>
    <w:p w14:paraId="332B6007" w14:textId="77777777" w:rsidR="00E53E6E" w:rsidRPr="0019563D" w:rsidRDefault="00E53E6E" w:rsidP="00A84A9F">
      <w:pPr>
        <w:rPr>
          <w:sz w:val="28"/>
          <w:szCs w:val="28"/>
        </w:rPr>
      </w:pPr>
    </w:p>
    <w:p w14:paraId="2A73AFC8" w14:textId="337CB6CA" w:rsidR="00E53E6E" w:rsidRPr="0019563D" w:rsidRDefault="007A4195" w:rsidP="007A4195">
      <w:pPr>
        <w:rPr>
          <w:sz w:val="28"/>
          <w:szCs w:val="28"/>
        </w:rPr>
      </w:pPr>
      <w:r w:rsidRPr="0019563D">
        <w:rPr>
          <w:sz w:val="28"/>
          <w:szCs w:val="28"/>
        </w:rPr>
        <w:t>[13]</w:t>
      </w:r>
      <w:r w:rsidRPr="0019563D">
        <w:rPr>
          <w:sz w:val="28"/>
          <w:szCs w:val="28"/>
        </w:rPr>
        <w:tab/>
      </w:r>
      <w:r w:rsidR="00E24D95" w:rsidRPr="0019563D">
        <w:rPr>
          <w:sz w:val="28"/>
          <w:szCs w:val="28"/>
        </w:rPr>
        <w:t>W</w:t>
      </w:r>
      <w:r w:rsidR="00E53E6E" w:rsidRPr="0019563D">
        <w:rPr>
          <w:sz w:val="28"/>
          <w:szCs w:val="28"/>
        </w:rPr>
        <w:t xml:space="preserve">hat </w:t>
      </w:r>
      <w:r w:rsidR="00E53E6E" w:rsidRPr="0019563D">
        <w:rPr>
          <w:i/>
          <w:iCs/>
          <w:sz w:val="28"/>
          <w:szCs w:val="28"/>
        </w:rPr>
        <w:t xml:space="preserve">Zondi </w:t>
      </w:r>
      <w:r w:rsidR="00E53E6E" w:rsidRPr="0019563D">
        <w:rPr>
          <w:sz w:val="28"/>
          <w:szCs w:val="28"/>
        </w:rPr>
        <w:t>requires is that we read the Act with PAJA. Fusion and the Beckers contend that the Act excludes their right to procedural fairness when the Authority determines whether they have contravened a financial sector law. Whether that is the correct interpretation of the Act is a matter to which I will come. However, that is the cause of action upon</w:t>
      </w:r>
      <w:r w:rsidR="00A84A9F" w:rsidRPr="0019563D">
        <w:rPr>
          <w:sz w:val="28"/>
          <w:szCs w:val="28"/>
        </w:rPr>
        <w:t xml:space="preserve"> which they rely. If the Act is</w:t>
      </w:r>
      <w:r w:rsidR="00E53E6E" w:rsidRPr="0019563D">
        <w:rPr>
          <w:sz w:val="28"/>
          <w:szCs w:val="28"/>
        </w:rPr>
        <w:t xml:space="preserve"> interpreted as Fusion and the Beckers submit it should be, then the Act would be subject to a direct challenge under s</w:t>
      </w:r>
      <w:r w:rsidR="005E52FE" w:rsidRPr="0019563D">
        <w:rPr>
          <w:sz w:val="28"/>
          <w:szCs w:val="28"/>
        </w:rPr>
        <w:t> </w:t>
      </w:r>
      <w:r w:rsidR="00E53E6E" w:rsidRPr="0019563D">
        <w:rPr>
          <w:sz w:val="28"/>
          <w:szCs w:val="28"/>
        </w:rPr>
        <w:t>33 because PAJA would have been found to be of no application to the exercise of powers by the Authority</w:t>
      </w:r>
      <w:r w:rsidR="00D3005B" w:rsidRPr="0019563D">
        <w:rPr>
          <w:sz w:val="28"/>
          <w:szCs w:val="28"/>
        </w:rPr>
        <w:t xml:space="preserve"> in determining </w:t>
      </w:r>
      <w:r w:rsidR="00E53E6E" w:rsidRPr="0019563D">
        <w:rPr>
          <w:sz w:val="28"/>
          <w:szCs w:val="28"/>
        </w:rPr>
        <w:t xml:space="preserve">whether there had been a contravention of a financial sector law. The principle of subsidiarity does not obviate the need to consider the interpretation of the Act that Fusion and the Beckers contend for. Rather, </w:t>
      </w:r>
      <w:r w:rsidR="00E53E6E" w:rsidRPr="0019563D">
        <w:rPr>
          <w:i/>
          <w:iCs/>
          <w:sz w:val="28"/>
          <w:szCs w:val="28"/>
        </w:rPr>
        <w:t xml:space="preserve">Zondi </w:t>
      </w:r>
      <w:r w:rsidR="00E53E6E" w:rsidRPr="0019563D">
        <w:rPr>
          <w:sz w:val="28"/>
          <w:szCs w:val="28"/>
        </w:rPr>
        <w:t xml:space="preserve">requires us to engage that </w:t>
      </w:r>
      <w:r w:rsidR="00E24D95" w:rsidRPr="0019563D">
        <w:rPr>
          <w:sz w:val="28"/>
          <w:szCs w:val="28"/>
        </w:rPr>
        <w:t>interpretative</w:t>
      </w:r>
      <w:r w:rsidR="00E53E6E" w:rsidRPr="0019563D">
        <w:rPr>
          <w:sz w:val="28"/>
          <w:szCs w:val="28"/>
        </w:rPr>
        <w:t xml:space="preserve"> question.</w:t>
      </w:r>
      <w:r w:rsidR="00E24D95" w:rsidRPr="0019563D">
        <w:rPr>
          <w:sz w:val="28"/>
          <w:szCs w:val="28"/>
        </w:rPr>
        <w:t xml:space="preserve"> And I turn to this issue.</w:t>
      </w:r>
    </w:p>
    <w:p w14:paraId="15C7EA19" w14:textId="77777777" w:rsidR="00973499" w:rsidRPr="0019563D" w:rsidRDefault="00973499" w:rsidP="00973499">
      <w:pPr>
        <w:rPr>
          <w:sz w:val="28"/>
          <w:szCs w:val="28"/>
        </w:rPr>
      </w:pPr>
    </w:p>
    <w:p w14:paraId="263DDC58" w14:textId="1823E108" w:rsidR="00F251EE" w:rsidRPr="0019563D" w:rsidRDefault="007A4195" w:rsidP="007A4195">
      <w:pPr>
        <w:rPr>
          <w:sz w:val="28"/>
          <w:szCs w:val="28"/>
        </w:rPr>
      </w:pPr>
      <w:r w:rsidRPr="0019563D">
        <w:rPr>
          <w:sz w:val="28"/>
          <w:szCs w:val="28"/>
        </w:rPr>
        <w:t>[14]</w:t>
      </w:r>
      <w:r w:rsidRPr="0019563D">
        <w:rPr>
          <w:sz w:val="28"/>
          <w:szCs w:val="28"/>
        </w:rPr>
        <w:tab/>
      </w:r>
      <w:r w:rsidR="00E24D95" w:rsidRPr="0019563D">
        <w:rPr>
          <w:sz w:val="28"/>
          <w:szCs w:val="28"/>
        </w:rPr>
        <w:t>Fusion and the Beckers recognise that the Act does provide them with a right to make submissions. Section 154 requires the Authority, before making a debarment order, to provide reasons for the proposed debarment. The Authority must invite the person who may be debarred to make submissions ‘on the matter’, and afford a reasonable time</w:t>
      </w:r>
      <w:r w:rsidR="00A84A9F" w:rsidRPr="0019563D">
        <w:rPr>
          <w:sz w:val="28"/>
          <w:szCs w:val="28"/>
        </w:rPr>
        <w:t xml:space="preserve"> within which</w:t>
      </w:r>
      <w:r w:rsidR="00E24D95" w:rsidRPr="0019563D">
        <w:rPr>
          <w:sz w:val="28"/>
          <w:szCs w:val="28"/>
        </w:rPr>
        <w:t xml:space="preserve"> to do so. Plainly, the obligation to provide reasons is intended to allow the person who may be subject to sanction to make </w:t>
      </w:r>
      <w:r w:rsidR="00E24D95" w:rsidRPr="0019563D">
        <w:rPr>
          <w:sz w:val="28"/>
          <w:szCs w:val="28"/>
        </w:rPr>
        <w:lastRenderedPageBreak/>
        <w:t xml:space="preserve">informed submissions. </w:t>
      </w:r>
      <w:r w:rsidR="005E52FE" w:rsidRPr="0019563D">
        <w:rPr>
          <w:sz w:val="28"/>
          <w:szCs w:val="28"/>
        </w:rPr>
        <w:t>T</w:t>
      </w:r>
      <w:r w:rsidR="00E24D95" w:rsidRPr="0019563D">
        <w:rPr>
          <w:sz w:val="28"/>
          <w:szCs w:val="28"/>
        </w:rPr>
        <w:t>hese submissions must be considered before the Authority decides whether or not to make a debarment order.</w:t>
      </w:r>
    </w:p>
    <w:p w14:paraId="25CAA8E5" w14:textId="77777777" w:rsidR="00E24D95" w:rsidRPr="0019563D" w:rsidRDefault="00E24D95" w:rsidP="005E52FE">
      <w:pPr>
        <w:rPr>
          <w:sz w:val="28"/>
          <w:szCs w:val="28"/>
        </w:rPr>
      </w:pPr>
    </w:p>
    <w:p w14:paraId="61341306" w14:textId="05B8A879" w:rsidR="00E24D95" w:rsidRPr="0019563D" w:rsidRDefault="007A4195" w:rsidP="007A4195">
      <w:pPr>
        <w:rPr>
          <w:sz w:val="28"/>
          <w:szCs w:val="28"/>
        </w:rPr>
      </w:pPr>
      <w:r w:rsidRPr="0019563D">
        <w:rPr>
          <w:sz w:val="28"/>
          <w:szCs w:val="28"/>
        </w:rPr>
        <w:t>[15]</w:t>
      </w:r>
      <w:r w:rsidRPr="0019563D">
        <w:rPr>
          <w:sz w:val="28"/>
          <w:szCs w:val="28"/>
        </w:rPr>
        <w:tab/>
      </w:r>
      <w:r w:rsidR="00E24D95" w:rsidRPr="0019563D">
        <w:rPr>
          <w:sz w:val="28"/>
          <w:szCs w:val="28"/>
        </w:rPr>
        <w:t>I do not understand Fusion and the Beckers to contest this understanding of what s</w:t>
      </w:r>
      <w:r w:rsidR="00B811CB" w:rsidRPr="0019563D">
        <w:rPr>
          <w:sz w:val="28"/>
          <w:szCs w:val="28"/>
        </w:rPr>
        <w:t> </w:t>
      </w:r>
      <w:r w:rsidR="00E24D95" w:rsidRPr="0019563D">
        <w:rPr>
          <w:sz w:val="28"/>
          <w:szCs w:val="28"/>
        </w:rPr>
        <w:t>154 requires of the Authority. Their contention is that these duties of fairness are of application before the Authority decides whether or not to make a debarment order. The Act does not extend these duties to the decision of the Authority as to whether a person has contravened a financial sector law. Section</w:t>
      </w:r>
      <w:r w:rsidR="00E1244F" w:rsidRPr="0019563D">
        <w:rPr>
          <w:sz w:val="28"/>
          <w:szCs w:val="28"/>
        </w:rPr>
        <w:t> </w:t>
      </w:r>
      <w:r w:rsidR="00E24D95" w:rsidRPr="0019563D">
        <w:rPr>
          <w:sz w:val="28"/>
          <w:szCs w:val="28"/>
        </w:rPr>
        <w:t>153(1)</w:t>
      </w:r>
      <w:r w:rsidR="00E24D95" w:rsidRPr="0019563D">
        <w:rPr>
          <w:i/>
          <w:sz w:val="28"/>
          <w:szCs w:val="28"/>
        </w:rPr>
        <w:t>(a)</w:t>
      </w:r>
      <w:r w:rsidR="00E24D95" w:rsidRPr="0019563D">
        <w:rPr>
          <w:sz w:val="28"/>
          <w:szCs w:val="28"/>
        </w:rPr>
        <w:t xml:space="preserve"> provides that the Authority may make a debarment order if the person concerned has contravened a financial sector law. And so the finding of a contravention is a jurisdictional predicate for the exercise by the Authority of its power to sanction by recourse to the making of a debarment order. </w:t>
      </w:r>
      <w:r w:rsidR="00B811CB" w:rsidRPr="0019563D">
        <w:rPr>
          <w:sz w:val="28"/>
          <w:szCs w:val="28"/>
        </w:rPr>
        <w:t>However</w:t>
      </w:r>
      <w:r w:rsidR="00E24D95" w:rsidRPr="0019563D">
        <w:rPr>
          <w:sz w:val="28"/>
          <w:szCs w:val="28"/>
        </w:rPr>
        <w:t>, if the Authority is not required to invite and consider submissions from the person who has been investigated</w:t>
      </w:r>
      <w:r w:rsidR="00B811CB" w:rsidRPr="0019563D">
        <w:rPr>
          <w:sz w:val="28"/>
          <w:szCs w:val="28"/>
        </w:rPr>
        <w:t>,</w:t>
      </w:r>
      <w:r w:rsidR="00E24D95" w:rsidRPr="0019563D">
        <w:rPr>
          <w:sz w:val="28"/>
          <w:szCs w:val="28"/>
        </w:rPr>
        <w:t xml:space="preserve"> as to whether they have contravened a financial sector law, before deciding this issue, then the Act fails to respect the constitutional right to procedural fairness, which s</w:t>
      </w:r>
      <w:r w:rsidR="00B811CB" w:rsidRPr="0019563D">
        <w:rPr>
          <w:sz w:val="28"/>
          <w:szCs w:val="28"/>
        </w:rPr>
        <w:t> </w:t>
      </w:r>
      <w:r w:rsidR="00E24D95" w:rsidRPr="0019563D">
        <w:rPr>
          <w:sz w:val="28"/>
          <w:szCs w:val="28"/>
        </w:rPr>
        <w:t>33(1) of the Constitution entrenches.</w:t>
      </w:r>
    </w:p>
    <w:p w14:paraId="316C803F" w14:textId="77777777" w:rsidR="00973499" w:rsidRPr="0019563D" w:rsidRDefault="00973499" w:rsidP="00973499">
      <w:pPr>
        <w:rPr>
          <w:sz w:val="28"/>
          <w:szCs w:val="28"/>
        </w:rPr>
      </w:pPr>
    </w:p>
    <w:p w14:paraId="253D1A0C" w14:textId="47077FA5" w:rsidR="00F251EE" w:rsidRPr="0019563D" w:rsidRDefault="007A4195" w:rsidP="007A4195">
      <w:pPr>
        <w:rPr>
          <w:sz w:val="28"/>
          <w:szCs w:val="28"/>
        </w:rPr>
      </w:pPr>
      <w:r w:rsidRPr="0019563D">
        <w:rPr>
          <w:sz w:val="28"/>
          <w:szCs w:val="28"/>
        </w:rPr>
        <w:t>[16]</w:t>
      </w:r>
      <w:r w:rsidRPr="0019563D">
        <w:rPr>
          <w:sz w:val="28"/>
          <w:szCs w:val="28"/>
        </w:rPr>
        <w:tab/>
      </w:r>
      <w:r w:rsidR="00E24D95" w:rsidRPr="0019563D">
        <w:rPr>
          <w:sz w:val="28"/>
          <w:szCs w:val="28"/>
        </w:rPr>
        <w:t>This legislative omission, it was submitted, gives rise to considerable risk for the Beckers. Should the Authority make a debarment order, s</w:t>
      </w:r>
      <w:r w:rsidR="00B811CB" w:rsidRPr="0019563D">
        <w:rPr>
          <w:sz w:val="28"/>
          <w:szCs w:val="28"/>
        </w:rPr>
        <w:t> </w:t>
      </w:r>
      <w:r w:rsidR="00E24D95" w:rsidRPr="0019563D">
        <w:rPr>
          <w:sz w:val="28"/>
          <w:szCs w:val="28"/>
        </w:rPr>
        <w:t>230 provides that persons aggrieved by that decision may apply to the Financial Services Tribunal (</w:t>
      </w:r>
      <w:r w:rsidR="0087415A" w:rsidRPr="0019563D">
        <w:rPr>
          <w:sz w:val="28"/>
          <w:szCs w:val="28"/>
        </w:rPr>
        <w:t>the </w:t>
      </w:r>
      <w:r w:rsidR="00E24D95" w:rsidRPr="0019563D">
        <w:rPr>
          <w:sz w:val="28"/>
          <w:szCs w:val="28"/>
        </w:rPr>
        <w:t>Tribunal) for a reconsideration of the decision. However</w:t>
      </w:r>
      <w:r w:rsidR="00B811CB" w:rsidRPr="0019563D">
        <w:rPr>
          <w:sz w:val="28"/>
          <w:szCs w:val="28"/>
        </w:rPr>
        <w:t>,</w:t>
      </w:r>
      <w:r w:rsidR="00E24D95" w:rsidRPr="0019563D">
        <w:rPr>
          <w:sz w:val="28"/>
          <w:szCs w:val="28"/>
        </w:rPr>
        <w:t xml:space="preserve"> the process to secure a reconsideration takes time. In the interim, the debarment is enforced, with its drastic consequences for the Beckers, both as to what they may not do and the public opprobrium they will suffer. This is so because s</w:t>
      </w:r>
      <w:r w:rsidR="00B811CB" w:rsidRPr="0019563D">
        <w:rPr>
          <w:sz w:val="28"/>
          <w:szCs w:val="28"/>
        </w:rPr>
        <w:t> </w:t>
      </w:r>
      <w:r w:rsidR="00E24D95" w:rsidRPr="0019563D">
        <w:rPr>
          <w:sz w:val="28"/>
          <w:szCs w:val="28"/>
        </w:rPr>
        <w:t xml:space="preserve">231 provides that neither an application for a reconsideration of a decision, nor the proceedings that follow, suspend the decision of the Authority, unless the Tribunal so orders. The Beckers complain that the first stage in the process by which sanctions may be visited upon </w:t>
      </w:r>
      <w:r w:rsidR="00E24D95" w:rsidRPr="0019563D">
        <w:rPr>
          <w:sz w:val="28"/>
          <w:szCs w:val="28"/>
        </w:rPr>
        <w:lastRenderedPageBreak/>
        <w:t>them lacks procedural fairness. That renders invalid the competence of the Authority to impose sanctions, as also the enforcement of these sanctions, pending their reconsideration by the Tribunal. Put simply, if the exercise of competence by the Authority requires no procedural fairness so as to decide whether a person has contravened a financial sector law, then no decision as to sanctions predicated upon a finding of contravention is valid, whatever adherence to procedural fairness the Authority then demonstrates</w:t>
      </w:r>
      <w:r w:rsidR="00D3005B" w:rsidRPr="0019563D">
        <w:rPr>
          <w:sz w:val="28"/>
          <w:szCs w:val="28"/>
        </w:rPr>
        <w:t>.</w:t>
      </w:r>
    </w:p>
    <w:p w14:paraId="7CB28BFE" w14:textId="77777777" w:rsidR="00E24D95" w:rsidRPr="0019563D" w:rsidRDefault="00E24D95" w:rsidP="00E24D95">
      <w:pPr>
        <w:rPr>
          <w:sz w:val="28"/>
          <w:szCs w:val="28"/>
        </w:rPr>
      </w:pPr>
    </w:p>
    <w:p w14:paraId="5CB645EC" w14:textId="38A2579A" w:rsidR="00E24D95" w:rsidRPr="0019563D" w:rsidRDefault="007A4195" w:rsidP="007A4195">
      <w:pPr>
        <w:rPr>
          <w:sz w:val="28"/>
          <w:szCs w:val="28"/>
        </w:rPr>
      </w:pPr>
      <w:r w:rsidRPr="0019563D">
        <w:rPr>
          <w:sz w:val="28"/>
          <w:szCs w:val="28"/>
        </w:rPr>
        <w:t>[17]</w:t>
      </w:r>
      <w:r w:rsidRPr="0019563D">
        <w:rPr>
          <w:sz w:val="28"/>
          <w:szCs w:val="28"/>
        </w:rPr>
        <w:tab/>
      </w:r>
      <w:r w:rsidR="00E24D95" w:rsidRPr="0019563D">
        <w:rPr>
          <w:sz w:val="28"/>
          <w:szCs w:val="28"/>
        </w:rPr>
        <w:t xml:space="preserve">The same challenge is directed </w:t>
      </w:r>
      <w:r w:rsidR="00E26FDB" w:rsidRPr="0019563D">
        <w:rPr>
          <w:sz w:val="28"/>
          <w:szCs w:val="28"/>
        </w:rPr>
        <w:t>at</w:t>
      </w:r>
      <w:r w:rsidR="00E24D95" w:rsidRPr="0019563D">
        <w:rPr>
          <w:sz w:val="28"/>
          <w:szCs w:val="28"/>
        </w:rPr>
        <w:t xml:space="preserve"> s</w:t>
      </w:r>
      <w:r w:rsidR="00E26FDB" w:rsidRPr="0019563D">
        <w:rPr>
          <w:sz w:val="28"/>
          <w:szCs w:val="28"/>
        </w:rPr>
        <w:t> </w:t>
      </w:r>
      <w:r w:rsidR="00E24D95" w:rsidRPr="0019563D">
        <w:rPr>
          <w:sz w:val="28"/>
          <w:szCs w:val="28"/>
        </w:rPr>
        <w:t xml:space="preserve">167 of the Act. The Authority may impose an appropriate administrative penalty upon a person who has contravened a financial sector law. As I have explained, </w:t>
      </w:r>
      <w:r w:rsidR="0044601A" w:rsidRPr="0019563D">
        <w:rPr>
          <w:sz w:val="28"/>
          <w:szCs w:val="28"/>
        </w:rPr>
        <w:t>s</w:t>
      </w:r>
      <w:r w:rsidR="00E24D95" w:rsidRPr="0019563D">
        <w:rPr>
          <w:sz w:val="28"/>
          <w:szCs w:val="28"/>
        </w:rPr>
        <w:t xml:space="preserve"> 167(2)</w:t>
      </w:r>
      <w:r w:rsidR="00E24D95" w:rsidRPr="0019563D">
        <w:rPr>
          <w:i/>
          <w:sz w:val="28"/>
          <w:szCs w:val="28"/>
        </w:rPr>
        <w:t>(a)</w:t>
      </w:r>
      <w:r w:rsidR="00E24D95" w:rsidRPr="0019563D">
        <w:rPr>
          <w:sz w:val="28"/>
          <w:szCs w:val="28"/>
        </w:rPr>
        <w:t xml:space="preserve">(iii) </w:t>
      </w:r>
      <w:r w:rsidR="00E26FDB" w:rsidRPr="0019563D">
        <w:rPr>
          <w:sz w:val="28"/>
          <w:szCs w:val="28"/>
        </w:rPr>
        <w:t xml:space="preserve">of the Act </w:t>
      </w:r>
      <w:r w:rsidR="00E24D95" w:rsidRPr="0019563D">
        <w:rPr>
          <w:sz w:val="28"/>
          <w:szCs w:val="28"/>
        </w:rPr>
        <w:t>requires that in determining an appropriate penalty, the Authority must have regard to any submissions ‘relevant to the matter’</w:t>
      </w:r>
      <w:r w:rsidR="00E26FDB" w:rsidRPr="0019563D">
        <w:rPr>
          <w:sz w:val="28"/>
          <w:szCs w:val="28"/>
        </w:rPr>
        <w:t>,</w:t>
      </w:r>
      <w:r w:rsidR="00E24D95" w:rsidRPr="0019563D">
        <w:rPr>
          <w:sz w:val="28"/>
          <w:szCs w:val="28"/>
        </w:rPr>
        <w:t xml:space="preserve"> made by or </w:t>
      </w:r>
      <w:r w:rsidR="001842EE" w:rsidRPr="0019563D">
        <w:rPr>
          <w:sz w:val="28"/>
          <w:szCs w:val="28"/>
        </w:rPr>
        <w:t xml:space="preserve">on </w:t>
      </w:r>
      <w:r w:rsidR="00E24D95" w:rsidRPr="0019563D">
        <w:rPr>
          <w:sz w:val="28"/>
          <w:szCs w:val="28"/>
        </w:rPr>
        <w:t xml:space="preserve">behalf of the person who might be sanctioned. Fusion submitted that procedural fairness accorded to a person at the stage of sanction cannot cure the absence of procedural fairness when the Authority determines whether a contravention of a financial sector law has taken place. The imposition of an administrative penalty is rendered invalid by the failure to observe procedural fairness in determining that a contravention took place. </w:t>
      </w:r>
    </w:p>
    <w:p w14:paraId="2AA32B19" w14:textId="77777777" w:rsidR="00973499" w:rsidRPr="0019563D" w:rsidRDefault="00973499" w:rsidP="00973499">
      <w:pPr>
        <w:rPr>
          <w:sz w:val="28"/>
          <w:szCs w:val="28"/>
        </w:rPr>
      </w:pPr>
    </w:p>
    <w:p w14:paraId="572E3CA0" w14:textId="55E4767C" w:rsidR="00F251EE" w:rsidRPr="0019563D" w:rsidRDefault="007A4195" w:rsidP="007A4195">
      <w:pPr>
        <w:rPr>
          <w:sz w:val="28"/>
          <w:szCs w:val="28"/>
        </w:rPr>
      </w:pPr>
      <w:r w:rsidRPr="0019563D">
        <w:rPr>
          <w:sz w:val="28"/>
          <w:szCs w:val="28"/>
        </w:rPr>
        <w:t>[18]</w:t>
      </w:r>
      <w:r w:rsidRPr="0019563D">
        <w:rPr>
          <w:sz w:val="28"/>
          <w:szCs w:val="28"/>
        </w:rPr>
        <w:tab/>
      </w:r>
      <w:r w:rsidR="001E3165" w:rsidRPr="0019563D">
        <w:rPr>
          <w:sz w:val="28"/>
          <w:szCs w:val="28"/>
        </w:rPr>
        <w:t xml:space="preserve">The challenge that Fusion and </w:t>
      </w:r>
      <w:r w:rsidR="00E26FDB" w:rsidRPr="0019563D">
        <w:rPr>
          <w:sz w:val="28"/>
          <w:szCs w:val="28"/>
        </w:rPr>
        <w:t xml:space="preserve">the </w:t>
      </w:r>
      <w:r w:rsidR="001E3165" w:rsidRPr="0019563D">
        <w:rPr>
          <w:sz w:val="28"/>
          <w:szCs w:val="28"/>
        </w:rPr>
        <w:t xml:space="preserve">Beckers make rests on a single proposition: that the Act does not require the Authority to invite a person to make submissions, nor to consider their submissions, before it decides </w:t>
      </w:r>
      <w:r w:rsidR="00D3005B" w:rsidRPr="0019563D">
        <w:rPr>
          <w:sz w:val="28"/>
          <w:szCs w:val="28"/>
        </w:rPr>
        <w:t>whether</w:t>
      </w:r>
      <w:r w:rsidR="001E3165" w:rsidRPr="0019563D">
        <w:rPr>
          <w:sz w:val="28"/>
          <w:szCs w:val="28"/>
        </w:rPr>
        <w:t xml:space="preserve"> this person has contravened a financial sector law. If the proposition is correct, this would constitute an infringement of the right to procedural fairness, entrenched by s</w:t>
      </w:r>
      <w:r w:rsidR="00E26FDB" w:rsidRPr="0019563D">
        <w:rPr>
          <w:sz w:val="28"/>
          <w:szCs w:val="28"/>
        </w:rPr>
        <w:t> </w:t>
      </w:r>
      <w:r w:rsidR="001E3165" w:rsidRPr="0019563D">
        <w:rPr>
          <w:sz w:val="28"/>
          <w:szCs w:val="28"/>
        </w:rPr>
        <w:t>33(1) of the Constitution, and would render the power of the Authority to impose sanctions in terms of ss 154 and 167 invalid, as also the interim imposition of the sanction pending a reconsideration that s</w:t>
      </w:r>
      <w:r w:rsidR="00E26FDB" w:rsidRPr="0019563D">
        <w:rPr>
          <w:sz w:val="28"/>
          <w:szCs w:val="28"/>
        </w:rPr>
        <w:t> </w:t>
      </w:r>
      <w:r w:rsidR="001E3165" w:rsidRPr="0019563D">
        <w:rPr>
          <w:sz w:val="28"/>
          <w:szCs w:val="28"/>
        </w:rPr>
        <w:t>231 enjoins.</w:t>
      </w:r>
      <w:r w:rsidR="00D3005B" w:rsidRPr="0019563D">
        <w:rPr>
          <w:sz w:val="28"/>
          <w:szCs w:val="28"/>
        </w:rPr>
        <w:t xml:space="preserve"> Implicit in this submission is the </w:t>
      </w:r>
      <w:r w:rsidR="00D3005B" w:rsidRPr="0019563D">
        <w:rPr>
          <w:sz w:val="28"/>
          <w:szCs w:val="28"/>
        </w:rPr>
        <w:lastRenderedPageBreak/>
        <w:t>following interpretation of the Act: the power of the Authority to decide whether a person has contravened a financial sector law, though administrative action, is not subject to obligations to observe procedural fairness imposed by s</w:t>
      </w:r>
      <w:r w:rsidR="001842EE" w:rsidRPr="0019563D">
        <w:rPr>
          <w:sz w:val="28"/>
          <w:szCs w:val="28"/>
        </w:rPr>
        <w:t xml:space="preserve"> </w:t>
      </w:r>
      <w:r w:rsidR="00D3005B" w:rsidRPr="0019563D">
        <w:rPr>
          <w:sz w:val="28"/>
          <w:szCs w:val="28"/>
        </w:rPr>
        <w:t>3 of PAJA.</w:t>
      </w:r>
    </w:p>
    <w:p w14:paraId="386F67A1" w14:textId="77777777" w:rsidR="001E3165" w:rsidRPr="0019563D" w:rsidRDefault="001E3165" w:rsidP="00E26FDB">
      <w:pPr>
        <w:rPr>
          <w:sz w:val="28"/>
          <w:szCs w:val="28"/>
        </w:rPr>
      </w:pPr>
    </w:p>
    <w:p w14:paraId="7A916F7F" w14:textId="3BE18628" w:rsidR="001E3165" w:rsidRPr="0019563D" w:rsidRDefault="007A4195" w:rsidP="007A4195">
      <w:pPr>
        <w:rPr>
          <w:sz w:val="28"/>
          <w:szCs w:val="28"/>
        </w:rPr>
      </w:pPr>
      <w:r w:rsidRPr="0019563D">
        <w:rPr>
          <w:sz w:val="28"/>
          <w:szCs w:val="28"/>
        </w:rPr>
        <w:t>[19]</w:t>
      </w:r>
      <w:r w:rsidRPr="0019563D">
        <w:rPr>
          <w:sz w:val="28"/>
          <w:szCs w:val="28"/>
        </w:rPr>
        <w:tab/>
      </w:r>
      <w:r w:rsidR="001E3165" w:rsidRPr="0019563D">
        <w:rPr>
          <w:sz w:val="28"/>
          <w:szCs w:val="28"/>
        </w:rPr>
        <w:t>But is the proposition correct? Section 154(1), as we have observed, requires the Authority to invite submissions before making a debarment order. The Authority must give the person affected the draft debarment order ‘along with reasons for and other relevant information about the proposed debarment’. The reasons for, and relevant information concerning, the proposed debarment order must necessarily traverse why the order is required. As a matter of law, a debarment order can only be required if there has been a contravention of a financial sector law. The reasons must therefore engage why it is that the Authority considers there to be a basis to conclude that such a contravention has taken place. The reasons are given to permit a person against whom a debarment order may be made to offer informed submissions. Section 154(1) refers to a proposed debarment. The Authority has not made a decision to make a debarment order when it invites submissions. It may do</w:t>
      </w:r>
      <w:r w:rsidR="00E26FDB" w:rsidRPr="0019563D">
        <w:rPr>
          <w:sz w:val="28"/>
          <w:szCs w:val="28"/>
        </w:rPr>
        <w:t xml:space="preserve"> so</w:t>
      </w:r>
      <w:r w:rsidR="001E3165" w:rsidRPr="0019563D">
        <w:rPr>
          <w:sz w:val="28"/>
          <w:szCs w:val="28"/>
        </w:rPr>
        <w:t>, but only once it has invited submissions and considered them, before taking a decision.</w:t>
      </w:r>
    </w:p>
    <w:p w14:paraId="50B91A06" w14:textId="77777777" w:rsidR="00973499" w:rsidRPr="0019563D" w:rsidRDefault="00973499" w:rsidP="00973499">
      <w:pPr>
        <w:rPr>
          <w:sz w:val="28"/>
          <w:szCs w:val="28"/>
        </w:rPr>
      </w:pPr>
    </w:p>
    <w:p w14:paraId="29035DE2" w14:textId="7171F56F" w:rsidR="00BF09AC" w:rsidRPr="0019563D" w:rsidRDefault="007A4195" w:rsidP="007A4195">
      <w:pPr>
        <w:rPr>
          <w:sz w:val="28"/>
          <w:szCs w:val="28"/>
        </w:rPr>
      </w:pPr>
      <w:r w:rsidRPr="0019563D">
        <w:rPr>
          <w:sz w:val="28"/>
          <w:szCs w:val="28"/>
        </w:rPr>
        <w:t>[20]</w:t>
      </w:r>
      <w:r w:rsidRPr="0019563D">
        <w:rPr>
          <w:sz w:val="28"/>
          <w:szCs w:val="28"/>
        </w:rPr>
        <w:tab/>
      </w:r>
      <w:r w:rsidR="001E3165" w:rsidRPr="0019563D">
        <w:rPr>
          <w:sz w:val="28"/>
          <w:szCs w:val="28"/>
        </w:rPr>
        <w:t xml:space="preserve">Since a contravention of a financial sector law is the essential premise </w:t>
      </w:r>
      <w:r w:rsidR="00D3005B" w:rsidRPr="0019563D">
        <w:rPr>
          <w:sz w:val="28"/>
          <w:szCs w:val="28"/>
        </w:rPr>
        <w:t xml:space="preserve">upon </w:t>
      </w:r>
      <w:r w:rsidR="001E3165" w:rsidRPr="0019563D">
        <w:rPr>
          <w:sz w:val="28"/>
          <w:szCs w:val="28"/>
        </w:rPr>
        <w:t>which any sanction may be required, I interpret s</w:t>
      </w:r>
      <w:r w:rsidR="00E26FDB" w:rsidRPr="0019563D">
        <w:rPr>
          <w:sz w:val="28"/>
          <w:szCs w:val="28"/>
        </w:rPr>
        <w:t> </w:t>
      </w:r>
      <w:r w:rsidR="001E3165" w:rsidRPr="0019563D">
        <w:rPr>
          <w:sz w:val="28"/>
          <w:szCs w:val="28"/>
        </w:rPr>
        <w:t>154(1) to mean that the submissions that are invited, and must be considered, concern every matter relevant to making a debarment order. The text of s</w:t>
      </w:r>
      <w:r w:rsidR="00E26FDB" w:rsidRPr="0019563D">
        <w:rPr>
          <w:sz w:val="28"/>
          <w:szCs w:val="28"/>
        </w:rPr>
        <w:t> </w:t>
      </w:r>
      <w:r w:rsidR="001E3165" w:rsidRPr="0019563D">
        <w:rPr>
          <w:sz w:val="28"/>
          <w:szCs w:val="28"/>
        </w:rPr>
        <w:t>154(1) says so. It refers to submissions ‘on the matter’. No matter is more central to such a decision than the issue as to whether a contravention of a financial sector law has taken place. It would also be a perverse incongruity if s</w:t>
      </w:r>
      <w:r w:rsidR="00E26FDB" w:rsidRPr="0019563D">
        <w:rPr>
          <w:sz w:val="28"/>
          <w:szCs w:val="28"/>
        </w:rPr>
        <w:t> </w:t>
      </w:r>
      <w:r w:rsidR="001E3165" w:rsidRPr="0019563D">
        <w:rPr>
          <w:sz w:val="28"/>
          <w:szCs w:val="28"/>
        </w:rPr>
        <w:t xml:space="preserve">154(1) required the Authority to provide reasons that engage the issue of contravention, but exclude from submission, and hence </w:t>
      </w:r>
      <w:r w:rsidR="001E3165" w:rsidRPr="0019563D">
        <w:rPr>
          <w:sz w:val="28"/>
          <w:szCs w:val="28"/>
        </w:rPr>
        <w:lastRenderedPageBreak/>
        <w:t>consideration, what might be said by a person as to why no contravention had taken place or that the contravention is of a lesser kind</w:t>
      </w:r>
      <w:r w:rsidR="002F0A0C" w:rsidRPr="0019563D">
        <w:rPr>
          <w:sz w:val="28"/>
          <w:szCs w:val="28"/>
        </w:rPr>
        <w:t xml:space="preserve"> or degree. </w:t>
      </w:r>
    </w:p>
    <w:p w14:paraId="62DE0705" w14:textId="77777777" w:rsidR="002F0A0C" w:rsidRPr="0019563D" w:rsidRDefault="002F0A0C" w:rsidP="00E26FDB">
      <w:pPr>
        <w:rPr>
          <w:sz w:val="28"/>
          <w:szCs w:val="28"/>
        </w:rPr>
      </w:pPr>
    </w:p>
    <w:p w14:paraId="70DE1FE3" w14:textId="74B2263D" w:rsidR="002F0A0C" w:rsidRPr="0019563D" w:rsidRDefault="007A4195" w:rsidP="007A4195">
      <w:pPr>
        <w:rPr>
          <w:sz w:val="28"/>
          <w:szCs w:val="28"/>
        </w:rPr>
      </w:pPr>
      <w:r w:rsidRPr="0019563D">
        <w:rPr>
          <w:sz w:val="28"/>
          <w:szCs w:val="28"/>
        </w:rPr>
        <w:t>[21]</w:t>
      </w:r>
      <w:r w:rsidRPr="0019563D">
        <w:rPr>
          <w:sz w:val="28"/>
          <w:szCs w:val="28"/>
        </w:rPr>
        <w:tab/>
      </w:r>
      <w:r w:rsidR="002F0A0C" w:rsidRPr="0019563D">
        <w:rPr>
          <w:sz w:val="28"/>
          <w:szCs w:val="28"/>
        </w:rPr>
        <w:t>I find that the correct interpretation of s</w:t>
      </w:r>
      <w:r w:rsidR="004E3D32" w:rsidRPr="0019563D">
        <w:rPr>
          <w:sz w:val="28"/>
          <w:szCs w:val="28"/>
        </w:rPr>
        <w:t> </w:t>
      </w:r>
      <w:r w:rsidR="002F0A0C" w:rsidRPr="0019563D">
        <w:rPr>
          <w:sz w:val="28"/>
          <w:szCs w:val="28"/>
        </w:rPr>
        <w:t xml:space="preserve">154(1) does not exclude from submission or consideration the issue as to whether a person has contravened a financial sector law. On the contrary, this lies at the very heart of the matter. It follows that, properly understood, when the Authority comes to consider whether to make a debarment order, it cannot have made a final decision as to whether there was a contravention of a financial sector law. As occurred in this matter, the investigation may have led the Authority to conclude that there is a </w:t>
      </w:r>
      <w:r w:rsidR="002F0A0C" w:rsidRPr="0019563D">
        <w:rPr>
          <w:i/>
          <w:iCs/>
          <w:sz w:val="28"/>
          <w:szCs w:val="28"/>
        </w:rPr>
        <w:t>prima facie</w:t>
      </w:r>
      <w:r w:rsidR="00295BB0" w:rsidRPr="0019563D">
        <w:rPr>
          <w:i/>
          <w:iCs/>
          <w:sz w:val="28"/>
          <w:szCs w:val="28"/>
        </w:rPr>
        <w:t xml:space="preserve"> </w:t>
      </w:r>
      <w:r w:rsidR="002F0A0C" w:rsidRPr="0019563D">
        <w:rPr>
          <w:sz w:val="28"/>
          <w:szCs w:val="28"/>
        </w:rPr>
        <w:t>evidence of a contravention</w:t>
      </w:r>
      <w:r w:rsidR="00D3005B" w:rsidRPr="0019563D">
        <w:rPr>
          <w:sz w:val="28"/>
          <w:szCs w:val="28"/>
        </w:rPr>
        <w:t>.</w:t>
      </w:r>
      <w:r w:rsidR="002F0A0C" w:rsidRPr="0019563D">
        <w:rPr>
          <w:sz w:val="28"/>
          <w:szCs w:val="28"/>
        </w:rPr>
        <w:t xml:space="preserve"> </w:t>
      </w:r>
      <w:r w:rsidR="007234D8" w:rsidRPr="0019563D">
        <w:rPr>
          <w:sz w:val="28"/>
          <w:szCs w:val="28"/>
        </w:rPr>
        <w:t>A</w:t>
      </w:r>
      <w:r w:rsidR="002F0A0C" w:rsidRPr="0019563D">
        <w:rPr>
          <w:sz w:val="28"/>
          <w:szCs w:val="28"/>
        </w:rPr>
        <w:t>ny decision on the issue</w:t>
      </w:r>
      <w:r w:rsidR="007234D8" w:rsidRPr="0019563D">
        <w:rPr>
          <w:sz w:val="28"/>
          <w:szCs w:val="28"/>
        </w:rPr>
        <w:t>, however,</w:t>
      </w:r>
      <w:r w:rsidR="002F0A0C" w:rsidRPr="0019563D">
        <w:rPr>
          <w:sz w:val="28"/>
          <w:szCs w:val="28"/>
        </w:rPr>
        <w:t xml:space="preserve"> must await the submissions of the person alleged to have contravened the financial sector law, and the Authority’s consideration of those submissions.</w:t>
      </w:r>
    </w:p>
    <w:p w14:paraId="147A4905" w14:textId="77777777" w:rsidR="002F0A0C" w:rsidRPr="0019563D" w:rsidRDefault="002F0A0C" w:rsidP="004E3D32">
      <w:pPr>
        <w:rPr>
          <w:sz w:val="28"/>
          <w:szCs w:val="28"/>
        </w:rPr>
      </w:pPr>
    </w:p>
    <w:p w14:paraId="6BA2E2A7" w14:textId="2441359A" w:rsidR="002F0A0C" w:rsidRPr="0019563D" w:rsidRDefault="007A4195" w:rsidP="007A4195">
      <w:pPr>
        <w:rPr>
          <w:sz w:val="28"/>
          <w:szCs w:val="28"/>
        </w:rPr>
      </w:pPr>
      <w:r w:rsidRPr="0019563D">
        <w:rPr>
          <w:sz w:val="28"/>
          <w:szCs w:val="28"/>
        </w:rPr>
        <w:t>[22]</w:t>
      </w:r>
      <w:r w:rsidRPr="0019563D">
        <w:rPr>
          <w:sz w:val="28"/>
          <w:szCs w:val="28"/>
        </w:rPr>
        <w:tab/>
      </w:r>
      <w:r w:rsidR="002F0A0C" w:rsidRPr="0019563D">
        <w:rPr>
          <w:sz w:val="28"/>
          <w:szCs w:val="28"/>
        </w:rPr>
        <w:t>Once this is so, the Act permits no want of procedural fairness as to the making of a debarment order. On the contrary, it requires that the Authority provide reasons for its proposed order</w:t>
      </w:r>
      <w:r w:rsidR="00D3005B" w:rsidRPr="0019563D">
        <w:rPr>
          <w:sz w:val="28"/>
          <w:szCs w:val="28"/>
        </w:rPr>
        <w:t>, and these reasons</w:t>
      </w:r>
      <w:r w:rsidR="002F0A0C" w:rsidRPr="0019563D">
        <w:rPr>
          <w:sz w:val="28"/>
          <w:szCs w:val="28"/>
        </w:rPr>
        <w:t xml:space="preserve"> must traverse the issue of contravention. </w:t>
      </w:r>
      <w:r w:rsidR="004E3D32" w:rsidRPr="0019563D">
        <w:rPr>
          <w:sz w:val="28"/>
          <w:szCs w:val="28"/>
        </w:rPr>
        <w:t>F</w:t>
      </w:r>
      <w:r w:rsidR="002F0A0C" w:rsidRPr="0019563D">
        <w:rPr>
          <w:sz w:val="28"/>
          <w:szCs w:val="28"/>
        </w:rPr>
        <w:t>urther</w:t>
      </w:r>
      <w:r w:rsidR="004E3D32" w:rsidRPr="0019563D">
        <w:rPr>
          <w:sz w:val="28"/>
          <w:szCs w:val="28"/>
        </w:rPr>
        <w:t>more, it</w:t>
      </w:r>
      <w:r w:rsidR="002F0A0C" w:rsidRPr="0019563D">
        <w:rPr>
          <w:sz w:val="28"/>
          <w:szCs w:val="28"/>
        </w:rPr>
        <w:t xml:space="preserve"> requires the Authority to invite submissions that engage th</w:t>
      </w:r>
      <w:r w:rsidR="00D3005B" w:rsidRPr="0019563D">
        <w:rPr>
          <w:sz w:val="28"/>
          <w:szCs w:val="28"/>
        </w:rPr>
        <w:t>is</w:t>
      </w:r>
      <w:r w:rsidR="002F0A0C" w:rsidRPr="0019563D">
        <w:rPr>
          <w:sz w:val="28"/>
          <w:szCs w:val="28"/>
        </w:rPr>
        <w:t xml:space="preserve"> issue. The constitutional challenge of the Beckers, who face a proposed debarment order, cannot </w:t>
      </w:r>
      <w:r w:rsidR="00D3005B" w:rsidRPr="0019563D">
        <w:rPr>
          <w:sz w:val="28"/>
          <w:szCs w:val="28"/>
        </w:rPr>
        <w:t>succeed</w:t>
      </w:r>
      <w:r w:rsidR="002F0A0C" w:rsidRPr="0019563D">
        <w:rPr>
          <w:sz w:val="28"/>
          <w:szCs w:val="28"/>
        </w:rPr>
        <w:t>. The challenge to s</w:t>
      </w:r>
      <w:r w:rsidR="004E3D32" w:rsidRPr="0019563D">
        <w:rPr>
          <w:sz w:val="28"/>
          <w:szCs w:val="28"/>
        </w:rPr>
        <w:t> </w:t>
      </w:r>
      <w:r w:rsidR="002F0A0C" w:rsidRPr="0019563D">
        <w:rPr>
          <w:sz w:val="28"/>
          <w:szCs w:val="28"/>
        </w:rPr>
        <w:t xml:space="preserve">231 of the Act was framed as an entailment of the invalidity that was said to attach to the debarment order. It must </w:t>
      </w:r>
      <w:r w:rsidR="00D3005B" w:rsidRPr="0019563D">
        <w:rPr>
          <w:sz w:val="28"/>
          <w:szCs w:val="28"/>
        </w:rPr>
        <w:t xml:space="preserve">therefore also </w:t>
      </w:r>
      <w:r w:rsidR="002F0A0C" w:rsidRPr="0019563D">
        <w:rPr>
          <w:sz w:val="28"/>
          <w:szCs w:val="28"/>
        </w:rPr>
        <w:t>fail</w:t>
      </w:r>
      <w:r w:rsidR="00C57B1E" w:rsidRPr="0019563D">
        <w:rPr>
          <w:sz w:val="28"/>
          <w:szCs w:val="28"/>
        </w:rPr>
        <w:t>.</w:t>
      </w:r>
    </w:p>
    <w:p w14:paraId="4F35E8A1" w14:textId="77777777" w:rsidR="002F0A0C" w:rsidRPr="0019563D" w:rsidRDefault="002F0A0C" w:rsidP="00C57B1E">
      <w:pPr>
        <w:rPr>
          <w:sz w:val="28"/>
          <w:szCs w:val="28"/>
        </w:rPr>
      </w:pPr>
    </w:p>
    <w:p w14:paraId="7453C76A" w14:textId="31E473F4" w:rsidR="00D3005B" w:rsidRPr="0019563D" w:rsidRDefault="007A4195" w:rsidP="007A4195">
      <w:pPr>
        <w:rPr>
          <w:sz w:val="28"/>
          <w:szCs w:val="28"/>
        </w:rPr>
      </w:pPr>
      <w:r w:rsidRPr="0019563D">
        <w:rPr>
          <w:sz w:val="28"/>
          <w:szCs w:val="28"/>
        </w:rPr>
        <w:t>[23]</w:t>
      </w:r>
      <w:r w:rsidRPr="0019563D">
        <w:rPr>
          <w:sz w:val="28"/>
          <w:szCs w:val="28"/>
        </w:rPr>
        <w:tab/>
      </w:r>
      <w:r w:rsidR="002F0A0C" w:rsidRPr="0019563D">
        <w:rPr>
          <w:sz w:val="28"/>
          <w:szCs w:val="28"/>
        </w:rPr>
        <w:t>For like reasons, the challenge of Fusion to s</w:t>
      </w:r>
      <w:r w:rsidR="004E3D32" w:rsidRPr="0019563D">
        <w:rPr>
          <w:sz w:val="28"/>
          <w:szCs w:val="28"/>
        </w:rPr>
        <w:t> </w:t>
      </w:r>
      <w:r w:rsidR="002F0A0C" w:rsidRPr="0019563D">
        <w:rPr>
          <w:sz w:val="28"/>
          <w:szCs w:val="28"/>
        </w:rPr>
        <w:t xml:space="preserve">167 must also fail. Although its wording and structure differ </w:t>
      </w:r>
      <w:r w:rsidR="00D3005B" w:rsidRPr="0019563D">
        <w:rPr>
          <w:sz w:val="28"/>
          <w:szCs w:val="28"/>
        </w:rPr>
        <w:t xml:space="preserve">somewhat </w:t>
      </w:r>
      <w:r w:rsidR="002F0A0C" w:rsidRPr="0019563D">
        <w:rPr>
          <w:sz w:val="28"/>
          <w:szCs w:val="28"/>
        </w:rPr>
        <w:t>from s</w:t>
      </w:r>
      <w:r w:rsidR="004E3D32" w:rsidRPr="0019563D">
        <w:rPr>
          <w:sz w:val="28"/>
          <w:szCs w:val="28"/>
        </w:rPr>
        <w:t> </w:t>
      </w:r>
      <w:r w:rsidR="002F0A0C" w:rsidRPr="0019563D">
        <w:rPr>
          <w:sz w:val="28"/>
          <w:szCs w:val="28"/>
        </w:rPr>
        <w:t xml:space="preserve">154, as we have observed, it requires the authority to have regard to submissions ‘relevant to the matter’. Nothing is more relevant to the matter than the issue as to whether a person has contravened a </w:t>
      </w:r>
      <w:r w:rsidR="002F0A0C" w:rsidRPr="0019563D">
        <w:rPr>
          <w:sz w:val="28"/>
          <w:szCs w:val="28"/>
        </w:rPr>
        <w:lastRenderedPageBreak/>
        <w:t xml:space="preserve">financial sector law, the very predicate upon which any imposition of an administrative penalty rests. It follows, then, here too, that the Authority can make no final decision as to whether a contravention has taken place until it has considered the submissions of the person alleged to have contravened a financial sector law. </w:t>
      </w:r>
      <w:r w:rsidR="0044601A" w:rsidRPr="0019563D">
        <w:rPr>
          <w:sz w:val="28"/>
          <w:szCs w:val="28"/>
        </w:rPr>
        <w:t>Thus</w:t>
      </w:r>
      <w:r w:rsidR="002F0A0C" w:rsidRPr="0019563D">
        <w:rPr>
          <w:sz w:val="28"/>
          <w:szCs w:val="28"/>
        </w:rPr>
        <w:t xml:space="preserve">, for the reasons given, the Act permits of no want of procedural fairness in conferring a power upon the Authority to impose an administrative penalty. </w:t>
      </w:r>
    </w:p>
    <w:p w14:paraId="40BCFAA2" w14:textId="77777777" w:rsidR="00AD1678" w:rsidRPr="0019563D" w:rsidRDefault="00AD1678" w:rsidP="00AD1678">
      <w:pPr>
        <w:rPr>
          <w:sz w:val="28"/>
          <w:szCs w:val="28"/>
        </w:rPr>
      </w:pPr>
    </w:p>
    <w:p w14:paraId="039E8B54" w14:textId="5DBCDFD9" w:rsidR="00D3005B" w:rsidRPr="0019563D" w:rsidRDefault="007A4195" w:rsidP="007A4195">
      <w:pPr>
        <w:rPr>
          <w:sz w:val="28"/>
          <w:szCs w:val="28"/>
        </w:rPr>
      </w:pPr>
      <w:r w:rsidRPr="0019563D">
        <w:rPr>
          <w:sz w:val="28"/>
          <w:szCs w:val="28"/>
        </w:rPr>
        <w:t>[24]</w:t>
      </w:r>
      <w:r w:rsidRPr="0019563D">
        <w:rPr>
          <w:sz w:val="28"/>
          <w:szCs w:val="28"/>
        </w:rPr>
        <w:tab/>
      </w:r>
      <w:r w:rsidR="00D3005B" w:rsidRPr="0019563D">
        <w:rPr>
          <w:sz w:val="28"/>
          <w:szCs w:val="28"/>
        </w:rPr>
        <w:t>Sections 154 and 167 cannot be interpreted to exclude submissions concerning whether a person has contravened a financial sector law from the remit of the submissions that the Authority must invite an affected person to make. However, even if ss 154 and 167 could be rea</w:t>
      </w:r>
      <w:r w:rsidR="003F23C5" w:rsidRPr="0019563D">
        <w:rPr>
          <w:sz w:val="28"/>
          <w:szCs w:val="28"/>
        </w:rPr>
        <w:t>d on the basis that they do not,</w:t>
      </w:r>
      <w:r w:rsidR="00D3005B" w:rsidRPr="0019563D">
        <w:rPr>
          <w:sz w:val="28"/>
          <w:szCs w:val="28"/>
        </w:rPr>
        <w:t xml:space="preserve"> in terms</w:t>
      </w:r>
      <w:r w:rsidR="003F23C5" w:rsidRPr="0019563D">
        <w:rPr>
          <w:sz w:val="28"/>
          <w:szCs w:val="28"/>
        </w:rPr>
        <w:t>,</w:t>
      </w:r>
      <w:r w:rsidR="00D3005B" w:rsidRPr="0019563D">
        <w:rPr>
          <w:sz w:val="28"/>
          <w:szCs w:val="28"/>
        </w:rPr>
        <w:t xml:space="preserve"> expressly require the Authority to invite such submissions (contrary to the interpretation I consider to be correct), the interpretative outcome is no different.</w:t>
      </w:r>
      <w:r w:rsidR="00270CD5" w:rsidRPr="0019563D">
        <w:rPr>
          <w:sz w:val="28"/>
          <w:szCs w:val="28"/>
        </w:rPr>
        <w:t xml:space="preserve"> Section 91 of the Act stipulates that PAJA applies to any administrative action taken by the Authority. Whether the Authority’s decision as to whether a person has contravened a financial sector law is a discrete action, as the Beckers and Fusion contend, or whether it forms part of what the Authority determines when deciding whether to impose a sanction, it is administrative action on the part of the Authority to which PAJA applies. </w:t>
      </w:r>
      <w:r w:rsidR="00825973" w:rsidRPr="0019563D">
        <w:rPr>
          <w:sz w:val="28"/>
          <w:szCs w:val="28"/>
        </w:rPr>
        <w:t>H</w:t>
      </w:r>
      <w:r w:rsidR="00270CD5" w:rsidRPr="0019563D">
        <w:rPr>
          <w:sz w:val="28"/>
          <w:szCs w:val="28"/>
        </w:rPr>
        <w:t>ence</w:t>
      </w:r>
      <w:r w:rsidR="00825973" w:rsidRPr="0019563D">
        <w:rPr>
          <w:sz w:val="28"/>
          <w:szCs w:val="28"/>
        </w:rPr>
        <w:t>,</w:t>
      </w:r>
      <w:r w:rsidR="00270CD5" w:rsidRPr="0019563D">
        <w:rPr>
          <w:sz w:val="28"/>
          <w:szCs w:val="28"/>
        </w:rPr>
        <w:t xml:space="preserve"> the duty of the Authority to observe procedural fairness is inescapable and the Act, on this score, suffers no constitutional defect.</w:t>
      </w:r>
    </w:p>
    <w:p w14:paraId="72E49C72" w14:textId="77777777" w:rsidR="002F0A0C" w:rsidRPr="0019563D" w:rsidRDefault="002F0A0C" w:rsidP="004E3D32">
      <w:pPr>
        <w:rPr>
          <w:sz w:val="28"/>
          <w:szCs w:val="28"/>
        </w:rPr>
      </w:pPr>
    </w:p>
    <w:p w14:paraId="20B5A0C0" w14:textId="323CB372" w:rsidR="002F0A0C" w:rsidRPr="0019563D" w:rsidRDefault="007A4195" w:rsidP="007A4195">
      <w:pPr>
        <w:rPr>
          <w:sz w:val="28"/>
          <w:szCs w:val="28"/>
        </w:rPr>
      </w:pPr>
      <w:r w:rsidRPr="0019563D">
        <w:rPr>
          <w:sz w:val="28"/>
          <w:szCs w:val="28"/>
        </w:rPr>
        <w:t>[25]</w:t>
      </w:r>
      <w:r w:rsidRPr="0019563D">
        <w:rPr>
          <w:sz w:val="28"/>
          <w:szCs w:val="28"/>
        </w:rPr>
        <w:tab/>
      </w:r>
      <w:r w:rsidR="002F0A0C" w:rsidRPr="0019563D">
        <w:rPr>
          <w:sz w:val="28"/>
          <w:szCs w:val="28"/>
        </w:rPr>
        <w:t>As I understood the position of counsel for Fusion and the Beckers, if their challenge on the grounds of procedural fairness</w:t>
      </w:r>
      <w:r w:rsidR="00270CD5" w:rsidRPr="0019563D">
        <w:rPr>
          <w:sz w:val="28"/>
          <w:szCs w:val="28"/>
        </w:rPr>
        <w:t>,</w:t>
      </w:r>
      <w:r w:rsidR="002F0A0C" w:rsidRPr="0019563D">
        <w:rPr>
          <w:sz w:val="28"/>
          <w:szCs w:val="28"/>
        </w:rPr>
        <w:t xml:space="preserve"> in terms of s</w:t>
      </w:r>
      <w:r w:rsidR="004E3D32" w:rsidRPr="0019563D">
        <w:rPr>
          <w:sz w:val="28"/>
          <w:szCs w:val="28"/>
        </w:rPr>
        <w:t> </w:t>
      </w:r>
      <w:r w:rsidR="002F0A0C" w:rsidRPr="0019563D">
        <w:rPr>
          <w:sz w:val="28"/>
          <w:szCs w:val="28"/>
        </w:rPr>
        <w:t>33(1) of the Constitution</w:t>
      </w:r>
      <w:r w:rsidR="00270CD5" w:rsidRPr="0019563D">
        <w:rPr>
          <w:sz w:val="28"/>
          <w:szCs w:val="28"/>
        </w:rPr>
        <w:t>,</w:t>
      </w:r>
      <w:r w:rsidR="002F0A0C" w:rsidRPr="0019563D">
        <w:rPr>
          <w:sz w:val="28"/>
          <w:szCs w:val="28"/>
        </w:rPr>
        <w:t xml:space="preserve"> failed, then</w:t>
      </w:r>
      <w:r w:rsidR="00270CD5" w:rsidRPr="0019563D">
        <w:rPr>
          <w:sz w:val="28"/>
          <w:szCs w:val="28"/>
        </w:rPr>
        <w:t>,</w:t>
      </w:r>
      <w:r w:rsidR="002F0A0C" w:rsidRPr="0019563D">
        <w:rPr>
          <w:sz w:val="28"/>
          <w:szCs w:val="28"/>
        </w:rPr>
        <w:t xml:space="preserve"> they do not pursue their challenge to the Act based upon the proposition that the Authority is not an independent tribunal or forum, and thus its power to make a debarment order or impose an administrative fine offend</w:t>
      </w:r>
      <w:r w:rsidR="00270CD5" w:rsidRPr="0019563D">
        <w:rPr>
          <w:sz w:val="28"/>
          <w:szCs w:val="28"/>
        </w:rPr>
        <w:t>s against</w:t>
      </w:r>
      <w:r w:rsidR="002F0A0C" w:rsidRPr="0019563D">
        <w:rPr>
          <w:sz w:val="28"/>
          <w:szCs w:val="28"/>
        </w:rPr>
        <w:t xml:space="preserve"> the protections of s</w:t>
      </w:r>
      <w:r w:rsidR="00E1244F" w:rsidRPr="0019563D">
        <w:rPr>
          <w:sz w:val="28"/>
          <w:szCs w:val="28"/>
        </w:rPr>
        <w:t> </w:t>
      </w:r>
      <w:r w:rsidR="002F0A0C" w:rsidRPr="0019563D">
        <w:rPr>
          <w:sz w:val="28"/>
          <w:szCs w:val="28"/>
        </w:rPr>
        <w:t xml:space="preserve">34 of the Constitution. I have found that the procedural fairness </w:t>
      </w:r>
      <w:r w:rsidR="002F0A0C" w:rsidRPr="0019563D">
        <w:rPr>
          <w:sz w:val="28"/>
          <w:szCs w:val="28"/>
        </w:rPr>
        <w:lastRenderedPageBreak/>
        <w:t>challenge cannot prevail, and hence</w:t>
      </w:r>
      <w:r w:rsidR="00DD49C3" w:rsidRPr="0019563D">
        <w:rPr>
          <w:sz w:val="28"/>
          <w:szCs w:val="28"/>
        </w:rPr>
        <w:t>,</w:t>
      </w:r>
      <w:r w:rsidR="002F0A0C" w:rsidRPr="0019563D">
        <w:rPr>
          <w:sz w:val="28"/>
          <w:szCs w:val="28"/>
        </w:rPr>
        <w:t xml:space="preserve"> say nothing more of the challenge of Fusion and the Beckers in terms of s</w:t>
      </w:r>
      <w:r w:rsidR="00E1244F" w:rsidRPr="0019563D">
        <w:rPr>
          <w:sz w:val="28"/>
          <w:szCs w:val="28"/>
        </w:rPr>
        <w:t> </w:t>
      </w:r>
      <w:r w:rsidR="002F0A0C" w:rsidRPr="0019563D">
        <w:rPr>
          <w:sz w:val="28"/>
          <w:szCs w:val="28"/>
        </w:rPr>
        <w:t>34.</w:t>
      </w:r>
    </w:p>
    <w:p w14:paraId="6271B08C" w14:textId="77777777" w:rsidR="00E1244F" w:rsidRPr="0019563D" w:rsidRDefault="00E1244F" w:rsidP="00973499">
      <w:pPr>
        <w:rPr>
          <w:b/>
          <w:bCs/>
          <w:sz w:val="28"/>
          <w:szCs w:val="28"/>
        </w:rPr>
      </w:pPr>
    </w:p>
    <w:p w14:paraId="34EEA2B1" w14:textId="0F67CDC2" w:rsidR="00973499" w:rsidRPr="0019563D" w:rsidRDefault="002F0A0C" w:rsidP="00973499">
      <w:pPr>
        <w:rPr>
          <w:b/>
          <w:bCs/>
          <w:sz w:val="28"/>
          <w:szCs w:val="28"/>
        </w:rPr>
      </w:pPr>
      <w:r w:rsidRPr="0019563D">
        <w:rPr>
          <w:b/>
          <w:bCs/>
          <w:sz w:val="28"/>
          <w:szCs w:val="28"/>
        </w:rPr>
        <w:t xml:space="preserve">Remedy </w:t>
      </w:r>
    </w:p>
    <w:p w14:paraId="6ADFA6CB" w14:textId="68C03EF9" w:rsidR="00973499" w:rsidRPr="0019563D" w:rsidRDefault="007A4195" w:rsidP="007A4195">
      <w:pPr>
        <w:rPr>
          <w:sz w:val="28"/>
          <w:szCs w:val="28"/>
        </w:rPr>
      </w:pPr>
      <w:r w:rsidRPr="0019563D">
        <w:rPr>
          <w:sz w:val="28"/>
          <w:szCs w:val="28"/>
        </w:rPr>
        <w:t>[26]</w:t>
      </w:r>
      <w:r w:rsidRPr="0019563D">
        <w:rPr>
          <w:sz w:val="28"/>
          <w:szCs w:val="28"/>
        </w:rPr>
        <w:tab/>
      </w:r>
      <w:r w:rsidR="002F0A0C" w:rsidRPr="0019563D">
        <w:rPr>
          <w:sz w:val="28"/>
          <w:szCs w:val="28"/>
        </w:rPr>
        <w:t xml:space="preserve">For these reasons, the appeal of Fusion and the Beckers must be dismissed. Although the appeal raises issues of some constitutional import, this litigation has been pursued by Fusion and the Beckers to defend themselves against a regulatory imposition. That is of course their right. But having </w:t>
      </w:r>
      <w:r w:rsidR="00270CD5" w:rsidRPr="0019563D">
        <w:rPr>
          <w:sz w:val="28"/>
          <w:szCs w:val="28"/>
        </w:rPr>
        <w:t>not</w:t>
      </w:r>
      <w:r w:rsidR="002F0A0C" w:rsidRPr="0019563D">
        <w:rPr>
          <w:sz w:val="28"/>
          <w:szCs w:val="28"/>
        </w:rPr>
        <w:t xml:space="preserve"> prevail</w:t>
      </w:r>
      <w:r w:rsidR="00270CD5" w:rsidRPr="0019563D">
        <w:rPr>
          <w:sz w:val="28"/>
          <w:szCs w:val="28"/>
        </w:rPr>
        <w:t>ed</w:t>
      </w:r>
      <w:r w:rsidR="002F0A0C" w:rsidRPr="0019563D">
        <w:rPr>
          <w:sz w:val="28"/>
          <w:szCs w:val="28"/>
        </w:rPr>
        <w:t>, in my judgment</w:t>
      </w:r>
      <w:r w:rsidR="0019563D" w:rsidRPr="0019563D">
        <w:rPr>
          <w:sz w:val="28"/>
          <w:szCs w:val="28"/>
        </w:rPr>
        <w:t>,</w:t>
      </w:r>
      <w:r w:rsidR="002F0A0C" w:rsidRPr="0019563D">
        <w:rPr>
          <w:sz w:val="28"/>
          <w:szCs w:val="28"/>
        </w:rPr>
        <w:t xml:space="preserve"> they should bear the costs of this appeal.</w:t>
      </w:r>
    </w:p>
    <w:p w14:paraId="729CB10A" w14:textId="77777777" w:rsidR="00A553BE" w:rsidRPr="0019563D" w:rsidRDefault="00A553BE" w:rsidP="00A553BE">
      <w:pPr>
        <w:rPr>
          <w:sz w:val="28"/>
          <w:szCs w:val="28"/>
        </w:rPr>
      </w:pPr>
    </w:p>
    <w:p w14:paraId="3014EA17" w14:textId="619D407F" w:rsidR="002F0A0C" w:rsidRPr="0019563D" w:rsidRDefault="007A4195" w:rsidP="007A4195">
      <w:pPr>
        <w:rPr>
          <w:sz w:val="28"/>
          <w:szCs w:val="28"/>
        </w:rPr>
      </w:pPr>
      <w:r w:rsidRPr="0019563D">
        <w:rPr>
          <w:sz w:val="28"/>
          <w:szCs w:val="28"/>
        </w:rPr>
        <w:t>[27]</w:t>
      </w:r>
      <w:r w:rsidRPr="0019563D">
        <w:rPr>
          <w:sz w:val="28"/>
          <w:szCs w:val="28"/>
        </w:rPr>
        <w:tab/>
      </w:r>
      <w:r w:rsidR="002F0A0C" w:rsidRPr="0019563D">
        <w:rPr>
          <w:sz w:val="28"/>
          <w:szCs w:val="28"/>
        </w:rPr>
        <w:t xml:space="preserve">In the result: the appeal is dismissed with costs, such costs to include the </w:t>
      </w:r>
      <w:r w:rsidR="0044601A" w:rsidRPr="0019563D">
        <w:rPr>
          <w:sz w:val="28"/>
          <w:szCs w:val="28"/>
        </w:rPr>
        <w:t>costs</w:t>
      </w:r>
      <w:r w:rsidR="002F0A0C" w:rsidRPr="0019563D">
        <w:rPr>
          <w:sz w:val="28"/>
          <w:szCs w:val="28"/>
        </w:rPr>
        <w:t xml:space="preserve"> of two counsel, where so employed.</w:t>
      </w:r>
    </w:p>
    <w:p w14:paraId="53F2BD16" w14:textId="77777777" w:rsidR="004D30F7" w:rsidRPr="0019563D" w:rsidRDefault="004D30F7" w:rsidP="004D30F7">
      <w:pPr>
        <w:pStyle w:val="ListParagraph"/>
        <w:rPr>
          <w:sz w:val="28"/>
          <w:szCs w:val="28"/>
        </w:rPr>
      </w:pPr>
    </w:p>
    <w:p w14:paraId="745AA181" w14:textId="77777777" w:rsidR="004D30F7" w:rsidRPr="0019563D" w:rsidRDefault="004D30F7" w:rsidP="004D30F7">
      <w:pPr>
        <w:rPr>
          <w:sz w:val="28"/>
          <w:szCs w:val="28"/>
        </w:rPr>
      </w:pPr>
    </w:p>
    <w:p w14:paraId="083EF72A" w14:textId="77777777" w:rsidR="00A553BE" w:rsidRPr="0019563D" w:rsidRDefault="00A553BE" w:rsidP="00A553BE">
      <w:pPr>
        <w:rPr>
          <w:sz w:val="28"/>
          <w:szCs w:val="28"/>
        </w:rPr>
      </w:pPr>
    </w:p>
    <w:p w14:paraId="01356F09" w14:textId="77777777" w:rsidR="00BF09AC" w:rsidRPr="0019563D" w:rsidRDefault="00BF09AC" w:rsidP="006F609A">
      <w:pPr>
        <w:pStyle w:val="ListParagraph"/>
        <w:ind w:left="0"/>
        <w:jc w:val="right"/>
        <w:rPr>
          <w:sz w:val="28"/>
          <w:szCs w:val="28"/>
        </w:rPr>
      </w:pPr>
      <w:r w:rsidRPr="0019563D">
        <w:rPr>
          <w:sz w:val="28"/>
          <w:szCs w:val="28"/>
        </w:rPr>
        <w:t>___________________</w:t>
      </w:r>
      <w:r w:rsidR="006F609A" w:rsidRPr="0019563D">
        <w:rPr>
          <w:sz w:val="28"/>
          <w:szCs w:val="28"/>
        </w:rPr>
        <w:t>______</w:t>
      </w:r>
      <w:r w:rsidRPr="0019563D">
        <w:rPr>
          <w:sz w:val="28"/>
          <w:szCs w:val="28"/>
        </w:rPr>
        <w:t>_</w:t>
      </w:r>
    </w:p>
    <w:p w14:paraId="79F16E21" w14:textId="77777777" w:rsidR="00BF09AC" w:rsidRPr="0019563D" w:rsidRDefault="00BF09AC" w:rsidP="006F609A">
      <w:pPr>
        <w:pStyle w:val="ListParagraph"/>
        <w:ind w:left="0"/>
        <w:jc w:val="right"/>
        <w:rPr>
          <w:sz w:val="28"/>
          <w:szCs w:val="28"/>
        </w:rPr>
      </w:pPr>
      <w:r w:rsidRPr="0019563D">
        <w:rPr>
          <w:sz w:val="28"/>
          <w:szCs w:val="28"/>
        </w:rPr>
        <w:t>D N UNTERHALTER</w:t>
      </w:r>
    </w:p>
    <w:p w14:paraId="3E1ADB3B" w14:textId="77777777" w:rsidR="0031085B" w:rsidRPr="0019563D" w:rsidRDefault="006F609A" w:rsidP="006F609A">
      <w:pPr>
        <w:pStyle w:val="ListParagraph"/>
        <w:ind w:left="0"/>
        <w:jc w:val="right"/>
        <w:rPr>
          <w:sz w:val="28"/>
          <w:szCs w:val="28"/>
        </w:rPr>
      </w:pPr>
      <w:r w:rsidRPr="0019563D">
        <w:rPr>
          <w:sz w:val="28"/>
          <w:szCs w:val="28"/>
        </w:rPr>
        <w:t>ACTING JUDGE OF APPEAL</w:t>
      </w:r>
    </w:p>
    <w:p w14:paraId="27593363" w14:textId="77777777" w:rsidR="00BF09AC" w:rsidRPr="0019563D" w:rsidRDefault="00BF09AC" w:rsidP="0031085B">
      <w:pPr>
        <w:pStyle w:val="ListParagraph"/>
        <w:ind w:left="0"/>
        <w:rPr>
          <w:sz w:val="28"/>
          <w:szCs w:val="28"/>
        </w:rPr>
      </w:pPr>
    </w:p>
    <w:p w14:paraId="24152559" w14:textId="77777777" w:rsidR="00BF09AC" w:rsidRPr="0019563D" w:rsidRDefault="00BF09AC" w:rsidP="0031085B">
      <w:pPr>
        <w:pStyle w:val="ListParagraph"/>
        <w:ind w:left="0"/>
        <w:rPr>
          <w:sz w:val="28"/>
          <w:szCs w:val="28"/>
        </w:rPr>
      </w:pPr>
    </w:p>
    <w:p w14:paraId="023014AB" w14:textId="77777777" w:rsidR="006F609A" w:rsidRPr="0019563D" w:rsidRDefault="006F609A">
      <w:pPr>
        <w:spacing w:after="160" w:line="259" w:lineRule="auto"/>
        <w:jc w:val="left"/>
        <w:rPr>
          <w:sz w:val="28"/>
          <w:szCs w:val="28"/>
        </w:rPr>
      </w:pPr>
      <w:r w:rsidRPr="0019563D">
        <w:rPr>
          <w:sz w:val="28"/>
          <w:szCs w:val="28"/>
        </w:rPr>
        <w:br w:type="page"/>
      </w:r>
    </w:p>
    <w:p w14:paraId="09959E1F" w14:textId="77777777" w:rsidR="0031085B" w:rsidRPr="0019563D" w:rsidRDefault="0031085B" w:rsidP="0031085B">
      <w:pPr>
        <w:pStyle w:val="ListParagraph"/>
        <w:ind w:left="0"/>
        <w:rPr>
          <w:sz w:val="28"/>
          <w:szCs w:val="28"/>
        </w:rPr>
      </w:pPr>
      <w:r w:rsidRPr="0019563D">
        <w:rPr>
          <w:sz w:val="28"/>
          <w:szCs w:val="28"/>
        </w:rPr>
        <w:lastRenderedPageBreak/>
        <w:t>Appearances</w:t>
      </w:r>
    </w:p>
    <w:p w14:paraId="4BDFAF01" w14:textId="77777777" w:rsidR="0031085B" w:rsidRPr="0019563D" w:rsidRDefault="0031085B" w:rsidP="0031085B">
      <w:pPr>
        <w:pStyle w:val="ListParagraph"/>
        <w:ind w:left="0"/>
        <w:rPr>
          <w:sz w:val="28"/>
          <w:szCs w:val="28"/>
        </w:rPr>
      </w:pPr>
    </w:p>
    <w:p w14:paraId="72BC6E7E" w14:textId="1CC0E654" w:rsidR="00737F95" w:rsidRPr="0019563D" w:rsidRDefault="0031085B" w:rsidP="0031085B">
      <w:pPr>
        <w:pStyle w:val="ListParagraph"/>
        <w:ind w:left="0"/>
        <w:rPr>
          <w:sz w:val="28"/>
          <w:szCs w:val="28"/>
        </w:rPr>
      </w:pPr>
      <w:r w:rsidRPr="0019563D">
        <w:rPr>
          <w:sz w:val="28"/>
          <w:szCs w:val="28"/>
        </w:rPr>
        <w:t>For the appellant</w:t>
      </w:r>
      <w:r w:rsidR="00092448" w:rsidRPr="0019563D">
        <w:rPr>
          <w:sz w:val="28"/>
          <w:szCs w:val="28"/>
        </w:rPr>
        <w:t>s</w:t>
      </w:r>
      <w:r w:rsidRPr="0019563D">
        <w:rPr>
          <w:sz w:val="28"/>
          <w:szCs w:val="28"/>
        </w:rPr>
        <w:t>:</w:t>
      </w:r>
      <w:r w:rsidRPr="0019563D">
        <w:rPr>
          <w:sz w:val="28"/>
          <w:szCs w:val="28"/>
        </w:rPr>
        <w:tab/>
      </w:r>
      <w:r w:rsidRPr="0019563D">
        <w:rPr>
          <w:sz w:val="28"/>
          <w:szCs w:val="28"/>
        </w:rPr>
        <w:tab/>
      </w:r>
      <w:r w:rsidRPr="0019563D">
        <w:rPr>
          <w:sz w:val="28"/>
          <w:szCs w:val="28"/>
        </w:rPr>
        <w:tab/>
      </w:r>
      <w:r w:rsidR="00737F95" w:rsidRPr="0019563D">
        <w:rPr>
          <w:sz w:val="28"/>
          <w:szCs w:val="28"/>
        </w:rPr>
        <w:t xml:space="preserve">A R G Mundell SC </w:t>
      </w:r>
      <w:r w:rsidR="0044601A" w:rsidRPr="0019563D">
        <w:rPr>
          <w:sz w:val="28"/>
          <w:szCs w:val="28"/>
        </w:rPr>
        <w:t>(with</w:t>
      </w:r>
      <w:r w:rsidR="00737F95" w:rsidRPr="0019563D">
        <w:rPr>
          <w:sz w:val="28"/>
          <w:szCs w:val="28"/>
        </w:rPr>
        <w:t xml:space="preserve"> D van Niekerk</w:t>
      </w:r>
      <w:r w:rsidR="0044601A" w:rsidRPr="0019563D">
        <w:rPr>
          <w:sz w:val="28"/>
          <w:szCs w:val="28"/>
        </w:rPr>
        <w:t>)</w:t>
      </w:r>
      <w:r w:rsidR="00737F95" w:rsidRPr="0019563D">
        <w:rPr>
          <w:sz w:val="28"/>
          <w:szCs w:val="28"/>
        </w:rPr>
        <w:t xml:space="preserve"> </w:t>
      </w:r>
    </w:p>
    <w:p w14:paraId="26051784" w14:textId="2C32A08C" w:rsidR="0031085B" w:rsidRPr="0019563D" w:rsidRDefault="0031085B" w:rsidP="0031085B">
      <w:pPr>
        <w:pStyle w:val="ListParagraph"/>
        <w:ind w:left="0"/>
        <w:rPr>
          <w:sz w:val="28"/>
          <w:szCs w:val="28"/>
        </w:rPr>
      </w:pPr>
      <w:r w:rsidRPr="0019563D">
        <w:rPr>
          <w:sz w:val="28"/>
          <w:szCs w:val="28"/>
        </w:rPr>
        <w:t xml:space="preserve">Instructed by: </w:t>
      </w:r>
      <w:r w:rsidRPr="0019563D">
        <w:rPr>
          <w:sz w:val="28"/>
          <w:szCs w:val="28"/>
        </w:rPr>
        <w:tab/>
      </w:r>
      <w:r w:rsidRPr="0019563D">
        <w:rPr>
          <w:sz w:val="28"/>
          <w:szCs w:val="28"/>
        </w:rPr>
        <w:tab/>
      </w:r>
      <w:r w:rsidRPr="0019563D">
        <w:rPr>
          <w:sz w:val="28"/>
          <w:szCs w:val="28"/>
        </w:rPr>
        <w:tab/>
      </w:r>
      <w:r w:rsidR="00E72F35" w:rsidRPr="0019563D">
        <w:rPr>
          <w:sz w:val="28"/>
          <w:szCs w:val="28"/>
        </w:rPr>
        <w:t>Cowan-Harper-Madikizela Attorneys</w:t>
      </w:r>
      <w:r w:rsidR="00486481" w:rsidRPr="0019563D">
        <w:rPr>
          <w:sz w:val="28"/>
          <w:szCs w:val="28"/>
        </w:rPr>
        <w:t>, Sandton</w:t>
      </w:r>
    </w:p>
    <w:p w14:paraId="2C63EDF5" w14:textId="03A2161F" w:rsidR="0031085B" w:rsidRPr="0019563D" w:rsidRDefault="0031085B" w:rsidP="0031085B">
      <w:pPr>
        <w:pStyle w:val="ListParagraph"/>
        <w:ind w:left="0"/>
        <w:rPr>
          <w:sz w:val="28"/>
          <w:szCs w:val="28"/>
        </w:rPr>
      </w:pPr>
      <w:r w:rsidRPr="0019563D">
        <w:rPr>
          <w:sz w:val="28"/>
          <w:szCs w:val="28"/>
        </w:rPr>
        <w:tab/>
      </w:r>
      <w:r w:rsidRPr="0019563D">
        <w:rPr>
          <w:sz w:val="28"/>
          <w:szCs w:val="28"/>
        </w:rPr>
        <w:tab/>
      </w:r>
      <w:r w:rsidRPr="0019563D">
        <w:rPr>
          <w:sz w:val="28"/>
          <w:szCs w:val="28"/>
        </w:rPr>
        <w:tab/>
      </w:r>
      <w:r w:rsidRPr="0019563D">
        <w:rPr>
          <w:sz w:val="28"/>
          <w:szCs w:val="28"/>
        </w:rPr>
        <w:tab/>
      </w:r>
      <w:r w:rsidRPr="0019563D">
        <w:rPr>
          <w:sz w:val="28"/>
          <w:szCs w:val="28"/>
        </w:rPr>
        <w:tab/>
      </w:r>
      <w:r w:rsidR="00756519" w:rsidRPr="0019563D">
        <w:rPr>
          <w:sz w:val="28"/>
          <w:szCs w:val="28"/>
        </w:rPr>
        <w:t>Bezuidenhouts Inc., Bloemfontein</w:t>
      </w:r>
    </w:p>
    <w:p w14:paraId="10ACA307" w14:textId="77777777" w:rsidR="0031085B" w:rsidRPr="0019563D" w:rsidRDefault="0031085B" w:rsidP="0031085B">
      <w:pPr>
        <w:pStyle w:val="ListParagraph"/>
        <w:ind w:left="0"/>
        <w:rPr>
          <w:sz w:val="28"/>
          <w:szCs w:val="28"/>
        </w:rPr>
      </w:pPr>
    </w:p>
    <w:p w14:paraId="49F700E9" w14:textId="0335B5BB" w:rsidR="0031085B" w:rsidRPr="0019563D" w:rsidRDefault="00092448" w:rsidP="0031085B">
      <w:pPr>
        <w:pStyle w:val="ListParagraph"/>
        <w:ind w:left="0"/>
        <w:rPr>
          <w:sz w:val="28"/>
          <w:szCs w:val="28"/>
        </w:rPr>
      </w:pPr>
      <w:r w:rsidRPr="0019563D">
        <w:rPr>
          <w:sz w:val="28"/>
          <w:szCs w:val="28"/>
        </w:rPr>
        <w:t>For the</w:t>
      </w:r>
      <w:r w:rsidR="00F13A41" w:rsidRPr="0019563D">
        <w:rPr>
          <w:sz w:val="28"/>
          <w:szCs w:val="28"/>
        </w:rPr>
        <w:t xml:space="preserve"> first</w:t>
      </w:r>
      <w:r w:rsidRPr="0019563D">
        <w:rPr>
          <w:sz w:val="28"/>
          <w:szCs w:val="28"/>
        </w:rPr>
        <w:t xml:space="preserve"> respondent</w:t>
      </w:r>
      <w:r w:rsidR="0031085B" w:rsidRPr="0019563D">
        <w:rPr>
          <w:sz w:val="28"/>
          <w:szCs w:val="28"/>
        </w:rPr>
        <w:t>:</w:t>
      </w:r>
      <w:r w:rsidR="0031085B" w:rsidRPr="0019563D">
        <w:rPr>
          <w:sz w:val="28"/>
          <w:szCs w:val="28"/>
        </w:rPr>
        <w:tab/>
      </w:r>
      <w:r w:rsidR="0031085B" w:rsidRPr="0019563D">
        <w:rPr>
          <w:sz w:val="28"/>
          <w:szCs w:val="28"/>
        </w:rPr>
        <w:tab/>
      </w:r>
      <w:r w:rsidR="00F13A41" w:rsidRPr="0019563D">
        <w:rPr>
          <w:sz w:val="28"/>
          <w:szCs w:val="28"/>
        </w:rPr>
        <w:t>A Cockrell SC</w:t>
      </w:r>
    </w:p>
    <w:p w14:paraId="23EABB6B" w14:textId="696AA65B" w:rsidR="0031085B" w:rsidRPr="0019563D" w:rsidRDefault="0031085B" w:rsidP="0031085B">
      <w:pPr>
        <w:pStyle w:val="ListParagraph"/>
        <w:ind w:left="0"/>
        <w:rPr>
          <w:sz w:val="28"/>
          <w:szCs w:val="28"/>
        </w:rPr>
      </w:pPr>
      <w:r w:rsidRPr="0019563D">
        <w:rPr>
          <w:sz w:val="28"/>
          <w:szCs w:val="28"/>
        </w:rPr>
        <w:t>Instructed by:</w:t>
      </w:r>
      <w:r w:rsidRPr="0019563D">
        <w:rPr>
          <w:sz w:val="28"/>
          <w:szCs w:val="28"/>
        </w:rPr>
        <w:tab/>
      </w:r>
      <w:r w:rsidRPr="0019563D">
        <w:rPr>
          <w:sz w:val="28"/>
          <w:szCs w:val="28"/>
        </w:rPr>
        <w:tab/>
      </w:r>
      <w:r w:rsidRPr="0019563D">
        <w:rPr>
          <w:sz w:val="28"/>
          <w:szCs w:val="28"/>
        </w:rPr>
        <w:tab/>
      </w:r>
      <w:r w:rsidR="00756519" w:rsidRPr="0019563D">
        <w:rPr>
          <w:sz w:val="28"/>
          <w:szCs w:val="28"/>
        </w:rPr>
        <w:t>Mothle Jooma Sabdia Inc., Pretoria</w:t>
      </w:r>
    </w:p>
    <w:p w14:paraId="41745177" w14:textId="069E079C" w:rsidR="001F6B30" w:rsidRPr="0019563D" w:rsidRDefault="00756519" w:rsidP="001D6531">
      <w:pPr>
        <w:spacing w:line="240" w:lineRule="auto"/>
        <w:rPr>
          <w:sz w:val="28"/>
          <w:szCs w:val="28"/>
          <w:lang w:eastAsia="en-ZA"/>
        </w:rPr>
      </w:pPr>
      <w:r w:rsidRPr="0019563D">
        <w:rPr>
          <w:sz w:val="28"/>
          <w:szCs w:val="28"/>
          <w:lang w:eastAsia="en-ZA"/>
        </w:rPr>
        <w:tab/>
      </w:r>
      <w:r w:rsidRPr="0019563D">
        <w:rPr>
          <w:sz w:val="28"/>
          <w:szCs w:val="28"/>
          <w:lang w:eastAsia="en-ZA"/>
        </w:rPr>
        <w:tab/>
      </w:r>
      <w:r w:rsidRPr="0019563D">
        <w:rPr>
          <w:sz w:val="28"/>
          <w:szCs w:val="28"/>
          <w:lang w:eastAsia="en-ZA"/>
        </w:rPr>
        <w:tab/>
      </w:r>
      <w:r w:rsidRPr="0019563D">
        <w:rPr>
          <w:sz w:val="28"/>
          <w:szCs w:val="28"/>
          <w:lang w:eastAsia="en-ZA"/>
        </w:rPr>
        <w:tab/>
      </w:r>
      <w:r w:rsidRPr="0019563D">
        <w:rPr>
          <w:sz w:val="28"/>
          <w:szCs w:val="28"/>
          <w:lang w:eastAsia="en-ZA"/>
        </w:rPr>
        <w:tab/>
      </w:r>
      <w:r w:rsidR="00806977" w:rsidRPr="0019563D">
        <w:rPr>
          <w:sz w:val="28"/>
          <w:szCs w:val="28"/>
          <w:lang w:eastAsia="en-ZA"/>
        </w:rPr>
        <w:t>Matsepes Inc., Bloemfontein</w:t>
      </w:r>
    </w:p>
    <w:p w14:paraId="3E896787" w14:textId="77777777" w:rsidR="00F13A41" w:rsidRPr="0019563D" w:rsidRDefault="00F13A41" w:rsidP="001D6531">
      <w:pPr>
        <w:spacing w:line="240" w:lineRule="auto"/>
        <w:rPr>
          <w:sz w:val="28"/>
          <w:szCs w:val="28"/>
          <w:lang w:eastAsia="en-ZA"/>
        </w:rPr>
      </w:pPr>
    </w:p>
    <w:p w14:paraId="38558069" w14:textId="3223B988" w:rsidR="00F13A41" w:rsidRPr="0019563D" w:rsidRDefault="00F13A41" w:rsidP="001D6531">
      <w:pPr>
        <w:spacing w:line="240" w:lineRule="auto"/>
        <w:rPr>
          <w:sz w:val="28"/>
          <w:szCs w:val="28"/>
          <w:lang w:eastAsia="en-ZA"/>
        </w:rPr>
      </w:pPr>
      <w:r w:rsidRPr="0019563D">
        <w:rPr>
          <w:sz w:val="28"/>
          <w:szCs w:val="28"/>
          <w:lang w:eastAsia="en-ZA"/>
        </w:rPr>
        <w:t>For the second respondent:</w:t>
      </w:r>
      <w:r w:rsidRPr="0019563D">
        <w:rPr>
          <w:sz w:val="28"/>
          <w:szCs w:val="28"/>
          <w:lang w:eastAsia="en-ZA"/>
        </w:rPr>
        <w:tab/>
        <w:t xml:space="preserve">L Gcabashe SC </w:t>
      </w:r>
      <w:r w:rsidR="0044601A" w:rsidRPr="0019563D">
        <w:rPr>
          <w:sz w:val="28"/>
          <w:szCs w:val="28"/>
          <w:lang w:eastAsia="en-ZA"/>
        </w:rPr>
        <w:t>(with</w:t>
      </w:r>
      <w:r w:rsidRPr="0019563D">
        <w:rPr>
          <w:sz w:val="28"/>
          <w:szCs w:val="28"/>
          <w:lang w:eastAsia="en-ZA"/>
        </w:rPr>
        <w:t xml:space="preserve"> P Jara</w:t>
      </w:r>
      <w:r w:rsidR="0044601A" w:rsidRPr="0019563D">
        <w:rPr>
          <w:sz w:val="28"/>
          <w:szCs w:val="28"/>
          <w:lang w:eastAsia="en-ZA"/>
        </w:rPr>
        <w:t>)</w:t>
      </w:r>
    </w:p>
    <w:p w14:paraId="281CB696" w14:textId="1F917711" w:rsidR="00F13A41" w:rsidRPr="0019563D" w:rsidRDefault="00F13A41" w:rsidP="001D6531">
      <w:pPr>
        <w:spacing w:line="240" w:lineRule="auto"/>
        <w:rPr>
          <w:sz w:val="28"/>
          <w:szCs w:val="28"/>
          <w:lang w:eastAsia="en-ZA"/>
        </w:rPr>
      </w:pPr>
      <w:r w:rsidRPr="0019563D">
        <w:rPr>
          <w:sz w:val="28"/>
          <w:szCs w:val="28"/>
          <w:lang w:eastAsia="en-ZA"/>
        </w:rPr>
        <w:t>Instructed by:</w:t>
      </w:r>
      <w:r w:rsidRPr="0019563D">
        <w:rPr>
          <w:sz w:val="28"/>
          <w:szCs w:val="28"/>
          <w:lang w:eastAsia="en-ZA"/>
        </w:rPr>
        <w:tab/>
      </w:r>
      <w:r w:rsidRPr="0019563D">
        <w:rPr>
          <w:sz w:val="28"/>
          <w:szCs w:val="28"/>
          <w:lang w:eastAsia="en-ZA"/>
        </w:rPr>
        <w:tab/>
      </w:r>
      <w:r w:rsidRPr="0019563D">
        <w:rPr>
          <w:sz w:val="28"/>
          <w:szCs w:val="28"/>
          <w:lang w:eastAsia="en-ZA"/>
        </w:rPr>
        <w:tab/>
      </w:r>
      <w:r w:rsidR="009F4951" w:rsidRPr="0019563D">
        <w:rPr>
          <w:sz w:val="28"/>
          <w:szCs w:val="28"/>
          <w:lang w:eastAsia="en-ZA"/>
        </w:rPr>
        <w:t>The State Attorney, Pretoria</w:t>
      </w:r>
    </w:p>
    <w:p w14:paraId="7395479D" w14:textId="04E6909C" w:rsidR="009F4951" w:rsidRPr="0031085B" w:rsidRDefault="009F4951" w:rsidP="001D6531">
      <w:pPr>
        <w:spacing w:line="240" w:lineRule="auto"/>
        <w:rPr>
          <w:sz w:val="28"/>
          <w:szCs w:val="28"/>
          <w:lang w:eastAsia="en-ZA"/>
        </w:rPr>
      </w:pPr>
      <w:r w:rsidRPr="0019563D">
        <w:rPr>
          <w:sz w:val="28"/>
          <w:szCs w:val="28"/>
          <w:lang w:eastAsia="en-ZA"/>
        </w:rPr>
        <w:tab/>
      </w:r>
      <w:r w:rsidRPr="0019563D">
        <w:rPr>
          <w:sz w:val="28"/>
          <w:szCs w:val="28"/>
          <w:lang w:eastAsia="en-ZA"/>
        </w:rPr>
        <w:tab/>
      </w:r>
      <w:r w:rsidRPr="0019563D">
        <w:rPr>
          <w:sz w:val="28"/>
          <w:szCs w:val="28"/>
          <w:lang w:eastAsia="en-ZA"/>
        </w:rPr>
        <w:tab/>
      </w:r>
      <w:r w:rsidRPr="0019563D">
        <w:rPr>
          <w:sz w:val="28"/>
          <w:szCs w:val="28"/>
          <w:lang w:eastAsia="en-ZA"/>
        </w:rPr>
        <w:tab/>
      </w:r>
      <w:r w:rsidRPr="0019563D">
        <w:rPr>
          <w:sz w:val="28"/>
          <w:szCs w:val="28"/>
          <w:lang w:eastAsia="en-ZA"/>
        </w:rPr>
        <w:tab/>
      </w:r>
      <w:r w:rsidR="00006B54" w:rsidRPr="0019563D">
        <w:rPr>
          <w:sz w:val="28"/>
          <w:szCs w:val="28"/>
          <w:lang w:eastAsia="en-ZA"/>
        </w:rPr>
        <w:t>The State Attorney, Bloemfontein</w:t>
      </w:r>
    </w:p>
    <w:sectPr w:rsidR="009F4951"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0421" w14:textId="77777777" w:rsidR="009842FD" w:rsidRDefault="009842FD" w:rsidP="001F6B30">
      <w:pPr>
        <w:spacing w:line="240" w:lineRule="auto"/>
      </w:pPr>
      <w:r>
        <w:separator/>
      </w:r>
    </w:p>
  </w:endnote>
  <w:endnote w:type="continuationSeparator" w:id="0">
    <w:p w14:paraId="7A1522BD" w14:textId="77777777" w:rsidR="009842FD" w:rsidRDefault="009842FD"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4D4A8" w14:textId="77777777" w:rsidR="009842FD" w:rsidRDefault="009842FD" w:rsidP="001F6B30">
      <w:pPr>
        <w:spacing w:line="240" w:lineRule="auto"/>
      </w:pPr>
      <w:r>
        <w:separator/>
      </w:r>
    </w:p>
  </w:footnote>
  <w:footnote w:type="continuationSeparator" w:id="0">
    <w:p w14:paraId="3B9D4C86" w14:textId="77777777" w:rsidR="009842FD" w:rsidRDefault="009842FD" w:rsidP="001F6B30">
      <w:pPr>
        <w:spacing w:line="240" w:lineRule="auto"/>
      </w:pPr>
      <w:r>
        <w:continuationSeparator/>
      </w:r>
    </w:p>
  </w:footnote>
  <w:footnote w:id="1">
    <w:p w14:paraId="1F00D91A" w14:textId="7561FC9A" w:rsidR="00E53E6E" w:rsidRPr="00A84A9F" w:rsidRDefault="00E53E6E" w:rsidP="00A84A9F">
      <w:pPr>
        <w:pStyle w:val="FootnoteText"/>
        <w:jc w:val="both"/>
        <w:rPr>
          <w:rFonts w:ascii="Times New Roman" w:hAnsi="Times New Roman" w:cs="Times New Roman"/>
          <w:lang w:val="en-US"/>
        </w:rPr>
      </w:pPr>
      <w:r w:rsidRPr="00A84A9F">
        <w:rPr>
          <w:rStyle w:val="FootnoteReference"/>
          <w:rFonts w:ascii="Times New Roman" w:hAnsi="Times New Roman" w:cs="Times New Roman"/>
        </w:rPr>
        <w:footnoteRef/>
      </w:r>
      <w:r w:rsidRPr="00A84A9F">
        <w:rPr>
          <w:rFonts w:ascii="Times New Roman" w:hAnsi="Times New Roman" w:cs="Times New Roman"/>
        </w:rPr>
        <w:t xml:space="preserve"> </w:t>
      </w:r>
      <w:r w:rsidRPr="00A84A9F">
        <w:rPr>
          <w:rFonts w:ascii="Times New Roman" w:hAnsi="Times New Roman" w:cs="Times New Roman"/>
          <w:i/>
          <w:lang w:val="en-US"/>
        </w:rPr>
        <w:t xml:space="preserve">Zondi v Member of the Executive Council for Traditional and Local Affairs &amp; </w:t>
      </w:r>
      <w:r w:rsidR="005E52FE">
        <w:rPr>
          <w:rFonts w:ascii="Times New Roman" w:hAnsi="Times New Roman" w:cs="Times New Roman"/>
          <w:i/>
          <w:lang w:val="en-US"/>
        </w:rPr>
        <w:t>O</w:t>
      </w:r>
      <w:r w:rsidRPr="00A84A9F">
        <w:rPr>
          <w:rFonts w:ascii="Times New Roman" w:hAnsi="Times New Roman" w:cs="Times New Roman"/>
          <w:i/>
          <w:lang w:val="en-US"/>
        </w:rPr>
        <w:t>thers</w:t>
      </w:r>
      <w:r w:rsidRPr="00A84A9F">
        <w:rPr>
          <w:rFonts w:ascii="Times New Roman" w:hAnsi="Times New Roman" w:cs="Times New Roman"/>
          <w:lang w:val="en-US"/>
        </w:rPr>
        <w:t xml:space="preserve"> </w:t>
      </w:r>
      <w:r w:rsidR="00E73B91" w:rsidRPr="00E73B91">
        <w:rPr>
          <w:rFonts w:ascii="Times New Roman" w:hAnsi="Times New Roman" w:cs="Times New Roman"/>
          <w:lang w:val="en-US"/>
        </w:rPr>
        <w:t xml:space="preserve">[2004] ZACC 19; </w:t>
      </w:r>
      <w:r w:rsidRPr="00A84A9F">
        <w:rPr>
          <w:rFonts w:ascii="Times New Roman" w:hAnsi="Times New Roman" w:cs="Times New Roman"/>
          <w:lang w:val="en-US"/>
        </w:rPr>
        <w:t>2005 (3) SA 598 (CC)</w:t>
      </w:r>
      <w:r w:rsidR="005E52FE" w:rsidRPr="005E52FE">
        <w:rPr>
          <w:rFonts w:ascii="Times New Roman" w:hAnsi="Times New Roman" w:cs="Times New Roman"/>
          <w:lang w:val="en-US"/>
        </w:rPr>
        <w:t>; 2005 (4) BCLR 347 (CC)</w:t>
      </w:r>
      <w:r w:rsidR="00A84A9F">
        <w:rPr>
          <w:rFonts w:ascii="Times New Roman" w:hAnsi="Times New Roman" w:cs="Times New Roman"/>
          <w:lang w:val="en-US"/>
        </w:rPr>
        <w:t xml:space="preserve"> </w:t>
      </w:r>
      <w:r w:rsidRPr="00A84A9F">
        <w:rPr>
          <w:rFonts w:ascii="Times New Roman" w:hAnsi="Times New Roman" w:cs="Times New Roman"/>
          <w:lang w:val="en-US"/>
        </w:rPr>
        <w:t>para</w:t>
      </w:r>
      <w:r w:rsidR="000F2A13">
        <w:rPr>
          <w:rFonts w:ascii="Times New Roman" w:hAnsi="Times New Roman" w:cs="Times New Roman"/>
          <w:lang w:val="en-US"/>
        </w:rPr>
        <w:t>s</w:t>
      </w:r>
      <w:r w:rsidRPr="00A84A9F">
        <w:rPr>
          <w:rFonts w:ascii="Times New Roman" w:hAnsi="Times New Roman" w:cs="Times New Roman"/>
          <w:lang w:val="en-US"/>
        </w:rPr>
        <w:t xml:space="preserve"> 99 and 103</w:t>
      </w:r>
      <w:r w:rsidR="000F2A13">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746BAA" w:rsidRDefault="00746BA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38108E6F" w:rsidR="00746BAA" w:rsidRPr="0031085B" w:rsidRDefault="00746BA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7A4195">
      <w:rPr>
        <w:rStyle w:val="PageNumber"/>
        <w:noProof/>
        <w:sz w:val="28"/>
        <w:szCs w:val="28"/>
      </w:rPr>
      <w:t>15</w:t>
    </w:r>
    <w:r w:rsidRPr="0031085B">
      <w:rPr>
        <w:rStyle w:val="PageNumber"/>
        <w:sz w:val="28"/>
        <w:szCs w:val="28"/>
      </w:rPr>
      <w:fldChar w:fldCharType="end"/>
    </w:r>
  </w:p>
  <w:p w14:paraId="4637054D" w14:textId="77777777" w:rsidR="00746BAA" w:rsidRPr="0031085B" w:rsidRDefault="00746BA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CEA"/>
    <w:multiLevelType w:val="hybridMultilevel"/>
    <w:tmpl w:val="071E6CEE"/>
    <w:lvl w:ilvl="0" w:tplc="ECFC0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8"/>
  </w:num>
  <w:num w:numId="3">
    <w:abstractNumId w:val="11"/>
  </w:num>
  <w:num w:numId="4">
    <w:abstractNumId w:val="1"/>
  </w:num>
  <w:num w:numId="5">
    <w:abstractNumId w:val="14"/>
  </w:num>
  <w:num w:numId="6">
    <w:abstractNumId w:val="19"/>
  </w:num>
  <w:num w:numId="7">
    <w:abstractNumId w:val="1"/>
    <w:lvlOverride w:ilvl="0">
      <w:startOverride w:val="1"/>
    </w:lvlOverride>
  </w:num>
  <w:num w:numId="8">
    <w:abstractNumId w:val="16"/>
  </w:num>
  <w:num w:numId="9">
    <w:abstractNumId w:val="5"/>
  </w:num>
  <w:num w:numId="10">
    <w:abstractNumId w:val="20"/>
  </w:num>
  <w:num w:numId="11">
    <w:abstractNumId w:val="7"/>
  </w:num>
  <w:num w:numId="12">
    <w:abstractNumId w:val="10"/>
  </w:num>
  <w:num w:numId="13">
    <w:abstractNumId w:val="21"/>
  </w:num>
  <w:num w:numId="14">
    <w:abstractNumId w:val="23"/>
  </w:num>
  <w:num w:numId="15">
    <w:abstractNumId w:val="15"/>
  </w:num>
  <w:num w:numId="16">
    <w:abstractNumId w:val="8"/>
  </w:num>
  <w:num w:numId="17">
    <w:abstractNumId w:val="12"/>
  </w:num>
  <w:num w:numId="18">
    <w:abstractNumId w:val="6"/>
  </w:num>
  <w:num w:numId="19">
    <w:abstractNumId w:val="17"/>
  </w:num>
  <w:num w:numId="20">
    <w:abstractNumId w:val="4"/>
  </w:num>
  <w:num w:numId="21">
    <w:abstractNumId w:val="13"/>
  </w:num>
  <w:num w:numId="22">
    <w:abstractNumId w:val="0"/>
  </w:num>
  <w:num w:numId="23">
    <w:abstractNumId w:val="9"/>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E01"/>
    <w:rsid w:val="00004E24"/>
    <w:rsid w:val="00006B54"/>
    <w:rsid w:val="00011F78"/>
    <w:rsid w:val="000123F7"/>
    <w:rsid w:val="00017688"/>
    <w:rsid w:val="00017F10"/>
    <w:rsid w:val="0002006C"/>
    <w:rsid w:val="00025101"/>
    <w:rsid w:val="000301AB"/>
    <w:rsid w:val="000309F3"/>
    <w:rsid w:val="00043B45"/>
    <w:rsid w:val="0005367A"/>
    <w:rsid w:val="00054B69"/>
    <w:rsid w:val="00055D63"/>
    <w:rsid w:val="00056778"/>
    <w:rsid w:val="00060155"/>
    <w:rsid w:val="000726AB"/>
    <w:rsid w:val="0007519F"/>
    <w:rsid w:val="00077ADF"/>
    <w:rsid w:val="000812A5"/>
    <w:rsid w:val="00081E78"/>
    <w:rsid w:val="00092448"/>
    <w:rsid w:val="000943CB"/>
    <w:rsid w:val="000972B8"/>
    <w:rsid w:val="00097747"/>
    <w:rsid w:val="000A36B8"/>
    <w:rsid w:val="000A5743"/>
    <w:rsid w:val="000A5D31"/>
    <w:rsid w:val="000B513F"/>
    <w:rsid w:val="000B5825"/>
    <w:rsid w:val="000B5882"/>
    <w:rsid w:val="000B5EF9"/>
    <w:rsid w:val="000C17E4"/>
    <w:rsid w:val="000C4362"/>
    <w:rsid w:val="000C5FAA"/>
    <w:rsid w:val="000D0A48"/>
    <w:rsid w:val="000D6414"/>
    <w:rsid w:val="000D6C54"/>
    <w:rsid w:val="000E0536"/>
    <w:rsid w:val="000E45AA"/>
    <w:rsid w:val="000E46D7"/>
    <w:rsid w:val="000E6FDF"/>
    <w:rsid w:val="000F2A13"/>
    <w:rsid w:val="000F3F4B"/>
    <w:rsid w:val="000F4E76"/>
    <w:rsid w:val="0010045B"/>
    <w:rsid w:val="0010179D"/>
    <w:rsid w:val="00101C96"/>
    <w:rsid w:val="001025FE"/>
    <w:rsid w:val="00102833"/>
    <w:rsid w:val="001032B0"/>
    <w:rsid w:val="00103DD8"/>
    <w:rsid w:val="0010761C"/>
    <w:rsid w:val="00112CB9"/>
    <w:rsid w:val="00116E62"/>
    <w:rsid w:val="001205B3"/>
    <w:rsid w:val="0012486E"/>
    <w:rsid w:val="00130006"/>
    <w:rsid w:val="00130165"/>
    <w:rsid w:val="00137C0C"/>
    <w:rsid w:val="00142412"/>
    <w:rsid w:val="00145B4C"/>
    <w:rsid w:val="00150FE6"/>
    <w:rsid w:val="00151148"/>
    <w:rsid w:val="001522B4"/>
    <w:rsid w:val="00154C26"/>
    <w:rsid w:val="00155599"/>
    <w:rsid w:val="00157C87"/>
    <w:rsid w:val="001614C3"/>
    <w:rsid w:val="00163A48"/>
    <w:rsid w:val="00165554"/>
    <w:rsid w:val="00165EE5"/>
    <w:rsid w:val="00171891"/>
    <w:rsid w:val="00171CCC"/>
    <w:rsid w:val="00171FE7"/>
    <w:rsid w:val="001736D2"/>
    <w:rsid w:val="001767EA"/>
    <w:rsid w:val="00181E4E"/>
    <w:rsid w:val="00183C61"/>
    <w:rsid w:val="001842EE"/>
    <w:rsid w:val="001913C7"/>
    <w:rsid w:val="001930BF"/>
    <w:rsid w:val="0019487C"/>
    <w:rsid w:val="0019563D"/>
    <w:rsid w:val="001A421F"/>
    <w:rsid w:val="001B29EC"/>
    <w:rsid w:val="001B40C3"/>
    <w:rsid w:val="001C02D7"/>
    <w:rsid w:val="001C0705"/>
    <w:rsid w:val="001C0956"/>
    <w:rsid w:val="001C4732"/>
    <w:rsid w:val="001C6EBA"/>
    <w:rsid w:val="001D4606"/>
    <w:rsid w:val="001D6531"/>
    <w:rsid w:val="001D6A34"/>
    <w:rsid w:val="001E1846"/>
    <w:rsid w:val="001E2FD9"/>
    <w:rsid w:val="001E3165"/>
    <w:rsid w:val="001E3912"/>
    <w:rsid w:val="001E721D"/>
    <w:rsid w:val="001F200C"/>
    <w:rsid w:val="001F33FC"/>
    <w:rsid w:val="001F37D9"/>
    <w:rsid w:val="001F41C4"/>
    <w:rsid w:val="001F44BE"/>
    <w:rsid w:val="001F55FF"/>
    <w:rsid w:val="001F6746"/>
    <w:rsid w:val="001F6B30"/>
    <w:rsid w:val="002102DF"/>
    <w:rsid w:val="00210C75"/>
    <w:rsid w:val="002116F4"/>
    <w:rsid w:val="00212A42"/>
    <w:rsid w:val="00217CE3"/>
    <w:rsid w:val="00225094"/>
    <w:rsid w:val="00225AB5"/>
    <w:rsid w:val="00230F12"/>
    <w:rsid w:val="0023384D"/>
    <w:rsid w:val="00234C6E"/>
    <w:rsid w:val="00241641"/>
    <w:rsid w:val="00241A85"/>
    <w:rsid w:val="00253513"/>
    <w:rsid w:val="0026063E"/>
    <w:rsid w:val="00265960"/>
    <w:rsid w:val="00266129"/>
    <w:rsid w:val="00266C47"/>
    <w:rsid w:val="00267C7A"/>
    <w:rsid w:val="002708D2"/>
    <w:rsid w:val="00270C43"/>
    <w:rsid w:val="00270CD5"/>
    <w:rsid w:val="00272967"/>
    <w:rsid w:val="00282435"/>
    <w:rsid w:val="00292E17"/>
    <w:rsid w:val="00295018"/>
    <w:rsid w:val="00295BB0"/>
    <w:rsid w:val="002A149F"/>
    <w:rsid w:val="002A546F"/>
    <w:rsid w:val="002B2864"/>
    <w:rsid w:val="002B50E5"/>
    <w:rsid w:val="002B6463"/>
    <w:rsid w:val="002C7919"/>
    <w:rsid w:val="002D3E16"/>
    <w:rsid w:val="002D52B1"/>
    <w:rsid w:val="002D67CE"/>
    <w:rsid w:val="002E343D"/>
    <w:rsid w:val="002F093D"/>
    <w:rsid w:val="002F0A0C"/>
    <w:rsid w:val="002F3813"/>
    <w:rsid w:val="002F3ACD"/>
    <w:rsid w:val="002F7404"/>
    <w:rsid w:val="0030261A"/>
    <w:rsid w:val="0030443F"/>
    <w:rsid w:val="00305762"/>
    <w:rsid w:val="00305BFE"/>
    <w:rsid w:val="00307878"/>
    <w:rsid w:val="0031085B"/>
    <w:rsid w:val="00310C48"/>
    <w:rsid w:val="00315C7E"/>
    <w:rsid w:val="00324471"/>
    <w:rsid w:val="0032538C"/>
    <w:rsid w:val="00327502"/>
    <w:rsid w:val="00330BA9"/>
    <w:rsid w:val="003310B5"/>
    <w:rsid w:val="0033289C"/>
    <w:rsid w:val="00340531"/>
    <w:rsid w:val="00341640"/>
    <w:rsid w:val="0034234D"/>
    <w:rsid w:val="00350334"/>
    <w:rsid w:val="00352A4A"/>
    <w:rsid w:val="00353837"/>
    <w:rsid w:val="00361306"/>
    <w:rsid w:val="00367421"/>
    <w:rsid w:val="00367B9C"/>
    <w:rsid w:val="00371D6D"/>
    <w:rsid w:val="00373C11"/>
    <w:rsid w:val="00380B58"/>
    <w:rsid w:val="00380FE8"/>
    <w:rsid w:val="00381F89"/>
    <w:rsid w:val="003833C9"/>
    <w:rsid w:val="00383900"/>
    <w:rsid w:val="003930FB"/>
    <w:rsid w:val="003967B1"/>
    <w:rsid w:val="00397168"/>
    <w:rsid w:val="003972C0"/>
    <w:rsid w:val="003A1119"/>
    <w:rsid w:val="003A35D6"/>
    <w:rsid w:val="003B33C8"/>
    <w:rsid w:val="003B3A29"/>
    <w:rsid w:val="003B4568"/>
    <w:rsid w:val="003C0570"/>
    <w:rsid w:val="003C0B3B"/>
    <w:rsid w:val="003C30EB"/>
    <w:rsid w:val="003C3D9F"/>
    <w:rsid w:val="003C6A24"/>
    <w:rsid w:val="003C71D8"/>
    <w:rsid w:val="003D60EB"/>
    <w:rsid w:val="003D6187"/>
    <w:rsid w:val="003D79FA"/>
    <w:rsid w:val="003E18BB"/>
    <w:rsid w:val="003E2783"/>
    <w:rsid w:val="003E3AC6"/>
    <w:rsid w:val="003E3AFA"/>
    <w:rsid w:val="003E7C5A"/>
    <w:rsid w:val="003E7F6F"/>
    <w:rsid w:val="003F1D40"/>
    <w:rsid w:val="003F23C5"/>
    <w:rsid w:val="003F38A4"/>
    <w:rsid w:val="003F48ED"/>
    <w:rsid w:val="00410589"/>
    <w:rsid w:val="00420273"/>
    <w:rsid w:val="004212DC"/>
    <w:rsid w:val="00423AA8"/>
    <w:rsid w:val="004334F2"/>
    <w:rsid w:val="004435A0"/>
    <w:rsid w:val="00443805"/>
    <w:rsid w:val="004458E8"/>
    <w:rsid w:val="0044601A"/>
    <w:rsid w:val="004479D1"/>
    <w:rsid w:val="0045020D"/>
    <w:rsid w:val="004532A5"/>
    <w:rsid w:val="00466054"/>
    <w:rsid w:val="00467FFC"/>
    <w:rsid w:val="004708CC"/>
    <w:rsid w:val="00472BF6"/>
    <w:rsid w:val="00476B17"/>
    <w:rsid w:val="004812DA"/>
    <w:rsid w:val="00483410"/>
    <w:rsid w:val="004861DF"/>
    <w:rsid w:val="00486481"/>
    <w:rsid w:val="00490CE3"/>
    <w:rsid w:val="004A0E45"/>
    <w:rsid w:val="004B2365"/>
    <w:rsid w:val="004C2DE9"/>
    <w:rsid w:val="004C5CE1"/>
    <w:rsid w:val="004D2880"/>
    <w:rsid w:val="004D30F7"/>
    <w:rsid w:val="004D368B"/>
    <w:rsid w:val="004D3D7C"/>
    <w:rsid w:val="004E1D4C"/>
    <w:rsid w:val="004E34A4"/>
    <w:rsid w:val="004E3D32"/>
    <w:rsid w:val="004E48FF"/>
    <w:rsid w:val="004E4CD3"/>
    <w:rsid w:val="004F27D3"/>
    <w:rsid w:val="004F4F81"/>
    <w:rsid w:val="004F789F"/>
    <w:rsid w:val="0050508B"/>
    <w:rsid w:val="00513AE7"/>
    <w:rsid w:val="00520FDC"/>
    <w:rsid w:val="0052109F"/>
    <w:rsid w:val="00522518"/>
    <w:rsid w:val="00523181"/>
    <w:rsid w:val="0053459B"/>
    <w:rsid w:val="00537E64"/>
    <w:rsid w:val="00544B3E"/>
    <w:rsid w:val="005515F1"/>
    <w:rsid w:val="005517C4"/>
    <w:rsid w:val="00551848"/>
    <w:rsid w:val="00552783"/>
    <w:rsid w:val="00553FA7"/>
    <w:rsid w:val="005542C0"/>
    <w:rsid w:val="00554402"/>
    <w:rsid w:val="00555E9F"/>
    <w:rsid w:val="00561AEB"/>
    <w:rsid w:val="00561CE5"/>
    <w:rsid w:val="0056533B"/>
    <w:rsid w:val="00572D04"/>
    <w:rsid w:val="00574506"/>
    <w:rsid w:val="00574D13"/>
    <w:rsid w:val="00584799"/>
    <w:rsid w:val="00584A9D"/>
    <w:rsid w:val="005865FC"/>
    <w:rsid w:val="0059014E"/>
    <w:rsid w:val="005A0553"/>
    <w:rsid w:val="005A0622"/>
    <w:rsid w:val="005A1C2C"/>
    <w:rsid w:val="005A442C"/>
    <w:rsid w:val="005B0C96"/>
    <w:rsid w:val="005B10E8"/>
    <w:rsid w:val="005B23CB"/>
    <w:rsid w:val="005B2B4C"/>
    <w:rsid w:val="005B4B79"/>
    <w:rsid w:val="005C3085"/>
    <w:rsid w:val="005C42F6"/>
    <w:rsid w:val="005C44C0"/>
    <w:rsid w:val="005C7F89"/>
    <w:rsid w:val="005D1D8C"/>
    <w:rsid w:val="005D25F1"/>
    <w:rsid w:val="005D7F0E"/>
    <w:rsid w:val="005E04A3"/>
    <w:rsid w:val="005E1980"/>
    <w:rsid w:val="005E2468"/>
    <w:rsid w:val="005E4A32"/>
    <w:rsid w:val="005E52FE"/>
    <w:rsid w:val="005E59EF"/>
    <w:rsid w:val="005E5C31"/>
    <w:rsid w:val="005E6285"/>
    <w:rsid w:val="005E7668"/>
    <w:rsid w:val="005E7909"/>
    <w:rsid w:val="005F291C"/>
    <w:rsid w:val="005F3E05"/>
    <w:rsid w:val="005F76F3"/>
    <w:rsid w:val="00600AA3"/>
    <w:rsid w:val="00603EAF"/>
    <w:rsid w:val="00605286"/>
    <w:rsid w:val="0060587A"/>
    <w:rsid w:val="0060676F"/>
    <w:rsid w:val="0060760E"/>
    <w:rsid w:val="006115D3"/>
    <w:rsid w:val="006129CD"/>
    <w:rsid w:val="00615F18"/>
    <w:rsid w:val="006259B3"/>
    <w:rsid w:val="006275ED"/>
    <w:rsid w:val="00631B90"/>
    <w:rsid w:val="0063488B"/>
    <w:rsid w:val="0063506A"/>
    <w:rsid w:val="006356E1"/>
    <w:rsid w:val="00642C8F"/>
    <w:rsid w:val="0064475B"/>
    <w:rsid w:val="00644DB9"/>
    <w:rsid w:val="00646550"/>
    <w:rsid w:val="00647676"/>
    <w:rsid w:val="00651733"/>
    <w:rsid w:val="0065220E"/>
    <w:rsid w:val="006535AB"/>
    <w:rsid w:val="00653C57"/>
    <w:rsid w:val="006565CC"/>
    <w:rsid w:val="006572D1"/>
    <w:rsid w:val="00663862"/>
    <w:rsid w:val="00663FB0"/>
    <w:rsid w:val="00664639"/>
    <w:rsid w:val="006655D3"/>
    <w:rsid w:val="00670172"/>
    <w:rsid w:val="006763D1"/>
    <w:rsid w:val="00676D8D"/>
    <w:rsid w:val="00681140"/>
    <w:rsid w:val="006877F6"/>
    <w:rsid w:val="00690C7D"/>
    <w:rsid w:val="00693160"/>
    <w:rsid w:val="00693E83"/>
    <w:rsid w:val="00695CC9"/>
    <w:rsid w:val="00697039"/>
    <w:rsid w:val="00697528"/>
    <w:rsid w:val="006A00F9"/>
    <w:rsid w:val="006A5A1F"/>
    <w:rsid w:val="006A6A41"/>
    <w:rsid w:val="006A7011"/>
    <w:rsid w:val="006B1BF8"/>
    <w:rsid w:val="006B27C8"/>
    <w:rsid w:val="006B2912"/>
    <w:rsid w:val="006B36CD"/>
    <w:rsid w:val="006B5BEA"/>
    <w:rsid w:val="006B74B4"/>
    <w:rsid w:val="006C0893"/>
    <w:rsid w:val="006C39D4"/>
    <w:rsid w:val="006C3C99"/>
    <w:rsid w:val="006C76A0"/>
    <w:rsid w:val="006C7EBE"/>
    <w:rsid w:val="006D18AF"/>
    <w:rsid w:val="006D2F92"/>
    <w:rsid w:val="006D6AAA"/>
    <w:rsid w:val="006D7C08"/>
    <w:rsid w:val="006E0898"/>
    <w:rsid w:val="006E1941"/>
    <w:rsid w:val="006F1BA0"/>
    <w:rsid w:val="006F4078"/>
    <w:rsid w:val="006F609A"/>
    <w:rsid w:val="0070058D"/>
    <w:rsid w:val="00702BEF"/>
    <w:rsid w:val="007071C7"/>
    <w:rsid w:val="007105ED"/>
    <w:rsid w:val="00712AC6"/>
    <w:rsid w:val="00713959"/>
    <w:rsid w:val="007141FE"/>
    <w:rsid w:val="0071440A"/>
    <w:rsid w:val="007234D8"/>
    <w:rsid w:val="00724262"/>
    <w:rsid w:val="007263C5"/>
    <w:rsid w:val="00731228"/>
    <w:rsid w:val="00731800"/>
    <w:rsid w:val="00733256"/>
    <w:rsid w:val="00733DE6"/>
    <w:rsid w:val="00737D83"/>
    <w:rsid w:val="00737F95"/>
    <w:rsid w:val="007458F0"/>
    <w:rsid w:val="00746118"/>
    <w:rsid w:val="00746BAA"/>
    <w:rsid w:val="00750305"/>
    <w:rsid w:val="007503D5"/>
    <w:rsid w:val="00754D96"/>
    <w:rsid w:val="00755577"/>
    <w:rsid w:val="00755AB9"/>
    <w:rsid w:val="0075618B"/>
    <w:rsid w:val="00756519"/>
    <w:rsid w:val="0076359F"/>
    <w:rsid w:val="00765BD0"/>
    <w:rsid w:val="0076769E"/>
    <w:rsid w:val="00771F57"/>
    <w:rsid w:val="0077461C"/>
    <w:rsid w:val="00776F05"/>
    <w:rsid w:val="00781F5C"/>
    <w:rsid w:val="00784918"/>
    <w:rsid w:val="0078500F"/>
    <w:rsid w:val="00791666"/>
    <w:rsid w:val="007941F5"/>
    <w:rsid w:val="007A0E1B"/>
    <w:rsid w:val="007A4195"/>
    <w:rsid w:val="007A5896"/>
    <w:rsid w:val="007A5908"/>
    <w:rsid w:val="007B077C"/>
    <w:rsid w:val="007B3103"/>
    <w:rsid w:val="007B36EA"/>
    <w:rsid w:val="007B3A7A"/>
    <w:rsid w:val="007B3BBA"/>
    <w:rsid w:val="007B50AA"/>
    <w:rsid w:val="007B5A04"/>
    <w:rsid w:val="007B6B29"/>
    <w:rsid w:val="007C2656"/>
    <w:rsid w:val="007C359D"/>
    <w:rsid w:val="007C6BE8"/>
    <w:rsid w:val="007D02AE"/>
    <w:rsid w:val="007D0811"/>
    <w:rsid w:val="007D4737"/>
    <w:rsid w:val="007D5A90"/>
    <w:rsid w:val="007D6621"/>
    <w:rsid w:val="007D6C3F"/>
    <w:rsid w:val="007E1CC6"/>
    <w:rsid w:val="007E62CD"/>
    <w:rsid w:val="007E7BBF"/>
    <w:rsid w:val="007F283E"/>
    <w:rsid w:val="007F2A0E"/>
    <w:rsid w:val="007F4FA4"/>
    <w:rsid w:val="00800426"/>
    <w:rsid w:val="00800E6C"/>
    <w:rsid w:val="00800FC8"/>
    <w:rsid w:val="0080110F"/>
    <w:rsid w:val="00806977"/>
    <w:rsid w:val="008108E9"/>
    <w:rsid w:val="008126F4"/>
    <w:rsid w:val="008133EF"/>
    <w:rsid w:val="0081398C"/>
    <w:rsid w:val="00822035"/>
    <w:rsid w:val="00825973"/>
    <w:rsid w:val="00825F44"/>
    <w:rsid w:val="008275D3"/>
    <w:rsid w:val="00830E81"/>
    <w:rsid w:val="00836B14"/>
    <w:rsid w:val="008424E2"/>
    <w:rsid w:val="00843225"/>
    <w:rsid w:val="00845261"/>
    <w:rsid w:val="00846352"/>
    <w:rsid w:val="00851F40"/>
    <w:rsid w:val="00853F25"/>
    <w:rsid w:val="00854B2C"/>
    <w:rsid w:val="008557DD"/>
    <w:rsid w:val="00857F82"/>
    <w:rsid w:val="00862686"/>
    <w:rsid w:val="00863146"/>
    <w:rsid w:val="00870CC6"/>
    <w:rsid w:val="008718F2"/>
    <w:rsid w:val="00872699"/>
    <w:rsid w:val="0087415A"/>
    <w:rsid w:val="00874AE0"/>
    <w:rsid w:val="00877CE9"/>
    <w:rsid w:val="008803D4"/>
    <w:rsid w:val="008825DD"/>
    <w:rsid w:val="008834A8"/>
    <w:rsid w:val="00883606"/>
    <w:rsid w:val="00883FDF"/>
    <w:rsid w:val="00884663"/>
    <w:rsid w:val="008926A9"/>
    <w:rsid w:val="00892B22"/>
    <w:rsid w:val="0089388F"/>
    <w:rsid w:val="00895BB0"/>
    <w:rsid w:val="00895F2B"/>
    <w:rsid w:val="008966E7"/>
    <w:rsid w:val="008A3DB4"/>
    <w:rsid w:val="008B056E"/>
    <w:rsid w:val="008B07AB"/>
    <w:rsid w:val="008B4AE4"/>
    <w:rsid w:val="008B5018"/>
    <w:rsid w:val="008B5944"/>
    <w:rsid w:val="008C574C"/>
    <w:rsid w:val="008C7845"/>
    <w:rsid w:val="008D49A5"/>
    <w:rsid w:val="008D4ACA"/>
    <w:rsid w:val="008D61EA"/>
    <w:rsid w:val="008E2906"/>
    <w:rsid w:val="008E6B00"/>
    <w:rsid w:val="008E76AD"/>
    <w:rsid w:val="008F11FB"/>
    <w:rsid w:val="008F1F1D"/>
    <w:rsid w:val="008F497D"/>
    <w:rsid w:val="00910592"/>
    <w:rsid w:val="00910D22"/>
    <w:rsid w:val="009124DB"/>
    <w:rsid w:val="0091453E"/>
    <w:rsid w:val="0091627E"/>
    <w:rsid w:val="00921B84"/>
    <w:rsid w:val="009222CA"/>
    <w:rsid w:val="009445DB"/>
    <w:rsid w:val="00947010"/>
    <w:rsid w:val="00947773"/>
    <w:rsid w:val="00952912"/>
    <w:rsid w:val="00955113"/>
    <w:rsid w:val="009564E6"/>
    <w:rsid w:val="00956C95"/>
    <w:rsid w:val="0095728C"/>
    <w:rsid w:val="009577C5"/>
    <w:rsid w:val="009614B1"/>
    <w:rsid w:val="009627EF"/>
    <w:rsid w:val="00963F98"/>
    <w:rsid w:val="00970499"/>
    <w:rsid w:val="00972FAA"/>
    <w:rsid w:val="009733B0"/>
    <w:rsid w:val="00973499"/>
    <w:rsid w:val="00973917"/>
    <w:rsid w:val="00982CAF"/>
    <w:rsid w:val="009841F9"/>
    <w:rsid w:val="009842FD"/>
    <w:rsid w:val="00992307"/>
    <w:rsid w:val="00992A03"/>
    <w:rsid w:val="009A035B"/>
    <w:rsid w:val="009A3155"/>
    <w:rsid w:val="009A47D5"/>
    <w:rsid w:val="009A7F43"/>
    <w:rsid w:val="009B1AF7"/>
    <w:rsid w:val="009B2BF1"/>
    <w:rsid w:val="009B6B2C"/>
    <w:rsid w:val="009B6C64"/>
    <w:rsid w:val="009C1611"/>
    <w:rsid w:val="009C32E9"/>
    <w:rsid w:val="009C7A96"/>
    <w:rsid w:val="009D0227"/>
    <w:rsid w:val="009D1434"/>
    <w:rsid w:val="009D3A58"/>
    <w:rsid w:val="009D45D6"/>
    <w:rsid w:val="009D7C7C"/>
    <w:rsid w:val="009E07DF"/>
    <w:rsid w:val="009E2B62"/>
    <w:rsid w:val="009E3C5A"/>
    <w:rsid w:val="009E3EBB"/>
    <w:rsid w:val="009E4937"/>
    <w:rsid w:val="009E499B"/>
    <w:rsid w:val="009E75DF"/>
    <w:rsid w:val="009F3C57"/>
    <w:rsid w:val="009F4951"/>
    <w:rsid w:val="00A03106"/>
    <w:rsid w:val="00A06AA1"/>
    <w:rsid w:val="00A10679"/>
    <w:rsid w:val="00A126AD"/>
    <w:rsid w:val="00A16C46"/>
    <w:rsid w:val="00A31A05"/>
    <w:rsid w:val="00A3393B"/>
    <w:rsid w:val="00A364FE"/>
    <w:rsid w:val="00A36651"/>
    <w:rsid w:val="00A36793"/>
    <w:rsid w:val="00A411F9"/>
    <w:rsid w:val="00A45C51"/>
    <w:rsid w:val="00A50C31"/>
    <w:rsid w:val="00A54C08"/>
    <w:rsid w:val="00A553BE"/>
    <w:rsid w:val="00A5625F"/>
    <w:rsid w:val="00A60DE5"/>
    <w:rsid w:val="00A61EBB"/>
    <w:rsid w:val="00A62CEA"/>
    <w:rsid w:val="00A6565D"/>
    <w:rsid w:val="00A80277"/>
    <w:rsid w:val="00A83B99"/>
    <w:rsid w:val="00A83C0D"/>
    <w:rsid w:val="00A84727"/>
    <w:rsid w:val="00A84A9F"/>
    <w:rsid w:val="00A859CE"/>
    <w:rsid w:val="00A874D1"/>
    <w:rsid w:val="00A9481A"/>
    <w:rsid w:val="00A97202"/>
    <w:rsid w:val="00AA2A74"/>
    <w:rsid w:val="00AA434D"/>
    <w:rsid w:val="00AA7E29"/>
    <w:rsid w:val="00AB1E18"/>
    <w:rsid w:val="00AB31E8"/>
    <w:rsid w:val="00AC06C0"/>
    <w:rsid w:val="00AC4D16"/>
    <w:rsid w:val="00AC69C2"/>
    <w:rsid w:val="00AC7D6D"/>
    <w:rsid w:val="00AD1678"/>
    <w:rsid w:val="00AD31C7"/>
    <w:rsid w:val="00AD4C5B"/>
    <w:rsid w:val="00AE0E49"/>
    <w:rsid w:val="00AE1845"/>
    <w:rsid w:val="00AE2673"/>
    <w:rsid w:val="00AE732E"/>
    <w:rsid w:val="00AF263E"/>
    <w:rsid w:val="00AF28F8"/>
    <w:rsid w:val="00AF3256"/>
    <w:rsid w:val="00AF380C"/>
    <w:rsid w:val="00AF40BA"/>
    <w:rsid w:val="00AF4FB9"/>
    <w:rsid w:val="00AF77EC"/>
    <w:rsid w:val="00B06C36"/>
    <w:rsid w:val="00B10B10"/>
    <w:rsid w:val="00B1121A"/>
    <w:rsid w:val="00B133D2"/>
    <w:rsid w:val="00B145E1"/>
    <w:rsid w:val="00B1614A"/>
    <w:rsid w:val="00B200A2"/>
    <w:rsid w:val="00B244F6"/>
    <w:rsid w:val="00B2700B"/>
    <w:rsid w:val="00B31FF4"/>
    <w:rsid w:val="00B37047"/>
    <w:rsid w:val="00B46695"/>
    <w:rsid w:val="00B51A1E"/>
    <w:rsid w:val="00B563CC"/>
    <w:rsid w:val="00B56A86"/>
    <w:rsid w:val="00B56E53"/>
    <w:rsid w:val="00B67B22"/>
    <w:rsid w:val="00B67BB8"/>
    <w:rsid w:val="00B705FE"/>
    <w:rsid w:val="00B72E76"/>
    <w:rsid w:val="00B73E8D"/>
    <w:rsid w:val="00B75AEE"/>
    <w:rsid w:val="00B75D19"/>
    <w:rsid w:val="00B75E81"/>
    <w:rsid w:val="00B76803"/>
    <w:rsid w:val="00B77712"/>
    <w:rsid w:val="00B806E4"/>
    <w:rsid w:val="00B80FB7"/>
    <w:rsid w:val="00B811CB"/>
    <w:rsid w:val="00B81AAC"/>
    <w:rsid w:val="00B8223A"/>
    <w:rsid w:val="00B82F41"/>
    <w:rsid w:val="00B846DD"/>
    <w:rsid w:val="00B9048C"/>
    <w:rsid w:val="00B91D0D"/>
    <w:rsid w:val="00B92F3C"/>
    <w:rsid w:val="00B95FB0"/>
    <w:rsid w:val="00BA1CB4"/>
    <w:rsid w:val="00BB057D"/>
    <w:rsid w:val="00BB0B08"/>
    <w:rsid w:val="00BB22EC"/>
    <w:rsid w:val="00BB2947"/>
    <w:rsid w:val="00BB33C6"/>
    <w:rsid w:val="00BB4025"/>
    <w:rsid w:val="00BB585C"/>
    <w:rsid w:val="00BC002D"/>
    <w:rsid w:val="00BC4D2F"/>
    <w:rsid w:val="00BC54B9"/>
    <w:rsid w:val="00BD3A00"/>
    <w:rsid w:val="00BD43AD"/>
    <w:rsid w:val="00BE01C6"/>
    <w:rsid w:val="00BE345F"/>
    <w:rsid w:val="00BF09AC"/>
    <w:rsid w:val="00BF2896"/>
    <w:rsid w:val="00BF5B2D"/>
    <w:rsid w:val="00BF74FE"/>
    <w:rsid w:val="00C00A14"/>
    <w:rsid w:val="00C015F4"/>
    <w:rsid w:val="00C040F8"/>
    <w:rsid w:val="00C0542F"/>
    <w:rsid w:val="00C06772"/>
    <w:rsid w:val="00C0701A"/>
    <w:rsid w:val="00C16DFD"/>
    <w:rsid w:val="00C32C0C"/>
    <w:rsid w:val="00C33968"/>
    <w:rsid w:val="00C33CE6"/>
    <w:rsid w:val="00C369B9"/>
    <w:rsid w:val="00C36DB1"/>
    <w:rsid w:val="00C43F4E"/>
    <w:rsid w:val="00C43F6C"/>
    <w:rsid w:val="00C442E8"/>
    <w:rsid w:val="00C4697E"/>
    <w:rsid w:val="00C47008"/>
    <w:rsid w:val="00C47B1D"/>
    <w:rsid w:val="00C51FEB"/>
    <w:rsid w:val="00C564D5"/>
    <w:rsid w:val="00C565C7"/>
    <w:rsid w:val="00C57B1E"/>
    <w:rsid w:val="00C64F7C"/>
    <w:rsid w:val="00C669CE"/>
    <w:rsid w:val="00C72F04"/>
    <w:rsid w:val="00C82C6D"/>
    <w:rsid w:val="00C8350F"/>
    <w:rsid w:val="00C85214"/>
    <w:rsid w:val="00C85224"/>
    <w:rsid w:val="00C85B64"/>
    <w:rsid w:val="00C85C2C"/>
    <w:rsid w:val="00C8757A"/>
    <w:rsid w:val="00C87D53"/>
    <w:rsid w:val="00C87E44"/>
    <w:rsid w:val="00C93F26"/>
    <w:rsid w:val="00C95CC6"/>
    <w:rsid w:val="00C96DDD"/>
    <w:rsid w:val="00CA2110"/>
    <w:rsid w:val="00CA4D8A"/>
    <w:rsid w:val="00CB08D3"/>
    <w:rsid w:val="00CB4D9F"/>
    <w:rsid w:val="00CB5A7F"/>
    <w:rsid w:val="00CB6617"/>
    <w:rsid w:val="00CB6A83"/>
    <w:rsid w:val="00CB6E45"/>
    <w:rsid w:val="00CB795E"/>
    <w:rsid w:val="00CC5599"/>
    <w:rsid w:val="00CC6E05"/>
    <w:rsid w:val="00CD1585"/>
    <w:rsid w:val="00CD2649"/>
    <w:rsid w:val="00CD52CD"/>
    <w:rsid w:val="00CE2B8A"/>
    <w:rsid w:val="00CF0FC0"/>
    <w:rsid w:val="00D020EE"/>
    <w:rsid w:val="00D1402B"/>
    <w:rsid w:val="00D14AA8"/>
    <w:rsid w:val="00D16365"/>
    <w:rsid w:val="00D273CF"/>
    <w:rsid w:val="00D3005B"/>
    <w:rsid w:val="00D3186A"/>
    <w:rsid w:val="00D329AD"/>
    <w:rsid w:val="00D36233"/>
    <w:rsid w:val="00D40AC4"/>
    <w:rsid w:val="00D41A02"/>
    <w:rsid w:val="00D436CC"/>
    <w:rsid w:val="00D4714F"/>
    <w:rsid w:val="00D543AC"/>
    <w:rsid w:val="00D5533A"/>
    <w:rsid w:val="00D56B3A"/>
    <w:rsid w:val="00D56EF9"/>
    <w:rsid w:val="00D63AE7"/>
    <w:rsid w:val="00D63E8F"/>
    <w:rsid w:val="00D66AAB"/>
    <w:rsid w:val="00D67238"/>
    <w:rsid w:val="00D67F1C"/>
    <w:rsid w:val="00D74901"/>
    <w:rsid w:val="00D8466D"/>
    <w:rsid w:val="00D8661D"/>
    <w:rsid w:val="00D90322"/>
    <w:rsid w:val="00DA43AB"/>
    <w:rsid w:val="00DA4442"/>
    <w:rsid w:val="00DA52DD"/>
    <w:rsid w:val="00DA5DF6"/>
    <w:rsid w:val="00DA6EA2"/>
    <w:rsid w:val="00DB113E"/>
    <w:rsid w:val="00DB262A"/>
    <w:rsid w:val="00DB3BAA"/>
    <w:rsid w:val="00DB660C"/>
    <w:rsid w:val="00DC0245"/>
    <w:rsid w:val="00DC17BE"/>
    <w:rsid w:val="00DC2B85"/>
    <w:rsid w:val="00DD49C3"/>
    <w:rsid w:val="00DD5089"/>
    <w:rsid w:val="00DE646B"/>
    <w:rsid w:val="00DE77BC"/>
    <w:rsid w:val="00DF7FB7"/>
    <w:rsid w:val="00E012AD"/>
    <w:rsid w:val="00E01AE9"/>
    <w:rsid w:val="00E02B4A"/>
    <w:rsid w:val="00E036C3"/>
    <w:rsid w:val="00E04C2E"/>
    <w:rsid w:val="00E05CB3"/>
    <w:rsid w:val="00E05F5C"/>
    <w:rsid w:val="00E1244F"/>
    <w:rsid w:val="00E14219"/>
    <w:rsid w:val="00E15623"/>
    <w:rsid w:val="00E221BE"/>
    <w:rsid w:val="00E23209"/>
    <w:rsid w:val="00E24D95"/>
    <w:rsid w:val="00E26251"/>
    <w:rsid w:val="00E265A2"/>
    <w:rsid w:val="00E26FDB"/>
    <w:rsid w:val="00E31F4B"/>
    <w:rsid w:val="00E3248C"/>
    <w:rsid w:val="00E41BFD"/>
    <w:rsid w:val="00E429B2"/>
    <w:rsid w:val="00E44EC8"/>
    <w:rsid w:val="00E44FA4"/>
    <w:rsid w:val="00E467E8"/>
    <w:rsid w:val="00E53E6E"/>
    <w:rsid w:val="00E54305"/>
    <w:rsid w:val="00E630B0"/>
    <w:rsid w:val="00E64426"/>
    <w:rsid w:val="00E654F2"/>
    <w:rsid w:val="00E657B1"/>
    <w:rsid w:val="00E6746E"/>
    <w:rsid w:val="00E72F35"/>
    <w:rsid w:val="00E73B91"/>
    <w:rsid w:val="00E82FCC"/>
    <w:rsid w:val="00E84781"/>
    <w:rsid w:val="00E84C63"/>
    <w:rsid w:val="00E933B7"/>
    <w:rsid w:val="00E96942"/>
    <w:rsid w:val="00E976EE"/>
    <w:rsid w:val="00EA0B7B"/>
    <w:rsid w:val="00EA17B5"/>
    <w:rsid w:val="00EA1D18"/>
    <w:rsid w:val="00EA529D"/>
    <w:rsid w:val="00EB5AEB"/>
    <w:rsid w:val="00EB656F"/>
    <w:rsid w:val="00EC2091"/>
    <w:rsid w:val="00ED4551"/>
    <w:rsid w:val="00ED5AF8"/>
    <w:rsid w:val="00EE094E"/>
    <w:rsid w:val="00EE7F99"/>
    <w:rsid w:val="00EF26CD"/>
    <w:rsid w:val="00EF2AA7"/>
    <w:rsid w:val="00EF56CA"/>
    <w:rsid w:val="00F005B3"/>
    <w:rsid w:val="00F009B0"/>
    <w:rsid w:val="00F02A1B"/>
    <w:rsid w:val="00F03EDA"/>
    <w:rsid w:val="00F10102"/>
    <w:rsid w:val="00F10963"/>
    <w:rsid w:val="00F113A2"/>
    <w:rsid w:val="00F13A41"/>
    <w:rsid w:val="00F13BEA"/>
    <w:rsid w:val="00F179BF"/>
    <w:rsid w:val="00F20D2D"/>
    <w:rsid w:val="00F249FA"/>
    <w:rsid w:val="00F251EE"/>
    <w:rsid w:val="00F33505"/>
    <w:rsid w:val="00F44EC6"/>
    <w:rsid w:val="00F45B86"/>
    <w:rsid w:val="00F4703D"/>
    <w:rsid w:val="00F55457"/>
    <w:rsid w:val="00F6472A"/>
    <w:rsid w:val="00F71DA2"/>
    <w:rsid w:val="00F73496"/>
    <w:rsid w:val="00F7484F"/>
    <w:rsid w:val="00F76001"/>
    <w:rsid w:val="00F82B97"/>
    <w:rsid w:val="00F936EF"/>
    <w:rsid w:val="00F93FD6"/>
    <w:rsid w:val="00FA0BD3"/>
    <w:rsid w:val="00FA4189"/>
    <w:rsid w:val="00FA5622"/>
    <w:rsid w:val="00FA5CA8"/>
    <w:rsid w:val="00FA76CE"/>
    <w:rsid w:val="00FB228D"/>
    <w:rsid w:val="00FB4902"/>
    <w:rsid w:val="00FB62AE"/>
    <w:rsid w:val="00FB79BF"/>
    <w:rsid w:val="00FC4B65"/>
    <w:rsid w:val="00FC4DCC"/>
    <w:rsid w:val="00FD450C"/>
    <w:rsid w:val="00FD58B8"/>
    <w:rsid w:val="00FE2DB7"/>
    <w:rsid w:val="00FE3762"/>
    <w:rsid w:val="00FF1E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docId w15:val="{E6866716-1E61-554A-AC73-5193E2D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2731-31F5-474C-90AA-E6346AA5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Judge-Leonie Windell</dc:creator>
  <cp:lastModifiedBy>Mary Bruce</cp:lastModifiedBy>
  <cp:revision>3</cp:revision>
  <cp:lastPrinted>2023-03-31T08:42:00Z</cp:lastPrinted>
  <dcterms:created xsi:type="dcterms:W3CDTF">2023-11-10T12:33:00Z</dcterms:created>
  <dcterms:modified xsi:type="dcterms:W3CDTF">2023-11-10T14:23:00Z</dcterms:modified>
</cp:coreProperties>
</file>