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2DA41" w14:textId="77777777" w:rsidR="00774A33" w:rsidRPr="00774A33" w:rsidRDefault="00774A33" w:rsidP="00774A33">
      <w:pPr>
        <w:autoSpaceDE w:val="0"/>
        <w:autoSpaceDN w:val="0"/>
        <w:adjustRightInd w:val="0"/>
        <w:spacing w:after="0" w:line="241" w:lineRule="atLeast"/>
        <w:jc w:val="center"/>
        <w:rPr>
          <w:rFonts w:ascii="Arial" w:eastAsia="Times New Roman" w:hAnsi="Arial" w:cs="Times New Roman"/>
          <w:noProof/>
          <w:sz w:val="24"/>
          <w:szCs w:val="24"/>
          <w:lang w:val="en-GB" w:eastAsia="en-GB"/>
        </w:rPr>
      </w:pPr>
      <w:bookmarkStart w:id="0" w:name="OLE_LINK1"/>
      <w:bookmarkStart w:id="1" w:name="_Hlk126597740"/>
    </w:p>
    <w:p w14:paraId="49DBEE9E" w14:textId="5D9B85A0" w:rsidR="00774A33" w:rsidRPr="00774A33" w:rsidRDefault="00774A33" w:rsidP="00774A33">
      <w:pPr>
        <w:autoSpaceDE w:val="0"/>
        <w:autoSpaceDN w:val="0"/>
        <w:adjustRightInd w:val="0"/>
        <w:spacing w:after="0" w:line="241" w:lineRule="atLeast"/>
        <w:jc w:val="center"/>
        <w:rPr>
          <w:rFonts w:ascii="Arial" w:eastAsia="Times New Roman" w:hAnsi="Arial" w:cs="Arial"/>
          <w:color w:val="221E1F"/>
          <w:sz w:val="24"/>
          <w:szCs w:val="24"/>
          <w:lang w:val="en-US"/>
        </w:rPr>
      </w:pPr>
      <w:r w:rsidRPr="00774A33">
        <w:rPr>
          <w:rFonts w:ascii="Arial" w:eastAsia="Times New Roman" w:hAnsi="Arial" w:cs="Times New Roman"/>
          <w:noProof/>
          <w:sz w:val="24"/>
          <w:szCs w:val="24"/>
          <w:lang w:eastAsia="en-ZA"/>
        </w:rPr>
        <w:drawing>
          <wp:inline distT="0" distB="0" distL="0" distR="0" wp14:anchorId="731E6A59" wp14:editId="767ABC6D">
            <wp:extent cx="800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14:paraId="155DF8BF" w14:textId="77777777" w:rsidR="00774A33" w:rsidRPr="00774A33" w:rsidRDefault="00774A33" w:rsidP="00774A33">
      <w:pPr>
        <w:autoSpaceDE w:val="0"/>
        <w:autoSpaceDN w:val="0"/>
        <w:adjustRightInd w:val="0"/>
        <w:spacing w:after="0" w:line="241" w:lineRule="atLeast"/>
        <w:jc w:val="center"/>
        <w:rPr>
          <w:rFonts w:ascii="Arial" w:eastAsia="Times New Roman" w:hAnsi="Arial" w:cs="Arial"/>
          <w:color w:val="221E1F"/>
          <w:sz w:val="24"/>
          <w:szCs w:val="24"/>
          <w:lang w:val="en-US"/>
        </w:rPr>
      </w:pPr>
    </w:p>
    <w:p w14:paraId="511C6697" w14:textId="77777777" w:rsidR="00774A33" w:rsidRPr="00774A33" w:rsidRDefault="00774A33" w:rsidP="00774A33">
      <w:pPr>
        <w:spacing w:after="0" w:line="240" w:lineRule="auto"/>
        <w:rPr>
          <w:rFonts w:ascii="Arial" w:eastAsia="Times New Roman" w:hAnsi="Arial" w:cs="Arial"/>
          <w:sz w:val="28"/>
          <w:szCs w:val="24"/>
          <w:lang w:val="en-US"/>
        </w:rPr>
      </w:pPr>
    </w:p>
    <w:p w14:paraId="49989954" w14:textId="77777777" w:rsidR="00774A33" w:rsidRPr="00774A33" w:rsidRDefault="00774A33" w:rsidP="00774A33">
      <w:pPr>
        <w:autoSpaceDE w:val="0"/>
        <w:autoSpaceDN w:val="0"/>
        <w:adjustRightInd w:val="0"/>
        <w:spacing w:after="0" w:line="360" w:lineRule="auto"/>
        <w:jc w:val="center"/>
        <w:rPr>
          <w:rFonts w:ascii="Arial" w:eastAsia="Times New Roman" w:hAnsi="Arial" w:cs="Arial"/>
          <w:b/>
          <w:bCs/>
          <w:color w:val="221E1F"/>
          <w:sz w:val="24"/>
          <w:szCs w:val="24"/>
          <w:lang w:val="en-US"/>
        </w:rPr>
      </w:pPr>
      <w:r w:rsidRPr="00774A33">
        <w:rPr>
          <w:rFonts w:ascii="Arial" w:eastAsia="Times New Roman" w:hAnsi="Arial" w:cs="Arial"/>
          <w:b/>
          <w:color w:val="221E1F"/>
          <w:sz w:val="24"/>
          <w:szCs w:val="24"/>
          <w:lang w:val="en-US"/>
        </w:rPr>
        <w:t xml:space="preserve">THE SUPREME COURT OF APPEAL </w:t>
      </w:r>
      <w:r w:rsidRPr="00774A33">
        <w:rPr>
          <w:rFonts w:ascii="Arial" w:eastAsia="Times New Roman" w:hAnsi="Arial" w:cs="Arial"/>
          <w:b/>
          <w:bCs/>
          <w:color w:val="221E1F"/>
          <w:sz w:val="24"/>
          <w:szCs w:val="24"/>
          <w:lang w:val="en-US"/>
        </w:rPr>
        <w:t xml:space="preserve">OF SOUTH AFRICA </w:t>
      </w:r>
    </w:p>
    <w:p w14:paraId="7E3F099F" w14:textId="77777777" w:rsidR="00774A33" w:rsidRPr="00774A33" w:rsidRDefault="00774A33" w:rsidP="00774A33">
      <w:pPr>
        <w:spacing w:after="0" w:line="360" w:lineRule="auto"/>
        <w:jc w:val="center"/>
        <w:rPr>
          <w:rFonts w:ascii="Arial" w:eastAsia="Times New Roman" w:hAnsi="Arial" w:cs="Arial"/>
          <w:sz w:val="24"/>
          <w:szCs w:val="24"/>
          <w:lang w:val="en-GB"/>
        </w:rPr>
      </w:pPr>
      <w:r w:rsidRPr="00774A33">
        <w:rPr>
          <w:rFonts w:ascii="Arial" w:eastAsia="Times New Roman" w:hAnsi="Arial" w:cs="Arial"/>
          <w:b/>
          <w:sz w:val="24"/>
          <w:szCs w:val="24"/>
          <w:lang w:val="en-GB"/>
        </w:rPr>
        <w:t>JUDGMENT</w:t>
      </w:r>
    </w:p>
    <w:bookmarkEnd w:id="0"/>
    <w:p w14:paraId="53611E5C" w14:textId="77777777" w:rsidR="00774A33" w:rsidRPr="00774A33" w:rsidRDefault="00774A33" w:rsidP="00774A33">
      <w:pPr>
        <w:spacing w:after="0" w:line="240" w:lineRule="auto"/>
        <w:ind w:right="26"/>
        <w:jc w:val="right"/>
        <w:rPr>
          <w:rFonts w:ascii="Arial" w:eastAsia="Times New Roman" w:hAnsi="Arial" w:cs="Arial"/>
          <w:bCs/>
          <w:sz w:val="24"/>
          <w:szCs w:val="24"/>
          <w:lang w:val="en-GB"/>
        </w:rPr>
      </w:pPr>
    </w:p>
    <w:p w14:paraId="4FD6842A" w14:textId="79A83897" w:rsidR="00774A33" w:rsidRPr="00AC5967" w:rsidRDefault="00774A33" w:rsidP="00774A33">
      <w:pPr>
        <w:spacing w:after="0" w:line="240" w:lineRule="auto"/>
        <w:ind w:right="26"/>
        <w:jc w:val="right"/>
        <w:rPr>
          <w:rFonts w:ascii="Arial" w:eastAsia="Times New Roman" w:hAnsi="Arial" w:cs="Arial"/>
          <w:b/>
          <w:bCs/>
          <w:sz w:val="24"/>
          <w:szCs w:val="24"/>
          <w:lang w:val="en-GB"/>
        </w:rPr>
      </w:pPr>
      <w:r w:rsidRPr="00AC5967">
        <w:rPr>
          <w:rFonts w:ascii="Arial" w:eastAsia="Times New Roman" w:hAnsi="Arial" w:cs="Arial"/>
          <w:b/>
          <w:bCs/>
          <w:sz w:val="24"/>
          <w:szCs w:val="24"/>
          <w:lang w:val="en-GB"/>
        </w:rPr>
        <w:t>Reportable</w:t>
      </w:r>
    </w:p>
    <w:p w14:paraId="739929CE" w14:textId="77777777" w:rsidR="00774A33" w:rsidRPr="00AC5967" w:rsidRDefault="00774A33" w:rsidP="00774A33">
      <w:pPr>
        <w:widowControl w:val="0"/>
        <w:autoSpaceDE w:val="0"/>
        <w:autoSpaceDN w:val="0"/>
        <w:adjustRightInd w:val="0"/>
        <w:spacing w:after="0" w:line="240" w:lineRule="auto"/>
        <w:rPr>
          <w:rFonts w:ascii="Arial" w:eastAsia="Times New Roman" w:hAnsi="Arial" w:cs="Arial"/>
          <w:b/>
          <w:sz w:val="24"/>
          <w:szCs w:val="24"/>
          <w:lang w:val="en-GB"/>
        </w:rPr>
      </w:pPr>
    </w:p>
    <w:p w14:paraId="55E5A8EA" w14:textId="77777777" w:rsidR="00774A33" w:rsidRPr="00774A33" w:rsidRDefault="00774A33" w:rsidP="00774A33">
      <w:pPr>
        <w:spacing w:after="0" w:line="240" w:lineRule="auto"/>
        <w:ind w:right="26"/>
        <w:jc w:val="right"/>
        <w:rPr>
          <w:rFonts w:ascii="Arial" w:eastAsia="Times New Roman" w:hAnsi="Arial" w:cs="Arial"/>
          <w:b/>
          <w:sz w:val="24"/>
          <w:szCs w:val="24"/>
          <w:lang w:val="en-GB"/>
        </w:rPr>
      </w:pPr>
      <w:r w:rsidRPr="00AC5967">
        <w:rPr>
          <w:rFonts w:ascii="Arial" w:eastAsia="Times New Roman" w:hAnsi="Arial" w:cs="Arial"/>
          <w:b/>
          <w:sz w:val="24"/>
          <w:szCs w:val="24"/>
          <w:lang w:val="en-GB"/>
        </w:rPr>
        <w:tab/>
        <w:t>Case No:</w:t>
      </w:r>
      <w:r w:rsidRPr="00AC5967">
        <w:rPr>
          <w:rFonts w:ascii="Arial" w:eastAsia="Times New Roman" w:hAnsi="Arial" w:cs="Arial"/>
          <w:sz w:val="24"/>
          <w:szCs w:val="24"/>
          <w:lang w:val="en-GB"/>
        </w:rPr>
        <w:t xml:space="preserve"> 797</w:t>
      </w:r>
      <w:r w:rsidRPr="00774A33">
        <w:rPr>
          <w:rFonts w:ascii="Arial" w:eastAsia="Times New Roman" w:hAnsi="Arial" w:cs="Arial"/>
          <w:sz w:val="24"/>
          <w:szCs w:val="24"/>
          <w:lang w:val="en-GB"/>
        </w:rPr>
        <w:t>/2021</w:t>
      </w:r>
    </w:p>
    <w:p w14:paraId="668DF432" w14:textId="77777777" w:rsidR="00774A33" w:rsidRPr="00774A33" w:rsidRDefault="00774A33" w:rsidP="00774A33">
      <w:pPr>
        <w:spacing w:after="0" w:line="240" w:lineRule="auto"/>
        <w:ind w:right="-328"/>
        <w:jc w:val="both"/>
        <w:rPr>
          <w:rFonts w:ascii="Arial" w:eastAsia="Times New Roman" w:hAnsi="Arial" w:cs="Arial"/>
          <w:bCs/>
          <w:sz w:val="24"/>
          <w:szCs w:val="24"/>
          <w:lang w:val="en-GB"/>
        </w:rPr>
      </w:pPr>
    </w:p>
    <w:p w14:paraId="6EDDFE2C" w14:textId="77777777" w:rsidR="00774A33" w:rsidRPr="00774A33" w:rsidRDefault="00774A33" w:rsidP="00774A33">
      <w:pPr>
        <w:spacing w:after="0" w:line="240" w:lineRule="auto"/>
        <w:ind w:right="-328"/>
        <w:jc w:val="both"/>
        <w:rPr>
          <w:rFonts w:ascii="Arial" w:eastAsia="Times New Roman" w:hAnsi="Arial" w:cs="Arial"/>
          <w:bCs/>
          <w:sz w:val="24"/>
          <w:szCs w:val="24"/>
          <w:lang w:val="en-GB"/>
        </w:rPr>
      </w:pPr>
    </w:p>
    <w:p w14:paraId="556CE049" w14:textId="77777777" w:rsidR="00774A33" w:rsidRPr="00774A33" w:rsidRDefault="00774A33" w:rsidP="00774A33">
      <w:pPr>
        <w:spacing w:after="0" w:line="360" w:lineRule="auto"/>
        <w:ind w:right="-328"/>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In the matter between:</w:t>
      </w:r>
    </w:p>
    <w:p w14:paraId="4CE52590" w14:textId="77777777" w:rsidR="00774A33" w:rsidRPr="00774A33" w:rsidRDefault="00774A33" w:rsidP="00774A33">
      <w:pPr>
        <w:tabs>
          <w:tab w:val="right" w:pos="8900"/>
        </w:tabs>
        <w:spacing w:after="0" w:line="360" w:lineRule="auto"/>
        <w:ind w:right="-328"/>
        <w:jc w:val="both"/>
        <w:rPr>
          <w:rFonts w:ascii="Arial" w:eastAsia="Times New Roman" w:hAnsi="Arial" w:cs="Arial"/>
          <w:b/>
          <w:bCs/>
          <w:sz w:val="24"/>
          <w:szCs w:val="24"/>
          <w:lang w:val="en-GB"/>
        </w:rPr>
      </w:pPr>
    </w:p>
    <w:p w14:paraId="0DDEE560" w14:textId="77777777" w:rsidR="00774A33" w:rsidRPr="00774A33" w:rsidRDefault="00774A33" w:rsidP="00774A33">
      <w:pPr>
        <w:tabs>
          <w:tab w:val="right" w:pos="8280"/>
        </w:tabs>
        <w:spacing w:after="0" w:line="360" w:lineRule="auto"/>
        <w:ind w:right="26"/>
        <w:jc w:val="both"/>
        <w:rPr>
          <w:rFonts w:ascii="Arial" w:eastAsia="Times New Roman" w:hAnsi="Arial" w:cs="Arial"/>
          <w:b/>
          <w:sz w:val="24"/>
          <w:szCs w:val="24"/>
          <w:lang w:val="en-GB"/>
        </w:rPr>
      </w:pPr>
      <w:r w:rsidRPr="00774A33">
        <w:rPr>
          <w:rFonts w:ascii="Arial" w:eastAsia="Times New Roman" w:hAnsi="Arial" w:cs="Arial"/>
          <w:b/>
          <w:bCs/>
          <w:sz w:val="24"/>
          <w:szCs w:val="24"/>
          <w:lang w:val="en-GB"/>
        </w:rPr>
        <w:t>ISEDOR SKOG N.O.</w:t>
      </w:r>
      <w:r w:rsidRPr="00774A33">
        <w:rPr>
          <w:rFonts w:ascii="Arial" w:eastAsia="Times New Roman" w:hAnsi="Arial" w:cs="Arial"/>
          <w:b/>
          <w:sz w:val="24"/>
          <w:szCs w:val="24"/>
          <w:lang w:val="en-GB"/>
        </w:rPr>
        <w:tab/>
        <w:t>FIRST APPELLANT</w:t>
      </w:r>
    </w:p>
    <w:p w14:paraId="3B12421B" w14:textId="77777777" w:rsidR="00774A33" w:rsidRPr="00774A33" w:rsidRDefault="00774A33" w:rsidP="00774A33">
      <w:pPr>
        <w:tabs>
          <w:tab w:val="right" w:pos="8280"/>
        </w:tabs>
        <w:spacing w:after="0" w:line="360" w:lineRule="auto"/>
        <w:ind w:right="26"/>
        <w:jc w:val="both"/>
        <w:rPr>
          <w:rFonts w:ascii="Arial" w:eastAsia="Times New Roman" w:hAnsi="Arial" w:cs="Arial"/>
          <w:b/>
          <w:sz w:val="24"/>
          <w:szCs w:val="24"/>
          <w:lang w:val="en-GB"/>
        </w:rPr>
      </w:pPr>
      <w:r w:rsidRPr="00774A33">
        <w:rPr>
          <w:rFonts w:ascii="Arial" w:eastAsia="Times New Roman" w:hAnsi="Arial" w:cs="Arial"/>
          <w:b/>
          <w:sz w:val="24"/>
          <w:szCs w:val="24"/>
          <w:lang w:val="en-GB"/>
        </w:rPr>
        <w:t>REINETTE SKOG N.O.</w:t>
      </w:r>
      <w:r w:rsidRPr="00774A33">
        <w:rPr>
          <w:rFonts w:ascii="Arial" w:eastAsia="Times New Roman" w:hAnsi="Arial" w:cs="Arial"/>
          <w:b/>
          <w:sz w:val="24"/>
          <w:szCs w:val="24"/>
          <w:lang w:val="en-GB"/>
        </w:rPr>
        <w:tab/>
        <w:t>SECOND APPELANT</w:t>
      </w:r>
    </w:p>
    <w:p w14:paraId="467EE26B" w14:textId="77777777" w:rsidR="00774A33" w:rsidRPr="00774A33" w:rsidRDefault="00774A33" w:rsidP="00774A33">
      <w:pPr>
        <w:tabs>
          <w:tab w:val="right" w:pos="8280"/>
        </w:tabs>
        <w:spacing w:after="0" w:line="360" w:lineRule="auto"/>
        <w:ind w:right="26"/>
        <w:jc w:val="both"/>
        <w:rPr>
          <w:rFonts w:ascii="Arial" w:eastAsia="Times New Roman" w:hAnsi="Arial" w:cs="Arial"/>
          <w:b/>
          <w:sz w:val="24"/>
          <w:szCs w:val="24"/>
          <w:lang w:val="en-GB"/>
        </w:rPr>
      </w:pPr>
      <w:r w:rsidRPr="00774A33">
        <w:rPr>
          <w:rFonts w:ascii="Arial" w:eastAsia="Times New Roman" w:hAnsi="Arial" w:cs="Arial"/>
          <w:b/>
          <w:sz w:val="24"/>
          <w:szCs w:val="24"/>
          <w:lang w:val="en-GB"/>
        </w:rPr>
        <w:t>HENDRIK COLLINS GERRYTS N.O.</w:t>
      </w:r>
      <w:r w:rsidRPr="00774A33">
        <w:rPr>
          <w:rFonts w:ascii="Arial" w:eastAsia="Times New Roman" w:hAnsi="Arial" w:cs="Arial"/>
          <w:b/>
          <w:sz w:val="24"/>
          <w:szCs w:val="24"/>
          <w:lang w:val="en-GB"/>
        </w:rPr>
        <w:tab/>
        <w:t>THIRD APPELLANT</w:t>
      </w:r>
    </w:p>
    <w:p w14:paraId="0CC11032" w14:textId="77777777" w:rsidR="00774A33" w:rsidRPr="00774A33" w:rsidRDefault="00774A33" w:rsidP="00774A33">
      <w:pPr>
        <w:tabs>
          <w:tab w:val="right" w:pos="8280"/>
        </w:tabs>
        <w:spacing w:after="0" w:line="360" w:lineRule="auto"/>
        <w:ind w:right="26"/>
        <w:jc w:val="both"/>
        <w:rPr>
          <w:rFonts w:ascii="Arial" w:eastAsia="Times New Roman" w:hAnsi="Arial" w:cs="Arial"/>
          <w:sz w:val="24"/>
          <w:szCs w:val="24"/>
          <w:lang w:val="en-GB"/>
        </w:rPr>
      </w:pPr>
      <w:r w:rsidRPr="00774A33">
        <w:rPr>
          <w:rFonts w:ascii="Arial" w:eastAsia="Times New Roman" w:hAnsi="Arial" w:cs="Arial"/>
          <w:sz w:val="24"/>
          <w:szCs w:val="24"/>
          <w:lang w:val="en-GB"/>
        </w:rPr>
        <w:t>(In their capacity as Trustees for the time</w:t>
      </w:r>
    </w:p>
    <w:p w14:paraId="6597022A" w14:textId="77777777" w:rsidR="00774A33" w:rsidRPr="00774A33" w:rsidRDefault="00774A33" w:rsidP="00774A33">
      <w:pPr>
        <w:tabs>
          <w:tab w:val="right" w:pos="8280"/>
        </w:tabs>
        <w:spacing w:after="0" w:line="360" w:lineRule="auto"/>
        <w:ind w:right="26"/>
        <w:jc w:val="both"/>
        <w:rPr>
          <w:rFonts w:ascii="Arial" w:eastAsia="Times New Roman" w:hAnsi="Arial" w:cs="Arial"/>
          <w:sz w:val="24"/>
          <w:szCs w:val="24"/>
          <w:lang w:val="en-GB"/>
        </w:rPr>
      </w:pPr>
      <w:r w:rsidRPr="00774A33">
        <w:rPr>
          <w:rFonts w:ascii="Arial" w:eastAsia="Times New Roman" w:hAnsi="Arial" w:cs="Arial"/>
          <w:sz w:val="24"/>
          <w:szCs w:val="24"/>
          <w:lang w:val="en-GB"/>
        </w:rPr>
        <w:t>being of the Rein Trust IT2778/99)</w:t>
      </w:r>
    </w:p>
    <w:p w14:paraId="6D3AE158" w14:textId="77777777" w:rsidR="00774A33" w:rsidRPr="00774A33" w:rsidRDefault="00774A33" w:rsidP="00774A33">
      <w:pPr>
        <w:tabs>
          <w:tab w:val="right" w:pos="8280"/>
        </w:tabs>
        <w:spacing w:after="0" w:line="360" w:lineRule="auto"/>
        <w:ind w:right="26"/>
        <w:jc w:val="both"/>
        <w:rPr>
          <w:rFonts w:ascii="Arial" w:eastAsia="Times New Roman" w:hAnsi="Arial" w:cs="Arial"/>
          <w:sz w:val="24"/>
          <w:szCs w:val="24"/>
          <w:lang w:val="en-GB"/>
        </w:rPr>
      </w:pPr>
    </w:p>
    <w:p w14:paraId="06E3CFE1" w14:textId="77777777" w:rsidR="00774A33" w:rsidRPr="00774A33" w:rsidRDefault="00774A33" w:rsidP="00774A33">
      <w:pPr>
        <w:tabs>
          <w:tab w:val="right" w:pos="8280"/>
        </w:tabs>
        <w:spacing w:after="0" w:line="360" w:lineRule="auto"/>
        <w:ind w:right="26"/>
        <w:jc w:val="both"/>
        <w:rPr>
          <w:rFonts w:ascii="Arial" w:eastAsia="Times New Roman" w:hAnsi="Arial" w:cs="Arial"/>
          <w:b/>
          <w:sz w:val="24"/>
          <w:szCs w:val="24"/>
          <w:lang w:val="en-GB"/>
        </w:rPr>
      </w:pPr>
      <w:r w:rsidRPr="00774A33">
        <w:rPr>
          <w:rFonts w:ascii="Arial" w:eastAsia="Times New Roman" w:hAnsi="Arial" w:cs="Arial"/>
          <w:b/>
          <w:sz w:val="24"/>
          <w:szCs w:val="24"/>
          <w:lang w:val="en-GB"/>
        </w:rPr>
        <w:t>and</w:t>
      </w:r>
    </w:p>
    <w:p w14:paraId="6CAA9538" w14:textId="77777777" w:rsidR="00774A33" w:rsidRPr="00774A33" w:rsidRDefault="00774A33" w:rsidP="00774A33">
      <w:pPr>
        <w:tabs>
          <w:tab w:val="right" w:pos="8280"/>
        </w:tabs>
        <w:spacing w:after="0" w:line="360" w:lineRule="auto"/>
        <w:ind w:right="26"/>
        <w:jc w:val="both"/>
        <w:rPr>
          <w:rFonts w:ascii="Arial" w:eastAsia="Times New Roman" w:hAnsi="Arial" w:cs="Arial"/>
          <w:sz w:val="24"/>
          <w:szCs w:val="24"/>
          <w:lang w:val="en-GB"/>
        </w:rPr>
      </w:pPr>
    </w:p>
    <w:p w14:paraId="672B852B" w14:textId="4D49F698"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KOOS AGULLUS</w:t>
      </w:r>
      <w:r w:rsidRPr="00774A33">
        <w:rPr>
          <w:rFonts w:ascii="Arial" w:eastAsia="Times New Roman" w:hAnsi="Arial" w:cs="Arial"/>
          <w:b/>
          <w:sz w:val="24"/>
          <w:szCs w:val="24"/>
          <w:lang w:val="en-GB"/>
        </w:rPr>
        <w:tab/>
        <w:t>FIRST RESPONDENT</w:t>
      </w:r>
    </w:p>
    <w:p w14:paraId="0BA0BE55"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MATILDA AGULLUS</w:t>
      </w:r>
      <w:r w:rsidRPr="00774A33">
        <w:rPr>
          <w:rFonts w:ascii="Arial" w:eastAsia="Times New Roman" w:hAnsi="Arial" w:cs="Arial"/>
          <w:b/>
          <w:sz w:val="24"/>
          <w:szCs w:val="24"/>
          <w:lang w:val="en-GB"/>
        </w:rPr>
        <w:tab/>
        <w:t>SECOND RESPONDENT</w:t>
      </w:r>
    </w:p>
    <w:p w14:paraId="30B27216"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HANO AGULLUS</w:t>
      </w:r>
      <w:r w:rsidRPr="00774A33">
        <w:rPr>
          <w:rFonts w:ascii="Arial" w:eastAsia="Times New Roman" w:hAnsi="Arial" w:cs="Arial"/>
          <w:b/>
          <w:sz w:val="24"/>
          <w:szCs w:val="24"/>
          <w:lang w:val="en-GB"/>
        </w:rPr>
        <w:tab/>
        <w:t>THIRD RESPONDENT</w:t>
      </w:r>
    </w:p>
    <w:p w14:paraId="48CF7A1A"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MARTONIQUE AGULLUS</w:t>
      </w:r>
      <w:r w:rsidRPr="00774A33">
        <w:rPr>
          <w:rFonts w:ascii="Arial" w:eastAsia="Times New Roman" w:hAnsi="Arial" w:cs="Arial"/>
          <w:b/>
          <w:sz w:val="24"/>
          <w:szCs w:val="24"/>
          <w:lang w:val="en-GB"/>
        </w:rPr>
        <w:tab/>
        <w:t>FOURTH RESPONDENT</w:t>
      </w:r>
    </w:p>
    <w:p w14:paraId="5A8C158E"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RICHARD SYSTER</w:t>
      </w:r>
      <w:r w:rsidRPr="00774A33">
        <w:rPr>
          <w:rFonts w:ascii="Arial" w:eastAsia="Times New Roman" w:hAnsi="Arial" w:cs="Arial"/>
          <w:b/>
          <w:sz w:val="24"/>
          <w:szCs w:val="24"/>
          <w:lang w:val="en-GB"/>
        </w:rPr>
        <w:tab/>
        <w:t>FIFTH RESPONDENT</w:t>
      </w:r>
    </w:p>
    <w:p w14:paraId="4B23C7D2"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WILHELMIEN SYSTER</w:t>
      </w:r>
      <w:r w:rsidRPr="00774A33">
        <w:rPr>
          <w:rFonts w:ascii="Arial" w:eastAsia="Times New Roman" w:hAnsi="Arial" w:cs="Arial"/>
          <w:b/>
          <w:sz w:val="24"/>
          <w:szCs w:val="24"/>
          <w:lang w:val="en-GB"/>
        </w:rPr>
        <w:tab/>
        <w:t>SIXTH RESPONDENT</w:t>
      </w:r>
    </w:p>
    <w:p w14:paraId="36B597F5"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RICHWELL SYSTER</w:t>
      </w:r>
      <w:r w:rsidRPr="00774A33">
        <w:rPr>
          <w:rFonts w:ascii="Arial" w:eastAsia="Times New Roman" w:hAnsi="Arial" w:cs="Arial"/>
          <w:b/>
          <w:sz w:val="24"/>
          <w:szCs w:val="24"/>
          <w:lang w:val="en-GB"/>
        </w:rPr>
        <w:tab/>
        <w:t>SEVENTH RESPONDENT</w:t>
      </w:r>
    </w:p>
    <w:p w14:paraId="6F937595"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REGINA PIETERSEN</w:t>
      </w:r>
      <w:r w:rsidRPr="00774A33">
        <w:rPr>
          <w:rFonts w:ascii="Arial" w:eastAsia="Times New Roman" w:hAnsi="Arial" w:cs="Arial"/>
          <w:b/>
          <w:sz w:val="24"/>
          <w:szCs w:val="24"/>
          <w:lang w:val="en-GB"/>
        </w:rPr>
        <w:tab/>
        <w:t>EIGHTH RESPONENT</w:t>
      </w:r>
    </w:p>
    <w:p w14:paraId="0712BE55"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JEFFREY PIETERSEN</w:t>
      </w:r>
      <w:r w:rsidRPr="00774A33">
        <w:rPr>
          <w:rFonts w:ascii="Arial" w:eastAsia="Times New Roman" w:hAnsi="Arial" w:cs="Arial"/>
          <w:b/>
          <w:sz w:val="24"/>
          <w:szCs w:val="24"/>
          <w:lang w:val="en-GB"/>
        </w:rPr>
        <w:tab/>
        <w:t>NINTH RESPONDENT</w:t>
      </w:r>
    </w:p>
    <w:p w14:paraId="751C7740"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CALVIN PIETERSEN</w:t>
      </w:r>
      <w:r w:rsidRPr="00774A33">
        <w:rPr>
          <w:rFonts w:ascii="Arial" w:eastAsia="Times New Roman" w:hAnsi="Arial" w:cs="Arial"/>
          <w:b/>
          <w:sz w:val="24"/>
          <w:szCs w:val="24"/>
          <w:lang w:val="en-GB"/>
        </w:rPr>
        <w:tab/>
        <w:t>TENTH RESPONDENT</w:t>
      </w:r>
    </w:p>
    <w:p w14:paraId="6017D12D"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HENDRIK SEDRAS</w:t>
      </w:r>
      <w:r w:rsidRPr="00774A33">
        <w:rPr>
          <w:rFonts w:ascii="Arial" w:eastAsia="Times New Roman" w:hAnsi="Arial" w:cs="Arial"/>
          <w:b/>
          <w:sz w:val="24"/>
          <w:szCs w:val="24"/>
          <w:lang w:val="en-GB"/>
        </w:rPr>
        <w:tab/>
        <w:t>ELEVENTH RESPONDENT</w:t>
      </w:r>
    </w:p>
    <w:p w14:paraId="0CC0A02A"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SOPHIE WAGNER</w:t>
      </w:r>
      <w:r w:rsidRPr="00774A33">
        <w:rPr>
          <w:rFonts w:ascii="Arial" w:eastAsia="Times New Roman" w:hAnsi="Arial" w:cs="Arial"/>
          <w:b/>
          <w:sz w:val="24"/>
          <w:szCs w:val="24"/>
          <w:lang w:val="en-GB"/>
        </w:rPr>
        <w:tab/>
        <w:t>TWELFTH RESPONDENT</w:t>
      </w:r>
    </w:p>
    <w:p w14:paraId="54CD258D"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lastRenderedPageBreak/>
        <w:t>SHARON PAULSE</w:t>
      </w:r>
      <w:r w:rsidRPr="00774A33">
        <w:rPr>
          <w:rFonts w:ascii="Arial" w:eastAsia="Times New Roman" w:hAnsi="Arial" w:cs="Arial"/>
          <w:b/>
          <w:sz w:val="24"/>
          <w:szCs w:val="24"/>
          <w:lang w:val="en-GB"/>
        </w:rPr>
        <w:tab/>
        <w:t>THIRTEENTH RESPONDENT</w:t>
      </w:r>
    </w:p>
    <w:p w14:paraId="5D267833"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MINNA WITBOOV/ADAMS</w:t>
      </w:r>
      <w:r w:rsidRPr="00774A33">
        <w:rPr>
          <w:rFonts w:ascii="Arial" w:eastAsia="Times New Roman" w:hAnsi="Arial" w:cs="Arial"/>
          <w:b/>
          <w:sz w:val="24"/>
          <w:szCs w:val="24"/>
          <w:lang w:val="en-GB"/>
        </w:rPr>
        <w:tab/>
        <w:t>FOURTEENTH RESPONDENT</w:t>
      </w:r>
    </w:p>
    <w:p w14:paraId="27DE1E89"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WILMAN ADAMS</w:t>
      </w:r>
      <w:r w:rsidRPr="00774A33">
        <w:rPr>
          <w:rFonts w:ascii="Arial" w:eastAsia="Times New Roman" w:hAnsi="Arial" w:cs="Arial"/>
          <w:b/>
          <w:sz w:val="24"/>
          <w:szCs w:val="24"/>
          <w:lang w:val="en-GB"/>
        </w:rPr>
        <w:tab/>
        <w:t>FIFTEENTH RESPONDENT</w:t>
      </w:r>
    </w:p>
    <w:p w14:paraId="0F4637BA"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LORENZO WITBOOI</w:t>
      </w:r>
      <w:r w:rsidRPr="00774A33">
        <w:rPr>
          <w:rFonts w:ascii="Arial" w:eastAsia="Times New Roman" w:hAnsi="Arial" w:cs="Arial"/>
          <w:b/>
          <w:sz w:val="24"/>
          <w:szCs w:val="24"/>
          <w:lang w:val="en-GB"/>
        </w:rPr>
        <w:tab/>
        <w:t>SIXTEENTH RESPONDENT</w:t>
      </w:r>
    </w:p>
    <w:p w14:paraId="13D498C4"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FENETIA ADAMS</w:t>
      </w:r>
      <w:r w:rsidRPr="00774A33">
        <w:rPr>
          <w:rFonts w:ascii="Arial" w:eastAsia="Times New Roman" w:hAnsi="Arial" w:cs="Arial"/>
          <w:b/>
          <w:sz w:val="24"/>
          <w:szCs w:val="24"/>
          <w:lang w:val="en-GB"/>
        </w:rPr>
        <w:tab/>
        <w:t>SEVENTEENTH RESPONDENT</w:t>
      </w:r>
    </w:p>
    <w:p w14:paraId="5DF54189" w14:textId="77777777" w:rsidR="00774A33" w:rsidRPr="00774A33" w:rsidRDefault="00774A33" w:rsidP="00774A33">
      <w:pPr>
        <w:tabs>
          <w:tab w:val="right" w:pos="8301"/>
        </w:tabs>
        <w:spacing w:after="0" w:line="360" w:lineRule="auto"/>
        <w:jc w:val="both"/>
        <w:rPr>
          <w:rFonts w:ascii="Arial" w:eastAsia="Times New Roman" w:hAnsi="Arial" w:cs="Arial"/>
          <w:sz w:val="24"/>
          <w:szCs w:val="24"/>
          <w:lang w:val="en-GB"/>
        </w:rPr>
      </w:pPr>
      <w:r w:rsidRPr="00774A33">
        <w:rPr>
          <w:rFonts w:ascii="Arial" w:eastAsia="Times New Roman" w:hAnsi="Arial" w:cs="Arial"/>
          <w:b/>
          <w:sz w:val="24"/>
          <w:szCs w:val="24"/>
          <w:lang w:val="en-GB"/>
        </w:rPr>
        <w:t>ELISEZA ELLIE KOORDOM</w:t>
      </w:r>
      <w:r w:rsidRPr="00774A33">
        <w:rPr>
          <w:rFonts w:ascii="Arial" w:eastAsia="Times New Roman" w:hAnsi="Arial" w:cs="Arial"/>
          <w:b/>
          <w:sz w:val="24"/>
          <w:szCs w:val="24"/>
          <w:lang w:val="en-GB"/>
        </w:rPr>
        <w:tab/>
        <w:t>EIGHTEENTH RESPONDENT</w:t>
      </w:r>
    </w:p>
    <w:p w14:paraId="24E016AA"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PIETER SMALL</w:t>
      </w:r>
      <w:r w:rsidRPr="00774A33">
        <w:rPr>
          <w:rFonts w:ascii="Arial" w:eastAsia="Times New Roman" w:hAnsi="Arial" w:cs="Arial"/>
          <w:b/>
          <w:sz w:val="24"/>
          <w:szCs w:val="24"/>
          <w:lang w:val="en-GB"/>
        </w:rPr>
        <w:tab/>
        <w:t>NINTEENTH RESPONDENT</w:t>
      </w:r>
    </w:p>
    <w:p w14:paraId="43D22ED5"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MARIA KORDOM</w:t>
      </w:r>
      <w:r w:rsidRPr="00774A33">
        <w:rPr>
          <w:rFonts w:ascii="Arial" w:eastAsia="Times New Roman" w:hAnsi="Arial" w:cs="Arial"/>
          <w:b/>
          <w:sz w:val="24"/>
          <w:szCs w:val="24"/>
          <w:lang w:val="en-GB"/>
        </w:rPr>
        <w:tab/>
        <w:t>TWENTIETH RESPONDENT</w:t>
      </w:r>
    </w:p>
    <w:p w14:paraId="715B6842"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ELIZABETH KORDOM</w:t>
      </w:r>
      <w:r w:rsidRPr="00774A33">
        <w:rPr>
          <w:rFonts w:ascii="Arial" w:eastAsia="Times New Roman" w:hAnsi="Arial" w:cs="Arial"/>
          <w:b/>
          <w:sz w:val="24"/>
          <w:szCs w:val="24"/>
          <w:lang w:val="en-GB"/>
        </w:rPr>
        <w:tab/>
        <w:t>TWENTY-FIRST RESPONDENT</w:t>
      </w:r>
    </w:p>
    <w:p w14:paraId="5ABBA5BC"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SOLOMON MORRIS</w:t>
      </w:r>
      <w:r w:rsidRPr="00774A33">
        <w:rPr>
          <w:rFonts w:ascii="Arial" w:eastAsia="Times New Roman" w:hAnsi="Arial" w:cs="Arial"/>
          <w:b/>
          <w:sz w:val="24"/>
          <w:szCs w:val="24"/>
          <w:lang w:val="en-GB"/>
        </w:rPr>
        <w:tab/>
        <w:t>TWENTY-SECOND RESPONDENT</w:t>
      </w:r>
    </w:p>
    <w:p w14:paraId="6BD1FD94"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ELENA MORRIS</w:t>
      </w:r>
      <w:r w:rsidRPr="00774A33">
        <w:rPr>
          <w:rFonts w:ascii="Arial" w:eastAsia="Times New Roman" w:hAnsi="Arial" w:cs="Arial"/>
          <w:b/>
          <w:sz w:val="24"/>
          <w:szCs w:val="24"/>
          <w:lang w:val="en-GB"/>
        </w:rPr>
        <w:tab/>
        <w:t>TWENTY-THIRD RESPONDENT</w:t>
      </w:r>
    </w:p>
    <w:p w14:paraId="71FA0043"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ILONA MORRIS</w:t>
      </w:r>
      <w:r w:rsidRPr="00774A33">
        <w:rPr>
          <w:rFonts w:ascii="Arial" w:eastAsia="Times New Roman" w:hAnsi="Arial" w:cs="Arial"/>
          <w:b/>
          <w:sz w:val="24"/>
          <w:szCs w:val="24"/>
          <w:lang w:val="en-GB"/>
        </w:rPr>
        <w:tab/>
        <w:t>TWENTY-FOURTH RESPONDENT</w:t>
      </w:r>
    </w:p>
    <w:p w14:paraId="1EE900F4"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KOOS KOORDOM</w:t>
      </w:r>
      <w:r w:rsidRPr="00774A33">
        <w:rPr>
          <w:rFonts w:ascii="Arial" w:eastAsia="Times New Roman" w:hAnsi="Arial" w:cs="Arial"/>
          <w:b/>
          <w:sz w:val="24"/>
          <w:szCs w:val="24"/>
          <w:lang w:val="en-GB"/>
        </w:rPr>
        <w:tab/>
        <w:t>TWENTY-FIFTH RESPONDENT</w:t>
      </w:r>
    </w:p>
    <w:p w14:paraId="6BD658CB"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 xml:space="preserve">ALL THOSE HOLDING TITLE </w:t>
      </w:r>
    </w:p>
    <w:p w14:paraId="191960E1"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THROUGH 1ST - 25TH RESPONDENTS</w:t>
      </w:r>
    </w:p>
    <w:p w14:paraId="7DA65866"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OR OCCUPYING COTTAGES 1, 3, 4, 5, 7,</w:t>
      </w:r>
    </w:p>
    <w:p w14:paraId="719A37E3"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8, 12, 13 AND THE SHED ON THE</w:t>
      </w:r>
    </w:p>
    <w:p w14:paraId="445F02F7"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REIN HILL ESTATE, REMAINDER FARM</w:t>
      </w:r>
    </w:p>
    <w:p w14:paraId="0C018F2E"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NO 1458, DIVISION PAARL,</w:t>
      </w:r>
    </w:p>
    <w:p w14:paraId="32DE9C32"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WESTERN CAPE</w:t>
      </w:r>
      <w:r w:rsidRPr="00774A33">
        <w:rPr>
          <w:rFonts w:ascii="Arial" w:eastAsia="Times New Roman" w:hAnsi="Arial" w:cs="Arial"/>
          <w:b/>
          <w:sz w:val="24"/>
          <w:szCs w:val="24"/>
          <w:lang w:val="en-GB"/>
        </w:rPr>
        <w:tab/>
        <w:t>TWENTY-SIXTH RESPONDENT</w:t>
      </w:r>
    </w:p>
    <w:p w14:paraId="211B04C1"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DRAKENSTEIN MUNICIPALITY</w:t>
      </w:r>
      <w:r w:rsidRPr="00774A33">
        <w:rPr>
          <w:rFonts w:ascii="Arial" w:eastAsia="Times New Roman" w:hAnsi="Arial" w:cs="Arial"/>
          <w:b/>
          <w:sz w:val="24"/>
          <w:szCs w:val="24"/>
          <w:lang w:val="en-GB"/>
        </w:rPr>
        <w:tab/>
        <w:t>TWENTY-SEVENTH RESPONDENT</w:t>
      </w:r>
    </w:p>
    <w:p w14:paraId="24922ABE"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HEAD: WESTERN CAPE PROVINCIAL</w:t>
      </w:r>
    </w:p>
    <w:p w14:paraId="167E9192"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 xml:space="preserve">DEPARTMENT OF RURAL </w:t>
      </w:r>
    </w:p>
    <w:p w14:paraId="10A339A7" w14:textId="77777777" w:rsidR="00774A33" w:rsidRPr="00774A33" w:rsidRDefault="00774A33" w:rsidP="00774A33">
      <w:pPr>
        <w:tabs>
          <w:tab w:val="right" w:pos="8301"/>
        </w:tabs>
        <w:spacing w:after="0" w:line="360" w:lineRule="auto"/>
        <w:jc w:val="both"/>
        <w:rPr>
          <w:rFonts w:ascii="Arial" w:eastAsia="Times New Roman" w:hAnsi="Arial" w:cs="Arial"/>
          <w:b/>
          <w:sz w:val="24"/>
          <w:szCs w:val="24"/>
          <w:lang w:val="en-GB"/>
        </w:rPr>
      </w:pPr>
      <w:r w:rsidRPr="00774A33">
        <w:rPr>
          <w:rFonts w:ascii="Arial" w:eastAsia="Times New Roman" w:hAnsi="Arial" w:cs="Arial"/>
          <w:b/>
          <w:sz w:val="24"/>
          <w:szCs w:val="24"/>
          <w:lang w:val="en-GB"/>
        </w:rPr>
        <w:t>DEVELOPMENT AND LAND REFORM</w:t>
      </w:r>
      <w:r w:rsidRPr="00774A33">
        <w:rPr>
          <w:rFonts w:ascii="Arial" w:eastAsia="Times New Roman" w:hAnsi="Arial" w:cs="Arial"/>
          <w:b/>
          <w:sz w:val="24"/>
          <w:szCs w:val="24"/>
          <w:lang w:val="en-GB"/>
        </w:rPr>
        <w:tab/>
        <w:t>TWENTY-EIGHTH RESPONDENT</w:t>
      </w:r>
    </w:p>
    <w:p w14:paraId="60E76434" w14:textId="77777777" w:rsidR="00774A33" w:rsidRPr="00774A33" w:rsidRDefault="00774A33" w:rsidP="00774A33">
      <w:pPr>
        <w:tabs>
          <w:tab w:val="right" w:pos="8301"/>
        </w:tabs>
        <w:spacing w:after="0" w:line="240" w:lineRule="auto"/>
        <w:jc w:val="both"/>
        <w:rPr>
          <w:rFonts w:ascii="Arial" w:eastAsia="Times New Roman" w:hAnsi="Arial" w:cs="Arial"/>
          <w:b/>
          <w:sz w:val="24"/>
          <w:szCs w:val="24"/>
          <w:lang w:val="en-GB"/>
        </w:rPr>
      </w:pPr>
    </w:p>
    <w:p w14:paraId="27FC02FF" w14:textId="1E892F5F" w:rsidR="00774A33" w:rsidRPr="00774A33" w:rsidRDefault="00774A33" w:rsidP="00774A33">
      <w:pPr>
        <w:spacing w:after="0" w:line="360" w:lineRule="auto"/>
        <w:ind w:left="2160" w:right="26" w:hanging="2160"/>
        <w:jc w:val="both"/>
        <w:rPr>
          <w:rFonts w:ascii="Arial" w:eastAsia="Times New Roman" w:hAnsi="Arial" w:cs="Arial"/>
          <w:bCs/>
          <w:sz w:val="24"/>
          <w:szCs w:val="24"/>
          <w:lang w:val="en-GB"/>
        </w:rPr>
      </w:pPr>
      <w:r w:rsidRPr="00774A33">
        <w:rPr>
          <w:rFonts w:ascii="Arial" w:eastAsia="Times New Roman" w:hAnsi="Arial" w:cs="Arial"/>
          <w:b/>
          <w:bCs/>
          <w:sz w:val="24"/>
          <w:szCs w:val="24"/>
          <w:lang w:val="en-GB"/>
        </w:rPr>
        <w:t>Neutral Citation:</w:t>
      </w:r>
      <w:r w:rsidRPr="00774A33">
        <w:rPr>
          <w:rFonts w:ascii="Arial" w:eastAsia="Times New Roman" w:hAnsi="Arial" w:cs="Arial"/>
          <w:bCs/>
          <w:sz w:val="24"/>
          <w:szCs w:val="24"/>
          <w:lang w:val="en-GB"/>
        </w:rPr>
        <w:tab/>
      </w:r>
      <w:bookmarkStart w:id="2" w:name="_GoBack"/>
      <w:r w:rsidRPr="00774A33">
        <w:rPr>
          <w:rFonts w:ascii="Arial" w:eastAsia="Times New Roman" w:hAnsi="Arial" w:cs="Arial"/>
          <w:bCs/>
          <w:i/>
          <w:sz w:val="24"/>
          <w:szCs w:val="24"/>
          <w:lang w:val="en-GB"/>
        </w:rPr>
        <w:t>Isedor Skog N.O. &amp; Others v Koos Agullus &amp; Others</w:t>
      </w:r>
      <w:r w:rsidRPr="00774A33">
        <w:rPr>
          <w:rFonts w:ascii="Arial" w:eastAsia="Times New Roman" w:hAnsi="Arial" w:cs="Arial"/>
          <w:bCs/>
          <w:sz w:val="24"/>
          <w:szCs w:val="24"/>
          <w:lang w:val="en-GB"/>
        </w:rPr>
        <w:t xml:space="preserve"> (797/2021) [202</w:t>
      </w:r>
      <w:r w:rsidR="00F6067D">
        <w:rPr>
          <w:rFonts w:ascii="Arial" w:eastAsia="Times New Roman" w:hAnsi="Arial" w:cs="Arial"/>
          <w:bCs/>
          <w:sz w:val="24"/>
          <w:szCs w:val="24"/>
          <w:lang w:val="en-GB"/>
        </w:rPr>
        <w:t>3</w:t>
      </w:r>
      <w:r w:rsidRPr="00774A33">
        <w:rPr>
          <w:rFonts w:ascii="Arial" w:eastAsia="Times New Roman" w:hAnsi="Arial" w:cs="Arial"/>
          <w:bCs/>
          <w:sz w:val="24"/>
          <w:szCs w:val="24"/>
          <w:lang w:val="en-GB"/>
        </w:rPr>
        <w:t xml:space="preserve">] ZASCA </w:t>
      </w:r>
      <w:r w:rsidR="00F20873">
        <w:rPr>
          <w:rFonts w:ascii="Arial" w:eastAsia="Times New Roman" w:hAnsi="Arial" w:cs="Arial"/>
          <w:bCs/>
          <w:sz w:val="24"/>
          <w:szCs w:val="24"/>
          <w:lang w:val="en-GB"/>
        </w:rPr>
        <w:t>15</w:t>
      </w:r>
      <w:r w:rsidRPr="00774A33">
        <w:rPr>
          <w:rFonts w:ascii="Arial" w:eastAsia="Times New Roman" w:hAnsi="Arial" w:cs="Arial"/>
          <w:bCs/>
          <w:sz w:val="24"/>
          <w:szCs w:val="24"/>
          <w:lang w:val="en-GB"/>
        </w:rPr>
        <w:t xml:space="preserve"> (</w:t>
      </w:r>
      <w:r w:rsidR="00F20873">
        <w:rPr>
          <w:rFonts w:ascii="Arial" w:eastAsia="Times New Roman" w:hAnsi="Arial" w:cs="Arial"/>
          <w:bCs/>
          <w:sz w:val="24"/>
          <w:szCs w:val="24"/>
          <w:lang w:val="en-GB"/>
        </w:rPr>
        <w:t>20</w:t>
      </w:r>
      <w:r w:rsidRPr="00774A33">
        <w:rPr>
          <w:rFonts w:ascii="Arial" w:eastAsia="Times New Roman" w:hAnsi="Arial" w:cs="Arial"/>
          <w:bCs/>
          <w:sz w:val="24"/>
          <w:szCs w:val="24"/>
          <w:lang w:val="en-GB"/>
        </w:rPr>
        <w:t xml:space="preserve"> </w:t>
      </w:r>
      <w:r w:rsidR="00F20873">
        <w:rPr>
          <w:rFonts w:ascii="Arial" w:eastAsia="Times New Roman" w:hAnsi="Arial" w:cs="Arial"/>
          <w:bCs/>
          <w:sz w:val="24"/>
          <w:szCs w:val="24"/>
          <w:lang w:val="en-GB"/>
        </w:rPr>
        <w:t>February 2023</w:t>
      </w:r>
      <w:r w:rsidRPr="00774A33">
        <w:rPr>
          <w:rFonts w:ascii="Arial" w:eastAsia="Times New Roman" w:hAnsi="Arial" w:cs="Arial"/>
          <w:bCs/>
          <w:sz w:val="24"/>
          <w:szCs w:val="24"/>
          <w:lang w:val="en-GB"/>
        </w:rPr>
        <w:t>)</w:t>
      </w:r>
      <w:bookmarkEnd w:id="2"/>
    </w:p>
    <w:p w14:paraId="0A0BBDE4" w14:textId="77777777" w:rsidR="00774A33" w:rsidRPr="00774A33" w:rsidRDefault="00774A33" w:rsidP="00774A33">
      <w:pPr>
        <w:tabs>
          <w:tab w:val="left" w:pos="0"/>
        </w:tabs>
        <w:spacing w:before="120" w:after="0" w:line="360" w:lineRule="auto"/>
        <w:ind w:left="2160" w:right="28" w:hanging="2160"/>
        <w:jc w:val="both"/>
        <w:rPr>
          <w:rFonts w:ascii="Arial" w:eastAsia="Times New Roman" w:hAnsi="Arial" w:cs="Arial"/>
          <w:bCs/>
          <w:sz w:val="24"/>
          <w:szCs w:val="24"/>
          <w:lang w:val="en-GB"/>
        </w:rPr>
      </w:pPr>
      <w:r w:rsidRPr="00774A33">
        <w:rPr>
          <w:rFonts w:ascii="Arial" w:eastAsia="Times New Roman" w:hAnsi="Arial" w:cs="Arial"/>
          <w:b/>
          <w:bCs/>
          <w:sz w:val="24"/>
          <w:szCs w:val="24"/>
          <w:lang w:val="en-GB"/>
        </w:rPr>
        <w:t>Coram:</w:t>
      </w:r>
      <w:r w:rsidRPr="00774A33">
        <w:rPr>
          <w:rFonts w:ascii="Arial" w:eastAsia="Times New Roman" w:hAnsi="Arial" w:cs="Arial"/>
          <w:bCs/>
          <w:sz w:val="24"/>
          <w:szCs w:val="24"/>
          <w:lang w:val="en-GB"/>
        </w:rPr>
        <w:tab/>
        <w:t>PETSE AP, MOLEMELA and MAKGOKA JJA and BASSON and GOOSEN AJJA</w:t>
      </w:r>
    </w:p>
    <w:p w14:paraId="7F8091B7" w14:textId="77777777" w:rsidR="00774A33" w:rsidRPr="00774A33" w:rsidRDefault="00774A33" w:rsidP="00774A33">
      <w:pPr>
        <w:tabs>
          <w:tab w:val="left" w:pos="-1440"/>
        </w:tabs>
        <w:spacing w:before="120" w:after="0" w:line="360" w:lineRule="auto"/>
        <w:ind w:left="2127" w:right="-329" w:hanging="2127"/>
        <w:jc w:val="both"/>
        <w:rPr>
          <w:rFonts w:ascii="Arial" w:eastAsia="Times New Roman" w:hAnsi="Arial" w:cs="Arial"/>
          <w:bCs/>
          <w:sz w:val="24"/>
          <w:szCs w:val="24"/>
          <w:lang w:val="en-GB"/>
        </w:rPr>
      </w:pPr>
      <w:r w:rsidRPr="00774A33">
        <w:rPr>
          <w:rFonts w:ascii="Arial" w:eastAsia="Times New Roman" w:hAnsi="Arial" w:cs="Arial"/>
          <w:b/>
          <w:bCs/>
          <w:sz w:val="24"/>
          <w:szCs w:val="24"/>
          <w:lang w:val="en-GB"/>
        </w:rPr>
        <w:t>Heard:</w:t>
      </w:r>
      <w:r w:rsidRPr="00774A33">
        <w:rPr>
          <w:rFonts w:ascii="Arial" w:eastAsia="Times New Roman" w:hAnsi="Arial" w:cs="Arial"/>
          <w:bCs/>
          <w:sz w:val="24"/>
          <w:szCs w:val="24"/>
          <w:lang w:val="en-GB"/>
        </w:rPr>
        <w:tab/>
        <w:t>07 November 2022</w:t>
      </w:r>
    </w:p>
    <w:p w14:paraId="6ECEF32F" w14:textId="35612227" w:rsidR="001E429E" w:rsidRPr="00256AA8" w:rsidRDefault="00774A33" w:rsidP="001E429E">
      <w:pPr>
        <w:tabs>
          <w:tab w:val="left" w:pos="-1440"/>
        </w:tabs>
        <w:spacing w:before="120" w:after="0" w:line="360" w:lineRule="auto"/>
        <w:ind w:right="-329" w:hanging="33"/>
        <w:jc w:val="both"/>
        <w:rPr>
          <w:rFonts w:ascii="Arial" w:eastAsia="Times New Roman" w:hAnsi="Arial" w:cs="Arial"/>
          <w:sz w:val="24"/>
          <w:szCs w:val="24"/>
          <w:lang w:val="en-GB"/>
        </w:rPr>
      </w:pPr>
      <w:r w:rsidRPr="00774A33">
        <w:rPr>
          <w:rFonts w:ascii="Arial" w:eastAsia="Times New Roman" w:hAnsi="Arial" w:cs="Arial"/>
          <w:b/>
          <w:bCs/>
          <w:sz w:val="24"/>
          <w:szCs w:val="24"/>
          <w:lang w:val="en-GB"/>
        </w:rPr>
        <w:t xml:space="preserve">Delivered: </w:t>
      </w:r>
      <w:r w:rsidRPr="00774A33">
        <w:rPr>
          <w:rFonts w:ascii="Arial" w:eastAsia="Times New Roman" w:hAnsi="Arial" w:cs="Arial"/>
          <w:sz w:val="24"/>
          <w:szCs w:val="24"/>
          <w:lang w:val="en-GB"/>
        </w:rPr>
        <w:tab/>
      </w:r>
      <w:r w:rsidRPr="00774A33">
        <w:rPr>
          <w:rFonts w:ascii="Arial" w:eastAsia="Times New Roman" w:hAnsi="Arial" w:cs="Arial"/>
          <w:sz w:val="24"/>
          <w:szCs w:val="24"/>
          <w:lang w:val="en-GB"/>
        </w:rPr>
        <w:tab/>
      </w:r>
      <w:r w:rsidR="00F20873">
        <w:rPr>
          <w:rFonts w:ascii="Arial" w:eastAsia="Times New Roman" w:hAnsi="Arial" w:cs="Arial"/>
          <w:sz w:val="24"/>
          <w:szCs w:val="24"/>
          <w:lang w:val="en-GB"/>
        </w:rPr>
        <w:t>20 February 2023</w:t>
      </w:r>
    </w:p>
    <w:p w14:paraId="2F10DDFF" w14:textId="5C584C1A" w:rsidR="00774A33" w:rsidRPr="00774A33" w:rsidRDefault="00774A33" w:rsidP="001E429E">
      <w:pPr>
        <w:tabs>
          <w:tab w:val="left" w:pos="-1440"/>
        </w:tabs>
        <w:spacing w:before="120" w:after="0" w:line="360" w:lineRule="auto"/>
        <w:ind w:right="-329" w:hanging="33"/>
        <w:jc w:val="both"/>
        <w:rPr>
          <w:rFonts w:ascii="Arial" w:eastAsia="Times New Roman" w:hAnsi="Arial" w:cs="Arial"/>
          <w:bCs/>
          <w:sz w:val="24"/>
          <w:szCs w:val="24"/>
          <w:lang w:val="en-GB"/>
        </w:rPr>
      </w:pPr>
      <w:r w:rsidRPr="00256AA8">
        <w:rPr>
          <w:rFonts w:ascii="Arial" w:eastAsia="Times New Roman" w:hAnsi="Arial" w:cs="Arial"/>
          <w:b/>
          <w:bCs/>
          <w:sz w:val="24"/>
          <w:szCs w:val="24"/>
          <w:lang w:val="en-GB"/>
        </w:rPr>
        <w:t>Summary:</w:t>
      </w:r>
      <w:r w:rsidRPr="00256AA8">
        <w:rPr>
          <w:rFonts w:ascii="Arial" w:eastAsia="Times New Roman" w:hAnsi="Arial" w:cs="Arial"/>
          <w:bCs/>
          <w:sz w:val="24"/>
          <w:szCs w:val="24"/>
          <w:lang w:val="en-GB"/>
        </w:rPr>
        <w:tab/>
        <w:t xml:space="preserve">Land Reform – eviction under the Extension of Security of Tenure Act 62 of 1997 – whether termination of the occupiers’ right of residence on </w:t>
      </w:r>
      <w:r w:rsidR="00992E2C" w:rsidRPr="00256AA8">
        <w:rPr>
          <w:rFonts w:ascii="Arial" w:eastAsia="Times New Roman" w:hAnsi="Arial" w:cs="Arial"/>
          <w:bCs/>
          <w:sz w:val="24"/>
          <w:szCs w:val="24"/>
          <w:lang w:val="en-GB"/>
        </w:rPr>
        <w:t xml:space="preserve">a </w:t>
      </w:r>
      <w:r w:rsidRPr="00256AA8">
        <w:rPr>
          <w:rFonts w:ascii="Arial" w:eastAsia="Times New Roman" w:hAnsi="Arial" w:cs="Arial"/>
          <w:bCs/>
          <w:sz w:val="24"/>
          <w:szCs w:val="24"/>
          <w:lang w:val="en-GB"/>
        </w:rPr>
        <w:t xml:space="preserve">farm </w:t>
      </w:r>
      <w:r w:rsidRPr="00256AA8">
        <w:rPr>
          <w:rFonts w:ascii="Arial" w:eastAsia="Times New Roman" w:hAnsi="Arial" w:cs="Arial"/>
          <w:bCs/>
          <w:sz w:val="24"/>
          <w:szCs w:val="24"/>
          <w:lang w:val="en-GB"/>
        </w:rPr>
        <w:lastRenderedPageBreak/>
        <w:t xml:space="preserve">just and equitable – whether </w:t>
      </w:r>
      <w:r w:rsidR="00BD6BC3" w:rsidRPr="00256AA8">
        <w:rPr>
          <w:rFonts w:ascii="Arial" w:eastAsia="Times New Roman" w:hAnsi="Arial" w:cs="Arial"/>
          <w:bCs/>
          <w:sz w:val="24"/>
          <w:szCs w:val="24"/>
          <w:lang w:val="en-GB"/>
        </w:rPr>
        <w:t xml:space="preserve">judgment previously granted by a magistrate’s court rendered </w:t>
      </w:r>
      <w:r w:rsidRPr="00256AA8">
        <w:rPr>
          <w:rFonts w:ascii="Arial" w:eastAsia="Times New Roman" w:hAnsi="Arial" w:cs="Arial"/>
          <w:bCs/>
          <w:sz w:val="24"/>
          <w:szCs w:val="24"/>
          <w:lang w:val="en-GB"/>
        </w:rPr>
        <w:t>the claim in the Land Claims Court res judicata</w:t>
      </w:r>
      <w:r w:rsidR="00BD6BC3" w:rsidRPr="00256AA8">
        <w:rPr>
          <w:rFonts w:ascii="Arial" w:eastAsia="Times New Roman" w:hAnsi="Arial" w:cs="Arial"/>
          <w:bCs/>
          <w:sz w:val="24"/>
          <w:szCs w:val="24"/>
          <w:lang w:val="en-GB"/>
        </w:rPr>
        <w:t>.</w:t>
      </w:r>
      <w:r w:rsidRPr="00774A33">
        <w:rPr>
          <w:rFonts w:ascii="Arial" w:eastAsia="Times New Roman" w:hAnsi="Arial" w:cs="Arial"/>
          <w:bCs/>
          <w:sz w:val="24"/>
          <w:szCs w:val="24"/>
          <w:lang w:val="en-GB"/>
        </w:rPr>
        <w:t xml:space="preserve"> </w:t>
      </w:r>
    </w:p>
    <w:p w14:paraId="35213C2F" w14:textId="77777777" w:rsidR="00774A33" w:rsidRPr="00774A33" w:rsidRDefault="00774A33" w:rsidP="006F68DF">
      <w:pPr>
        <w:spacing w:after="120" w:line="240" w:lineRule="auto"/>
        <w:ind w:right="-58"/>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br w:type="page"/>
      </w:r>
      <w:r w:rsidRPr="00774A33">
        <w:rPr>
          <w:rFonts w:ascii="Arial" w:eastAsia="Times New Roman" w:hAnsi="Arial" w:cs="Arial"/>
          <w:bCs/>
          <w:sz w:val="24"/>
          <w:szCs w:val="24"/>
          <w:lang w:val="en-GB"/>
        </w:rPr>
        <w:lastRenderedPageBreak/>
        <w:t>______________________________________________________________</w:t>
      </w:r>
    </w:p>
    <w:p w14:paraId="570E988F" w14:textId="77777777" w:rsidR="00774A33" w:rsidRPr="00774A33" w:rsidRDefault="00774A33" w:rsidP="00774A33">
      <w:pPr>
        <w:spacing w:after="0" w:line="240" w:lineRule="auto"/>
        <w:ind w:left="720" w:right="26" w:hanging="720"/>
        <w:jc w:val="center"/>
        <w:rPr>
          <w:rFonts w:ascii="Arial" w:eastAsia="Times New Roman" w:hAnsi="Arial" w:cs="Arial"/>
          <w:bCs/>
          <w:sz w:val="24"/>
          <w:szCs w:val="24"/>
          <w:lang w:val="en-GB"/>
        </w:rPr>
      </w:pPr>
    </w:p>
    <w:p w14:paraId="65FF9CB5" w14:textId="77777777" w:rsidR="00774A33" w:rsidRPr="00774A33" w:rsidRDefault="00774A33" w:rsidP="00BD6BC3">
      <w:pPr>
        <w:tabs>
          <w:tab w:val="right" w:pos="8197"/>
        </w:tabs>
        <w:spacing w:after="0" w:line="240" w:lineRule="auto"/>
        <w:ind w:left="720" w:right="26" w:hanging="720"/>
        <w:jc w:val="center"/>
        <w:rPr>
          <w:rFonts w:ascii="Arial" w:eastAsia="Times New Roman" w:hAnsi="Arial" w:cs="Arial"/>
          <w:b/>
          <w:bCs/>
          <w:sz w:val="24"/>
          <w:szCs w:val="24"/>
          <w:lang w:val="en-GB"/>
        </w:rPr>
      </w:pPr>
      <w:r w:rsidRPr="00774A33">
        <w:rPr>
          <w:rFonts w:ascii="Arial" w:eastAsia="Times New Roman" w:hAnsi="Arial" w:cs="Arial"/>
          <w:b/>
          <w:bCs/>
          <w:sz w:val="24"/>
          <w:szCs w:val="24"/>
          <w:lang w:val="en-GB"/>
        </w:rPr>
        <w:t>ORDER</w:t>
      </w:r>
    </w:p>
    <w:p w14:paraId="1A2BC823" w14:textId="77777777" w:rsidR="00774A33" w:rsidRPr="00774A33" w:rsidRDefault="00774A33" w:rsidP="00774A33">
      <w:pPr>
        <w:spacing w:after="0" w:line="240" w:lineRule="auto"/>
        <w:ind w:right="26"/>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______________________________________________________________</w:t>
      </w:r>
    </w:p>
    <w:p w14:paraId="1CA9AE46" w14:textId="77777777" w:rsidR="00774A33" w:rsidRPr="00774A33" w:rsidRDefault="00774A33" w:rsidP="00774A33">
      <w:pPr>
        <w:spacing w:after="0" w:line="360" w:lineRule="auto"/>
        <w:jc w:val="both"/>
        <w:rPr>
          <w:rFonts w:ascii="Arial" w:eastAsia="Times New Roman" w:hAnsi="Arial" w:cs="Arial"/>
          <w:sz w:val="24"/>
          <w:szCs w:val="24"/>
          <w:lang w:val="en-GB"/>
        </w:rPr>
      </w:pPr>
    </w:p>
    <w:p w14:paraId="7F1AA50A" w14:textId="6DCDB90F" w:rsidR="00774A33" w:rsidRPr="00774A33" w:rsidRDefault="00774A33" w:rsidP="00774A33">
      <w:pPr>
        <w:spacing w:after="0" w:line="480" w:lineRule="auto"/>
        <w:jc w:val="both"/>
        <w:rPr>
          <w:rFonts w:ascii="Arial" w:eastAsia="Times New Roman" w:hAnsi="Arial" w:cs="Arial"/>
          <w:sz w:val="24"/>
          <w:szCs w:val="24"/>
          <w:lang w:val="en-GB"/>
        </w:rPr>
      </w:pPr>
      <w:r w:rsidRPr="00774A33">
        <w:rPr>
          <w:rFonts w:ascii="Arial" w:eastAsia="Times New Roman" w:hAnsi="Arial" w:cs="Arial"/>
          <w:b/>
          <w:sz w:val="24"/>
          <w:szCs w:val="24"/>
          <w:lang w:val="en-GB"/>
        </w:rPr>
        <w:t>On appeal from</w:t>
      </w:r>
      <w:r w:rsidRPr="00774A33">
        <w:rPr>
          <w:rFonts w:ascii="Arial" w:eastAsia="Times New Roman" w:hAnsi="Arial" w:cs="Arial"/>
          <w:sz w:val="24"/>
          <w:szCs w:val="24"/>
          <w:lang w:val="en-GB"/>
        </w:rPr>
        <w:t>: The Land Claims Court, Randburg (Ncube J sitting as court of first instance):</w:t>
      </w:r>
      <w:bookmarkStart w:id="3" w:name="_Hlk124664286"/>
      <w:bookmarkStart w:id="4" w:name="_Hlk124669621"/>
    </w:p>
    <w:p w14:paraId="3C3A7CE6" w14:textId="0196FB6A" w:rsidR="00774A33" w:rsidRPr="00256AA8" w:rsidRDefault="00774A33" w:rsidP="00774A33">
      <w:pPr>
        <w:numPr>
          <w:ilvl w:val="0"/>
          <w:numId w:val="22"/>
        </w:numPr>
        <w:spacing w:after="0" w:line="480" w:lineRule="auto"/>
        <w:jc w:val="both"/>
        <w:rPr>
          <w:rFonts w:ascii="Arial" w:eastAsia="Times New Roman" w:hAnsi="Arial" w:cs="Arial"/>
          <w:sz w:val="24"/>
          <w:szCs w:val="24"/>
          <w:lang w:val="en-GB"/>
        </w:rPr>
      </w:pPr>
      <w:r w:rsidRPr="00256AA8">
        <w:rPr>
          <w:rFonts w:ascii="Arial" w:eastAsia="Times New Roman" w:hAnsi="Arial" w:cs="Arial"/>
          <w:sz w:val="24"/>
          <w:szCs w:val="24"/>
          <w:lang w:val="en-GB"/>
        </w:rPr>
        <w:t>The appeal succeeds and the cross-appeal is dismissed</w:t>
      </w:r>
      <w:r w:rsidR="00BD6BC3" w:rsidRPr="00256AA8">
        <w:rPr>
          <w:rFonts w:ascii="Arial" w:eastAsia="Times New Roman" w:hAnsi="Arial" w:cs="Arial"/>
          <w:sz w:val="24"/>
          <w:szCs w:val="24"/>
          <w:lang w:val="en-GB"/>
        </w:rPr>
        <w:t xml:space="preserve"> </w:t>
      </w:r>
      <w:bookmarkStart w:id="5" w:name="_Hlk126329679"/>
      <w:r w:rsidR="00BD6BC3" w:rsidRPr="00256AA8">
        <w:rPr>
          <w:rFonts w:ascii="Arial" w:eastAsia="Times New Roman" w:hAnsi="Arial" w:cs="Arial"/>
          <w:sz w:val="24"/>
          <w:szCs w:val="24"/>
          <w:lang w:val="en-GB"/>
        </w:rPr>
        <w:t>with no order as to costs in each instance</w:t>
      </w:r>
      <w:bookmarkEnd w:id="5"/>
      <w:r w:rsidRPr="00256AA8">
        <w:rPr>
          <w:rFonts w:ascii="Arial" w:eastAsia="Times New Roman" w:hAnsi="Arial" w:cs="Arial"/>
          <w:sz w:val="24"/>
          <w:szCs w:val="24"/>
          <w:lang w:val="en-GB"/>
        </w:rPr>
        <w:t>.</w:t>
      </w:r>
    </w:p>
    <w:p w14:paraId="2AD65E98" w14:textId="77777777" w:rsidR="00774A33" w:rsidRPr="00256AA8" w:rsidRDefault="00774A33" w:rsidP="00774A33">
      <w:pPr>
        <w:numPr>
          <w:ilvl w:val="0"/>
          <w:numId w:val="22"/>
        </w:numPr>
        <w:spacing w:after="0" w:line="480" w:lineRule="auto"/>
        <w:jc w:val="both"/>
        <w:rPr>
          <w:rFonts w:ascii="Arial" w:eastAsia="Times New Roman" w:hAnsi="Arial" w:cs="Arial"/>
          <w:sz w:val="24"/>
          <w:szCs w:val="24"/>
        </w:rPr>
      </w:pPr>
      <w:r w:rsidRPr="00256AA8">
        <w:rPr>
          <w:rFonts w:ascii="Arial" w:eastAsia="Times New Roman" w:hAnsi="Arial" w:cs="Arial"/>
          <w:sz w:val="24"/>
          <w:szCs w:val="24"/>
          <w:lang w:val="en-GB"/>
        </w:rPr>
        <w:t xml:space="preserve">The order of the </w:t>
      </w:r>
      <w:r w:rsidRPr="00256AA8">
        <w:rPr>
          <w:rFonts w:ascii="Arial" w:eastAsia="Times New Roman" w:hAnsi="Arial" w:cs="Arial"/>
          <w:sz w:val="24"/>
          <w:szCs w:val="24"/>
          <w:lang w:val="en-US"/>
        </w:rPr>
        <w:t>Land Claims Court is set aside and replaced with the following order:</w:t>
      </w:r>
    </w:p>
    <w:p w14:paraId="7CF7BB4A" w14:textId="35B56DFC" w:rsidR="00774A33" w:rsidRPr="00256AA8" w:rsidRDefault="00774A33" w:rsidP="00774A33">
      <w:pPr>
        <w:spacing w:after="0" w:line="480" w:lineRule="auto"/>
        <w:ind w:left="360"/>
        <w:jc w:val="both"/>
        <w:rPr>
          <w:rFonts w:ascii="Arial" w:eastAsia="Times New Roman" w:hAnsi="Arial" w:cs="Arial"/>
          <w:sz w:val="24"/>
          <w:szCs w:val="24"/>
        </w:rPr>
      </w:pPr>
      <w:r w:rsidRPr="00256AA8">
        <w:rPr>
          <w:rFonts w:ascii="Arial" w:eastAsia="Times New Roman" w:hAnsi="Arial" w:cs="Arial"/>
          <w:sz w:val="24"/>
          <w:szCs w:val="24"/>
          <w:lang w:val="en-GB"/>
        </w:rPr>
        <w:t>‘</w:t>
      </w:r>
      <w:r w:rsidRPr="00256AA8">
        <w:rPr>
          <w:rFonts w:ascii="Arial" w:eastAsia="Times New Roman" w:hAnsi="Arial" w:cs="Arial"/>
          <w:sz w:val="24"/>
          <w:szCs w:val="24"/>
          <w:lang w:val="en-US"/>
        </w:rPr>
        <w:t>(a)</w:t>
      </w:r>
      <w:r w:rsidR="00F20873">
        <w:rPr>
          <w:rFonts w:ascii="Arial" w:eastAsia="Times New Roman" w:hAnsi="Arial" w:cs="Arial"/>
          <w:sz w:val="24"/>
          <w:szCs w:val="24"/>
          <w:lang w:val="en-US"/>
        </w:rPr>
        <w:t xml:space="preserve"> </w:t>
      </w:r>
      <w:r w:rsidRPr="00256AA8">
        <w:rPr>
          <w:rFonts w:ascii="Arial" w:eastAsia="Times New Roman" w:hAnsi="Arial" w:cs="Arial"/>
          <w:sz w:val="24"/>
          <w:szCs w:val="24"/>
          <w:lang w:val="en-US"/>
        </w:rPr>
        <w:t xml:space="preserve">An eviction order is granted in respect of all the occupier respondents, with the exception of the eleventh and twelfth respondents. </w:t>
      </w:r>
    </w:p>
    <w:p w14:paraId="46D9106D" w14:textId="1692C324" w:rsidR="00774A33" w:rsidRPr="00774A33" w:rsidRDefault="00774A33" w:rsidP="00774A33">
      <w:pPr>
        <w:spacing w:after="0" w:line="480" w:lineRule="auto"/>
        <w:ind w:left="360"/>
        <w:jc w:val="both"/>
        <w:rPr>
          <w:rFonts w:ascii="Arial" w:eastAsia="Times New Roman" w:hAnsi="Arial" w:cs="Arial"/>
          <w:sz w:val="24"/>
          <w:szCs w:val="24"/>
          <w:lang w:val="en-US"/>
        </w:rPr>
      </w:pPr>
      <w:r w:rsidRPr="00256AA8">
        <w:rPr>
          <w:rFonts w:ascii="Arial" w:eastAsia="Times New Roman" w:hAnsi="Arial" w:cs="Arial"/>
          <w:sz w:val="24"/>
          <w:szCs w:val="24"/>
          <w:lang w:val="en-US"/>
        </w:rPr>
        <w:t>(b)</w:t>
      </w:r>
      <w:r w:rsidRPr="00256AA8">
        <w:rPr>
          <w:rFonts w:ascii="Arial" w:eastAsia="Times New Roman" w:hAnsi="Arial" w:cs="Arial"/>
          <w:sz w:val="24"/>
          <w:szCs w:val="24"/>
          <w:lang w:val="en-US"/>
        </w:rPr>
        <w:tab/>
        <w:t>The first to tenth respondents and</w:t>
      </w:r>
      <w:r w:rsidRPr="00774A33">
        <w:rPr>
          <w:rFonts w:ascii="Arial" w:eastAsia="Times New Roman" w:hAnsi="Arial" w:cs="Arial"/>
          <w:sz w:val="24"/>
          <w:szCs w:val="24"/>
          <w:lang w:val="en-US"/>
        </w:rPr>
        <w:t xml:space="preserve"> thirteenth to twenty</w:t>
      </w:r>
      <w:r w:rsidR="00F20873">
        <w:rPr>
          <w:rFonts w:ascii="Arial" w:eastAsia="Times New Roman" w:hAnsi="Arial" w:cs="Arial"/>
          <w:sz w:val="24"/>
          <w:szCs w:val="24"/>
          <w:lang w:val="en-US"/>
        </w:rPr>
        <w:t>-</w:t>
      </w:r>
      <w:r w:rsidRPr="00774A33">
        <w:rPr>
          <w:rFonts w:ascii="Arial" w:eastAsia="Times New Roman" w:hAnsi="Arial" w:cs="Arial"/>
          <w:sz w:val="24"/>
          <w:szCs w:val="24"/>
          <w:lang w:val="en-US"/>
        </w:rPr>
        <w:t xml:space="preserve">sixth respondents must vacate the farm known as Rein Hill Estate, </w:t>
      </w:r>
      <w:bookmarkStart w:id="6" w:name="_Hlk124701046"/>
      <w:r w:rsidRPr="00774A33">
        <w:rPr>
          <w:rFonts w:ascii="Arial" w:eastAsia="Times New Roman" w:hAnsi="Arial" w:cs="Arial"/>
          <w:sz w:val="24"/>
          <w:szCs w:val="24"/>
          <w:lang w:val="en-US"/>
        </w:rPr>
        <w:t xml:space="preserve">situated on the remainder of farm number 1458 in the Drakenstein Municipality, Paarl Division, Western Cape Province </w:t>
      </w:r>
      <w:bookmarkEnd w:id="6"/>
      <w:r w:rsidRPr="00774A33">
        <w:rPr>
          <w:rFonts w:ascii="Arial" w:eastAsia="Times New Roman" w:hAnsi="Arial" w:cs="Arial"/>
          <w:sz w:val="24"/>
          <w:szCs w:val="24"/>
          <w:lang w:val="en-US"/>
        </w:rPr>
        <w:t xml:space="preserve">on or before 31 </w:t>
      </w:r>
      <w:r w:rsidR="00145168">
        <w:rPr>
          <w:rFonts w:ascii="Arial" w:eastAsia="Times New Roman" w:hAnsi="Arial" w:cs="Arial"/>
          <w:sz w:val="24"/>
          <w:szCs w:val="24"/>
          <w:lang w:val="en-US"/>
        </w:rPr>
        <w:t>August</w:t>
      </w:r>
      <w:r w:rsidR="00317593">
        <w:rPr>
          <w:rFonts w:ascii="Arial" w:eastAsia="Times New Roman" w:hAnsi="Arial" w:cs="Arial"/>
          <w:sz w:val="24"/>
          <w:szCs w:val="24"/>
          <w:lang w:val="en-US"/>
        </w:rPr>
        <w:t xml:space="preserve"> </w:t>
      </w:r>
      <w:r w:rsidRPr="00774A33">
        <w:rPr>
          <w:rFonts w:ascii="Arial" w:eastAsia="Times New Roman" w:hAnsi="Arial" w:cs="Arial"/>
          <w:sz w:val="24"/>
          <w:szCs w:val="24"/>
          <w:lang w:val="en-US"/>
        </w:rPr>
        <w:t>2023.</w:t>
      </w:r>
    </w:p>
    <w:p w14:paraId="1057F9E5" w14:textId="0C4929F4" w:rsidR="00774A33" w:rsidRPr="00774A33" w:rsidRDefault="00774A33" w:rsidP="00774A33">
      <w:pPr>
        <w:spacing w:after="0" w:line="480" w:lineRule="auto"/>
        <w:ind w:left="360"/>
        <w:jc w:val="both"/>
        <w:rPr>
          <w:rFonts w:ascii="Arial" w:eastAsia="Times New Roman" w:hAnsi="Arial" w:cs="Arial"/>
          <w:sz w:val="24"/>
          <w:szCs w:val="24"/>
          <w:lang w:val="en-US"/>
        </w:rPr>
      </w:pPr>
      <w:r w:rsidRPr="00774A33">
        <w:rPr>
          <w:rFonts w:ascii="Arial" w:eastAsia="Times New Roman" w:hAnsi="Arial" w:cs="Arial"/>
          <w:sz w:val="24"/>
          <w:szCs w:val="24"/>
          <w:lang w:val="en-US"/>
        </w:rPr>
        <w:t>(c)</w:t>
      </w:r>
      <w:r w:rsidRPr="00774A33">
        <w:rPr>
          <w:rFonts w:ascii="Arial" w:eastAsia="Times New Roman" w:hAnsi="Arial" w:cs="Arial"/>
          <w:sz w:val="24"/>
          <w:szCs w:val="24"/>
          <w:lang w:val="en-US"/>
        </w:rPr>
        <w:tab/>
        <w:t>Should the respondents</w:t>
      </w:r>
      <w:r w:rsidR="00F20873">
        <w:rPr>
          <w:rFonts w:ascii="Arial" w:eastAsia="Times New Roman" w:hAnsi="Arial" w:cs="Arial"/>
          <w:sz w:val="24"/>
          <w:szCs w:val="24"/>
          <w:lang w:val="en-US"/>
        </w:rPr>
        <w:t xml:space="preserve"> mentioned in paragraph (a)</w:t>
      </w:r>
      <w:r w:rsidRPr="00774A33">
        <w:rPr>
          <w:rFonts w:ascii="Arial" w:eastAsia="Times New Roman" w:hAnsi="Arial" w:cs="Arial"/>
          <w:sz w:val="24"/>
          <w:szCs w:val="24"/>
          <w:lang w:val="en-US"/>
        </w:rPr>
        <w:t xml:space="preserve"> and all those occupying the farm under them fail to vacate it on or before 31 </w:t>
      </w:r>
      <w:r w:rsidR="00770890">
        <w:rPr>
          <w:rFonts w:ascii="Arial" w:eastAsia="Times New Roman" w:hAnsi="Arial" w:cs="Arial"/>
          <w:sz w:val="24"/>
          <w:szCs w:val="24"/>
          <w:lang w:val="en-US"/>
        </w:rPr>
        <w:t>August</w:t>
      </w:r>
      <w:r w:rsidRPr="00774A33">
        <w:rPr>
          <w:rFonts w:ascii="Arial" w:eastAsia="Times New Roman" w:hAnsi="Arial" w:cs="Arial"/>
          <w:sz w:val="24"/>
          <w:szCs w:val="24"/>
          <w:lang w:val="en-US"/>
        </w:rPr>
        <w:t xml:space="preserve"> 2023, the sheriff of the court is authorised to evict them from the farm by </w:t>
      </w:r>
      <w:r w:rsidR="00317593">
        <w:rPr>
          <w:rFonts w:ascii="Arial" w:eastAsia="Times New Roman" w:hAnsi="Arial" w:cs="Arial"/>
          <w:sz w:val="24"/>
          <w:szCs w:val="24"/>
          <w:lang w:val="en-US"/>
        </w:rPr>
        <w:t xml:space="preserve">15 </w:t>
      </w:r>
      <w:r w:rsidR="00145168">
        <w:rPr>
          <w:rFonts w:ascii="Arial" w:eastAsia="Times New Roman" w:hAnsi="Arial" w:cs="Arial"/>
          <w:sz w:val="24"/>
          <w:szCs w:val="24"/>
          <w:lang w:val="en-US"/>
        </w:rPr>
        <w:t xml:space="preserve">September </w:t>
      </w:r>
      <w:r w:rsidRPr="00774A33">
        <w:rPr>
          <w:rFonts w:ascii="Arial" w:eastAsia="Times New Roman" w:hAnsi="Arial" w:cs="Arial"/>
          <w:sz w:val="24"/>
          <w:szCs w:val="24"/>
          <w:lang w:val="en-US"/>
        </w:rPr>
        <w:t>2023.</w:t>
      </w:r>
    </w:p>
    <w:p w14:paraId="1A1A86EF" w14:textId="09ABADC2" w:rsidR="00774A33" w:rsidRPr="00774A33" w:rsidRDefault="00774A33" w:rsidP="00774A33">
      <w:pPr>
        <w:spacing w:after="0" w:line="480" w:lineRule="auto"/>
        <w:ind w:left="360"/>
        <w:jc w:val="both"/>
        <w:rPr>
          <w:rFonts w:ascii="Arial" w:eastAsia="Times New Roman" w:hAnsi="Arial" w:cs="Arial"/>
          <w:sz w:val="24"/>
          <w:szCs w:val="24"/>
          <w:lang w:val="en-US"/>
        </w:rPr>
      </w:pPr>
      <w:r w:rsidRPr="00774A33">
        <w:rPr>
          <w:rFonts w:ascii="Arial" w:eastAsia="Times New Roman" w:hAnsi="Arial" w:cs="Arial"/>
          <w:sz w:val="24"/>
          <w:szCs w:val="24"/>
          <w:lang w:val="en-US"/>
        </w:rPr>
        <w:t>(d)</w:t>
      </w:r>
      <w:r w:rsidRPr="00774A33">
        <w:rPr>
          <w:rFonts w:ascii="Arial" w:eastAsia="Times New Roman" w:hAnsi="Arial" w:cs="Arial"/>
          <w:sz w:val="24"/>
          <w:szCs w:val="24"/>
          <w:lang w:val="en-US"/>
        </w:rPr>
        <w:tab/>
      </w:r>
      <w:r w:rsidR="00F20873">
        <w:rPr>
          <w:rFonts w:ascii="Arial" w:eastAsia="Times New Roman" w:hAnsi="Arial" w:cs="Arial"/>
          <w:sz w:val="24"/>
          <w:szCs w:val="24"/>
          <w:lang w:val="en-US"/>
        </w:rPr>
        <w:t>The twenty-</w:t>
      </w:r>
      <w:r w:rsidRPr="00256AA8">
        <w:rPr>
          <w:rFonts w:ascii="Arial" w:eastAsia="Times New Roman" w:hAnsi="Arial" w:cs="Arial"/>
          <w:sz w:val="24"/>
          <w:szCs w:val="24"/>
          <w:lang w:val="en-US"/>
        </w:rPr>
        <w:t xml:space="preserve">seventh respondent is ordered to provide emergency housing </w:t>
      </w:r>
      <w:bookmarkStart w:id="7" w:name="_Hlk125998338"/>
      <w:r w:rsidR="00CC7988" w:rsidRPr="00256AA8">
        <w:rPr>
          <w:rFonts w:ascii="Arial" w:eastAsia="Times New Roman" w:hAnsi="Arial" w:cs="Arial"/>
          <w:sz w:val="24"/>
          <w:szCs w:val="24"/>
          <w:lang w:val="en-US"/>
        </w:rPr>
        <w:t xml:space="preserve">suitable for human habitation </w:t>
      </w:r>
      <w:bookmarkEnd w:id="7"/>
      <w:r w:rsidRPr="00256AA8">
        <w:rPr>
          <w:rFonts w:ascii="Arial" w:eastAsia="Times New Roman" w:hAnsi="Arial" w:cs="Arial"/>
          <w:sz w:val="24"/>
          <w:szCs w:val="24"/>
          <w:lang w:val="en-US"/>
        </w:rPr>
        <w:t xml:space="preserve">with access to </w:t>
      </w:r>
      <w:r w:rsidR="002257F1" w:rsidRPr="00256AA8">
        <w:rPr>
          <w:rFonts w:ascii="Arial" w:eastAsia="Times New Roman" w:hAnsi="Arial" w:cs="Arial"/>
          <w:sz w:val="24"/>
          <w:szCs w:val="24"/>
          <w:lang w:val="en-US"/>
        </w:rPr>
        <w:t xml:space="preserve">basic </w:t>
      </w:r>
      <w:r w:rsidRPr="00256AA8">
        <w:rPr>
          <w:rFonts w:ascii="Arial" w:eastAsia="Times New Roman" w:hAnsi="Arial" w:cs="Arial"/>
          <w:sz w:val="24"/>
          <w:szCs w:val="24"/>
          <w:lang w:val="en-US"/>
        </w:rPr>
        <w:t>services (which may be communal) to the respondents</w:t>
      </w:r>
      <w:r w:rsidRPr="00774A33">
        <w:rPr>
          <w:rFonts w:ascii="Arial" w:eastAsia="Times New Roman" w:hAnsi="Arial" w:cs="Arial"/>
          <w:sz w:val="24"/>
          <w:szCs w:val="24"/>
          <w:lang w:val="en-US"/>
        </w:rPr>
        <w:t xml:space="preserve"> mentioned in paragraph (a) above and all those occupying the farm under them, on or before 31 </w:t>
      </w:r>
      <w:r w:rsidR="00317593">
        <w:rPr>
          <w:rFonts w:ascii="Arial" w:eastAsia="Times New Roman" w:hAnsi="Arial" w:cs="Arial"/>
          <w:sz w:val="24"/>
          <w:szCs w:val="24"/>
          <w:lang w:val="en-US"/>
        </w:rPr>
        <w:t xml:space="preserve">July </w:t>
      </w:r>
      <w:r w:rsidRPr="00774A33">
        <w:rPr>
          <w:rFonts w:ascii="Arial" w:eastAsia="Times New Roman" w:hAnsi="Arial" w:cs="Arial"/>
          <w:sz w:val="24"/>
          <w:szCs w:val="24"/>
          <w:lang w:val="en-US"/>
        </w:rPr>
        <w:t>2023.</w:t>
      </w:r>
    </w:p>
    <w:p w14:paraId="06B72FE8" w14:textId="77777777" w:rsidR="00774A33" w:rsidRPr="00774A33" w:rsidRDefault="00774A33" w:rsidP="00774A33">
      <w:pPr>
        <w:spacing w:after="0" w:line="480" w:lineRule="auto"/>
        <w:ind w:firstLine="360"/>
        <w:jc w:val="both"/>
        <w:rPr>
          <w:rFonts w:ascii="Arial" w:eastAsia="Times New Roman" w:hAnsi="Arial" w:cs="Arial"/>
          <w:sz w:val="24"/>
          <w:szCs w:val="24"/>
          <w:lang w:val="en-US"/>
        </w:rPr>
      </w:pPr>
      <w:r w:rsidRPr="00774A33">
        <w:rPr>
          <w:rFonts w:ascii="Arial" w:eastAsia="Times New Roman" w:hAnsi="Arial" w:cs="Arial"/>
          <w:sz w:val="24"/>
          <w:szCs w:val="24"/>
          <w:lang w:val="en-US"/>
        </w:rPr>
        <w:t>(e)</w:t>
      </w:r>
      <w:r w:rsidRPr="00774A33">
        <w:rPr>
          <w:rFonts w:ascii="Arial" w:eastAsia="Times New Roman" w:hAnsi="Arial" w:cs="Arial"/>
          <w:sz w:val="24"/>
          <w:szCs w:val="24"/>
          <w:lang w:val="en-US"/>
        </w:rPr>
        <w:tab/>
        <w:t>There is no order as to costs.’</w:t>
      </w:r>
    </w:p>
    <w:bookmarkEnd w:id="3"/>
    <w:bookmarkEnd w:id="4"/>
    <w:p w14:paraId="1B73A7D5" w14:textId="77777777" w:rsidR="00774A33" w:rsidRPr="00774A33" w:rsidRDefault="00774A33" w:rsidP="00774A33">
      <w:pPr>
        <w:spacing w:after="0" w:line="480" w:lineRule="auto"/>
        <w:jc w:val="both"/>
        <w:rPr>
          <w:rFonts w:ascii="Arial" w:eastAsia="Times New Roman" w:hAnsi="Arial" w:cs="Arial"/>
          <w:sz w:val="24"/>
          <w:szCs w:val="24"/>
          <w:lang w:val="en-GB"/>
        </w:rPr>
      </w:pPr>
    </w:p>
    <w:p w14:paraId="3EFA589E" w14:textId="77777777" w:rsidR="00774A33" w:rsidRPr="00774A33" w:rsidRDefault="00774A33" w:rsidP="00774A33">
      <w:pPr>
        <w:spacing w:after="0" w:line="480" w:lineRule="auto"/>
        <w:jc w:val="both"/>
        <w:rPr>
          <w:rFonts w:ascii="Arial" w:eastAsia="Times New Roman" w:hAnsi="Arial" w:cs="Arial"/>
          <w:sz w:val="24"/>
          <w:szCs w:val="24"/>
          <w:lang w:val="en-GB"/>
        </w:rPr>
      </w:pPr>
    </w:p>
    <w:p w14:paraId="25266EC1" w14:textId="77777777" w:rsidR="00774A33" w:rsidRPr="00774A33" w:rsidRDefault="00774A33" w:rsidP="0065624A">
      <w:pPr>
        <w:spacing w:after="120" w:line="240" w:lineRule="auto"/>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______________________________________________________________</w:t>
      </w:r>
    </w:p>
    <w:p w14:paraId="4E73B548" w14:textId="77777777" w:rsidR="00774A33" w:rsidRPr="00774A33" w:rsidRDefault="00774A33" w:rsidP="00774A33">
      <w:pPr>
        <w:tabs>
          <w:tab w:val="right" w:pos="8197"/>
        </w:tabs>
        <w:spacing w:after="0" w:line="240" w:lineRule="auto"/>
        <w:ind w:left="720" w:right="26" w:hanging="720"/>
        <w:jc w:val="center"/>
        <w:rPr>
          <w:rFonts w:ascii="Arial" w:eastAsia="Times New Roman" w:hAnsi="Arial" w:cs="Arial"/>
          <w:bCs/>
          <w:sz w:val="24"/>
          <w:szCs w:val="24"/>
          <w:lang w:val="en-GB"/>
        </w:rPr>
      </w:pPr>
    </w:p>
    <w:p w14:paraId="47FE7CD3" w14:textId="77777777" w:rsidR="00774A33" w:rsidRPr="00774A33" w:rsidRDefault="00774A33" w:rsidP="0065624A">
      <w:pPr>
        <w:tabs>
          <w:tab w:val="right" w:pos="8197"/>
        </w:tabs>
        <w:spacing w:after="120" w:line="240" w:lineRule="auto"/>
        <w:ind w:left="720" w:right="26" w:hanging="720"/>
        <w:jc w:val="center"/>
        <w:rPr>
          <w:rFonts w:ascii="Arial" w:eastAsia="Times New Roman" w:hAnsi="Arial" w:cs="Arial"/>
          <w:b/>
          <w:bCs/>
          <w:sz w:val="24"/>
          <w:szCs w:val="24"/>
          <w:lang w:val="en-GB"/>
        </w:rPr>
      </w:pPr>
      <w:r w:rsidRPr="00774A33">
        <w:rPr>
          <w:rFonts w:ascii="Arial" w:eastAsia="Times New Roman" w:hAnsi="Arial" w:cs="Arial"/>
          <w:b/>
          <w:bCs/>
          <w:sz w:val="24"/>
          <w:szCs w:val="24"/>
          <w:lang w:val="en-GB"/>
        </w:rPr>
        <w:t>JUDGMENT</w:t>
      </w:r>
    </w:p>
    <w:p w14:paraId="09077330" w14:textId="77777777" w:rsidR="00774A33" w:rsidRPr="00774A33" w:rsidRDefault="00774A33" w:rsidP="00774A33">
      <w:pPr>
        <w:spacing w:after="0" w:line="240" w:lineRule="auto"/>
        <w:ind w:right="26"/>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______________________________________________________________</w:t>
      </w:r>
    </w:p>
    <w:p w14:paraId="7DDAA551" w14:textId="77777777" w:rsidR="00774A33" w:rsidRPr="00774A33" w:rsidRDefault="00774A33" w:rsidP="00774A33">
      <w:pPr>
        <w:tabs>
          <w:tab w:val="left" w:pos="-1440"/>
        </w:tabs>
        <w:spacing w:after="0" w:line="360" w:lineRule="auto"/>
        <w:ind w:right="-329"/>
        <w:jc w:val="both"/>
        <w:rPr>
          <w:rFonts w:ascii="Arial" w:eastAsia="Times New Roman" w:hAnsi="Arial" w:cs="Arial"/>
          <w:sz w:val="24"/>
          <w:szCs w:val="24"/>
          <w:lang w:val="en-GB"/>
        </w:rPr>
      </w:pPr>
    </w:p>
    <w:p w14:paraId="48050D0F" w14:textId="08ECCF97" w:rsidR="00774A33" w:rsidRPr="00256AA8" w:rsidRDefault="00774A33" w:rsidP="00774A33">
      <w:pPr>
        <w:tabs>
          <w:tab w:val="left" w:pos="-1440"/>
        </w:tabs>
        <w:spacing w:after="0" w:line="360" w:lineRule="auto"/>
        <w:ind w:right="26"/>
        <w:jc w:val="both"/>
        <w:rPr>
          <w:rFonts w:ascii="Arial" w:eastAsia="Times New Roman" w:hAnsi="Arial" w:cs="Arial"/>
          <w:b/>
          <w:sz w:val="24"/>
          <w:szCs w:val="24"/>
          <w:lang w:val="en-GB"/>
        </w:rPr>
      </w:pPr>
      <w:r w:rsidRPr="00256AA8">
        <w:rPr>
          <w:rFonts w:ascii="Arial" w:eastAsia="Times New Roman" w:hAnsi="Arial" w:cs="Arial"/>
          <w:b/>
          <w:sz w:val="24"/>
          <w:szCs w:val="24"/>
          <w:lang w:val="en-GB"/>
        </w:rPr>
        <w:t>Molemela JA (</w:t>
      </w:r>
      <w:r w:rsidR="0065624A" w:rsidRPr="00256AA8">
        <w:rPr>
          <w:rFonts w:ascii="Arial" w:eastAsia="Times New Roman" w:hAnsi="Arial" w:cs="Arial"/>
          <w:b/>
          <w:sz w:val="24"/>
          <w:szCs w:val="24"/>
          <w:lang w:val="en-GB"/>
        </w:rPr>
        <w:t xml:space="preserve">Petse AP and Makgoka JA and Basson and </w:t>
      </w:r>
      <w:r w:rsidR="00E911BE" w:rsidRPr="00256AA8">
        <w:rPr>
          <w:rFonts w:ascii="Arial" w:eastAsia="Times New Roman" w:hAnsi="Arial" w:cs="Arial"/>
          <w:b/>
          <w:sz w:val="24"/>
          <w:szCs w:val="24"/>
          <w:lang w:val="en-GB"/>
        </w:rPr>
        <w:t>Goosen</w:t>
      </w:r>
      <w:r w:rsidR="00C5672D" w:rsidRPr="00256AA8">
        <w:rPr>
          <w:rFonts w:ascii="Arial" w:eastAsia="Times New Roman" w:hAnsi="Arial" w:cs="Arial"/>
          <w:b/>
          <w:sz w:val="24"/>
          <w:szCs w:val="24"/>
          <w:lang w:val="en-GB"/>
        </w:rPr>
        <w:t xml:space="preserve"> AJJA</w:t>
      </w:r>
      <w:r w:rsidR="00E911BE" w:rsidRPr="00256AA8">
        <w:rPr>
          <w:rFonts w:ascii="Arial" w:eastAsia="Times New Roman" w:hAnsi="Arial" w:cs="Arial"/>
          <w:b/>
          <w:sz w:val="24"/>
          <w:szCs w:val="24"/>
          <w:lang w:val="en-GB"/>
        </w:rPr>
        <w:t xml:space="preserve"> </w:t>
      </w:r>
      <w:r w:rsidRPr="00256AA8">
        <w:rPr>
          <w:rFonts w:ascii="Arial" w:eastAsia="Times New Roman" w:hAnsi="Arial" w:cs="Arial"/>
          <w:b/>
          <w:sz w:val="24"/>
          <w:szCs w:val="24"/>
          <w:lang w:val="en-GB"/>
        </w:rPr>
        <w:t>concurring):</w:t>
      </w:r>
    </w:p>
    <w:p w14:paraId="04D2E360" w14:textId="77777777" w:rsidR="00774A33" w:rsidRPr="00256AA8" w:rsidRDefault="00774A33" w:rsidP="00774A33">
      <w:pPr>
        <w:tabs>
          <w:tab w:val="left" w:pos="-1440"/>
        </w:tabs>
        <w:spacing w:after="0" w:line="360" w:lineRule="auto"/>
        <w:ind w:right="26"/>
        <w:jc w:val="both"/>
        <w:rPr>
          <w:rFonts w:ascii="Arial" w:eastAsia="Times New Roman" w:hAnsi="Arial" w:cs="Arial"/>
          <w:b/>
          <w:sz w:val="24"/>
          <w:szCs w:val="24"/>
          <w:lang w:val="en-GB"/>
        </w:rPr>
      </w:pPr>
      <w:r w:rsidRPr="00256AA8">
        <w:rPr>
          <w:rFonts w:ascii="Arial" w:eastAsia="Times New Roman" w:hAnsi="Arial" w:cs="Arial"/>
          <w:b/>
          <w:sz w:val="24"/>
          <w:szCs w:val="24"/>
          <w:lang w:val="en-GB"/>
        </w:rPr>
        <w:t>Introduction:</w:t>
      </w:r>
    </w:p>
    <w:p w14:paraId="35D5C979" w14:textId="540DCC7C" w:rsidR="00217C6B" w:rsidRPr="00217C6B" w:rsidRDefault="00774A33" w:rsidP="00F82524">
      <w:pPr>
        <w:tabs>
          <w:tab w:val="left" w:pos="-1440"/>
        </w:tabs>
        <w:spacing w:after="0" w:line="360" w:lineRule="auto"/>
        <w:ind w:right="26"/>
        <w:jc w:val="both"/>
        <w:rPr>
          <w:rFonts w:ascii="Arial" w:eastAsia="Times New Roman" w:hAnsi="Arial" w:cs="Arial"/>
          <w:bCs/>
          <w:sz w:val="24"/>
          <w:szCs w:val="24"/>
          <w:lang w:val="en-GB"/>
        </w:rPr>
      </w:pPr>
      <w:r w:rsidRPr="00256AA8">
        <w:rPr>
          <w:rFonts w:ascii="Arial" w:eastAsia="Times New Roman" w:hAnsi="Arial" w:cs="Arial"/>
          <w:bCs/>
          <w:sz w:val="24"/>
          <w:szCs w:val="24"/>
          <w:lang w:val="en-GB"/>
        </w:rPr>
        <w:t>[1]</w:t>
      </w:r>
      <w:r w:rsidRPr="00256AA8">
        <w:rPr>
          <w:rFonts w:ascii="Arial" w:eastAsia="Times New Roman" w:hAnsi="Arial" w:cs="Arial"/>
          <w:bCs/>
          <w:sz w:val="24"/>
          <w:szCs w:val="24"/>
          <w:lang w:val="en-GB"/>
        </w:rPr>
        <w:tab/>
      </w:r>
      <w:r w:rsidR="00217C6B" w:rsidRPr="00256AA8">
        <w:rPr>
          <w:rFonts w:ascii="Arial" w:eastAsia="Times New Roman" w:hAnsi="Arial" w:cs="Arial"/>
          <w:bCs/>
          <w:sz w:val="24"/>
          <w:szCs w:val="24"/>
          <w:lang w:val="en-GB"/>
        </w:rPr>
        <w:t xml:space="preserve">Central in this appeal is whether eight </w:t>
      </w:r>
      <w:r w:rsidR="000B08F5" w:rsidRPr="00256AA8">
        <w:rPr>
          <w:rFonts w:ascii="Arial" w:eastAsia="Times New Roman" w:hAnsi="Arial" w:cs="Arial"/>
          <w:bCs/>
          <w:sz w:val="24"/>
          <w:szCs w:val="24"/>
          <w:lang w:val="en-GB"/>
        </w:rPr>
        <w:t xml:space="preserve">families residing </w:t>
      </w:r>
      <w:r w:rsidR="00217C6B" w:rsidRPr="00256AA8">
        <w:rPr>
          <w:rFonts w:ascii="Arial" w:eastAsia="Times New Roman" w:hAnsi="Arial" w:cs="Arial"/>
          <w:bCs/>
          <w:sz w:val="24"/>
          <w:szCs w:val="24"/>
          <w:lang w:val="en-GB"/>
        </w:rPr>
        <w:t xml:space="preserve">on private property owned by another ought to be evicted from that property on account of conduct which </w:t>
      </w:r>
      <w:r w:rsidR="00BB3AF1" w:rsidRPr="00256AA8">
        <w:rPr>
          <w:rFonts w:ascii="Arial" w:eastAsia="Times New Roman" w:hAnsi="Arial" w:cs="Arial"/>
          <w:bCs/>
          <w:sz w:val="24"/>
          <w:szCs w:val="24"/>
          <w:lang w:val="en-GB"/>
        </w:rPr>
        <w:t xml:space="preserve">purportedly </w:t>
      </w:r>
      <w:r w:rsidR="00713D0B" w:rsidRPr="00256AA8">
        <w:rPr>
          <w:rFonts w:ascii="Arial" w:eastAsia="Times New Roman" w:hAnsi="Arial" w:cs="Arial"/>
          <w:bCs/>
          <w:sz w:val="24"/>
          <w:szCs w:val="24"/>
          <w:lang w:val="en-GB"/>
        </w:rPr>
        <w:t xml:space="preserve">caused an irretrievable breakdown of </w:t>
      </w:r>
      <w:r w:rsidR="00217C6B" w:rsidRPr="00256AA8">
        <w:rPr>
          <w:rFonts w:ascii="Arial" w:eastAsia="Times New Roman" w:hAnsi="Arial" w:cs="Arial"/>
          <w:bCs/>
          <w:sz w:val="24"/>
          <w:szCs w:val="24"/>
          <w:lang w:val="en-GB"/>
        </w:rPr>
        <w:t xml:space="preserve">the relationship between the former and the latter. In matters </w:t>
      </w:r>
      <w:r w:rsidR="0037656B" w:rsidRPr="00256AA8">
        <w:rPr>
          <w:rFonts w:ascii="Arial" w:eastAsia="Times New Roman" w:hAnsi="Arial" w:cs="Arial"/>
          <w:bCs/>
          <w:sz w:val="24"/>
          <w:szCs w:val="24"/>
          <w:lang w:val="en-GB"/>
        </w:rPr>
        <w:t xml:space="preserve">concerning eviction, </w:t>
      </w:r>
      <w:r w:rsidR="00217C6B" w:rsidRPr="00256AA8">
        <w:rPr>
          <w:rFonts w:ascii="Arial" w:eastAsia="Times New Roman" w:hAnsi="Arial" w:cs="Arial"/>
          <w:bCs/>
          <w:sz w:val="24"/>
          <w:szCs w:val="24"/>
          <w:lang w:val="en-GB"/>
        </w:rPr>
        <w:t xml:space="preserve">the point of departure is eloquently set out in </w:t>
      </w:r>
      <w:r w:rsidR="007438E2" w:rsidRPr="00256AA8">
        <w:rPr>
          <w:rFonts w:ascii="Arial" w:eastAsia="Times New Roman" w:hAnsi="Arial" w:cs="Arial"/>
          <w:bCs/>
          <w:sz w:val="24"/>
          <w:szCs w:val="24"/>
          <w:lang w:val="en-GB"/>
        </w:rPr>
        <w:t xml:space="preserve">the </w:t>
      </w:r>
      <w:r w:rsidR="00CA7BAE" w:rsidRPr="00256AA8">
        <w:rPr>
          <w:rFonts w:ascii="Arial" w:eastAsia="Times New Roman" w:hAnsi="Arial" w:cs="Arial"/>
          <w:bCs/>
          <w:sz w:val="24"/>
          <w:szCs w:val="24"/>
          <w:lang w:val="en-GB"/>
        </w:rPr>
        <w:t xml:space="preserve">following </w:t>
      </w:r>
      <w:r w:rsidR="007438E2" w:rsidRPr="00256AA8">
        <w:rPr>
          <w:rFonts w:ascii="Arial" w:eastAsia="Times New Roman" w:hAnsi="Arial" w:cs="Arial"/>
          <w:bCs/>
          <w:sz w:val="24"/>
          <w:szCs w:val="24"/>
          <w:lang w:val="en-GB"/>
        </w:rPr>
        <w:t xml:space="preserve">text of </w:t>
      </w:r>
      <w:r w:rsidR="00217C6B" w:rsidRPr="00256AA8">
        <w:rPr>
          <w:rFonts w:ascii="Arial" w:eastAsia="Times New Roman" w:hAnsi="Arial" w:cs="Arial"/>
          <w:bCs/>
          <w:sz w:val="24"/>
          <w:szCs w:val="24"/>
          <w:lang w:val="en-GB"/>
        </w:rPr>
        <w:t>two judgments of the Constitutional Court</w:t>
      </w:r>
      <w:r w:rsidR="00713D0B" w:rsidRPr="00256AA8">
        <w:rPr>
          <w:rFonts w:ascii="Arial" w:eastAsia="Times New Roman" w:hAnsi="Arial" w:cs="Arial"/>
          <w:bCs/>
          <w:sz w:val="24"/>
          <w:szCs w:val="24"/>
          <w:lang w:val="en-GB"/>
        </w:rPr>
        <w:t>:</w:t>
      </w:r>
    </w:p>
    <w:p w14:paraId="2FBED719" w14:textId="0FC58CBB" w:rsidR="00217C6B" w:rsidRPr="00F82524" w:rsidRDefault="00217C6B" w:rsidP="00217C6B">
      <w:pPr>
        <w:tabs>
          <w:tab w:val="left" w:pos="-1440"/>
        </w:tabs>
        <w:spacing w:after="0" w:line="360" w:lineRule="auto"/>
        <w:ind w:right="26"/>
        <w:jc w:val="both"/>
        <w:rPr>
          <w:rFonts w:ascii="Arial" w:eastAsia="Times New Roman" w:hAnsi="Arial" w:cs="Arial"/>
          <w:bCs/>
          <w:lang w:val="en-GB"/>
        </w:rPr>
      </w:pPr>
      <w:r w:rsidRPr="00217C6B">
        <w:rPr>
          <w:rFonts w:ascii="Arial" w:eastAsia="Times New Roman" w:hAnsi="Arial" w:cs="Arial"/>
          <w:bCs/>
          <w:lang w:val="en-GB"/>
        </w:rPr>
        <w:t>‘Section 26(3) [of the Constitution] evinces special constitutional regard for a person’s place of abode. It acknowledges that a home is more than just a shelter from the elements. It is a zone of personal intimacy and family security. Often it will be the only relatively secure space of privacy and tranquillity in what (for poor people in particular) is a turbulent and hostile world. Forced removal is a shock for any family, the more so for one that has established itself on a site that has become its familiar habitat.’</w:t>
      </w:r>
      <w:r w:rsidRPr="00217C6B">
        <w:rPr>
          <w:rFonts w:ascii="Arial" w:eastAsia="Times New Roman" w:hAnsi="Arial" w:cs="Times New Roman"/>
          <w:bCs/>
          <w:vertAlign w:val="superscript"/>
          <w:lang w:val="en-GB"/>
        </w:rPr>
        <w:footnoteReference w:id="1"/>
      </w:r>
    </w:p>
    <w:p w14:paraId="474E9906" w14:textId="15217816" w:rsidR="00217C6B" w:rsidRPr="00217C6B" w:rsidRDefault="00791830" w:rsidP="00217C6B">
      <w:pPr>
        <w:spacing w:after="0" w:line="360" w:lineRule="auto"/>
        <w:jc w:val="both"/>
        <w:rPr>
          <w:rFonts w:ascii="Arial" w:eastAsia="Times New Roman" w:hAnsi="Arial" w:cs="Arial"/>
          <w:bCs/>
          <w:sz w:val="24"/>
          <w:szCs w:val="24"/>
        </w:rPr>
      </w:pPr>
      <w:r>
        <w:rPr>
          <w:rFonts w:ascii="Arial" w:eastAsia="Times New Roman" w:hAnsi="Arial" w:cs="Arial"/>
          <w:bCs/>
          <w:sz w:val="24"/>
          <w:szCs w:val="24"/>
          <w:lang w:val="en-GB"/>
        </w:rPr>
        <w:t>A little mor</w:t>
      </w:r>
      <w:r w:rsidR="00217C6B" w:rsidRPr="00217C6B">
        <w:rPr>
          <w:rFonts w:ascii="Arial" w:eastAsia="Times New Roman" w:hAnsi="Arial" w:cs="Arial"/>
          <w:bCs/>
          <w:sz w:val="24"/>
          <w:szCs w:val="24"/>
          <w:lang w:val="en-GB"/>
        </w:rPr>
        <w:t xml:space="preserve">e than a decade later, the same Court </w:t>
      </w:r>
      <w:r w:rsidR="00644128">
        <w:rPr>
          <w:rFonts w:ascii="Arial" w:eastAsia="Times New Roman" w:hAnsi="Arial" w:cs="Arial"/>
          <w:bCs/>
          <w:sz w:val="24"/>
          <w:szCs w:val="24"/>
          <w:lang w:val="en-GB"/>
        </w:rPr>
        <w:t xml:space="preserve">said the </w:t>
      </w:r>
      <w:r w:rsidR="00217C6B" w:rsidRPr="00217C6B">
        <w:rPr>
          <w:rFonts w:ascii="Arial" w:eastAsia="Times New Roman" w:hAnsi="Arial" w:cs="Arial"/>
          <w:bCs/>
          <w:sz w:val="24"/>
          <w:szCs w:val="24"/>
          <w:lang w:val="en-GB"/>
        </w:rPr>
        <w:t>follow</w:t>
      </w:r>
      <w:r w:rsidR="00644128">
        <w:rPr>
          <w:rFonts w:ascii="Arial" w:eastAsia="Times New Roman" w:hAnsi="Arial" w:cs="Arial"/>
          <w:bCs/>
          <w:sz w:val="24"/>
          <w:szCs w:val="24"/>
          <w:lang w:val="en-GB"/>
        </w:rPr>
        <w:t>ing</w:t>
      </w:r>
      <w:r w:rsidR="00217C6B" w:rsidRPr="00217C6B">
        <w:rPr>
          <w:rFonts w:ascii="Arial" w:eastAsia="Times New Roman" w:hAnsi="Arial" w:cs="Arial"/>
          <w:bCs/>
          <w:sz w:val="24"/>
          <w:szCs w:val="24"/>
          <w:lang w:val="en-GB"/>
        </w:rPr>
        <w:t xml:space="preserve"> pertaining to the recurring challenge of evictions of farmworkers from private property:</w:t>
      </w:r>
      <w:r w:rsidR="00217C6B" w:rsidRPr="00217C6B">
        <w:rPr>
          <w:rFonts w:ascii="Arial" w:eastAsia="Times New Roman" w:hAnsi="Arial" w:cs="Arial"/>
          <w:bCs/>
          <w:sz w:val="24"/>
          <w:szCs w:val="24"/>
          <w:lang w:val="en-US"/>
        </w:rPr>
        <w:t xml:space="preserve"> </w:t>
      </w:r>
    </w:p>
    <w:p w14:paraId="21CA8E6D" w14:textId="77C0AFC9" w:rsidR="00217C6B" w:rsidRPr="00217C6B" w:rsidRDefault="002B1ED1" w:rsidP="00217C6B">
      <w:pPr>
        <w:spacing w:after="0" w:line="360" w:lineRule="auto"/>
        <w:jc w:val="both"/>
        <w:rPr>
          <w:rFonts w:ascii="Arial" w:eastAsia="Times New Roman" w:hAnsi="Arial" w:cs="Arial"/>
          <w:bCs/>
          <w:sz w:val="24"/>
          <w:szCs w:val="24"/>
          <w:lang w:val="en-GB"/>
        </w:rPr>
      </w:pPr>
      <w:r w:rsidRPr="002B1ED1">
        <w:rPr>
          <w:rFonts w:ascii="Arial" w:eastAsia="Times New Roman" w:hAnsi="Arial" w:cs="Arial"/>
          <w:bCs/>
        </w:rPr>
        <w:t>‘</w:t>
      </w:r>
      <w:r w:rsidR="00644128">
        <w:rPr>
          <w:rFonts w:ascii="Arial" w:eastAsia="Times New Roman" w:hAnsi="Arial" w:cs="Arial"/>
          <w:bCs/>
        </w:rPr>
        <w:t>[</w:t>
      </w:r>
      <w:r w:rsidR="001B401A">
        <w:rPr>
          <w:rFonts w:ascii="Arial" w:eastAsia="Times New Roman" w:hAnsi="Arial" w:cs="Arial"/>
          <w:bCs/>
        </w:rPr>
        <w:t>T]</w:t>
      </w:r>
      <w:r w:rsidR="00644128">
        <w:rPr>
          <w:rFonts w:ascii="Arial" w:eastAsia="Times New Roman" w:hAnsi="Arial" w:cs="Arial"/>
          <w:bCs/>
        </w:rPr>
        <w:t xml:space="preserve">he </w:t>
      </w:r>
      <w:r w:rsidRPr="002B1ED1">
        <w:rPr>
          <w:rFonts w:ascii="Arial" w:eastAsia="Times New Roman" w:hAnsi="Arial" w:cs="Arial"/>
          <w:bCs/>
          <w:lang w:val="en-US"/>
        </w:rPr>
        <w:t>E</w:t>
      </w:r>
      <w:r w:rsidR="00644128">
        <w:rPr>
          <w:rFonts w:ascii="Arial" w:eastAsia="Times New Roman" w:hAnsi="Arial" w:cs="Arial"/>
          <w:bCs/>
          <w:lang w:val="en-US"/>
        </w:rPr>
        <w:t xml:space="preserve">xtension of Security </w:t>
      </w:r>
      <w:r w:rsidR="001B401A">
        <w:rPr>
          <w:rFonts w:ascii="Arial" w:eastAsia="Times New Roman" w:hAnsi="Arial" w:cs="Arial"/>
          <w:bCs/>
          <w:lang w:val="en-US"/>
        </w:rPr>
        <w:t>of Tenure Act] re</w:t>
      </w:r>
      <w:r w:rsidRPr="002B1ED1">
        <w:rPr>
          <w:rFonts w:ascii="Arial" w:eastAsia="Times New Roman" w:hAnsi="Arial" w:cs="Arial"/>
          <w:bCs/>
          <w:lang w:val="en-US"/>
        </w:rPr>
        <w:t>quires that the two opposing interests of the landowner and the occupier need to be taken into account before an order for eviction is granted. On the one hand, there is the traditional real right inherent in ownership reserving exclusive use and protection of property by the landowner. On the other, there is the genuine despair of our people who are in dire need of accommodation. Courts are obliged to balance these interests. A court making an order for eviction must ensure that justice and equity prevail in relation to all concerned.’</w:t>
      </w:r>
      <w:r w:rsidR="00217C6B" w:rsidRPr="00217C6B">
        <w:rPr>
          <w:rFonts w:ascii="Arial" w:eastAsia="Times New Roman" w:hAnsi="Arial" w:cs="Times New Roman"/>
          <w:bCs/>
          <w:vertAlign w:val="superscript"/>
          <w:lang w:val="en-US"/>
        </w:rPr>
        <w:footnoteReference w:id="2"/>
      </w:r>
    </w:p>
    <w:p w14:paraId="698C2200" w14:textId="77777777" w:rsidR="004A550B" w:rsidRDefault="004A550B" w:rsidP="00506DF1">
      <w:pPr>
        <w:tabs>
          <w:tab w:val="left" w:pos="-1440"/>
        </w:tabs>
        <w:spacing w:after="0" w:line="360" w:lineRule="auto"/>
        <w:ind w:right="26"/>
        <w:jc w:val="both"/>
        <w:rPr>
          <w:rFonts w:ascii="Arial" w:eastAsia="Times New Roman" w:hAnsi="Arial" w:cs="Arial"/>
          <w:bCs/>
          <w:sz w:val="24"/>
          <w:szCs w:val="24"/>
          <w:lang w:val="en-GB"/>
        </w:rPr>
      </w:pPr>
    </w:p>
    <w:p w14:paraId="643D96DE" w14:textId="3D4D9A04" w:rsidR="00506DF1" w:rsidRPr="009A1F11" w:rsidRDefault="00AF09CE" w:rsidP="00506DF1">
      <w:pPr>
        <w:tabs>
          <w:tab w:val="left" w:pos="-1440"/>
        </w:tabs>
        <w:spacing w:after="0" w:line="360" w:lineRule="auto"/>
        <w:ind w:right="26"/>
        <w:jc w:val="both"/>
        <w:rPr>
          <w:rFonts w:ascii="Arial" w:eastAsia="Times New Roman" w:hAnsi="Arial" w:cs="Arial"/>
          <w:bCs/>
          <w:sz w:val="24"/>
          <w:szCs w:val="24"/>
          <w:lang w:val="en-GB"/>
        </w:rPr>
      </w:pPr>
      <w:r w:rsidRPr="00506DF1">
        <w:rPr>
          <w:rFonts w:ascii="Arial" w:eastAsia="Times New Roman" w:hAnsi="Arial" w:cs="Arial"/>
          <w:bCs/>
          <w:sz w:val="24"/>
          <w:szCs w:val="24"/>
          <w:lang w:val="en-GB"/>
        </w:rPr>
        <w:lastRenderedPageBreak/>
        <w:t>[2]</w:t>
      </w:r>
      <w:r w:rsidRPr="00506DF1">
        <w:rPr>
          <w:rFonts w:ascii="Arial" w:eastAsia="Times New Roman" w:hAnsi="Arial" w:cs="Arial"/>
          <w:bCs/>
          <w:sz w:val="24"/>
          <w:szCs w:val="24"/>
          <w:lang w:val="en-GB"/>
        </w:rPr>
        <w:tab/>
      </w:r>
      <w:r w:rsidR="00506DF1" w:rsidRPr="00506DF1">
        <w:rPr>
          <w:rFonts w:ascii="Arial" w:eastAsia="Times New Roman" w:hAnsi="Arial" w:cs="Arial"/>
          <w:bCs/>
          <w:sz w:val="24"/>
          <w:szCs w:val="24"/>
          <w:lang w:val="en-GB"/>
        </w:rPr>
        <w:t xml:space="preserve">This appeal is directed at the order of the Land Claims Court (LCC), per Ncube J, dismissing an application brought by the first and second appellants in their capacities as the </w:t>
      </w:r>
      <w:r w:rsidR="00075F2B">
        <w:rPr>
          <w:rFonts w:ascii="Arial" w:eastAsia="Times New Roman" w:hAnsi="Arial" w:cs="Arial"/>
          <w:bCs/>
          <w:sz w:val="24"/>
          <w:szCs w:val="24"/>
          <w:lang w:val="en-GB"/>
        </w:rPr>
        <w:t>t</w:t>
      </w:r>
      <w:r w:rsidR="00506DF1" w:rsidRPr="00506DF1">
        <w:rPr>
          <w:rFonts w:ascii="Arial" w:eastAsia="Times New Roman" w:hAnsi="Arial" w:cs="Arial"/>
          <w:bCs/>
          <w:sz w:val="24"/>
          <w:szCs w:val="24"/>
          <w:lang w:val="en-GB"/>
        </w:rPr>
        <w:t xml:space="preserve">rustees of the third appellant, the Rein Trust, for the eviction of the </w:t>
      </w:r>
      <w:r w:rsidR="00650B2A">
        <w:rPr>
          <w:rFonts w:ascii="Arial" w:eastAsia="Times New Roman" w:hAnsi="Arial" w:cs="Arial"/>
          <w:bCs/>
          <w:sz w:val="24"/>
          <w:szCs w:val="24"/>
          <w:lang w:val="en-GB"/>
        </w:rPr>
        <w:t>1</w:t>
      </w:r>
      <w:r w:rsidR="00650B2A" w:rsidRPr="00650B2A">
        <w:rPr>
          <w:rFonts w:ascii="Arial" w:eastAsia="Times New Roman" w:hAnsi="Arial" w:cs="Arial"/>
          <w:bCs/>
          <w:sz w:val="24"/>
          <w:szCs w:val="24"/>
          <w:vertAlign w:val="superscript"/>
          <w:lang w:val="en-GB"/>
        </w:rPr>
        <w:t>st</w:t>
      </w:r>
      <w:r w:rsidR="00650B2A">
        <w:rPr>
          <w:rFonts w:ascii="Arial" w:eastAsia="Times New Roman" w:hAnsi="Arial" w:cs="Arial"/>
          <w:bCs/>
          <w:sz w:val="24"/>
          <w:szCs w:val="24"/>
          <w:lang w:val="en-GB"/>
        </w:rPr>
        <w:t xml:space="preserve"> to the 26</w:t>
      </w:r>
      <w:r w:rsidR="00650B2A" w:rsidRPr="00650B2A">
        <w:rPr>
          <w:rFonts w:ascii="Arial" w:eastAsia="Times New Roman" w:hAnsi="Arial" w:cs="Arial"/>
          <w:bCs/>
          <w:sz w:val="24"/>
          <w:szCs w:val="24"/>
          <w:vertAlign w:val="superscript"/>
          <w:lang w:val="en-GB"/>
        </w:rPr>
        <w:t>th</w:t>
      </w:r>
      <w:r w:rsidR="00650B2A">
        <w:rPr>
          <w:rFonts w:ascii="Arial" w:eastAsia="Times New Roman" w:hAnsi="Arial" w:cs="Arial"/>
          <w:bCs/>
          <w:sz w:val="24"/>
          <w:szCs w:val="24"/>
          <w:lang w:val="en-GB"/>
        </w:rPr>
        <w:t xml:space="preserve"> </w:t>
      </w:r>
      <w:r w:rsidR="00506DF1" w:rsidRPr="00506DF1">
        <w:rPr>
          <w:rFonts w:ascii="Arial" w:eastAsia="Times New Roman" w:hAnsi="Arial" w:cs="Arial"/>
          <w:bCs/>
          <w:sz w:val="24"/>
          <w:szCs w:val="24"/>
          <w:lang w:val="en-GB"/>
        </w:rPr>
        <w:t xml:space="preserve">respondents (jointly referred to as the occupiers) </w:t>
      </w:r>
      <w:r w:rsidR="00506DF1" w:rsidRPr="009A1F11">
        <w:rPr>
          <w:rFonts w:ascii="Arial" w:eastAsia="Times New Roman" w:hAnsi="Arial" w:cs="Arial"/>
          <w:bCs/>
          <w:sz w:val="24"/>
          <w:szCs w:val="24"/>
          <w:lang w:val="en-GB"/>
        </w:rPr>
        <w:t xml:space="preserve">from the Trust’s property, a farm known as Rein Estate Hill, situated on the remainder of farm 1458, Drakenstein Municipality, Paarl Division, Western Cape (the farm). An issue raised in </w:t>
      </w:r>
      <w:r w:rsidR="00DE35A3" w:rsidRPr="009A1F11">
        <w:rPr>
          <w:rFonts w:ascii="Arial" w:eastAsia="Times New Roman" w:hAnsi="Arial" w:cs="Arial"/>
          <w:bCs/>
          <w:sz w:val="24"/>
          <w:szCs w:val="24"/>
          <w:lang w:val="en-GB"/>
        </w:rPr>
        <w:t xml:space="preserve">the </w:t>
      </w:r>
      <w:r w:rsidR="00506DF1" w:rsidRPr="009A1F11">
        <w:rPr>
          <w:rFonts w:ascii="Arial" w:eastAsia="Times New Roman" w:hAnsi="Arial" w:cs="Arial"/>
          <w:bCs/>
          <w:sz w:val="24"/>
          <w:szCs w:val="24"/>
          <w:lang w:val="en-GB"/>
        </w:rPr>
        <w:t>cross-appeal is whether the doctrine of res judicata precluded the consideration of the dispute by the Land Claims Court (</w:t>
      </w:r>
      <w:r w:rsidR="00BD6BC3" w:rsidRPr="009A1F11">
        <w:rPr>
          <w:rFonts w:ascii="Arial" w:eastAsia="Times New Roman" w:hAnsi="Arial" w:cs="Arial"/>
          <w:bCs/>
          <w:sz w:val="24"/>
          <w:szCs w:val="24"/>
          <w:lang w:val="en-GB"/>
        </w:rPr>
        <w:t xml:space="preserve">the </w:t>
      </w:r>
      <w:r w:rsidR="00506DF1" w:rsidRPr="009A1F11">
        <w:rPr>
          <w:rFonts w:ascii="Arial" w:eastAsia="Times New Roman" w:hAnsi="Arial" w:cs="Arial"/>
          <w:bCs/>
          <w:sz w:val="24"/>
          <w:szCs w:val="24"/>
          <w:lang w:val="en-GB"/>
        </w:rPr>
        <w:t>LCC) on account of another court having previously refused to evict occupiers from the same property. The appeal is with the leave of the LCC.</w:t>
      </w:r>
    </w:p>
    <w:p w14:paraId="52889A0C" w14:textId="77777777" w:rsidR="00774A33" w:rsidRPr="009A1F11"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5D8A9546" w14:textId="77777777" w:rsidR="00774A33" w:rsidRPr="009A1F11" w:rsidRDefault="00774A33" w:rsidP="00774A33">
      <w:pPr>
        <w:tabs>
          <w:tab w:val="left" w:pos="-1440"/>
        </w:tabs>
        <w:spacing w:after="0" w:line="360" w:lineRule="auto"/>
        <w:ind w:right="26"/>
        <w:jc w:val="both"/>
        <w:rPr>
          <w:rFonts w:ascii="Arial" w:eastAsia="Times New Roman" w:hAnsi="Arial" w:cs="Arial"/>
          <w:b/>
          <w:sz w:val="24"/>
          <w:szCs w:val="24"/>
          <w:lang w:val="en-GB"/>
        </w:rPr>
      </w:pPr>
      <w:r w:rsidRPr="009A1F11">
        <w:rPr>
          <w:rFonts w:ascii="Arial" w:eastAsia="Times New Roman" w:hAnsi="Arial" w:cs="Arial"/>
          <w:b/>
          <w:sz w:val="24"/>
          <w:szCs w:val="24"/>
          <w:lang w:val="en-GB"/>
        </w:rPr>
        <w:t>Background facts</w:t>
      </w:r>
    </w:p>
    <w:p w14:paraId="288D933F" w14:textId="00C4501A" w:rsidR="00774A33" w:rsidRPr="009A1F11"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9A1F11">
        <w:rPr>
          <w:rFonts w:ascii="Arial" w:eastAsia="Times New Roman" w:hAnsi="Arial" w:cs="Arial"/>
          <w:bCs/>
          <w:sz w:val="24"/>
          <w:szCs w:val="24"/>
          <w:lang w:val="en-GB"/>
        </w:rPr>
        <w:t>[</w:t>
      </w:r>
      <w:r w:rsidR="0066631C" w:rsidRPr="009A1F11">
        <w:rPr>
          <w:rFonts w:ascii="Arial" w:eastAsia="Times New Roman" w:hAnsi="Arial" w:cs="Arial"/>
          <w:bCs/>
          <w:sz w:val="24"/>
          <w:szCs w:val="24"/>
          <w:lang w:val="en-GB"/>
        </w:rPr>
        <w:t>3</w:t>
      </w:r>
      <w:r w:rsidRPr="009A1F11">
        <w:rPr>
          <w:rFonts w:ascii="Arial" w:eastAsia="Times New Roman" w:hAnsi="Arial" w:cs="Arial"/>
          <w:bCs/>
          <w:sz w:val="24"/>
          <w:szCs w:val="24"/>
          <w:lang w:val="en-GB"/>
        </w:rPr>
        <w:t>]</w:t>
      </w:r>
      <w:r w:rsidRPr="009A1F11">
        <w:rPr>
          <w:rFonts w:ascii="Arial" w:eastAsia="Times New Roman" w:hAnsi="Arial" w:cs="Arial"/>
          <w:bCs/>
          <w:sz w:val="24"/>
          <w:szCs w:val="24"/>
          <w:lang w:val="en-GB"/>
        </w:rPr>
        <w:tab/>
        <w:t xml:space="preserve">The salient background facts are largely undisputed. The farm was previously owned by Amen Trust and managed by a Mr Buckle from 1995. Rein Trust (the Trust) purchased the farm in 2010. Several residential cottages were constructed on the farm for the use of farm </w:t>
      </w:r>
      <w:r w:rsidR="00AD6BEA" w:rsidRPr="009A1F11">
        <w:rPr>
          <w:rFonts w:ascii="Arial" w:eastAsia="Times New Roman" w:hAnsi="Arial" w:cs="Arial"/>
          <w:bCs/>
          <w:sz w:val="24"/>
          <w:szCs w:val="24"/>
          <w:lang w:val="en-GB"/>
        </w:rPr>
        <w:t>workers</w:t>
      </w:r>
      <w:r w:rsidRPr="009A1F11">
        <w:rPr>
          <w:rFonts w:ascii="Arial" w:eastAsia="Times New Roman" w:hAnsi="Arial" w:cs="Arial"/>
          <w:bCs/>
          <w:sz w:val="24"/>
          <w:szCs w:val="24"/>
          <w:lang w:val="en-GB"/>
        </w:rPr>
        <w:t>. The occupiers</w:t>
      </w:r>
      <w:r w:rsidR="00EC1F8F" w:rsidRPr="009A1F11">
        <w:rPr>
          <w:rFonts w:ascii="Arial" w:eastAsia="Times New Roman" w:hAnsi="Arial" w:cs="Arial"/>
          <w:bCs/>
          <w:sz w:val="24"/>
          <w:szCs w:val="24"/>
          <w:lang w:val="en-GB"/>
        </w:rPr>
        <w:t xml:space="preserve"> </w:t>
      </w:r>
      <w:r w:rsidR="001B21E9" w:rsidRPr="009A1F11">
        <w:rPr>
          <w:rFonts w:ascii="Arial" w:eastAsia="Times New Roman" w:hAnsi="Arial" w:cs="Arial"/>
          <w:bCs/>
          <w:sz w:val="24"/>
          <w:szCs w:val="24"/>
          <w:lang w:val="en-GB"/>
        </w:rPr>
        <w:t xml:space="preserve">cited in the proceedings resided </w:t>
      </w:r>
      <w:r w:rsidRPr="009A1F11">
        <w:rPr>
          <w:rFonts w:ascii="Arial" w:eastAsia="Times New Roman" w:hAnsi="Arial" w:cs="Arial"/>
          <w:bCs/>
          <w:sz w:val="24"/>
          <w:szCs w:val="24"/>
          <w:lang w:val="en-GB"/>
        </w:rPr>
        <w:t xml:space="preserve">in nine cottages on the farm, with each cottage </w:t>
      </w:r>
      <w:r w:rsidR="00DE3CF8" w:rsidRPr="009A1F11">
        <w:rPr>
          <w:rFonts w:ascii="Arial" w:eastAsia="Times New Roman" w:hAnsi="Arial" w:cs="Arial"/>
          <w:bCs/>
          <w:sz w:val="24"/>
          <w:szCs w:val="24"/>
          <w:lang w:val="en-GB"/>
        </w:rPr>
        <w:t xml:space="preserve">being </w:t>
      </w:r>
      <w:r w:rsidRPr="009A1F11">
        <w:rPr>
          <w:rFonts w:ascii="Arial" w:eastAsia="Times New Roman" w:hAnsi="Arial" w:cs="Arial"/>
          <w:bCs/>
          <w:sz w:val="24"/>
          <w:szCs w:val="24"/>
          <w:lang w:val="en-GB"/>
        </w:rPr>
        <w:t xml:space="preserve">occupied by a former employee and his or her family. Some cottages were made of brick and mortar and had asbestos roofing, while others were </w:t>
      </w:r>
      <w:r w:rsidR="00CD1B06" w:rsidRPr="009A1F11">
        <w:rPr>
          <w:rFonts w:ascii="Arial" w:eastAsia="Times New Roman" w:hAnsi="Arial" w:cs="Arial"/>
          <w:bCs/>
          <w:sz w:val="24"/>
          <w:szCs w:val="24"/>
          <w:lang w:val="en-GB"/>
        </w:rPr>
        <w:t xml:space="preserve">made of </w:t>
      </w:r>
      <w:r w:rsidRPr="009A1F11">
        <w:rPr>
          <w:rFonts w:ascii="Arial" w:eastAsia="Times New Roman" w:hAnsi="Arial" w:cs="Arial"/>
          <w:bCs/>
          <w:sz w:val="24"/>
          <w:szCs w:val="24"/>
          <w:lang w:val="en-GB"/>
        </w:rPr>
        <w:t>wood</w:t>
      </w:r>
      <w:r w:rsidR="00CD1B06" w:rsidRPr="009A1F11">
        <w:rPr>
          <w:rFonts w:ascii="Arial" w:eastAsia="Times New Roman" w:hAnsi="Arial" w:cs="Arial"/>
          <w:bCs/>
          <w:sz w:val="24"/>
          <w:szCs w:val="24"/>
          <w:lang w:val="en-GB"/>
        </w:rPr>
        <w:t xml:space="preserve">. </w:t>
      </w:r>
    </w:p>
    <w:p w14:paraId="5A56922E" w14:textId="77777777" w:rsidR="00774A33" w:rsidRPr="009A1F11"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4632D4B0" w14:textId="478A0B3F"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9A1F11">
        <w:rPr>
          <w:rFonts w:ascii="Arial" w:eastAsia="Times New Roman" w:hAnsi="Arial" w:cs="Arial"/>
          <w:bCs/>
          <w:sz w:val="24"/>
          <w:szCs w:val="24"/>
          <w:lang w:val="en-GB"/>
        </w:rPr>
        <w:t>[</w:t>
      </w:r>
      <w:r w:rsidR="0066631C" w:rsidRPr="009A1F11">
        <w:rPr>
          <w:rFonts w:ascii="Arial" w:eastAsia="Times New Roman" w:hAnsi="Arial" w:cs="Arial"/>
          <w:bCs/>
          <w:sz w:val="24"/>
          <w:szCs w:val="24"/>
          <w:lang w:val="en-GB"/>
        </w:rPr>
        <w:t>4</w:t>
      </w:r>
      <w:r w:rsidRPr="009A1F11">
        <w:rPr>
          <w:rFonts w:ascii="Arial" w:eastAsia="Times New Roman" w:hAnsi="Arial" w:cs="Arial"/>
          <w:bCs/>
          <w:sz w:val="24"/>
          <w:szCs w:val="24"/>
          <w:lang w:val="en-GB"/>
        </w:rPr>
        <w:t>]</w:t>
      </w:r>
      <w:r w:rsidRPr="009A1F11">
        <w:rPr>
          <w:rFonts w:ascii="Arial" w:eastAsia="Times New Roman" w:hAnsi="Arial" w:cs="Arial"/>
          <w:bCs/>
          <w:sz w:val="24"/>
          <w:szCs w:val="24"/>
          <w:lang w:val="en-GB"/>
        </w:rPr>
        <w:tab/>
      </w:r>
      <w:r w:rsidR="00DC4627" w:rsidRPr="009A1F11">
        <w:rPr>
          <w:rFonts w:ascii="Arial" w:eastAsia="Times New Roman" w:hAnsi="Arial" w:cs="Arial"/>
          <w:bCs/>
          <w:sz w:val="24"/>
          <w:szCs w:val="24"/>
          <w:lang w:val="en-GB"/>
        </w:rPr>
        <w:t xml:space="preserve">The occupiers were former employees or the family members of the former employees of the Trust or its predecessor in title. </w:t>
      </w:r>
      <w:r w:rsidR="001E6E4E" w:rsidRPr="009A1F11">
        <w:rPr>
          <w:rFonts w:ascii="Arial" w:eastAsia="Times New Roman" w:hAnsi="Arial" w:cs="Arial"/>
          <w:bCs/>
          <w:sz w:val="24"/>
          <w:szCs w:val="24"/>
          <w:lang w:val="en-GB"/>
        </w:rPr>
        <w:t xml:space="preserve">At the time of the launching of the application in the LCC, </w:t>
      </w:r>
      <w:r w:rsidR="00772F5C" w:rsidRPr="009A1F11">
        <w:rPr>
          <w:rFonts w:ascii="Arial" w:eastAsia="Times New Roman" w:hAnsi="Arial" w:cs="Arial"/>
          <w:bCs/>
          <w:sz w:val="24"/>
          <w:szCs w:val="24"/>
          <w:lang w:val="en-GB"/>
        </w:rPr>
        <w:t xml:space="preserve">the occupiers </w:t>
      </w:r>
      <w:r w:rsidR="00701C65" w:rsidRPr="009A1F11">
        <w:rPr>
          <w:rFonts w:ascii="Arial" w:eastAsia="Times New Roman" w:hAnsi="Arial" w:cs="Arial"/>
          <w:bCs/>
          <w:sz w:val="24"/>
          <w:szCs w:val="24"/>
          <w:lang w:val="en-GB"/>
        </w:rPr>
        <w:t xml:space="preserve">all resided </w:t>
      </w:r>
      <w:r w:rsidR="00A32B50" w:rsidRPr="009A1F11">
        <w:rPr>
          <w:rFonts w:ascii="Arial" w:eastAsia="Times New Roman" w:hAnsi="Arial" w:cs="Arial"/>
          <w:bCs/>
          <w:sz w:val="24"/>
          <w:szCs w:val="24"/>
          <w:lang w:val="en-GB"/>
        </w:rPr>
        <w:t xml:space="preserve">in </w:t>
      </w:r>
      <w:r w:rsidR="007C2CEC" w:rsidRPr="009A1F11">
        <w:rPr>
          <w:rFonts w:ascii="Arial" w:eastAsia="Times New Roman" w:hAnsi="Arial" w:cs="Arial"/>
          <w:bCs/>
          <w:sz w:val="24"/>
          <w:szCs w:val="24"/>
          <w:lang w:val="en-GB"/>
        </w:rPr>
        <w:t>nine</w:t>
      </w:r>
      <w:r w:rsidR="00A32B50">
        <w:rPr>
          <w:rFonts w:ascii="Arial" w:eastAsia="Times New Roman" w:hAnsi="Arial" w:cs="Arial"/>
          <w:bCs/>
          <w:sz w:val="24"/>
          <w:szCs w:val="24"/>
          <w:lang w:val="en-GB"/>
        </w:rPr>
        <w:t xml:space="preserve"> cottages </w:t>
      </w:r>
      <w:r w:rsidR="00701C65">
        <w:rPr>
          <w:rFonts w:ascii="Arial" w:eastAsia="Times New Roman" w:hAnsi="Arial" w:cs="Arial"/>
          <w:bCs/>
          <w:sz w:val="24"/>
          <w:szCs w:val="24"/>
          <w:lang w:val="en-GB"/>
        </w:rPr>
        <w:t>on the farm</w:t>
      </w:r>
      <w:r w:rsidR="00664AED">
        <w:rPr>
          <w:rFonts w:ascii="Arial" w:eastAsia="Times New Roman" w:hAnsi="Arial" w:cs="Arial"/>
          <w:bCs/>
          <w:sz w:val="24"/>
          <w:szCs w:val="24"/>
          <w:lang w:val="en-GB"/>
        </w:rPr>
        <w:t xml:space="preserve"> and had been living there </w:t>
      </w:r>
      <w:r w:rsidR="00D113D1">
        <w:rPr>
          <w:rFonts w:ascii="Arial" w:eastAsia="Times New Roman" w:hAnsi="Arial" w:cs="Arial"/>
          <w:bCs/>
          <w:sz w:val="24"/>
          <w:szCs w:val="24"/>
          <w:lang w:val="en-GB"/>
        </w:rPr>
        <w:t xml:space="preserve">before </w:t>
      </w:r>
      <w:r w:rsidR="00DC4627">
        <w:rPr>
          <w:rFonts w:ascii="Arial" w:eastAsia="Times New Roman" w:hAnsi="Arial" w:cs="Arial"/>
          <w:bCs/>
          <w:sz w:val="24"/>
          <w:szCs w:val="24"/>
          <w:lang w:val="en-GB"/>
        </w:rPr>
        <w:t>the Trust took ownership thereof in 2010.</w:t>
      </w:r>
      <w:r w:rsidR="00701C65">
        <w:rPr>
          <w:rFonts w:ascii="Arial" w:eastAsia="Times New Roman" w:hAnsi="Arial" w:cs="Arial"/>
          <w:bCs/>
          <w:sz w:val="24"/>
          <w:szCs w:val="24"/>
          <w:lang w:val="en-GB"/>
        </w:rPr>
        <w:t xml:space="preserve"> </w:t>
      </w:r>
      <w:r w:rsidR="00176408" w:rsidRPr="009A1F11">
        <w:rPr>
          <w:rFonts w:ascii="Arial" w:eastAsia="Times New Roman" w:hAnsi="Arial" w:cs="Arial"/>
          <w:bCs/>
          <w:sz w:val="24"/>
          <w:szCs w:val="24"/>
          <w:lang w:val="en-GB"/>
        </w:rPr>
        <w:t>Many households were made up of adults and minor children</w:t>
      </w:r>
      <w:r w:rsidR="00CF36FA" w:rsidRPr="009A1F11">
        <w:rPr>
          <w:rFonts w:ascii="Arial" w:eastAsia="Times New Roman" w:hAnsi="Arial" w:cs="Arial"/>
          <w:bCs/>
          <w:sz w:val="24"/>
          <w:szCs w:val="24"/>
          <w:lang w:val="en-GB"/>
        </w:rPr>
        <w:t xml:space="preserve">. In total there were </w:t>
      </w:r>
      <w:r w:rsidR="00C017B9" w:rsidRPr="009A1F11">
        <w:rPr>
          <w:rFonts w:ascii="Arial" w:eastAsia="Times New Roman" w:hAnsi="Arial" w:cs="Arial"/>
          <w:bCs/>
          <w:sz w:val="24"/>
          <w:szCs w:val="24"/>
          <w:lang w:val="en-GB"/>
        </w:rPr>
        <w:t>24 adults and 18 minors</w:t>
      </w:r>
      <w:r w:rsidR="00795A33" w:rsidRPr="009A1F11">
        <w:rPr>
          <w:rFonts w:ascii="Arial" w:eastAsia="Times New Roman" w:hAnsi="Arial" w:cs="Arial"/>
          <w:bCs/>
          <w:sz w:val="24"/>
          <w:szCs w:val="24"/>
          <w:lang w:val="en-GB"/>
        </w:rPr>
        <w:t xml:space="preserve"> at the time when the application was launched. </w:t>
      </w:r>
      <w:r w:rsidRPr="009A1F11">
        <w:rPr>
          <w:rFonts w:ascii="Arial" w:eastAsia="Times New Roman" w:hAnsi="Arial" w:cs="Arial"/>
          <w:bCs/>
          <w:sz w:val="24"/>
          <w:szCs w:val="24"/>
          <w:lang w:val="en-GB"/>
        </w:rPr>
        <w:t xml:space="preserve">It was averred that the </w:t>
      </w:r>
      <w:r w:rsidR="00F20873">
        <w:rPr>
          <w:rFonts w:ascii="Arial" w:eastAsia="Times New Roman" w:hAnsi="Arial" w:cs="Arial"/>
          <w:bCs/>
          <w:sz w:val="24"/>
          <w:szCs w:val="24"/>
          <w:lang w:val="en-GB"/>
        </w:rPr>
        <w:t>17</w:t>
      </w:r>
      <w:r w:rsidR="00F20873" w:rsidRPr="00F20873">
        <w:rPr>
          <w:rFonts w:ascii="Arial" w:eastAsia="Times New Roman" w:hAnsi="Arial" w:cs="Arial"/>
          <w:bCs/>
          <w:sz w:val="24"/>
          <w:szCs w:val="24"/>
          <w:vertAlign w:val="superscript"/>
          <w:lang w:val="en-GB"/>
        </w:rPr>
        <w:t>th</w:t>
      </w:r>
      <w:r w:rsidR="00F20873">
        <w:rPr>
          <w:rFonts w:ascii="Arial" w:eastAsia="Times New Roman" w:hAnsi="Arial" w:cs="Arial"/>
          <w:bCs/>
          <w:sz w:val="24"/>
          <w:szCs w:val="24"/>
          <w:lang w:val="en-GB"/>
        </w:rPr>
        <w:t xml:space="preserve"> </w:t>
      </w:r>
      <w:r w:rsidRPr="009A1F11">
        <w:rPr>
          <w:rFonts w:ascii="Arial" w:eastAsia="Times New Roman" w:hAnsi="Arial" w:cs="Arial"/>
          <w:bCs/>
          <w:sz w:val="24"/>
          <w:szCs w:val="24"/>
          <w:lang w:val="en-GB"/>
        </w:rPr>
        <w:t>respondent had been living on the farm since 1995 but had never been employed by the Trust</w:t>
      </w:r>
      <w:r w:rsidR="00870DBC" w:rsidRPr="009A1F11">
        <w:rPr>
          <w:rFonts w:ascii="Arial" w:eastAsia="Times New Roman" w:hAnsi="Arial" w:cs="Arial"/>
          <w:bCs/>
          <w:sz w:val="24"/>
          <w:szCs w:val="24"/>
          <w:lang w:val="en-GB"/>
        </w:rPr>
        <w:t xml:space="preserve">. As regards </w:t>
      </w:r>
      <w:r w:rsidR="00545202" w:rsidRPr="009A1F11">
        <w:rPr>
          <w:rFonts w:ascii="Arial" w:eastAsia="Times New Roman" w:hAnsi="Arial" w:cs="Arial"/>
          <w:bCs/>
          <w:sz w:val="24"/>
          <w:szCs w:val="24"/>
          <w:lang w:val="en-GB"/>
        </w:rPr>
        <w:t xml:space="preserve">the </w:t>
      </w:r>
      <w:r w:rsidR="00870DBC" w:rsidRPr="009A1F11">
        <w:rPr>
          <w:rFonts w:ascii="Arial" w:eastAsia="Times New Roman" w:hAnsi="Arial" w:cs="Arial"/>
          <w:bCs/>
          <w:sz w:val="24"/>
          <w:szCs w:val="24"/>
          <w:lang w:val="en-GB"/>
        </w:rPr>
        <w:t>18</w:t>
      </w:r>
      <w:r w:rsidR="00870DBC" w:rsidRPr="009A1F11">
        <w:rPr>
          <w:rFonts w:ascii="Arial" w:eastAsia="Times New Roman" w:hAnsi="Arial" w:cs="Arial"/>
          <w:bCs/>
          <w:sz w:val="24"/>
          <w:szCs w:val="24"/>
          <w:vertAlign w:val="superscript"/>
          <w:lang w:val="en-GB"/>
        </w:rPr>
        <w:t>th</w:t>
      </w:r>
      <w:r w:rsidR="00870DBC" w:rsidRPr="009A1F11">
        <w:rPr>
          <w:rFonts w:ascii="Arial" w:eastAsia="Times New Roman" w:hAnsi="Arial" w:cs="Arial"/>
          <w:bCs/>
          <w:sz w:val="24"/>
          <w:szCs w:val="24"/>
          <w:lang w:val="en-GB"/>
        </w:rPr>
        <w:t xml:space="preserve"> </w:t>
      </w:r>
      <w:r w:rsidRPr="009A1F11">
        <w:rPr>
          <w:rFonts w:ascii="Arial" w:eastAsia="Times New Roman" w:hAnsi="Arial" w:cs="Arial"/>
          <w:bCs/>
          <w:sz w:val="24"/>
          <w:szCs w:val="24"/>
          <w:lang w:val="en-GB"/>
        </w:rPr>
        <w:t>respondent</w:t>
      </w:r>
      <w:r w:rsidR="00870DBC" w:rsidRPr="009A1F11">
        <w:rPr>
          <w:rFonts w:ascii="Arial" w:eastAsia="Times New Roman" w:hAnsi="Arial" w:cs="Arial"/>
          <w:bCs/>
          <w:sz w:val="24"/>
          <w:szCs w:val="24"/>
          <w:lang w:val="en-GB"/>
        </w:rPr>
        <w:t xml:space="preserve">, it is unclear whether she </w:t>
      </w:r>
      <w:r w:rsidRPr="009A1F11">
        <w:rPr>
          <w:rFonts w:ascii="Arial" w:eastAsia="Times New Roman" w:hAnsi="Arial" w:cs="Arial"/>
          <w:bCs/>
          <w:sz w:val="24"/>
          <w:szCs w:val="24"/>
          <w:lang w:val="en-GB"/>
        </w:rPr>
        <w:t>was ever employed by the Trust, but she and her children have been living on the farm</w:t>
      </w:r>
      <w:r w:rsidRPr="00774A33">
        <w:rPr>
          <w:rFonts w:ascii="Arial" w:eastAsia="Times New Roman" w:hAnsi="Arial" w:cs="Arial"/>
          <w:bCs/>
          <w:sz w:val="24"/>
          <w:szCs w:val="24"/>
          <w:lang w:val="en-GB"/>
        </w:rPr>
        <w:t xml:space="preserve"> since 1995. Nothing turns on this aspect, as the Trust has not disputed that </w:t>
      </w:r>
      <w:r w:rsidR="00464CCB">
        <w:rPr>
          <w:rFonts w:ascii="Arial" w:eastAsia="Times New Roman" w:hAnsi="Arial" w:cs="Arial"/>
          <w:bCs/>
          <w:sz w:val="24"/>
          <w:szCs w:val="24"/>
          <w:lang w:val="en-GB"/>
        </w:rPr>
        <w:t xml:space="preserve">before the </w:t>
      </w:r>
      <w:r w:rsidR="00FA0695">
        <w:rPr>
          <w:rFonts w:ascii="Arial" w:eastAsia="Times New Roman" w:hAnsi="Arial" w:cs="Arial"/>
          <w:bCs/>
          <w:sz w:val="24"/>
          <w:szCs w:val="24"/>
          <w:lang w:val="en-GB"/>
        </w:rPr>
        <w:t xml:space="preserve">occupants </w:t>
      </w:r>
      <w:r w:rsidR="00464CCB">
        <w:rPr>
          <w:rFonts w:ascii="Arial" w:eastAsia="Times New Roman" w:hAnsi="Arial" w:cs="Arial"/>
          <w:bCs/>
          <w:sz w:val="24"/>
          <w:szCs w:val="24"/>
          <w:lang w:val="en-GB"/>
        </w:rPr>
        <w:t>were ordered to vacate the farm on 24 June 201</w:t>
      </w:r>
      <w:r w:rsidR="00F45D7B">
        <w:rPr>
          <w:rFonts w:ascii="Arial" w:eastAsia="Times New Roman" w:hAnsi="Arial" w:cs="Arial"/>
          <w:bCs/>
          <w:sz w:val="24"/>
          <w:szCs w:val="24"/>
          <w:lang w:val="en-GB"/>
        </w:rPr>
        <w:t>1</w:t>
      </w:r>
      <w:r w:rsidR="00464CCB">
        <w:rPr>
          <w:rFonts w:ascii="Arial" w:eastAsia="Times New Roman" w:hAnsi="Arial" w:cs="Arial"/>
          <w:bCs/>
          <w:sz w:val="24"/>
          <w:szCs w:val="24"/>
          <w:lang w:val="en-GB"/>
        </w:rPr>
        <w:t xml:space="preserve">, they had all lived on the </w:t>
      </w:r>
      <w:r w:rsidR="007A2C9C">
        <w:rPr>
          <w:rFonts w:ascii="Arial" w:eastAsia="Times New Roman" w:hAnsi="Arial" w:cs="Arial"/>
          <w:bCs/>
          <w:sz w:val="24"/>
          <w:szCs w:val="24"/>
          <w:lang w:val="en-GB"/>
        </w:rPr>
        <w:t xml:space="preserve">farm </w:t>
      </w:r>
      <w:r w:rsidR="00E92466">
        <w:rPr>
          <w:rFonts w:ascii="Arial" w:eastAsia="Times New Roman" w:hAnsi="Arial" w:cs="Arial"/>
          <w:bCs/>
          <w:sz w:val="24"/>
          <w:szCs w:val="24"/>
          <w:lang w:val="en-GB"/>
        </w:rPr>
        <w:t xml:space="preserve">with </w:t>
      </w:r>
      <w:r w:rsidR="00E92466">
        <w:rPr>
          <w:rFonts w:ascii="Arial" w:eastAsia="Times New Roman" w:hAnsi="Arial" w:cs="Arial"/>
          <w:bCs/>
          <w:sz w:val="24"/>
          <w:szCs w:val="24"/>
          <w:lang w:val="en-GB"/>
        </w:rPr>
        <w:lastRenderedPageBreak/>
        <w:t>the Trust’s con</w:t>
      </w:r>
      <w:r w:rsidR="00490B84">
        <w:rPr>
          <w:rFonts w:ascii="Arial" w:eastAsia="Times New Roman" w:hAnsi="Arial" w:cs="Arial"/>
          <w:bCs/>
          <w:sz w:val="24"/>
          <w:szCs w:val="24"/>
          <w:lang w:val="en-GB"/>
        </w:rPr>
        <w:t>s</w:t>
      </w:r>
      <w:r w:rsidR="00E92466">
        <w:rPr>
          <w:rFonts w:ascii="Arial" w:eastAsia="Times New Roman" w:hAnsi="Arial" w:cs="Arial"/>
          <w:bCs/>
          <w:sz w:val="24"/>
          <w:szCs w:val="24"/>
          <w:lang w:val="en-GB"/>
        </w:rPr>
        <w:t>ent</w:t>
      </w:r>
      <w:r w:rsidR="007A2C9C">
        <w:rPr>
          <w:rFonts w:ascii="Arial" w:eastAsia="Times New Roman" w:hAnsi="Arial" w:cs="Arial"/>
          <w:bCs/>
          <w:sz w:val="24"/>
          <w:szCs w:val="24"/>
          <w:lang w:val="en-GB"/>
        </w:rPr>
        <w:t>.</w:t>
      </w:r>
      <w:r w:rsidR="00490B84">
        <w:rPr>
          <w:rStyle w:val="FootnoteReference"/>
          <w:rFonts w:ascii="Arial" w:eastAsia="Times New Roman" w:hAnsi="Arial"/>
          <w:bCs/>
          <w:sz w:val="24"/>
          <w:szCs w:val="24"/>
          <w:lang w:val="en-GB"/>
        </w:rPr>
        <w:footnoteReference w:id="3"/>
      </w:r>
      <w:r w:rsidR="007A2C9C">
        <w:rPr>
          <w:rFonts w:ascii="Arial" w:eastAsia="Times New Roman" w:hAnsi="Arial" w:cs="Arial"/>
          <w:bCs/>
          <w:sz w:val="24"/>
          <w:szCs w:val="24"/>
          <w:lang w:val="en-GB"/>
        </w:rPr>
        <w:t xml:space="preserve"> </w:t>
      </w:r>
      <w:r w:rsidR="00795A33">
        <w:rPr>
          <w:rFonts w:ascii="Arial" w:eastAsia="Times New Roman" w:hAnsi="Arial" w:cs="Arial"/>
          <w:bCs/>
          <w:sz w:val="24"/>
          <w:szCs w:val="24"/>
          <w:lang w:val="en-GB"/>
        </w:rPr>
        <w:t xml:space="preserve">According to the probation officer’s report, </w:t>
      </w:r>
      <w:r w:rsidR="006150BC">
        <w:rPr>
          <w:rFonts w:ascii="Arial" w:eastAsia="Times New Roman" w:hAnsi="Arial" w:cs="Arial"/>
          <w:bCs/>
          <w:sz w:val="24"/>
          <w:szCs w:val="24"/>
          <w:lang w:val="en-GB"/>
        </w:rPr>
        <w:t xml:space="preserve">at the time of the inspection of the farm, </w:t>
      </w:r>
      <w:r w:rsidR="00795A33">
        <w:rPr>
          <w:rFonts w:ascii="Arial" w:eastAsia="Times New Roman" w:hAnsi="Arial" w:cs="Arial"/>
          <w:bCs/>
          <w:sz w:val="24"/>
          <w:szCs w:val="24"/>
          <w:lang w:val="en-GB"/>
        </w:rPr>
        <w:t xml:space="preserve">the </w:t>
      </w:r>
      <w:r w:rsidR="00866A4E">
        <w:rPr>
          <w:rFonts w:ascii="Arial" w:eastAsia="Times New Roman" w:hAnsi="Arial" w:cs="Arial"/>
          <w:bCs/>
          <w:sz w:val="24"/>
          <w:szCs w:val="24"/>
          <w:lang w:val="en-GB"/>
        </w:rPr>
        <w:t>15</w:t>
      </w:r>
      <w:r w:rsidR="00545202" w:rsidRPr="00545202">
        <w:rPr>
          <w:rFonts w:ascii="Arial" w:eastAsia="Times New Roman" w:hAnsi="Arial" w:cs="Arial"/>
          <w:bCs/>
          <w:sz w:val="24"/>
          <w:szCs w:val="24"/>
          <w:vertAlign w:val="superscript"/>
          <w:lang w:val="en-GB"/>
        </w:rPr>
        <w:t>th</w:t>
      </w:r>
      <w:r w:rsidR="00545202">
        <w:rPr>
          <w:rFonts w:ascii="Arial" w:eastAsia="Times New Roman" w:hAnsi="Arial" w:cs="Arial"/>
          <w:bCs/>
          <w:sz w:val="24"/>
          <w:szCs w:val="24"/>
          <w:lang w:val="en-GB"/>
        </w:rPr>
        <w:t xml:space="preserve"> </w:t>
      </w:r>
      <w:r w:rsidR="00795A33">
        <w:rPr>
          <w:rFonts w:ascii="Arial" w:eastAsia="Times New Roman" w:hAnsi="Arial" w:cs="Arial"/>
          <w:bCs/>
          <w:sz w:val="24"/>
          <w:szCs w:val="24"/>
          <w:lang w:val="en-GB"/>
        </w:rPr>
        <w:t xml:space="preserve">respondent and her </w:t>
      </w:r>
      <w:r w:rsidR="00F735A3">
        <w:rPr>
          <w:rFonts w:ascii="Arial" w:eastAsia="Times New Roman" w:hAnsi="Arial" w:cs="Arial"/>
          <w:bCs/>
          <w:sz w:val="24"/>
          <w:szCs w:val="24"/>
          <w:lang w:val="en-GB"/>
        </w:rPr>
        <w:t xml:space="preserve">dependant </w:t>
      </w:r>
      <w:r w:rsidR="00795A33">
        <w:rPr>
          <w:rFonts w:ascii="Arial" w:eastAsia="Times New Roman" w:hAnsi="Arial" w:cs="Arial"/>
          <w:bCs/>
          <w:sz w:val="24"/>
          <w:szCs w:val="24"/>
          <w:lang w:val="en-GB"/>
        </w:rPr>
        <w:t xml:space="preserve">were no longer resident on the farm. </w:t>
      </w:r>
      <w:r w:rsidR="00934389" w:rsidRPr="00934389">
        <w:rPr>
          <w:rFonts w:ascii="Arial" w:eastAsia="Times New Roman" w:hAnsi="Arial" w:cs="Arial"/>
          <w:bCs/>
          <w:sz w:val="24"/>
          <w:szCs w:val="24"/>
          <w:lang w:val="en-GB"/>
        </w:rPr>
        <w:t>Th</w:t>
      </w:r>
      <w:r w:rsidR="00934389" w:rsidRPr="00774A33">
        <w:rPr>
          <w:rFonts w:ascii="Arial" w:eastAsia="Times New Roman" w:hAnsi="Arial" w:cs="Arial"/>
          <w:bCs/>
          <w:sz w:val="24"/>
          <w:szCs w:val="24"/>
          <w:lang w:val="en-GB"/>
        </w:rPr>
        <w:t xml:space="preserve">e </w:t>
      </w:r>
      <w:r w:rsidR="00934389" w:rsidRPr="00934389">
        <w:rPr>
          <w:rFonts w:ascii="Arial" w:eastAsia="Times New Roman" w:hAnsi="Arial" w:cs="Arial"/>
          <w:bCs/>
          <w:sz w:val="24"/>
          <w:szCs w:val="24"/>
          <w:lang w:val="en-GB"/>
        </w:rPr>
        <w:t>11</w:t>
      </w:r>
      <w:r w:rsidR="00934389" w:rsidRPr="00934389">
        <w:rPr>
          <w:rFonts w:ascii="Arial" w:eastAsia="Times New Roman" w:hAnsi="Arial" w:cs="Arial"/>
          <w:bCs/>
          <w:sz w:val="24"/>
          <w:szCs w:val="24"/>
          <w:vertAlign w:val="superscript"/>
          <w:lang w:val="en-GB"/>
        </w:rPr>
        <w:t>th</w:t>
      </w:r>
      <w:r w:rsidR="00934389" w:rsidRPr="00934389">
        <w:rPr>
          <w:rFonts w:ascii="Arial" w:eastAsia="Times New Roman" w:hAnsi="Arial" w:cs="Arial"/>
          <w:bCs/>
          <w:sz w:val="24"/>
          <w:szCs w:val="24"/>
          <w:lang w:val="en-GB"/>
        </w:rPr>
        <w:t xml:space="preserve"> and 12</w:t>
      </w:r>
      <w:r w:rsidR="00934389" w:rsidRPr="00934389">
        <w:rPr>
          <w:rFonts w:ascii="Arial" w:eastAsia="Times New Roman" w:hAnsi="Arial" w:cs="Arial"/>
          <w:bCs/>
          <w:sz w:val="24"/>
          <w:szCs w:val="24"/>
          <w:vertAlign w:val="superscript"/>
          <w:lang w:val="en-GB"/>
        </w:rPr>
        <w:t>th</w:t>
      </w:r>
      <w:r w:rsidR="00934389" w:rsidRPr="00934389">
        <w:rPr>
          <w:rFonts w:ascii="Arial" w:eastAsia="Times New Roman" w:hAnsi="Arial" w:cs="Arial"/>
          <w:bCs/>
          <w:sz w:val="24"/>
          <w:szCs w:val="24"/>
          <w:lang w:val="en-GB"/>
        </w:rPr>
        <w:t xml:space="preserve"> </w:t>
      </w:r>
      <w:r w:rsidR="00934389" w:rsidRPr="00774A33">
        <w:rPr>
          <w:rFonts w:ascii="Arial" w:eastAsia="Times New Roman" w:hAnsi="Arial" w:cs="Arial"/>
          <w:bCs/>
          <w:sz w:val="24"/>
          <w:szCs w:val="24"/>
          <w:lang w:val="en-GB"/>
        </w:rPr>
        <w:t>respondents</w:t>
      </w:r>
      <w:r w:rsidR="00934389" w:rsidRPr="00934389">
        <w:rPr>
          <w:rFonts w:ascii="Arial" w:eastAsia="Times New Roman" w:hAnsi="Arial" w:cs="Arial"/>
          <w:bCs/>
          <w:sz w:val="24"/>
          <w:szCs w:val="24"/>
          <w:lang w:val="en-GB"/>
        </w:rPr>
        <w:t xml:space="preserve">, who were of advanced age and had no children, </w:t>
      </w:r>
      <w:r w:rsidR="00934389" w:rsidRPr="00774A33">
        <w:rPr>
          <w:rFonts w:ascii="Arial" w:eastAsia="Times New Roman" w:hAnsi="Arial" w:cs="Arial"/>
          <w:bCs/>
          <w:sz w:val="24"/>
          <w:szCs w:val="24"/>
          <w:lang w:val="en-GB"/>
        </w:rPr>
        <w:t>passed away before the hearing of the appeal</w:t>
      </w:r>
      <w:r w:rsidR="00934389" w:rsidRPr="00934389">
        <w:rPr>
          <w:rFonts w:ascii="Arial" w:eastAsia="Times New Roman" w:hAnsi="Arial" w:cs="Arial"/>
          <w:bCs/>
          <w:sz w:val="24"/>
          <w:szCs w:val="24"/>
          <w:lang w:val="en-GB"/>
        </w:rPr>
        <w:t>.</w:t>
      </w:r>
    </w:p>
    <w:p w14:paraId="271645F2" w14:textId="77777777"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1C861EDF" w14:textId="4C166412" w:rsidR="00774A33" w:rsidRPr="009A1F11"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w:t>
      </w:r>
      <w:r w:rsidR="0066631C">
        <w:rPr>
          <w:rFonts w:ascii="Arial" w:eastAsia="Times New Roman" w:hAnsi="Arial" w:cs="Arial"/>
          <w:bCs/>
          <w:sz w:val="24"/>
          <w:szCs w:val="24"/>
          <w:lang w:val="en-GB"/>
        </w:rPr>
        <w:t>5</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t xml:space="preserve">It is common cause that the employment relationship between the Trust and those occupiers who were in its employ ended </w:t>
      </w:r>
      <w:r w:rsidR="001736BE">
        <w:rPr>
          <w:rFonts w:ascii="Arial" w:eastAsia="Times New Roman" w:hAnsi="Arial" w:cs="Arial"/>
          <w:bCs/>
          <w:sz w:val="24"/>
          <w:szCs w:val="24"/>
          <w:lang w:val="en-GB"/>
        </w:rPr>
        <w:t>o</w:t>
      </w:r>
      <w:r w:rsidRPr="00774A33">
        <w:rPr>
          <w:rFonts w:ascii="Arial" w:eastAsia="Times New Roman" w:hAnsi="Arial" w:cs="Arial"/>
          <w:bCs/>
          <w:sz w:val="24"/>
          <w:szCs w:val="24"/>
          <w:lang w:val="en-GB"/>
        </w:rPr>
        <w:t xml:space="preserve">n </w:t>
      </w:r>
      <w:r w:rsidR="001736BE">
        <w:rPr>
          <w:rFonts w:ascii="Arial" w:eastAsia="Times New Roman" w:hAnsi="Arial" w:cs="Arial"/>
          <w:bCs/>
          <w:sz w:val="24"/>
          <w:szCs w:val="24"/>
          <w:lang w:val="en-GB"/>
        </w:rPr>
        <w:t xml:space="preserve">24 June </w:t>
      </w:r>
      <w:r w:rsidRPr="00774A33">
        <w:rPr>
          <w:rFonts w:ascii="Arial" w:eastAsia="Times New Roman" w:hAnsi="Arial" w:cs="Arial"/>
          <w:bCs/>
          <w:sz w:val="24"/>
          <w:szCs w:val="24"/>
          <w:lang w:val="en-GB"/>
        </w:rPr>
        <w:t>2011, on which date they were also ordered to vacate the farm.</w:t>
      </w:r>
      <w:r w:rsidR="001736BE">
        <w:rPr>
          <w:rFonts w:ascii="Arial" w:eastAsia="Times New Roman" w:hAnsi="Arial" w:cs="Arial"/>
          <w:bCs/>
          <w:sz w:val="24"/>
          <w:szCs w:val="24"/>
          <w:lang w:val="en-GB"/>
        </w:rPr>
        <w:t xml:space="preserve"> None of them left the farm.</w:t>
      </w:r>
      <w:r w:rsidR="004F54E4">
        <w:rPr>
          <w:rFonts w:ascii="Arial" w:eastAsia="Times New Roman" w:hAnsi="Arial" w:cs="Arial"/>
          <w:bCs/>
          <w:sz w:val="24"/>
          <w:szCs w:val="24"/>
          <w:lang w:val="en-GB"/>
        </w:rPr>
        <w:t xml:space="preserve"> A further notice to vacate </w:t>
      </w:r>
      <w:r w:rsidR="004F54E4" w:rsidRPr="009A1F11">
        <w:rPr>
          <w:rFonts w:ascii="Arial" w:eastAsia="Times New Roman" w:hAnsi="Arial" w:cs="Arial"/>
          <w:bCs/>
          <w:sz w:val="24"/>
          <w:szCs w:val="24"/>
          <w:lang w:val="en-GB"/>
        </w:rPr>
        <w:t xml:space="preserve">the farm was issued on 21 May 2012 but yielded no results. </w:t>
      </w:r>
    </w:p>
    <w:p w14:paraId="605B0F33" w14:textId="77777777" w:rsidR="00774A33" w:rsidRPr="009A1F11"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20630E97" w14:textId="3C04B28C" w:rsidR="00774A33" w:rsidRPr="009A1F11"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9A1F11">
        <w:rPr>
          <w:rFonts w:ascii="Arial" w:eastAsia="Times New Roman" w:hAnsi="Arial" w:cs="Arial"/>
          <w:bCs/>
          <w:sz w:val="24"/>
          <w:szCs w:val="24"/>
          <w:lang w:val="en-GB"/>
        </w:rPr>
        <w:t>[</w:t>
      </w:r>
      <w:r w:rsidR="0066631C" w:rsidRPr="009A1F11">
        <w:rPr>
          <w:rFonts w:ascii="Arial" w:eastAsia="Times New Roman" w:hAnsi="Arial" w:cs="Arial"/>
          <w:bCs/>
          <w:sz w:val="24"/>
          <w:szCs w:val="24"/>
          <w:lang w:val="en-GB"/>
        </w:rPr>
        <w:t>6</w:t>
      </w:r>
      <w:r w:rsidRPr="009A1F11">
        <w:rPr>
          <w:rFonts w:ascii="Arial" w:eastAsia="Times New Roman" w:hAnsi="Arial" w:cs="Arial"/>
          <w:bCs/>
          <w:sz w:val="24"/>
          <w:szCs w:val="24"/>
          <w:lang w:val="en-GB"/>
        </w:rPr>
        <w:t>]</w:t>
      </w:r>
      <w:r w:rsidRPr="009A1F11">
        <w:rPr>
          <w:rFonts w:ascii="Arial" w:eastAsia="Times New Roman" w:hAnsi="Arial" w:cs="Arial"/>
          <w:bCs/>
          <w:sz w:val="24"/>
          <w:szCs w:val="24"/>
          <w:lang w:val="en-GB"/>
        </w:rPr>
        <w:tab/>
        <w:t xml:space="preserve">Aggrieved by the occupiers’ refusal to vacate the farm, in 2013, the Trust approached the Magistrates’ Court, Wellington (the </w:t>
      </w:r>
      <w:r w:rsidR="00862F5F" w:rsidRPr="009A1F11">
        <w:rPr>
          <w:rFonts w:ascii="Arial" w:eastAsia="Times New Roman" w:hAnsi="Arial" w:cs="Arial"/>
          <w:bCs/>
          <w:sz w:val="24"/>
          <w:szCs w:val="24"/>
          <w:lang w:val="en-GB"/>
        </w:rPr>
        <w:t>m</w:t>
      </w:r>
      <w:r w:rsidRPr="009A1F11">
        <w:rPr>
          <w:rFonts w:ascii="Arial" w:eastAsia="Times New Roman" w:hAnsi="Arial" w:cs="Arial"/>
          <w:bCs/>
          <w:sz w:val="24"/>
          <w:szCs w:val="24"/>
          <w:lang w:val="en-GB"/>
        </w:rPr>
        <w:t>agistrate</w:t>
      </w:r>
      <w:r w:rsidR="00ED00F5" w:rsidRPr="009A1F11">
        <w:rPr>
          <w:rFonts w:ascii="Arial" w:eastAsia="Times New Roman" w:hAnsi="Arial" w:cs="Arial"/>
          <w:bCs/>
          <w:sz w:val="24"/>
          <w:szCs w:val="24"/>
          <w:lang w:val="en-GB"/>
        </w:rPr>
        <w:t xml:space="preserve"> court</w:t>
      </w:r>
      <w:r w:rsidRPr="009A1F11">
        <w:rPr>
          <w:rFonts w:ascii="Arial" w:eastAsia="Times New Roman" w:hAnsi="Arial" w:cs="Arial"/>
          <w:bCs/>
          <w:sz w:val="24"/>
          <w:szCs w:val="24"/>
          <w:lang w:val="en-GB"/>
        </w:rPr>
        <w:t xml:space="preserve">), and sought an order for the eviction of the </w:t>
      </w:r>
      <w:r w:rsidR="00650B2A" w:rsidRPr="009A1F11">
        <w:rPr>
          <w:rFonts w:ascii="Arial" w:eastAsia="Times New Roman" w:hAnsi="Arial" w:cs="Arial"/>
          <w:bCs/>
          <w:sz w:val="24"/>
          <w:szCs w:val="24"/>
          <w:lang w:val="en-GB"/>
        </w:rPr>
        <w:t>1</w:t>
      </w:r>
      <w:r w:rsidR="00650B2A" w:rsidRPr="009A1F11">
        <w:rPr>
          <w:rFonts w:ascii="Arial" w:eastAsia="Times New Roman" w:hAnsi="Arial" w:cs="Arial"/>
          <w:bCs/>
          <w:sz w:val="24"/>
          <w:szCs w:val="24"/>
          <w:vertAlign w:val="superscript"/>
          <w:lang w:val="en-GB"/>
        </w:rPr>
        <w:t>st</w:t>
      </w:r>
      <w:r w:rsidR="00650B2A" w:rsidRPr="009A1F11">
        <w:rPr>
          <w:rFonts w:ascii="Arial" w:eastAsia="Times New Roman" w:hAnsi="Arial" w:cs="Arial"/>
          <w:bCs/>
          <w:sz w:val="24"/>
          <w:szCs w:val="24"/>
          <w:lang w:val="en-GB"/>
        </w:rPr>
        <w:t>, 2</w:t>
      </w:r>
      <w:r w:rsidR="00650B2A" w:rsidRPr="009A1F11">
        <w:rPr>
          <w:rFonts w:ascii="Arial" w:eastAsia="Times New Roman" w:hAnsi="Arial" w:cs="Arial"/>
          <w:bCs/>
          <w:sz w:val="24"/>
          <w:szCs w:val="24"/>
          <w:vertAlign w:val="superscript"/>
          <w:lang w:val="en-GB"/>
        </w:rPr>
        <w:t>nd</w:t>
      </w:r>
      <w:r w:rsidR="00650B2A" w:rsidRPr="009A1F11">
        <w:rPr>
          <w:rFonts w:ascii="Arial" w:eastAsia="Times New Roman" w:hAnsi="Arial" w:cs="Arial"/>
          <w:bCs/>
          <w:sz w:val="24"/>
          <w:szCs w:val="24"/>
          <w:lang w:val="en-GB"/>
        </w:rPr>
        <w:t xml:space="preserve">, </w:t>
      </w:r>
      <w:r w:rsidR="005C1156" w:rsidRPr="009A1F11">
        <w:rPr>
          <w:rFonts w:ascii="Arial" w:eastAsia="Times New Roman" w:hAnsi="Arial" w:cs="Arial"/>
          <w:bCs/>
          <w:sz w:val="24"/>
          <w:szCs w:val="24"/>
          <w:lang w:val="en-GB"/>
        </w:rPr>
        <w:t>6</w:t>
      </w:r>
      <w:r w:rsidR="005C1156" w:rsidRPr="009A1F11">
        <w:rPr>
          <w:rFonts w:ascii="Arial" w:eastAsia="Times New Roman" w:hAnsi="Arial" w:cs="Arial"/>
          <w:bCs/>
          <w:sz w:val="24"/>
          <w:szCs w:val="24"/>
          <w:vertAlign w:val="superscript"/>
          <w:lang w:val="en-GB"/>
        </w:rPr>
        <w:t>th</w:t>
      </w:r>
      <w:r w:rsidR="00650B2A" w:rsidRPr="009A1F11">
        <w:rPr>
          <w:rFonts w:ascii="Arial" w:eastAsia="Times New Roman" w:hAnsi="Arial" w:cs="Arial"/>
          <w:bCs/>
          <w:sz w:val="24"/>
          <w:szCs w:val="24"/>
          <w:lang w:val="en-GB"/>
        </w:rPr>
        <w:t>, 7</w:t>
      </w:r>
      <w:r w:rsidR="00650B2A" w:rsidRPr="009A1F11">
        <w:rPr>
          <w:rFonts w:ascii="Arial" w:eastAsia="Times New Roman" w:hAnsi="Arial" w:cs="Arial"/>
          <w:bCs/>
          <w:sz w:val="24"/>
          <w:szCs w:val="24"/>
          <w:vertAlign w:val="superscript"/>
          <w:lang w:val="en-GB"/>
        </w:rPr>
        <w:t>th</w:t>
      </w:r>
      <w:r w:rsidR="00650B2A" w:rsidRPr="009A1F11">
        <w:rPr>
          <w:rFonts w:ascii="Arial" w:eastAsia="Times New Roman" w:hAnsi="Arial" w:cs="Arial"/>
          <w:bCs/>
          <w:sz w:val="24"/>
          <w:szCs w:val="24"/>
          <w:lang w:val="en-GB"/>
        </w:rPr>
        <w:t xml:space="preserve">, </w:t>
      </w:r>
      <w:r w:rsidR="005C1156" w:rsidRPr="009A1F11">
        <w:rPr>
          <w:rFonts w:ascii="Arial" w:eastAsia="Times New Roman" w:hAnsi="Arial" w:cs="Arial"/>
          <w:bCs/>
          <w:sz w:val="24"/>
          <w:szCs w:val="24"/>
          <w:lang w:val="en-GB"/>
        </w:rPr>
        <w:t>8</w:t>
      </w:r>
      <w:r w:rsidR="005C1156" w:rsidRPr="009A1F11">
        <w:rPr>
          <w:rFonts w:ascii="Arial" w:eastAsia="Times New Roman" w:hAnsi="Arial" w:cs="Arial"/>
          <w:bCs/>
          <w:sz w:val="24"/>
          <w:szCs w:val="24"/>
          <w:vertAlign w:val="superscript"/>
          <w:lang w:val="en-GB"/>
        </w:rPr>
        <w:t>th</w:t>
      </w:r>
      <w:r w:rsidR="00650B2A" w:rsidRPr="009A1F11">
        <w:rPr>
          <w:rFonts w:ascii="Arial" w:eastAsia="Times New Roman" w:hAnsi="Arial" w:cs="Arial"/>
          <w:bCs/>
          <w:sz w:val="24"/>
          <w:szCs w:val="24"/>
          <w:lang w:val="en-GB"/>
        </w:rPr>
        <w:t>, 13</w:t>
      </w:r>
      <w:r w:rsidR="00650B2A" w:rsidRPr="009A1F11">
        <w:rPr>
          <w:rFonts w:ascii="Arial" w:eastAsia="Times New Roman" w:hAnsi="Arial" w:cs="Arial"/>
          <w:bCs/>
          <w:sz w:val="24"/>
          <w:szCs w:val="24"/>
          <w:vertAlign w:val="superscript"/>
          <w:lang w:val="en-GB"/>
        </w:rPr>
        <w:t>th</w:t>
      </w:r>
      <w:r w:rsidR="005C1156" w:rsidRPr="009A1F11">
        <w:rPr>
          <w:rFonts w:ascii="Arial" w:eastAsia="Times New Roman" w:hAnsi="Arial" w:cs="Arial"/>
          <w:bCs/>
          <w:sz w:val="24"/>
          <w:szCs w:val="24"/>
          <w:lang w:val="en-GB"/>
        </w:rPr>
        <w:t xml:space="preserve">, </w:t>
      </w:r>
      <w:r w:rsidR="00650B2A" w:rsidRPr="009A1F11">
        <w:rPr>
          <w:rFonts w:ascii="Arial" w:eastAsia="Times New Roman" w:hAnsi="Arial" w:cs="Arial"/>
          <w:bCs/>
          <w:sz w:val="24"/>
          <w:szCs w:val="24"/>
          <w:lang w:val="en-GB"/>
        </w:rPr>
        <w:t>20</w:t>
      </w:r>
      <w:r w:rsidR="00650B2A" w:rsidRPr="009A1F11">
        <w:rPr>
          <w:rFonts w:ascii="Arial" w:eastAsia="Times New Roman" w:hAnsi="Arial" w:cs="Arial"/>
          <w:bCs/>
          <w:sz w:val="24"/>
          <w:szCs w:val="24"/>
          <w:vertAlign w:val="superscript"/>
          <w:lang w:val="en-GB"/>
        </w:rPr>
        <w:t>th</w:t>
      </w:r>
      <w:r w:rsidR="00650B2A" w:rsidRPr="009A1F11">
        <w:rPr>
          <w:rFonts w:ascii="Arial" w:eastAsia="Times New Roman" w:hAnsi="Arial" w:cs="Arial"/>
          <w:bCs/>
          <w:sz w:val="24"/>
          <w:szCs w:val="24"/>
          <w:lang w:val="en-GB"/>
        </w:rPr>
        <w:t xml:space="preserve"> and 24</w:t>
      </w:r>
      <w:r w:rsidR="00650B2A" w:rsidRPr="009A1F11">
        <w:rPr>
          <w:rFonts w:ascii="Arial" w:eastAsia="Times New Roman" w:hAnsi="Arial" w:cs="Arial"/>
          <w:bCs/>
          <w:sz w:val="24"/>
          <w:szCs w:val="24"/>
          <w:vertAlign w:val="superscript"/>
          <w:lang w:val="en-GB"/>
        </w:rPr>
        <w:t>th</w:t>
      </w:r>
      <w:r w:rsidR="00650B2A" w:rsidRPr="009A1F11">
        <w:rPr>
          <w:rFonts w:ascii="Arial" w:eastAsia="Times New Roman" w:hAnsi="Arial" w:cs="Arial"/>
          <w:bCs/>
          <w:sz w:val="24"/>
          <w:szCs w:val="24"/>
          <w:lang w:val="en-GB"/>
        </w:rPr>
        <w:t xml:space="preserve"> </w:t>
      </w:r>
      <w:r w:rsidR="005C1156" w:rsidRPr="009A1F11">
        <w:rPr>
          <w:rFonts w:ascii="Arial" w:eastAsia="Times New Roman" w:hAnsi="Arial" w:cs="Arial"/>
          <w:bCs/>
          <w:sz w:val="24"/>
          <w:szCs w:val="24"/>
          <w:lang w:val="en-GB"/>
        </w:rPr>
        <w:t xml:space="preserve">respondents. </w:t>
      </w:r>
      <w:r w:rsidRPr="009A1F11">
        <w:rPr>
          <w:rFonts w:ascii="Arial" w:eastAsia="Times New Roman" w:hAnsi="Arial" w:cs="Arial"/>
          <w:bCs/>
          <w:sz w:val="24"/>
          <w:szCs w:val="24"/>
          <w:lang w:val="en-GB"/>
        </w:rPr>
        <w:t xml:space="preserve">The application for eviction was premised on the provisions of the Extension of Security of Tenure Act 62 of 1997 (ESTA). The Trust averred that the employment relationship between all the farm workers who were working on the farm had </w:t>
      </w:r>
      <w:r w:rsidR="00561429" w:rsidRPr="009A1F11">
        <w:rPr>
          <w:rFonts w:ascii="Arial" w:eastAsia="Times New Roman" w:hAnsi="Arial" w:cs="Arial"/>
          <w:bCs/>
          <w:sz w:val="24"/>
          <w:szCs w:val="24"/>
          <w:lang w:val="en-GB"/>
        </w:rPr>
        <w:t xml:space="preserve">always </w:t>
      </w:r>
      <w:r w:rsidRPr="009A1F11">
        <w:rPr>
          <w:rFonts w:ascii="Arial" w:eastAsia="Times New Roman" w:hAnsi="Arial" w:cs="Arial"/>
          <w:bCs/>
          <w:sz w:val="24"/>
          <w:szCs w:val="24"/>
          <w:lang w:val="en-GB"/>
        </w:rPr>
        <w:t>been regulated by an employment contract concluded between the previous owner and the farmworkers</w:t>
      </w:r>
      <w:r w:rsidR="00862F5F" w:rsidRPr="009A1F11">
        <w:rPr>
          <w:rFonts w:ascii="Arial" w:eastAsia="Times New Roman" w:hAnsi="Arial" w:cs="Arial"/>
          <w:bCs/>
          <w:sz w:val="24"/>
          <w:szCs w:val="24"/>
          <w:lang w:val="en-GB"/>
        </w:rPr>
        <w:t xml:space="preserve"> concerned</w:t>
      </w:r>
      <w:r w:rsidRPr="009A1F11">
        <w:rPr>
          <w:rFonts w:ascii="Arial" w:eastAsia="Times New Roman" w:hAnsi="Arial" w:cs="Arial"/>
          <w:bCs/>
          <w:sz w:val="24"/>
          <w:szCs w:val="24"/>
          <w:lang w:val="en-GB"/>
        </w:rPr>
        <w:t xml:space="preserve">. </w:t>
      </w:r>
    </w:p>
    <w:p w14:paraId="13338263" w14:textId="77777777" w:rsidR="00774A33" w:rsidRPr="009A1F11"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3A1DC70A" w14:textId="426C6CAB"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9A1F11">
        <w:rPr>
          <w:rFonts w:ascii="Arial" w:eastAsia="Times New Roman" w:hAnsi="Arial" w:cs="Arial"/>
          <w:bCs/>
          <w:sz w:val="24"/>
          <w:szCs w:val="24"/>
          <w:lang w:val="en-GB"/>
        </w:rPr>
        <w:t>[</w:t>
      </w:r>
      <w:r w:rsidR="0066631C" w:rsidRPr="009A1F11">
        <w:rPr>
          <w:rFonts w:ascii="Arial" w:eastAsia="Times New Roman" w:hAnsi="Arial" w:cs="Arial"/>
          <w:bCs/>
          <w:sz w:val="24"/>
          <w:szCs w:val="24"/>
          <w:lang w:val="en-GB"/>
        </w:rPr>
        <w:t>7</w:t>
      </w:r>
      <w:r w:rsidRPr="009A1F11">
        <w:rPr>
          <w:rFonts w:ascii="Arial" w:eastAsia="Times New Roman" w:hAnsi="Arial" w:cs="Arial"/>
          <w:bCs/>
          <w:sz w:val="24"/>
          <w:szCs w:val="24"/>
          <w:lang w:val="en-GB"/>
        </w:rPr>
        <w:t>]</w:t>
      </w:r>
      <w:r w:rsidRPr="009A1F11">
        <w:rPr>
          <w:rFonts w:ascii="Arial" w:eastAsia="Times New Roman" w:hAnsi="Arial" w:cs="Arial"/>
          <w:bCs/>
          <w:sz w:val="24"/>
          <w:szCs w:val="24"/>
          <w:lang w:val="en-GB"/>
        </w:rPr>
        <w:tab/>
        <w:t xml:space="preserve">According to the Trust, the occupiers were taken over as the Trust’s workforce on the same terms and conditions prevailing </w:t>
      </w:r>
      <w:r w:rsidR="009134C4" w:rsidRPr="009A1F11">
        <w:rPr>
          <w:rFonts w:ascii="Arial" w:eastAsia="Times New Roman" w:hAnsi="Arial" w:cs="Arial"/>
          <w:bCs/>
          <w:sz w:val="24"/>
          <w:szCs w:val="24"/>
          <w:lang w:val="en-GB"/>
        </w:rPr>
        <w:t>at the time when</w:t>
      </w:r>
      <w:r w:rsidRPr="009A1F11">
        <w:rPr>
          <w:rFonts w:ascii="Arial" w:eastAsia="Times New Roman" w:hAnsi="Arial" w:cs="Arial"/>
          <w:bCs/>
          <w:sz w:val="24"/>
          <w:szCs w:val="24"/>
          <w:lang w:val="en-GB"/>
        </w:rPr>
        <w:t xml:space="preserve"> they were employed by the previous owner. On the Trust’s version, identical employment contracts were subsequently concluded between it and the respective employees. In addition, lease agreements were</w:t>
      </w:r>
      <w:r w:rsidRPr="00774A33">
        <w:rPr>
          <w:rFonts w:ascii="Arial" w:eastAsia="Times New Roman" w:hAnsi="Arial" w:cs="Arial"/>
          <w:bCs/>
          <w:sz w:val="24"/>
          <w:szCs w:val="24"/>
          <w:lang w:val="en-GB"/>
        </w:rPr>
        <w:t xml:space="preserve"> concluded, setting out the terms and conditions applicable to the occupiers’ occupation of the farm. Copies of </w:t>
      </w:r>
      <w:r w:rsidR="00561429">
        <w:rPr>
          <w:rFonts w:ascii="Arial" w:eastAsia="Times New Roman" w:hAnsi="Arial" w:cs="Arial"/>
          <w:bCs/>
          <w:sz w:val="24"/>
          <w:szCs w:val="24"/>
          <w:lang w:val="en-GB"/>
        </w:rPr>
        <w:t xml:space="preserve">specimen </w:t>
      </w:r>
      <w:r w:rsidRPr="00774A33">
        <w:rPr>
          <w:rFonts w:ascii="Arial" w:eastAsia="Times New Roman" w:hAnsi="Arial" w:cs="Arial"/>
          <w:bCs/>
          <w:sz w:val="24"/>
          <w:szCs w:val="24"/>
          <w:lang w:val="en-GB"/>
        </w:rPr>
        <w:t>employment contracts and lease agreements were attached to the Trust’s papers as Annexure C and D, respectively.</w:t>
      </w:r>
      <w:r w:rsidR="0069681D">
        <w:rPr>
          <w:rFonts w:ascii="Arial" w:eastAsia="Times New Roman" w:hAnsi="Arial" w:cs="Arial"/>
          <w:bCs/>
          <w:sz w:val="24"/>
          <w:szCs w:val="24"/>
          <w:lang w:val="en-GB"/>
        </w:rPr>
        <w:t xml:space="preserve"> Included in the specimen lease agreement was a list of house rules applicable to employees.</w:t>
      </w:r>
    </w:p>
    <w:p w14:paraId="23699184" w14:textId="77777777"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2400485A" w14:textId="6B462B8B" w:rsidR="00774A33" w:rsidRPr="00DB026E"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w:t>
      </w:r>
      <w:r w:rsidR="0066631C">
        <w:rPr>
          <w:rFonts w:ascii="Arial" w:eastAsia="Times New Roman" w:hAnsi="Arial" w:cs="Arial"/>
          <w:bCs/>
          <w:sz w:val="24"/>
          <w:szCs w:val="24"/>
          <w:lang w:val="en-GB"/>
        </w:rPr>
        <w:t>8</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t xml:space="preserve">The Trust asserted that the lease agreements concluded with the occupiers clearly stipulated that the occupiers’ tenure as residents in the Trust’s cottages was subject to the employment relationship continuing to exist. </w:t>
      </w:r>
      <w:r w:rsidRPr="00DB026E">
        <w:rPr>
          <w:rFonts w:ascii="Arial" w:eastAsia="Times New Roman" w:hAnsi="Arial" w:cs="Arial"/>
          <w:bCs/>
          <w:sz w:val="24"/>
          <w:szCs w:val="24"/>
          <w:lang w:val="en-GB"/>
        </w:rPr>
        <w:t>According to the Trust, the termination of the occupiers’ right of residence was on the basis that their occupation of the farm was linked to their employment, which the occupiers had terminated by refusing to render service to the Trust</w:t>
      </w:r>
      <w:r w:rsidR="005D11FE" w:rsidRPr="00DB026E">
        <w:rPr>
          <w:rFonts w:ascii="Arial" w:eastAsia="Times New Roman" w:hAnsi="Arial" w:cs="Arial"/>
          <w:bCs/>
          <w:sz w:val="24"/>
          <w:szCs w:val="24"/>
          <w:lang w:val="en-GB"/>
        </w:rPr>
        <w:t xml:space="preserve"> pursuant to </w:t>
      </w:r>
      <w:r w:rsidRPr="00DB026E">
        <w:rPr>
          <w:rFonts w:ascii="Arial" w:eastAsia="Times New Roman" w:hAnsi="Arial" w:cs="Arial"/>
          <w:bCs/>
          <w:sz w:val="24"/>
          <w:szCs w:val="24"/>
          <w:lang w:val="en-GB"/>
        </w:rPr>
        <w:t xml:space="preserve">an </w:t>
      </w:r>
      <w:r w:rsidR="007D70FC" w:rsidRPr="00DB026E">
        <w:rPr>
          <w:rFonts w:ascii="Arial" w:eastAsia="Times New Roman" w:hAnsi="Arial" w:cs="Arial"/>
          <w:bCs/>
          <w:sz w:val="24"/>
          <w:szCs w:val="24"/>
          <w:lang w:val="en-GB"/>
        </w:rPr>
        <w:t>unprotected</w:t>
      </w:r>
      <w:r w:rsidRPr="00DB026E">
        <w:rPr>
          <w:rFonts w:ascii="Arial" w:eastAsia="Times New Roman" w:hAnsi="Arial" w:cs="Arial"/>
          <w:bCs/>
          <w:sz w:val="24"/>
          <w:szCs w:val="24"/>
          <w:lang w:val="en-GB"/>
        </w:rPr>
        <w:t xml:space="preserve"> strike. </w:t>
      </w:r>
    </w:p>
    <w:p w14:paraId="39E45E8A" w14:textId="77777777" w:rsidR="00774A33" w:rsidRPr="00DB026E"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090BB6AB" w14:textId="539814E6" w:rsidR="00774A33" w:rsidRPr="00DB026E"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DB026E">
        <w:rPr>
          <w:rFonts w:ascii="Arial" w:eastAsia="Times New Roman" w:hAnsi="Arial" w:cs="Arial"/>
          <w:bCs/>
          <w:sz w:val="24"/>
          <w:szCs w:val="24"/>
          <w:lang w:val="en-GB"/>
        </w:rPr>
        <w:t>[</w:t>
      </w:r>
      <w:r w:rsidR="0066631C" w:rsidRPr="00DB026E">
        <w:rPr>
          <w:rFonts w:ascii="Arial" w:eastAsia="Times New Roman" w:hAnsi="Arial" w:cs="Arial"/>
          <w:bCs/>
          <w:sz w:val="24"/>
          <w:szCs w:val="24"/>
          <w:lang w:val="en-GB"/>
        </w:rPr>
        <w:t>9</w:t>
      </w:r>
      <w:r w:rsidRPr="00DB026E">
        <w:rPr>
          <w:rFonts w:ascii="Arial" w:eastAsia="Times New Roman" w:hAnsi="Arial" w:cs="Arial"/>
          <w:bCs/>
          <w:sz w:val="24"/>
          <w:szCs w:val="24"/>
          <w:lang w:val="en-GB"/>
        </w:rPr>
        <w:t>]</w:t>
      </w:r>
      <w:r w:rsidRPr="00DB026E">
        <w:rPr>
          <w:rFonts w:ascii="Arial" w:eastAsia="Times New Roman" w:hAnsi="Arial" w:cs="Arial"/>
          <w:bCs/>
          <w:sz w:val="24"/>
          <w:szCs w:val="24"/>
          <w:lang w:val="en-GB"/>
        </w:rPr>
        <w:tab/>
        <w:t xml:space="preserve">The Trust further averred that formal meetings were held in 2016 </w:t>
      </w:r>
      <w:r w:rsidR="00D66D9A" w:rsidRPr="00DB026E">
        <w:rPr>
          <w:rFonts w:ascii="Arial" w:eastAsia="Times New Roman" w:hAnsi="Arial" w:cs="Arial"/>
          <w:bCs/>
          <w:sz w:val="24"/>
          <w:szCs w:val="24"/>
          <w:lang w:val="en-GB"/>
        </w:rPr>
        <w:t xml:space="preserve">and </w:t>
      </w:r>
      <w:r w:rsidR="00687345" w:rsidRPr="00DB026E">
        <w:rPr>
          <w:rFonts w:ascii="Arial" w:eastAsia="Times New Roman" w:hAnsi="Arial" w:cs="Arial"/>
          <w:bCs/>
          <w:sz w:val="24"/>
          <w:szCs w:val="24"/>
          <w:lang w:val="en-GB"/>
        </w:rPr>
        <w:t xml:space="preserve">all </w:t>
      </w:r>
      <w:r w:rsidR="00D66D9A" w:rsidRPr="00DB026E">
        <w:rPr>
          <w:rFonts w:ascii="Arial" w:eastAsia="Times New Roman" w:hAnsi="Arial" w:cs="Arial"/>
          <w:bCs/>
          <w:sz w:val="24"/>
          <w:szCs w:val="24"/>
          <w:lang w:val="en-GB"/>
        </w:rPr>
        <w:t xml:space="preserve">the </w:t>
      </w:r>
      <w:r w:rsidRPr="00DB026E">
        <w:rPr>
          <w:rFonts w:ascii="Arial" w:eastAsia="Times New Roman" w:hAnsi="Arial" w:cs="Arial"/>
          <w:bCs/>
          <w:sz w:val="24"/>
          <w:szCs w:val="24"/>
          <w:lang w:val="en-GB"/>
        </w:rPr>
        <w:t>occupiers cited as respondents in the magistrate’s court proceedings were offered jobs and accommodation</w:t>
      </w:r>
      <w:r w:rsidR="00D66D9A" w:rsidRPr="00DB026E">
        <w:rPr>
          <w:rFonts w:ascii="Arial" w:eastAsia="Times New Roman" w:hAnsi="Arial" w:cs="Arial"/>
          <w:bCs/>
          <w:sz w:val="24"/>
          <w:szCs w:val="24"/>
          <w:lang w:val="en-GB"/>
        </w:rPr>
        <w:t>,</w:t>
      </w:r>
      <w:r w:rsidRPr="00DB026E">
        <w:rPr>
          <w:rFonts w:ascii="Arial" w:eastAsia="Times New Roman" w:hAnsi="Arial" w:cs="Arial"/>
          <w:bCs/>
          <w:sz w:val="24"/>
          <w:szCs w:val="24"/>
          <w:lang w:val="en-GB"/>
        </w:rPr>
        <w:t xml:space="preserve"> but none of them expressed interest in the offer. Two further meetings</w:t>
      </w:r>
      <w:r w:rsidRPr="00774A33">
        <w:rPr>
          <w:rFonts w:ascii="Arial" w:eastAsia="Times New Roman" w:hAnsi="Arial" w:cs="Arial"/>
          <w:bCs/>
          <w:sz w:val="24"/>
          <w:szCs w:val="24"/>
          <w:lang w:val="en-GB"/>
        </w:rPr>
        <w:t xml:space="preserve"> were held early in 2017. This averment was denied by the occupiers. According to the Trust, a further meeting was arranged in September 2017 but none of the occupiers attended it. The Trust’s attorneys contacted the attorney who had </w:t>
      </w:r>
      <w:r w:rsidR="00B969EB">
        <w:rPr>
          <w:rFonts w:ascii="Arial" w:eastAsia="Times New Roman" w:hAnsi="Arial" w:cs="Arial"/>
          <w:bCs/>
          <w:sz w:val="24"/>
          <w:szCs w:val="24"/>
          <w:lang w:val="en-GB"/>
        </w:rPr>
        <w:t xml:space="preserve">previously </w:t>
      </w:r>
      <w:r w:rsidRPr="00774A33">
        <w:rPr>
          <w:rFonts w:ascii="Arial" w:eastAsia="Times New Roman" w:hAnsi="Arial" w:cs="Arial"/>
          <w:bCs/>
          <w:sz w:val="24"/>
          <w:szCs w:val="24"/>
          <w:lang w:val="en-GB"/>
        </w:rPr>
        <w:t xml:space="preserve">represented the occupiers in the litigation conducted in the </w:t>
      </w:r>
      <w:r w:rsidR="00B969EB" w:rsidRPr="00DB026E">
        <w:rPr>
          <w:rFonts w:ascii="Arial" w:eastAsia="Times New Roman" w:hAnsi="Arial" w:cs="Arial"/>
          <w:bCs/>
          <w:sz w:val="24"/>
          <w:szCs w:val="24"/>
          <w:lang w:val="en-GB"/>
        </w:rPr>
        <w:t>m</w:t>
      </w:r>
      <w:r w:rsidRPr="00DB026E">
        <w:rPr>
          <w:rFonts w:ascii="Arial" w:eastAsia="Times New Roman" w:hAnsi="Arial" w:cs="Arial"/>
          <w:bCs/>
          <w:sz w:val="24"/>
          <w:szCs w:val="24"/>
          <w:lang w:val="en-GB"/>
        </w:rPr>
        <w:t xml:space="preserve">agistrate’s </w:t>
      </w:r>
      <w:r w:rsidR="00B969EB" w:rsidRPr="00DB026E">
        <w:rPr>
          <w:rFonts w:ascii="Arial" w:eastAsia="Times New Roman" w:hAnsi="Arial" w:cs="Arial"/>
          <w:bCs/>
          <w:sz w:val="24"/>
          <w:szCs w:val="24"/>
          <w:lang w:val="en-GB"/>
        </w:rPr>
        <w:t>c</w:t>
      </w:r>
      <w:r w:rsidRPr="00DB026E">
        <w:rPr>
          <w:rFonts w:ascii="Arial" w:eastAsia="Times New Roman" w:hAnsi="Arial" w:cs="Arial"/>
          <w:bCs/>
          <w:sz w:val="24"/>
          <w:szCs w:val="24"/>
          <w:lang w:val="en-GB"/>
        </w:rPr>
        <w:t>ourt</w:t>
      </w:r>
      <w:r w:rsidR="00B969EB" w:rsidRPr="00DB026E">
        <w:rPr>
          <w:rFonts w:ascii="Arial" w:eastAsia="Times New Roman" w:hAnsi="Arial" w:cs="Arial"/>
          <w:bCs/>
          <w:sz w:val="24"/>
          <w:szCs w:val="24"/>
          <w:lang w:val="en-GB"/>
        </w:rPr>
        <w:t xml:space="preserve">. A </w:t>
      </w:r>
      <w:r w:rsidRPr="00DB026E">
        <w:rPr>
          <w:rFonts w:ascii="Arial" w:eastAsia="Times New Roman" w:hAnsi="Arial" w:cs="Arial"/>
          <w:bCs/>
          <w:sz w:val="24"/>
          <w:szCs w:val="24"/>
          <w:lang w:val="en-GB"/>
        </w:rPr>
        <w:t xml:space="preserve">meeting was arranged for 3 November 2017 but none of those respondents attended it. </w:t>
      </w:r>
    </w:p>
    <w:p w14:paraId="68FFA9C4" w14:textId="3320AA1B" w:rsidR="00E63892" w:rsidRPr="00DB026E" w:rsidRDefault="00E63892" w:rsidP="00774A33">
      <w:pPr>
        <w:tabs>
          <w:tab w:val="left" w:pos="-1440"/>
        </w:tabs>
        <w:spacing w:after="0" w:line="360" w:lineRule="auto"/>
        <w:ind w:right="26"/>
        <w:jc w:val="both"/>
        <w:rPr>
          <w:rFonts w:ascii="Arial" w:eastAsia="Times New Roman" w:hAnsi="Arial" w:cs="Arial"/>
          <w:bCs/>
          <w:sz w:val="24"/>
          <w:szCs w:val="24"/>
          <w:lang w:val="en-GB"/>
        </w:rPr>
      </w:pPr>
    </w:p>
    <w:p w14:paraId="6BBDD5E2" w14:textId="31753447" w:rsidR="00E63892" w:rsidRPr="00E63892" w:rsidRDefault="00E63892" w:rsidP="00E63892">
      <w:pPr>
        <w:tabs>
          <w:tab w:val="left" w:pos="-1440"/>
        </w:tabs>
        <w:spacing w:after="0" w:line="360" w:lineRule="auto"/>
        <w:ind w:right="26"/>
        <w:jc w:val="both"/>
        <w:rPr>
          <w:rFonts w:ascii="Arial" w:eastAsia="Times New Roman" w:hAnsi="Arial" w:cs="Arial"/>
          <w:bCs/>
          <w:sz w:val="24"/>
          <w:szCs w:val="24"/>
          <w:lang w:val="en-GB"/>
        </w:rPr>
      </w:pPr>
      <w:r w:rsidRPr="00DB026E">
        <w:rPr>
          <w:rFonts w:ascii="Arial" w:eastAsia="Times New Roman" w:hAnsi="Arial" w:cs="Arial"/>
          <w:bCs/>
          <w:sz w:val="24"/>
          <w:szCs w:val="24"/>
          <w:lang w:val="en-GB"/>
        </w:rPr>
        <w:t>[</w:t>
      </w:r>
      <w:r w:rsidR="0066631C" w:rsidRPr="00DB026E">
        <w:rPr>
          <w:rFonts w:ascii="Arial" w:eastAsia="Times New Roman" w:hAnsi="Arial" w:cs="Arial"/>
          <w:bCs/>
          <w:sz w:val="24"/>
          <w:szCs w:val="24"/>
          <w:lang w:val="en-GB"/>
        </w:rPr>
        <w:t>10</w:t>
      </w:r>
      <w:r w:rsidRPr="00DB026E">
        <w:rPr>
          <w:rFonts w:ascii="Arial" w:eastAsia="Times New Roman" w:hAnsi="Arial" w:cs="Arial"/>
          <w:bCs/>
          <w:sz w:val="24"/>
          <w:szCs w:val="24"/>
          <w:lang w:val="en-GB"/>
        </w:rPr>
        <w:t>]</w:t>
      </w:r>
      <w:r w:rsidRPr="00DB026E">
        <w:rPr>
          <w:rFonts w:ascii="Arial" w:eastAsia="Times New Roman" w:hAnsi="Arial" w:cs="Arial"/>
          <w:bCs/>
          <w:sz w:val="24"/>
          <w:szCs w:val="24"/>
          <w:lang w:val="en-GB"/>
        </w:rPr>
        <w:tab/>
        <w:t xml:space="preserve">On 23 February 2017 the </w:t>
      </w:r>
      <w:r w:rsidR="00AA4829" w:rsidRPr="00DB026E">
        <w:rPr>
          <w:rFonts w:ascii="Arial" w:eastAsia="Times New Roman" w:hAnsi="Arial" w:cs="Arial"/>
          <w:bCs/>
          <w:sz w:val="24"/>
          <w:szCs w:val="24"/>
          <w:lang w:val="en-GB"/>
        </w:rPr>
        <w:t>m</w:t>
      </w:r>
      <w:r w:rsidRPr="00DB026E">
        <w:rPr>
          <w:rFonts w:ascii="Arial" w:eastAsia="Times New Roman" w:hAnsi="Arial" w:cs="Arial"/>
          <w:bCs/>
          <w:sz w:val="24"/>
          <w:szCs w:val="24"/>
          <w:lang w:val="en-GB"/>
        </w:rPr>
        <w:t>agistrate</w:t>
      </w:r>
      <w:r w:rsidR="00ED00F5" w:rsidRPr="00DB026E">
        <w:rPr>
          <w:rFonts w:ascii="Arial" w:eastAsia="Times New Roman" w:hAnsi="Arial" w:cs="Arial"/>
          <w:bCs/>
          <w:sz w:val="24"/>
          <w:szCs w:val="24"/>
          <w:lang w:val="en-GB"/>
        </w:rPr>
        <w:t xml:space="preserve"> court</w:t>
      </w:r>
      <w:r w:rsidRPr="00DB026E">
        <w:rPr>
          <w:rFonts w:ascii="Arial" w:eastAsia="Times New Roman" w:hAnsi="Arial" w:cs="Arial"/>
          <w:bCs/>
          <w:sz w:val="24"/>
          <w:szCs w:val="24"/>
          <w:lang w:val="en-GB"/>
        </w:rPr>
        <w:t xml:space="preserve"> handed down judgment refusing the relief sought. In the judgment, the magistrate took issue with the fact that the employment contracts and the lease agreements concluded between the Trust and the occupiers were not attached to the application that served before him. Instead, the contract of employment and lease agreement furnished reflected Mr Buckle as the employer. The magistrate</w:t>
      </w:r>
      <w:r w:rsidRPr="00E63892">
        <w:rPr>
          <w:rFonts w:ascii="Arial" w:eastAsia="Times New Roman" w:hAnsi="Arial" w:cs="Arial"/>
          <w:bCs/>
          <w:sz w:val="24"/>
          <w:szCs w:val="24"/>
          <w:lang w:val="en-GB"/>
        </w:rPr>
        <w:t xml:space="preserve"> also recorded that the Trust had conceded that the occupiers had refused to sign the employment contracts and lease agreement that </w:t>
      </w:r>
      <w:r w:rsidR="00FD4CCC">
        <w:rPr>
          <w:rFonts w:ascii="Arial" w:eastAsia="Times New Roman" w:hAnsi="Arial" w:cs="Arial"/>
          <w:bCs/>
          <w:sz w:val="24"/>
          <w:szCs w:val="24"/>
          <w:lang w:val="en-GB"/>
        </w:rPr>
        <w:t xml:space="preserve">it had </w:t>
      </w:r>
      <w:r w:rsidRPr="00E63892">
        <w:rPr>
          <w:rFonts w:ascii="Arial" w:eastAsia="Times New Roman" w:hAnsi="Arial" w:cs="Arial"/>
          <w:bCs/>
          <w:sz w:val="24"/>
          <w:szCs w:val="24"/>
          <w:lang w:val="en-GB"/>
        </w:rPr>
        <w:t xml:space="preserve">presented to them for signature but had failed to attach the unsigned contracts as </w:t>
      </w:r>
      <w:r w:rsidR="00FD4CCC">
        <w:rPr>
          <w:rFonts w:ascii="Arial" w:eastAsia="Times New Roman" w:hAnsi="Arial" w:cs="Arial"/>
          <w:bCs/>
          <w:sz w:val="24"/>
          <w:szCs w:val="24"/>
          <w:lang w:val="en-GB"/>
        </w:rPr>
        <w:t>substantiation</w:t>
      </w:r>
      <w:r w:rsidR="00891916">
        <w:rPr>
          <w:rFonts w:ascii="Arial" w:eastAsia="Times New Roman" w:hAnsi="Arial" w:cs="Arial"/>
          <w:bCs/>
          <w:sz w:val="24"/>
          <w:szCs w:val="24"/>
          <w:lang w:val="en-GB"/>
        </w:rPr>
        <w:t xml:space="preserve"> of that assertion</w:t>
      </w:r>
      <w:r w:rsidRPr="00E63892">
        <w:rPr>
          <w:rFonts w:ascii="Arial" w:eastAsia="Times New Roman" w:hAnsi="Arial" w:cs="Arial"/>
          <w:bCs/>
          <w:sz w:val="24"/>
          <w:szCs w:val="24"/>
          <w:lang w:val="en-GB"/>
        </w:rPr>
        <w:t xml:space="preserve">. </w:t>
      </w:r>
    </w:p>
    <w:p w14:paraId="6CC32407" w14:textId="77777777" w:rsidR="00E63892" w:rsidRPr="00E63892" w:rsidRDefault="00E63892" w:rsidP="00E63892">
      <w:pPr>
        <w:tabs>
          <w:tab w:val="left" w:pos="-1440"/>
        </w:tabs>
        <w:spacing w:after="0" w:line="360" w:lineRule="auto"/>
        <w:ind w:right="26"/>
        <w:jc w:val="both"/>
        <w:rPr>
          <w:rFonts w:ascii="Arial" w:eastAsia="Times New Roman" w:hAnsi="Arial" w:cs="Arial"/>
          <w:bCs/>
          <w:sz w:val="24"/>
          <w:szCs w:val="24"/>
          <w:lang w:val="en-GB"/>
        </w:rPr>
      </w:pPr>
    </w:p>
    <w:p w14:paraId="154A1429" w14:textId="02F0518A" w:rsidR="00E63892" w:rsidRPr="00E63892" w:rsidRDefault="00E63892" w:rsidP="00E63892">
      <w:pPr>
        <w:tabs>
          <w:tab w:val="left" w:pos="-1440"/>
        </w:tabs>
        <w:spacing w:after="0" w:line="360" w:lineRule="auto"/>
        <w:ind w:right="26"/>
        <w:jc w:val="both"/>
        <w:rPr>
          <w:rFonts w:ascii="Arial" w:eastAsia="Times New Roman" w:hAnsi="Arial" w:cs="Arial"/>
          <w:bCs/>
          <w:sz w:val="24"/>
          <w:szCs w:val="24"/>
          <w:lang w:val="en-GB"/>
        </w:rPr>
      </w:pPr>
      <w:r w:rsidRPr="00E63892">
        <w:rPr>
          <w:rFonts w:ascii="Arial" w:eastAsia="Times New Roman" w:hAnsi="Arial" w:cs="Arial"/>
          <w:bCs/>
          <w:sz w:val="24"/>
          <w:szCs w:val="24"/>
          <w:lang w:val="en-GB"/>
        </w:rPr>
        <w:t>[1</w:t>
      </w:r>
      <w:r w:rsidR="0066631C">
        <w:rPr>
          <w:rFonts w:ascii="Arial" w:eastAsia="Times New Roman" w:hAnsi="Arial" w:cs="Arial"/>
          <w:bCs/>
          <w:sz w:val="24"/>
          <w:szCs w:val="24"/>
          <w:lang w:val="en-GB"/>
        </w:rPr>
        <w:t>1</w:t>
      </w:r>
      <w:r w:rsidRPr="00E63892">
        <w:rPr>
          <w:rFonts w:ascii="Arial" w:eastAsia="Times New Roman" w:hAnsi="Arial" w:cs="Arial"/>
          <w:bCs/>
          <w:sz w:val="24"/>
          <w:szCs w:val="24"/>
          <w:lang w:val="en-GB"/>
        </w:rPr>
        <w:t>]</w:t>
      </w:r>
      <w:r w:rsidRPr="00E63892">
        <w:rPr>
          <w:rFonts w:ascii="Arial" w:eastAsia="Times New Roman" w:hAnsi="Arial" w:cs="Arial"/>
          <w:bCs/>
          <w:sz w:val="24"/>
          <w:szCs w:val="24"/>
          <w:lang w:val="en-GB"/>
        </w:rPr>
        <w:tab/>
        <w:t xml:space="preserve"> It can be gleaned from the magistrate’s judgment that the deponent to the answering affidavit had admitted that he had concluded an employment contract and a lease agreement with the Trust, and merely </w:t>
      </w:r>
      <w:r w:rsidR="00610FA5">
        <w:rPr>
          <w:rFonts w:ascii="Arial" w:eastAsia="Times New Roman" w:hAnsi="Arial" w:cs="Arial"/>
          <w:bCs/>
          <w:sz w:val="24"/>
          <w:szCs w:val="24"/>
          <w:lang w:val="en-GB"/>
        </w:rPr>
        <w:t xml:space="preserve">indicated </w:t>
      </w:r>
      <w:r w:rsidRPr="00E63892">
        <w:rPr>
          <w:rFonts w:ascii="Arial" w:eastAsia="Times New Roman" w:hAnsi="Arial" w:cs="Arial"/>
          <w:bCs/>
          <w:sz w:val="24"/>
          <w:szCs w:val="24"/>
          <w:lang w:val="en-GB"/>
        </w:rPr>
        <w:t xml:space="preserve">that the contract and lease agreement attached to the application were not the ones he </w:t>
      </w:r>
      <w:r w:rsidRPr="00E63892">
        <w:rPr>
          <w:rFonts w:ascii="Arial" w:eastAsia="Times New Roman" w:hAnsi="Arial" w:cs="Arial"/>
          <w:bCs/>
          <w:sz w:val="24"/>
          <w:szCs w:val="24"/>
          <w:lang w:val="en-GB"/>
        </w:rPr>
        <w:lastRenderedPageBreak/>
        <w:t xml:space="preserve">had signed. The magistrate </w:t>
      </w:r>
      <w:r w:rsidR="00E93057">
        <w:rPr>
          <w:rFonts w:ascii="Arial" w:eastAsia="Times New Roman" w:hAnsi="Arial" w:cs="Arial"/>
          <w:bCs/>
          <w:sz w:val="24"/>
          <w:szCs w:val="24"/>
          <w:lang w:val="en-GB"/>
        </w:rPr>
        <w:t>held</w:t>
      </w:r>
      <w:r w:rsidRPr="00E63892">
        <w:rPr>
          <w:rFonts w:ascii="Arial" w:eastAsia="Times New Roman" w:hAnsi="Arial" w:cs="Arial"/>
          <w:bCs/>
          <w:sz w:val="24"/>
          <w:szCs w:val="24"/>
          <w:lang w:val="en-GB"/>
        </w:rPr>
        <w:t xml:space="preserve"> that the Trust had failed to prove the existence of the employment contract and lease agreement specifying the tenure of their occupation of the Trust’s farm, that there were disputes of fact pertaining to circumstances that had </w:t>
      </w:r>
      <w:r w:rsidRPr="00DB026E">
        <w:rPr>
          <w:rFonts w:ascii="Arial" w:eastAsia="Times New Roman" w:hAnsi="Arial" w:cs="Arial"/>
          <w:bCs/>
          <w:sz w:val="24"/>
          <w:szCs w:val="24"/>
          <w:lang w:val="en-GB"/>
        </w:rPr>
        <w:t xml:space="preserve">resulted in the termination of the occupiers’ employment and relating to complaints raised in respect of how the occupiers conducted themselves on the property. </w:t>
      </w:r>
      <w:r w:rsidR="00ED00F5" w:rsidRPr="00DB026E">
        <w:rPr>
          <w:rFonts w:ascii="Arial" w:eastAsia="Times New Roman" w:hAnsi="Arial" w:cs="Arial"/>
          <w:bCs/>
          <w:sz w:val="24"/>
          <w:szCs w:val="24"/>
          <w:lang w:val="en-GB"/>
        </w:rPr>
        <w:t xml:space="preserve">The magistrate </w:t>
      </w:r>
      <w:r w:rsidRPr="00DB026E">
        <w:rPr>
          <w:rFonts w:ascii="Arial" w:eastAsia="Times New Roman" w:hAnsi="Arial" w:cs="Arial"/>
          <w:bCs/>
          <w:sz w:val="24"/>
          <w:szCs w:val="24"/>
          <w:lang w:val="en-GB"/>
        </w:rPr>
        <w:t xml:space="preserve">concluded that since the Trust had not shown compliance with the provisions of s 8(1)(3) of ESTA, it had failed to show that the occupiers’ right of residence had been lawfully terminated. </w:t>
      </w:r>
      <w:r w:rsidR="007E4152" w:rsidRPr="00DB026E">
        <w:rPr>
          <w:rFonts w:ascii="Arial" w:eastAsia="Times New Roman" w:hAnsi="Arial" w:cs="Arial"/>
          <w:bCs/>
          <w:sz w:val="24"/>
          <w:szCs w:val="24"/>
          <w:lang w:val="en-GB"/>
        </w:rPr>
        <w:t xml:space="preserve">Accordingly, </w:t>
      </w:r>
      <w:r w:rsidR="00ED00F5" w:rsidRPr="00DB026E">
        <w:rPr>
          <w:rFonts w:ascii="Arial" w:eastAsia="Times New Roman" w:hAnsi="Arial" w:cs="Arial"/>
          <w:bCs/>
          <w:sz w:val="24"/>
          <w:szCs w:val="24"/>
          <w:lang w:val="en-GB"/>
        </w:rPr>
        <w:t>t</w:t>
      </w:r>
      <w:r w:rsidR="007E4152" w:rsidRPr="00DB026E">
        <w:rPr>
          <w:rFonts w:ascii="Arial" w:eastAsia="Times New Roman" w:hAnsi="Arial" w:cs="Arial"/>
          <w:bCs/>
          <w:sz w:val="24"/>
          <w:szCs w:val="24"/>
          <w:lang w:val="en-GB"/>
        </w:rPr>
        <w:t xml:space="preserve">he </w:t>
      </w:r>
      <w:r w:rsidR="00ED00F5" w:rsidRPr="00DB026E">
        <w:rPr>
          <w:rFonts w:ascii="Arial" w:eastAsia="Times New Roman" w:hAnsi="Arial" w:cs="Arial"/>
          <w:bCs/>
          <w:sz w:val="24"/>
          <w:szCs w:val="24"/>
          <w:lang w:val="en-GB"/>
        </w:rPr>
        <w:t xml:space="preserve">court </w:t>
      </w:r>
      <w:r w:rsidR="007E4152" w:rsidRPr="00DB026E">
        <w:rPr>
          <w:rFonts w:ascii="Arial" w:eastAsia="Times New Roman" w:hAnsi="Arial" w:cs="Arial"/>
          <w:bCs/>
          <w:sz w:val="24"/>
          <w:szCs w:val="24"/>
          <w:lang w:val="en-GB"/>
        </w:rPr>
        <w:t xml:space="preserve">dismissed the application for eviction on the basis that it was not just and equitable to do so. </w:t>
      </w:r>
      <w:r w:rsidRPr="00DB026E">
        <w:rPr>
          <w:rFonts w:ascii="Arial" w:eastAsia="Times New Roman" w:hAnsi="Arial" w:cs="Arial"/>
          <w:bCs/>
          <w:sz w:val="24"/>
          <w:szCs w:val="24"/>
          <w:lang w:val="en-GB"/>
        </w:rPr>
        <w:t xml:space="preserve">The Trust did not appeal </w:t>
      </w:r>
      <w:r w:rsidR="00ED00F5" w:rsidRPr="00DB026E">
        <w:rPr>
          <w:rFonts w:ascii="Arial" w:eastAsia="Times New Roman" w:hAnsi="Arial" w:cs="Arial"/>
          <w:bCs/>
          <w:sz w:val="24"/>
          <w:szCs w:val="24"/>
          <w:lang w:val="en-GB"/>
        </w:rPr>
        <w:t xml:space="preserve">that </w:t>
      </w:r>
      <w:r w:rsidRPr="00DB026E">
        <w:rPr>
          <w:rFonts w:ascii="Arial" w:eastAsia="Times New Roman" w:hAnsi="Arial" w:cs="Arial"/>
          <w:bCs/>
          <w:sz w:val="24"/>
          <w:szCs w:val="24"/>
          <w:lang w:val="en-GB"/>
        </w:rPr>
        <w:t>order.</w:t>
      </w:r>
    </w:p>
    <w:p w14:paraId="072AA8DA" w14:textId="77777777" w:rsidR="00E63892" w:rsidRPr="00774A33" w:rsidRDefault="00E63892" w:rsidP="00774A33">
      <w:pPr>
        <w:tabs>
          <w:tab w:val="left" w:pos="-1440"/>
        </w:tabs>
        <w:spacing w:after="0" w:line="360" w:lineRule="auto"/>
        <w:ind w:right="26"/>
        <w:jc w:val="both"/>
        <w:rPr>
          <w:rFonts w:ascii="Arial" w:eastAsia="Times New Roman" w:hAnsi="Arial" w:cs="Arial"/>
          <w:bCs/>
          <w:sz w:val="24"/>
          <w:szCs w:val="24"/>
          <w:lang w:val="en-GB"/>
        </w:rPr>
      </w:pPr>
    </w:p>
    <w:p w14:paraId="311FF5B2" w14:textId="56BB4A03" w:rsidR="00774A33" w:rsidRPr="007D23F5" w:rsidRDefault="00774A33" w:rsidP="00774A33">
      <w:pPr>
        <w:tabs>
          <w:tab w:val="left" w:pos="-1440"/>
        </w:tabs>
        <w:spacing w:after="0" w:line="360" w:lineRule="auto"/>
        <w:ind w:right="26"/>
        <w:jc w:val="both"/>
        <w:rPr>
          <w:rFonts w:ascii="Arial" w:eastAsia="Times New Roman" w:hAnsi="Arial" w:cs="Arial"/>
          <w:bCs/>
          <w:strike/>
          <w:sz w:val="24"/>
          <w:szCs w:val="24"/>
          <w:highlight w:val="red"/>
          <w:lang w:val="en-GB"/>
        </w:rPr>
      </w:pPr>
      <w:r w:rsidRPr="00774A33">
        <w:rPr>
          <w:rFonts w:ascii="Arial" w:eastAsia="Times New Roman" w:hAnsi="Arial" w:cs="Arial"/>
          <w:bCs/>
          <w:sz w:val="24"/>
          <w:szCs w:val="24"/>
          <w:lang w:val="en-GB"/>
        </w:rPr>
        <w:t>[</w:t>
      </w:r>
      <w:r w:rsidR="00CA2555">
        <w:rPr>
          <w:rFonts w:ascii="Arial" w:eastAsia="Times New Roman" w:hAnsi="Arial" w:cs="Arial"/>
          <w:bCs/>
          <w:sz w:val="24"/>
          <w:szCs w:val="24"/>
          <w:lang w:val="en-GB"/>
        </w:rPr>
        <w:t>1</w:t>
      </w:r>
      <w:r w:rsidR="0066631C">
        <w:rPr>
          <w:rFonts w:ascii="Arial" w:eastAsia="Times New Roman" w:hAnsi="Arial" w:cs="Arial"/>
          <w:bCs/>
          <w:sz w:val="24"/>
          <w:szCs w:val="24"/>
          <w:lang w:val="en-GB"/>
        </w:rPr>
        <w:t>2</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r>
      <w:r w:rsidRPr="00DB026E">
        <w:rPr>
          <w:rFonts w:ascii="Arial" w:eastAsia="Times New Roman" w:hAnsi="Arial" w:cs="Arial"/>
          <w:bCs/>
          <w:sz w:val="24"/>
          <w:szCs w:val="24"/>
          <w:lang w:val="en-GB"/>
        </w:rPr>
        <w:t xml:space="preserve">In May 2018 notices were delivered to every household informing the occupiers that the Trust was considering terminating their rights of occupation and </w:t>
      </w:r>
      <w:r w:rsidR="00DE7A92" w:rsidRPr="00DB026E">
        <w:rPr>
          <w:rFonts w:ascii="Arial" w:eastAsia="Times New Roman" w:hAnsi="Arial" w:cs="Arial"/>
          <w:bCs/>
          <w:sz w:val="24"/>
          <w:szCs w:val="24"/>
          <w:lang w:val="en-GB"/>
        </w:rPr>
        <w:t xml:space="preserve">simultaneously </w:t>
      </w:r>
      <w:r w:rsidRPr="00DB026E">
        <w:rPr>
          <w:rFonts w:ascii="Arial" w:eastAsia="Times New Roman" w:hAnsi="Arial" w:cs="Arial"/>
          <w:bCs/>
          <w:sz w:val="24"/>
          <w:szCs w:val="24"/>
          <w:lang w:val="en-GB"/>
        </w:rPr>
        <w:t>calling upon them to make representations</w:t>
      </w:r>
      <w:r w:rsidR="00ED00F5" w:rsidRPr="00DB026E">
        <w:rPr>
          <w:rFonts w:ascii="Arial" w:eastAsia="Times New Roman" w:hAnsi="Arial" w:cs="Arial"/>
          <w:bCs/>
          <w:sz w:val="24"/>
          <w:szCs w:val="24"/>
          <w:lang w:val="en-GB"/>
        </w:rPr>
        <w:t xml:space="preserve"> as to why they should not be evicted</w:t>
      </w:r>
      <w:r w:rsidRPr="00DB026E">
        <w:rPr>
          <w:rFonts w:ascii="Arial" w:eastAsia="Times New Roman" w:hAnsi="Arial" w:cs="Arial"/>
          <w:bCs/>
          <w:sz w:val="24"/>
          <w:szCs w:val="24"/>
          <w:lang w:val="en-GB"/>
        </w:rPr>
        <w:t>. None of the occupiers responded.</w:t>
      </w:r>
      <w:r w:rsidR="00B00E8C" w:rsidRPr="00DB026E">
        <w:rPr>
          <w:rFonts w:ascii="Arial" w:eastAsia="Times New Roman" w:hAnsi="Arial" w:cs="Arial"/>
          <w:bCs/>
          <w:sz w:val="24"/>
          <w:szCs w:val="24"/>
          <w:lang w:val="en-GB"/>
        </w:rPr>
        <w:t xml:space="preserve"> </w:t>
      </w:r>
      <w:r w:rsidRPr="00DB026E">
        <w:rPr>
          <w:rFonts w:ascii="Arial" w:eastAsia="Times New Roman" w:hAnsi="Arial" w:cs="Arial"/>
          <w:bCs/>
          <w:sz w:val="24"/>
          <w:szCs w:val="24"/>
          <w:lang w:val="en-GB"/>
        </w:rPr>
        <w:t>In July 2018, notice</w:t>
      </w:r>
      <w:r w:rsidR="00E3708C" w:rsidRPr="00DB026E">
        <w:rPr>
          <w:rFonts w:ascii="Arial" w:eastAsia="Times New Roman" w:hAnsi="Arial" w:cs="Arial"/>
          <w:bCs/>
          <w:sz w:val="24"/>
          <w:szCs w:val="24"/>
          <w:lang w:val="en-GB"/>
        </w:rPr>
        <w:t>s</w:t>
      </w:r>
      <w:r w:rsidRPr="00DB026E">
        <w:rPr>
          <w:rFonts w:ascii="Arial" w:eastAsia="Times New Roman" w:hAnsi="Arial" w:cs="Arial"/>
          <w:bCs/>
          <w:sz w:val="24"/>
          <w:szCs w:val="24"/>
          <w:lang w:val="en-GB"/>
        </w:rPr>
        <w:t xml:space="preserve"> w</w:t>
      </w:r>
      <w:r w:rsidR="00E3708C" w:rsidRPr="00DB026E">
        <w:rPr>
          <w:rFonts w:ascii="Arial" w:eastAsia="Times New Roman" w:hAnsi="Arial" w:cs="Arial"/>
          <w:bCs/>
          <w:sz w:val="24"/>
          <w:szCs w:val="24"/>
          <w:lang w:val="en-GB"/>
        </w:rPr>
        <w:t xml:space="preserve">ere </w:t>
      </w:r>
      <w:r w:rsidRPr="00DB026E">
        <w:rPr>
          <w:rFonts w:ascii="Arial" w:eastAsia="Times New Roman" w:hAnsi="Arial" w:cs="Arial"/>
          <w:bCs/>
          <w:sz w:val="24"/>
          <w:szCs w:val="24"/>
          <w:lang w:val="en-GB"/>
        </w:rPr>
        <w:t xml:space="preserve">delivered to all the occupiers informing them that their rights of occupation had been terminated and affording them thirty days within which to vacate the farm. </w:t>
      </w:r>
      <w:r w:rsidR="00A3169D" w:rsidRPr="00DB026E">
        <w:rPr>
          <w:rFonts w:ascii="Arial" w:eastAsia="Times New Roman" w:hAnsi="Arial" w:cs="Arial"/>
          <w:bCs/>
          <w:sz w:val="24"/>
          <w:szCs w:val="24"/>
          <w:lang w:val="en-GB"/>
        </w:rPr>
        <w:t>According to the Trust</w:t>
      </w:r>
      <w:r w:rsidR="00A3169D">
        <w:rPr>
          <w:rFonts w:ascii="Arial" w:eastAsia="Times New Roman" w:hAnsi="Arial" w:cs="Arial"/>
          <w:bCs/>
          <w:sz w:val="24"/>
          <w:szCs w:val="24"/>
          <w:lang w:val="en-GB"/>
        </w:rPr>
        <w:t>, it was specifically stated in th</w:t>
      </w:r>
      <w:r w:rsidR="00ED00F5">
        <w:rPr>
          <w:rFonts w:ascii="Arial" w:eastAsia="Times New Roman" w:hAnsi="Arial" w:cs="Arial"/>
          <w:bCs/>
          <w:sz w:val="24"/>
          <w:szCs w:val="24"/>
          <w:lang w:val="en-GB"/>
        </w:rPr>
        <w:t>o</w:t>
      </w:r>
      <w:r w:rsidR="00A3169D">
        <w:rPr>
          <w:rFonts w:ascii="Arial" w:eastAsia="Times New Roman" w:hAnsi="Arial" w:cs="Arial"/>
          <w:bCs/>
          <w:sz w:val="24"/>
          <w:szCs w:val="24"/>
          <w:lang w:val="en-GB"/>
        </w:rPr>
        <w:t xml:space="preserve">se notices that </w:t>
      </w:r>
      <w:r w:rsidR="0051538F">
        <w:rPr>
          <w:rFonts w:ascii="Arial" w:eastAsia="Times New Roman" w:hAnsi="Arial" w:cs="Arial"/>
          <w:bCs/>
          <w:sz w:val="24"/>
          <w:szCs w:val="24"/>
          <w:lang w:val="en-GB"/>
        </w:rPr>
        <w:t>the Trust was once again prepared to discuss any reasonable way in which the Trust could assist the respondents, including an offer of assistance in relocating</w:t>
      </w:r>
      <w:r w:rsidR="005F0711">
        <w:rPr>
          <w:rFonts w:ascii="Arial" w:eastAsia="Times New Roman" w:hAnsi="Arial" w:cs="Arial"/>
          <w:bCs/>
          <w:sz w:val="24"/>
          <w:szCs w:val="24"/>
          <w:lang w:val="en-GB"/>
        </w:rPr>
        <w:t xml:space="preserve">. </w:t>
      </w:r>
      <w:r w:rsidRPr="00774A33">
        <w:rPr>
          <w:rFonts w:ascii="Arial" w:eastAsia="Times New Roman" w:hAnsi="Arial" w:cs="Arial"/>
          <w:bCs/>
          <w:sz w:val="24"/>
          <w:szCs w:val="24"/>
          <w:lang w:val="en-GB"/>
        </w:rPr>
        <w:t>None of the occupiers vacated the farm</w:t>
      </w:r>
      <w:r w:rsidR="005F0711">
        <w:rPr>
          <w:rFonts w:ascii="Arial" w:eastAsia="Times New Roman" w:hAnsi="Arial" w:cs="Arial"/>
          <w:bCs/>
          <w:sz w:val="24"/>
          <w:szCs w:val="24"/>
          <w:lang w:val="en-GB"/>
        </w:rPr>
        <w:t xml:space="preserve"> or made any approaches to the Trust or to the Trust’s attorneys. </w:t>
      </w:r>
    </w:p>
    <w:p w14:paraId="322180FC" w14:textId="77777777" w:rsidR="00774A33" w:rsidRPr="007D23F5" w:rsidRDefault="00774A33" w:rsidP="00774A33">
      <w:pPr>
        <w:tabs>
          <w:tab w:val="left" w:pos="-1440"/>
        </w:tabs>
        <w:spacing w:after="0" w:line="360" w:lineRule="auto"/>
        <w:ind w:right="26"/>
        <w:jc w:val="both"/>
        <w:rPr>
          <w:rFonts w:ascii="Arial" w:eastAsia="Times New Roman" w:hAnsi="Arial" w:cs="Arial"/>
          <w:bCs/>
          <w:sz w:val="24"/>
          <w:szCs w:val="24"/>
          <w:highlight w:val="lightGray"/>
          <w:lang w:val="en-GB"/>
        </w:rPr>
      </w:pPr>
    </w:p>
    <w:p w14:paraId="2D29C668" w14:textId="2999DF33" w:rsidR="00774A33" w:rsidRPr="007D23F5"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7D23F5">
        <w:rPr>
          <w:rFonts w:ascii="Arial" w:eastAsia="Times New Roman" w:hAnsi="Arial" w:cs="Arial"/>
          <w:bCs/>
          <w:sz w:val="24"/>
          <w:szCs w:val="24"/>
          <w:lang w:val="en-GB"/>
        </w:rPr>
        <w:t>[1</w:t>
      </w:r>
      <w:r w:rsidR="00B26E39" w:rsidRPr="007D23F5">
        <w:rPr>
          <w:rFonts w:ascii="Arial" w:eastAsia="Times New Roman" w:hAnsi="Arial" w:cs="Arial"/>
          <w:bCs/>
          <w:sz w:val="24"/>
          <w:szCs w:val="24"/>
          <w:lang w:val="en-GB"/>
        </w:rPr>
        <w:t>3</w:t>
      </w:r>
      <w:r w:rsidRPr="007D23F5">
        <w:rPr>
          <w:rFonts w:ascii="Arial" w:eastAsia="Times New Roman" w:hAnsi="Arial" w:cs="Arial"/>
          <w:bCs/>
          <w:sz w:val="24"/>
          <w:szCs w:val="24"/>
          <w:lang w:val="en-GB"/>
        </w:rPr>
        <w:t>]</w:t>
      </w:r>
      <w:r w:rsidRPr="007D23F5">
        <w:rPr>
          <w:rFonts w:ascii="Arial" w:eastAsia="Times New Roman" w:hAnsi="Arial" w:cs="Arial"/>
          <w:bCs/>
          <w:sz w:val="24"/>
          <w:szCs w:val="24"/>
          <w:lang w:val="en-GB"/>
        </w:rPr>
        <w:tab/>
      </w:r>
      <w:r w:rsidR="00C95230" w:rsidRPr="007D23F5">
        <w:rPr>
          <w:rFonts w:ascii="Arial" w:eastAsia="Times New Roman" w:hAnsi="Arial" w:cs="Arial"/>
          <w:bCs/>
          <w:sz w:val="24"/>
          <w:szCs w:val="24"/>
          <w:lang w:val="en-GB"/>
        </w:rPr>
        <w:t>O</w:t>
      </w:r>
      <w:r w:rsidRPr="007D23F5">
        <w:rPr>
          <w:rFonts w:ascii="Arial" w:eastAsia="Times New Roman" w:hAnsi="Arial" w:cs="Arial"/>
          <w:bCs/>
          <w:sz w:val="24"/>
          <w:szCs w:val="24"/>
          <w:lang w:val="en-GB"/>
        </w:rPr>
        <w:t xml:space="preserve">n </w:t>
      </w:r>
      <w:r w:rsidR="00C95230" w:rsidRPr="007D23F5">
        <w:rPr>
          <w:rFonts w:ascii="Arial" w:eastAsia="Times New Roman" w:hAnsi="Arial" w:cs="Arial"/>
          <w:bCs/>
          <w:sz w:val="24"/>
          <w:szCs w:val="24"/>
          <w:lang w:val="en-GB"/>
        </w:rPr>
        <w:t xml:space="preserve">19 June </w:t>
      </w:r>
      <w:r w:rsidRPr="007D23F5">
        <w:rPr>
          <w:rFonts w:ascii="Arial" w:eastAsia="Times New Roman" w:hAnsi="Arial" w:cs="Arial"/>
          <w:bCs/>
          <w:sz w:val="24"/>
          <w:szCs w:val="24"/>
          <w:lang w:val="en-GB"/>
        </w:rPr>
        <w:t xml:space="preserve">2019 the Trust approached the LCC seeking the occupiers’ eviction from its farm. The foundation for the proposed eviction was the unacceptable </w:t>
      </w:r>
      <w:r w:rsidR="00BF5E18" w:rsidRPr="007D23F5">
        <w:rPr>
          <w:rFonts w:ascii="Arial" w:eastAsia="Times New Roman" w:hAnsi="Arial" w:cs="Arial"/>
          <w:bCs/>
          <w:sz w:val="24"/>
          <w:szCs w:val="24"/>
          <w:lang w:val="en-GB"/>
        </w:rPr>
        <w:t>way</w:t>
      </w:r>
      <w:r w:rsidR="0053775D" w:rsidRPr="007D23F5">
        <w:rPr>
          <w:rFonts w:ascii="Arial" w:eastAsia="Times New Roman" w:hAnsi="Arial" w:cs="Arial"/>
          <w:bCs/>
          <w:sz w:val="24"/>
          <w:szCs w:val="24"/>
          <w:lang w:val="en-GB"/>
        </w:rPr>
        <w:t xml:space="preserve"> </w:t>
      </w:r>
      <w:r w:rsidRPr="007D23F5">
        <w:rPr>
          <w:rFonts w:ascii="Arial" w:eastAsia="Times New Roman" w:hAnsi="Arial" w:cs="Arial"/>
          <w:bCs/>
          <w:sz w:val="24"/>
          <w:szCs w:val="24"/>
          <w:lang w:val="en-GB"/>
        </w:rPr>
        <w:t xml:space="preserve">the occupiers had allegedly conducted themselves on the farm, </w:t>
      </w:r>
      <w:r w:rsidR="00C95230" w:rsidRPr="007D23F5">
        <w:rPr>
          <w:rFonts w:ascii="Arial" w:eastAsia="Times New Roman" w:hAnsi="Arial" w:cs="Arial"/>
          <w:bCs/>
          <w:sz w:val="24"/>
          <w:szCs w:val="24"/>
          <w:lang w:val="en-GB"/>
        </w:rPr>
        <w:t>which</w:t>
      </w:r>
      <w:r w:rsidR="003206CD" w:rsidRPr="007D23F5">
        <w:rPr>
          <w:rFonts w:ascii="Arial" w:eastAsia="Times New Roman" w:hAnsi="Arial" w:cs="Arial"/>
          <w:bCs/>
          <w:sz w:val="24"/>
          <w:szCs w:val="24"/>
          <w:lang w:val="en-GB"/>
        </w:rPr>
        <w:t>, on the Trust’s version,</w:t>
      </w:r>
      <w:r w:rsidR="00C95230" w:rsidRPr="007D23F5">
        <w:rPr>
          <w:rFonts w:ascii="Arial" w:eastAsia="Times New Roman" w:hAnsi="Arial" w:cs="Arial"/>
          <w:bCs/>
          <w:sz w:val="24"/>
          <w:szCs w:val="24"/>
          <w:lang w:val="en-GB"/>
        </w:rPr>
        <w:t xml:space="preserve"> </w:t>
      </w:r>
      <w:r w:rsidR="007D40D2" w:rsidRPr="007D23F5">
        <w:rPr>
          <w:rFonts w:ascii="Arial" w:eastAsia="Times New Roman" w:hAnsi="Arial" w:cs="Arial"/>
          <w:bCs/>
          <w:sz w:val="24"/>
          <w:szCs w:val="24"/>
          <w:lang w:val="en-GB"/>
        </w:rPr>
        <w:t xml:space="preserve">led to </w:t>
      </w:r>
      <w:r w:rsidRPr="007D23F5">
        <w:rPr>
          <w:rFonts w:ascii="Arial" w:eastAsia="Times New Roman" w:hAnsi="Arial" w:cs="Arial"/>
          <w:bCs/>
          <w:sz w:val="24"/>
          <w:szCs w:val="24"/>
          <w:lang w:val="en-GB"/>
        </w:rPr>
        <w:t xml:space="preserve">the breakdown of the relationship between the Trust and the occupiers. In the answering affidavit deposed at the LCC, the stance taken by the occupiers </w:t>
      </w:r>
      <w:r w:rsidR="00456683" w:rsidRPr="007D23F5">
        <w:rPr>
          <w:rFonts w:ascii="Arial" w:eastAsia="Times New Roman" w:hAnsi="Arial" w:cs="Arial"/>
          <w:bCs/>
          <w:sz w:val="24"/>
          <w:szCs w:val="24"/>
          <w:lang w:val="en-GB"/>
        </w:rPr>
        <w:t xml:space="preserve">was </w:t>
      </w:r>
      <w:r w:rsidRPr="007D23F5">
        <w:rPr>
          <w:rFonts w:ascii="Arial" w:eastAsia="Times New Roman" w:hAnsi="Arial" w:cs="Arial"/>
          <w:bCs/>
          <w:sz w:val="24"/>
          <w:szCs w:val="24"/>
          <w:lang w:val="en-GB"/>
        </w:rPr>
        <w:t>that the Trust had not proven the existence of written employment contracts and lease agreements</w:t>
      </w:r>
      <w:r w:rsidR="00DF3E09" w:rsidRPr="007D23F5">
        <w:rPr>
          <w:rFonts w:ascii="Arial" w:eastAsia="Times New Roman" w:hAnsi="Arial" w:cs="Arial"/>
          <w:bCs/>
          <w:sz w:val="24"/>
          <w:szCs w:val="24"/>
          <w:lang w:val="en-GB"/>
        </w:rPr>
        <w:t xml:space="preserve"> regulating the occupiers’ </w:t>
      </w:r>
      <w:r w:rsidR="00DF0781" w:rsidRPr="007D23F5">
        <w:rPr>
          <w:rFonts w:ascii="Arial" w:eastAsia="Times New Roman" w:hAnsi="Arial" w:cs="Arial"/>
          <w:bCs/>
          <w:sz w:val="24"/>
          <w:szCs w:val="24"/>
          <w:lang w:val="en-GB"/>
        </w:rPr>
        <w:t xml:space="preserve">habitation of </w:t>
      </w:r>
      <w:r w:rsidR="00DF3E09" w:rsidRPr="007D23F5">
        <w:rPr>
          <w:rFonts w:ascii="Arial" w:eastAsia="Times New Roman" w:hAnsi="Arial" w:cs="Arial"/>
          <w:bCs/>
          <w:sz w:val="24"/>
          <w:szCs w:val="24"/>
          <w:lang w:val="en-GB"/>
        </w:rPr>
        <w:t>the farm</w:t>
      </w:r>
      <w:r w:rsidRPr="007D23F5">
        <w:rPr>
          <w:rFonts w:ascii="Arial" w:eastAsia="Times New Roman" w:hAnsi="Arial" w:cs="Arial"/>
          <w:bCs/>
          <w:sz w:val="24"/>
          <w:szCs w:val="24"/>
          <w:lang w:val="en-GB"/>
        </w:rPr>
        <w:t xml:space="preserve">, as </w:t>
      </w:r>
      <w:r w:rsidR="00932D29" w:rsidRPr="007D23F5">
        <w:rPr>
          <w:rFonts w:ascii="Arial" w:eastAsia="Times New Roman" w:hAnsi="Arial" w:cs="Arial"/>
          <w:bCs/>
          <w:sz w:val="24"/>
          <w:szCs w:val="24"/>
          <w:lang w:val="en-GB"/>
        </w:rPr>
        <w:t xml:space="preserve">the alleged agreements </w:t>
      </w:r>
      <w:r w:rsidRPr="007D23F5">
        <w:rPr>
          <w:rFonts w:ascii="Arial" w:eastAsia="Times New Roman" w:hAnsi="Arial" w:cs="Arial"/>
          <w:bCs/>
          <w:sz w:val="24"/>
          <w:szCs w:val="24"/>
          <w:lang w:val="en-GB"/>
        </w:rPr>
        <w:t>were not annexed to the</w:t>
      </w:r>
      <w:r w:rsidR="00932D29" w:rsidRPr="007D23F5">
        <w:rPr>
          <w:rFonts w:ascii="Arial" w:eastAsia="Times New Roman" w:hAnsi="Arial" w:cs="Arial"/>
          <w:bCs/>
          <w:sz w:val="24"/>
          <w:szCs w:val="24"/>
          <w:lang w:val="en-GB"/>
        </w:rPr>
        <w:t xml:space="preserve"> Trust’s </w:t>
      </w:r>
      <w:r w:rsidRPr="007D23F5">
        <w:rPr>
          <w:rFonts w:ascii="Arial" w:eastAsia="Times New Roman" w:hAnsi="Arial" w:cs="Arial"/>
          <w:bCs/>
          <w:sz w:val="24"/>
          <w:szCs w:val="24"/>
          <w:lang w:val="en-GB"/>
        </w:rPr>
        <w:t xml:space="preserve">application. It was also contended that the Trust had </w:t>
      </w:r>
      <w:r w:rsidR="00932D29" w:rsidRPr="007D23F5">
        <w:rPr>
          <w:rFonts w:ascii="Arial" w:eastAsia="Times New Roman" w:hAnsi="Arial" w:cs="Arial"/>
          <w:bCs/>
          <w:sz w:val="24"/>
          <w:szCs w:val="24"/>
          <w:lang w:val="en-GB"/>
        </w:rPr>
        <w:t>failed to</w:t>
      </w:r>
      <w:r w:rsidRPr="007D23F5">
        <w:rPr>
          <w:rFonts w:ascii="Arial" w:eastAsia="Times New Roman" w:hAnsi="Arial" w:cs="Arial"/>
          <w:bCs/>
          <w:sz w:val="24"/>
          <w:szCs w:val="24"/>
          <w:lang w:val="en-GB"/>
        </w:rPr>
        <w:t xml:space="preserve"> identif</w:t>
      </w:r>
      <w:r w:rsidR="00932D29" w:rsidRPr="007D23F5">
        <w:rPr>
          <w:rFonts w:ascii="Arial" w:eastAsia="Times New Roman" w:hAnsi="Arial" w:cs="Arial"/>
          <w:bCs/>
          <w:sz w:val="24"/>
          <w:szCs w:val="24"/>
          <w:lang w:val="en-GB"/>
        </w:rPr>
        <w:t xml:space="preserve">y </w:t>
      </w:r>
      <w:r w:rsidRPr="007D23F5">
        <w:rPr>
          <w:rFonts w:ascii="Arial" w:eastAsia="Times New Roman" w:hAnsi="Arial" w:cs="Arial"/>
          <w:bCs/>
          <w:sz w:val="24"/>
          <w:szCs w:val="24"/>
          <w:lang w:val="en-GB"/>
        </w:rPr>
        <w:t xml:space="preserve">the individual occupiers who were guilty of the </w:t>
      </w:r>
      <w:r w:rsidR="00932D29" w:rsidRPr="007D23F5">
        <w:rPr>
          <w:rFonts w:ascii="Arial" w:eastAsia="Times New Roman" w:hAnsi="Arial" w:cs="Arial"/>
          <w:bCs/>
          <w:sz w:val="24"/>
          <w:szCs w:val="24"/>
          <w:lang w:val="en-GB"/>
        </w:rPr>
        <w:t xml:space="preserve">alleged </w:t>
      </w:r>
      <w:r w:rsidRPr="007D23F5">
        <w:rPr>
          <w:rFonts w:ascii="Arial" w:eastAsia="Times New Roman" w:hAnsi="Arial" w:cs="Arial"/>
          <w:bCs/>
          <w:sz w:val="24"/>
          <w:szCs w:val="24"/>
          <w:lang w:val="en-GB"/>
        </w:rPr>
        <w:lastRenderedPageBreak/>
        <w:t>misconduct</w:t>
      </w:r>
      <w:r w:rsidR="00932D29" w:rsidRPr="007D23F5">
        <w:rPr>
          <w:rFonts w:ascii="Arial" w:eastAsia="Times New Roman" w:hAnsi="Arial" w:cs="Arial"/>
          <w:bCs/>
          <w:sz w:val="24"/>
          <w:szCs w:val="24"/>
          <w:lang w:val="en-GB"/>
        </w:rPr>
        <w:t xml:space="preserve">. </w:t>
      </w:r>
      <w:r w:rsidR="00DF3E09" w:rsidRPr="007D23F5">
        <w:rPr>
          <w:rFonts w:ascii="Arial" w:eastAsia="Times New Roman" w:hAnsi="Arial" w:cs="Arial"/>
          <w:bCs/>
          <w:sz w:val="24"/>
          <w:szCs w:val="24"/>
          <w:lang w:val="en-GB"/>
        </w:rPr>
        <w:t xml:space="preserve">The occupiers asked for the dismissal of the claim on the basis that the Trust had not made out a proper case. </w:t>
      </w:r>
    </w:p>
    <w:p w14:paraId="36AD55AE" w14:textId="77777777" w:rsidR="00774A33" w:rsidRPr="007D23F5"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32BCBC25" w14:textId="5F87008A" w:rsidR="00774A33" w:rsidRPr="007D23F5"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7D23F5">
        <w:rPr>
          <w:rFonts w:ascii="Arial" w:eastAsia="Times New Roman" w:hAnsi="Arial" w:cs="Arial"/>
          <w:bCs/>
          <w:sz w:val="24"/>
          <w:szCs w:val="24"/>
          <w:lang w:val="en-GB"/>
        </w:rPr>
        <w:t>[1</w:t>
      </w:r>
      <w:r w:rsidR="00B26E39" w:rsidRPr="007D23F5">
        <w:rPr>
          <w:rFonts w:ascii="Arial" w:eastAsia="Times New Roman" w:hAnsi="Arial" w:cs="Arial"/>
          <w:bCs/>
          <w:sz w:val="24"/>
          <w:szCs w:val="24"/>
          <w:lang w:val="en-GB"/>
        </w:rPr>
        <w:t>4</w:t>
      </w:r>
      <w:r w:rsidRPr="007D23F5">
        <w:rPr>
          <w:rFonts w:ascii="Arial" w:eastAsia="Times New Roman" w:hAnsi="Arial" w:cs="Arial"/>
          <w:bCs/>
          <w:sz w:val="24"/>
          <w:szCs w:val="24"/>
          <w:lang w:val="en-GB"/>
        </w:rPr>
        <w:t>]</w:t>
      </w:r>
      <w:r w:rsidRPr="007D23F5">
        <w:rPr>
          <w:rFonts w:ascii="Arial" w:eastAsia="Times New Roman" w:hAnsi="Arial" w:cs="Arial"/>
          <w:bCs/>
          <w:sz w:val="24"/>
          <w:szCs w:val="24"/>
          <w:lang w:val="en-GB"/>
        </w:rPr>
        <w:tab/>
      </w:r>
      <w:r w:rsidR="00A13EBF" w:rsidRPr="007D23F5">
        <w:rPr>
          <w:rFonts w:ascii="Arial" w:eastAsia="Times New Roman" w:hAnsi="Arial" w:cs="Arial"/>
          <w:bCs/>
          <w:sz w:val="24"/>
          <w:szCs w:val="24"/>
          <w:lang w:val="en-GB"/>
        </w:rPr>
        <w:t xml:space="preserve">In a judgment handed down on </w:t>
      </w:r>
      <w:r w:rsidR="00614562" w:rsidRPr="007D23F5">
        <w:rPr>
          <w:rFonts w:ascii="Arial" w:eastAsia="Times New Roman" w:hAnsi="Arial" w:cs="Arial"/>
          <w:bCs/>
          <w:sz w:val="24"/>
          <w:szCs w:val="24"/>
          <w:lang w:val="en-GB"/>
        </w:rPr>
        <w:t>18 February 2021, t</w:t>
      </w:r>
      <w:r w:rsidRPr="007D23F5">
        <w:rPr>
          <w:rFonts w:ascii="Arial" w:eastAsia="Times New Roman" w:hAnsi="Arial" w:cs="Arial"/>
          <w:bCs/>
          <w:sz w:val="24"/>
          <w:szCs w:val="24"/>
          <w:lang w:val="en-GB"/>
        </w:rPr>
        <w:t xml:space="preserve">he LCC </w:t>
      </w:r>
      <w:r w:rsidR="00614562" w:rsidRPr="007D23F5">
        <w:rPr>
          <w:rFonts w:ascii="Arial" w:eastAsia="Times New Roman" w:hAnsi="Arial" w:cs="Arial"/>
          <w:bCs/>
          <w:sz w:val="24"/>
          <w:szCs w:val="24"/>
          <w:lang w:val="en-GB"/>
        </w:rPr>
        <w:t>found</w:t>
      </w:r>
      <w:r w:rsidRPr="007D23F5">
        <w:rPr>
          <w:rFonts w:ascii="Arial" w:eastAsia="Times New Roman" w:hAnsi="Arial" w:cs="Arial"/>
          <w:bCs/>
          <w:sz w:val="24"/>
          <w:szCs w:val="24"/>
          <w:lang w:val="en-GB"/>
        </w:rPr>
        <w:t xml:space="preserve"> that it was wrong to paint all occupiers with the same brush and held that </w:t>
      </w:r>
      <w:r w:rsidR="00614562" w:rsidRPr="007D23F5">
        <w:rPr>
          <w:rFonts w:ascii="Arial" w:eastAsia="Times New Roman" w:hAnsi="Arial" w:cs="Arial"/>
          <w:bCs/>
          <w:sz w:val="24"/>
          <w:szCs w:val="24"/>
          <w:lang w:val="en-GB"/>
        </w:rPr>
        <w:t xml:space="preserve">the Trust’s </w:t>
      </w:r>
      <w:r w:rsidR="008D1D4C" w:rsidRPr="007D23F5">
        <w:rPr>
          <w:rFonts w:ascii="Arial" w:eastAsia="Times New Roman" w:hAnsi="Arial" w:cs="Arial"/>
          <w:bCs/>
          <w:sz w:val="24"/>
          <w:szCs w:val="24"/>
          <w:lang w:val="en-GB"/>
        </w:rPr>
        <w:t xml:space="preserve">house </w:t>
      </w:r>
      <w:r w:rsidRPr="007D23F5">
        <w:rPr>
          <w:rFonts w:ascii="Arial" w:eastAsia="Times New Roman" w:hAnsi="Arial" w:cs="Arial"/>
          <w:bCs/>
          <w:sz w:val="24"/>
          <w:szCs w:val="24"/>
          <w:lang w:val="en-GB"/>
        </w:rPr>
        <w:t xml:space="preserve">rules had been broken by unknown people. As regards the allegation that the occupiers </w:t>
      </w:r>
      <w:r w:rsidR="008D1D4C" w:rsidRPr="007D23F5">
        <w:rPr>
          <w:rFonts w:ascii="Arial" w:eastAsia="Times New Roman" w:hAnsi="Arial" w:cs="Arial"/>
          <w:bCs/>
          <w:sz w:val="24"/>
          <w:szCs w:val="24"/>
          <w:lang w:val="en-GB"/>
        </w:rPr>
        <w:t xml:space="preserve">failed to observe the rules </w:t>
      </w:r>
      <w:r w:rsidR="0091472A" w:rsidRPr="007D23F5">
        <w:rPr>
          <w:rFonts w:ascii="Arial" w:eastAsia="Times New Roman" w:hAnsi="Arial" w:cs="Arial"/>
          <w:bCs/>
          <w:sz w:val="24"/>
          <w:szCs w:val="24"/>
          <w:lang w:val="en-GB"/>
        </w:rPr>
        <w:t>pertaining to reception of visitors and that their visitors were rowdy</w:t>
      </w:r>
      <w:r w:rsidR="00E56084" w:rsidRPr="007D23F5">
        <w:rPr>
          <w:rFonts w:ascii="Arial" w:eastAsia="Times New Roman" w:hAnsi="Arial" w:cs="Arial"/>
          <w:bCs/>
          <w:sz w:val="24"/>
          <w:szCs w:val="24"/>
          <w:lang w:val="en-GB"/>
        </w:rPr>
        <w:t xml:space="preserve">, </w:t>
      </w:r>
      <w:r w:rsidRPr="007D23F5">
        <w:rPr>
          <w:rFonts w:ascii="Arial" w:eastAsia="Times New Roman" w:hAnsi="Arial" w:cs="Arial"/>
          <w:bCs/>
          <w:sz w:val="24"/>
          <w:szCs w:val="24"/>
          <w:lang w:val="en-GB"/>
        </w:rPr>
        <w:t xml:space="preserve">the LCC criticised the fact that it had not been specified who, among the occupiers, had invited visitors to the farm. </w:t>
      </w:r>
      <w:r w:rsidR="00E56084" w:rsidRPr="007D23F5">
        <w:rPr>
          <w:rFonts w:ascii="Arial" w:eastAsia="Times New Roman" w:hAnsi="Arial" w:cs="Arial"/>
          <w:bCs/>
          <w:sz w:val="24"/>
          <w:szCs w:val="24"/>
          <w:lang w:val="en-GB"/>
        </w:rPr>
        <w:t xml:space="preserve">The LCC </w:t>
      </w:r>
      <w:r w:rsidRPr="007D23F5">
        <w:rPr>
          <w:rFonts w:ascii="Arial" w:eastAsia="Times New Roman" w:hAnsi="Arial" w:cs="Arial"/>
          <w:bCs/>
          <w:sz w:val="24"/>
          <w:szCs w:val="24"/>
          <w:lang w:val="en-GB"/>
        </w:rPr>
        <w:t xml:space="preserve">also </w:t>
      </w:r>
      <w:r w:rsidR="00E56084" w:rsidRPr="007D23F5">
        <w:rPr>
          <w:rFonts w:ascii="Arial" w:eastAsia="Times New Roman" w:hAnsi="Arial" w:cs="Arial"/>
          <w:bCs/>
          <w:sz w:val="24"/>
          <w:szCs w:val="24"/>
          <w:lang w:val="en-GB"/>
        </w:rPr>
        <w:t>concluded that ther</w:t>
      </w:r>
      <w:r w:rsidRPr="007D23F5">
        <w:rPr>
          <w:rFonts w:ascii="Arial" w:eastAsia="Times New Roman" w:hAnsi="Arial" w:cs="Arial"/>
          <w:bCs/>
          <w:sz w:val="24"/>
          <w:szCs w:val="24"/>
          <w:lang w:val="en-GB"/>
        </w:rPr>
        <w:t xml:space="preserve">e was no proof that the dogs </w:t>
      </w:r>
      <w:r w:rsidR="00A4500D" w:rsidRPr="007D23F5">
        <w:rPr>
          <w:rFonts w:ascii="Arial" w:eastAsia="Times New Roman" w:hAnsi="Arial" w:cs="Arial"/>
          <w:bCs/>
          <w:sz w:val="24"/>
          <w:szCs w:val="24"/>
          <w:lang w:val="en-GB"/>
        </w:rPr>
        <w:t>that</w:t>
      </w:r>
      <w:r w:rsidRPr="007D23F5">
        <w:rPr>
          <w:rFonts w:ascii="Arial" w:eastAsia="Times New Roman" w:hAnsi="Arial" w:cs="Arial"/>
          <w:bCs/>
          <w:sz w:val="24"/>
          <w:szCs w:val="24"/>
          <w:lang w:val="en-GB"/>
        </w:rPr>
        <w:t xml:space="preserve"> were allegedly roaming on the farm </w:t>
      </w:r>
      <w:r w:rsidR="00E56084" w:rsidRPr="007D23F5">
        <w:rPr>
          <w:rFonts w:ascii="Arial" w:eastAsia="Times New Roman" w:hAnsi="Arial" w:cs="Arial"/>
          <w:bCs/>
          <w:sz w:val="24"/>
          <w:szCs w:val="24"/>
          <w:lang w:val="en-GB"/>
        </w:rPr>
        <w:t xml:space="preserve">and damaging the vineyards </w:t>
      </w:r>
      <w:r w:rsidRPr="007D23F5">
        <w:rPr>
          <w:rFonts w:ascii="Arial" w:eastAsia="Times New Roman" w:hAnsi="Arial" w:cs="Arial"/>
          <w:bCs/>
          <w:sz w:val="24"/>
          <w:szCs w:val="24"/>
          <w:lang w:val="en-GB"/>
        </w:rPr>
        <w:t>belonged to the occupiers. It said:</w:t>
      </w:r>
    </w:p>
    <w:p w14:paraId="7250A401" w14:textId="77777777" w:rsidR="008C3780" w:rsidRDefault="00774A33" w:rsidP="00774A33">
      <w:pPr>
        <w:tabs>
          <w:tab w:val="left" w:pos="-1440"/>
        </w:tabs>
        <w:spacing w:after="0" w:line="360" w:lineRule="auto"/>
        <w:ind w:right="26"/>
        <w:jc w:val="both"/>
        <w:rPr>
          <w:rFonts w:ascii="Arial" w:eastAsia="Times New Roman" w:hAnsi="Arial" w:cs="Arial"/>
          <w:bCs/>
          <w:lang w:val="en-GB"/>
        </w:rPr>
      </w:pPr>
      <w:r w:rsidRPr="007D23F5">
        <w:rPr>
          <w:rFonts w:ascii="Arial" w:eastAsia="Times New Roman" w:hAnsi="Arial" w:cs="Arial"/>
          <w:bCs/>
          <w:lang w:val="en-GB"/>
        </w:rPr>
        <w:t>‘[T]he Land Claims Court is a court of justice and equity. It can never be just and equitable to order a mass eviction of families, parents and children from</w:t>
      </w:r>
      <w:r w:rsidRPr="00774A33">
        <w:rPr>
          <w:rFonts w:ascii="Arial" w:eastAsia="Times New Roman" w:hAnsi="Arial" w:cs="Arial"/>
          <w:bCs/>
          <w:lang w:val="en-GB"/>
        </w:rPr>
        <w:t xml:space="preserve"> the farm based on a blanket, unfounded and unsubstantiated allegations of breach of a relationship between the occupiers and the Trust. It must be clear who did what. </w:t>
      </w:r>
    </w:p>
    <w:p w14:paraId="0D8A994F" w14:textId="1B659B72" w:rsidR="00774A33" w:rsidRPr="00774A33" w:rsidRDefault="008C3780" w:rsidP="00774A33">
      <w:pPr>
        <w:tabs>
          <w:tab w:val="left" w:pos="-1440"/>
        </w:tabs>
        <w:spacing w:after="0" w:line="360" w:lineRule="auto"/>
        <w:ind w:right="26"/>
        <w:jc w:val="both"/>
        <w:rPr>
          <w:rFonts w:ascii="Arial" w:eastAsia="Times New Roman" w:hAnsi="Arial" w:cs="Arial"/>
          <w:bCs/>
          <w:lang w:val="en-GB"/>
        </w:rPr>
      </w:pPr>
      <w:r>
        <w:rPr>
          <w:rFonts w:ascii="Arial" w:eastAsia="Times New Roman" w:hAnsi="Arial" w:cs="Arial"/>
          <w:bCs/>
          <w:lang w:val="en-GB"/>
        </w:rPr>
        <w:t>[</w:t>
      </w:r>
      <w:r w:rsidR="00774A33" w:rsidRPr="00774A33">
        <w:rPr>
          <w:rFonts w:ascii="Arial" w:eastAsia="Times New Roman" w:hAnsi="Arial" w:cs="Arial"/>
          <w:bCs/>
          <w:lang w:val="en-GB"/>
        </w:rPr>
        <w:t>T</w:t>
      </w:r>
      <w:r>
        <w:rPr>
          <w:rFonts w:ascii="Arial" w:eastAsia="Times New Roman" w:hAnsi="Arial" w:cs="Arial"/>
          <w:bCs/>
          <w:lang w:val="en-GB"/>
        </w:rPr>
        <w:t>]</w:t>
      </w:r>
      <w:r w:rsidR="00774A33" w:rsidRPr="00774A33">
        <w:rPr>
          <w:rFonts w:ascii="Arial" w:eastAsia="Times New Roman" w:hAnsi="Arial" w:cs="Arial"/>
          <w:bCs/>
          <w:lang w:val="en-GB"/>
        </w:rPr>
        <w:t>he Trust must be in a position to say which of the 26 respondents is guilty of the atrocities relied upon for the eviction to succeed.’</w:t>
      </w:r>
    </w:p>
    <w:p w14:paraId="19281237" w14:textId="77777777"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1327D3BB" w14:textId="67302E8E" w:rsidR="001A74A4"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[1</w:t>
      </w:r>
      <w:r w:rsidR="00B26E39">
        <w:rPr>
          <w:rFonts w:ascii="Arial" w:eastAsia="Times New Roman" w:hAnsi="Arial" w:cs="Arial"/>
          <w:bCs/>
          <w:sz w:val="24"/>
          <w:szCs w:val="24"/>
          <w:lang w:val="en-GB"/>
        </w:rPr>
        <w:t>5</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r>
      <w:r w:rsidR="002307F9">
        <w:rPr>
          <w:rFonts w:ascii="Arial" w:eastAsia="Times New Roman" w:hAnsi="Arial" w:cs="Arial"/>
          <w:bCs/>
          <w:sz w:val="24"/>
          <w:szCs w:val="24"/>
          <w:lang w:val="en-GB"/>
        </w:rPr>
        <w:t xml:space="preserve">On 11 March 2021, the </w:t>
      </w:r>
      <w:r w:rsidR="008E1A2F">
        <w:rPr>
          <w:rFonts w:ascii="Arial" w:eastAsia="Times New Roman" w:hAnsi="Arial" w:cs="Arial"/>
          <w:bCs/>
          <w:sz w:val="24"/>
          <w:szCs w:val="24"/>
          <w:lang w:val="en-GB"/>
        </w:rPr>
        <w:t xml:space="preserve">Trust </w:t>
      </w:r>
      <w:r w:rsidRPr="00774A33">
        <w:rPr>
          <w:rFonts w:ascii="Arial" w:eastAsia="Times New Roman" w:hAnsi="Arial" w:cs="Arial"/>
          <w:bCs/>
          <w:sz w:val="24"/>
          <w:szCs w:val="24"/>
          <w:lang w:val="en-GB"/>
        </w:rPr>
        <w:t>applied for</w:t>
      </w:r>
      <w:r w:rsidR="002307F9">
        <w:rPr>
          <w:rFonts w:ascii="Arial" w:eastAsia="Times New Roman" w:hAnsi="Arial" w:cs="Arial"/>
          <w:bCs/>
          <w:sz w:val="24"/>
          <w:szCs w:val="24"/>
          <w:lang w:val="en-GB"/>
        </w:rPr>
        <w:t xml:space="preserve"> leave to </w:t>
      </w:r>
      <w:r w:rsidR="008E1A2F">
        <w:rPr>
          <w:rFonts w:ascii="Arial" w:eastAsia="Times New Roman" w:hAnsi="Arial" w:cs="Arial"/>
          <w:bCs/>
          <w:sz w:val="24"/>
          <w:szCs w:val="24"/>
          <w:lang w:val="en-GB"/>
        </w:rPr>
        <w:t xml:space="preserve">appeal the LCC’s judgment. On 7 </w:t>
      </w:r>
      <w:r w:rsidR="008E1A2F" w:rsidRPr="00DB026E">
        <w:rPr>
          <w:rFonts w:ascii="Arial" w:eastAsia="Times New Roman" w:hAnsi="Arial" w:cs="Arial"/>
          <w:bCs/>
          <w:sz w:val="24"/>
          <w:szCs w:val="24"/>
          <w:lang w:val="en-GB"/>
        </w:rPr>
        <w:t xml:space="preserve">July 2021 the LCC granted it </w:t>
      </w:r>
      <w:r w:rsidRPr="00DB026E">
        <w:rPr>
          <w:rFonts w:ascii="Arial" w:eastAsia="Times New Roman" w:hAnsi="Arial" w:cs="Arial"/>
          <w:bCs/>
          <w:sz w:val="24"/>
          <w:szCs w:val="24"/>
          <w:lang w:val="en-GB"/>
        </w:rPr>
        <w:t xml:space="preserve">leave to appeal to this Court. </w:t>
      </w:r>
      <w:r w:rsidR="008E1A2F" w:rsidRPr="00DB026E">
        <w:rPr>
          <w:rFonts w:ascii="Arial" w:eastAsia="Times New Roman" w:hAnsi="Arial" w:cs="Arial"/>
          <w:bCs/>
          <w:sz w:val="24"/>
          <w:szCs w:val="24"/>
          <w:lang w:val="en-GB"/>
        </w:rPr>
        <w:t xml:space="preserve">On 2 </w:t>
      </w:r>
      <w:r w:rsidR="002A18F3" w:rsidRPr="00DB026E">
        <w:rPr>
          <w:rFonts w:ascii="Arial" w:eastAsia="Times New Roman" w:hAnsi="Arial" w:cs="Arial"/>
          <w:bCs/>
          <w:sz w:val="24"/>
          <w:szCs w:val="24"/>
          <w:lang w:val="en-GB"/>
        </w:rPr>
        <w:t>September 2021, the occupiers applied for leave to appeal the LCC’s order dismissing their defence of res judicata</w:t>
      </w:r>
      <w:r w:rsidR="00F17F47" w:rsidRPr="00DB026E">
        <w:rPr>
          <w:rFonts w:ascii="Arial" w:eastAsia="Times New Roman" w:hAnsi="Arial" w:cs="Arial"/>
          <w:bCs/>
          <w:sz w:val="24"/>
          <w:szCs w:val="24"/>
          <w:lang w:val="en-GB"/>
        </w:rPr>
        <w:t>, which had been raised as a preliminary point</w:t>
      </w:r>
      <w:r w:rsidR="002A18F3" w:rsidRPr="00DB026E">
        <w:rPr>
          <w:rFonts w:ascii="Arial" w:eastAsia="Times New Roman" w:hAnsi="Arial" w:cs="Arial"/>
          <w:bCs/>
          <w:sz w:val="24"/>
          <w:szCs w:val="24"/>
          <w:lang w:val="en-GB"/>
        </w:rPr>
        <w:t xml:space="preserve">. </w:t>
      </w:r>
      <w:r w:rsidR="00E94950" w:rsidRPr="00DB026E">
        <w:rPr>
          <w:rFonts w:ascii="Arial" w:eastAsia="Times New Roman" w:hAnsi="Arial" w:cs="Arial"/>
          <w:bCs/>
          <w:sz w:val="24"/>
          <w:szCs w:val="24"/>
          <w:lang w:val="en-GB"/>
        </w:rPr>
        <w:t xml:space="preserve">On 11 November 2021, </w:t>
      </w:r>
      <w:r w:rsidR="008A322B" w:rsidRPr="00DB026E">
        <w:rPr>
          <w:rFonts w:ascii="Arial" w:eastAsia="Times New Roman" w:hAnsi="Arial" w:cs="Arial"/>
          <w:bCs/>
          <w:sz w:val="24"/>
          <w:szCs w:val="24"/>
          <w:lang w:val="en-GB"/>
        </w:rPr>
        <w:t xml:space="preserve">the LCC granted them </w:t>
      </w:r>
      <w:r w:rsidR="00E94950" w:rsidRPr="00DB026E">
        <w:rPr>
          <w:rFonts w:ascii="Arial" w:eastAsia="Times New Roman" w:hAnsi="Arial" w:cs="Arial"/>
          <w:bCs/>
          <w:sz w:val="24"/>
          <w:szCs w:val="24"/>
          <w:lang w:val="en-GB"/>
        </w:rPr>
        <w:t xml:space="preserve">leave to cross-appeal </w:t>
      </w:r>
      <w:r w:rsidR="00BD3E29" w:rsidRPr="00DB026E">
        <w:rPr>
          <w:rFonts w:ascii="Arial" w:eastAsia="Times New Roman" w:hAnsi="Arial" w:cs="Arial"/>
          <w:bCs/>
          <w:sz w:val="24"/>
          <w:szCs w:val="24"/>
          <w:lang w:val="en-GB"/>
        </w:rPr>
        <w:t>to this Court</w:t>
      </w:r>
      <w:r w:rsidR="008A322B" w:rsidRPr="00DB026E">
        <w:rPr>
          <w:rFonts w:ascii="Arial" w:eastAsia="Times New Roman" w:hAnsi="Arial" w:cs="Arial"/>
          <w:bCs/>
          <w:sz w:val="24"/>
          <w:szCs w:val="24"/>
          <w:lang w:val="en-GB"/>
        </w:rPr>
        <w:t xml:space="preserve">. </w:t>
      </w:r>
      <w:r w:rsidR="002B6E69" w:rsidRPr="00DB026E">
        <w:rPr>
          <w:rFonts w:ascii="Arial" w:eastAsia="Times New Roman" w:hAnsi="Arial" w:cs="Arial"/>
          <w:bCs/>
          <w:sz w:val="24"/>
          <w:szCs w:val="24"/>
          <w:lang w:val="en-GB"/>
        </w:rPr>
        <w:t xml:space="preserve">The </w:t>
      </w:r>
      <w:r w:rsidR="009266FC" w:rsidRPr="00DB026E">
        <w:rPr>
          <w:rFonts w:ascii="Arial" w:eastAsia="Times New Roman" w:hAnsi="Arial" w:cs="Arial"/>
          <w:bCs/>
          <w:sz w:val="24"/>
          <w:szCs w:val="24"/>
          <w:lang w:val="en-GB"/>
        </w:rPr>
        <w:t xml:space="preserve">filing </w:t>
      </w:r>
      <w:r w:rsidR="008A322B" w:rsidRPr="00DB026E">
        <w:rPr>
          <w:rFonts w:ascii="Arial" w:eastAsia="Times New Roman" w:hAnsi="Arial" w:cs="Arial"/>
          <w:bCs/>
          <w:sz w:val="24"/>
          <w:szCs w:val="24"/>
          <w:lang w:val="en-GB"/>
        </w:rPr>
        <w:t xml:space="preserve">of the </w:t>
      </w:r>
      <w:r w:rsidR="00EA2D1A" w:rsidRPr="00DB026E">
        <w:rPr>
          <w:rFonts w:ascii="Arial" w:eastAsia="Times New Roman" w:hAnsi="Arial" w:cs="Arial"/>
          <w:bCs/>
          <w:sz w:val="24"/>
          <w:szCs w:val="24"/>
          <w:lang w:val="en-GB"/>
        </w:rPr>
        <w:t>n</w:t>
      </w:r>
      <w:r w:rsidR="002B6E69" w:rsidRPr="00DB026E">
        <w:rPr>
          <w:rFonts w:ascii="Arial" w:eastAsia="Times New Roman" w:hAnsi="Arial" w:cs="Arial"/>
          <w:bCs/>
          <w:sz w:val="24"/>
          <w:szCs w:val="24"/>
          <w:lang w:val="en-GB"/>
        </w:rPr>
        <w:t xml:space="preserve">otice </w:t>
      </w:r>
      <w:r w:rsidR="009A56FC" w:rsidRPr="00DB026E">
        <w:rPr>
          <w:rFonts w:ascii="Arial" w:eastAsia="Times New Roman" w:hAnsi="Arial" w:cs="Arial"/>
          <w:bCs/>
          <w:sz w:val="24"/>
          <w:szCs w:val="24"/>
          <w:lang w:val="en-GB"/>
        </w:rPr>
        <w:t xml:space="preserve">to </w:t>
      </w:r>
      <w:r w:rsidR="00EA2D1A" w:rsidRPr="00DB026E">
        <w:rPr>
          <w:rFonts w:ascii="Arial" w:eastAsia="Times New Roman" w:hAnsi="Arial" w:cs="Arial"/>
          <w:bCs/>
          <w:sz w:val="24"/>
          <w:szCs w:val="24"/>
          <w:lang w:val="en-GB"/>
        </w:rPr>
        <w:t>c</w:t>
      </w:r>
      <w:r w:rsidR="009A56FC" w:rsidRPr="00DB026E">
        <w:rPr>
          <w:rFonts w:ascii="Arial" w:eastAsia="Times New Roman" w:hAnsi="Arial" w:cs="Arial"/>
          <w:bCs/>
          <w:sz w:val="24"/>
          <w:szCs w:val="24"/>
          <w:lang w:val="en-GB"/>
        </w:rPr>
        <w:t>ross-</w:t>
      </w:r>
      <w:r w:rsidR="00EA2D1A" w:rsidRPr="00DB026E">
        <w:rPr>
          <w:rFonts w:ascii="Arial" w:eastAsia="Times New Roman" w:hAnsi="Arial" w:cs="Arial"/>
          <w:bCs/>
          <w:sz w:val="24"/>
          <w:szCs w:val="24"/>
          <w:lang w:val="en-GB"/>
        </w:rPr>
        <w:t>a</w:t>
      </w:r>
      <w:r w:rsidR="009A56FC" w:rsidRPr="00DB026E">
        <w:rPr>
          <w:rFonts w:ascii="Arial" w:eastAsia="Times New Roman" w:hAnsi="Arial" w:cs="Arial"/>
          <w:bCs/>
          <w:sz w:val="24"/>
          <w:szCs w:val="24"/>
          <w:lang w:val="en-GB"/>
        </w:rPr>
        <w:t xml:space="preserve">ppeal </w:t>
      </w:r>
      <w:r w:rsidR="002B6E69" w:rsidRPr="00DB026E">
        <w:rPr>
          <w:rFonts w:ascii="Arial" w:eastAsia="Times New Roman" w:hAnsi="Arial" w:cs="Arial"/>
          <w:bCs/>
          <w:sz w:val="24"/>
          <w:szCs w:val="24"/>
          <w:lang w:val="en-GB"/>
        </w:rPr>
        <w:t xml:space="preserve">was </w:t>
      </w:r>
      <w:r w:rsidR="008A322B" w:rsidRPr="00DB026E">
        <w:rPr>
          <w:rFonts w:ascii="Arial" w:eastAsia="Times New Roman" w:hAnsi="Arial" w:cs="Arial"/>
          <w:bCs/>
          <w:sz w:val="24"/>
          <w:szCs w:val="24"/>
          <w:lang w:val="en-GB"/>
        </w:rPr>
        <w:t xml:space="preserve">not in accordance with the rules of this Court, as it was delivered more than a month after the </w:t>
      </w:r>
      <w:r w:rsidR="00BF76DE" w:rsidRPr="00DB026E">
        <w:rPr>
          <w:rFonts w:ascii="Arial" w:eastAsia="Times New Roman" w:hAnsi="Arial" w:cs="Arial"/>
          <w:bCs/>
          <w:sz w:val="24"/>
          <w:szCs w:val="24"/>
          <w:lang w:val="en-GB"/>
        </w:rPr>
        <w:t xml:space="preserve">filing of the Trust’s Notice of Appeal. </w:t>
      </w:r>
      <w:r w:rsidR="009266FC" w:rsidRPr="00DB026E">
        <w:rPr>
          <w:rFonts w:ascii="Arial" w:eastAsia="Times New Roman" w:hAnsi="Arial" w:cs="Arial"/>
          <w:bCs/>
          <w:sz w:val="24"/>
          <w:szCs w:val="24"/>
          <w:lang w:val="en-GB"/>
        </w:rPr>
        <w:t>A</w:t>
      </w:r>
      <w:r w:rsidR="001A74A4" w:rsidRPr="00DB026E">
        <w:rPr>
          <w:rFonts w:ascii="Arial" w:eastAsia="Times New Roman" w:hAnsi="Arial" w:cs="Arial"/>
          <w:bCs/>
          <w:sz w:val="24"/>
          <w:szCs w:val="24"/>
          <w:lang w:val="en-GB"/>
        </w:rPr>
        <w:t>ccordingly, a</w:t>
      </w:r>
      <w:r w:rsidR="009266FC" w:rsidRPr="00DB026E">
        <w:rPr>
          <w:rFonts w:ascii="Arial" w:eastAsia="Times New Roman" w:hAnsi="Arial" w:cs="Arial"/>
          <w:bCs/>
          <w:sz w:val="24"/>
          <w:szCs w:val="24"/>
          <w:lang w:val="en-GB"/>
        </w:rPr>
        <w:t>n application</w:t>
      </w:r>
      <w:r w:rsidR="009266FC">
        <w:rPr>
          <w:rFonts w:ascii="Arial" w:eastAsia="Times New Roman" w:hAnsi="Arial" w:cs="Arial"/>
          <w:bCs/>
          <w:sz w:val="24"/>
          <w:szCs w:val="24"/>
          <w:lang w:val="en-GB"/>
        </w:rPr>
        <w:t xml:space="preserve"> for the condonation of the lat</w:t>
      </w:r>
      <w:r w:rsidR="00463FAF">
        <w:rPr>
          <w:rFonts w:ascii="Arial" w:eastAsia="Times New Roman" w:hAnsi="Arial" w:cs="Arial"/>
          <w:bCs/>
          <w:sz w:val="24"/>
          <w:szCs w:val="24"/>
          <w:lang w:val="en-GB"/>
        </w:rPr>
        <w:t>e</w:t>
      </w:r>
      <w:r w:rsidR="009266FC">
        <w:rPr>
          <w:rFonts w:ascii="Arial" w:eastAsia="Times New Roman" w:hAnsi="Arial" w:cs="Arial"/>
          <w:bCs/>
          <w:sz w:val="24"/>
          <w:szCs w:val="24"/>
          <w:lang w:val="en-GB"/>
        </w:rPr>
        <w:t xml:space="preserve"> noting of the cross-appeal was filed on behalf of the occupiers.</w:t>
      </w:r>
    </w:p>
    <w:p w14:paraId="5773603C" w14:textId="77777777" w:rsidR="00B26E39" w:rsidRDefault="00B26E39" w:rsidP="00774A33">
      <w:pPr>
        <w:tabs>
          <w:tab w:val="left" w:pos="-1440"/>
        </w:tabs>
        <w:spacing w:after="0" w:line="360" w:lineRule="auto"/>
        <w:ind w:right="26"/>
        <w:jc w:val="both"/>
        <w:rPr>
          <w:rFonts w:ascii="Arial" w:eastAsia="Times New Roman" w:hAnsi="Arial" w:cs="Arial"/>
          <w:bCs/>
          <w:sz w:val="24"/>
          <w:szCs w:val="24"/>
          <w:lang w:val="en-GB"/>
        </w:rPr>
      </w:pPr>
    </w:p>
    <w:p w14:paraId="314F8965" w14:textId="10D6DFDA" w:rsidR="00774A33" w:rsidRPr="004B6AF5" w:rsidRDefault="001A74A4" w:rsidP="00774A33">
      <w:pPr>
        <w:tabs>
          <w:tab w:val="left" w:pos="-1440"/>
        </w:tabs>
        <w:spacing w:after="0" w:line="360" w:lineRule="auto"/>
        <w:ind w:right="26"/>
        <w:jc w:val="both"/>
        <w:rPr>
          <w:rFonts w:ascii="Arial" w:eastAsia="Times New Roman" w:hAnsi="Arial" w:cs="Arial"/>
          <w:bCs/>
          <w:sz w:val="24"/>
          <w:szCs w:val="24"/>
          <w:lang w:val="en-GB"/>
        </w:rPr>
      </w:pPr>
      <w:r>
        <w:rPr>
          <w:rFonts w:ascii="Arial" w:eastAsia="Times New Roman" w:hAnsi="Arial" w:cs="Arial"/>
          <w:bCs/>
          <w:sz w:val="24"/>
          <w:szCs w:val="24"/>
          <w:lang w:val="en-GB"/>
        </w:rPr>
        <w:t>[</w:t>
      </w:r>
      <w:r w:rsidR="00B26E39">
        <w:rPr>
          <w:rFonts w:ascii="Arial" w:eastAsia="Times New Roman" w:hAnsi="Arial" w:cs="Arial"/>
          <w:bCs/>
          <w:sz w:val="24"/>
          <w:szCs w:val="24"/>
          <w:lang w:val="en-GB"/>
        </w:rPr>
        <w:t>16</w:t>
      </w:r>
      <w:r>
        <w:rPr>
          <w:rFonts w:ascii="Arial" w:eastAsia="Times New Roman" w:hAnsi="Arial" w:cs="Arial"/>
          <w:bCs/>
          <w:sz w:val="24"/>
          <w:szCs w:val="24"/>
          <w:lang w:val="en-GB"/>
        </w:rPr>
        <w:t>]</w:t>
      </w:r>
      <w:r>
        <w:rPr>
          <w:rFonts w:ascii="Arial" w:eastAsia="Times New Roman" w:hAnsi="Arial" w:cs="Arial"/>
          <w:bCs/>
          <w:sz w:val="24"/>
          <w:szCs w:val="24"/>
          <w:lang w:val="en-GB"/>
        </w:rPr>
        <w:tab/>
      </w:r>
      <w:r w:rsidR="0038443A" w:rsidRPr="00DB026E">
        <w:rPr>
          <w:rFonts w:ascii="Arial" w:eastAsia="Times New Roman" w:hAnsi="Arial" w:cs="Arial"/>
          <w:bCs/>
          <w:sz w:val="24"/>
          <w:szCs w:val="24"/>
          <w:lang w:val="en-GB"/>
        </w:rPr>
        <w:t xml:space="preserve">It </w:t>
      </w:r>
      <w:r w:rsidR="00680442" w:rsidRPr="00DB026E">
        <w:rPr>
          <w:rFonts w:ascii="Arial" w:eastAsia="Times New Roman" w:hAnsi="Arial" w:cs="Arial"/>
          <w:bCs/>
          <w:sz w:val="24"/>
          <w:szCs w:val="24"/>
          <w:lang w:val="en-GB"/>
        </w:rPr>
        <w:t xml:space="preserve">is evident from the affidavit </w:t>
      </w:r>
      <w:r w:rsidR="00347D4E" w:rsidRPr="00DB026E">
        <w:rPr>
          <w:rFonts w:ascii="Arial" w:eastAsia="Times New Roman" w:hAnsi="Arial" w:cs="Arial"/>
          <w:bCs/>
          <w:sz w:val="24"/>
          <w:szCs w:val="24"/>
          <w:lang w:val="en-GB"/>
        </w:rPr>
        <w:t xml:space="preserve">filed in support of that application </w:t>
      </w:r>
      <w:r w:rsidR="00680442" w:rsidRPr="00DB026E">
        <w:rPr>
          <w:rFonts w:ascii="Arial" w:eastAsia="Times New Roman" w:hAnsi="Arial" w:cs="Arial"/>
          <w:bCs/>
          <w:sz w:val="24"/>
          <w:szCs w:val="24"/>
          <w:lang w:val="en-GB"/>
        </w:rPr>
        <w:t xml:space="preserve">that </w:t>
      </w:r>
      <w:r w:rsidR="006432ED" w:rsidRPr="00DB026E">
        <w:rPr>
          <w:rFonts w:ascii="Arial" w:eastAsia="Times New Roman" w:hAnsi="Arial" w:cs="Arial"/>
          <w:bCs/>
          <w:sz w:val="24"/>
          <w:szCs w:val="24"/>
          <w:lang w:val="en-GB"/>
        </w:rPr>
        <w:t xml:space="preserve">the root cause of the delay in </w:t>
      </w:r>
      <w:r w:rsidR="00243354" w:rsidRPr="00DB026E">
        <w:rPr>
          <w:rFonts w:ascii="Arial" w:eastAsia="Times New Roman" w:hAnsi="Arial" w:cs="Arial"/>
          <w:bCs/>
          <w:sz w:val="24"/>
          <w:szCs w:val="24"/>
          <w:lang w:val="en-GB"/>
        </w:rPr>
        <w:t xml:space="preserve">filing the cross-appeal was </w:t>
      </w:r>
      <w:r w:rsidR="00347D4E" w:rsidRPr="00DB026E">
        <w:rPr>
          <w:rFonts w:ascii="Arial" w:eastAsia="Times New Roman" w:hAnsi="Arial" w:cs="Arial"/>
          <w:bCs/>
          <w:sz w:val="24"/>
          <w:szCs w:val="24"/>
          <w:lang w:val="en-GB"/>
        </w:rPr>
        <w:t xml:space="preserve">the fact </w:t>
      </w:r>
      <w:r w:rsidR="00243354" w:rsidRPr="00DB026E">
        <w:rPr>
          <w:rFonts w:ascii="Arial" w:eastAsia="Times New Roman" w:hAnsi="Arial" w:cs="Arial"/>
          <w:bCs/>
          <w:sz w:val="24"/>
          <w:szCs w:val="24"/>
          <w:lang w:val="en-GB"/>
        </w:rPr>
        <w:t xml:space="preserve">that the </w:t>
      </w:r>
      <w:r w:rsidR="00E9450F" w:rsidRPr="00DB026E">
        <w:rPr>
          <w:rFonts w:ascii="Arial" w:eastAsia="Times New Roman" w:hAnsi="Arial" w:cs="Arial"/>
          <w:bCs/>
          <w:sz w:val="24"/>
          <w:szCs w:val="24"/>
          <w:lang w:val="en-GB"/>
        </w:rPr>
        <w:t xml:space="preserve">application for </w:t>
      </w:r>
      <w:r w:rsidR="00680442" w:rsidRPr="00DB026E">
        <w:rPr>
          <w:rFonts w:ascii="Arial" w:eastAsia="Times New Roman" w:hAnsi="Arial" w:cs="Arial"/>
          <w:bCs/>
          <w:sz w:val="24"/>
          <w:szCs w:val="24"/>
          <w:lang w:val="en-GB"/>
        </w:rPr>
        <w:t xml:space="preserve">leave to </w:t>
      </w:r>
      <w:r w:rsidR="00243354" w:rsidRPr="00DB026E">
        <w:rPr>
          <w:rFonts w:ascii="Arial" w:eastAsia="Times New Roman" w:hAnsi="Arial" w:cs="Arial"/>
          <w:bCs/>
          <w:sz w:val="24"/>
          <w:szCs w:val="24"/>
          <w:lang w:val="en-GB"/>
        </w:rPr>
        <w:t xml:space="preserve">cross-appeal was launched at the LCC </w:t>
      </w:r>
      <w:r w:rsidR="00195FB1" w:rsidRPr="00DB026E">
        <w:rPr>
          <w:rFonts w:ascii="Arial" w:eastAsia="Times New Roman" w:hAnsi="Arial" w:cs="Arial"/>
          <w:bCs/>
          <w:sz w:val="24"/>
          <w:szCs w:val="24"/>
          <w:lang w:val="en-GB"/>
        </w:rPr>
        <w:t xml:space="preserve">only </w:t>
      </w:r>
      <w:r w:rsidR="00243354" w:rsidRPr="00DB026E">
        <w:rPr>
          <w:rFonts w:ascii="Arial" w:eastAsia="Times New Roman" w:hAnsi="Arial" w:cs="Arial"/>
          <w:bCs/>
          <w:sz w:val="24"/>
          <w:szCs w:val="24"/>
          <w:lang w:val="en-GB"/>
        </w:rPr>
        <w:t xml:space="preserve">after the Trust had </w:t>
      </w:r>
      <w:r w:rsidR="00E9450F" w:rsidRPr="00DB026E">
        <w:rPr>
          <w:rFonts w:ascii="Arial" w:eastAsia="Times New Roman" w:hAnsi="Arial" w:cs="Arial"/>
          <w:bCs/>
          <w:sz w:val="24"/>
          <w:szCs w:val="24"/>
          <w:lang w:val="en-GB"/>
        </w:rPr>
        <w:t xml:space="preserve">filed its </w:t>
      </w:r>
      <w:r w:rsidR="00EA2D1A" w:rsidRPr="00DB026E">
        <w:rPr>
          <w:rFonts w:ascii="Arial" w:eastAsia="Times New Roman" w:hAnsi="Arial" w:cs="Arial"/>
          <w:bCs/>
          <w:sz w:val="24"/>
          <w:szCs w:val="24"/>
          <w:lang w:val="en-GB"/>
        </w:rPr>
        <w:t>n</w:t>
      </w:r>
      <w:r w:rsidR="00E9450F" w:rsidRPr="00DB026E">
        <w:rPr>
          <w:rFonts w:ascii="Arial" w:eastAsia="Times New Roman" w:hAnsi="Arial" w:cs="Arial"/>
          <w:bCs/>
          <w:sz w:val="24"/>
          <w:szCs w:val="24"/>
          <w:lang w:val="en-GB"/>
        </w:rPr>
        <w:t xml:space="preserve">otice of </w:t>
      </w:r>
      <w:r w:rsidR="00EA2D1A" w:rsidRPr="00DB026E">
        <w:rPr>
          <w:rFonts w:ascii="Arial" w:eastAsia="Times New Roman" w:hAnsi="Arial" w:cs="Arial"/>
          <w:bCs/>
          <w:sz w:val="24"/>
          <w:szCs w:val="24"/>
          <w:lang w:val="en-GB"/>
        </w:rPr>
        <w:t>a</w:t>
      </w:r>
      <w:r w:rsidR="00E9450F" w:rsidRPr="00DB026E">
        <w:rPr>
          <w:rFonts w:ascii="Arial" w:eastAsia="Times New Roman" w:hAnsi="Arial" w:cs="Arial"/>
          <w:bCs/>
          <w:sz w:val="24"/>
          <w:szCs w:val="24"/>
          <w:lang w:val="en-GB"/>
        </w:rPr>
        <w:t xml:space="preserve">ppeal in this Court. The </w:t>
      </w:r>
      <w:r w:rsidR="0036481C" w:rsidRPr="00DB026E">
        <w:rPr>
          <w:rFonts w:ascii="Arial" w:eastAsia="Times New Roman" w:hAnsi="Arial" w:cs="Arial"/>
          <w:bCs/>
          <w:sz w:val="24"/>
          <w:szCs w:val="24"/>
          <w:lang w:val="en-GB"/>
        </w:rPr>
        <w:t xml:space="preserve">explanation </w:t>
      </w:r>
      <w:r w:rsidR="00E9450F" w:rsidRPr="00DB026E">
        <w:rPr>
          <w:rFonts w:ascii="Arial" w:eastAsia="Times New Roman" w:hAnsi="Arial" w:cs="Arial"/>
          <w:bCs/>
          <w:sz w:val="24"/>
          <w:szCs w:val="24"/>
          <w:lang w:val="en-GB"/>
        </w:rPr>
        <w:t xml:space="preserve">for that delay was that </w:t>
      </w:r>
      <w:r w:rsidR="001536E1" w:rsidRPr="00DB026E">
        <w:rPr>
          <w:rFonts w:ascii="Arial" w:eastAsia="Times New Roman" w:hAnsi="Arial" w:cs="Arial"/>
          <w:bCs/>
          <w:sz w:val="24"/>
          <w:szCs w:val="24"/>
          <w:lang w:val="en-GB"/>
        </w:rPr>
        <w:t xml:space="preserve">the </w:t>
      </w:r>
      <w:r w:rsidR="00E610AF" w:rsidRPr="00DB026E">
        <w:rPr>
          <w:rFonts w:ascii="Arial" w:eastAsia="Times New Roman" w:hAnsi="Arial" w:cs="Arial"/>
          <w:bCs/>
          <w:sz w:val="24"/>
          <w:szCs w:val="24"/>
          <w:lang w:val="en-GB"/>
        </w:rPr>
        <w:t>mandate f</w:t>
      </w:r>
      <w:r w:rsidR="00195FB1" w:rsidRPr="00DB026E">
        <w:rPr>
          <w:rFonts w:ascii="Arial" w:eastAsia="Times New Roman" w:hAnsi="Arial" w:cs="Arial"/>
          <w:bCs/>
          <w:sz w:val="24"/>
          <w:szCs w:val="24"/>
          <w:lang w:val="en-GB"/>
        </w:rPr>
        <w:t xml:space="preserve">or </w:t>
      </w:r>
      <w:r w:rsidR="00E610AF" w:rsidRPr="00DB026E">
        <w:rPr>
          <w:rFonts w:ascii="Arial" w:eastAsia="Times New Roman" w:hAnsi="Arial" w:cs="Arial"/>
          <w:bCs/>
          <w:sz w:val="24"/>
          <w:szCs w:val="24"/>
          <w:lang w:val="en-GB"/>
        </w:rPr>
        <w:t>the legal</w:t>
      </w:r>
      <w:r w:rsidR="00E610AF">
        <w:rPr>
          <w:rFonts w:ascii="Arial" w:eastAsia="Times New Roman" w:hAnsi="Arial" w:cs="Arial"/>
          <w:bCs/>
          <w:sz w:val="24"/>
          <w:szCs w:val="24"/>
          <w:lang w:val="en-GB"/>
        </w:rPr>
        <w:t xml:space="preserve"> representatives who had represented the</w:t>
      </w:r>
      <w:r w:rsidR="001536E1">
        <w:rPr>
          <w:rFonts w:ascii="Arial" w:eastAsia="Times New Roman" w:hAnsi="Arial" w:cs="Arial"/>
          <w:bCs/>
          <w:sz w:val="24"/>
          <w:szCs w:val="24"/>
          <w:lang w:val="en-GB"/>
        </w:rPr>
        <w:t xml:space="preserve"> occupiers</w:t>
      </w:r>
      <w:r w:rsidR="00E610AF">
        <w:rPr>
          <w:rFonts w:ascii="Arial" w:eastAsia="Times New Roman" w:hAnsi="Arial" w:cs="Arial"/>
          <w:bCs/>
          <w:sz w:val="24"/>
          <w:szCs w:val="24"/>
          <w:lang w:val="en-GB"/>
        </w:rPr>
        <w:t xml:space="preserve"> in </w:t>
      </w:r>
      <w:r w:rsidR="00E610AF">
        <w:rPr>
          <w:rFonts w:ascii="Arial" w:eastAsia="Times New Roman" w:hAnsi="Arial" w:cs="Arial"/>
          <w:bCs/>
          <w:sz w:val="24"/>
          <w:szCs w:val="24"/>
          <w:lang w:val="en-GB"/>
        </w:rPr>
        <w:lastRenderedPageBreak/>
        <w:t xml:space="preserve">the </w:t>
      </w:r>
      <w:r w:rsidR="00B44A67">
        <w:rPr>
          <w:rFonts w:ascii="Arial" w:eastAsia="Times New Roman" w:hAnsi="Arial" w:cs="Arial"/>
          <w:bCs/>
          <w:sz w:val="24"/>
          <w:szCs w:val="24"/>
          <w:lang w:val="en-GB"/>
        </w:rPr>
        <w:t>LCC had</w:t>
      </w:r>
      <w:r w:rsidR="00E610AF">
        <w:rPr>
          <w:rFonts w:ascii="Arial" w:eastAsia="Times New Roman" w:hAnsi="Arial" w:cs="Arial"/>
          <w:bCs/>
          <w:sz w:val="24"/>
          <w:szCs w:val="24"/>
          <w:lang w:val="en-GB"/>
        </w:rPr>
        <w:t xml:space="preserve"> not </w:t>
      </w:r>
      <w:r w:rsidR="00B44A67">
        <w:rPr>
          <w:rFonts w:ascii="Arial" w:eastAsia="Times New Roman" w:hAnsi="Arial" w:cs="Arial"/>
          <w:bCs/>
          <w:sz w:val="24"/>
          <w:szCs w:val="24"/>
          <w:lang w:val="en-GB"/>
        </w:rPr>
        <w:t xml:space="preserve">been </w:t>
      </w:r>
      <w:r w:rsidR="00E610AF">
        <w:rPr>
          <w:rFonts w:ascii="Arial" w:eastAsia="Times New Roman" w:hAnsi="Arial" w:cs="Arial"/>
          <w:bCs/>
          <w:sz w:val="24"/>
          <w:szCs w:val="24"/>
          <w:lang w:val="en-GB"/>
        </w:rPr>
        <w:t>automatically extended to the appeal processes</w:t>
      </w:r>
      <w:r w:rsidR="00B44A67">
        <w:rPr>
          <w:rFonts w:ascii="Arial" w:eastAsia="Times New Roman" w:hAnsi="Arial" w:cs="Arial"/>
          <w:bCs/>
          <w:sz w:val="24"/>
          <w:szCs w:val="24"/>
          <w:lang w:val="en-GB"/>
        </w:rPr>
        <w:t xml:space="preserve">. </w:t>
      </w:r>
      <w:r w:rsidR="001536E1">
        <w:rPr>
          <w:rFonts w:ascii="Arial" w:eastAsia="Times New Roman" w:hAnsi="Arial" w:cs="Arial"/>
          <w:bCs/>
          <w:sz w:val="24"/>
          <w:szCs w:val="24"/>
          <w:lang w:val="en-GB"/>
        </w:rPr>
        <w:t xml:space="preserve">On the other hand, the indigent occupiers </w:t>
      </w:r>
      <w:r w:rsidR="00714B21">
        <w:rPr>
          <w:rFonts w:ascii="Arial" w:eastAsia="Times New Roman" w:hAnsi="Arial" w:cs="Arial"/>
          <w:bCs/>
          <w:sz w:val="24"/>
          <w:szCs w:val="24"/>
          <w:lang w:val="en-GB"/>
        </w:rPr>
        <w:t xml:space="preserve">were unable to </w:t>
      </w:r>
      <w:r w:rsidR="001536E1">
        <w:rPr>
          <w:rFonts w:ascii="Arial" w:eastAsia="Times New Roman" w:hAnsi="Arial" w:cs="Arial"/>
          <w:bCs/>
          <w:sz w:val="24"/>
          <w:szCs w:val="24"/>
          <w:lang w:val="en-GB"/>
        </w:rPr>
        <w:t xml:space="preserve">fund </w:t>
      </w:r>
      <w:r w:rsidR="00714B21">
        <w:rPr>
          <w:rFonts w:ascii="Arial" w:eastAsia="Times New Roman" w:hAnsi="Arial" w:cs="Arial"/>
          <w:bCs/>
          <w:sz w:val="24"/>
          <w:szCs w:val="24"/>
          <w:lang w:val="en-GB"/>
        </w:rPr>
        <w:t xml:space="preserve">the appeal processes and thus had to re-apply </w:t>
      </w:r>
      <w:r w:rsidR="00A61D51">
        <w:rPr>
          <w:rFonts w:ascii="Arial" w:eastAsia="Times New Roman" w:hAnsi="Arial" w:cs="Arial"/>
          <w:bCs/>
          <w:sz w:val="24"/>
          <w:szCs w:val="24"/>
          <w:lang w:val="en-GB"/>
        </w:rPr>
        <w:t>to the 28</w:t>
      </w:r>
      <w:r w:rsidR="00A61D51" w:rsidRPr="00A61D51">
        <w:rPr>
          <w:rFonts w:ascii="Arial" w:eastAsia="Times New Roman" w:hAnsi="Arial" w:cs="Arial"/>
          <w:bCs/>
          <w:sz w:val="24"/>
          <w:szCs w:val="24"/>
          <w:vertAlign w:val="superscript"/>
          <w:lang w:val="en-GB"/>
        </w:rPr>
        <w:t>th</w:t>
      </w:r>
      <w:r w:rsidR="00A61D51">
        <w:rPr>
          <w:rFonts w:ascii="Arial" w:eastAsia="Times New Roman" w:hAnsi="Arial" w:cs="Arial"/>
          <w:bCs/>
          <w:sz w:val="24"/>
          <w:szCs w:val="24"/>
          <w:lang w:val="en-GB"/>
        </w:rPr>
        <w:t xml:space="preserve"> respondent for </w:t>
      </w:r>
      <w:r w:rsidR="00714B21">
        <w:rPr>
          <w:rFonts w:ascii="Arial" w:eastAsia="Times New Roman" w:hAnsi="Arial" w:cs="Arial"/>
          <w:bCs/>
          <w:sz w:val="24"/>
          <w:szCs w:val="24"/>
          <w:lang w:val="en-GB"/>
        </w:rPr>
        <w:t>funding</w:t>
      </w:r>
      <w:r w:rsidR="00A61D51">
        <w:rPr>
          <w:rFonts w:ascii="Arial" w:eastAsia="Times New Roman" w:hAnsi="Arial" w:cs="Arial"/>
          <w:bCs/>
          <w:sz w:val="24"/>
          <w:szCs w:val="24"/>
          <w:lang w:val="en-GB"/>
        </w:rPr>
        <w:t xml:space="preserve">. </w:t>
      </w:r>
      <w:r w:rsidR="00B44A67">
        <w:rPr>
          <w:rFonts w:ascii="Arial" w:eastAsia="Times New Roman" w:hAnsi="Arial" w:cs="Arial"/>
          <w:bCs/>
          <w:sz w:val="24"/>
          <w:szCs w:val="24"/>
          <w:lang w:val="en-GB"/>
        </w:rPr>
        <w:t xml:space="preserve">The delay </w:t>
      </w:r>
      <w:r w:rsidR="00A85829">
        <w:rPr>
          <w:rFonts w:ascii="Arial" w:eastAsia="Times New Roman" w:hAnsi="Arial" w:cs="Arial"/>
          <w:bCs/>
          <w:sz w:val="24"/>
          <w:szCs w:val="24"/>
          <w:lang w:val="en-GB"/>
        </w:rPr>
        <w:t xml:space="preserve">in securing </w:t>
      </w:r>
      <w:r w:rsidR="0038443A">
        <w:rPr>
          <w:rFonts w:ascii="Arial" w:eastAsia="Times New Roman" w:hAnsi="Arial" w:cs="Arial"/>
          <w:bCs/>
          <w:sz w:val="24"/>
          <w:szCs w:val="24"/>
          <w:lang w:val="en-GB"/>
        </w:rPr>
        <w:t>legal representation</w:t>
      </w:r>
      <w:r w:rsidR="00D16BBC">
        <w:rPr>
          <w:rFonts w:ascii="Arial" w:eastAsia="Times New Roman" w:hAnsi="Arial" w:cs="Arial"/>
          <w:bCs/>
          <w:sz w:val="24"/>
          <w:szCs w:val="24"/>
          <w:lang w:val="en-GB"/>
        </w:rPr>
        <w:t xml:space="preserve"> </w:t>
      </w:r>
      <w:r w:rsidR="00C44223">
        <w:rPr>
          <w:rFonts w:ascii="Arial" w:eastAsia="Times New Roman" w:hAnsi="Arial" w:cs="Arial"/>
          <w:bCs/>
          <w:sz w:val="24"/>
          <w:szCs w:val="24"/>
          <w:lang w:val="en-GB"/>
        </w:rPr>
        <w:t xml:space="preserve">for the application for leave to appeal </w:t>
      </w:r>
      <w:r w:rsidR="00B44A67">
        <w:rPr>
          <w:rFonts w:ascii="Arial" w:eastAsia="Times New Roman" w:hAnsi="Arial" w:cs="Arial"/>
          <w:bCs/>
          <w:sz w:val="24"/>
          <w:szCs w:val="24"/>
          <w:lang w:val="en-GB"/>
        </w:rPr>
        <w:t xml:space="preserve">in </w:t>
      </w:r>
      <w:r w:rsidR="00B44A67" w:rsidRPr="007D23F5">
        <w:rPr>
          <w:rFonts w:ascii="Arial" w:eastAsia="Times New Roman" w:hAnsi="Arial" w:cs="Arial"/>
          <w:bCs/>
          <w:sz w:val="24"/>
          <w:szCs w:val="24"/>
          <w:lang w:val="en-GB"/>
        </w:rPr>
        <w:t xml:space="preserve">turn caused the delay in </w:t>
      </w:r>
      <w:r w:rsidR="00D16BBC" w:rsidRPr="007D23F5">
        <w:rPr>
          <w:rFonts w:ascii="Arial" w:eastAsia="Times New Roman" w:hAnsi="Arial" w:cs="Arial"/>
          <w:bCs/>
          <w:sz w:val="24"/>
          <w:szCs w:val="24"/>
          <w:lang w:val="en-GB"/>
        </w:rPr>
        <w:t xml:space="preserve">the </w:t>
      </w:r>
      <w:r w:rsidR="00C44223" w:rsidRPr="007D23F5">
        <w:rPr>
          <w:rFonts w:ascii="Arial" w:eastAsia="Times New Roman" w:hAnsi="Arial" w:cs="Arial"/>
          <w:bCs/>
          <w:sz w:val="24"/>
          <w:szCs w:val="24"/>
          <w:lang w:val="en-GB"/>
        </w:rPr>
        <w:t xml:space="preserve">filing of the </w:t>
      </w:r>
      <w:r w:rsidR="004862F4" w:rsidRPr="007D23F5">
        <w:rPr>
          <w:rFonts w:ascii="Arial" w:eastAsia="Times New Roman" w:hAnsi="Arial" w:cs="Arial"/>
          <w:bCs/>
          <w:sz w:val="24"/>
          <w:szCs w:val="24"/>
          <w:lang w:val="en-GB"/>
        </w:rPr>
        <w:t>n</w:t>
      </w:r>
      <w:r w:rsidR="00C44223" w:rsidRPr="007D23F5">
        <w:rPr>
          <w:rFonts w:ascii="Arial" w:eastAsia="Times New Roman" w:hAnsi="Arial" w:cs="Arial"/>
          <w:bCs/>
          <w:sz w:val="24"/>
          <w:szCs w:val="24"/>
          <w:lang w:val="en-GB"/>
        </w:rPr>
        <w:t xml:space="preserve">otice to </w:t>
      </w:r>
      <w:r w:rsidR="004862F4" w:rsidRPr="007D23F5">
        <w:rPr>
          <w:rFonts w:ascii="Arial" w:eastAsia="Times New Roman" w:hAnsi="Arial" w:cs="Arial"/>
          <w:bCs/>
          <w:sz w:val="24"/>
          <w:szCs w:val="24"/>
          <w:lang w:val="en-GB"/>
        </w:rPr>
        <w:t>c</w:t>
      </w:r>
      <w:r w:rsidR="00C44223" w:rsidRPr="007D23F5">
        <w:rPr>
          <w:rFonts w:ascii="Arial" w:eastAsia="Times New Roman" w:hAnsi="Arial" w:cs="Arial"/>
          <w:bCs/>
          <w:sz w:val="24"/>
          <w:szCs w:val="24"/>
          <w:lang w:val="en-GB"/>
        </w:rPr>
        <w:t>ross-</w:t>
      </w:r>
      <w:r w:rsidR="004862F4" w:rsidRPr="007D23F5">
        <w:rPr>
          <w:rFonts w:ascii="Arial" w:eastAsia="Times New Roman" w:hAnsi="Arial" w:cs="Arial"/>
          <w:bCs/>
          <w:sz w:val="24"/>
          <w:szCs w:val="24"/>
          <w:lang w:val="en-GB"/>
        </w:rPr>
        <w:t>a</w:t>
      </w:r>
      <w:r w:rsidR="00C44223" w:rsidRPr="007D23F5">
        <w:rPr>
          <w:rFonts w:ascii="Arial" w:eastAsia="Times New Roman" w:hAnsi="Arial" w:cs="Arial"/>
          <w:bCs/>
          <w:sz w:val="24"/>
          <w:szCs w:val="24"/>
          <w:lang w:val="en-GB"/>
        </w:rPr>
        <w:t>ppeal.</w:t>
      </w:r>
      <w:r w:rsidR="00F82524">
        <w:rPr>
          <w:rFonts w:ascii="Arial" w:eastAsia="Times New Roman" w:hAnsi="Arial" w:cs="Arial"/>
          <w:bCs/>
          <w:sz w:val="24"/>
          <w:szCs w:val="24"/>
          <w:lang w:val="en-GB"/>
        </w:rPr>
        <w:t xml:space="preserve"> </w:t>
      </w:r>
    </w:p>
    <w:p w14:paraId="5686F4AF" w14:textId="77777777" w:rsidR="006432ED" w:rsidRPr="004B6AF5" w:rsidRDefault="006432ED" w:rsidP="00774A33">
      <w:pPr>
        <w:tabs>
          <w:tab w:val="left" w:pos="-1440"/>
        </w:tabs>
        <w:spacing w:after="0" w:line="360" w:lineRule="auto"/>
        <w:ind w:right="26"/>
        <w:jc w:val="both"/>
        <w:rPr>
          <w:rFonts w:ascii="Arial" w:eastAsia="Times New Roman" w:hAnsi="Arial" w:cs="Arial"/>
          <w:bCs/>
          <w:sz w:val="24"/>
          <w:szCs w:val="24"/>
          <w:lang w:val="en-GB"/>
        </w:rPr>
      </w:pPr>
    </w:p>
    <w:p w14:paraId="3FD5CC67" w14:textId="749414D2"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4B6AF5">
        <w:rPr>
          <w:rFonts w:ascii="Arial" w:eastAsia="Times New Roman" w:hAnsi="Arial" w:cs="Arial"/>
          <w:bCs/>
          <w:sz w:val="24"/>
          <w:szCs w:val="24"/>
          <w:lang w:val="en-GB"/>
        </w:rPr>
        <w:t>[1</w:t>
      </w:r>
      <w:r w:rsidR="00B26E39" w:rsidRPr="004B6AF5">
        <w:rPr>
          <w:rFonts w:ascii="Arial" w:eastAsia="Times New Roman" w:hAnsi="Arial" w:cs="Arial"/>
          <w:bCs/>
          <w:sz w:val="24"/>
          <w:szCs w:val="24"/>
          <w:lang w:val="en-GB"/>
        </w:rPr>
        <w:t>7</w:t>
      </w:r>
      <w:r w:rsidRPr="004B6AF5">
        <w:rPr>
          <w:rFonts w:ascii="Arial" w:eastAsia="Times New Roman" w:hAnsi="Arial" w:cs="Arial"/>
          <w:bCs/>
          <w:sz w:val="24"/>
          <w:szCs w:val="24"/>
          <w:lang w:val="en-GB"/>
        </w:rPr>
        <w:t>]</w:t>
      </w:r>
      <w:r w:rsidRPr="004B6AF5">
        <w:rPr>
          <w:rFonts w:ascii="Arial" w:eastAsia="Times New Roman" w:hAnsi="Arial" w:cs="Arial"/>
          <w:bCs/>
          <w:sz w:val="24"/>
          <w:szCs w:val="24"/>
          <w:lang w:val="en-GB"/>
        </w:rPr>
        <w:tab/>
      </w:r>
      <w:r w:rsidR="00C313EE" w:rsidRPr="004B6AF5">
        <w:rPr>
          <w:rFonts w:ascii="Arial" w:eastAsia="Times New Roman" w:hAnsi="Arial" w:cs="Arial"/>
          <w:bCs/>
          <w:sz w:val="24"/>
          <w:szCs w:val="24"/>
          <w:lang w:val="en-GB"/>
        </w:rPr>
        <w:t>O</w:t>
      </w:r>
      <w:r w:rsidRPr="004B6AF5">
        <w:rPr>
          <w:rFonts w:ascii="Arial" w:eastAsia="Times New Roman" w:hAnsi="Arial" w:cs="Arial"/>
          <w:bCs/>
          <w:sz w:val="24"/>
          <w:szCs w:val="24"/>
          <w:lang w:val="en-GB"/>
        </w:rPr>
        <w:t>ral arguments in this Court w</w:t>
      </w:r>
      <w:r w:rsidR="00C313EE" w:rsidRPr="004B6AF5">
        <w:rPr>
          <w:rFonts w:ascii="Arial" w:eastAsia="Times New Roman" w:hAnsi="Arial" w:cs="Arial"/>
          <w:bCs/>
          <w:sz w:val="24"/>
          <w:szCs w:val="24"/>
          <w:lang w:val="en-GB"/>
        </w:rPr>
        <w:t>ere</w:t>
      </w:r>
      <w:r w:rsidRPr="004B6AF5">
        <w:rPr>
          <w:rFonts w:ascii="Arial" w:eastAsia="Times New Roman" w:hAnsi="Arial" w:cs="Arial"/>
          <w:bCs/>
          <w:sz w:val="24"/>
          <w:szCs w:val="24"/>
          <w:lang w:val="en-GB"/>
        </w:rPr>
        <w:t xml:space="preserve"> preceded by an application for condonation of the late noting of the cross-appeal. The Trust’s counsel indicated that he had no instructions to oppose the application for condonation.</w:t>
      </w:r>
      <w:r w:rsidR="00F82524">
        <w:rPr>
          <w:rFonts w:ascii="Arial" w:eastAsia="Times New Roman" w:hAnsi="Arial" w:cs="Arial"/>
          <w:bCs/>
          <w:sz w:val="24"/>
          <w:szCs w:val="24"/>
          <w:lang w:val="en-GB"/>
        </w:rPr>
        <w:t xml:space="preserve"> </w:t>
      </w:r>
      <w:r w:rsidRPr="004B6AF5">
        <w:rPr>
          <w:rFonts w:ascii="Arial" w:eastAsia="Times New Roman" w:hAnsi="Arial" w:cs="Arial"/>
          <w:bCs/>
          <w:sz w:val="24"/>
          <w:szCs w:val="24"/>
          <w:lang w:val="en-GB"/>
        </w:rPr>
        <w:t xml:space="preserve">Having considered all the circumstances of the case, this Court granted </w:t>
      </w:r>
      <w:r w:rsidR="001A74A4" w:rsidRPr="004B6AF5">
        <w:rPr>
          <w:rFonts w:ascii="Arial" w:eastAsia="Times New Roman" w:hAnsi="Arial" w:cs="Arial"/>
          <w:bCs/>
          <w:sz w:val="24"/>
          <w:szCs w:val="24"/>
          <w:lang w:val="en-GB"/>
        </w:rPr>
        <w:t xml:space="preserve">condonation </w:t>
      </w:r>
      <w:r w:rsidRPr="004B6AF5">
        <w:rPr>
          <w:rFonts w:ascii="Arial" w:eastAsia="Times New Roman" w:hAnsi="Arial" w:cs="Arial"/>
          <w:bCs/>
          <w:sz w:val="24"/>
          <w:szCs w:val="24"/>
          <w:lang w:val="en-GB"/>
        </w:rPr>
        <w:t xml:space="preserve">on the basis that a proper case had been made out. </w:t>
      </w:r>
      <w:r w:rsidR="00C868FE" w:rsidRPr="004B6AF5">
        <w:rPr>
          <w:rFonts w:ascii="Arial" w:eastAsia="Times New Roman" w:hAnsi="Arial" w:cs="Arial"/>
          <w:bCs/>
          <w:sz w:val="24"/>
          <w:szCs w:val="24"/>
          <w:lang w:val="en-GB"/>
        </w:rPr>
        <w:t>I consider next the merits of the appeal.</w:t>
      </w:r>
    </w:p>
    <w:p w14:paraId="080F529B" w14:textId="77777777"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4EE0A6DA" w14:textId="77777777" w:rsidR="00774A33" w:rsidRPr="00774A33" w:rsidRDefault="00774A33" w:rsidP="00774A33">
      <w:pPr>
        <w:tabs>
          <w:tab w:val="left" w:pos="-1440"/>
        </w:tabs>
        <w:spacing w:after="0" w:line="360" w:lineRule="auto"/>
        <w:ind w:right="26"/>
        <w:jc w:val="both"/>
        <w:rPr>
          <w:rFonts w:ascii="Arial" w:eastAsia="Times New Roman" w:hAnsi="Arial" w:cs="Arial"/>
          <w:b/>
          <w:sz w:val="24"/>
          <w:szCs w:val="24"/>
          <w:lang w:val="en-GB"/>
        </w:rPr>
      </w:pPr>
      <w:r w:rsidRPr="00774A33">
        <w:rPr>
          <w:rFonts w:ascii="Arial" w:eastAsia="Times New Roman" w:hAnsi="Arial" w:cs="Arial"/>
          <w:b/>
          <w:sz w:val="24"/>
          <w:szCs w:val="24"/>
          <w:lang w:val="en-GB"/>
        </w:rPr>
        <w:t xml:space="preserve">Discussion </w:t>
      </w:r>
    </w:p>
    <w:p w14:paraId="5DC1C366" w14:textId="344C29F0" w:rsid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[1</w:t>
      </w:r>
      <w:r w:rsidR="00B26E39">
        <w:rPr>
          <w:rFonts w:ascii="Arial" w:eastAsia="Times New Roman" w:hAnsi="Arial" w:cs="Arial"/>
          <w:bCs/>
          <w:sz w:val="24"/>
          <w:szCs w:val="24"/>
          <w:lang w:val="en-GB"/>
        </w:rPr>
        <w:t>8</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t xml:space="preserve">It is trite that in motion proceedings, the affidavits filed </w:t>
      </w:r>
      <w:r w:rsidR="00A35FDB">
        <w:rPr>
          <w:rFonts w:ascii="Arial" w:eastAsia="Times New Roman" w:hAnsi="Arial" w:cs="Arial"/>
          <w:bCs/>
          <w:sz w:val="24"/>
          <w:szCs w:val="24"/>
          <w:lang w:val="en-GB"/>
        </w:rPr>
        <w:t xml:space="preserve">in the </w:t>
      </w:r>
      <w:r w:rsidR="00A35FDB" w:rsidRPr="00E201C7">
        <w:rPr>
          <w:rFonts w:ascii="Arial" w:eastAsia="Times New Roman" w:hAnsi="Arial" w:cs="Arial"/>
          <w:bCs/>
          <w:sz w:val="24"/>
          <w:szCs w:val="24"/>
          <w:lang w:val="en-GB"/>
        </w:rPr>
        <w:t>application</w:t>
      </w:r>
      <w:r w:rsidR="00A35FDB">
        <w:rPr>
          <w:rFonts w:ascii="Arial" w:eastAsia="Times New Roman" w:hAnsi="Arial" w:cs="Arial"/>
          <w:bCs/>
          <w:sz w:val="24"/>
          <w:szCs w:val="24"/>
          <w:lang w:val="en-GB"/>
        </w:rPr>
        <w:t xml:space="preserve"> </w:t>
      </w:r>
      <w:r w:rsidRPr="00774A33">
        <w:rPr>
          <w:rFonts w:ascii="Arial" w:eastAsia="Times New Roman" w:hAnsi="Arial" w:cs="Arial"/>
          <w:bCs/>
          <w:sz w:val="24"/>
          <w:szCs w:val="24"/>
          <w:lang w:val="en-GB"/>
        </w:rPr>
        <w:t xml:space="preserve">constitute evidence. In such proceedings, </w:t>
      </w:r>
      <w:r w:rsidRPr="00DB026E">
        <w:rPr>
          <w:rFonts w:ascii="Arial" w:eastAsia="Times New Roman" w:hAnsi="Arial" w:cs="Arial"/>
          <w:bCs/>
          <w:sz w:val="24"/>
          <w:szCs w:val="24"/>
          <w:lang w:val="en-GB"/>
        </w:rPr>
        <w:t xml:space="preserve">the norm </w:t>
      </w:r>
      <w:r w:rsidR="00A71B80" w:rsidRPr="00DB026E">
        <w:rPr>
          <w:rFonts w:ascii="Arial" w:eastAsia="Times New Roman" w:hAnsi="Arial" w:cs="Arial"/>
          <w:bCs/>
          <w:sz w:val="24"/>
          <w:szCs w:val="24"/>
          <w:lang w:val="en-GB"/>
        </w:rPr>
        <w:t xml:space="preserve">is </w:t>
      </w:r>
      <w:r w:rsidRPr="00DB026E">
        <w:rPr>
          <w:rFonts w:ascii="Arial" w:eastAsia="Times New Roman" w:hAnsi="Arial" w:cs="Arial"/>
          <w:bCs/>
          <w:sz w:val="24"/>
          <w:szCs w:val="24"/>
          <w:lang w:val="en-GB"/>
        </w:rPr>
        <w:t xml:space="preserve">that affidavits are limited to three sets. For this reason, utmost care must be taken to fully set out the case of a party on whose behalf an affidavit is filed. </w:t>
      </w:r>
      <w:r w:rsidR="003E29AF" w:rsidRPr="00DB026E">
        <w:rPr>
          <w:rFonts w:ascii="Arial" w:eastAsia="Times New Roman" w:hAnsi="Arial" w:cs="Arial"/>
          <w:bCs/>
          <w:sz w:val="24"/>
          <w:szCs w:val="24"/>
          <w:lang w:val="en-GB"/>
        </w:rPr>
        <w:t xml:space="preserve">These </w:t>
      </w:r>
      <w:r w:rsidRPr="00DB026E">
        <w:rPr>
          <w:rFonts w:ascii="Arial" w:eastAsia="Times New Roman" w:hAnsi="Arial" w:cs="Arial"/>
          <w:bCs/>
          <w:sz w:val="24"/>
          <w:szCs w:val="24"/>
          <w:lang w:val="en-GB"/>
        </w:rPr>
        <w:t xml:space="preserve">being </w:t>
      </w:r>
      <w:r w:rsidR="00400FFC" w:rsidRPr="00DB026E">
        <w:rPr>
          <w:rFonts w:ascii="Arial" w:eastAsia="Times New Roman" w:hAnsi="Arial" w:cs="Arial"/>
          <w:bCs/>
          <w:sz w:val="24"/>
          <w:szCs w:val="24"/>
          <w:lang w:val="en-GB"/>
        </w:rPr>
        <w:t>motion</w:t>
      </w:r>
      <w:r w:rsidRPr="00DB026E">
        <w:rPr>
          <w:rFonts w:ascii="Arial" w:eastAsia="Times New Roman" w:hAnsi="Arial" w:cs="Arial"/>
          <w:bCs/>
          <w:sz w:val="24"/>
          <w:szCs w:val="24"/>
          <w:lang w:val="en-GB"/>
        </w:rPr>
        <w:t xml:space="preserve"> proceedings, the application fell to be decided </w:t>
      </w:r>
      <w:r w:rsidR="00257A02" w:rsidRPr="00DB026E">
        <w:rPr>
          <w:rFonts w:ascii="Arial" w:eastAsia="Times New Roman" w:hAnsi="Arial" w:cs="Arial"/>
          <w:bCs/>
          <w:sz w:val="24"/>
          <w:szCs w:val="24"/>
          <w:lang w:val="en-GB"/>
        </w:rPr>
        <w:t xml:space="preserve">in accordance with </w:t>
      </w:r>
      <w:r w:rsidR="00B523AB" w:rsidRPr="00DB026E">
        <w:rPr>
          <w:rFonts w:ascii="Arial" w:eastAsia="Times New Roman" w:hAnsi="Arial" w:cs="Arial"/>
          <w:bCs/>
          <w:sz w:val="24"/>
          <w:szCs w:val="24"/>
          <w:lang w:val="en-GB"/>
        </w:rPr>
        <w:t xml:space="preserve">the </w:t>
      </w:r>
      <w:r w:rsidRPr="00DB026E">
        <w:rPr>
          <w:rFonts w:ascii="Arial" w:eastAsia="Times New Roman" w:hAnsi="Arial" w:cs="Arial"/>
          <w:bCs/>
          <w:sz w:val="24"/>
          <w:szCs w:val="24"/>
          <w:lang w:val="en-GB"/>
        </w:rPr>
        <w:t xml:space="preserve">principle laid down in </w:t>
      </w:r>
      <w:r w:rsidRPr="00DB026E">
        <w:rPr>
          <w:rFonts w:ascii="Arial" w:eastAsia="Times New Roman" w:hAnsi="Arial" w:cs="Arial"/>
          <w:bCs/>
          <w:i/>
          <w:iCs/>
          <w:sz w:val="24"/>
          <w:szCs w:val="24"/>
          <w:lang w:val="en-GB"/>
        </w:rPr>
        <w:t>Plascon-Evans Paints Ltd v Van Riebeeck Paints (Pty) Ltd</w:t>
      </w:r>
      <w:r w:rsidRPr="00DB026E">
        <w:rPr>
          <w:rFonts w:ascii="Arial" w:eastAsia="Times New Roman" w:hAnsi="Arial" w:cs="Times New Roman"/>
          <w:bCs/>
          <w:sz w:val="24"/>
          <w:szCs w:val="24"/>
          <w:vertAlign w:val="superscript"/>
          <w:lang w:val="en-GB"/>
        </w:rPr>
        <w:footnoteReference w:id="4"/>
      </w:r>
      <w:r w:rsidRPr="00DB026E">
        <w:rPr>
          <w:rFonts w:ascii="Arial" w:eastAsia="Times New Roman" w:hAnsi="Arial" w:cs="Arial"/>
          <w:bCs/>
          <w:sz w:val="24"/>
          <w:szCs w:val="24"/>
          <w:lang w:val="en-GB"/>
        </w:rPr>
        <w:t xml:space="preserve"> (the </w:t>
      </w:r>
      <w:r w:rsidRPr="00DB026E">
        <w:rPr>
          <w:rFonts w:ascii="Arial" w:eastAsia="Times New Roman" w:hAnsi="Arial" w:cs="Arial"/>
          <w:bCs/>
          <w:i/>
          <w:iCs/>
          <w:sz w:val="24"/>
          <w:szCs w:val="24"/>
          <w:lang w:val="en-GB"/>
        </w:rPr>
        <w:t>Plascon Evans</w:t>
      </w:r>
      <w:r w:rsidRPr="00DB026E">
        <w:rPr>
          <w:rFonts w:ascii="Arial" w:eastAsia="Times New Roman" w:hAnsi="Arial" w:cs="Arial"/>
          <w:bCs/>
          <w:sz w:val="24"/>
          <w:szCs w:val="24"/>
          <w:lang w:val="en-GB"/>
        </w:rPr>
        <w:t xml:space="preserve"> principle). In terms of that principle, an applicant who seeks final relief </w:t>
      </w:r>
      <w:r w:rsidR="0066200A" w:rsidRPr="00DB026E">
        <w:rPr>
          <w:rFonts w:ascii="Arial" w:eastAsia="Times New Roman" w:hAnsi="Arial" w:cs="Arial"/>
          <w:bCs/>
          <w:sz w:val="24"/>
          <w:szCs w:val="24"/>
          <w:lang w:val="en-GB"/>
        </w:rPr>
        <w:t xml:space="preserve">in </w:t>
      </w:r>
      <w:r w:rsidRPr="00DB026E">
        <w:rPr>
          <w:rFonts w:ascii="Arial" w:eastAsia="Times New Roman" w:hAnsi="Arial" w:cs="Arial"/>
          <w:bCs/>
          <w:sz w:val="24"/>
          <w:szCs w:val="24"/>
          <w:lang w:val="en-GB"/>
        </w:rPr>
        <w:t>motion proceedings must, in the event of a dispute of fact, accept the version set up by his or her opponent unless the latter’s allegations are, in the opinion of the court, not such as to raise a real, genuine or </w:t>
      </w:r>
      <w:r w:rsidRPr="00DB026E">
        <w:rPr>
          <w:rFonts w:ascii="Arial" w:eastAsia="Times New Roman" w:hAnsi="Arial" w:cs="Arial"/>
          <w:bCs/>
          <w:i/>
          <w:iCs/>
          <w:sz w:val="24"/>
          <w:szCs w:val="24"/>
          <w:lang w:val="en-GB"/>
        </w:rPr>
        <w:t>bona fide </w:t>
      </w:r>
      <w:r w:rsidRPr="00DB026E">
        <w:rPr>
          <w:rFonts w:ascii="Arial" w:eastAsia="Times New Roman" w:hAnsi="Arial" w:cs="Arial"/>
          <w:bCs/>
          <w:sz w:val="24"/>
          <w:szCs w:val="24"/>
          <w:lang w:val="en-GB"/>
        </w:rPr>
        <w:t>dispute of fact or are so far-fetched or clearly untenable that the court is justified in rejecting them merely on the papers.</w:t>
      </w:r>
      <w:r w:rsidR="00FF0453" w:rsidRPr="00DB026E">
        <w:rPr>
          <w:rStyle w:val="FootnoteReference"/>
          <w:rFonts w:ascii="Arial" w:eastAsia="Times New Roman" w:hAnsi="Arial"/>
          <w:bCs/>
          <w:sz w:val="24"/>
          <w:szCs w:val="24"/>
          <w:lang w:val="en-GB"/>
        </w:rPr>
        <w:footnoteReference w:id="5"/>
      </w:r>
    </w:p>
    <w:p w14:paraId="00B840A5" w14:textId="77777777" w:rsidR="00F82524" w:rsidRPr="00DB026E" w:rsidRDefault="00F82524" w:rsidP="00774A33">
      <w:pPr>
        <w:tabs>
          <w:tab w:val="left" w:pos="-1440"/>
        </w:tabs>
        <w:spacing w:after="0" w:line="360" w:lineRule="auto"/>
        <w:ind w:right="26"/>
        <w:jc w:val="both"/>
        <w:rPr>
          <w:rFonts w:ascii="Arial" w:eastAsia="Times New Roman" w:hAnsi="Arial" w:cs="Arial"/>
          <w:bCs/>
          <w:sz w:val="24"/>
          <w:szCs w:val="24"/>
          <w:lang w:val="en-GB"/>
        </w:rPr>
      </w:pPr>
    </w:p>
    <w:p w14:paraId="6D720CB3" w14:textId="7D9BA5BF"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DB026E">
        <w:rPr>
          <w:rFonts w:ascii="Arial" w:eastAsia="Times New Roman" w:hAnsi="Arial" w:cs="Arial"/>
          <w:bCs/>
          <w:sz w:val="24"/>
          <w:szCs w:val="24"/>
          <w:lang w:val="en-GB"/>
        </w:rPr>
        <w:t>[1</w:t>
      </w:r>
      <w:r w:rsidR="006F7180" w:rsidRPr="00DB026E">
        <w:rPr>
          <w:rFonts w:ascii="Arial" w:eastAsia="Times New Roman" w:hAnsi="Arial" w:cs="Arial"/>
          <w:bCs/>
          <w:sz w:val="24"/>
          <w:szCs w:val="24"/>
          <w:lang w:val="en-GB"/>
        </w:rPr>
        <w:t>9</w:t>
      </w:r>
      <w:r w:rsidRPr="00DB026E">
        <w:rPr>
          <w:rFonts w:ascii="Arial" w:eastAsia="Times New Roman" w:hAnsi="Arial" w:cs="Arial"/>
          <w:bCs/>
          <w:sz w:val="24"/>
          <w:szCs w:val="24"/>
          <w:lang w:val="en-GB"/>
        </w:rPr>
        <w:t>]</w:t>
      </w:r>
      <w:r w:rsidRPr="00DB026E">
        <w:rPr>
          <w:rFonts w:ascii="Arial" w:eastAsia="Times New Roman" w:hAnsi="Arial" w:cs="Arial"/>
          <w:bCs/>
          <w:sz w:val="24"/>
          <w:szCs w:val="24"/>
          <w:lang w:val="en-GB"/>
        </w:rPr>
        <w:tab/>
        <w:t xml:space="preserve"> It is settled that ESTA requires two consecutive steps to </w:t>
      </w:r>
      <w:r w:rsidR="0039180B" w:rsidRPr="00DB026E">
        <w:rPr>
          <w:rFonts w:ascii="Arial" w:eastAsia="Times New Roman" w:hAnsi="Arial" w:cs="Arial"/>
          <w:bCs/>
          <w:sz w:val="24"/>
          <w:szCs w:val="24"/>
          <w:lang w:val="en-GB"/>
        </w:rPr>
        <w:t xml:space="preserve">be </w:t>
      </w:r>
      <w:r w:rsidRPr="00DB026E">
        <w:rPr>
          <w:rFonts w:ascii="Arial" w:eastAsia="Times New Roman" w:hAnsi="Arial" w:cs="Arial"/>
          <w:bCs/>
          <w:sz w:val="24"/>
          <w:szCs w:val="24"/>
          <w:lang w:val="en-GB"/>
        </w:rPr>
        <w:t xml:space="preserve">taken before an eviction order may be granted by a court. Having </w:t>
      </w:r>
      <w:r w:rsidR="00492279" w:rsidRPr="00DB026E">
        <w:rPr>
          <w:rFonts w:ascii="Arial" w:eastAsia="Times New Roman" w:hAnsi="Arial" w:cs="Arial"/>
          <w:bCs/>
          <w:sz w:val="24"/>
          <w:szCs w:val="24"/>
          <w:lang w:val="en-GB"/>
        </w:rPr>
        <w:t xml:space="preserve">conducted an overview of </w:t>
      </w:r>
      <w:r w:rsidRPr="00DB026E">
        <w:rPr>
          <w:rFonts w:ascii="Arial" w:eastAsia="Times New Roman" w:hAnsi="Arial" w:cs="Arial"/>
          <w:bCs/>
          <w:sz w:val="24"/>
          <w:szCs w:val="24"/>
          <w:lang w:val="en-GB"/>
        </w:rPr>
        <w:t xml:space="preserve">various judgments, this Court in </w:t>
      </w:r>
      <w:r w:rsidRPr="00DB026E">
        <w:rPr>
          <w:rFonts w:ascii="Arial" w:eastAsia="Times New Roman" w:hAnsi="Arial" w:cs="Arial"/>
          <w:bCs/>
          <w:i/>
          <w:iCs/>
          <w:sz w:val="24"/>
          <w:szCs w:val="24"/>
        </w:rPr>
        <w:t>Aquarius Platinum (SA) (Pty) Ltd v Bonene</w:t>
      </w:r>
      <w:r w:rsidRPr="00774A33">
        <w:rPr>
          <w:rFonts w:ascii="Arial" w:eastAsia="Times New Roman" w:hAnsi="Arial" w:cs="Arial"/>
          <w:bCs/>
          <w:i/>
          <w:iCs/>
          <w:sz w:val="24"/>
          <w:szCs w:val="24"/>
        </w:rPr>
        <w:t xml:space="preserve"> and </w:t>
      </w:r>
      <w:r w:rsidRPr="00774A33">
        <w:rPr>
          <w:rFonts w:ascii="Arial" w:eastAsia="Times New Roman" w:hAnsi="Arial" w:cs="Arial"/>
          <w:bCs/>
          <w:i/>
          <w:iCs/>
          <w:sz w:val="24"/>
          <w:szCs w:val="24"/>
        </w:rPr>
        <w:lastRenderedPageBreak/>
        <w:t>Others (Aquarius)</w:t>
      </w:r>
      <w:r w:rsidRPr="00774A33">
        <w:rPr>
          <w:rFonts w:ascii="Arial" w:eastAsia="Times New Roman" w:hAnsi="Arial" w:cs="Arial"/>
          <w:bCs/>
          <w:sz w:val="24"/>
          <w:szCs w:val="24"/>
          <w:vertAlign w:val="superscript"/>
        </w:rPr>
        <w:footnoteReference w:id="6"/>
      </w:r>
      <w:r w:rsidR="006F7180">
        <w:rPr>
          <w:rFonts w:ascii="Arial" w:eastAsia="Times New Roman" w:hAnsi="Arial" w:cs="Arial"/>
          <w:bCs/>
          <w:sz w:val="24"/>
          <w:szCs w:val="24"/>
        </w:rPr>
        <w:t xml:space="preserve"> </w:t>
      </w:r>
      <w:r w:rsidRPr="00774A33">
        <w:rPr>
          <w:rFonts w:ascii="Arial" w:eastAsia="Times New Roman" w:hAnsi="Arial" w:cs="Arial"/>
          <w:bCs/>
          <w:sz w:val="24"/>
          <w:szCs w:val="24"/>
        </w:rPr>
        <w:t xml:space="preserve">described </w:t>
      </w:r>
      <w:r w:rsidRPr="00774A33">
        <w:rPr>
          <w:rFonts w:ascii="Arial" w:eastAsia="Times New Roman" w:hAnsi="Arial" w:cs="Arial"/>
          <w:bCs/>
          <w:sz w:val="24"/>
          <w:szCs w:val="24"/>
          <w:lang w:val="en-GB"/>
        </w:rPr>
        <w:t>the two-stage procedure mentioned in s 8</w:t>
      </w:r>
      <w:r w:rsidRPr="00774A33">
        <w:rPr>
          <w:rFonts w:ascii="Arial" w:eastAsia="Times New Roman" w:hAnsi="Arial" w:cs="Times New Roman"/>
          <w:bCs/>
          <w:sz w:val="24"/>
          <w:szCs w:val="24"/>
          <w:vertAlign w:val="superscript"/>
          <w:lang w:val="en-GB"/>
        </w:rPr>
        <w:footnoteReference w:id="7"/>
      </w:r>
      <w:r w:rsidRPr="00774A33">
        <w:rPr>
          <w:rFonts w:ascii="Arial" w:eastAsia="Times New Roman" w:hAnsi="Arial" w:cs="Arial"/>
          <w:bCs/>
          <w:sz w:val="24"/>
          <w:szCs w:val="24"/>
          <w:lang w:val="en-GB"/>
        </w:rPr>
        <w:t xml:space="preserve"> of ESTA as follows:</w:t>
      </w:r>
    </w:p>
    <w:p w14:paraId="4B5E1767" w14:textId="77777777" w:rsidR="00774A33" w:rsidRPr="00774A33" w:rsidRDefault="00774A33" w:rsidP="00774A33">
      <w:pPr>
        <w:tabs>
          <w:tab w:val="left" w:pos="-1440"/>
        </w:tabs>
        <w:spacing w:after="0" w:line="360" w:lineRule="auto"/>
        <w:ind w:right="26"/>
        <w:jc w:val="both"/>
        <w:rPr>
          <w:rFonts w:ascii="Arial" w:eastAsia="Times New Roman" w:hAnsi="Arial" w:cs="Arial"/>
          <w:bCs/>
          <w:lang w:val="en-GB"/>
        </w:rPr>
      </w:pPr>
    </w:p>
    <w:p w14:paraId="73B4A54E" w14:textId="77777777" w:rsidR="00774A33" w:rsidRPr="00D958C4" w:rsidRDefault="00774A33" w:rsidP="00774A33">
      <w:pPr>
        <w:tabs>
          <w:tab w:val="left" w:pos="-1440"/>
        </w:tabs>
        <w:spacing w:after="0" w:line="360" w:lineRule="auto"/>
        <w:ind w:right="26"/>
        <w:jc w:val="both"/>
        <w:rPr>
          <w:rFonts w:ascii="Arial" w:eastAsia="Times New Roman" w:hAnsi="Arial" w:cs="Arial"/>
          <w:bCs/>
          <w:vertAlign w:val="superscript"/>
          <w:lang w:val="en-GB"/>
        </w:rPr>
      </w:pPr>
      <w:r w:rsidRPr="00774A33">
        <w:rPr>
          <w:rFonts w:ascii="Arial" w:eastAsia="Times New Roman" w:hAnsi="Arial" w:cs="Arial"/>
          <w:bCs/>
          <w:lang w:val="en-GB"/>
        </w:rPr>
        <w:t>‘. . . [B]oth the clear meaning of the language of these sections and their context (the need to protect the rights of residence of vulnerable persons) indicate a two-stage procedure. </w:t>
      </w:r>
      <w:hyperlink r:id="rId9" w:anchor="s8" w:history="1">
        <w:r w:rsidRPr="00774A33">
          <w:rPr>
            <w:rFonts w:ascii="Arial" w:eastAsia="Times New Roman" w:hAnsi="Arial" w:cs="Arial"/>
            <w:bCs/>
            <w:lang w:val="en-GB"/>
          </w:rPr>
          <w:t>Section 8</w:t>
        </w:r>
      </w:hyperlink>
      <w:r w:rsidRPr="00774A33">
        <w:rPr>
          <w:rFonts w:ascii="Arial" w:eastAsia="Times New Roman" w:hAnsi="Arial" w:cs="Arial"/>
          <w:bCs/>
          <w:lang w:val="en-GB"/>
        </w:rPr>
        <w:t> provides for the termination of the right of residence of an occupier, which must be on lawful ground and just and equitable, taking into account, inter alia, the fairness of the procedure followed before the decision was made to terminate the right of residence. </w:t>
      </w:r>
      <w:hyperlink r:id="rId10" w:anchor="s8" w:history="1">
        <w:r w:rsidRPr="00774A33">
          <w:rPr>
            <w:rFonts w:ascii="Arial" w:eastAsia="Times New Roman" w:hAnsi="Arial" w:cs="Arial"/>
            <w:bCs/>
            <w:lang w:val="en-GB"/>
          </w:rPr>
          <w:t>Section 8</w:t>
        </w:r>
      </w:hyperlink>
      <w:r w:rsidRPr="00774A33">
        <w:rPr>
          <w:rFonts w:ascii="Arial" w:eastAsia="Times New Roman" w:hAnsi="Arial" w:cs="Arial"/>
          <w:bCs/>
          <w:lang w:val="en-GB"/>
        </w:rPr>
        <w:t> at least requires that a decision to terminate the right of residence must be communicated to the occupier. </w:t>
      </w:r>
      <w:hyperlink r:id="rId11" w:anchor="s9" w:history="1">
        <w:r w:rsidRPr="00774A33">
          <w:rPr>
            <w:rFonts w:ascii="Arial" w:eastAsia="Times New Roman" w:hAnsi="Arial" w:cs="Arial"/>
            <w:bCs/>
            <w:lang w:val="en-GB"/>
          </w:rPr>
          <w:t>Section 9(2)</w:t>
        </w:r>
      </w:hyperlink>
      <w:r w:rsidRPr="00774A33">
        <w:rPr>
          <w:rFonts w:ascii="Arial" w:eastAsia="Times New Roman" w:hAnsi="Arial" w:cs="Arial"/>
          <w:bCs/>
          <w:lang w:val="en-GB"/>
        </w:rPr>
        <w:t> then provides for the power to order eviction if, inter alia, the occupier’s right of residence has been terminated in terms of </w:t>
      </w:r>
      <w:hyperlink r:id="rId12" w:anchor="s8" w:history="1">
        <w:r w:rsidRPr="00774A33">
          <w:rPr>
            <w:rFonts w:ascii="Arial" w:eastAsia="Times New Roman" w:hAnsi="Arial" w:cs="Arial"/>
            <w:bCs/>
            <w:lang w:val="en-GB"/>
          </w:rPr>
          <w:t>s 8</w:t>
        </w:r>
      </w:hyperlink>
      <w:r w:rsidRPr="00774A33">
        <w:rPr>
          <w:rFonts w:ascii="Arial" w:eastAsia="Times New Roman" w:hAnsi="Arial" w:cs="Arial"/>
          <w:bCs/>
          <w:lang w:val="en-GB"/>
        </w:rPr>
        <w:t>, the occupier nevertheless did not vacate the land and the owner or person in charge has, after the termination of the right of residence, given two months’ written notice of the intention to obtain an eviction order. </w:t>
      </w:r>
      <w:hyperlink r:id="rId13" w:anchor="s8" w:history="1">
        <w:r w:rsidRPr="00774A33">
          <w:rPr>
            <w:rFonts w:ascii="Arial" w:eastAsia="Times New Roman" w:hAnsi="Arial" w:cs="Arial"/>
            <w:bCs/>
            <w:lang w:val="en-GB"/>
          </w:rPr>
          <w:t>Section 8(2)</w:t>
        </w:r>
      </w:hyperlink>
      <w:r w:rsidRPr="00774A33">
        <w:rPr>
          <w:rFonts w:ascii="Arial" w:eastAsia="Times New Roman" w:hAnsi="Arial" w:cs="Arial"/>
          <w:bCs/>
          <w:lang w:val="en-GB"/>
        </w:rPr>
        <w:t xml:space="preserve"> must of </w:t>
      </w:r>
      <w:r w:rsidRPr="00D958C4">
        <w:rPr>
          <w:rFonts w:ascii="Arial" w:eastAsia="Times New Roman" w:hAnsi="Arial" w:cs="Arial"/>
          <w:bCs/>
          <w:lang w:val="en-GB"/>
        </w:rPr>
        <w:t>course be read with </w:t>
      </w:r>
      <w:hyperlink r:id="rId14" w:anchor="s8" w:history="1">
        <w:r w:rsidRPr="00D958C4">
          <w:rPr>
            <w:rFonts w:ascii="Arial" w:eastAsia="Times New Roman" w:hAnsi="Arial" w:cs="Arial"/>
            <w:bCs/>
            <w:lang w:val="en-GB"/>
          </w:rPr>
          <w:t>s 8(1)</w:t>
        </w:r>
      </w:hyperlink>
      <w:r w:rsidRPr="00D958C4">
        <w:rPr>
          <w:rFonts w:ascii="Arial" w:eastAsia="Times New Roman" w:hAnsi="Arial" w:cs="Arial"/>
          <w:bCs/>
          <w:lang w:val="en-GB"/>
        </w:rPr>
        <w:t> and provides for a specific instance of what may constitute a just and equitable ground for the termination of a right of residence.’</w:t>
      </w:r>
      <w:r w:rsidRPr="00D958C4">
        <w:rPr>
          <w:rFonts w:ascii="Arial" w:eastAsia="Times New Roman" w:hAnsi="Arial" w:cs="Arial"/>
          <w:bCs/>
          <w:vertAlign w:val="superscript"/>
          <w:lang w:val="en-GB"/>
        </w:rPr>
        <w:t xml:space="preserve"> </w:t>
      </w:r>
    </w:p>
    <w:p w14:paraId="743687D6" w14:textId="77777777" w:rsidR="00774A33" w:rsidRPr="00D958C4"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20EE247A" w14:textId="5AE861E7" w:rsidR="00BC2FF3" w:rsidRPr="00D958C4" w:rsidRDefault="00774A33" w:rsidP="00BC2FF3">
      <w:pPr>
        <w:tabs>
          <w:tab w:val="left" w:pos="-1440"/>
        </w:tabs>
        <w:spacing w:after="0" w:line="360" w:lineRule="auto"/>
        <w:ind w:right="26"/>
        <w:jc w:val="both"/>
        <w:rPr>
          <w:rFonts w:ascii="Arial" w:eastAsia="Times New Roman" w:hAnsi="Arial" w:cs="Arial"/>
          <w:bCs/>
          <w:sz w:val="24"/>
          <w:szCs w:val="24"/>
          <w:lang w:val="en-GB"/>
        </w:rPr>
      </w:pPr>
      <w:r w:rsidRPr="00D958C4">
        <w:rPr>
          <w:rFonts w:ascii="Arial" w:eastAsia="Times New Roman" w:hAnsi="Arial" w:cs="Arial"/>
          <w:bCs/>
          <w:sz w:val="24"/>
          <w:szCs w:val="24"/>
          <w:lang w:val="en-GB"/>
        </w:rPr>
        <w:t>[</w:t>
      </w:r>
      <w:r w:rsidR="00D77E97" w:rsidRPr="00D958C4">
        <w:rPr>
          <w:rFonts w:ascii="Arial" w:eastAsia="Times New Roman" w:hAnsi="Arial" w:cs="Arial"/>
          <w:bCs/>
          <w:sz w:val="24"/>
          <w:szCs w:val="24"/>
          <w:lang w:val="en-GB"/>
        </w:rPr>
        <w:t>20</w:t>
      </w:r>
      <w:r w:rsidRPr="00D958C4">
        <w:rPr>
          <w:rFonts w:ascii="Arial" w:eastAsia="Times New Roman" w:hAnsi="Arial" w:cs="Arial"/>
          <w:bCs/>
          <w:sz w:val="24"/>
          <w:szCs w:val="24"/>
          <w:lang w:val="en-GB"/>
        </w:rPr>
        <w:t>]</w:t>
      </w:r>
      <w:r w:rsidRPr="00D958C4">
        <w:rPr>
          <w:rFonts w:ascii="Arial" w:eastAsia="Times New Roman" w:hAnsi="Arial" w:cs="Arial"/>
          <w:bCs/>
          <w:sz w:val="24"/>
          <w:szCs w:val="24"/>
          <w:lang w:val="en-GB"/>
        </w:rPr>
        <w:tab/>
        <w:t xml:space="preserve"> </w:t>
      </w:r>
      <w:r w:rsidR="003E29AF" w:rsidRPr="00D958C4">
        <w:rPr>
          <w:rFonts w:ascii="Arial" w:eastAsia="Times New Roman" w:hAnsi="Arial" w:cs="Arial"/>
          <w:bCs/>
          <w:sz w:val="24"/>
          <w:szCs w:val="24"/>
          <w:lang w:val="en-GB"/>
        </w:rPr>
        <w:t>It</w:t>
      </w:r>
      <w:r w:rsidR="00BC2FF3" w:rsidRPr="00D958C4">
        <w:rPr>
          <w:rFonts w:ascii="Arial" w:eastAsia="Times New Roman" w:hAnsi="Arial" w:cs="Arial"/>
          <w:bCs/>
          <w:sz w:val="24"/>
          <w:szCs w:val="24"/>
          <w:lang w:val="en-GB"/>
        </w:rPr>
        <w:t xml:space="preserve"> is not disputed that the Trust sent separate notices to all the occupiers, terminating their right</w:t>
      </w:r>
      <w:r w:rsidR="00563858" w:rsidRPr="00D958C4">
        <w:rPr>
          <w:rFonts w:ascii="Arial" w:eastAsia="Times New Roman" w:hAnsi="Arial" w:cs="Arial"/>
          <w:bCs/>
          <w:sz w:val="24"/>
          <w:szCs w:val="24"/>
          <w:lang w:val="en-GB"/>
        </w:rPr>
        <w:t>s</w:t>
      </w:r>
      <w:r w:rsidR="00BC2FF3" w:rsidRPr="00D958C4">
        <w:rPr>
          <w:rFonts w:ascii="Arial" w:eastAsia="Times New Roman" w:hAnsi="Arial" w:cs="Arial"/>
          <w:bCs/>
          <w:sz w:val="24"/>
          <w:szCs w:val="24"/>
          <w:lang w:val="en-GB"/>
        </w:rPr>
        <w:t xml:space="preserve"> of residence and giving them notice of </w:t>
      </w:r>
      <w:r w:rsidR="00492279" w:rsidRPr="00D958C4">
        <w:rPr>
          <w:rFonts w:ascii="Arial" w:eastAsia="Times New Roman" w:hAnsi="Arial" w:cs="Arial"/>
          <w:bCs/>
          <w:sz w:val="24"/>
          <w:szCs w:val="24"/>
          <w:lang w:val="en-GB"/>
        </w:rPr>
        <w:t xml:space="preserve">its </w:t>
      </w:r>
      <w:r w:rsidR="00BC2FF3" w:rsidRPr="00D958C4">
        <w:rPr>
          <w:rFonts w:ascii="Arial" w:eastAsia="Times New Roman" w:hAnsi="Arial" w:cs="Arial"/>
          <w:bCs/>
          <w:sz w:val="24"/>
          <w:szCs w:val="24"/>
          <w:lang w:val="en-GB"/>
        </w:rPr>
        <w:t xml:space="preserve">intention to evict them. That being the case, the pertinent question is whether the termination of their right to reside on the farm was lawful and </w:t>
      </w:r>
      <w:r w:rsidR="00FB3939" w:rsidRPr="00D958C4">
        <w:rPr>
          <w:rFonts w:ascii="Arial" w:eastAsia="Times New Roman" w:hAnsi="Arial" w:cs="Arial"/>
          <w:bCs/>
          <w:sz w:val="24"/>
          <w:szCs w:val="24"/>
          <w:lang w:val="en-GB"/>
        </w:rPr>
        <w:t xml:space="preserve">also </w:t>
      </w:r>
      <w:r w:rsidR="00BC2FF3" w:rsidRPr="00D958C4">
        <w:rPr>
          <w:rFonts w:ascii="Arial" w:eastAsia="Times New Roman" w:hAnsi="Arial" w:cs="Arial"/>
          <w:bCs/>
          <w:sz w:val="24"/>
          <w:szCs w:val="24"/>
          <w:lang w:val="en-GB"/>
        </w:rPr>
        <w:t>whether it was, given all the circumstances, just and equitable</w:t>
      </w:r>
      <w:r w:rsidR="00563858" w:rsidRPr="00D958C4">
        <w:rPr>
          <w:rFonts w:ascii="Arial" w:eastAsia="Times New Roman" w:hAnsi="Arial" w:cs="Arial"/>
          <w:bCs/>
          <w:sz w:val="24"/>
          <w:szCs w:val="24"/>
          <w:lang w:val="en-GB"/>
        </w:rPr>
        <w:t>.</w:t>
      </w:r>
      <w:r w:rsidR="00F82524">
        <w:rPr>
          <w:rFonts w:ascii="Arial" w:eastAsia="Times New Roman" w:hAnsi="Arial" w:cs="Arial"/>
          <w:bCs/>
          <w:sz w:val="24"/>
          <w:szCs w:val="24"/>
          <w:lang w:val="en-GB"/>
        </w:rPr>
        <w:t xml:space="preserve"> </w:t>
      </w:r>
    </w:p>
    <w:p w14:paraId="6EF5708E" w14:textId="77777777" w:rsidR="00774A33" w:rsidRPr="00D958C4"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58EBEF18" w14:textId="2103A491"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D958C4">
        <w:rPr>
          <w:rFonts w:ascii="Arial" w:eastAsia="Times New Roman" w:hAnsi="Arial" w:cs="Arial"/>
          <w:bCs/>
          <w:sz w:val="24"/>
          <w:szCs w:val="24"/>
          <w:lang w:val="en-GB"/>
        </w:rPr>
        <w:t>[2</w:t>
      </w:r>
      <w:r w:rsidR="00D77E97" w:rsidRPr="00D958C4">
        <w:rPr>
          <w:rFonts w:ascii="Arial" w:eastAsia="Times New Roman" w:hAnsi="Arial" w:cs="Arial"/>
          <w:bCs/>
          <w:sz w:val="24"/>
          <w:szCs w:val="24"/>
          <w:lang w:val="en-GB"/>
        </w:rPr>
        <w:t>1</w:t>
      </w:r>
      <w:r w:rsidRPr="00D958C4">
        <w:rPr>
          <w:rFonts w:ascii="Arial" w:eastAsia="Times New Roman" w:hAnsi="Arial" w:cs="Arial"/>
          <w:bCs/>
          <w:sz w:val="24"/>
          <w:szCs w:val="24"/>
          <w:lang w:val="en-GB"/>
        </w:rPr>
        <w:t>]</w:t>
      </w:r>
      <w:r w:rsidRPr="00D958C4">
        <w:rPr>
          <w:rFonts w:ascii="Arial" w:eastAsia="Times New Roman" w:hAnsi="Arial" w:cs="Arial"/>
          <w:bCs/>
          <w:sz w:val="24"/>
          <w:szCs w:val="24"/>
          <w:lang w:val="en-GB"/>
        </w:rPr>
        <w:tab/>
        <w:t>Regarding the trigger for the termination</w:t>
      </w:r>
      <w:r w:rsidRPr="00774A33">
        <w:rPr>
          <w:rFonts w:ascii="Arial" w:eastAsia="Times New Roman" w:hAnsi="Arial" w:cs="Arial"/>
          <w:bCs/>
          <w:sz w:val="24"/>
          <w:szCs w:val="24"/>
          <w:lang w:val="en-GB"/>
        </w:rPr>
        <w:t xml:space="preserve"> of the right of residence, the occupiers asserted that they were dismissed pursuant to their refusal to subject themselves to the Trust’s more onerous conditions of employment, while the Trust averred that the termination of the occupiers’ employment resulted from their participation in an unprotected strike. </w:t>
      </w:r>
      <w:r w:rsidR="00482DAA">
        <w:rPr>
          <w:rFonts w:ascii="Arial" w:eastAsia="Times New Roman" w:hAnsi="Arial" w:cs="Arial"/>
          <w:bCs/>
          <w:sz w:val="24"/>
          <w:szCs w:val="24"/>
          <w:lang w:val="en-GB"/>
        </w:rPr>
        <w:t>A</w:t>
      </w:r>
      <w:r w:rsidRPr="00774A33">
        <w:rPr>
          <w:rFonts w:ascii="Arial" w:eastAsia="Times New Roman" w:hAnsi="Arial" w:cs="Arial"/>
          <w:bCs/>
          <w:sz w:val="24"/>
          <w:szCs w:val="24"/>
          <w:lang w:val="en-GB"/>
        </w:rPr>
        <w:t>ccording to the Trust, all the occupiers were offered reinstatement into their former positions but only two persons (who are not respondents in this matter) accepted the offer. Some of the occupiers accepted employment elsewhere. It bears emphasising that in terms of s 8(2) of the ESTA,</w:t>
      </w:r>
      <w:r w:rsidRPr="00774A33">
        <w:rPr>
          <w:rFonts w:ascii="Arial" w:eastAsia="Times New Roman" w:hAnsi="Arial" w:cs="Arial"/>
          <w:bCs/>
          <w:sz w:val="24"/>
          <w:szCs w:val="24"/>
          <w:vertAlign w:val="superscript"/>
          <w:lang w:val="en-GB"/>
        </w:rPr>
        <w:footnoteReference w:id="8"/>
      </w:r>
      <w:r w:rsidRPr="00774A33">
        <w:rPr>
          <w:rFonts w:ascii="Arial" w:eastAsia="Times New Roman" w:hAnsi="Arial" w:cs="Arial"/>
          <w:bCs/>
          <w:sz w:val="24"/>
          <w:szCs w:val="24"/>
          <w:lang w:val="en-GB"/>
        </w:rPr>
        <w:t xml:space="preserve"> the right of residence </w:t>
      </w:r>
      <w:r w:rsidR="00747F62">
        <w:rPr>
          <w:rFonts w:ascii="Arial" w:eastAsia="Times New Roman" w:hAnsi="Arial" w:cs="Arial"/>
          <w:bCs/>
          <w:sz w:val="24"/>
          <w:szCs w:val="24"/>
          <w:lang w:val="en-GB"/>
        </w:rPr>
        <w:t xml:space="preserve">of </w:t>
      </w:r>
      <w:r w:rsidRPr="00774A33">
        <w:rPr>
          <w:rFonts w:ascii="Arial" w:eastAsia="Times New Roman" w:hAnsi="Arial" w:cs="Arial"/>
          <w:bCs/>
          <w:sz w:val="24"/>
          <w:szCs w:val="24"/>
          <w:lang w:val="en-GB"/>
        </w:rPr>
        <w:t xml:space="preserve">an occupier who is an </w:t>
      </w:r>
      <w:r w:rsidRPr="00774A33">
        <w:rPr>
          <w:rFonts w:ascii="Arial" w:eastAsia="Times New Roman" w:hAnsi="Arial" w:cs="Arial"/>
          <w:bCs/>
          <w:sz w:val="24"/>
          <w:szCs w:val="24"/>
          <w:lang w:val="en-GB"/>
        </w:rPr>
        <w:lastRenderedPageBreak/>
        <w:t>employee and whose right of residence arises solely from an employment agreement may be terminated if the occupier resigns from employment or is dismissed in accordance with the provisions of the Labour Relations Act 66 of 1995.</w:t>
      </w:r>
    </w:p>
    <w:p w14:paraId="6E406121" w14:textId="77777777"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36DB2108" w14:textId="207544B2" w:rsidR="00774A33" w:rsidRPr="001379AB" w:rsidRDefault="00774A33" w:rsidP="00774A33">
      <w:pPr>
        <w:tabs>
          <w:tab w:val="left" w:pos="-1440"/>
        </w:tabs>
        <w:spacing w:after="0" w:line="360" w:lineRule="auto"/>
        <w:ind w:right="26"/>
        <w:jc w:val="both"/>
        <w:rPr>
          <w:rFonts w:ascii="Arial" w:eastAsia="Times New Roman" w:hAnsi="Arial" w:cs="Arial"/>
          <w:bCs/>
          <w:strike/>
          <w:sz w:val="24"/>
          <w:szCs w:val="24"/>
          <w:lang w:val="en-GB"/>
        </w:rPr>
      </w:pPr>
      <w:r w:rsidRPr="00774A33">
        <w:rPr>
          <w:rFonts w:ascii="Arial" w:eastAsia="Times New Roman" w:hAnsi="Arial" w:cs="Arial"/>
          <w:bCs/>
          <w:sz w:val="24"/>
          <w:szCs w:val="24"/>
          <w:lang w:val="en-GB"/>
        </w:rPr>
        <w:t>[2</w:t>
      </w:r>
      <w:r w:rsidR="00D77E97">
        <w:rPr>
          <w:rFonts w:ascii="Arial" w:eastAsia="Times New Roman" w:hAnsi="Arial" w:cs="Arial"/>
          <w:bCs/>
          <w:sz w:val="24"/>
          <w:szCs w:val="24"/>
          <w:lang w:val="en-GB"/>
        </w:rPr>
        <w:t>2</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r>
      <w:r w:rsidRPr="00D958C4">
        <w:rPr>
          <w:rFonts w:ascii="Arial" w:eastAsia="Times New Roman" w:hAnsi="Arial" w:cs="Arial"/>
          <w:bCs/>
          <w:sz w:val="24"/>
          <w:szCs w:val="24"/>
          <w:lang w:val="en-GB"/>
        </w:rPr>
        <w:t xml:space="preserve">Regardless of each party’s version on how the employment relationship ended, what is common cause is that it ended on 24 June 2011. </w:t>
      </w:r>
      <w:r w:rsidR="00F463DC" w:rsidRPr="00D958C4">
        <w:rPr>
          <w:rFonts w:ascii="Arial" w:eastAsia="Times New Roman" w:hAnsi="Arial" w:cs="Arial"/>
          <w:bCs/>
          <w:sz w:val="24"/>
          <w:szCs w:val="24"/>
          <w:lang w:val="en-GB"/>
        </w:rPr>
        <w:t xml:space="preserve">Suffice it to observe </w:t>
      </w:r>
      <w:r w:rsidR="00747F62" w:rsidRPr="00D958C4">
        <w:rPr>
          <w:rFonts w:ascii="Arial" w:eastAsia="Times New Roman" w:hAnsi="Arial" w:cs="Arial"/>
          <w:bCs/>
          <w:sz w:val="24"/>
          <w:szCs w:val="24"/>
          <w:lang w:val="en-GB"/>
        </w:rPr>
        <w:t>that m</w:t>
      </w:r>
      <w:r w:rsidRPr="00D958C4">
        <w:rPr>
          <w:rFonts w:ascii="Arial" w:eastAsia="Times New Roman" w:hAnsi="Arial" w:cs="Arial"/>
          <w:bCs/>
          <w:sz w:val="24"/>
          <w:szCs w:val="24"/>
          <w:lang w:val="en-GB"/>
        </w:rPr>
        <w:t>ore than a decade after the employment relationship between the Trust and the occupiers ceased, the occupiers have not sought any legal redress at the Commission</w:t>
      </w:r>
      <w:r w:rsidRPr="00430D67">
        <w:rPr>
          <w:rFonts w:ascii="Arial" w:eastAsia="Times New Roman" w:hAnsi="Arial" w:cs="Arial"/>
          <w:bCs/>
          <w:sz w:val="24"/>
          <w:szCs w:val="24"/>
          <w:lang w:val="en-GB"/>
        </w:rPr>
        <w:t xml:space="preserve"> for Conciliation Mediation and Arbitration or any other forum. </w:t>
      </w:r>
    </w:p>
    <w:p w14:paraId="0F8EF511" w14:textId="77777777"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4556EF23" w14:textId="77777777" w:rsidR="00012AF4"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[2</w:t>
      </w:r>
      <w:r w:rsidR="00D77E97">
        <w:rPr>
          <w:rFonts w:ascii="Arial" w:eastAsia="Times New Roman" w:hAnsi="Arial" w:cs="Arial"/>
          <w:bCs/>
          <w:sz w:val="24"/>
          <w:szCs w:val="24"/>
          <w:lang w:val="en-GB"/>
        </w:rPr>
        <w:t>3</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r>
      <w:r w:rsidR="00E55C21">
        <w:rPr>
          <w:rFonts w:ascii="Arial" w:eastAsia="Times New Roman" w:hAnsi="Arial" w:cs="Arial"/>
          <w:bCs/>
          <w:sz w:val="24"/>
          <w:szCs w:val="24"/>
          <w:lang w:val="en-GB"/>
        </w:rPr>
        <w:t>In its founding affidavit, t</w:t>
      </w:r>
      <w:r w:rsidRPr="00774A33">
        <w:rPr>
          <w:rFonts w:ascii="Arial" w:eastAsia="Times New Roman" w:hAnsi="Arial" w:cs="Arial"/>
          <w:bCs/>
          <w:sz w:val="24"/>
          <w:szCs w:val="24"/>
          <w:lang w:val="en-GB"/>
        </w:rPr>
        <w:t xml:space="preserve">he Trust highlighted serious breaches of the relationship </w:t>
      </w:r>
      <w:r w:rsidR="00166E75">
        <w:rPr>
          <w:rFonts w:ascii="Arial" w:eastAsia="Times New Roman" w:hAnsi="Arial" w:cs="Arial"/>
          <w:bCs/>
          <w:sz w:val="24"/>
          <w:szCs w:val="24"/>
          <w:lang w:val="en-GB"/>
        </w:rPr>
        <w:t xml:space="preserve">purportedly </w:t>
      </w:r>
      <w:r w:rsidRPr="00774A33">
        <w:rPr>
          <w:rFonts w:ascii="Arial" w:eastAsia="Times New Roman" w:hAnsi="Arial" w:cs="Arial"/>
          <w:bCs/>
          <w:sz w:val="24"/>
          <w:szCs w:val="24"/>
          <w:lang w:val="en-GB"/>
        </w:rPr>
        <w:t xml:space="preserve">committed by the occupiers which, on the Trust’s version, rendered the former’s continued occupation of the farm untenable. </w:t>
      </w:r>
      <w:r w:rsidR="00C964FC">
        <w:rPr>
          <w:rFonts w:ascii="Arial" w:eastAsia="Times New Roman" w:hAnsi="Arial" w:cs="Arial"/>
          <w:bCs/>
          <w:sz w:val="24"/>
          <w:szCs w:val="24"/>
          <w:lang w:val="en-GB"/>
        </w:rPr>
        <w:t xml:space="preserve">The photographs depicting the damage resulting from non-compliance with house rules substantiate the Trust’s </w:t>
      </w:r>
      <w:r w:rsidR="000776BE">
        <w:rPr>
          <w:rFonts w:ascii="Arial" w:eastAsia="Times New Roman" w:hAnsi="Arial" w:cs="Arial"/>
          <w:bCs/>
          <w:sz w:val="24"/>
          <w:szCs w:val="24"/>
          <w:lang w:val="en-GB"/>
        </w:rPr>
        <w:t>assertions. It is o</w:t>
      </w:r>
      <w:r w:rsidRPr="00774A33">
        <w:rPr>
          <w:rFonts w:ascii="Arial" w:eastAsia="Times New Roman" w:hAnsi="Arial" w:cs="Arial"/>
          <w:bCs/>
          <w:sz w:val="24"/>
          <w:szCs w:val="24"/>
          <w:lang w:val="en-GB"/>
        </w:rPr>
        <w:t xml:space="preserve">f great significance that many material allegations of </w:t>
      </w:r>
      <w:r w:rsidR="0002538C">
        <w:rPr>
          <w:rFonts w:ascii="Arial" w:eastAsia="Times New Roman" w:hAnsi="Arial" w:cs="Arial"/>
          <w:bCs/>
          <w:sz w:val="24"/>
          <w:szCs w:val="24"/>
          <w:lang w:val="en-GB"/>
        </w:rPr>
        <w:t xml:space="preserve">inappropriate </w:t>
      </w:r>
      <w:r w:rsidRPr="00774A33">
        <w:rPr>
          <w:rFonts w:ascii="Arial" w:eastAsia="Times New Roman" w:hAnsi="Arial" w:cs="Arial"/>
          <w:bCs/>
          <w:sz w:val="24"/>
          <w:szCs w:val="24"/>
          <w:lang w:val="en-GB"/>
        </w:rPr>
        <w:t xml:space="preserve">conduct attributed to the </w:t>
      </w:r>
      <w:r w:rsidR="00C253A8">
        <w:rPr>
          <w:rFonts w:ascii="Arial" w:eastAsia="Times New Roman" w:hAnsi="Arial" w:cs="Arial"/>
          <w:bCs/>
          <w:sz w:val="24"/>
          <w:szCs w:val="24"/>
          <w:lang w:val="en-GB"/>
        </w:rPr>
        <w:t xml:space="preserve">occupiers </w:t>
      </w:r>
      <w:r w:rsidRPr="00774A33">
        <w:rPr>
          <w:rFonts w:ascii="Arial" w:eastAsia="Times New Roman" w:hAnsi="Arial" w:cs="Arial"/>
          <w:bCs/>
          <w:sz w:val="24"/>
          <w:szCs w:val="24"/>
          <w:lang w:val="en-GB"/>
        </w:rPr>
        <w:t>have not been denied. In the main, the laconic affidavit filed on their behalf consisted of bare denials in the face of detailed averments establishing a fundamental breach of the parties’ relationship.</w:t>
      </w:r>
      <w:r w:rsidR="00B35114">
        <w:rPr>
          <w:rFonts w:ascii="Arial" w:eastAsia="Times New Roman" w:hAnsi="Arial" w:cs="Arial"/>
          <w:bCs/>
          <w:sz w:val="24"/>
          <w:szCs w:val="24"/>
          <w:lang w:val="en-GB"/>
        </w:rPr>
        <w:t xml:space="preserve"> </w:t>
      </w:r>
    </w:p>
    <w:p w14:paraId="1E567814" w14:textId="77777777" w:rsidR="00F82524" w:rsidRDefault="00F82524" w:rsidP="00774A33">
      <w:pPr>
        <w:tabs>
          <w:tab w:val="left" w:pos="-1440"/>
        </w:tabs>
        <w:spacing w:after="0" w:line="360" w:lineRule="auto"/>
        <w:ind w:right="26"/>
        <w:jc w:val="both"/>
        <w:rPr>
          <w:rFonts w:ascii="Arial" w:eastAsia="Times New Roman" w:hAnsi="Arial" w:cs="Arial"/>
          <w:bCs/>
          <w:sz w:val="24"/>
          <w:szCs w:val="24"/>
          <w:lang w:val="en-GB"/>
        </w:rPr>
      </w:pPr>
    </w:p>
    <w:p w14:paraId="7A5C59C0" w14:textId="0449B468" w:rsidR="00774A33" w:rsidRPr="00774A33" w:rsidRDefault="00012AF4" w:rsidP="00774A33">
      <w:pPr>
        <w:tabs>
          <w:tab w:val="left" w:pos="-1440"/>
        </w:tabs>
        <w:spacing w:after="0" w:line="360" w:lineRule="auto"/>
        <w:ind w:right="26"/>
        <w:jc w:val="both"/>
        <w:rPr>
          <w:rFonts w:ascii="Arial" w:eastAsia="Times New Roman" w:hAnsi="Arial" w:cs="Arial"/>
          <w:bCs/>
          <w:sz w:val="24"/>
          <w:szCs w:val="24"/>
          <w:lang w:val="en-GB"/>
        </w:rPr>
      </w:pPr>
      <w:r>
        <w:rPr>
          <w:rFonts w:ascii="Arial" w:eastAsia="Times New Roman" w:hAnsi="Arial" w:cs="Arial"/>
          <w:bCs/>
          <w:sz w:val="24"/>
          <w:szCs w:val="24"/>
          <w:lang w:val="en-GB"/>
        </w:rPr>
        <w:t>[24]</w:t>
      </w:r>
      <w:r>
        <w:rPr>
          <w:rFonts w:ascii="Arial" w:eastAsia="Times New Roman" w:hAnsi="Arial" w:cs="Arial"/>
          <w:bCs/>
          <w:sz w:val="24"/>
          <w:szCs w:val="24"/>
          <w:lang w:val="en-GB"/>
        </w:rPr>
        <w:tab/>
      </w:r>
      <w:r w:rsidR="00AD79C0">
        <w:rPr>
          <w:rFonts w:ascii="Arial" w:eastAsia="Times New Roman" w:hAnsi="Arial" w:cs="Arial"/>
          <w:bCs/>
          <w:sz w:val="24"/>
          <w:szCs w:val="24"/>
          <w:lang w:val="en-GB"/>
        </w:rPr>
        <w:t>N</w:t>
      </w:r>
      <w:r w:rsidR="00AD79C0" w:rsidRPr="00774A33">
        <w:rPr>
          <w:rFonts w:ascii="Arial" w:eastAsia="Times New Roman" w:hAnsi="Arial" w:cs="Arial"/>
          <w:bCs/>
          <w:sz w:val="24"/>
          <w:szCs w:val="24"/>
          <w:lang w:val="en-GB"/>
        </w:rPr>
        <w:t xml:space="preserve">owhere in the sparse responses in the answering affidavit is the irretrievable breakdown of that relationship denied. </w:t>
      </w:r>
      <w:r w:rsidR="00AD79C0">
        <w:rPr>
          <w:rFonts w:ascii="Arial" w:eastAsia="Times New Roman" w:hAnsi="Arial" w:cs="Arial"/>
          <w:bCs/>
          <w:sz w:val="24"/>
          <w:szCs w:val="24"/>
          <w:lang w:val="en-GB"/>
        </w:rPr>
        <w:t>Despite this, c</w:t>
      </w:r>
      <w:r w:rsidR="0079476F">
        <w:rPr>
          <w:rFonts w:ascii="Arial" w:eastAsia="Times New Roman" w:hAnsi="Arial" w:cs="Arial"/>
          <w:bCs/>
          <w:sz w:val="24"/>
          <w:szCs w:val="24"/>
          <w:lang w:val="en-GB"/>
        </w:rPr>
        <w:t xml:space="preserve">ounsel for the occupiers contended </w:t>
      </w:r>
      <w:r w:rsidR="00B35114">
        <w:rPr>
          <w:rFonts w:ascii="Arial" w:eastAsia="Times New Roman" w:hAnsi="Arial" w:cs="Arial"/>
          <w:bCs/>
          <w:sz w:val="24"/>
          <w:szCs w:val="24"/>
          <w:lang w:val="en-GB"/>
        </w:rPr>
        <w:t xml:space="preserve">that </w:t>
      </w:r>
      <w:r w:rsidR="00C92F4B">
        <w:rPr>
          <w:rFonts w:ascii="Arial" w:eastAsia="Times New Roman" w:hAnsi="Arial" w:cs="Arial"/>
          <w:bCs/>
          <w:sz w:val="24"/>
          <w:szCs w:val="24"/>
          <w:lang w:val="en-GB"/>
        </w:rPr>
        <w:t xml:space="preserve">the </w:t>
      </w:r>
      <w:r w:rsidR="00E22446">
        <w:rPr>
          <w:rFonts w:ascii="Arial" w:eastAsia="Times New Roman" w:hAnsi="Arial" w:cs="Arial"/>
          <w:bCs/>
          <w:sz w:val="24"/>
          <w:szCs w:val="24"/>
          <w:lang w:val="en-GB"/>
        </w:rPr>
        <w:t xml:space="preserve">occupiers' </w:t>
      </w:r>
      <w:r w:rsidR="00C92F4B">
        <w:rPr>
          <w:rFonts w:ascii="Arial" w:eastAsia="Times New Roman" w:hAnsi="Arial" w:cs="Arial"/>
          <w:bCs/>
          <w:sz w:val="24"/>
          <w:szCs w:val="24"/>
          <w:lang w:val="en-GB"/>
        </w:rPr>
        <w:t>denial of unruly conduct described in the founding affidavit</w:t>
      </w:r>
      <w:r w:rsidR="0079476F">
        <w:rPr>
          <w:rFonts w:ascii="Arial" w:eastAsia="Times New Roman" w:hAnsi="Arial" w:cs="Arial"/>
          <w:bCs/>
          <w:sz w:val="24"/>
          <w:szCs w:val="24"/>
          <w:lang w:val="en-GB"/>
        </w:rPr>
        <w:t xml:space="preserve"> gave rise to several disputes of fact</w:t>
      </w:r>
      <w:r w:rsidR="00890F4A">
        <w:rPr>
          <w:rFonts w:ascii="Arial" w:eastAsia="Times New Roman" w:hAnsi="Arial" w:cs="Arial"/>
          <w:bCs/>
          <w:sz w:val="24"/>
          <w:szCs w:val="24"/>
          <w:lang w:val="en-GB"/>
        </w:rPr>
        <w:t xml:space="preserve">. </w:t>
      </w:r>
      <w:r w:rsidR="00E22446">
        <w:rPr>
          <w:rFonts w:ascii="Arial" w:eastAsia="Times New Roman" w:hAnsi="Arial" w:cs="Arial"/>
          <w:bCs/>
          <w:sz w:val="24"/>
          <w:szCs w:val="24"/>
          <w:lang w:val="en-GB"/>
        </w:rPr>
        <w:t xml:space="preserve">He argued that in the face of such factual disputes, </w:t>
      </w:r>
      <w:r w:rsidR="00890F4A">
        <w:rPr>
          <w:rFonts w:ascii="Arial" w:eastAsia="Times New Roman" w:hAnsi="Arial" w:cs="Arial"/>
          <w:bCs/>
          <w:sz w:val="24"/>
          <w:szCs w:val="24"/>
          <w:lang w:val="en-GB"/>
        </w:rPr>
        <w:t>the</w:t>
      </w:r>
      <w:r w:rsidR="00403307">
        <w:rPr>
          <w:rFonts w:ascii="Arial" w:eastAsia="Times New Roman" w:hAnsi="Arial" w:cs="Arial"/>
          <w:bCs/>
          <w:sz w:val="24"/>
          <w:szCs w:val="24"/>
          <w:lang w:val="en-GB"/>
        </w:rPr>
        <w:t xml:space="preserve"> </w:t>
      </w:r>
      <w:r w:rsidR="008F65BD">
        <w:rPr>
          <w:rFonts w:ascii="Arial" w:eastAsia="Times New Roman" w:hAnsi="Arial" w:cs="Arial"/>
          <w:bCs/>
          <w:sz w:val="24"/>
          <w:szCs w:val="24"/>
          <w:lang w:val="en-GB"/>
        </w:rPr>
        <w:t>LCC was</w:t>
      </w:r>
      <w:r w:rsidR="00AA372C">
        <w:rPr>
          <w:rFonts w:ascii="Arial" w:eastAsia="Times New Roman" w:hAnsi="Arial" w:cs="Arial"/>
          <w:bCs/>
          <w:sz w:val="24"/>
          <w:szCs w:val="24"/>
          <w:lang w:val="en-GB"/>
        </w:rPr>
        <w:t xml:space="preserve">, in terms of the </w:t>
      </w:r>
      <w:r w:rsidR="00DC2147" w:rsidRPr="001B33EF">
        <w:rPr>
          <w:rFonts w:ascii="Arial" w:eastAsia="Times New Roman" w:hAnsi="Arial" w:cs="Arial"/>
          <w:bCs/>
          <w:i/>
          <w:iCs/>
          <w:sz w:val="24"/>
          <w:szCs w:val="24"/>
          <w:lang w:val="en-GB"/>
        </w:rPr>
        <w:t>Plascon-Evans</w:t>
      </w:r>
      <w:r w:rsidR="00DC2147">
        <w:rPr>
          <w:rFonts w:ascii="Arial" w:eastAsia="Times New Roman" w:hAnsi="Arial" w:cs="Arial"/>
          <w:bCs/>
          <w:sz w:val="24"/>
          <w:szCs w:val="24"/>
          <w:lang w:val="en-GB"/>
        </w:rPr>
        <w:t xml:space="preserve"> </w:t>
      </w:r>
      <w:r w:rsidR="00636689">
        <w:rPr>
          <w:rFonts w:ascii="Arial" w:eastAsia="Times New Roman" w:hAnsi="Arial" w:cs="Arial"/>
          <w:bCs/>
          <w:sz w:val="24"/>
          <w:szCs w:val="24"/>
          <w:lang w:val="en-GB"/>
        </w:rPr>
        <w:t>principle</w:t>
      </w:r>
      <w:r w:rsidR="00AA372C">
        <w:rPr>
          <w:rFonts w:ascii="Arial" w:eastAsia="Times New Roman" w:hAnsi="Arial" w:cs="Arial"/>
          <w:bCs/>
          <w:sz w:val="24"/>
          <w:szCs w:val="24"/>
          <w:lang w:val="en-GB"/>
        </w:rPr>
        <w:t>,</w:t>
      </w:r>
      <w:r w:rsidR="00DC2147">
        <w:rPr>
          <w:rFonts w:ascii="Arial" w:eastAsia="Times New Roman" w:hAnsi="Arial" w:cs="Arial"/>
          <w:bCs/>
          <w:sz w:val="24"/>
          <w:szCs w:val="24"/>
          <w:lang w:val="en-GB"/>
        </w:rPr>
        <w:t xml:space="preserve"> </w:t>
      </w:r>
      <w:r w:rsidR="001B33EF">
        <w:rPr>
          <w:rFonts w:ascii="Arial" w:eastAsia="Times New Roman" w:hAnsi="Arial" w:cs="Arial"/>
          <w:bCs/>
          <w:sz w:val="24"/>
          <w:szCs w:val="24"/>
          <w:lang w:val="en-GB"/>
        </w:rPr>
        <w:t xml:space="preserve">enjoined to decide the matter </w:t>
      </w:r>
      <w:r w:rsidR="00890F4A">
        <w:rPr>
          <w:rFonts w:ascii="Arial" w:eastAsia="Times New Roman" w:hAnsi="Arial" w:cs="Arial"/>
          <w:bCs/>
          <w:sz w:val="24"/>
          <w:szCs w:val="24"/>
          <w:lang w:val="en-GB"/>
        </w:rPr>
        <w:t xml:space="preserve">on the </w:t>
      </w:r>
      <w:r w:rsidR="00DC2147">
        <w:rPr>
          <w:rFonts w:ascii="Arial" w:eastAsia="Times New Roman" w:hAnsi="Arial" w:cs="Arial"/>
          <w:bCs/>
          <w:sz w:val="24"/>
          <w:szCs w:val="24"/>
          <w:lang w:val="en-GB"/>
        </w:rPr>
        <w:t xml:space="preserve">facts averred in the occupiers’ </w:t>
      </w:r>
      <w:r w:rsidR="00636689">
        <w:rPr>
          <w:rFonts w:ascii="Arial" w:eastAsia="Times New Roman" w:hAnsi="Arial" w:cs="Arial"/>
          <w:bCs/>
          <w:sz w:val="24"/>
          <w:szCs w:val="24"/>
          <w:lang w:val="en-GB"/>
        </w:rPr>
        <w:t xml:space="preserve">answering </w:t>
      </w:r>
      <w:r w:rsidR="00DC2147">
        <w:rPr>
          <w:rFonts w:ascii="Arial" w:eastAsia="Times New Roman" w:hAnsi="Arial" w:cs="Arial"/>
          <w:bCs/>
          <w:sz w:val="24"/>
          <w:szCs w:val="24"/>
          <w:lang w:val="en-GB"/>
        </w:rPr>
        <w:t>affidavit, as they were the respondents</w:t>
      </w:r>
      <w:r w:rsidR="00424B48">
        <w:rPr>
          <w:rFonts w:ascii="Arial" w:eastAsia="Times New Roman" w:hAnsi="Arial" w:cs="Arial"/>
          <w:bCs/>
          <w:sz w:val="24"/>
          <w:szCs w:val="24"/>
          <w:lang w:val="en-GB"/>
        </w:rPr>
        <w:t xml:space="preserve">. </w:t>
      </w:r>
      <w:r w:rsidR="00961D56">
        <w:rPr>
          <w:rFonts w:ascii="Arial" w:eastAsia="Times New Roman" w:hAnsi="Arial" w:cs="Arial"/>
          <w:bCs/>
          <w:sz w:val="24"/>
          <w:szCs w:val="24"/>
          <w:lang w:val="en-GB"/>
        </w:rPr>
        <w:t>In my opinion, on</w:t>
      </w:r>
      <w:r w:rsidR="0042412B">
        <w:rPr>
          <w:rFonts w:ascii="Arial" w:eastAsia="Times New Roman" w:hAnsi="Arial" w:cs="Arial"/>
          <w:bCs/>
          <w:sz w:val="24"/>
          <w:szCs w:val="24"/>
          <w:lang w:val="en-GB"/>
        </w:rPr>
        <w:t>e</w:t>
      </w:r>
      <w:r w:rsidR="00961D56">
        <w:rPr>
          <w:rFonts w:ascii="Arial" w:eastAsia="Times New Roman" w:hAnsi="Arial" w:cs="Arial"/>
          <w:bCs/>
          <w:sz w:val="24"/>
          <w:szCs w:val="24"/>
          <w:lang w:val="en-GB"/>
        </w:rPr>
        <w:t xml:space="preserve"> of the</w:t>
      </w:r>
      <w:r w:rsidR="00B80C8F">
        <w:rPr>
          <w:rFonts w:ascii="Arial" w:eastAsia="Times New Roman" w:hAnsi="Arial" w:cs="Arial"/>
          <w:bCs/>
          <w:sz w:val="24"/>
          <w:szCs w:val="24"/>
          <w:lang w:val="en-GB"/>
        </w:rPr>
        <w:t xml:space="preserve"> </w:t>
      </w:r>
      <w:r w:rsidR="001D0596">
        <w:rPr>
          <w:rFonts w:ascii="Arial" w:eastAsia="Times New Roman" w:hAnsi="Arial" w:cs="Arial"/>
          <w:bCs/>
          <w:sz w:val="24"/>
          <w:szCs w:val="24"/>
          <w:lang w:val="en-GB"/>
        </w:rPr>
        <w:lastRenderedPageBreak/>
        <w:t>exception</w:t>
      </w:r>
      <w:r w:rsidR="00961D56">
        <w:rPr>
          <w:rFonts w:ascii="Arial" w:eastAsia="Times New Roman" w:hAnsi="Arial" w:cs="Arial"/>
          <w:bCs/>
          <w:sz w:val="24"/>
          <w:szCs w:val="24"/>
          <w:lang w:val="en-GB"/>
        </w:rPr>
        <w:t>s</w:t>
      </w:r>
      <w:r w:rsidR="001D0596">
        <w:rPr>
          <w:rFonts w:ascii="Arial" w:eastAsia="Times New Roman" w:hAnsi="Arial" w:cs="Arial"/>
          <w:bCs/>
          <w:sz w:val="24"/>
          <w:szCs w:val="24"/>
          <w:lang w:val="en-GB"/>
        </w:rPr>
        <w:t xml:space="preserve"> to the </w:t>
      </w:r>
      <w:r w:rsidR="00424B48">
        <w:rPr>
          <w:rFonts w:ascii="Arial" w:eastAsia="Times New Roman" w:hAnsi="Arial" w:cs="Arial"/>
          <w:bCs/>
          <w:sz w:val="24"/>
          <w:szCs w:val="24"/>
          <w:lang w:val="en-GB"/>
        </w:rPr>
        <w:t xml:space="preserve">general </w:t>
      </w:r>
      <w:r w:rsidR="007E4456">
        <w:rPr>
          <w:rFonts w:ascii="Arial" w:eastAsia="Times New Roman" w:hAnsi="Arial" w:cs="Arial"/>
          <w:bCs/>
          <w:sz w:val="24"/>
          <w:szCs w:val="24"/>
          <w:lang w:val="en-GB"/>
        </w:rPr>
        <w:t xml:space="preserve">rule laid down in </w:t>
      </w:r>
      <w:r w:rsidR="007E4456" w:rsidRPr="007E4456">
        <w:rPr>
          <w:rFonts w:ascii="Arial" w:eastAsia="Times New Roman" w:hAnsi="Arial" w:cs="Arial"/>
          <w:bCs/>
          <w:i/>
          <w:iCs/>
          <w:sz w:val="24"/>
          <w:szCs w:val="24"/>
          <w:lang w:val="en-GB"/>
        </w:rPr>
        <w:t>Plasco</w:t>
      </w:r>
      <w:r w:rsidR="000E0216" w:rsidRPr="007E4456">
        <w:rPr>
          <w:rFonts w:ascii="Arial" w:eastAsia="Times New Roman" w:hAnsi="Arial" w:cs="Arial"/>
          <w:bCs/>
          <w:i/>
          <w:iCs/>
          <w:sz w:val="24"/>
          <w:szCs w:val="24"/>
          <w:lang w:val="en-GB"/>
        </w:rPr>
        <w:t>n</w:t>
      </w:r>
      <w:r w:rsidR="001D0596" w:rsidRPr="007E4456">
        <w:rPr>
          <w:rFonts w:ascii="Arial" w:eastAsia="Times New Roman" w:hAnsi="Arial" w:cs="Arial"/>
          <w:bCs/>
          <w:i/>
          <w:iCs/>
          <w:sz w:val="24"/>
          <w:szCs w:val="24"/>
          <w:lang w:val="en-GB"/>
        </w:rPr>
        <w:t>-Evan</w:t>
      </w:r>
      <w:r w:rsidR="007E4456" w:rsidRPr="007E4456">
        <w:rPr>
          <w:rFonts w:ascii="Arial" w:eastAsia="Times New Roman" w:hAnsi="Arial" w:cs="Arial"/>
          <w:bCs/>
          <w:i/>
          <w:iCs/>
          <w:sz w:val="24"/>
          <w:szCs w:val="24"/>
          <w:lang w:val="en-GB"/>
        </w:rPr>
        <w:t>s</w:t>
      </w:r>
      <w:r w:rsidR="007E4456">
        <w:rPr>
          <w:rFonts w:ascii="Arial" w:eastAsia="Times New Roman" w:hAnsi="Arial" w:cs="Arial"/>
          <w:bCs/>
          <w:sz w:val="24"/>
          <w:szCs w:val="24"/>
          <w:lang w:val="en-GB"/>
        </w:rPr>
        <w:t xml:space="preserve"> </w:t>
      </w:r>
      <w:r w:rsidR="00767749">
        <w:rPr>
          <w:rFonts w:ascii="Arial" w:eastAsia="Times New Roman" w:hAnsi="Arial" w:cs="Arial"/>
          <w:bCs/>
          <w:sz w:val="24"/>
          <w:szCs w:val="24"/>
          <w:lang w:val="en-GB"/>
        </w:rPr>
        <w:t>does not support counsel’s contention</w:t>
      </w:r>
      <w:r w:rsidR="006C242E">
        <w:rPr>
          <w:rFonts w:ascii="Arial" w:eastAsia="Times New Roman" w:hAnsi="Arial" w:cs="Arial"/>
          <w:bCs/>
          <w:sz w:val="24"/>
          <w:szCs w:val="24"/>
          <w:lang w:val="en-GB"/>
        </w:rPr>
        <w:t xml:space="preserve"> because the occupiers’ bald denials in the face of </w:t>
      </w:r>
      <w:r w:rsidR="00EF63B9">
        <w:rPr>
          <w:rFonts w:ascii="Arial" w:eastAsia="Times New Roman" w:hAnsi="Arial" w:cs="Arial"/>
          <w:bCs/>
          <w:sz w:val="24"/>
          <w:szCs w:val="24"/>
          <w:lang w:val="en-GB"/>
        </w:rPr>
        <w:t xml:space="preserve">detailed </w:t>
      </w:r>
      <w:r w:rsidR="006C242E">
        <w:rPr>
          <w:rFonts w:ascii="Arial" w:eastAsia="Times New Roman" w:hAnsi="Arial" w:cs="Arial"/>
          <w:bCs/>
          <w:sz w:val="24"/>
          <w:szCs w:val="24"/>
          <w:lang w:val="en-GB"/>
        </w:rPr>
        <w:t xml:space="preserve">averments borne out </w:t>
      </w:r>
      <w:r w:rsidR="00EF5F0C">
        <w:rPr>
          <w:rFonts w:ascii="Arial" w:eastAsia="Times New Roman" w:hAnsi="Arial" w:cs="Arial"/>
          <w:bCs/>
          <w:sz w:val="24"/>
          <w:szCs w:val="24"/>
          <w:lang w:val="en-GB"/>
        </w:rPr>
        <w:t>by photographs did not amount to a genuine dispute of facts</w:t>
      </w:r>
      <w:r w:rsidR="00767749">
        <w:rPr>
          <w:rFonts w:ascii="Arial" w:eastAsia="Times New Roman" w:hAnsi="Arial" w:cs="Arial"/>
          <w:bCs/>
          <w:sz w:val="24"/>
          <w:szCs w:val="24"/>
          <w:lang w:val="en-GB"/>
        </w:rPr>
        <w:t xml:space="preserve">. This exception was articulated as follows </w:t>
      </w:r>
      <w:r w:rsidR="00A6016A">
        <w:rPr>
          <w:rFonts w:ascii="Arial" w:eastAsia="Times New Roman" w:hAnsi="Arial" w:cs="Arial"/>
          <w:bCs/>
          <w:sz w:val="24"/>
          <w:szCs w:val="24"/>
          <w:lang w:val="en-GB"/>
        </w:rPr>
        <w:t xml:space="preserve">in </w:t>
      </w:r>
      <w:r w:rsidR="00774A33" w:rsidRPr="00774A33">
        <w:rPr>
          <w:rFonts w:ascii="Arial" w:eastAsia="Times New Roman" w:hAnsi="Arial" w:cs="Arial"/>
          <w:bCs/>
          <w:i/>
          <w:iCs/>
          <w:sz w:val="24"/>
          <w:szCs w:val="24"/>
          <w:lang w:val="en-GB"/>
        </w:rPr>
        <w:t>Rail Commuters Action Group v Transnet Limited t/a Metrorail</w:t>
      </w:r>
      <w:r w:rsidR="00A6016A" w:rsidRPr="00A6016A">
        <w:rPr>
          <w:rFonts w:ascii="Arial" w:eastAsia="Times New Roman" w:hAnsi="Arial" w:cs="Arial"/>
          <w:bCs/>
          <w:sz w:val="24"/>
          <w:szCs w:val="24"/>
          <w:lang w:val="en-GB"/>
        </w:rPr>
        <w:t>:</w:t>
      </w:r>
      <w:r w:rsidR="00774A33" w:rsidRPr="00774A33">
        <w:rPr>
          <w:rFonts w:ascii="Arial" w:eastAsia="Times New Roman" w:hAnsi="Arial" w:cs="Times New Roman"/>
          <w:bCs/>
          <w:sz w:val="24"/>
          <w:szCs w:val="24"/>
          <w:vertAlign w:val="superscript"/>
          <w:lang w:val="en-GB"/>
        </w:rPr>
        <w:footnoteReference w:id="9"/>
      </w:r>
    </w:p>
    <w:p w14:paraId="43EC0D04" w14:textId="2A7A6C3C" w:rsidR="00774A33" w:rsidRPr="00774A33" w:rsidRDefault="00774A33" w:rsidP="00774A33">
      <w:pPr>
        <w:tabs>
          <w:tab w:val="left" w:pos="-1440"/>
        </w:tabs>
        <w:spacing w:after="0" w:line="360" w:lineRule="auto"/>
        <w:ind w:right="26"/>
        <w:jc w:val="both"/>
        <w:rPr>
          <w:rFonts w:ascii="Arial" w:eastAsia="Times New Roman" w:hAnsi="Arial" w:cs="Arial"/>
          <w:bCs/>
          <w:lang w:val="en-GB"/>
        </w:rPr>
      </w:pPr>
      <w:r w:rsidRPr="00774A33">
        <w:rPr>
          <w:rFonts w:ascii="Arial" w:eastAsia="Times New Roman" w:hAnsi="Arial" w:cs="Arial"/>
          <w:bCs/>
          <w:lang w:val="en-GB"/>
        </w:rPr>
        <w:t xml:space="preserve">‘In assessing a dispute of fact on motion proceedings, the rules developed by our courts to address such disputes will be applied by this Court in constitutional matters. Ordinarily, the Court will consider those facts alleged by the applicant and admitted by the respondent together with the facts as stated by the respondent to consider whether relief should be granted. Where however a denial by a respondent is not real, genuine or in good faith, the respondent has not sought that the dispute be referred to evidence, and the Court is persuaded of the inherent credibility of the facts asserted by an applicant, the Court may adjudicate the matter on the basis of the facts asserted by the applicant. Given that it is the applicant who institutes proceedings, and who can therefore choose whether to proceed on motion or by way of summons, this rule restated and refined as it was in </w:t>
      </w:r>
      <w:r w:rsidRPr="00774A33">
        <w:rPr>
          <w:rFonts w:ascii="Arial" w:eastAsia="Times New Roman" w:hAnsi="Arial" w:cs="Arial"/>
          <w:bCs/>
          <w:i/>
          <w:iCs/>
          <w:lang w:val="en-GB"/>
        </w:rPr>
        <w:t xml:space="preserve">Plascon-Evans Paints Ltd v Van Riebeeck Paints (Pty) Ltd </w:t>
      </w:r>
      <w:r w:rsidRPr="00774A33">
        <w:rPr>
          <w:rFonts w:ascii="Arial" w:eastAsia="Times New Roman" w:hAnsi="Arial" w:cs="Arial"/>
          <w:bCs/>
          <w:lang w:val="en-GB"/>
        </w:rPr>
        <w:t>is a fair and equitable one.’</w:t>
      </w:r>
    </w:p>
    <w:p w14:paraId="51BC2C71" w14:textId="6A11A8DA"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 xml:space="preserve">In my view, the LCC should have applied the principle set out in this passage in order to reach its verdict. </w:t>
      </w:r>
      <w:r w:rsidR="00547FB3" w:rsidRPr="00547FB3">
        <w:rPr>
          <w:rFonts w:ascii="Arial" w:eastAsia="Times New Roman" w:hAnsi="Arial" w:cs="Arial"/>
          <w:bCs/>
          <w:sz w:val="24"/>
          <w:szCs w:val="24"/>
          <w:lang w:val="en-GB"/>
        </w:rPr>
        <w:t>In failing to do so, it materially misdirected itself.</w:t>
      </w:r>
    </w:p>
    <w:p w14:paraId="3B01CAA9" w14:textId="77777777"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482323BB" w14:textId="38240F1C" w:rsidR="00DA4894"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[2</w:t>
      </w:r>
      <w:r w:rsidR="00012AF4">
        <w:rPr>
          <w:rFonts w:ascii="Arial" w:eastAsia="Times New Roman" w:hAnsi="Arial" w:cs="Arial"/>
          <w:bCs/>
          <w:sz w:val="24"/>
          <w:szCs w:val="24"/>
          <w:lang w:val="en-GB"/>
        </w:rPr>
        <w:t>5</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t xml:space="preserve">It is of </w:t>
      </w:r>
      <w:r w:rsidRPr="00D958C4">
        <w:rPr>
          <w:rFonts w:ascii="Arial" w:eastAsia="Times New Roman" w:hAnsi="Arial" w:cs="Arial"/>
          <w:bCs/>
          <w:sz w:val="24"/>
          <w:szCs w:val="24"/>
          <w:lang w:val="en-GB"/>
        </w:rPr>
        <w:t xml:space="preserve">significance that the occupiers have rejected all the Trust’s </w:t>
      </w:r>
      <w:r w:rsidR="00F64086" w:rsidRPr="00D958C4">
        <w:rPr>
          <w:rFonts w:ascii="Arial" w:eastAsia="Times New Roman" w:hAnsi="Arial" w:cs="Arial"/>
          <w:bCs/>
          <w:sz w:val="24"/>
          <w:szCs w:val="24"/>
          <w:lang w:val="en-GB"/>
        </w:rPr>
        <w:t xml:space="preserve">attempts </w:t>
      </w:r>
      <w:r w:rsidRPr="00D958C4">
        <w:rPr>
          <w:rFonts w:ascii="Arial" w:eastAsia="Times New Roman" w:hAnsi="Arial" w:cs="Arial"/>
          <w:bCs/>
          <w:sz w:val="24"/>
          <w:szCs w:val="24"/>
          <w:lang w:val="en-GB"/>
        </w:rPr>
        <w:t xml:space="preserve">at brokering an amicable resolution of the impasse. </w:t>
      </w:r>
      <w:r w:rsidR="00797AFC" w:rsidRPr="00D958C4">
        <w:rPr>
          <w:rFonts w:ascii="Arial" w:eastAsia="Times New Roman" w:hAnsi="Arial" w:cs="Arial"/>
          <w:bCs/>
          <w:sz w:val="24"/>
          <w:szCs w:val="24"/>
          <w:lang w:val="en-GB"/>
        </w:rPr>
        <w:t xml:space="preserve">Section </w:t>
      </w:r>
      <w:r w:rsidRPr="00D958C4">
        <w:rPr>
          <w:rFonts w:ascii="Arial" w:eastAsia="Times New Roman" w:hAnsi="Arial" w:cs="Arial"/>
          <w:bCs/>
          <w:sz w:val="24"/>
          <w:szCs w:val="24"/>
          <w:lang w:val="en-GB"/>
        </w:rPr>
        <w:t>8(7)</w:t>
      </w:r>
      <w:r w:rsidR="00906492" w:rsidRPr="00D958C4">
        <w:rPr>
          <w:rFonts w:ascii="Arial" w:eastAsia="Times New Roman" w:hAnsi="Arial" w:cs="Arial"/>
          <w:bCs/>
          <w:i/>
          <w:iCs/>
          <w:sz w:val="24"/>
          <w:szCs w:val="24"/>
          <w:lang w:val="en-GB"/>
        </w:rPr>
        <w:t>(a)</w:t>
      </w:r>
      <w:r w:rsidR="0024704B" w:rsidRPr="00D958C4">
        <w:rPr>
          <w:rFonts w:ascii="Arial" w:eastAsia="Times New Roman" w:hAnsi="Arial" w:cs="Arial"/>
          <w:bCs/>
          <w:sz w:val="24"/>
          <w:szCs w:val="24"/>
          <w:lang w:val="en-GB"/>
        </w:rPr>
        <w:t xml:space="preserve"> of ESTA</w:t>
      </w:r>
      <w:r w:rsidRPr="00D958C4">
        <w:rPr>
          <w:rFonts w:ascii="Arial" w:eastAsia="Times New Roman" w:hAnsi="Arial" w:cs="Arial"/>
          <w:bCs/>
          <w:sz w:val="24"/>
          <w:szCs w:val="24"/>
          <w:lang w:val="en-GB"/>
        </w:rPr>
        <w:t xml:space="preserve"> stipulates that ‘if an occupier’s right </w:t>
      </w:r>
      <w:r w:rsidR="00F21FED" w:rsidRPr="00D958C4">
        <w:rPr>
          <w:rFonts w:ascii="Arial" w:eastAsia="Times New Roman" w:hAnsi="Arial" w:cs="Arial"/>
          <w:bCs/>
          <w:sz w:val="24"/>
          <w:szCs w:val="24"/>
          <w:lang w:val="en-GB"/>
        </w:rPr>
        <w:t xml:space="preserve">to residence </w:t>
      </w:r>
      <w:r w:rsidRPr="00D958C4">
        <w:rPr>
          <w:rFonts w:ascii="Arial" w:eastAsia="Times New Roman" w:hAnsi="Arial" w:cs="Arial"/>
          <w:bCs/>
          <w:sz w:val="24"/>
          <w:szCs w:val="24"/>
          <w:lang w:val="en-GB"/>
        </w:rPr>
        <w:t xml:space="preserve">has been terminated . . . the occupier and the owner or person in charge may agree that the terms and conditions under which the occupier resided </w:t>
      </w:r>
      <w:r w:rsidR="003E29AF" w:rsidRPr="00D958C4">
        <w:rPr>
          <w:rFonts w:ascii="Arial" w:eastAsia="Times New Roman" w:hAnsi="Arial" w:cs="Arial"/>
          <w:bCs/>
          <w:sz w:val="24"/>
          <w:szCs w:val="24"/>
          <w:lang w:val="en-GB"/>
        </w:rPr>
        <w:t xml:space="preserve">on </w:t>
      </w:r>
      <w:r w:rsidRPr="00D958C4">
        <w:rPr>
          <w:rFonts w:ascii="Arial" w:eastAsia="Times New Roman" w:hAnsi="Arial" w:cs="Arial"/>
          <w:bCs/>
          <w:sz w:val="24"/>
          <w:szCs w:val="24"/>
          <w:lang w:val="en-GB"/>
        </w:rPr>
        <w:t xml:space="preserve">the land prior to such termination shall apply to any period </w:t>
      </w:r>
      <w:r w:rsidR="00C70F67" w:rsidRPr="00D958C4">
        <w:rPr>
          <w:rFonts w:ascii="Arial" w:eastAsia="Times New Roman" w:hAnsi="Arial" w:cs="Arial"/>
          <w:bCs/>
          <w:sz w:val="24"/>
          <w:szCs w:val="24"/>
          <w:lang w:val="en-GB"/>
        </w:rPr>
        <w:t xml:space="preserve">between the date </w:t>
      </w:r>
      <w:r w:rsidRPr="00D958C4">
        <w:rPr>
          <w:rFonts w:ascii="Arial" w:eastAsia="Times New Roman" w:hAnsi="Arial" w:cs="Arial"/>
          <w:bCs/>
          <w:sz w:val="24"/>
          <w:szCs w:val="24"/>
          <w:lang w:val="en-GB"/>
        </w:rPr>
        <w:t xml:space="preserve">of termination and the date of the eviction of the occupier’. </w:t>
      </w:r>
      <w:r w:rsidR="00CC16D3" w:rsidRPr="00D958C4">
        <w:rPr>
          <w:rFonts w:ascii="Arial" w:eastAsia="Times New Roman" w:hAnsi="Arial" w:cs="Arial"/>
          <w:bCs/>
          <w:sz w:val="24"/>
          <w:szCs w:val="24"/>
          <w:lang w:val="en-GB"/>
        </w:rPr>
        <w:t xml:space="preserve">I have already alluded to the fact that the </w:t>
      </w:r>
      <w:r w:rsidR="00470680" w:rsidRPr="00D958C4">
        <w:rPr>
          <w:rFonts w:ascii="Arial" w:eastAsia="Times New Roman" w:hAnsi="Arial" w:cs="Arial"/>
          <w:bCs/>
          <w:sz w:val="24"/>
          <w:szCs w:val="24"/>
          <w:lang w:val="en-GB"/>
        </w:rPr>
        <w:t>Trust’s case was that the occupiers had flouted various</w:t>
      </w:r>
      <w:r w:rsidR="00470680">
        <w:rPr>
          <w:rFonts w:ascii="Arial" w:eastAsia="Times New Roman" w:hAnsi="Arial" w:cs="Arial"/>
          <w:bCs/>
          <w:sz w:val="24"/>
          <w:szCs w:val="24"/>
          <w:lang w:val="en-GB"/>
        </w:rPr>
        <w:t xml:space="preserve"> house rules</w:t>
      </w:r>
      <w:r w:rsidR="001C2C9B">
        <w:rPr>
          <w:rFonts w:ascii="Arial" w:eastAsia="Times New Roman" w:hAnsi="Arial" w:cs="Arial"/>
          <w:bCs/>
          <w:sz w:val="24"/>
          <w:szCs w:val="24"/>
          <w:lang w:val="en-GB"/>
        </w:rPr>
        <w:t xml:space="preserve"> that had been agreed upon in terms of the lease agreement</w:t>
      </w:r>
      <w:r w:rsidR="00470680">
        <w:rPr>
          <w:rFonts w:ascii="Arial" w:eastAsia="Times New Roman" w:hAnsi="Arial" w:cs="Arial"/>
          <w:bCs/>
          <w:sz w:val="24"/>
          <w:szCs w:val="24"/>
          <w:lang w:val="en-GB"/>
        </w:rPr>
        <w:t xml:space="preserve">. </w:t>
      </w:r>
      <w:r w:rsidR="001C2C9B">
        <w:rPr>
          <w:rFonts w:ascii="Arial" w:eastAsia="Times New Roman" w:hAnsi="Arial" w:cs="Arial"/>
          <w:bCs/>
          <w:sz w:val="24"/>
          <w:szCs w:val="24"/>
          <w:lang w:val="en-GB"/>
        </w:rPr>
        <w:t xml:space="preserve">One of them, which the </w:t>
      </w:r>
      <w:r w:rsidR="005C099C">
        <w:rPr>
          <w:rFonts w:ascii="Arial" w:eastAsia="Times New Roman" w:hAnsi="Arial" w:cs="Arial"/>
          <w:bCs/>
          <w:sz w:val="24"/>
          <w:szCs w:val="24"/>
          <w:lang w:val="en-GB"/>
        </w:rPr>
        <w:t>occupiers admitted disregarding, was the</w:t>
      </w:r>
      <w:r w:rsidR="00D745F5">
        <w:rPr>
          <w:rFonts w:ascii="Arial" w:eastAsia="Times New Roman" w:hAnsi="Arial" w:cs="Arial"/>
          <w:bCs/>
          <w:sz w:val="24"/>
          <w:szCs w:val="24"/>
          <w:lang w:val="en-GB"/>
        </w:rPr>
        <w:t>ir</w:t>
      </w:r>
      <w:r w:rsidR="005C099C">
        <w:rPr>
          <w:rFonts w:ascii="Arial" w:eastAsia="Times New Roman" w:hAnsi="Arial" w:cs="Arial"/>
          <w:bCs/>
          <w:sz w:val="24"/>
          <w:szCs w:val="24"/>
          <w:lang w:val="en-GB"/>
        </w:rPr>
        <w:t xml:space="preserve"> liability for the payment of rental</w:t>
      </w:r>
      <w:r w:rsidR="00D745F5">
        <w:rPr>
          <w:rFonts w:ascii="Arial" w:eastAsia="Times New Roman" w:hAnsi="Arial" w:cs="Arial"/>
          <w:bCs/>
          <w:sz w:val="24"/>
          <w:szCs w:val="24"/>
          <w:lang w:val="en-GB"/>
        </w:rPr>
        <w:t xml:space="preserve"> and the fact that rental had not been paid since the employment relationship ended in 2011</w:t>
      </w:r>
      <w:r w:rsidR="005C099C">
        <w:rPr>
          <w:rFonts w:ascii="Arial" w:eastAsia="Times New Roman" w:hAnsi="Arial" w:cs="Arial"/>
          <w:bCs/>
          <w:sz w:val="24"/>
          <w:szCs w:val="24"/>
          <w:lang w:val="en-GB"/>
        </w:rPr>
        <w:t xml:space="preserve">. </w:t>
      </w:r>
      <w:r w:rsidRPr="00774A33">
        <w:rPr>
          <w:rFonts w:ascii="Arial" w:eastAsia="Times New Roman" w:hAnsi="Arial" w:cs="Arial"/>
          <w:bCs/>
          <w:sz w:val="24"/>
          <w:szCs w:val="24"/>
          <w:lang w:val="en-GB"/>
        </w:rPr>
        <w:t xml:space="preserve">It is undisputed that the occupiers were invited to several meetings </w:t>
      </w:r>
      <w:r w:rsidRPr="00774A33">
        <w:rPr>
          <w:rFonts w:ascii="Arial" w:eastAsia="Times New Roman" w:hAnsi="Arial" w:cs="Arial"/>
          <w:bCs/>
          <w:sz w:val="24"/>
          <w:szCs w:val="24"/>
          <w:lang w:val="en-GB"/>
        </w:rPr>
        <w:lastRenderedPageBreak/>
        <w:t>where they were invited to make representations pertaining to their continued occupation of the farm, but none of them attended such meetings.</w:t>
      </w:r>
    </w:p>
    <w:p w14:paraId="4EC8868B" w14:textId="14BE216D"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1C169ACA" w14:textId="5C218AFE" w:rsidR="005D66A6" w:rsidRDefault="00774A33" w:rsidP="005D66A6">
      <w:pPr>
        <w:tabs>
          <w:tab w:val="left" w:pos="-1440"/>
        </w:tabs>
        <w:spacing w:after="0" w:line="360" w:lineRule="auto"/>
        <w:ind w:right="26"/>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[2</w:t>
      </w:r>
      <w:r w:rsidR="00012AF4">
        <w:rPr>
          <w:rFonts w:ascii="Arial" w:eastAsia="Times New Roman" w:hAnsi="Arial" w:cs="Arial"/>
          <w:bCs/>
          <w:sz w:val="24"/>
          <w:szCs w:val="24"/>
          <w:lang w:val="en-GB"/>
        </w:rPr>
        <w:t>6</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r>
      <w:r w:rsidR="009D3DCB">
        <w:rPr>
          <w:rFonts w:ascii="Arial" w:eastAsia="Times New Roman" w:hAnsi="Arial" w:cs="Arial"/>
          <w:bCs/>
          <w:sz w:val="24"/>
          <w:szCs w:val="24"/>
          <w:lang w:val="en-GB"/>
        </w:rPr>
        <w:t>T</w:t>
      </w:r>
      <w:r w:rsidR="005D66A6">
        <w:rPr>
          <w:rFonts w:ascii="Arial" w:eastAsia="Times New Roman" w:hAnsi="Arial" w:cs="Arial"/>
          <w:bCs/>
          <w:sz w:val="24"/>
          <w:szCs w:val="24"/>
          <w:lang w:val="en-GB"/>
        </w:rPr>
        <w:t xml:space="preserve">he answering affidavit made no attempt to respond to the following averments set out in the founding affidavit: </w:t>
      </w:r>
    </w:p>
    <w:p w14:paraId="2A3CF0B4" w14:textId="77777777" w:rsidR="005D66A6" w:rsidRDefault="005D66A6" w:rsidP="005D66A6">
      <w:pPr>
        <w:tabs>
          <w:tab w:val="left" w:pos="-1440"/>
        </w:tabs>
        <w:spacing w:after="0" w:line="360" w:lineRule="auto"/>
        <w:ind w:right="26"/>
        <w:jc w:val="both"/>
        <w:rPr>
          <w:rFonts w:ascii="Arial" w:eastAsia="Times New Roman" w:hAnsi="Arial" w:cs="Arial"/>
          <w:bCs/>
          <w:lang w:val="en-GB"/>
        </w:rPr>
      </w:pPr>
      <w:r>
        <w:rPr>
          <w:rFonts w:ascii="Arial" w:eastAsia="Times New Roman" w:hAnsi="Arial" w:cs="Arial"/>
          <w:bCs/>
          <w:lang w:val="en-GB"/>
        </w:rPr>
        <w:t xml:space="preserve">‘During May 2018 notices were delivered at every one of the relevant premises by the Sheriff. Essentially 2 separate notices were delivered, one to whichsoever member of the household had previously had a direct right to occupy, and one delivered to each member of his family. In this regard I attach hereto the notices delivered to the first and second respondents marked as Annexures “FA 22(a)” and “FA22(b)” respectively, in which notices, </w:t>
      </w:r>
      <w:r w:rsidRPr="00BE1288">
        <w:rPr>
          <w:rFonts w:ascii="Arial" w:eastAsia="Times New Roman" w:hAnsi="Arial" w:cs="Arial"/>
          <w:bCs/>
          <w:i/>
          <w:iCs/>
          <w:lang w:val="en-GB"/>
        </w:rPr>
        <w:t>inter alia</w:t>
      </w:r>
      <w:r>
        <w:rPr>
          <w:rFonts w:ascii="Arial" w:eastAsia="Times New Roman" w:hAnsi="Arial" w:cs="Arial"/>
          <w:bCs/>
          <w:lang w:val="en-GB"/>
        </w:rPr>
        <w:t>, the following was recorded.</w:t>
      </w:r>
    </w:p>
    <w:p w14:paraId="7EEB0181" w14:textId="36978352" w:rsidR="005D66A6" w:rsidRDefault="005D66A6" w:rsidP="005D66A6">
      <w:pPr>
        <w:tabs>
          <w:tab w:val="left" w:pos="-1440"/>
        </w:tabs>
        <w:spacing w:after="0" w:line="360" w:lineRule="auto"/>
        <w:ind w:right="26"/>
        <w:jc w:val="both"/>
        <w:rPr>
          <w:rFonts w:ascii="Arial" w:eastAsia="Times New Roman" w:hAnsi="Arial" w:cs="Arial"/>
          <w:bCs/>
          <w:lang w:val="en-GB"/>
        </w:rPr>
      </w:pPr>
      <w:r>
        <w:rPr>
          <w:rFonts w:ascii="Arial" w:eastAsia="Times New Roman" w:hAnsi="Arial" w:cs="Arial"/>
          <w:bCs/>
          <w:lang w:val="en-GB"/>
        </w:rPr>
        <w:t xml:space="preserve">53.1 The facts giving rise </w:t>
      </w:r>
      <w:r w:rsidR="005D7CE3">
        <w:rPr>
          <w:rFonts w:ascii="Arial" w:eastAsia="Times New Roman" w:hAnsi="Arial" w:cs="Arial"/>
          <w:bCs/>
          <w:lang w:val="en-GB"/>
        </w:rPr>
        <w:t xml:space="preserve">to </w:t>
      </w:r>
      <w:r>
        <w:rPr>
          <w:rFonts w:ascii="Arial" w:eastAsia="Times New Roman" w:hAnsi="Arial" w:cs="Arial"/>
          <w:bCs/>
          <w:lang w:val="en-GB"/>
        </w:rPr>
        <w:t>the occupation of the property by the first and the second respondents were reiterated.</w:t>
      </w:r>
    </w:p>
    <w:p w14:paraId="18A5A315" w14:textId="77777777" w:rsidR="005D66A6" w:rsidRDefault="005D66A6" w:rsidP="005D66A6">
      <w:pPr>
        <w:tabs>
          <w:tab w:val="left" w:pos="-1440"/>
        </w:tabs>
        <w:spacing w:after="0" w:line="360" w:lineRule="auto"/>
        <w:ind w:right="26"/>
        <w:jc w:val="both"/>
        <w:rPr>
          <w:rFonts w:ascii="Arial" w:eastAsia="Times New Roman" w:hAnsi="Arial" w:cs="Arial"/>
          <w:bCs/>
          <w:lang w:val="en-GB"/>
        </w:rPr>
      </w:pPr>
      <w:r>
        <w:rPr>
          <w:rFonts w:ascii="Arial" w:eastAsia="Times New Roman" w:hAnsi="Arial" w:cs="Arial"/>
          <w:bCs/>
          <w:lang w:val="en-GB"/>
        </w:rPr>
        <w:t>53.2 It was recorded that in the event it was alleged by the second respondent that she had in fact received tacit consent to occupy the property that this too would have been subject to the same terms and conditions as the consent afforded to the first respondent.</w:t>
      </w:r>
    </w:p>
    <w:p w14:paraId="256E21CA" w14:textId="77777777" w:rsidR="005D66A6" w:rsidRDefault="005D66A6" w:rsidP="005D66A6">
      <w:pPr>
        <w:tabs>
          <w:tab w:val="left" w:pos="-1440"/>
        </w:tabs>
        <w:spacing w:after="0" w:line="360" w:lineRule="auto"/>
        <w:ind w:right="26"/>
        <w:jc w:val="both"/>
        <w:rPr>
          <w:rFonts w:ascii="Arial" w:eastAsia="Times New Roman" w:hAnsi="Arial" w:cs="Arial"/>
          <w:bCs/>
          <w:lang w:val="en-GB"/>
        </w:rPr>
      </w:pPr>
      <w:r>
        <w:rPr>
          <w:rFonts w:ascii="Arial" w:eastAsia="Times New Roman" w:hAnsi="Arial" w:cs="Arial"/>
          <w:bCs/>
          <w:lang w:val="en-GB"/>
        </w:rPr>
        <w:t xml:space="preserve">53.3 </w:t>
      </w:r>
      <w:r w:rsidRPr="005D7CE3">
        <w:rPr>
          <w:rFonts w:ascii="Arial" w:eastAsia="Times New Roman" w:hAnsi="Arial" w:cs="Arial"/>
          <w:bCs/>
          <w:i/>
          <w:iCs/>
          <w:lang w:val="en-GB"/>
        </w:rPr>
        <w:t>It was recorded that the relationship between the trust and the relevant respondent had broken down.</w:t>
      </w:r>
    </w:p>
    <w:p w14:paraId="0D130EF7" w14:textId="77777777" w:rsidR="005D66A6" w:rsidRDefault="005D66A6" w:rsidP="005D66A6">
      <w:pPr>
        <w:tabs>
          <w:tab w:val="left" w:pos="-1440"/>
        </w:tabs>
        <w:spacing w:after="0" w:line="360" w:lineRule="auto"/>
        <w:ind w:right="26"/>
        <w:jc w:val="both"/>
        <w:rPr>
          <w:rFonts w:ascii="Arial" w:eastAsia="Times New Roman" w:hAnsi="Arial" w:cs="Arial"/>
          <w:bCs/>
          <w:lang w:val="en-GB"/>
        </w:rPr>
      </w:pPr>
      <w:r>
        <w:rPr>
          <w:rFonts w:ascii="Arial" w:eastAsia="Times New Roman" w:hAnsi="Arial" w:cs="Arial"/>
          <w:bCs/>
          <w:lang w:val="en-GB"/>
        </w:rPr>
        <w:t xml:space="preserve">53.4 It was recorded that the trust was </w:t>
      </w:r>
      <w:r w:rsidRPr="005D7CE3">
        <w:rPr>
          <w:rFonts w:ascii="Arial" w:eastAsia="Times New Roman" w:hAnsi="Arial" w:cs="Arial"/>
          <w:bCs/>
          <w:i/>
          <w:iCs/>
          <w:lang w:val="en-GB"/>
        </w:rPr>
        <w:t>considering</w:t>
      </w:r>
      <w:r>
        <w:rPr>
          <w:rFonts w:ascii="Arial" w:eastAsia="Times New Roman" w:hAnsi="Arial" w:cs="Arial"/>
          <w:bCs/>
          <w:lang w:val="en-GB"/>
        </w:rPr>
        <w:t xml:space="preserve"> cancelling the first and second respondents’ right of occupation of the property for the reasons contained in the notices.</w:t>
      </w:r>
    </w:p>
    <w:p w14:paraId="2F31BF45" w14:textId="77777777" w:rsidR="005D66A6" w:rsidRPr="005D7CE3" w:rsidRDefault="005D66A6" w:rsidP="005D66A6">
      <w:pPr>
        <w:tabs>
          <w:tab w:val="left" w:pos="-1440"/>
        </w:tabs>
        <w:spacing w:after="0" w:line="360" w:lineRule="auto"/>
        <w:ind w:right="26"/>
        <w:jc w:val="both"/>
        <w:rPr>
          <w:rFonts w:ascii="Arial" w:eastAsia="Times New Roman" w:hAnsi="Arial" w:cs="Arial"/>
          <w:bCs/>
          <w:i/>
          <w:iCs/>
          <w:lang w:val="en-GB"/>
        </w:rPr>
      </w:pPr>
      <w:r>
        <w:rPr>
          <w:rFonts w:ascii="Arial" w:eastAsia="Times New Roman" w:hAnsi="Arial" w:cs="Arial"/>
          <w:bCs/>
          <w:lang w:val="en-GB"/>
        </w:rPr>
        <w:t xml:space="preserve">53.5 </w:t>
      </w:r>
      <w:r w:rsidRPr="005D7CE3">
        <w:rPr>
          <w:rFonts w:ascii="Arial" w:eastAsia="Times New Roman" w:hAnsi="Arial" w:cs="Arial"/>
          <w:bCs/>
          <w:i/>
          <w:iCs/>
          <w:lang w:val="en-GB"/>
        </w:rPr>
        <w:t>The many instances of misconduct on the part of the occupiers leading to harm to the trust and to the remaining persons on the property were listed.</w:t>
      </w:r>
    </w:p>
    <w:p w14:paraId="228393FC" w14:textId="77777777" w:rsidR="005D66A6" w:rsidRDefault="005D66A6" w:rsidP="005D66A6">
      <w:pPr>
        <w:tabs>
          <w:tab w:val="left" w:pos="-1440"/>
        </w:tabs>
        <w:spacing w:after="0" w:line="360" w:lineRule="auto"/>
        <w:ind w:right="26"/>
        <w:jc w:val="both"/>
        <w:rPr>
          <w:rFonts w:ascii="Arial" w:eastAsia="Times New Roman" w:hAnsi="Arial" w:cs="Arial"/>
          <w:bCs/>
          <w:lang w:val="en-GB"/>
        </w:rPr>
      </w:pPr>
      <w:r>
        <w:rPr>
          <w:rFonts w:ascii="Arial" w:eastAsia="Times New Roman" w:hAnsi="Arial" w:cs="Arial"/>
          <w:bCs/>
          <w:lang w:val="en-GB"/>
        </w:rPr>
        <w:t>53.6 It was recorded further that the entirety of the right of occupation afforded to them was fair.</w:t>
      </w:r>
    </w:p>
    <w:p w14:paraId="2CD0DCD3" w14:textId="77777777" w:rsidR="005D66A6" w:rsidRDefault="005D66A6" w:rsidP="005D66A6">
      <w:pPr>
        <w:tabs>
          <w:tab w:val="left" w:pos="-1440"/>
        </w:tabs>
        <w:spacing w:after="0" w:line="360" w:lineRule="auto"/>
        <w:ind w:right="26"/>
        <w:jc w:val="both"/>
        <w:rPr>
          <w:rFonts w:ascii="Arial" w:eastAsia="Times New Roman" w:hAnsi="Arial" w:cs="Arial"/>
          <w:bCs/>
          <w:lang w:val="en-GB"/>
        </w:rPr>
      </w:pPr>
      <w:r>
        <w:rPr>
          <w:rFonts w:ascii="Arial" w:eastAsia="Times New Roman" w:hAnsi="Arial" w:cs="Arial"/>
          <w:bCs/>
          <w:lang w:val="en-GB"/>
        </w:rPr>
        <w:t>53.7 It was noted the relative interests of the parties justify the possible termination of their rights of occupation.</w:t>
      </w:r>
    </w:p>
    <w:p w14:paraId="63B45FEB" w14:textId="77777777" w:rsidR="005D66A6" w:rsidRDefault="005D66A6" w:rsidP="005D66A6">
      <w:pPr>
        <w:tabs>
          <w:tab w:val="left" w:pos="-1440"/>
        </w:tabs>
        <w:spacing w:after="0" w:line="360" w:lineRule="auto"/>
        <w:ind w:right="26"/>
        <w:jc w:val="both"/>
        <w:rPr>
          <w:rFonts w:ascii="Arial" w:eastAsia="Times New Roman" w:hAnsi="Arial" w:cs="Arial"/>
          <w:bCs/>
          <w:lang w:val="en-GB"/>
        </w:rPr>
      </w:pPr>
      <w:r>
        <w:rPr>
          <w:rFonts w:ascii="Arial" w:eastAsia="Times New Roman" w:hAnsi="Arial" w:cs="Arial"/>
          <w:bCs/>
          <w:lang w:val="en-GB"/>
        </w:rPr>
        <w:t>53.8 The letter informed that the trust was considering terminating any such rights as the first and second respondents might allege for the reasons as set out in the letter.</w:t>
      </w:r>
    </w:p>
    <w:p w14:paraId="19D0AF56" w14:textId="6A7931CD" w:rsidR="005D66A6" w:rsidRDefault="005D66A6" w:rsidP="005D66A6">
      <w:pPr>
        <w:tabs>
          <w:tab w:val="left" w:pos="-1440"/>
        </w:tabs>
        <w:spacing w:after="0" w:line="360" w:lineRule="auto"/>
        <w:ind w:right="26"/>
        <w:jc w:val="both"/>
        <w:rPr>
          <w:rFonts w:ascii="Arial" w:eastAsia="Times New Roman" w:hAnsi="Arial" w:cs="Arial"/>
          <w:bCs/>
          <w:lang w:val="en-GB"/>
        </w:rPr>
      </w:pPr>
      <w:r>
        <w:rPr>
          <w:rFonts w:ascii="Arial" w:eastAsia="Times New Roman" w:hAnsi="Arial" w:cs="Arial"/>
          <w:bCs/>
          <w:lang w:val="en-GB"/>
        </w:rPr>
        <w:t xml:space="preserve">53.9 It was recorded </w:t>
      </w:r>
      <w:r w:rsidR="00172E2C">
        <w:rPr>
          <w:rFonts w:ascii="Arial" w:eastAsia="Times New Roman" w:hAnsi="Arial" w:cs="Arial"/>
          <w:bCs/>
          <w:lang w:val="en-GB"/>
        </w:rPr>
        <w:t xml:space="preserve">that </w:t>
      </w:r>
      <w:r>
        <w:rPr>
          <w:rFonts w:ascii="Arial" w:eastAsia="Times New Roman" w:hAnsi="Arial" w:cs="Arial"/>
          <w:bCs/>
          <w:lang w:val="en-GB"/>
        </w:rPr>
        <w:t>the consent that the respondents had to occupy the property was fair and the circumstances and that the trust had need for the premises for the conducting of the business of the property.</w:t>
      </w:r>
    </w:p>
    <w:p w14:paraId="75E33E78" w14:textId="77777777" w:rsidR="005D66A6" w:rsidRDefault="005D66A6" w:rsidP="005D66A6">
      <w:pPr>
        <w:tabs>
          <w:tab w:val="left" w:pos="-1440"/>
        </w:tabs>
        <w:spacing w:after="0" w:line="360" w:lineRule="auto"/>
        <w:ind w:right="26"/>
        <w:jc w:val="both"/>
        <w:rPr>
          <w:rFonts w:ascii="Arial" w:eastAsia="Times New Roman" w:hAnsi="Arial" w:cs="Arial"/>
          <w:bCs/>
          <w:lang w:val="en-GB"/>
        </w:rPr>
      </w:pPr>
      <w:r>
        <w:rPr>
          <w:rFonts w:ascii="Arial" w:eastAsia="Times New Roman" w:hAnsi="Arial" w:cs="Arial"/>
          <w:bCs/>
          <w:lang w:val="en-GB"/>
        </w:rPr>
        <w:t xml:space="preserve">53.9.1 More correctly in this regard it should be noted that the trust in fact intends using the land where the occupiers currently reside to erect new structures. . . . </w:t>
      </w:r>
    </w:p>
    <w:p w14:paraId="29E085B2" w14:textId="77777777" w:rsidR="005D66A6" w:rsidRDefault="005D66A6" w:rsidP="005D66A6">
      <w:pPr>
        <w:tabs>
          <w:tab w:val="left" w:pos="-1440"/>
        </w:tabs>
        <w:spacing w:after="0" w:line="360" w:lineRule="auto"/>
        <w:ind w:right="26"/>
        <w:jc w:val="both"/>
        <w:rPr>
          <w:rFonts w:ascii="Arial" w:eastAsia="Times New Roman" w:hAnsi="Arial" w:cs="Arial"/>
          <w:bCs/>
          <w:lang w:val="en-GB"/>
        </w:rPr>
      </w:pPr>
      <w:r>
        <w:rPr>
          <w:rFonts w:ascii="Arial" w:eastAsia="Times New Roman" w:hAnsi="Arial" w:cs="Arial"/>
          <w:bCs/>
          <w:lang w:val="en-GB"/>
        </w:rPr>
        <w:lastRenderedPageBreak/>
        <w:t>53.10 The first and second respondents were afforded an opportunity to deliver, to myself at the property or the trust’s legal representatives, representations as to why they believed their consent to occupy property should not be terminated.</w:t>
      </w:r>
    </w:p>
    <w:p w14:paraId="2575BA22" w14:textId="77777777" w:rsidR="005D66A6" w:rsidRDefault="005D66A6" w:rsidP="005D66A6">
      <w:pPr>
        <w:tabs>
          <w:tab w:val="left" w:pos="-1440"/>
        </w:tabs>
        <w:spacing w:after="0" w:line="360" w:lineRule="auto"/>
        <w:ind w:right="26"/>
        <w:jc w:val="both"/>
        <w:rPr>
          <w:rFonts w:ascii="Arial" w:eastAsia="Times New Roman" w:hAnsi="Arial" w:cs="Arial"/>
          <w:bCs/>
          <w:lang w:val="en-GB"/>
        </w:rPr>
      </w:pPr>
      <w:r>
        <w:rPr>
          <w:rFonts w:ascii="Arial" w:eastAsia="Times New Roman" w:hAnsi="Arial" w:cs="Arial"/>
          <w:bCs/>
          <w:lang w:val="en-GB"/>
        </w:rPr>
        <w:t>53.11 It was reiterated that in the event such representations were not received or in the event same were not deemed compelling, that their rights to occupy could be terminated.</w:t>
      </w:r>
    </w:p>
    <w:p w14:paraId="3072743B" w14:textId="163DE6FB" w:rsidR="005D66A6" w:rsidRDefault="005D66A6" w:rsidP="005D66A6">
      <w:pPr>
        <w:tabs>
          <w:tab w:val="left" w:pos="-1440"/>
        </w:tabs>
        <w:spacing w:after="0" w:line="360" w:lineRule="auto"/>
        <w:ind w:right="26"/>
        <w:jc w:val="both"/>
        <w:rPr>
          <w:rFonts w:ascii="Arial" w:eastAsia="Times New Roman" w:hAnsi="Arial" w:cs="Arial"/>
          <w:bCs/>
          <w:lang w:val="en-GB"/>
        </w:rPr>
      </w:pPr>
      <w:r>
        <w:rPr>
          <w:rFonts w:ascii="Arial" w:eastAsia="Times New Roman" w:hAnsi="Arial" w:cs="Arial"/>
          <w:bCs/>
          <w:lang w:val="en-GB"/>
        </w:rPr>
        <w:t xml:space="preserve">53.12 </w:t>
      </w:r>
      <w:r w:rsidRPr="00172E2C">
        <w:rPr>
          <w:rFonts w:ascii="Arial" w:eastAsia="Times New Roman" w:hAnsi="Arial" w:cs="Arial"/>
          <w:bCs/>
          <w:i/>
          <w:iCs/>
          <w:lang w:val="en-GB"/>
        </w:rPr>
        <w:t>An identical notice, mutatis mutandis, was delivered to every respondent</w:t>
      </w:r>
      <w:r>
        <w:rPr>
          <w:rFonts w:ascii="Arial" w:eastAsia="Times New Roman" w:hAnsi="Arial" w:cs="Arial"/>
          <w:bCs/>
          <w:lang w:val="en-GB"/>
        </w:rPr>
        <w:t>.</w:t>
      </w:r>
      <w:r w:rsidR="00F82524">
        <w:rPr>
          <w:rFonts w:ascii="Arial" w:eastAsia="Times New Roman" w:hAnsi="Arial" w:cs="Arial"/>
          <w:bCs/>
          <w:lang w:val="en-GB"/>
        </w:rPr>
        <w:t xml:space="preserve"> </w:t>
      </w:r>
    </w:p>
    <w:p w14:paraId="31E1D905" w14:textId="071EA47D" w:rsidR="005D66A6" w:rsidRDefault="005D66A6" w:rsidP="005D66A6">
      <w:pPr>
        <w:tabs>
          <w:tab w:val="left" w:pos="-1440"/>
        </w:tabs>
        <w:spacing w:after="0" w:line="360" w:lineRule="auto"/>
        <w:ind w:right="26"/>
        <w:jc w:val="both"/>
        <w:rPr>
          <w:rFonts w:ascii="Arial" w:eastAsia="Times New Roman" w:hAnsi="Arial" w:cs="Arial"/>
          <w:bCs/>
          <w:sz w:val="24"/>
          <w:szCs w:val="24"/>
          <w:lang w:val="en-GB"/>
        </w:rPr>
      </w:pPr>
      <w:r>
        <w:rPr>
          <w:rFonts w:ascii="Arial" w:eastAsia="Times New Roman" w:hAnsi="Arial" w:cs="Arial"/>
          <w:bCs/>
          <w:lang w:val="en-GB"/>
        </w:rPr>
        <w:t xml:space="preserve">53.13 </w:t>
      </w:r>
      <w:r w:rsidRPr="004E4C6D">
        <w:rPr>
          <w:rFonts w:ascii="Arial" w:eastAsia="Times New Roman" w:hAnsi="Arial" w:cs="Arial"/>
          <w:bCs/>
          <w:i/>
          <w:iCs/>
          <w:lang w:val="en-GB"/>
        </w:rPr>
        <w:t>None of the respondents took the opportunity afforded to them to make representations, and indeed I can record that none of them even approached me in order to discuss the content of these notices and calls for representations</w:t>
      </w:r>
      <w:r>
        <w:rPr>
          <w:rFonts w:ascii="Arial" w:eastAsia="Times New Roman" w:hAnsi="Arial" w:cs="Arial"/>
          <w:bCs/>
          <w:lang w:val="en-GB"/>
        </w:rPr>
        <w:t>.’</w:t>
      </w:r>
      <w:r w:rsidRPr="00774A33">
        <w:rPr>
          <w:rFonts w:ascii="Arial" w:eastAsia="Times New Roman" w:hAnsi="Arial" w:cs="Arial"/>
          <w:bCs/>
          <w:sz w:val="24"/>
          <w:szCs w:val="24"/>
          <w:lang w:val="en-GB"/>
        </w:rPr>
        <w:t xml:space="preserve"> </w:t>
      </w:r>
      <w:r>
        <w:rPr>
          <w:rFonts w:ascii="Arial" w:eastAsia="Times New Roman" w:hAnsi="Arial" w:cs="Arial"/>
          <w:bCs/>
          <w:sz w:val="24"/>
          <w:szCs w:val="24"/>
          <w:lang w:val="en-GB"/>
        </w:rPr>
        <w:t>(Own emphasis.)</w:t>
      </w:r>
    </w:p>
    <w:p w14:paraId="52DE75A2" w14:textId="77777777" w:rsidR="003E29AF" w:rsidRDefault="003E29AF" w:rsidP="009D3DCB">
      <w:pPr>
        <w:tabs>
          <w:tab w:val="left" w:pos="-1440"/>
        </w:tabs>
        <w:spacing w:after="0" w:line="360" w:lineRule="auto"/>
        <w:ind w:right="26"/>
        <w:jc w:val="both"/>
        <w:rPr>
          <w:rFonts w:ascii="Arial" w:eastAsia="Times New Roman" w:hAnsi="Arial" w:cs="Arial"/>
          <w:bCs/>
          <w:sz w:val="24"/>
          <w:szCs w:val="24"/>
          <w:lang w:val="en-GB"/>
        </w:rPr>
      </w:pPr>
    </w:p>
    <w:p w14:paraId="129B9480" w14:textId="1E633998" w:rsidR="007B34DA" w:rsidRDefault="009D3DCB" w:rsidP="009D3DCB">
      <w:pPr>
        <w:tabs>
          <w:tab w:val="left" w:pos="-1440"/>
        </w:tabs>
        <w:spacing w:after="0" w:line="360" w:lineRule="auto"/>
        <w:ind w:right="26"/>
        <w:jc w:val="both"/>
        <w:rPr>
          <w:rFonts w:ascii="Arial" w:eastAsia="Times New Roman" w:hAnsi="Arial" w:cs="Arial"/>
          <w:bCs/>
          <w:sz w:val="24"/>
          <w:szCs w:val="24"/>
          <w:lang w:val="en-GB"/>
        </w:rPr>
      </w:pPr>
      <w:r>
        <w:rPr>
          <w:rFonts w:ascii="Arial" w:eastAsia="Times New Roman" w:hAnsi="Arial" w:cs="Arial"/>
          <w:bCs/>
          <w:sz w:val="24"/>
          <w:szCs w:val="24"/>
          <w:lang w:val="en-GB"/>
        </w:rPr>
        <w:t>[</w:t>
      </w:r>
      <w:r w:rsidR="001801BF">
        <w:rPr>
          <w:rFonts w:ascii="Arial" w:eastAsia="Times New Roman" w:hAnsi="Arial" w:cs="Arial"/>
          <w:bCs/>
          <w:sz w:val="24"/>
          <w:szCs w:val="24"/>
          <w:lang w:val="en-GB"/>
        </w:rPr>
        <w:t>2</w:t>
      </w:r>
      <w:r w:rsidR="00012AF4">
        <w:rPr>
          <w:rFonts w:ascii="Arial" w:eastAsia="Times New Roman" w:hAnsi="Arial" w:cs="Arial"/>
          <w:bCs/>
          <w:sz w:val="24"/>
          <w:szCs w:val="24"/>
          <w:lang w:val="en-GB"/>
        </w:rPr>
        <w:t>7</w:t>
      </w:r>
      <w:r>
        <w:rPr>
          <w:rFonts w:ascii="Arial" w:eastAsia="Times New Roman" w:hAnsi="Arial" w:cs="Arial"/>
          <w:bCs/>
          <w:sz w:val="24"/>
          <w:szCs w:val="24"/>
          <w:lang w:val="en-GB"/>
        </w:rPr>
        <w:t>]</w:t>
      </w:r>
      <w:r>
        <w:rPr>
          <w:rFonts w:ascii="Arial" w:eastAsia="Times New Roman" w:hAnsi="Arial" w:cs="Arial"/>
          <w:bCs/>
          <w:sz w:val="24"/>
          <w:szCs w:val="24"/>
          <w:lang w:val="en-GB"/>
        </w:rPr>
        <w:tab/>
      </w:r>
      <w:r w:rsidR="005D66A6">
        <w:rPr>
          <w:rFonts w:ascii="Arial" w:eastAsia="Times New Roman" w:hAnsi="Arial" w:cs="Arial"/>
          <w:bCs/>
          <w:sz w:val="24"/>
          <w:szCs w:val="24"/>
          <w:lang w:val="en-GB"/>
        </w:rPr>
        <w:t xml:space="preserve">The averments above, which have not been denied, are borne out by the specimen </w:t>
      </w:r>
      <w:r w:rsidR="005D66A6" w:rsidRPr="00D958C4">
        <w:rPr>
          <w:rFonts w:ascii="Arial" w:eastAsia="Times New Roman" w:hAnsi="Arial" w:cs="Arial"/>
          <w:bCs/>
          <w:sz w:val="24"/>
          <w:szCs w:val="24"/>
          <w:lang w:val="en-GB"/>
        </w:rPr>
        <w:t xml:space="preserve">notice attached to the Founding Affidavit. </w:t>
      </w:r>
      <w:r w:rsidR="00B14E61" w:rsidRPr="00D958C4">
        <w:rPr>
          <w:rFonts w:ascii="Arial" w:eastAsia="Times New Roman" w:hAnsi="Arial" w:cs="Arial"/>
          <w:bCs/>
          <w:sz w:val="24"/>
          <w:szCs w:val="24"/>
          <w:lang w:val="en-GB"/>
        </w:rPr>
        <w:t xml:space="preserve">They unquestionably attest to the occupiers’ apathy towards the restoration of </w:t>
      </w:r>
      <w:r w:rsidR="003E29AF" w:rsidRPr="00D958C4">
        <w:rPr>
          <w:rFonts w:ascii="Arial" w:eastAsia="Times New Roman" w:hAnsi="Arial" w:cs="Arial"/>
          <w:bCs/>
          <w:sz w:val="24"/>
          <w:szCs w:val="24"/>
          <w:lang w:val="en-GB"/>
        </w:rPr>
        <w:t xml:space="preserve">a </w:t>
      </w:r>
      <w:r w:rsidR="00B14E61" w:rsidRPr="00D958C4">
        <w:rPr>
          <w:rFonts w:ascii="Arial" w:eastAsia="Times New Roman" w:hAnsi="Arial" w:cs="Arial"/>
          <w:bCs/>
          <w:sz w:val="24"/>
          <w:szCs w:val="24"/>
          <w:lang w:val="en-GB"/>
        </w:rPr>
        <w:t xml:space="preserve">social relationship. </w:t>
      </w:r>
      <w:r w:rsidRPr="00D958C4">
        <w:rPr>
          <w:rFonts w:ascii="Arial" w:eastAsia="Times New Roman" w:hAnsi="Arial" w:cs="Arial"/>
          <w:bCs/>
          <w:sz w:val="24"/>
          <w:szCs w:val="24"/>
          <w:lang w:val="en-GB"/>
        </w:rPr>
        <w:t xml:space="preserve">It is not surprising that the </w:t>
      </w:r>
      <w:r w:rsidR="00774A33" w:rsidRPr="00D958C4">
        <w:rPr>
          <w:rFonts w:ascii="Arial" w:eastAsia="Times New Roman" w:hAnsi="Arial" w:cs="Arial"/>
          <w:bCs/>
          <w:sz w:val="24"/>
          <w:szCs w:val="24"/>
          <w:lang w:val="en-GB"/>
        </w:rPr>
        <w:t>LCC</w:t>
      </w:r>
      <w:r w:rsidRPr="00D958C4">
        <w:rPr>
          <w:rFonts w:ascii="Arial" w:eastAsia="Times New Roman" w:hAnsi="Arial" w:cs="Arial"/>
          <w:bCs/>
          <w:sz w:val="24"/>
          <w:szCs w:val="24"/>
          <w:lang w:val="en-GB"/>
        </w:rPr>
        <w:t>, in its judgment,</w:t>
      </w:r>
      <w:r w:rsidR="00774A33" w:rsidRPr="00D958C4">
        <w:rPr>
          <w:rFonts w:ascii="Arial" w:eastAsia="Times New Roman" w:hAnsi="Arial" w:cs="Arial"/>
          <w:bCs/>
          <w:sz w:val="24"/>
          <w:szCs w:val="24"/>
          <w:lang w:val="en-GB"/>
        </w:rPr>
        <w:t xml:space="preserve"> accepted that all the occupiers were offered to </w:t>
      </w:r>
      <w:r w:rsidR="00797AFC" w:rsidRPr="00D958C4">
        <w:rPr>
          <w:rFonts w:ascii="Arial" w:eastAsia="Times New Roman" w:hAnsi="Arial" w:cs="Arial"/>
          <w:bCs/>
          <w:sz w:val="24"/>
          <w:szCs w:val="24"/>
          <w:lang w:val="en-GB"/>
        </w:rPr>
        <w:t xml:space="preserve">an opportunity to </w:t>
      </w:r>
      <w:r w:rsidR="00774A33" w:rsidRPr="00D958C4">
        <w:rPr>
          <w:rFonts w:ascii="Arial" w:eastAsia="Times New Roman" w:hAnsi="Arial" w:cs="Arial"/>
          <w:bCs/>
          <w:sz w:val="24"/>
          <w:szCs w:val="24"/>
          <w:lang w:val="en-GB"/>
        </w:rPr>
        <w:t>make representations as envisaged in s 8(1)</w:t>
      </w:r>
      <w:r w:rsidR="00774A33" w:rsidRPr="00D958C4">
        <w:rPr>
          <w:rFonts w:ascii="Arial" w:eastAsia="Times New Roman" w:hAnsi="Arial" w:cs="Arial"/>
          <w:bCs/>
          <w:i/>
          <w:iCs/>
          <w:sz w:val="24"/>
          <w:szCs w:val="24"/>
          <w:lang w:val="en-GB"/>
        </w:rPr>
        <w:t>(e)</w:t>
      </w:r>
      <w:r w:rsidR="00774A33" w:rsidRPr="00D958C4">
        <w:rPr>
          <w:rFonts w:ascii="Arial" w:eastAsia="Times New Roman" w:hAnsi="Arial" w:cs="Arial"/>
          <w:bCs/>
          <w:sz w:val="24"/>
          <w:szCs w:val="24"/>
          <w:lang w:val="en-GB"/>
        </w:rPr>
        <w:t>. This finding has not been attacked</w:t>
      </w:r>
      <w:r w:rsidR="00DE2E2E" w:rsidRPr="00D958C4">
        <w:rPr>
          <w:rFonts w:ascii="Arial" w:eastAsia="Times New Roman" w:hAnsi="Arial" w:cs="Arial"/>
          <w:bCs/>
          <w:sz w:val="24"/>
          <w:szCs w:val="24"/>
          <w:lang w:val="en-GB"/>
        </w:rPr>
        <w:t xml:space="preserve"> by the occupiers</w:t>
      </w:r>
      <w:r w:rsidR="00774A33" w:rsidRPr="00D958C4">
        <w:rPr>
          <w:rFonts w:ascii="Arial" w:eastAsia="Times New Roman" w:hAnsi="Arial" w:cs="Arial"/>
          <w:bCs/>
          <w:sz w:val="24"/>
          <w:szCs w:val="24"/>
          <w:lang w:val="en-GB"/>
        </w:rPr>
        <w:t xml:space="preserve">. </w:t>
      </w:r>
      <w:r w:rsidR="00DE2E2E" w:rsidRPr="00D958C4">
        <w:rPr>
          <w:rFonts w:ascii="Arial" w:eastAsia="Times New Roman" w:hAnsi="Arial" w:cs="Arial"/>
          <w:bCs/>
          <w:sz w:val="24"/>
          <w:szCs w:val="24"/>
          <w:lang w:val="en-GB"/>
        </w:rPr>
        <w:t xml:space="preserve">Considering all the circumstances set out above, I am of the view that </w:t>
      </w:r>
      <w:r w:rsidR="00774A33" w:rsidRPr="00D958C4">
        <w:rPr>
          <w:rFonts w:ascii="Arial" w:eastAsia="Times New Roman" w:hAnsi="Arial" w:cs="Arial"/>
          <w:bCs/>
          <w:sz w:val="24"/>
          <w:szCs w:val="24"/>
          <w:lang w:val="en-GB"/>
        </w:rPr>
        <w:t xml:space="preserve">the Trust’s compliance with all </w:t>
      </w:r>
      <w:r w:rsidR="00322FDC" w:rsidRPr="00D958C4">
        <w:rPr>
          <w:rFonts w:ascii="Arial" w:eastAsia="Times New Roman" w:hAnsi="Arial" w:cs="Arial"/>
          <w:bCs/>
          <w:sz w:val="24"/>
          <w:szCs w:val="24"/>
          <w:lang w:val="en-GB"/>
        </w:rPr>
        <w:t xml:space="preserve">the </w:t>
      </w:r>
      <w:r w:rsidR="00774A33" w:rsidRPr="00D958C4">
        <w:rPr>
          <w:rFonts w:ascii="Arial" w:eastAsia="Times New Roman" w:hAnsi="Arial" w:cs="Arial"/>
          <w:bCs/>
          <w:sz w:val="24"/>
          <w:szCs w:val="24"/>
          <w:lang w:val="en-GB"/>
        </w:rPr>
        <w:t xml:space="preserve">requirements set out in s 8(1) of ESTA is beyond reproach. The termination of the occupiers’ right of residence was therefore lawful. </w:t>
      </w:r>
      <w:r w:rsidR="006F3F34" w:rsidRPr="00D958C4">
        <w:rPr>
          <w:rFonts w:ascii="Arial" w:eastAsia="Times New Roman" w:hAnsi="Arial" w:cs="Arial"/>
          <w:bCs/>
          <w:sz w:val="24"/>
          <w:szCs w:val="24"/>
          <w:lang w:val="en-GB"/>
        </w:rPr>
        <w:t>In</w:t>
      </w:r>
      <w:r w:rsidR="009C19E6" w:rsidRPr="00D958C4">
        <w:rPr>
          <w:rFonts w:ascii="Arial" w:eastAsia="Times New Roman" w:hAnsi="Arial" w:cs="Arial"/>
          <w:bCs/>
          <w:sz w:val="24"/>
          <w:szCs w:val="24"/>
          <w:lang w:val="en-GB"/>
        </w:rPr>
        <w:t xml:space="preserve"> </w:t>
      </w:r>
      <w:bookmarkStart w:id="9" w:name="_Hlk125305827"/>
      <w:r w:rsidR="009C19E6" w:rsidRPr="00D958C4">
        <w:rPr>
          <w:rFonts w:ascii="Arial" w:eastAsia="Times New Roman" w:hAnsi="Arial" w:cs="Arial"/>
          <w:bCs/>
          <w:i/>
          <w:iCs/>
          <w:sz w:val="24"/>
          <w:szCs w:val="24"/>
          <w:lang w:val="en-GB"/>
        </w:rPr>
        <w:t>Snyders and Others v de Jager and Others</w:t>
      </w:r>
      <w:bookmarkEnd w:id="9"/>
      <w:r w:rsidR="009C19E6" w:rsidRPr="009C19E6">
        <w:rPr>
          <w:rFonts w:ascii="Arial" w:eastAsia="Times New Roman" w:hAnsi="Arial" w:cs="Arial"/>
          <w:bCs/>
          <w:sz w:val="24"/>
          <w:szCs w:val="24"/>
          <w:lang w:val="en-GB"/>
        </w:rPr>
        <w:t>,</w:t>
      </w:r>
      <w:r w:rsidR="009C19E6" w:rsidRPr="009C19E6">
        <w:rPr>
          <w:rFonts w:ascii="Arial" w:eastAsia="Times New Roman" w:hAnsi="Arial" w:cs="Arial"/>
          <w:bCs/>
          <w:sz w:val="24"/>
          <w:szCs w:val="24"/>
          <w:vertAlign w:val="superscript"/>
          <w:lang w:val="en-GB"/>
        </w:rPr>
        <w:footnoteReference w:id="10"/>
      </w:r>
      <w:r w:rsidR="006F3F34">
        <w:rPr>
          <w:rFonts w:ascii="Arial" w:eastAsia="Times New Roman" w:hAnsi="Arial" w:cs="Arial"/>
          <w:bCs/>
          <w:sz w:val="24"/>
          <w:szCs w:val="24"/>
          <w:lang w:val="en-GB"/>
        </w:rPr>
        <w:t xml:space="preserve"> the Constitutional Court </w:t>
      </w:r>
      <w:r w:rsidR="003B41ED">
        <w:rPr>
          <w:rFonts w:ascii="Arial" w:eastAsia="Times New Roman" w:hAnsi="Arial" w:cs="Arial"/>
          <w:bCs/>
          <w:sz w:val="24"/>
          <w:szCs w:val="24"/>
          <w:lang w:val="en-GB"/>
        </w:rPr>
        <w:t xml:space="preserve">emphasised that the right of termination must also be just and equitable both at a </w:t>
      </w:r>
      <w:r w:rsidR="00260448">
        <w:rPr>
          <w:rFonts w:ascii="Arial" w:eastAsia="Times New Roman" w:hAnsi="Arial" w:cs="Arial"/>
          <w:bCs/>
          <w:sz w:val="24"/>
          <w:szCs w:val="24"/>
          <w:lang w:val="en-GB"/>
        </w:rPr>
        <w:t>procedural and substantive level.</w:t>
      </w:r>
      <w:r w:rsidR="00A24A0A">
        <w:rPr>
          <w:rFonts w:ascii="Arial" w:eastAsia="Times New Roman" w:hAnsi="Arial" w:cs="Arial"/>
          <w:bCs/>
          <w:sz w:val="24"/>
          <w:szCs w:val="24"/>
          <w:lang w:val="en-GB"/>
        </w:rPr>
        <w:t xml:space="preserve"> </w:t>
      </w:r>
      <w:r w:rsidR="001B68B7">
        <w:rPr>
          <w:rFonts w:ascii="Arial" w:eastAsia="Times New Roman" w:hAnsi="Arial" w:cs="Arial"/>
          <w:bCs/>
          <w:sz w:val="24"/>
          <w:szCs w:val="24"/>
          <w:lang w:val="en-GB"/>
        </w:rPr>
        <w:t xml:space="preserve">The reason for the termination </w:t>
      </w:r>
      <w:r w:rsidR="003854AA">
        <w:rPr>
          <w:rFonts w:ascii="Arial" w:eastAsia="Times New Roman" w:hAnsi="Arial" w:cs="Arial"/>
          <w:bCs/>
          <w:sz w:val="24"/>
          <w:szCs w:val="24"/>
          <w:lang w:val="en-GB"/>
        </w:rPr>
        <w:t xml:space="preserve">of the right of residence </w:t>
      </w:r>
      <w:r w:rsidR="001B68B7">
        <w:rPr>
          <w:rFonts w:ascii="Arial" w:eastAsia="Times New Roman" w:hAnsi="Arial" w:cs="Arial"/>
          <w:bCs/>
          <w:sz w:val="24"/>
          <w:szCs w:val="24"/>
          <w:lang w:val="en-GB"/>
        </w:rPr>
        <w:t>remains a relevant consideration</w:t>
      </w:r>
      <w:r w:rsidR="003854AA">
        <w:rPr>
          <w:rFonts w:ascii="Arial" w:eastAsia="Times New Roman" w:hAnsi="Arial" w:cs="Arial"/>
          <w:bCs/>
          <w:sz w:val="24"/>
          <w:szCs w:val="24"/>
          <w:lang w:val="en-GB"/>
        </w:rPr>
        <w:t>, in my view</w:t>
      </w:r>
      <w:r w:rsidR="001B68B7">
        <w:rPr>
          <w:rFonts w:ascii="Arial" w:eastAsia="Times New Roman" w:hAnsi="Arial" w:cs="Arial"/>
          <w:bCs/>
          <w:sz w:val="24"/>
          <w:szCs w:val="24"/>
          <w:lang w:val="en-GB"/>
        </w:rPr>
        <w:t xml:space="preserve">. </w:t>
      </w:r>
      <w:r w:rsidR="00260448">
        <w:rPr>
          <w:rFonts w:ascii="Arial" w:eastAsia="Times New Roman" w:hAnsi="Arial" w:cs="Arial"/>
          <w:bCs/>
          <w:sz w:val="24"/>
          <w:szCs w:val="24"/>
          <w:lang w:val="en-GB"/>
        </w:rPr>
        <w:t xml:space="preserve">Given the undisputed averments pertaining to </w:t>
      </w:r>
      <w:r w:rsidR="001E6922">
        <w:rPr>
          <w:rFonts w:ascii="Arial" w:eastAsia="Times New Roman" w:hAnsi="Arial" w:cs="Arial"/>
          <w:bCs/>
          <w:sz w:val="24"/>
          <w:szCs w:val="24"/>
          <w:lang w:val="en-GB"/>
        </w:rPr>
        <w:t>how the occupiers conducted themselves on the farm</w:t>
      </w:r>
      <w:r w:rsidR="00BB522B">
        <w:rPr>
          <w:rFonts w:ascii="Arial" w:eastAsia="Times New Roman" w:hAnsi="Arial" w:cs="Arial"/>
          <w:bCs/>
          <w:sz w:val="24"/>
          <w:szCs w:val="24"/>
          <w:lang w:val="en-US"/>
        </w:rPr>
        <w:t xml:space="preserve"> </w:t>
      </w:r>
      <w:r w:rsidR="00A24A0A" w:rsidRPr="00774A33">
        <w:rPr>
          <w:rFonts w:ascii="Arial" w:eastAsia="Times New Roman" w:hAnsi="Arial" w:cs="Arial"/>
          <w:bCs/>
          <w:sz w:val="24"/>
          <w:szCs w:val="24"/>
          <w:lang w:val="en-US"/>
        </w:rPr>
        <w:t>and the gravity of the conduct upon which the right of termination is predicated</w:t>
      </w:r>
      <w:r w:rsidR="00211D9A">
        <w:rPr>
          <w:rFonts w:ascii="Arial" w:eastAsia="Times New Roman" w:hAnsi="Arial" w:cs="Arial"/>
          <w:bCs/>
          <w:sz w:val="24"/>
          <w:szCs w:val="24"/>
          <w:lang w:val="en-US"/>
        </w:rPr>
        <w:t xml:space="preserve">, I am of the view that the termination of the right of residence was just and equitable both procedurally and substantively. </w:t>
      </w:r>
    </w:p>
    <w:p w14:paraId="72CD1EB6" w14:textId="42202D25" w:rsidR="00A24A0A" w:rsidRDefault="00A24A0A" w:rsidP="009D3DCB">
      <w:pPr>
        <w:tabs>
          <w:tab w:val="left" w:pos="-1440"/>
        </w:tabs>
        <w:spacing w:after="0" w:line="360" w:lineRule="auto"/>
        <w:ind w:right="26"/>
        <w:jc w:val="both"/>
        <w:rPr>
          <w:rFonts w:ascii="Arial" w:eastAsia="Times New Roman" w:hAnsi="Arial" w:cs="Arial"/>
          <w:bCs/>
          <w:sz w:val="24"/>
          <w:szCs w:val="24"/>
          <w:lang w:val="en-GB"/>
        </w:rPr>
      </w:pPr>
    </w:p>
    <w:p w14:paraId="4CF0B84B" w14:textId="5EB9361F" w:rsidR="00774A33" w:rsidRPr="009047B2" w:rsidRDefault="007B34DA" w:rsidP="00774A33">
      <w:pPr>
        <w:tabs>
          <w:tab w:val="left" w:pos="-1440"/>
        </w:tabs>
        <w:spacing w:after="0" w:line="360" w:lineRule="auto"/>
        <w:ind w:right="26"/>
        <w:jc w:val="both"/>
        <w:rPr>
          <w:rFonts w:ascii="Arial" w:eastAsia="Times New Roman" w:hAnsi="Arial" w:cs="Arial"/>
          <w:bCs/>
          <w:sz w:val="24"/>
          <w:szCs w:val="24"/>
          <w:lang w:val="en-GB"/>
        </w:rPr>
      </w:pPr>
      <w:r>
        <w:rPr>
          <w:rFonts w:ascii="Arial" w:eastAsia="Times New Roman" w:hAnsi="Arial" w:cs="Arial"/>
          <w:bCs/>
          <w:sz w:val="24"/>
          <w:szCs w:val="24"/>
          <w:lang w:val="en-GB"/>
        </w:rPr>
        <w:t>[</w:t>
      </w:r>
      <w:r w:rsidR="001801BF">
        <w:rPr>
          <w:rFonts w:ascii="Arial" w:eastAsia="Times New Roman" w:hAnsi="Arial" w:cs="Arial"/>
          <w:bCs/>
          <w:sz w:val="24"/>
          <w:szCs w:val="24"/>
          <w:lang w:val="en-GB"/>
        </w:rPr>
        <w:t>2</w:t>
      </w:r>
      <w:r w:rsidR="00012AF4">
        <w:rPr>
          <w:rFonts w:ascii="Arial" w:eastAsia="Times New Roman" w:hAnsi="Arial" w:cs="Arial"/>
          <w:bCs/>
          <w:sz w:val="24"/>
          <w:szCs w:val="24"/>
          <w:lang w:val="en-GB"/>
        </w:rPr>
        <w:t>8</w:t>
      </w:r>
      <w:r>
        <w:rPr>
          <w:rFonts w:ascii="Arial" w:eastAsia="Times New Roman" w:hAnsi="Arial" w:cs="Arial"/>
          <w:bCs/>
          <w:sz w:val="24"/>
          <w:szCs w:val="24"/>
          <w:lang w:val="en-GB"/>
        </w:rPr>
        <w:t>]</w:t>
      </w:r>
      <w:r>
        <w:rPr>
          <w:rFonts w:ascii="Arial" w:eastAsia="Times New Roman" w:hAnsi="Arial" w:cs="Arial"/>
          <w:bCs/>
          <w:sz w:val="24"/>
          <w:szCs w:val="24"/>
          <w:lang w:val="en-GB"/>
        </w:rPr>
        <w:tab/>
      </w:r>
      <w:r w:rsidR="0055586E" w:rsidRPr="0055586E">
        <w:rPr>
          <w:rFonts w:ascii="Arial" w:eastAsia="Times New Roman" w:hAnsi="Arial" w:cs="Arial"/>
          <w:bCs/>
          <w:sz w:val="24"/>
          <w:szCs w:val="24"/>
          <w:lang w:val="en-GB"/>
        </w:rPr>
        <w:t xml:space="preserve">It is well-established that once </w:t>
      </w:r>
      <w:r w:rsidR="0055586E" w:rsidRPr="00AB2C09">
        <w:rPr>
          <w:rFonts w:ascii="Arial" w:eastAsia="Times New Roman" w:hAnsi="Arial" w:cs="Arial"/>
          <w:bCs/>
          <w:sz w:val="24"/>
          <w:szCs w:val="24"/>
        </w:rPr>
        <w:t>an occupier's right to reside has been duly terminated, his refusal to vacate the property is unlawful.</w:t>
      </w:r>
      <w:r w:rsidR="0055586E" w:rsidRPr="0055586E">
        <w:rPr>
          <w:rFonts w:ascii="Arial" w:eastAsia="Times New Roman" w:hAnsi="Arial" w:cs="Arial"/>
          <w:bCs/>
          <w:sz w:val="24"/>
          <w:szCs w:val="24"/>
          <w:vertAlign w:val="superscript"/>
        </w:rPr>
        <w:footnoteReference w:id="11"/>
      </w:r>
      <w:r w:rsidR="0055586E" w:rsidRPr="00AB2C09">
        <w:rPr>
          <w:rFonts w:ascii="Arial" w:eastAsia="Times New Roman" w:hAnsi="Arial" w:cs="Arial"/>
          <w:bCs/>
          <w:sz w:val="24"/>
          <w:szCs w:val="24"/>
        </w:rPr>
        <w:t xml:space="preserve"> </w:t>
      </w:r>
      <w:r w:rsidR="00F45C76">
        <w:rPr>
          <w:rFonts w:ascii="Arial" w:eastAsia="Times New Roman" w:hAnsi="Arial" w:cs="Arial"/>
          <w:bCs/>
          <w:sz w:val="24"/>
          <w:szCs w:val="24"/>
          <w:lang w:val="en-GB"/>
        </w:rPr>
        <w:t xml:space="preserve">The occupiers </w:t>
      </w:r>
      <w:r w:rsidR="00F45C76">
        <w:rPr>
          <w:rFonts w:ascii="Arial" w:eastAsia="Times New Roman" w:hAnsi="Arial" w:cs="Arial"/>
          <w:bCs/>
          <w:sz w:val="24"/>
          <w:szCs w:val="24"/>
          <w:lang w:val="en-GB"/>
        </w:rPr>
        <w:lastRenderedPageBreak/>
        <w:t xml:space="preserve">did not deny that they were, on more than one occasion, asked to vacate the farm. </w:t>
      </w:r>
      <w:r w:rsidR="0055586E" w:rsidRPr="0055586E">
        <w:rPr>
          <w:rFonts w:ascii="Arial" w:eastAsia="Times New Roman" w:hAnsi="Arial" w:cs="Arial"/>
          <w:bCs/>
          <w:sz w:val="24"/>
          <w:szCs w:val="24"/>
        </w:rPr>
        <w:t xml:space="preserve">In terms of </w:t>
      </w:r>
      <w:r w:rsidR="0055586E" w:rsidRPr="00AB2C09">
        <w:rPr>
          <w:rFonts w:ascii="Arial" w:eastAsia="Times New Roman" w:hAnsi="Arial" w:cs="Arial"/>
          <w:bCs/>
          <w:sz w:val="24"/>
          <w:szCs w:val="24"/>
        </w:rPr>
        <w:t>s 9(2)</w:t>
      </w:r>
      <w:r w:rsidR="0055586E" w:rsidRPr="0055586E">
        <w:rPr>
          <w:rFonts w:ascii="Arial" w:eastAsia="Times New Roman" w:hAnsi="Arial" w:cs="Arial"/>
          <w:bCs/>
          <w:i/>
          <w:iCs/>
          <w:sz w:val="24"/>
          <w:szCs w:val="24"/>
        </w:rPr>
        <w:t>(d)</w:t>
      </w:r>
      <w:r w:rsidR="0055586E" w:rsidRPr="0055586E">
        <w:rPr>
          <w:rFonts w:ascii="Arial" w:eastAsia="Times New Roman" w:hAnsi="Arial" w:cs="Arial"/>
          <w:bCs/>
          <w:sz w:val="24"/>
          <w:szCs w:val="24"/>
        </w:rPr>
        <w:t xml:space="preserve">, two </w:t>
      </w:r>
      <w:r w:rsidR="0055586E" w:rsidRPr="00AB2C09">
        <w:rPr>
          <w:rFonts w:ascii="Arial" w:eastAsia="Times New Roman" w:hAnsi="Arial" w:cs="Arial"/>
          <w:bCs/>
          <w:sz w:val="24"/>
          <w:szCs w:val="24"/>
        </w:rPr>
        <w:t xml:space="preserve">months' notice of the intended eviction application </w:t>
      </w:r>
      <w:r w:rsidR="0055586E" w:rsidRPr="0055586E">
        <w:rPr>
          <w:rFonts w:ascii="Arial" w:eastAsia="Times New Roman" w:hAnsi="Arial" w:cs="Arial"/>
          <w:bCs/>
          <w:sz w:val="24"/>
          <w:szCs w:val="24"/>
        </w:rPr>
        <w:t xml:space="preserve">must have been given to the occupier following the termination of </w:t>
      </w:r>
      <w:r w:rsidR="0055586E" w:rsidRPr="00AB2C09">
        <w:rPr>
          <w:rFonts w:ascii="Arial" w:eastAsia="Times New Roman" w:hAnsi="Arial" w:cs="Arial"/>
          <w:bCs/>
          <w:sz w:val="24"/>
          <w:szCs w:val="24"/>
        </w:rPr>
        <w:t xml:space="preserve">the right to reside </w:t>
      </w:r>
      <w:r w:rsidR="0055586E" w:rsidRPr="0055586E">
        <w:rPr>
          <w:rFonts w:ascii="Arial" w:eastAsia="Times New Roman" w:hAnsi="Arial" w:cs="Arial"/>
          <w:bCs/>
          <w:sz w:val="24"/>
          <w:szCs w:val="24"/>
        </w:rPr>
        <w:t>as envisaged in</w:t>
      </w:r>
      <w:r w:rsidR="0055586E" w:rsidRPr="00AB2C09">
        <w:rPr>
          <w:rFonts w:ascii="Arial" w:eastAsia="Times New Roman" w:hAnsi="Arial" w:cs="Arial"/>
          <w:bCs/>
          <w:sz w:val="24"/>
          <w:szCs w:val="24"/>
        </w:rPr>
        <w:t xml:space="preserve"> s 8</w:t>
      </w:r>
      <w:r w:rsidR="0055586E" w:rsidRPr="0055586E">
        <w:rPr>
          <w:rFonts w:ascii="Arial" w:eastAsia="Times New Roman" w:hAnsi="Arial" w:cs="Arial"/>
          <w:bCs/>
          <w:sz w:val="24"/>
          <w:szCs w:val="24"/>
        </w:rPr>
        <w:t>.</w:t>
      </w:r>
      <w:r w:rsidR="0055586E" w:rsidRPr="0055586E">
        <w:rPr>
          <w:rFonts w:ascii="Arial" w:eastAsia="Times New Roman" w:hAnsi="Arial" w:cs="Arial"/>
          <w:bCs/>
          <w:sz w:val="24"/>
          <w:szCs w:val="24"/>
          <w:vertAlign w:val="superscript"/>
        </w:rPr>
        <w:footnoteReference w:id="12"/>
      </w:r>
      <w:r w:rsidR="0055586E" w:rsidRPr="0055586E">
        <w:rPr>
          <w:rFonts w:ascii="Arial" w:eastAsia="Times New Roman" w:hAnsi="Arial" w:cs="Arial"/>
          <w:bCs/>
          <w:sz w:val="24"/>
          <w:szCs w:val="24"/>
        </w:rPr>
        <w:t xml:space="preserve"> </w:t>
      </w:r>
      <w:r w:rsidRPr="00774A33">
        <w:rPr>
          <w:rFonts w:ascii="Arial" w:eastAsia="Times New Roman" w:hAnsi="Arial" w:cs="Arial"/>
          <w:bCs/>
          <w:sz w:val="24"/>
          <w:szCs w:val="24"/>
          <w:lang w:val="en-GB"/>
        </w:rPr>
        <w:t xml:space="preserve">The Trust’s compliance with the service </w:t>
      </w:r>
      <w:r w:rsidRPr="009047B2">
        <w:rPr>
          <w:rFonts w:ascii="Arial" w:eastAsia="Times New Roman" w:hAnsi="Arial" w:cs="Arial"/>
          <w:bCs/>
          <w:sz w:val="24"/>
          <w:szCs w:val="24"/>
          <w:lang w:val="en-GB"/>
        </w:rPr>
        <w:t>requirements set out in s 9(2)</w:t>
      </w:r>
      <w:r w:rsidRPr="009047B2">
        <w:rPr>
          <w:rFonts w:ascii="Arial" w:eastAsia="Times New Roman" w:hAnsi="Arial" w:cs="Arial"/>
          <w:bCs/>
          <w:i/>
          <w:iCs/>
          <w:sz w:val="24"/>
          <w:szCs w:val="24"/>
          <w:lang w:val="en-GB"/>
        </w:rPr>
        <w:t>(</w:t>
      </w:r>
      <w:r w:rsidR="007D5BED" w:rsidRPr="009047B2">
        <w:rPr>
          <w:rFonts w:ascii="Arial" w:eastAsia="Times New Roman" w:hAnsi="Arial" w:cs="Arial"/>
          <w:bCs/>
          <w:i/>
          <w:iCs/>
          <w:sz w:val="24"/>
          <w:szCs w:val="24"/>
          <w:lang w:val="en-GB"/>
        </w:rPr>
        <w:t>d</w:t>
      </w:r>
      <w:r w:rsidRPr="009047B2">
        <w:rPr>
          <w:rFonts w:ascii="Arial" w:eastAsia="Times New Roman" w:hAnsi="Arial" w:cs="Arial"/>
          <w:bCs/>
          <w:i/>
          <w:iCs/>
          <w:sz w:val="24"/>
          <w:szCs w:val="24"/>
          <w:lang w:val="en-GB"/>
        </w:rPr>
        <w:t xml:space="preserve">) </w:t>
      </w:r>
      <w:r w:rsidRPr="009047B2">
        <w:rPr>
          <w:rFonts w:ascii="Arial" w:eastAsia="Times New Roman" w:hAnsi="Arial" w:cs="Arial"/>
          <w:bCs/>
          <w:sz w:val="24"/>
          <w:szCs w:val="24"/>
          <w:lang w:val="en-GB"/>
        </w:rPr>
        <w:t xml:space="preserve">has not been challenged. </w:t>
      </w:r>
      <w:r w:rsidR="00774A33" w:rsidRPr="009047B2">
        <w:rPr>
          <w:rFonts w:ascii="Arial" w:eastAsia="Times New Roman" w:hAnsi="Arial" w:cs="Arial"/>
          <w:bCs/>
          <w:sz w:val="24"/>
          <w:szCs w:val="24"/>
          <w:lang w:val="en-GB"/>
        </w:rPr>
        <w:t xml:space="preserve">What remains is to consider whether the conditions for an order of eviction as laid down in s 10 or </w:t>
      </w:r>
      <w:r w:rsidR="008E26BC" w:rsidRPr="009047B2">
        <w:rPr>
          <w:rFonts w:ascii="Arial" w:eastAsia="Times New Roman" w:hAnsi="Arial" w:cs="Arial"/>
          <w:bCs/>
          <w:sz w:val="24"/>
          <w:szCs w:val="24"/>
          <w:lang w:val="en-GB"/>
        </w:rPr>
        <w:t xml:space="preserve">s </w:t>
      </w:r>
      <w:r w:rsidR="00774A33" w:rsidRPr="009047B2">
        <w:rPr>
          <w:rFonts w:ascii="Arial" w:eastAsia="Times New Roman" w:hAnsi="Arial" w:cs="Arial"/>
          <w:bCs/>
          <w:sz w:val="24"/>
          <w:szCs w:val="24"/>
          <w:lang w:val="en-GB"/>
        </w:rPr>
        <w:t xml:space="preserve">11 have been </w:t>
      </w:r>
      <w:r w:rsidR="00F8171D" w:rsidRPr="009047B2">
        <w:rPr>
          <w:rFonts w:ascii="Arial" w:eastAsia="Times New Roman" w:hAnsi="Arial" w:cs="Arial"/>
          <w:bCs/>
          <w:sz w:val="24"/>
          <w:szCs w:val="24"/>
          <w:lang w:val="en-GB"/>
        </w:rPr>
        <w:t>met</w:t>
      </w:r>
      <w:r w:rsidR="00774A33" w:rsidRPr="009047B2">
        <w:rPr>
          <w:rFonts w:ascii="Arial" w:eastAsia="Times New Roman" w:hAnsi="Arial" w:cs="Arial"/>
          <w:bCs/>
          <w:sz w:val="24"/>
          <w:szCs w:val="24"/>
          <w:lang w:val="en-GB"/>
        </w:rPr>
        <w:t xml:space="preserve">. Both s 10 and </w:t>
      </w:r>
      <w:r w:rsidR="008E26BC" w:rsidRPr="009047B2">
        <w:rPr>
          <w:rFonts w:ascii="Arial" w:eastAsia="Times New Roman" w:hAnsi="Arial" w:cs="Arial"/>
          <w:bCs/>
          <w:sz w:val="24"/>
          <w:szCs w:val="24"/>
          <w:lang w:val="en-GB"/>
        </w:rPr>
        <w:t xml:space="preserve">s </w:t>
      </w:r>
      <w:r w:rsidR="00774A33" w:rsidRPr="009047B2">
        <w:rPr>
          <w:rFonts w:ascii="Arial" w:eastAsia="Times New Roman" w:hAnsi="Arial" w:cs="Arial"/>
          <w:bCs/>
          <w:sz w:val="24"/>
          <w:szCs w:val="24"/>
          <w:lang w:val="en-GB"/>
        </w:rPr>
        <w:t>11 are applicable, as some of the occupiers took occupation of the farm before 1997 (thus bringing them within the purview of s 10), while others took occupation after 1997</w:t>
      </w:r>
      <w:r w:rsidR="009279CD" w:rsidRPr="009047B2">
        <w:rPr>
          <w:rFonts w:ascii="Arial" w:eastAsia="Times New Roman" w:hAnsi="Arial" w:cs="Arial"/>
          <w:bCs/>
          <w:sz w:val="24"/>
          <w:szCs w:val="24"/>
          <w:lang w:val="en-GB"/>
        </w:rPr>
        <w:t xml:space="preserve"> (this bringing them within the purview of s 11).</w:t>
      </w:r>
      <w:r w:rsidR="00774A33" w:rsidRPr="009047B2">
        <w:rPr>
          <w:rFonts w:ascii="Arial" w:eastAsia="Times New Roman" w:hAnsi="Arial" w:cs="Arial"/>
          <w:bCs/>
          <w:sz w:val="24"/>
          <w:szCs w:val="24"/>
          <w:lang w:val="en-GB"/>
        </w:rPr>
        <w:t xml:space="preserve"> </w:t>
      </w:r>
    </w:p>
    <w:p w14:paraId="49DB0364" w14:textId="77777777" w:rsidR="00774A33" w:rsidRPr="009047B2" w:rsidRDefault="00774A33" w:rsidP="00774A33">
      <w:pPr>
        <w:tabs>
          <w:tab w:val="left" w:pos="-1440"/>
        </w:tabs>
        <w:spacing w:after="0" w:line="360" w:lineRule="auto"/>
        <w:ind w:right="26"/>
        <w:jc w:val="both"/>
        <w:rPr>
          <w:rFonts w:ascii="Arial" w:eastAsia="Times New Roman" w:hAnsi="Arial" w:cs="Arial"/>
          <w:bCs/>
          <w:sz w:val="24"/>
          <w:szCs w:val="24"/>
          <w:lang w:val="en-US"/>
        </w:rPr>
      </w:pPr>
    </w:p>
    <w:p w14:paraId="0F58548C" w14:textId="6F58A292" w:rsidR="001E5D35" w:rsidRPr="009047B2" w:rsidRDefault="00774A33" w:rsidP="001E5D35">
      <w:pPr>
        <w:tabs>
          <w:tab w:val="left" w:pos="-1440"/>
        </w:tabs>
        <w:spacing w:line="360" w:lineRule="auto"/>
        <w:ind w:right="26"/>
        <w:jc w:val="both"/>
        <w:rPr>
          <w:rFonts w:ascii="Arial" w:eastAsia="Times New Roman" w:hAnsi="Arial" w:cs="Arial"/>
          <w:bCs/>
          <w:sz w:val="24"/>
          <w:szCs w:val="24"/>
        </w:rPr>
      </w:pPr>
      <w:r w:rsidRPr="009047B2">
        <w:rPr>
          <w:rFonts w:ascii="Arial" w:eastAsia="Times New Roman" w:hAnsi="Arial" w:cs="Arial"/>
          <w:bCs/>
          <w:sz w:val="24"/>
          <w:szCs w:val="24"/>
          <w:lang w:val="en-US"/>
        </w:rPr>
        <w:t>[2</w:t>
      </w:r>
      <w:r w:rsidR="00012AF4">
        <w:rPr>
          <w:rFonts w:ascii="Arial" w:eastAsia="Times New Roman" w:hAnsi="Arial" w:cs="Arial"/>
          <w:bCs/>
          <w:sz w:val="24"/>
          <w:szCs w:val="24"/>
          <w:lang w:val="en-US"/>
        </w:rPr>
        <w:t>9</w:t>
      </w:r>
      <w:r w:rsidRPr="009047B2">
        <w:rPr>
          <w:rFonts w:ascii="Arial" w:eastAsia="Times New Roman" w:hAnsi="Arial" w:cs="Arial"/>
          <w:bCs/>
          <w:sz w:val="24"/>
          <w:szCs w:val="24"/>
          <w:lang w:val="en-US"/>
        </w:rPr>
        <w:t>]</w:t>
      </w:r>
      <w:r w:rsidRPr="009047B2">
        <w:rPr>
          <w:rFonts w:ascii="Arial" w:eastAsia="Times New Roman" w:hAnsi="Arial" w:cs="Arial"/>
          <w:bCs/>
          <w:sz w:val="24"/>
          <w:szCs w:val="24"/>
          <w:lang w:val="en-US"/>
        </w:rPr>
        <w:tab/>
        <w:t xml:space="preserve">As regards the occupiers whose occupation commenced before 1997, </w:t>
      </w:r>
      <w:r w:rsidR="00901300" w:rsidRPr="009047B2">
        <w:rPr>
          <w:rFonts w:ascii="Arial" w:eastAsia="Times New Roman" w:hAnsi="Arial" w:cs="Arial"/>
          <w:bCs/>
          <w:sz w:val="24"/>
          <w:szCs w:val="24"/>
          <w:lang w:val="en-US"/>
        </w:rPr>
        <w:t xml:space="preserve">the Trust </w:t>
      </w:r>
      <w:r w:rsidRPr="009047B2">
        <w:rPr>
          <w:rFonts w:ascii="Arial" w:eastAsia="Times New Roman" w:hAnsi="Arial" w:cs="Arial"/>
          <w:bCs/>
          <w:sz w:val="24"/>
          <w:szCs w:val="24"/>
          <w:lang w:val="en-US"/>
        </w:rPr>
        <w:t>reli</w:t>
      </w:r>
      <w:r w:rsidR="00901300" w:rsidRPr="009047B2">
        <w:rPr>
          <w:rFonts w:ascii="Arial" w:eastAsia="Times New Roman" w:hAnsi="Arial" w:cs="Arial"/>
          <w:bCs/>
          <w:sz w:val="24"/>
          <w:szCs w:val="24"/>
          <w:lang w:val="en-US"/>
        </w:rPr>
        <w:t xml:space="preserve">ed on </w:t>
      </w:r>
      <w:r w:rsidRPr="009047B2">
        <w:rPr>
          <w:rFonts w:ascii="Arial" w:eastAsia="Times New Roman" w:hAnsi="Arial" w:cs="Arial"/>
          <w:bCs/>
          <w:sz w:val="24"/>
          <w:szCs w:val="24"/>
          <w:lang w:val="en-US"/>
        </w:rPr>
        <w:t>s 10(1)</w:t>
      </w:r>
      <w:r w:rsidRPr="009047B2">
        <w:rPr>
          <w:rFonts w:ascii="Arial" w:eastAsia="Times New Roman" w:hAnsi="Arial" w:cs="Arial"/>
          <w:bCs/>
          <w:i/>
          <w:iCs/>
          <w:sz w:val="24"/>
          <w:szCs w:val="24"/>
          <w:lang w:val="en-US"/>
        </w:rPr>
        <w:t>(c)</w:t>
      </w:r>
      <w:r w:rsidRPr="009047B2">
        <w:rPr>
          <w:rFonts w:ascii="Arial" w:eastAsia="Times New Roman" w:hAnsi="Arial" w:cs="Arial"/>
          <w:bCs/>
          <w:sz w:val="24"/>
          <w:szCs w:val="24"/>
          <w:lang w:val="en-US"/>
        </w:rPr>
        <w:t xml:space="preserve"> and s 10(3) </w:t>
      </w:r>
      <w:r w:rsidR="004A48F0" w:rsidRPr="009047B2">
        <w:rPr>
          <w:rFonts w:ascii="Arial" w:eastAsia="Times New Roman" w:hAnsi="Arial" w:cs="Arial"/>
          <w:bCs/>
          <w:sz w:val="24"/>
          <w:szCs w:val="24"/>
          <w:lang w:val="en-US"/>
        </w:rPr>
        <w:t xml:space="preserve">of </w:t>
      </w:r>
      <w:r w:rsidRPr="009047B2">
        <w:rPr>
          <w:rFonts w:ascii="Arial" w:eastAsia="Times New Roman" w:hAnsi="Arial" w:cs="Arial"/>
          <w:bCs/>
          <w:sz w:val="24"/>
          <w:szCs w:val="24"/>
          <w:lang w:val="en-US"/>
        </w:rPr>
        <w:t xml:space="preserve">ESTA. </w:t>
      </w:r>
      <w:bookmarkStart w:id="10" w:name="_Hlk125130088"/>
      <w:r w:rsidR="001E5D35" w:rsidRPr="009047B2">
        <w:rPr>
          <w:rFonts w:ascii="Arial" w:eastAsia="Times New Roman" w:hAnsi="Arial" w:cs="Arial"/>
          <w:bCs/>
          <w:sz w:val="24"/>
          <w:szCs w:val="24"/>
          <w:lang w:val="en-US"/>
        </w:rPr>
        <w:t>Section 10(1)</w:t>
      </w:r>
      <w:r w:rsidR="001E5D35" w:rsidRPr="009047B2">
        <w:rPr>
          <w:rFonts w:ascii="Arial" w:eastAsia="Times New Roman" w:hAnsi="Arial" w:cs="Arial"/>
          <w:bCs/>
          <w:i/>
          <w:iCs/>
          <w:sz w:val="24"/>
          <w:szCs w:val="24"/>
          <w:lang w:val="en-US"/>
        </w:rPr>
        <w:t>(c) </w:t>
      </w:r>
      <w:r w:rsidR="001E5D35" w:rsidRPr="009047B2">
        <w:rPr>
          <w:rFonts w:ascii="Arial" w:eastAsia="Times New Roman" w:hAnsi="Arial" w:cs="Arial"/>
          <w:bCs/>
          <w:sz w:val="24"/>
          <w:szCs w:val="24"/>
          <w:lang w:val="en-US"/>
        </w:rPr>
        <w:t>provide:</w:t>
      </w:r>
    </w:p>
    <w:p w14:paraId="4AB02526" w14:textId="77777777" w:rsidR="001E5D35" w:rsidRPr="009047B2" w:rsidRDefault="001E5D35" w:rsidP="001E5D35">
      <w:pPr>
        <w:tabs>
          <w:tab w:val="left" w:pos="-1440"/>
        </w:tabs>
        <w:spacing w:after="0" w:line="360" w:lineRule="auto"/>
        <w:ind w:right="26"/>
        <w:jc w:val="both"/>
        <w:rPr>
          <w:rFonts w:ascii="Arial" w:eastAsia="Times New Roman" w:hAnsi="Arial" w:cs="Arial"/>
          <w:bCs/>
          <w:lang w:val="en-US"/>
        </w:rPr>
      </w:pPr>
      <w:r w:rsidRPr="009047B2">
        <w:rPr>
          <w:rFonts w:ascii="Arial" w:eastAsia="Times New Roman" w:hAnsi="Arial" w:cs="Arial"/>
          <w:bCs/>
        </w:rPr>
        <w:t xml:space="preserve">‘(1) </w:t>
      </w:r>
      <w:r w:rsidRPr="009047B2">
        <w:rPr>
          <w:rFonts w:ascii="Arial" w:eastAsia="Times New Roman" w:hAnsi="Arial" w:cs="Arial"/>
          <w:bCs/>
          <w:lang w:val="en-US"/>
        </w:rPr>
        <w:t xml:space="preserve">An order for the eviction of a person who was an occupier on 4 February 1997 may be granted if – </w:t>
      </w:r>
    </w:p>
    <w:p w14:paraId="628DF5AC" w14:textId="77777777" w:rsidR="001E5D35" w:rsidRPr="009047B2" w:rsidRDefault="001E5D35" w:rsidP="001E5D35">
      <w:pPr>
        <w:tabs>
          <w:tab w:val="left" w:pos="-1440"/>
        </w:tabs>
        <w:spacing w:after="0" w:line="360" w:lineRule="auto"/>
        <w:ind w:right="26"/>
        <w:jc w:val="both"/>
        <w:rPr>
          <w:rFonts w:ascii="Arial" w:eastAsia="Times New Roman" w:hAnsi="Arial" w:cs="Arial"/>
          <w:bCs/>
        </w:rPr>
      </w:pPr>
      <w:r w:rsidRPr="009047B2">
        <w:rPr>
          <w:rFonts w:ascii="Arial" w:eastAsia="Times New Roman" w:hAnsi="Arial" w:cs="Arial"/>
          <w:bCs/>
          <w:lang w:val="en-US"/>
        </w:rPr>
        <w:t xml:space="preserve">. . . </w:t>
      </w:r>
    </w:p>
    <w:p w14:paraId="7B16C3A3" w14:textId="77777777" w:rsidR="001E5D35" w:rsidRPr="001E5D35" w:rsidRDefault="001E5D35" w:rsidP="001E5D35">
      <w:pPr>
        <w:tabs>
          <w:tab w:val="left" w:pos="-1440"/>
        </w:tabs>
        <w:spacing w:after="0" w:line="360" w:lineRule="auto"/>
        <w:ind w:right="26"/>
        <w:jc w:val="both"/>
        <w:rPr>
          <w:rFonts w:ascii="Arial" w:eastAsia="Times New Roman" w:hAnsi="Arial" w:cs="Arial"/>
          <w:bCs/>
        </w:rPr>
      </w:pPr>
      <w:r w:rsidRPr="009047B2">
        <w:rPr>
          <w:rFonts w:ascii="Arial" w:eastAsia="Times New Roman" w:hAnsi="Arial" w:cs="Arial"/>
          <w:bCs/>
          <w:i/>
          <w:iCs/>
          <w:lang w:val="en-US"/>
        </w:rPr>
        <w:t>(c)</w:t>
      </w:r>
      <w:r w:rsidRPr="009047B2">
        <w:rPr>
          <w:rFonts w:ascii="Arial" w:eastAsia="Times New Roman" w:hAnsi="Arial" w:cs="Arial"/>
          <w:bCs/>
          <w:lang w:val="en-US"/>
        </w:rPr>
        <w:t xml:space="preserve"> </w:t>
      </w:r>
      <w:r w:rsidRPr="009047B2">
        <w:rPr>
          <w:rFonts w:ascii="Arial" w:eastAsia="Times New Roman" w:hAnsi="Arial" w:cs="Arial"/>
          <w:bCs/>
        </w:rPr>
        <w:t>the occupier has committed such a fundamental breach of the relationship between him or her and the owner or person in charge, that it is not practically possible</w:t>
      </w:r>
      <w:r w:rsidRPr="001E5D35">
        <w:rPr>
          <w:rFonts w:ascii="Arial" w:eastAsia="Times New Roman" w:hAnsi="Arial" w:cs="Arial"/>
          <w:bCs/>
        </w:rPr>
        <w:t xml:space="preserve"> to remedy it, either at all or in a manner which could reasonably restore the relationship.’</w:t>
      </w:r>
    </w:p>
    <w:bookmarkEnd w:id="10"/>
    <w:p w14:paraId="044756A9" w14:textId="4E3B3DF9" w:rsidR="00774A33" w:rsidRDefault="00774A33" w:rsidP="001E5D35">
      <w:pPr>
        <w:tabs>
          <w:tab w:val="left" w:pos="-1440"/>
        </w:tabs>
        <w:spacing w:after="0" w:line="360" w:lineRule="auto"/>
        <w:ind w:right="26"/>
        <w:jc w:val="both"/>
        <w:rPr>
          <w:rFonts w:ascii="Arial" w:eastAsia="Times New Roman" w:hAnsi="Arial" w:cs="Arial"/>
          <w:bCs/>
        </w:rPr>
      </w:pPr>
    </w:p>
    <w:p w14:paraId="2AEDAD7A" w14:textId="77777777" w:rsidR="00163510" w:rsidRDefault="00FF4907" w:rsidP="001E5D35">
      <w:pPr>
        <w:tabs>
          <w:tab w:val="left" w:pos="-1440"/>
        </w:tabs>
        <w:spacing w:after="0" w:line="360" w:lineRule="auto"/>
        <w:ind w:right="26"/>
        <w:jc w:val="both"/>
      </w:pPr>
      <w:r w:rsidRPr="00FF4907">
        <w:rPr>
          <w:rFonts w:ascii="Arial" w:eastAsia="Times New Roman" w:hAnsi="Arial" w:cs="Arial"/>
          <w:bCs/>
          <w:sz w:val="24"/>
          <w:szCs w:val="24"/>
        </w:rPr>
        <w:t>Section 10(3) provides:</w:t>
      </w:r>
      <w:r w:rsidR="00163510" w:rsidRPr="00163510">
        <w:t xml:space="preserve"> </w:t>
      </w:r>
    </w:p>
    <w:p w14:paraId="4A47B27B" w14:textId="18A2895C" w:rsidR="00D22C92" w:rsidRPr="003C084A" w:rsidRDefault="00D22C92" w:rsidP="00D22C92">
      <w:pPr>
        <w:tabs>
          <w:tab w:val="left" w:pos="-1440"/>
        </w:tabs>
        <w:spacing w:after="0" w:line="360" w:lineRule="auto"/>
        <w:ind w:right="26"/>
        <w:jc w:val="both"/>
        <w:rPr>
          <w:rFonts w:ascii="Arial" w:hAnsi="Arial" w:cs="Arial"/>
        </w:rPr>
      </w:pPr>
      <w:r w:rsidRPr="003C084A">
        <w:rPr>
          <w:rFonts w:ascii="Arial" w:hAnsi="Arial" w:cs="Arial"/>
        </w:rPr>
        <w:t>‘</w:t>
      </w:r>
      <w:r w:rsidR="00163510" w:rsidRPr="003C084A">
        <w:rPr>
          <w:rFonts w:ascii="Arial" w:hAnsi="Arial" w:cs="Arial"/>
        </w:rPr>
        <w:t xml:space="preserve">(3) If— </w:t>
      </w:r>
    </w:p>
    <w:p w14:paraId="465A5AAB" w14:textId="352642DD" w:rsidR="00D22C92" w:rsidRPr="003C084A" w:rsidRDefault="00163510" w:rsidP="00D22C92">
      <w:pPr>
        <w:tabs>
          <w:tab w:val="left" w:pos="-1440"/>
        </w:tabs>
        <w:spacing w:after="0" w:line="360" w:lineRule="auto"/>
        <w:ind w:right="26"/>
        <w:jc w:val="both"/>
        <w:rPr>
          <w:rFonts w:ascii="Arial" w:hAnsi="Arial" w:cs="Arial"/>
        </w:rPr>
      </w:pPr>
      <w:r w:rsidRPr="003C084A">
        <w:rPr>
          <w:rFonts w:ascii="Arial" w:hAnsi="Arial" w:cs="Arial"/>
        </w:rPr>
        <w:t xml:space="preserve">(a) suitable alternative accommodation is not </w:t>
      </w:r>
      <w:r w:rsidR="00646FB3" w:rsidRPr="003C084A">
        <w:rPr>
          <w:rFonts w:ascii="Arial" w:hAnsi="Arial" w:cs="Arial"/>
        </w:rPr>
        <w:t>available</w:t>
      </w:r>
      <w:r w:rsidRPr="003C084A">
        <w:rPr>
          <w:rFonts w:ascii="Arial" w:hAnsi="Arial" w:cs="Arial"/>
        </w:rPr>
        <w:t xml:space="preserve"> to the occupier within a period of nine months after the date of termination of his or her right of residence in terms of section 8;</w:t>
      </w:r>
    </w:p>
    <w:p w14:paraId="636DF59E" w14:textId="77777777" w:rsidR="00D22C92" w:rsidRPr="003C084A" w:rsidRDefault="00163510" w:rsidP="001E5D35">
      <w:pPr>
        <w:tabs>
          <w:tab w:val="left" w:pos="-1440"/>
        </w:tabs>
        <w:spacing w:after="0" w:line="360" w:lineRule="auto"/>
        <w:ind w:right="26"/>
        <w:jc w:val="both"/>
        <w:rPr>
          <w:rFonts w:ascii="Arial" w:hAnsi="Arial" w:cs="Arial"/>
        </w:rPr>
      </w:pPr>
      <w:r w:rsidRPr="003C084A">
        <w:rPr>
          <w:rFonts w:ascii="Arial" w:hAnsi="Arial" w:cs="Arial"/>
        </w:rPr>
        <w:t>(b) the owner or person in charge provided the dwelling occupied by the occupier</w:t>
      </w:r>
      <w:r w:rsidR="00D22C92" w:rsidRPr="003C084A">
        <w:rPr>
          <w:rFonts w:ascii="Arial" w:hAnsi="Arial" w:cs="Arial"/>
        </w:rPr>
        <w:t xml:space="preserve">; </w:t>
      </w:r>
      <w:r w:rsidRPr="003C084A">
        <w:rPr>
          <w:rFonts w:ascii="Arial" w:hAnsi="Arial" w:cs="Arial"/>
        </w:rPr>
        <w:t xml:space="preserve">and </w:t>
      </w:r>
    </w:p>
    <w:p w14:paraId="67BDDD70" w14:textId="77777777" w:rsidR="00995465" w:rsidRPr="003C084A" w:rsidRDefault="00163510" w:rsidP="001E5D35">
      <w:pPr>
        <w:tabs>
          <w:tab w:val="left" w:pos="-1440"/>
        </w:tabs>
        <w:spacing w:after="0" w:line="360" w:lineRule="auto"/>
        <w:ind w:right="26"/>
        <w:jc w:val="both"/>
        <w:rPr>
          <w:rFonts w:ascii="Arial" w:hAnsi="Arial" w:cs="Arial"/>
        </w:rPr>
      </w:pPr>
      <w:r w:rsidRPr="003C084A">
        <w:rPr>
          <w:rFonts w:ascii="Arial" w:hAnsi="Arial" w:cs="Arial"/>
        </w:rPr>
        <w:t>(c) the efficient carrying on of any operation of the owner or person in charge will be seriously prejudiced unless the dwelling is available for occupation by another person employed or to be employed by the owner or person in charge</w:t>
      </w:r>
      <w:r w:rsidR="00995465" w:rsidRPr="003C084A">
        <w:rPr>
          <w:rFonts w:ascii="Arial" w:hAnsi="Arial" w:cs="Arial"/>
        </w:rPr>
        <w:t xml:space="preserve">, </w:t>
      </w:r>
    </w:p>
    <w:p w14:paraId="20C5F545" w14:textId="77777777" w:rsidR="00995465" w:rsidRPr="003C084A" w:rsidRDefault="00163510" w:rsidP="001E5D35">
      <w:pPr>
        <w:tabs>
          <w:tab w:val="left" w:pos="-1440"/>
        </w:tabs>
        <w:spacing w:after="0" w:line="360" w:lineRule="auto"/>
        <w:ind w:right="26"/>
        <w:jc w:val="both"/>
        <w:rPr>
          <w:rFonts w:ascii="Arial" w:hAnsi="Arial" w:cs="Arial"/>
        </w:rPr>
      </w:pPr>
      <w:r w:rsidRPr="003C084A">
        <w:rPr>
          <w:rFonts w:ascii="Arial" w:hAnsi="Arial" w:cs="Arial"/>
        </w:rPr>
        <w:t>a cou</w:t>
      </w:r>
      <w:r w:rsidR="00995465" w:rsidRPr="003C084A">
        <w:rPr>
          <w:rFonts w:ascii="Arial" w:hAnsi="Arial" w:cs="Arial"/>
        </w:rPr>
        <w:t xml:space="preserve">rt </w:t>
      </w:r>
      <w:r w:rsidRPr="003C084A">
        <w:rPr>
          <w:rFonts w:ascii="Arial" w:hAnsi="Arial" w:cs="Arial"/>
        </w:rPr>
        <w:t>ma</w:t>
      </w:r>
      <w:r w:rsidR="00995465" w:rsidRPr="003C084A">
        <w:rPr>
          <w:rFonts w:ascii="Arial" w:hAnsi="Arial" w:cs="Arial"/>
        </w:rPr>
        <w:t>y</w:t>
      </w:r>
      <w:r w:rsidRPr="003C084A">
        <w:rPr>
          <w:rFonts w:ascii="Arial" w:hAnsi="Arial" w:cs="Arial"/>
        </w:rPr>
        <w:t xml:space="preserve"> grant an order for eviction of the occupier and of any other occupier who lives in the same dwelling as him or her. and whose permission to reside there was wholly dependent on his or her right of residence if it is just and equitab</w:t>
      </w:r>
      <w:r w:rsidR="00995465" w:rsidRPr="003C084A">
        <w:rPr>
          <w:rFonts w:ascii="Arial" w:hAnsi="Arial" w:cs="Arial"/>
        </w:rPr>
        <w:t>l</w:t>
      </w:r>
      <w:r w:rsidRPr="003C084A">
        <w:rPr>
          <w:rFonts w:ascii="Arial" w:hAnsi="Arial" w:cs="Arial"/>
        </w:rPr>
        <w:t xml:space="preserve">e to do so, having regard to— </w:t>
      </w:r>
    </w:p>
    <w:p w14:paraId="0DE27BC9" w14:textId="44B39906" w:rsidR="00995465" w:rsidRPr="003C084A" w:rsidRDefault="00163510" w:rsidP="00995465">
      <w:pPr>
        <w:pStyle w:val="ListParagraph"/>
        <w:numPr>
          <w:ilvl w:val="0"/>
          <w:numId w:val="30"/>
        </w:numPr>
        <w:tabs>
          <w:tab w:val="left" w:pos="-1440"/>
        </w:tabs>
        <w:spacing w:after="0" w:line="360" w:lineRule="auto"/>
        <w:ind w:right="26"/>
        <w:jc w:val="both"/>
        <w:rPr>
          <w:rFonts w:ascii="Arial" w:hAnsi="Arial" w:cs="Arial"/>
        </w:rPr>
      </w:pPr>
      <w:r w:rsidRPr="003C084A">
        <w:rPr>
          <w:rFonts w:ascii="Arial" w:hAnsi="Arial" w:cs="Arial"/>
        </w:rPr>
        <w:lastRenderedPageBreak/>
        <w:t xml:space="preserve">the efforts which the owner or person in charge and the occupier have respectively made in order to secure suitable alternative accommodation for the occupier; and </w:t>
      </w:r>
    </w:p>
    <w:p w14:paraId="51C56641" w14:textId="14BAA487" w:rsidR="00FF4907" w:rsidRPr="003C084A" w:rsidRDefault="00163510" w:rsidP="00995465">
      <w:pPr>
        <w:pStyle w:val="ListParagraph"/>
        <w:numPr>
          <w:ilvl w:val="0"/>
          <w:numId w:val="30"/>
        </w:numPr>
        <w:tabs>
          <w:tab w:val="left" w:pos="-1440"/>
        </w:tabs>
        <w:spacing w:after="0" w:line="360" w:lineRule="auto"/>
        <w:ind w:right="26"/>
        <w:jc w:val="both"/>
        <w:rPr>
          <w:rFonts w:ascii="Arial" w:hAnsi="Arial" w:cs="Arial"/>
        </w:rPr>
      </w:pPr>
      <w:r w:rsidRPr="003C084A">
        <w:rPr>
          <w:rFonts w:ascii="Arial" w:hAnsi="Arial" w:cs="Arial"/>
        </w:rPr>
        <w:t>the interests of the respective parties</w:t>
      </w:r>
      <w:r w:rsidR="009A7AF6" w:rsidRPr="00646FB3">
        <w:rPr>
          <w:rFonts w:ascii="Arial" w:hAnsi="Arial" w:cs="Arial"/>
        </w:rPr>
        <w:t>,</w:t>
      </w:r>
      <w:r w:rsidRPr="003C084A">
        <w:rPr>
          <w:rFonts w:ascii="Arial" w:hAnsi="Arial" w:cs="Arial"/>
        </w:rPr>
        <w:t xml:space="preserve"> including the comparative hardship to which the owner or person in charge</w:t>
      </w:r>
      <w:r w:rsidR="009A7AF6" w:rsidRPr="00646FB3">
        <w:rPr>
          <w:rFonts w:ascii="Arial" w:hAnsi="Arial" w:cs="Arial"/>
        </w:rPr>
        <w:t>,</w:t>
      </w:r>
      <w:r w:rsidRPr="003C084A">
        <w:rPr>
          <w:rFonts w:ascii="Arial" w:hAnsi="Arial" w:cs="Arial"/>
        </w:rPr>
        <w:t xml:space="preserve"> the occupier and the remaining occupiers shall be exposed if an order for eviction is or is not granted</w:t>
      </w:r>
      <w:r w:rsidR="003C084A" w:rsidRPr="003C084A">
        <w:rPr>
          <w:rFonts w:ascii="Arial" w:hAnsi="Arial" w:cs="Arial"/>
        </w:rPr>
        <w:t>.’</w:t>
      </w:r>
    </w:p>
    <w:p w14:paraId="4E88E3E9" w14:textId="77777777" w:rsidR="00163510" w:rsidRPr="00FF4907" w:rsidRDefault="00163510" w:rsidP="001E5D35">
      <w:pPr>
        <w:tabs>
          <w:tab w:val="left" w:pos="-1440"/>
        </w:tabs>
        <w:spacing w:after="0" w:line="360" w:lineRule="auto"/>
        <w:ind w:right="26"/>
        <w:jc w:val="both"/>
        <w:rPr>
          <w:rFonts w:ascii="Arial" w:eastAsia="Times New Roman" w:hAnsi="Arial" w:cs="Arial"/>
          <w:bCs/>
          <w:sz w:val="24"/>
          <w:szCs w:val="24"/>
        </w:rPr>
      </w:pPr>
    </w:p>
    <w:p w14:paraId="10FD0251" w14:textId="5AA86D2D" w:rsidR="00493044" w:rsidRPr="009047B2" w:rsidRDefault="00774A33" w:rsidP="00493044">
      <w:pPr>
        <w:tabs>
          <w:tab w:val="left" w:pos="-1440"/>
        </w:tabs>
        <w:spacing w:after="0" w:line="360" w:lineRule="auto"/>
        <w:jc w:val="both"/>
        <w:rPr>
          <w:rFonts w:ascii="Arial" w:eastAsia="Times New Roman" w:hAnsi="Arial" w:cs="Arial"/>
          <w:bCs/>
          <w:sz w:val="24"/>
          <w:szCs w:val="24"/>
          <w:lang w:val="en-US"/>
        </w:rPr>
      </w:pPr>
      <w:r w:rsidRPr="00774A33">
        <w:rPr>
          <w:rFonts w:ascii="Arial" w:eastAsia="Times New Roman" w:hAnsi="Arial" w:cs="Arial"/>
          <w:bCs/>
          <w:sz w:val="24"/>
          <w:szCs w:val="24"/>
          <w:lang w:val="en-US"/>
        </w:rPr>
        <w:t>[</w:t>
      </w:r>
      <w:r w:rsidR="00012AF4">
        <w:rPr>
          <w:rFonts w:ascii="Arial" w:eastAsia="Times New Roman" w:hAnsi="Arial" w:cs="Arial"/>
          <w:bCs/>
          <w:sz w:val="24"/>
          <w:szCs w:val="24"/>
          <w:lang w:val="en-US"/>
        </w:rPr>
        <w:t>30</w:t>
      </w:r>
      <w:r w:rsidRPr="009047B2">
        <w:rPr>
          <w:rFonts w:ascii="Arial" w:eastAsia="Times New Roman" w:hAnsi="Arial" w:cs="Arial"/>
          <w:bCs/>
          <w:sz w:val="24"/>
          <w:szCs w:val="24"/>
          <w:lang w:val="en-US"/>
        </w:rPr>
        <w:t>]</w:t>
      </w:r>
      <w:r w:rsidRPr="009047B2">
        <w:rPr>
          <w:rFonts w:ascii="Arial" w:eastAsia="Times New Roman" w:hAnsi="Arial" w:cs="Arial"/>
          <w:bCs/>
          <w:sz w:val="24"/>
          <w:szCs w:val="24"/>
          <w:lang w:val="en-US"/>
        </w:rPr>
        <w:tab/>
      </w:r>
      <w:r w:rsidR="00493044" w:rsidRPr="009047B2">
        <w:rPr>
          <w:rFonts w:ascii="Arial" w:eastAsia="Times New Roman" w:hAnsi="Arial" w:cs="Arial"/>
          <w:bCs/>
          <w:sz w:val="24"/>
          <w:szCs w:val="24"/>
          <w:lang w:val="en-US"/>
        </w:rPr>
        <w:t xml:space="preserve">In </w:t>
      </w:r>
      <w:bookmarkStart w:id="11" w:name="_Hlk125300446"/>
      <w:r w:rsidR="00493044" w:rsidRPr="009047B2">
        <w:rPr>
          <w:rFonts w:ascii="Arial" w:eastAsia="Times New Roman" w:hAnsi="Arial" w:cs="Arial"/>
          <w:bCs/>
          <w:i/>
          <w:iCs/>
          <w:sz w:val="24"/>
          <w:szCs w:val="24"/>
          <w:lang w:val="en-US"/>
        </w:rPr>
        <w:t>Nimble Investments (Pty) Ltd v Malan</w:t>
      </w:r>
      <w:bookmarkEnd w:id="11"/>
      <w:r w:rsidR="00493044" w:rsidRPr="009047B2">
        <w:rPr>
          <w:rFonts w:ascii="Arial" w:eastAsia="Times New Roman" w:hAnsi="Arial" w:cs="Arial"/>
          <w:bCs/>
          <w:sz w:val="24"/>
          <w:szCs w:val="24"/>
          <w:lang w:val="en-US"/>
        </w:rPr>
        <w:t>,</w:t>
      </w:r>
      <w:r w:rsidR="00493044" w:rsidRPr="009047B2">
        <w:rPr>
          <w:rFonts w:ascii="Arial" w:eastAsia="Times New Roman" w:hAnsi="Arial" w:cs="Arial"/>
          <w:bCs/>
          <w:sz w:val="24"/>
          <w:szCs w:val="24"/>
          <w:vertAlign w:val="superscript"/>
          <w:lang w:val="en-US"/>
        </w:rPr>
        <w:footnoteReference w:id="13"/>
      </w:r>
      <w:r w:rsidR="00493044" w:rsidRPr="009047B2">
        <w:rPr>
          <w:rFonts w:ascii="Arial" w:eastAsia="Times New Roman" w:hAnsi="Arial" w:cs="Arial"/>
          <w:bCs/>
          <w:sz w:val="24"/>
          <w:szCs w:val="24"/>
          <w:lang w:val="en-US"/>
        </w:rPr>
        <w:t xml:space="preserve"> this Court explained that the factors that must be considered when determining whether an occupier has committed a fundamental breach of the relationship envisaged in s 10(1)</w:t>
      </w:r>
      <w:r w:rsidR="00493044" w:rsidRPr="009047B2">
        <w:rPr>
          <w:rFonts w:ascii="Arial" w:eastAsia="Times New Roman" w:hAnsi="Arial" w:cs="Arial"/>
          <w:bCs/>
          <w:i/>
          <w:iCs/>
          <w:sz w:val="24"/>
          <w:szCs w:val="24"/>
          <w:lang w:val="en-US"/>
        </w:rPr>
        <w:t>(c)</w:t>
      </w:r>
      <w:r w:rsidR="00493044" w:rsidRPr="009047B2">
        <w:rPr>
          <w:rFonts w:ascii="Arial" w:eastAsia="Times New Roman" w:hAnsi="Arial" w:cs="Arial"/>
          <w:bCs/>
          <w:sz w:val="24"/>
          <w:szCs w:val="24"/>
          <w:lang w:val="en-US"/>
        </w:rPr>
        <w:t xml:space="preserve"> of ESTA, include the history of the relationship between the parties prior to the conduct giving rise to the breach, the seriousness of the occupier’s conduct and its effect on the relationship.</w:t>
      </w:r>
    </w:p>
    <w:p w14:paraId="35426F6C" w14:textId="77777777" w:rsidR="00493044" w:rsidRPr="009047B2" w:rsidRDefault="00493044" w:rsidP="007537C6">
      <w:pPr>
        <w:tabs>
          <w:tab w:val="left" w:pos="-1440"/>
        </w:tabs>
        <w:spacing w:after="0" w:line="360" w:lineRule="auto"/>
        <w:jc w:val="both"/>
        <w:rPr>
          <w:rFonts w:ascii="Arial" w:eastAsia="Times New Roman" w:hAnsi="Arial" w:cs="Arial"/>
          <w:bCs/>
          <w:sz w:val="24"/>
          <w:szCs w:val="24"/>
          <w:lang w:val="en-US"/>
        </w:rPr>
      </w:pPr>
    </w:p>
    <w:p w14:paraId="260EE37F" w14:textId="34FCDEA7" w:rsidR="00774A33" w:rsidRPr="009047B2" w:rsidRDefault="00493044" w:rsidP="007537C6">
      <w:pPr>
        <w:tabs>
          <w:tab w:val="left" w:pos="-1440"/>
        </w:tabs>
        <w:spacing w:after="0" w:line="360" w:lineRule="auto"/>
        <w:jc w:val="both"/>
        <w:rPr>
          <w:rFonts w:ascii="Arial" w:eastAsia="Times New Roman" w:hAnsi="Arial" w:cs="Arial"/>
          <w:bCs/>
          <w:sz w:val="24"/>
          <w:szCs w:val="24"/>
          <w:lang w:val="en-GB"/>
        </w:rPr>
      </w:pPr>
      <w:r w:rsidRPr="009047B2">
        <w:rPr>
          <w:rFonts w:ascii="Arial" w:eastAsia="Times New Roman" w:hAnsi="Arial" w:cs="Arial"/>
          <w:bCs/>
          <w:sz w:val="24"/>
          <w:szCs w:val="24"/>
          <w:lang w:val="en-US"/>
        </w:rPr>
        <w:t>[</w:t>
      </w:r>
      <w:r w:rsidR="00533838" w:rsidRPr="009047B2">
        <w:rPr>
          <w:rFonts w:ascii="Arial" w:eastAsia="Times New Roman" w:hAnsi="Arial" w:cs="Arial"/>
          <w:bCs/>
          <w:sz w:val="24"/>
          <w:szCs w:val="24"/>
          <w:lang w:val="en-US"/>
        </w:rPr>
        <w:t>3</w:t>
      </w:r>
      <w:r w:rsidR="00012AF4">
        <w:rPr>
          <w:rFonts w:ascii="Arial" w:eastAsia="Times New Roman" w:hAnsi="Arial" w:cs="Arial"/>
          <w:bCs/>
          <w:sz w:val="24"/>
          <w:szCs w:val="24"/>
          <w:lang w:val="en-US"/>
        </w:rPr>
        <w:t>1</w:t>
      </w:r>
      <w:r w:rsidRPr="009047B2">
        <w:rPr>
          <w:rFonts w:ascii="Arial" w:eastAsia="Times New Roman" w:hAnsi="Arial" w:cs="Arial"/>
          <w:bCs/>
          <w:sz w:val="24"/>
          <w:szCs w:val="24"/>
          <w:lang w:val="en-US"/>
        </w:rPr>
        <w:t>]</w:t>
      </w:r>
      <w:r w:rsidRPr="009047B2">
        <w:rPr>
          <w:rFonts w:ascii="Arial" w:eastAsia="Times New Roman" w:hAnsi="Arial" w:cs="Arial"/>
          <w:bCs/>
          <w:sz w:val="24"/>
          <w:szCs w:val="24"/>
          <w:lang w:val="en-US"/>
        </w:rPr>
        <w:tab/>
      </w:r>
      <w:r w:rsidR="004A3FB3" w:rsidRPr="009047B2">
        <w:rPr>
          <w:rFonts w:ascii="Arial" w:eastAsia="Times New Roman" w:hAnsi="Arial" w:cs="Arial"/>
          <w:bCs/>
          <w:sz w:val="24"/>
          <w:szCs w:val="24"/>
          <w:lang w:val="en-GB"/>
        </w:rPr>
        <w:t xml:space="preserve">In </w:t>
      </w:r>
      <w:r w:rsidR="004A3FB3" w:rsidRPr="009047B2">
        <w:rPr>
          <w:rFonts w:ascii="Arial" w:eastAsia="Times New Roman" w:hAnsi="Arial" w:cs="Arial"/>
          <w:bCs/>
          <w:i/>
          <w:iCs/>
          <w:sz w:val="24"/>
          <w:szCs w:val="24"/>
          <w:lang w:val="en-GB"/>
        </w:rPr>
        <w:t>Ovenstone Farms (Pty) Ltd v Persent and Another</w:t>
      </w:r>
      <w:r w:rsidR="004A3FB3" w:rsidRPr="009047B2">
        <w:rPr>
          <w:rFonts w:ascii="Arial" w:eastAsia="Times New Roman" w:hAnsi="Arial" w:cs="Arial"/>
          <w:bCs/>
          <w:sz w:val="24"/>
          <w:szCs w:val="24"/>
          <w:lang w:val="en-GB"/>
        </w:rPr>
        <w:t>,</w:t>
      </w:r>
      <w:r w:rsidR="004A3FB3" w:rsidRPr="009047B2">
        <w:rPr>
          <w:rFonts w:ascii="Arial" w:eastAsia="Times New Roman" w:hAnsi="Arial" w:cs="Arial"/>
          <w:bCs/>
          <w:sz w:val="24"/>
          <w:szCs w:val="24"/>
          <w:vertAlign w:val="superscript"/>
          <w:lang w:val="en-US"/>
        </w:rPr>
        <w:footnoteReference w:id="14"/>
      </w:r>
      <w:r w:rsidR="004A3FB3" w:rsidRPr="009047B2">
        <w:rPr>
          <w:rFonts w:ascii="Arial" w:eastAsia="Times New Roman" w:hAnsi="Arial" w:cs="Arial"/>
          <w:bCs/>
          <w:sz w:val="24"/>
          <w:szCs w:val="24"/>
          <w:lang w:val="en-US"/>
        </w:rPr>
        <w:t xml:space="preserve"> </w:t>
      </w:r>
      <w:r w:rsidR="004A3FB3" w:rsidRPr="009047B2">
        <w:rPr>
          <w:rFonts w:ascii="Arial" w:eastAsia="Times New Roman" w:hAnsi="Arial" w:cs="Arial"/>
          <w:bCs/>
          <w:sz w:val="24"/>
          <w:szCs w:val="24"/>
          <w:lang w:val="en-GB"/>
        </w:rPr>
        <w:t>t</w:t>
      </w:r>
      <w:r w:rsidR="004A3FB3" w:rsidRPr="009047B2">
        <w:rPr>
          <w:rFonts w:ascii="Arial" w:eastAsia="Times New Roman" w:hAnsi="Arial" w:cs="Arial"/>
          <w:bCs/>
          <w:sz w:val="24"/>
          <w:szCs w:val="24"/>
          <w:lang w:val="en-US"/>
        </w:rPr>
        <w:t>he LCC held that a fundamental breach of the relationship between an owner and an occupier contemplated in s 10(1)</w:t>
      </w:r>
      <w:r w:rsidR="004A3FB3" w:rsidRPr="009047B2">
        <w:rPr>
          <w:rFonts w:ascii="Arial" w:eastAsia="Times New Roman" w:hAnsi="Arial" w:cs="Arial"/>
          <w:bCs/>
          <w:i/>
          <w:iCs/>
          <w:sz w:val="24"/>
          <w:szCs w:val="24"/>
          <w:lang w:val="en-US"/>
        </w:rPr>
        <w:t>(c)</w:t>
      </w:r>
      <w:r w:rsidR="004A3FB3" w:rsidRPr="009047B2">
        <w:rPr>
          <w:rFonts w:ascii="Arial" w:eastAsia="Times New Roman" w:hAnsi="Arial" w:cs="Arial"/>
          <w:bCs/>
          <w:sz w:val="24"/>
          <w:szCs w:val="24"/>
          <w:lang w:val="en-US"/>
        </w:rPr>
        <w:t xml:space="preserve"> ‘relates to a social rather than to a legal relationship’ and that this requirement would be met if ‘it is practically impossible for the relationship to continue due to a lack of mutual trust’. In th</w:t>
      </w:r>
      <w:r w:rsidR="004A0B8C" w:rsidRPr="009047B2">
        <w:rPr>
          <w:rFonts w:ascii="Arial" w:eastAsia="Times New Roman" w:hAnsi="Arial" w:cs="Arial"/>
          <w:bCs/>
          <w:sz w:val="24"/>
          <w:szCs w:val="24"/>
          <w:lang w:val="en-US"/>
        </w:rPr>
        <w:t xml:space="preserve">e </w:t>
      </w:r>
      <w:r w:rsidR="00B43B99" w:rsidRPr="009047B2">
        <w:rPr>
          <w:rFonts w:ascii="Arial" w:eastAsia="Times New Roman" w:hAnsi="Arial" w:cs="Arial"/>
          <w:bCs/>
          <w:sz w:val="24"/>
          <w:szCs w:val="24"/>
          <w:lang w:val="en-US"/>
        </w:rPr>
        <w:t>present</w:t>
      </w:r>
      <w:r w:rsidR="004A3FB3" w:rsidRPr="009047B2">
        <w:rPr>
          <w:rFonts w:ascii="Arial" w:eastAsia="Times New Roman" w:hAnsi="Arial" w:cs="Arial"/>
          <w:bCs/>
          <w:sz w:val="24"/>
          <w:szCs w:val="24"/>
          <w:lang w:val="en-US"/>
        </w:rPr>
        <w:t xml:space="preserve"> matter, it is worth noting that t</w:t>
      </w:r>
      <w:r w:rsidR="004A3FB3" w:rsidRPr="009047B2">
        <w:rPr>
          <w:rFonts w:ascii="Arial" w:eastAsia="Times New Roman" w:hAnsi="Arial" w:cs="Arial"/>
          <w:bCs/>
          <w:sz w:val="24"/>
          <w:szCs w:val="24"/>
          <w:lang w:val="en-GB"/>
        </w:rPr>
        <w:t xml:space="preserve">he conduct </w:t>
      </w:r>
      <w:r w:rsidR="00F8171D" w:rsidRPr="009047B2">
        <w:rPr>
          <w:rFonts w:ascii="Arial" w:eastAsia="Times New Roman" w:hAnsi="Arial" w:cs="Arial"/>
          <w:bCs/>
          <w:sz w:val="24"/>
          <w:szCs w:val="24"/>
          <w:lang w:val="en-GB"/>
        </w:rPr>
        <w:t>which</w:t>
      </w:r>
      <w:r w:rsidR="004A3FB3" w:rsidRPr="009047B2">
        <w:rPr>
          <w:rFonts w:ascii="Arial" w:eastAsia="Times New Roman" w:hAnsi="Arial" w:cs="Arial"/>
          <w:bCs/>
          <w:sz w:val="24"/>
          <w:szCs w:val="24"/>
          <w:lang w:val="en-GB"/>
        </w:rPr>
        <w:t xml:space="preserve"> cons</w:t>
      </w:r>
      <w:r w:rsidR="004A48F0" w:rsidRPr="009047B2">
        <w:rPr>
          <w:rFonts w:ascii="Arial" w:eastAsia="Times New Roman" w:hAnsi="Arial" w:cs="Arial"/>
          <w:bCs/>
          <w:sz w:val="24"/>
          <w:szCs w:val="24"/>
          <w:lang w:val="en-GB"/>
        </w:rPr>
        <w:t xml:space="preserve">titutes </w:t>
      </w:r>
      <w:r w:rsidR="004A3FB3" w:rsidRPr="009047B2">
        <w:rPr>
          <w:rFonts w:ascii="Arial" w:eastAsia="Times New Roman" w:hAnsi="Arial" w:cs="Arial"/>
          <w:bCs/>
          <w:sz w:val="24"/>
          <w:szCs w:val="24"/>
          <w:lang w:val="en-GB"/>
        </w:rPr>
        <w:t>a fundamental breach of the parties’ relationship was attributed to all the occupiers.</w:t>
      </w:r>
      <w:r w:rsidR="00B05C22" w:rsidRPr="009047B2">
        <w:rPr>
          <w:rFonts w:ascii="Arial" w:eastAsia="Times New Roman" w:hAnsi="Arial" w:cs="Arial"/>
          <w:bCs/>
          <w:sz w:val="24"/>
          <w:szCs w:val="24"/>
          <w:lang w:val="en-GB"/>
        </w:rPr>
        <w:t xml:space="preserve"> </w:t>
      </w:r>
      <w:r w:rsidR="00774A33" w:rsidRPr="009047B2">
        <w:rPr>
          <w:rFonts w:ascii="Arial" w:eastAsia="Times New Roman" w:hAnsi="Arial" w:cs="Arial"/>
          <w:bCs/>
          <w:sz w:val="24"/>
          <w:szCs w:val="24"/>
          <w:lang w:val="en-GB"/>
        </w:rPr>
        <w:t>The conduct in question was inter alia described as follows in the founding affidavit:</w:t>
      </w:r>
    </w:p>
    <w:p w14:paraId="58112C0E" w14:textId="77777777" w:rsidR="005B3434" w:rsidRPr="009047B2" w:rsidRDefault="005B3434" w:rsidP="007537C6">
      <w:pPr>
        <w:tabs>
          <w:tab w:val="left" w:pos="-1440"/>
        </w:tabs>
        <w:spacing w:after="0" w:line="360" w:lineRule="auto"/>
        <w:jc w:val="both"/>
        <w:rPr>
          <w:rFonts w:ascii="Arial" w:eastAsia="Times New Roman" w:hAnsi="Arial" w:cs="Arial"/>
          <w:bCs/>
          <w:lang w:val="en-GB"/>
        </w:rPr>
      </w:pPr>
      <w:r w:rsidRPr="009047B2">
        <w:rPr>
          <w:rFonts w:ascii="Arial" w:eastAsia="Times New Roman" w:hAnsi="Arial" w:cs="Arial"/>
          <w:bCs/>
          <w:lang w:val="en-GB"/>
        </w:rPr>
        <w:t xml:space="preserve">‘I in no way in this regard wish to imply that all the [occupiers] are careless as to their treatment of the property, but by virtue of the fact that they are a large and diverse group, there are persons in the group who treat the property with nothing but contempt. </w:t>
      </w:r>
    </w:p>
    <w:p w14:paraId="25D3EC61" w14:textId="77777777" w:rsidR="005B3434" w:rsidRPr="005B3434" w:rsidRDefault="005B3434" w:rsidP="007537C6">
      <w:pPr>
        <w:tabs>
          <w:tab w:val="left" w:pos="-1440"/>
        </w:tabs>
        <w:spacing w:after="0" w:line="360" w:lineRule="auto"/>
        <w:jc w:val="both"/>
        <w:rPr>
          <w:rFonts w:ascii="Arial" w:eastAsia="Times New Roman" w:hAnsi="Arial" w:cs="Arial"/>
          <w:bCs/>
          <w:lang w:val="en-GB"/>
        </w:rPr>
      </w:pPr>
      <w:r w:rsidRPr="009047B2">
        <w:rPr>
          <w:rFonts w:ascii="Arial" w:eastAsia="Times New Roman" w:hAnsi="Arial" w:cs="Arial"/>
          <w:bCs/>
          <w:lang w:val="en-GB"/>
        </w:rPr>
        <w:t>. . . [S]ome of the [occupiers] have developed the practice of disposing of household waste by the expedient of either simply disposing</w:t>
      </w:r>
      <w:r w:rsidRPr="005B3434">
        <w:rPr>
          <w:rFonts w:ascii="Arial" w:eastAsia="Times New Roman" w:hAnsi="Arial" w:cs="Arial"/>
          <w:bCs/>
          <w:lang w:val="en-GB"/>
        </w:rPr>
        <w:t xml:space="preserve"> of it adjacent to the cottages or by burning same. For obvious reasons </w:t>
      </w:r>
      <w:r w:rsidRPr="00D86A68">
        <w:rPr>
          <w:rFonts w:ascii="Arial" w:eastAsia="Times New Roman" w:hAnsi="Arial" w:cs="Arial"/>
          <w:bCs/>
          <w:i/>
          <w:iCs/>
          <w:lang w:val="en-GB"/>
        </w:rPr>
        <w:t>the burning of household waste is strictly prohibited as this can lead to conflagration destructive of the vineyards in the property</w:t>
      </w:r>
      <w:r w:rsidRPr="005B3434">
        <w:rPr>
          <w:rFonts w:ascii="Arial" w:eastAsia="Times New Roman" w:hAnsi="Arial" w:cs="Arial"/>
          <w:bCs/>
          <w:lang w:val="en-GB"/>
        </w:rPr>
        <w:t xml:space="preserve">. There has in fact already been one case of the fire spreading to the vineyards albeit this was caused by arson as opposed to the burning of household waste. A further health concern is the matter of human waste and waste water. </w:t>
      </w:r>
    </w:p>
    <w:p w14:paraId="4E20102B" w14:textId="77777777" w:rsidR="005B3434" w:rsidRPr="005B3434" w:rsidRDefault="005B3434" w:rsidP="007537C6">
      <w:pPr>
        <w:tabs>
          <w:tab w:val="left" w:pos="-1440"/>
        </w:tabs>
        <w:spacing w:after="0" w:line="360" w:lineRule="auto"/>
        <w:jc w:val="both"/>
        <w:rPr>
          <w:rFonts w:ascii="Arial" w:eastAsia="Times New Roman" w:hAnsi="Arial" w:cs="Arial"/>
          <w:bCs/>
          <w:lang w:val="en-GB"/>
        </w:rPr>
      </w:pPr>
      <w:r w:rsidRPr="005B3434">
        <w:rPr>
          <w:rFonts w:ascii="Arial" w:eastAsia="Times New Roman" w:hAnsi="Arial" w:cs="Arial"/>
          <w:bCs/>
          <w:lang w:val="en-GB"/>
        </w:rPr>
        <w:lastRenderedPageBreak/>
        <w:t>. . .</w:t>
      </w:r>
    </w:p>
    <w:p w14:paraId="3F190DAC" w14:textId="77777777" w:rsidR="005B3434" w:rsidRPr="005B3434" w:rsidRDefault="005B3434" w:rsidP="007537C6">
      <w:pPr>
        <w:tabs>
          <w:tab w:val="left" w:pos="-1440"/>
        </w:tabs>
        <w:spacing w:after="0" w:line="360" w:lineRule="auto"/>
        <w:jc w:val="both"/>
        <w:rPr>
          <w:rFonts w:ascii="Arial" w:eastAsia="Times New Roman" w:hAnsi="Arial" w:cs="Arial"/>
          <w:bCs/>
          <w:lang w:val="en-GB"/>
        </w:rPr>
      </w:pPr>
      <w:r w:rsidRPr="005B3434">
        <w:rPr>
          <w:rFonts w:ascii="Arial" w:eastAsia="Times New Roman" w:hAnsi="Arial" w:cs="Arial"/>
          <w:bCs/>
          <w:lang w:val="en-GB"/>
        </w:rPr>
        <w:t>As I have said the cottages were clearly designed and are suitable for small family units. Such sanitation as exists is hopelessly inadequate for the inflated number of persons currently resident at the cottages.</w:t>
      </w:r>
    </w:p>
    <w:p w14:paraId="3F2E6756" w14:textId="77777777" w:rsidR="005B3434" w:rsidRPr="005B3434" w:rsidRDefault="005B3434" w:rsidP="007537C6">
      <w:pPr>
        <w:tabs>
          <w:tab w:val="left" w:pos="-1440"/>
        </w:tabs>
        <w:spacing w:after="0" w:line="360" w:lineRule="auto"/>
        <w:jc w:val="both"/>
        <w:rPr>
          <w:rFonts w:ascii="Arial" w:eastAsia="Times New Roman" w:hAnsi="Arial" w:cs="Arial"/>
          <w:bCs/>
          <w:lang w:val="en-GB"/>
        </w:rPr>
      </w:pPr>
      <w:r w:rsidRPr="005B3434">
        <w:rPr>
          <w:rFonts w:ascii="Arial" w:eastAsia="Times New Roman" w:hAnsi="Arial" w:cs="Arial"/>
          <w:bCs/>
          <w:lang w:val="en-GB"/>
        </w:rPr>
        <w:t xml:space="preserve">. . . </w:t>
      </w:r>
    </w:p>
    <w:p w14:paraId="723F1EA3" w14:textId="77777777" w:rsidR="005B3434" w:rsidRPr="005B3434" w:rsidRDefault="005B3434" w:rsidP="007537C6">
      <w:pPr>
        <w:tabs>
          <w:tab w:val="left" w:pos="-1440"/>
        </w:tabs>
        <w:spacing w:after="0" w:line="360" w:lineRule="auto"/>
        <w:jc w:val="both"/>
        <w:rPr>
          <w:rFonts w:ascii="Arial" w:eastAsia="Times New Roman" w:hAnsi="Arial" w:cs="Arial"/>
          <w:bCs/>
          <w:lang w:val="en-GB"/>
        </w:rPr>
      </w:pPr>
      <w:r w:rsidRPr="005B3434">
        <w:rPr>
          <w:rFonts w:ascii="Arial" w:eastAsia="Times New Roman" w:hAnsi="Arial" w:cs="Arial"/>
          <w:bCs/>
          <w:lang w:val="en-GB"/>
        </w:rPr>
        <w:t>Also, it would appear that household waste water, as well as human waste, is disposed of immediately below the cottages. The cottages are on the top of a slope leading down into the vineyards. There is essentially a constant stream of water flowing from the cottages through the vineyards. Also in the event of rains, accumulated waste simply washes down from the cottages in the vineyard</w:t>
      </w:r>
    </w:p>
    <w:p w14:paraId="7A874F98" w14:textId="77777777" w:rsidR="005B3434" w:rsidRPr="005B3434" w:rsidRDefault="005B3434" w:rsidP="007537C6">
      <w:pPr>
        <w:tabs>
          <w:tab w:val="left" w:pos="-1440"/>
        </w:tabs>
        <w:spacing w:after="0" w:line="360" w:lineRule="auto"/>
        <w:jc w:val="both"/>
        <w:rPr>
          <w:rFonts w:ascii="Arial" w:eastAsia="Times New Roman" w:hAnsi="Arial" w:cs="Arial"/>
          <w:bCs/>
          <w:lang w:val="en-GB"/>
        </w:rPr>
      </w:pPr>
      <w:r w:rsidRPr="005B3434">
        <w:rPr>
          <w:rFonts w:ascii="Arial" w:eastAsia="Times New Roman" w:hAnsi="Arial" w:cs="Arial"/>
          <w:bCs/>
          <w:lang w:val="en-GB"/>
        </w:rPr>
        <w:t xml:space="preserve">. . . </w:t>
      </w:r>
    </w:p>
    <w:p w14:paraId="34056824" w14:textId="40273855" w:rsidR="005B3434" w:rsidRPr="00136439" w:rsidRDefault="005B3434" w:rsidP="007537C6">
      <w:pPr>
        <w:tabs>
          <w:tab w:val="left" w:pos="-1440"/>
        </w:tabs>
        <w:spacing w:after="0" w:line="360" w:lineRule="auto"/>
        <w:jc w:val="both"/>
        <w:rPr>
          <w:rFonts w:ascii="Arial" w:eastAsia="Times New Roman" w:hAnsi="Arial" w:cs="Arial"/>
          <w:bCs/>
          <w:lang w:val="en-GB"/>
        </w:rPr>
      </w:pPr>
      <w:r w:rsidRPr="005B3434">
        <w:rPr>
          <w:rFonts w:ascii="Arial" w:eastAsia="Times New Roman" w:hAnsi="Arial" w:cs="Arial"/>
          <w:bCs/>
          <w:lang w:val="en-GB"/>
        </w:rPr>
        <w:t xml:space="preserve">For obvious reasons this is wholly unacceptable in the production of grapes.’ </w:t>
      </w:r>
      <w:r w:rsidR="00D86A68" w:rsidRPr="00136439">
        <w:rPr>
          <w:rFonts w:ascii="Arial" w:eastAsia="Times New Roman" w:hAnsi="Arial" w:cs="Arial"/>
          <w:bCs/>
          <w:lang w:val="en-GB"/>
        </w:rPr>
        <w:t xml:space="preserve">(Own emphasis.) </w:t>
      </w:r>
    </w:p>
    <w:p w14:paraId="243A4EB6" w14:textId="77777777"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5A6CBF19" w14:textId="009EFCEA" w:rsidR="000110A6" w:rsidRDefault="00774A33" w:rsidP="00774A33">
      <w:pPr>
        <w:tabs>
          <w:tab w:val="left" w:pos="-1440"/>
        </w:tabs>
        <w:spacing w:after="0" w:line="360" w:lineRule="auto"/>
        <w:ind w:right="26"/>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 xml:space="preserve"> [</w:t>
      </w:r>
      <w:r w:rsidR="009E6FC0">
        <w:rPr>
          <w:rFonts w:ascii="Arial" w:eastAsia="Times New Roman" w:hAnsi="Arial" w:cs="Arial"/>
          <w:bCs/>
          <w:sz w:val="24"/>
          <w:szCs w:val="24"/>
          <w:lang w:val="en-GB"/>
        </w:rPr>
        <w:t>3</w:t>
      </w:r>
      <w:r w:rsidR="00012AF4">
        <w:rPr>
          <w:rFonts w:ascii="Arial" w:eastAsia="Times New Roman" w:hAnsi="Arial" w:cs="Arial"/>
          <w:bCs/>
          <w:sz w:val="24"/>
          <w:szCs w:val="24"/>
          <w:lang w:val="en-GB"/>
        </w:rPr>
        <w:t>2</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t xml:space="preserve">The Trust was candid enough to disclose that the only way in which it could identify </w:t>
      </w:r>
      <w:r w:rsidR="001D313D">
        <w:rPr>
          <w:rFonts w:ascii="Arial" w:eastAsia="Times New Roman" w:hAnsi="Arial" w:cs="Arial"/>
          <w:bCs/>
          <w:sz w:val="24"/>
          <w:szCs w:val="24"/>
          <w:lang w:val="en-GB"/>
        </w:rPr>
        <w:t xml:space="preserve">the </w:t>
      </w:r>
      <w:r w:rsidRPr="00774A33">
        <w:rPr>
          <w:rFonts w:ascii="Arial" w:eastAsia="Times New Roman" w:hAnsi="Arial" w:cs="Arial"/>
          <w:bCs/>
          <w:sz w:val="24"/>
          <w:szCs w:val="24"/>
          <w:lang w:val="en-GB"/>
        </w:rPr>
        <w:t xml:space="preserve">culprits was by using cameras activated by means of motion detectors. It asserted that one of the rules pertaining to the occupiers’ occupation of the farm clearly stipulated that they were not allowed to own dogs on the farm. </w:t>
      </w:r>
      <w:r w:rsidR="00501A06" w:rsidRPr="00501A06">
        <w:rPr>
          <w:rFonts w:ascii="Arial" w:eastAsia="Times New Roman" w:hAnsi="Arial" w:cs="Arial"/>
          <w:bCs/>
          <w:sz w:val="24"/>
          <w:szCs w:val="24"/>
          <w:lang w:val="en-GB"/>
        </w:rPr>
        <w:t xml:space="preserve">The presence of the dogs in the vineyards </w:t>
      </w:r>
      <w:r w:rsidR="00501A06">
        <w:rPr>
          <w:rFonts w:ascii="Arial" w:eastAsia="Times New Roman" w:hAnsi="Arial" w:cs="Arial"/>
          <w:bCs/>
          <w:sz w:val="24"/>
          <w:szCs w:val="24"/>
          <w:lang w:val="en-GB"/>
        </w:rPr>
        <w:t xml:space="preserve">was </w:t>
      </w:r>
      <w:r w:rsidR="00501A06" w:rsidRPr="00501A06">
        <w:rPr>
          <w:rFonts w:ascii="Arial" w:eastAsia="Times New Roman" w:hAnsi="Arial" w:cs="Arial"/>
          <w:bCs/>
          <w:sz w:val="24"/>
          <w:szCs w:val="24"/>
          <w:lang w:val="en-GB"/>
        </w:rPr>
        <w:t xml:space="preserve">substantiated by a photograph. </w:t>
      </w:r>
      <w:r w:rsidRPr="00774A33">
        <w:rPr>
          <w:rFonts w:ascii="Arial" w:eastAsia="Times New Roman" w:hAnsi="Arial" w:cs="Arial"/>
          <w:bCs/>
          <w:sz w:val="24"/>
          <w:szCs w:val="24"/>
          <w:lang w:val="en-GB"/>
        </w:rPr>
        <w:t xml:space="preserve">This prohibition was based on the dogs’ propensity to damage </w:t>
      </w:r>
      <w:r w:rsidR="000D1E7D">
        <w:rPr>
          <w:rFonts w:ascii="Arial" w:eastAsia="Times New Roman" w:hAnsi="Arial" w:cs="Arial"/>
          <w:bCs/>
          <w:sz w:val="24"/>
          <w:szCs w:val="24"/>
          <w:lang w:val="en-GB"/>
        </w:rPr>
        <w:t xml:space="preserve">the </w:t>
      </w:r>
      <w:r w:rsidRPr="00774A33">
        <w:rPr>
          <w:rFonts w:ascii="Arial" w:eastAsia="Times New Roman" w:hAnsi="Arial" w:cs="Arial"/>
          <w:bCs/>
          <w:sz w:val="24"/>
          <w:szCs w:val="24"/>
          <w:lang w:val="en-GB"/>
        </w:rPr>
        <w:t>vineyards</w:t>
      </w:r>
      <w:r w:rsidRPr="007D23F5">
        <w:rPr>
          <w:rFonts w:ascii="Arial" w:eastAsia="Times New Roman" w:hAnsi="Arial" w:cs="Arial"/>
          <w:bCs/>
          <w:sz w:val="24"/>
          <w:szCs w:val="24"/>
          <w:lang w:val="en-GB"/>
        </w:rPr>
        <w:t>.</w:t>
      </w:r>
      <w:r w:rsidRPr="00774A33">
        <w:rPr>
          <w:rFonts w:ascii="Arial" w:eastAsia="Times New Roman" w:hAnsi="Arial" w:cs="Arial"/>
          <w:bCs/>
          <w:sz w:val="24"/>
          <w:szCs w:val="24"/>
          <w:lang w:val="en-GB"/>
        </w:rPr>
        <w:t xml:space="preserve"> The </w:t>
      </w:r>
      <w:r w:rsidR="008B0F03" w:rsidRPr="009047B2">
        <w:rPr>
          <w:rFonts w:ascii="Arial" w:eastAsia="Times New Roman" w:hAnsi="Arial" w:cs="Arial"/>
          <w:bCs/>
          <w:sz w:val="24"/>
          <w:szCs w:val="24"/>
          <w:lang w:val="en-GB"/>
        </w:rPr>
        <w:t xml:space="preserve">Trust asserted that </w:t>
      </w:r>
      <w:r w:rsidRPr="009047B2">
        <w:rPr>
          <w:rFonts w:ascii="Arial" w:eastAsia="Times New Roman" w:hAnsi="Arial" w:cs="Arial"/>
          <w:bCs/>
          <w:sz w:val="24"/>
          <w:szCs w:val="24"/>
          <w:lang w:val="en-GB"/>
        </w:rPr>
        <w:t xml:space="preserve">CCTV cameras were not of much benefit because the motion detectors were constantly being set off by dogs. This had led to bulk footage that was impossible to review. </w:t>
      </w:r>
      <w:r w:rsidR="005B06DD" w:rsidRPr="009047B2">
        <w:rPr>
          <w:rFonts w:ascii="Arial" w:eastAsia="Times New Roman" w:hAnsi="Arial" w:cs="Arial"/>
          <w:bCs/>
          <w:sz w:val="24"/>
          <w:szCs w:val="24"/>
          <w:lang w:val="en-GB"/>
        </w:rPr>
        <w:t xml:space="preserve">For this reason, </w:t>
      </w:r>
      <w:r w:rsidR="000110A6" w:rsidRPr="009047B2">
        <w:rPr>
          <w:rFonts w:ascii="Arial" w:eastAsia="Times New Roman" w:hAnsi="Arial" w:cs="Arial"/>
          <w:bCs/>
          <w:sz w:val="24"/>
          <w:szCs w:val="24"/>
          <w:lang w:val="en-GB"/>
        </w:rPr>
        <w:t>t</w:t>
      </w:r>
      <w:r w:rsidR="000D490C" w:rsidRPr="009047B2">
        <w:rPr>
          <w:rFonts w:ascii="Arial" w:eastAsia="Times New Roman" w:hAnsi="Arial" w:cs="Arial"/>
          <w:bCs/>
          <w:sz w:val="24"/>
          <w:szCs w:val="24"/>
          <w:lang w:val="en-GB"/>
        </w:rPr>
        <w:t>he Trust asserted</w:t>
      </w:r>
      <w:r w:rsidR="00F8171D" w:rsidRPr="009047B2">
        <w:rPr>
          <w:rFonts w:ascii="Arial" w:eastAsia="Times New Roman" w:hAnsi="Arial" w:cs="Arial"/>
          <w:bCs/>
          <w:sz w:val="24"/>
          <w:szCs w:val="24"/>
          <w:lang w:val="en-GB"/>
        </w:rPr>
        <w:t xml:space="preserve"> that it </w:t>
      </w:r>
      <w:r w:rsidRPr="009047B2">
        <w:rPr>
          <w:rFonts w:ascii="Arial" w:eastAsia="Times New Roman" w:hAnsi="Arial" w:cs="Arial"/>
          <w:bCs/>
          <w:sz w:val="24"/>
          <w:szCs w:val="24"/>
          <w:lang w:val="en-GB"/>
        </w:rPr>
        <w:t>had to</w:t>
      </w:r>
      <w:r w:rsidRPr="00774A33">
        <w:rPr>
          <w:rFonts w:ascii="Arial" w:eastAsia="Times New Roman" w:hAnsi="Arial" w:cs="Arial"/>
          <w:bCs/>
          <w:sz w:val="24"/>
          <w:szCs w:val="24"/>
          <w:lang w:val="en-GB"/>
        </w:rPr>
        <w:t xml:space="preserve"> incur the cost of employing night security on the farm. </w:t>
      </w:r>
    </w:p>
    <w:p w14:paraId="1E9A953A" w14:textId="77777777" w:rsidR="00DA4894" w:rsidRDefault="00DA4894" w:rsidP="00774A33">
      <w:pPr>
        <w:tabs>
          <w:tab w:val="left" w:pos="-1440"/>
        </w:tabs>
        <w:spacing w:after="0" w:line="360" w:lineRule="auto"/>
        <w:ind w:right="26"/>
        <w:jc w:val="both"/>
        <w:rPr>
          <w:rFonts w:ascii="Arial" w:eastAsia="Times New Roman" w:hAnsi="Arial" w:cs="Arial"/>
          <w:bCs/>
          <w:sz w:val="24"/>
          <w:szCs w:val="24"/>
          <w:lang w:val="en-GB"/>
        </w:rPr>
      </w:pPr>
    </w:p>
    <w:p w14:paraId="75EA1E6A" w14:textId="74D306CF" w:rsidR="00774A33" w:rsidRPr="009047B2" w:rsidRDefault="00774A33" w:rsidP="007537C6">
      <w:pPr>
        <w:tabs>
          <w:tab w:val="left" w:pos="-1440"/>
        </w:tabs>
        <w:spacing w:after="0" w:line="360" w:lineRule="auto"/>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w:t>
      </w:r>
      <w:r w:rsidR="009E6FC0">
        <w:rPr>
          <w:rFonts w:ascii="Arial" w:eastAsia="Times New Roman" w:hAnsi="Arial" w:cs="Arial"/>
          <w:bCs/>
          <w:sz w:val="24"/>
          <w:szCs w:val="24"/>
          <w:lang w:val="en-GB"/>
        </w:rPr>
        <w:t>3</w:t>
      </w:r>
      <w:r w:rsidR="00012AF4">
        <w:rPr>
          <w:rFonts w:ascii="Arial" w:eastAsia="Times New Roman" w:hAnsi="Arial" w:cs="Arial"/>
          <w:bCs/>
          <w:sz w:val="24"/>
          <w:szCs w:val="24"/>
          <w:lang w:val="en-GB"/>
        </w:rPr>
        <w:t>3</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t xml:space="preserve">The occupiers’ nonchalant retort was to accuse the Trust of having failed to specifically disclose the identities of the individuals who had committed the various acts of </w:t>
      </w:r>
      <w:r w:rsidR="00E918B9" w:rsidRPr="002E5A80">
        <w:rPr>
          <w:rFonts w:ascii="Arial" w:eastAsia="Times New Roman" w:hAnsi="Arial" w:cs="Arial"/>
          <w:bCs/>
          <w:sz w:val="24"/>
          <w:szCs w:val="24"/>
          <w:lang w:val="en-GB"/>
        </w:rPr>
        <w:t xml:space="preserve">inappropriate </w:t>
      </w:r>
      <w:r w:rsidRPr="00774A33">
        <w:rPr>
          <w:rFonts w:ascii="Arial" w:eastAsia="Times New Roman" w:hAnsi="Arial" w:cs="Arial"/>
          <w:bCs/>
          <w:sz w:val="24"/>
          <w:szCs w:val="24"/>
          <w:lang w:val="en-GB"/>
        </w:rPr>
        <w:t xml:space="preserve">conduct. The </w:t>
      </w:r>
      <w:r w:rsidR="0027686E">
        <w:rPr>
          <w:rFonts w:ascii="Arial" w:eastAsia="Times New Roman" w:hAnsi="Arial" w:cs="Arial"/>
          <w:bCs/>
          <w:sz w:val="24"/>
          <w:szCs w:val="24"/>
          <w:lang w:val="en-GB"/>
        </w:rPr>
        <w:t xml:space="preserve">rationale for the prohibition on keeping </w:t>
      </w:r>
      <w:r w:rsidR="0027686E" w:rsidRPr="009047B2">
        <w:rPr>
          <w:rFonts w:ascii="Arial" w:eastAsia="Times New Roman" w:hAnsi="Arial" w:cs="Arial"/>
          <w:bCs/>
          <w:sz w:val="24"/>
          <w:szCs w:val="24"/>
          <w:lang w:val="en-GB"/>
        </w:rPr>
        <w:t>dogs (ie that they damage the vineyards) was not disputed</w:t>
      </w:r>
      <w:r w:rsidR="0059125B" w:rsidRPr="009047B2">
        <w:rPr>
          <w:rFonts w:ascii="Arial" w:eastAsia="Times New Roman" w:hAnsi="Arial" w:cs="Arial"/>
          <w:bCs/>
          <w:sz w:val="24"/>
          <w:szCs w:val="24"/>
          <w:lang w:val="en-GB"/>
        </w:rPr>
        <w:t xml:space="preserve">. The </w:t>
      </w:r>
      <w:r w:rsidRPr="009047B2">
        <w:rPr>
          <w:rFonts w:ascii="Arial" w:eastAsia="Times New Roman" w:hAnsi="Arial" w:cs="Arial"/>
          <w:bCs/>
          <w:sz w:val="24"/>
          <w:szCs w:val="24"/>
          <w:lang w:val="en-GB"/>
        </w:rPr>
        <w:t xml:space="preserve">deponent </w:t>
      </w:r>
      <w:r w:rsidR="00F8171D" w:rsidRPr="009047B2">
        <w:rPr>
          <w:rFonts w:ascii="Arial" w:eastAsia="Times New Roman" w:hAnsi="Arial" w:cs="Arial"/>
          <w:bCs/>
          <w:sz w:val="24"/>
          <w:szCs w:val="24"/>
          <w:lang w:val="en-GB"/>
        </w:rPr>
        <w:t xml:space="preserve">to </w:t>
      </w:r>
      <w:r w:rsidRPr="009047B2">
        <w:rPr>
          <w:rFonts w:ascii="Arial" w:eastAsia="Times New Roman" w:hAnsi="Arial" w:cs="Arial"/>
          <w:bCs/>
          <w:sz w:val="24"/>
          <w:szCs w:val="24"/>
          <w:lang w:val="en-GB"/>
        </w:rPr>
        <w:t>the answering affidavit inter alia stated as follows:</w:t>
      </w:r>
    </w:p>
    <w:p w14:paraId="27238301" w14:textId="1F9338AD" w:rsidR="00080CF5" w:rsidRDefault="00080CF5" w:rsidP="001F4656">
      <w:pPr>
        <w:tabs>
          <w:tab w:val="left" w:pos="-1440"/>
        </w:tabs>
        <w:spacing w:after="0" w:line="360" w:lineRule="auto"/>
        <w:jc w:val="both"/>
        <w:rPr>
          <w:rFonts w:ascii="Arial" w:eastAsia="Times New Roman" w:hAnsi="Arial" w:cs="Arial"/>
          <w:bCs/>
          <w:lang w:val="en-GB"/>
        </w:rPr>
      </w:pPr>
      <w:r w:rsidRPr="009047B2">
        <w:rPr>
          <w:rFonts w:ascii="Arial" w:eastAsia="Times New Roman" w:hAnsi="Arial" w:cs="Arial"/>
          <w:bCs/>
          <w:lang w:val="en-GB"/>
        </w:rPr>
        <w:t>‘My silence on certain allegations must not be taken as [acquiescence] on my part or on the part of the other</w:t>
      </w:r>
      <w:r w:rsidRPr="00080CF5">
        <w:rPr>
          <w:rFonts w:ascii="Arial" w:eastAsia="Times New Roman" w:hAnsi="Arial" w:cs="Arial"/>
          <w:bCs/>
          <w:lang w:val="en-GB"/>
        </w:rPr>
        <w:t xml:space="preserve"> [occupiers]. [The Trust’s] founding affidavit is voluminous and contains unsubstantiated allegations of criminality on the property . . . [The deponent] mentions CCTV footage as being ineffective as result of dogs roaming freely at the property. He does not mention the owners of the dogs or the owner who lets the dogs </w:t>
      </w:r>
      <w:r w:rsidRPr="00080CF5">
        <w:rPr>
          <w:rFonts w:ascii="Arial" w:eastAsia="Times New Roman" w:hAnsi="Arial" w:cs="Arial"/>
          <w:bCs/>
          <w:lang w:val="en-GB"/>
        </w:rPr>
        <w:lastRenderedPageBreak/>
        <w:t>roam around freely. In fact, [the deponent] makes serious allegations about unidentified persons to the exclusion of the employees of the [Trust].</w:t>
      </w:r>
      <w:r w:rsidRPr="002E5A80">
        <w:rPr>
          <w:rFonts w:ascii="Arial" w:eastAsia="Times New Roman" w:hAnsi="Arial" w:cs="Arial"/>
          <w:bCs/>
          <w:lang w:val="en-GB"/>
        </w:rPr>
        <w:t>’</w:t>
      </w:r>
      <w:r w:rsidRPr="00080CF5">
        <w:rPr>
          <w:rFonts w:ascii="Arial" w:eastAsia="Times New Roman" w:hAnsi="Arial" w:cs="Arial"/>
          <w:bCs/>
          <w:lang w:val="en-GB"/>
        </w:rPr>
        <w:t xml:space="preserve"> </w:t>
      </w:r>
    </w:p>
    <w:p w14:paraId="326196BD" w14:textId="77777777" w:rsidR="0028638A" w:rsidRPr="00384B7B" w:rsidRDefault="0028638A" w:rsidP="00384B7B">
      <w:pPr>
        <w:tabs>
          <w:tab w:val="left" w:pos="-1440"/>
        </w:tabs>
        <w:spacing w:after="0" w:line="360" w:lineRule="auto"/>
        <w:jc w:val="both"/>
        <w:rPr>
          <w:rFonts w:ascii="Arial" w:eastAsia="Times New Roman" w:hAnsi="Arial" w:cs="Arial"/>
          <w:bCs/>
          <w:sz w:val="24"/>
          <w:szCs w:val="24"/>
          <w:lang w:val="en-GB"/>
        </w:rPr>
      </w:pPr>
    </w:p>
    <w:p w14:paraId="23A10F7F" w14:textId="0268C2FF" w:rsidR="00774A33" w:rsidRPr="00774A33" w:rsidRDefault="00774A33" w:rsidP="001F4656">
      <w:pPr>
        <w:tabs>
          <w:tab w:val="left" w:pos="-1440"/>
        </w:tabs>
        <w:spacing w:after="0" w:line="360" w:lineRule="auto"/>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[3</w:t>
      </w:r>
      <w:r w:rsidR="00012AF4">
        <w:rPr>
          <w:rFonts w:ascii="Arial" w:eastAsia="Times New Roman" w:hAnsi="Arial" w:cs="Arial"/>
          <w:bCs/>
          <w:sz w:val="24"/>
          <w:szCs w:val="24"/>
          <w:lang w:val="en-GB"/>
        </w:rPr>
        <w:t>4</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t xml:space="preserve">The responses in the answering affidavit were generally sparse, as the material allegations of misconduct were largely left unchallenged. Some of the responses amounted to untenable rationalisations. For example, responding to the allegation that there were persons defecating in the vineyards, the occupiers stated that the ‘simple and acceptable explanation’ was that such conduct could be attributed to the failure of the applicant to empty the septic tank. </w:t>
      </w:r>
    </w:p>
    <w:p w14:paraId="74DC4C22" w14:textId="77777777"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42619BC1" w14:textId="040BA69F" w:rsidR="00774A33" w:rsidRPr="00774A33" w:rsidRDefault="00774A33" w:rsidP="001F4656">
      <w:pPr>
        <w:tabs>
          <w:tab w:val="left" w:pos="-1440"/>
        </w:tabs>
        <w:spacing w:after="0" w:line="360" w:lineRule="auto"/>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[3</w:t>
      </w:r>
      <w:r w:rsidR="00012AF4">
        <w:rPr>
          <w:rFonts w:ascii="Arial" w:eastAsia="Times New Roman" w:hAnsi="Arial" w:cs="Arial"/>
          <w:bCs/>
          <w:sz w:val="24"/>
          <w:szCs w:val="24"/>
          <w:lang w:val="en-GB"/>
        </w:rPr>
        <w:t>5</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t>The Trust’s version about the damage to the irrigation system and health risks resulting from the unhygienic conditions prevailing on the farm on account of littering, dysfunctional drainage and sewer systems and the fire risks to which the property is exposed due to the occupiers’ refusal to co-operate</w:t>
      </w:r>
      <w:r w:rsidR="00562F08">
        <w:rPr>
          <w:rFonts w:ascii="Arial" w:eastAsia="Times New Roman" w:hAnsi="Arial" w:cs="Arial"/>
          <w:bCs/>
          <w:sz w:val="24"/>
          <w:szCs w:val="24"/>
          <w:lang w:val="en-GB"/>
        </w:rPr>
        <w:t>,</w:t>
      </w:r>
      <w:r w:rsidRPr="00774A33">
        <w:rPr>
          <w:rFonts w:ascii="Arial" w:eastAsia="Times New Roman" w:hAnsi="Arial" w:cs="Arial"/>
          <w:bCs/>
          <w:sz w:val="24"/>
          <w:szCs w:val="24"/>
          <w:lang w:val="en-GB"/>
        </w:rPr>
        <w:t xml:space="preserve"> are uncontroverted. It </w:t>
      </w:r>
      <w:r w:rsidRPr="00C03693">
        <w:rPr>
          <w:rFonts w:ascii="Arial" w:eastAsia="Times New Roman" w:hAnsi="Arial" w:cs="Arial"/>
          <w:bCs/>
          <w:sz w:val="24"/>
          <w:szCs w:val="24"/>
          <w:lang w:val="en-GB"/>
        </w:rPr>
        <w:t xml:space="preserve">was alleged that the sewage system had been destroyed as a result of baby nappies and newspapers, among other things, being flushed down the toilet. These unhygienic conditions are borne out by the heaps of litter close to </w:t>
      </w:r>
      <w:r w:rsidR="00F8171D" w:rsidRPr="00C03693">
        <w:rPr>
          <w:rFonts w:ascii="Arial" w:eastAsia="Times New Roman" w:hAnsi="Arial" w:cs="Arial"/>
          <w:bCs/>
          <w:sz w:val="24"/>
          <w:szCs w:val="24"/>
          <w:lang w:val="en-GB"/>
        </w:rPr>
        <w:t xml:space="preserve">the </w:t>
      </w:r>
      <w:r w:rsidRPr="00C03693">
        <w:rPr>
          <w:rFonts w:ascii="Arial" w:eastAsia="Times New Roman" w:hAnsi="Arial" w:cs="Arial"/>
          <w:bCs/>
          <w:sz w:val="24"/>
          <w:szCs w:val="24"/>
          <w:lang w:val="en-GB"/>
        </w:rPr>
        <w:t>cottages as well as burnt household waste as depicted in the photographs. Some</w:t>
      </w:r>
      <w:r w:rsidRPr="00774A33">
        <w:rPr>
          <w:rFonts w:ascii="Arial" w:eastAsia="Times New Roman" w:hAnsi="Arial" w:cs="Arial"/>
          <w:bCs/>
          <w:sz w:val="24"/>
          <w:szCs w:val="24"/>
          <w:lang w:val="en-GB"/>
        </w:rPr>
        <w:t xml:space="preserve"> of the photographs depicted the damage to the irrigation systems and the damaged electrical systems. </w:t>
      </w:r>
    </w:p>
    <w:p w14:paraId="7DBF3C8E" w14:textId="77777777"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61F70AC6" w14:textId="019F974E" w:rsidR="009E6FC0" w:rsidRDefault="00774A33" w:rsidP="001F4656">
      <w:pPr>
        <w:tabs>
          <w:tab w:val="left" w:pos="-1440"/>
        </w:tabs>
        <w:spacing w:after="0" w:line="360" w:lineRule="auto"/>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[3</w:t>
      </w:r>
      <w:r w:rsidR="00012AF4">
        <w:rPr>
          <w:rFonts w:ascii="Arial" w:eastAsia="Times New Roman" w:hAnsi="Arial" w:cs="Arial"/>
          <w:bCs/>
          <w:sz w:val="24"/>
          <w:szCs w:val="24"/>
          <w:lang w:val="en-GB"/>
        </w:rPr>
        <w:t>6</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t xml:space="preserve">The occupiers did not dispute that they were previously subject to </w:t>
      </w:r>
      <w:r w:rsidR="003923CD">
        <w:rPr>
          <w:rFonts w:ascii="Arial" w:eastAsia="Times New Roman" w:hAnsi="Arial" w:cs="Arial"/>
          <w:bCs/>
          <w:sz w:val="24"/>
          <w:szCs w:val="24"/>
          <w:lang w:val="en-GB"/>
        </w:rPr>
        <w:t xml:space="preserve">house </w:t>
      </w:r>
      <w:r w:rsidRPr="00774A33">
        <w:rPr>
          <w:rFonts w:ascii="Arial" w:eastAsia="Times New Roman" w:hAnsi="Arial" w:cs="Arial"/>
          <w:bCs/>
          <w:sz w:val="24"/>
          <w:szCs w:val="24"/>
          <w:lang w:val="en-GB"/>
        </w:rPr>
        <w:t xml:space="preserve">rules </w:t>
      </w:r>
      <w:r w:rsidR="003923CD">
        <w:rPr>
          <w:rFonts w:ascii="Arial" w:eastAsia="Times New Roman" w:hAnsi="Arial" w:cs="Arial"/>
          <w:bCs/>
          <w:sz w:val="24"/>
          <w:szCs w:val="24"/>
          <w:lang w:val="en-GB"/>
        </w:rPr>
        <w:t xml:space="preserve">that were embodied in </w:t>
      </w:r>
      <w:r w:rsidRPr="00774A33">
        <w:rPr>
          <w:rFonts w:ascii="Arial" w:eastAsia="Times New Roman" w:hAnsi="Arial" w:cs="Arial"/>
          <w:bCs/>
          <w:sz w:val="24"/>
          <w:szCs w:val="24"/>
          <w:lang w:val="en-GB"/>
        </w:rPr>
        <w:t xml:space="preserve">the lease agreement, </w:t>
      </w:r>
      <w:r w:rsidR="008B5ED2">
        <w:rPr>
          <w:rFonts w:ascii="Arial" w:eastAsia="Times New Roman" w:hAnsi="Arial" w:cs="Arial"/>
          <w:bCs/>
          <w:sz w:val="24"/>
          <w:szCs w:val="24"/>
          <w:lang w:val="en-GB"/>
        </w:rPr>
        <w:t xml:space="preserve">and that these rules </w:t>
      </w:r>
      <w:r w:rsidRPr="00774A33">
        <w:rPr>
          <w:rFonts w:ascii="Arial" w:eastAsia="Times New Roman" w:hAnsi="Arial" w:cs="Arial"/>
          <w:bCs/>
          <w:sz w:val="24"/>
          <w:szCs w:val="24"/>
          <w:lang w:val="en-GB"/>
        </w:rPr>
        <w:t xml:space="preserve">inter alia </w:t>
      </w:r>
      <w:r w:rsidR="0006473A">
        <w:rPr>
          <w:rFonts w:ascii="Arial" w:eastAsia="Times New Roman" w:hAnsi="Arial" w:cs="Arial"/>
          <w:bCs/>
          <w:sz w:val="24"/>
          <w:szCs w:val="24"/>
          <w:lang w:val="en-GB"/>
        </w:rPr>
        <w:t xml:space="preserve">required them to </w:t>
      </w:r>
      <w:r w:rsidR="00853AB9">
        <w:rPr>
          <w:rFonts w:ascii="Arial" w:eastAsia="Times New Roman" w:hAnsi="Arial" w:cs="Arial"/>
          <w:bCs/>
          <w:sz w:val="24"/>
          <w:szCs w:val="24"/>
          <w:lang w:val="en-GB"/>
        </w:rPr>
        <w:t xml:space="preserve">use specific access points to their homesteads, to </w:t>
      </w:r>
      <w:r w:rsidR="0006473A">
        <w:rPr>
          <w:rFonts w:ascii="Arial" w:eastAsia="Times New Roman" w:hAnsi="Arial" w:cs="Arial"/>
          <w:bCs/>
          <w:sz w:val="24"/>
          <w:szCs w:val="24"/>
          <w:lang w:val="en-GB"/>
        </w:rPr>
        <w:t xml:space="preserve">maintain the cottages in a clean state and </w:t>
      </w:r>
      <w:r w:rsidRPr="00774A33">
        <w:rPr>
          <w:rFonts w:ascii="Arial" w:eastAsia="Times New Roman" w:hAnsi="Arial" w:cs="Arial"/>
          <w:bCs/>
          <w:sz w:val="24"/>
          <w:szCs w:val="24"/>
          <w:lang w:val="en-GB"/>
        </w:rPr>
        <w:t>prohibited the</w:t>
      </w:r>
      <w:r w:rsidR="0006473A">
        <w:rPr>
          <w:rFonts w:ascii="Arial" w:eastAsia="Times New Roman" w:hAnsi="Arial" w:cs="Arial"/>
          <w:bCs/>
          <w:sz w:val="24"/>
          <w:szCs w:val="24"/>
          <w:lang w:val="en-GB"/>
        </w:rPr>
        <w:t>m from</w:t>
      </w:r>
      <w:r w:rsidRPr="00774A33">
        <w:rPr>
          <w:rFonts w:ascii="Arial" w:eastAsia="Times New Roman" w:hAnsi="Arial" w:cs="Arial"/>
          <w:bCs/>
          <w:sz w:val="24"/>
          <w:szCs w:val="24"/>
          <w:lang w:val="en-GB"/>
        </w:rPr>
        <w:t xml:space="preserve"> keeping </w:t>
      </w:r>
      <w:r w:rsidR="008B5ED2">
        <w:rPr>
          <w:rFonts w:ascii="Arial" w:eastAsia="Times New Roman" w:hAnsi="Arial" w:cs="Arial"/>
          <w:bCs/>
          <w:sz w:val="24"/>
          <w:szCs w:val="24"/>
          <w:lang w:val="en-GB"/>
        </w:rPr>
        <w:t xml:space="preserve">dogs on the farm. </w:t>
      </w:r>
      <w:r w:rsidRPr="00774A33">
        <w:rPr>
          <w:rFonts w:ascii="Arial" w:eastAsia="Times New Roman" w:hAnsi="Arial" w:cs="Arial"/>
          <w:bCs/>
          <w:sz w:val="24"/>
          <w:szCs w:val="24"/>
          <w:lang w:val="en-GB"/>
        </w:rPr>
        <w:t xml:space="preserve">They simply contended that the Trust had not shown that they were the owners of the dogs roaming on the property. </w:t>
      </w:r>
      <w:r w:rsidR="003E752A">
        <w:rPr>
          <w:rFonts w:ascii="Arial" w:eastAsia="Times New Roman" w:hAnsi="Arial" w:cs="Arial"/>
          <w:bCs/>
          <w:sz w:val="24"/>
          <w:szCs w:val="24"/>
          <w:lang w:val="en-GB"/>
        </w:rPr>
        <w:t xml:space="preserve">They </w:t>
      </w:r>
      <w:r w:rsidR="00733944">
        <w:rPr>
          <w:rFonts w:ascii="Arial" w:eastAsia="Times New Roman" w:hAnsi="Arial" w:cs="Arial"/>
          <w:bCs/>
          <w:sz w:val="24"/>
          <w:szCs w:val="24"/>
          <w:lang w:val="en-GB"/>
        </w:rPr>
        <w:t xml:space="preserve">also </w:t>
      </w:r>
      <w:r w:rsidR="003E752A">
        <w:rPr>
          <w:rFonts w:ascii="Arial" w:eastAsia="Times New Roman" w:hAnsi="Arial" w:cs="Arial"/>
          <w:bCs/>
          <w:sz w:val="24"/>
          <w:szCs w:val="24"/>
          <w:lang w:val="en-GB"/>
        </w:rPr>
        <w:t>did not deny th</w:t>
      </w:r>
      <w:r w:rsidR="00733944">
        <w:rPr>
          <w:rFonts w:ascii="Arial" w:eastAsia="Times New Roman" w:hAnsi="Arial" w:cs="Arial"/>
          <w:bCs/>
          <w:sz w:val="24"/>
          <w:szCs w:val="24"/>
          <w:lang w:val="en-GB"/>
        </w:rPr>
        <w:t>at the Trust had</w:t>
      </w:r>
      <w:r w:rsidR="007432ED">
        <w:rPr>
          <w:rFonts w:ascii="Arial" w:eastAsia="Times New Roman" w:hAnsi="Arial" w:cs="Arial"/>
          <w:bCs/>
          <w:sz w:val="24"/>
          <w:szCs w:val="24"/>
          <w:lang w:val="en-GB"/>
        </w:rPr>
        <w:t>,</w:t>
      </w:r>
      <w:r w:rsidR="00733944">
        <w:rPr>
          <w:rFonts w:ascii="Arial" w:eastAsia="Times New Roman" w:hAnsi="Arial" w:cs="Arial"/>
          <w:bCs/>
          <w:sz w:val="24"/>
          <w:szCs w:val="24"/>
          <w:lang w:val="en-GB"/>
        </w:rPr>
        <w:t xml:space="preserve"> on occasions</w:t>
      </w:r>
      <w:r w:rsidR="007432ED">
        <w:rPr>
          <w:rFonts w:ascii="Arial" w:eastAsia="Times New Roman" w:hAnsi="Arial" w:cs="Arial"/>
          <w:bCs/>
          <w:sz w:val="24"/>
          <w:szCs w:val="24"/>
          <w:lang w:val="en-GB"/>
        </w:rPr>
        <w:t>,</w:t>
      </w:r>
      <w:r w:rsidR="00733944">
        <w:rPr>
          <w:rFonts w:ascii="Arial" w:eastAsia="Times New Roman" w:hAnsi="Arial" w:cs="Arial"/>
          <w:bCs/>
          <w:sz w:val="24"/>
          <w:szCs w:val="24"/>
          <w:lang w:val="en-GB"/>
        </w:rPr>
        <w:t xml:space="preserve"> had to intervene due to </w:t>
      </w:r>
      <w:r w:rsidR="007432ED">
        <w:rPr>
          <w:rFonts w:ascii="Arial" w:eastAsia="Times New Roman" w:hAnsi="Arial" w:cs="Arial"/>
          <w:bCs/>
          <w:sz w:val="24"/>
          <w:szCs w:val="24"/>
          <w:lang w:val="en-GB"/>
        </w:rPr>
        <w:t xml:space="preserve">altercations among </w:t>
      </w:r>
      <w:r w:rsidR="00733944">
        <w:rPr>
          <w:rFonts w:ascii="Arial" w:eastAsia="Times New Roman" w:hAnsi="Arial" w:cs="Arial"/>
          <w:bCs/>
          <w:sz w:val="24"/>
          <w:szCs w:val="24"/>
          <w:lang w:val="en-GB"/>
        </w:rPr>
        <w:t xml:space="preserve">rowdy </w:t>
      </w:r>
      <w:r w:rsidR="007432ED">
        <w:rPr>
          <w:rFonts w:ascii="Arial" w:eastAsia="Times New Roman" w:hAnsi="Arial" w:cs="Arial"/>
          <w:bCs/>
          <w:sz w:val="24"/>
          <w:szCs w:val="24"/>
          <w:lang w:val="en-GB"/>
        </w:rPr>
        <w:t xml:space="preserve">visitors. </w:t>
      </w:r>
    </w:p>
    <w:p w14:paraId="70BF79BA" w14:textId="1D906491" w:rsidR="00E370B7" w:rsidRDefault="00E370B7" w:rsidP="00774A33">
      <w:pPr>
        <w:tabs>
          <w:tab w:val="left" w:pos="-1440"/>
        </w:tabs>
        <w:spacing w:after="0" w:line="360" w:lineRule="auto"/>
        <w:ind w:right="26"/>
        <w:jc w:val="both"/>
        <w:rPr>
          <w:rFonts w:ascii="Arial" w:eastAsia="Times New Roman" w:hAnsi="Arial" w:cs="Arial"/>
          <w:bCs/>
          <w:sz w:val="24"/>
          <w:szCs w:val="24"/>
          <w:lang w:val="en-GB"/>
        </w:rPr>
      </w:pPr>
    </w:p>
    <w:p w14:paraId="1EDF4344" w14:textId="5220F324" w:rsidR="00602AA0" w:rsidRPr="00602AA0" w:rsidRDefault="00602AA0" w:rsidP="00602AA0">
      <w:pPr>
        <w:tabs>
          <w:tab w:val="left" w:pos="-1440"/>
        </w:tabs>
        <w:spacing w:after="0" w:line="360" w:lineRule="auto"/>
        <w:ind w:right="26"/>
        <w:jc w:val="both"/>
        <w:rPr>
          <w:rFonts w:ascii="Arial" w:eastAsia="Times New Roman" w:hAnsi="Arial" w:cs="Arial"/>
          <w:bCs/>
          <w:sz w:val="24"/>
          <w:szCs w:val="24"/>
          <w:lang w:val="en-GB"/>
        </w:rPr>
      </w:pPr>
      <w:r>
        <w:rPr>
          <w:rFonts w:ascii="Arial" w:eastAsia="Times New Roman" w:hAnsi="Arial" w:cs="Arial"/>
          <w:bCs/>
          <w:sz w:val="24"/>
          <w:szCs w:val="24"/>
          <w:lang w:val="en-GB"/>
        </w:rPr>
        <w:t>[</w:t>
      </w:r>
      <w:r w:rsidR="00D03AC3">
        <w:rPr>
          <w:rFonts w:ascii="Arial" w:eastAsia="Times New Roman" w:hAnsi="Arial" w:cs="Arial"/>
          <w:bCs/>
          <w:sz w:val="24"/>
          <w:szCs w:val="24"/>
          <w:lang w:val="en-GB"/>
        </w:rPr>
        <w:t>3</w:t>
      </w:r>
      <w:r w:rsidR="00012AF4">
        <w:rPr>
          <w:rFonts w:ascii="Arial" w:eastAsia="Times New Roman" w:hAnsi="Arial" w:cs="Arial"/>
          <w:bCs/>
          <w:sz w:val="24"/>
          <w:szCs w:val="24"/>
          <w:lang w:val="en-GB"/>
        </w:rPr>
        <w:t>7</w:t>
      </w:r>
      <w:r>
        <w:rPr>
          <w:rFonts w:ascii="Arial" w:eastAsia="Times New Roman" w:hAnsi="Arial" w:cs="Arial"/>
          <w:bCs/>
          <w:sz w:val="24"/>
          <w:szCs w:val="24"/>
          <w:lang w:val="en-GB"/>
        </w:rPr>
        <w:t>]</w:t>
      </w:r>
      <w:r>
        <w:rPr>
          <w:rFonts w:ascii="Arial" w:eastAsia="Times New Roman" w:hAnsi="Arial" w:cs="Arial"/>
          <w:bCs/>
          <w:sz w:val="24"/>
          <w:szCs w:val="24"/>
          <w:lang w:val="en-GB"/>
        </w:rPr>
        <w:tab/>
      </w:r>
      <w:r w:rsidRPr="00602AA0">
        <w:rPr>
          <w:rFonts w:ascii="Arial" w:eastAsia="Times New Roman" w:hAnsi="Arial" w:cs="Arial"/>
          <w:bCs/>
          <w:sz w:val="24"/>
          <w:szCs w:val="24"/>
          <w:lang w:val="en-GB"/>
        </w:rPr>
        <w:t xml:space="preserve">The Trust attached a schedule prepared for the period December 2018 to 1 March 2019 setting out the amounts paid for private security on the farm in an effort to curb theft of grapes and vandalism on the farm, which had a </w:t>
      </w:r>
      <w:r w:rsidRPr="00602AA0">
        <w:rPr>
          <w:rFonts w:ascii="Arial" w:eastAsia="Times New Roman" w:hAnsi="Arial" w:cs="Arial"/>
          <w:bCs/>
          <w:sz w:val="24"/>
          <w:szCs w:val="24"/>
          <w:lang w:val="en-GB"/>
        </w:rPr>
        <w:lastRenderedPageBreak/>
        <w:t>negative effect on the business of the Trust and had caused the Trust to incur a loss of R3 million in one financial year. This is undoubtedly a relevant factor that serves as an indicator of the hardship that the Trust will be faced with if an order of eviction is not granted.</w:t>
      </w:r>
    </w:p>
    <w:p w14:paraId="0DED9C0A" w14:textId="77777777" w:rsidR="00602AA0" w:rsidRDefault="00602AA0" w:rsidP="00774A33">
      <w:pPr>
        <w:tabs>
          <w:tab w:val="left" w:pos="-1440"/>
        </w:tabs>
        <w:spacing w:after="0" w:line="360" w:lineRule="auto"/>
        <w:ind w:right="26"/>
        <w:jc w:val="both"/>
        <w:rPr>
          <w:rFonts w:ascii="Arial" w:eastAsia="Times New Roman" w:hAnsi="Arial" w:cs="Arial"/>
          <w:bCs/>
          <w:sz w:val="24"/>
          <w:szCs w:val="24"/>
          <w:lang w:val="en-GB"/>
        </w:rPr>
      </w:pPr>
    </w:p>
    <w:p w14:paraId="2C82FF42" w14:textId="452A38EF" w:rsidR="00774A33" w:rsidRPr="00C03693" w:rsidRDefault="009E6FC0" w:rsidP="001F4656">
      <w:pPr>
        <w:tabs>
          <w:tab w:val="left" w:pos="-1440"/>
        </w:tabs>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[3</w:t>
      </w:r>
      <w:r w:rsidR="00012AF4">
        <w:rPr>
          <w:rFonts w:ascii="Arial" w:eastAsia="Times New Roman" w:hAnsi="Arial" w:cs="Arial"/>
          <w:bCs/>
          <w:sz w:val="24"/>
          <w:szCs w:val="24"/>
          <w:lang w:val="en-GB"/>
        </w:rPr>
        <w:t>8</w:t>
      </w:r>
      <w:r>
        <w:rPr>
          <w:rFonts w:ascii="Arial" w:eastAsia="Times New Roman" w:hAnsi="Arial" w:cs="Arial"/>
          <w:bCs/>
          <w:sz w:val="24"/>
          <w:szCs w:val="24"/>
          <w:lang w:val="en-GB"/>
        </w:rPr>
        <w:t>]</w:t>
      </w:r>
      <w:r>
        <w:rPr>
          <w:rFonts w:ascii="Arial" w:eastAsia="Times New Roman" w:hAnsi="Arial" w:cs="Arial"/>
          <w:bCs/>
          <w:sz w:val="24"/>
          <w:szCs w:val="24"/>
          <w:lang w:val="en-GB"/>
        </w:rPr>
        <w:tab/>
      </w:r>
      <w:r w:rsidR="00774A33" w:rsidRPr="00676764">
        <w:rPr>
          <w:rFonts w:ascii="Arial" w:eastAsia="Times New Roman" w:hAnsi="Arial" w:cs="Arial"/>
          <w:bCs/>
          <w:sz w:val="24"/>
          <w:szCs w:val="24"/>
          <w:lang w:val="en-GB"/>
        </w:rPr>
        <w:t xml:space="preserve">Tellingly, the </w:t>
      </w:r>
      <w:r w:rsidR="00774A33" w:rsidRPr="00C03693">
        <w:rPr>
          <w:rFonts w:ascii="Arial" w:eastAsia="Times New Roman" w:hAnsi="Arial" w:cs="Arial"/>
          <w:bCs/>
          <w:sz w:val="24"/>
          <w:szCs w:val="24"/>
          <w:lang w:val="en-GB"/>
        </w:rPr>
        <w:t xml:space="preserve">occupiers did not deny the Trust’s assertion that </w:t>
      </w:r>
      <w:r w:rsidR="00211441" w:rsidRPr="00C03693">
        <w:rPr>
          <w:rFonts w:ascii="Arial" w:eastAsia="Times New Roman" w:hAnsi="Arial" w:cs="Arial"/>
          <w:bCs/>
          <w:sz w:val="24"/>
          <w:szCs w:val="24"/>
          <w:lang w:val="en-GB"/>
        </w:rPr>
        <w:t xml:space="preserve">it was quite clear that the relationship between the parties had </w:t>
      </w:r>
      <w:r w:rsidR="003C1219" w:rsidRPr="00C03693">
        <w:rPr>
          <w:rFonts w:ascii="Arial" w:eastAsia="Times New Roman" w:hAnsi="Arial" w:cs="Arial"/>
          <w:bCs/>
          <w:sz w:val="24"/>
          <w:szCs w:val="24"/>
          <w:lang w:val="en-GB"/>
        </w:rPr>
        <w:t xml:space="preserve">‘wholly broken down’ </w:t>
      </w:r>
      <w:r w:rsidR="00211441" w:rsidRPr="00C03693">
        <w:rPr>
          <w:rFonts w:ascii="Arial" w:eastAsia="Times New Roman" w:hAnsi="Arial" w:cs="Arial"/>
          <w:bCs/>
          <w:sz w:val="24"/>
          <w:szCs w:val="24"/>
          <w:lang w:val="en-GB"/>
        </w:rPr>
        <w:t xml:space="preserve">due to the </w:t>
      </w:r>
      <w:r w:rsidR="00985201" w:rsidRPr="00C03693">
        <w:rPr>
          <w:rFonts w:ascii="Arial" w:eastAsia="Times New Roman" w:hAnsi="Arial" w:cs="Arial"/>
          <w:bCs/>
          <w:sz w:val="24"/>
          <w:szCs w:val="24"/>
          <w:lang w:val="en-GB"/>
        </w:rPr>
        <w:t xml:space="preserve">manner in which the </w:t>
      </w:r>
      <w:r w:rsidR="00211441" w:rsidRPr="00C03693">
        <w:rPr>
          <w:rFonts w:ascii="Arial" w:eastAsia="Times New Roman" w:hAnsi="Arial" w:cs="Arial"/>
          <w:bCs/>
          <w:sz w:val="24"/>
          <w:szCs w:val="24"/>
          <w:lang w:val="en-GB"/>
        </w:rPr>
        <w:t>occupiers</w:t>
      </w:r>
      <w:r w:rsidR="00985201" w:rsidRPr="00C03693">
        <w:rPr>
          <w:rFonts w:ascii="Arial" w:eastAsia="Times New Roman" w:hAnsi="Arial" w:cs="Arial"/>
          <w:bCs/>
          <w:sz w:val="24"/>
          <w:szCs w:val="24"/>
          <w:lang w:val="en-GB"/>
        </w:rPr>
        <w:t xml:space="preserve"> had conducted themselves. The Trust averred that </w:t>
      </w:r>
      <w:r w:rsidR="00774A33" w:rsidRPr="00C03693">
        <w:rPr>
          <w:rFonts w:ascii="Arial" w:eastAsia="Times New Roman" w:hAnsi="Arial" w:cs="Arial"/>
          <w:bCs/>
          <w:sz w:val="24"/>
          <w:szCs w:val="24"/>
          <w:lang w:val="en-GB"/>
        </w:rPr>
        <w:t>‘for many years there has been nothing resembling a relationship between the Trust and the [occupiers]; the [occupiers] essentially form a wholly independent group living on the property which group does not abide by any of the rules on the property</w:t>
      </w:r>
      <w:r w:rsidR="004C4811" w:rsidRPr="00C03693">
        <w:rPr>
          <w:rFonts w:ascii="Arial" w:eastAsia="Times New Roman" w:hAnsi="Arial" w:cs="Arial"/>
          <w:bCs/>
          <w:sz w:val="24"/>
          <w:szCs w:val="24"/>
          <w:lang w:val="en-GB"/>
        </w:rPr>
        <w:t xml:space="preserve">’. </w:t>
      </w:r>
      <w:r w:rsidR="00650AE1" w:rsidRPr="00C03693">
        <w:rPr>
          <w:rFonts w:ascii="Arial" w:eastAsia="Times New Roman" w:hAnsi="Arial" w:cs="Arial"/>
          <w:bCs/>
          <w:sz w:val="24"/>
          <w:szCs w:val="24"/>
          <w:lang w:val="en-GB"/>
        </w:rPr>
        <w:t xml:space="preserve">The occupiers have not </w:t>
      </w:r>
      <w:r w:rsidR="00942945" w:rsidRPr="00C03693">
        <w:rPr>
          <w:rFonts w:ascii="Arial" w:eastAsia="Times New Roman" w:hAnsi="Arial" w:cs="Arial"/>
          <w:bCs/>
          <w:sz w:val="24"/>
          <w:szCs w:val="24"/>
          <w:lang w:val="en-GB"/>
        </w:rPr>
        <w:t>asserted otherwise</w:t>
      </w:r>
      <w:r w:rsidR="00561A78" w:rsidRPr="00C03693">
        <w:rPr>
          <w:rFonts w:ascii="Arial" w:eastAsia="Times New Roman" w:hAnsi="Arial" w:cs="Arial"/>
          <w:bCs/>
          <w:sz w:val="24"/>
          <w:szCs w:val="24"/>
          <w:lang w:val="en-GB"/>
        </w:rPr>
        <w:t xml:space="preserve"> and seemed unperturbed by </w:t>
      </w:r>
      <w:r w:rsidR="009D3B68" w:rsidRPr="00C03693">
        <w:rPr>
          <w:rFonts w:ascii="Arial" w:eastAsia="Times New Roman" w:hAnsi="Arial" w:cs="Arial"/>
          <w:bCs/>
          <w:sz w:val="24"/>
          <w:szCs w:val="24"/>
          <w:lang w:val="en-GB"/>
        </w:rPr>
        <w:t xml:space="preserve">the Trust’s </w:t>
      </w:r>
      <w:r w:rsidR="00561A78" w:rsidRPr="00C03693">
        <w:rPr>
          <w:rFonts w:ascii="Arial" w:eastAsia="Times New Roman" w:hAnsi="Arial" w:cs="Arial"/>
          <w:bCs/>
          <w:sz w:val="24"/>
          <w:szCs w:val="24"/>
          <w:lang w:val="en-GB"/>
        </w:rPr>
        <w:t>assertions concerning a breakdown of the relationship</w:t>
      </w:r>
      <w:r w:rsidR="00942945" w:rsidRPr="00C03693">
        <w:rPr>
          <w:rFonts w:ascii="Arial" w:eastAsia="Times New Roman" w:hAnsi="Arial" w:cs="Arial"/>
          <w:bCs/>
          <w:sz w:val="24"/>
          <w:szCs w:val="24"/>
          <w:lang w:val="en-GB"/>
        </w:rPr>
        <w:t>.</w:t>
      </w:r>
      <w:r w:rsidR="00774A33" w:rsidRPr="00C03693">
        <w:rPr>
          <w:rFonts w:ascii="Arial" w:eastAsia="Times New Roman" w:hAnsi="Arial" w:cs="Arial"/>
          <w:bCs/>
          <w:sz w:val="24"/>
          <w:szCs w:val="24"/>
          <w:lang w:val="en-GB"/>
        </w:rPr>
        <w:t xml:space="preserve"> </w:t>
      </w:r>
    </w:p>
    <w:p w14:paraId="38876191" w14:textId="77777777" w:rsidR="00774A33" w:rsidRPr="00C0369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0BB51B20" w14:textId="3910E4C2" w:rsidR="00215E32" w:rsidRDefault="00774A33" w:rsidP="00E370B7">
      <w:pPr>
        <w:tabs>
          <w:tab w:val="left" w:pos="-1440"/>
        </w:tabs>
        <w:spacing w:after="0" w:line="360" w:lineRule="auto"/>
        <w:jc w:val="both"/>
        <w:rPr>
          <w:rFonts w:ascii="Arial" w:eastAsia="Times New Roman" w:hAnsi="Arial" w:cs="Arial"/>
          <w:bCs/>
          <w:sz w:val="24"/>
          <w:szCs w:val="24"/>
          <w:lang w:val="en-GB"/>
        </w:rPr>
      </w:pPr>
      <w:r w:rsidRPr="00C03693">
        <w:rPr>
          <w:rFonts w:ascii="Arial" w:eastAsia="Times New Roman" w:hAnsi="Arial" w:cs="Arial"/>
          <w:bCs/>
          <w:sz w:val="24"/>
          <w:szCs w:val="24"/>
          <w:lang w:val="en-GB"/>
        </w:rPr>
        <w:t>[3</w:t>
      </w:r>
      <w:r w:rsidR="00012AF4">
        <w:rPr>
          <w:rFonts w:ascii="Arial" w:eastAsia="Times New Roman" w:hAnsi="Arial" w:cs="Arial"/>
          <w:bCs/>
          <w:sz w:val="24"/>
          <w:szCs w:val="24"/>
          <w:lang w:val="en-GB"/>
        </w:rPr>
        <w:t>9]</w:t>
      </w:r>
      <w:r w:rsidRPr="00C03693">
        <w:rPr>
          <w:rFonts w:ascii="Arial" w:eastAsia="Times New Roman" w:hAnsi="Arial" w:cs="Arial"/>
          <w:bCs/>
          <w:sz w:val="24"/>
          <w:szCs w:val="24"/>
          <w:lang w:val="en-GB"/>
        </w:rPr>
        <w:tab/>
      </w:r>
      <w:r w:rsidRPr="00C03693">
        <w:rPr>
          <w:rFonts w:ascii="Arial" w:eastAsia="Times New Roman" w:hAnsi="Arial" w:cs="Arial"/>
          <w:bCs/>
          <w:sz w:val="24"/>
          <w:szCs w:val="24"/>
          <w:lang w:val="en-US"/>
        </w:rPr>
        <w:t xml:space="preserve">The occupiers seem </w:t>
      </w:r>
      <w:r w:rsidR="00CB6BD6" w:rsidRPr="00C03693">
        <w:rPr>
          <w:rFonts w:ascii="Arial" w:eastAsia="Times New Roman" w:hAnsi="Arial" w:cs="Arial"/>
          <w:bCs/>
          <w:sz w:val="24"/>
          <w:szCs w:val="24"/>
          <w:lang w:val="en-US"/>
        </w:rPr>
        <w:t xml:space="preserve">indifferent </w:t>
      </w:r>
      <w:r w:rsidRPr="00C03693">
        <w:rPr>
          <w:rFonts w:ascii="Arial" w:eastAsia="Times New Roman" w:hAnsi="Arial" w:cs="Arial"/>
          <w:bCs/>
          <w:sz w:val="24"/>
          <w:szCs w:val="24"/>
          <w:lang w:val="en-US"/>
        </w:rPr>
        <w:t xml:space="preserve">to the Trust’s hardship of not being </w:t>
      </w:r>
      <w:r w:rsidR="00332B06" w:rsidRPr="00C03693">
        <w:rPr>
          <w:rFonts w:ascii="Arial" w:eastAsia="Times New Roman" w:hAnsi="Arial" w:cs="Arial"/>
          <w:bCs/>
          <w:sz w:val="24"/>
          <w:szCs w:val="24"/>
          <w:lang w:val="en-US"/>
        </w:rPr>
        <w:t>able</w:t>
      </w:r>
      <w:r w:rsidRPr="00C03693">
        <w:rPr>
          <w:rFonts w:ascii="Arial" w:eastAsia="Times New Roman" w:hAnsi="Arial" w:cs="Arial"/>
          <w:bCs/>
          <w:sz w:val="24"/>
          <w:szCs w:val="24"/>
          <w:lang w:val="en-US"/>
        </w:rPr>
        <w:t xml:space="preserve"> to accommodate its own employees on the farm</w:t>
      </w:r>
      <w:r w:rsidR="00F8171D" w:rsidRPr="00C03693">
        <w:rPr>
          <w:rFonts w:ascii="Arial" w:eastAsia="Times New Roman" w:hAnsi="Arial" w:cs="Arial"/>
          <w:bCs/>
          <w:sz w:val="24"/>
          <w:szCs w:val="24"/>
          <w:lang w:val="en-US"/>
        </w:rPr>
        <w:t>. In this regard the</w:t>
      </w:r>
      <w:r w:rsidR="00D62D87" w:rsidRPr="00C03693">
        <w:rPr>
          <w:rFonts w:ascii="Arial" w:eastAsia="Times New Roman" w:hAnsi="Arial" w:cs="Arial"/>
          <w:bCs/>
          <w:sz w:val="24"/>
          <w:szCs w:val="24"/>
          <w:lang w:val="en-US"/>
        </w:rPr>
        <w:t xml:space="preserve"> Trust has had to </w:t>
      </w:r>
      <w:r w:rsidR="00F8171D" w:rsidRPr="00C03693">
        <w:rPr>
          <w:rFonts w:ascii="Arial" w:eastAsia="Times New Roman" w:hAnsi="Arial" w:cs="Arial"/>
          <w:bCs/>
          <w:sz w:val="24"/>
          <w:szCs w:val="24"/>
          <w:lang w:val="en-US"/>
        </w:rPr>
        <w:t>establish</w:t>
      </w:r>
      <w:r w:rsidR="00D62D87" w:rsidRPr="00C03693">
        <w:rPr>
          <w:rFonts w:ascii="Arial" w:eastAsia="Times New Roman" w:hAnsi="Arial" w:cs="Arial"/>
          <w:bCs/>
          <w:sz w:val="24"/>
          <w:szCs w:val="24"/>
          <w:lang w:val="en-US"/>
        </w:rPr>
        <w:t xml:space="preserve"> a tented compound </w:t>
      </w:r>
      <w:r w:rsidR="009B28A6" w:rsidRPr="00C03693">
        <w:rPr>
          <w:rFonts w:ascii="Arial" w:eastAsia="Times New Roman" w:hAnsi="Arial" w:cs="Arial"/>
          <w:bCs/>
          <w:sz w:val="24"/>
          <w:szCs w:val="24"/>
          <w:lang w:val="en-US"/>
        </w:rPr>
        <w:t>in order to accommodate certain of its employees during peak season when their presence on the property is essential</w:t>
      </w:r>
      <w:r w:rsidRPr="00C03693">
        <w:rPr>
          <w:rFonts w:ascii="Arial" w:eastAsia="Times New Roman" w:hAnsi="Arial" w:cs="Arial"/>
          <w:bCs/>
          <w:sz w:val="24"/>
          <w:szCs w:val="24"/>
          <w:lang w:val="en-US"/>
        </w:rPr>
        <w:t>. Instead</w:t>
      </w:r>
      <w:r w:rsidR="00F8171D" w:rsidRPr="00C03693">
        <w:rPr>
          <w:rFonts w:ascii="Arial" w:eastAsia="Times New Roman" w:hAnsi="Arial" w:cs="Arial"/>
          <w:bCs/>
          <w:sz w:val="24"/>
          <w:szCs w:val="24"/>
          <w:lang w:val="en-US"/>
        </w:rPr>
        <w:t xml:space="preserve"> of addressing this hardship</w:t>
      </w:r>
      <w:r w:rsidR="00274DB4" w:rsidRPr="00C03693">
        <w:rPr>
          <w:rFonts w:ascii="Arial" w:eastAsia="Times New Roman" w:hAnsi="Arial" w:cs="Arial"/>
          <w:bCs/>
          <w:sz w:val="24"/>
          <w:szCs w:val="24"/>
          <w:lang w:val="en-US"/>
        </w:rPr>
        <w:t>, the occupiers</w:t>
      </w:r>
      <w:r w:rsidR="00E83C7D" w:rsidRPr="00C03693">
        <w:rPr>
          <w:rFonts w:ascii="Arial" w:eastAsia="Times New Roman" w:hAnsi="Arial" w:cs="Arial"/>
          <w:bCs/>
          <w:sz w:val="24"/>
          <w:szCs w:val="24"/>
          <w:lang w:val="en-US"/>
        </w:rPr>
        <w:t xml:space="preserve"> </w:t>
      </w:r>
      <w:r w:rsidRPr="00C03693">
        <w:rPr>
          <w:rFonts w:ascii="Arial" w:eastAsia="Times New Roman" w:hAnsi="Arial" w:cs="Arial"/>
          <w:bCs/>
          <w:sz w:val="24"/>
          <w:szCs w:val="24"/>
          <w:lang w:val="en-US"/>
        </w:rPr>
        <w:t>suggest</w:t>
      </w:r>
      <w:r w:rsidR="00E83C7D" w:rsidRPr="00C03693">
        <w:rPr>
          <w:rFonts w:ascii="Arial" w:eastAsia="Times New Roman" w:hAnsi="Arial" w:cs="Arial"/>
          <w:bCs/>
          <w:sz w:val="24"/>
          <w:szCs w:val="24"/>
          <w:lang w:val="en-US"/>
        </w:rPr>
        <w:t>ed</w:t>
      </w:r>
      <w:r w:rsidRPr="00C03693">
        <w:rPr>
          <w:rFonts w:ascii="Arial" w:eastAsia="Times New Roman" w:hAnsi="Arial" w:cs="Arial"/>
          <w:bCs/>
          <w:sz w:val="24"/>
          <w:szCs w:val="24"/>
          <w:lang w:val="en-US"/>
        </w:rPr>
        <w:t xml:space="preserve"> that the Trust’s own employees were responsible for cutting down fences on the farm. The deponent said: </w:t>
      </w:r>
      <w:r w:rsidR="00215E32" w:rsidRPr="00C03693">
        <w:rPr>
          <w:rFonts w:ascii="Arial" w:eastAsia="Times New Roman" w:hAnsi="Arial" w:cs="Arial"/>
          <w:bCs/>
          <w:sz w:val="24"/>
          <w:szCs w:val="24"/>
          <w:lang w:val="en-US"/>
        </w:rPr>
        <w:t>‘. . . t]</w:t>
      </w:r>
      <w:r w:rsidR="00215E32" w:rsidRPr="00C03693">
        <w:rPr>
          <w:rFonts w:ascii="Arial" w:eastAsia="Times New Roman" w:hAnsi="Arial" w:cs="Arial"/>
          <w:bCs/>
          <w:sz w:val="24"/>
          <w:szCs w:val="24"/>
          <w:lang w:val="en-GB"/>
        </w:rPr>
        <w:t>he allegations of vandalism cutting of fences could be caused by the [Trust’s] employees as the employees reside outside the property and could be using short cuts on the property’</w:t>
      </w:r>
      <w:r w:rsidR="00215E32" w:rsidRPr="00215E32">
        <w:rPr>
          <w:rFonts w:ascii="Arial" w:eastAsia="Times New Roman" w:hAnsi="Arial" w:cs="Arial"/>
          <w:bCs/>
          <w:sz w:val="24"/>
          <w:szCs w:val="24"/>
          <w:lang w:val="en-GB"/>
        </w:rPr>
        <w:t xml:space="preserve">. </w:t>
      </w:r>
    </w:p>
    <w:p w14:paraId="7D1A1BE5" w14:textId="77777777" w:rsidR="00E370B7" w:rsidRPr="00215E32" w:rsidRDefault="00E370B7" w:rsidP="0047430A">
      <w:pPr>
        <w:tabs>
          <w:tab w:val="left" w:pos="-1440"/>
        </w:tabs>
        <w:spacing w:after="0" w:line="360" w:lineRule="auto"/>
        <w:jc w:val="both"/>
        <w:rPr>
          <w:rFonts w:ascii="Arial" w:eastAsia="Times New Roman" w:hAnsi="Arial" w:cs="Arial"/>
          <w:bCs/>
          <w:sz w:val="24"/>
          <w:szCs w:val="24"/>
          <w:lang w:val="en-GB"/>
        </w:rPr>
      </w:pPr>
    </w:p>
    <w:p w14:paraId="61892B34" w14:textId="49237143" w:rsidR="00DA6C53" w:rsidRPr="00C03693" w:rsidRDefault="00650471" w:rsidP="0047430A">
      <w:pPr>
        <w:tabs>
          <w:tab w:val="left" w:pos="-1440"/>
        </w:tabs>
        <w:spacing w:after="0" w:line="360" w:lineRule="auto"/>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w:t>
      </w:r>
      <w:r w:rsidR="00942896">
        <w:rPr>
          <w:rFonts w:ascii="Arial" w:eastAsia="Times New Roman" w:hAnsi="Arial" w:cs="Arial"/>
          <w:bCs/>
          <w:sz w:val="24"/>
          <w:szCs w:val="24"/>
          <w:lang w:val="en-GB"/>
        </w:rPr>
        <w:t>40</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t xml:space="preserve"> In my opinion, the </w:t>
      </w:r>
      <w:r>
        <w:rPr>
          <w:rFonts w:ascii="Arial" w:eastAsia="Times New Roman" w:hAnsi="Arial" w:cs="Arial"/>
          <w:bCs/>
          <w:sz w:val="24"/>
          <w:szCs w:val="24"/>
          <w:lang w:val="en-GB"/>
        </w:rPr>
        <w:t xml:space="preserve">inappropriate </w:t>
      </w:r>
      <w:r w:rsidRPr="00774A33">
        <w:rPr>
          <w:rFonts w:ascii="Arial" w:eastAsia="Times New Roman" w:hAnsi="Arial" w:cs="Arial"/>
          <w:bCs/>
          <w:sz w:val="24"/>
          <w:szCs w:val="24"/>
          <w:lang w:val="en-GB"/>
        </w:rPr>
        <w:t xml:space="preserve">conduct complained </w:t>
      </w:r>
      <w:r>
        <w:rPr>
          <w:rFonts w:ascii="Arial" w:eastAsia="Times New Roman" w:hAnsi="Arial" w:cs="Arial"/>
          <w:bCs/>
          <w:sz w:val="24"/>
          <w:szCs w:val="24"/>
          <w:lang w:val="en-GB"/>
        </w:rPr>
        <w:t xml:space="preserve">of </w:t>
      </w:r>
      <w:r w:rsidRPr="00774A33">
        <w:rPr>
          <w:rFonts w:ascii="Arial" w:eastAsia="Times New Roman" w:hAnsi="Arial" w:cs="Arial"/>
          <w:bCs/>
          <w:sz w:val="24"/>
          <w:szCs w:val="24"/>
          <w:lang w:val="en-GB"/>
        </w:rPr>
        <w:t xml:space="preserve">is of a serious nature, regardless of whether the occupiers’ occupation commenced before or after February 1997 as envisaged in s 10 and 11 of ESTA. </w:t>
      </w:r>
      <w:bookmarkStart w:id="12" w:name="_Hlk125109937"/>
      <w:r>
        <w:rPr>
          <w:rFonts w:ascii="Arial" w:eastAsia="Times New Roman" w:hAnsi="Arial" w:cs="Arial"/>
          <w:bCs/>
          <w:sz w:val="24"/>
          <w:szCs w:val="24"/>
          <w:lang w:val="en-GB"/>
        </w:rPr>
        <w:t>To the extent that the allegations were not specifically disavowed by the occupiers, and the damage complained of is borne out by the photographs, it must be accepted that the Trust’s assertions have a ring of truth.</w:t>
      </w:r>
      <w:r>
        <w:rPr>
          <w:rStyle w:val="FootnoteReference"/>
          <w:rFonts w:ascii="Arial" w:eastAsia="Times New Roman" w:hAnsi="Arial"/>
          <w:bCs/>
          <w:sz w:val="24"/>
          <w:szCs w:val="24"/>
          <w:lang w:val="en-GB"/>
        </w:rPr>
        <w:footnoteReference w:id="15"/>
      </w:r>
      <w:r w:rsidRPr="00774A33">
        <w:rPr>
          <w:rFonts w:ascii="Arial" w:eastAsia="Times New Roman" w:hAnsi="Arial" w:cs="Arial"/>
          <w:bCs/>
          <w:sz w:val="24"/>
          <w:szCs w:val="24"/>
          <w:lang w:val="en-GB"/>
        </w:rPr>
        <w:t xml:space="preserve"> </w:t>
      </w:r>
      <w:bookmarkEnd w:id="12"/>
      <w:r w:rsidRPr="00774A33">
        <w:rPr>
          <w:rFonts w:ascii="Arial" w:eastAsia="Times New Roman" w:hAnsi="Arial" w:cs="Arial"/>
          <w:bCs/>
          <w:sz w:val="24"/>
          <w:szCs w:val="24"/>
          <w:lang w:val="en-GB"/>
        </w:rPr>
        <w:t xml:space="preserve">The damage to the Trust’s </w:t>
      </w:r>
      <w:r w:rsidRPr="00C03693">
        <w:rPr>
          <w:rFonts w:ascii="Arial" w:eastAsia="Times New Roman" w:hAnsi="Arial" w:cs="Arial"/>
          <w:bCs/>
          <w:sz w:val="24"/>
          <w:szCs w:val="24"/>
          <w:lang w:val="en-GB"/>
        </w:rPr>
        <w:lastRenderedPageBreak/>
        <w:t xml:space="preserve">property cannot be allowed to continue unabated </w:t>
      </w:r>
      <w:r w:rsidR="00274DB4" w:rsidRPr="00C03693">
        <w:rPr>
          <w:rFonts w:ascii="Arial" w:eastAsia="Times New Roman" w:hAnsi="Arial" w:cs="Arial"/>
          <w:bCs/>
          <w:sz w:val="24"/>
          <w:szCs w:val="24"/>
          <w:lang w:val="en-GB"/>
        </w:rPr>
        <w:t xml:space="preserve">simply </w:t>
      </w:r>
      <w:r w:rsidRPr="00C03693">
        <w:rPr>
          <w:rFonts w:ascii="Arial" w:eastAsia="Times New Roman" w:hAnsi="Arial" w:cs="Arial"/>
          <w:bCs/>
          <w:sz w:val="24"/>
          <w:szCs w:val="24"/>
          <w:lang w:val="en-GB"/>
        </w:rPr>
        <w:t xml:space="preserve">because individual culprits could not be identified </w:t>
      </w:r>
      <w:r w:rsidR="006F45B3" w:rsidRPr="00C03693">
        <w:rPr>
          <w:rFonts w:ascii="Arial" w:eastAsia="Times New Roman" w:hAnsi="Arial" w:cs="Arial"/>
          <w:bCs/>
          <w:sz w:val="24"/>
          <w:szCs w:val="24"/>
          <w:lang w:val="en-GB"/>
        </w:rPr>
        <w:t xml:space="preserve">on </w:t>
      </w:r>
      <w:r w:rsidRPr="00C03693">
        <w:rPr>
          <w:rFonts w:ascii="Arial" w:eastAsia="Times New Roman" w:hAnsi="Arial" w:cs="Arial"/>
          <w:bCs/>
          <w:sz w:val="24"/>
          <w:szCs w:val="24"/>
          <w:lang w:val="en-GB"/>
        </w:rPr>
        <w:t xml:space="preserve">CCTV cameras. </w:t>
      </w:r>
      <w:r w:rsidR="00006BEB" w:rsidRPr="00C03693">
        <w:rPr>
          <w:rFonts w:ascii="Arial" w:eastAsia="Times New Roman" w:hAnsi="Arial" w:cs="Arial"/>
          <w:bCs/>
          <w:sz w:val="24"/>
          <w:szCs w:val="24"/>
          <w:lang w:val="en-GB"/>
        </w:rPr>
        <w:t>I</w:t>
      </w:r>
      <w:r w:rsidR="004379DB" w:rsidRPr="00C03693">
        <w:rPr>
          <w:rFonts w:ascii="Arial" w:eastAsia="Times New Roman" w:hAnsi="Arial" w:cs="Arial"/>
          <w:bCs/>
          <w:sz w:val="24"/>
          <w:szCs w:val="24"/>
          <w:lang w:val="en-GB"/>
        </w:rPr>
        <w:t xml:space="preserve">n my opinion, </w:t>
      </w:r>
      <w:r w:rsidR="00FC7E40" w:rsidRPr="00C03693">
        <w:rPr>
          <w:rFonts w:ascii="Arial" w:eastAsia="Times New Roman" w:hAnsi="Arial" w:cs="Arial"/>
          <w:bCs/>
          <w:sz w:val="24"/>
          <w:szCs w:val="24"/>
          <w:lang w:val="en-GB"/>
        </w:rPr>
        <w:t xml:space="preserve">the Trust </w:t>
      </w:r>
      <w:r w:rsidR="00774A33" w:rsidRPr="00C03693">
        <w:rPr>
          <w:rFonts w:ascii="Arial" w:eastAsia="Times New Roman" w:hAnsi="Arial" w:cs="Arial"/>
          <w:bCs/>
          <w:sz w:val="24"/>
          <w:szCs w:val="24"/>
          <w:lang w:val="en-GB"/>
        </w:rPr>
        <w:t xml:space="preserve">could </w:t>
      </w:r>
      <w:r w:rsidR="00EE3BF6" w:rsidRPr="00C03693">
        <w:rPr>
          <w:rFonts w:ascii="Arial" w:eastAsia="Times New Roman" w:hAnsi="Arial" w:cs="Arial"/>
          <w:bCs/>
          <w:sz w:val="24"/>
          <w:szCs w:val="24"/>
          <w:lang w:val="en-GB"/>
        </w:rPr>
        <w:t xml:space="preserve">perhaps </w:t>
      </w:r>
      <w:r w:rsidR="00774A33" w:rsidRPr="00C03693">
        <w:rPr>
          <w:rFonts w:ascii="Arial" w:eastAsia="Times New Roman" w:hAnsi="Arial" w:cs="Arial"/>
          <w:bCs/>
          <w:sz w:val="24"/>
          <w:szCs w:val="24"/>
          <w:lang w:val="en-GB"/>
        </w:rPr>
        <w:t xml:space="preserve">have </w:t>
      </w:r>
      <w:r w:rsidR="00A41076" w:rsidRPr="00C03693">
        <w:rPr>
          <w:rFonts w:ascii="Arial" w:eastAsia="Times New Roman" w:hAnsi="Arial" w:cs="Arial"/>
          <w:bCs/>
          <w:sz w:val="24"/>
          <w:szCs w:val="24"/>
          <w:lang w:val="en-GB"/>
        </w:rPr>
        <w:t xml:space="preserve">alleviated </w:t>
      </w:r>
      <w:r w:rsidR="00FC7E40" w:rsidRPr="00C03693">
        <w:rPr>
          <w:rFonts w:ascii="Arial" w:eastAsia="Times New Roman" w:hAnsi="Arial" w:cs="Arial"/>
          <w:bCs/>
          <w:sz w:val="24"/>
          <w:szCs w:val="24"/>
          <w:lang w:val="en-GB"/>
        </w:rPr>
        <w:t xml:space="preserve">the problems associated with health risks </w:t>
      </w:r>
      <w:r w:rsidR="004379DB" w:rsidRPr="00C03693">
        <w:rPr>
          <w:rFonts w:ascii="Arial" w:eastAsia="Times New Roman" w:hAnsi="Arial" w:cs="Arial"/>
          <w:bCs/>
          <w:sz w:val="24"/>
          <w:szCs w:val="24"/>
          <w:lang w:val="en-GB"/>
        </w:rPr>
        <w:t xml:space="preserve">posed by the unsanitary presence of human waste in the vicinity of the </w:t>
      </w:r>
      <w:r w:rsidR="00786995" w:rsidRPr="00C03693">
        <w:rPr>
          <w:rFonts w:ascii="Arial" w:eastAsia="Times New Roman" w:hAnsi="Arial" w:cs="Arial"/>
          <w:bCs/>
          <w:sz w:val="24"/>
          <w:szCs w:val="24"/>
          <w:lang w:val="en-GB"/>
        </w:rPr>
        <w:t xml:space="preserve">vineyards. However, </w:t>
      </w:r>
      <w:r w:rsidR="00B70130" w:rsidRPr="00C03693">
        <w:rPr>
          <w:rFonts w:ascii="Arial" w:eastAsia="Times New Roman" w:hAnsi="Arial" w:cs="Arial"/>
          <w:bCs/>
          <w:sz w:val="24"/>
          <w:szCs w:val="24"/>
          <w:lang w:val="en-GB"/>
        </w:rPr>
        <w:t>it must be borne in mind that t</w:t>
      </w:r>
      <w:r w:rsidR="00731398" w:rsidRPr="00C03693">
        <w:rPr>
          <w:rFonts w:ascii="Arial" w:eastAsia="Times New Roman" w:hAnsi="Arial" w:cs="Arial"/>
          <w:bCs/>
          <w:sz w:val="24"/>
          <w:szCs w:val="24"/>
          <w:lang w:val="en-GB"/>
        </w:rPr>
        <w:t xml:space="preserve">he </w:t>
      </w:r>
      <w:r w:rsidR="00694E4C" w:rsidRPr="00C03693">
        <w:rPr>
          <w:rFonts w:ascii="Arial" w:eastAsia="Times New Roman" w:hAnsi="Arial" w:cs="Arial"/>
          <w:bCs/>
          <w:sz w:val="24"/>
          <w:szCs w:val="24"/>
          <w:lang w:val="en-GB"/>
        </w:rPr>
        <w:t xml:space="preserve">Trust </w:t>
      </w:r>
      <w:r w:rsidR="00B70130" w:rsidRPr="00C03693">
        <w:rPr>
          <w:rFonts w:ascii="Arial" w:eastAsia="Times New Roman" w:hAnsi="Arial" w:cs="Arial"/>
          <w:bCs/>
          <w:sz w:val="24"/>
          <w:szCs w:val="24"/>
          <w:lang w:val="en-GB"/>
        </w:rPr>
        <w:t xml:space="preserve">had to </w:t>
      </w:r>
      <w:r w:rsidR="00694E4C" w:rsidRPr="00C03693">
        <w:rPr>
          <w:rFonts w:ascii="Arial" w:eastAsia="Times New Roman" w:hAnsi="Arial" w:cs="Arial"/>
          <w:bCs/>
          <w:sz w:val="24"/>
          <w:szCs w:val="24"/>
          <w:lang w:val="en-GB"/>
        </w:rPr>
        <w:t xml:space="preserve">expend money on </w:t>
      </w:r>
      <w:r w:rsidR="00731398" w:rsidRPr="00C03693">
        <w:rPr>
          <w:rFonts w:ascii="Arial" w:eastAsia="Times New Roman" w:hAnsi="Arial" w:cs="Arial"/>
          <w:bCs/>
          <w:sz w:val="24"/>
          <w:szCs w:val="24"/>
          <w:lang w:val="en-GB"/>
        </w:rPr>
        <w:t>constant</w:t>
      </w:r>
      <w:r w:rsidR="00694E4C" w:rsidRPr="00C03693">
        <w:rPr>
          <w:rFonts w:ascii="Arial" w:eastAsia="Times New Roman" w:hAnsi="Arial" w:cs="Arial"/>
          <w:bCs/>
          <w:sz w:val="24"/>
          <w:szCs w:val="24"/>
          <w:lang w:val="en-GB"/>
        </w:rPr>
        <w:t>ly</w:t>
      </w:r>
      <w:r w:rsidR="00731398" w:rsidRPr="00C03693">
        <w:rPr>
          <w:rFonts w:ascii="Arial" w:eastAsia="Times New Roman" w:hAnsi="Arial" w:cs="Arial"/>
          <w:bCs/>
          <w:sz w:val="24"/>
          <w:szCs w:val="24"/>
          <w:lang w:val="en-GB"/>
        </w:rPr>
        <w:t xml:space="preserve"> </w:t>
      </w:r>
      <w:r w:rsidR="00C50CEF" w:rsidRPr="00C03693">
        <w:rPr>
          <w:rFonts w:ascii="Arial" w:eastAsia="Times New Roman" w:hAnsi="Arial" w:cs="Arial"/>
          <w:bCs/>
          <w:sz w:val="24"/>
          <w:szCs w:val="24"/>
          <w:lang w:val="en-GB"/>
        </w:rPr>
        <w:t xml:space="preserve">mending </w:t>
      </w:r>
      <w:r w:rsidR="00731398" w:rsidRPr="00C03693">
        <w:rPr>
          <w:rFonts w:ascii="Arial" w:eastAsia="Times New Roman" w:hAnsi="Arial" w:cs="Arial"/>
          <w:bCs/>
          <w:sz w:val="24"/>
          <w:szCs w:val="24"/>
          <w:lang w:val="en-GB"/>
        </w:rPr>
        <w:t>broken fences</w:t>
      </w:r>
      <w:r w:rsidR="00694E4C" w:rsidRPr="00C03693">
        <w:rPr>
          <w:rFonts w:ascii="Arial" w:eastAsia="Times New Roman" w:hAnsi="Arial" w:cs="Arial"/>
          <w:bCs/>
          <w:sz w:val="24"/>
          <w:szCs w:val="24"/>
          <w:lang w:val="en-GB"/>
        </w:rPr>
        <w:t xml:space="preserve">, </w:t>
      </w:r>
      <w:r w:rsidR="00C50CEF" w:rsidRPr="00C03693">
        <w:rPr>
          <w:rFonts w:ascii="Arial" w:eastAsia="Times New Roman" w:hAnsi="Arial" w:cs="Arial"/>
          <w:bCs/>
          <w:sz w:val="24"/>
          <w:szCs w:val="24"/>
          <w:lang w:val="en-GB"/>
        </w:rPr>
        <w:t>repairing the damaged irrigation system</w:t>
      </w:r>
      <w:r w:rsidR="001C1D85" w:rsidRPr="00C03693">
        <w:rPr>
          <w:rFonts w:ascii="Arial" w:eastAsia="Times New Roman" w:hAnsi="Arial" w:cs="Arial"/>
          <w:bCs/>
          <w:sz w:val="24"/>
          <w:szCs w:val="24"/>
          <w:lang w:val="en-GB"/>
        </w:rPr>
        <w:t xml:space="preserve">, and procuring the services of security guards to </w:t>
      </w:r>
      <w:r w:rsidR="00E63F9D" w:rsidRPr="00C03693">
        <w:rPr>
          <w:rFonts w:ascii="Arial" w:eastAsia="Times New Roman" w:hAnsi="Arial" w:cs="Arial"/>
          <w:bCs/>
          <w:sz w:val="24"/>
          <w:szCs w:val="24"/>
          <w:lang w:val="en-GB"/>
        </w:rPr>
        <w:t>prevent unauthorised access to the farm</w:t>
      </w:r>
      <w:r w:rsidR="00774A33" w:rsidRPr="00C03693">
        <w:rPr>
          <w:rFonts w:ascii="Arial" w:eastAsia="Times New Roman" w:hAnsi="Arial" w:cs="Arial"/>
          <w:bCs/>
          <w:sz w:val="24"/>
          <w:szCs w:val="24"/>
          <w:lang w:val="en-GB"/>
        </w:rPr>
        <w:t xml:space="preserve">. </w:t>
      </w:r>
    </w:p>
    <w:p w14:paraId="72F8F181" w14:textId="5355DB19" w:rsidR="00DA6C53" w:rsidRPr="00C03693" w:rsidRDefault="00DA6C53" w:rsidP="00E10149">
      <w:pPr>
        <w:tabs>
          <w:tab w:val="left" w:pos="-1440"/>
        </w:tabs>
        <w:spacing w:after="0" w:line="360" w:lineRule="auto"/>
        <w:ind w:right="26"/>
        <w:jc w:val="both"/>
        <w:rPr>
          <w:rFonts w:ascii="Arial" w:eastAsia="Times New Roman" w:hAnsi="Arial" w:cs="Arial"/>
          <w:bCs/>
          <w:sz w:val="24"/>
          <w:szCs w:val="24"/>
          <w:lang w:val="en-GB"/>
        </w:rPr>
      </w:pPr>
    </w:p>
    <w:p w14:paraId="161FFE81" w14:textId="6CCAAD61" w:rsidR="00E10149" w:rsidRPr="00774A33" w:rsidRDefault="00E10149" w:rsidP="0047430A">
      <w:pPr>
        <w:tabs>
          <w:tab w:val="left" w:pos="-1440"/>
        </w:tabs>
        <w:spacing w:after="0" w:line="360" w:lineRule="auto"/>
        <w:jc w:val="both"/>
        <w:rPr>
          <w:rFonts w:ascii="Arial" w:eastAsia="Times New Roman" w:hAnsi="Arial" w:cs="Arial"/>
          <w:bCs/>
          <w:sz w:val="24"/>
          <w:szCs w:val="24"/>
          <w:lang w:val="en-GB"/>
        </w:rPr>
      </w:pPr>
      <w:r w:rsidRPr="00C03693">
        <w:rPr>
          <w:rFonts w:ascii="Arial" w:eastAsia="Times New Roman" w:hAnsi="Arial" w:cs="Arial"/>
          <w:bCs/>
          <w:sz w:val="24"/>
          <w:szCs w:val="24"/>
          <w:lang w:val="en-GB"/>
        </w:rPr>
        <w:t>[</w:t>
      </w:r>
      <w:r w:rsidR="009E6FC0" w:rsidRPr="00C03693">
        <w:rPr>
          <w:rFonts w:ascii="Arial" w:eastAsia="Times New Roman" w:hAnsi="Arial" w:cs="Arial"/>
          <w:bCs/>
          <w:sz w:val="24"/>
          <w:szCs w:val="24"/>
          <w:lang w:val="en-GB"/>
        </w:rPr>
        <w:t>4</w:t>
      </w:r>
      <w:r w:rsidR="00D03AC3" w:rsidRPr="00C03693">
        <w:rPr>
          <w:rFonts w:ascii="Arial" w:eastAsia="Times New Roman" w:hAnsi="Arial" w:cs="Arial"/>
          <w:bCs/>
          <w:sz w:val="24"/>
          <w:szCs w:val="24"/>
          <w:lang w:val="en-GB"/>
        </w:rPr>
        <w:t>1</w:t>
      </w:r>
      <w:r w:rsidRPr="00C03693">
        <w:rPr>
          <w:rFonts w:ascii="Arial" w:eastAsia="Times New Roman" w:hAnsi="Arial" w:cs="Arial"/>
          <w:bCs/>
          <w:sz w:val="24"/>
          <w:szCs w:val="24"/>
          <w:lang w:val="en-GB"/>
        </w:rPr>
        <w:t>]</w:t>
      </w:r>
      <w:r w:rsidRPr="00C03693">
        <w:rPr>
          <w:rFonts w:ascii="Arial" w:eastAsia="Times New Roman" w:hAnsi="Arial" w:cs="Arial"/>
          <w:bCs/>
          <w:sz w:val="24"/>
          <w:szCs w:val="24"/>
          <w:lang w:val="en-GB"/>
        </w:rPr>
        <w:tab/>
      </w:r>
      <w:r w:rsidR="004D5275" w:rsidRPr="00C03693">
        <w:rPr>
          <w:rFonts w:ascii="Arial" w:eastAsia="Times New Roman" w:hAnsi="Arial" w:cs="Arial"/>
          <w:bCs/>
          <w:sz w:val="24"/>
          <w:szCs w:val="24"/>
          <w:lang w:val="en-GB"/>
        </w:rPr>
        <w:t xml:space="preserve">What </w:t>
      </w:r>
      <w:r w:rsidR="001E4EE0" w:rsidRPr="00C03693">
        <w:rPr>
          <w:rFonts w:ascii="Arial" w:eastAsia="Times New Roman" w:hAnsi="Arial" w:cs="Arial"/>
          <w:bCs/>
          <w:sz w:val="24"/>
          <w:szCs w:val="24"/>
          <w:lang w:val="en-GB"/>
        </w:rPr>
        <w:t xml:space="preserve">is plain </w:t>
      </w:r>
      <w:r w:rsidR="004D5275" w:rsidRPr="00C03693">
        <w:rPr>
          <w:rFonts w:ascii="Arial" w:eastAsia="Times New Roman" w:hAnsi="Arial" w:cs="Arial"/>
          <w:bCs/>
          <w:sz w:val="24"/>
          <w:szCs w:val="24"/>
          <w:lang w:val="en-GB"/>
        </w:rPr>
        <w:t>from the</w:t>
      </w:r>
      <w:r w:rsidR="004D5275">
        <w:rPr>
          <w:rFonts w:ascii="Arial" w:eastAsia="Times New Roman" w:hAnsi="Arial" w:cs="Arial"/>
          <w:bCs/>
          <w:sz w:val="24"/>
          <w:szCs w:val="24"/>
          <w:lang w:val="en-GB"/>
        </w:rPr>
        <w:t xml:space="preserve"> record is that </w:t>
      </w:r>
      <w:r w:rsidR="009F3F6C">
        <w:rPr>
          <w:rFonts w:ascii="Arial" w:eastAsia="Times New Roman" w:hAnsi="Arial" w:cs="Arial"/>
          <w:bCs/>
          <w:sz w:val="24"/>
          <w:szCs w:val="24"/>
          <w:lang w:val="en-GB"/>
        </w:rPr>
        <w:t xml:space="preserve">there </w:t>
      </w:r>
      <w:r w:rsidR="00A4570B">
        <w:rPr>
          <w:rFonts w:ascii="Arial" w:eastAsia="Times New Roman" w:hAnsi="Arial" w:cs="Arial"/>
          <w:bCs/>
          <w:sz w:val="24"/>
          <w:szCs w:val="24"/>
          <w:lang w:val="en-GB"/>
        </w:rPr>
        <w:t xml:space="preserve">was </w:t>
      </w:r>
      <w:r w:rsidR="009F3F6C">
        <w:rPr>
          <w:rFonts w:ascii="Arial" w:eastAsia="Times New Roman" w:hAnsi="Arial" w:cs="Arial"/>
          <w:bCs/>
          <w:sz w:val="24"/>
          <w:szCs w:val="24"/>
          <w:lang w:val="en-GB"/>
        </w:rPr>
        <w:t xml:space="preserve">an unhealthy stalemate </w:t>
      </w:r>
      <w:r w:rsidR="00A4570B">
        <w:rPr>
          <w:rFonts w:ascii="Arial" w:eastAsia="Times New Roman" w:hAnsi="Arial" w:cs="Arial"/>
          <w:bCs/>
          <w:sz w:val="24"/>
          <w:szCs w:val="24"/>
          <w:lang w:val="en-GB"/>
        </w:rPr>
        <w:t xml:space="preserve">following </w:t>
      </w:r>
      <w:r w:rsidR="009F3F6C">
        <w:rPr>
          <w:rFonts w:ascii="Arial" w:eastAsia="Times New Roman" w:hAnsi="Arial" w:cs="Arial"/>
          <w:bCs/>
          <w:sz w:val="24"/>
          <w:szCs w:val="24"/>
          <w:lang w:val="en-GB"/>
        </w:rPr>
        <w:t>the cessation of the employment relationship</w:t>
      </w:r>
      <w:r w:rsidR="00C424E8">
        <w:rPr>
          <w:rFonts w:ascii="Arial" w:eastAsia="Times New Roman" w:hAnsi="Arial" w:cs="Arial"/>
          <w:bCs/>
          <w:sz w:val="24"/>
          <w:szCs w:val="24"/>
          <w:lang w:val="en-GB"/>
        </w:rPr>
        <w:t>.</w:t>
      </w:r>
      <w:r w:rsidR="00102E4F">
        <w:rPr>
          <w:rFonts w:ascii="Arial" w:eastAsia="Times New Roman" w:hAnsi="Arial" w:cs="Arial"/>
          <w:bCs/>
          <w:sz w:val="24"/>
          <w:szCs w:val="24"/>
          <w:lang w:val="en-GB"/>
        </w:rPr>
        <w:t xml:space="preserve"> </w:t>
      </w:r>
      <w:r w:rsidR="00102E4F" w:rsidRPr="00102E4F">
        <w:rPr>
          <w:rFonts w:ascii="Arial" w:eastAsia="Times New Roman" w:hAnsi="Arial" w:cs="Arial"/>
          <w:bCs/>
          <w:sz w:val="24"/>
          <w:szCs w:val="24"/>
          <w:lang w:val="en-GB"/>
        </w:rPr>
        <w:t xml:space="preserve">The photographs depicting </w:t>
      </w:r>
      <w:r w:rsidR="00E74D27">
        <w:rPr>
          <w:rFonts w:ascii="Arial" w:eastAsia="Times New Roman" w:hAnsi="Arial" w:cs="Arial"/>
          <w:bCs/>
          <w:sz w:val="24"/>
          <w:szCs w:val="24"/>
          <w:lang w:val="en-GB"/>
        </w:rPr>
        <w:t xml:space="preserve">water flowing from an irrigation hose </w:t>
      </w:r>
      <w:r w:rsidR="0051202D">
        <w:rPr>
          <w:rFonts w:ascii="Arial" w:eastAsia="Times New Roman" w:hAnsi="Arial" w:cs="Arial"/>
          <w:bCs/>
          <w:sz w:val="24"/>
          <w:szCs w:val="24"/>
          <w:lang w:val="en-GB"/>
        </w:rPr>
        <w:t xml:space="preserve">which was </w:t>
      </w:r>
      <w:r w:rsidR="00E74D27">
        <w:rPr>
          <w:rFonts w:ascii="Arial" w:eastAsia="Times New Roman" w:hAnsi="Arial" w:cs="Arial"/>
          <w:bCs/>
          <w:sz w:val="24"/>
          <w:szCs w:val="24"/>
          <w:lang w:val="en-GB"/>
        </w:rPr>
        <w:t>left unattended,</w:t>
      </w:r>
      <w:r w:rsidR="00102E4F" w:rsidRPr="00102E4F">
        <w:rPr>
          <w:rFonts w:ascii="Arial" w:eastAsia="Times New Roman" w:hAnsi="Arial" w:cs="Arial"/>
          <w:bCs/>
          <w:sz w:val="24"/>
          <w:szCs w:val="24"/>
          <w:lang w:val="en-GB"/>
        </w:rPr>
        <w:t xml:space="preserve"> litter</w:t>
      </w:r>
      <w:r w:rsidR="00FF5955">
        <w:rPr>
          <w:rFonts w:ascii="Arial" w:eastAsia="Times New Roman" w:hAnsi="Arial" w:cs="Arial"/>
          <w:bCs/>
          <w:sz w:val="24"/>
          <w:szCs w:val="24"/>
          <w:lang w:val="en-GB"/>
        </w:rPr>
        <w:t xml:space="preserve"> </w:t>
      </w:r>
      <w:r w:rsidR="006104BF">
        <w:rPr>
          <w:rFonts w:ascii="Arial" w:eastAsia="Times New Roman" w:hAnsi="Arial" w:cs="Arial"/>
          <w:bCs/>
          <w:sz w:val="24"/>
          <w:szCs w:val="24"/>
          <w:lang w:val="en-GB"/>
        </w:rPr>
        <w:t xml:space="preserve">left </w:t>
      </w:r>
      <w:r w:rsidR="00FF5955">
        <w:rPr>
          <w:rFonts w:ascii="Arial" w:eastAsia="Times New Roman" w:hAnsi="Arial" w:cs="Arial"/>
          <w:bCs/>
          <w:sz w:val="24"/>
          <w:szCs w:val="24"/>
          <w:lang w:val="en-GB"/>
        </w:rPr>
        <w:t xml:space="preserve">lying around in the vicinity of the cottages and </w:t>
      </w:r>
      <w:r w:rsidR="00C43122">
        <w:rPr>
          <w:rFonts w:ascii="Arial" w:eastAsia="Times New Roman" w:hAnsi="Arial" w:cs="Arial"/>
          <w:bCs/>
          <w:sz w:val="24"/>
          <w:szCs w:val="24"/>
          <w:lang w:val="en-GB"/>
        </w:rPr>
        <w:t xml:space="preserve">the presence of heaps of burnt refuse </w:t>
      </w:r>
      <w:r w:rsidR="00102E4F" w:rsidRPr="00102E4F">
        <w:rPr>
          <w:rFonts w:ascii="Arial" w:eastAsia="Times New Roman" w:hAnsi="Arial" w:cs="Arial"/>
          <w:bCs/>
          <w:sz w:val="24"/>
          <w:szCs w:val="24"/>
          <w:lang w:val="en-GB"/>
        </w:rPr>
        <w:t xml:space="preserve">despite the </w:t>
      </w:r>
      <w:r w:rsidR="00C43122">
        <w:rPr>
          <w:rFonts w:ascii="Arial" w:eastAsia="Times New Roman" w:hAnsi="Arial" w:cs="Arial"/>
          <w:bCs/>
          <w:sz w:val="24"/>
          <w:szCs w:val="24"/>
          <w:lang w:val="en-GB"/>
        </w:rPr>
        <w:t xml:space="preserve">known </w:t>
      </w:r>
      <w:r w:rsidR="00102E4F" w:rsidRPr="00102E4F">
        <w:rPr>
          <w:rFonts w:ascii="Arial" w:eastAsia="Times New Roman" w:hAnsi="Arial" w:cs="Arial"/>
          <w:bCs/>
          <w:sz w:val="24"/>
          <w:szCs w:val="24"/>
          <w:lang w:val="en-GB"/>
        </w:rPr>
        <w:t xml:space="preserve">risk of fires spreading to the vineyard </w:t>
      </w:r>
      <w:r w:rsidR="00102E4F" w:rsidRPr="00774A33">
        <w:rPr>
          <w:rFonts w:ascii="Arial" w:eastAsia="Times New Roman" w:hAnsi="Arial" w:cs="Arial"/>
          <w:bCs/>
          <w:sz w:val="24"/>
          <w:szCs w:val="24"/>
          <w:lang w:val="en-GB"/>
        </w:rPr>
        <w:t xml:space="preserve">are </w:t>
      </w:r>
      <w:r w:rsidR="00C43122">
        <w:rPr>
          <w:rFonts w:ascii="Arial" w:eastAsia="Times New Roman" w:hAnsi="Arial" w:cs="Arial"/>
          <w:bCs/>
          <w:sz w:val="24"/>
          <w:szCs w:val="24"/>
          <w:lang w:val="en-GB"/>
        </w:rPr>
        <w:t xml:space="preserve">all </w:t>
      </w:r>
      <w:r w:rsidR="00855985">
        <w:rPr>
          <w:rFonts w:ascii="Arial" w:eastAsia="Times New Roman" w:hAnsi="Arial" w:cs="Arial"/>
          <w:bCs/>
          <w:sz w:val="24"/>
          <w:szCs w:val="24"/>
          <w:lang w:val="en-GB"/>
        </w:rPr>
        <w:t xml:space="preserve">aspects that give credence to </w:t>
      </w:r>
      <w:r w:rsidR="00102E4F" w:rsidRPr="00774A33">
        <w:rPr>
          <w:rFonts w:ascii="Arial" w:eastAsia="Times New Roman" w:hAnsi="Arial" w:cs="Arial"/>
          <w:bCs/>
          <w:sz w:val="24"/>
          <w:szCs w:val="24"/>
          <w:lang w:val="en-GB"/>
        </w:rPr>
        <w:t xml:space="preserve">the </w:t>
      </w:r>
      <w:r w:rsidR="00C43122">
        <w:rPr>
          <w:rFonts w:ascii="Arial" w:eastAsia="Times New Roman" w:hAnsi="Arial" w:cs="Arial"/>
          <w:bCs/>
          <w:sz w:val="24"/>
          <w:szCs w:val="24"/>
          <w:lang w:val="en-GB"/>
        </w:rPr>
        <w:t xml:space="preserve">Trust’s </w:t>
      </w:r>
      <w:r w:rsidR="00102E4F" w:rsidRPr="00774A33">
        <w:rPr>
          <w:rFonts w:ascii="Arial" w:eastAsia="Times New Roman" w:hAnsi="Arial" w:cs="Arial"/>
          <w:bCs/>
          <w:sz w:val="24"/>
          <w:szCs w:val="24"/>
          <w:lang w:val="en-GB"/>
        </w:rPr>
        <w:t xml:space="preserve">contention that </w:t>
      </w:r>
      <w:r w:rsidR="00C43122">
        <w:rPr>
          <w:rFonts w:ascii="Arial" w:eastAsia="Times New Roman" w:hAnsi="Arial" w:cs="Arial"/>
          <w:bCs/>
          <w:sz w:val="24"/>
          <w:szCs w:val="24"/>
          <w:lang w:val="en-GB"/>
        </w:rPr>
        <w:t xml:space="preserve">its </w:t>
      </w:r>
      <w:r w:rsidR="00102E4F" w:rsidRPr="00774A33">
        <w:rPr>
          <w:rFonts w:ascii="Arial" w:eastAsia="Times New Roman" w:hAnsi="Arial" w:cs="Arial"/>
          <w:bCs/>
          <w:sz w:val="24"/>
          <w:szCs w:val="24"/>
          <w:lang w:val="en-GB"/>
        </w:rPr>
        <w:t xml:space="preserve">property was treated with </w:t>
      </w:r>
      <w:r w:rsidR="00102E4F" w:rsidRPr="00C03693">
        <w:rPr>
          <w:rFonts w:ascii="Arial" w:eastAsia="Times New Roman" w:hAnsi="Arial" w:cs="Arial"/>
          <w:bCs/>
          <w:sz w:val="24"/>
          <w:szCs w:val="24"/>
          <w:lang w:val="en-GB"/>
        </w:rPr>
        <w:t>contempt. This kind of conduct is</w:t>
      </w:r>
      <w:r w:rsidR="006104BF" w:rsidRPr="00C03693">
        <w:rPr>
          <w:rFonts w:ascii="Arial" w:eastAsia="Times New Roman" w:hAnsi="Arial" w:cs="Arial"/>
          <w:bCs/>
          <w:sz w:val="24"/>
          <w:szCs w:val="24"/>
          <w:lang w:val="en-GB"/>
        </w:rPr>
        <w:t>, in my view,</w:t>
      </w:r>
      <w:r w:rsidR="00102E4F" w:rsidRPr="00C03693">
        <w:rPr>
          <w:rFonts w:ascii="Arial" w:eastAsia="Times New Roman" w:hAnsi="Arial" w:cs="Arial"/>
          <w:bCs/>
          <w:sz w:val="24"/>
          <w:szCs w:val="24"/>
          <w:lang w:val="en-GB"/>
        </w:rPr>
        <w:t xml:space="preserve"> </w:t>
      </w:r>
      <w:r w:rsidR="006104BF" w:rsidRPr="00C03693">
        <w:rPr>
          <w:rFonts w:ascii="Arial" w:eastAsia="Times New Roman" w:hAnsi="Arial" w:cs="Arial"/>
          <w:bCs/>
          <w:sz w:val="24"/>
          <w:szCs w:val="24"/>
          <w:lang w:val="en-GB"/>
        </w:rPr>
        <w:t>irreconcilable</w:t>
      </w:r>
      <w:r w:rsidR="00102E4F" w:rsidRPr="00C03693">
        <w:rPr>
          <w:rFonts w:ascii="Arial" w:eastAsia="Times New Roman" w:hAnsi="Arial" w:cs="Arial"/>
          <w:bCs/>
          <w:sz w:val="24"/>
          <w:szCs w:val="24"/>
          <w:lang w:val="en-GB"/>
        </w:rPr>
        <w:t xml:space="preserve"> with a cordial social relationship. The blatant non-compliance with the applicable house rules is an issue that could have been amicably resolved at the meetings that were </w:t>
      </w:r>
      <w:r w:rsidR="00790D5A" w:rsidRPr="00C03693">
        <w:rPr>
          <w:rFonts w:ascii="Arial" w:eastAsia="Times New Roman" w:hAnsi="Arial" w:cs="Arial"/>
          <w:bCs/>
          <w:sz w:val="24"/>
          <w:szCs w:val="24"/>
          <w:lang w:val="en-GB"/>
        </w:rPr>
        <w:t xml:space="preserve">proposed </w:t>
      </w:r>
      <w:r w:rsidR="00102E4F" w:rsidRPr="00C03693">
        <w:rPr>
          <w:rFonts w:ascii="Arial" w:eastAsia="Times New Roman" w:hAnsi="Arial" w:cs="Arial"/>
          <w:bCs/>
          <w:sz w:val="24"/>
          <w:szCs w:val="24"/>
          <w:lang w:val="en-GB"/>
        </w:rPr>
        <w:t xml:space="preserve">by the Trust. Unfortunately, the occupiers chose not to attend such meetings. </w:t>
      </w:r>
      <w:r w:rsidR="00263A37" w:rsidRPr="00C03693">
        <w:rPr>
          <w:rFonts w:ascii="Arial" w:eastAsia="Times New Roman" w:hAnsi="Arial" w:cs="Arial"/>
          <w:bCs/>
          <w:sz w:val="24"/>
          <w:szCs w:val="24"/>
          <w:lang w:val="en-US"/>
        </w:rPr>
        <w:t xml:space="preserve">The </w:t>
      </w:r>
      <w:r w:rsidR="00453003" w:rsidRPr="00C03693">
        <w:rPr>
          <w:rFonts w:ascii="Arial" w:eastAsia="Times New Roman" w:hAnsi="Arial" w:cs="Arial"/>
          <w:bCs/>
          <w:sz w:val="24"/>
          <w:szCs w:val="24"/>
          <w:lang w:val="en-US"/>
        </w:rPr>
        <w:t>attitude of the occupiers in not showing interest in the restoration of a harmonious</w:t>
      </w:r>
      <w:r w:rsidR="00453003">
        <w:rPr>
          <w:rFonts w:ascii="Arial" w:eastAsia="Times New Roman" w:hAnsi="Arial" w:cs="Arial"/>
          <w:bCs/>
          <w:sz w:val="24"/>
          <w:szCs w:val="24"/>
          <w:lang w:val="en-US"/>
        </w:rPr>
        <w:t xml:space="preserve"> relationship</w:t>
      </w:r>
      <w:r w:rsidR="00263A37">
        <w:rPr>
          <w:rFonts w:ascii="Arial" w:eastAsia="Times New Roman" w:hAnsi="Arial" w:cs="Arial"/>
          <w:bCs/>
          <w:sz w:val="24"/>
          <w:szCs w:val="24"/>
          <w:lang w:val="en-US"/>
        </w:rPr>
        <w:t xml:space="preserve"> was also unhelpful. </w:t>
      </w:r>
      <w:r w:rsidR="008307BE" w:rsidRPr="008307BE">
        <w:rPr>
          <w:rFonts w:ascii="Arial" w:eastAsia="Times New Roman" w:hAnsi="Arial" w:cs="Arial"/>
          <w:bCs/>
          <w:sz w:val="24"/>
          <w:szCs w:val="24"/>
          <w:lang w:val="en-GB"/>
        </w:rPr>
        <w:t>The founding affidavit attests to the Trust’s numerous efforts to regularise the relationship</w:t>
      </w:r>
      <w:r w:rsidR="008307BE">
        <w:rPr>
          <w:rFonts w:ascii="Arial" w:eastAsia="Times New Roman" w:hAnsi="Arial" w:cs="Arial"/>
          <w:bCs/>
          <w:sz w:val="24"/>
          <w:szCs w:val="24"/>
          <w:lang w:val="en-GB"/>
        </w:rPr>
        <w:t>, but th</w:t>
      </w:r>
      <w:r w:rsidR="008307BE" w:rsidRPr="008307BE">
        <w:rPr>
          <w:rFonts w:ascii="Arial" w:eastAsia="Times New Roman" w:hAnsi="Arial" w:cs="Arial"/>
          <w:bCs/>
          <w:sz w:val="24"/>
          <w:szCs w:val="24"/>
          <w:lang w:val="en-GB"/>
        </w:rPr>
        <w:t xml:space="preserve">ese were </w:t>
      </w:r>
      <w:r w:rsidR="00843ABA">
        <w:rPr>
          <w:rFonts w:ascii="Arial" w:eastAsia="Times New Roman" w:hAnsi="Arial" w:cs="Arial"/>
          <w:bCs/>
          <w:sz w:val="24"/>
          <w:szCs w:val="24"/>
          <w:lang w:val="en-GB"/>
        </w:rPr>
        <w:t>spurned</w:t>
      </w:r>
      <w:r w:rsidR="008307BE" w:rsidRPr="008307BE">
        <w:rPr>
          <w:rFonts w:ascii="Arial" w:eastAsia="Times New Roman" w:hAnsi="Arial" w:cs="Arial"/>
          <w:bCs/>
          <w:sz w:val="24"/>
          <w:szCs w:val="24"/>
          <w:lang w:val="en-GB"/>
        </w:rPr>
        <w:t xml:space="preserve">. </w:t>
      </w:r>
      <w:r w:rsidR="002B7F05" w:rsidRPr="00774A33">
        <w:rPr>
          <w:rFonts w:ascii="Arial" w:eastAsia="Times New Roman" w:hAnsi="Arial" w:cs="Arial"/>
          <w:bCs/>
          <w:sz w:val="24"/>
          <w:szCs w:val="24"/>
          <w:lang w:val="en-GB"/>
        </w:rPr>
        <w:t xml:space="preserve">The occupiers’ </w:t>
      </w:r>
      <w:r w:rsidR="006A4A15">
        <w:rPr>
          <w:rFonts w:ascii="Arial" w:eastAsia="Times New Roman" w:hAnsi="Arial" w:cs="Arial"/>
          <w:bCs/>
          <w:sz w:val="24"/>
          <w:szCs w:val="24"/>
          <w:lang w:val="en-GB"/>
        </w:rPr>
        <w:t xml:space="preserve">uncompromising </w:t>
      </w:r>
      <w:r w:rsidR="009A7403">
        <w:rPr>
          <w:rFonts w:ascii="Arial" w:eastAsia="Times New Roman" w:hAnsi="Arial" w:cs="Arial"/>
          <w:bCs/>
          <w:sz w:val="24"/>
          <w:szCs w:val="24"/>
          <w:lang w:val="en-GB"/>
        </w:rPr>
        <w:t xml:space="preserve">stance </w:t>
      </w:r>
      <w:r w:rsidR="00382DD8">
        <w:rPr>
          <w:rFonts w:ascii="Arial" w:eastAsia="Times New Roman" w:hAnsi="Arial" w:cs="Arial"/>
          <w:bCs/>
          <w:sz w:val="24"/>
          <w:szCs w:val="24"/>
          <w:lang w:val="en-GB"/>
        </w:rPr>
        <w:t xml:space="preserve">apparently </w:t>
      </w:r>
      <w:r w:rsidR="00214958">
        <w:rPr>
          <w:rFonts w:ascii="Arial" w:eastAsia="Times New Roman" w:hAnsi="Arial" w:cs="Arial"/>
          <w:bCs/>
          <w:sz w:val="24"/>
          <w:szCs w:val="24"/>
          <w:lang w:val="en-GB"/>
        </w:rPr>
        <w:t xml:space="preserve">frustrated all efforts to restore </w:t>
      </w:r>
      <w:r w:rsidR="00717323">
        <w:rPr>
          <w:rFonts w:ascii="Arial" w:eastAsia="Times New Roman" w:hAnsi="Arial" w:cs="Arial"/>
          <w:bCs/>
          <w:sz w:val="24"/>
          <w:szCs w:val="24"/>
          <w:lang w:val="en-GB"/>
        </w:rPr>
        <w:t>the relationship</w:t>
      </w:r>
      <w:r w:rsidR="00382DD8">
        <w:rPr>
          <w:rFonts w:ascii="Arial" w:eastAsia="Times New Roman" w:hAnsi="Arial" w:cs="Arial"/>
          <w:bCs/>
          <w:sz w:val="24"/>
          <w:szCs w:val="24"/>
          <w:lang w:val="en-GB"/>
        </w:rPr>
        <w:t xml:space="preserve"> and only </w:t>
      </w:r>
      <w:r w:rsidR="00B62ACA">
        <w:rPr>
          <w:rFonts w:ascii="Arial" w:eastAsia="Times New Roman" w:hAnsi="Arial" w:cs="Arial"/>
          <w:bCs/>
          <w:sz w:val="24"/>
          <w:szCs w:val="24"/>
          <w:lang w:val="en-GB"/>
        </w:rPr>
        <w:t xml:space="preserve">served to ruin the social relationship beyond repair. </w:t>
      </w:r>
    </w:p>
    <w:p w14:paraId="6DB389B5" w14:textId="64735EE5" w:rsid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50D6AFA2" w14:textId="1D27FEB7" w:rsidR="00774A33" w:rsidRPr="00774A33" w:rsidRDefault="00774A33" w:rsidP="009D3B68">
      <w:pPr>
        <w:tabs>
          <w:tab w:val="left" w:pos="-1440"/>
        </w:tabs>
        <w:spacing w:after="0" w:line="360" w:lineRule="auto"/>
        <w:jc w:val="both"/>
        <w:rPr>
          <w:rFonts w:ascii="Arial" w:eastAsia="Times New Roman" w:hAnsi="Arial" w:cs="Arial"/>
          <w:bCs/>
          <w:sz w:val="24"/>
          <w:szCs w:val="24"/>
          <w:lang w:val="en-US"/>
        </w:rPr>
      </w:pPr>
      <w:r w:rsidRPr="00387E57">
        <w:rPr>
          <w:rFonts w:ascii="Arial" w:eastAsia="Times New Roman" w:hAnsi="Arial" w:cs="Arial"/>
          <w:bCs/>
          <w:sz w:val="24"/>
          <w:szCs w:val="24"/>
          <w:lang w:val="en-GB"/>
        </w:rPr>
        <w:t>[</w:t>
      </w:r>
      <w:r w:rsidR="009E6FC0" w:rsidRPr="00387E57">
        <w:rPr>
          <w:rFonts w:ascii="Arial" w:eastAsia="Times New Roman" w:hAnsi="Arial" w:cs="Arial"/>
          <w:bCs/>
          <w:sz w:val="24"/>
          <w:szCs w:val="24"/>
          <w:lang w:val="en-GB"/>
        </w:rPr>
        <w:t>4</w:t>
      </w:r>
      <w:r w:rsidR="00D03AC3" w:rsidRPr="00387E57">
        <w:rPr>
          <w:rFonts w:ascii="Arial" w:eastAsia="Times New Roman" w:hAnsi="Arial" w:cs="Arial"/>
          <w:bCs/>
          <w:sz w:val="24"/>
          <w:szCs w:val="24"/>
          <w:lang w:val="en-GB"/>
        </w:rPr>
        <w:t>2</w:t>
      </w:r>
      <w:r w:rsidRPr="00387E57">
        <w:rPr>
          <w:rFonts w:ascii="Arial" w:eastAsia="Times New Roman" w:hAnsi="Arial" w:cs="Arial"/>
          <w:bCs/>
          <w:sz w:val="24"/>
          <w:szCs w:val="24"/>
          <w:lang w:val="en-GB"/>
        </w:rPr>
        <w:t>]</w:t>
      </w:r>
      <w:r w:rsidRPr="00387E57">
        <w:rPr>
          <w:rFonts w:ascii="Arial" w:eastAsia="Times New Roman" w:hAnsi="Arial" w:cs="Arial"/>
          <w:bCs/>
          <w:sz w:val="24"/>
          <w:szCs w:val="24"/>
          <w:lang w:val="en-GB"/>
        </w:rPr>
        <w:tab/>
      </w:r>
      <w:r w:rsidR="00E62505" w:rsidRPr="00387E57">
        <w:rPr>
          <w:rFonts w:ascii="Arial" w:eastAsia="Times New Roman" w:hAnsi="Arial" w:cs="Arial"/>
          <w:bCs/>
          <w:sz w:val="24"/>
          <w:szCs w:val="24"/>
          <w:lang w:val="en-GB"/>
        </w:rPr>
        <w:t>T</w:t>
      </w:r>
      <w:r w:rsidRPr="00387E57">
        <w:rPr>
          <w:rFonts w:ascii="Arial" w:eastAsia="Times New Roman" w:hAnsi="Arial" w:cs="Arial"/>
          <w:bCs/>
          <w:sz w:val="24"/>
          <w:szCs w:val="24"/>
          <w:lang w:val="en-GB"/>
        </w:rPr>
        <w:t>he</w:t>
      </w:r>
      <w:r w:rsidRPr="00774A33">
        <w:rPr>
          <w:rFonts w:ascii="Arial" w:eastAsia="Times New Roman" w:hAnsi="Arial" w:cs="Arial"/>
          <w:bCs/>
          <w:sz w:val="24"/>
          <w:szCs w:val="24"/>
          <w:lang w:val="en-GB"/>
        </w:rPr>
        <w:t xml:space="preserve"> circumstances of this case largely match those in </w:t>
      </w:r>
      <w:r w:rsidR="001507CB" w:rsidRPr="00774A33">
        <w:rPr>
          <w:rFonts w:ascii="Arial" w:eastAsia="Times New Roman" w:hAnsi="Arial" w:cs="Arial"/>
          <w:bCs/>
          <w:i/>
          <w:iCs/>
          <w:sz w:val="24"/>
          <w:szCs w:val="24"/>
        </w:rPr>
        <w:t>Klaase and Another v Van der Merwe NO and Others (Klaase)</w:t>
      </w:r>
      <w:r w:rsidR="001507CB" w:rsidRPr="00774A33">
        <w:rPr>
          <w:rFonts w:ascii="Arial" w:eastAsia="Times New Roman" w:hAnsi="Arial" w:cs="Arial"/>
          <w:bCs/>
          <w:sz w:val="24"/>
          <w:szCs w:val="24"/>
          <w:lang w:val="en-GB"/>
        </w:rPr>
        <w:t>,</w:t>
      </w:r>
      <w:r w:rsidR="001507CB" w:rsidRPr="00774A33">
        <w:rPr>
          <w:rFonts w:ascii="Arial" w:eastAsia="Times New Roman" w:hAnsi="Arial" w:cs="Arial"/>
          <w:bCs/>
          <w:sz w:val="24"/>
          <w:szCs w:val="24"/>
          <w:vertAlign w:val="superscript"/>
          <w:lang w:val="en-GB"/>
        </w:rPr>
        <w:footnoteReference w:id="16"/>
      </w:r>
      <w:r w:rsidR="001507CB" w:rsidRPr="00774A33">
        <w:rPr>
          <w:rFonts w:ascii="Arial" w:eastAsia="Times New Roman" w:hAnsi="Arial" w:cs="Arial"/>
          <w:bCs/>
          <w:sz w:val="24"/>
          <w:szCs w:val="24"/>
          <w:lang w:val="en-GB"/>
        </w:rPr>
        <w:t xml:space="preserve"> </w:t>
      </w:r>
      <w:r w:rsidR="001507CB">
        <w:rPr>
          <w:rFonts w:ascii="Arial" w:eastAsia="Times New Roman" w:hAnsi="Arial" w:cs="Arial"/>
          <w:bCs/>
          <w:sz w:val="24"/>
          <w:szCs w:val="24"/>
          <w:lang w:val="en-GB"/>
        </w:rPr>
        <w:t>whe</w:t>
      </w:r>
      <w:r w:rsidRPr="00774A33">
        <w:rPr>
          <w:rFonts w:ascii="Arial" w:eastAsia="Times New Roman" w:hAnsi="Arial" w:cs="Arial"/>
          <w:bCs/>
          <w:sz w:val="24"/>
          <w:szCs w:val="24"/>
          <w:lang w:val="en-GB"/>
        </w:rPr>
        <w:t xml:space="preserve">re the Constitutional Court found that the relationship between the property owners and the occupiers had broken down to such an extent that it could not be salvaged. Notably, the averment that the relationship had irretrievably broken down was not disputed. The fact that the relationship cannot be restored is a major </w:t>
      </w:r>
      <w:r w:rsidRPr="00774A33">
        <w:rPr>
          <w:rFonts w:ascii="Arial" w:eastAsia="Times New Roman" w:hAnsi="Arial" w:cs="Arial"/>
          <w:bCs/>
          <w:sz w:val="24"/>
          <w:szCs w:val="24"/>
          <w:lang w:val="en-GB"/>
        </w:rPr>
        <w:lastRenderedPageBreak/>
        <w:t xml:space="preserve">consideration in respect of those occupiers whose occupation of the farm commenced before 1997. </w:t>
      </w:r>
    </w:p>
    <w:p w14:paraId="571CAE12" w14:textId="77777777"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024EC8AD" w14:textId="03C2F948" w:rsidR="00774A33" w:rsidRPr="00774A33" w:rsidRDefault="00774A33" w:rsidP="009D3B68">
      <w:pPr>
        <w:tabs>
          <w:tab w:val="left" w:pos="-1440"/>
        </w:tabs>
        <w:spacing w:after="0" w:line="360" w:lineRule="auto"/>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w:t>
      </w:r>
      <w:r w:rsidR="009E6FC0">
        <w:rPr>
          <w:rFonts w:ascii="Arial" w:eastAsia="Times New Roman" w:hAnsi="Arial" w:cs="Arial"/>
          <w:bCs/>
          <w:sz w:val="24"/>
          <w:szCs w:val="24"/>
          <w:lang w:val="en-GB"/>
        </w:rPr>
        <w:t>4</w:t>
      </w:r>
      <w:r w:rsidR="00D03AC3">
        <w:rPr>
          <w:rFonts w:ascii="Arial" w:eastAsia="Times New Roman" w:hAnsi="Arial" w:cs="Arial"/>
          <w:bCs/>
          <w:sz w:val="24"/>
          <w:szCs w:val="24"/>
          <w:lang w:val="en-GB"/>
        </w:rPr>
        <w:t>3</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t xml:space="preserve">As alluded to, earlier, the </w:t>
      </w:r>
      <w:r w:rsidR="00CE0B83">
        <w:rPr>
          <w:rFonts w:ascii="Arial" w:eastAsia="Times New Roman" w:hAnsi="Arial" w:cs="Arial"/>
          <w:bCs/>
          <w:sz w:val="24"/>
          <w:szCs w:val="24"/>
          <w:lang w:val="en-GB"/>
        </w:rPr>
        <w:t>11</w:t>
      </w:r>
      <w:r w:rsidR="00CE0B83" w:rsidRPr="00CE0B83">
        <w:rPr>
          <w:rFonts w:ascii="Arial" w:eastAsia="Times New Roman" w:hAnsi="Arial" w:cs="Arial"/>
          <w:bCs/>
          <w:sz w:val="24"/>
          <w:szCs w:val="24"/>
          <w:vertAlign w:val="superscript"/>
          <w:lang w:val="en-GB"/>
        </w:rPr>
        <w:t>th</w:t>
      </w:r>
      <w:r w:rsidR="00CE0B83">
        <w:rPr>
          <w:rFonts w:ascii="Arial" w:eastAsia="Times New Roman" w:hAnsi="Arial" w:cs="Arial"/>
          <w:bCs/>
          <w:sz w:val="24"/>
          <w:szCs w:val="24"/>
          <w:lang w:val="en-GB"/>
        </w:rPr>
        <w:t>, 12</w:t>
      </w:r>
      <w:r w:rsidR="00CE0B83" w:rsidRPr="00CE0B83">
        <w:rPr>
          <w:rFonts w:ascii="Arial" w:eastAsia="Times New Roman" w:hAnsi="Arial" w:cs="Arial"/>
          <w:bCs/>
          <w:sz w:val="24"/>
          <w:szCs w:val="24"/>
          <w:vertAlign w:val="superscript"/>
          <w:lang w:val="en-GB"/>
        </w:rPr>
        <w:t>th</w:t>
      </w:r>
      <w:r w:rsidR="00CE0B83">
        <w:rPr>
          <w:rFonts w:ascii="Arial" w:eastAsia="Times New Roman" w:hAnsi="Arial" w:cs="Arial"/>
          <w:bCs/>
          <w:sz w:val="24"/>
          <w:szCs w:val="24"/>
          <w:lang w:val="en-GB"/>
        </w:rPr>
        <w:t xml:space="preserve"> and 21</w:t>
      </w:r>
      <w:r w:rsidR="00CE0B83" w:rsidRPr="00CE0B83">
        <w:rPr>
          <w:rFonts w:ascii="Arial" w:eastAsia="Times New Roman" w:hAnsi="Arial" w:cs="Arial"/>
          <w:bCs/>
          <w:sz w:val="24"/>
          <w:szCs w:val="24"/>
          <w:vertAlign w:val="superscript"/>
          <w:lang w:val="en-GB"/>
        </w:rPr>
        <w:t>st</w:t>
      </w:r>
      <w:r w:rsidR="00CE0B83">
        <w:rPr>
          <w:rFonts w:ascii="Arial" w:eastAsia="Times New Roman" w:hAnsi="Arial" w:cs="Arial"/>
          <w:bCs/>
          <w:sz w:val="24"/>
          <w:szCs w:val="24"/>
          <w:lang w:val="en-GB"/>
        </w:rPr>
        <w:t xml:space="preserve"> </w:t>
      </w:r>
      <w:r w:rsidRPr="00774A33">
        <w:rPr>
          <w:rFonts w:ascii="Arial" w:eastAsia="Times New Roman" w:hAnsi="Arial" w:cs="Arial"/>
          <w:bCs/>
          <w:sz w:val="24"/>
          <w:szCs w:val="24"/>
          <w:lang w:val="en-GB"/>
        </w:rPr>
        <w:t xml:space="preserve">respondents were, at the time of the hearing of the application in the LCC, occupiers as contemplated in s 8(4) of ESTA as they had lived on the farm for more than ten years and had reached the age of 60 years. In terms of that provision, their residence could only be terminated if they had committed a breach contemplated in </w:t>
      </w:r>
      <w:r w:rsidRPr="00137E1B">
        <w:rPr>
          <w:rFonts w:ascii="Arial" w:eastAsia="Times New Roman" w:hAnsi="Arial" w:cs="Arial"/>
          <w:bCs/>
          <w:sz w:val="24"/>
          <w:szCs w:val="24"/>
          <w:lang w:val="en-GB"/>
        </w:rPr>
        <w:t>s</w:t>
      </w:r>
      <w:r w:rsidRPr="00774A33">
        <w:rPr>
          <w:rFonts w:ascii="Arial" w:eastAsia="Times New Roman" w:hAnsi="Arial" w:cs="Arial"/>
          <w:bCs/>
          <w:sz w:val="24"/>
          <w:szCs w:val="24"/>
          <w:lang w:val="en-GB"/>
        </w:rPr>
        <w:t xml:space="preserve"> 10(1)</w:t>
      </w:r>
      <w:r w:rsidRPr="00774A33">
        <w:rPr>
          <w:rFonts w:ascii="Arial" w:eastAsia="Times New Roman" w:hAnsi="Arial" w:cs="Arial"/>
          <w:bCs/>
          <w:i/>
          <w:iCs/>
          <w:sz w:val="24"/>
          <w:szCs w:val="24"/>
          <w:lang w:val="en-GB"/>
        </w:rPr>
        <w:t>(a)</w:t>
      </w:r>
      <w:r w:rsidRPr="00774A33">
        <w:rPr>
          <w:rFonts w:ascii="Arial" w:eastAsia="Times New Roman" w:hAnsi="Arial" w:cs="Arial"/>
          <w:bCs/>
          <w:sz w:val="24"/>
          <w:szCs w:val="24"/>
          <w:lang w:val="en-GB"/>
        </w:rPr>
        <w:t xml:space="preserve">, </w:t>
      </w:r>
      <w:r w:rsidRPr="00774A33">
        <w:rPr>
          <w:rFonts w:ascii="Arial" w:eastAsia="Times New Roman" w:hAnsi="Arial" w:cs="Arial"/>
          <w:bCs/>
          <w:i/>
          <w:iCs/>
          <w:sz w:val="24"/>
          <w:szCs w:val="24"/>
          <w:lang w:val="en-GB"/>
        </w:rPr>
        <w:t>(b)</w:t>
      </w:r>
      <w:r w:rsidRPr="00774A33">
        <w:rPr>
          <w:rFonts w:ascii="Arial" w:eastAsia="Times New Roman" w:hAnsi="Arial" w:cs="Arial"/>
          <w:bCs/>
          <w:sz w:val="24"/>
          <w:szCs w:val="24"/>
          <w:lang w:val="en-GB"/>
        </w:rPr>
        <w:t xml:space="preserve"> or </w:t>
      </w:r>
      <w:r w:rsidRPr="00774A33">
        <w:rPr>
          <w:rFonts w:ascii="Arial" w:eastAsia="Times New Roman" w:hAnsi="Arial" w:cs="Arial"/>
          <w:bCs/>
          <w:i/>
          <w:iCs/>
          <w:sz w:val="24"/>
          <w:szCs w:val="24"/>
          <w:lang w:val="en-GB"/>
        </w:rPr>
        <w:t>(c)</w:t>
      </w:r>
      <w:r w:rsidRPr="00774A33">
        <w:rPr>
          <w:rFonts w:ascii="Arial" w:eastAsia="Times New Roman" w:hAnsi="Arial" w:cs="Arial"/>
          <w:bCs/>
          <w:sz w:val="24"/>
          <w:szCs w:val="24"/>
          <w:lang w:val="en-GB"/>
        </w:rPr>
        <w:t xml:space="preserve"> of ESTA, the rider being that their mere failure or refusal to provide labour could not be regarded as a breach. As mentioned earlier, the Trust’s case was premised on s 10(1)</w:t>
      </w:r>
      <w:r w:rsidRPr="00774A33">
        <w:rPr>
          <w:rFonts w:ascii="Arial" w:eastAsia="Times New Roman" w:hAnsi="Arial" w:cs="Arial"/>
          <w:bCs/>
          <w:i/>
          <w:iCs/>
          <w:sz w:val="24"/>
          <w:szCs w:val="24"/>
          <w:lang w:val="en-GB"/>
        </w:rPr>
        <w:t>(c)</w:t>
      </w:r>
      <w:r w:rsidRPr="00774A33">
        <w:rPr>
          <w:rFonts w:ascii="Arial" w:eastAsia="Times New Roman" w:hAnsi="Arial" w:cs="Arial"/>
          <w:bCs/>
          <w:sz w:val="24"/>
          <w:szCs w:val="24"/>
          <w:lang w:val="en-GB"/>
        </w:rPr>
        <w:t>.</w:t>
      </w:r>
    </w:p>
    <w:p w14:paraId="23754A0C" w14:textId="77777777"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5EF3C103" w14:textId="55928E30" w:rsidR="005A01DD" w:rsidRDefault="00774A33" w:rsidP="009D3B68">
      <w:pPr>
        <w:tabs>
          <w:tab w:val="left" w:pos="-1440"/>
        </w:tabs>
        <w:spacing w:after="0" w:line="360" w:lineRule="auto"/>
        <w:jc w:val="both"/>
        <w:rPr>
          <w:rFonts w:ascii="Arial" w:eastAsia="Times New Roman" w:hAnsi="Arial" w:cs="Arial"/>
          <w:bCs/>
          <w:iCs/>
          <w:sz w:val="24"/>
          <w:szCs w:val="24"/>
          <w:lang w:val="en-GB"/>
        </w:rPr>
      </w:pPr>
      <w:r w:rsidRPr="00774A33">
        <w:rPr>
          <w:rFonts w:ascii="Arial" w:eastAsia="Times New Roman" w:hAnsi="Arial" w:cs="Arial"/>
          <w:bCs/>
          <w:sz w:val="24"/>
          <w:szCs w:val="24"/>
          <w:lang w:val="en-GB"/>
        </w:rPr>
        <w:t>[</w:t>
      </w:r>
      <w:r w:rsidR="009E6FC0">
        <w:rPr>
          <w:rFonts w:ascii="Arial" w:eastAsia="Times New Roman" w:hAnsi="Arial" w:cs="Arial"/>
          <w:bCs/>
          <w:sz w:val="24"/>
          <w:szCs w:val="24"/>
          <w:lang w:val="en-GB"/>
        </w:rPr>
        <w:t>4</w:t>
      </w:r>
      <w:r w:rsidR="00D03AC3">
        <w:rPr>
          <w:rFonts w:ascii="Arial" w:eastAsia="Times New Roman" w:hAnsi="Arial" w:cs="Arial"/>
          <w:bCs/>
          <w:sz w:val="24"/>
          <w:szCs w:val="24"/>
          <w:lang w:val="en-GB"/>
        </w:rPr>
        <w:t>4</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t xml:space="preserve"> In </w:t>
      </w:r>
      <w:r w:rsidR="001507CB">
        <w:rPr>
          <w:rFonts w:ascii="Arial" w:eastAsia="Times New Roman" w:hAnsi="Arial" w:cs="Arial"/>
          <w:bCs/>
          <w:i/>
          <w:iCs/>
          <w:sz w:val="24"/>
          <w:szCs w:val="24"/>
          <w:lang w:val="en-GB"/>
        </w:rPr>
        <w:t>Klaase</w:t>
      </w:r>
      <w:r w:rsidR="001441BC" w:rsidRPr="001441BC">
        <w:rPr>
          <w:rFonts w:ascii="Arial" w:eastAsia="Times New Roman" w:hAnsi="Arial" w:cs="Arial"/>
          <w:bCs/>
          <w:sz w:val="24"/>
          <w:szCs w:val="24"/>
          <w:lang w:val="en-GB"/>
        </w:rPr>
        <w:t>,</w:t>
      </w:r>
      <w:r w:rsidR="001507CB" w:rsidRPr="001441BC">
        <w:rPr>
          <w:rStyle w:val="FootnoteReference"/>
          <w:rFonts w:ascii="Arial" w:eastAsia="Times New Roman" w:hAnsi="Arial"/>
          <w:bCs/>
          <w:sz w:val="24"/>
          <w:szCs w:val="24"/>
          <w:lang w:val="en-GB"/>
        </w:rPr>
        <w:footnoteReference w:id="17"/>
      </w:r>
      <w:r w:rsidR="001507CB">
        <w:rPr>
          <w:rFonts w:ascii="Arial" w:eastAsia="Times New Roman" w:hAnsi="Arial" w:cs="Arial"/>
          <w:bCs/>
          <w:i/>
          <w:iCs/>
          <w:sz w:val="24"/>
          <w:szCs w:val="24"/>
          <w:lang w:val="en-GB"/>
        </w:rPr>
        <w:t xml:space="preserve"> </w:t>
      </w:r>
      <w:r w:rsidRPr="00774A33">
        <w:rPr>
          <w:rFonts w:ascii="Arial" w:eastAsia="Times New Roman" w:hAnsi="Arial" w:cs="Arial"/>
          <w:bCs/>
          <w:sz w:val="24"/>
          <w:szCs w:val="24"/>
          <w:lang w:val="en-GB"/>
        </w:rPr>
        <w:t>t</w:t>
      </w:r>
      <w:r w:rsidRPr="00774A33">
        <w:rPr>
          <w:rFonts w:ascii="Arial" w:eastAsia="Times New Roman" w:hAnsi="Arial" w:cs="Arial"/>
          <w:bCs/>
          <w:sz w:val="24"/>
          <w:szCs w:val="24"/>
          <w:lang w:val="en-US"/>
        </w:rPr>
        <w:t>he Constitutional Court held that absconding from work and absenteeism; a history of inappropriate conduct; failure to attend a disciplinary hearing; failure to vacate premises as agreed; and continuing to live on the premises rent-free while being gainfully employed elsewhere, constitutes a fundamental breach for purposes of s 10(1)</w:t>
      </w:r>
      <w:r w:rsidRPr="00774A33">
        <w:rPr>
          <w:rFonts w:ascii="Arial" w:eastAsia="Times New Roman" w:hAnsi="Arial" w:cs="Arial"/>
          <w:bCs/>
          <w:i/>
          <w:iCs/>
          <w:sz w:val="24"/>
          <w:szCs w:val="24"/>
          <w:lang w:val="en-US"/>
        </w:rPr>
        <w:t>(c)</w:t>
      </w:r>
      <w:r w:rsidRPr="00774A33">
        <w:rPr>
          <w:rFonts w:ascii="Arial" w:eastAsia="Times New Roman" w:hAnsi="Arial" w:cs="Arial"/>
          <w:bCs/>
          <w:sz w:val="24"/>
          <w:szCs w:val="24"/>
          <w:lang w:val="en-US"/>
        </w:rPr>
        <w:t xml:space="preserve"> of ESTA. </w:t>
      </w:r>
    </w:p>
    <w:p w14:paraId="6B93F0F7" w14:textId="77777777" w:rsidR="005A01DD" w:rsidRDefault="005A01DD" w:rsidP="00774A33">
      <w:pPr>
        <w:tabs>
          <w:tab w:val="left" w:pos="-1440"/>
        </w:tabs>
        <w:spacing w:after="0" w:line="360" w:lineRule="auto"/>
        <w:ind w:right="26"/>
        <w:jc w:val="both"/>
        <w:rPr>
          <w:rFonts w:ascii="Arial" w:eastAsia="Times New Roman" w:hAnsi="Arial" w:cs="Arial"/>
          <w:bCs/>
          <w:iCs/>
          <w:sz w:val="24"/>
          <w:szCs w:val="24"/>
          <w:lang w:val="en-GB"/>
        </w:rPr>
      </w:pPr>
    </w:p>
    <w:p w14:paraId="07D4B374" w14:textId="62535AC3" w:rsidR="00F921C7" w:rsidRDefault="005A01DD" w:rsidP="009D3B68">
      <w:pPr>
        <w:tabs>
          <w:tab w:val="left" w:pos="-1440"/>
        </w:tabs>
        <w:spacing w:after="0" w:line="360" w:lineRule="auto"/>
        <w:jc w:val="both"/>
        <w:rPr>
          <w:rFonts w:ascii="Arial" w:eastAsia="Times New Roman" w:hAnsi="Arial" w:cs="Arial"/>
          <w:bCs/>
          <w:sz w:val="24"/>
          <w:szCs w:val="24"/>
          <w:lang w:val="en-GB"/>
        </w:rPr>
      </w:pPr>
      <w:r>
        <w:rPr>
          <w:rFonts w:ascii="Arial" w:eastAsia="Times New Roman" w:hAnsi="Arial" w:cs="Arial"/>
          <w:bCs/>
          <w:iCs/>
          <w:sz w:val="24"/>
          <w:szCs w:val="24"/>
          <w:lang w:val="en-GB"/>
        </w:rPr>
        <w:t>[</w:t>
      </w:r>
      <w:r w:rsidR="009E6FC0">
        <w:rPr>
          <w:rFonts w:ascii="Arial" w:eastAsia="Times New Roman" w:hAnsi="Arial" w:cs="Arial"/>
          <w:bCs/>
          <w:iCs/>
          <w:sz w:val="24"/>
          <w:szCs w:val="24"/>
          <w:lang w:val="en-GB"/>
        </w:rPr>
        <w:t>4</w:t>
      </w:r>
      <w:r w:rsidR="00D03AC3">
        <w:rPr>
          <w:rFonts w:ascii="Arial" w:eastAsia="Times New Roman" w:hAnsi="Arial" w:cs="Arial"/>
          <w:bCs/>
          <w:iCs/>
          <w:sz w:val="24"/>
          <w:szCs w:val="24"/>
          <w:lang w:val="en-GB"/>
        </w:rPr>
        <w:t>5</w:t>
      </w:r>
      <w:r>
        <w:rPr>
          <w:rFonts w:ascii="Arial" w:eastAsia="Times New Roman" w:hAnsi="Arial" w:cs="Arial"/>
          <w:bCs/>
          <w:iCs/>
          <w:sz w:val="24"/>
          <w:szCs w:val="24"/>
          <w:lang w:val="en-GB"/>
        </w:rPr>
        <w:t>]</w:t>
      </w:r>
      <w:r>
        <w:rPr>
          <w:rFonts w:ascii="Arial" w:eastAsia="Times New Roman" w:hAnsi="Arial" w:cs="Arial"/>
          <w:bCs/>
          <w:iCs/>
          <w:sz w:val="24"/>
          <w:szCs w:val="24"/>
          <w:lang w:val="en-GB"/>
        </w:rPr>
        <w:tab/>
        <w:t>As mentioned before, th</w:t>
      </w:r>
      <w:r w:rsidR="00774A33" w:rsidRPr="00774A33">
        <w:rPr>
          <w:rFonts w:ascii="Arial" w:eastAsia="Times New Roman" w:hAnsi="Arial" w:cs="Arial"/>
          <w:bCs/>
          <w:sz w:val="24"/>
          <w:szCs w:val="24"/>
          <w:lang w:val="en-GB"/>
        </w:rPr>
        <w:t xml:space="preserve">e </w:t>
      </w:r>
      <w:r w:rsidR="002C286B">
        <w:rPr>
          <w:rFonts w:ascii="Arial" w:eastAsia="Times New Roman" w:hAnsi="Arial" w:cs="Arial"/>
          <w:bCs/>
          <w:sz w:val="24"/>
          <w:szCs w:val="24"/>
          <w:lang w:val="en-GB"/>
        </w:rPr>
        <w:t>11</w:t>
      </w:r>
      <w:r w:rsidR="002C286B" w:rsidRPr="002C286B">
        <w:rPr>
          <w:rFonts w:ascii="Arial" w:eastAsia="Times New Roman" w:hAnsi="Arial" w:cs="Arial"/>
          <w:bCs/>
          <w:sz w:val="24"/>
          <w:szCs w:val="24"/>
          <w:vertAlign w:val="superscript"/>
          <w:lang w:val="en-GB"/>
        </w:rPr>
        <w:t>th</w:t>
      </w:r>
      <w:r w:rsidR="002C286B">
        <w:rPr>
          <w:rFonts w:ascii="Arial" w:eastAsia="Times New Roman" w:hAnsi="Arial" w:cs="Arial"/>
          <w:bCs/>
          <w:sz w:val="24"/>
          <w:szCs w:val="24"/>
          <w:lang w:val="en-GB"/>
        </w:rPr>
        <w:t xml:space="preserve"> and 12</w:t>
      </w:r>
      <w:r w:rsidR="002C286B" w:rsidRPr="002C286B">
        <w:rPr>
          <w:rFonts w:ascii="Arial" w:eastAsia="Times New Roman" w:hAnsi="Arial" w:cs="Arial"/>
          <w:bCs/>
          <w:sz w:val="24"/>
          <w:szCs w:val="24"/>
          <w:vertAlign w:val="superscript"/>
          <w:lang w:val="en-GB"/>
        </w:rPr>
        <w:t>th</w:t>
      </w:r>
      <w:r w:rsidR="002C286B">
        <w:rPr>
          <w:rFonts w:ascii="Arial" w:eastAsia="Times New Roman" w:hAnsi="Arial" w:cs="Arial"/>
          <w:bCs/>
          <w:sz w:val="24"/>
          <w:szCs w:val="24"/>
          <w:lang w:val="en-GB"/>
        </w:rPr>
        <w:t xml:space="preserve"> </w:t>
      </w:r>
      <w:r w:rsidR="00774A33" w:rsidRPr="00774A33">
        <w:rPr>
          <w:rFonts w:ascii="Arial" w:eastAsia="Times New Roman" w:hAnsi="Arial" w:cs="Arial"/>
          <w:bCs/>
          <w:sz w:val="24"/>
          <w:szCs w:val="24"/>
          <w:lang w:val="en-GB"/>
        </w:rPr>
        <w:t xml:space="preserve">respondents passed on before the hearing of the appeal. This means that the </w:t>
      </w:r>
      <w:r w:rsidR="00580018">
        <w:rPr>
          <w:rFonts w:ascii="Arial" w:eastAsia="Times New Roman" w:hAnsi="Arial" w:cs="Arial"/>
          <w:bCs/>
          <w:sz w:val="24"/>
          <w:szCs w:val="24"/>
          <w:lang w:val="en-GB"/>
        </w:rPr>
        <w:t>21</w:t>
      </w:r>
      <w:r w:rsidR="00580018" w:rsidRPr="00580018">
        <w:rPr>
          <w:rFonts w:ascii="Arial" w:eastAsia="Times New Roman" w:hAnsi="Arial" w:cs="Arial"/>
          <w:bCs/>
          <w:sz w:val="24"/>
          <w:szCs w:val="24"/>
          <w:vertAlign w:val="superscript"/>
          <w:lang w:val="en-GB"/>
        </w:rPr>
        <w:t>st</w:t>
      </w:r>
      <w:r w:rsidR="00580018">
        <w:rPr>
          <w:rFonts w:ascii="Arial" w:eastAsia="Times New Roman" w:hAnsi="Arial" w:cs="Arial"/>
          <w:bCs/>
          <w:sz w:val="24"/>
          <w:szCs w:val="24"/>
          <w:lang w:val="en-GB"/>
        </w:rPr>
        <w:t xml:space="preserve"> </w:t>
      </w:r>
      <w:r w:rsidR="00774A33" w:rsidRPr="00774A33">
        <w:rPr>
          <w:rFonts w:ascii="Arial" w:eastAsia="Times New Roman" w:hAnsi="Arial" w:cs="Arial"/>
          <w:bCs/>
          <w:sz w:val="24"/>
          <w:szCs w:val="24"/>
          <w:lang w:val="en-GB"/>
        </w:rPr>
        <w:t>respondent</w:t>
      </w:r>
      <w:r w:rsidR="00E93832">
        <w:rPr>
          <w:rFonts w:ascii="Arial" w:eastAsia="Times New Roman" w:hAnsi="Arial" w:cs="Arial"/>
          <w:bCs/>
          <w:sz w:val="24"/>
          <w:szCs w:val="24"/>
          <w:lang w:val="en-GB"/>
        </w:rPr>
        <w:t>, who is 6</w:t>
      </w:r>
      <w:r w:rsidR="00C94371">
        <w:rPr>
          <w:rFonts w:ascii="Arial" w:eastAsia="Times New Roman" w:hAnsi="Arial" w:cs="Arial"/>
          <w:bCs/>
          <w:sz w:val="24"/>
          <w:szCs w:val="24"/>
          <w:lang w:val="en-GB"/>
        </w:rPr>
        <w:t>3</w:t>
      </w:r>
      <w:r w:rsidR="00E93832">
        <w:rPr>
          <w:rFonts w:ascii="Arial" w:eastAsia="Times New Roman" w:hAnsi="Arial" w:cs="Arial"/>
          <w:bCs/>
          <w:sz w:val="24"/>
          <w:szCs w:val="24"/>
          <w:lang w:val="en-GB"/>
        </w:rPr>
        <w:t xml:space="preserve"> years old,</w:t>
      </w:r>
      <w:r w:rsidR="00774A33" w:rsidRPr="00774A33">
        <w:rPr>
          <w:rFonts w:ascii="Arial" w:eastAsia="Times New Roman" w:hAnsi="Arial" w:cs="Arial"/>
          <w:bCs/>
          <w:sz w:val="24"/>
          <w:szCs w:val="24"/>
          <w:lang w:val="en-GB"/>
        </w:rPr>
        <w:t xml:space="preserve"> is the only respondent who is on a different footing than the rest of the respondents</w:t>
      </w:r>
      <w:r w:rsidR="00257706">
        <w:rPr>
          <w:rFonts w:ascii="Arial" w:eastAsia="Times New Roman" w:hAnsi="Arial" w:cs="Arial"/>
          <w:bCs/>
          <w:sz w:val="24"/>
          <w:szCs w:val="24"/>
          <w:lang w:val="en-GB"/>
        </w:rPr>
        <w:t xml:space="preserve"> and can, as such, only be </w:t>
      </w:r>
      <w:r w:rsidR="00774A33" w:rsidRPr="00774A33">
        <w:rPr>
          <w:rFonts w:ascii="Arial" w:eastAsia="Times New Roman" w:hAnsi="Arial" w:cs="Arial"/>
          <w:bCs/>
          <w:sz w:val="24"/>
          <w:szCs w:val="24"/>
          <w:lang w:val="en-GB"/>
        </w:rPr>
        <w:t xml:space="preserve">evicted if </w:t>
      </w:r>
      <w:r w:rsidR="00AD2527" w:rsidRPr="009E6FC0">
        <w:rPr>
          <w:rFonts w:ascii="Arial" w:eastAsia="Times New Roman" w:hAnsi="Arial" w:cs="Arial"/>
          <w:bCs/>
          <w:sz w:val="24"/>
          <w:szCs w:val="24"/>
          <w:lang w:val="en-GB"/>
        </w:rPr>
        <w:t>s</w:t>
      </w:r>
      <w:r w:rsidR="00774A33" w:rsidRPr="00774A33">
        <w:rPr>
          <w:rFonts w:ascii="Arial" w:eastAsia="Times New Roman" w:hAnsi="Arial" w:cs="Arial"/>
          <w:bCs/>
          <w:sz w:val="24"/>
          <w:szCs w:val="24"/>
          <w:lang w:val="en-GB"/>
        </w:rPr>
        <w:t>he is shown to have committed a fundamental breach envisaged in s 10(1)</w:t>
      </w:r>
      <w:r w:rsidR="00774A33" w:rsidRPr="00774A33">
        <w:rPr>
          <w:rFonts w:ascii="Arial" w:eastAsia="Times New Roman" w:hAnsi="Arial" w:cs="Arial"/>
          <w:bCs/>
          <w:i/>
          <w:iCs/>
          <w:sz w:val="24"/>
          <w:szCs w:val="24"/>
          <w:lang w:val="en-GB"/>
        </w:rPr>
        <w:t>(c)</w:t>
      </w:r>
      <w:r w:rsidR="00774A33" w:rsidRPr="00774A33">
        <w:rPr>
          <w:rFonts w:ascii="Arial" w:eastAsia="Times New Roman" w:hAnsi="Arial" w:cs="Arial"/>
          <w:bCs/>
          <w:sz w:val="24"/>
          <w:szCs w:val="24"/>
          <w:lang w:val="en-GB"/>
        </w:rPr>
        <w:t>.</w:t>
      </w:r>
      <w:r w:rsidR="00AD2527" w:rsidRPr="009E6FC0">
        <w:rPr>
          <w:rFonts w:ascii="Arial" w:eastAsia="Times New Roman" w:hAnsi="Arial" w:cs="Arial"/>
          <w:bCs/>
          <w:sz w:val="24"/>
          <w:szCs w:val="24"/>
          <w:lang w:val="en-GB"/>
        </w:rPr>
        <w:t xml:space="preserve"> </w:t>
      </w:r>
      <w:r w:rsidR="00F921C7">
        <w:rPr>
          <w:rFonts w:ascii="Arial" w:eastAsia="Times New Roman" w:hAnsi="Arial" w:cs="Arial"/>
          <w:bCs/>
          <w:sz w:val="24"/>
          <w:szCs w:val="24"/>
          <w:lang w:val="en-GB"/>
        </w:rPr>
        <w:t>It bears emphasising that t</w:t>
      </w:r>
      <w:r w:rsidR="000D25A5">
        <w:rPr>
          <w:rFonts w:ascii="Arial" w:eastAsia="Times New Roman" w:hAnsi="Arial" w:cs="Arial"/>
          <w:bCs/>
          <w:sz w:val="24"/>
          <w:szCs w:val="24"/>
          <w:lang w:val="en-GB"/>
        </w:rPr>
        <w:t xml:space="preserve">he fact that she had not shown any interest in </w:t>
      </w:r>
      <w:r w:rsidR="00CA3661">
        <w:rPr>
          <w:rFonts w:ascii="Arial" w:eastAsia="Times New Roman" w:hAnsi="Arial" w:cs="Arial"/>
          <w:bCs/>
          <w:sz w:val="24"/>
          <w:szCs w:val="24"/>
          <w:lang w:val="en-GB"/>
        </w:rPr>
        <w:t>accepti</w:t>
      </w:r>
      <w:r w:rsidR="00C12E75">
        <w:rPr>
          <w:rFonts w:ascii="Arial" w:eastAsia="Times New Roman" w:hAnsi="Arial" w:cs="Arial"/>
          <w:bCs/>
          <w:sz w:val="24"/>
          <w:szCs w:val="24"/>
          <w:lang w:val="en-GB"/>
        </w:rPr>
        <w:t>ng reinstatement is an irrelevant consideration</w:t>
      </w:r>
      <w:r w:rsidR="00EE0855">
        <w:rPr>
          <w:rFonts w:ascii="Arial" w:eastAsia="Times New Roman" w:hAnsi="Arial" w:cs="Arial"/>
          <w:bCs/>
          <w:sz w:val="24"/>
          <w:szCs w:val="24"/>
          <w:lang w:val="en-GB"/>
        </w:rPr>
        <w:t xml:space="preserve">. </w:t>
      </w:r>
    </w:p>
    <w:p w14:paraId="1C60A8FA" w14:textId="77777777" w:rsidR="00F921C7" w:rsidRDefault="00F921C7" w:rsidP="009D3B68">
      <w:pPr>
        <w:tabs>
          <w:tab w:val="left" w:pos="-1440"/>
        </w:tabs>
        <w:spacing w:after="0" w:line="360" w:lineRule="auto"/>
        <w:jc w:val="both"/>
        <w:rPr>
          <w:rFonts w:ascii="Arial" w:eastAsia="Times New Roman" w:hAnsi="Arial" w:cs="Arial"/>
          <w:bCs/>
          <w:sz w:val="24"/>
          <w:szCs w:val="24"/>
          <w:lang w:val="en-GB"/>
        </w:rPr>
      </w:pPr>
    </w:p>
    <w:p w14:paraId="77AF2A2E" w14:textId="36A49DBC" w:rsidR="00774A33" w:rsidRPr="00774A33" w:rsidRDefault="00F921C7" w:rsidP="0072562C">
      <w:pPr>
        <w:tabs>
          <w:tab w:val="left" w:pos="-1440"/>
        </w:tabs>
        <w:spacing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[46]</w:t>
      </w:r>
      <w:r>
        <w:rPr>
          <w:rFonts w:ascii="Arial" w:eastAsia="Times New Roman" w:hAnsi="Arial" w:cs="Arial"/>
          <w:bCs/>
          <w:sz w:val="24"/>
          <w:szCs w:val="24"/>
          <w:lang w:val="en-GB"/>
        </w:rPr>
        <w:tab/>
      </w:r>
      <w:r w:rsidR="00AD2527" w:rsidRPr="009E6FC0">
        <w:rPr>
          <w:rFonts w:ascii="Arial" w:eastAsia="Times New Roman" w:hAnsi="Arial" w:cs="Arial"/>
          <w:bCs/>
          <w:sz w:val="24"/>
          <w:szCs w:val="24"/>
          <w:lang w:val="en-GB"/>
        </w:rPr>
        <w:t xml:space="preserve">According to the municipality’s report, she is healthy and ‘does not have special need’. </w:t>
      </w:r>
      <w:r w:rsidR="00774A33" w:rsidRPr="00774A33">
        <w:rPr>
          <w:rFonts w:ascii="Arial" w:eastAsia="Times New Roman" w:hAnsi="Arial" w:cs="Arial"/>
          <w:bCs/>
          <w:sz w:val="24"/>
          <w:szCs w:val="24"/>
          <w:lang w:val="en-GB"/>
        </w:rPr>
        <w:t xml:space="preserve">In this regard, I have already indicated that </w:t>
      </w:r>
      <w:r w:rsidR="008856B9" w:rsidRPr="009E6FC0">
        <w:rPr>
          <w:rFonts w:ascii="Arial" w:eastAsia="Times New Roman" w:hAnsi="Arial" w:cs="Arial"/>
          <w:bCs/>
          <w:sz w:val="24"/>
          <w:szCs w:val="24"/>
          <w:lang w:val="en-GB"/>
        </w:rPr>
        <w:t>s</w:t>
      </w:r>
      <w:r w:rsidR="00774A33" w:rsidRPr="00774A33">
        <w:rPr>
          <w:rFonts w:ascii="Arial" w:eastAsia="Times New Roman" w:hAnsi="Arial" w:cs="Arial"/>
          <w:bCs/>
          <w:sz w:val="24"/>
          <w:szCs w:val="24"/>
          <w:lang w:val="en-GB"/>
        </w:rPr>
        <w:t>he</w:t>
      </w:r>
      <w:r w:rsidR="00C132BF" w:rsidRPr="009E6FC0">
        <w:rPr>
          <w:rFonts w:ascii="Arial" w:eastAsia="Times New Roman" w:hAnsi="Arial" w:cs="Arial"/>
          <w:bCs/>
          <w:sz w:val="24"/>
          <w:szCs w:val="24"/>
          <w:lang w:val="en-GB"/>
        </w:rPr>
        <w:t xml:space="preserve"> </w:t>
      </w:r>
      <w:r w:rsidR="00774A33" w:rsidRPr="00774A33">
        <w:rPr>
          <w:rFonts w:ascii="Arial" w:eastAsia="Times New Roman" w:hAnsi="Arial" w:cs="Arial"/>
          <w:bCs/>
          <w:sz w:val="24"/>
          <w:szCs w:val="24"/>
          <w:lang w:val="en-GB"/>
        </w:rPr>
        <w:t>did not distance h</w:t>
      </w:r>
      <w:r w:rsidR="008856B9" w:rsidRPr="009E6FC0">
        <w:rPr>
          <w:rFonts w:ascii="Arial" w:eastAsia="Times New Roman" w:hAnsi="Arial" w:cs="Arial"/>
          <w:bCs/>
          <w:sz w:val="24"/>
          <w:szCs w:val="24"/>
          <w:lang w:val="en-GB"/>
        </w:rPr>
        <w:t xml:space="preserve">erself or members of her household </w:t>
      </w:r>
      <w:r w:rsidR="00774A33" w:rsidRPr="00774A33">
        <w:rPr>
          <w:rFonts w:ascii="Arial" w:eastAsia="Times New Roman" w:hAnsi="Arial" w:cs="Arial"/>
          <w:bCs/>
          <w:sz w:val="24"/>
          <w:szCs w:val="24"/>
          <w:lang w:val="en-GB"/>
        </w:rPr>
        <w:t xml:space="preserve">from </w:t>
      </w:r>
      <w:r w:rsidR="00C132BF" w:rsidRPr="009E6FC0">
        <w:rPr>
          <w:rFonts w:ascii="Arial" w:eastAsia="Times New Roman" w:hAnsi="Arial" w:cs="Arial"/>
          <w:bCs/>
          <w:sz w:val="24"/>
          <w:szCs w:val="24"/>
          <w:lang w:val="en-GB"/>
        </w:rPr>
        <w:t xml:space="preserve">any of </w:t>
      </w:r>
      <w:r w:rsidR="00774A33" w:rsidRPr="00774A33">
        <w:rPr>
          <w:rFonts w:ascii="Arial" w:eastAsia="Times New Roman" w:hAnsi="Arial" w:cs="Arial"/>
          <w:bCs/>
          <w:sz w:val="24"/>
          <w:szCs w:val="24"/>
          <w:lang w:val="en-GB"/>
        </w:rPr>
        <w:t>the</w:t>
      </w:r>
      <w:r w:rsidR="00AD7B80" w:rsidRPr="009E6FC0">
        <w:rPr>
          <w:rFonts w:ascii="Arial" w:eastAsia="Times New Roman" w:hAnsi="Arial" w:cs="Arial"/>
          <w:bCs/>
          <w:sz w:val="24"/>
          <w:szCs w:val="24"/>
          <w:lang w:val="en-GB"/>
        </w:rPr>
        <w:t xml:space="preserve"> inappropriate</w:t>
      </w:r>
      <w:r w:rsidR="00774A33" w:rsidRPr="00774A33">
        <w:rPr>
          <w:rFonts w:ascii="Arial" w:eastAsia="Times New Roman" w:hAnsi="Arial" w:cs="Arial"/>
          <w:bCs/>
          <w:sz w:val="24"/>
          <w:szCs w:val="24"/>
          <w:lang w:val="en-GB"/>
        </w:rPr>
        <w:t xml:space="preserve"> conduct complained of</w:t>
      </w:r>
      <w:r w:rsidR="00FC0A4A">
        <w:rPr>
          <w:rFonts w:ascii="Arial" w:eastAsia="Times New Roman" w:hAnsi="Arial" w:cs="Arial"/>
          <w:bCs/>
          <w:sz w:val="24"/>
          <w:szCs w:val="24"/>
          <w:lang w:val="en-GB"/>
        </w:rPr>
        <w:t xml:space="preserve"> concerning</w:t>
      </w:r>
      <w:r w:rsidR="00774A33" w:rsidRPr="00774A33">
        <w:rPr>
          <w:rFonts w:ascii="Arial" w:eastAsia="Times New Roman" w:hAnsi="Arial" w:cs="Arial"/>
          <w:bCs/>
          <w:sz w:val="24"/>
          <w:szCs w:val="24"/>
          <w:lang w:val="en-GB"/>
        </w:rPr>
        <w:t xml:space="preserve">. </w:t>
      </w:r>
      <w:r w:rsidR="008856B9" w:rsidRPr="009E6FC0">
        <w:rPr>
          <w:rFonts w:ascii="Arial" w:eastAsia="Times New Roman" w:hAnsi="Arial" w:cs="Arial"/>
          <w:bCs/>
          <w:sz w:val="24"/>
          <w:szCs w:val="24"/>
          <w:lang w:val="en-GB"/>
        </w:rPr>
        <w:t>Sh</w:t>
      </w:r>
      <w:r w:rsidR="0000035E" w:rsidRPr="009E6FC0">
        <w:rPr>
          <w:rFonts w:ascii="Arial" w:eastAsia="Times New Roman" w:hAnsi="Arial" w:cs="Arial"/>
          <w:bCs/>
          <w:iCs/>
          <w:sz w:val="24"/>
          <w:szCs w:val="24"/>
          <w:lang w:val="en-GB"/>
        </w:rPr>
        <w:t xml:space="preserve">e could </w:t>
      </w:r>
      <w:r w:rsidR="008856B9" w:rsidRPr="009E6FC0">
        <w:rPr>
          <w:rFonts w:ascii="Arial" w:eastAsia="Times New Roman" w:hAnsi="Arial" w:cs="Arial"/>
          <w:bCs/>
          <w:iCs/>
          <w:sz w:val="24"/>
          <w:szCs w:val="24"/>
          <w:lang w:val="en-GB"/>
        </w:rPr>
        <w:t>a</w:t>
      </w:r>
      <w:r w:rsidR="0000035E" w:rsidRPr="009E6FC0">
        <w:rPr>
          <w:rFonts w:ascii="Arial" w:eastAsia="Times New Roman" w:hAnsi="Arial" w:cs="Arial"/>
          <w:bCs/>
          <w:iCs/>
          <w:sz w:val="24"/>
          <w:szCs w:val="24"/>
          <w:lang w:val="en-GB"/>
        </w:rPr>
        <w:t xml:space="preserve">t least </w:t>
      </w:r>
      <w:r w:rsidR="008856B9" w:rsidRPr="009E6FC0">
        <w:rPr>
          <w:rFonts w:ascii="Arial" w:eastAsia="Times New Roman" w:hAnsi="Arial" w:cs="Arial"/>
          <w:bCs/>
          <w:iCs/>
          <w:sz w:val="24"/>
          <w:szCs w:val="24"/>
          <w:lang w:val="en-GB"/>
        </w:rPr>
        <w:t xml:space="preserve">have </w:t>
      </w:r>
      <w:r w:rsidR="0000035E" w:rsidRPr="009E6FC0">
        <w:rPr>
          <w:rFonts w:ascii="Arial" w:eastAsia="Times New Roman" w:hAnsi="Arial" w:cs="Arial"/>
          <w:bCs/>
          <w:iCs/>
          <w:sz w:val="24"/>
          <w:szCs w:val="24"/>
          <w:lang w:val="en-GB"/>
        </w:rPr>
        <w:t xml:space="preserve">attended one of the meetings to deny involvement in the conduct complained of and to reaffirm </w:t>
      </w:r>
      <w:r w:rsidR="00997793">
        <w:rPr>
          <w:rFonts w:ascii="Arial" w:eastAsia="Times New Roman" w:hAnsi="Arial" w:cs="Arial"/>
          <w:bCs/>
          <w:iCs/>
          <w:sz w:val="24"/>
          <w:szCs w:val="24"/>
          <w:lang w:val="en-GB"/>
        </w:rPr>
        <w:t xml:space="preserve">her household’s </w:t>
      </w:r>
      <w:r w:rsidR="0000035E" w:rsidRPr="009E6FC0">
        <w:rPr>
          <w:rFonts w:ascii="Arial" w:eastAsia="Times New Roman" w:hAnsi="Arial" w:cs="Arial"/>
          <w:bCs/>
          <w:iCs/>
          <w:sz w:val="24"/>
          <w:szCs w:val="24"/>
          <w:lang w:val="en-GB"/>
        </w:rPr>
        <w:t xml:space="preserve">commitment to compliance with the house rules. </w:t>
      </w:r>
      <w:r w:rsidR="00051398" w:rsidRPr="009E6FC0">
        <w:rPr>
          <w:rFonts w:ascii="Arial" w:eastAsia="Times New Roman" w:hAnsi="Arial" w:cs="Arial"/>
          <w:bCs/>
          <w:iCs/>
          <w:sz w:val="24"/>
          <w:szCs w:val="24"/>
          <w:lang w:val="en-GB"/>
        </w:rPr>
        <w:t>Sh</w:t>
      </w:r>
      <w:r w:rsidR="0000035E" w:rsidRPr="009E6FC0">
        <w:rPr>
          <w:rFonts w:ascii="Arial" w:eastAsia="Times New Roman" w:hAnsi="Arial" w:cs="Arial"/>
          <w:bCs/>
          <w:iCs/>
          <w:sz w:val="24"/>
          <w:szCs w:val="24"/>
          <w:lang w:val="en-GB"/>
        </w:rPr>
        <w:t xml:space="preserve">e did nothing </w:t>
      </w:r>
      <w:r w:rsidR="0000035E" w:rsidRPr="009E6FC0">
        <w:rPr>
          <w:rFonts w:ascii="Arial" w:eastAsia="Times New Roman" w:hAnsi="Arial" w:cs="Arial"/>
          <w:bCs/>
          <w:iCs/>
          <w:sz w:val="24"/>
          <w:szCs w:val="24"/>
          <w:lang w:val="en-GB"/>
        </w:rPr>
        <w:lastRenderedPageBreak/>
        <w:t xml:space="preserve">to </w:t>
      </w:r>
      <w:r w:rsidR="00051398" w:rsidRPr="009E6FC0">
        <w:rPr>
          <w:rFonts w:ascii="Arial" w:eastAsia="Times New Roman" w:hAnsi="Arial" w:cs="Arial"/>
          <w:bCs/>
          <w:iCs/>
          <w:sz w:val="24"/>
          <w:szCs w:val="24"/>
          <w:lang w:val="en-GB"/>
        </w:rPr>
        <w:t>indicate her</w:t>
      </w:r>
      <w:r w:rsidR="0000035E" w:rsidRPr="009E6FC0">
        <w:rPr>
          <w:rFonts w:ascii="Arial" w:eastAsia="Times New Roman" w:hAnsi="Arial" w:cs="Arial"/>
          <w:bCs/>
          <w:iCs/>
          <w:sz w:val="24"/>
          <w:szCs w:val="24"/>
          <w:lang w:val="en-GB"/>
        </w:rPr>
        <w:t xml:space="preserve"> interest in the preservation of a </w:t>
      </w:r>
      <w:r w:rsidR="00997793">
        <w:rPr>
          <w:rFonts w:ascii="Arial" w:eastAsia="Times New Roman" w:hAnsi="Arial" w:cs="Arial"/>
          <w:bCs/>
          <w:iCs/>
          <w:sz w:val="24"/>
          <w:szCs w:val="24"/>
          <w:lang w:val="en-GB"/>
        </w:rPr>
        <w:t xml:space="preserve">harmonious </w:t>
      </w:r>
      <w:r w:rsidR="0000035E" w:rsidRPr="009E6FC0">
        <w:rPr>
          <w:rFonts w:ascii="Arial" w:eastAsia="Times New Roman" w:hAnsi="Arial" w:cs="Arial"/>
          <w:bCs/>
          <w:iCs/>
          <w:sz w:val="24"/>
          <w:szCs w:val="24"/>
          <w:lang w:val="en-GB"/>
        </w:rPr>
        <w:t xml:space="preserve">social relationship with the Trust as the owner of the farm. </w:t>
      </w:r>
      <w:r w:rsidR="0072562C" w:rsidRPr="00543384">
        <w:rPr>
          <w:rFonts w:ascii="Arial" w:hAnsi="Arial" w:cs="Arial"/>
          <w:bCs/>
          <w:iCs/>
          <w:sz w:val="24"/>
          <w:szCs w:val="24"/>
          <w:lang w:val="en-US"/>
        </w:rPr>
        <w:t xml:space="preserve">On the contrary, all indications point to her having made common cause with the other respondents. </w:t>
      </w:r>
      <w:r w:rsidR="00FF55F3" w:rsidRPr="00543384">
        <w:rPr>
          <w:rFonts w:ascii="Arial" w:eastAsia="Times New Roman" w:hAnsi="Arial" w:cs="Arial"/>
          <w:bCs/>
          <w:iCs/>
          <w:sz w:val="24"/>
          <w:szCs w:val="24"/>
          <w:lang w:val="en-GB"/>
        </w:rPr>
        <w:t>Under the circumstances, t</w:t>
      </w:r>
      <w:r w:rsidR="00FF55F3" w:rsidRPr="00543384">
        <w:rPr>
          <w:rFonts w:ascii="Arial" w:eastAsia="Times New Roman" w:hAnsi="Arial" w:cs="Arial"/>
          <w:bCs/>
          <w:sz w:val="24"/>
          <w:szCs w:val="24"/>
          <w:lang w:val="en-GB"/>
        </w:rPr>
        <w:t>he protection of being a long-term occupier as</w:t>
      </w:r>
      <w:r w:rsidR="00FF55F3" w:rsidRPr="009E6FC0">
        <w:rPr>
          <w:rFonts w:ascii="Arial" w:eastAsia="Times New Roman" w:hAnsi="Arial" w:cs="Arial"/>
          <w:bCs/>
          <w:sz w:val="24"/>
          <w:szCs w:val="24"/>
          <w:lang w:val="en-GB"/>
        </w:rPr>
        <w:t xml:space="preserve"> envisaged in</w:t>
      </w:r>
      <w:r w:rsidR="00F82524">
        <w:rPr>
          <w:rFonts w:ascii="Arial" w:eastAsia="Times New Roman" w:hAnsi="Arial" w:cs="Arial"/>
          <w:bCs/>
          <w:sz w:val="24"/>
          <w:szCs w:val="24"/>
          <w:lang w:val="en-GB"/>
        </w:rPr>
        <w:t xml:space="preserve"> </w:t>
      </w:r>
      <w:r w:rsidR="00FF55F3" w:rsidRPr="009E6FC0">
        <w:rPr>
          <w:rFonts w:ascii="Arial" w:eastAsia="Times New Roman" w:hAnsi="Arial" w:cs="Arial"/>
          <w:bCs/>
          <w:sz w:val="24"/>
          <w:szCs w:val="24"/>
          <w:lang w:val="en-GB"/>
        </w:rPr>
        <w:t>s</w:t>
      </w:r>
      <w:r w:rsidR="00F82524">
        <w:rPr>
          <w:rFonts w:ascii="Arial" w:eastAsia="Times New Roman" w:hAnsi="Arial" w:cs="Arial"/>
          <w:bCs/>
          <w:sz w:val="24"/>
          <w:szCs w:val="24"/>
          <w:lang w:val="en-GB"/>
        </w:rPr>
        <w:t> </w:t>
      </w:r>
      <w:r w:rsidR="00FF55F3" w:rsidRPr="00774A33">
        <w:rPr>
          <w:rFonts w:ascii="Arial" w:eastAsia="Times New Roman" w:hAnsi="Arial" w:cs="Arial"/>
          <w:bCs/>
          <w:sz w:val="24"/>
          <w:szCs w:val="24"/>
          <w:lang w:val="en-GB"/>
        </w:rPr>
        <w:t xml:space="preserve">8(4) </w:t>
      </w:r>
      <w:r w:rsidR="00FF55F3" w:rsidRPr="009E6FC0">
        <w:rPr>
          <w:rFonts w:ascii="Arial" w:eastAsia="Times New Roman" w:hAnsi="Arial" w:cs="Arial"/>
          <w:bCs/>
          <w:sz w:val="24"/>
          <w:szCs w:val="24"/>
          <w:lang w:val="en-GB"/>
        </w:rPr>
        <w:t>cannot a</w:t>
      </w:r>
      <w:r w:rsidR="00FF55F3" w:rsidRPr="00774A33">
        <w:rPr>
          <w:rFonts w:ascii="Arial" w:eastAsia="Times New Roman" w:hAnsi="Arial" w:cs="Arial"/>
          <w:bCs/>
          <w:sz w:val="24"/>
          <w:szCs w:val="24"/>
          <w:lang w:val="en-GB"/>
        </w:rPr>
        <w:t>vail</w:t>
      </w:r>
      <w:r w:rsidR="00FF55F3" w:rsidRPr="009E6FC0">
        <w:rPr>
          <w:rFonts w:ascii="Arial" w:eastAsia="Times New Roman" w:hAnsi="Arial" w:cs="Arial"/>
          <w:bCs/>
          <w:sz w:val="24"/>
          <w:szCs w:val="24"/>
          <w:lang w:val="en-GB"/>
        </w:rPr>
        <w:t xml:space="preserve"> h</w:t>
      </w:r>
      <w:r w:rsidR="00051398" w:rsidRPr="009E6FC0">
        <w:rPr>
          <w:rFonts w:ascii="Arial" w:eastAsia="Times New Roman" w:hAnsi="Arial" w:cs="Arial"/>
          <w:bCs/>
          <w:sz w:val="24"/>
          <w:szCs w:val="24"/>
          <w:lang w:val="en-GB"/>
        </w:rPr>
        <w:t>er</w:t>
      </w:r>
      <w:r w:rsidR="00FF55F3" w:rsidRPr="00774A33">
        <w:rPr>
          <w:rFonts w:ascii="Arial" w:eastAsia="Times New Roman" w:hAnsi="Arial" w:cs="Arial"/>
          <w:bCs/>
          <w:sz w:val="24"/>
          <w:szCs w:val="24"/>
          <w:lang w:val="en-GB"/>
        </w:rPr>
        <w:t>.</w:t>
      </w:r>
      <w:r w:rsidR="00FF55F3" w:rsidRPr="009E6FC0">
        <w:rPr>
          <w:rFonts w:ascii="Arial" w:eastAsia="Times New Roman" w:hAnsi="Arial" w:cs="Arial"/>
          <w:bCs/>
          <w:sz w:val="24"/>
          <w:szCs w:val="24"/>
          <w:lang w:val="en-GB"/>
        </w:rPr>
        <w:t xml:space="preserve"> </w:t>
      </w:r>
      <w:r w:rsidR="00774A33" w:rsidRPr="00774A33">
        <w:rPr>
          <w:rFonts w:ascii="Arial" w:eastAsia="Times New Roman" w:hAnsi="Arial" w:cs="Arial"/>
          <w:bCs/>
          <w:sz w:val="24"/>
          <w:szCs w:val="24"/>
          <w:lang w:val="en-GB"/>
        </w:rPr>
        <w:t xml:space="preserve">In addition, </w:t>
      </w:r>
      <w:r w:rsidR="00051398" w:rsidRPr="009E6FC0">
        <w:rPr>
          <w:rFonts w:ascii="Arial" w:eastAsia="Times New Roman" w:hAnsi="Arial" w:cs="Arial"/>
          <w:bCs/>
          <w:sz w:val="24"/>
          <w:szCs w:val="24"/>
          <w:lang w:val="en-GB"/>
        </w:rPr>
        <w:t>s</w:t>
      </w:r>
      <w:r w:rsidR="00774A33" w:rsidRPr="00774A33">
        <w:rPr>
          <w:rFonts w:ascii="Arial" w:eastAsia="Times New Roman" w:hAnsi="Arial" w:cs="Arial"/>
          <w:bCs/>
          <w:sz w:val="24"/>
          <w:szCs w:val="24"/>
          <w:lang w:val="en-GB"/>
        </w:rPr>
        <w:t xml:space="preserve">he has not denied that the relationship between </w:t>
      </w:r>
      <w:r w:rsidR="00051398" w:rsidRPr="009E6FC0">
        <w:rPr>
          <w:rFonts w:ascii="Arial" w:eastAsia="Times New Roman" w:hAnsi="Arial" w:cs="Arial"/>
          <w:bCs/>
          <w:sz w:val="24"/>
          <w:szCs w:val="24"/>
          <w:lang w:val="en-GB"/>
        </w:rPr>
        <w:t>her</w:t>
      </w:r>
      <w:r w:rsidR="00774A33" w:rsidRPr="00774A33">
        <w:rPr>
          <w:rFonts w:ascii="Arial" w:eastAsia="Times New Roman" w:hAnsi="Arial" w:cs="Arial"/>
          <w:bCs/>
          <w:sz w:val="24"/>
          <w:szCs w:val="24"/>
          <w:lang w:val="en-GB"/>
        </w:rPr>
        <w:t xml:space="preserve"> and the Trust can no longer be salvaged on account of the </w:t>
      </w:r>
      <w:r w:rsidR="00900B8F" w:rsidRPr="009E6FC0">
        <w:rPr>
          <w:rFonts w:ascii="Arial" w:eastAsia="Times New Roman" w:hAnsi="Arial" w:cs="Arial"/>
          <w:bCs/>
          <w:sz w:val="24"/>
          <w:szCs w:val="24"/>
          <w:lang w:val="en-GB"/>
        </w:rPr>
        <w:t>serious all</w:t>
      </w:r>
      <w:r w:rsidR="00774A33" w:rsidRPr="00774A33">
        <w:rPr>
          <w:rFonts w:ascii="Arial" w:eastAsia="Times New Roman" w:hAnsi="Arial" w:cs="Arial"/>
          <w:bCs/>
          <w:sz w:val="24"/>
          <w:szCs w:val="24"/>
          <w:lang w:val="en-GB"/>
        </w:rPr>
        <w:t>egations made against all the occupiers, which fall within the ambit of s 10(1)</w:t>
      </w:r>
      <w:r w:rsidR="00774A33" w:rsidRPr="00774A33">
        <w:rPr>
          <w:rFonts w:ascii="Arial" w:eastAsia="Times New Roman" w:hAnsi="Arial" w:cs="Arial"/>
          <w:bCs/>
          <w:i/>
          <w:iCs/>
          <w:sz w:val="24"/>
          <w:szCs w:val="24"/>
          <w:lang w:val="en-GB"/>
        </w:rPr>
        <w:t>(c)</w:t>
      </w:r>
      <w:r w:rsidR="00774A33" w:rsidRPr="00774A33">
        <w:rPr>
          <w:rFonts w:ascii="Arial" w:eastAsia="Times New Roman" w:hAnsi="Arial" w:cs="Arial"/>
          <w:bCs/>
          <w:sz w:val="24"/>
          <w:szCs w:val="24"/>
          <w:lang w:val="en-GB"/>
        </w:rPr>
        <w:t xml:space="preserve">. Since the requirements of this provision, have been met, it follows </w:t>
      </w:r>
      <w:r w:rsidR="00900B8F" w:rsidRPr="009E6FC0">
        <w:rPr>
          <w:rFonts w:ascii="Arial" w:eastAsia="Times New Roman" w:hAnsi="Arial" w:cs="Arial"/>
          <w:bCs/>
          <w:sz w:val="24"/>
          <w:szCs w:val="24"/>
          <w:lang w:val="en-GB"/>
        </w:rPr>
        <w:t xml:space="preserve">that her </w:t>
      </w:r>
      <w:r w:rsidR="00774A33" w:rsidRPr="00774A33">
        <w:rPr>
          <w:rFonts w:ascii="Arial" w:eastAsia="Times New Roman" w:hAnsi="Arial" w:cs="Arial"/>
          <w:bCs/>
          <w:sz w:val="24"/>
          <w:szCs w:val="24"/>
          <w:lang w:val="en-GB"/>
        </w:rPr>
        <w:t xml:space="preserve">eviction from the farm is inevitable. </w:t>
      </w:r>
    </w:p>
    <w:p w14:paraId="15F21562" w14:textId="77777777"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3AF39ED7" w14:textId="6EEE8BF0" w:rsidR="00177FC6" w:rsidRDefault="00774A33" w:rsidP="009D3B68">
      <w:pPr>
        <w:tabs>
          <w:tab w:val="left" w:pos="-1440"/>
        </w:tabs>
        <w:spacing w:after="0" w:line="360" w:lineRule="auto"/>
        <w:jc w:val="both"/>
        <w:rPr>
          <w:rFonts w:ascii="Arial" w:eastAsia="Times New Roman" w:hAnsi="Arial" w:cs="Arial"/>
          <w:bCs/>
          <w:sz w:val="24"/>
          <w:szCs w:val="24"/>
          <w:lang w:val="en-GB"/>
        </w:rPr>
      </w:pPr>
      <w:r w:rsidRPr="00774A33">
        <w:rPr>
          <w:rFonts w:ascii="Arial" w:eastAsia="Times New Roman" w:hAnsi="Arial" w:cs="Arial"/>
          <w:bCs/>
          <w:sz w:val="24"/>
          <w:szCs w:val="24"/>
          <w:lang w:val="en-GB"/>
        </w:rPr>
        <w:t>[4</w:t>
      </w:r>
      <w:r w:rsidR="00F921C7">
        <w:rPr>
          <w:rFonts w:ascii="Arial" w:eastAsia="Times New Roman" w:hAnsi="Arial" w:cs="Arial"/>
          <w:bCs/>
          <w:sz w:val="24"/>
          <w:szCs w:val="24"/>
          <w:lang w:val="en-GB"/>
        </w:rPr>
        <w:t>7</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t>It is self-evident from the provisions of s 11(3)</w:t>
      </w:r>
      <w:r w:rsidRPr="00774A33">
        <w:rPr>
          <w:rFonts w:ascii="Arial" w:eastAsia="Times New Roman" w:hAnsi="Arial" w:cs="Arial"/>
          <w:bCs/>
          <w:i/>
          <w:iCs/>
          <w:sz w:val="24"/>
          <w:szCs w:val="24"/>
          <w:lang w:val="en-GB"/>
        </w:rPr>
        <w:t>(d)</w:t>
      </w:r>
      <w:r w:rsidRPr="00774A33">
        <w:rPr>
          <w:rFonts w:ascii="Arial" w:eastAsia="Times New Roman" w:hAnsi="Arial" w:cs="Arial"/>
          <w:bCs/>
          <w:sz w:val="24"/>
          <w:szCs w:val="24"/>
          <w:lang w:val="en-GB"/>
        </w:rPr>
        <w:t xml:space="preserve"> that in circumstances where the commission of a breach by occupiers is the reason for the proposed eviction, such breach will be a relevant consideration even in respect of those occupiers whose occupation commenced after February 1997. I have already expressed the view that a fundamental breach of the relationship </w:t>
      </w:r>
      <w:r w:rsidR="007F738F" w:rsidRPr="007F738F">
        <w:rPr>
          <w:rFonts w:ascii="Arial" w:eastAsia="Times New Roman" w:hAnsi="Arial" w:cs="Arial"/>
          <w:bCs/>
          <w:sz w:val="24"/>
          <w:szCs w:val="24"/>
          <w:lang w:val="en-GB"/>
        </w:rPr>
        <w:t xml:space="preserve">on account of inappropriate conduct </w:t>
      </w:r>
      <w:r w:rsidRPr="00774A33">
        <w:rPr>
          <w:rFonts w:ascii="Arial" w:eastAsia="Times New Roman" w:hAnsi="Arial" w:cs="Arial"/>
          <w:bCs/>
          <w:sz w:val="24"/>
          <w:szCs w:val="24"/>
          <w:lang w:val="en-GB"/>
        </w:rPr>
        <w:t>has been shown in respect of all the occupiers. The strained relationship can, even in respect of the occupiers</w:t>
      </w:r>
      <w:r w:rsidR="00BC6E4D">
        <w:rPr>
          <w:rFonts w:ascii="Arial" w:eastAsia="Times New Roman" w:hAnsi="Arial" w:cs="Arial"/>
          <w:bCs/>
          <w:sz w:val="24"/>
          <w:szCs w:val="24"/>
          <w:lang w:val="en-GB"/>
        </w:rPr>
        <w:t xml:space="preserve"> who occupied the farm after 4 February 1997 (</w:t>
      </w:r>
      <w:r w:rsidR="00090DAD">
        <w:rPr>
          <w:rFonts w:ascii="Arial" w:eastAsia="Times New Roman" w:hAnsi="Arial" w:cs="Arial"/>
          <w:bCs/>
          <w:sz w:val="24"/>
          <w:szCs w:val="24"/>
          <w:lang w:val="en-GB"/>
        </w:rPr>
        <w:t xml:space="preserve">ie </w:t>
      </w:r>
      <w:r w:rsidR="00BC6E4D">
        <w:rPr>
          <w:rFonts w:ascii="Arial" w:eastAsia="Times New Roman" w:hAnsi="Arial" w:cs="Arial"/>
          <w:bCs/>
          <w:sz w:val="24"/>
          <w:szCs w:val="24"/>
          <w:lang w:val="en-GB"/>
        </w:rPr>
        <w:t>those falling within the ambit of s 11 of ESTA)</w:t>
      </w:r>
      <w:r w:rsidRPr="00774A33">
        <w:rPr>
          <w:rFonts w:ascii="Arial" w:eastAsia="Times New Roman" w:hAnsi="Arial" w:cs="Arial"/>
          <w:bCs/>
          <w:sz w:val="24"/>
          <w:szCs w:val="24"/>
          <w:lang w:val="en-GB"/>
        </w:rPr>
        <w:t>, be described as a situation that is ‘beyond redemption’,</w:t>
      </w:r>
      <w:r w:rsidRPr="00774A33">
        <w:rPr>
          <w:rFonts w:ascii="Arial" w:eastAsia="Times New Roman" w:hAnsi="Arial" w:cs="Times New Roman"/>
          <w:bCs/>
          <w:sz w:val="24"/>
          <w:szCs w:val="24"/>
          <w:vertAlign w:val="superscript"/>
          <w:lang w:val="en-GB"/>
        </w:rPr>
        <w:footnoteReference w:id="18"/>
      </w:r>
      <w:r w:rsidRPr="00774A33">
        <w:rPr>
          <w:rFonts w:ascii="Arial" w:eastAsia="Times New Roman" w:hAnsi="Arial" w:cs="Arial"/>
          <w:bCs/>
          <w:sz w:val="24"/>
          <w:szCs w:val="24"/>
          <w:lang w:val="en-GB"/>
        </w:rPr>
        <w:t xml:space="preserve"> given various accusations and counter-accusations evident in the founding and answering affidavits. What is patently clear is that basic </w:t>
      </w:r>
      <w:r w:rsidR="009525E9" w:rsidRPr="009525E9">
        <w:rPr>
          <w:rFonts w:ascii="Arial" w:eastAsia="Times New Roman" w:hAnsi="Arial" w:cs="Arial"/>
          <w:bCs/>
          <w:sz w:val="24"/>
          <w:szCs w:val="24"/>
          <w:lang w:val="en-GB"/>
        </w:rPr>
        <w:t xml:space="preserve">house </w:t>
      </w:r>
      <w:r w:rsidRPr="00774A33">
        <w:rPr>
          <w:rFonts w:ascii="Arial" w:eastAsia="Times New Roman" w:hAnsi="Arial" w:cs="Arial"/>
          <w:bCs/>
          <w:sz w:val="24"/>
          <w:szCs w:val="24"/>
          <w:lang w:val="en-GB"/>
        </w:rPr>
        <w:t xml:space="preserve">rules relating to the respective occupiers’ conduct on the property were fragrantly disregarded. The breach of these rules, which resulted in the </w:t>
      </w:r>
      <w:r w:rsidR="009525E9" w:rsidRPr="009525E9">
        <w:rPr>
          <w:rFonts w:ascii="Arial" w:eastAsia="Times New Roman" w:hAnsi="Arial" w:cs="Arial"/>
          <w:bCs/>
          <w:sz w:val="24"/>
          <w:szCs w:val="24"/>
          <w:lang w:val="en-GB"/>
        </w:rPr>
        <w:t xml:space="preserve">financial </w:t>
      </w:r>
      <w:r w:rsidRPr="00774A33">
        <w:rPr>
          <w:rFonts w:ascii="Arial" w:eastAsia="Times New Roman" w:hAnsi="Arial" w:cs="Arial"/>
          <w:bCs/>
          <w:sz w:val="24"/>
          <w:szCs w:val="24"/>
          <w:lang w:val="en-GB"/>
        </w:rPr>
        <w:t xml:space="preserve">loss set out in the preceding paragraphs, is the </w:t>
      </w:r>
      <w:r w:rsidR="00177FC6">
        <w:rPr>
          <w:rFonts w:ascii="Arial" w:eastAsia="Times New Roman" w:hAnsi="Arial" w:cs="Arial"/>
          <w:bCs/>
          <w:sz w:val="24"/>
          <w:szCs w:val="24"/>
          <w:lang w:val="en-GB"/>
        </w:rPr>
        <w:t xml:space="preserve">main </w:t>
      </w:r>
      <w:r w:rsidRPr="00774A33">
        <w:rPr>
          <w:rFonts w:ascii="Arial" w:eastAsia="Times New Roman" w:hAnsi="Arial" w:cs="Arial"/>
          <w:bCs/>
          <w:sz w:val="24"/>
          <w:szCs w:val="24"/>
          <w:lang w:val="en-GB"/>
        </w:rPr>
        <w:t xml:space="preserve">reason why the Trust seeks an order of eviction. </w:t>
      </w:r>
    </w:p>
    <w:p w14:paraId="2896C2B5" w14:textId="77777777" w:rsidR="00E370B7" w:rsidRDefault="00E370B7" w:rsidP="00774A33">
      <w:pPr>
        <w:tabs>
          <w:tab w:val="left" w:pos="-1440"/>
        </w:tabs>
        <w:spacing w:after="0" w:line="360" w:lineRule="auto"/>
        <w:ind w:right="26"/>
        <w:jc w:val="both"/>
        <w:rPr>
          <w:rFonts w:ascii="Arial" w:eastAsia="Times New Roman" w:hAnsi="Arial" w:cs="Arial"/>
          <w:bCs/>
          <w:sz w:val="24"/>
          <w:szCs w:val="24"/>
          <w:lang w:val="en-GB"/>
        </w:rPr>
      </w:pPr>
    </w:p>
    <w:p w14:paraId="004A4D2D" w14:textId="43FEB29B" w:rsidR="001B14CF" w:rsidRDefault="00177FC6" w:rsidP="00E370B7">
      <w:pPr>
        <w:tabs>
          <w:tab w:val="left" w:pos="-1440"/>
        </w:tabs>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[4</w:t>
      </w:r>
      <w:r w:rsidR="00F921C7">
        <w:rPr>
          <w:rFonts w:ascii="Arial" w:eastAsia="Times New Roman" w:hAnsi="Arial" w:cs="Arial"/>
          <w:bCs/>
          <w:sz w:val="24"/>
          <w:szCs w:val="24"/>
          <w:lang w:val="en-GB"/>
        </w:rPr>
        <w:t>8</w:t>
      </w:r>
      <w:r>
        <w:rPr>
          <w:rFonts w:ascii="Arial" w:eastAsia="Times New Roman" w:hAnsi="Arial" w:cs="Arial"/>
          <w:bCs/>
          <w:sz w:val="24"/>
          <w:szCs w:val="24"/>
          <w:lang w:val="en-GB"/>
        </w:rPr>
        <w:t>]</w:t>
      </w:r>
      <w:r>
        <w:rPr>
          <w:rFonts w:ascii="Arial" w:eastAsia="Times New Roman" w:hAnsi="Arial" w:cs="Arial"/>
          <w:bCs/>
          <w:sz w:val="24"/>
          <w:szCs w:val="24"/>
          <w:lang w:val="en-GB"/>
        </w:rPr>
        <w:tab/>
      </w:r>
      <w:r w:rsidR="00774A33" w:rsidRPr="00543384">
        <w:rPr>
          <w:rFonts w:ascii="Arial" w:eastAsia="Times New Roman" w:hAnsi="Arial" w:cs="Arial"/>
          <w:bCs/>
          <w:sz w:val="24"/>
          <w:szCs w:val="24"/>
          <w:lang w:val="en-GB"/>
        </w:rPr>
        <w:t xml:space="preserve">The pronounced lack of mutual trust between the parties is self-evident. The Trust’s attempts </w:t>
      </w:r>
      <w:r w:rsidR="00274DB4" w:rsidRPr="00543384">
        <w:rPr>
          <w:rFonts w:ascii="Arial" w:eastAsia="Times New Roman" w:hAnsi="Arial" w:cs="Arial"/>
          <w:bCs/>
          <w:sz w:val="24"/>
          <w:szCs w:val="24"/>
          <w:lang w:val="en-GB"/>
        </w:rPr>
        <w:t xml:space="preserve">to </w:t>
      </w:r>
      <w:r w:rsidR="00774A33" w:rsidRPr="00543384">
        <w:rPr>
          <w:rFonts w:ascii="Arial" w:eastAsia="Times New Roman" w:hAnsi="Arial" w:cs="Arial"/>
          <w:bCs/>
          <w:sz w:val="24"/>
          <w:szCs w:val="24"/>
          <w:lang w:val="en-GB"/>
        </w:rPr>
        <w:t>regularis</w:t>
      </w:r>
      <w:r w:rsidR="00274DB4" w:rsidRPr="00543384">
        <w:rPr>
          <w:rFonts w:ascii="Arial" w:eastAsia="Times New Roman" w:hAnsi="Arial" w:cs="Arial"/>
          <w:bCs/>
          <w:sz w:val="24"/>
          <w:szCs w:val="24"/>
          <w:lang w:val="en-GB"/>
        </w:rPr>
        <w:t>e</w:t>
      </w:r>
      <w:r w:rsidR="00774A33" w:rsidRPr="00543384">
        <w:rPr>
          <w:rFonts w:ascii="Arial" w:eastAsia="Times New Roman" w:hAnsi="Arial" w:cs="Arial"/>
          <w:bCs/>
          <w:sz w:val="24"/>
          <w:szCs w:val="24"/>
          <w:lang w:val="en-GB"/>
        </w:rPr>
        <w:t xml:space="preserve"> the relationship have come to naught. It is undisputed that the Trust is currently unable to provide its own workforce with accommodation. In </w:t>
      </w:r>
      <w:r w:rsidR="00274DB4" w:rsidRPr="00543384">
        <w:rPr>
          <w:rFonts w:ascii="Arial" w:eastAsia="Times New Roman" w:hAnsi="Arial" w:cs="Arial"/>
          <w:bCs/>
          <w:sz w:val="24"/>
          <w:szCs w:val="24"/>
          <w:lang w:val="en-GB"/>
        </w:rPr>
        <w:t>summary</w:t>
      </w:r>
      <w:r w:rsidR="00774A33" w:rsidRPr="00543384">
        <w:rPr>
          <w:rFonts w:ascii="Arial" w:eastAsia="Times New Roman" w:hAnsi="Arial" w:cs="Arial"/>
          <w:bCs/>
          <w:sz w:val="24"/>
          <w:szCs w:val="24"/>
          <w:lang w:val="en-GB"/>
        </w:rPr>
        <w:t>, the circumstances canvassed above</w:t>
      </w:r>
      <w:r w:rsidR="00274DB4" w:rsidRPr="00543384">
        <w:rPr>
          <w:rFonts w:ascii="Arial" w:eastAsia="Times New Roman" w:hAnsi="Arial" w:cs="Arial"/>
          <w:bCs/>
          <w:sz w:val="24"/>
          <w:szCs w:val="24"/>
          <w:lang w:val="en-GB"/>
        </w:rPr>
        <w:t xml:space="preserve"> when considered</w:t>
      </w:r>
      <w:r w:rsidR="00774A33" w:rsidRPr="00543384">
        <w:rPr>
          <w:rFonts w:ascii="Arial" w:eastAsia="Times New Roman" w:hAnsi="Arial" w:cs="Arial"/>
          <w:bCs/>
          <w:sz w:val="24"/>
          <w:szCs w:val="24"/>
          <w:lang w:val="en-GB"/>
        </w:rPr>
        <w:t xml:space="preserve"> cumulatively, lead me to conclude that the conditions set out in s</w:t>
      </w:r>
      <w:r w:rsidR="00137E1B">
        <w:rPr>
          <w:rFonts w:ascii="Arial" w:eastAsia="Times New Roman" w:hAnsi="Arial" w:cs="Arial"/>
          <w:bCs/>
          <w:sz w:val="24"/>
          <w:szCs w:val="24"/>
          <w:lang w:val="en-GB"/>
        </w:rPr>
        <w:t> </w:t>
      </w:r>
      <w:r w:rsidR="00774A33" w:rsidRPr="00543384">
        <w:rPr>
          <w:rFonts w:ascii="Arial" w:eastAsia="Times New Roman" w:hAnsi="Arial" w:cs="Arial"/>
          <w:bCs/>
          <w:sz w:val="24"/>
          <w:szCs w:val="24"/>
          <w:lang w:val="en-GB"/>
        </w:rPr>
        <w:t xml:space="preserve">9(2) </w:t>
      </w:r>
      <w:r w:rsidR="00214928" w:rsidRPr="00543384">
        <w:rPr>
          <w:rFonts w:ascii="Arial" w:eastAsia="Times New Roman" w:hAnsi="Arial" w:cs="Arial"/>
          <w:bCs/>
          <w:sz w:val="24"/>
          <w:szCs w:val="24"/>
          <w:lang w:val="en-GB"/>
        </w:rPr>
        <w:t xml:space="preserve">of ESTA </w:t>
      </w:r>
      <w:r w:rsidR="00774A33" w:rsidRPr="00543384">
        <w:rPr>
          <w:rFonts w:ascii="Arial" w:eastAsia="Times New Roman" w:hAnsi="Arial" w:cs="Arial"/>
          <w:bCs/>
          <w:sz w:val="24"/>
          <w:szCs w:val="24"/>
          <w:lang w:val="en-GB"/>
        </w:rPr>
        <w:t>have been met</w:t>
      </w:r>
      <w:r w:rsidR="00274DB4" w:rsidRPr="00543384">
        <w:rPr>
          <w:rFonts w:ascii="Arial" w:eastAsia="Times New Roman" w:hAnsi="Arial" w:cs="Arial"/>
          <w:bCs/>
          <w:sz w:val="24"/>
          <w:szCs w:val="24"/>
          <w:lang w:val="en-GB"/>
        </w:rPr>
        <w:t>. This</w:t>
      </w:r>
      <w:r w:rsidR="00F63B01" w:rsidRPr="00543384">
        <w:rPr>
          <w:rFonts w:ascii="Arial" w:eastAsia="Times New Roman" w:hAnsi="Arial" w:cs="Arial"/>
          <w:bCs/>
          <w:sz w:val="24"/>
          <w:szCs w:val="24"/>
          <w:lang w:val="en-GB"/>
        </w:rPr>
        <w:t xml:space="preserve"> paves the way for considering whether </w:t>
      </w:r>
      <w:r w:rsidR="00F63B01" w:rsidRPr="00543384">
        <w:rPr>
          <w:rFonts w:ascii="Arial" w:eastAsia="Times New Roman" w:hAnsi="Arial" w:cs="Arial"/>
          <w:bCs/>
          <w:sz w:val="24"/>
          <w:szCs w:val="24"/>
          <w:lang w:val="en-GB"/>
        </w:rPr>
        <w:lastRenderedPageBreak/>
        <w:t>justice and equity would be served if an</w:t>
      </w:r>
      <w:r w:rsidR="00F63B01" w:rsidRPr="00F63B01">
        <w:rPr>
          <w:rFonts w:ascii="Arial" w:eastAsia="Times New Roman" w:hAnsi="Arial" w:cs="Arial"/>
          <w:bCs/>
          <w:sz w:val="24"/>
          <w:szCs w:val="24"/>
          <w:lang w:val="en-GB"/>
        </w:rPr>
        <w:t xml:space="preserve"> eviction order is granted</w:t>
      </w:r>
      <w:r w:rsidR="00774A33" w:rsidRPr="00774A33">
        <w:rPr>
          <w:rFonts w:ascii="Arial" w:eastAsia="Times New Roman" w:hAnsi="Arial" w:cs="Arial"/>
          <w:bCs/>
          <w:sz w:val="24"/>
          <w:szCs w:val="24"/>
          <w:lang w:val="en-GB"/>
        </w:rPr>
        <w:t>.</w:t>
      </w:r>
      <w:r w:rsidR="00F82524">
        <w:rPr>
          <w:rFonts w:ascii="Arial" w:eastAsia="Times New Roman" w:hAnsi="Arial" w:cs="Arial"/>
          <w:bCs/>
          <w:sz w:val="24"/>
          <w:szCs w:val="24"/>
          <w:lang w:val="en-GB"/>
        </w:rPr>
        <w:t xml:space="preserve"> </w:t>
      </w:r>
      <w:r w:rsidR="00214928">
        <w:rPr>
          <w:rFonts w:ascii="Arial" w:eastAsia="Times New Roman" w:hAnsi="Arial" w:cs="Arial"/>
          <w:bCs/>
          <w:sz w:val="24"/>
          <w:szCs w:val="24"/>
          <w:lang w:val="en-GB"/>
        </w:rPr>
        <w:t>I</w:t>
      </w:r>
      <w:r w:rsidR="00774A33" w:rsidRPr="00774A33">
        <w:rPr>
          <w:rFonts w:ascii="Arial" w:eastAsia="Times New Roman" w:hAnsi="Arial" w:cs="Arial"/>
          <w:bCs/>
          <w:sz w:val="24"/>
          <w:szCs w:val="24"/>
          <w:lang w:val="en-GB"/>
        </w:rPr>
        <w:t>n</w:t>
      </w:r>
      <w:r w:rsidR="00774A33" w:rsidRPr="00774A33">
        <w:rPr>
          <w:rFonts w:ascii="Arial" w:eastAsia="Times New Roman" w:hAnsi="Arial" w:cs="Arial"/>
          <w:bCs/>
          <w:sz w:val="24"/>
          <w:szCs w:val="24"/>
        </w:rPr>
        <w:t xml:space="preserve"> deciding whether it is just and equitable to grant an eviction order</w:t>
      </w:r>
      <w:r w:rsidR="00597860">
        <w:rPr>
          <w:rFonts w:ascii="Arial" w:eastAsia="Times New Roman" w:hAnsi="Arial" w:cs="Arial"/>
          <w:bCs/>
          <w:sz w:val="24"/>
          <w:szCs w:val="24"/>
        </w:rPr>
        <w:t>,</w:t>
      </w:r>
      <w:r w:rsidR="00774A33" w:rsidRPr="00774A33">
        <w:rPr>
          <w:rFonts w:ascii="Arial" w:eastAsia="Times New Roman" w:hAnsi="Arial" w:cs="Arial"/>
          <w:bCs/>
          <w:sz w:val="24"/>
          <w:szCs w:val="24"/>
        </w:rPr>
        <w:t xml:space="preserve"> this Court must consider whether suitable alternative </w:t>
      </w:r>
      <w:r w:rsidR="00774A33" w:rsidRPr="00543384">
        <w:rPr>
          <w:rFonts w:ascii="Arial" w:eastAsia="Times New Roman" w:hAnsi="Arial" w:cs="Arial"/>
          <w:bCs/>
          <w:sz w:val="24"/>
          <w:szCs w:val="24"/>
        </w:rPr>
        <w:t>accommodation is available to the occupiers (s 11(3)</w:t>
      </w:r>
      <w:r w:rsidR="00774A33" w:rsidRPr="00543384">
        <w:rPr>
          <w:rFonts w:ascii="Arial" w:eastAsia="Times New Roman" w:hAnsi="Arial" w:cs="Arial"/>
          <w:bCs/>
          <w:i/>
          <w:iCs/>
          <w:sz w:val="24"/>
          <w:szCs w:val="24"/>
        </w:rPr>
        <w:t>(c)</w:t>
      </w:r>
      <w:r w:rsidR="00774A33" w:rsidRPr="00543384">
        <w:rPr>
          <w:rFonts w:ascii="Arial" w:eastAsia="Times New Roman" w:hAnsi="Arial" w:cs="Arial"/>
          <w:bCs/>
          <w:sz w:val="24"/>
          <w:szCs w:val="24"/>
        </w:rPr>
        <w:t xml:space="preserve">) and balance the interests of the Trust </w:t>
      </w:r>
      <w:r w:rsidR="00774A33" w:rsidRPr="00543384">
        <w:rPr>
          <w:rFonts w:ascii="Arial" w:eastAsia="Times New Roman" w:hAnsi="Arial" w:cs="Arial"/>
          <w:bCs/>
          <w:i/>
          <w:sz w:val="24"/>
          <w:szCs w:val="24"/>
        </w:rPr>
        <w:t>vis</w:t>
      </w:r>
      <w:r w:rsidR="00947C95" w:rsidRPr="00543384">
        <w:rPr>
          <w:rFonts w:ascii="Arial" w:eastAsia="Times New Roman" w:hAnsi="Arial" w:cs="Arial"/>
          <w:bCs/>
          <w:i/>
          <w:sz w:val="24"/>
          <w:szCs w:val="24"/>
        </w:rPr>
        <w:t>-</w:t>
      </w:r>
      <w:r w:rsidR="00774A33" w:rsidRPr="00543384">
        <w:rPr>
          <w:rFonts w:ascii="Arial" w:eastAsia="Times New Roman" w:hAnsi="Arial" w:cs="Arial"/>
          <w:bCs/>
          <w:i/>
          <w:sz w:val="24"/>
          <w:szCs w:val="24"/>
        </w:rPr>
        <w:t>a</w:t>
      </w:r>
      <w:r w:rsidR="00947C95" w:rsidRPr="00543384">
        <w:rPr>
          <w:rFonts w:ascii="Arial" w:eastAsia="Times New Roman" w:hAnsi="Arial" w:cs="Arial"/>
          <w:bCs/>
          <w:i/>
          <w:sz w:val="24"/>
          <w:szCs w:val="24"/>
        </w:rPr>
        <w:t>-</w:t>
      </w:r>
      <w:r w:rsidR="00774A33" w:rsidRPr="00543384">
        <w:rPr>
          <w:rFonts w:ascii="Arial" w:eastAsia="Times New Roman" w:hAnsi="Arial" w:cs="Arial"/>
          <w:bCs/>
          <w:i/>
          <w:sz w:val="24"/>
          <w:szCs w:val="24"/>
        </w:rPr>
        <w:t>vis</w:t>
      </w:r>
      <w:r w:rsidR="00774A33" w:rsidRPr="00543384">
        <w:rPr>
          <w:rFonts w:ascii="Arial" w:eastAsia="Times New Roman" w:hAnsi="Arial" w:cs="Arial"/>
          <w:bCs/>
          <w:sz w:val="24"/>
          <w:szCs w:val="24"/>
        </w:rPr>
        <w:t xml:space="preserve"> those of the occupiers </w:t>
      </w:r>
      <w:r w:rsidR="001B14CF" w:rsidRPr="00543384">
        <w:rPr>
          <w:rFonts w:ascii="Arial" w:eastAsia="Times New Roman" w:hAnsi="Arial" w:cs="Arial"/>
          <w:bCs/>
          <w:sz w:val="24"/>
          <w:szCs w:val="24"/>
        </w:rPr>
        <w:t>(</w:t>
      </w:r>
      <w:r w:rsidR="00774A33" w:rsidRPr="00543384">
        <w:rPr>
          <w:rFonts w:ascii="Arial" w:eastAsia="Times New Roman" w:hAnsi="Arial" w:cs="Arial"/>
          <w:bCs/>
          <w:sz w:val="24"/>
          <w:szCs w:val="24"/>
          <w:lang w:val="en-GB"/>
        </w:rPr>
        <w:t>s 11(3)</w:t>
      </w:r>
      <w:r w:rsidR="00774A33" w:rsidRPr="00543384">
        <w:rPr>
          <w:rFonts w:ascii="Arial" w:eastAsia="Times New Roman" w:hAnsi="Arial" w:cs="Arial"/>
          <w:bCs/>
          <w:i/>
          <w:iCs/>
          <w:sz w:val="24"/>
          <w:szCs w:val="24"/>
          <w:lang w:val="en-GB"/>
        </w:rPr>
        <w:t>(e)</w:t>
      </w:r>
      <w:r w:rsidR="001B14CF" w:rsidRPr="00543384">
        <w:rPr>
          <w:rFonts w:ascii="Arial" w:eastAsia="Times New Roman" w:hAnsi="Arial" w:cs="Arial"/>
          <w:bCs/>
          <w:sz w:val="24"/>
          <w:szCs w:val="24"/>
          <w:lang w:val="en-GB"/>
        </w:rPr>
        <w:t>)</w:t>
      </w:r>
      <w:r w:rsidR="00403D8E" w:rsidRPr="00543384">
        <w:rPr>
          <w:rFonts w:ascii="Arial" w:eastAsia="Times New Roman" w:hAnsi="Arial" w:cs="Arial"/>
          <w:bCs/>
          <w:sz w:val="24"/>
          <w:szCs w:val="24"/>
          <w:lang w:val="en-GB"/>
        </w:rPr>
        <w:t>.</w:t>
      </w:r>
      <w:r w:rsidR="001B14CF" w:rsidRPr="00543384">
        <w:rPr>
          <w:rFonts w:ascii="Arial" w:eastAsia="Times New Roman" w:hAnsi="Arial" w:cs="Arial"/>
          <w:bCs/>
          <w:sz w:val="24"/>
          <w:szCs w:val="24"/>
          <w:lang w:val="en-GB"/>
        </w:rPr>
        <w:t xml:space="preserve"> </w:t>
      </w:r>
      <w:r w:rsidR="00597860" w:rsidRPr="00543384">
        <w:rPr>
          <w:rFonts w:ascii="Arial" w:eastAsia="Times New Roman" w:hAnsi="Arial" w:cs="Arial"/>
          <w:bCs/>
          <w:sz w:val="24"/>
          <w:szCs w:val="24"/>
          <w:lang w:val="en-GB"/>
        </w:rPr>
        <w:t>It is to th</w:t>
      </w:r>
      <w:r w:rsidR="00F63B01" w:rsidRPr="00543384">
        <w:rPr>
          <w:rFonts w:ascii="Arial" w:eastAsia="Times New Roman" w:hAnsi="Arial" w:cs="Arial"/>
          <w:bCs/>
          <w:sz w:val="24"/>
          <w:szCs w:val="24"/>
          <w:lang w:val="en-GB"/>
        </w:rPr>
        <w:t xml:space="preserve">at question </w:t>
      </w:r>
      <w:r w:rsidR="00597860" w:rsidRPr="00543384">
        <w:rPr>
          <w:rFonts w:ascii="Arial" w:eastAsia="Times New Roman" w:hAnsi="Arial" w:cs="Arial"/>
          <w:bCs/>
          <w:sz w:val="24"/>
          <w:szCs w:val="24"/>
          <w:lang w:val="en-GB"/>
        </w:rPr>
        <w:t>that I now turn.</w:t>
      </w:r>
    </w:p>
    <w:p w14:paraId="7B077724" w14:textId="77777777" w:rsidR="00E370B7" w:rsidRPr="0056423B" w:rsidRDefault="00E370B7" w:rsidP="00A72873">
      <w:pPr>
        <w:tabs>
          <w:tab w:val="left" w:pos="-1440"/>
        </w:tabs>
        <w:spacing w:after="0" w:line="360" w:lineRule="auto"/>
        <w:jc w:val="both"/>
        <w:rPr>
          <w:rFonts w:ascii="Arial" w:eastAsia="Times New Roman" w:hAnsi="Arial" w:cs="Arial"/>
          <w:bCs/>
          <w:sz w:val="24"/>
          <w:szCs w:val="24"/>
          <w:lang w:val="en-GB"/>
        </w:rPr>
      </w:pPr>
    </w:p>
    <w:p w14:paraId="25EBF20F" w14:textId="49593087" w:rsidR="00774A33" w:rsidRPr="00774A33" w:rsidRDefault="00774A33" w:rsidP="00A72873">
      <w:pPr>
        <w:tabs>
          <w:tab w:val="left" w:pos="-1440"/>
        </w:tabs>
        <w:spacing w:after="0" w:line="360" w:lineRule="auto"/>
        <w:jc w:val="both"/>
        <w:rPr>
          <w:rFonts w:ascii="Arial" w:eastAsia="Times New Roman" w:hAnsi="Arial" w:cs="Arial"/>
          <w:bCs/>
          <w:strike/>
          <w:sz w:val="24"/>
          <w:szCs w:val="24"/>
          <w:lang w:val="en-GB"/>
        </w:rPr>
      </w:pPr>
      <w:r w:rsidRPr="00774A33">
        <w:rPr>
          <w:rFonts w:ascii="Arial" w:eastAsia="Times New Roman" w:hAnsi="Arial" w:cs="Arial"/>
          <w:bCs/>
          <w:sz w:val="24"/>
          <w:szCs w:val="24"/>
          <w:lang w:val="en-GB"/>
        </w:rPr>
        <w:t>[</w:t>
      </w:r>
      <w:r w:rsidR="0056423B" w:rsidRPr="0056423B">
        <w:rPr>
          <w:rFonts w:ascii="Arial" w:eastAsia="Times New Roman" w:hAnsi="Arial" w:cs="Arial"/>
          <w:bCs/>
          <w:sz w:val="24"/>
          <w:szCs w:val="24"/>
          <w:lang w:val="en-GB"/>
        </w:rPr>
        <w:t>4</w:t>
      </w:r>
      <w:r w:rsidR="00F921C7">
        <w:rPr>
          <w:rFonts w:ascii="Arial" w:eastAsia="Times New Roman" w:hAnsi="Arial" w:cs="Arial"/>
          <w:bCs/>
          <w:sz w:val="24"/>
          <w:szCs w:val="24"/>
          <w:lang w:val="en-GB"/>
        </w:rPr>
        <w:t>9</w:t>
      </w:r>
      <w:r w:rsidRPr="00774A33">
        <w:rPr>
          <w:rFonts w:ascii="Arial" w:eastAsia="Times New Roman" w:hAnsi="Arial" w:cs="Arial"/>
          <w:bCs/>
          <w:sz w:val="24"/>
          <w:szCs w:val="24"/>
          <w:lang w:val="en-GB"/>
        </w:rPr>
        <w:t>]</w:t>
      </w:r>
      <w:r w:rsidRPr="00774A33">
        <w:rPr>
          <w:rFonts w:ascii="Arial" w:eastAsia="Times New Roman" w:hAnsi="Arial" w:cs="Arial"/>
          <w:bCs/>
          <w:sz w:val="24"/>
          <w:szCs w:val="24"/>
          <w:lang w:val="en-GB"/>
        </w:rPr>
        <w:tab/>
        <w:t xml:space="preserve">The LCC directed the </w:t>
      </w:r>
      <w:r w:rsidR="0056423B" w:rsidRPr="0056423B">
        <w:rPr>
          <w:rFonts w:ascii="Arial" w:eastAsia="Times New Roman" w:hAnsi="Arial" w:cs="Arial"/>
          <w:bCs/>
          <w:sz w:val="24"/>
          <w:szCs w:val="24"/>
          <w:lang w:val="en-GB"/>
        </w:rPr>
        <w:t>28</w:t>
      </w:r>
      <w:r w:rsidR="0056423B" w:rsidRPr="0056423B">
        <w:rPr>
          <w:rFonts w:ascii="Arial" w:eastAsia="Times New Roman" w:hAnsi="Arial" w:cs="Arial"/>
          <w:bCs/>
          <w:sz w:val="24"/>
          <w:szCs w:val="24"/>
          <w:vertAlign w:val="superscript"/>
          <w:lang w:val="en-GB"/>
        </w:rPr>
        <w:t>th</w:t>
      </w:r>
      <w:r w:rsidR="0056423B" w:rsidRPr="0056423B">
        <w:rPr>
          <w:rFonts w:ascii="Arial" w:eastAsia="Times New Roman" w:hAnsi="Arial" w:cs="Arial"/>
          <w:bCs/>
          <w:sz w:val="24"/>
          <w:szCs w:val="24"/>
          <w:lang w:val="en-GB"/>
        </w:rPr>
        <w:t xml:space="preserve"> respondent, the </w:t>
      </w:r>
      <w:r w:rsidRPr="00774A33">
        <w:rPr>
          <w:rFonts w:ascii="Arial" w:eastAsia="Times New Roman" w:hAnsi="Arial" w:cs="Arial"/>
          <w:bCs/>
          <w:sz w:val="24"/>
          <w:szCs w:val="24"/>
          <w:lang w:val="en-GB"/>
        </w:rPr>
        <w:t>Department of Rural Development and Land Reform</w:t>
      </w:r>
      <w:r w:rsidR="0056423B" w:rsidRPr="0056423B">
        <w:rPr>
          <w:rFonts w:ascii="Arial" w:eastAsia="Times New Roman" w:hAnsi="Arial" w:cs="Arial"/>
          <w:bCs/>
          <w:sz w:val="24"/>
          <w:szCs w:val="24"/>
          <w:lang w:val="en-GB"/>
        </w:rPr>
        <w:t>,</w:t>
      </w:r>
      <w:r w:rsidRPr="00774A33">
        <w:rPr>
          <w:rFonts w:ascii="Arial" w:eastAsia="Times New Roman" w:hAnsi="Arial" w:cs="Arial"/>
          <w:bCs/>
          <w:sz w:val="24"/>
          <w:szCs w:val="24"/>
          <w:lang w:val="en-GB"/>
        </w:rPr>
        <w:t xml:space="preserve"> to submit a probation officer’s report as envisaged in s 9(3) of ESTA.</w:t>
      </w:r>
      <w:r w:rsidRPr="00774A33">
        <w:rPr>
          <w:rFonts w:ascii="Arial" w:eastAsia="Times New Roman" w:hAnsi="Arial" w:cs="Times New Roman"/>
          <w:bCs/>
          <w:sz w:val="24"/>
          <w:szCs w:val="24"/>
          <w:vertAlign w:val="superscript"/>
          <w:lang w:val="en-GB"/>
        </w:rPr>
        <w:footnoteReference w:id="19"/>
      </w:r>
      <w:r w:rsidRPr="00774A33">
        <w:rPr>
          <w:rFonts w:ascii="Arial" w:eastAsia="Times New Roman" w:hAnsi="Arial" w:cs="Arial"/>
          <w:bCs/>
          <w:sz w:val="24"/>
          <w:szCs w:val="24"/>
          <w:lang w:val="en-GB"/>
        </w:rPr>
        <w:t xml:space="preserve"> In her report, the probation officer suggests that the occupiers not be evicted from the property and requested the LCC to rather order the affected parties to partake in a meaningful engagement process.</w:t>
      </w:r>
      <w:r w:rsidR="00F82524">
        <w:rPr>
          <w:rFonts w:ascii="Arial" w:eastAsia="Times New Roman" w:hAnsi="Arial" w:cs="Arial"/>
          <w:bCs/>
          <w:sz w:val="24"/>
          <w:szCs w:val="24"/>
          <w:lang w:val="en-GB"/>
        </w:rPr>
        <w:t xml:space="preserve"> </w:t>
      </w:r>
      <w:r w:rsidR="001C3ACD" w:rsidRPr="0056423B">
        <w:rPr>
          <w:rFonts w:ascii="Arial" w:eastAsia="Times New Roman" w:hAnsi="Arial" w:cs="Arial"/>
          <w:bCs/>
          <w:sz w:val="24"/>
          <w:szCs w:val="24"/>
          <w:lang w:val="en-GB"/>
        </w:rPr>
        <w:t xml:space="preserve">She </w:t>
      </w:r>
      <w:r w:rsidR="00211918" w:rsidRPr="0056423B">
        <w:rPr>
          <w:rFonts w:ascii="Arial" w:eastAsia="Times New Roman" w:hAnsi="Arial" w:cs="Arial"/>
          <w:bCs/>
          <w:sz w:val="24"/>
          <w:szCs w:val="24"/>
          <w:lang w:val="en-GB"/>
        </w:rPr>
        <w:t>fleetingly</w:t>
      </w:r>
      <w:r w:rsidR="001C3ACD" w:rsidRPr="0056423B">
        <w:rPr>
          <w:rFonts w:ascii="Arial" w:eastAsia="Times New Roman" w:hAnsi="Arial" w:cs="Arial"/>
          <w:bCs/>
          <w:sz w:val="24"/>
          <w:szCs w:val="24"/>
          <w:lang w:val="en-GB"/>
        </w:rPr>
        <w:t xml:space="preserve"> </w:t>
      </w:r>
      <w:r w:rsidR="007A0808" w:rsidRPr="0056423B">
        <w:rPr>
          <w:rFonts w:ascii="Arial" w:hAnsi="Arial" w:cs="Arial"/>
          <w:bCs/>
          <w:sz w:val="24"/>
        </w:rPr>
        <w:t>mention</w:t>
      </w:r>
      <w:r w:rsidR="001C3ACD" w:rsidRPr="0056423B">
        <w:rPr>
          <w:rFonts w:ascii="Arial" w:hAnsi="Arial" w:cs="Arial"/>
          <w:bCs/>
          <w:sz w:val="24"/>
        </w:rPr>
        <w:t xml:space="preserve">ed that </w:t>
      </w:r>
      <w:r w:rsidR="007A0808" w:rsidRPr="0056423B">
        <w:rPr>
          <w:rFonts w:ascii="Arial" w:hAnsi="Arial" w:cs="Arial"/>
          <w:bCs/>
          <w:sz w:val="24"/>
        </w:rPr>
        <w:t>one of the occupiers alluded to the fact that the cottages are in a dilapidated state.</w:t>
      </w:r>
      <w:r w:rsidR="00A06D58">
        <w:rPr>
          <w:rFonts w:ascii="Arial" w:hAnsi="Arial" w:cs="Arial"/>
          <w:bCs/>
          <w:sz w:val="24"/>
        </w:rPr>
        <w:t xml:space="preserve"> </w:t>
      </w:r>
      <w:r w:rsidRPr="00774A33">
        <w:rPr>
          <w:rFonts w:ascii="Arial" w:eastAsia="Times New Roman" w:hAnsi="Arial" w:cs="Arial"/>
          <w:bCs/>
          <w:sz w:val="24"/>
          <w:szCs w:val="24"/>
          <w:lang w:val="en-GB"/>
        </w:rPr>
        <w:t xml:space="preserve">Against the clear manifestation of a history of mistrust and a deteriorating strained relationship which none of the occupiers have been interested to mend over the years, coupled with the fact that several of them are already employed elsewhere, I am of the view that </w:t>
      </w:r>
      <w:r w:rsidRPr="00774A33">
        <w:rPr>
          <w:rFonts w:ascii="Arial" w:eastAsia="Times New Roman" w:hAnsi="Arial" w:cs="Arial"/>
          <w:bCs/>
          <w:sz w:val="24"/>
          <w:szCs w:val="24"/>
          <w:lang w:val="en-US"/>
        </w:rPr>
        <w:t>any prospect of mutual trust being rekindled is but a chimera.</w:t>
      </w:r>
      <w:r w:rsidR="00C73308" w:rsidRPr="0056423B">
        <w:rPr>
          <w:rFonts w:ascii="Arial" w:eastAsia="Times New Roman" w:hAnsi="Arial" w:cs="Arial"/>
          <w:bCs/>
          <w:sz w:val="24"/>
          <w:szCs w:val="24"/>
          <w:lang w:val="en-US"/>
        </w:rPr>
        <w:t xml:space="preserve"> </w:t>
      </w:r>
      <w:bookmarkStart w:id="14" w:name="_Hlk125122391"/>
      <w:r w:rsidR="00C73308" w:rsidRPr="0056423B">
        <w:rPr>
          <w:rFonts w:ascii="Arial" w:eastAsia="Times New Roman" w:hAnsi="Arial" w:cs="Arial"/>
          <w:bCs/>
          <w:sz w:val="24"/>
          <w:szCs w:val="24"/>
          <w:lang w:val="en-US"/>
        </w:rPr>
        <w:t>A</w:t>
      </w:r>
      <w:r w:rsidR="00767388" w:rsidRPr="0056423B">
        <w:rPr>
          <w:rFonts w:ascii="Arial" w:eastAsia="Times New Roman" w:hAnsi="Arial" w:cs="Arial"/>
          <w:bCs/>
          <w:sz w:val="24"/>
          <w:szCs w:val="24"/>
          <w:lang w:val="en-US"/>
        </w:rPr>
        <w:t>s</w:t>
      </w:r>
      <w:r w:rsidR="00C73308" w:rsidRPr="0056423B">
        <w:rPr>
          <w:rFonts w:ascii="Arial" w:eastAsia="Times New Roman" w:hAnsi="Arial" w:cs="Arial"/>
          <w:bCs/>
          <w:sz w:val="24"/>
          <w:szCs w:val="24"/>
          <w:lang w:val="en-US"/>
        </w:rPr>
        <w:t xml:space="preserve"> it is practically impossible for the relationship between the parties to be restore</w:t>
      </w:r>
      <w:r w:rsidR="00C466AB" w:rsidRPr="0056423B">
        <w:rPr>
          <w:rFonts w:ascii="Arial" w:eastAsia="Times New Roman" w:hAnsi="Arial" w:cs="Arial"/>
          <w:bCs/>
          <w:sz w:val="24"/>
          <w:szCs w:val="24"/>
          <w:lang w:val="en-US"/>
        </w:rPr>
        <w:t>d due to a lack of mutual trust</w:t>
      </w:r>
      <w:r w:rsidR="00C73308" w:rsidRPr="0056423B">
        <w:rPr>
          <w:rFonts w:ascii="Arial" w:eastAsia="Times New Roman" w:hAnsi="Arial" w:cs="Arial"/>
          <w:bCs/>
          <w:sz w:val="24"/>
          <w:szCs w:val="24"/>
          <w:lang w:val="en-US"/>
        </w:rPr>
        <w:t xml:space="preserve">, I am of the </w:t>
      </w:r>
      <w:r w:rsidR="00403D8E">
        <w:rPr>
          <w:rFonts w:ascii="Arial" w:eastAsia="Times New Roman" w:hAnsi="Arial" w:cs="Arial"/>
          <w:bCs/>
          <w:sz w:val="24"/>
          <w:szCs w:val="24"/>
          <w:lang w:val="en-US"/>
        </w:rPr>
        <w:t xml:space="preserve">respectful </w:t>
      </w:r>
      <w:r w:rsidR="00C73308" w:rsidRPr="0056423B">
        <w:rPr>
          <w:rFonts w:ascii="Arial" w:eastAsia="Times New Roman" w:hAnsi="Arial" w:cs="Arial"/>
          <w:bCs/>
          <w:sz w:val="24"/>
          <w:szCs w:val="24"/>
          <w:lang w:val="en-US"/>
        </w:rPr>
        <w:t xml:space="preserve">view that no purpose would be served </w:t>
      </w:r>
      <w:r w:rsidR="00C466AB" w:rsidRPr="0056423B">
        <w:rPr>
          <w:rFonts w:ascii="Arial" w:eastAsia="Times New Roman" w:hAnsi="Arial" w:cs="Arial"/>
          <w:bCs/>
          <w:sz w:val="24"/>
          <w:szCs w:val="24"/>
          <w:lang w:val="en-US"/>
        </w:rPr>
        <w:t>by an order proposed by the probation officer.</w:t>
      </w:r>
      <w:r w:rsidR="00C466AB" w:rsidRPr="0056423B">
        <w:rPr>
          <w:rStyle w:val="FootnoteReference"/>
          <w:rFonts w:ascii="Arial" w:eastAsia="Times New Roman" w:hAnsi="Arial"/>
          <w:bCs/>
          <w:sz w:val="24"/>
          <w:szCs w:val="24"/>
          <w:lang w:val="en-US"/>
        </w:rPr>
        <w:footnoteReference w:id="20"/>
      </w:r>
      <w:r w:rsidR="00C466AB">
        <w:rPr>
          <w:rFonts w:ascii="Arial" w:eastAsia="Times New Roman" w:hAnsi="Arial" w:cs="Arial"/>
          <w:bCs/>
          <w:sz w:val="24"/>
          <w:szCs w:val="24"/>
          <w:lang w:val="en-US"/>
        </w:rPr>
        <w:t xml:space="preserve"> </w:t>
      </w:r>
      <w:bookmarkEnd w:id="14"/>
    </w:p>
    <w:p w14:paraId="67B1E89D" w14:textId="77777777" w:rsidR="00774A33" w:rsidRPr="00774A33" w:rsidRDefault="00774A33" w:rsidP="00774A33">
      <w:pPr>
        <w:tabs>
          <w:tab w:val="left" w:pos="-1440"/>
        </w:tabs>
        <w:spacing w:after="0" w:line="360" w:lineRule="auto"/>
        <w:ind w:right="26"/>
        <w:jc w:val="both"/>
        <w:rPr>
          <w:rFonts w:ascii="Arial" w:eastAsia="Times New Roman" w:hAnsi="Arial" w:cs="Arial"/>
          <w:bCs/>
          <w:sz w:val="24"/>
          <w:szCs w:val="24"/>
          <w:lang w:val="en-GB"/>
        </w:rPr>
      </w:pPr>
    </w:p>
    <w:p w14:paraId="7C0901CF" w14:textId="77777777" w:rsidR="00774A33" w:rsidRPr="00774A33" w:rsidRDefault="00774A33" w:rsidP="00774A33">
      <w:pPr>
        <w:spacing w:after="0" w:line="360" w:lineRule="auto"/>
        <w:jc w:val="both"/>
        <w:rPr>
          <w:rFonts w:ascii="Arial" w:eastAsia="Times New Roman" w:hAnsi="Arial" w:cs="Arial"/>
          <w:b/>
          <w:bCs/>
          <w:sz w:val="24"/>
          <w:szCs w:val="24"/>
          <w:lang w:val="en-GB"/>
        </w:rPr>
      </w:pPr>
      <w:r w:rsidRPr="00774A33">
        <w:rPr>
          <w:rFonts w:ascii="Arial" w:eastAsia="Times New Roman" w:hAnsi="Arial" w:cs="Arial"/>
          <w:b/>
          <w:bCs/>
          <w:sz w:val="24"/>
          <w:szCs w:val="24"/>
          <w:lang w:val="en-GB"/>
        </w:rPr>
        <w:t>Is an order of eviction warranted under the circumstances of this case?</w:t>
      </w:r>
    </w:p>
    <w:p w14:paraId="42A2B741" w14:textId="20F79457" w:rsidR="00F8573A" w:rsidRPr="003958A9" w:rsidRDefault="00774A33" w:rsidP="00F8573A">
      <w:pPr>
        <w:spacing w:after="0" w:line="360" w:lineRule="auto"/>
        <w:jc w:val="both"/>
        <w:rPr>
          <w:rFonts w:ascii="Arial" w:eastAsia="Times New Roman" w:hAnsi="Arial" w:cs="Arial"/>
          <w:bCs/>
          <w:sz w:val="24"/>
          <w:szCs w:val="24"/>
        </w:rPr>
      </w:pPr>
      <w:r w:rsidRPr="00774A33">
        <w:rPr>
          <w:rFonts w:ascii="Arial" w:eastAsia="Times New Roman" w:hAnsi="Arial" w:cs="Arial"/>
          <w:sz w:val="24"/>
          <w:szCs w:val="24"/>
          <w:lang w:val="en-GB"/>
        </w:rPr>
        <w:t>[</w:t>
      </w:r>
      <w:r w:rsidR="00F921C7">
        <w:rPr>
          <w:rFonts w:ascii="Arial" w:eastAsia="Times New Roman" w:hAnsi="Arial" w:cs="Arial"/>
          <w:sz w:val="24"/>
          <w:szCs w:val="24"/>
          <w:lang w:val="en-GB"/>
        </w:rPr>
        <w:t>50</w:t>
      </w:r>
      <w:r w:rsidRPr="00774A33">
        <w:rPr>
          <w:rFonts w:ascii="Arial" w:eastAsia="Times New Roman" w:hAnsi="Arial" w:cs="Arial"/>
          <w:sz w:val="24"/>
          <w:szCs w:val="24"/>
          <w:lang w:val="en-GB"/>
        </w:rPr>
        <w:t>]</w:t>
      </w:r>
      <w:r w:rsidRPr="00774A33">
        <w:rPr>
          <w:rFonts w:ascii="Arial" w:eastAsia="Times New Roman" w:hAnsi="Arial" w:cs="Arial"/>
          <w:sz w:val="24"/>
          <w:szCs w:val="24"/>
          <w:lang w:val="en-GB"/>
        </w:rPr>
        <w:tab/>
        <w:t xml:space="preserve">Section 9(3) forms part of </w:t>
      </w:r>
      <w:r w:rsidR="00945D64">
        <w:rPr>
          <w:rFonts w:ascii="Arial" w:eastAsia="Times New Roman" w:hAnsi="Arial" w:cs="Arial"/>
          <w:sz w:val="24"/>
          <w:szCs w:val="24"/>
          <w:lang w:val="en-GB"/>
        </w:rPr>
        <w:t xml:space="preserve">ESTA </w:t>
      </w:r>
      <w:r w:rsidRPr="00774A33">
        <w:rPr>
          <w:rFonts w:ascii="Arial" w:eastAsia="Times New Roman" w:hAnsi="Arial" w:cs="Arial"/>
          <w:sz w:val="24"/>
          <w:szCs w:val="24"/>
          <w:lang w:val="en-GB"/>
        </w:rPr>
        <w:t xml:space="preserve">provisions that impose limitations on evictions and prescribe the circumstances in which an eviction order may be made. The relevant considerations include the availability of suitable alternative accommodation to the occupiers, the effect of an eviction on the constitutional rights of any affected persons, including the rights of children to education, and any hardship </w:t>
      </w:r>
      <w:r w:rsidR="00E46ACD">
        <w:rPr>
          <w:rFonts w:ascii="Arial" w:eastAsia="Times New Roman" w:hAnsi="Arial" w:cs="Arial"/>
          <w:sz w:val="24"/>
          <w:szCs w:val="24"/>
          <w:lang w:val="en-GB"/>
        </w:rPr>
        <w:t>that</w:t>
      </w:r>
      <w:r w:rsidRPr="00774A33">
        <w:rPr>
          <w:rFonts w:ascii="Arial" w:eastAsia="Times New Roman" w:hAnsi="Arial" w:cs="Arial"/>
          <w:sz w:val="24"/>
          <w:szCs w:val="24"/>
          <w:lang w:val="en-GB"/>
        </w:rPr>
        <w:t xml:space="preserve"> an eviction may cause the occupiers. A</w:t>
      </w:r>
      <w:r w:rsidR="00955B5C">
        <w:rPr>
          <w:rFonts w:ascii="Arial" w:eastAsia="Times New Roman" w:hAnsi="Arial" w:cs="Arial"/>
          <w:sz w:val="24"/>
          <w:szCs w:val="24"/>
          <w:lang w:val="en-GB"/>
        </w:rPr>
        <w:t xml:space="preserve">nother </w:t>
      </w:r>
      <w:r w:rsidRPr="00774A33">
        <w:rPr>
          <w:rFonts w:ascii="Arial" w:eastAsia="Times New Roman" w:hAnsi="Arial" w:cs="Arial"/>
          <w:sz w:val="24"/>
          <w:szCs w:val="24"/>
          <w:lang w:val="en-GB"/>
        </w:rPr>
        <w:t xml:space="preserve">relevant </w:t>
      </w:r>
      <w:r w:rsidRPr="00774A33">
        <w:rPr>
          <w:rFonts w:ascii="Arial" w:eastAsia="Times New Roman" w:hAnsi="Arial" w:cs="Arial"/>
          <w:sz w:val="24"/>
          <w:szCs w:val="24"/>
          <w:lang w:val="en-GB"/>
        </w:rPr>
        <w:lastRenderedPageBreak/>
        <w:t xml:space="preserve">consideration in matters of this nature is </w:t>
      </w:r>
      <w:r w:rsidRPr="00774A33">
        <w:rPr>
          <w:rFonts w:ascii="Arial" w:eastAsia="Times New Roman" w:hAnsi="Arial" w:cs="Arial"/>
          <w:bCs/>
          <w:sz w:val="24"/>
          <w:szCs w:val="24"/>
          <w:lang w:val="en-US"/>
        </w:rPr>
        <w:t xml:space="preserve">the comparative hardship to the occupiers and the owner of the property. </w:t>
      </w:r>
      <w:r w:rsidR="00F8573A" w:rsidRPr="00F8573A">
        <w:rPr>
          <w:rFonts w:ascii="Arial" w:eastAsia="Times New Roman" w:hAnsi="Arial" w:cs="Arial"/>
          <w:bCs/>
          <w:sz w:val="24"/>
          <w:szCs w:val="24"/>
          <w:lang w:val="en-US"/>
        </w:rPr>
        <w:t xml:space="preserve">As aptly stated in </w:t>
      </w:r>
      <w:bookmarkStart w:id="16" w:name="_Hlk125221990"/>
      <w:r w:rsidR="00F8573A" w:rsidRPr="00774A33">
        <w:rPr>
          <w:rFonts w:ascii="Arial" w:eastAsia="Times New Roman" w:hAnsi="Arial" w:cs="Arial"/>
          <w:bCs/>
          <w:i/>
          <w:iCs/>
          <w:sz w:val="24"/>
          <w:szCs w:val="24"/>
          <w:lang w:val="en-GB"/>
        </w:rPr>
        <w:t>Molusi and Others v Voges N O and Others</w:t>
      </w:r>
      <w:bookmarkEnd w:id="16"/>
      <w:r w:rsidR="00F8573A" w:rsidRPr="00F8573A">
        <w:rPr>
          <w:rFonts w:ascii="Arial" w:eastAsia="Times New Roman" w:hAnsi="Arial" w:cs="Arial"/>
          <w:bCs/>
          <w:i/>
          <w:iCs/>
          <w:sz w:val="24"/>
          <w:szCs w:val="24"/>
          <w:lang w:val="en-GB"/>
        </w:rPr>
        <w:t xml:space="preserve"> (Molusi)</w:t>
      </w:r>
      <w:r w:rsidR="00F8573A" w:rsidRPr="00F8573A">
        <w:rPr>
          <w:rFonts w:ascii="Arial" w:eastAsia="Times New Roman" w:hAnsi="Arial" w:cs="Arial"/>
          <w:bCs/>
          <w:sz w:val="24"/>
          <w:szCs w:val="24"/>
          <w:lang w:val="en-US"/>
        </w:rPr>
        <w:t>,</w:t>
      </w:r>
      <w:r w:rsidR="00F8573A" w:rsidRPr="00F8573A">
        <w:rPr>
          <w:rFonts w:ascii="Arial" w:eastAsia="Times New Roman" w:hAnsi="Arial" w:cs="Arial"/>
          <w:bCs/>
          <w:sz w:val="24"/>
          <w:szCs w:val="24"/>
          <w:vertAlign w:val="superscript"/>
          <w:lang w:val="en-US"/>
        </w:rPr>
        <w:footnoteReference w:id="21"/>
      </w:r>
      <w:r w:rsidR="00F8573A" w:rsidRPr="00F8573A">
        <w:rPr>
          <w:rFonts w:ascii="Arial" w:eastAsia="Times New Roman" w:hAnsi="Arial" w:cs="Arial"/>
          <w:bCs/>
          <w:sz w:val="24"/>
          <w:szCs w:val="24"/>
          <w:lang w:val="en-US"/>
        </w:rPr>
        <w:t xml:space="preserve"> ‘a</w:t>
      </w:r>
      <w:r w:rsidR="00F8573A" w:rsidRPr="00774A33">
        <w:rPr>
          <w:rFonts w:ascii="Arial" w:eastAsia="Times New Roman" w:hAnsi="Arial" w:cs="Arial"/>
          <w:bCs/>
          <w:sz w:val="24"/>
          <w:szCs w:val="24"/>
          <w:lang w:val="en-US"/>
        </w:rPr>
        <w:t xml:space="preserve"> court making an order for eviction must ensure that justice and equity prevail in relation to all concerned.</w:t>
      </w:r>
      <w:r w:rsidR="00F8573A" w:rsidRPr="00F8573A">
        <w:rPr>
          <w:rFonts w:ascii="Arial" w:eastAsia="Times New Roman" w:hAnsi="Arial" w:cs="Arial"/>
          <w:bCs/>
          <w:sz w:val="24"/>
          <w:szCs w:val="24"/>
          <w:lang w:val="en-US"/>
        </w:rPr>
        <w:t xml:space="preserve"> This it does by heeding the </w:t>
      </w:r>
      <w:r w:rsidR="00F8573A" w:rsidRPr="00774A33">
        <w:rPr>
          <w:rFonts w:ascii="Arial" w:eastAsia="Times New Roman" w:hAnsi="Arial" w:cs="Arial"/>
          <w:bCs/>
          <w:sz w:val="24"/>
          <w:szCs w:val="24"/>
          <w:lang w:val="en-US"/>
        </w:rPr>
        <w:t xml:space="preserve">considerations specified in s 8 read with s 9, as well as ss 10 </w:t>
      </w:r>
      <w:r w:rsidR="00F8573A" w:rsidRPr="003958A9">
        <w:rPr>
          <w:rFonts w:ascii="Arial" w:eastAsia="Times New Roman" w:hAnsi="Arial" w:cs="Arial"/>
          <w:bCs/>
          <w:sz w:val="24"/>
          <w:szCs w:val="24"/>
          <w:lang w:val="en-US"/>
        </w:rPr>
        <w:t>and 11 of ESTA, which make it clear that fairness plays an important role.’</w:t>
      </w:r>
      <w:r w:rsidR="00F82524">
        <w:rPr>
          <w:rFonts w:ascii="Arial" w:eastAsia="Times New Roman" w:hAnsi="Arial" w:cs="Arial"/>
          <w:bCs/>
          <w:sz w:val="24"/>
          <w:szCs w:val="24"/>
        </w:rPr>
        <w:t xml:space="preserve"> </w:t>
      </w:r>
    </w:p>
    <w:p w14:paraId="5D4BA7B4" w14:textId="77777777" w:rsidR="00F8573A" w:rsidRPr="003958A9" w:rsidRDefault="00F8573A" w:rsidP="00463349">
      <w:pPr>
        <w:spacing w:line="360" w:lineRule="auto"/>
        <w:jc w:val="both"/>
        <w:rPr>
          <w:rFonts w:ascii="Arial" w:eastAsia="Times New Roman" w:hAnsi="Arial" w:cs="Arial"/>
          <w:sz w:val="24"/>
          <w:szCs w:val="24"/>
          <w:lang w:val="en-GB"/>
        </w:rPr>
      </w:pPr>
    </w:p>
    <w:p w14:paraId="5F441A7A" w14:textId="6A9C4405" w:rsidR="00463349" w:rsidRDefault="00774A33" w:rsidP="00E370B7">
      <w:pPr>
        <w:spacing w:after="0" w:line="360" w:lineRule="auto"/>
        <w:jc w:val="both"/>
        <w:rPr>
          <w:rFonts w:ascii="Arial" w:eastAsia="Times New Roman" w:hAnsi="Arial" w:cs="Arial"/>
          <w:sz w:val="24"/>
          <w:szCs w:val="24"/>
          <w:lang w:val="en-US"/>
        </w:rPr>
      </w:pPr>
      <w:r w:rsidRPr="003958A9">
        <w:rPr>
          <w:rFonts w:ascii="Arial" w:eastAsia="Times New Roman" w:hAnsi="Arial" w:cs="Arial"/>
          <w:sz w:val="24"/>
          <w:szCs w:val="24"/>
          <w:lang w:val="en-GB"/>
        </w:rPr>
        <w:t>[</w:t>
      </w:r>
      <w:r w:rsidR="00F921C7" w:rsidRPr="003958A9">
        <w:rPr>
          <w:rFonts w:ascii="Arial" w:eastAsia="Times New Roman" w:hAnsi="Arial" w:cs="Arial"/>
          <w:sz w:val="24"/>
          <w:szCs w:val="24"/>
          <w:lang w:val="en-GB"/>
        </w:rPr>
        <w:t>51</w:t>
      </w:r>
      <w:r w:rsidRPr="003958A9">
        <w:rPr>
          <w:rFonts w:ascii="Arial" w:eastAsia="Times New Roman" w:hAnsi="Arial" w:cs="Arial"/>
          <w:sz w:val="24"/>
          <w:szCs w:val="24"/>
          <w:lang w:val="en-GB"/>
        </w:rPr>
        <w:t>]</w:t>
      </w:r>
      <w:r w:rsidRPr="003958A9">
        <w:rPr>
          <w:rFonts w:ascii="Arial" w:eastAsia="Times New Roman" w:hAnsi="Arial" w:cs="Arial"/>
          <w:sz w:val="24"/>
          <w:szCs w:val="24"/>
          <w:lang w:val="en-GB"/>
        </w:rPr>
        <w:tab/>
      </w:r>
      <w:r w:rsidRPr="003958A9">
        <w:rPr>
          <w:rFonts w:ascii="Arial" w:eastAsia="Times New Roman" w:hAnsi="Arial" w:cs="Arial"/>
          <w:sz w:val="24"/>
          <w:szCs w:val="24"/>
          <w:lang w:val="en-US"/>
        </w:rPr>
        <w:t xml:space="preserve"> </w:t>
      </w:r>
      <w:r w:rsidR="00463349" w:rsidRPr="003958A9">
        <w:rPr>
          <w:rFonts w:ascii="Arial" w:eastAsia="Times New Roman" w:hAnsi="Arial" w:cs="Arial"/>
          <w:sz w:val="24"/>
          <w:szCs w:val="24"/>
          <w:lang w:val="en-GB"/>
        </w:rPr>
        <w:t>On the conspectus of all the facts in this case, it would be unreasonable t</w:t>
      </w:r>
      <w:r w:rsidR="00463349" w:rsidRPr="003958A9">
        <w:rPr>
          <w:rFonts w:ascii="Arial" w:eastAsia="Times New Roman" w:hAnsi="Arial" w:cs="Arial"/>
          <w:sz w:val="24"/>
          <w:szCs w:val="24"/>
          <w:lang w:val="en-US"/>
        </w:rPr>
        <w:t xml:space="preserve">o </w:t>
      </w:r>
      <w:r w:rsidR="00274DB4" w:rsidRPr="003958A9">
        <w:rPr>
          <w:rFonts w:ascii="Arial" w:eastAsia="Times New Roman" w:hAnsi="Arial" w:cs="Arial"/>
          <w:sz w:val="24"/>
          <w:szCs w:val="24"/>
          <w:lang w:val="en-US"/>
        </w:rPr>
        <w:t xml:space="preserve">expect </w:t>
      </w:r>
      <w:r w:rsidR="00463349" w:rsidRPr="003958A9">
        <w:rPr>
          <w:rFonts w:ascii="Arial" w:eastAsia="Times New Roman" w:hAnsi="Arial" w:cs="Arial"/>
          <w:sz w:val="24"/>
          <w:szCs w:val="24"/>
          <w:lang w:val="en-US"/>
        </w:rPr>
        <w:t>the Trust to continue to provide the occupiers with housing in the face of undisputed evidence of an unsalvageable breakdown of the parties’ relationship</w:t>
      </w:r>
      <w:r w:rsidR="00463349" w:rsidRPr="00463349">
        <w:rPr>
          <w:rFonts w:ascii="Arial" w:eastAsia="Times New Roman" w:hAnsi="Arial" w:cs="Arial"/>
          <w:sz w:val="24"/>
          <w:szCs w:val="24"/>
          <w:lang w:val="en-US"/>
        </w:rPr>
        <w:t>. Sympathetic as one may be to the plight of the occupiers</w:t>
      </w:r>
      <w:r w:rsidR="009E71A9">
        <w:rPr>
          <w:rFonts w:ascii="Arial" w:eastAsia="Times New Roman" w:hAnsi="Arial" w:cs="Arial"/>
          <w:sz w:val="24"/>
          <w:szCs w:val="24"/>
          <w:lang w:val="en-US"/>
        </w:rPr>
        <w:t>,</w:t>
      </w:r>
      <w:r w:rsidR="00463349" w:rsidRPr="00463349">
        <w:rPr>
          <w:rFonts w:ascii="Arial" w:eastAsia="Times New Roman" w:hAnsi="Arial" w:cs="Arial"/>
          <w:sz w:val="24"/>
          <w:szCs w:val="24"/>
          <w:lang w:val="en-US"/>
        </w:rPr>
        <w:t xml:space="preserve"> who have considered the farm as their </w:t>
      </w:r>
      <w:r w:rsidR="0074402C">
        <w:rPr>
          <w:rFonts w:ascii="Arial" w:eastAsia="Times New Roman" w:hAnsi="Arial" w:cs="Arial"/>
          <w:sz w:val="24"/>
          <w:szCs w:val="24"/>
          <w:lang w:val="en-US"/>
        </w:rPr>
        <w:t xml:space="preserve">place of abode </w:t>
      </w:r>
      <w:r w:rsidR="00463349" w:rsidRPr="00463349">
        <w:rPr>
          <w:rFonts w:ascii="Arial" w:eastAsia="Times New Roman" w:hAnsi="Arial" w:cs="Arial"/>
          <w:sz w:val="24"/>
          <w:szCs w:val="24"/>
          <w:lang w:val="en-US"/>
        </w:rPr>
        <w:t>for many years, the Trust cannot</w:t>
      </w:r>
      <w:r w:rsidR="000E778B">
        <w:rPr>
          <w:rFonts w:ascii="Arial" w:eastAsia="Times New Roman" w:hAnsi="Arial" w:cs="Arial"/>
          <w:sz w:val="24"/>
          <w:szCs w:val="24"/>
          <w:lang w:val="en-US"/>
        </w:rPr>
        <w:t>, under the prevailing circumstances,</w:t>
      </w:r>
      <w:r w:rsidR="00463349" w:rsidRPr="00463349">
        <w:rPr>
          <w:rFonts w:ascii="Arial" w:eastAsia="Times New Roman" w:hAnsi="Arial" w:cs="Arial"/>
          <w:sz w:val="24"/>
          <w:szCs w:val="24"/>
          <w:lang w:val="en-US"/>
        </w:rPr>
        <w:t xml:space="preserve"> be expected to continue to accommodate the occupiers on </w:t>
      </w:r>
      <w:r w:rsidR="00A41076">
        <w:rPr>
          <w:rFonts w:ascii="Arial" w:eastAsia="Times New Roman" w:hAnsi="Arial" w:cs="Arial"/>
          <w:sz w:val="24"/>
          <w:szCs w:val="24"/>
          <w:lang w:val="en-US"/>
        </w:rPr>
        <w:t>its</w:t>
      </w:r>
      <w:r w:rsidR="00463349" w:rsidRPr="00463349">
        <w:rPr>
          <w:rFonts w:ascii="Arial" w:eastAsia="Times New Roman" w:hAnsi="Arial" w:cs="Arial"/>
          <w:sz w:val="24"/>
          <w:szCs w:val="24"/>
          <w:lang w:val="en-US"/>
        </w:rPr>
        <w:t xml:space="preserve"> farm indefinitely. </w:t>
      </w:r>
    </w:p>
    <w:p w14:paraId="526AAF8F" w14:textId="77777777" w:rsidR="00E370B7" w:rsidRPr="00463349" w:rsidRDefault="00E370B7" w:rsidP="00A72873">
      <w:pPr>
        <w:spacing w:after="0" w:line="360" w:lineRule="auto"/>
        <w:jc w:val="both"/>
        <w:rPr>
          <w:rFonts w:ascii="Arial" w:eastAsia="Times New Roman" w:hAnsi="Arial" w:cs="Arial"/>
          <w:sz w:val="24"/>
          <w:szCs w:val="24"/>
          <w:lang w:val="en-US"/>
        </w:rPr>
      </w:pPr>
    </w:p>
    <w:p w14:paraId="0EEA95B7" w14:textId="5FC6CA11" w:rsidR="00774A33" w:rsidRDefault="00774A33" w:rsidP="00774A33">
      <w:pPr>
        <w:spacing w:after="0" w:line="360" w:lineRule="auto"/>
        <w:jc w:val="both"/>
        <w:rPr>
          <w:rFonts w:ascii="Arial" w:eastAsia="Times New Roman" w:hAnsi="Arial" w:cs="Arial"/>
          <w:bCs/>
          <w:sz w:val="24"/>
          <w:szCs w:val="24"/>
          <w:lang w:val="en-GB"/>
        </w:rPr>
      </w:pPr>
      <w:r w:rsidRPr="00774A33">
        <w:rPr>
          <w:rFonts w:ascii="Arial" w:eastAsia="Times New Roman" w:hAnsi="Arial" w:cs="Arial"/>
          <w:sz w:val="24"/>
          <w:szCs w:val="24"/>
          <w:lang w:val="en-US"/>
        </w:rPr>
        <w:t>[5</w:t>
      </w:r>
      <w:r w:rsidR="00F921C7">
        <w:rPr>
          <w:rFonts w:ascii="Arial" w:eastAsia="Times New Roman" w:hAnsi="Arial" w:cs="Arial"/>
          <w:sz w:val="24"/>
          <w:szCs w:val="24"/>
          <w:lang w:val="en-US"/>
        </w:rPr>
        <w:t>2</w:t>
      </w:r>
      <w:r w:rsidRPr="00774A33">
        <w:rPr>
          <w:rFonts w:ascii="Arial" w:eastAsia="Times New Roman" w:hAnsi="Arial" w:cs="Arial"/>
          <w:sz w:val="24"/>
          <w:szCs w:val="24"/>
          <w:lang w:val="en-US"/>
        </w:rPr>
        <w:t>]</w:t>
      </w:r>
      <w:r w:rsidRPr="00774A33">
        <w:rPr>
          <w:rFonts w:ascii="Arial" w:eastAsia="Times New Roman" w:hAnsi="Arial" w:cs="Arial"/>
          <w:sz w:val="24"/>
          <w:szCs w:val="24"/>
          <w:lang w:val="en-US"/>
        </w:rPr>
        <w:tab/>
        <w:t xml:space="preserve">Moreover, the dilapidated cottages </w:t>
      </w:r>
      <w:r w:rsidR="001552D8">
        <w:rPr>
          <w:rFonts w:ascii="Arial" w:eastAsia="Times New Roman" w:hAnsi="Arial" w:cs="Arial"/>
          <w:sz w:val="24"/>
          <w:szCs w:val="24"/>
          <w:lang w:val="en-US"/>
        </w:rPr>
        <w:t xml:space="preserve">appear to be </w:t>
      </w:r>
      <w:r w:rsidRPr="00774A33">
        <w:rPr>
          <w:rFonts w:ascii="Arial" w:eastAsia="Times New Roman" w:hAnsi="Arial" w:cs="Arial"/>
          <w:sz w:val="24"/>
          <w:szCs w:val="24"/>
          <w:lang w:val="en-US"/>
        </w:rPr>
        <w:t>on the verge of being uninhabitable due to the</w:t>
      </w:r>
      <w:r w:rsidR="003A4FF3">
        <w:rPr>
          <w:rFonts w:ascii="Arial" w:eastAsia="Times New Roman" w:hAnsi="Arial" w:cs="Arial"/>
          <w:sz w:val="24"/>
          <w:szCs w:val="24"/>
          <w:lang w:val="en-US"/>
        </w:rPr>
        <w:t>ir</w:t>
      </w:r>
      <w:r w:rsidRPr="00774A33">
        <w:rPr>
          <w:rFonts w:ascii="Arial" w:eastAsia="Times New Roman" w:hAnsi="Arial" w:cs="Arial"/>
          <w:sz w:val="24"/>
          <w:szCs w:val="24"/>
          <w:lang w:val="en-US"/>
        </w:rPr>
        <w:t xml:space="preserve"> state of disrepair</w:t>
      </w:r>
      <w:r w:rsidR="007B0168">
        <w:rPr>
          <w:rFonts w:ascii="Arial" w:eastAsia="Times New Roman" w:hAnsi="Arial" w:cs="Arial"/>
          <w:sz w:val="24"/>
          <w:szCs w:val="24"/>
          <w:lang w:val="en-US"/>
        </w:rPr>
        <w:t>.</w:t>
      </w:r>
      <w:r w:rsidRPr="00774A33">
        <w:rPr>
          <w:rFonts w:ascii="Arial" w:eastAsia="Times New Roman" w:hAnsi="Arial" w:cs="Arial"/>
          <w:sz w:val="24"/>
          <w:szCs w:val="24"/>
          <w:lang w:val="en-US"/>
        </w:rPr>
        <w:t xml:space="preserve"> T</w:t>
      </w:r>
      <w:r w:rsidRPr="00774A33">
        <w:rPr>
          <w:rFonts w:ascii="Arial" w:eastAsia="Times New Roman" w:hAnsi="Arial" w:cs="Arial"/>
          <w:bCs/>
          <w:sz w:val="24"/>
          <w:szCs w:val="24"/>
          <w:lang w:val="en-GB"/>
        </w:rPr>
        <w:t xml:space="preserve">he Trust’s averment that the cottages occupied by the occupiers were in a dilapidated state and warranted to be demolished was not disputed by the occupiers. It was averred that some of the walls were collapsing, with gaps between the asbestos roofing and the supporting wall. The extent of the dilapidation is borne out by the photographs attached to the Trust’s founding affidavit. This, in my view, is an aspect which, on its own, seriously militates against the refusal of the eviction order. </w:t>
      </w:r>
      <w:r w:rsidR="003E1463" w:rsidRPr="003958A9">
        <w:rPr>
          <w:rFonts w:ascii="Arial" w:eastAsia="Times New Roman" w:hAnsi="Arial" w:cs="Arial"/>
          <w:bCs/>
          <w:sz w:val="24"/>
          <w:szCs w:val="24"/>
          <w:lang w:val="en-GB"/>
        </w:rPr>
        <w:t>I</w:t>
      </w:r>
      <w:r w:rsidRPr="00774A33">
        <w:rPr>
          <w:rFonts w:ascii="Arial" w:eastAsia="Times New Roman" w:hAnsi="Arial" w:cs="Arial"/>
          <w:bCs/>
          <w:sz w:val="24"/>
          <w:szCs w:val="24"/>
          <w:lang w:val="en-GB"/>
        </w:rPr>
        <w:t xml:space="preserve">t simply cannot be in the interests of justice for this Court to sanction </w:t>
      </w:r>
      <w:r w:rsidR="004840FE">
        <w:rPr>
          <w:rFonts w:ascii="Arial" w:eastAsia="Times New Roman" w:hAnsi="Arial" w:cs="Arial"/>
          <w:bCs/>
          <w:sz w:val="24"/>
          <w:szCs w:val="24"/>
          <w:lang w:val="en-GB"/>
        </w:rPr>
        <w:t xml:space="preserve">continued </w:t>
      </w:r>
      <w:r w:rsidRPr="00774A33">
        <w:rPr>
          <w:rFonts w:ascii="Arial" w:eastAsia="Times New Roman" w:hAnsi="Arial" w:cs="Arial"/>
          <w:bCs/>
          <w:sz w:val="24"/>
          <w:szCs w:val="24"/>
          <w:lang w:val="en-GB"/>
        </w:rPr>
        <w:t>long-term occupation of uninhabitable dwellings.</w:t>
      </w:r>
    </w:p>
    <w:p w14:paraId="183073C6" w14:textId="77777777" w:rsidR="00E370B7" w:rsidRPr="00774A33" w:rsidRDefault="00E370B7" w:rsidP="00774A33">
      <w:pPr>
        <w:spacing w:after="0" w:line="360" w:lineRule="auto"/>
        <w:jc w:val="both"/>
        <w:rPr>
          <w:rFonts w:ascii="Arial" w:eastAsia="Times New Roman" w:hAnsi="Arial" w:cs="Arial"/>
          <w:sz w:val="24"/>
          <w:szCs w:val="24"/>
          <w:lang w:val="en-US"/>
        </w:rPr>
      </w:pPr>
    </w:p>
    <w:p w14:paraId="587E490C" w14:textId="3B4BF2C5" w:rsidR="00774A33" w:rsidRDefault="00774A33" w:rsidP="00774A33">
      <w:pPr>
        <w:spacing w:after="0" w:line="360" w:lineRule="auto"/>
        <w:jc w:val="both"/>
        <w:rPr>
          <w:rFonts w:ascii="Arial" w:eastAsia="Times New Roman" w:hAnsi="Arial" w:cs="Arial"/>
          <w:sz w:val="24"/>
          <w:szCs w:val="24"/>
          <w:lang w:val="en-US"/>
        </w:rPr>
      </w:pPr>
      <w:r w:rsidRPr="00774A33">
        <w:rPr>
          <w:rFonts w:ascii="Arial" w:eastAsia="Times New Roman" w:hAnsi="Arial" w:cs="Arial"/>
          <w:sz w:val="24"/>
          <w:szCs w:val="24"/>
          <w:lang w:val="en-US"/>
        </w:rPr>
        <w:t>[5</w:t>
      </w:r>
      <w:r w:rsidR="00F921C7">
        <w:rPr>
          <w:rFonts w:ascii="Arial" w:eastAsia="Times New Roman" w:hAnsi="Arial" w:cs="Arial"/>
          <w:sz w:val="24"/>
          <w:szCs w:val="24"/>
          <w:lang w:val="en-US"/>
        </w:rPr>
        <w:t>3</w:t>
      </w:r>
      <w:r w:rsidRPr="00774A33">
        <w:rPr>
          <w:rFonts w:ascii="Arial" w:eastAsia="Times New Roman" w:hAnsi="Arial" w:cs="Arial"/>
          <w:sz w:val="24"/>
          <w:szCs w:val="24"/>
          <w:lang w:val="en-US"/>
        </w:rPr>
        <w:t>]</w:t>
      </w:r>
      <w:r w:rsidRPr="00774A33">
        <w:rPr>
          <w:rFonts w:ascii="Arial" w:eastAsia="Times New Roman" w:hAnsi="Arial" w:cs="Arial"/>
          <w:sz w:val="24"/>
          <w:szCs w:val="24"/>
          <w:lang w:val="en-US"/>
        </w:rPr>
        <w:tab/>
        <w:t xml:space="preserve">Against the afore-stated background, to order the Trust to retain the occupiers on the farm and to expect the occupiers to live indefinitely in dilapidated cottages with asbestos roofing and in crooked wooden houses indefinitely would </w:t>
      </w:r>
      <w:r w:rsidR="001256CF">
        <w:rPr>
          <w:rFonts w:ascii="Arial" w:eastAsia="Times New Roman" w:hAnsi="Arial" w:cs="Arial"/>
          <w:sz w:val="24"/>
          <w:szCs w:val="24"/>
          <w:lang w:val="en-US"/>
        </w:rPr>
        <w:t xml:space="preserve">border on being inhumane. </w:t>
      </w:r>
      <w:r w:rsidRPr="00774A33">
        <w:rPr>
          <w:rFonts w:ascii="Arial" w:eastAsia="Times New Roman" w:hAnsi="Arial" w:cs="Arial"/>
          <w:sz w:val="24"/>
          <w:szCs w:val="24"/>
          <w:lang w:val="en-US"/>
        </w:rPr>
        <w:t>In the same vein, to order the Trust to renovate the cottages and to expect it to bear the costs of such renovation</w:t>
      </w:r>
      <w:r w:rsidR="00D2580C">
        <w:rPr>
          <w:rFonts w:ascii="Arial" w:eastAsia="Times New Roman" w:hAnsi="Arial" w:cs="Arial"/>
          <w:sz w:val="24"/>
          <w:szCs w:val="24"/>
          <w:lang w:val="en-US"/>
        </w:rPr>
        <w:t>s</w:t>
      </w:r>
      <w:r w:rsidRPr="00774A33">
        <w:rPr>
          <w:rFonts w:ascii="Arial" w:eastAsia="Times New Roman" w:hAnsi="Arial" w:cs="Arial"/>
          <w:sz w:val="24"/>
          <w:szCs w:val="24"/>
          <w:lang w:val="en-US"/>
        </w:rPr>
        <w:t xml:space="preserve"> </w:t>
      </w:r>
      <w:r w:rsidR="001256CF">
        <w:rPr>
          <w:rFonts w:ascii="Arial" w:eastAsia="Times New Roman" w:hAnsi="Arial" w:cs="Arial"/>
          <w:sz w:val="24"/>
          <w:szCs w:val="24"/>
          <w:lang w:val="en-US"/>
        </w:rPr>
        <w:t xml:space="preserve">in addition to the costs it has already incurred in </w:t>
      </w:r>
      <w:r w:rsidR="00042A40">
        <w:rPr>
          <w:rFonts w:ascii="Arial" w:eastAsia="Times New Roman" w:hAnsi="Arial" w:cs="Arial"/>
          <w:sz w:val="24"/>
          <w:szCs w:val="24"/>
          <w:lang w:val="en-US"/>
        </w:rPr>
        <w:t xml:space="preserve">managing the </w:t>
      </w:r>
      <w:r w:rsidR="00042A40">
        <w:rPr>
          <w:rFonts w:ascii="Arial" w:eastAsia="Times New Roman" w:hAnsi="Arial" w:cs="Arial"/>
          <w:sz w:val="24"/>
          <w:szCs w:val="24"/>
          <w:lang w:val="en-US"/>
        </w:rPr>
        <w:lastRenderedPageBreak/>
        <w:t xml:space="preserve">security risks </w:t>
      </w:r>
      <w:r w:rsidRPr="00774A33">
        <w:rPr>
          <w:rFonts w:ascii="Arial" w:eastAsia="Times New Roman" w:hAnsi="Arial" w:cs="Arial"/>
          <w:sz w:val="24"/>
          <w:szCs w:val="24"/>
          <w:lang w:val="en-US"/>
        </w:rPr>
        <w:t>would be to unfairly impose an additional hardship on the Trust</w:t>
      </w:r>
      <w:r w:rsidR="00D2580C">
        <w:rPr>
          <w:rFonts w:ascii="Arial" w:eastAsia="Times New Roman" w:hAnsi="Arial" w:cs="Arial"/>
          <w:sz w:val="24"/>
          <w:szCs w:val="24"/>
          <w:lang w:val="en-US"/>
        </w:rPr>
        <w:t xml:space="preserve">. </w:t>
      </w:r>
      <w:r w:rsidR="009B6E7A">
        <w:rPr>
          <w:rFonts w:ascii="Arial" w:eastAsia="Times New Roman" w:hAnsi="Arial" w:cs="Arial"/>
          <w:sz w:val="24"/>
          <w:szCs w:val="24"/>
          <w:lang w:val="en-US"/>
        </w:rPr>
        <w:t xml:space="preserve">All the more so because </w:t>
      </w:r>
      <w:r w:rsidRPr="00774A33">
        <w:rPr>
          <w:rFonts w:ascii="Arial" w:eastAsia="Times New Roman" w:hAnsi="Arial" w:cs="Arial"/>
          <w:sz w:val="24"/>
          <w:szCs w:val="24"/>
          <w:lang w:val="en-US"/>
        </w:rPr>
        <w:t xml:space="preserve">the </w:t>
      </w:r>
      <w:r w:rsidR="009B6E7A">
        <w:rPr>
          <w:rFonts w:ascii="Arial" w:eastAsia="Times New Roman" w:hAnsi="Arial" w:cs="Arial"/>
          <w:sz w:val="24"/>
          <w:szCs w:val="24"/>
          <w:lang w:val="en-US"/>
        </w:rPr>
        <w:t xml:space="preserve">Trust has had to </w:t>
      </w:r>
      <w:r w:rsidRPr="00774A33">
        <w:rPr>
          <w:rFonts w:ascii="Arial" w:eastAsia="Times New Roman" w:hAnsi="Arial" w:cs="Arial"/>
          <w:sz w:val="24"/>
          <w:szCs w:val="24"/>
          <w:lang w:val="en-US"/>
        </w:rPr>
        <w:t xml:space="preserve">tolerate </w:t>
      </w:r>
      <w:r w:rsidR="00E803BC">
        <w:rPr>
          <w:rFonts w:ascii="Arial" w:eastAsia="Times New Roman" w:hAnsi="Arial" w:cs="Arial"/>
          <w:sz w:val="24"/>
          <w:szCs w:val="24"/>
          <w:lang w:val="en-US"/>
        </w:rPr>
        <w:t xml:space="preserve">the occupiers’ attitude </w:t>
      </w:r>
      <w:r w:rsidRPr="00774A33">
        <w:rPr>
          <w:rFonts w:ascii="Arial" w:eastAsia="Times New Roman" w:hAnsi="Arial" w:cs="Arial"/>
          <w:sz w:val="24"/>
          <w:szCs w:val="24"/>
          <w:lang w:val="en-US"/>
        </w:rPr>
        <w:t xml:space="preserve">in circumstances where the occupiers have been staying in the cottages rent free for more than a decade after the termination of the employment relationship. </w:t>
      </w:r>
    </w:p>
    <w:p w14:paraId="0B5B1118" w14:textId="77777777" w:rsidR="00E370B7" w:rsidRPr="00774A33" w:rsidRDefault="00E370B7" w:rsidP="00774A33">
      <w:pPr>
        <w:spacing w:after="0" w:line="360" w:lineRule="auto"/>
        <w:jc w:val="both"/>
        <w:rPr>
          <w:rFonts w:ascii="Arial" w:eastAsia="Times New Roman" w:hAnsi="Arial" w:cs="Arial"/>
          <w:sz w:val="24"/>
          <w:szCs w:val="24"/>
          <w:lang w:val="en-GB"/>
        </w:rPr>
      </w:pPr>
    </w:p>
    <w:p w14:paraId="378326C9" w14:textId="34783287" w:rsidR="000317C9" w:rsidRPr="003958A9" w:rsidRDefault="00774A33" w:rsidP="00E370B7">
      <w:pPr>
        <w:spacing w:after="0" w:line="360" w:lineRule="auto"/>
        <w:jc w:val="both"/>
        <w:rPr>
          <w:rFonts w:ascii="Arial" w:eastAsia="Times New Roman" w:hAnsi="Arial" w:cs="Arial"/>
          <w:sz w:val="24"/>
          <w:szCs w:val="24"/>
          <w:lang w:val="en-GB"/>
        </w:rPr>
      </w:pPr>
      <w:r w:rsidRPr="00774A33">
        <w:rPr>
          <w:rFonts w:ascii="Arial" w:eastAsia="Times New Roman" w:hAnsi="Arial" w:cs="Arial"/>
          <w:sz w:val="24"/>
          <w:szCs w:val="24"/>
          <w:lang w:val="en-GB"/>
        </w:rPr>
        <w:t>[5</w:t>
      </w:r>
      <w:r w:rsidR="00F921C7">
        <w:rPr>
          <w:rFonts w:ascii="Arial" w:eastAsia="Times New Roman" w:hAnsi="Arial" w:cs="Arial"/>
          <w:sz w:val="24"/>
          <w:szCs w:val="24"/>
          <w:lang w:val="en-GB"/>
        </w:rPr>
        <w:t>4</w:t>
      </w:r>
      <w:r w:rsidRPr="00774A33">
        <w:rPr>
          <w:rFonts w:ascii="Arial" w:eastAsia="Times New Roman" w:hAnsi="Arial" w:cs="Arial"/>
          <w:sz w:val="24"/>
          <w:szCs w:val="24"/>
          <w:lang w:val="en-GB"/>
        </w:rPr>
        <w:t>]</w:t>
      </w:r>
      <w:r w:rsidRPr="00774A33">
        <w:rPr>
          <w:rFonts w:ascii="Arial" w:eastAsia="Times New Roman" w:hAnsi="Arial" w:cs="Arial"/>
          <w:sz w:val="24"/>
          <w:szCs w:val="24"/>
          <w:lang w:val="en-GB"/>
        </w:rPr>
        <w:tab/>
        <w:t>It is well-established that in the context of justice and equity, the availability or otherwise of alternative accommodation is one of the factors that a court must take into consideration. I</w:t>
      </w:r>
      <w:r w:rsidRPr="00774A33">
        <w:rPr>
          <w:rFonts w:ascii="Arial" w:eastAsia="Times New Roman" w:hAnsi="Arial" w:cs="Arial"/>
          <w:bCs/>
          <w:sz w:val="24"/>
          <w:szCs w:val="24"/>
          <w:lang w:val="en-US"/>
        </w:rPr>
        <w:t>n</w:t>
      </w:r>
      <w:r w:rsidRPr="00774A33">
        <w:rPr>
          <w:rFonts w:ascii="Arial" w:eastAsia="Times New Roman" w:hAnsi="Arial" w:cs="Arial"/>
          <w:i/>
          <w:iCs/>
          <w:sz w:val="24"/>
          <w:szCs w:val="24"/>
          <w:lang w:val="en-GB"/>
        </w:rPr>
        <w:t xml:space="preserve"> </w:t>
      </w:r>
      <w:bookmarkStart w:id="17" w:name="_Hlk125118784"/>
      <w:r w:rsidRPr="00774A33">
        <w:rPr>
          <w:rFonts w:ascii="Arial" w:eastAsia="Times New Roman" w:hAnsi="Arial" w:cs="Arial"/>
          <w:bCs/>
          <w:i/>
          <w:iCs/>
          <w:sz w:val="24"/>
          <w:szCs w:val="24"/>
          <w:lang w:val="en-GB"/>
        </w:rPr>
        <w:t>Molusi</w:t>
      </w:r>
      <w:bookmarkEnd w:id="17"/>
      <w:r w:rsidRPr="00774A33">
        <w:rPr>
          <w:rFonts w:ascii="Arial" w:eastAsia="Times New Roman" w:hAnsi="Arial" w:cs="Arial"/>
          <w:sz w:val="24"/>
          <w:szCs w:val="24"/>
          <w:lang w:val="en-GB"/>
        </w:rPr>
        <w:t>,</w:t>
      </w:r>
      <w:r w:rsidRPr="00774A33">
        <w:rPr>
          <w:rFonts w:ascii="Arial" w:eastAsia="Times New Roman" w:hAnsi="Arial" w:cs="Arial"/>
          <w:sz w:val="24"/>
          <w:szCs w:val="24"/>
          <w:vertAlign w:val="superscript"/>
          <w:lang w:val="en-GB"/>
        </w:rPr>
        <w:footnoteReference w:id="22"/>
      </w:r>
      <w:r w:rsidRPr="00774A33">
        <w:rPr>
          <w:rFonts w:ascii="Arial" w:eastAsia="Times New Roman" w:hAnsi="Arial" w:cs="Arial"/>
          <w:sz w:val="24"/>
          <w:szCs w:val="24"/>
          <w:lang w:val="en-GB"/>
        </w:rPr>
        <w:t xml:space="preserve"> the Constitutional Court held that a municipality is obliged not only in terms of ESTA, but also s 26(3) of the Constitution to provide suitable alternative accommodation. In this matter, the </w:t>
      </w:r>
      <w:r w:rsidRPr="003958A9">
        <w:rPr>
          <w:rFonts w:ascii="Arial" w:eastAsia="Times New Roman" w:hAnsi="Arial" w:cs="Arial"/>
          <w:sz w:val="24"/>
          <w:szCs w:val="24"/>
          <w:lang w:val="en-GB"/>
        </w:rPr>
        <w:t xml:space="preserve">occupiers indicated that they would have no place of abode, should they be evicted from the farm. Some of them had already applied to the </w:t>
      </w:r>
      <w:r w:rsidR="00580018" w:rsidRPr="003958A9">
        <w:rPr>
          <w:rFonts w:ascii="Arial" w:eastAsia="Times New Roman" w:hAnsi="Arial" w:cs="Arial"/>
          <w:sz w:val="24"/>
          <w:szCs w:val="24"/>
          <w:lang w:val="en-GB"/>
        </w:rPr>
        <w:t>27</w:t>
      </w:r>
      <w:r w:rsidR="00580018" w:rsidRPr="003958A9">
        <w:rPr>
          <w:rFonts w:ascii="Arial" w:eastAsia="Times New Roman" w:hAnsi="Arial" w:cs="Arial"/>
          <w:sz w:val="24"/>
          <w:szCs w:val="24"/>
          <w:vertAlign w:val="superscript"/>
          <w:lang w:val="en-GB"/>
        </w:rPr>
        <w:t>th</w:t>
      </w:r>
      <w:r w:rsidR="00580018" w:rsidRPr="003958A9">
        <w:rPr>
          <w:rFonts w:ascii="Arial" w:eastAsia="Times New Roman" w:hAnsi="Arial" w:cs="Arial"/>
          <w:sz w:val="24"/>
          <w:szCs w:val="24"/>
          <w:lang w:val="en-GB"/>
        </w:rPr>
        <w:t xml:space="preserve"> </w:t>
      </w:r>
      <w:r w:rsidRPr="003958A9">
        <w:rPr>
          <w:rFonts w:ascii="Arial" w:eastAsia="Times New Roman" w:hAnsi="Arial" w:cs="Arial"/>
          <w:sz w:val="24"/>
          <w:szCs w:val="24"/>
          <w:lang w:val="en-GB"/>
        </w:rPr>
        <w:t xml:space="preserve">respondent (the </w:t>
      </w:r>
      <w:r w:rsidR="00AA0A55" w:rsidRPr="003958A9">
        <w:rPr>
          <w:rFonts w:ascii="Arial" w:eastAsia="Times New Roman" w:hAnsi="Arial" w:cs="Arial"/>
          <w:sz w:val="24"/>
          <w:szCs w:val="24"/>
          <w:lang w:val="en-GB"/>
        </w:rPr>
        <w:t>m</w:t>
      </w:r>
      <w:r w:rsidRPr="003958A9">
        <w:rPr>
          <w:rFonts w:ascii="Arial" w:eastAsia="Times New Roman" w:hAnsi="Arial" w:cs="Arial"/>
          <w:sz w:val="24"/>
          <w:szCs w:val="24"/>
          <w:lang w:val="en-GB"/>
        </w:rPr>
        <w:t>unicipality) for assistance regarding their accommodation needs, but it had been a fruitless exercise for some of them, while a few were put on a waiting list.</w:t>
      </w:r>
    </w:p>
    <w:p w14:paraId="04B79CCD" w14:textId="77777777" w:rsidR="00E370B7" w:rsidRPr="003958A9" w:rsidRDefault="00E370B7" w:rsidP="00A72873">
      <w:pPr>
        <w:spacing w:after="0" w:line="360" w:lineRule="auto"/>
        <w:jc w:val="both"/>
        <w:rPr>
          <w:rFonts w:ascii="Arial" w:eastAsia="Times New Roman" w:hAnsi="Arial" w:cs="Arial"/>
          <w:sz w:val="24"/>
          <w:szCs w:val="24"/>
          <w:lang w:val="en-GB"/>
        </w:rPr>
      </w:pPr>
    </w:p>
    <w:p w14:paraId="336CC9D5" w14:textId="610913F2" w:rsidR="0069372B" w:rsidRDefault="000317C9" w:rsidP="00E370B7">
      <w:pPr>
        <w:spacing w:after="0" w:line="360" w:lineRule="auto"/>
        <w:jc w:val="both"/>
        <w:rPr>
          <w:rFonts w:ascii="Arial" w:eastAsia="Times New Roman" w:hAnsi="Arial" w:cs="Arial"/>
          <w:sz w:val="24"/>
          <w:szCs w:val="24"/>
          <w:lang w:val="en-GB"/>
        </w:rPr>
      </w:pPr>
      <w:r w:rsidRPr="003958A9">
        <w:rPr>
          <w:rFonts w:ascii="Arial" w:eastAsia="Times New Roman" w:hAnsi="Arial" w:cs="Arial"/>
          <w:sz w:val="24"/>
          <w:szCs w:val="24"/>
          <w:lang w:val="en-GB"/>
        </w:rPr>
        <w:t>[5</w:t>
      </w:r>
      <w:r w:rsidR="00F921C7" w:rsidRPr="003958A9">
        <w:rPr>
          <w:rFonts w:ascii="Arial" w:eastAsia="Times New Roman" w:hAnsi="Arial" w:cs="Arial"/>
          <w:sz w:val="24"/>
          <w:szCs w:val="24"/>
          <w:lang w:val="en-GB"/>
        </w:rPr>
        <w:t>5</w:t>
      </w:r>
      <w:r w:rsidRPr="003958A9">
        <w:rPr>
          <w:rFonts w:ascii="Arial" w:eastAsia="Times New Roman" w:hAnsi="Arial" w:cs="Arial"/>
          <w:sz w:val="24"/>
          <w:szCs w:val="24"/>
          <w:lang w:val="en-GB"/>
        </w:rPr>
        <w:t>]</w:t>
      </w:r>
      <w:r w:rsidRPr="003958A9">
        <w:rPr>
          <w:rFonts w:ascii="Arial" w:eastAsia="Times New Roman" w:hAnsi="Arial" w:cs="Arial"/>
          <w:sz w:val="24"/>
          <w:szCs w:val="24"/>
          <w:lang w:val="en-GB"/>
        </w:rPr>
        <w:tab/>
      </w:r>
      <w:r w:rsidR="00774A33" w:rsidRPr="003958A9">
        <w:rPr>
          <w:rFonts w:ascii="Arial" w:eastAsia="Times New Roman" w:hAnsi="Arial" w:cs="Arial"/>
          <w:sz w:val="24"/>
          <w:szCs w:val="24"/>
          <w:lang w:val="en-GB"/>
        </w:rPr>
        <w:t xml:space="preserve"> The </w:t>
      </w:r>
      <w:r w:rsidR="003969DE" w:rsidRPr="003958A9">
        <w:rPr>
          <w:rFonts w:ascii="Arial" w:eastAsia="Times New Roman" w:hAnsi="Arial" w:cs="Arial"/>
          <w:sz w:val="24"/>
          <w:szCs w:val="24"/>
          <w:lang w:val="en-GB"/>
        </w:rPr>
        <w:t>m</w:t>
      </w:r>
      <w:r w:rsidR="00774A33" w:rsidRPr="003958A9">
        <w:rPr>
          <w:rFonts w:ascii="Arial" w:eastAsia="Times New Roman" w:hAnsi="Arial" w:cs="Arial"/>
          <w:sz w:val="24"/>
          <w:szCs w:val="24"/>
          <w:lang w:val="en-GB"/>
        </w:rPr>
        <w:t xml:space="preserve">unicipality compiled a report on 8 October 2020. In respect of the second respondent, who is the wife of the first respondent, the report acknowledges that she applied for housing from the government in 2013 and confirms that she was registered on the </w:t>
      </w:r>
      <w:r w:rsidR="003969DE" w:rsidRPr="003958A9">
        <w:rPr>
          <w:rFonts w:ascii="Arial" w:eastAsia="Times New Roman" w:hAnsi="Arial" w:cs="Arial"/>
          <w:sz w:val="24"/>
          <w:szCs w:val="24"/>
          <w:lang w:val="en-GB"/>
        </w:rPr>
        <w:t>m</w:t>
      </w:r>
      <w:r w:rsidR="00774A33" w:rsidRPr="003958A9">
        <w:rPr>
          <w:rFonts w:ascii="Arial" w:eastAsia="Times New Roman" w:hAnsi="Arial" w:cs="Arial"/>
          <w:sz w:val="24"/>
          <w:szCs w:val="24"/>
          <w:lang w:val="en-GB"/>
        </w:rPr>
        <w:t xml:space="preserve">unicipality’s housing database on 24 June 2013. </w:t>
      </w:r>
      <w:r w:rsidR="0069372B" w:rsidRPr="003958A9">
        <w:rPr>
          <w:rFonts w:ascii="Arial" w:eastAsia="Times New Roman" w:hAnsi="Arial" w:cs="Arial"/>
          <w:sz w:val="24"/>
          <w:szCs w:val="24"/>
          <w:lang w:val="en-GB"/>
        </w:rPr>
        <w:t>It also records that the first respondent</w:t>
      </w:r>
      <w:r w:rsidR="0069372B" w:rsidRPr="000317C9">
        <w:rPr>
          <w:rFonts w:ascii="Arial" w:eastAsia="Times New Roman" w:hAnsi="Arial" w:cs="Arial"/>
          <w:sz w:val="24"/>
          <w:szCs w:val="24"/>
          <w:lang w:val="en-GB"/>
        </w:rPr>
        <w:t xml:space="preserve"> is suffering from a disability</w:t>
      </w:r>
      <w:r w:rsidR="00EF3C17">
        <w:rPr>
          <w:rFonts w:ascii="Arial" w:eastAsia="Times New Roman" w:hAnsi="Arial" w:cs="Arial"/>
          <w:sz w:val="24"/>
          <w:szCs w:val="24"/>
          <w:lang w:val="en-GB"/>
        </w:rPr>
        <w:t>. It states</w:t>
      </w:r>
      <w:r w:rsidR="0069372B" w:rsidRPr="000317C9">
        <w:rPr>
          <w:rFonts w:ascii="Arial" w:eastAsia="Times New Roman" w:hAnsi="Arial" w:cs="Arial"/>
          <w:sz w:val="24"/>
          <w:szCs w:val="24"/>
          <w:lang w:val="en-GB"/>
        </w:rPr>
        <w:t xml:space="preserve"> that </w:t>
      </w:r>
      <w:r w:rsidR="00EF3C17">
        <w:rPr>
          <w:rFonts w:ascii="Arial" w:eastAsia="Times New Roman" w:hAnsi="Arial" w:cs="Arial"/>
          <w:sz w:val="24"/>
          <w:szCs w:val="24"/>
          <w:lang w:val="en-GB"/>
        </w:rPr>
        <w:t xml:space="preserve">even though </w:t>
      </w:r>
      <w:r w:rsidR="0069372B" w:rsidRPr="000317C9">
        <w:rPr>
          <w:rFonts w:ascii="Arial" w:eastAsia="Times New Roman" w:hAnsi="Arial" w:cs="Arial"/>
          <w:sz w:val="24"/>
          <w:szCs w:val="24"/>
          <w:lang w:val="en-GB"/>
        </w:rPr>
        <w:t>he was dependent on a disability grant, the grant had been suspended. The report also notes that the first respondent’s wife and the couple’s two children are employed. Surprisingly, it records that ‘the housing application has not been flagged as rural dwellers’ but does not explain why that was not done. It concludes by mentioning that ‘due to the date of the application, the applicant will not be considered for formal housing soon’ but does not elaborate on why the application cannot be considered expeditiously.</w:t>
      </w:r>
      <w:r w:rsidR="00F82524">
        <w:rPr>
          <w:rFonts w:ascii="Arial" w:eastAsia="Times New Roman" w:hAnsi="Arial" w:cs="Arial"/>
          <w:sz w:val="24"/>
          <w:szCs w:val="24"/>
          <w:lang w:val="en-GB"/>
        </w:rPr>
        <w:t xml:space="preserve"> </w:t>
      </w:r>
    </w:p>
    <w:p w14:paraId="38A5F4D3" w14:textId="77777777" w:rsidR="00E370B7" w:rsidRPr="000317C9" w:rsidRDefault="00E370B7" w:rsidP="00A72873">
      <w:pPr>
        <w:spacing w:after="0" w:line="360" w:lineRule="auto"/>
        <w:jc w:val="both"/>
        <w:rPr>
          <w:rFonts w:ascii="Arial" w:eastAsia="Times New Roman" w:hAnsi="Arial" w:cs="Arial"/>
          <w:sz w:val="24"/>
          <w:szCs w:val="24"/>
          <w:lang w:val="en-GB"/>
        </w:rPr>
      </w:pPr>
    </w:p>
    <w:p w14:paraId="0A4E41D7" w14:textId="5975AF41" w:rsidR="00B74185" w:rsidRPr="003958A9" w:rsidRDefault="00774A33" w:rsidP="00774A33">
      <w:pPr>
        <w:spacing w:after="0" w:line="360" w:lineRule="auto"/>
        <w:jc w:val="both"/>
        <w:rPr>
          <w:rFonts w:ascii="Arial" w:eastAsia="Times New Roman" w:hAnsi="Arial" w:cs="Arial"/>
          <w:sz w:val="24"/>
          <w:szCs w:val="24"/>
          <w:lang w:val="en-GB"/>
        </w:rPr>
      </w:pPr>
      <w:r w:rsidRPr="00774A33">
        <w:rPr>
          <w:rFonts w:ascii="Arial" w:eastAsia="Times New Roman" w:hAnsi="Arial" w:cs="Arial"/>
          <w:sz w:val="24"/>
          <w:szCs w:val="24"/>
          <w:lang w:val="en-GB"/>
        </w:rPr>
        <w:t>[</w:t>
      </w:r>
      <w:r w:rsidR="000317C9" w:rsidRPr="000317C9">
        <w:rPr>
          <w:rFonts w:ascii="Arial" w:eastAsia="Times New Roman" w:hAnsi="Arial" w:cs="Arial"/>
          <w:sz w:val="24"/>
          <w:szCs w:val="24"/>
          <w:lang w:val="en-GB"/>
        </w:rPr>
        <w:t>5</w:t>
      </w:r>
      <w:r w:rsidR="00F921C7">
        <w:rPr>
          <w:rFonts w:ascii="Arial" w:eastAsia="Times New Roman" w:hAnsi="Arial" w:cs="Arial"/>
          <w:sz w:val="24"/>
          <w:szCs w:val="24"/>
          <w:lang w:val="en-GB"/>
        </w:rPr>
        <w:t>6</w:t>
      </w:r>
      <w:r w:rsidRPr="00774A33">
        <w:rPr>
          <w:rFonts w:ascii="Arial" w:eastAsia="Times New Roman" w:hAnsi="Arial" w:cs="Arial"/>
          <w:sz w:val="24"/>
          <w:szCs w:val="24"/>
          <w:lang w:val="en-GB"/>
        </w:rPr>
        <w:t>]</w:t>
      </w:r>
      <w:r w:rsidRPr="00774A33">
        <w:rPr>
          <w:rFonts w:ascii="Arial" w:eastAsia="Times New Roman" w:hAnsi="Arial" w:cs="Arial"/>
          <w:sz w:val="24"/>
          <w:szCs w:val="24"/>
          <w:lang w:val="en-GB"/>
        </w:rPr>
        <w:tab/>
      </w:r>
      <w:r w:rsidRPr="003958A9">
        <w:rPr>
          <w:rFonts w:ascii="Arial" w:eastAsia="Times New Roman" w:hAnsi="Arial" w:cs="Arial"/>
          <w:sz w:val="24"/>
          <w:szCs w:val="24"/>
          <w:lang w:val="en-GB"/>
        </w:rPr>
        <w:t xml:space="preserve">The </w:t>
      </w:r>
      <w:r w:rsidR="003969DE" w:rsidRPr="003958A9">
        <w:rPr>
          <w:rFonts w:ascii="Arial" w:eastAsia="Times New Roman" w:hAnsi="Arial" w:cs="Arial"/>
          <w:sz w:val="24"/>
          <w:szCs w:val="24"/>
          <w:lang w:val="en-GB"/>
        </w:rPr>
        <w:t>m</w:t>
      </w:r>
      <w:r w:rsidRPr="003958A9">
        <w:rPr>
          <w:rFonts w:ascii="Arial" w:eastAsia="Times New Roman" w:hAnsi="Arial" w:cs="Arial"/>
          <w:sz w:val="24"/>
          <w:szCs w:val="24"/>
          <w:lang w:val="en-GB"/>
        </w:rPr>
        <w:t xml:space="preserve">unicipality’s report also </w:t>
      </w:r>
      <w:r w:rsidR="00717A87" w:rsidRPr="003958A9">
        <w:rPr>
          <w:rFonts w:ascii="Arial" w:eastAsia="Times New Roman" w:hAnsi="Arial" w:cs="Arial"/>
          <w:sz w:val="24"/>
          <w:szCs w:val="24"/>
          <w:lang w:val="en-GB"/>
        </w:rPr>
        <w:t xml:space="preserve">divulged </w:t>
      </w:r>
      <w:r w:rsidRPr="003958A9">
        <w:rPr>
          <w:rFonts w:ascii="Arial" w:eastAsia="Times New Roman" w:hAnsi="Arial" w:cs="Arial"/>
          <w:sz w:val="24"/>
          <w:szCs w:val="24"/>
          <w:lang w:val="en-GB"/>
        </w:rPr>
        <w:t xml:space="preserve">that eligibility for emergency housing was governed by the Municipality’s Temporary Housing Assistance </w:t>
      </w:r>
      <w:r w:rsidRPr="003958A9">
        <w:rPr>
          <w:rFonts w:ascii="Arial" w:eastAsia="Times New Roman" w:hAnsi="Arial" w:cs="Arial"/>
          <w:sz w:val="24"/>
          <w:szCs w:val="24"/>
          <w:lang w:val="en-GB"/>
        </w:rPr>
        <w:lastRenderedPageBreak/>
        <w:t>Policy (policy). In terms of that policy, only households earning R5</w:t>
      </w:r>
      <w:r w:rsidR="00DF5BF5" w:rsidRPr="003958A9">
        <w:rPr>
          <w:rFonts w:ascii="Arial" w:eastAsia="Times New Roman" w:hAnsi="Arial" w:cs="Arial"/>
          <w:sz w:val="24"/>
          <w:szCs w:val="24"/>
          <w:lang w:val="en-GB"/>
        </w:rPr>
        <w:t> </w:t>
      </w:r>
      <w:r w:rsidRPr="003958A9">
        <w:rPr>
          <w:rFonts w:ascii="Arial" w:eastAsia="Times New Roman" w:hAnsi="Arial" w:cs="Arial"/>
          <w:sz w:val="24"/>
          <w:szCs w:val="24"/>
          <w:lang w:val="en-GB"/>
        </w:rPr>
        <w:t>400</w:t>
      </w:r>
      <w:r w:rsidR="00DF5BF5" w:rsidRPr="003958A9">
        <w:rPr>
          <w:rFonts w:ascii="Arial" w:eastAsia="Times New Roman" w:hAnsi="Arial" w:cs="Arial"/>
          <w:sz w:val="24"/>
          <w:szCs w:val="24"/>
          <w:lang w:val="en-GB"/>
        </w:rPr>
        <w:t xml:space="preserve"> </w:t>
      </w:r>
      <w:r w:rsidRPr="003958A9">
        <w:rPr>
          <w:rFonts w:ascii="Arial" w:eastAsia="Times New Roman" w:hAnsi="Arial" w:cs="Arial"/>
          <w:sz w:val="24"/>
          <w:szCs w:val="24"/>
          <w:lang w:val="en-GB"/>
        </w:rPr>
        <w:t>per month and below qualified for ‘indigent and financial assistance subsidies’.</w:t>
      </w:r>
      <w:r w:rsidR="00F82524">
        <w:rPr>
          <w:rFonts w:ascii="Arial" w:eastAsia="Times New Roman" w:hAnsi="Arial" w:cs="Arial"/>
          <w:sz w:val="24"/>
          <w:szCs w:val="24"/>
          <w:lang w:val="en-GB"/>
        </w:rPr>
        <w:t xml:space="preserve"> </w:t>
      </w:r>
    </w:p>
    <w:p w14:paraId="1EC7481D" w14:textId="77777777" w:rsidR="00E370B7" w:rsidRPr="003958A9" w:rsidRDefault="00E370B7" w:rsidP="00774A33">
      <w:pPr>
        <w:spacing w:after="0" w:line="360" w:lineRule="auto"/>
        <w:jc w:val="both"/>
        <w:rPr>
          <w:rFonts w:ascii="Arial" w:eastAsia="Times New Roman" w:hAnsi="Arial" w:cs="Arial"/>
          <w:sz w:val="24"/>
          <w:szCs w:val="24"/>
          <w:lang w:val="en-GB"/>
        </w:rPr>
      </w:pPr>
    </w:p>
    <w:p w14:paraId="0887A571" w14:textId="7027DCFF" w:rsidR="00774A33" w:rsidRPr="00774A33" w:rsidRDefault="00B74185" w:rsidP="00774A33">
      <w:pPr>
        <w:spacing w:after="0" w:line="360" w:lineRule="auto"/>
        <w:jc w:val="both"/>
        <w:rPr>
          <w:rFonts w:ascii="Arial" w:eastAsia="Times New Roman" w:hAnsi="Arial" w:cs="Arial"/>
          <w:sz w:val="24"/>
          <w:szCs w:val="24"/>
          <w:lang w:val="en-GB"/>
        </w:rPr>
      </w:pPr>
      <w:r w:rsidRPr="003958A9">
        <w:rPr>
          <w:rFonts w:ascii="Arial" w:eastAsia="Times New Roman" w:hAnsi="Arial" w:cs="Arial"/>
          <w:sz w:val="24"/>
          <w:szCs w:val="24"/>
          <w:lang w:val="en-GB"/>
        </w:rPr>
        <w:t>[5</w:t>
      </w:r>
      <w:r w:rsidR="00F921C7" w:rsidRPr="003958A9">
        <w:rPr>
          <w:rFonts w:ascii="Arial" w:eastAsia="Times New Roman" w:hAnsi="Arial" w:cs="Arial"/>
          <w:sz w:val="24"/>
          <w:szCs w:val="24"/>
          <w:lang w:val="en-GB"/>
        </w:rPr>
        <w:t>7</w:t>
      </w:r>
      <w:r w:rsidRPr="003958A9">
        <w:rPr>
          <w:rFonts w:ascii="Arial" w:eastAsia="Times New Roman" w:hAnsi="Arial" w:cs="Arial"/>
          <w:sz w:val="24"/>
          <w:szCs w:val="24"/>
          <w:lang w:val="en-GB"/>
        </w:rPr>
        <w:t>]</w:t>
      </w:r>
      <w:r w:rsidRPr="003958A9">
        <w:rPr>
          <w:rFonts w:ascii="Arial" w:eastAsia="Times New Roman" w:hAnsi="Arial" w:cs="Arial"/>
          <w:sz w:val="24"/>
          <w:szCs w:val="24"/>
          <w:lang w:val="en-GB"/>
        </w:rPr>
        <w:tab/>
      </w:r>
      <w:r w:rsidR="00774A33" w:rsidRPr="003958A9">
        <w:rPr>
          <w:rFonts w:ascii="Arial" w:eastAsia="Times New Roman" w:hAnsi="Arial" w:cs="Arial"/>
          <w:sz w:val="24"/>
          <w:szCs w:val="24"/>
          <w:lang w:val="en-GB"/>
        </w:rPr>
        <w:t xml:space="preserve">Following a narration of the challenges the </w:t>
      </w:r>
      <w:r w:rsidR="003969DE" w:rsidRPr="003958A9">
        <w:rPr>
          <w:rFonts w:ascii="Arial" w:eastAsia="Times New Roman" w:hAnsi="Arial" w:cs="Arial"/>
          <w:sz w:val="24"/>
          <w:szCs w:val="24"/>
          <w:lang w:val="en-GB"/>
        </w:rPr>
        <w:t>m</w:t>
      </w:r>
      <w:r w:rsidR="00774A33" w:rsidRPr="003958A9">
        <w:rPr>
          <w:rFonts w:ascii="Arial" w:eastAsia="Times New Roman" w:hAnsi="Arial" w:cs="Arial"/>
          <w:sz w:val="24"/>
          <w:szCs w:val="24"/>
          <w:lang w:val="en-GB"/>
        </w:rPr>
        <w:t>unicipality was facing in respect of allocation of housing to indigent communities, the</w:t>
      </w:r>
      <w:r w:rsidR="00774A33" w:rsidRPr="00774A33">
        <w:rPr>
          <w:rFonts w:ascii="Arial" w:eastAsia="Times New Roman" w:hAnsi="Arial" w:cs="Arial"/>
          <w:sz w:val="24"/>
          <w:szCs w:val="24"/>
          <w:lang w:val="en-GB"/>
        </w:rPr>
        <w:t xml:space="preserve"> report stated as follows under the heading ‘Conclusion’:</w:t>
      </w:r>
    </w:p>
    <w:p w14:paraId="56E2A79B" w14:textId="77777777" w:rsidR="00774A33" w:rsidRPr="00774A33" w:rsidRDefault="00774A33" w:rsidP="00774A33">
      <w:pPr>
        <w:spacing w:after="0" w:line="360" w:lineRule="auto"/>
        <w:jc w:val="both"/>
        <w:rPr>
          <w:rFonts w:ascii="Arial" w:eastAsia="Times New Roman" w:hAnsi="Arial" w:cs="Arial"/>
          <w:u w:val="single"/>
          <w:lang w:val="en-GB"/>
        </w:rPr>
      </w:pPr>
      <w:r w:rsidRPr="00774A33">
        <w:rPr>
          <w:rFonts w:ascii="Arial" w:eastAsia="Times New Roman" w:hAnsi="Arial" w:cs="Arial"/>
          <w:u w:val="single"/>
          <w:lang w:val="en-GB"/>
        </w:rPr>
        <w:t>‘Formal Housing</w:t>
      </w:r>
    </w:p>
    <w:p w14:paraId="5044D10E" w14:textId="77777777" w:rsidR="00774A33" w:rsidRPr="00774A33" w:rsidRDefault="00774A33" w:rsidP="00774A33">
      <w:pPr>
        <w:spacing w:after="0" w:line="360" w:lineRule="auto"/>
        <w:jc w:val="both"/>
        <w:rPr>
          <w:rFonts w:ascii="Arial" w:eastAsia="Times New Roman" w:hAnsi="Arial" w:cs="Arial"/>
          <w:lang w:val="en-GB"/>
        </w:rPr>
      </w:pPr>
      <w:r w:rsidRPr="00774A33">
        <w:rPr>
          <w:rFonts w:ascii="Arial" w:eastAsia="Times New Roman" w:hAnsi="Arial" w:cs="Arial"/>
          <w:lang w:val="en-GB"/>
        </w:rPr>
        <w:t xml:space="preserve">56. The Municipality faces a housing demand of 19 500 applicants which includes unemployed and/or physically challenged persons. </w:t>
      </w:r>
    </w:p>
    <w:p w14:paraId="7B14E790" w14:textId="77777777" w:rsidR="00774A33" w:rsidRPr="00774A33" w:rsidRDefault="00774A33" w:rsidP="00774A33">
      <w:pPr>
        <w:spacing w:after="0" w:line="360" w:lineRule="auto"/>
        <w:jc w:val="both"/>
        <w:rPr>
          <w:rFonts w:ascii="Arial" w:eastAsia="Times New Roman" w:hAnsi="Arial" w:cs="Arial"/>
          <w:lang w:val="en-GB"/>
        </w:rPr>
      </w:pPr>
      <w:r w:rsidRPr="00774A33">
        <w:rPr>
          <w:rFonts w:ascii="Arial" w:eastAsia="Times New Roman" w:hAnsi="Arial" w:cs="Arial"/>
          <w:lang w:val="en-GB"/>
        </w:rPr>
        <w:t>57. Those Respondents who are not registered on the Formal Housing Demand Waiting List Database should visit the Municipality’s Housing office to register. If they fail to register, they can never be considered for a formal housing opportunity. All respondents have been advised at the socio-economic inspections, that they need to visit the Municipality offices to update their housing applications and/or to apply for formal housing through the Municipality.</w:t>
      </w:r>
    </w:p>
    <w:p w14:paraId="6C048B93" w14:textId="77777777" w:rsidR="00774A33" w:rsidRPr="00774A33" w:rsidRDefault="00774A33" w:rsidP="00774A33">
      <w:pPr>
        <w:spacing w:after="0" w:line="360" w:lineRule="auto"/>
        <w:jc w:val="both"/>
        <w:rPr>
          <w:rFonts w:ascii="Arial" w:eastAsia="Times New Roman" w:hAnsi="Arial" w:cs="Arial"/>
          <w:lang w:val="en-GB"/>
        </w:rPr>
      </w:pPr>
      <w:r w:rsidRPr="00774A33">
        <w:rPr>
          <w:rFonts w:ascii="Arial" w:eastAsia="Times New Roman" w:hAnsi="Arial" w:cs="Arial"/>
          <w:lang w:val="en-GB"/>
        </w:rPr>
        <w:t>58. Selection for formal housing works on a 60/20/20 principle as set out in the Housing Selection Policy of the Municipality. 20% of each housing project is allocated applicants on the housing waiting list registered as dwellers of rural land, another 20% to special needs persons and 60% to the rest of the registered applicants on the general waiting list.</w:t>
      </w:r>
    </w:p>
    <w:p w14:paraId="0945B7FD" w14:textId="77777777" w:rsidR="00774A33" w:rsidRPr="00774A33" w:rsidRDefault="00774A33" w:rsidP="00774A33">
      <w:pPr>
        <w:spacing w:after="0" w:line="360" w:lineRule="auto"/>
        <w:jc w:val="both"/>
        <w:rPr>
          <w:rFonts w:ascii="Arial" w:eastAsia="Times New Roman" w:hAnsi="Arial" w:cs="Arial"/>
          <w:u w:val="single"/>
          <w:lang w:val="en-GB"/>
        </w:rPr>
      </w:pPr>
      <w:r w:rsidRPr="00774A33">
        <w:rPr>
          <w:rFonts w:ascii="Arial" w:eastAsia="Times New Roman" w:hAnsi="Arial" w:cs="Arial"/>
          <w:u w:val="single"/>
          <w:lang w:val="en-GB"/>
        </w:rPr>
        <w:t>Emergency Housing</w:t>
      </w:r>
    </w:p>
    <w:p w14:paraId="52B029B2" w14:textId="77777777" w:rsidR="00774A33" w:rsidRPr="00774A33" w:rsidRDefault="00774A33" w:rsidP="00774A33">
      <w:pPr>
        <w:spacing w:after="0" w:line="360" w:lineRule="auto"/>
        <w:jc w:val="both"/>
        <w:rPr>
          <w:rFonts w:ascii="Arial" w:eastAsia="Times New Roman" w:hAnsi="Arial" w:cs="Arial"/>
          <w:lang w:val="en-GB"/>
        </w:rPr>
      </w:pPr>
      <w:r w:rsidRPr="00774A33">
        <w:rPr>
          <w:rFonts w:ascii="Arial" w:eastAsia="Times New Roman" w:hAnsi="Arial" w:cs="Arial"/>
          <w:lang w:val="en-GB"/>
        </w:rPr>
        <w:t>59. The most immediately-available site where emergency housing may be available, is Schoongezicht. However, this presents a limited number of housing opportunities.</w:t>
      </w:r>
    </w:p>
    <w:p w14:paraId="4B3C61C3" w14:textId="77777777" w:rsidR="00774A33" w:rsidRPr="00774A33" w:rsidRDefault="00774A33" w:rsidP="00774A33">
      <w:pPr>
        <w:spacing w:after="0" w:line="360" w:lineRule="auto"/>
        <w:jc w:val="both"/>
        <w:rPr>
          <w:rFonts w:ascii="Arial" w:eastAsia="Times New Roman" w:hAnsi="Arial" w:cs="Arial"/>
          <w:lang w:val="en-GB"/>
        </w:rPr>
      </w:pPr>
      <w:r w:rsidRPr="00774A33">
        <w:rPr>
          <w:rFonts w:ascii="Arial" w:eastAsia="Times New Roman" w:hAnsi="Arial" w:cs="Arial"/>
          <w:lang w:val="en-GB"/>
        </w:rPr>
        <w:t xml:space="preserve">60. The Municipality’s finding, however, is that 7 households does not qualify for emergency accommodation in terms the Municipality’s Temporary Housing Assistance Policy, as none of the households will be rendered homeless in the event of an eviction given their income levels. </w:t>
      </w:r>
    </w:p>
    <w:p w14:paraId="667F5658" w14:textId="77777777" w:rsidR="00774A33" w:rsidRPr="00774A33" w:rsidRDefault="00774A33" w:rsidP="00774A33">
      <w:pPr>
        <w:spacing w:after="0" w:line="360" w:lineRule="auto"/>
        <w:jc w:val="both"/>
        <w:rPr>
          <w:rFonts w:ascii="Arial" w:eastAsia="Times New Roman" w:hAnsi="Arial" w:cs="Arial"/>
          <w:lang w:val="en-GB"/>
        </w:rPr>
      </w:pPr>
      <w:r w:rsidRPr="00774A33">
        <w:rPr>
          <w:rFonts w:ascii="Arial" w:eastAsia="Times New Roman" w:hAnsi="Arial" w:cs="Arial"/>
          <w:lang w:val="en-GB"/>
        </w:rPr>
        <w:t>61. In this regard, as a rule of thumb, and in applying section 5.1 of its temporary Housing Assistance Policy, the Municipality generally utilises the current threshold determined for household income’ in terms of its Indigent Support Policy, being R4500. Naturally, other factors might have a bearing, and this threshold is not rigidly applied. However, in the present instance, no such factors have been identified which would indicate that this rule of thumb should be departed from, and none of the households are at the level where their total income suggests they would qualify for assistance.’</w:t>
      </w:r>
    </w:p>
    <w:p w14:paraId="3E206C60" w14:textId="77777777" w:rsidR="00774A33" w:rsidRPr="00774A33" w:rsidRDefault="00774A33" w:rsidP="00774A33">
      <w:pPr>
        <w:spacing w:after="0" w:line="360" w:lineRule="auto"/>
        <w:jc w:val="both"/>
        <w:rPr>
          <w:rFonts w:ascii="Arial" w:eastAsia="Times New Roman" w:hAnsi="Arial" w:cs="Arial"/>
          <w:sz w:val="24"/>
          <w:szCs w:val="24"/>
          <w:lang w:val="en-GB"/>
        </w:rPr>
      </w:pPr>
    </w:p>
    <w:p w14:paraId="59B55259" w14:textId="549B7475" w:rsidR="00E34D60" w:rsidRPr="003958A9" w:rsidRDefault="00774A33" w:rsidP="00D0743D">
      <w:pPr>
        <w:spacing w:after="0" w:line="360" w:lineRule="auto"/>
        <w:jc w:val="both"/>
        <w:rPr>
          <w:rFonts w:ascii="Arial" w:eastAsia="Times New Roman" w:hAnsi="Arial" w:cs="Arial"/>
          <w:sz w:val="24"/>
          <w:szCs w:val="24"/>
          <w:lang w:val="en-GB"/>
        </w:rPr>
      </w:pPr>
      <w:r w:rsidRPr="00774A33">
        <w:rPr>
          <w:rFonts w:ascii="Arial" w:eastAsia="Times New Roman" w:hAnsi="Arial" w:cs="Arial"/>
          <w:sz w:val="24"/>
          <w:szCs w:val="24"/>
          <w:lang w:val="en-GB"/>
        </w:rPr>
        <w:lastRenderedPageBreak/>
        <w:t>[5</w:t>
      </w:r>
      <w:r w:rsidR="00F921C7">
        <w:rPr>
          <w:rFonts w:ascii="Arial" w:eastAsia="Times New Roman" w:hAnsi="Arial" w:cs="Arial"/>
          <w:sz w:val="24"/>
          <w:szCs w:val="24"/>
          <w:lang w:val="en-GB"/>
        </w:rPr>
        <w:t>8</w:t>
      </w:r>
      <w:r w:rsidRPr="00774A33">
        <w:rPr>
          <w:rFonts w:ascii="Arial" w:eastAsia="Times New Roman" w:hAnsi="Arial" w:cs="Arial"/>
          <w:sz w:val="24"/>
          <w:szCs w:val="24"/>
          <w:lang w:val="en-GB"/>
        </w:rPr>
        <w:t>]</w:t>
      </w:r>
      <w:r w:rsidRPr="00774A33">
        <w:rPr>
          <w:rFonts w:ascii="Arial" w:eastAsia="Times New Roman" w:hAnsi="Arial" w:cs="Arial"/>
          <w:sz w:val="24"/>
          <w:szCs w:val="24"/>
          <w:lang w:val="en-GB"/>
        </w:rPr>
        <w:tab/>
        <w:t>The municipality claimed that it w</w:t>
      </w:r>
      <w:r w:rsidR="00E34D60" w:rsidRPr="00E34D60">
        <w:rPr>
          <w:rFonts w:ascii="Arial" w:eastAsia="Times New Roman" w:hAnsi="Arial" w:cs="Arial"/>
          <w:sz w:val="24"/>
          <w:szCs w:val="24"/>
          <w:lang w:val="en-GB"/>
        </w:rPr>
        <w:t xml:space="preserve">ould </w:t>
      </w:r>
      <w:r w:rsidRPr="00774A33">
        <w:rPr>
          <w:rFonts w:ascii="Arial" w:eastAsia="Times New Roman" w:hAnsi="Arial" w:cs="Arial"/>
          <w:sz w:val="24"/>
          <w:szCs w:val="24"/>
          <w:lang w:val="en-GB"/>
        </w:rPr>
        <w:t>be unable to provide the occupiers with alternative emergency accommodation</w:t>
      </w:r>
      <w:r w:rsidR="00E34D60" w:rsidRPr="00E34D60">
        <w:rPr>
          <w:rFonts w:ascii="Arial" w:eastAsia="Times New Roman" w:hAnsi="Arial" w:cs="Arial"/>
          <w:sz w:val="24"/>
          <w:szCs w:val="24"/>
          <w:lang w:val="en-GB"/>
        </w:rPr>
        <w:t xml:space="preserve"> if an order of eviction was granted. </w:t>
      </w:r>
      <w:r w:rsidRPr="00774A33">
        <w:rPr>
          <w:rFonts w:ascii="Arial" w:eastAsia="Times New Roman" w:hAnsi="Arial" w:cs="Arial"/>
          <w:sz w:val="24"/>
          <w:szCs w:val="24"/>
          <w:lang w:val="en-GB"/>
        </w:rPr>
        <w:t xml:space="preserve">It is, however, clear from its report that </w:t>
      </w:r>
      <w:r w:rsidRPr="00774A33">
        <w:rPr>
          <w:rFonts w:ascii="Arial" w:eastAsia="Times New Roman" w:hAnsi="Arial" w:cs="Arial"/>
          <w:sz w:val="24"/>
          <w:szCs w:val="24"/>
          <w:shd w:val="clear" w:color="auto" w:fill="FFFFFF"/>
          <w:lang w:val="en-GB"/>
        </w:rPr>
        <w:t xml:space="preserve">it has an emergency housing assistance policy to accommodate homeless persons with accommodation close to their homes. In terms of that policy, it </w:t>
      </w:r>
      <w:r w:rsidR="00C91FE5">
        <w:rPr>
          <w:rFonts w:ascii="Arial" w:eastAsia="Times New Roman" w:hAnsi="Arial" w:cs="Arial"/>
          <w:sz w:val="24"/>
          <w:szCs w:val="24"/>
          <w:shd w:val="clear" w:color="auto" w:fill="FFFFFF"/>
          <w:lang w:val="en-GB"/>
        </w:rPr>
        <w:t>would</w:t>
      </w:r>
      <w:r w:rsidRPr="00774A33">
        <w:rPr>
          <w:rFonts w:ascii="Arial" w:eastAsia="Times New Roman" w:hAnsi="Arial" w:cs="Arial"/>
          <w:sz w:val="24"/>
          <w:szCs w:val="24"/>
          <w:shd w:val="clear" w:color="auto" w:fill="FFFFFF"/>
          <w:lang w:val="en-GB"/>
        </w:rPr>
        <w:t xml:space="preserve"> be obliged to provide the occupiers with alternative </w:t>
      </w:r>
      <w:r w:rsidRPr="003958A9">
        <w:rPr>
          <w:rFonts w:ascii="Arial" w:eastAsia="Times New Roman" w:hAnsi="Arial" w:cs="Arial"/>
          <w:sz w:val="24"/>
          <w:szCs w:val="24"/>
          <w:shd w:val="clear" w:color="auto" w:fill="FFFFFF"/>
          <w:lang w:val="en-GB"/>
        </w:rPr>
        <w:t>accommodation</w:t>
      </w:r>
      <w:r w:rsidR="00A11485" w:rsidRPr="003958A9">
        <w:rPr>
          <w:rFonts w:ascii="Arial" w:eastAsia="Times New Roman" w:hAnsi="Arial" w:cs="Arial"/>
          <w:sz w:val="24"/>
          <w:szCs w:val="24"/>
          <w:shd w:val="clear" w:color="auto" w:fill="FFFFFF"/>
          <w:lang w:val="en-GB"/>
        </w:rPr>
        <w:t>,</w:t>
      </w:r>
      <w:r w:rsidRPr="003958A9">
        <w:rPr>
          <w:rFonts w:ascii="Arial" w:eastAsia="Times New Roman" w:hAnsi="Arial" w:cs="Arial"/>
          <w:sz w:val="24"/>
          <w:szCs w:val="24"/>
          <w:shd w:val="clear" w:color="auto" w:fill="FFFFFF"/>
          <w:lang w:val="en-GB"/>
        </w:rPr>
        <w:t xml:space="preserve"> should they be rendered homeless.</w:t>
      </w:r>
      <w:r w:rsidRPr="003958A9">
        <w:rPr>
          <w:rFonts w:ascii="Arial" w:eastAsia="Times New Roman" w:hAnsi="Arial" w:cs="Arial"/>
          <w:sz w:val="24"/>
          <w:szCs w:val="24"/>
          <w:lang w:val="en-GB"/>
        </w:rPr>
        <w:t xml:space="preserve"> </w:t>
      </w:r>
      <w:bookmarkStart w:id="18" w:name="_Hlk125041235"/>
    </w:p>
    <w:p w14:paraId="511FC159" w14:textId="77777777" w:rsidR="00E34D60" w:rsidRPr="003958A9" w:rsidRDefault="00E34D60" w:rsidP="00D0743D">
      <w:pPr>
        <w:spacing w:after="0" w:line="360" w:lineRule="auto"/>
        <w:jc w:val="both"/>
        <w:rPr>
          <w:rFonts w:ascii="Arial" w:eastAsia="Times New Roman" w:hAnsi="Arial" w:cs="Arial"/>
          <w:sz w:val="24"/>
          <w:szCs w:val="24"/>
          <w:lang w:val="en-GB"/>
        </w:rPr>
      </w:pPr>
    </w:p>
    <w:p w14:paraId="1889AEA7" w14:textId="309CFF5E" w:rsidR="00003BC0" w:rsidRPr="003958A9" w:rsidRDefault="00003BC0" w:rsidP="00D0743D">
      <w:pPr>
        <w:spacing w:after="0" w:line="360" w:lineRule="auto"/>
        <w:jc w:val="both"/>
        <w:rPr>
          <w:rFonts w:ascii="Arial" w:eastAsia="Times New Roman" w:hAnsi="Arial" w:cs="Arial"/>
          <w:sz w:val="24"/>
          <w:szCs w:val="24"/>
          <w:lang w:val="en-GB"/>
        </w:rPr>
      </w:pPr>
      <w:r w:rsidRPr="003958A9">
        <w:rPr>
          <w:rFonts w:ascii="Arial" w:eastAsia="Times New Roman" w:hAnsi="Arial" w:cs="Arial"/>
          <w:sz w:val="24"/>
          <w:szCs w:val="24"/>
          <w:lang w:val="en-GB"/>
        </w:rPr>
        <w:t>[</w:t>
      </w:r>
      <w:r w:rsidR="00807954" w:rsidRPr="003958A9">
        <w:rPr>
          <w:rFonts w:ascii="Arial" w:eastAsia="Times New Roman" w:hAnsi="Arial" w:cs="Arial"/>
          <w:sz w:val="24"/>
          <w:szCs w:val="24"/>
          <w:lang w:val="en-GB"/>
        </w:rPr>
        <w:t>5</w:t>
      </w:r>
      <w:r w:rsidR="00F921C7" w:rsidRPr="003958A9">
        <w:rPr>
          <w:rFonts w:ascii="Arial" w:eastAsia="Times New Roman" w:hAnsi="Arial" w:cs="Arial"/>
          <w:sz w:val="24"/>
          <w:szCs w:val="24"/>
          <w:lang w:val="en-GB"/>
        </w:rPr>
        <w:t>9</w:t>
      </w:r>
      <w:r w:rsidRPr="003958A9">
        <w:rPr>
          <w:rFonts w:ascii="Arial" w:eastAsia="Times New Roman" w:hAnsi="Arial" w:cs="Arial"/>
          <w:sz w:val="24"/>
          <w:szCs w:val="24"/>
          <w:lang w:val="en-GB"/>
        </w:rPr>
        <w:t>]</w:t>
      </w:r>
      <w:r w:rsidRPr="003958A9">
        <w:rPr>
          <w:rFonts w:ascii="Arial" w:eastAsia="Times New Roman" w:hAnsi="Arial" w:cs="Arial"/>
          <w:sz w:val="24"/>
          <w:szCs w:val="24"/>
          <w:lang w:val="en-GB"/>
        </w:rPr>
        <w:tab/>
      </w:r>
      <w:r w:rsidR="000A652C" w:rsidRPr="003958A9">
        <w:rPr>
          <w:rFonts w:ascii="Arial" w:eastAsia="Times New Roman" w:hAnsi="Arial" w:cs="Arial"/>
          <w:sz w:val="24"/>
          <w:szCs w:val="24"/>
          <w:lang w:val="en-GB"/>
        </w:rPr>
        <w:t>Under the heading ‘Steps Taken by the Municipal</w:t>
      </w:r>
      <w:r w:rsidR="00483723" w:rsidRPr="003958A9">
        <w:rPr>
          <w:rFonts w:ascii="Arial" w:eastAsia="Times New Roman" w:hAnsi="Arial" w:cs="Arial"/>
          <w:sz w:val="24"/>
          <w:szCs w:val="24"/>
          <w:lang w:val="en-GB"/>
        </w:rPr>
        <w:t>ity in an Attempt to Meet Demand’, t</w:t>
      </w:r>
      <w:r w:rsidR="00212D4A" w:rsidRPr="003958A9">
        <w:rPr>
          <w:rFonts w:ascii="Arial" w:eastAsia="Times New Roman" w:hAnsi="Arial" w:cs="Arial"/>
          <w:sz w:val="24"/>
          <w:szCs w:val="24"/>
          <w:lang w:val="en-GB"/>
        </w:rPr>
        <w:t xml:space="preserve">he </w:t>
      </w:r>
      <w:r w:rsidR="00670CEA" w:rsidRPr="003958A9">
        <w:rPr>
          <w:rFonts w:ascii="Arial" w:eastAsia="Times New Roman" w:hAnsi="Arial" w:cs="Arial"/>
          <w:sz w:val="24"/>
          <w:szCs w:val="24"/>
          <w:lang w:val="en-GB"/>
        </w:rPr>
        <w:t>m</w:t>
      </w:r>
      <w:r w:rsidR="00212D4A" w:rsidRPr="003958A9">
        <w:rPr>
          <w:rFonts w:ascii="Arial" w:eastAsia="Times New Roman" w:hAnsi="Arial" w:cs="Arial"/>
          <w:sz w:val="24"/>
          <w:szCs w:val="24"/>
          <w:lang w:val="en-GB"/>
        </w:rPr>
        <w:t xml:space="preserve">unicipality </w:t>
      </w:r>
      <w:r w:rsidR="00483723" w:rsidRPr="003958A9">
        <w:rPr>
          <w:rFonts w:ascii="Arial" w:eastAsia="Times New Roman" w:hAnsi="Arial" w:cs="Arial"/>
          <w:sz w:val="24"/>
          <w:szCs w:val="24"/>
          <w:lang w:val="en-GB"/>
        </w:rPr>
        <w:t xml:space="preserve">enumerated </w:t>
      </w:r>
      <w:r w:rsidR="00927C48" w:rsidRPr="003958A9">
        <w:rPr>
          <w:rFonts w:ascii="Arial" w:eastAsia="Times New Roman" w:hAnsi="Arial" w:cs="Arial"/>
          <w:sz w:val="24"/>
          <w:szCs w:val="24"/>
          <w:lang w:val="en-GB"/>
        </w:rPr>
        <w:t>several</w:t>
      </w:r>
      <w:r w:rsidR="00212D4A" w:rsidRPr="003958A9">
        <w:rPr>
          <w:rFonts w:ascii="Arial" w:eastAsia="Times New Roman" w:hAnsi="Arial" w:cs="Arial"/>
          <w:sz w:val="24"/>
          <w:szCs w:val="24"/>
          <w:lang w:val="en-GB"/>
        </w:rPr>
        <w:t xml:space="preserve"> challenges which stand as obstacles in the provision of accommodation to the occupier</w:t>
      </w:r>
      <w:r w:rsidR="00D7156B" w:rsidRPr="003958A9">
        <w:rPr>
          <w:rFonts w:ascii="Arial" w:eastAsia="Times New Roman" w:hAnsi="Arial" w:cs="Arial"/>
          <w:sz w:val="24"/>
          <w:szCs w:val="24"/>
          <w:lang w:val="en-GB"/>
        </w:rPr>
        <w:t>s</w:t>
      </w:r>
      <w:r w:rsidR="00212D4A" w:rsidRPr="003958A9">
        <w:rPr>
          <w:rFonts w:ascii="Arial" w:eastAsia="Times New Roman" w:hAnsi="Arial" w:cs="Arial"/>
          <w:sz w:val="24"/>
          <w:szCs w:val="24"/>
          <w:lang w:val="en-GB"/>
        </w:rPr>
        <w:t xml:space="preserve">; these include budgetary constraints and unavailability of land </w:t>
      </w:r>
      <w:r w:rsidR="00CB3E64" w:rsidRPr="003958A9">
        <w:rPr>
          <w:rFonts w:ascii="Arial" w:eastAsia="Times New Roman" w:hAnsi="Arial" w:cs="Arial"/>
          <w:sz w:val="24"/>
          <w:szCs w:val="24"/>
          <w:lang w:val="en-GB"/>
        </w:rPr>
        <w:t xml:space="preserve">to which the occupiers can be relocated. There is nothing in the report suggesting any </w:t>
      </w:r>
      <w:r w:rsidR="004A33D0" w:rsidRPr="003958A9">
        <w:rPr>
          <w:rFonts w:ascii="Arial" w:eastAsia="Times New Roman" w:hAnsi="Arial" w:cs="Arial"/>
          <w:sz w:val="24"/>
          <w:szCs w:val="24"/>
          <w:lang w:val="en-GB"/>
        </w:rPr>
        <w:t>real</w:t>
      </w:r>
      <w:r w:rsidR="00CB3E64" w:rsidRPr="003958A9">
        <w:rPr>
          <w:rFonts w:ascii="Arial" w:eastAsia="Times New Roman" w:hAnsi="Arial" w:cs="Arial"/>
          <w:sz w:val="24"/>
          <w:szCs w:val="24"/>
          <w:lang w:val="en-GB"/>
        </w:rPr>
        <w:t xml:space="preserve"> prospect of the </w:t>
      </w:r>
      <w:r w:rsidR="008074F7" w:rsidRPr="003958A9">
        <w:rPr>
          <w:rFonts w:ascii="Arial" w:eastAsia="Times New Roman" w:hAnsi="Arial" w:cs="Arial"/>
          <w:sz w:val="24"/>
          <w:szCs w:val="24"/>
          <w:lang w:val="en-GB"/>
        </w:rPr>
        <w:t xml:space="preserve">municipality </w:t>
      </w:r>
      <w:r w:rsidR="00CB3E64" w:rsidRPr="003958A9">
        <w:rPr>
          <w:rFonts w:ascii="Arial" w:eastAsia="Times New Roman" w:hAnsi="Arial" w:cs="Arial"/>
          <w:sz w:val="24"/>
          <w:szCs w:val="24"/>
          <w:lang w:val="en-GB"/>
        </w:rPr>
        <w:t>provid</w:t>
      </w:r>
      <w:r w:rsidR="008074F7" w:rsidRPr="003958A9">
        <w:rPr>
          <w:rFonts w:ascii="Arial" w:eastAsia="Times New Roman" w:hAnsi="Arial" w:cs="Arial"/>
          <w:sz w:val="24"/>
          <w:szCs w:val="24"/>
          <w:lang w:val="en-GB"/>
        </w:rPr>
        <w:t>ing</w:t>
      </w:r>
      <w:r w:rsidR="00CB3E64" w:rsidRPr="003958A9">
        <w:rPr>
          <w:rFonts w:ascii="Arial" w:eastAsia="Times New Roman" w:hAnsi="Arial" w:cs="Arial"/>
          <w:sz w:val="24"/>
          <w:szCs w:val="24"/>
          <w:lang w:val="en-GB"/>
        </w:rPr>
        <w:t xml:space="preserve"> </w:t>
      </w:r>
      <w:r w:rsidR="008074F7" w:rsidRPr="003958A9">
        <w:rPr>
          <w:rFonts w:ascii="Arial" w:eastAsia="Times New Roman" w:hAnsi="Arial" w:cs="Arial"/>
          <w:sz w:val="24"/>
          <w:szCs w:val="24"/>
          <w:lang w:val="en-GB"/>
        </w:rPr>
        <w:t xml:space="preserve">the </w:t>
      </w:r>
      <w:r w:rsidR="004A33D0" w:rsidRPr="003958A9">
        <w:rPr>
          <w:rFonts w:ascii="Arial" w:eastAsia="Times New Roman" w:hAnsi="Arial" w:cs="Arial"/>
          <w:sz w:val="24"/>
          <w:szCs w:val="24"/>
          <w:lang w:val="en-GB"/>
        </w:rPr>
        <w:t>occupiers with</w:t>
      </w:r>
      <w:r w:rsidR="00CB3E64" w:rsidRPr="003958A9">
        <w:rPr>
          <w:rFonts w:ascii="Arial" w:eastAsia="Times New Roman" w:hAnsi="Arial" w:cs="Arial"/>
          <w:sz w:val="24"/>
          <w:szCs w:val="24"/>
          <w:lang w:val="en-GB"/>
        </w:rPr>
        <w:t xml:space="preserve"> accommodation. </w:t>
      </w:r>
      <w:bookmarkEnd w:id="18"/>
      <w:r w:rsidR="00774A33" w:rsidRPr="003958A9">
        <w:rPr>
          <w:rFonts w:ascii="Arial" w:eastAsia="Times New Roman" w:hAnsi="Arial" w:cs="Arial"/>
          <w:sz w:val="24"/>
          <w:szCs w:val="24"/>
          <w:lang w:val="en-GB"/>
        </w:rPr>
        <w:t xml:space="preserve">The </w:t>
      </w:r>
      <w:r w:rsidR="005202DA" w:rsidRPr="003958A9">
        <w:rPr>
          <w:rFonts w:ascii="Arial" w:eastAsia="Times New Roman" w:hAnsi="Arial" w:cs="Arial"/>
          <w:sz w:val="24"/>
          <w:szCs w:val="24"/>
          <w:lang w:val="en-GB"/>
        </w:rPr>
        <w:t>m</w:t>
      </w:r>
      <w:r w:rsidR="00774A33" w:rsidRPr="003958A9">
        <w:rPr>
          <w:rFonts w:ascii="Arial" w:eastAsia="Times New Roman" w:hAnsi="Arial" w:cs="Arial"/>
          <w:sz w:val="24"/>
          <w:szCs w:val="24"/>
          <w:lang w:val="en-GB"/>
        </w:rPr>
        <w:t xml:space="preserve">unicipality cannot seek to shirk its constitutional responsibility to private citizens. </w:t>
      </w:r>
      <w:bookmarkStart w:id="19" w:name="_Hlk125121254"/>
    </w:p>
    <w:p w14:paraId="3688901F" w14:textId="77777777" w:rsidR="00003BC0" w:rsidRPr="003958A9" w:rsidRDefault="00003BC0" w:rsidP="00D0743D">
      <w:pPr>
        <w:spacing w:after="0" w:line="360" w:lineRule="auto"/>
        <w:jc w:val="both"/>
        <w:rPr>
          <w:rFonts w:ascii="Arial" w:eastAsia="Times New Roman" w:hAnsi="Arial" w:cs="Arial"/>
          <w:sz w:val="24"/>
          <w:szCs w:val="24"/>
          <w:lang w:val="en-GB"/>
        </w:rPr>
      </w:pPr>
    </w:p>
    <w:p w14:paraId="2ED30531" w14:textId="40BCE761" w:rsidR="00AB5FBD" w:rsidRDefault="00003BC0" w:rsidP="00D0743D">
      <w:pPr>
        <w:spacing w:after="0" w:line="360" w:lineRule="auto"/>
        <w:jc w:val="both"/>
        <w:rPr>
          <w:rFonts w:ascii="Arial" w:eastAsia="Times New Roman" w:hAnsi="Arial" w:cs="Arial"/>
          <w:sz w:val="24"/>
          <w:szCs w:val="24"/>
          <w:lang w:val="en-GB"/>
        </w:rPr>
      </w:pPr>
      <w:r w:rsidRPr="003958A9">
        <w:rPr>
          <w:rFonts w:ascii="Arial" w:eastAsia="Times New Roman" w:hAnsi="Arial" w:cs="Arial"/>
          <w:sz w:val="24"/>
          <w:szCs w:val="24"/>
          <w:lang w:val="en-GB"/>
        </w:rPr>
        <w:t>[</w:t>
      </w:r>
      <w:r w:rsidR="00F921C7" w:rsidRPr="003958A9">
        <w:rPr>
          <w:rFonts w:ascii="Arial" w:eastAsia="Times New Roman" w:hAnsi="Arial" w:cs="Arial"/>
          <w:sz w:val="24"/>
          <w:szCs w:val="24"/>
          <w:lang w:val="en-GB"/>
        </w:rPr>
        <w:t>60</w:t>
      </w:r>
      <w:r w:rsidRPr="003958A9">
        <w:rPr>
          <w:rFonts w:ascii="Arial" w:eastAsia="Times New Roman" w:hAnsi="Arial" w:cs="Arial"/>
          <w:sz w:val="24"/>
          <w:szCs w:val="24"/>
          <w:lang w:val="en-GB"/>
        </w:rPr>
        <w:t>]</w:t>
      </w:r>
      <w:r w:rsidRPr="003958A9">
        <w:rPr>
          <w:rFonts w:ascii="Arial" w:eastAsia="Times New Roman" w:hAnsi="Arial" w:cs="Arial"/>
          <w:sz w:val="24"/>
          <w:szCs w:val="24"/>
          <w:lang w:val="en-GB"/>
        </w:rPr>
        <w:tab/>
      </w:r>
      <w:r w:rsidR="00D7156B" w:rsidRPr="003958A9">
        <w:rPr>
          <w:rFonts w:ascii="Arial" w:eastAsia="Times New Roman" w:hAnsi="Arial" w:cs="Arial"/>
          <w:sz w:val="24"/>
          <w:szCs w:val="24"/>
          <w:lang w:val="en-GB"/>
        </w:rPr>
        <w:t xml:space="preserve">It appears </w:t>
      </w:r>
      <w:r w:rsidRPr="003958A9">
        <w:rPr>
          <w:rFonts w:ascii="Arial" w:eastAsia="Times New Roman" w:hAnsi="Arial" w:cs="Arial"/>
          <w:sz w:val="24"/>
          <w:szCs w:val="24"/>
          <w:lang w:val="en-GB"/>
        </w:rPr>
        <w:t>that</w:t>
      </w:r>
      <w:r w:rsidR="00F47165" w:rsidRPr="003958A9">
        <w:rPr>
          <w:rFonts w:ascii="Arial" w:eastAsia="Times New Roman" w:hAnsi="Arial" w:cs="Arial"/>
          <w:sz w:val="24"/>
          <w:szCs w:val="24"/>
          <w:lang w:val="en-GB"/>
        </w:rPr>
        <w:t xml:space="preserve"> </w:t>
      </w:r>
      <w:r w:rsidR="00774A33" w:rsidRPr="003958A9">
        <w:rPr>
          <w:rFonts w:ascii="Arial" w:eastAsia="Times New Roman" w:hAnsi="Arial" w:cs="Arial"/>
          <w:sz w:val="24"/>
          <w:szCs w:val="24"/>
          <w:lang w:val="en-GB"/>
        </w:rPr>
        <w:t>the municipality has not considered the fact that the cottages occupied by the occupiers are in a dilapidated state. If it has, it has paid very little regard to that aspect</w:t>
      </w:r>
      <w:r w:rsidR="00F47165" w:rsidRPr="003958A9">
        <w:rPr>
          <w:rFonts w:ascii="Arial" w:eastAsia="Times New Roman" w:hAnsi="Arial" w:cs="Arial"/>
          <w:sz w:val="24"/>
          <w:szCs w:val="24"/>
          <w:lang w:val="en-GB"/>
        </w:rPr>
        <w:t>, as no mention</w:t>
      </w:r>
      <w:r w:rsidR="00F47165" w:rsidRPr="00003BC0">
        <w:rPr>
          <w:rFonts w:ascii="Arial" w:eastAsia="Times New Roman" w:hAnsi="Arial" w:cs="Arial"/>
          <w:sz w:val="24"/>
          <w:szCs w:val="24"/>
          <w:lang w:val="en-GB"/>
        </w:rPr>
        <w:t xml:space="preserve"> whatsoever is made</w:t>
      </w:r>
      <w:r w:rsidR="00F47165">
        <w:rPr>
          <w:rFonts w:ascii="Arial" w:eastAsia="Times New Roman" w:hAnsi="Arial" w:cs="Arial"/>
          <w:sz w:val="24"/>
          <w:szCs w:val="24"/>
          <w:lang w:val="en-GB"/>
        </w:rPr>
        <w:t xml:space="preserve"> </w:t>
      </w:r>
      <w:r w:rsidR="00091E35">
        <w:rPr>
          <w:rFonts w:ascii="Arial" w:eastAsia="Times New Roman" w:hAnsi="Arial" w:cs="Arial"/>
          <w:sz w:val="24"/>
          <w:szCs w:val="24"/>
          <w:lang w:val="en-GB"/>
        </w:rPr>
        <w:t>of</w:t>
      </w:r>
      <w:r w:rsidR="00F47165">
        <w:rPr>
          <w:rFonts w:ascii="Arial" w:eastAsia="Times New Roman" w:hAnsi="Arial" w:cs="Arial"/>
          <w:sz w:val="24"/>
          <w:szCs w:val="24"/>
          <w:lang w:val="en-GB"/>
        </w:rPr>
        <w:t xml:space="preserve"> the condition of the cottages</w:t>
      </w:r>
      <w:r w:rsidR="00774A33" w:rsidRPr="00774A33">
        <w:rPr>
          <w:rFonts w:ascii="Arial" w:eastAsia="Times New Roman" w:hAnsi="Arial" w:cs="Arial"/>
          <w:sz w:val="24"/>
          <w:szCs w:val="24"/>
          <w:lang w:val="en-GB"/>
        </w:rPr>
        <w:t xml:space="preserve">. </w:t>
      </w:r>
      <w:bookmarkStart w:id="20" w:name="_Hlk125121322"/>
      <w:bookmarkEnd w:id="19"/>
      <w:r w:rsidR="00774A33" w:rsidRPr="00774A33">
        <w:rPr>
          <w:rFonts w:ascii="Arial" w:eastAsia="Times New Roman" w:hAnsi="Arial" w:cs="Arial"/>
          <w:sz w:val="24"/>
          <w:szCs w:val="24"/>
          <w:lang w:val="en-GB"/>
        </w:rPr>
        <w:t xml:space="preserve">It has also paid insufficient regard to the fact that several occupiers, including the disabled first respondent, had already formally approached it for the provision of low-cost housing six years prior to the preparation of the report </w:t>
      </w:r>
      <w:r w:rsidR="00774A33" w:rsidRPr="00557C95">
        <w:rPr>
          <w:rFonts w:ascii="Arial" w:eastAsia="Times New Roman" w:hAnsi="Arial" w:cs="Arial"/>
          <w:sz w:val="24"/>
          <w:szCs w:val="24"/>
          <w:lang w:val="en-GB"/>
        </w:rPr>
        <w:t>and were placed on a waiting list</w:t>
      </w:r>
      <w:bookmarkEnd w:id="20"/>
      <w:r w:rsidR="00774A33" w:rsidRPr="00557C95">
        <w:rPr>
          <w:rFonts w:ascii="Arial" w:eastAsia="Times New Roman" w:hAnsi="Arial" w:cs="Arial"/>
          <w:sz w:val="24"/>
          <w:szCs w:val="24"/>
          <w:lang w:val="en-GB"/>
        </w:rPr>
        <w:t xml:space="preserve">. </w:t>
      </w:r>
      <w:bookmarkStart w:id="21" w:name="_Hlk125040490"/>
      <w:r w:rsidR="00505633" w:rsidRPr="00557C95">
        <w:rPr>
          <w:rFonts w:ascii="Arial" w:eastAsia="Times New Roman" w:hAnsi="Arial" w:cs="Arial"/>
          <w:sz w:val="24"/>
          <w:szCs w:val="24"/>
          <w:lang w:val="en-GB"/>
        </w:rPr>
        <w:t>These are special circumstances that warrant special consideration</w:t>
      </w:r>
      <w:bookmarkEnd w:id="21"/>
      <w:r w:rsidR="00505633" w:rsidRPr="00557C95">
        <w:rPr>
          <w:rFonts w:ascii="Arial" w:eastAsia="Times New Roman" w:hAnsi="Arial" w:cs="Arial"/>
          <w:sz w:val="24"/>
          <w:szCs w:val="24"/>
          <w:lang w:val="en-GB"/>
        </w:rPr>
        <w:t xml:space="preserve">. </w:t>
      </w:r>
      <w:r w:rsidR="00846CBD" w:rsidRPr="00557C95">
        <w:rPr>
          <w:rFonts w:ascii="Arial" w:eastAsia="Times New Roman" w:hAnsi="Arial" w:cs="Arial"/>
          <w:sz w:val="24"/>
          <w:szCs w:val="24"/>
          <w:lang w:val="en-GB"/>
        </w:rPr>
        <w:t xml:space="preserve">Moreover, s </w:t>
      </w:r>
      <w:r w:rsidR="001B7A23" w:rsidRPr="00557C95">
        <w:rPr>
          <w:rFonts w:ascii="Arial" w:eastAsia="Times New Roman" w:hAnsi="Arial" w:cs="Arial"/>
          <w:sz w:val="24"/>
          <w:szCs w:val="24"/>
        </w:rPr>
        <w:t>28(1)</w:t>
      </w:r>
      <w:r w:rsidR="001B7A23" w:rsidRPr="00557C95">
        <w:rPr>
          <w:rFonts w:ascii="Arial" w:eastAsia="Times New Roman" w:hAnsi="Arial" w:cs="Arial"/>
          <w:i/>
          <w:iCs/>
          <w:sz w:val="24"/>
          <w:szCs w:val="24"/>
        </w:rPr>
        <w:t>(c)</w:t>
      </w:r>
      <w:r w:rsidR="001B7A23" w:rsidRPr="00557C95">
        <w:rPr>
          <w:rFonts w:ascii="Arial" w:eastAsia="Times New Roman" w:hAnsi="Arial" w:cs="Arial"/>
          <w:sz w:val="24"/>
          <w:szCs w:val="24"/>
        </w:rPr>
        <w:t xml:space="preserve"> of the Constitution provides that children have the right to shelter</w:t>
      </w:r>
      <w:r w:rsidR="00EF4CA6" w:rsidRPr="00557C95">
        <w:rPr>
          <w:rFonts w:ascii="Arial" w:eastAsia="Times New Roman" w:hAnsi="Arial" w:cs="Arial"/>
          <w:sz w:val="24"/>
          <w:szCs w:val="24"/>
        </w:rPr>
        <w:t>.</w:t>
      </w:r>
      <w:r w:rsidR="001B7A23" w:rsidRPr="00557C95">
        <w:rPr>
          <w:rFonts w:ascii="Arial" w:eastAsia="Times New Roman" w:hAnsi="Arial" w:cs="Arial"/>
          <w:sz w:val="24"/>
          <w:szCs w:val="24"/>
          <w:lang w:val="en-GB"/>
        </w:rPr>
        <w:t xml:space="preserve"> </w:t>
      </w:r>
      <w:r w:rsidR="00774A33" w:rsidRPr="00557C95">
        <w:rPr>
          <w:rFonts w:ascii="Arial" w:eastAsia="Times New Roman" w:hAnsi="Arial" w:cs="Arial"/>
          <w:sz w:val="24"/>
          <w:szCs w:val="24"/>
          <w:lang w:val="en-GB"/>
        </w:rPr>
        <w:t xml:space="preserve">It is the </w:t>
      </w:r>
      <w:r w:rsidR="005202DA" w:rsidRPr="00557C95">
        <w:rPr>
          <w:rFonts w:ascii="Arial" w:eastAsia="Times New Roman" w:hAnsi="Arial" w:cs="Arial"/>
          <w:sz w:val="24"/>
          <w:szCs w:val="24"/>
          <w:lang w:val="en-GB"/>
        </w:rPr>
        <w:t>m</w:t>
      </w:r>
      <w:r w:rsidR="00774A33" w:rsidRPr="00557C95">
        <w:rPr>
          <w:rFonts w:ascii="Arial" w:eastAsia="Times New Roman" w:hAnsi="Arial" w:cs="Arial"/>
          <w:sz w:val="24"/>
          <w:szCs w:val="24"/>
          <w:lang w:val="en-GB"/>
        </w:rPr>
        <w:t>unicipality’s responsibility to ensure that the occupiers</w:t>
      </w:r>
      <w:r w:rsidR="009763C9" w:rsidRPr="00557C95">
        <w:rPr>
          <w:rFonts w:ascii="Arial" w:eastAsia="Times New Roman" w:hAnsi="Arial" w:cs="Arial"/>
          <w:sz w:val="24"/>
          <w:szCs w:val="24"/>
          <w:lang w:val="en-GB"/>
        </w:rPr>
        <w:t>’</w:t>
      </w:r>
      <w:r w:rsidR="00774A33" w:rsidRPr="00557C95">
        <w:rPr>
          <w:rFonts w:ascii="Arial" w:eastAsia="Times New Roman" w:hAnsi="Arial" w:cs="Arial"/>
          <w:sz w:val="24"/>
          <w:szCs w:val="24"/>
          <w:lang w:val="en-GB"/>
        </w:rPr>
        <w:t xml:space="preserve"> </w:t>
      </w:r>
      <w:r w:rsidR="00EF4CA6" w:rsidRPr="00557C95">
        <w:rPr>
          <w:rFonts w:ascii="Arial" w:eastAsia="Times New Roman" w:hAnsi="Arial" w:cs="Arial"/>
          <w:sz w:val="24"/>
          <w:szCs w:val="24"/>
          <w:lang w:val="en-GB"/>
        </w:rPr>
        <w:t xml:space="preserve">children </w:t>
      </w:r>
      <w:r w:rsidR="00774A33" w:rsidRPr="00557C95">
        <w:rPr>
          <w:rFonts w:ascii="Arial" w:eastAsia="Times New Roman" w:hAnsi="Arial" w:cs="Arial"/>
          <w:sz w:val="24"/>
          <w:szCs w:val="24"/>
          <w:lang w:val="en-GB"/>
        </w:rPr>
        <w:t>do not end up homeless</w:t>
      </w:r>
      <w:r w:rsidR="00EF4CA6" w:rsidRPr="00557C95">
        <w:rPr>
          <w:rFonts w:ascii="Arial" w:eastAsia="Times New Roman" w:hAnsi="Arial" w:cs="Arial"/>
          <w:sz w:val="24"/>
          <w:szCs w:val="24"/>
          <w:lang w:val="en-GB"/>
        </w:rPr>
        <w:t>.</w:t>
      </w:r>
      <w:r w:rsidR="00EF4CA6">
        <w:rPr>
          <w:rFonts w:ascii="Arial" w:eastAsia="Times New Roman" w:hAnsi="Arial" w:cs="Arial"/>
          <w:sz w:val="24"/>
          <w:szCs w:val="24"/>
          <w:lang w:val="en-GB"/>
        </w:rPr>
        <w:t xml:space="preserve"> </w:t>
      </w:r>
    </w:p>
    <w:p w14:paraId="7B551A2C" w14:textId="77777777" w:rsidR="00D7156B" w:rsidRDefault="00D7156B" w:rsidP="00D0743D">
      <w:pPr>
        <w:spacing w:after="0" w:line="360" w:lineRule="auto"/>
        <w:jc w:val="both"/>
        <w:rPr>
          <w:rFonts w:ascii="Arial" w:eastAsia="Times New Roman" w:hAnsi="Arial" w:cs="Arial"/>
          <w:sz w:val="24"/>
          <w:szCs w:val="24"/>
          <w:lang w:val="en-GB"/>
        </w:rPr>
      </w:pPr>
    </w:p>
    <w:p w14:paraId="40427651" w14:textId="3727566E" w:rsidR="00E373D6" w:rsidRPr="00AB4643" w:rsidRDefault="00AB5FBD" w:rsidP="00E373D6">
      <w:pPr>
        <w:pStyle w:val="NormalWeb"/>
        <w:shd w:val="clear" w:color="auto" w:fill="FFFFFF"/>
        <w:spacing w:before="144" w:after="288" w:line="360" w:lineRule="auto"/>
        <w:jc w:val="both"/>
        <w:rPr>
          <w:rFonts w:ascii="Arial" w:hAnsi="Arial" w:cs="Arial"/>
        </w:rPr>
      </w:pPr>
      <w:r>
        <w:rPr>
          <w:rFonts w:ascii="Arial" w:hAnsi="Arial" w:cs="Arial"/>
        </w:rPr>
        <w:t>[</w:t>
      </w:r>
      <w:r w:rsidR="00F921C7">
        <w:rPr>
          <w:rFonts w:ascii="Arial" w:hAnsi="Arial" w:cs="Arial"/>
        </w:rPr>
        <w:t>61</w:t>
      </w:r>
      <w:r>
        <w:rPr>
          <w:rFonts w:ascii="Arial" w:hAnsi="Arial" w:cs="Arial"/>
        </w:rPr>
        <w:t>]</w:t>
      </w:r>
      <w:r>
        <w:rPr>
          <w:rFonts w:ascii="Arial" w:hAnsi="Arial" w:cs="Arial"/>
        </w:rPr>
        <w:tab/>
      </w:r>
      <w:r w:rsidR="00774A33" w:rsidRPr="003958A9">
        <w:rPr>
          <w:rFonts w:ascii="Arial" w:hAnsi="Arial" w:cs="Arial"/>
        </w:rPr>
        <w:t>Given the plight of the occupiers</w:t>
      </w:r>
      <w:r w:rsidR="00C02F6C" w:rsidRPr="003958A9">
        <w:rPr>
          <w:rFonts w:ascii="Arial" w:hAnsi="Arial" w:cs="Arial"/>
        </w:rPr>
        <w:t xml:space="preserve">, </w:t>
      </w:r>
      <w:r w:rsidR="00774A33" w:rsidRPr="003958A9">
        <w:rPr>
          <w:rFonts w:ascii="Arial" w:hAnsi="Arial" w:cs="Arial"/>
        </w:rPr>
        <w:t xml:space="preserve">the municipality is duty-bound to provide them with </w:t>
      </w:r>
      <w:r w:rsidR="000A2BC9" w:rsidRPr="003958A9">
        <w:rPr>
          <w:rFonts w:ascii="Arial" w:hAnsi="Arial" w:cs="Arial"/>
        </w:rPr>
        <w:t>alternative</w:t>
      </w:r>
      <w:r w:rsidR="00774A33" w:rsidRPr="003958A9">
        <w:rPr>
          <w:rFonts w:ascii="Arial" w:hAnsi="Arial" w:cs="Arial"/>
        </w:rPr>
        <w:t xml:space="preserve"> </w:t>
      </w:r>
      <w:r w:rsidR="000A2BC9" w:rsidRPr="003958A9">
        <w:rPr>
          <w:rFonts w:ascii="Arial" w:hAnsi="Arial" w:cs="Arial"/>
        </w:rPr>
        <w:t>emergency accommodation</w:t>
      </w:r>
      <w:r w:rsidR="00C02F6C" w:rsidRPr="003958A9">
        <w:rPr>
          <w:rFonts w:ascii="Arial" w:hAnsi="Arial" w:cs="Arial"/>
        </w:rPr>
        <w:t xml:space="preserve">. </w:t>
      </w:r>
      <w:r w:rsidR="009C0970">
        <w:rPr>
          <w:rFonts w:ascii="Arial" w:hAnsi="Arial" w:cs="Arial"/>
        </w:rPr>
        <w:t xml:space="preserve">Considering </w:t>
      </w:r>
      <w:r w:rsidR="00C02F6C" w:rsidRPr="003958A9">
        <w:rPr>
          <w:rFonts w:ascii="Arial" w:hAnsi="Arial" w:cs="Arial"/>
        </w:rPr>
        <w:t xml:space="preserve">the fact that </w:t>
      </w:r>
      <w:r w:rsidR="009E5F7F" w:rsidRPr="003958A9">
        <w:rPr>
          <w:rFonts w:ascii="Arial" w:hAnsi="Arial" w:cs="Arial"/>
        </w:rPr>
        <w:t xml:space="preserve">the eviction of the occupiers </w:t>
      </w:r>
      <w:r w:rsidR="002B1E60" w:rsidRPr="003958A9">
        <w:rPr>
          <w:rFonts w:ascii="Arial" w:hAnsi="Arial" w:cs="Arial"/>
        </w:rPr>
        <w:t xml:space="preserve">is linked to the provision of emergency accommodation by the municipality, </w:t>
      </w:r>
      <w:r w:rsidR="006C18DD" w:rsidRPr="003958A9">
        <w:rPr>
          <w:rFonts w:ascii="Arial" w:hAnsi="Arial" w:cs="Arial"/>
        </w:rPr>
        <w:t xml:space="preserve">the eviction of the occupiers is just and </w:t>
      </w:r>
      <w:r w:rsidR="006C18DD" w:rsidRPr="003958A9">
        <w:rPr>
          <w:rFonts w:ascii="Arial" w:hAnsi="Arial" w:cs="Arial"/>
        </w:rPr>
        <w:lastRenderedPageBreak/>
        <w:t>equitable.</w:t>
      </w:r>
      <w:r w:rsidR="00326C83" w:rsidRPr="003958A9">
        <w:rPr>
          <w:rStyle w:val="FootnoteReference"/>
          <w:rFonts w:ascii="Arial" w:hAnsi="Arial"/>
        </w:rPr>
        <w:footnoteReference w:id="23"/>
      </w:r>
      <w:r w:rsidR="006C18DD" w:rsidRPr="003958A9">
        <w:rPr>
          <w:rFonts w:ascii="Arial" w:hAnsi="Arial" w:cs="Arial"/>
        </w:rPr>
        <w:t xml:space="preserve"> It follows that </w:t>
      </w:r>
      <w:r w:rsidR="001B5101" w:rsidRPr="003958A9">
        <w:rPr>
          <w:rFonts w:ascii="Arial" w:hAnsi="Arial" w:cs="Arial"/>
        </w:rPr>
        <w:t>the LCC ought to have granted an order of</w:t>
      </w:r>
      <w:r w:rsidR="005F62F4" w:rsidRPr="003958A9">
        <w:rPr>
          <w:rFonts w:ascii="Arial" w:hAnsi="Arial" w:cs="Arial"/>
        </w:rPr>
        <w:t xml:space="preserve"> eviction. </w:t>
      </w:r>
      <w:r w:rsidR="00E373D6" w:rsidRPr="003958A9">
        <w:rPr>
          <w:rFonts w:ascii="Arial" w:hAnsi="Arial" w:cs="Arial"/>
        </w:rPr>
        <w:t>Counsel for the occupiers argued that, in dismissing the application, the LCC had exercised a true discretion</w:t>
      </w:r>
      <w:r w:rsidR="00E373D6" w:rsidRPr="00AB4643">
        <w:rPr>
          <w:rFonts w:ascii="Arial" w:hAnsi="Arial" w:cs="Arial"/>
        </w:rPr>
        <w:t xml:space="preserve"> within the contemplation of s 10(1)</w:t>
      </w:r>
      <w:r w:rsidR="00E373D6" w:rsidRPr="00AB4643">
        <w:rPr>
          <w:rFonts w:ascii="Arial" w:hAnsi="Arial" w:cs="Arial"/>
          <w:i/>
          <w:iCs/>
        </w:rPr>
        <w:t xml:space="preserve">(c) </w:t>
      </w:r>
      <w:r w:rsidR="00E373D6" w:rsidRPr="00AB4643">
        <w:rPr>
          <w:rFonts w:ascii="Arial" w:hAnsi="Arial" w:cs="Arial"/>
        </w:rPr>
        <w:t>of ESTA. Since the Trust had failed to demonstrate that the LCC did not act judicially in refusing to grant an order of eviction, it was not open to this Court to interfere with the LCC’s decision, so it was contended.</w:t>
      </w:r>
      <w:r w:rsidR="00F82524">
        <w:rPr>
          <w:rFonts w:ascii="Arial" w:hAnsi="Arial" w:cs="Arial"/>
        </w:rPr>
        <w:t xml:space="preserve"> </w:t>
      </w:r>
    </w:p>
    <w:p w14:paraId="53D40141" w14:textId="52396C7D" w:rsidR="00D0743D" w:rsidRPr="00557C95" w:rsidRDefault="00E373D6" w:rsidP="00D0743D">
      <w:pPr>
        <w:spacing w:after="0" w:line="360" w:lineRule="auto"/>
        <w:jc w:val="both"/>
        <w:rPr>
          <w:rFonts w:ascii="Arial" w:eastAsia="Times New Roman" w:hAnsi="Arial" w:cs="Arial"/>
          <w:sz w:val="24"/>
          <w:szCs w:val="24"/>
        </w:rPr>
      </w:pPr>
      <w:r w:rsidRPr="00AB4643">
        <w:rPr>
          <w:rFonts w:ascii="Arial" w:hAnsi="Arial" w:cs="Arial"/>
        </w:rPr>
        <w:t>[</w:t>
      </w:r>
      <w:r w:rsidR="00F921C7">
        <w:rPr>
          <w:rFonts w:ascii="Arial" w:hAnsi="Arial" w:cs="Arial"/>
        </w:rPr>
        <w:t>62</w:t>
      </w:r>
      <w:r w:rsidRPr="00AB4643">
        <w:rPr>
          <w:rFonts w:ascii="Arial" w:hAnsi="Arial" w:cs="Arial"/>
        </w:rPr>
        <w:t>]</w:t>
      </w:r>
      <w:r w:rsidRPr="00AB4643">
        <w:rPr>
          <w:rFonts w:ascii="Arial" w:hAnsi="Arial" w:cs="Arial"/>
        </w:rPr>
        <w:tab/>
      </w:r>
      <w:r w:rsidRPr="00AB4643">
        <w:rPr>
          <w:rFonts w:ascii="Arial" w:eastAsia="Times New Roman" w:hAnsi="Arial" w:cs="Arial"/>
          <w:color w:val="242121"/>
          <w:sz w:val="24"/>
          <w:szCs w:val="24"/>
          <w:lang w:eastAsia="en-ZA"/>
        </w:rPr>
        <w:t xml:space="preserve">It is well-established that where a lower court has exercised a discretion in the true sense, an appellate court is ordinarily not entitled to interfere with the decision of that court unless it is satisfied that its discretion was not exercised judicially, or that it was influenced by wrong principles or wrong application of the facts, or that the lower court had reached a decision which could not have been made by a court properly </w:t>
      </w:r>
      <w:r w:rsidRPr="0048358A">
        <w:rPr>
          <w:rFonts w:ascii="Arial" w:eastAsia="Times New Roman" w:hAnsi="Arial" w:cs="Arial"/>
          <w:color w:val="242121"/>
          <w:sz w:val="24"/>
          <w:szCs w:val="24"/>
          <w:lang w:eastAsia="en-ZA"/>
        </w:rPr>
        <w:t>directing itself to the relevant facts.</w:t>
      </w:r>
      <w:r w:rsidRPr="0048358A">
        <w:rPr>
          <w:rStyle w:val="FootnoteReference"/>
          <w:rFonts w:ascii="Arial" w:hAnsi="Arial"/>
          <w:color w:val="242121"/>
          <w:sz w:val="24"/>
          <w:szCs w:val="24"/>
          <w:lang w:eastAsia="en-ZA"/>
        </w:rPr>
        <w:footnoteReference w:id="24"/>
      </w:r>
      <w:r w:rsidR="00F82524">
        <w:rPr>
          <w:rFonts w:ascii="Arial" w:eastAsia="Times New Roman" w:hAnsi="Arial" w:cs="Arial"/>
          <w:color w:val="242121"/>
          <w:sz w:val="24"/>
          <w:szCs w:val="24"/>
          <w:lang w:eastAsia="en-ZA"/>
        </w:rPr>
        <w:t xml:space="preserve"> </w:t>
      </w:r>
      <w:r w:rsidRPr="0048358A">
        <w:rPr>
          <w:rFonts w:ascii="Arial" w:hAnsi="Arial" w:cs="Arial"/>
          <w:color w:val="242121"/>
          <w:sz w:val="24"/>
          <w:szCs w:val="24"/>
          <w:lang w:eastAsia="en-ZA"/>
        </w:rPr>
        <w:t xml:space="preserve">The question is whether it has been </w:t>
      </w:r>
      <w:r w:rsidRPr="0048358A">
        <w:rPr>
          <w:rFonts w:ascii="Arial" w:hAnsi="Arial" w:cs="Arial"/>
          <w:color w:val="242121"/>
          <w:sz w:val="24"/>
          <w:szCs w:val="24"/>
          <w:shd w:val="clear" w:color="auto" w:fill="FFFFFF"/>
          <w:lang w:val="en-GB"/>
        </w:rPr>
        <w:t>demonstrate</w:t>
      </w:r>
      <w:r w:rsidRPr="0048358A">
        <w:rPr>
          <w:rFonts w:ascii="Arial" w:hAnsi="Arial" w:cs="Arial"/>
          <w:color w:val="242121"/>
          <w:sz w:val="24"/>
          <w:szCs w:val="24"/>
          <w:shd w:val="clear" w:color="auto" w:fill="FFFFFF"/>
        </w:rPr>
        <w:t>d,</w:t>
      </w:r>
      <w:r w:rsidRPr="0048358A">
        <w:rPr>
          <w:rFonts w:ascii="Arial" w:hAnsi="Arial" w:cs="Arial"/>
          <w:color w:val="242121"/>
          <w:sz w:val="24"/>
          <w:szCs w:val="24"/>
          <w:shd w:val="clear" w:color="auto" w:fill="FFFFFF"/>
          <w:lang w:val="en-GB"/>
        </w:rPr>
        <w:t xml:space="preserve"> on appeal to this Court</w:t>
      </w:r>
      <w:r w:rsidRPr="0048358A">
        <w:rPr>
          <w:rFonts w:ascii="Arial" w:hAnsi="Arial" w:cs="Arial"/>
          <w:color w:val="242121"/>
          <w:sz w:val="24"/>
          <w:szCs w:val="24"/>
          <w:shd w:val="clear" w:color="auto" w:fill="FFFFFF"/>
        </w:rPr>
        <w:t>,</w:t>
      </w:r>
      <w:r w:rsidRPr="0048358A">
        <w:rPr>
          <w:rFonts w:ascii="Arial" w:hAnsi="Arial" w:cs="Arial"/>
          <w:color w:val="242121"/>
          <w:sz w:val="24"/>
          <w:szCs w:val="24"/>
          <w:shd w:val="clear" w:color="auto" w:fill="FFFFFF"/>
          <w:lang w:val="en-GB"/>
        </w:rPr>
        <w:t xml:space="preserve"> that the </w:t>
      </w:r>
      <w:r w:rsidRPr="0048358A">
        <w:rPr>
          <w:rFonts w:ascii="Arial" w:hAnsi="Arial" w:cs="Arial"/>
          <w:color w:val="242121"/>
          <w:sz w:val="24"/>
          <w:szCs w:val="24"/>
          <w:shd w:val="clear" w:color="auto" w:fill="FFFFFF"/>
        </w:rPr>
        <w:t xml:space="preserve">LCC </w:t>
      </w:r>
      <w:r w:rsidRPr="0048358A">
        <w:rPr>
          <w:rFonts w:ascii="Arial" w:hAnsi="Arial" w:cs="Arial"/>
          <w:color w:val="242121"/>
          <w:sz w:val="24"/>
          <w:szCs w:val="24"/>
          <w:shd w:val="clear" w:color="auto" w:fill="FFFFFF"/>
          <w:lang w:val="en-GB"/>
        </w:rPr>
        <w:t>did not act judicially, or that it acted on a misapprehension of the facts or on wrong principles</w:t>
      </w:r>
      <w:r w:rsidRPr="0048358A">
        <w:rPr>
          <w:rFonts w:ascii="Arial" w:hAnsi="Arial" w:cs="Arial"/>
          <w:color w:val="242121"/>
          <w:sz w:val="24"/>
          <w:szCs w:val="24"/>
          <w:shd w:val="clear" w:color="auto" w:fill="FFFFFF"/>
        </w:rPr>
        <w:t>.</w:t>
      </w:r>
      <w:r w:rsidRPr="0048358A">
        <w:rPr>
          <w:rStyle w:val="FootnoteReference"/>
          <w:rFonts w:ascii="Arial" w:hAnsi="Arial"/>
          <w:color w:val="242121"/>
          <w:sz w:val="24"/>
          <w:szCs w:val="24"/>
          <w:shd w:val="clear" w:color="auto" w:fill="FFFFFF"/>
        </w:rPr>
        <w:footnoteReference w:id="25"/>
      </w:r>
      <w:r w:rsidRPr="0048358A">
        <w:rPr>
          <w:rFonts w:ascii="Arial" w:hAnsi="Arial" w:cs="Arial"/>
          <w:color w:val="242121"/>
          <w:sz w:val="24"/>
          <w:szCs w:val="24"/>
          <w:shd w:val="clear" w:color="auto" w:fill="FFFFFF"/>
        </w:rPr>
        <w:t xml:space="preserve"> </w:t>
      </w:r>
      <w:r w:rsidRPr="0048358A">
        <w:rPr>
          <w:rFonts w:ascii="Arial" w:eastAsia="Times New Roman" w:hAnsi="Arial" w:cs="Arial"/>
          <w:color w:val="242121"/>
          <w:sz w:val="24"/>
          <w:szCs w:val="24"/>
          <w:lang w:eastAsia="en-ZA"/>
        </w:rPr>
        <w:t xml:space="preserve">Insofar as the LCC exercised its discretion not to grant an order of eviction on the basis of a wrong application of the </w:t>
      </w:r>
      <w:r w:rsidRPr="0048358A">
        <w:rPr>
          <w:rFonts w:ascii="Arial" w:eastAsia="Times New Roman" w:hAnsi="Arial" w:cs="Arial"/>
          <w:i/>
          <w:iCs/>
          <w:color w:val="242121"/>
          <w:sz w:val="24"/>
          <w:szCs w:val="24"/>
          <w:lang w:eastAsia="en-ZA"/>
        </w:rPr>
        <w:t>Plascon-Evans</w:t>
      </w:r>
      <w:r w:rsidRPr="0048358A">
        <w:rPr>
          <w:rFonts w:ascii="Arial" w:eastAsia="Times New Roman" w:hAnsi="Arial" w:cs="Arial"/>
          <w:color w:val="242121"/>
          <w:sz w:val="24"/>
          <w:szCs w:val="24"/>
          <w:lang w:eastAsia="en-ZA"/>
        </w:rPr>
        <w:t xml:space="preserve"> principle, its discretion was </w:t>
      </w:r>
      <w:r w:rsidRPr="0048358A">
        <w:rPr>
          <w:rFonts w:ascii="Arial" w:hAnsi="Arial" w:cs="Arial"/>
          <w:color w:val="242121"/>
          <w:sz w:val="24"/>
          <w:szCs w:val="24"/>
          <w:lang w:eastAsia="en-ZA"/>
        </w:rPr>
        <w:t>influenced by wrong principles and was therefore</w:t>
      </w:r>
      <w:r w:rsidRPr="00AB4643">
        <w:rPr>
          <w:rFonts w:ascii="Arial" w:hAnsi="Arial" w:cs="Arial"/>
          <w:color w:val="242121"/>
          <w:lang w:eastAsia="en-ZA"/>
        </w:rPr>
        <w:t xml:space="preserve"> </w:t>
      </w:r>
      <w:r w:rsidRPr="00AB4643">
        <w:rPr>
          <w:rFonts w:ascii="Arial" w:eastAsia="Times New Roman" w:hAnsi="Arial" w:cs="Arial"/>
          <w:color w:val="242121"/>
          <w:sz w:val="24"/>
          <w:szCs w:val="24"/>
          <w:lang w:eastAsia="en-ZA"/>
        </w:rPr>
        <w:t xml:space="preserve">not properly exercised. This Court is therefore at </w:t>
      </w:r>
      <w:r w:rsidRPr="00557C95">
        <w:rPr>
          <w:rFonts w:ascii="Arial" w:eastAsia="Times New Roman" w:hAnsi="Arial" w:cs="Arial"/>
          <w:color w:val="242121"/>
          <w:sz w:val="24"/>
          <w:szCs w:val="24"/>
          <w:lang w:eastAsia="en-ZA"/>
        </w:rPr>
        <w:t xml:space="preserve">large to </w:t>
      </w:r>
      <w:r w:rsidR="001B4864" w:rsidRPr="00557C95">
        <w:rPr>
          <w:rFonts w:ascii="Arial" w:eastAsia="Times New Roman" w:hAnsi="Arial" w:cs="Arial"/>
          <w:color w:val="242121"/>
          <w:sz w:val="24"/>
          <w:szCs w:val="24"/>
          <w:lang w:eastAsia="en-ZA"/>
        </w:rPr>
        <w:t xml:space="preserve">interfere </w:t>
      </w:r>
      <w:r w:rsidRPr="00557C95">
        <w:rPr>
          <w:rFonts w:ascii="Arial" w:eastAsia="Times New Roman" w:hAnsi="Arial" w:cs="Arial"/>
          <w:color w:val="242121"/>
          <w:sz w:val="24"/>
          <w:szCs w:val="24"/>
          <w:lang w:eastAsia="en-ZA"/>
        </w:rPr>
        <w:t xml:space="preserve">with the LCC’s </w:t>
      </w:r>
      <w:r w:rsidRPr="00557C95">
        <w:rPr>
          <w:rFonts w:ascii="Arial" w:hAnsi="Arial" w:cs="Arial"/>
          <w:color w:val="242121"/>
          <w:sz w:val="24"/>
          <w:szCs w:val="24"/>
          <w:lang w:eastAsia="en-ZA"/>
        </w:rPr>
        <w:t>refusal to grant an eviction order</w:t>
      </w:r>
      <w:r w:rsidR="004506C4" w:rsidRPr="00557C95">
        <w:rPr>
          <w:rFonts w:ascii="Arial" w:hAnsi="Arial" w:cs="Arial"/>
          <w:color w:val="242121"/>
          <w:sz w:val="24"/>
          <w:szCs w:val="24"/>
          <w:lang w:eastAsia="en-ZA"/>
        </w:rPr>
        <w:t xml:space="preserve">. </w:t>
      </w:r>
      <w:r w:rsidR="00FF7E86" w:rsidRPr="00557C95">
        <w:rPr>
          <w:rFonts w:ascii="Arial" w:eastAsia="Times New Roman" w:hAnsi="Arial" w:cs="Arial"/>
          <w:sz w:val="24"/>
          <w:szCs w:val="24"/>
        </w:rPr>
        <w:t>It follows that the appeal ought to succeed. What remain</w:t>
      </w:r>
      <w:r w:rsidR="001B5101" w:rsidRPr="00557C95">
        <w:rPr>
          <w:rFonts w:ascii="Arial" w:eastAsia="Times New Roman" w:hAnsi="Arial" w:cs="Arial"/>
          <w:sz w:val="24"/>
          <w:szCs w:val="24"/>
        </w:rPr>
        <w:t>s</w:t>
      </w:r>
      <w:r w:rsidR="00FF7E86" w:rsidRPr="00557C95">
        <w:rPr>
          <w:rFonts w:ascii="Arial" w:eastAsia="Times New Roman" w:hAnsi="Arial" w:cs="Arial"/>
          <w:sz w:val="24"/>
          <w:szCs w:val="24"/>
        </w:rPr>
        <w:t xml:space="preserve"> </w:t>
      </w:r>
      <w:r w:rsidR="004506C4" w:rsidRPr="00557C95">
        <w:rPr>
          <w:rFonts w:ascii="Arial" w:eastAsia="Times New Roman" w:hAnsi="Arial" w:cs="Arial"/>
          <w:sz w:val="24"/>
          <w:szCs w:val="24"/>
        </w:rPr>
        <w:t xml:space="preserve">for consideration </w:t>
      </w:r>
      <w:r w:rsidR="00FF7E86" w:rsidRPr="00557C95">
        <w:rPr>
          <w:rFonts w:ascii="Arial" w:eastAsia="Times New Roman" w:hAnsi="Arial" w:cs="Arial"/>
          <w:sz w:val="24"/>
          <w:szCs w:val="24"/>
        </w:rPr>
        <w:t>is a decision on the cross-appeal.</w:t>
      </w:r>
    </w:p>
    <w:p w14:paraId="7CEA62C2" w14:textId="02280457" w:rsidR="00774A33" w:rsidRPr="00557C95" w:rsidRDefault="00774A33" w:rsidP="00774A33">
      <w:pPr>
        <w:spacing w:after="0" w:line="360" w:lineRule="auto"/>
        <w:jc w:val="both"/>
        <w:rPr>
          <w:rFonts w:ascii="Arial" w:eastAsia="Times New Roman" w:hAnsi="Arial" w:cs="Arial"/>
          <w:sz w:val="24"/>
          <w:szCs w:val="24"/>
          <w:lang w:val="en-GB"/>
        </w:rPr>
      </w:pPr>
    </w:p>
    <w:p w14:paraId="1AEFB898" w14:textId="77777777" w:rsidR="00FF7E86" w:rsidRPr="00557C95" w:rsidRDefault="00FF7E86" w:rsidP="00FF7E86">
      <w:pPr>
        <w:spacing w:after="0" w:line="360" w:lineRule="auto"/>
        <w:jc w:val="both"/>
        <w:rPr>
          <w:rFonts w:ascii="Arial" w:eastAsia="Times New Roman" w:hAnsi="Arial" w:cs="Arial"/>
          <w:b/>
          <w:sz w:val="24"/>
          <w:szCs w:val="24"/>
          <w:lang w:val="en-GB"/>
        </w:rPr>
      </w:pPr>
      <w:r w:rsidRPr="00557C95">
        <w:rPr>
          <w:rFonts w:ascii="Arial" w:eastAsia="Times New Roman" w:hAnsi="Arial" w:cs="Arial"/>
          <w:b/>
          <w:sz w:val="24"/>
          <w:szCs w:val="24"/>
          <w:lang w:val="en-GB"/>
        </w:rPr>
        <w:t>Res judicata</w:t>
      </w:r>
    </w:p>
    <w:p w14:paraId="79895BE8" w14:textId="609260C3" w:rsidR="00FF7E86" w:rsidRPr="007F2F01" w:rsidRDefault="00FF7E86" w:rsidP="00FF7E86">
      <w:pPr>
        <w:spacing w:after="0" w:line="360" w:lineRule="auto"/>
        <w:jc w:val="both"/>
        <w:rPr>
          <w:rFonts w:ascii="Arial" w:eastAsia="Times New Roman" w:hAnsi="Arial" w:cs="Arial"/>
          <w:sz w:val="24"/>
          <w:szCs w:val="24"/>
          <w:lang w:val="en-GB"/>
        </w:rPr>
      </w:pPr>
      <w:r w:rsidRPr="00557C95">
        <w:rPr>
          <w:rFonts w:ascii="Arial" w:eastAsia="Times New Roman" w:hAnsi="Arial" w:cs="Arial"/>
          <w:sz w:val="24"/>
          <w:szCs w:val="24"/>
          <w:lang w:val="en-GB"/>
        </w:rPr>
        <w:t>[</w:t>
      </w:r>
      <w:r w:rsidR="001B5101" w:rsidRPr="00557C95">
        <w:rPr>
          <w:rFonts w:ascii="Arial" w:eastAsia="Times New Roman" w:hAnsi="Arial" w:cs="Arial"/>
          <w:sz w:val="24"/>
          <w:szCs w:val="24"/>
          <w:lang w:val="en-GB"/>
        </w:rPr>
        <w:t>6</w:t>
      </w:r>
      <w:r w:rsidR="005D5E03" w:rsidRPr="00557C95">
        <w:rPr>
          <w:rFonts w:ascii="Arial" w:eastAsia="Times New Roman" w:hAnsi="Arial" w:cs="Arial"/>
          <w:sz w:val="24"/>
          <w:szCs w:val="24"/>
          <w:lang w:val="en-GB"/>
        </w:rPr>
        <w:t>3</w:t>
      </w:r>
      <w:r w:rsidRPr="00557C95">
        <w:rPr>
          <w:rFonts w:ascii="Arial" w:eastAsia="Times New Roman" w:hAnsi="Arial" w:cs="Arial"/>
          <w:sz w:val="24"/>
          <w:szCs w:val="24"/>
          <w:lang w:val="en-GB"/>
        </w:rPr>
        <w:t>]</w:t>
      </w:r>
      <w:r w:rsidRPr="00557C95">
        <w:rPr>
          <w:rFonts w:ascii="Arial" w:eastAsia="Times New Roman" w:hAnsi="Arial" w:cs="Arial"/>
          <w:sz w:val="24"/>
          <w:szCs w:val="24"/>
          <w:lang w:val="en-GB"/>
        </w:rPr>
        <w:tab/>
        <w:t xml:space="preserve">The occupiers’ cross appeal amounts to the invocation of a defence of res judicata on the basis that the cause of action and the parties in the eviction application launched in the LCC were the same as those in the litigation previously determined in the magistrate’s court. </w:t>
      </w:r>
      <w:r w:rsidR="00557C6C" w:rsidRPr="00557C95">
        <w:rPr>
          <w:rFonts w:ascii="Arial" w:eastAsia="Times New Roman" w:hAnsi="Arial" w:cs="Arial"/>
          <w:sz w:val="24"/>
          <w:szCs w:val="24"/>
          <w:lang w:val="en-GB"/>
        </w:rPr>
        <w:t>Counsel for the occupiers</w:t>
      </w:r>
      <w:r w:rsidR="00557C6C" w:rsidRPr="00557C6C">
        <w:rPr>
          <w:rFonts w:ascii="Arial" w:eastAsia="Times New Roman" w:hAnsi="Arial" w:cs="Arial"/>
          <w:sz w:val="24"/>
          <w:szCs w:val="24"/>
          <w:lang w:val="en-GB"/>
        </w:rPr>
        <w:t xml:space="preserve"> contended that the LCC should have upheld the defence of res judicata in respect of the occupiers who were cited as respondents in the magistrate’s court, because the addition of more respondents in the LCC proceedings did </w:t>
      </w:r>
      <w:r w:rsidR="00557C6C" w:rsidRPr="00557C6C">
        <w:rPr>
          <w:rFonts w:ascii="Arial" w:eastAsia="Times New Roman" w:hAnsi="Arial" w:cs="Arial"/>
          <w:sz w:val="24"/>
          <w:szCs w:val="24"/>
          <w:lang w:val="en-GB"/>
        </w:rPr>
        <w:lastRenderedPageBreak/>
        <w:t xml:space="preserve">not detract from the fact that all the respondents mentioned in the magistrate’s court were the same </w:t>
      </w:r>
      <w:r w:rsidR="00557C6C" w:rsidRPr="007F2F01">
        <w:rPr>
          <w:rFonts w:ascii="Arial" w:eastAsia="Times New Roman" w:hAnsi="Arial" w:cs="Arial"/>
          <w:sz w:val="24"/>
          <w:szCs w:val="24"/>
          <w:lang w:val="en-GB"/>
        </w:rPr>
        <w:t>persons mentioned in the LCC proceedings.</w:t>
      </w:r>
      <w:r w:rsidR="00F82524">
        <w:rPr>
          <w:rFonts w:ascii="Arial" w:eastAsia="Times New Roman" w:hAnsi="Arial" w:cs="Arial"/>
          <w:sz w:val="24"/>
          <w:szCs w:val="24"/>
          <w:lang w:val="en-GB"/>
        </w:rPr>
        <w:t xml:space="preserve"> </w:t>
      </w:r>
    </w:p>
    <w:p w14:paraId="2597D86E" w14:textId="77777777" w:rsidR="00FF7E86" w:rsidRPr="007F2F01" w:rsidRDefault="00FF7E86" w:rsidP="00FF7E86">
      <w:pPr>
        <w:spacing w:after="0" w:line="360" w:lineRule="auto"/>
        <w:jc w:val="both"/>
        <w:rPr>
          <w:rFonts w:ascii="Arial" w:eastAsia="Times New Roman" w:hAnsi="Arial" w:cs="Arial"/>
          <w:sz w:val="24"/>
          <w:szCs w:val="24"/>
          <w:lang w:val="en-GB"/>
        </w:rPr>
      </w:pPr>
    </w:p>
    <w:p w14:paraId="4D56C542" w14:textId="04574EC2" w:rsidR="00FF7E86" w:rsidRPr="007F2F01" w:rsidRDefault="00FF7E86" w:rsidP="00FF7E86">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t>[</w:t>
      </w:r>
      <w:r w:rsidR="005F62F4" w:rsidRPr="007F2F01">
        <w:rPr>
          <w:rFonts w:ascii="Arial" w:eastAsia="Times New Roman" w:hAnsi="Arial" w:cs="Arial"/>
          <w:sz w:val="24"/>
          <w:szCs w:val="24"/>
          <w:lang w:val="en-GB"/>
        </w:rPr>
        <w:t>6</w:t>
      </w:r>
      <w:r w:rsidR="004E5A87" w:rsidRPr="007F2F01">
        <w:rPr>
          <w:rFonts w:ascii="Arial" w:eastAsia="Times New Roman" w:hAnsi="Arial" w:cs="Arial"/>
          <w:sz w:val="24"/>
          <w:szCs w:val="24"/>
          <w:lang w:val="en-GB"/>
        </w:rPr>
        <w:t>4</w:t>
      </w:r>
      <w:r w:rsidRPr="007F2F01">
        <w:rPr>
          <w:rFonts w:ascii="Arial" w:eastAsia="Times New Roman" w:hAnsi="Arial" w:cs="Arial"/>
          <w:sz w:val="24"/>
          <w:szCs w:val="24"/>
          <w:lang w:val="en-GB"/>
        </w:rPr>
        <w:t>]</w:t>
      </w:r>
      <w:r w:rsidRPr="007F2F01">
        <w:rPr>
          <w:rFonts w:ascii="Arial" w:eastAsia="Times New Roman" w:hAnsi="Arial" w:cs="Arial"/>
          <w:sz w:val="24"/>
          <w:szCs w:val="24"/>
          <w:lang w:val="en-GB"/>
        </w:rPr>
        <w:tab/>
        <w:t>It has been held that the doctrine of res judicata has ancient roots as an implement of justice. Its purpose was to protect the litigants and the courts.</w:t>
      </w:r>
      <w:r w:rsidRPr="007F2F01">
        <w:rPr>
          <w:rFonts w:ascii="Arial" w:eastAsia="Times New Roman" w:hAnsi="Arial" w:cs="Arial"/>
          <w:sz w:val="24"/>
          <w:szCs w:val="24"/>
          <w:vertAlign w:val="superscript"/>
          <w:lang w:val="en-GB"/>
        </w:rPr>
        <w:footnoteReference w:id="26"/>
      </w:r>
      <w:r w:rsidRPr="007F2F01">
        <w:rPr>
          <w:rFonts w:ascii="Arial" w:eastAsia="Times New Roman" w:hAnsi="Arial" w:cs="Arial"/>
          <w:sz w:val="24"/>
          <w:szCs w:val="24"/>
          <w:lang w:val="en-GB"/>
        </w:rPr>
        <w:t xml:space="preserve"> The defence of res judicata was available at common law if it were shown that the judgment in the earlier case was given in a dispute between the same parties, for the same relief on the same ground or on the same cause.</w:t>
      </w:r>
      <w:r w:rsidRPr="007F2F01">
        <w:rPr>
          <w:rFonts w:ascii="Arial" w:eastAsia="Times New Roman" w:hAnsi="Arial" w:cs="Arial"/>
          <w:sz w:val="24"/>
          <w:szCs w:val="24"/>
          <w:vertAlign w:val="superscript"/>
          <w:lang w:val="en-GB"/>
        </w:rPr>
        <w:footnoteReference w:id="27"/>
      </w:r>
      <w:r w:rsidRPr="007F2F01">
        <w:rPr>
          <w:rFonts w:ascii="Arial" w:eastAsia="Times New Roman" w:hAnsi="Arial" w:cs="Arial"/>
          <w:sz w:val="24"/>
          <w:szCs w:val="24"/>
          <w:lang w:val="en-GB"/>
        </w:rPr>
        <w:t xml:space="preserve"> The gist of the plea of res judicata is that the matter or question raised by the other side had been finally adjudicated upon in proceedings between the parties and can therefore not be raised again.</w:t>
      </w:r>
      <w:r w:rsidRPr="007F2F01">
        <w:rPr>
          <w:rFonts w:ascii="Arial" w:eastAsia="Times New Roman" w:hAnsi="Arial" w:cs="Arial"/>
          <w:sz w:val="24"/>
          <w:szCs w:val="24"/>
          <w:vertAlign w:val="superscript"/>
          <w:lang w:val="en-GB"/>
        </w:rPr>
        <w:footnoteReference w:id="28"/>
      </w:r>
    </w:p>
    <w:p w14:paraId="14DA51E4" w14:textId="77777777" w:rsidR="00FF7E86" w:rsidRPr="007F2F01" w:rsidRDefault="00FF7E86" w:rsidP="00FF7E86">
      <w:pPr>
        <w:spacing w:after="0" w:line="360" w:lineRule="auto"/>
        <w:jc w:val="both"/>
        <w:rPr>
          <w:rFonts w:ascii="Arial" w:eastAsia="Times New Roman" w:hAnsi="Arial" w:cs="Arial"/>
          <w:sz w:val="24"/>
          <w:szCs w:val="24"/>
          <w:lang w:val="en-GB"/>
        </w:rPr>
      </w:pPr>
    </w:p>
    <w:p w14:paraId="1684544C" w14:textId="1CDA8C49" w:rsidR="00FF7E86" w:rsidRPr="007F2F01" w:rsidRDefault="00FF7E86" w:rsidP="00FF7E86">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t>[</w:t>
      </w:r>
      <w:r w:rsidR="005F62F4" w:rsidRPr="007F2F01">
        <w:rPr>
          <w:rFonts w:ascii="Arial" w:eastAsia="Times New Roman" w:hAnsi="Arial" w:cs="Arial"/>
          <w:sz w:val="24"/>
          <w:szCs w:val="24"/>
          <w:lang w:val="en-GB"/>
        </w:rPr>
        <w:t>6</w:t>
      </w:r>
      <w:r w:rsidR="004E5A87" w:rsidRPr="007F2F01">
        <w:rPr>
          <w:rFonts w:ascii="Arial" w:eastAsia="Times New Roman" w:hAnsi="Arial" w:cs="Arial"/>
          <w:sz w:val="24"/>
          <w:szCs w:val="24"/>
          <w:lang w:val="en-GB"/>
        </w:rPr>
        <w:t>5</w:t>
      </w:r>
      <w:r w:rsidRPr="007F2F01">
        <w:rPr>
          <w:rFonts w:ascii="Arial" w:eastAsia="Times New Roman" w:hAnsi="Arial" w:cs="Arial"/>
          <w:sz w:val="24"/>
          <w:szCs w:val="24"/>
          <w:lang w:val="en-GB"/>
        </w:rPr>
        <w:t>]</w:t>
      </w:r>
      <w:r w:rsidRPr="007F2F01">
        <w:rPr>
          <w:rFonts w:ascii="Arial" w:eastAsia="Times New Roman" w:hAnsi="Arial" w:cs="Arial"/>
          <w:sz w:val="24"/>
          <w:szCs w:val="24"/>
          <w:lang w:val="en-GB"/>
        </w:rPr>
        <w:tab/>
        <w:t xml:space="preserve">As far back as 1893, this Court in </w:t>
      </w:r>
      <w:r w:rsidRPr="007F2F01">
        <w:rPr>
          <w:rFonts w:ascii="Arial" w:eastAsia="Times New Roman" w:hAnsi="Arial" w:cs="Arial"/>
          <w:i/>
          <w:iCs/>
          <w:sz w:val="24"/>
          <w:szCs w:val="24"/>
          <w:lang w:val="en-GB"/>
        </w:rPr>
        <w:t>Bertram v Wood</w:t>
      </w:r>
      <w:r w:rsidRPr="007F2F01">
        <w:rPr>
          <w:rFonts w:ascii="Arial" w:eastAsia="Times New Roman" w:hAnsi="Arial" w:cs="Arial"/>
          <w:i/>
          <w:iCs/>
          <w:sz w:val="24"/>
          <w:szCs w:val="24"/>
          <w:vertAlign w:val="superscript"/>
          <w:lang w:val="en-GB"/>
        </w:rPr>
        <w:footnoteReference w:id="29"/>
      </w:r>
      <w:r w:rsidRPr="007F2F01">
        <w:rPr>
          <w:rFonts w:ascii="Arial" w:eastAsia="Times New Roman" w:hAnsi="Arial" w:cs="Arial"/>
          <w:sz w:val="24"/>
          <w:szCs w:val="24"/>
          <w:lang w:val="en-GB"/>
        </w:rPr>
        <w:t xml:space="preserve"> cautioned that, unless carefully circumscribed, the defence of res judicata could produce great hardship and positive injustice to individuals. With the passage of time, its requirements were relaxed. </w:t>
      </w:r>
      <w:r w:rsidR="007F7794" w:rsidRPr="007F2F01">
        <w:rPr>
          <w:rFonts w:ascii="Arial" w:eastAsia="Times New Roman" w:hAnsi="Arial" w:cs="Arial"/>
          <w:sz w:val="24"/>
          <w:szCs w:val="24"/>
          <w:lang w:val="en-GB"/>
        </w:rPr>
        <w:t>The label ‘issue estoppel’ referred to instances where the same cause of action requirement ‘was not rigorously enforced’ and is thus an extension of res judicata.</w:t>
      </w:r>
      <w:r w:rsidR="007F7794" w:rsidRPr="007F2F01">
        <w:rPr>
          <w:rFonts w:ascii="Arial" w:eastAsia="Times New Roman" w:hAnsi="Arial" w:cs="Arial"/>
          <w:sz w:val="24"/>
          <w:szCs w:val="24"/>
          <w:vertAlign w:val="superscript"/>
          <w:lang w:val="en-GB"/>
        </w:rPr>
        <w:footnoteReference w:id="30"/>
      </w:r>
      <w:r w:rsidR="007F7794" w:rsidRPr="007F2F01">
        <w:rPr>
          <w:rFonts w:ascii="Arial" w:eastAsia="Times New Roman" w:hAnsi="Arial" w:cs="Arial"/>
          <w:sz w:val="24"/>
          <w:szCs w:val="24"/>
          <w:lang w:val="en-GB"/>
        </w:rPr>
        <w:t xml:space="preserve"> </w:t>
      </w:r>
      <w:r w:rsidRPr="007F2F01">
        <w:rPr>
          <w:rFonts w:ascii="Arial" w:eastAsia="Times New Roman" w:hAnsi="Arial" w:cs="Arial"/>
          <w:sz w:val="24"/>
          <w:szCs w:val="24"/>
          <w:lang w:val="en-GB"/>
        </w:rPr>
        <w:t xml:space="preserve">In </w:t>
      </w:r>
      <w:r w:rsidRPr="007F2F01">
        <w:rPr>
          <w:rFonts w:ascii="Arial" w:eastAsia="Times New Roman" w:hAnsi="Arial" w:cs="Arial"/>
          <w:i/>
          <w:iCs/>
          <w:sz w:val="24"/>
          <w:szCs w:val="24"/>
          <w:lang w:val="en-GB"/>
        </w:rPr>
        <w:t>Smith v Porritt and Others</w:t>
      </w:r>
      <w:r w:rsidRPr="007F2F01">
        <w:rPr>
          <w:rFonts w:ascii="Arial" w:eastAsia="Times New Roman" w:hAnsi="Arial" w:cs="Arial"/>
          <w:sz w:val="24"/>
          <w:szCs w:val="24"/>
          <w:lang w:val="en-GB"/>
        </w:rPr>
        <w:t>, this Court explained the relaxation of res judicata as follows:</w:t>
      </w:r>
    </w:p>
    <w:p w14:paraId="6DA2B17C" w14:textId="77777777" w:rsidR="00FF7E86" w:rsidRPr="007F2F01" w:rsidRDefault="00FF7E86" w:rsidP="00FF7E86">
      <w:pPr>
        <w:spacing w:after="0" w:line="360" w:lineRule="auto"/>
        <w:jc w:val="both"/>
        <w:rPr>
          <w:rFonts w:ascii="Arial" w:eastAsia="Times New Roman" w:hAnsi="Arial" w:cs="Arial"/>
          <w:lang w:val="en-GB"/>
        </w:rPr>
      </w:pPr>
      <w:r w:rsidRPr="007F2F01">
        <w:rPr>
          <w:rFonts w:ascii="Arial" w:eastAsia="Times New Roman" w:hAnsi="Arial" w:cs="Arial"/>
          <w:lang w:val="en-GB"/>
        </w:rPr>
        <w:t xml:space="preserve">‘Following the decision in </w:t>
      </w:r>
      <w:r w:rsidRPr="007F2F01">
        <w:rPr>
          <w:rFonts w:ascii="Arial" w:eastAsia="Times New Roman" w:hAnsi="Arial" w:cs="Arial"/>
          <w:i/>
          <w:lang w:val="en-GB"/>
        </w:rPr>
        <w:t>Boshoff v Union Government</w:t>
      </w:r>
      <w:r w:rsidRPr="007F2F01">
        <w:rPr>
          <w:rFonts w:ascii="Arial" w:eastAsia="Times New Roman" w:hAnsi="Arial" w:cs="Arial"/>
          <w:lang w:val="en-GB"/>
        </w:rPr>
        <w:t xml:space="preserve"> 1932 TPD 345 the ambit of the </w:t>
      </w:r>
      <w:r w:rsidRPr="007F2F01">
        <w:rPr>
          <w:rFonts w:ascii="Arial" w:eastAsia="Times New Roman" w:hAnsi="Arial" w:cs="Arial"/>
          <w:i/>
          <w:lang w:val="en-GB"/>
        </w:rPr>
        <w:t>exceptio rei judicata</w:t>
      </w:r>
      <w:r w:rsidRPr="007F2F01">
        <w:rPr>
          <w:rFonts w:ascii="Arial" w:eastAsia="Times New Roman" w:hAnsi="Arial" w:cs="Arial"/>
          <w:lang w:val="en-GB"/>
        </w:rPr>
        <w:t xml:space="preserve"> has over the years been extended by the relaxation in appropriate cases of the common law requirements that the relief claimed and the cause of action be the same . . . in both the case in question and the earlier judgment. Where the circumstances justify the relaxation of these requirements, those that remain are that the parties must be the same . . . and that the same issue . . . must arise. Broadly stated, the latter involves an inquiry whether an issue of fact or law was an essential element of the judgment on which reliance is placed.’</w:t>
      </w:r>
      <w:r w:rsidRPr="007F2F01">
        <w:rPr>
          <w:rFonts w:ascii="Arial" w:eastAsia="Times New Roman" w:hAnsi="Arial" w:cs="Arial"/>
          <w:vertAlign w:val="superscript"/>
          <w:lang w:val="en-GB"/>
        </w:rPr>
        <w:footnoteReference w:id="31"/>
      </w:r>
      <w:r w:rsidRPr="007F2F01">
        <w:rPr>
          <w:rFonts w:ascii="Arial" w:eastAsia="Times New Roman" w:hAnsi="Arial" w:cs="Arial"/>
          <w:lang w:val="en-GB"/>
        </w:rPr>
        <w:t xml:space="preserve"> </w:t>
      </w:r>
    </w:p>
    <w:p w14:paraId="59B5160F" w14:textId="77777777" w:rsidR="00AC077C" w:rsidRPr="007F2F01" w:rsidRDefault="00AC077C" w:rsidP="00FF7E86">
      <w:pPr>
        <w:spacing w:after="0" w:line="360" w:lineRule="auto"/>
        <w:jc w:val="both"/>
        <w:rPr>
          <w:rFonts w:ascii="Arial" w:eastAsia="Times New Roman" w:hAnsi="Arial" w:cs="Arial"/>
          <w:sz w:val="24"/>
          <w:szCs w:val="24"/>
          <w:lang w:val="en-GB"/>
        </w:rPr>
      </w:pPr>
    </w:p>
    <w:p w14:paraId="38E4E2E9" w14:textId="7E5DFBA6" w:rsidR="00AE56F8" w:rsidRPr="007F2F01" w:rsidRDefault="00FF7E86" w:rsidP="00FF7E86">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lastRenderedPageBreak/>
        <w:t>[</w:t>
      </w:r>
      <w:r w:rsidR="00AC077C" w:rsidRPr="007F2F01">
        <w:rPr>
          <w:rFonts w:ascii="Arial" w:eastAsia="Times New Roman" w:hAnsi="Arial" w:cs="Arial"/>
          <w:sz w:val="24"/>
          <w:szCs w:val="24"/>
          <w:lang w:val="en-GB"/>
        </w:rPr>
        <w:t>6</w:t>
      </w:r>
      <w:r w:rsidR="004E5A87" w:rsidRPr="007F2F01">
        <w:rPr>
          <w:rFonts w:ascii="Arial" w:eastAsia="Times New Roman" w:hAnsi="Arial" w:cs="Arial"/>
          <w:sz w:val="24"/>
          <w:szCs w:val="24"/>
          <w:lang w:val="en-GB"/>
        </w:rPr>
        <w:t>6</w:t>
      </w:r>
      <w:r w:rsidRPr="007F2F01">
        <w:rPr>
          <w:rFonts w:ascii="Arial" w:eastAsia="Times New Roman" w:hAnsi="Arial" w:cs="Arial"/>
          <w:sz w:val="24"/>
          <w:szCs w:val="24"/>
          <w:lang w:val="en-GB"/>
        </w:rPr>
        <w:t>]</w:t>
      </w:r>
      <w:r w:rsidRPr="007F2F01">
        <w:rPr>
          <w:rFonts w:ascii="Arial" w:eastAsia="Times New Roman" w:hAnsi="Arial" w:cs="Arial"/>
          <w:sz w:val="24"/>
          <w:szCs w:val="24"/>
          <w:lang w:val="en-GB"/>
        </w:rPr>
        <w:tab/>
        <w:t xml:space="preserve">Following </w:t>
      </w:r>
      <w:r w:rsidRPr="007F2F01">
        <w:rPr>
          <w:rFonts w:ascii="Arial" w:eastAsia="Times New Roman" w:hAnsi="Arial" w:cs="Arial"/>
          <w:i/>
          <w:iCs/>
          <w:sz w:val="24"/>
          <w:szCs w:val="24"/>
          <w:lang w:val="en-GB"/>
        </w:rPr>
        <w:t>Boshoff</w:t>
      </w:r>
      <w:r w:rsidRPr="007F2F01">
        <w:rPr>
          <w:rFonts w:ascii="Arial" w:eastAsia="Times New Roman" w:hAnsi="Arial" w:cs="Arial"/>
          <w:sz w:val="24"/>
          <w:szCs w:val="24"/>
          <w:lang w:val="en-GB"/>
        </w:rPr>
        <w:t xml:space="preserve"> and a line of judgments of this Court, it is now well-established that the requirements of res judicata should yield to the facts of each case</w:t>
      </w:r>
      <w:r w:rsidR="00663ED4">
        <w:rPr>
          <w:rStyle w:val="FootnoteReference"/>
          <w:rFonts w:ascii="Arial" w:eastAsia="Times New Roman" w:hAnsi="Arial"/>
          <w:sz w:val="24"/>
          <w:szCs w:val="24"/>
          <w:lang w:val="en-GB"/>
        </w:rPr>
        <w:footnoteReference w:id="32"/>
      </w:r>
      <w:r w:rsidR="00DA0C20" w:rsidRPr="007F2F01">
        <w:rPr>
          <w:rFonts w:ascii="Arial" w:eastAsia="Times New Roman" w:hAnsi="Arial" w:cs="Arial"/>
          <w:sz w:val="24"/>
          <w:szCs w:val="24"/>
          <w:lang w:val="en-GB"/>
        </w:rPr>
        <w:t>.</w:t>
      </w:r>
      <w:r w:rsidR="006D3515" w:rsidRPr="007F2F01">
        <w:rPr>
          <w:rFonts w:ascii="Arial" w:eastAsia="Times New Roman" w:hAnsi="Arial" w:cs="Arial"/>
          <w:sz w:val="24"/>
          <w:szCs w:val="24"/>
          <w:lang w:val="en-GB"/>
        </w:rPr>
        <w:t xml:space="preserve"> </w:t>
      </w:r>
      <w:r w:rsidRPr="007F2F01">
        <w:rPr>
          <w:rFonts w:ascii="Arial" w:eastAsia="Times New Roman" w:hAnsi="Arial" w:cs="Arial"/>
          <w:sz w:val="24"/>
          <w:szCs w:val="24"/>
          <w:lang w:val="en-GB"/>
        </w:rPr>
        <w:t xml:space="preserve">In dismissing the defence of </w:t>
      </w:r>
      <w:r w:rsidRPr="007F2F01">
        <w:rPr>
          <w:rFonts w:ascii="Arial" w:eastAsia="Times New Roman" w:hAnsi="Arial" w:cs="Arial"/>
          <w:iCs/>
          <w:sz w:val="24"/>
          <w:szCs w:val="24"/>
          <w:lang w:val="en-GB"/>
        </w:rPr>
        <w:t>res judicata</w:t>
      </w:r>
      <w:r w:rsidRPr="007F2F01">
        <w:rPr>
          <w:rFonts w:ascii="Arial" w:eastAsia="Times New Roman" w:hAnsi="Arial" w:cs="Arial"/>
          <w:sz w:val="24"/>
          <w:szCs w:val="24"/>
          <w:lang w:val="en-GB"/>
        </w:rPr>
        <w:t xml:space="preserve">, the LCC reasoned that the parties cited in that court as respondents, who were occupying the farm, were not the same parties as those who were cited as respondents at the magistrate’s court, insofar as the children of those respondents were not cited as parties in the magistrate’s court but were cited as parties at the LCC. It found that the issues raised in the litigation in both courts were the same. </w:t>
      </w:r>
    </w:p>
    <w:p w14:paraId="1D44E2F4" w14:textId="77777777" w:rsidR="00AE56F8" w:rsidRPr="007F2F01" w:rsidRDefault="00AE56F8" w:rsidP="00FF7E86">
      <w:pPr>
        <w:spacing w:after="0" w:line="360" w:lineRule="auto"/>
        <w:jc w:val="both"/>
        <w:rPr>
          <w:rFonts w:ascii="Arial" w:eastAsia="Times New Roman" w:hAnsi="Arial" w:cs="Arial"/>
          <w:sz w:val="24"/>
          <w:szCs w:val="24"/>
          <w:lang w:val="en-GB"/>
        </w:rPr>
      </w:pPr>
    </w:p>
    <w:p w14:paraId="66A73C87" w14:textId="0667CC47" w:rsidR="00FF7E86" w:rsidRPr="007F2F01" w:rsidRDefault="00AE56F8" w:rsidP="00FF7E86">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t>[6</w:t>
      </w:r>
      <w:r w:rsidR="006A1A0A" w:rsidRPr="007F2F01">
        <w:rPr>
          <w:rFonts w:ascii="Arial" w:eastAsia="Times New Roman" w:hAnsi="Arial" w:cs="Arial"/>
          <w:sz w:val="24"/>
          <w:szCs w:val="24"/>
          <w:lang w:val="en-GB"/>
        </w:rPr>
        <w:t>7</w:t>
      </w:r>
      <w:r w:rsidRPr="007F2F01">
        <w:rPr>
          <w:rFonts w:ascii="Arial" w:eastAsia="Times New Roman" w:hAnsi="Arial" w:cs="Arial"/>
          <w:sz w:val="24"/>
          <w:szCs w:val="24"/>
          <w:lang w:val="en-GB"/>
        </w:rPr>
        <w:t>]</w:t>
      </w:r>
      <w:r w:rsidRPr="007F2F01">
        <w:rPr>
          <w:rFonts w:ascii="Arial" w:eastAsia="Times New Roman" w:hAnsi="Arial" w:cs="Arial"/>
          <w:sz w:val="24"/>
          <w:szCs w:val="24"/>
          <w:lang w:val="en-GB"/>
        </w:rPr>
        <w:tab/>
      </w:r>
      <w:r w:rsidR="00FF7E86" w:rsidRPr="007F2F01">
        <w:rPr>
          <w:rFonts w:ascii="Arial" w:eastAsia="Times New Roman" w:hAnsi="Arial" w:cs="Arial"/>
          <w:sz w:val="24"/>
          <w:szCs w:val="24"/>
          <w:lang w:val="en-GB"/>
        </w:rPr>
        <w:t xml:space="preserve">It seems to me that even though only the heads of different households were cited as parties in the magistrate’s court, the parties in both matters were essentially the same. In </w:t>
      </w:r>
      <w:bookmarkStart w:id="23" w:name="_Hlk124529824"/>
      <w:r w:rsidR="00FF7E86" w:rsidRPr="007F2F01">
        <w:rPr>
          <w:rFonts w:ascii="Arial" w:eastAsia="Times New Roman" w:hAnsi="Arial" w:cs="Arial"/>
          <w:i/>
          <w:iCs/>
          <w:sz w:val="24"/>
          <w:szCs w:val="24"/>
          <w:lang w:val="en-GB"/>
        </w:rPr>
        <w:t>Caesarstone</w:t>
      </w:r>
      <w:r w:rsidR="00FF7E86" w:rsidRPr="007F2F01">
        <w:rPr>
          <w:rFonts w:ascii="Arial" w:eastAsia="Times New Roman" w:hAnsi="Arial" w:cs="Arial"/>
          <w:sz w:val="24"/>
          <w:szCs w:val="24"/>
          <w:lang w:val="en-GB"/>
        </w:rPr>
        <w:t xml:space="preserve"> </w:t>
      </w:r>
      <w:r w:rsidR="00FF7E86" w:rsidRPr="007F2F01">
        <w:rPr>
          <w:rFonts w:ascii="Arial" w:eastAsia="Times New Roman" w:hAnsi="Arial" w:cs="Arial"/>
          <w:i/>
          <w:iCs/>
          <w:sz w:val="24"/>
          <w:szCs w:val="24"/>
        </w:rPr>
        <w:t>Sdot-Yam Ltd v The World of Marble and Granite 2000 CC and Others</w:t>
      </w:r>
      <w:bookmarkEnd w:id="23"/>
      <w:r w:rsidR="00FF7E86" w:rsidRPr="007F2F01">
        <w:rPr>
          <w:rFonts w:ascii="Arial" w:eastAsia="Times New Roman" w:hAnsi="Arial" w:cs="Arial"/>
          <w:sz w:val="24"/>
          <w:szCs w:val="24"/>
        </w:rPr>
        <w:t xml:space="preserve">, this Court said: </w:t>
      </w:r>
    </w:p>
    <w:p w14:paraId="38C9FF87" w14:textId="77777777" w:rsidR="00FF7E86" w:rsidRPr="007F2F01" w:rsidRDefault="00FF7E86" w:rsidP="00FF7E86">
      <w:pPr>
        <w:spacing w:after="0" w:line="360" w:lineRule="auto"/>
        <w:jc w:val="both"/>
        <w:rPr>
          <w:rFonts w:ascii="Arial" w:eastAsia="Times New Roman" w:hAnsi="Arial" w:cs="Arial"/>
        </w:rPr>
      </w:pPr>
      <w:r w:rsidRPr="007F2F01">
        <w:rPr>
          <w:rFonts w:ascii="Arial" w:eastAsia="Times New Roman" w:hAnsi="Arial" w:cs="Arial"/>
          <w:lang w:val="en-GB"/>
        </w:rPr>
        <w:t>‘As I have mentioned Caesarstone submitted that while the remaining family members were not parties to the proceedings in Israel there was a sufficient commonality of interest between them and WOMAG and Mr Oren Sachs to satisfy the requirements of the plea of </w:t>
      </w:r>
      <w:r w:rsidRPr="007F2F01">
        <w:rPr>
          <w:rFonts w:ascii="Arial" w:eastAsia="Times New Roman" w:hAnsi="Arial" w:cs="Arial"/>
          <w:i/>
          <w:iCs/>
          <w:lang w:val="en-GB"/>
        </w:rPr>
        <w:t>lis pendens</w:t>
      </w:r>
      <w:r w:rsidRPr="007F2F01">
        <w:rPr>
          <w:rFonts w:ascii="Arial" w:eastAsia="Times New Roman" w:hAnsi="Arial" w:cs="Arial"/>
          <w:lang w:val="en-GB"/>
        </w:rPr>
        <w:t>. The argument commences with a reference to </w:t>
      </w:r>
      <w:r w:rsidRPr="007F2F01">
        <w:rPr>
          <w:rFonts w:ascii="Arial" w:eastAsia="Times New Roman" w:hAnsi="Arial" w:cs="Arial"/>
          <w:i/>
          <w:iCs/>
          <w:lang w:val="en-GB"/>
        </w:rPr>
        <w:t>Voet </w:t>
      </w:r>
      <w:r w:rsidRPr="007F2F01">
        <w:rPr>
          <w:rFonts w:ascii="Arial" w:eastAsia="Times New Roman" w:hAnsi="Arial" w:cs="Arial"/>
          <w:lang w:val="en-GB"/>
        </w:rPr>
        <w:t>44.2.5,</w:t>
      </w:r>
      <w:r w:rsidRPr="007F2F01">
        <w:rPr>
          <w:rFonts w:ascii="Arial" w:eastAsia="Times New Roman" w:hAnsi="Arial" w:cs="Arial"/>
        </w:rPr>
        <w:t> </w:t>
      </w:r>
      <w:r w:rsidRPr="007F2F01">
        <w:rPr>
          <w:rFonts w:ascii="Arial" w:eastAsia="Times New Roman" w:hAnsi="Arial" w:cs="Arial"/>
          <w:lang w:val="en-GB"/>
        </w:rPr>
        <w:t>where </w:t>
      </w:r>
      <w:r w:rsidRPr="007F2F01">
        <w:rPr>
          <w:rFonts w:ascii="Arial" w:eastAsia="Times New Roman" w:hAnsi="Arial" w:cs="Arial"/>
          <w:i/>
          <w:iCs/>
          <w:lang w:val="en-GB"/>
        </w:rPr>
        <w:t>Voet </w:t>
      </w:r>
      <w:r w:rsidRPr="007F2F01">
        <w:rPr>
          <w:rFonts w:ascii="Arial" w:eastAsia="Times New Roman" w:hAnsi="Arial" w:cs="Arial"/>
          <w:lang w:val="en-GB"/>
        </w:rPr>
        <w:t>gives examples of what is meant by the ‘same person’ in the context of a plea of </w:t>
      </w:r>
      <w:r w:rsidRPr="007F2F01">
        <w:rPr>
          <w:rFonts w:ascii="Arial" w:eastAsia="Times New Roman" w:hAnsi="Arial" w:cs="Arial"/>
          <w:i/>
          <w:iCs/>
          <w:lang w:val="en-GB"/>
        </w:rPr>
        <w:t>res judicata</w:t>
      </w:r>
      <w:r w:rsidRPr="007F2F01">
        <w:rPr>
          <w:rFonts w:ascii="Arial" w:eastAsia="Times New Roman" w:hAnsi="Arial" w:cs="Arial"/>
          <w:lang w:val="en-GB"/>
        </w:rPr>
        <w:t>. Whilst the rule is often stated as being that it covers only those who are privies in the sense of having derived their rights from a party to the original litigation,</w:t>
      </w:r>
      <w:bookmarkStart w:id="24" w:name="sdfootnote30anc"/>
      <w:r w:rsidRPr="007F2F01">
        <w:rPr>
          <w:rFonts w:ascii="Arial" w:eastAsia="Times New Roman" w:hAnsi="Arial" w:cs="Arial"/>
          <w:vertAlign w:val="superscript"/>
        </w:rPr>
        <w:fldChar w:fldCharType="begin"/>
      </w:r>
      <w:r w:rsidRPr="007F2F01">
        <w:rPr>
          <w:rFonts w:ascii="Arial" w:eastAsia="Times New Roman" w:hAnsi="Arial" w:cs="Arial"/>
          <w:vertAlign w:val="superscript"/>
        </w:rPr>
        <w:instrText xml:space="preserve"> HYPERLINK "http://www.saflii.org/za/cases/ZASCA/2013/129.html" \l "sdfootnote30sym" </w:instrText>
      </w:r>
      <w:r w:rsidRPr="007F2F01">
        <w:rPr>
          <w:rFonts w:ascii="Arial" w:eastAsia="Times New Roman" w:hAnsi="Arial" w:cs="Arial"/>
          <w:vertAlign w:val="superscript"/>
        </w:rPr>
        <w:fldChar w:fldCharType="end"/>
      </w:r>
      <w:bookmarkEnd w:id="24"/>
      <w:r w:rsidRPr="007F2F01">
        <w:rPr>
          <w:rFonts w:ascii="Arial" w:eastAsia="Times New Roman" w:hAnsi="Arial" w:cs="Arial"/>
        </w:rPr>
        <w:t> </w:t>
      </w:r>
      <w:r w:rsidRPr="007F2F01">
        <w:rPr>
          <w:rFonts w:ascii="Arial" w:eastAsia="Times New Roman" w:hAnsi="Arial" w:cs="Arial"/>
          <w:lang w:val="en-GB"/>
        </w:rPr>
        <w:t>it is by no means clear that </w:t>
      </w:r>
      <w:r w:rsidRPr="007F2F01">
        <w:rPr>
          <w:rFonts w:ascii="Arial" w:eastAsia="Times New Roman" w:hAnsi="Arial" w:cs="Arial"/>
          <w:i/>
          <w:iCs/>
          <w:lang w:val="en-GB"/>
        </w:rPr>
        <w:t>Voet </w:t>
      </w:r>
      <w:r w:rsidRPr="007F2F01">
        <w:rPr>
          <w:rFonts w:ascii="Arial" w:eastAsia="Times New Roman" w:hAnsi="Arial" w:cs="Arial"/>
          <w:lang w:val="en-GB"/>
        </w:rPr>
        <w:t>confined it that narrowly.. . . .</w:t>
      </w:r>
    </w:p>
    <w:p w14:paraId="385CBAE1" w14:textId="77777777" w:rsidR="00FF7E86" w:rsidRPr="007F2F01" w:rsidRDefault="00FF7E86" w:rsidP="00FF7E86">
      <w:pPr>
        <w:spacing w:after="0" w:line="360" w:lineRule="auto"/>
        <w:jc w:val="both"/>
        <w:rPr>
          <w:rFonts w:ascii="Arial" w:eastAsia="Times New Roman" w:hAnsi="Arial" w:cs="Arial"/>
        </w:rPr>
      </w:pPr>
      <w:r w:rsidRPr="007F2F01">
        <w:rPr>
          <w:rFonts w:ascii="Arial" w:eastAsia="Times New Roman" w:hAnsi="Arial" w:cs="Arial"/>
        </w:rPr>
        <w:t>It may be that the requirement of “the same persons” is not confined to cases where there is an identity of persons, or where one of the litigants is a privy of a party to the other litigation, deriving their rights from that other person. Subject to the person concerned having had a fair opportunity to participate in the initial litigation, where the relevant issue was litigated and decided, there seems to me to be something odd in permitting that person to demand that the issue be litigated all over again with the same witnesses and the same evidence in the hope of a different outcome, merely because there is some difference in the identity of the other litigating party</w:t>
      </w:r>
      <w:r w:rsidRPr="007F2F01">
        <w:rPr>
          <w:rFonts w:ascii="Arial" w:eastAsia="Times New Roman" w:hAnsi="Arial" w:cs="Arial"/>
          <w:lang w:val="en-GB"/>
        </w:rPr>
        <w:t>.’</w:t>
      </w:r>
      <w:r w:rsidRPr="007F2F01">
        <w:rPr>
          <w:rFonts w:ascii="Arial" w:eastAsia="Times New Roman" w:hAnsi="Arial" w:cs="Arial"/>
          <w:vertAlign w:val="superscript"/>
          <w:lang w:val="en-GB"/>
        </w:rPr>
        <w:footnoteReference w:id="33"/>
      </w:r>
    </w:p>
    <w:p w14:paraId="587A2599" w14:textId="77777777" w:rsidR="00FF7E86" w:rsidRPr="007F2F01" w:rsidRDefault="00FF7E86" w:rsidP="00FF7E86">
      <w:pPr>
        <w:spacing w:after="0" w:line="360" w:lineRule="auto"/>
        <w:jc w:val="both"/>
        <w:rPr>
          <w:rFonts w:ascii="Arial" w:eastAsia="Times New Roman" w:hAnsi="Arial" w:cs="Arial"/>
          <w:sz w:val="24"/>
          <w:szCs w:val="24"/>
          <w:lang w:val="en-GB"/>
        </w:rPr>
      </w:pPr>
    </w:p>
    <w:p w14:paraId="610152F2" w14:textId="12C16622" w:rsidR="00FF7E86" w:rsidRPr="007F2F01" w:rsidRDefault="00FF7E86" w:rsidP="00FF7E86">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lastRenderedPageBreak/>
        <w:t>[</w:t>
      </w:r>
      <w:r w:rsidR="00AE56F8" w:rsidRPr="007F2F01">
        <w:rPr>
          <w:rFonts w:ascii="Arial" w:eastAsia="Times New Roman" w:hAnsi="Arial" w:cs="Arial"/>
          <w:sz w:val="24"/>
          <w:szCs w:val="24"/>
          <w:lang w:val="en-GB"/>
        </w:rPr>
        <w:t>6</w:t>
      </w:r>
      <w:r w:rsidR="006A1A0A" w:rsidRPr="007F2F01">
        <w:rPr>
          <w:rFonts w:ascii="Arial" w:eastAsia="Times New Roman" w:hAnsi="Arial" w:cs="Arial"/>
          <w:sz w:val="24"/>
          <w:szCs w:val="24"/>
          <w:lang w:val="en-GB"/>
        </w:rPr>
        <w:t>8</w:t>
      </w:r>
      <w:r w:rsidRPr="007F2F01">
        <w:rPr>
          <w:rFonts w:ascii="Arial" w:eastAsia="Times New Roman" w:hAnsi="Arial" w:cs="Arial"/>
          <w:sz w:val="24"/>
          <w:szCs w:val="24"/>
          <w:lang w:val="en-GB"/>
        </w:rPr>
        <w:t>]</w:t>
      </w:r>
      <w:r w:rsidRPr="007F2F01">
        <w:rPr>
          <w:rFonts w:ascii="Arial" w:eastAsia="Times New Roman" w:hAnsi="Arial" w:cs="Arial"/>
          <w:sz w:val="24"/>
          <w:szCs w:val="24"/>
          <w:lang w:val="en-GB"/>
        </w:rPr>
        <w:tab/>
      </w:r>
      <w:r w:rsidR="00AE56F8" w:rsidRPr="007F2F01">
        <w:rPr>
          <w:rFonts w:ascii="Arial" w:eastAsia="Times New Roman" w:hAnsi="Arial" w:cs="Arial"/>
          <w:sz w:val="24"/>
          <w:szCs w:val="24"/>
          <w:lang w:val="en-GB"/>
        </w:rPr>
        <w:t xml:space="preserve">Even though </w:t>
      </w:r>
      <w:r w:rsidRPr="007F2F01">
        <w:rPr>
          <w:rFonts w:ascii="Arial" w:eastAsia="Times New Roman" w:hAnsi="Arial" w:cs="Arial"/>
          <w:sz w:val="24"/>
          <w:szCs w:val="24"/>
          <w:lang w:val="en-GB"/>
        </w:rPr>
        <w:t xml:space="preserve">I align myself with the sentiments expressed in the passage above, </w:t>
      </w:r>
      <w:r w:rsidR="00AE56F8" w:rsidRPr="007F2F01">
        <w:rPr>
          <w:rFonts w:ascii="Arial" w:eastAsia="Times New Roman" w:hAnsi="Arial" w:cs="Arial"/>
          <w:sz w:val="24"/>
          <w:szCs w:val="24"/>
          <w:lang w:val="en-GB"/>
        </w:rPr>
        <w:t>I</w:t>
      </w:r>
      <w:r w:rsidRPr="007F2F01">
        <w:rPr>
          <w:rFonts w:ascii="Arial" w:eastAsia="Times New Roman" w:hAnsi="Arial" w:cs="Arial"/>
          <w:sz w:val="24"/>
          <w:szCs w:val="24"/>
          <w:lang w:val="en-GB"/>
        </w:rPr>
        <w:t xml:space="preserve"> do not have to make a finding on that aspect. In my opinion, an aspect on which the </w:t>
      </w:r>
      <w:r w:rsidRPr="007F2F01">
        <w:rPr>
          <w:rFonts w:ascii="Arial" w:eastAsia="Times New Roman" w:hAnsi="Arial" w:cs="Arial"/>
          <w:i/>
          <w:sz w:val="24"/>
          <w:szCs w:val="24"/>
          <w:lang w:val="en-GB"/>
        </w:rPr>
        <w:t>res judicata</w:t>
      </w:r>
      <w:r w:rsidRPr="007F2F01">
        <w:rPr>
          <w:rFonts w:ascii="Arial" w:eastAsia="Times New Roman" w:hAnsi="Arial" w:cs="Arial"/>
          <w:sz w:val="24"/>
          <w:szCs w:val="24"/>
          <w:lang w:val="en-GB"/>
        </w:rPr>
        <w:t xml:space="preserve"> defence can be conclusively decided upon in this matter is whether the same issue of fact or law determined in the magistrate’s court was determined in the LCC. If the same issue was not determined on the merits by the magistrate’s court, the upshot would be that an essential requirement for a plea of </w:t>
      </w:r>
      <w:r w:rsidRPr="007F2F01">
        <w:rPr>
          <w:rFonts w:ascii="Arial" w:eastAsia="Times New Roman" w:hAnsi="Arial" w:cs="Arial"/>
          <w:iCs/>
          <w:sz w:val="24"/>
          <w:szCs w:val="24"/>
          <w:lang w:val="en-GB"/>
        </w:rPr>
        <w:t>res judicata</w:t>
      </w:r>
      <w:r w:rsidRPr="007F2F01">
        <w:rPr>
          <w:rFonts w:ascii="Arial" w:eastAsia="Times New Roman" w:hAnsi="Arial" w:cs="Arial"/>
          <w:sz w:val="24"/>
          <w:szCs w:val="24"/>
          <w:lang w:val="en-GB"/>
        </w:rPr>
        <w:t xml:space="preserve"> </w:t>
      </w:r>
      <w:r w:rsidR="000A1E9D" w:rsidRPr="007F2F01">
        <w:rPr>
          <w:rFonts w:ascii="Arial" w:eastAsia="Times New Roman" w:hAnsi="Arial" w:cs="Arial"/>
          <w:sz w:val="24"/>
          <w:szCs w:val="24"/>
          <w:lang w:val="en-GB"/>
        </w:rPr>
        <w:t xml:space="preserve">would </w:t>
      </w:r>
      <w:r w:rsidRPr="007F2F01">
        <w:rPr>
          <w:rFonts w:ascii="Arial" w:eastAsia="Times New Roman" w:hAnsi="Arial" w:cs="Arial"/>
          <w:sz w:val="24"/>
          <w:szCs w:val="24"/>
          <w:lang w:val="en-GB"/>
        </w:rPr>
        <w:t>not have been met. In order to come to the result pronounced by the court, careful attention must always be paid to what the court which handed down the earlier judgment was called upon to determine and what must necessarily have been determined.</w:t>
      </w:r>
      <w:r w:rsidRPr="007F2F01">
        <w:rPr>
          <w:rFonts w:ascii="Arial" w:eastAsia="Times New Roman" w:hAnsi="Arial" w:cs="Arial"/>
          <w:sz w:val="24"/>
          <w:szCs w:val="24"/>
          <w:vertAlign w:val="superscript"/>
          <w:lang w:val="en-GB"/>
        </w:rPr>
        <w:footnoteReference w:id="34"/>
      </w:r>
      <w:r w:rsidRPr="007F2F01">
        <w:rPr>
          <w:rFonts w:ascii="Arial" w:eastAsia="Times New Roman" w:hAnsi="Arial" w:cs="Arial"/>
          <w:sz w:val="24"/>
          <w:szCs w:val="24"/>
          <w:lang w:val="en-GB"/>
        </w:rPr>
        <w:t xml:space="preserve"> The exercise is not mere mechanical comparison of what the two cases were about and what the court stated as its reasons for the order made.</w:t>
      </w:r>
      <w:r w:rsidRPr="007F2F01">
        <w:rPr>
          <w:rFonts w:ascii="Arial" w:eastAsia="Times New Roman" w:hAnsi="Arial" w:cs="Arial"/>
          <w:sz w:val="24"/>
          <w:szCs w:val="24"/>
          <w:vertAlign w:val="superscript"/>
          <w:lang w:val="en-GB"/>
        </w:rPr>
        <w:footnoteReference w:id="35"/>
      </w:r>
    </w:p>
    <w:p w14:paraId="0AD7EB21" w14:textId="77777777" w:rsidR="00FF7E86" w:rsidRPr="007F2F01" w:rsidRDefault="00FF7E86" w:rsidP="00FF7E86">
      <w:pPr>
        <w:spacing w:after="0" w:line="360" w:lineRule="auto"/>
        <w:jc w:val="both"/>
        <w:rPr>
          <w:rFonts w:ascii="Arial" w:eastAsia="Times New Roman" w:hAnsi="Arial" w:cs="Arial"/>
          <w:sz w:val="24"/>
          <w:szCs w:val="24"/>
          <w:lang w:val="en-GB"/>
        </w:rPr>
      </w:pPr>
    </w:p>
    <w:p w14:paraId="186402F8" w14:textId="3DA8AD71" w:rsidR="00FF7E86" w:rsidRPr="007F2F01" w:rsidRDefault="00FF7E86" w:rsidP="00FF7E86">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t>[</w:t>
      </w:r>
      <w:r w:rsidR="00AE56F8" w:rsidRPr="007F2F01">
        <w:rPr>
          <w:rFonts w:ascii="Arial" w:eastAsia="Times New Roman" w:hAnsi="Arial" w:cs="Arial"/>
          <w:sz w:val="24"/>
          <w:szCs w:val="24"/>
          <w:lang w:val="en-GB"/>
        </w:rPr>
        <w:t>6</w:t>
      </w:r>
      <w:r w:rsidR="00243484" w:rsidRPr="007F2F01">
        <w:rPr>
          <w:rFonts w:ascii="Arial" w:eastAsia="Times New Roman" w:hAnsi="Arial" w:cs="Arial"/>
          <w:sz w:val="24"/>
          <w:szCs w:val="24"/>
          <w:lang w:val="en-GB"/>
        </w:rPr>
        <w:t>9</w:t>
      </w:r>
      <w:r w:rsidRPr="007F2F01">
        <w:rPr>
          <w:rFonts w:ascii="Arial" w:eastAsia="Times New Roman" w:hAnsi="Arial" w:cs="Arial"/>
          <w:sz w:val="24"/>
          <w:szCs w:val="24"/>
          <w:lang w:val="en-GB"/>
        </w:rPr>
        <w:t>]</w:t>
      </w:r>
      <w:r w:rsidRPr="007F2F01">
        <w:rPr>
          <w:rFonts w:ascii="Arial" w:eastAsia="Times New Roman" w:hAnsi="Arial" w:cs="Arial"/>
          <w:sz w:val="24"/>
          <w:szCs w:val="24"/>
          <w:lang w:val="en-GB"/>
        </w:rPr>
        <w:tab/>
        <w:t xml:space="preserve">While the issues that fell for determination </w:t>
      </w:r>
      <w:r w:rsidR="000A1E9D" w:rsidRPr="007F2F01">
        <w:rPr>
          <w:rFonts w:ascii="Arial" w:eastAsia="Times New Roman" w:hAnsi="Arial" w:cs="Arial"/>
          <w:sz w:val="24"/>
          <w:szCs w:val="24"/>
          <w:lang w:val="en-GB"/>
        </w:rPr>
        <w:t xml:space="preserve">in </w:t>
      </w:r>
      <w:r w:rsidRPr="007F2F01">
        <w:rPr>
          <w:rFonts w:ascii="Arial" w:eastAsia="Times New Roman" w:hAnsi="Arial" w:cs="Arial"/>
          <w:sz w:val="24"/>
          <w:szCs w:val="24"/>
          <w:lang w:val="en-GB"/>
        </w:rPr>
        <w:t xml:space="preserve">the magistrate’s court and the LCC, at first blush, appear to be the same, ie whether an order of eviction was just and equitable, the form and context in which that issue was raised in each court was different. In the magistrate’s court the application for eviction was predicated on the Trust’s operational reasons on the basis that the employment relationship had ended and that in terms of the lease agreement, the termination of employment in turn led to the termination of the right of residence. </w:t>
      </w:r>
    </w:p>
    <w:p w14:paraId="5E91D449" w14:textId="77777777" w:rsidR="00E370B7" w:rsidRPr="007F2F01" w:rsidRDefault="00E370B7" w:rsidP="00FF7E86">
      <w:pPr>
        <w:spacing w:after="0" w:line="360" w:lineRule="auto"/>
        <w:jc w:val="both"/>
        <w:rPr>
          <w:rFonts w:ascii="Arial" w:eastAsia="Times New Roman" w:hAnsi="Arial" w:cs="Arial"/>
          <w:sz w:val="24"/>
          <w:szCs w:val="24"/>
          <w:lang w:val="en-GB"/>
        </w:rPr>
      </w:pPr>
    </w:p>
    <w:p w14:paraId="5DF0A37E" w14:textId="3AF04DAC" w:rsidR="00FF7E86" w:rsidRPr="007F2F01" w:rsidRDefault="00FF7E86" w:rsidP="00FF7E86">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t>[</w:t>
      </w:r>
      <w:r w:rsidR="00243484" w:rsidRPr="007F2F01">
        <w:rPr>
          <w:rFonts w:ascii="Arial" w:eastAsia="Times New Roman" w:hAnsi="Arial" w:cs="Arial"/>
          <w:sz w:val="24"/>
          <w:szCs w:val="24"/>
          <w:lang w:val="en-GB"/>
        </w:rPr>
        <w:t>70</w:t>
      </w:r>
      <w:r w:rsidRPr="007F2F01">
        <w:rPr>
          <w:rFonts w:ascii="Arial" w:eastAsia="Times New Roman" w:hAnsi="Arial" w:cs="Arial"/>
          <w:sz w:val="24"/>
          <w:szCs w:val="24"/>
          <w:lang w:val="en-GB"/>
        </w:rPr>
        <w:t>]</w:t>
      </w:r>
      <w:r w:rsidRPr="007F2F01">
        <w:rPr>
          <w:rFonts w:ascii="Arial" w:eastAsia="Times New Roman" w:hAnsi="Arial" w:cs="Arial"/>
          <w:sz w:val="24"/>
          <w:szCs w:val="24"/>
          <w:lang w:val="en-GB"/>
        </w:rPr>
        <w:tab/>
        <w:t xml:space="preserve">In the LCC, the application was predicated on events post the judgment handed down in 2017. As regards long term occupiers, the contention was that they had committed such a fundamental breach of the relationship between them and the Trust that it was not practically possible to remedy it. As explained by this Court in </w:t>
      </w:r>
      <w:r w:rsidRPr="007F2F01">
        <w:rPr>
          <w:rFonts w:ascii="Arial" w:eastAsia="Times New Roman" w:hAnsi="Arial" w:cs="Arial"/>
          <w:i/>
          <w:iCs/>
          <w:sz w:val="24"/>
          <w:szCs w:val="24"/>
          <w:lang w:val="en-GB"/>
        </w:rPr>
        <w:t>United Enterprises Corporation v STX Pan Ocean Co Ltd,</w:t>
      </w:r>
      <w:r w:rsidRPr="007F2F01">
        <w:rPr>
          <w:rFonts w:ascii="Arial" w:eastAsia="Times New Roman" w:hAnsi="Arial" w:cs="Arial"/>
          <w:sz w:val="24"/>
          <w:szCs w:val="24"/>
          <w:vertAlign w:val="superscript"/>
          <w:lang w:val="en-GB"/>
        </w:rPr>
        <w:footnoteReference w:id="36"/>
      </w:r>
      <w:r w:rsidRPr="007F2F01">
        <w:rPr>
          <w:rFonts w:ascii="Arial" w:eastAsia="Times New Roman" w:hAnsi="Arial" w:cs="Arial"/>
          <w:sz w:val="24"/>
          <w:szCs w:val="24"/>
          <w:lang w:val="en-GB"/>
        </w:rPr>
        <w:t xml:space="preserve"> in a slightly different context, the consideration as to whether the same issue raised was previously determined in an earlier judgment</w:t>
      </w:r>
      <w:r w:rsidRPr="00FF7E86">
        <w:rPr>
          <w:rFonts w:ascii="Arial" w:eastAsia="Times New Roman" w:hAnsi="Arial" w:cs="Arial"/>
          <w:sz w:val="24"/>
          <w:szCs w:val="24"/>
          <w:lang w:val="en-GB"/>
        </w:rPr>
        <w:t xml:space="preserve"> depended not on</w:t>
      </w:r>
      <w:r w:rsidR="00292D87">
        <w:rPr>
          <w:rFonts w:ascii="Arial" w:eastAsia="Times New Roman" w:hAnsi="Arial" w:cs="Arial"/>
          <w:sz w:val="24"/>
          <w:szCs w:val="24"/>
          <w:lang w:val="en-GB"/>
        </w:rPr>
        <w:t xml:space="preserve"> the</w:t>
      </w:r>
      <w:r w:rsidRPr="00FF7E86">
        <w:rPr>
          <w:rFonts w:ascii="Arial" w:eastAsia="Times New Roman" w:hAnsi="Arial" w:cs="Arial"/>
          <w:sz w:val="24"/>
          <w:szCs w:val="24"/>
          <w:lang w:val="en-GB"/>
        </w:rPr>
        <w:t xml:space="preserve"> import of the order granted but on answering the substantive question </w:t>
      </w:r>
      <w:r w:rsidRPr="00FF7E86">
        <w:rPr>
          <w:rFonts w:ascii="Arial" w:eastAsia="Times New Roman" w:hAnsi="Arial" w:cs="Arial"/>
          <w:sz w:val="24"/>
          <w:szCs w:val="24"/>
          <w:lang w:val="en-GB"/>
        </w:rPr>
        <w:lastRenderedPageBreak/>
        <w:t xml:space="preserve">pertaining to the nature of the issue of fact or law that was decided by the court in the </w:t>
      </w:r>
      <w:r w:rsidRPr="007F2F01">
        <w:rPr>
          <w:rFonts w:ascii="Arial" w:eastAsia="Times New Roman" w:hAnsi="Arial" w:cs="Arial"/>
          <w:sz w:val="24"/>
          <w:szCs w:val="24"/>
          <w:lang w:val="en-GB"/>
        </w:rPr>
        <w:t xml:space="preserve">proceedings, and whether it was finally decided. </w:t>
      </w:r>
    </w:p>
    <w:p w14:paraId="73BD05DE" w14:textId="77777777" w:rsidR="00FF7E86" w:rsidRPr="007F2F01" w:rsidRDefault="00FF7E86" w:rsidP="00FF7E86">
      <w:pPr>
        <w:spacing w:after="0" w:line="360" w:lineRule="auto"/>
        <w:jc w:val="both"/>
        <w:rPr>
          <w:rFonts w:ascii="Arial" w:eastAsia="Times New Roman" w:hAnsi="Arial" w:cs="Arial"/>
          <w:sz w:val="24"/>
          <w:szCs w:val="24"/>
          <w:lang w:val="en-GB"/>
        </w:rPr>
      </w:pPr>
    </w:p>
    <w:p w14:paraId="35970179" w14:textId="6215B3C4" w:rsidR="00FF7E86" w:rsidRPr="007F2F01" w:rsidRDefault="00FF7E86" w:rsidP="00FF7E86">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t>[</w:t>
      </w:r>
      <w:r w:rsidR="002C3971" w:rsidRPr="007F2F01">
        <w:rPr>
          <w:rFonts w:ascii="Arial" w:eastAsia="Times New Roman" w:hAnsi="Arial" w:cs="Arial"/>
          <w:sz w:val="24"/>
          <w:szCs w:val="24"/>
          <w:lang w:val="en-GB"/>
        </w:rPr>
        <w:t>7</w:t>
      </w:r>
      <w:r w:rsidR="00243484" w:rsidRPr="007F2F01">
        <w:rPr>
          <w:rFonts w:ascii="Arial" w:eastAsia="Times New Roman" w:hAnsi="Arial" w:cs="Arial"/>
          <w:sz w:val="24"/>
          <w:szCs w:val="24"/>
          <w:lang w:val="en-GB"/>
        </w:rPr>
        <w:t>1</w:t>
      </w:r>
      <w:r w:rsidRPr="007F2F01">
        <w:rPr>
          <w:rFonts w:ascii="Arial" w:eastAsia="Times New Roman" w:hAnsi="Arial" w:cs="Arial"/>
          <w:sz w:val="24"/>
          <w:szCs w:val="24"/>
          <w:lang w:val="en-GB"/>
        </w:rPr>
        <w:t>]</w:t>
      </w:r>
      <w:r w:rsidRPr="007F2F01">
        <w:rPr>
          <w:rFonts w:ascii="Arial" w:eastAsia="Times New Roman" w:hAnsi="Arial" w:cs="Arial"/>
          <w:sz w:val="24"/>
          <w:szCs w:val="24"/>
          <w:lang w:val="en-GB"/>
        </w:rPr>
        <w:tab/>
        <w:t xml:space="preserve">To my mind, the circumstances raised in the LCC were of a different hue to those determined by the magistrate. This is because the substantive question of the breach of the relationship was not finally determined by the magistrate, as the magistrate’s reasoning was that on the question of the conduct that allegedly gave rise to the breach of the relationship, there was a dispute of fact that was not resoluble on the papers. That this is so, is manifestly discernible from the magistrate’s judgment. This view is fortified by the following exposition in </w:t>
      </w:r>
      <w:r w:rsidRPr="007F2F01">
        <w:rPr>
          <w:rFonts w:ascii="Arial" w:eastAsia="Times New Roman" w:hAnsi="Arial" w:cs="Arial"/>
          <w:i/>
          <w:iCs/>
          <w:sz w:val="24"/>
          <w:szCs w:val="24"/>
          <w:lang w:val="en-GB"/>
        </w:rPr>
        <w:t>Mkhize NO v Premier of the Province of Kwazulu-Natal and Others (Mkhize)</w:t>
      </w:r>
      <w:r w:rsidRPr="007F2F01">
        <w:rPr>
          <w:rFonts w:ascii="Arial" w:eastAsia="Times New Roman" w:hAnsi="Arial" w:cs="Arial"/>
          <w:sz w:val="24"/>
          <w:szCs w:val="24"/>
          <w:lang w:val="en-GB"/>
        </w:rPr>
        <w:t xml:space="preserve">: </w:t>
      </w:r>
    </w:p>
    <w:p w14:paraId="7D20411E" w14:textId="77777777" w:rsidR="00FF7E86" w:rsidRPr="007F2F01" w:rsidRDefault="00FF7E86" w:rsidP="00FF7E86">
      <w:pPr>
        <w:spacing w:after="0" w:line="360" w:lineRule="auto"/>
        <w:jc w:val="both"/>
        <w:rPr>
          <w:rFonts w:ascii="Arial" w:eastAsia="Times New Roman" w:hAnsi="Arial" w:cs="Arial"/>
          <w:lang w:val="en-GB"/>
        </w:rPr>
      </w:pPr>
      <w:r w:rsidRPr="007F2F01">
        <w:rPr>
          <w:rFonts w:ascii="Arial" w:eastAsia="Times New Roman" w:hAnsi="Arial" w:cs="Arial"/>
          <w:lang w:val="en-GB"/>
        </w:rPr>
        <w:t xml:space="preserve">‘The pertinent question is therefore whether an order can be considered final when it is concerned with dismissal or discharge of interim or interlocutory orders. In </w:t>
      </w:r>
      <w:r w:rsidRPr="007F2F01">
        <w:rPr>
          <w:rFonts w:ascii="Arial" w:eastAsia="Times New Roman" w:hAnsi="Arial" w:cs="Arial"/>
          <w:i/>
          <w:iCs/>
          <w:lang w:val="en-GB"/>
        </w:rPr>
        <w:t>Cohn</w:t>
      </w:r>
      <w:r w:rsidRPr="007F2F01">
        <w:rPr>
          <w:rFonts w:ascii="Arial" w:eastAsia="Times New Roman" w:hAnsi="Arial" w:cs="Arial"/>
          <w:lang w:val="en-GB"/>
        </w:rPr>
        <w:t>, the finality of a dismissed matter was considered and the Court stated:</w:t>
      </w:r>
    </w:p>
    <w:p w14:paraId="556F0A46" w14:textId="0132A216" w:rsidR="00D67589" w:rsidRPr="007F2F01" w:rsidRDefault="00FF7E86" w:rsidP="00FF7E86">
      <w:pPr>
        <w:spacing w:after="0" w:line="360" w:lineRule="auto"/>
        <w:jc w:val="both"/>
        <w:rPr>
          <w:rFonts w:ascii="Arial" w:eastAsia="Times New Roman" w:hAnsi="Arial" w:cs="Arial"/>
          <w:sz w:val="24"/>
          <w:szCs w:val="24"/>
          <w:lang w:val="en-GB"/>
        </w:rPr>
      </w:pPr>
      <w:r w:rsidRPr="007F2F01">
        <w:rPr>
          <w:rFonts w:ascii="Arial" w:eastAsia="Times New Roman" w:hAnsi="Arial" w:cs="Arial"/>
          <w:lang w:val="en-GB"/>
        </w:rPr>
        <w:t xml:space="preserve">“In dealing with the position where an action is dismissed, Spencer Bower says that the answer to the question whether anything can be said to have been decided, so as to conclude the parties, beyond the actual fact of the dismissal depends upon whether . . . </w:t>
      </w:r>
      <w:r w:rsidRPr="007F2F01">
        <w:rPr>
          <w:rFonts w:ascii="Arial" w:eastAsia="Times New Roman" w:hAnsi="Arial" w:cs="Arial"/>
          <w:i/>
          <w:iCs/>
          <w:lang w:val="en-GB"/>
        </w:rPr>
        <w:t>the dismissal itself is seen to have necessarily involved a determination of any particular issue or question of facts or law, in which case there is an adjudication on that question or issue;</w:t>
      </w:r>
      <w:r w:rsidRPr="007F2F01">
        <w:rPr>
          <w:rFonts w:ascii="Arial" w:eastAsia="Times New Roman" w:hAnsi="Arial" w:cs="Arial"/>
          <w:lang w:val="en-GB"/>
        </w:rPr>
        <w:t xml:space="preserve"> </w:t>
      </w:r>
      <w:r w:rsidRPr="007F2F01">
        <w:rPr>
          <w:rFonts w:ascii="Arial" w:eastAsia="Times New Roman" w:hAnsi="Arial" w:cs="Arial"/>
          <w:i/>
          <w:iCs/>
          <w:lang w:val="en-GB"/>
        </w:rPr>
        <w:t>if otherwise, the dismissal decides nothing, except that in fact the party has been refused the relief which he sought</w:t>
      </w:r>
      <w:r w:rsidRPr="007F2F01">
        <w:rPr>
          <w:rFonts w:ascii="Arial" w:eastAsia="Times New Roman" w:hAnsi="Arial" w:cs="Arial"/>
          <w:lang w:val="en-GB"/>
        </w:rPr>
        <w:t>.”’</w:t>
      </w:r>
      <w:r w:rsidRPr="007F2F01">
        <w:rPr>
          <w:rFonts w:ascii="Arial" w:eastAsia="Times New Roman" w:hAnsi="Arial" w:cs="Arial"/>
          <w:vertAlign w:val="superscript"/>
          <w:lang w:val="en-GB"/>
        </w:rPr>
        <w:footnoteReference w:id="37"/>
      </w:r>
      <w:r w:rsidRPr="007F2F01">
        <w:rPr>
          <w:rFonts w:ascii="Arial" w:eastAsia="Times New Roman" w:hAnsi="Arial" w:cs="Arial"/>
          <w:sz w:val="24"/>
          <w:szCs w:val="24"/>
          <w:lang w:val="en-GB"/>
        </w:rPr>
        <w:t xml:space="preserve"> (Own emphasis.)</w:t>
      </w:r>
    </w:p>
    <w:p w14:paraId="13122BC0" w14:textId="4A429D8B" w:rsidR="00FF7E86" w:rsidRPr="007F2F01" w:rsidRDefault="00185CA7" w:rsidP="00FF7E86">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t xml:space="preserve">The remarks above </w:t>
      </w:r>
      <w:r w:rsidR="00D67589" w:rsidRPr="007F2F01">
        <w:rPr>
          <w:rFonts w:ascii="Arial" w:eastAsia="Times New Roman" w:hAnsi="Arial" w:cs="Arial"/>
          <w:sz w:val="24"/>
          <w:szCs w:val="24"/>
          <w:lang w:val="en-GB"/>
        </w:rPr>
        <w:t>are equally apposite in this matter.</w:t>
      </w:r>
    </w:p>
    <w:p w14:paraId="4FB59500" w14:textId="77777777" w:rsidR="00185CA7" w:rsidRPr="007F2F01" w:rsidRDefault="00185CA7" w:rsidP="00FF7E86">
      <w:pPr>
        <w:spacing w:after="0" w:line="360" w:lineRule="auto"/>
        <w:jc w:val="both"/>
        <w:rPr>
          <w:rFonts w:ascii="Arial" w:eastAsia="Times New Roman" w:hAnsi="Arial" w:cs="Arial"/>
          <w:sz w:val="24"/>
          <w:szCs w:val="24"/>
          <w:lang w:val="en-GB"/>
        </w:rPr>
      </w:pPr>
    </w:p>
    <w:p w14:paraId="448A03D6" w14:textId="493EA506" w:rsidR="00FF7E86" w:rsidRPr="007F2F01" w:rsidRDefault="00FF7E86" w:rsidP="00FF7E86">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t>[</w:t>
      </w:r>
      <w:r w:rsidR="002C3971" w:rsidRPr="007F2F01">
        <w:rPr>
          <w:rFonts w:ascii="Arial" w:eastAsia="Times New Roman" w:hAnsi="Arial" w:cs="Arial"/>
          <w:sz w:val="24"/>
          <w:szCs w:val="24"/>
          <w:lang w:val="en-GB"/>
        </w:rPr>
        <w:t>7</w:t>
      </w:r>
      <w:r w:rsidR="00243484" w:rsidRPr="007F2F01">
        <w:rPr>
          <w:rFonts w:ascii="Arial" w:eastAsia="Times New Roman" w:hAnsi="Arial" w:cs="Arial"/>
          <w:sz w:val="24"/>
          <w:szCs w:val="24"/>
          <w:lang w:val="en-GB"/>
        </w:rPr>
        <w:t>2</w:t>
      </w:r>
      <w:r w:rsidRPr="007F2F01">
        <w:rPr>
          <w:rFonts w:ascii="Arial" w:eastAsia="Times New Roman" w:hAnsi="Arial" w:cs="Arial"/>
          <w:sz w:val="24"/>
          <w:szCs w:val="24"/>
          <w:lang w:val="en-GB"/>
        </w:rPr>
        <w:t>]</w:t>
      </w:r>
      <w:r w:rsidRPr="007F2F01">
        <w:rPr>
          <w:rFonts w:ascii="Arial" w:eastAsia="Times New Roman" w:hAnsi="Arial" w:cs="Arial"/>
          <w:sz w:val="24"/>
          <w:szCs w:val="24"/>
          <w:lang w:val="en-GB"/>
        </w:rPr>
        <w:tab/>
        <w:t>It is well-established that the successful invocation of res judicata requires the party raising that plea not only to show that there was an identity of the parties and of the issues in the former and in the present litigation but must also show that the earlier judgment relied upon was a final judgment.</w:t>
      </w:r>
      <w:r w:rsidRPr="007F2F01">
        <w:rPr>
          <w:rFonts w:ascii="Arial" w:eastAsia="Times New Roman" w:hAnsi="Arial" w:cs="Arial"/>
          <w:sz w:val="24"/>
          <w:szCs w:val="24"/>
          <w:vertAlign w:val="superscript"/>
          <w:lang w:val="en-GB"/>
        </w:rPr>
        <w:footnoteReference w:id="38"/>
      </w:r>
    </w:p>
    <w:p w14:paraId="7DC1F218" w14:textId="77777777" w:rsidR="00FF7E86" w:rsidRPr="007F2F01" w:rsidRDefault="00FF7E86" w:rsidP="00FF7E86">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t xml:space="preserve">It is evident from the magistrate’s judgment that no final finding was made in respect of the allegations of misconduct against the occupiers, as the magistrate believed that there was a dispute of facts on that aspect. It is trite that where a factual dispute exists, the judicial officer’s option is, depending on </w:t>
      </w:r>
      <w:r w:rsidRPr="007F2F01">
        <w:rPr>
          <w:rFonts w:ascii="Arial" w:eastAsia="Times New Roman" w:hAnsi="Arial" w:cs="Arial"/>
          <w:sz w:val="24"/>
          <w:szCs w:val="24"/>
          <w:lang w:val="en-GB"/>
        </w:rPr>
        <w:lastRenderedPageBreak/>
        <w:t xml:space="preserve">the circumstances of the case, to dismiss the application (where the factual dispute was foreseeable) or to refer the matter for the hearing of oral evidence. </w:t>
      </w:r>
    </w:p>
    <w:p w14:paraId="14717C41" w14:textId="77777777" w:rsidR="00FF7E86" w:rsidRPr="007F2F01" w:rsidRDefault="00FF7E86" w:rsidP="00FF7E86">
      <w:pPr>
        <w:spacing w:after="0" w:line="360" w:lineRule="auto"/>
        <w:jc w:val="both"/>
        <w:rPr>
          <w:rFonts w:ascii="Arial" w:eastAsia="Times New Roman" w:hAnsi="Arial" w:cs="Arial"/>
          <w:sz w:val="24"/>
          <w:szCs w:val="24"/>
          <w:lang w:val="en-GB"/>
        </w:rPr>
      </w:pPr>
    </w:p>
    <w:p w14:paraId="60B89510" w14:textId="0B127159" w:rsidR="00FF7E86" w:rsidRPr="007F2F01" w:rsidRDefault="00FF7E86" w:rsidP="00FF7E86">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t>[</w:t>
      </w:r>
      <w:r w:rsidR="002C5B96" w:rsidRPr="007F2F01">
        <w:rPr>
          <w:rFonts w:ascii="Arial" w:eastAsia="Times New Roman" w:hAnsi="Arial" w:cs="Arial"/>
          <w:sz w:val="24"/>
          <w:szCs w:val="24"/>
          <w:lang w:val="en-GB"/>
        </w:rPr>
        <w:t>7</w:t>
      </w:r>
      <w:r w:rsidR="00AF72AF" w:rsidRPr="007F2F01">
        <w:rPr>
          <w:rFonts w:ascii="Arial" w:eastAsia="Times New Roman" w:hAnsi="Arial" w:cs="Arial"/>
          <w:sz w:val="24"/>
          <w:szCs w:val="24"/>
          <w:lang w:val="en-GB"/>
        </w:rPr>
        <w:t>3</w:t>
      </w:r>
      <w:r w:rsidRPr="007F2F01">
        <w:rPr>
          <w:rFonts w:ascii="Arial" w:eastAsia="Times New Roman" w:hAnsi="Arial" w:cs="Arial"/>
          <w:sz w:val="24"/>
          <w:szCs w:val="24"/>
          <w:lang w:val="en-GB"/>
        </w:rPr>
        <w:t>]</w:t>
      </w:r>
      <w:r w:rsidRPr="007F2F01">
        <w:rPr>
          <w:rFonts w:ascii="Arial" w:eastAsia="Times New Roman" w:hAnsi="Arial" w:cs="Arial"/>
          <w:sz w:val="24"/>
          <w:szCs w:val="24"/>
          <w:lang w:val="en-GB"/>
        </w:rPr>
        <w:tab/>
        <w:t>Where the application is dismissed because of the existence of a factual dispute, it would result in untenable hardship</w:t>
      </w:r>
      <w:r w:rsidRPr="00FF7E86">
        <w:rPr>
          <w:rFonts w:ascii="Arial" w:eastAsia="Times New Roman" w:hAnsi="Arial" w:cs="Arial"/>
          <w:sz w:val="24"/>
          <w:szCs w:val="24"/>
          <w:lang w:val="en-GB"/>
        </w:rPr>
        <w:t xml:space="preserve"> for the applicant in a matter of this nature if, in circumstances where an issue was raised but not finally determined, the earlier judgment would entitle the respondent to successfully invoke the plea of res judicata despite that specific issue not having been adjudicated upon. In this matter, the magistrate dismissed the application without making any firm finding on whether or not any misconduct on the part of the occupiers had caused the parties’ social relationship to break down irretrievably as contended for by the Trust. As the issue pertaining to the fundamental breach and irretrievable breakdown of the relationship envisaged in s 10(1)</w:t>
      </w:r>
      <w:r w:rsidRPr="00FF7E86">
        <w:rPr>
          <w:rFonts w:ascii="Arial" w:eastAsia="Times New Roman" w:hAnsi="Arial" w:cs="Arial"/>
          <w:i/>
          <w:sz w:val="24"/>
          <w:szCs w:val="24"/>
          <w:lang w:val="en-GB"/>
        </w:rPr>
        <w:t xml:space="preserve">(c) </w:t>
      </w:r>
      <w:r w:rsidRPr="00FF7E86">
        <w:rPr>
          <w:rFonts w:ascii="Arial" w:eastAsia="Times New Roman" w:hAnsi="Arial" w:cs="Arial"/>
          <w:sz w:val="24"/>
          <w:szCs w:val="24"/>
          <w:lang w:val="en-GB"/>
        </w:rPr>
        <w:t xml:space="preserve">was not finally </w:t>
      </w:r>
      <w:r w:rsidRPr="007F2F01">
        <w:rPr>
          <w:rFonts w:ascii="Arial" w:eastAsia="Times New Roman" w:hAnsi="Arial" w:cs="Arial"/>
          <w:sz w:val="24"/>
          <w:szCs w:val="24"/>
          <w:lang w:val="en-GB"/>
        </w:rPr>
        <w:t xml:space="preserve">determined by the magistrate, the defence of res judicata was therefore not available for the occupiers in the litigation that was initiated in the LCC. </w:t>
      </w:r>
    </w:p>
    <w:p w14:paraId="243B83A5" w14:textId="77777777" w:rsidR="00FF7E86" w:rsidRPr="007F2F01" w:rsidRDefault="00FF7E86" w:rsidP="00FF7E86">
      <w:pPr>
        <w:spacing w:after="0" w:line="360" w:lineRule="auto"/>
        <w:jc w:val="both"/>
        <w:rPr>
          <w:rFonts w:ascii="Arial" w:eastAsia="Times New Roman" w:hAnsi="Arial" w:cs="Arial"/>
          <w:sz w:val="24"/>
          <w:szCs w:val="24"/>
          <w:lang w:val="en-GB"/>
        </w:rPr>
      </w:pPr>
    </w:p>
    <w:p w14:paraId="1A361BF2" w14:textId="5D931875" w:rsidR="00FF7E86" w:rsidRPr="007F2F01" w:rsidRDefault="00FF7E86" w:rsidP="00FF7E86">
      <w:pPr>
        <w:spacing w:after="0" w:line="360" w:lineRule="auto"/>
        <w:jc w:val="both"/>
        <w:rPr>
          <w:rFonts w:ascii="Arial" w:eastAsia="Times New Roman" w:hAnsi="Arial" w:cs="Arial"/>
          <w:b/>
          <w:bCs/>
          <w:sz w:val="24"/>
          <w:szCs w:val="24"/>
          <w:lang w:val="en-GB"/>
        </w:rPr>
      </w:pPr>
      <w:r w:rsidRPr="007F2F01">
        <w:rPr>
          <w:rFonts w:ascii="Arial" w:eastAsia="Times New Roman" w:hAnsi="Arial" w:cs="Arial"/>
          <w:sz w:val="24"/>
          <w:szCs w:val="24"/>
          <w:lang w:val="en-GB"/>
        </w:rPr>
        <w:t>[</w:t>
      </w:r>
      <w:r w:rsidR="002C5B96" w:rsidRPr="007F2F01">
        <w:rPr>
          <w:rFonts w:ascii="Arial" w:eastAsia="Times New Roman" w:hAnsi="Arial" w:cs="Arial"/>
          <w:sz w:val="24"/>
          <w:szCs w:val="24"/>
          <w:lang w:val="en-GB"/>
        </w:rPr>
        <w:t>7</w:t>
      </w:r>
      <w:r w:rsidR="00AF72AF" w:rsidRPr="007F2F01">
        <w:rPr>
          <w:rFonts w:ascii="Arial" w:eastAsia="Times New Roman" w:hAnsi="Arial" w:cs="Arial"/>
          <w:sz w:val="24"/>
          <w:szCs w:val="24"/>
          <w:lang w:val="en-GB"/>
        </w:rPr>
        <w:t>4</w:t>
      </w:r>
      <w:r w:rsidRPr="007F2F01">
        <w:rPr>
          <w:rFonts w:ascii="Arial" w:eastAsia="Times New Roman" w:hAnsi="Arial" w:cs="Arial"/>
          <w:sz w:val="24"/>
          <w:szCs w:val="24"/>
          <w:lang w:val="en-GB"/>
        </w:rPr>
        <w:t>]</w:t>
      </w:r>
      <w:r w:rsidRPr="007F2F01">
        <w:rPr>
          <w:rFonts w:ascii="Arial" w:eastAsia="Times New Roman" w:hAnsi="Arial" w:cs="Arial"/>
          <w:sz w:val="24"/>
          <w:szCs w:val="24"/>
          <w:lang w:val="en-GB"/>
        </w:rPr>
        <w:tab/>
        <w:t xml:space="preserve">Moreover, </w:t>
      </w:r>
      <w:r w:rsidR="00250409" w:rsidRPr="007F2F01">
        <w:rPr>
          <w:rFonts w:ascii="Arial" w:eastAsia="Times New Roman" w:hAnsi="Arial" w:cs="Arial"/>
          <w:sz w:val="24"/>
          <w:szCs w:val="24"/>
          <w:lang w:val="en-GB"/>
        </w:rPr>
        <w:t xml:space="preserve">as </w:t>
      </w:r>
      <w:r w:rsidRPr="007F2F01">
        <w:rPr>
          <w:rFonts w:ascii="Arial" w:eastAsia="Times New Roman" w:hAnsi="Arial" w:cs="Arial"/>
          <w:sz w:val="24"/>
          <w:szCs w:val="24"/>
          <w:lang w:val="en-GB"/>
        </w:rPr>
        <w:t>can be gleaned from the founding affidavit</w:t>
      </w:r>
      <w:r w:rsidR="00250409" w:rsidRPr="007F2F01">
        <w:rPr>
          <w:rFonts w:ascii="Arial" w:eastAsia="Times New Roman" w:hAnsi="Arial" w:cs="Arial"/>
          <w:sz w:val="24"/>
          <w:szCs w:val="24"/>
          <w:lang w:val="en-GB"/>
        </w:rPr>
        <w:t>,</w:t>
      </w:r>
      <w:r w:rsidRPr="007F2F01">
        <w:rPr>
          <w:rFonts w:ascii="Arial" w:eastAsia="Times New Roman" w:hAnsi="Arial" w:cs="Arial"/>
          <w:sz w:val="24"/>
          <w:szCs w:val="24"/>
          <w:lang w:val="en-GB"/>
        </w:rPr>
        <w:t xml:space="preserve"> the Trust predicated its claim mainly on circumstances that obtained after the date of the judgment granted by the magistrate court in 2017. </w:t>
      </w:r>
      <w:r w:rsidR="00E00705" w:rsidRPr="007F2F01">
        <w:rPr>
          <w:rFonts w:ascii="Arial" w:eastAsia="Times New Roman" w:hAnsi="Arial" w:cs="Arial"/>
          <w:sz w:val="24"/>
          <w:szCs w:val="24"/>
          <w:lang w:val="en-GB"/>
        </w:rPr>
        <w:t xml:space="preserve">When the Trust sent out a notice that it was considering terminating the occupiers’ rights of residence, a period of more than a year had elapsed since the handing down of the </w:t>
      </w:r>
      <w:r w:rsidR="007C105F" w:rsidRPr="007F2F01">
        <w:rPr>
          <w:rFonts w:ascii="Arial" w:eastAsia="Times New Roman" w:hAnsi="Arial" w:cs="Arial"/>
          <w:sz w:val="24"/>
          <w:szCs w:val="24"/>
          <w:lang w:val="en-GB"/>
        </w:rPr>
        <w:t xml:space="preserve">magistrate’s judgment. </w:t>
      </w:r>
      <w:r w:rsidR="007A3D33" w:rsidRPr="007F2F01">
        <w:rPr>
          <w:rFonts w:ascii="Arial" w:eastAsia="Times New Roman" w:hAnsi="Arial" w:cs="Arial"/>
          <w:sz w:val="24"/>
          <w:szCs w:val="24"/>
          <w:lang w:val="en-GB"/>
        </w:rPr>
        <w:t xml:space="preserve">As correctly submitted by counsel for the Trust during the exchange with the bench, the factual matrix that constitutes a manifestation of the alleged breach of trust and irretrievable breakdown of the relationship between the Trust and the occupiers are events that occurred after the date of the handing down of the magistrate’s judgment and continued to fester. </w:t>
      </w:r>
      <w:r w:rsidRPr="007F2F01">
        <w:rPr>
          <w:rFonts w:ascii="Arial" w:eastAsia="Times New Roman" w:hAnsi="Arial" w:cs="Arial"/>
          <w:sz w:val="24"/>
          <w:szCs w:val="24"/>
          <w:lang w:val="en-GB"/>
        </w:rPr>
        <w:t xml:space="preserve">Logically, issues that arose after the granting of the magistrate’s judgment could not have been previously determined by the magistrate. Thus, nothing barred the applicants from bringing a new application based on those new developments. It follows that the LCC, in dismissing the defence of res judicata, granted the correct order. The cross-appeal must therefore fail. </w:t>
      </w:r>
    </w:p>
    <w:p w14:paraId="46DB9C0B" w14:textId="42E55322" w:rsidR="00774A33" w:rsidRPr="007F2F01" w:rsidRDefault="00774A33" w:rsidP="00774A33">
      <w:pPr>
        <w:spacing w:after="0" w:line="360" w:lineRule="auto"/>
        <w:jc w:val="both"/>
        <w:rPr>
          <w:rFonts w:ascii="Arial" w:eastAsia="Times New Roman" w:hAnsi="Arial" w:cs="Arial"/>
          <w:sz w:val="24"/>
          <w:szCs w:val="24"/>
          <w:lang w:val="en-GB"/>
        </w:rPr>
      </w:pPr>
    </w:p>
    <w:p w14:paraId="71FE3DAA" w14:textId="3B5FB818" w:rsidR="00774A33" w:rsidRPr="007F2F01" w:rsidRDefault="00774A33" w:rsidP="00774A33">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t>[</w:t>
      </w:r>
      <w:r w:rsidR="002C5B96" w:rsidRPr="007F2F01">
        <w:rPr>
          <w:rFonts w:ascii="Arial" w:eastAsia="Times New Roman" w:hAnsi="Arial" w:cs="Arial"/>
          <w:sz w:val="24"/>
          <w:szCs w:val="24"/>
          <w:lang w:val="en-GB"/>
        </w:rPr>
        <w:t>7</w:t>
      </w:r>
      <w:r w:rsidR="00AF72AF" w:rsidRPr="007F2F01">
        <w:rPr>
          <w:rFonts w:ascii="Arial" w:eastAsia="Times New Roman" w:hAnsi="Arial" w:cs="Arial"/>
          <w:sz w:val="24"/>
          <w:szCs w:val="24"/>
          <w:lang w:val="en-GB"/>
        </w:rPr>
        <w:t>5</w:t>
      </w:r>
      <w:r w:rsidRPr="007F2F01">
        <w:rPr>
          <w:rFonts w:ascii="Arial" w:eastAsia="Times New Roman" w:hAnsi="Arial" w:cs="Arial"/>
          <w:sz w:val="24"/>
          <w:szCs w:val="24"/>
          <w:lang w:val="en-GB"/>
        </w:rPr>
        <w:t>]</w:t>
      </w:r>
      <w:r w:rsidRPr="007F2F01">
        <w:rPr>
          <w:rFonts w:ascii="Arial" w:eastAsia="Times New Roman" w:hAnsi="Arial" w:cs="Arial"/>
          <w:sz w:val="24"/>
          <w:szCs w:val="24"/>
          <w:lang w:val="en-GB"/>
        </w:rPr>
        <w:tab/>
      </w:r>
      <w:r w:rsidR="00811A77" w:rsidRPr="007F2F01">
        <w:rPr>
          <w:rFonts w:ascii="Arial" w:eastAsia="Times New Roman" w:hAnsi="Arial" w:cs="Arial"/>
          <w:sz w:val="24"/>
          <w:szCs w:val="24"/>
          <w:lang w:val="en-GB"/>
        </w:rPr>
        <w:t xml:space="preserve">To sum up, I am of the view that </w:t>
      </w:r>
      <w:r w:rsidR="00FF7E86" w:rsidRPr="007F2F01">
        <w:rPr>
          <w:rFonts w:ascii="Arial" w:eastAsia="Times New Roman" w:hAnsi="Arial" w:cs="Arial"/>
          <w:sz w:val="24"/>
          <w:szCs w:val="24"/>
          <w:lang w:val="en-GB"/>
        </w:rPr>
        <w:t>o</w:t>
      </w:r>
      <w:r w:rsidRPr="007F2F01">
        <w:rPr>
          <w:rFonts w:ascii="Arial" w:eastAsia="Times New Roman" w:hAnsi="Arial" w:cs="Arial"/>
          <w:sz w:val="24"/>
          <w:szCs w:val="24"/>
          <w:lang w:val="en-GB"/>
        </w:rPr>
        <w:t xml:space="preserve">n the conspectus of all the circumstances of this case, an order of eviction was inevitable, as all the </w:t>
      </w:r>
      <w:r w:rsidRPr="007F2F01">
        <w:rPr>
          <w:rFonts w:ascii="Arial" w:eastAsia="Times New Roman" w:hAnsi="Arial" w:cs="Arial"/>
          <w:sz w:val="24"/>
          <w:szCs w:val="24"/>
          <w:lang w:val="en-GB"/>
        </w:rPr>
        <w:lastRenderedPageBreak/>
        <w:t>relevant provisions of ESTA had been complied with.</w:t>
      </w:r>
      <w:r w:rsidR="00F82524">
        <w:rPr>
          <w:rFonts w:ascii="Arial" w:eastAsia="Times New Roman" w:hAnsi="Arial" w:cs="Arial"/>
          <w:sz w:val="24"/>
          <w:szCs w:val="24"/>
          <w:lang w:val="en-GB"/>
        </w:rPr>
        <w:t xml:space="preserve"> </w:t>
      </w:r>
      <w:r w:rsidRPr="007F2F01">
        <w:rPr>
          <w:rFonts w:ascii="Arial" w:eastAsia="Times New Roman" w:hAnsi="Arial" w:cs="Arial"/>
          <w:sz w:val="24"/>
          <w:szCs w:val="24"/>
          <w:lang w:val="en-GB"/>
        </w:rPr>
        <w:t>Nothing precluded the LCC from granting the eviction order.</w:t>
      </w:r>
      <w:r w:rsidRPr="007F2F01">
        <w:rPr>
          <w:rFonts w:ascii="Arial" w:eastAsia="Times New Roman" w:hAnsi="Arial" w:cs="Arial"/>
          <w:bCs/>
          <w:sz w:val="24"/>
          <w:szCs w:val="24"/>
          <w:vertAlign w:val="superscript"/>
          <w:lang w:val="en-GB"/>
        </w:rPr>
        <w:footnoteReference w:id="39"/>
      </w:r>
      <w:r w:rsidRPr="007F2F01">
        <w:rPr>
          <w:rFonts w:ascii="Arial" w:eastAsia="Times New Roman" w:hAnsi="Arial" w:cs="Arial"/>
          <w:sz w:val="24"/>
          <w:szCs w:val="24"/>
          <w:lang w:val="en-GB"/>
        </w:rPr>
        <w:t xml:space="preserve"> Insofar as the LCC refused to grant that order on the basis that it was not just and equitable to do so, it erred. </w:t>
      </w:r>
    </w:p>
    <w:p w14:paraId="4190A3A2" w14:textId="77777777" w:rsidR="00774A33" w:rsidRPr="007F2F01" w:rsidRDefault="00774A33" w:rsidP="00774A33">
      <w:pPr>
        <w:spacing w:after="0" w:line="360" w:lineRule="auto"/>
        <w:jc w:val="both"/>
        <w:rPr>
          <w:rFonts w:ascii="Arial" w:eastAsia="Times New Roman" w:hAnsi="Arial" w:cs="Arial"/>
          <w:sz w:val="24"/>
          <w:szCs w:val="24"/>
          <w:lang w:val="en-GB"/>
        </w:rPr>
      </w:pPr>
    </w:p>
    <w:p w14:paraId="64E267E0" w14:textId="63165234" w:rsidR="00774A33" w:rsidRPr="00774A33" w:rsidRDefault="00774A33" w:rsidP="00774A33">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t>[</w:t>
      </w:r>
      <w:r w:rsidR="002C5B96" w:rsidRPr="007F2F01">
        <w:rPr>
          <w:rFonts w:ascii="Arial" w:eastAsia="Times New Roman" w:hAnsi="Arial" w:cs="Arial"/>
          <w:sz w:val="24"/>
          <w:szCs w:val="24"/>
          <w:lang w:val="en-GB"/>
        </w:rPr>
        <w:t>7</w:t>
      </w:r>
      <w:r w:rsidR="00AF72AF" w:rsidRPr="007F2F01">
        <w:rPr>
          <w:rFonts w:ascii="Arial" w:eastAsia="Times New Roman" w:hAnsi="Arial" w:cs="Arial"/>
          <w:sz w:val="24"/>
          <w:szCs w:val="24"/>
          <w:lang w:val="en-GB"/>
        </w:rPr>
        <w:t>6</w:t>
      </w:r>
      <w:r w:rsidRPr="007F2F01">
        <w:rPr>
          <w:rFonts w:ascii="Arial" w:eastAsia="Times New Roman" w:hAnsi="Arial" w:cs="Arial"/>
          <w:sz w:val="24"/>
          <w:szCs w:val="24"/>
          <w:lang w:val="en-GB"/>
        </w:rPr>
        <w:t>]</w:t>
      </w:r>
      <w:r w:rsidRPr="007F2F01">
        <w:rPr>
          <w:rFonts w:ascii="Arial" w:eastAsia="Times New Roman" w:hAnsi="Arial" w:cs="Arial"/>
          <w:sz w:val="24"/>
          <w:szCs w:val="24"/>
          <w:lang w:val="en-GB"/>
        </w:rPr>
        <w:tab/>
      </w:r>
      <w:r w:rsidR="0066064A" w:rsidRPr="007F2F01">
        <w:rPr>
          <w:rFonts w:ascii="Arial" w:eastAsia="Times New Roman" w:hAnsi="Arial" w:cs="Arial"/>
          <w:sz w:val="24"/>
          <w:szCs w:val="24"/>
          <w:lang w:val="en-GB"/>
        </w:rPr>
        <w:t>The next enquiry is to</w:t>
      </w:r>
      <w:r w:rsidRPr="007F2F01">
        <w:rPr>
          <w:rFonts w:ascii="Arial" w:eastAsia="Times New Roman" w:hAnsi="Arial" w:cs="Arial"/>
          <w:sz w:val="24"/>
          <w:szCs w:val="24"/>
          <w:lang w:val="en-GB"/>
        </w:rPr>
        <w:t xml:space="preserve"> consider the date by which the occupiers should have vacated the farm and the date on which the eviction order must, on their failure to do so, be executed. In terms of s 12 of ESTA, a court that considers it just and equitable to grant an eviction order shall determine a just and equitable date on which the occupier shall vacate the land and determine the date on which an eviction order may be carried out if the occupier has not vacated the land on the date they were ordered to do so. In considering this aspect, I have also considered whether the municipality would be in a position to provide emergency accommodation within a short space of time, I can see no reason why the municipality would not be</w:t>
      </w:r>
      <w:r w:rsidRPr="00774A33">
        <w:rPr>
          <w:rFonts w:ascii="Arial" w:eastAsia="Times New Roman" w:hAnsi="Arial" w:cs="Arial"/>
          <w:sz w:val="24"/>
          <w:szCs w:val="24"/>
          <w:lang w:val="en-GB"/>
        </w:rPr>
        <w:t xml:space="preserve"> in a position to, in compliance with this Court’s order, provide emergency housing to all the occupiers in this matter within a period of six months. </w:t>
      </w:r>
    </w:p>
    <w:p w14:paraId="5CB7D709" w14:textId="77777777" w:rsidR="00774A33" w:rsidRPr="00774A33" w:rsidRDefault="00774A33" w:rsidP="00774A33">
      <w:pPr>
        <w:spacing w:after="0" w:line="360" w:lineRule="auto"/>
        <w:jc w:val="both"/>
        <w:rPr>
          <w:rFonts w:ascii="Arial" w:eastAsia="Times New Roman" w:hAnsi="Arial" w:cs="Arial"/>
          <w:b/>
          <w:bCs/>
          <w:sz w:val="24"/>
          <w:szCs w:val="24"/>
          <w:lang w:val="en-GB"/>
        </w:rPr>
      </w:pPr>
    </w:p>
    <w:p w14:paraId="13C16C3C" w14:textId="77777777" w:rsidR="00774A33" w:rsidRPr="00774A33" w:rsidRDefault="00774A33" w:rsidP="00774A33">
      <w:pPr>
        <w:spacing w:after="0" w:line="360" w:lineRule="auto"/>
        <w:jc w:val="both"/>
        <w:rPr>
          <w:rFonts w:ascii="Arial" w:eastAsia="Times New Roman" w:hAnsi="Arial" w:cs="Arial"/>
          <w:b/>
          <w:bCs/>
          <w:sz w:val="24"/>
          <w:szCs w:val="24"/>
          <w:lang w:val="en-GB"/>
        </w:rPr>
      </w:pPr>
      <w:r w:rsidRPr="00774A33">
        <w:rPr>
          <w:rFonts w:ascii="Arial" w:eastAsia="Times New Roman" w:hAnsi="Arial" w:cs="Arial"/>
          <w:b/>
          <w:bCs/>
          <w:sz w:val="24"/>
          <w:szCs w:val="24"/>
          <w:lang w:val="en-GB"/>
        </w:rPr>
        <w:t>Costs</w:t>
      </w:r>
    </w:p>
    <w:p w14:paraId="542F1A59" w14:textId="0EC1A31A" w:rsidR="005605B7" w:rsidRPr="007F2F01" w:rsidRDefault="00774A33" w:rsidP="00774A33">
      <w:pPr>
        <w:spacing w:after="0" w:line="360" w:lineRule="auto"/>
        <w:jc w:val="both"/>
        <w:rPr>
          <w:rFonts w:ascii="Arial" w:eastAsia="Times New Roman" w:hAnsi="Arial" w:cs="Arial"/>
          <w:i/>
          <w:iCs/>
          <w:sz w:val="24"/>
          <w:szCs w:val="24"/>
          <w:lang w:val="en-GB"/>
        </w:rPr>
      </w:pPr>
      <w:r w:rsidRPr="007F2F01">
        <w:rPr>
          <w:rFonts w:ascii="Arial" w:eastAsia="Times New Roman" w:hAnsi="Arial" w:cs="Arial"/>
          <w:sz w:val="24"/>
          <w:szCs w:val="24"/>
          <w:lang w:val="en-GB"/>
        </w:rPr>
        <w:t>[</w:t>
      </w:r>
      <w:r w:rsidR="002C5B96" w:rsidRPr="007F2F01">
        <w:rPr>
          <w:rFonts w:ascii="Arial" w:eastAsia="Times New Roman" w:hAnsi="Arial" w:cs="Arial"/>
          <w:sz w:val="24"/>
          <w:szCs w:val="24"/>
          <w:lang w:val="en-GB"/>
        </w:rPr>
        <w:t>7</w:t>
      </w:r>
      <w:r w:rsidR="00AF72AF" w:rsidRPr="007F2F01">
        <w:rPr>
          <w:rFonts w:ascii="Arial" w:eastAsia="Times New Roman" w:hAnsi="Arial" w:cs="Arial"/>
          <w:sz w:val="24"/>
          <w:szCs w:val="24"/>
          <w:lang w:val="en-GB"/>
        </w:rPr>
        <w:t>7</w:t>
      </w:r>
      <w:r w:rsidRPr="007F2F01">
        <w:rPr>
          <w:rFonts w:ascii="Arial" w:eastAsia="Times New Roman" w:hAnsi="Arial" w:cs="Arial"/>
          <w:sz w:val="24"/>
          <w:szCs w:val="24"/>
          <w:lang w:val="en-GB"/>
        </w:rPr>
        <w:t>]</w:t>
      </w:r>
      <w:r w:rsidRPr="007F2F01">
        <w:rPr>
          <w:rFonts w:ascii="Arial" w:eastAsia="Times New Roman" w:hAnsi="Arial" w:cs="Arial"/>
          <w:sz w:val="24"/>
          <w:szCs w:val="24"/>
          <w:lang w:val="en-GB"/>
        </w:rPr>
        <w:tab/>
        <w:t xml:space="preserve">The default position in the LCC is not to grant an order of costs of the litigation instituted in that court. </w:t>
      </w:r>
      <w:r w:rsidR="00D44ADB" w:rsidRPr="007F2F01">
        <w:rPr>
          <w:rFonts w:ascii="Arial" w:eastAsia="Times New Roman" w:hAnsi="Arial" w:cs="Arial"/>
          <w:sz w:val="24"/>
          <w:szCs w:val="24"/>
          <w:lang w:val="en-GB"/>
        </w:rPr>
        <w:t xml:space="preserve">The circumstances of the case do not warrant </w:t>
      </w:r>
      <w:r w:rsidR="00D44ADB" w:rsidRPr="007F2F01">
        <w:rPr>
          <w:rFonts w:ascii="Arial" w:eastAsia="Times New Roman" w:hAnsi="Arial" w:cs="Arial"/>
          <w:sz w:val="24"/>
          <w:szCs w:val="24"/>
          <w:lang w:val="en-GB"/>
        </w:rPr>
        <w:lastRenderedPageBreak/>
        <w:t xml:space="preserve">a deviation from </w:t>
      </w:r>
      <w:r w:rsidR="00F73796" w:rsidRPr="007F2F01">
        <w:rPr>
          <w:rFonts w:ascii="Arial" w:eastAsia="Times New Roman" w:hAnsi="Arial" w:cs="Arial"/>
          <w:sz w:val="24"/>
          <w:szCs w:val="24"/>
          <w:lang w:val="en-GB"/>
        </w:rPr>
        <w:t>that position</w:t>
      </w:r>
      <w:r w:rsidR="004967C9" w:rsidRPr="007F2F01">
        <w:rPr>
          <w:rFonts w:ascii="Arial" w:eastAsia="Times New Roman" w:hAnsi="Arial" w:cs="Arial"/>
          <w:sz w:val="24"/>
          <w:szCs w:val="24"/>
          <w:lang w:val="en-GB"/>
        </w:rPr>
        <w:t xml:space="preserve">. </w:t>
      </w:r>
      <w:r w:rsidR="00192BFF" w:rsidRPr="007F2F01">
        <w:rPr>
          <w:rFonts w:ascii="Arial" w:eastAsia="Times New Roman" w:hAnsi="Arial" w:cs="Arial"/>
          <w:sz w:val="24"/>
          <w:szCs w:val="24"/>
          <w:lang w:val="en-GB"/>
        </w:rPr>
        <w:t xml:space="preserve">As regards the costs </w:t>
      </w:r>
      <w:r w:rsidR="003C3C59" w:rsidRPr="007F2F01">
        <w:rPr>
          <w:rFonts w:ascii="Arial" w:eastAsia="Times New Roman" w:hAnsi="Arial" w:cs="Arial"/>
          <w:sz w:val="24"/>
          <w:szCs w:val="24"/>
          <w:lang w:val="en-GB"/>
        </w:rPr>
        <w:t xml:space="preserve">of </w:t>
      </w:r>
      <w:r w:rsidR="00192BFF" w:rsidRPr="007F2F01">
        <w:rPr>
          <w:rFonts w:ascii="Arial" w:eastAsia="Times New Roman" w:hAnsi="Arial" w:cs="Arial"/>
          <w:sz w:val="24"/>
          <w:szCs w:val="24"/>
          <w:lang w:val="en-GB"/>
        </w:rPr>
        <w:t>appeal,</w:t>
      </w:r>
      <w:r w:rsidR="00AE15D9" w:rsidRPr="007F2F01">
        <w:rPr>
          <w:rFonts w:ascii="Arial" w:eastAsia="Times New Roman" w:hAnsi="Arial" w:cs="Arial"/>
          <w:sz w:val="24"/>
          <w:szCs w:val="24"/>
          <w:lang w:val="en-GB"/>
        </w:rPr>
        <w:t xml:space="preserve"> </w:t>
      </w:r>
      <w:r w:rsidR="00010503" w:rsidRPr="007F2F01">
        <w:rPr>
          <w:rFonts w:ascii="Arial" w:eastAsia="Times New Roman" w:hAnsi="Arial" w:cs="Arial"/>
          <w:sz w:val="24"/>
          <w:szCs w:val="24"/>
          <w:lang w:val="en-GB"/>
        </w:rPr>
        <w:t>it bears noting that in this matter, the indigent occupiers were granted state funding both in the LCC and in this Court.</w:t>
      </w:r>
      <w:r w:rsidR="00D926CC" w:rsidRPr="007F2F01">
        <w:rPr>
          <w:rFonts w:ascii="Arial" w:eastAsia="Times New Roman" w:hAnsi="Arial" w:cs="Arial"/>
          <w:sz w:val="24"/>
          <w:szCs w:val="24"/>
          <w:lang w:val="en-GB"/>
        </w:rPr>
        <w:t xml:space="preserve"> T</w:t>
      </w:r>
      <w:r w:rsidR="00734B07" w:rsidRPr="007F2F01">
        <w:rPr>
          <w:rFonts w:ascii="Arial" w:eastAsia="Times New Roman" w:hAnsi="Arial" w:cs="Arial"/>
          <w:sz w:val="24"/>
          <w:szCs w:val="24"/>
          <w:lang w:val="en-GB"/>
        </w:rPr>
        <w:t xml:space="preserve">his Court stated as follows </w:t>
      </w:r>
      <w:r w:rsidR="005E7978" w:rsidRPr="007F2F01">
        <w:rPr>
          <w:rFonts w:ascii="Arial" w:eastAsia="Times New Roman" w:hAnsi="Arial" w:cs="Arial"/>
          <w:sz w:val="24"/>
          <w:szCs w:val="24"/>
          <w:lang w:val="en-GB"/>
        </w:rPr>
        <w:t xml:space="preserve">in </w:t>
      </w:r>
      <w:bookmarkStart w:id="25" w:name="_Hlk126329894"/>
      <w:r w:rsidR="005E7978" w:rsidRPr="007F2F01">
        <w:rPr>
          <w:rFonts w:ascii="Arial" w:eastAsia="Times New Roman" w:hAnsi="Arial" w:cs="Arial"/>
          <w:i/>
          <w:iCs/>
          <w:sz w:val="24"/>
          <w:szCs w:val="24"/>
          <w:lang w:val="en-GB"/>
        </w:rPr>
        <w:t xml:space="preserve">Haakdoringbult </w:t>
      </w:r>
      <w:r w:rsidR="00F47D1D" w:rsidRPr="007F2F01">
        <w:rPr>
          <w:rFonts w:ascii="Arial" w:eastAsia="Times New Roman" w:hAnsi="Arial" w:cs="Arial"/>
          <w:i/>
          <w:iCs/>
          <w:sz w:val="24"/>
          <w:szCs w:val="24"/>
          <w:lang w:val="en-GB"/>
        </w:rPr>
        <w:t>Boerdery CC &amp; others v Mphela &amp; others</w:t>
      </w:r>
      <w:bookmarkEnd w:id="25"/>
      <w:r w:rsidR="00017C9F" w:rsidRPr="007F2F01">
        <w:rPr>
          <w:rFonts w:ascii="Arial" w:eastAsia="Times New Roman" w:hAnsi="Arial" w:cs="Arial"/>
          <w:sz w:val="24"/>
          <w:szCs w:val="24"/>
          <w:lang w:val="en-GB"/>
        </w:rPr>
        <w:t>:</w:t>
      </w:r>
      <w:r w:rsidR="005E6516" w:rsidRPr="007F2F01">
        <w:rPr>
          <w:rStyle w:val="FootnoteReference"/>
          <w:rFonts w:ascii="Arial" w:eastAsia="Times New Roman" w:hAnsi="Arial"/>
          <w:sz w:val="24"/>
          <w:szCs w:val="24"/>
          <w:lang w:val="en-GB"/>
        </w:rPr>
        <w:footnoteReference w:id="40"/>
      </w:r>
    </w:p>
    <w:p w14:paraId="45817558" w14:textId="4AE76AD8" w:rsidR="00EB7646" w:rsidRPr="007F2F01" w:rsidRDefault="005605B7" w:rsidP="00774A33">
      <w:pPr>
        <w:spacing w:after="0" w:line="360" w:lineRule="auto"/>
        <w:jc w:val="both"/>
        <w:rPr>
          <w:rFonts w:ascii="Arial" w:eastAsia="Times New Roman" w:hAnsi="Arial" w:cs="Arial"/>
          <w:lang w:val="en-GB"/>
        </w:rPr>
      </w:pPr>
      <w:r w:rsidRPr="007F2F01">
        <w:rPr>
          <w:rFonts w:ascii="Arial" w:eastAsia="Times New Roman" w:hAnsi="Arial" w:cs="Arial"/>
          <w:lang w:val="en-GB"/>
        </w:rPr>
        <w:t xml:space="preserve">‘That leaves the costs on appeal. This Court has not yet laid down </w:t>
      </w:r>
      <w:r w:rsidR="00AD446E" w:rsidRPr="007F2F01">
        <w:rPr>
          <w:rFonts w:ascii="Arial" w:eastAsia="Times New Roman" w:hAnsi="Arial" w:cs="Arial"/>
          <w:lang w:val="en-GB"/>
        </w:rPr>
        <w:t xml:space="preserve">any fixed rule and there are judgments that have ordered costs to follow the result and others that have made no orders. I believe that the time has come to be consistent and to hold </w:t>
      </w:r>
      <w:r w:rsidR="00230CDB" w:rsidRPr="007F2F01">
        <w:rPr>
          <w:rFonts w:ascii="Arial" w:eastAsia="Times New Roman" w:hAnsi="Arial" w:cs="Arial"/>
          <w:lang w:val="en-GB"/>
        </w:rPr>
        <w:t>that in cases such as this there should not be any costs orders on appeal absent special circumstances.’</w:t>
      </w:r>
    </w:p>
    <w:p w14:paraId="1DAD4AA7" w14:textId="77777777" w:rsidR="00EB7646" w:rsidRPr="007F2F01" w:rsidRDefault="00EB7646" w:rsidP="00774A33">
      <w:pPr>
        <w:spacing w:after="0" w:line="360" w:lineRule="auto"/>
        <w:jc w:val="both"/>
        <w:rPr>
          <w:rFonts w:ascii="Arial" w:eastAsia="Times New Roman" w:hAnsi="Arial" w:cs="Arial"/>
          <w:sz w:val="24"/>
          <w:szCs w:val="24"/>
          <w:lang w:val="en-GB"/>
        </w:rPr>
      </w:pPr>
      <w:r w:rsidRPr="007F2F01">
        <w:rPr>
          <w:rFonts w:ascii="Arial" w:eastAsia="Times New Roman" w:hAnsi="Arial" w:cs="Arial"/>
          <w:sz w:val="24"/>
          <w:szCs w:val="24"/>
          <w:lang w:val="en-GB"/>
        </w:rPr>
        <w:t>I agree.</w:t>
      </w:r>
    </w:p>
    <w:p w14:paraId="7E61E5DA" w14:textId="350489C9" w:rsidR="00774A33" w:rsidRPr="0041349C" w:rsidRDefault="00137334" w:rsidP="00774A33">
      <w:pPr>
        <w:spacing w:after="0" w:line="360" w:lineRule="auto"/>
        <w:jc w:val="both"/>
        <w:rPr>
          <w:rFonts w:ascii="Arial" w:eastAsia="Times New Roman" w:hAnsi="Arial" w:cs="Arial"/>
          <w:strike/>
          <w:sz w:val="24"/>
          <w:szCs w:val="24"/>
          <w:lang w:val="en-GB"/>
        </w:rPr>
      </w:pPr>
      <w:r w:rsidRPr="007F2F01">
        <w:rPr>
          <w:rFonts w:ascii="Arial" w:eastAsia="Times New Roman" w:hAnsi="Arial" w:cs="Arial"/>
          <w:sz w:val="24"/>
          <w:szCs w:val="24"/>
          <w:lang w:val="en-GB"/>
        </w:rPr>
        <w:t xml:space="preserve">Notably, </w:t>
      </w:r>
      <w:r w:rsidR="00D75C47" w:rsidRPr="007F2F01">
        <w:rPr>
          <w:rFonts w:ascii="Arial" w:eastAsia="Times New Roman" w:hAnsi="Arial" w:cs="Arial"/>
          <w:sz w:val="24"/>
          <w:szCs w:val="24"/>
          <w:lang w:val="en-GB"/>
        </w:rPr>
        <w:t>s 18</w:t>
      </w:r>
      <w:r w:rsidR="00D75C47" w:rsidRPr="007F2F01">
        <w:rPr>
          <w:rFonts w:ascii="Arial" w:eastAsia="Times New Roman" w:hAnsi="Arial" w:cs="Arial"/>
          <w:i/>
          <w:iCs/>
          <w:sz w:val="24"/>
          <w:szCs w:val="24"/>
          <w:lang w:val="en-GB"/>
        </w:rPr>
        <w:t>(b)</w:t>
      </w:r>
      <w:r w:rsidR="00D75C47" w:rsidRPr="007F2F01">
        <w:rPr>
          <w:rFonts w:ascii="Arial" w:eastAsia="Times New Roman" w:hAnsi="Arial" w:cs="Arial"/>
          <w:sz w:val="24"/>
          <w:szCs w:val="24"/>
          <w:lang w:val="en-GB"/>
        </w:rPr>
        <w:t xml:space="preserve"> of ESTA </w:t>
      </w:r>
      <w:r w:rsidRPr="007F2F01">
        <w:rPr>
          <w:rFonts w:ascii="Arial" w:eastAsia="Times New Roman" w:hAnsi="Arial" w:cs="Arial"/>
          <w:sz w:val="24"/>
          <w:szCs w:val="24"/>
          <w:lang w:val="en-GB"/>
        </w:rPr>
        <w:t xml:space="preserve">clothes </w:t>
      </w:r>
      <w:r w:rsidR="00D75C47" w:rsidRPr="007F2F01">
        <w:rPr>
          <w:rFonts w:ascii="Arial" w:eastAsia="Times New Roman" w:hAnsi="Arial" w:cs="Arial"/>
          <w:sz w:val="24"/>
          <w:szCs w:val="24"/>
          <w:lang w:val="en-GB"/>
        </w:rPr>
        <w:t xml:space="preserve">a court </w:t>
      </w:r>
      <w:r w:rsidRPr="007F2F01">
        <w:rPr>
          <w:rFonts w:ascii="Arial" w:eastAsia="Times New Roman" w:hAnsi="Arial" w:cs="Arial"/>
          <w:sz w:val="24"/>
          <w:szCs w:val="24"/>
          <w:lang w:val="en-GB"/>
        </w:rPr>
        <w:t>with the discretion to</w:t>
      </w:r>
      <w:r w:rsidR="00AE1DB0" w:rsidRPr="007F2F01">
        <w:rPr>
          <w:rFonts w:ascii="Arial" w:eastAsia="Times New Roman" w:hAnsi="Arial" w:cs="Arial"/>
          <w:sz w:val="24"/>
          <w:szCs w:val="24"/>
          <w:lang w:val="en-GB"/>
        </w:rPr>
        <w:t xml:space="preserve"> </w:t>
      </w:r>
      <w:r w:rsidR="00D75C47" w:rsidRPr="007F2F01">
        <w:rPr>
          <w:rFonts w:ascii="Arial" w:eastAsia="Times New Roman" w:hAnsi="Arial" w:cs="Arial"/>
          <w:sz w:val="24"/>
          <w:szCs w:val="24"/>
          <w:lang w:val="en-GB"/>
        </w:rPr>
        <w:t>make such orders as to costs as it deems just.</w:t>
      </w:r>
      <w:r w:rsidR="001F1EE4" w:rsidRPr="007F2F01">
        <w:rPr>
          <w:rFonts w:ascii="Arial" w:eastAsia="Times New Roman" w:hAnsi="Arial" w:cs="Arial"/>
          <w:sz w:val="24"/>
          <w:szCs w:val="24"/>
          <w:lang w:val="en-GB"/>
        </w:rPr>
        <w:t xml:space="preserve"> </w:t>
      </w:r>
      <w:r w:rsidR="0066436F" w:rsidRPr="007F2F01">
        <w:rPr>
          <w:rFonts w:ascii="Arial" w:eastAsia="Times New Roman" w:hAnsi="Arial" w:cs="Arial"/>
          <w:sz w:val="24"/>
          <w:szCs w:val="24"/>
          <w:lang w:val="en-GB"/>
        </w:rPr>
        <w:t xml:space="preserve">Having considered </w:t>
      </w:r>
      <w:r w:rsidR="0099076A" w:rsidRPr="007F2F01">
        <w:rPr>
          <w:rFonts w:ascii="Arial" w:eastAsia="Times New Roman" w:hAnsi="Arial" w:cs="Arial"/>
          <w:sz w:val="24"/>
          <w:szCs w:val="24"/>
          <w:lang w:val="en-GB"/>
        </w:rPr>
        <w:t xml:space="preserve">all </w:t>
      </w:r>
      <w:r w:rsidR="0066436F" w:rsidRPr="007F2F01">
        <w:rPr>
          <w:rFonts w:ascii="Arial" w:eastAsia="Times New Roman" w:hAnsi="Arial" w:cs="Arial"/>
          <w:sz w:val="24"/>
          <w:szCs w:val="24"/>
          <w:lang w:val="en-GB"/>
        </w:rPr>
        <w:t>the circumstances of this case,</w:t>
      </w:r>
      <w:r w:rsidR="00774A33" w:rsidRPr="00774A33">
        <w:rPr>
          <w:rFonts w:ascii="Arial" w:eastAsia="Times New Roman" w:hAnsi="Arial" w:cs="Arial"/>
          <w:sz w:val="24"/>
          <w:szCs w:val="24"/>
          <w:lang w:val="en-GB"/>
        </w:rPr>
        <w:t xml:space="preserve"> I am of the view that </w:t>
      </w:r>
      <w:r w:rsidR="001F1EE4">
        <w:rPr>
          <w:rFonts w:ascii="Arial" w:eastAsia="Times New Roman" w:hAnsi="Arial" w:cs="Arial"/>
          <w:sz w:val="24"/>
          <w:szCs w:val="24"/>
          <w:lang w:val="en-GB"/>
        </w:rPr>
        <w:t xml:space="preserve">justice </w:t>
      </w:r>
      <w:r w:rsidR="00774A33" w:rsidRPr="00774A33">
        <w:rPr>
          <w:rFonts w:ascii="Arial" w:eastAsia="Times New Roman" w:hAnsi="Arial" w:cs="Arial"/>
          <w:sz w:val="24"/>
          <w:szCs w:val="24"/>
          <w:lang w:val="en-GB"/>
        </w:rPr>
        <w:t>dictate</w:t>
      </w:r>
      <w:r w:rsidR="001F1EE4">
        <w:rPr>
          <w:rFonts w:ascii="Arial" w:eastAsia="Times New Roman" w:hAnsi="Arial" w:cs="Arial"/>
          <w:sz w:val="24"/>
          <w:szCs w:val="24"/>
          <w:lang w:val="en-GB"/>
        </w:rPr>
        <w:t>s</w:t>
      </w:r>
      <w:r w:rsidR="00774A33" w:rsidRPr="00774A33">
        <w:rPr>
          <w:rFonts w:ascii="Arial" w:eastAsia="Times New Roman" w:hAnsi="Arial" w:cs="Arial"/>
          <w:sz w:val="24"/>
          <w:szCs w:val="24"/>
          <w:lang w:val="en-GB"/>
        </w:rPr>
        <w:t xml:space="preserve"> that the occupiers </w:t>
      </w:r>
      <w:r w:rsidR="00387E57" w:rsidRPr="00774A33">
        <w:rPr>
          <w:rFonts w:ascii="Arial" w:eastAsia="Times New Roman" w:hAnsi="Arial" w:cs="Arial"/>
          <w:sz w:val="24"/>
          <w:szCs w:val="24"/>
          <w:lang w:val="en-GB"/>
        </w:rPr>
        <w:t>not</w:t>
      </w:r>
      <w:r w:rsidR="00387E57">
        <w:rPr>
          <w:rFonts w:ascii="Arial" w:eastAsia="Times New Roman" w:hAnsi="Arial" w:cs="Arial"/>
          <w:sz w:val="24"/>
          <w:szCs w:val="24"/>
          <w:lang w:val="en-GB"/>
        </w:rPr>
        <w:t xml:space="preserve"> be </w:t>
      </w:r>
      <w:r w:rsidR="001F1EE4" w:rsidRPr="005D532E">
        <w:rPr>
          <w:rFonts w:ascii="Arial" w:eastAsia="Times New Roman" w:hAnsi="Arial" w:cs="Arial"/>
          <w:sz w:val="24"/>
          <w:szCs w:val="24"/>
          <w:lang w:val="en-GB"/>
        </w:rPr>
        <w:t xml:space="preserve">mulcted </w:t>
      </w:r>
      <w:r w:rsidR="00774A33" w:rsidRPr="005D532E">
        <w:rPr>
          <w:rFonts w:ascii="Arial" w:eastAsia="Times New Roman" w:hAnsi="Arial" w:cs="Arial"/>
          <w:sz w:val="24"/>
          <w:szCs w:val="24"/>
          <w:lang w:val="en-GB"/>
        </w:rPr>
        <w:t>with a costs order on appeal</w:t>
      </w:r>
      <w:r w:rsidR="001F1EE4" w:rsidRPr="005D532E">
        <w:rPr>
          <w:rFonts w:ascii="Arial" w:eastAsia="Times New Roman" w:hAnsi="Arial" w:cs="Arial"/>
          <w:sz w:val="24"/>
          <w:szCs w:val="24"/>
          <w:lang w:val="en-GB"/>
        </w:rPr>
        <w:t>.</w:t>
      </w:r>
      <w:r w:rsidR="00A90CB9">
        <w:rPr>
          <w:rFonts w:ascii="Arial" w:eastAsia="Times New Roman" w:hAnsi="Arial" w:cs="Arial"/>
          <w:sz w:val="24"/>
          <w:szCs w:val="24"/>
          <w:lang w:val="en-GB"/>
        </w:rPr>
        <w:t xml:space="preserve"> </w:t>
      </w:r>
    </w:p>
    <w:p w14:paraId="0CBBD4E9" w14:textId="77777777" w:rsidR="00774A33" w:rsidRPr="00774A33" w:rsidRDefault="00774A33" w:rsidP="00774A33">
      <w:pPr>
        <w:spacing w:after="0" w:line="360" w:lineRule="auto"/>
        <w:jc w:val="both"/>
        <w:rPr>
          <w:rFonts w:ascii="Arial" w:eastAsia="Times New Roman" w:hAnsi="Arial" w:cs="Arial"/>
          <w:sz w:val="24"/>
          <w:szCs w:val="24"/>
          <w:lang w:val="en-GB"/>
        </w:rPr>
      </w:pPr>
    </w:p>
    <w:p w14:paraId="1CE393BD" w14:textId="77777777" w:rsidR="00774A33" w:rsidRPr="00774A33" w:rsidRDefault="00774A33" w:rsidP="00774A33">
      <w:pPr>
        <w:spacing w:after="0" w:line="360" w:lineRule="auto"/>
        <w:jc w:val="both"/>
        <w:rPr>
          <w:rFonts w:ascii="Arial" w:eastAsia="Times New Roman" w:hAnsi="Arial" w:cs="Arial"/>
          <w:b/>
          <w:bCs/>
          <w:sz w:val="24"/>
          <w:szCs w:val="24"/>
          <w:lang w:val="en-GB"/>
        </w:rPr>
      </w:pPr>
      <w:r w:rsidRPr="00774A33">
        <w:rPr>
          <w:rFonts w:ascii="Arial" w:eastAsia="Times New Roman" w:hAnsi="Arial" w:cs="Arial"/>
          <w:b/>
          <w:bCs/>
          <w:sz w:val="24"/>
          <w:szCs w:val="24"/>
          <w:lang w:val="en-GB"/>
        </w:rPr>
        <w:t>Order:</w:t>
      </w:r>
    </w:p>
    <w:p w14:paraId="61A769C3" w14:textId="0AAB50E3" w:rsidR="00774A33" w:rsidRPr="005D532E" w:rsidRDefault="00774A33" w:rsidP="00774A33">
      <w:pPr>
        <w:spacing w:after="0" w:line="360" w:lineRule="auto"/>
        <w:jc w:val="both"/>
        <w:rPr>
          <w:rFonts w:ascii="Arial" w:eastAsia="Times New Roman" w:hAnsi="Arial" w:cs="Arial"/>
          <w:sz w:val="24"/>
          <w:szCs w:val="24"/>
          <w:lang w:val="en-GB"/>
        </w:rPr>
      </w:pPr>
      <w:r w:rsidRPr="005D532E">
        <w:rPr>
          <w:rFonts w:ascii="Arial" w:eastAsia="Times New Roman" w:hAnsi="Arial" w:cs="Arial"/>
          <w:sz w:val="24"/>
          <w:szCs w:val="24"/>
          <w:lang w:val="en-GB"/>
        </w:rPr>
        <w:t>[</w:t>
      </w:r>
      <w:r w:rsidR="002C5B96" w:rsidRPr="005D532E">
        <w:rPr>
          <w:rFonts w:ascii="Arial" w:eastAsia="Times New Roman" w:hAnsi="Arial" w:cs="Arial"/>
          <w:sz w:val="24"/>
          <w:szCs w:val="24"/>
          <w:lang w:val="en-GB"/>
        </w:rPr>
        <w:t>7</w:t>
      </w:r>
      <w:r w:rsidR="0094316A" w:rsidRPr="005D532E">
        <w:rPr>
          <w:rFonts w:ascii="Arial" w:eastAsia="Times New Roman" w:hAnsi="Arial" w:cs="Arial"/>
          <w:sz w:val="24"/>
          <w:szCs w:val="24"/>
          <w:lang w:val="en-GB"/>
        </w:rPr>
        <w:t>8</w:t>
      </w:r>
      <w:r w:rsidRPr="005D532E">
        <w:rPr>
          <w:rFonts w:ascii="Arial" w:eastAsia="Times New Roman" w:hAnsi="Arial" w:cs="Arial"/>
          <w:sz w:val="24"/>
          <w:szCs w:val="24"/>
          <w:lang w:val="en-GB"/>
        </w:rPr>
        <w:t>]</w:t>
      </w:r>
      <w:r w:rsidRPr="005D532E">
        <w:rPr>
          <w:rFonts w:ascii="Arial" w:eastAsia="Times New Roman" w:hAnsi="Arial" w:cs="Arial"/>
          <w:sz w:val="24"/>
          <w:szCs w:val="24"/>
          <w:lang w:val="en-GB"/>
        </w:rPr>
        <w:tab/>
        <w:t>In the result, the following order is granted:</w:t>
      </w:r>
      <w:bookmarkStart w:id="26" w:name="_Hlk124642415"/>
      <w:r w:rsidRPr="005D532E">
        <w:rPr>
          <w:rFonts w:ascii="Arial" w:eastAsia="Times New Roman" w:hAnsi="Arial" w:cs="Arial"/>
          <w:sz w:val="24"/>
          <w:szCs w:val="24"/>
          <w:lang w:val="en-GB"/>
        </w:rPr>
        <w:t xml:space="preserve"> </w:t>
      </w:r>
    </w:p>
    <w:p w14:paraId="6E914F34" w14:textId="77777777" w:rsidR="00774A33" w:rsidRPr="005D532E" w:rsidRDefault="00774A33" w:rsidP="00774A33">
      <w:pPr>
        <w:spacing w:after="0" w:line="360" w:lineRule="auto"/>
        <w:jc w:val="both"/>
        <w:rPr>
          <w:rFonts w:ascii="Arial" w:eastAsia="Times New Roman" w:hAnsi="Arial" w:cs="Arial"/>
          <w:sz w:val="24"/>
          <w:szCs w:val="24"/>
          <w:lang w:val="en-GB"/>
        </w:rPr>
      </w:pPr>
    </w:p>
    <w:bookmarkEnd w:id="26"/>
    <w:p w14:paraId="71EDC1B2" w14:textId="77777777" w:rsidR="00F20873" w:rsidRPr="00256AA8" w:rsidRDefault="00F20873" w:rsidP="00F20873">
      <w:pPr>
        <w:numPr>
          <w:ilvl w:val="0"/>
          <w:numId w:val="31"/>
        </w:numPr>
        <w:spacing w:after="0" w:line="480" w:lineRule="auto"/>
        <w:jc w:val="both"/>
        <w:rPr>
          <w:rFonts w:ascii="Arial" w:eastAsia="Times New Roman" w:hAnsi="Arial" w:cs="Arial"/>
          <w:sz w:val="24"/>
          <w:szCs w:val="24"/>
          <w:lang w:val="en-GB"/>
        </w:rPr>
      </w:pPr>
      <w:r w:rsidRPr="00256AA8">
        <w:rPr>
          <w:rFonts w:ascii="Arial" w:eastAsia="Times New Roman" w:hAnsi="Arial" w:cs="Arial"/>
          <w:sz w:val="24"/>
          <w:szCs w:val="24"/>
          <w:lang w:val="en-GB"/>
        </w:rPr>
        <w:t>The appeal succeeds and the cross-appeal is dismissed with no order as to costs in each instance.</w:t>
      </w:r>
    </w:p>
    <w:p w14:paraId="492CB3D7" w14:textId="77777777" w:rsidR="00F20873" w:rsidRPr="00256AA8" w:rsidRDefault="00F20873" w:rsidP="00F20873">
      <w:pPr>
        <w:numPr>
          <w:ilvl w:val="0"/>
          <w:numId w:val="31"/>
        </w:numPr>
        <w:spacing w:after="0" w:line="480" w:lineRule="auto"/>
        <w:jc w:val="both"/>
        <w:rPr>
          <w:rFonts w:ascii="Arial" w:eastAsia="Times New Roman" w:hAnsi="Arial" w:cs="Arial"/>
          <w:sz w:val="24"/>
          <w:szCs w:val="24"/>
        </w:rPr>
      </w:pPr>
      <w:r w:rsidRPr="00256AA8">
        <w:rPr>
          <w:rFonts w:ascii="Arial" w:eastAsia="Times New Roman" w:hAnsi="Arial" w:cs="Arial"/>
          <w:sz w:val="24"/>
          <w:szCs w:val="24"/>
          <w:lang w:val="en-GB"/>
        </w:rPr>
        <w:t xml:space="preserve">The order of the </w:t>
      </w:r>
      <w:r w:rsidRPr="00256AA8">
        <w:rPr>
          <w:rFonts w:ascii="Arial" w:eastAsia="Times New Roman" w:hAnsi="Arial" w:cs="Arial"/>
          <w:sz w:val="24"/>
          <w:szCs w:val="24"/>
          <w:lang w:val="en-US"/>
        </w:rPr>
        <w:t>Land Claims Court is set aside and replaced with the following order:</w:t>
      </w:r>
    </w:p>
    <w:p w14:paraId="52FC0CF5" w14:textId="77777777" w:rsidR="00F20873" w:rsidRPr="00256AA8" w:rsidRDefault="00F20873" w:rsidP="00F20873">
      <w:pPr>
        <w:spacing w:after="0" w:line="480" w:lineRule="auto"/>
        <w:ind w:left="360"/>
        <w:jc w:val="both"/>
        <w:rPr>
          <w:rFonts w:ascii="Arial" w:eastAsia="Times New Roman" w:hAnsi="Arial" w:cs="Arial"/>
          <w:sz w:val="24"/>
          <w:szCs w:val="24"/>
        </w:rPr>
      </w:pPr>
      <w:r w:rsidRPr="00256AA8">
        <w:rPr>
          <w:rFonts w:ascii="Arial" w:eastAsia="Times New Roman" w:hAnsi="Arial" w:cs="Arial"/>
          <w:sz w:val="24"/>
          <w:szCs w:val="24"/>
          <w:lang w:val="en-GB"/>
        </w:rPr>
        <w:t>‘</w:t>
      </w:r>
      <w:r w:rsidRPr="00256AA8">
        <w:rPr>
          <w:rFonts w:ascii="Arial" w:eastAsia="Times New Roman" w:hAnsi="Arial" w:cs="Arial"/>
          <w:sz w:val="24"/>
          <w:szCs w:val="24"/>
          <w:lang w:val="en-US"/>
        </w:rPr>
        <w:t>(a)</w:t>
      </w:r>
      <w:r>
        <w:rPr>
          <w:rFonts w:ascii="Arial" w:eastAsia="Times New Roman" w:hAnsi="Arial" w:cs="Arial"/>
          <w:sz w:val="24"/>
          <w:szCs w:val="24"/>
          <w:lang w:val="en-US"/>
        </w:rPr>
        <w:t xml:space="preserve"> </w:t>
      </w:r>
      <w:r w:rsidRPr="00256AA8">
        <w:rPr>
          <w:rFonts w:ascii="Arial" w:eastAsia="Times New Roman" w:hAnsi="Arial" w:cs="Arial"/>
          <w:sz w:val="24"/>
          <w:szCs w:val="24"/>
          <w:lang w:val="en-US"/>
        </w:rPr>
        <w:t xml:space="preserve">An eviction order is granted in respect of all the occupier respondents, with the exception of the eleventh and twelfth respondents. </w:t>
      </w:r>
    </w:p>
    <w:p w14:paraId="2A89E248" w14:textId="77777777" w:rsidR="00F20873" w:rsidRPr="00774A33" w:rsidRDefault="00F20873" w:rsidP="00F20873">
      <w:pPr>
        <w:spacing w:after="0" w:line="480" w:lineRule="auto"/>
        <w:ind w:left="360"/>
        <w:jc w:val="both"/>
        <w:rPr>
          <w:rFonts w:ascii="Arial" w:eastAsia="Times New Roman" w:hAnsi="Arial" w:cs="Arial"/>
          <w:sz w:val="24"/>
          <w:szCs w:val="24"/>
          <w:lang w:val="en-US"/>
        </w:rPr>
      </w:pPr>
      <w:r w:rsidRPr="00256AA8">
        <w:rPr>
          <w:rFonts w:ascii="Arial" w:eastAsia="Times New Roman" w:hAnsi="Arial" w:cs="Arial"/>
          <w:sz w:val="24"/>
          <w:szCs w:val="24"/>
          <w:lang w:val="en-US"/>
        </w:rPr>
        <w:t>(b)</w:t>
      </w:r>
      <w:r w:rsidRPr="00256AA8">
        <w:rPr>
          <w:rFonts w:ascii="Arial" w:eastAsia="Times New Roman" w:hAnsi="Arial" w:cs="Arial"/>
          <w:sz w:val="24"/>
          <w:szCs w:val="24"/>
          <w:lang w:val="en-US"/>
        </w:rPr>
        <w:tab/>
        <w:t>The first to tenth respondents and</w:t>
      </w:r>
      <w:r w:rsidRPr="00774A33">
        <w:rPr>
          <w:rFonts w:ascii="Arial" w:eastAsia="Times New Roman" w:hAnsi="Arial" w:cs="Arial"/>
          <w:sz w:val="24"/>
          <w:szCs w:val="24"/>
          <w:lang w:val="en-US"/>
        </w:rPr>
        <w:t xml:space="preserve"> thirteenth to twenty</w:t>
      </w:r>
      <w:r>
        <w:rPr>
          <w:rFonts w:ascii="Arial" w:eastAsia="Times New Roman" w:hAnsi="Arial" w:cs="Arial"/>
          <w:sz w:val="24"/>
          <w:szCs w:val="24"/>
          <w:lang w:val="en-US"/>
        </w:rPr>
        <w:t>-</w:t>
      </w:r>
      <w:r w:rsidRPr="00774A33">
        <w:rPr>
          <w:rFonts w:ascii="Arial" w:eastAsia="Times New Roman" w:hAnsi="Arial" w:cs="Arial"/>
          <w:sz w:val="24"/>
          <w:szCs w:val="24"/>
          <w:lang w:val="en-US"/>
        </w:rPr>
        <w:t xml:space="preserve">sixth respondents must vacate the farm known as Rein Hill Estate, situated on the remainder of farm number 1458 in the Drakenstein Municipality, Paarl Division, Western Cape Province on or before 31 </w:t>
      </w:r>
      <w:r>
        <w:rPr>
          <w:rFonts w:ascii="Arial" w:eastAsia="Times New Roman" w:hAnsi="Arial" w:cs="Arial"/>
          <w:sz w:val="24"/>
          <w:szCs w:val="24"/>
          <w:lang w:val="en-US"/>
        </w:rPr>
        <w:t xml:space="preserve">August </w:t>
      </w:r>
      <w:r w:rsidRPr="00774A33">
        <w:rPr>
          <w:rFonts w:ascii="Arial" w:eastAsia="Times New Roman" w:hAnsi="Arial" w:cs="Arial"/>
          <w:sz w:val="24"/>
          <w:szCs w:val="24"/>
          <w:lang w:val="en-US"/>
        </w:rPr>
        <w:t>2023.</w:t>
      </w:r>
    </w:p>
    <w:p w14:paraId="06BA9E61" w14:textId="77777777" w:rsidR="00F20873" w:rsidRPr="00774A33" w:rsidRDefault="00F20873" w:rsidP="00F20873">
      <w:pPr>
        <w:spacing w:after="0" w:line="480" w:lineRule="auto"/>
        <w:ind w:left="360"/>
        <w:jc w:val="both"/>
        <w:rPr>
          <w:rFonts w:ascii="Arial" w:eastAsia="Times New Roman" w:hAnsi="Arial" w:cs="Arial"/>
          <w:sz w:val="24"/>
          <w:szCs w:val="24"/>
          <w:lang w:val="en-US"/>
        </w:rPr>
      </w:pPr>
      <w:r w:rsidRPr="00774A33">
        <w:rPr>
          <w:rFonts w:ascii="Arial" w:eastAsia="Times New Roman" w:hAnsi="Arial" w:cs="Arial"/>
          <w:sz w:val="24"/>
          <w:szCs w:val="24"/>
          <w:lang w:val="en-US"/>
        </w:rPr>
        <w:lastRenderedPageBreak/>
        <w:t>(c)</w:t>
      </w:r>
      <w:r w:rsidRPr="00774A33">
        <w:rPr>
          <w:rFonts w:ascii="Arial" w:eastAsia="Times New Roman" w:hAnsi="Arial" w:cs="Arial"/>
          <w:sz w:val="24"/>
          <w:szCs w:val="24"/>
          <w:lang w:val="en-US"/>
        </w:rPr>
        <w:tab/>
        <w:t>Should the respondents</w:t>
      </w:r>
      <w:r>
        <w:rPr>
          <w:rFonts w:ascii="Arial" w:eastAsia="Times New Roman" w:hAnsi="Arial" w:cs="Arial"/>
          <w:sz w:val="24"/>
          <w:szCs w:val="24"/>
          <w:lang w:val="en-US"/>
        </w:rPr>
        <w:t xml:space="preserve"> mentioned in paragraph (a)</w:t>
      </w:r>
      <w:r w:rsidRPr="00774A33">
        <w:rPr>
          <w:rFonts w:ascii="Arial" w:eastAsia="Times New Roman" w:hAnsi="Arial" w:cs="Arial"/>
          <w:sz w:val="24"/>
          <w:szCs w:val="24"/>
          <w:lang w:val="en-US"/>
        </w:rPr>
        <w:t xml:space="preserve"> and all those occupying the farm under them fail to vacate it on or before 31 </w:t>
      </w:r>
      <w:r>
        <w:rPr>
          <w:rFonts w:ascii="Arial" w:eastAsia="Times New Roman" w:hAnsi="Arial" w:cs="Arial"/>
          <w:sz w:val="24"/>
          <w:szCs w:val="24"/>
          <w:lang w:val="en-US"/>
        </w:rPr>
        <w:t>August</w:t>
      </w:r>
      <w:r w:rsidRPr="00774A33">
        <w:rPr>
          <w:rFonts w:ascii="Arial" w:eastAsia="Times New Roman" w:hAnsi="Arial" w:cs="Arial"/>
          <w:sz w:val="24"/>
          <w:szCs w:val="24"/>
          <w:lang w:val="en-US"/>
        </w:rPr>
        <w:t xml:space="preserve"> 2023, the sheriff of the court is authorised to evict them from the farm by </w:t>
      </w:r>
      <w:r>
        <w:rPr>
          <w:rFonts w:ascii="Arial" w:eastAsia="Times New Roman" w:hAnsi="Arial" w:cs="Arial"/>
          <w:sz w:val="24"/>
          <w:szCs w:val="24"/>
          <w:lang w:val="en-US"/>
        </w:rPr>
        <w:t xml:space="preserve">15 September </w:t>
      </w:r>
      <w:r w:rsidRPr="00774A33">
        <w:rPr>
          <w:rFonts w:ascii="Arial" w:eastAsia="Times New Roman" w:hAnsi="Arial" w:cs="Arial"/>
          <w:sz w:val="24"/>
          <w:szCs w:val="24"/>
          <w:lang w:val="en-US"/>
        </w:rPr>
        <w:t>2023.</w:t>
      </w:r>
    </w:p>
    <w:p w14:paraId="405AA7E2" w14:textId="77777777" w:rsidR="00F20873" w:rsidRPr="00774A33" w:rsidRDefault="00F20873" w:rsidP="00F20873">
      <w:pPr>
        <w:spacing w:after="0" w:line="480" w:lineRule="auto"/>
        <w:ind w:left="360"/>
        <w:jc w:val="both"/>
        <w:rPr>
          <w:rFonts w:ascii="Arial" w:eastAsia="Times New Roman" w:hAnsi="Arial" w:cs="Arial"/>
          <w:sz w:val="24"/>
          <w:szCs w:val="24"/>
          <w:lang w:val="en-US"/>
        </w:rPr>
      </w:pPr>
      <w:r w:rsidRPr="00774A33">
        <w:rPr>
          <w:rFonts w:ascii="Arial" w:eastAsia="Times New Roman" w:hAnsi="Arial" w:cs="Arial"/>
          <w:sz w:val="24"/>
          <w:szCs w:val="24"/>
          <w:lang w:val="en-US"/>
        </w:rPr>
        <w:t>(d)</w:t>
      </w:r>
      <w:r w:rsidRPr="00774A33">
        <w:rPr>
          <w:rFonts w:ascii="Arial" w:eastAsia="Times New Roman" w:hAnsi="Arial" w:cs="Arial"/>
          <w:sz w:val="24"/>
          <w:szCs w:val="24"/>
          <w:lang w:val="en-US"/>
        </w:rPr>
        <w:tab/>
      </w:r>
      <w:r>
        <w:rPr>
          <w:rFonts w:ascii="Arial" w:eastAsia="Times New Roman" w:hAnsi="Arial" w:cs="Arial"/>
          <w:sz w:val="24"/>
          <w:szCs w:val="24"/>
          <w:lang w:val="en-US"/>
        </w:rPr>
        <w:t>The twenty-</w:t>
      </w:r>
      <w:r w:rsidRPr="00256AA8">
        <w:rPr>
          <w:rFonts w:ascii="Arial" w:eastAsia="Times New Roman" w:hAnsi="Arial" w:cs="Arial"/>
          <w:sz w:val="24"/>
          <w:szCs w:val="24"/>
          <w:lang w:val="en-US"/>
        </w:rPr>
        <w:t>seventh respondent is ordered to provide emergency housing suitable for human habitation with access to basic services (which may be communal) to the respondents</w:t>
      </w:r>
      <w:r w:rsidRPr="00774A33">
        <w:rPr>
          <w:rFonts w:ascii="Arial" w:eastAsia="Times New Roman" w:hAnsi="Arial" w:cs="Arial"/>
          <w:sz w:val="24"/>
          <w:szCs w:val="24"/>
          <w:lang w:val="en-US"/>
        </w:rPr>
        <w:t xml:space="preserve"> mentioned in paragraph (a) above and all those occupying the farm under them, on or before 31 </w:t>
      </w:r>
      <w:r>
        <w:rPr>
          <w:rFonts w:ascii="Arial" w:eastAsia="Times New Roman" w:hAnsi="Arial" w:cs="Arial"/>
          <w:sz w:val="24"/>
          <w:szCs w:val="24"/>
          <w:lang w:val="en-US"/>
        </w:rPr>
        <w:t xml:space="preserve">July </w:t>
      </w:r>
      <w:r w:rsidRPr="00774A33">
        <w:rPr>
          <w:rFonts w:ascii="Arial" w:eastAsia="Times New Roman" w:hAnsi="Arial" w:cs="Arial"/>
          <w:sz w:val="24"/>
          <w:szCs w:val="24"/>
          <w:lang w:val="en-US"/>
        </w:rPr>
        <w:t>2023.</w:t>
      </w:r>
    </w:p>
    <w:p w14:paraId="17CAC16D" w14:textId="7044B8B1" w:rsidR="00774A33" w:rsidRPr="00774A33" w:rsidRDefault="00F20873" w:rsidP="00F20873">
      <w:pPr>
        <w:spacing w:after="0" w:line="480" w:lineRule="auto"/>
        <w:ind w:firstLine="360"/>
        <w:jc w:val="both"/>
        <w:rPr>
          <w:rFonts w:ascii="Arial" w:eastAsia="Times New Roman" w:hAnsi="Arial" w:cs="Arial"/>
          <w:sz w:val="24"/>
          <w:szCs w:val="24"/>
          <w:lang w:val="en-GB"/>
        </w:rPr>
      </w:pPr>
      <w:r w:rsidRPr="00774A33">
        <w:rPr>
          <w:rFonts w:ascii="Arial" w:eastAsia="Times New Roman" w:hAnsi="Arial" w:cs="Arial"/>
          <w:sz w:val="24"/>
          <w:szCs w:val="24"/>
          <w:lang w:val="en-US"/>
        </w:rPr>
        <w:t>(e)</w:t>
      </w:r>
      <w:r w:rsidRPr="00774A33">
        <w:rPr>
          <w:rFonts w:ascii="Arial" w:eastAsia="Times New Roman" w:hAnsi="Arial" w:cs="Arial"/>
          <w:sz w:val="24"/>
          <w:szCs w:val="24"/>
          <w:lang w:val="en-US"/>
        </w:rPr>
        <w:tab/>
        <w:t>There is no order as to costs.’</w:t>
      </w:r>
    </w:p>
    <w:p w14:paraId="586B32F6" w14:textId="77777777" w:rsidR="00774A33" w:rsidRPr="00774A33" w:rsidRDefault="00774A33" w:rsidP="00774A33">
      <w:pPr>
        <w:spacing w:after="0" w:line="360" w:lineRule="auto"/>
        <w:jc w:val="both"/>
        <w:rPr>
          <w:rFonts w:ascii="Arial" w:eastAsia="Times New Roman" w:hAnsi="Arial" w:cs="Arial"/>
          <w:sz w:val="24"/>
          <w:szCs w:val="24"/>
          <w:lang w:val="en-GB"/>
        </w:rPr>
      </w:pPr>
    </w:p>
    <w:p w14:paraId="238EE255" w14:textId="176E50F2" w:rsidR="00774A33" w:rsidRPr="00774A33" w:rsidRDefault="00774A33" w:rsidP="00774A33">
      <w:pPr>
        <w:spacing w:after="0" w:line="360" w:lineRule="auto"/>
        <w:jc w:val="both"/>
        <w:rPr>
          <w:rFonts w:ascii="Arial" w:eastAsia="Times New Roman" w:hAnsi="Arial" w:cs="Arial"/>
          <w:sz w:val="24"/>
          <w:szCs w:val="24"/>
          <w:lang w:val="en-GB"/>
        </w:rPr>
      </w:pPr>
    </w:p>
    <w:p w14:paraId="3B8D9DFD" w14:textId="77777777" w:rsidR="00774A33" w:rsidRPr="00774A33" w:rsidRDefault="00774A33" w:rsidP="00774A33">
      <w:pPr>
        <w:widowControl w:val="0"/>
        <w:autoSpaceDE w:val="0"/>
        <w:autoSpaceDN w:val="0"/>
        <w:adjustRightInd w:val="0"/>
        <w:spacing w:after="0" w:line="240" w:lineRule="auto"/>
        <w:jc w:val="right"/>
        <w:rPr>
          <w:rFonts w:ascii="Arial" w:eastAsia="Times New Roman" w:hAnsi="Arial" w:cs="Arial"/>
          <w:sz w:val="24"/>
          <w:szCs w:val="24"/>
          <w:lang w:val="en-GB"/>
        </w:rPr>
      </w:pPr>
      <w:r w:rsidRPr="00774A33">
        <w:rPr>
          <w:rFonts w:ascii="Arial" w:eastAsia="Times New Roman" w:hAnsi="Arial" w:cs="Arial"/>
          <w:sz w:val="24"/>
          <w:szCs w:val="24"/>
          <w:lang w:val="en-GB"/>
        </w:rPr>
        <w:t>________________________</w:t>
      </w:r>
    </w:p>
    <w:p w14:paraId="42F2B4D9" w14:textId="77777777" w:rsidR="00774A33" w:rsidRPr="00774A33" w:rsidRDefault="00774A33" w:rsidP="00774A33">
      <w:pPr>
        <w:widowControl w:val="0"/>
        <w:autoSpaceDE w:val="0"/>
        <w:autoSpaceDN w:val="0"/>
        <w:adjustRightInd w:val="0"/>
        <w:spacing w:after="0" w:line="240" w:lineRule="auto"/>
        <w:jc w:val="right"/>
        <w:rPr>
          <w:rFonts w:ascii="Arial" w:eastAsia="Times New Roman" w:hAnsi="Arial" w:cs="Arial"/>
          <w:sz w:val="24"/>
          <w:szCs w:val="24"/>
          <w:lang w:val="en-GB"/>
        </w:rPr>
      </w:pPr>
      <w:r w:rsidRPr="00774A33">
        <w:rPr>
          <w:rFonts w:ascii="Arial" w:eastAsia="Times New Roman" w:hAnsi="Arial" w:cs="Arial"/>
          <w:sz w:val="24"/>
          <w:szCs w:val="24"/>
          <w:lang w:val="en-GB"/>
        </w:rPr>
        <w:t>M B Molemela</w:t>
      </w:r>
    </w:p>
    <w:p w14:paraId="7410BCAD" w14:textId="77777777" w:rsidR="00774A33" w:rsidRPr="00774A33" w:rsidRDefault="00774A33" w:rsidP="00774A33">
      <w:pPr>
        <w:widowControl w:val="0"/>
        <w:autoSpaceDE w:val="0"/>
        <w:autoSpaceDN w:val="0"/>
        <w:adjustRightInd w:val="0"/>
        <w:spacing w:after="0" w:line="240" w:lineRule="auto"/>
        <w:jc w:val="right"/>
        <w:rPr>
          <w:rFonts w:ascii="Arial" w:eastAsia="Times New Roman" w:hAnsi="Arial" w:cs="Arial"/>
          <w:sz w:val="24"/>
          <w:szCs w:val="24"/>
          <w:lang w:val="en-GB"/>
        </w:rPr>
      </w:pPr>
      <w:r w:rsidRPr="00774A33">
        <w:rPr>
          <w:rFonts w:ascii="Arial" w:eastAsia="Times New Roman" w:hAnsi="Arial" w:cs="Arial"/>
          <w:sz w:val="24"/>
          <w:szCs w:val="24"/>
          <w:lang w:val="en-GB"/>
        </w:rPr>
        <w:t>Judge of Appeal</w:t>
      </w:r>
    </w:p>
    <w:p w14:paraId="41231C81" w14:textId="77777777" w:rsidR="00774A33" w:rsidRPr="00774A33" w:rsidRDefault="00774A33" w:rsidP="00774A33">
      <w:pPr>
        <w:widowControl w:val="0"/>
        <w:autoSpaceDE w:val="0"/>
        <w:autoSpaceDN w:val="0"/>
        <w:adjustRightInd w:val="0"/>
        <w:spacing w:after="0" w:line="240" w:lineRule="auto"/>
        <w:jc w:val="right"/>
        <w:rPr>
          <w:rFonts w:ascii="Arial" w:eastAsia="Times New Roman" w:hAnsi="Arial" w:cs="Arial"/>
          <w:sz w:val="24"/>
          <w:szCs w:val="24"/>
          <w:lang w:val="en-GB"/>
        </w:rPr>
      </w:pPr>
    </w:p>
    <w:p w14:paraId="6F690128" w14:textId="77777777" w:rsidR="00F20873" w:rsidRDefault="00F20873">
      <w:pPr>
        <w:rPr>
          <w:rFonts w:ascii="Arial" w:eastAsia="Times New Roman" w:hAnsi="Arial" w:cs="Arial"/>
          <w:sz w:val="24"/>
          <w:szCs w:val="24"/>
          <w:lang w:val="en-GB"/>
        </w:rPr>
      </w:pPr>
      <w:r>
        <w:rPr>
          <w:rFonts w:ascii="Arial" w:eastAsia="Times New Roman" w:hAnsi="Arial" w:cs="Arial"/>
          <w:sz w:val="24"/>
          <w:szCs w:val="24"/>
          <w:lang w:val="en-GB"/>
        </w:rPr>
        <w:br w:type="page"/>
      </w:r>
    </w:p>
    <w:p w14:paraId="7B094AD0" w14:textId="4A81C4D5" w:rsidR="00774A33" w:rsidRPr="00774A33" w:rsidRDefault="00774A33" w:rsidP="00774A33">
      <w:pPr>
        <w:widowControl w:val="0"/>
        <w:autoSpaceDE w:val="0"/>
        <w:autoSpaceDN w:val="0"/>
        <w:adjustRightInd w:val="0"/>
        <w:spacing w:after="0" w:line="360" w:lineRule="auto"/>
        <w:rPr>
          <w:rFonts w:ascii="Arial" w:eastAsia="Times New Roman" w:hAnsi="Arial" w:cs="Arial"/>
          <w:sz w:val="24"/>
          <w:szCs w:val="24"/>
          <w:lang w:val="en-GB"/>
        </w:rPr>
      </w:pPr>
      <w:r w:rsidRPr="00774A33">
        <w:rPr>
          <w:rFonts w:ascii="Arial" w:eastAsia="Times New Roman" w:hAnsi="Arial" w:cs="Arial"/>
          <w:sz w:val="24"/>
          <w:szCs w:val="24"/>
          <w:lang w:val="en-GB"/>
        </w:rPr>
        <w:lastRenderedPageBreak/>
        <w:t>Appearances:</w:t>
      </w:r>
    </w:p>
    <w:p w14:paraId="2E88187B" w14:textId="77777777" w:rsidR="00774A33" w:rsidRPr="00774A33" w:rsidRDefault="00774A33" w:rsidP="00774A33">
      <w:pPr>
        <w:widowControl w:val="0"/>
        <w:autoSpaceDE w:val="0"/>
        <w:autoSpaceDN w:val="0"/>
        <w:adjustRightInd w:val="0"/>
        <w:spacing w:after="0" w:line="360" w:lineRule="auto"/>
        <w:rPr>
          <w:rFonts w:ascii="Arial" w:eastAsia="Times New Roman" w:hAnsi="Arial" w:cs="Arial"/>
          <w:sz w:val="24"/>
          <w:szCs w:val="24"/>
          <w:lang w:val="en-GB"/>
        </w:rPr>
      </w:pPr>
    </w:p>
    <w:p w14:paraId="361FF788" w14:textId="2A5E5D4F" w:rsidR="00774A33" w:rsidRPr="00774A33" w:rsidRDefault="00774A33" w:rsidP="00774A33">
      <w:pPr>
        <w:widowControl w:val="0"/>
        <w:tabs>
          <w:tab w:val="left" w:pos="2127"/>
        </w:tabs>
        <w:autoSpaceDE w:val="0"/>
        <w:autoSpaceDN w:val="0"/>
        <w:adjustRightInd w:val="0"/>
        <w:spacing w:after="0" w:line="360" w:lineRule="auto"/>
        <w:jc w:val="both"/>
        <w:rPr>
          <w:rFonts w:ascii="Arial" w:eastAsia="Times New Roman" w:hAnsi="Arial" w:cs="Arial"/>
          <w:sz w:val="24"/>
          <w:szCs w:val="24"/>
          <w:lang w:val="en-GB"/>
        </w:rPr>
      </w:pPr>
      <w:r w:rsidRPr="00774A33">
        <w:rPr>
          <w:rFonts w:ascii="Arial" w:eastAsia="Times New Roman" w:hAnsi="Arial" w:cs="Arial"/>
          <w:sz w:val="24"/>
          <w:szCs w:val="24"/>
          <w:lang w:val="en-GB"/>
        </w:rPr>
        <w:t>For first to third appellants:</w:t>
      </w:r>
      <w:r w:rsidRPr="00774A33">
        <w:rPr>
          <w:rFonts w:ascii="Arial" w:eastAsia="Times New Roman" w:hAnsi="Arial" w:cs="Arial"/>
          <w:sz w:val="24"/>
          <w:szCs w:val="24"/>
          <w:lang w:val="en-GB"/>
        </w:rPr>
        <w:tab/>
      </w:r>
      <w:r w:rsidRPr="00774A33">
        <w:rPr>
          <w:rFonts w:ascii="Arial" w:eastAsia="Times New Roman" w:hAnsi="Arial" w:cs="Arial"/>
          <w:sz w:val="24"/>
          <w:szCs w:val="24"/>
          <w:lang w:val="en-GB"/>
        </w:rPr>
        <w:tab/>
      </w:r>
      <w:r w:rsidR="00F20873">
        <w:rPr>
          <w:rFonts w:ascii="Arial" w:eastAsia="Times New Roman" w:hAnsi="Arial" w:cs="Arial"/>
          <w:sz w:val="24"/>
          <w:szCs w:val="24"/>
          <w:lang w:val="en-GB"/>
        </w:rPr>
        <w:tab/>
      </w:r>
      <w:r w:rsidRPr="00774A33">
        <w:rPr>
          <w:rFonts w:ascii="Arial" w:eastAsia="Times New Roman" w:hAnsi="Arial" w:cs="Arial"/>
          <w:sz w:val="24"/>
          <w:szCs w:val="24"/>
          <w:lang w:val="en-GB"/>
        </w:rPr>
        <w:t>L F Wilkin</w:t>
      </w:r>
    </w:p>
    <w:p w14:paraId="0367F5E0" w14:textId="2EF78D8C" w:rsidR="00774A33" w:rsidRPr="00774A33" w:rsidRDefault="00774A33" w:rsidP="00774A33">
      <w:pPr>
        <w:widowControl w:val="0"/>
        <w:tabs>
          <w:tab w:val="left" w:pos="2127"/>
        </w:tabs>
        <w:autoSpaceDE w:val="0"/>
        <w:autoSpaceDN w:val="0"/>
        <w:adjustRightInd w:val="0"/>
        <w:spacing w:after="0" w:line="360" w:lineRule="auto"/>
        <w:rPr>
          <w:rFonts w:ascii="Arial" w:eastAsia="Times New Roman" w:hAnsi="Arial" w:cs="Arial"/>
          <w:sz w:val="24"/>
          <w:szCs w:val="24"/>
          <w:lang w:val="en-GB"/>
        </w:rPr>
      </w:pPr>
      <w:r w:rsidRPr="00774A33">
        <w:rPr>
          <w:rFonts w:ascii="Arial" w:eastAsia="Times New Roman" w:hAnsi="Arial" w:cs="Arial"/>
          <w:sz w:val="24"/>
          <w:szCs w:val="24"/>
          <w:lang w:val="en-GB"/>
        </w:rPr>
        <w:t>Instructed by:</w:t>
      </w:r>
      <w:r w:rsidRPr="00774A33">
        <w:rPr>
          <w:rFonts w:ascii="Arial" w:eastAsia="Times New Roman" w:hAnsi="Arial" w:cs="Arial"/>
          <w:sz w:val="24"/>
          <w:szCs w:val="24"/>
          <w:lang w:val="en-GB"/>
        </w:rPr>
        <w:tab/>
      </w:r>
      <w:r w:rsidR="00F20873">
        <w:rPr>
          <w:rFonts w:ascii="Arial" w:eastAsia="Times New Roman" w:hAnsi="Arial" w:cs="Arial"/>
          <w:sz w:val="24"/>
          <w:szCs w:val="24"/>
          <w:lang w:val="en-GB"/>
        </w:rPr>
        <w:tab/>
      </w:r>
      <w:r w:rsidR="00F20873">
        <w:rPr>
          <w:rFonts w:ascii="Arial" w:eastAsia="Times New Roman" w:hAnsi="Arial" w:cs="Arial"/>
          <w:sz w:val="24"/>
          <w:szCs w:val="24"/>
          <w:lang w:val="en-GB"/>
        </w:rPr>
        <w:tab/>
      </w:r>
      <w:r w:rsidR="00F20873">
        <w:rPr>
          <w:rFonts w:ascii="Arial" w:eastAsia="Times New Roman" w:hAnsi="Arial" w:cs="Arial"/>
          <w:sz w:val="24"/>
          <w:szCs w:val="24"/>
          <w:lang w:val="en-GB"/>
        </w:rPr>
        <w:tab/>
      </w:r>
      <w:r w:rsidR="00F20873">
        <w:rPr>
          <w:rFonts w:ascii="Arial" w:eastAsia="Times New Roman" w:hAnsi="Arial" w:cs="Arial"/>
          <w:sz w:val="24"/>
          <w:szCs w:val="24"/>
          <w:lang w:val="en-GB"/>
        </w:rPr>
        <w:tab/>
      </w:r>
      <w:r w:rsidRPr="00774A33">
        <w:rPr>
          <w:rFonts w:ascii="Arial" w:eastAsia="Times New Roman" w:hAnsi="Arial" w:cs="Arial"/>
          <w:sz w:val="24"/>
          <w:szCs w:val="24"/>
          <w:lang w:val="en-GB"/>
        </w:rPr>
        <w:t>Meyer and Sarkas, Cape Town</w:t>
      </w:r>
    </w:p>
    <w:p w14:paraId="46504135" w14:textId="137A76A5" w:rsidR="00774A33" w:rsidRPr="00774A33" w:rsidRDefault="00774A33" w:rsidP="00774A33">
      <w:pPr>
        <w:widowControl w:val="0"/>
        <w:tabs>
          <w:tab w:val="left" w:pos="2127"/>
        </w:tabs>
        <w:autoSpaceDE w:val="0"/>
        <w:autoSpaceDN w:val="0"/>
        <w:adjustRightInd w:val="0"/>
        <w:spacing w:after="0" w:line="360" w:lineRule="auto"/>
        <w:ind w:left="3261" w:hanging="3261"/>
        <w:jc w:val="both"/>
        <w:rPr>
          <w:rFonts w:ascii="Arial" w:eastAsia="Times New Roman" w:hAnsi="Arial" w:cs="Arial"/>
          <w:sz w:val="24"/>
          <w:szCs w:val="24"/>
          <w:lang w:val="en-GB"/>
        </w:rPr>
      </w:pPr>
      <w:r w:rsidRPr="00774A33">
        <w:rPr>
          <w:rFonts w:ascii="Arial" w:eastAsia="Times New Roman" w:hAnsi="Arial" w:cs="Arial"/>
          <w:sz w:val="24"/>
          <w:szCs w:val="24"/>
          <w:lang w:val="en-GB"/>
        </w:rPr>
        <w:tab/>
      </w:r>
      <w:r w:rsidR="00F20873">
        <w:rPr>
          <w:rFonts w:ascii="Arial" w:eastAsia="Times New Roman" w:hAnsi="Arial" w:cs="Arial"/>
          <w:sz w:val="24"/>
          <w:szCs w:val="24"/>
          <w:lang w:val="en-GB"/>
        </w:rPr>
        <w:tab/>
      </w:r>
      <w:r w:rsidR="00F20873">
        <w:rPr>
          <w:rFonts w:ascii="Arial" w:eastAsia="Times New Roman" w:hAnsi="Arial" w:cs="Arial"/>
          <w:sz w:val="24"/>
          <w:szCs w:val="24"/>
          <w:lang w:val="en-GB"/>
        </w:rPr>
        <w:tab/>
      </w:r>
      <w:r w:rsidR="00F20873">
        <w:rPr>
          <w:rFonts w:ascii="Arial" w:eastAsia="Times New Roman" w:hAnsi="Arial" w:cs="Arial"/>
          <w:sz w:val="24"/>
          <w:szCs w:val="24"/>
          <w:lang w:val="en-GB"/>
        </w:rPr>
        <w:tab/>
      </w:r>
      <w:r w:rsidRPr="00774A33">
        <w:rPr>
          <w:rFonts w:ascii="Arial" w:eastAsia="Times New Roman" w:hAnsi="Arial" w:cs="Arial"/>
          <w:sz w:val="24"/>
          <w:szCs w:val="24"/>
          <w:lang w:val="en-GB"/>
        </w:rPr>
        <w:t>Claude Reid Attorneys, Bloemfontein</w:t>
      </w:r>
    </w:p>
    <w:p w14:paraId="0FE255E3" w14:textId="77777777" w:rsidR="00774A33" w:rsidRPr="00774A33" w:rsidRDefault="00774A33" w:rsidP="00774A33">
      <w:pPr>
        <w:widowControl w:val="0"/>
        <w:tabs>
          <w:tab w:val="left" w:pos="2127"/>
        </w:tabs>
        <w:autoSpaceDE w:val="0"/>
        <w:autoSpaceDN w:val="0"/>
        <w:adjustRightInd w:val="0"/>
        <w:spacing w:after="0" w:line="360" w:lineRule="auto"/>
        <w:rPr>
          <w:rFonts w:ascii="Arial" w:eastAsia="Times New Roman" w:hAnsi="Arial" w:cs="Arial"/>
          <w:sz w:val="24"/>
          <w:szCs w:val="24"/>
          <w:lang w:val="en-GB"/>
        </w:rPr>
      </w:pPr>
    </w:p>
    <w:p w14:paraId="7905B1D0" w14:textId="51CB3B31" w:rsidR="00774A33" w:rsidRPr="00774A33" w:rsidRDefault="00774A33" w:rsidP="00774A33">
      <w:pPr>
        <w:widowControl w:val="0"/>
        <w:tabs>
          <w:tab w:val="left" w:pos="2127"/>
        </w:tabs>
        <w:autoSpaceDE w:val="0"/>
        <w:autoSpaceDN w:val="0"/>
        <w:adjustRightInd w:val="0"/>
        <w:spacing w:after="0" w:line="360" w:lineRule="auto"/>
        <w:rPr>
          <w:rFonts w:ascii="Arial" w:eastAsia="Times New Roman" w:hAnsi="Arial" w:cs="Arial"/>
          <w:sz w:val="24"/>
          <w:szCs w:val="24"/>
          <w:lang w:val="en-GB"/>
        </w:rPr>
      </w:pPr>
      <w:r w:rsidRPr="00774A33">
        <w:rPr>
          <w:rFonts w:ascii="Arial" w:eastAsia="Times New Roman" w:hAnsi="Arial" w:cs="Arial"/>
          <w:sz w:val="24"/>
          <w:szCs w:val="24"/>
          <w:lang w:val="en-GB"/>
        </w:rPr>
        <w:t>For first to twenty</w:t>
      </w:r>
      <w:r w:rsidR="007B20F3">
        <w:rPr>
          <w:rFonts w:ascii="Arial" w:eastAsia="Times New Roman" w:hAnsi="Arial" w:cs="Arial"/>
          <w:sz w:val="24"/>
          <w:szCs w:val="24"/>
          <w:lang w:val="en-GB"/>
        </w:rPr>
        <w:t>-</w:t>
      </w:r>
      <w:r w:rsidRPr="00774A33">
        <w:rPr>
          <w:rFonts w:ascii="Arial" w:eastAsia="Times New Roman" w:hAnsi="Arial" w:cs="Arial"/>
          <w:sz w:val="24"/>
          <w:szCs w:val="24"/>
          <w:lang w:val="en-GB"/>
        </w:rPr>
        <w:t>sixth respondents:</w:t>
      </w:r>
      <w:r w:rsidRPr="00774A33">
        <w:rPr>
          <w:rFonts w:ascii="Arial" w:eastAsia="Times New Roman" w:hAnsi="Arial" w:cs="Arial"/>
          <w:sz w:val="24"/>
          <w:szCs w:val="24"/>
          <w:lang w:val="en-GB"/>
        </w:rPr>
        <w:tab/>
        <w:t>L X Dzai</w:t>
      </w:r>
    </w:p>
    <w:p w14:paraId="6A837C49" w14:textId="68C52DD5" w:rsidR="00774A33" w:rsidRPr="00774A33" w:rsidRDefault="00774A33" w:rsidP="00F20873">
      <w:pPr>
        <w:widowControl w:val="0"/>
        <w:tabs>
          <w:tab w:val="left" w:pos="2127"/>
        </w:tabs>
        <w:autoSpaceDE w:val="0"/>
        <w:autoSpaceDN w:val="0"/>
        <w:adjustRightInd w:val="0"/>
        <w:spacing w:after="0" w:line="360" w:lineRule="auto"/>
        <w:ind w:left="4320" w:hanging="4320"/>
        <w:rPr>
          <w:rFonts w:ascii="Arial" w:eastAsia="Times New Roman" w:hAnsi="Arial" w:cs="Arial"/>
          <w:sz w:val="24"/>
          <w:szCs w:val="24"/>
          <w:lang w:val="en-GB"/>
        </w:rPr>
      </w:pPr>
      <w:r w:rsidRPr="00774A33">
        <w:rPr>
          <w:rFonts w:ascii="Arial" w:eastAsia="Times New Roman" w:hAnsi="Arial" w:cs="Arial"/>
          <w:sz w:val="24"/>
          <w:szCs w:val="24"/>
          <w:lang w:val="en-GB"/>
        </w:rPr>
        <w:t>Instructed by:</w:t>
      </w:r>
      <w:r w:rsidRPr="00774A33">
        <w:rPr>
          <w:rFonts w:ascii="Arial" w:eastAsia="Times New Roman" w:hAnsi="Arial" w:cs="Arial"/>
          <w:sz w:val="24"/>
          <w:szCs w:val="24"/>
          <w:lang w:val="en-GB"/>
        </w:rPr>
        <w:tab/>
      </w:r>
      <w:r w:rsidR="00F20873">
        <w:rPr>
          <w:rFonts w:ascii="Arial" w:eastAsia="Times New Roman" w:hAnsi="Arial" w:cs="Arial"/>
          <w:sz w:val="24"/>
          <w:szCs w:val="24"/>
          <w:lang w:val="en-GB"/>
        </w:rPr>
        <w:tab/>
      </w:r>
      <w:r w:rsidRPr="00774A33">
        <w:rPr>
          <w:rFonts w:ascii="Arial" w:eastAsia="Times New Roman" w:hAnsi="Arial" w:cs="Arial"/>
          <w:sz w:val="24"/>
          <w:szCs w:val="24"/>
          <w:lang w:val="en-GB"/>
        </w:rPr>
        <w:t>Wakaba &amp; Partners Attorneys, Johannesburg</w:t>
      </w:r>
    </w:p>
    <w:p w14:paraId="5143E2F2" w14:textId="6177897C" w:rsidR="00774A33" w:rsidRPr="00774A33" w:rsidRDefault="00774A33" w:rsidP="00774A33">
      <w:pPr>
        <w:widowControl w:val="0"/>
        <w:tabs>
          <w:tab w:val="left" w:pos="2127"/>
        </w:tabs>
        <w:autoSpaceDE w:val="0"/>
        <w:autoSpaceDN w:val="0"/>
        <w:adjustRightInd w:val="0"/>
        <w:spacing w:after="0" w:line="360" w:lineRule="auto"/>
        <w:rPr>
          <w:rFonts w:ascii="Arial" w:eastAsia="Times New Roman" w:hAnsi="Arial" w:cs="Arial"/>
          <w:sz w:val="24"/>
          <w:szCs w:val="24"/>
          <w:lang w:val="en-GB"/>
        </w:rPr>
      </w:pPr>
      <w:r w:rsidRPr="00774A33">
        <w:rPr>
          <w:rFonts w:ascii="Arial" w:eastAsia="Times New Roman" w:hAnsi="Arial" w:cs="Arial"/>
          <w:sz w:val="24"/>
          <w:szCs w:val="24"/>
          <w:lang w:val="en-GB"/>
        </w:rPr>
        <w:tab/>
      </w:r>
      <w:r w:rsidR="00F20873">
        <w:rPr>
          <w:rFonts w:ascii="Arial" w:eastAsia="Times New Roman" w:hAnsi="Arial" w:cs="Arial"/>
          <w:sz w:val="24"/>
          <w:szCs w:val="24"/>
          <w:lang w:val="en-GB"/>
        </w:rPr>
        <w:tab/>
      </w:r>
      <w:r w:rsidR="00F20873">
        <w:rPr>
          <w:rFonts w:ascii="Arial" w:eastAsia="Times New Roman" w:hAnsi="Arial" w:cs="Arial"/>
          <w:sz w:val="24"/>
          <w:szCs w:val="24"/>
          <w:lang w:val="en-GB"/>
        </w:rPr>
        <w:tab/>
      </w:r>
      <w:r w:rsidR="00F20873">
        <w:rPr>
          <w:rFonts w:ascii="Arial" w:eastAsia="Times New Roman" w:hAnsi="Arial" w:cs="Arial"/>
          <w:sz w:val="24"/>
          <w:szCs w:val="24"/>
          <w:lang w:val="en-GB"/>
        </w:rPr>
        <w:tab/>
      </w:r>
      <w:r w:rsidR="00F20873">
        <w:rPr>
          <w:rFonts w:ascii="Arial" w:eastAsia="Times New Roman" w:hAnsi="Arial" w:cs="Arial"/>
          <w:sz w:val="24"/>
          <w:szCs w:val="24"/>
          <w:lang w:val="en-GB"/>
        </w:rPr>
        <w:tab/>
      </w:r>
      <w:r w:rsidRPr="00774A33">
        <w:rPr>
          <w:rFonts w:ascii="Arial" w:eastAsia="Times New Roman" w:hAnsi="Arial" w:cs="Arial"/>
          <w:sz w:val="24"/>
          <w:szCs w:val="24"/>
          <w:lang w:val="en-GB"/>
        </w:rPr>
        <w:t>Maduba Attorneys, Bloemfontein</w:t>
      </w:r>
    </w:p>
    <w:bookmarkEnd w:id="1"/>
    <w:p w14:paraId="57144D31" w14:textId="77777777" w:rsidR="007B0ED9" w:rsidRDefault="007B0ED9"/>
    <w:sectPr w:rsidR="007B0ED9" w:rsidSect="00F8171D">
      <w:headerReference w:type="even" r:id="rId15"/>
      <w:head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02438" w14:textId="77777777" w:rsidR="00EC5A77" w:rsidRDefault="00EC5A77" w:rsidP="00774A33">
      <w:pPr>
        <w:spacing w:after="0" w:line="240" w:lineRule="auto"/>
      </w:pPr>
      <w:r>
        <w:separator/>
      </w:r>
    </w:p>
  </w:endnote>
  <w:endnote w:type="continuationSeparator" w:id="0">
    <w:p w14:paraId="55698154" w14:textId="77777777" w:rsidR="00EC5A77" w:rsidRDefault="00EC5A77" w:rsidP="0077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A36F5" w14:textId="77777777" w:rsidR="00EC5A77" w:rsidRDefault="00EC5A77" w:rsidP="00774A33">
      <w:pPr>
        <w:spacing w:after="0" w:line="240" w:lineRule="auto"/>
      </w:pPr>
      <w:r>
        <w:separator/>
      </w:r>
    </w:p>
  </w:footnote>
  <w:footnote w:type="continuationSeparator" w:id="0">
    <w:p w14:paraId="22FCFCF6" w14:textId="77777777" w:rsidR="00EC5A77" w:rsidRDefault="00EC5A77" w:rsidP="00774A33">
      <w:pPr>
        <w:spacing w:after="0" w:line="240" w:lineRule="auto"/>
      </w:pPr>
      <w:r>
        <w:continuationSeparator/>
      </w:r>
    </w:p>
  </w:footnote>
  <w:footnote w:id="1">
    <w:p w14:paraId="5C5A0313" w14:textId="5165A382" w:rsidR="00F82524" w:rsidRPr="00F20873" w:rsidRDefault="00F82524" w:rsidP="008C1F2B">
      <w:pPr>
        <w:pStyle w:val="FootnoteText"/>
        <w:jc w:val="both"/>
        <w:rPr>
          <w:rFonts w:ascii="Arial" w:hAnsi="Arial" w:cs="Arial"/>
          <w:lang w:val="en-ZA"/>
        </w:rPr>
      </w:pPr>
      <w:r w:rsidRPr="00F20873">
        <w:rPr>
          <w:rStyle w:val="FootnoteReference"/>
          <w:rFonts w:ascii="Arial" w:hAnsi="Arial" w:cs="Arial"/>
        </w:rPr>
        <w:footnoteRef/>
      </w:r>
      <w:r w:rsidRPr="00F20873">
        <w:rPr>
          <w:rFonts w:ascii="Arial" w:hAnsi="Arial" w:cs="Arial"/>
        </w:rPr>
        <w:t xml:space="preserve"> </w:t>
      </w:r>
      <w:r w:rsidRPr="00F20873">
        <w:rPr>
          <w:rFonts w:ascii="Arial" w:hAnsi="Arial" w:cs="Arial"/>
          <w:i/>
          <w:iCs/>
          <w:lang w:val="en-GB"/>
        </w:rPr>
        <w:t>Port Elizabeth Municipality v Various Occupiers </w:t>
      </w:r>
      <w:hyperlink r:id="rId1" w:tooltip="View Case" w:history="1"/>
      <w:hyperlink r:id="rId2" w:tooltip="View LawCiteRecord" w:history="1">
        <w:r w:rsidRPr="00F20873">
          <w:rPr>
            <w:rStyle w:val="Hyperlink"/>
            <w:rFonts w:ascii="Arial" w:hAnsi="Arial" w:cs="Arial"/>
            <w:color w:val="auto"/>
            <w:u w:val="none"/>
          </w:rPr>
          <w:t>2005 (1) SA 217</w:t>
        </w:r>
      </w:hyperlink>
      <w:r w:rsidRPr="00F20873">
        <w:rPr>
          <w:rFonts w:ascii="Arial" w:hAnsi="Arial" w:cs="Arial"/>
          <w:lang w:val="en-GB"/>
        </w:rPr>
        <w:t> (CC) </w:t>
      </w:r>
      <w:hyperlink r:id="rId3" w:tooltip="View LawCiteRecord" w:history="1">
        <w:r w:rsidRPr="00F20873">
          <w:rPr>
            <w:rStyle w:val="Hyperlink"/>
            <w:rFonts w:ascii="Arial" w:hAnsi="Arial" w:cs="Arial"/>
            <w:color w:val="auto"/>
            <w:u w:val="none"/>
          </w:rPr>
          <w:t>2004 (12) BCLR 1268</w:t>
        </w:r>
      </w:hyperlink>
      <w:r w:rsidRPr="00F20873">
        <w:rPr>
          <w:rFonts w:ascii="Arial" w:hAnsi="Arial" w:cs="Arial"/>
          <w:lang w:val="en-GB"/>
        </w:rPr>
        <w:t> (CC) para 17.</w:t>
      </w:r>
    </w:p>
  </w:footnote>
  <w:footnote w:id="2">
    <w:p w14:paraId="0434E2D9" w14:textId="77777777" w:rsidR="00F82524" w:rsidRPr="00217C6B" w:rsidRDefault="00F82524" w:rsidP="008C1F2B">
      <w:pPr>
        <w:pStyle w:val="FootnoteText"/>
        <w:jc w:val="both"/>
        <w:rPr>
          <w:rFonts w:ascii="Arial" w:hAnsi="Arial" w:cs="Arial"/>
          <w:lang w:val="en-ZA"/>
        </w:rPr>
      </w:pPr>
      <w:r w:rsidRPr="00F20873">
        <w:rPr>
          <w:rStyle w:val="FootnoteReference"/>
          <w:rFonts w:ascii="Arial" w:hAnsi="Arial" w:cs="Arial"/>
        </w:rPr>
        <w:footnoteRef/>
      </w:r>
      <w:r w:rsidRPr="00F20873">
        <w:rPr>
          <w:rFonts w:ascii="Arial" w:hAnsi="Arial" w:cs="Arial"/>
        </w:rPr>
        <w:t xml:space="preserve"> </w:t>
      </w:r>
      <w:r w:rsidRPr="00F20873">
        <w:rPr>
          <w:rFonts w:ascii="Arial" w:hAnsi="Arial" w:cs="Arial"/>
          <w:bCs/>
          <w:i/>
          <w:iCs/>
          <w:lang w:val="en-GB"/>
        </w:rPr>
        <w:t>Molusi and Others v Voges N O and Others</w:t>
      </w:r>
      <w:r w:rsidRPr="00F20873">
        <w:rPr>
          <w:rFonts w:ascii="Arial" w:hAnsi="Arial" w:cs="Arial"/>
          <w:bCs/>
          <w:lang w:val="en-GB"/>
        </w:rPr>
        <w:t xml:space="preserve"> </w:t>
      </w:r>
      <w:hyperlink r:id="rId4" w:tooltip="View LawCiteRecord" w:history="1">
        <w:r w:rsidRPr="00F20873">
          <w:rPr>
            <w:rStyle w:val="Hyperlink"/>
            <w:rFonts w:ascii="Arial" w:hAnsi="Arial" w:cs="Arial"/>
            <w:bCs/>
            <w:color w:val="auto"/>
            <w:u w:val="none"/>
            <w:lang w:val="en-ZA"/>
          </w:rPr>
          <w:t>[2016] ZACC 6</w:t>
        </w:r>
      </w:hyperlink>
      <w:r w:rsidRPr="00F20873">
        <w:rPr>
          <w:rFonts w:ascii="Arial" w:hAnsi="Arial" w:cs="Arial"/>
          <w:bCs/>
          <w:lang w:val="en-GB"/>
        </w:rPr>
        <w:t>; </w:t>
      </w:r>
      <w:hyperlink r:id="rId5" w:tooltip="View LawCiteRecord" w:history="1">
        <w:r w:rsidRPr="00F20873">
          <w:rPr>
            <w:rStyle w:val="Hyperlink"/>
            <w:rFonts w:ascii="Arial" w:hAnsi="Arial" w:cs="Arial"/>
            <w:bCs/>
            <w:color w:val="auto"/>
            <w:u w:val="none"/>
            <w:lang w:val="en-ZA"/>
          </w:rPr>
          <w:t>2016 (3) SA 370</w:t>
        </w:r>
      </w:hyperlink>
      <w:r w:rsidRPr="00F20873">
        <w:rPr>
          <w:rFonts w:ascii="Arial" w:hAnsi="Arial" w:cs="Arial"/>
          <w:bCs/>
          <w:lang w:val="en-GB"/>
        </w:rPr>
        <w:t> (CC) para 39.</w:t>
      </w:r>
    </w:p>
  </w:footnote>
  <w:footnote w:id="3">
    <w:p w14:paraId="5C57261B" w14:textId="74F84904" w:rsidR="00F82524" w:rsidRPr="008E02FE" w:rsidRDefault="00F82524" w:rsidP="008C1F2B">
      <w:pPr>
        <w:pStyle w:val="FootnoteText"/>
        <w:jc w:val="both"/>
        <w:rPr>
          <w:rFonts w:ascii="Arial" w:hAnsi="Arial" w:cs="Arial"/>
          <w:lang w:val="en-ZA"/>
        </w:rPr>
      </w:pPr>
      <w:r w:rsidRPr="008E02FE">
        <w:rPr>
          <w:rStyle w:val="FootnoteReference"/>
          <w:rFonts w:ascii="Arial" w:hAnsi="Arial" w:cs="Arial"/>
        </w:rPr>
        <w:footnoteRef/>
      </w:r>
      <w:r w:rsidRPr="008E02FE">
        <w:rPr>
          <w:rFonts w:ascii="Arial" w:hAnsi="Arial" w:cs="Arial"/>
        </w:rPr>
        <w:t xml:space="preserve"> </w:t>
      </w:r>
      <w:r w:rsidRPr="008E02FE">
        <w:rPr>
          <w:rFonts w:ascii="Arial" w:hAnsi="Arial" w:cs="Arial"/>
          <w:i/>
          <w:iCs/>
          <w:lang w:val="en-ZA"/>
        </w:rPr>
        <w:t>Sterklewies (Pty) Ltd t/a Harrismith Feedlot v Msimanga and Others</w:t>
      </w:r>
      <w:r w:rsidRPr="008E02FE">
        <w:rPr>
          <w:rFonts w:ascii="Arial" w:hAnsi="Arial" w:cs="Arial"/>
          <w:lang w:val="en-ZA"/>
        </w:rPr>
        <w:t xml:space="preserve"> [2012] ZASCA 77; 2012 (5) SA 392 (SCA) para 3. </w:t>
      </w:r>
    </w:p>
  </w:footnote>
  <w:footnote w:id="4">
    <w:p w14:paraId="3466435E" w14:textId="77777777" w:rsidR="00F82524" w:rsidRPr="000042AC" w:rsidRDefault="00F82524" w:rsidP="00774A33">
      <w:pPr>
        <w:pStyle w:val="FootnoteText"/>
        <w:rPr>
          <w:rFonts w:ascii="Arial" w:hAnsi="Arial" w:cs="Arial"/>
          <w:lang w:val="en-ZA"/>
        </w:rPr>
      </w:pPr>
      <w:r w:rsidRPr="000042AC">
        <w:rPr>
          <w:rStyle w:val="FootnoteReference"/>
          <w:rFonts w:ascii="Arial" w:hAnsi="Arial" w:cs="Arial"/>
        </w:rPr>
        <w:footnoteRef/>
      </w:r>
      <w:r w:rsidRPr="000042AC">
        <w:rPr>
          <w:rFonts w:ascii="Arial" w:hAnsi="Arial" w:cs="Arial"/>
        </w:rPr>
        <w:t xml:space="preserve"> </w:t>
      </w:r>
      <w:r w:rsidRPr="000042AC">
        <w:rPr>
          <w:rFonts w:ascii="Arial" w:hAnsi="Arial" w:cs="Arial"/>
          <w:i/>
          <w:iCs/>
          <w:lang w:val="en-GB"/>
        </w:rPr>
        <w:t xml:space="preserve">Plascon-Evans Paints Ltd v Van Riebeeck Paints (Pty) Ltd </w:t>
      </w:r>
      <w:hyperlink r:id="rId6" w:tooltip="View Case" w:history="1">
        <w:r w:rsidRPr="000042AC">
          <w:rPr>
            <w:rStyle w:val="Hyperlink"/>
            <w:rFonts w:ascii="Arial" w:hAnsi="Arial" w:cs="Arial"/>
            <w:color w:val="auto"/>
            <w:u w:val="none"/>
          </w:rPr>
          <w:t>[1984] ZASCA 51</w:t>
        </w:r>
      </w:hyperlink>
      <w:r w:rsidRPr="000042AC">
        <w:rPr>
          <w:rFonts w:ascii="Arial" w:hAnsi="Arial" w:cs="Arial"/>
          <w:lang w:val="en-GB"/>
        </w:rPr>
        <w:t>; </w:t>
      </w:r>
      <w:hyperlink r:id="rId7" w:tooltip="View LawCiteRecord" w:history="1">
        <w:r w:rsidRPr="000042AC">
          <w:rPr>
            <w:rStyle w:val="Hyperlink"/>
            <w:rFonts w:ascii="Arial" w:hAnsi="Arial" w:cs="Arial"/>
            <w:color w:val="auto"/>
            <w:u w:val="none"/>
          </w:rPr>
          <w:t>1984] 2 All SA 366</w:t>
        </w:r>
      </w:hyperlink>
      <w:r w:rsidRPr="000042AC">
        <w:rPr>
          <w:rFonts w:ascii="Arial" w:hAnsi="Arial" w:cs="Arial"/>
          <w:lang w:val="en-GB"/>
        </w:rPr>
        <w:t> (A); </w:t>
      </w:r>
      <w:hyperlink r:id="rId8" w:tooltip="View LawCiteRecord" w:history="1">
        <w:r w:rsidRPr="000042AC">
          <w:rPr>
            <w:rStyle w:val="Hyperlink"/>
            <w:rFonts w:ascii="Arial" w:hAnsi="Arial" w:cs="Arial"/>
            <w:color w:val="auto"/>
            <w:u w:val="none"/>
          </w:rPr>
          <w:t>1984 (3) SA 623</w:t>
        </w:r>
      </w:hyperlink>
      <w:r w:rsidRPr="000042AC">
        <w:rPr>
          <w:rFonts w:ascii="Arial" w:hAnsi="Arial" w:cs="Arial"/>
          <w:lang w:val="en-GB"/>
        </w:rPr>
        <w:t> (A) at 634E-635C.</w:t>
      </w:r>
    </w:p>
  </w:footnote>
  <w:footnote w:id="5">
    <w:p w14:paraId="79AC5228" w14:textId="053885ED" w:rsidR="00F82524" w:rsidRPr="000042AC" w:rsidRDefault="00F82524">
      <w:pPr>
        <w:pStyle w:val="FootnoteText"/>
        <w:rPr>
          <w:rFonts w:ascii="Arial" w:hAnsi="Arial" w:cs="Arial"/>
          <w:lang w:val="en-ZA"/>
        </w:rPr>
      </w:pPr>
      <w:r w:rsidRPr="000042AC">
        <w:rPr>
          <w:rStyle w:val="FootnoteReference"/>
          <w:rFonts w:ascii="Arial" w:hAnsi="Arial" w:cs="Arial"/>
        </w:rPr>
        <w:footnoteRef/>
      </w:r>
      <w:r w:rsidRPr="000042AC">
        <w:rPr>
          <w:rFonts w:ascii="Arial" w:hAnsi="Arial" w:cs="Arial"/>
        </w:rPr>
        <w:t xml:space="preserve"> </w:t>
      </w:r>
      <w:r w:rsidRPr="000042AC">
        <w:rPr>
          <w:rFonts w:ascii="Arial" w:hAnsi="Arial" w:cs="Arial"/>
          <w:i/>
          <w:iCs/>
          <w:lang w:val="en-ZA"/>
        </w:rPr>
        <w:t>Wightman t/a JW Construction v Headfour and Another</w:t>
      </w:r>
      <w:r w:rsidRPr="000042AC">
        <w:rPr>
          <w:rFonts w:ascii="Arial" w:hAnsi="Arial" w:cs="Arial"/>
          <w:lang w:val="en-ZA"/>
        </w:rPr>
        <w:t xml:space="preserve"> [2008] ZASCA 6; 2008 (3) SA 371 (SCA); [2008] 2 All SA 512 (SCA) para 12.</w:t>
      </w:r>
    </w:p>
  </w:footnote>
  <w:footnote w:id="6">
    <w:p w14:paraId="523344BD" w14:textId="77777777" w:rsidR="00F82524" w:rsidRPr="00E857B6" w:rsidRDefault="00F82524" w:rsidP="00774A33">
      <w:pPr>
        <w:pStyle w:val="FootnoteText"/>
        <w:rPr>
          <w:rFonts w:ascii="Arial" w:hAnsi="Arial" w:cs="Arial"/>
          <w:lang w:val="en-ZA"/>
        </w:rPr>
      </w:pPr>
      <w:r w:rsidRPr="00E857B6">
        <w:rPr>
          <w:rStyle w:val="FootnoteReference"/>
          <w:rFonts w:ascii="Arial" w:hAnsi="Arial" w:cs="Arial"/>
        </w:rPr>
        <w:footnoteRef/>
      </w:r>
      <w:bookmarkStart w:id="8" w:name="_Hlk122457513"/>
      <w:r w:rsidRPr="00E857B6">
        <w:rPr>
          <w:rFonts w:ascii="Arial" w:hAnsi="Arial" w:cs="Arial"/>
          <w:i/>
          <w:iCs/>
          <w:lang w:val="en-ZA"/>
        </w:rPr>
        <w:t>Aquarius Platinum (SA) (Pty) Ltd v Bonene and Others</w:t>
      </w:r>
      <w:r w:rsidRPr="00E857B6">
        <w:rPr>
          <w:rFonts w:ascii="Arial" w:hAnsi="Arial" w:cs="Arial"/>
          <w:lang w:val="en-ZA"/>
        </w:rPr>
        <w:t xml:space="preserve"> </w:t>
      </w:r>
      <w:bookmarkEnd w:id="8"/>
      <w:r w:rsidRPr="00E857B6">
        <w:rPr>
          <w:rFonts w:ascii="Arial" w:hAnsi="Arial" w:cs="Arial"/>
          <w:lang w:val="en-ZA"/>
        </w:rPr>
        <w:t>[2020] ZASCA 7; 2020 (5) SA 28 (SCA) para 13.</w:t>
      </w:r>
      <w:r w:rsidRPr="00E857B6">
        <w:rPr>
          <w:rFonts w:ascii="Arial" w:hAnsi="Arial" w:cs="Arial"/>
        </w:rPr>
        <w:t xml:space="preserve"> </w:t>
      </w:r>
    </w:p>
  </w:footnote>
  <w:footnote w:id="7">
    <w:p w14:paraId="13E0ED77" w14:textId="769215C0" w:rsidR="00F82524" w:rsidRPr="00E857B6" w:rsidRDefault="00F82524" w:rsidP="00774A33">
      <w:pPr>
        <w:tabs>
          <w:tab w:val="left" w:pos="-1440"/>
        </w:tabs>
        <w:ind w:right="26"/>
        <w:jc w:val="both"/>
        <w:rPr>
          <w:rFonts w:ascii="Arial" w:hAnsi="Arial" w:cs="Arial"/>
          <w:b/>
          <w:bCs/>
          <w:sz w:val="20"/>
          <w:szCs w:val="20"/>
        </w:rPr>
      </w:pPr>
      <w:r w:rsidRPr="00E857B6">
        <w:rPr>
          <w:rStyle w:val="FootnoteReference"/>
          <w:rFonts w:ascii="Arial" w:hAnsi="Arial" w:cs="Arial"/>
          <w:sz w:val="20"/>
          <w:szCs w:val="20"/>
        </w:rPr>
        <w:footnoteRef/>
      </w:r>
      <w:r w:rsidRPr="00E857B6">
        <w:rPr>
          <w:rFonts w:ascii="Arial" w:hAnsi="Arial" w:cs="Arial"/>
          <w:sz w:val="20"/>
          <w:szCs w:val="20"/>
        </w:rPr>
        <w:t xml:space="preserve">Section </w:t>
      </w:r>
      <w:r>
        <w:rPr>
          <w:rFonts w:ascii="Arial" w:hAnsi="Arial" w:cs="Arial"/>
          <w:sz w:val="20"/>
          <w:szCs w:val="20"/>
        </w:rPr>
        <w:t xml:space="preserve">8 </w:t>
      </w:r>
      <w:r w:rsidRPr="00E857B6">
        <w:rPr>
          <w:rFonts w:ascii="Arial" w:hAnsi="Arial" w:cs="Arial"/>
          <w:sz w:val="20"/>
          <w:szCs w:val="20"/>
        </w:rPr>
        <w:t>provides as follows:</w:t>
      </w:r>
    </w:p>
    <w:p w14:paraId="3702A9CD" w14:textId="77777777" w:rsidR="00F82524" w:rsidRPr="00E857B6" w:rsidRDefault="00F82524" w:rsidP="00774A33">
      <w:pPr>
        <w:tabs>
          <w:tab w:val="left" w:pos="-1440"/>
        </w:tabs>
        <w:ind w:right="26"/>
        <w:jc w:val="both"/>
        <w:rPr>
          <w:rFonts w:ascii="Arial" w:hAnsi="Arial" w:cs="Arial"/>
          <w:sz w:val="20"/>
          <w:szCs w:val="20"/>
        </w:rPr>
      </w:pPr>
      <w:r w:rsidRPr="00E857B6">
        <w:rPr>
          <w:rFonts w:ascii="Arial" w:hAnsi="Arial" w:cs="Arial"/>
          <w:sz w:val="20"/>
          <w:szCs w:val="20"/>
        </w:rPr>
        <w:t>‘8 Termination of right of residence</w:t>
      </w:r>
    </w:p>
    <w:p w14:paraId="7C38E075" w14:textId="77777777" w:rsidR="00F82524" w:rsidRPr="00E857B6" w:rsidRDefault="00F82524" w:rsidP="00774A33">
      <w:pPr>
        <w:tabs>
          <w:tab w:val="left" w:pos="-1440"/>
        </w:tabs>
        <w:ind w:right="26"/>
        <w:jc w:val="both"/>
        <w:rPr>
          <w:rFonts w:ascii="Arial" w:hAnsi="Arial" w:cs="Arial"/>
          <w:sz w:val="20"/>
          <w:szCs w:val="20"/>
        </w:rPr>
      </w:pPr>
      <w:r w:rsidRPr="00E857B6">
        <w:rPr>
          <w:rFonts w:ascii="Arial" w:hAnsi="Arial" w:cs="Arial"/>
          <w:sz w:val="20"/>
          <w:szCs w:val="20"/>
        </w:rPr>
        <w:t>(1) Subject to the provisions of this section, an occupier's right of residence may be terminated on any lawful ground, provided that such termination is just and equitable, having regard to all relevant factors and in particular to-</w:t>
      </w:r>
    </w:p>
    <w:p w14:paraId="2D07D12E" w14:textId="77777777" w:rsidR="00F82524" w:rsidRPr="00E857B6" w:rsidRDefault="00F82524" w:rsidP="00774A33">
      <w:pPr>
        <w:tabs>
          <w:tab w:val="left" w:pos="-1440"/>
        </w:tabs>
        <w:ind w:right="26"/>
        <w:jc w:val="both"/>
        <w:rPr>
          <w:rFonts w:ascii="Arial" w:hAnsi="Arial" w:cs="Arial"/>
          <w:sz w:val="20"/>
          <w:szCs w:val="20"/>
        </w:rPr>
      </w:pPr>
      <w:r w:rsidRPr="00E857B6">
        <w:rPr>
          <w:rFonts w:ascii="Arial" w:hAnsi="Arial" w:cs="Arial"/>
          <w:i/>
          <w:iCs/>
          <w:sz w:val="20"/>
          <w:szCs w:val="20"/>
        </w:rPr>
        <w:t>(a) </w:t>
      </w:r>
      <w:r w:rsidRPr="00E857B6">
        <w:rPr>
          <w:rFonts w:ascii="Arial" w:hAnsi="Arial" w:cs="Arial"/>
          <w:sz w:val="20"/>
          <w:szCs w:val="20"/>
        </w:rPr>
        <w:t>the fairness of any agreement, provision in an agreement, or provision of law on which the owner or person in charge relies;</w:t>
      </w:r>
    </w:p>
    <w:p w14:paraId="1FF0A21C" w14:textId="77777777" w:rsidR="00F82524" w:rsidRPr="00E857B6" w:rsidRDefault="00F82524" w:rsidP="00774A33">
      <w:pPr>
        <w:tabs>
          <w:tab w:val="left" w:pos="-1440"/>
        </w:tabs>
        <w:ind w:right="26"/>
        <w:jc w:val="both"/>
        <w:rPr>
          <w:rFonts w:ascii="Arial" w:hAnsi="Arial" w:cs="Arial"/>
          <w:sz w:val="20"/>
          <w:szCs w:val="20"/>
        </w:rPr>
      </w:pPr>
      <w:r w:rsidRPr="00E857B6">
        <w:rPr>
          <w:rFonts w:ascii="Arial" w:hAnsi="Arial" w:cs="Arial"/>
          <w:i/>
          <w:iCs/>
          <w:sz w:val="20"/>
          <w:szCs w:val="20"/>
        </w:rPr>
        <w:t>(b) </w:t>
      </w:r>
      <w:r w:rsidRPr="00E857B6">
        <w:rPr>
          <w:rFonts w:ascii="Arial" w:hAnsi="Arial" w:cs="Arial"/>
          <w:sz w:val="20"/>
          <w:szCs w:val="20"/>
        </w:rPr>
        <w:t>the conduct of the parties giving rise to the termination;</w:t>
      </w:r>
    </w:p>
    <w:p w14:paraId="6D87E230" w14:textId="77777777" w:rsidR="00F82524" w:rsidRPr="00E857B6" w:rsidRDefault="00F82524" w:rsidP="00774A33">
      <w:pPr>
        <w:tabs>
          <w:tab w:val="left" w:pos="-1440"/>
        </w:tabs>
        <w:ind w:right="26"/>
        <w:jc w:val="both"/>
        <w:rPr>
          <w:rFonts w:ascii="Arial" w:hAnsi="Arial" w:cs="Arial"/>
          <w:sz w:val="20"/>
          <w:szCs w:val="20"/>
        </w:rPr>
      </w:pPr>
      <w:r w:rsidRPr="00E857B6">
        <w:rPr>
          <w:rFonts w:ascii="Arial" w:hAnsi="Arial" w:cs="Arial"/>
          <w:i/>
          <w:iCs/>
          <w:sz w:val="20"/>
          <w:szCs w:val="20"/>
        </w:rPr>
        <w:t>(c) </w:t>
      </w:r>
      <w:r w:rsidRPr="00E857B6">
        <w:rPr>
          <w:rFonts w:ascii="Arial" w:hAnsi="Arial" w:cs="Arial"/>
          <w:sz w:val="20"/>
          <w:szCs w:val="20"/>
        </w:rPr>
        <w:t>the interests of the parties, including the comparative hardship to the owner or person in charge, the occupier concerned, and any other occupier if the right of residence is or is not terminated;</w:t>
      </w:r>
    </w:p>
    <w:p w14:paraId="10FD395C" w14:textId="77777777" w:rsidR="00F82524" w:rsidRPr="00E857B6" w:rsidRDefault="00F82524" w:rsidP="00774A33">
      <w:pPr>
        <w:tabs>
          <w:tab w:val="left" w:pos="-1440"/>
        </w:tabs>
        <w:ind w:right="26"/>
        <w:jc w:val="both"/>
        <w:rPr>
          <w:rFonts w:ascii="Arial" w:hAnsi="Arial" w:cs="Arial"/>
          <w:bCs/>
          <w:sz w:val="20"/>
          <w:szCs w:val="20"/>
        </w:rPr>
      </w:pPr>
      <w:r w:rsidRPr="00E857B6">
        <w:rPr>
          <w:rFonts w:ascii="Arial" w:hAnsi="Arial" w:cs="Arial"/>
          <w:i/>
          <w:iCs/>
          <w:sz w:val="20"/>
          <w:szCs w:val="20"/>
        </w:rPr>
        <w:t>(d) </w:t>
      </w:r>
      <w:r w:rsidRPr="00E857B6">
        <w:rPr>
          <w:rFonts w:ascii="Arial" w:hAnsi="Arial" w:cs="Arial"/>
          <w:sz w:val="20"/>
          <w:szCs w:val="20"/>
        </w:rPr>
        <w:t>the existence of a reasonable expectation of the renewal of the agreement from which the</w:t>
      </w:r>
      <w:r w:rsidRPr="00E857B6">
        <w:rPr>
          <w:rFonts w:ascii="Arial" w:hAnsi="Arial" w:cs="Arial"/>
          <w:bCs/>
          <w:sz w:val="20"/>
          <w:szCs w:val="20"/>
        </w:rPr>
        <w:t xml:space="preserve"> right of residence arises, after the effluxion of its time; and</w:t>
      </w:r>
    </w:p>
    <w:p w14:paraId="5D8E43E1" w14:textId="77777777" w:rsidR="00F82524" w:rsidRPr="00E857B6" w:rsidRDefault="00F82524" w:rsidP="00774A33">
      <w:pPr>
        <w:tabs>
          <w:tab w:val="left" w:pos="-1440"/>
        </w:tabs>
        <w:ind w:right="26"/>
        <w:jc w:val="both"/>
        <w:rPr>
          <w:rFonts w:ascii="Arial" w:hAnsi="Arial" w:cs="Arial"/>
          <w:bCs/>
          <w:sz w:val="20"/>
          <w:szCs w:val="20"/>
        </w:rPr>
      </w:pPr>
      <w:r w:rsidRPr="00E857B6">
        <w:rPr>
          <w:rFonts w:ascii="Arial" w:hAnsi="Arial" w:cs="Arial"/>
          <w:bCs/>
          <w:i/>
          <w:iCs/>
          <w:sz w:val="20"/>
          <w:szCs w:val="20"/>
        </w:rPr>
        <w:t>(e) </w:t>
      </w:r>
      <w:r w:rsidRPr="00E857B6">
        <w:rPr>
          <w:rFonts w:ascii="Arial" w:hAnsi="Arial" w:cs="Arial"/>
          <w:bCs/>
          <w:sz w:val="20"/>
          <w:szCs w:val="20"/>
        </w:rPr>
        <w:t>the fairness of the procedure followed by the owner or person in charge, including whether or not the occupier had or should have been granted an effective opportunity to make representations before the decision was made to terminate the right of residence.</w:t>
      </w:r>
    </w:p>
    <w:p w14:paraId="35CEF730" w14:textId="77777777" w:rsidR="00F82524" w:rsidRPr="00E857B6" w:rsidRDefault="00F82524" w:rsidP="00774A33">
      <w:pPr>
        <w:tabs>
          <w:tab w:val="left" w:pos="-1440"/>
        </w:tabs>
        <w:ind w:right="26"/>
        <w:jc w:val="both"/>
        <w:rPr>
          <w:rFonts w:ascii="Arial" w:hAnsi="Arial" w:cs="Arial"/>
          <w:bCs/>
          <w:sz w:val="20"/>
          <w:szCs w:val="20"/>
        </w:rPr>
      </w:pPr>
      <w:r w:rsidRPr="00E857B6">
        <w:rPr>
          <w:rFonts w:ascii="Arial" w:hAnsi="Arial" w:cs="Arial"/>
          <w:bCs/>
          <w:sz w:val="20"/>
          <w:szCs w:val="20"/>
        </w:rPr>
        <w:t>(2) The right of residence of an occupier who is an employee and whose right of residence arises solely from an employment agreement, may be terminated if the occupier resigns from employment or is dismissed in accordance with the provisions of the </w:t>
      </w:r>
      <w:hyperlink r:id="rId9" w:history="1">
        <w:r w:rsidRPr="00E857B6">
          <w:rPr>
            <w:rStyle w:val="Hyperlink"/>
            <w:rFonts w:ascii="Arial" w:hAnsi="Arial" w:cs="Arial"/>
            <w:bCs/>
            <w:color w:val="auto"/>
            <w:sz w:val="20"/>
            <w:szCs w:val="20"/>
            <w:u w:val="none"/>
          </w:rPr>
          <w:t>Labour Relations Act.</w:t>
        </w:r>
      </w:hyperlink>
    </w:p>
    <w:p w14:paraId="5FEDCE38" w14:textId="77777777" w:rsidR="00F82524" w:rsidRPr="00E857B6" w:rsidRDefault="00EC5A77" w:rsidP="00774A33">
      <w:pPr>
        <w:tabs>
          <w:tab w:val="left" w:pos="-1440"/>
        </w:tabs>
        <w:ind w:right="26"/>
        <w:jc w:val="both"/>
        <w:rPr>
          <w:rFonts w:ascii="Arial" w:hAnsi="Arial" w:cs="Arial"/>
          <w:bCs/>
          <w:sz w:val="20"/>
          <w:szCs w:val="20"/>
        </w:rPr>
      </w:pPr>
      <w:hyperlink r:id="rId10" w:history="1">
        <w:r w:rsidR="00F82524" w:rsidRPr="00E857B6">
          <w:rPr>
            <w:rStyle w:val="Hyperlink"/>
            <w:rFonts w:ascii="Arial" w:hAnsi="Arial" w:cs="Arial"/>
            <w:bCs/>
            <w:color w:val="auto"/>
            <w:sz w:val="20"/>
            <w:szCs w:val="20"/>
            <w:u w:val="none"/>
          </w:rPr>
          <w:t>(3</w:t>
        </w:r>
      </w:hyperlink>
      <w:r w:rsidR="00F82524" w:rsidRPr="00E857B6">
        <w:rPr>
          <w:rFonts w:ascii="Arial" w:hAnsi="Arial" w:cs="Arial"/>
          <w:bCs/>
          <w:sz w:val="20"/>
          <w:szCs w:val="20"/>
        </w:rPr>
        <w:t>) Any dispute over whether an occupier's employment has terminated as contemplated in subsection (2), shall be dealt with in accordance with the provisions of the </w:t>
      </w:r>
      <w:hyperlink r:id="rId11" w:history="1">
        <w:r w:rsidR="00F82524" w:rsidRPr="00E857B6">
          <w:rPr>
            <w:rStyle w:val="Hyperlink"/>
            <w:rFonts w:ascii="Arial" w:hAnsi="Arial" w:cs="Arial"/>
            <w:bCs/>
            <w:color w:val="auto"/>
            <w:sz w:val="20"/>
            <w:szCs w:val="20"/>
            <w:u w:val="none"/>
          </w:rPr>
          <w:t>Labour Relations Act, and</w:t>
        </w:r>
      </w:hyperlink>
      <w:r w:rsidR="00F82524" w:rsidRPr="00E857B6">
        <w:rPr>
          <w:rFonts w:ascii="Arial" w:hAnsi="Arial" w:cs="Arial"/>
          <w:bCs/>
          <w:sz w:val="20"/>
          <w:szCs w:val="20"/>
        </w:rPr>
        <w:t> the termination shall take effect when any dispute over the termination has been determined in accordance with that Act.</w:t>
      </w:r>
    </w:p>
    <w:p w14:paraId="410D15C2" w14:textId="4A196674" w:rsidR="00F82524" w:rsidRDefault="00F82524" w:rsidP="00774A33">
      <w:pPr>
        <w:pStyle w:val="FootnoteText"/>
        <w:jc w:val="both"/>
        <w:rPr>
          <w:rFonts w:ascii="Arial" w:hAnsi="Arial" w:cs="Arial"/>
          <w:lang w:val="en-GB"/>
        </w:rPr>
      </w:pPr>
      <w:r w:rsidRPr="00E857B6">
        <w:rPr>
          <w:rFonts w:ascii="Arial" w:hAnsi="Arial" w:cs="Arial"/>
        </w:rPr>
        <w:t xml:space="preserve"> </w:t>
      </w:r>
      <w:r w:rsidRPr="00E857B6">
        <w:rPr>
          <w:rFonts w:ascii="Arial" w:hAnsi="Arial" w:cs="Arial"/>
          <w:lang w:val="en-GB"/>
        </w:rPr>
        <w:t xml:space="preserve">(4) The right of residence of an occupier who has resided on the land in question or any other land belonging to the owner for 10 years and— (a) has reached the age of 60 years; or (b) is an employee or former employee of the owner or person in charge, and as a result of ill health. injury or disability is unable to supply Iabour to the owner 45 or person in charge, may not be terminated unless that occupier has committed a breach contemplated in section 10( 1)(a), (b) or (c): Provided that for the purposes of this subsection, the mere refusal or failure to provide Iabour shall not constitute such a breach. </w:t>
      </w:r>
    </w:p>
    <w:p w14:paraId="4B7C4077" w14:textId="77777777" w:rsidR="00F82524" w:rsidRPr="00E857B6" w:rsidRDefault="00F82524" w:rsidP="00774A33">
      <w:pPr>
        <w:pStyle w:val="FootnoteText"/>
        <w:jc w:val="both"/>
        <w:rPr>
          <w:rFonts w:ascii="Arial" w:hAnsi="Arial" w:cs="Arial"/>
          <w:lang w:val="en-GB"/>
        </w:rPr>
      </w:pPr>
    </w:p>
    <w:p w14:paraId="2E087E08" w14:textId="78C1E447" w:rsidR="00F82524" w:rsidRDefault="00F82524" w:rsidP="00774A33">
      <w:pPr>
        <w:pStyle w:val="FootnoteText"/>
        <w:jc w:val="both"/>
        <w:rPr>
          <w:rFonts w:ascii="Arial" w:hAnsi="Arial" w:cs="Arial"/>
          <w:lang w:val="en-GB"/>
        </w:rPr>
      </w:pPr>
      <w:r w:rsidRPr="00E857B6">
        <w:rPr>
          <w:rFonts w:ascii="Arial" w:hAnsi="Arial" w:cs="Arial"/>
          <w:lang w:val="en-GB"/>
        </w:rPr>
        <w:t>(5) On the death of an occupier contemplated in subsection (4), the right of residence 50 of an occupier who was his or her spouse or dependant may be terminated only on 12 calendar months’ written notice to leave the land, unless such a spouse or dependant has committed a breach contemplated in section 10(1).</w:t>
      </w:r>
    </w:p>
    <w:p w14:paraId="415F69D6" w14:textId="77777777" w:rsidR="00F82524" w:rsidRPr="00E857B6" w:rsidRDefault="00F82524" w:rsidP="00774A33">
      <w:pPr>
        <w:pStyle w:val="FootnoteText"/>
        <w:jc w:val="both"/>
        <w:rPr>
          <w:rFonts w:ascii="Arial" w:hAnsi="Arial" w:cs="Arial"/>
          <w:lang w:val="en-GB"/>
        </w:rPr>
      </w:pPr>
    </w:p>
    <w:p w14:paraId="16D7C87C" w14:textId="046BFBE8" w:rsidR="00F82524" w:rsidRDefault="00F82524" w:rsidP="00774A33">
      <w:pPr>
        <w:pStyle w:val="FootnoteText"/>
        <w:jc w:val="both"/>
        <w:rPr>
          <w:rFonts w:ascii="Arial" w:hAnsi="Arial" w:cs="Arial"/>
        </w:rPr>
      </w:pPr>
      <w:r w:rsidRPr="00E857B6">
        <w:rPr>
          <w:rFonts w:ascii="Arial" w:hAnsi="Arial" w:cs="Arial"/>
        </w:rPr>
        <w:t xml:space="preserve">(6) Any termination of the right of residence of an occupier to prevent the occupier from acquiring rights in terms of this section, shall be void. </w:t>
      </w:r>
    </w:p>
    <w:p w14:paraId="3DAB997F" w14:textId="77777777" w:rsidR="00F82524" w:rsidRPr="00E857B6" w:rsidRDefault="00F82524" w:rsidP="00774A33">
      <w:pPr>
        <w:pStyle w:val="FootnoteText"/>
        <w:jc w:val="both"/>
        <w:rPr>
          <w:rFonts w:ascii="Arial" w:hAnsi="Arial" w:cs="Arial"/>
        </w:rPr>
      </w:pPr>
    </w:p>
    <w:p w14:paraId="6F32ECC6" w14:textId="77777777" w:rsidR="00F82524" w:rsidRPr="00E857B6" w:rsidRDefault="00F82524" w:rsidP="00774A33">
      <w:pPr>
        <w:pStyle w:val="FootnoteText"/>
        <w:jc w:val="both"/>
        <w:rPr>
          <w:rFonts w:ascii="Arial" w:hAnsi="Arial" w:cs="Arial"/>
          <w:lang w:val="en-ZA"/>
        </w:rPr>
      </w:pPr>
      <w:r w:rsidRPr="00E857B6">
        <w:rPr>
          <w:rFonts w:ascii="Arial" w:hAnsi="Arial" w:cs="Arial"/>
        </w:rPr>
        <w:t>(7) If an occupier’s right to residence has been terminated in terms of this section, or the occupier is a person who has a right of residence in terms of section 8(5)— (a) the occupier and the owner or person in charge may agree that the terms and conditions under which the occupier resided on the land prior to such termination shall apply to any period between the date of termination and the date of the eviction of the occupier; or (b) the owner or person in charge may institute proceedings in a court for a determination of reasonable terms and conditions of further residence, having regard to the income of all the occupiers in the household.’</w:t>
      </w:r>
    </w:p>
  </w:footnote>
  <w:footnote w:id="8">
    <w:p w14:paraId="3B8AD5BE" w14:textId="68F1B427" w:rsidR="00F82524" w:rsidRPr="00A94FA3" w:rsidRDefault="00F82524" w:rsidP="00A94FA3">
      <w:pPr>
        <w:pStyle w:val="FootnoteText"/>
        <w:jc w:val="both"/>
        <w:rPr>
          <w:rFonts w:ascii="Arial" w:hAnsi="Arial" w:cs="Arial"/>
          <w:lang w:val="en-ZA"/>
        </w:rPr>
      </w:pPr>
      <w:r w:rsidRPr="00A94FA3">
        <w:rPr>
          <w:rStyle w:val="FootnoteReference"/>
          <w:rFonts w:ascii="Arial" w:hAnsi="Arial" w:cs="Arial"/>
        </w:rPr>
        <w:footnoteRef/>
      </w:r>
      <w:r w:rsidRPr="00A94FA3">
        <w:rPr>
          <w:rFonts w:ascii="Arial" w:hAnsi="Arial" w:cs="Arial"/>
        </w:rPr>
        <w:t xml:space="preserve"> In terms of s 1 of the Extension of Security of Tenure Act (ESTA), </w:t>
      </w:r>
      <w:r w:rsidRPr="00A94FA3">
        <w:rPr>
          <w:rFonts w:ascii="Arial" w:hAnsi="Arial" w:cs="Arial"/>
          <w:lang w:val="en-ZA"/>
        </w:rPr>
        <w:t>‘o</w:t>
      </w:r>
      <w:r w:rsidRPr="00A94FA3">
        <w:rPr>
          <w:rFonts w:ascii="Arial" w:hAnsi="Arial" w:cs="Arial"/>
        </w:rPr>
        <w:t>ccupier’ means ‘a person residing on land which belongs to another person, and who has or on 4 February 1997 or thereafter had consent or another right in law to do so, but excluding—</w:t>
      </w:r>
    </w:p>
    <w:p w14:paraId="5836A5ED" w14:textId="77777777" w:rsidR="00F82524" w:rsidRPr="00A94FA3" w:rsidRDefault="00F82524" w:rsidP="00A94FA3">
      <w:pPr>
        <w:spacing w:after="0" w:line="240" w:lineRule="auto"/>
        <w:jc w:val="both"/>
        <w:rPr>
          <w:rFonts w:ascii="Arial" w:eastAsia="Times New Roman" w:hAnsi="Arial" w:cs="Arial"/>
          <w:sz w:val="20"/>
          <w:szCs w:val="20"/>
        </w:rPr>
      </w:pPr>
      <w:r w:rsidRPr="00A94FA3">
        <w:rPr>
          <w:rFonts w:ascii="Arial" w:eastAsia="Times New Roman" w:hAnsi="Arial" w:cs="Arial"/>
          <w:sz w:val="20"/>
          <w:szCs w:val="20"/>
          <w:lang w:val="en-GB"/>
        </w:rPr>
        <w:t xml:space="preserve">(a) . . . </w:t>
      </w:r>
    </w:p>
    <w:p w14:paraId="43884F03" w14:textId="77777777" w:rsidR="00F82524" w:rsidRPr="00A94FA3" w:rsidRDefault="00F82524" w:rsidP="00A94FA3">
      <w:pPr>
        <w:spacing w:after="0" w:line="240" w:lineRule="auto"/>
        <w:jc w:val="both"/>
        <w:rPr>
          <w:rFonts w:ascii="Arial" w:eastAsia="Times New Roman" w:hAnsi="Arial" w:cs="Arial"/>
          <w:sz w:val="20"/>
          <w:szCs w:val="20"/>
        </w:rPr>
      </w:pPr>
      <w:r w:rsidRPr="00A94FA3">
        <w:rPr>
          <w:rFonts w:ascii="Arial" w:eastAsia="Times New Roman" w:hAnsi="Arial" w:cs="Arial"/>
          <w:i/>
          <w:sz w:val="20"/>
          <w:szCs w:val="20"/>
          <w:lang w:val="en-GB"/>
        </w:rPr>
        <w:t>(b)</w:t>
      </w:r>
      <w:r w:rsidRPr="00A94FA3">
        <w:rPr>
          <w:rFonts w:ascii="Arial" w:eastAsia="Times New Roman" w:hAnsi="Arial" w:cs="Arial"/>
          <w:sz w:val="20"/>
          <w:szCs w:val="20"/>
          <w:lang w:val="en-GB"/>
        </w:rPr>
        <w:t xml:space="preserve"> a person using or intending to use the land in question mainly for industrial, mining, commercial or commercial farming purposes, but including a person who works the land himself or herself and does not employ any person who is not a member of his or her family; and</w:t>
      </w:r>
    </w:p>
    <w:p w14:paraId="5F4BFEBA" w14:textId="77777777" w:rsidR="00F82524" w:rsidRPr="00A94FA3" w:rsidRDefault="00F82524" w:rsidP="00A94FA3">
      <w:pPr>
        <w:spacing w:after="0" w:line="240" w:lineRule="auto"/>
        <w:jc w:val="both"/>
        <w:rPr>
          <w:rFonts w:ascii="Arial" w:eastAsia="Times New Roman" w:hAnsi="Arial" w:cs="Arial"/>
          <w:sz w:val="20"/>
          <w:szCs w:val="20"/>
        </w:rPr>
      </w:pPr>
      <w:r w:rsidRPr="00A94FA3">
        <w:rPr>
          <w:rFonts w:ascii="Arial" w:eastAsia="Times New Roman" w:hAnsi="Arial" w:cs="Arial"/>
          <w:sz w:val="20"/>
          <w:szCs w:val="20"/>
          <w:lang w:val="en-GB"/>
        </w:rPr>
        <w:t xml:space="preserve">(c) a person who has an income in excess of the prescribed amount.’ </w:t>
      </w:r>
    </w:p>
    <w:p w14:paraId="0FB25CD2" w14:textId="01782135" w:rsidR="00F82524" w:rsidRPr="00A94FA3" w:rsidRDefault="00F82524" w:rsidP="00A94FA3">
      <w:pPr>
        <w:pStyle w:val="FootnoteText"/>
        <w:jc w:val="both"/>
        <w:rPr>
          <w:rFonts w:ascii="Arial" w:hAnsi="Arial" w:cs="Arial"/>
          <w:lang w:val="en-ZA"/>
        </w:rPr>
      </w:pPr>
    </w:p>
    <w:p w14:paraId="000685A7" w14:textId="6FDFE0CE" w:rsidR="00F82524" w:rsidRPr="00CE756F" w:rsidRDefault="00F82524" w:rsidP="00774A33">
      <w:pPr>
        <w:pStyle w:val="FootnoteText"/>
        <w:jc w:val="both"/>
        <w:rPr>
          <w:rFonts w:ascii="Arial" w:hAnsi="Arial" w:cs="Arial"/>
          <w:lang w:val="en-ZA"/>
        </w:rPr>
      </w:pPr>
    </w:p>
  </w:footnote>
  <w:footnote w:id="9">
    <w:p w14:paraId="1541F7BD" w14:textId="6D6EEB22" w:rsidR="00F82524" w:rsidRPr="004700DD" w:rsidRDefault="00F82524" w:rsidP="00D200BB">
      <w:pPr>
        <w:pStyle w:val="FootnoteText"/>
        <w:jc w:val="both"/>
        <w:rPr>
          <w:rFonts w:ascii="Arial" w:hAnsi="Arial" w:cs="Arial"/>
          <w:lang w:val="en-ZA"/>
        </w:rPr>
      </w:pPr>
      <w:r w:rsidRPr="00CE756F">
        <w:rPr>
          <w:rStyle w:val="FootnoteReference"/>
          <w:rFonts w:ascii="Arial" w:hAnsi="Arial" w:cs="Arial"/>
        </w:rPr>
        <w:footnoteRef/>
      </w:r>
      <w:r w:rsidRPr="00CE756F">
        <w:rPr>
          <w:rFonts w:ascii="Arial" w:hAnsi="Arial" w:cs="Arial"/>
        </w:rPr>
        <w:t xml:space="preserve"> </w:t>
      </w:r>
      <w:r w:rsidRPr="00E22DAE">
        <w:rPr>
          <w:rFonts w:ascii="Arial" w:hAnsi="Arial" w:cs="Arial"/>
          <w:i/>
          <w:iCs/>
        </w:rPr>
        <w:t>Rail Commuters Action Group v Transnet Limited t/a Metrorail</w:t>
      </w:r>
      <w:r w:rsidRPr="00CE756F">
        <w:rPr>
          <w:rFonts w:ascii="Arial" w:hAnsi="Arial" w:cs="Arial"/>
        </w:rPr>
        <w:t xml:space="preserve"> </w:t>
      </w:r>
      <w:r w:rsidRPr="00CE756F">
        <w:rPr>
          <w:rFonts w:ascii="Arial" w:hAnsi="Arial" w:cs="Arial"/>
          <w:lang w:val="en-ZA"/>
        </w:rPr>
        <w:t>2005 (2) SA 359 (CC)</w:t>
      </w:r>
      <w:r>
        <w:rPr>
          <w:rFonts w:ascii="Arial" w:hAnsi="Arial" w:cs="Arial"/>
          <w:lang w:val="en-ZA"/>
        </w:rPr>
        <w:t xml:space="preserve">; </w:t>
      </w:r>
      <w:r w:rsidRPr="000572C7">
        <w:rPr>
          <w:rFonts w:ascii="Arial" w:hAnsi="Arial" w:cs="Arial"/>
          <w:lang w:val="en-ZA"/>
        </w:rPr>
        <w:t>2005 (4) BCLR 301 (CC)</w:t>
      </w:r>
      <w:r>
        <w:rPr>
          <w:rFonts w:ascii="Arial" w:hAnsi="Arial" w:cs="Arial"/>
          <w:lang w:val="en-ZA"/>
        </w:rPr>
        <w:t xml:space="preserve"> </w:t>
      </w:r>
      <w:r w:rsidRPr="00CE756F">
        <w:rPr>
          <w:rFonts w:ascii="Arial" w:hAnsi="Arial" w:cs="Arial"/>
          <w:lang w:val="en-ZA"/>
        </w:rPr>
        <w:t>para 53.</w:t>
      </w:r>
    </w:p>
  </w:footnote>
  <w:footnote w:id="10">
    <w:p w14:paraId="3888CF93" w14:textId="77777777" w:rsidR="00F82524" w:rsidRPr="007537C6" w:rsidRDefault="00F82524" w:rsidP="009C19E6">
      <w:pPr>
        <w:pStyle w:val="FootnoteText"/>
        <w:rPr>
          <w:rFonts w:ascii="Arial" w:hAnsi="Arial" w:cs="Arial"/>
          <w:lang w:val="en-ZA"/>
        </w:rPr>
      </w:pPr>
      <w:r w:rsidRPr="007537C6">
        <w:rPr>
          <w:rStyle w:val="FootnoteReference"/>
          <w:rFonts w:ascii="Arial" w:hAnsi="Arial" w:cs="Arial"/>
        </w:rPr>
        <w:footnoteRef/>
      </w:r>
      <w:r w:rsidRPr="007537C6">
        <w:rPr>
          <w:rFonts w:ascii="Arial" w:hAnsi="Arial" w:cs="Arial"/>
        </w:rPr>
        <w:t xml:space="preserve"> </w:t>
      </w:r>
      <w:r w:rsidRPr="007537C6">
        <w:rPr>
          <w:rFonts w:ascii="Arial" w:hAnsi="Arial" w:cs="Arial"/>
          <w:bCs/>
          <w:i/>
          <w:iCs/>
          <w:lang w:val="en-GB"/>
        </w:rPr>
        <w:t>Snyders and others v de Jager and Others</w:t>
      </w:r>
      <w:r w:rsidRPr="007537C6">
        <w:rPr>
          <w:rFonts w:ascii="Arial" w:hAnsi="Arial" w:cs="Arial"/>
          <w:lang w:val="en-ZA"/>
        </w:rPr>
        <w:t xml:space="preserve"> </w:t>
      </w:r>
      <w:r w:rsidRPr="007537C6">
        <w:rPr>
          <w:rFonts w:ascii="Arial" w:hAnsi="Arial" w:cs="Arial"/>
        </w:rPr>
        <w:t>[2016] ZACC 55; 2017 (3) SA 545 (CC)</w:t>
      </w:r>
    </w:p>
  </w:footnote>
  <w:footnote w:id="11">
    <w:p w14:paraId="007898CE" w14:textId="77777777" w:rsidR="00F82524" w:rsidRPr="00134472" w:rsidRDefault="00F82524" w:rsidP="0055586E">
      <w:pPr>
        <w:pStyle w:val="FootnoteText"/>
        <w:rPr>
          <w:rFonts w:ascii="Arial" w:hAnsi="Arial" w:cs="Arial"/>
          <w:lang w:val="en-ZA"/>
        </w:rPr>
      </w:pPr>
      <w:r w:rsidRPr="007537C6">
        <w:rPr>
          <w:rStyle w:val="FootnoteReference"/>
          <w:rFonts w:ascii="Arial" w:hAnsi="Arial" w:cs="Arial"/>
        </w:rPr>
        <w:footnoteRef/>
      </w:r>
      <w:r w:rsidRPr="007537C6">
        <w:rPr>
          <w:rFonts w:ascii="Arial" w:hAnsi="Arial" w:cs="Arial"/>
        </w:rPr>
        <w:t xml:space="preserve"> </w:t>
      </w:r>
      <w:r w:rsidRPr="007537C6">
        <w:rPr>
          <w:rFonts w:ascii="Arial" w:hAnsi="Arial" w:cs="Arial"/>
          <w:i/>
          <w:iCs/>
          <w:lang w:val="en-ZA"/>
        </w:rPr>
        <w:t>Mkangeli and Others v Joubert and Others</w:t>
      </w:r>
      <w:r w:rsidRPr="007537C6">
        <w:rPr>
          <w:rFonts w:ascii="Arial" w:hAnsi="Arial" w:cs="Arial"/>
          <w:lang w:val="en-ZA"/>
        </w:rPr>
        <w:t xml:space="preserve"> [2002] ZASCA 13; [2002] 2 All SA 473 (A); 2002 (4) SA 36 (SCA) paras 12-13.</w:t>
      </w:r>
    </w:p>
  </w:footnote>
  <w:footnote w:id="12">
    <w:p w14:paraId="113485B2" w14:textId="77777777" w:rsidR="00F82524" w:rsidRPr="00134472" w:rsidRDefault="00F82524" w:rsidP="0055586E">
      <w:pPr>
        <w:pStyle w:val="FootnoteText"/>
        <w:rPr>
          <w:rFonts w:ascii="Arial" w:hAnsi="Arial" w:cs="Arial"/>
          <w:lang w:val="en-ZA"/>
        </w:rPr>
      </w:pPr>
      <w:r w:rsidRPr="00134472">
        <w:rPr>
          <w:rStyle w:val="FootnoteReference"/>
          <w:rFonts w:ascii="Arial" w:hAnsi="Arial" w:cs="Arial"/>
        </w:rPr>
        <w:footnoteRef/>
      </w:r>
      <w:r w:rsidRPr="00134472">
        <w:rPr>
          <w:rFonts w:ascii="Arial" w:hAnsi="Arial" w:cs="Arial"/>
        </w:rPr>
        <w:t xml:space="preserve"> </w:t>
      </w:r>
      <w:r w:rsidRPr="00134472">
        <w:rPr>
          <w:rFonts w:ascii="Arial" w:hAnsi="Arial" w:cs="Arial"/>
          <w:lang w:val="en-ZA"/>
        </w:rPr>
        <w:t>Ibid.</w:t>
      </w:r>
    </w:p>
  </w:footnote>
  <w:footnote w:id="13">
    <w:p w14:paraId="0D506978" w14:textId="1B991F73" w:rsidR="00F82524" w:rsidRPr="00533838" w:rsidRDefault="00F82524" w:rsidP="00533838">
      <w:pPr>
        <w:pStyle w:val="FootnoteText"/>
        <w:rPr>
          <w:rFonts w:ascii="Arial" w:hAnsi="Arial" w:cs="Arial"/>
        </w:rPr>
      </w:pPr>
      <w:r w:rsidRPr="003C1BC8">
        <w:rPr>
          <w:rStyle w:val="FootnoteReference"/>
          <w:rFonts w:ascii="Arial" w:hAnsi="Arial" w:cs="Arial"/>
        </w:rPr>
        <w:footnoteRef/>
      </w:r>
      <w:r w:rsidRPr="003C1BC8">
        <w:rPr>
          <w:rFonts w:ascii="Arial" w:hAnsi="Arial" w:cs="Arial"/>
        </w:rPr>
        <w:t xml:space="preserve"> </w:t>
      </w:r>
      <w:r w:rsidRPr="003C1BC8">
        <w:rPr>
          <w:rFonts w:ascii="Arial" w:hAnsi="Arial" w:cs="Arial"/>
          <w:bCs/>
          <w:i/>
          <w:iCs/>
          <w:lang w:val="en-ZA"/>
        </w:rPr>
        <w:t>Nimble Investments (Pty) Ltd v Malan</w:t>
      </w:r>
      <w:r w:rsidRPr="003C1BC8">
        <w:rPr>
          <w:rFonts w:ascii="Arial" w:hAnsi="Arial" w:cs="Arial"/>
          <w:i/>
          <w:iCs/>
          <w:lang w:val="en-ZA"/>
        </w:rPr>
        <w:t xml:space="preserve"> </w:t>
      </w:r>
      <w:r w:rsidRPr="00533838">
        <w:rPr>
          <w:rFonts w:ascii="Arial" w:hAnsi="Arial" w:cs="Arial"/>
        </w:rPr>
        <w:t xml:space="preserve">[2021] ZASCA 129; [2021] 4 All SA 672 (SCA). </w:t>
      </w:r>
    </w:p>
    <w:p w14:paraId="42A3B962" w14:textId="60EADAE3" w:rsidR="00F82524" w:rsidRPr="003C1BC8" w:rsidRDefault="00F82524" w:rsidP="00493044">
      <w:pPr>
        <w:pStyle w:val="FootnoteText"/>
        <w:rPr>
          <w:rFonts w:ascii="Arial" w:hAnsi="Arial" w:cs="Arial"/>
          <w:lang w:val="en-ZA"/>
        </w:rPr>
      </w:pPr>
      <w:r w:rsidRPr="003C1BC8">
        <w:rPr>
          <w:rFonts w:ascii="Arial" w:hAnsi="Arial" w:cs="Arial"/>
          <w:lang w:val="en-ZA"/>
        </w:rPr>
        <w:t>para 46-47.</w:t>
      </w:r>
    </w:p>
  </w:footnote>
  <w:footnote w:id="14">
    <w:p w14:paraId="573FCCE4" w14:textId="77777777" w:rsidR="00F82524" w:rsidRPr="000572C7" w:rsidRDefault="00F82524" w:rsidP="004A3FB3">
      <w:pPr>
        <w:pStyle w:val="FootnoteText"/>
        <w:rPr>
          <w:rFonts w:ascii="Arial" w:hAnsi="Arial" w:cs="Arial"/>
          <w:lang w:val="en-ZA"/>
        </w:rPr>
      </w:pPr>
      <w:r w:rsidRPr="000572C7">
        <w:rPr>
          <w:rStyle w:val="FootnoteReference"/>
          <w:rFonts w:ascii="Arial" w:hAnsi="Arial" w:cs="Arial"/>
        </w:rPr>
        <w:footnoteRef/>
      </w:r>
      <w:r w:rsidRPr="000572C7">
        <w:rPr>
          <w:rFonts w:ascii="Arial" w:hAnsi="Arial" w:cs="Arial"/>
        </w:rPr>
        <w:t xml:space="preserve"> </w:t>
      </w:r>
      <w:r w:rsidRPr="000572C7">
        <w:rPr>
          <w:rFonts w:ascii="Arial" w:hAnsi="Arial" w:cs="Arial"/>
          <w:i/>
          <w:iCs/>
          <w:lang w:val="en-GB"/>
        </w:rPr>
        <w:t>Ovenstone Farms (Pty) Ltd v Persent and Another</w:t>
      </w:r>
      <w:r w:rsidRPr="000572C7">
        <w:rPr>
          <w:rFonts w:ascii="Arial" w:hAnsi="Arial" w:cs="Arial"/>
          <w:lang w:val="en-GB"/>
        </w:rPr>
        <w:t> [2002] ZALCC 31.</w:t>
      </w:r>
    </w:p>
  </w:footnote>
  <w:footnote w:id="15">
    <w:p w14:paraId="30BE2D93" w14:textId="1514D07E" w:rsidR="00F82524" w:rsidRPr="00137E1B" w:rsidRDefault="00F82524" w:rsidP="00137E1B">
      <w:pPr>
        <w:pStyle w:val="FootnoteText"/>
        <w:jc w:val="both"/>
        <w:rPr>
          <w:rFonts w:ascii="Arial" w:hAnsi="Arial" w:cs="Arial"/>
          <w:lang w:val="en-ZA"/>
        </w:rPr>
      </w:pPr>
      <w:r w:rsidRPr="00705618">
        <w:rPr>
          <w:rStyle w:val="FootnoteReference"/>
          <w:rFonts w:ascii="Arial" w:hAnsi="Arial" w:cs="Arial"/>
        </w:rPr>
        <w:footnoteRef/>
      </w:r>
      <w:r w:rsidRPr="00705618">
        <w:rPr>
          <w:rFonts w:ascii="Arial" w:hAnsi="Arial" w:cs="Arial"/>
        </w:rPr>
        <w:t xml:space="preserve"> </w:t>
      </w:r>
      <w:r w:rsidRPr="00705618">
        <w:rPr>
          <w:rFonts w:ascii="Arial" w:hAnsi="Arial" w:cs="Arial"/>
          <w:i/>
          <w:iCs/>
        </w:rPr>
        <w:t>Rail Commuters Action Group v Transnet Limited t/a Metrorail</w:t>
      </w:r>
      <w:r w:rsidRPr="00705618">
        <w:rPr>
          <w:rFonts w:ascii="Arial" w:hAnsi="Arial" w:cs="Arial"/>
        </w:rPr>
        <w:t xml:space="preserve"> </w:t>
      </w:r>
      <w:r w:rsidRPr="00705618">
        <w:rPr>
          <w:rFonts w:ascii="Arial" w:hAnsi="Arial" w:cs="Arial"/>
          <w:lang w:val="en-ZA"/>
        </w:rPr>
        <w:t>2005 (2) SA 359 (CC) fn 5 above para 53.</w:t>
      </w:r>
    </w:p>
  </w:footnote>
  <w:footnote w:id="16">
    <w:p w14:paraId="674F7F41" w14:textId="77777777" w:rsidR="00F82524" w:rsidRPr="001507CB" w:rsidRDefault="00F82524" w:rsidP="001507CB">
      <w:pPr>
        <w:pStyle w:val="FootnoteText"/>
        <w:rPr>
          <w:rFonts w:ascii="Arial" w:hAnsi="Arial" w:cs="Arial"/>
          <w:lang w:val="en-ZA"/>
        </w:rPr>
      </w:pPr>
      <w:r w:rsidRPr="001507CB">
        <w:rPr>
          <w:rStyle w:val="FootnoteReference"/>
          <w:rFonts w:ascii="Arial" w:hAnsi="Arial" w:cs="Arial"/>
        </w:rPr>
        <w:footnoteRef/>
      </w:r>
      <w:r w:rsidRPr="001507CB">
        <w:rPr>
          <w:rFonts w:ascii="Arial" w:hAnsi="Arial" w:cs="Arial"/>
        </w:rPr>
        <w:t xml:space="preserve"> </w:t>
      </w:r>
      <w:bookmarkStart w:id="13" w:name="_Hlk124636125"/>
      <w:r w:rsidRPr="001507CB">
        <w:rPr>
          <w:rFonts w:ascii="Arial" w:hAnsi="Arial" w:cs="Arial"/>
          <w:i/>
          <w:iCs/>
          <w:lang w:val="en-ZA"/>
        </w:rPr>
        <w:t>Klaase and Another v Van der Merwe NO and Others</w:t>
      </w:r>
      <w:bookmarkEnd w:id="13"/>
      <w:r w:rsidRPr="001507CB">
        <w:rPr>
          <w:rFonts w:ascii="Arial" w:hAnsi="Arial" w:cs="Arial"/>
          <w:lang w:val="en-ZA"/>
        </w:rPr>
        <w:t xml:space="preserve"> [2016] ZACC 17; 2016 (6) SA 131 (CC) para 43. </w:t>
      </w:r>
    </w:p>
  </w:footnote>
  <w:footnote w:id="17">
    <w:p w14:paraId="4D14B4EA" w14:textId="531A9401" w:rsidR="00F82524" w:rsidRPr="001507CB" w:rsidRDefault="00F82524">
      <w:pPr>
        <w:pStyle w:val="FootnoteText"/>
        <w:rPr>
          <w:rFonts w:ascii="Arial" w:hAnsi="Arial" w:cs="Arial"/>
          <w:lang w:val="en-ZA"/>
        </w:rPr>
      </w:pPr>
      <w:r w:rsidRPr="001507CB">
        <w:rPr>
          <w:rStyle w:val="FootnoteReference"/>
          <w:rFonts w:ascii="Arial" w:hAnsi="Arial" w:cs="Arial"/>
        </w:rPr>
        <w:footnoteRef/>
      </w:r>
      <w:r w:rsidRPr="001507CB">
        <w:rPr>
          <w:rFonts w:ascii="Arial" w:hAnsi="Arial" w:cs="Arial"/>
        </w:rPr>
        <w:t xml:space="preserve"> Ibid.</w:t>
      </w:r>
    </w:p>
  </w:footnote>
  <w:footnote w:id="18">
    <w:p w14:paraId="21E2400D" w14:textId="77777777" w:rsidR="00F82524" w:rsidRPr="007E4EC5" w:rsidRDefault="00F82524" w:rsidP="00774A33">
      <w:pPr>
        <w:pStyle w:val="FootnoteText"/>
        <w:rPr>
          <w:lang w:val="en-ZA"/>
        </w:rPr>
      </w:pPr>
      <w:r w:rsidRPr="007E4EC5">
        <w:rPr>
          <w:rStyle w:val="FootnoteReference"/>
          <w:rFonts w:ascii="Arial" w:hAnsi="Arial" w:cs="Arial"/>
        </w:rPr>
        <w:footnoteRef/>
      </w:r>
      <w:r w:rsidRPr="007E4EC5">
        <w:rPr>
          <w:rFonts w:ascii="Arial" w:hAnsi="Arial" w:cs="Arial"/>
        </w:rPr>
        <w:t xml:space="preserve"> </w:t>
      </w:r>
      <w:r w:rsidRPr="007E4EC5">
        <w:rPr>
          <w:rFonts w:ascii="Arial" w:hAnsi="Arial" w:cs="Arial"/>
          <w:lang w:val="en-ZA"/>
        </w:rPr>
        <w:t xml:space="preserve">Compare </w:t>
      </w:r>
      <w:r w:rsidRPr="007E4EC5">
        <w:rPr>
          <w:rFonts w:ascii="Arial" w:hAnsi="Arial" w:cs="Arial"/>
          <w:i/>
          <w:iCs/>
          <w:lang w:val="en-ZA"/>
        </w:rPr>
        <w:t>Labuschagne and Another v Ntshwane</w:t>
      </w:r>
      <w:r w:rsidRPr="007E4EC5">
        <w:rPr>
          <w:rFonts w:ascii="Arial" w:hAnsi="Arial" w:cs="Arial"/>
          <w:lang w:val="en-ZA"/>
        </w:rPr>
        <w:t xml:space="preserve"> 2007 (5) SA 129 (LCC) </w:t>
      </w:r>
      <w:r>
        <w:rPr>
          <w:rFonts w:ascii="Arial" w:hAnsi="Arial" w:cs="Arial"/>
          <w:lang w:val="en-ZA"/>
        </w:rPr>
        <w:t xml:space="preserve">para </w:t>
      </w:r>
      <w:r w:rsidRPr="007E4EC5">
        <w:rPr>
          <w:rFonts w:ascii="Arial" w:hAnsi="Arial" w:cs="Arial"/>
          <w:lang w:val="en-ZA"/>
        </w:rPr>
        <w:t>22-23.</w:t>
      </w:r>
      <w:r>
        <w:rPr>
          <w:lang w:val="en-ZA"/>
        </w:rPr>
        <w:t xml:space="preserve"> </w:t>
      </w:r>
    </w:p>
  </w:footnote>
  <w:footnote w:id="19">
    <w:p w14:paraId="7FBFE5AC" w14:textId="71562999" w:rsidR="00F82524" w:rsidRPr="00403D8E" w:rsidRDefault="00F82524" w:rsidP="00A72873">
      <w:pPr>
        <w:pStyle w:val="FootnoteText"/>
        <w:jc w:val="both"/>
        <w:rPr>
          <w:rFonts w:ascii="Arial" w:hAnsi="Arial" w:cs="Arial"/>
          <w:lang w:val="en-ZA"/>
        </w:rPr>
      </w:pPr>
      <w:r w:rsidRPr="00403D8E">
        <w:rPr>
          <w:rStyle w:val="FootnoteReference"/>
          <w:rFonts w:ascii="Arial" w:hAnsi="Arial" w:cs="Arial"/>
        </w:rPr>
        <w:footnoteRef/>
      </w:r>
      <w:r w:rsidRPr="00403D8E">
        <w:rPr>
          <w:rFonts w:ascii="Arial" w:hAnsi="Arial" w:cs="Arial"/>
        </w:rPr>
        <w:t xml:space="preserve"> </w:t>
      </w:r>
      <w:r w:rsidRPr="00403D8E">
        <w:rPr>
          <w:rFonts w:ascii="Arial" w:hAnsi="Arial" w:cs="Arial"/>
          <w:lang w:val="en-ZA"/>
        </w:rPr>
        <w:t>Section 9(3) makes provision for submission of a probation report upon request of a court with</w:t>
      </w:r>
      <w:r>
        <w:rPr>
          <w:rFonts w:ascii="Arial" w:hAnsi="Arial" w:cs="Arial"/>
          <w:lang w:val="en-ZA"/>
        </w:rPr>
        <w:t xml:space="preserve"> </w:t>
      </w:r>
      <w:r w:rsidRPr="00403D8E">
        <w:rPr>
          <w:rFonts w:ascii="Arial" w:hAnsi="Arial" w:cs="Arial"/>
          <w:lang w:val="en-ZA"/>
        </w:rPr>
        <w:t xml:space="preserve">regard to the following: </w:t>
      </w:r>
    </w:p>
    <w:p w14:paraId="7FDAE51A" w14:textId="77777777" w:rsidR="00F82524" w:rsidRPr="00403D8E" w:rsidRDefault="00F82524" w:rsidP="00A72873">
      <w:pPr>
        <w:pStyle w:val="FootnoteText"/>
        <w:numPr>
          <w:ilvl w:val="0"/>
          <w:numId w:val="28"/>
        </w:numPr>
        <w:jc w:val="both"/>
        <w:rPr>
          <w:rFonts w:ascii="Arial" w:hAnsi="Arial" w:cs="Arial"/>
          <w:lang w:val="en-ZA"/>
        </w:rPr>
      </w:pPr>
      <w:r w:rsidRPr="00403D8E">
        <w:rPr>
          <w:rFonts w:ascii="Arial" w:hAnsi="Arial" w:cs="Arial"/>
          <w:lang w:val="en-ZA"/>
        </w:rPr>
        <w:t>the availability of suitable alternative accommodation;</w:t>
      </w:r>
    </w:p>
    <w:p w14:paraId="0B940CC3" w14:textId="77777777" w:rsidR="00F82524" w:rsidRPr="00403D8E" w:rsidRDefault="00F82524" w:rsidP="00A72873">
      <w:pPr>
        <w:pStyle w:val="FootnoteText"/>
        <w:numPr>
          <w:ilvl w:val="0"/>
          <w:numId w:val="28"/>
        </w:numPr>
        <w:jc w:val="both"/>
        <w:rPr>
          <w:rFonts w:ascii="Arial" w:hAnsi="Arial" w:cs="Arial"/>
          <w:lang w:val="en-ZA"/>
        </w:rPr>
      </w:pPr>
      <w:r w:rsidRPr="00403D8E">
        <w:rPr>
          <w:rFonts w:ascii="Arial" w:hAnsi="Arial" w:cs="Arial"/>
          <w:lang w:val="en-ZA"/>
        </w:rPr>
        <w:t>an indication of how the eviction will affect the occupier’s constitutional rights, including the rights of children regarding their education;</w:t>
      </w:r>
    </w:p>
    <w:p w14:paraId="49BA411F" w14:textId="77777777" w:rsidR="00F82524" w:rsidRPr="00403D8E" w:rsidRDefault="00F82524" w:rsidP="00A72873">
      <w:pPr>
        <w:pStyle w:val="FootnoteText"/>
        <w:numPr>
          <w:ilvl w:val="0"/>
          <w:numId w:val="28"/>
        </w:numPr>
        <w:jc w:val="both"/>
        <w:rPr>
          <w:rFonts w:ascii="Arial" w:hAnsi="Arial" w:cs="Arial"/>
          <w:lang w:val="en-ZA"/>
        </w:rPr>
      </w:pPr>
      <w:r w:rsidRPr="00403D8E">
        <w:rPr>
          <w:rFonts w:ascii="Arial" w:hAnsi="Arial" w:cs="Arial"/>
          <w:lang w:val="en-ZA"/>
        </w:rPr>
        <w:t>pointing out any undue hardships which an eviction would cause the occupier; and</w:t>
      </w:r>
    </w:p>
    <w:p w14:paraId="09612984" w14:textId="5129F407" w:rsidR="00F82524" w:rsidRPr="00403D8E" w:rsidRDefault="00F82524" w:rsidP="00A72873">
      <w:pPr>
        <w:pStyle w:val="FootnoteText"/>
        <w:numPr>
          <w:ilvl w:val="0"/>
          <w:numId w:val="28"/>
        </w:numPr>
        <w:jc w:val="both"/>
        <w:rPr>
          <w:rFonts w:ascii="Arial" w:hAnsi="Arial" w:cs="Arial"/>
          <w:lang w:val="en-ZA"/>
        </w:rPr>
      </w:pPr>
      <w:r w:rsidRPr="00403D8E">
        <w:rPr>
          <w:rFonts w:ascii="Arial" w:hAnsi="Arial" w:cs="Arial"/>
          <w:lang w:val="en-ZA"/>
        </w:rPr>
        <w:t xml:space="preserve"> reporting on any </w:t>
      </w:r>
      <w:r>
        <w:rPr>
          <w:rFonts w:ascii="Arial" w:hAnsi="Arial" w:cs="Arial"/>
          <w:lang w:val="en-ZA"/>
        </w:rPr>
        <w:t>m</w:t>
      </w:r>
      <w:r w:rsidRPr="00403D8E">
        <w:rPr>
          <w:rFonts w:ascii="Arial" w:hAnsi="Arial" w:cs="Arial"/>
          <w:lang w:val="en-ZA"/>
        </w:rPr>
        <w:t>atter as may have been prescribed by the court.</w:t>
      </w:r>
    </w:p>
  </w:footnote>
  <w:footnote w:id="20">
    <w:p w14:paraId="081063AD" w14:textId="42020CAE" w:rsidR="00F82524" w:rsidRPr="00403D8E" w:rsidRDefault="00F82524" w:rsidP="00A72873">
      <w:pPr>
        <w:spacing w:after="0" w:line="240" w:lineRule="auto"/>
        <w:jc w:val="both"/>
        <w:rPr>
          <w:rFonts w:ascii="Arial" w:hAnsi="Arial" w:cs="Arial"/>
          <w:sz w:val="20"/>
          <w:szCs w:val="20"/>
        </w:rPr>
      </w:pPr>
      <w:r w:rsidRPr="00403D8E">
        <w:rPr>
          <w:rStyle w:val="FootnoteReference"/>
          <w:rFonts w:ascii="Arial" w:hAnsi="Arial" w:cs="Arial"/>
          <w:sz w:val="20"/>
          <w:szCs w:val="20"/>
        </w:rPr>
        <w:footnoteRef/>
      </w:r>
      <w:r w:rsidRPr="00403D8E">
        <w:rPr>
          <w:rFonts w:ascii="Arial" w:hAnsi="Arial" w:cs="Arial"/>
          <w:sz w:val="20"/>
          <w:szCs w:val="20"/>
        </w:rPr>
        <w:t xml:space="preserve"> </w:t>
      </w:r>
      <w:r w:rsidRPr="00CC537A">
        <w:rPr>
          <w:rFonts w:ascii="Arial" w:hAnsi="Arial" w:cs="Arial"/>
          <w:i/>
          <w:iCs/>
          <w:sz w:val="20"/>
          <w:szCs w:val="20"/>
        </w:rPr>
        <w:t>Nimble Investments (Pty) Ltd v Johanna Malan and Others</w:t>
      </w:r>
      <w:r w:rsidRPr="00CC537A">
        <w:rPr>
          <w:rFonts w:ascii="Arial" w:hAnsi="Arial" w:cs="Arial"/>
          <w:sz w:val="20"/>
          <w:szCs w:val="20"/>
        </w:rPr>
        <w:t xml:space="preserve"> </w:t>
      </w:r>
      <w:bookmarkStart w:id="15" w:name="_Hlk125326993"/>
      <w:r>
        <w:rPr>
          <w:rFonts w:ascii="Arial" w:hAnsi="Arial" w:cs="Arial"/>
          <w:sz w:val="20"/>
          <w:szCs w:val="20"/>
        </w:rPr>
        <w:t xml:space="preserve">fn 13 above. </w:t>
      </w:r>
    </w:p>
    <w:bookmarkEnd w:id="15"/>
  </w:footnote>
  <w:footnote w:id="21">
    <w:p w14:paraId="4AC484DA" w14:textId="304D7DA5" w:rsidR="00F82524" w:rsidRPr="006A7F29" w:rsidRDefault="00F82524" w:rsidP="00F8573A">
      <w:pPr>
        <w:pStyle w:val="FootnoteText"/>
        <w:rPr>
          <w:rFonts w:ascii="Arial" w:hAnsi="Arial" w:cs="Arial"/>
          <w:lang w:val="en-ZA"/>
        </w:rPr>
      </w:pPr>
      <w:r w:rsidRPr="006A7F29">
        <w:rPr>
          <w:rStyle w:val="FootnoteReference"/>
          <w:rFonts w:ascii="Arial" w:hAnsi="Arial" w:cs="Arial"/>
        </w:rPr>
        <w:footnoteRef/>
      </w:r>
      <w:r w:rsidRPr="006A7F29">
        <w:rPr>
          <w:rFonts w:ascii="Arial" w:hAnsi="Arial" w:cs="Arial"/>
        </w:rPr>
        <w:t xml:space="preserve"> </w:t>
      </w:r>
      <w:r w:rsidRPr="00774A33">
        <w:rPr>
          <w:rFonts w:ascii="Arial" w:hAnsi="Arial" w:cs="Arial"/>
          <w:bCs/>
          <w:i/>
          <w:iCs/>
          <w:lang w:val="en-GB"/>
        </w:rPr>
        <w:t>Molusi and Others v Voges N O and Others</w:t>
      </w:r>
      <w:r>
        <w:rPr>
          <w:rFonts w:ascii="Arial" w:hAnsi="Arial" w:cs="Arial"/>
          <w:bCs/>
          <w:i/>
          <w:iCs/>
          <w:lang w:val="en-GB"/>
        </w:rPr>
        <w:t xml:space="preserve"> </w:t>
      </w:r>
      <w:r>
        <w:rPr>
          <w:rFonts w:ascii="Arial" w:hAnsi="Arial" w:cs="Arial"/>
          <w:bCs/>
          <w:lang w:val="en-GB"/>
        </w:rPr>
        <w:t>fn 2 above para 39.</w:t>
      </w:r>
    </w:p>
  </w:footnote>
  <w:footnote w:id="22">
    <w:p w14:paraId="19D22A7F" w14:textId="1BE384C4" w:rsidR="00F82524" w:rsidRPr="00A54CA2" w:rsidRDefault="00F82524" w:rsidP="00A72873">
      <w:pPr>
        <w:pStyle w:val="FootnoteText"/>
        <w:jc w:val="both"/>
        <w:rPr>
          <w:rFonts w:ascii="Arial" w:hAnsi="Arial" w:cs="Arial"/>
          <w:lang w:val="en-ZA"/>
        </w:rPr>
      </w:pPr>
      <w:r w:rsidRPr="00A54CA2">
        <w:rPr>
          <w:rStyle w:val="FootnoteReference"/>
          <w:rFonts w:ascii="Arial" w:hAnsi="Arial" w:cs="Arial"/>
        </w:rPr>
        <w:footnoteRef/>
      </w:r>
      <w:r w:rsidRPr="00A54CA2">
        <w:rPr>
          <w:rFonts w:ascii="Arial" w:hAnsi="Arial" w:cs="Arial"/>
        </w:rPr>
        <w:t xml:space="preserve"> </w:t>
      </w:r>
      <w:r w:rsidRPr="00A54CA2">
        <w:rPr>
          <w:rFonts w:ascii="Arial" w:hAnsi="Arial" w:cs="Arial"/>
          <w:i/>
          <w:iCs/>
          <w:lang w:val="en-GB"/>
        </w:rPr>
        <w:t>Molusi</w:t>
      </w:r>
      <w:r>
        <w:rPr>
          <w:rFonts w:ascii="Arial" w:hAnsi="Arial" w:cs="Arial"/>
          <w:i/>
          <w:iCs/>
          <w:lang w:val="en-GB"/>
        </w:rPr>
        <w:t xml:space="preserve"> and Others v Vogel </w:t>
      </w:r>
      <w:r w:rsidRPr="00A54CA2">
        <w:rPr>
          <w:rFonts w:ascii="Arial" w:hAnsi="Arial" w:cs="Arial"/>
          <w:lang w:val="en-GB"/>
        </w:rPr>
        <w:t xml:space="preserve">fn </w:t>
      </w:r>
      <w:r>
        <w:rPr>
          <w:rFonts w:ascii="Arial" w:hAnsi="Arial" w:cs="Arial"/>
          <w:lang w:val="en-GB"/>
        </w:rPr>
        <w:t>2</w:t>
      </w:r>
      <w:r w:rsidRPr="00A54CA2">
        <w:rPr>
          <w:rFonts w:ascii="Arial" w:hAnsi="Arial" w:cs="Arial"/>
          <w:lang w:val="en-GB"/>
        </w:rPr>
        <w:t xml:space="preserve"> para 43</w:t>
      </w:r>
      <w:r>
        <w:rPr>
          <w:rFonts w:ascii="Arial" w:hAnsi="Arial" w:cs="Arial"/>
          <w:lang w:val="en-GB"/>
        </w:rPr>
        <w:t>.</w:t>
      </w:r>
    </w:p>
  </w:footnote>
  <w:footnote w:id="23">
    <w:p w14:paraId="16453781" w14:textId="417EBCB0" w:rsidR="00F82524" w:rsidRPr="007F2F01" w:rsidRDefault="00F82524" w:rsidP="00220BFA">
      <w:pPr>
        <w:pStyle w:val="FootnoteText"/>
        <w:jc w:val="both"/>
        <w:rPr>
          <w:rFonts w:ascii="Arial" w:hAnsi="Arial" w:cs="Arial"/>
          <w:lang w:val="en-ZA"/>
        </w:rPr>
      </w:pPr>
      <w:r w:rsidRPr="007F2F01">
        <w:rPr>
          <w:rStyle w:val="FootnoteReference"/>
          <w:rFonts w:ascii="Arial" w:hAnsi="Arial" w:cs="Arial"/>
        </w:rPr>
        <w:footnoteRef/>
      </w:r>
      <w:r w:rsidRPr="007F2F01">
        <w:rPr>
          <w:rFonts w:ascii="Arial" w:hAnsi="Arial" w:cs="Arial"/>
        </w:rPr>
        <w:t xml:space="preserve"> See </w:t>
      </w:r>
      <w:r w:rsidRPr="007F2F01">
        <w:rPr>
          <w:rFonts w:ascii="Arial" w:hAnsi="Arial" w:cs="Arial"/>
          <w:i/>
          <w:iCs/>
        </w:rPr>
        <w:t>City of Johannesburg Metropolitan Municipality v Blue Moonlight Properties 39 (Pty) Ltd and Another</w:t>
      </w:r>
      <w:r w:rsidRPr="007F2F01">
        <w:rPr>
          <w:rFonts w:ascii="Arial" w:hAnsi="Arial" w:cs="Arial"/>
        </w:rPr>
        <w:t xml:space="preserve"> 2012 (2) SA 104 (CC); 2012 (2) BCLR 150 (CC). </w:t>
      </w:r>
    </w:p>
  </w:footnote>
  <w:footnote w:id="24">
    <w:p w14:paraId="3A195973" w14:textId="52E59B7D" w:rsidR="00F82524" w:rsidRPr="007F2F01" w:rsidRDefault="00F82524" w:rsidP="00220BFA">
      <w:pPr>
        <w:pStyle w:val="FootnoteText"/>
        <w:jc w:val="both"/>
        <w:rPr>
          <w:rFonts w:ascii="Arial" w:hAnsi="Arial" w:cs="Arial"/>
          <w:lang w:val="en-ZA"/>
        </w:rPr>
      </w:pPr>
      <w:r w:rsidRPr="007F2F01">
        <w:rPr>
          <w:rStyle w:val="FootnoteReference"/>
          <w:rFonts w:ascii="Arial" w:hAnsi="Arial" w:cs="Arial"/>
        </w:rPr>
        <w:footnoteRef/>
      </w:r>
      <w:r w:rsidRPr="007F2F01">
        <w:rPr>
          <w:rFonts w:ascii="Arial" w:hAnsi="Arial" w:cs="Arial"/>
        </w:rPr>
        <w:t xml:space="preserve"> </w:t>
      </w:r>
      <w:r w:rsidRPr="007F2F01">
        <w:rPr>
          <w:rFonts w:ascii="Arial" w:hAnsi="Arial" w:cs="Arial"/>
          <w:i/>
          <w:iCs/>
        </w:rPr>
        <w:t>Trencon Construction (Pty) Ltd v Industrial Development Corporation of South Africa Ltd</w:t>
      </w:r>
      <w:r w:rsidRPr="007F2F01">
        <w:rPr>
          <w:rFonts w:ascii="Arial" w:hAnsi="Arial" w:cs="Arial"/>
        </w:rPr>
        <w:t xml:space="preserve"> [2015] ZACC 22; 2015 (5) SA 245 (CC); 2015 (10) BCLR 1199 (CC) para 88.</w:t>
      </w:r>
    </w:p>
  </w:footnote>
  <w:footnote w:id="25">
    <w:p w14:paraId="28759971" w14:textId="287887F9" w:rsidR="00F82524" w:rsidRPr="00E31A3F" w:rsidRDefault="00F82524" w:rsidP="00220BFA">
      <w:pPr>
        <w:pStyle w:val="FootnoteText"/>
        <w:jc w:val="both"/>
        <w:rPr>
          <w:rFonts w:ascii="Arial" w:hAnsi="Arial" w:cs="Arial"/>
          <w:lang w:val="en-ZA"/>
        </w:rPr>
      </w:pPr>
      <w:r w:rsidRPr="007F2F01">
        <w:rPr>
          <w:rStyle w:val="FootnoteReference"/>
          <w:rFonts w:ascii="Arial" w:hAnsi="Arial" w:cs="Arial"/>
        </w:rPr>
        <w:footnoteRef/>
      </w:r>
      <w:r w:rsidRPr="007F2F01">
        <w:rPr>
          <w:rFonts w:ascii="Arial" w:hAnsi="Arial" w:cs="Arial"/>
        </w:rPr>
        <w:t xml:space="preserve"> </w:t>
      </w:r>
      <w:r w:rsidRPr="007F2F01">
        <w:rPr>
          <w:rFonts w:ascii="Arial" w:hAnsi="Arial" w:cs="Arial"/>
          <w:i/>
          <w:iCs/>
          <w:lang w:val="en-ZA"/>
        </w:rPr>
        <w:t>Systems Applications Consultants (Pty) Ltd t/a Securinfo v Systems Applications Products AG and Others</w:t>
      </w:r>
      <w:r w:rsidRPr="007F2F01">
        <w:rPr>
          <w:rFonts w:ascii="Arial" w:hAnsi="Arial" w:cs="Arial"/>
          <w:lang w:val="en-ZA"/>
        </w:rPr>
        <w:t xml:space="preserve"> [2020] ZASCA 81 para 50.</w:t>
      </w:r>
    </w:p>
  </w:footnote>
  <w:footnote w:id="26">
    <w:p w14:paraId="28DAE5F0" w14:textId="77777777" w:rsidR="00F82524" w:rsidRPr="00220BFA" w:rsidRDefault="00F82524" w:rsidP="00220BFA">
      <w:pPr>
        <w:pStyle w:val="FootnoteText"/>
        <w:jc w:val="both"/>
        <w:rPr>
          <w:rFonts w:ascii="Arial" w:hAnsi="Arial" w:cs="Arial"/>
          <w:lang w:val="en-ZA"/>
        </w:rPr>
      </w:pPr>
      <w:r w:rsidRPr="00220BFA">
        <w:rPr>
          <w:rStyle w:val="FootnoteReference"/>
          <w:rFonts w:ascii="Arial" w:hAnsi="Arial" w:cs="Arial"/>
        </w:rPr>
        <w:footnoteRef/>
      </w:r>
      <w:r w:rsidRPr="00220BFA">
        <w:rPr>
          <w:rFonts w:ascii="Arial" w:hAnsi="Arial" w:cs="Arial"/>
        </w:rPr>
        <w:t xml:space="preserve"> </w:t>
      </w:r>
      <w:bookmarkStart w:id="22" w:name="_Hlk125220222"/>
      <w:r w:rsidRPr="00220BFA">
        <w:rPr>
          <w:rFonts w:ascii="Arial" w:hAnsi="Arial" w:cs="Arial"/>
          <w:i/>
          <w:iCs/>
          <w:lang w:val="en-ZA"/>
        </w:rPr>
        <w:t>Ascendis Animal Health (Pty) Ltd v Merck Sharpe Dohme Corporation and Others</w:t>
      </w:r>
      <w:r w:rsidRPr="00220BFA">
        <w:rPr>
          <w:rFonts w:ascii="Arial" w:hAnsi="Arial" w:cs="Arial"/>
          <w:lang w:val="en-ZA"/>
        </w:rPr>
        <w:t xml:space="preserve"> [2019] ZACC 41; 2020 (1) SA 327 (CC); 2020 (1) BCLR 1 (CC) para</w:t>
      </w:r>
      <w:bookmarkEnd w:id="22"/>
      <w:r w:rsidRPr="00220BFA">
        <w:rPr>
          <w:rFonts w:ascii="Arial" w:hAnsi="Arial" w:cs="Arial"/>
          <w:lang w:val="en-ZA"/>
        </w:rPr>
        <w:t xml:space="preserve"> 111.</w:t>
      </w:r>
    </w:p>
  </w:footnote>
  <w:footnote w:id="27">
    <w:p w14:paraId="70B3E58D" w14:textId="77777777" w:rsidR="00F82524" w:rsidRPr="00220BFA" w:rsidRDefault="00F82524" w:rsidP="00220BFA">
      <w:pPr>
        <w:pStyle w:val="FootnoteText"/>
        <w:jc w:val="both"/>
        <w:rPr>
          <w:rFonts w:ascii="Arial" w:hAnsi="Arial" w:cs="Arial"/>
          <w:lang w:val="en-ZA"/>
        </w:rPr>
      </w:pPr>
      <w:r w:rsidRPr="00220BFA">
        <w:rPr>
          <w:rStyle w:val="FootnoteReference"/>
          <w:rFonts w:ascii="Arial" w:hAnsi="Arial" w:cs="Arial"/>
        </w:rPr>
        <w:footnoteRef/>
      </w:r>
      <w:r w:rsidRPr="00220BFA">
        <w:rPr>
          <w:rFonts w:ascii="Arial" w:hAnsi="Arial" w:cs="Arial"/>
        </w:rPr>
        <w:t xml:space="preserve"> </w:t>
      </w:r>
      <w:r w:rsidRPr="00220BFA">
        <w:rPr>
          <w:rFonts w:ascii="Arial" w:hAnsi="Arial" w:cs="Arial"/>
          <w:i/>
          <w:iCs/>
          <w:lang w:val="en-ZA"/>
        </w:rPr>
        <w:t>Prinsloo NO &amp; Others v Goldex 15 Pty Ltd &amp; another</w:t>
      </w:r>
      <w:r w:rsidRPr="00220BFA">
        <w:rPr>
          <w:rFonts w:ascii="Arial" w:hAnsi="Arial" w:cs="Arial"/>
          <w:lang w:val="en-ZA"/>
        </w:rPr>
        <w:t xml:space="preserve"> [2012] ZASCA 28; 2014 (5) SA 297 (SCA) para 10. </w:t>
      </w:r>
    </w:p>
  </w:footnote>
  <w:footnote w:id="28">
    <w:p w14:paraId="407A495C" w14:textId="77777777" w:rsidR="00F82524" w:rsidRPr="00220BFA" w:rsidRDefault="00F82524" w:rsidP="00220BFA">
      <w:pPr>
        <w:pStyle w:val="FootnoteText"/>
        <w:jc w:val="both"/>
        <w:rPr>
          <w:rFonts w:ascii="Arial" w:hAnsi="Arial" w:cs="Arial"/>
          <w:lang w:val="en-ZA"/>
        </w:rPr>
      </w:pPr>
      <w:r w:rsidRPr="00220BFA">
        <w:rPr>
          <w:rStyle w:val="FootnoteReference"/>
          <w:rFonts w:ascii="Arial" w:hAnsi="Arial" w:cs="Arial"/>
        </w:rPr>
        <w:footnoteRef/>
      </w:r>
      <w:r w:rsidRPr="00220BFA">
        <w:rPr>
          <w:rFonts w:ascii="Arial" w:hAnsi="Arial" w:cs="Arial"/>
        </w:rPr>
        <w:t xml:space="preserve"> </w:t>
      </w:r>
      <w:r w:rsidRPr="00220BFA">
        <w:rPr>
          <w:rFonts w:ascii="Arial" w:hAnsi="Arial" w:cs="Arial"/>
          <w:lang w:val="en-ZA"/>
        </w:rPr>
        <w:t>Ibid.</w:t>
      </w:r>
    </w:p>
  </w:footnote>
  <w:footnote w:id="29">
    <w:p w14:paraId="2E5D2112" w14:textId="77777777" w:rsidR="00F82524" w:rsidRPr="00220BFA" w:rsidRDefault="00F82524" w:rsidP="00220BFA">
      <w:pPr>
        <w:pStyle w:val="FootnoteText"/>
        <w:jc w:val="both"/>
        <w:rPr>
          <w:rFonts w:ascii="Arial" w:hAnsi="Arial" w:cs="Arial"/>
          <w:lang w:val="en-ZA"/>
        </w:rPr>
      </w:pPr>
      <w:r w:rsidRPr="00220BFA">
        <w:rPr>
          <w:rStyle w:val="FootnoteReference"/>
          <w:rFonts w:ascii="Arial" w:hAnsi="Arial" w:cs="Arial"/>
        </w:rPr>
        <w:footnoteRef/>
      </w:r>
      <w:r w:rsidRPr="00220BFA">
        <w:rPr>
          <w:rFonts w:ascii="Arial" w:hAnsi="Arial" w:cs="Arial"/>
          <w:i/>
          <w:iCs/>
        </w:rPr>
        <w:t xml:space="preserve"> Bertram v Wood</w:t>
      </w:r>
      <w:r w:rsidRPr="00220BFA">
        <w:rPr>
          <w:rFonts w:ascii="Arial" w:hAnsi="Arial" w:cs="Arial"/>
        </w:rPr>
        <w:t xml:space="preserve"> (1893) 10 SC 177. </w:t>
      </w:r>
    </w:p>
  </w:footnote>
  <w:footnote w:id="30">
    <w:p w14:paraId="639159FF" w14:textId="6050FD89" w:rsidR="00F82524" w:rsidRPr="00220BFA" w:rsidRDefault="00F82524" w:rsidP="00220BFA">
      <w:pPr>
        <w:pStyle w:val="FootnoteText"/>
        <w:jc w:val="both"/>
        <w:rPr>
          <w:rFonts w:ascii="Arial" w:hAnsi="Arial" w:cs="Arial"/>
          <w:lang w:val="en-ZA"/>
        </w:rPr>
      </w:pPr>
      <w:r w:rsidRPr="00220BFA">
        <w:rPr>
          <w:rStyle w:val="FootnoteReference"/>
          <w:rFonts w:ascii="Arial" w:hAnsi="Arial" w:cs="Arial"/>
        </w:rPr>
        <w:footnoteRef/>
      </w:r>
      <w:r w:rsidRPr="00220BFA">
        <w:rPr>
          <w:rFonts w:ascii="Arial" w:hAnsi="Arial" w:cs="Arial"/>
        </w:rPr>
        <w:t xml:space="preserve"> </w:t>
      </w:r>
      <w:r w:rsidRPr="00220BFA">
        <w:rPr>
          <w:rFonts w:ascii="Arial" w:hAnsi="Arial" w:cs="Arial"/>
          <w:i/>
          <w:iCs/>
          <w:lang w:val="en-ZA"/>
        </w:rPr>
        <w:t>Ascendis Animal Health (Pty) Ltd v Merck Sharpe Dohme Corporation and Others</w:t>
      </w:r>
      <w:r w:rsidRPr="00220BFA">
        <w:rPr>
          <w:rFonts w:ascii="Arial" w:hAnsi="Arial" w:cs="Arial"/>
          <w:lang w:val="en-ZA"/>
        </w:rPr>
        <w:t xml:space="preserve"> [2019] note 18 above para 114.</w:t>
      </w:r>
    </w:p>
  </w:footnote>
  <w:footnote w:id="31">
    <w:p w14:paraId="45CA706D" w14:textId="77777777" w:rsidR="00F82524" w:rsidRPr="001C534F" w:rsidRDefault="00F82524" w:rsidP="00220BFA">
      <w:pPr>
        <w:pStyle w:val="FootnoteText"/>
        <w:jc w:val="both"/>
        <w:rPr>
          <w:rFonts w:ascii="Arial" w:hAnsi="Arial" w:cs="Arial"/>
          <w:lang w:val="en-ZA"/>
        </w:rPr>
      </w:pPr>
      <w:r w:rsidRPr="00220BFA">
        <w:rPr>
          <w:rStyle w:val="FootnoteReference"/>
          <w:rFonts w:ascii="Arial" w:hAnsi="Arial" w:cs="Arial"/>
        </w:rPr>
        <w:footnoteRef/>
      </w:r>
      <w:r w:rsidRPr="00220BFA">
        <w:rPr>
          <w:rFonts w:ascii="Arial" w:hAnsi="Arial" w:cs="Arial"/>
        </w:rPr>
        <w:t xml:space="preserve"> </w:t>
      </w:r>
      <w:r w:rsidRPr="00220BFA">
        <w:rPr>
          <w:rFonts w:ascii="Arial" w:hAnsi="Arial" w:cs="Arial"/>
          <w:i/>
          <w:iCs/>
        </w:rPr>
        <w:t>Smith v Porritt</w:t>
      </w:r>
      <w:r w:rsidRPr="00220BFA">
        <w:rPr>
          <w:rFonts w:ascii="Arial" w:hAnsi="Arial" w:cs="Arial"/>
          <w:lang w:val="en-ZA"/>
        </w:rPr>
        <w:t xml:space="preserve"> </w:t>
      </w:r>
      <w:r w:rsidRPr="00220BFA">
        <w:rPr>
          <w:rFonts w:ascii="Arial" w:hAnsi="Arial" w:cs="Arial"/>
          <w:i/>
          <w:lang w:val="en-ZA"/>
        </w:rPr>
        <w:t xml:space="preserve">and Others </w:t>
      </w:r>
      <w:r w:rsidRPr="00220BFA">
        <w:rPr>
          <w:rFonts w:ascii="Arial" w:hAnsi="Arial" w:cs="Arial"/>
          <w:lang w:val="en-ZA"/>
        </w:rPr>
        <w:t>2008 (6) SA 303 (SCA) para 10.</w:t>
      </w:r>
    </w:p>
  </w:footnote>
  <w:footnote w:id="32">
    <w:p w14:paraId="768BF9B3" w14:textId="0802D54D" w:rsidR="00663ED4" w:rsidRPr="00663ED4" w:rsidRDefault="00663ED4">
      <w:pPr>
        <w:pStyle w:val="FootnoteText"/>
        <w:rPr>
          <w:rFonts w:ascii="Arial" w:hAnsi="Arial" w:cs="Arial"/>
          <w:lang w:val="en-ZA"/>
        </w:rPr>
      </w:pPr>
      <w:r w:rsidRPr="00663ED4">
        <w:rPr>
          <w:rStyle w:val="FootnoteReference"/>
          <w:rFonts w:ascii="Arial" w:hAnsi="Arial" w:cs="Arial"/>
        </w:rPr>
        <w:footnoteRef/>
      </w:r>
      <w:r w:rsidRPr="00663ED4">
        <w:rPr>
          <w:rFonts w:ascii="Arial" w:hAnsi="Arial" w:cs="Arial"/>
        </w:rPr>
        <w:t xml:space="preserve"> Royal Sechaba Holdings (Pty) Ltd v Coote and Another (366/2013) [2014] ZASCA 85; [2014] 3 All SA 431 (SCA)</w:t>
      </w:r>
      <w:r>
        <w:rPr>
          <w:rFonts w:ascii="Arial" w:hAnsi="Arial" w:cs="Arial"/>
        </w:rPr>
        <w:t xml:space="preserve"> para 19.</w:t>
      </w:r>
    </w:p>
  </w:footnote>
  <w:footnote w:id="33">
    <w:p w14:paraId="1C0E4972" w14:textId="77777777" w:rsidR="00F82524" w:rsidRPr="006D6F9B" w:rsidRDefault="00F82524" w:rsidP="00A72873">
      <w:pPr>
        <w:pStyle w:val="FootnoteText"/>
        <w:jc w:val="both"/>
        <w:rPr>
          <w:rFonts w:ascii="Arial" w:hAnsi="Arial" w:cs="Arial"/>
          <w:lang w:val="en-ZA"/>
        </w:rPr>
      </w:pPr>
      <w:r w:rsidRPr="006D6F9B">
        <w:rPr>
          <w:rStyle w:val="FootnoteReference"/>
          <w:rFonts w:ascii="Arial" w:hAnsi="Arial" w:cs="Arial"/>
        </w:rPr>
        <w:footnoteRef/>
      </w:r>
      <w:r w:rsidRPr="006D6F9B">
        <w:rPr>
          <w:rFonts w:ascii="Arial" w:hAnsi="Arial" w:cs="Arial"/>
        </w:rPr>
        <w:t xml:space="preserve"> </w:t>
      </w:r>
      <w:r w:rsidRPr="006D6F9B">
        <w:rPr>
          <w:rFonts w:ascii="Arial" w:hAnsi="Arial" w:cs="Arial"/>
          <w:i/>
          <w:iCs/>
        </w:rPr>
        <w:t>Caesarstone</w:t>
      </w:r>
      <w:r w:rsidRPr="006D6F9B">
        <w:rPr>
          <w:rFonts w:ascii="Arial" w:hAnsi="Arial" w:cs="Arial"/>
        </w:rPr>
        <w:t xml:space="preserve"> </w:t>
      </w:r>
      <w:r w:rsidRPr="006D6F9B">
        <w:rPr>
          <w:rFonts w:ascii="Arial" w:hAnsi="Arial" w:cs="Arial"/>
          <w:i/>
          <w:iCs/>
          <w:lang w:val="en-ZA"/>
        </w:rPr>
        <w:t>Sdot-Yam Ltd v The World of Marble and Granite 2000 CC and Others</w:t>
      </w:r>
      <w:r w:rsidRPr="006D6F9B">
        <w:rPr>
          <w:rFonts w:ascii="Arial" w:hAnsi="Arial" w:cs="Arial"/>
        </w:rPr>
        <w:t xml:space="preserve"> </w:t>
      </w:r>
      <w:r w:rsidRPr="006D6F9B">
        <w:rPr>
          <w:rFonts w:ascii="Arial" w:hAnsi="Arial" w:cs="Arial"/>
          <w:lang w:val="en-ZA"/>
        </w:rPr>
        <w:t>[2013] ZASCA 129; 2013 (6) SA 499 (SCA); [2013] 4 All SA 509 (SCA) paras 42 &amp; 43.</w:t>
      </w:r>
    </w:p>
  </w:footnote>
  <w:footnote w:id="34">
    <w:p w14:paraId="6B245EF9" w14:textId="77777777" w:rsidR="00F82524" w:rsidRPr="00E65B4B" w:rsidRDefault="00F82524" w:rsidP="00A72873">
      <w:pPr>
        <w:pStyle w:val="FootnoteText"/>
        <w:jc w:val="both"/>
        <w:rPr>
          <w:rFonts w:ascii="Arial" w:hAnsi="Arial" w:cs="Arial"/>
          <w:lang w:val="en-ZA"/>
        </w:rPr>
      </w:pPr>
      <w:r w:rsidRPr="00A238B6">
        <w:rPr>
          <w:rStyle w:val="FootnoteReference"/>
          <w:rFonts w:ascii="Arial" w:hAnsi="Arial" w:cs="Arial"/>
        </w:rPr>
        <w:footnoteRef/>
      </w:r>
      <w:r w:rsidRPr="00A238B6">
        <w:rPr>
          <w:rFonts w:ascii="Arial" w:hAnsi="Arial" w:cs="Arial"/>
        </w:rPr>
        <w:t xml:space="preserve"> </w:t>
      </w:r>
      <w:r w:rsidRPr="00A238B6">
        <w:rPr>
          <w:rFonts w:ascii="Arial" w:hAnsi="Arial" w:cs="Arial"/>
          <w:i/>
          <w:iCs/>
          <w:lang w:val="en-ZA"/>
        </w:rPr>
        <w:t>Democratic Alliance v Brummer</w:t>
      </w:r>
      <w:r w:rsidRPr="00A238B6">
        <w:rPr>
          <w:rFonts w:ascii="Arial" w:hAnsi="Arial" w:cs="Arial"/>
          <w:lang w:val="en-ZA"/>
        </w:rPr>
        <w:t xml:space="preserve"> [2022] ZASCA 151 </w:t>
      </w:r>
      <w:r w:rsidRPr="00E65B4B">
        <w:rPr>
          <w:rFonts w:ascii="Arial" w:hAnsi="Arial" w:cs="Arial"/>
          <w:lang w:val="en-ZA"/>
        </w:rPr>
        <w:t>para 15.</w:t>
      </w:r>
    </w:p>
  </w:footnote>
  <w:footnote w:id="35">
    <w:p w14:paraId="6D5C6F04" w14:textId="77777777" w:rsidR="00F82524" w:rsidRPr="000572C7" w:rsidRDefault="00F82524" w:rsidP="00A72873">
      <w:pPr>
        <w:pStyle w:val="FootnoteText"/>
        <w:jc w:val="both"/>
        <w:rPr>
          <w:rFonts w:ascii="Arial" w:hAnsi="Arial" w:cs="Arial"/>
          <w:lang w:val="en-ZA"/>
        </w:rPr>
      </w:pPr>
      <w:r w:rsidRPr="000572C7">
        <w:rPr>
          <w:rStyle w:val="FootnoteReference"/>
          <w:rFonts w:ascii="Arial" w:hAnsi="Arial" w:cs="Arial"/>
        </w:rPr>
        <w:footnoteRef/>
      </w:r>
      <w:r w:rsidRPr="000572C7">
        <w:rPr>
          <w:rFonts w:ascii="Arial" w:hAnsi="Arial" w:cs="Arial"/>
        </w:rPr>
        <w:t xml:space="preserve"> </w:t>
      </w:r>
      <w:r w:rsidRPr="000572C7">
        <w:rPr>
          <w:rFonts w:ascii="Arial" w:hAnsi="Arial" w:cs="Arial"/>
          <w:i/>
          <w:iCs/>
          <w:lang w:val="en-ZA"/>
        </w:rPr>
        <w:t xml:space="preserve">Aon South Africa (Pty) Ltd v Van den Heever NO and Others </w:t>
      </w:r>
      <w:r w:rsidRPr="000572C7">
        <w:rPr>
          <w:rFonts w:ascii="Arial" w:hAnsi="Arial" w:cs="Arial"/>
          <w:lang w:val="en-ZA"/>
        </w:rPr>
        <w:t>[2017] ZASCA 66; 2018 (6) SA 38 (SCA); [2017] 3 All SA 365 (SCA) para 40.</w:t>
      </w:r>
    </w:p>
  </w:footnote>
  <w:footnote w:id="36">
    <w:p w14:paraId="0E1BD056" w14:textId="77777777" w:rsidR="00F82524" w:rsidRPr="000572C7" w:rsidRDefault="00F82524" w:rsidP="00FF7E86">
      <w:pPr>
        <w:pStyle w:val="FootnoteText"/>
        <w:rPr>
          <w:rFonts w:ascii="Arial" w:hAnsi="Arial" w:cs="Arial"/>
          <w:lang w:val="en-ZA"/>
        </w:rPr>
      </w:pPr>
      <w:r w:rsidRPr="000572C7">
        <w:rPr>
          <w:rStyle w:val="FootnoteReference"/>
          <w:rFonts w:ascii="Arial" w:hAnsi="Arial" w:cs="Arial"/>
        </w:rPr>
        <w:footnoteRef/>
      </w:r>
      <w:r w:rsidRPr="000572C7">
        <w:rPr>
          <w:rFonts w:ascii="Arial" w:hAnsi="Arial" w:cs="Arial"/>
        </w:rPr>
        <w:t xml:space="preserve"> </w:t>
      </w:r>
      <w:r w:rsidRPr="000572C7">
        <w:rPr>
          <w:rFonts w:ascii="Arial" w:hAnsi="Arial" w:cs="Arial"/>
          <w:i/>
          <w:iCs/>
          <w:lang w:val="en-ZA"/>
        </w:rPr>
        <w:t>United Enterprises Corporation v STX Pan Ocean Company Ltd</w:t>
      </w:r>
      <w:r w:rsidRPr="000572C7">
        <w:rPr>
          <w:rFonts w:ascii="Arial" w:hAnsi="Arial" w:cs="Arial"/>
          <w:lang w:val="en-ZA"/>
        </w:rPr>
        <w:t xml:space="preserve"> [2008] ZASCA 21; 2008 (3) SA 585 (SCA); [2008] 3 All SA 111 (SCA) para 9.</w:t>
      </w:r>
    </w:p>
  </w:footnote>
  <w:footnote w:id="37">
    <w:p w14:paraId="5C142BA9" w14:textId="77777777" w:rsidR="00F82524" w:rsidRPr="006D6F9B" w:rsidRDefault="00F82524" w:rsidP="00A72873">
      <w:pPr>
        <w:pStyle w:val="FootnoteText"/>
        <w:jc w:val="both"/>
        <w:rPr>
          <w:rFonts w:ascii="Arial" w:hAnsi="Arial" w:cs="Arial"/>
          <w:lang w:val="en-ZA"/>
        </w:rPr>
      </w:pPr>
      <w:r w:rsidRPr="006D6F9B">
        <w:rPr>
          <w:rStyle w:val="FootnoteReference"/>
          <w:rFonts w:ascii="Arial" w:hAnsi="Arial" w:cs="Arial"/>
        </w:rPr>
        <w:footnoteRef/>
      </w:r>
      <w:r w:rsidRPr="006D6F9B">
        <w:rPr>
          <w:rFonts w:ascii="Arial" w:hAnsi="Arial" w:cs="Arial"/>
        </w:rPr>
        <w:t xml:space="preserve"> </w:t>
      </w:r>
      <w:r w:rsidRPr="00A238B6">
        <w:rPr>
          <w:rFonts w:ascii="Arial" w:hAnsi="Arial" w:cs="Arial"/>
          <w:i/>
          <w:iCs/>
          <w:lang w:val="en-ZA"/>
        </w:rPr>
        <w:t xml:space="preserve">Mkhize NO v Premier of the Province of KwaZulu-Natal and Others </w:t>
      </w:r>
      <w:r w:rsidRPr="00A238B6">
        <w:rPr>
          <w:rFonts w:ascii="Arial" w:hAnsi="Arial" w:cs="Arial"/>
          <w:lang w:val="en-ZA"/>
        </w:rPr>
        <w:t xml:space="preserve">[2018] ZACC 50; 2019 (3) BCLR 360 (CC) para 41 &amp; 42. </w:t>
      </w:r>
    </w:p>
  </w:footnote>
  <w:footnote w:id="38">
    <w:p w14:paraId="0CDBE9FC" w14:textId="77777777" w:rsidR="00F82524" w:rsidRPr="00DE7706" w:rsidRDefault="00F82524" w:rsidP="00A72873">
      <w:pPr>
        <w:pStyle w:val="FootnoteText"/>
        <w:jc w:val="both"/>
        <w:rPr>
          <w:rFonts w:ascii="Arial" w:hAnsi="Arial" w:cs="Arial"/>
          <w:lang w:val="en-ZA"/>
        </w:rPr>
      </w:pPr>
      <w:r w:rsidRPr="00DE7706">
        <w:rPr>
          <w:rStyle w:val="FootnoteReference"/>
          <w:rFonts w:ascii="Arial" w:hAnsi="Arial" w:cs="Arial"/>
        </w:rPr>
        <w:footnoteRef/>
      </w:r>
      <w:r w:rsidRPr="00DE7706">
        <w:rPr>
          <w:rFonts w:ascii="Arial" w:hAnsi="Arial" w:cs="Arial"/>
        </w:rPr>
        <w:t xml:space="preserve"> </w:t>
      </w:r>
      <w:r w:rsidRPr="00DE7706">
        <w:rPr>
          <w:rFonts w:ascii="Arial" w:hAnsi="Arial" w:cs="Arial"/>
          <w:i/>
          <w:iCs/>
          <w:lang w:val="en-ZA"/>
        </w:rPr>
        <w:t>Transalloys (Pty) Ltd v Mineral-Loy (Pty) Ltd</w:t>
      </w:r>
      <w:r w:rsidRPr="00DE7706">
        <w:rPr>
          <w:rFonts w:ascii="Arial" w:hAnsi="Arial" w:cs="Arial"/>
          <w:lang w:val="en-ZA"/>
        </w:rPr>
        <w:t xml:space="preserve"> [2017] ZASCA 95 para 22. </w:t>
      </w:r>
    </w:p>
  </w:footnote>
  <w:footnote w:id="39">
    <w:p w14:paraId="2B6CAD8E" w14:textId="58AAE54F" w:rsidR="00F82524" w:rsidRPr="00CB4E51" w:rsidRDefault="00F82524" w:rsidP="00A72873">
      <w:pPr>
        <w:pStyle w:val="FootnoteText"/>
        <w:jc w:val="both"/>
        <w:rPr>
          <w:rFonts w:ascii="Arial" w:hAnsi="Arial" w:cs="Arial"/>
          <w:lang w:val="en-ZA"/>
        </w:rPr>
      </w:pPr>
      <w:r w:rsidRPr="00834E03">
        <w:rPr>
          <w:rStyle w:val="FootnoteReference"/>
          <w:rFonts w:ascii="Arial" w:hAnsi="Arial" w:cs="Arial"/>
        </w:rPr>
        <w:footnoteRef/>
      </w:r>
      <w:r>
        <w:rPr>
          <w:rFonts w:ascii="Arial" w:hAnsi="Arial" w:cs="Arial"/>
        </w:rPr>
        <w:t xml:space="preserve"> S</w:t>
      </w:r>
      <w:r w:rsidRPr="00CB4E51">
        <w:rPr>
          <w:rFonts w:ascii="Arial" w:hAnsi="Arial" w:cs="Arial"/>
        </w:rPr>
        <w:t>ection 9</w:t>
      </w:r>
      <w:r>
        <w:rPr>
          <w:rFonts w:ascii="Arial" w:hAnsi="Arial" w:cs="Arial"/>
        </w:rPr>
        <w:t>(1) and (2)</w:t>
      </w:r>
      <w:r w:rsidRPr="00CB4E51">
        <w:rPr>
          <w:rFonts w:ascii="Arial" w:hAnsi="Arial" w:cs="Arial"/>
        </w:rPr>
        <w:t xml:space="preserve"> of ESTA </w:t>
      </w:r>
      <w:r>
        <w:rPr>
          <w:rFonts w:ascii="Arial" w:hAnsi="Arial" w:cs="Arial"/>
        </w:rPr>
        <w:t>pro</w:t>
      </w:r>
      <w:r w:rsidRPr="00CB4E51">
        <w:rPr>
          <w:rFonts w:ascii="Arial" w:hAnsi="Arial" w:cs="Arial"/>
        </w:rPr>
        <w:t>vide as follows:</w:t>
      </w:r>
    </w:p>
    <w:p w14:paraId="6C73706B" w14:textId="209E353A" w:rsidR="00F82524" w:rsidRPr="00CB4E51" w:rsidRDefault="00F82524" w:rsidP="00A72873">
      <w:pPr>
        <w:spacing w:after="0" w:line="240" w:lineRule="auto"/>
        <w:jc w:val="both"/>
        <w:rPr>
          <w:rFonts w:ascii="Arial" w:eastAsia="Times New Roman" w:hAnsi="Arial" w:cs="Arial"/>
          <w:bCs/>
          <w:sz w:val="20"/>
          <w:szCs w:val="20"/>
        </w:rPr>
      </w:pPr>
      <w:r>
        <w:rPr>
          <w:rFonts w:ascii="Arial" w:eastAsia="Times New Roman" w:hAnsi="Arial" w:cs="Arial"/>
          <w:bCs/>
          <w:sz w:val="20"/>
          <w:szCs w:val="20"/>
        </w:rPr>
        <w:t>‘</w:t>
      </w:r>
      <w:r w:rsidRPr="00CB4E51">
        <w:rPr>
          <w:rFonts w:ascii="Arial" w:eastAsia="Times New Roman" w:hAnsi="Arial" w:cs="Arial"/>
          <w:bCs/>
          <w:sz w:val="20"/>
          <w:szCs w:val="20"/>
        </w:rPr>
        <w:t>(1) Notwithstanding the provisions of any other law, an occupier may be evicted only in terms of an order of court issued under this Act.</w:t>
      </w:r>
    </w:p>
    <w:p w14:paraId="23AC9B08" w14:textId="77777777" w:rsidR="00F82524" w:rsidRPr="00CB4E51" w:rsidRDefault="00F82524" w:rsidP="00A72873">
      <w:pPr>
        <w:spacing w:after="0" w:line="240" w:lineRule="auto"/>
        <w:jc w:val="both"/>
        <w:rPr>
          <w:rFonts w:ascii="Arial" w:eastAsia="Times New Roman" w:hAnsi="Arial" w:cs="Arial"/>
          <w:bCs/>
          <w:sz w:val="20"/>
          <w:szCs w:val="20"/>
        </w:rPr>
      </w:pPr>
      <w:r w:rsidRPr="00CB4E51">
        <w:rPr>
          <w:rFonts w:ascii="Arial" w:eastAsia="Times New Roman" w:hAnsi="Arial" w:cs="Arial"/>
          <w:bCs/>
          <w:sz w:val="20"/>
          <w:szCs w:val="20"/>
        </w:rPr>
        <w:t xml:space="preserve">(2) A court may make an order for the eviction of an occupier if – </w:t>
      </w:r>
    </w:p>
    <w:p w14:paraId="2FC44A83" w14:textId="77777777" w:rsidR="00F82524" w:rsidRPr="00CB4E51" w:rsidRDefault="00F82524" w:rsidP="00A72873">
      <w:pPr>
        <w:spacing w:after="0" w:line="240" w:lineRule="auto"/>
        <w:jc w:val="both"/>
        <w:rPr>
          <w:rFonts w:ascii="Arial" w:eastAsia="Times New Roman" w:hAnsi="Arial" w:cs="Arial"/>
          <w:bCs/>
          <w:sz w:val="20"/>
          <w:szCs w:val="20"/>
        </w:rPr>
      </w:pPr>
      <w:r w:rsidRPr="00CB4E51">
        <w:rPr>
          <w:rFonts w:ascii="Arial" w:eastAsia="Times New Roman" w:hAnsi="Arial" w:cs="Arial"/>
          <w:bCs/>
          <w:i/>
          <w:iCs/>
          <w:sz w:val="20"/>
          <w:szCs w:val="20"/>
        </w:rPr>
        <w:t>(a) </w:t>
      </w:r>
      <w:r w:rsidRPr="00CB4E51">
        <w:rPr>
          <w:rFonts w:ascii="Arial" w:eastAsia="Times New Roman" w:hAnsi="Arial" w:cs="Arial"/>
          <w:bCs/>
          <w:sz w:val="20"/>
          <w:szCs w:val="20"/>
        </w:rPr>
        <w:t>the occupier's right of residence has been terminated in terms of section 8;</w:t>
      </w:r>
    </w:p>
    <w:p w14:paraId="186B5DCE" w14:textId="77777777" w:rsidR="00F82524" w:rsidRPr="00CB4E51" w:rsidRDefault="00F82524" w:rsidP="00A72873">
      <w:pPr>
        <w:spacing w:after="0" w:line="240" w:lineRule="auto"/>
        <w:jc w:val="both"/>
        <w:rPr>
          <w:rFonts w:ascii="Arial" w:eastAsia="Times New Roman" w:hAnsi="Arial" w:cs="Arial"/>
          <w:bCs/>
          <w:sz w:val="20"/>
          <w:szCs w:val="20"/>
        </w:rPr>
      </w:pPr>
      <w:r w:rsidRPr="00CB4E51">
        <w:rPr>
          <w:rFonts w:ascii="Arial" w:eastAsia="Times New Roman" w:hAnsi="Arial" w:cs="Arial"/>
          <w:bCs/>
          <w:i/>
          <w:iCs/>
          <w:sz w:val="20"/>
          <w:szCs w:val="20"/>
        </w:rPr>
        <w:t>(b) </w:t>
      </w:r>
      <w:r w:rsidRPr="00CB4E51">
        <w:rPr>
          <w:rFonts w:ascii="Arial" w:eastAsia="Times New Roman" w:hAnsi="Arial" w:cs="Arial"/>
          <w:bCs/>
          <w:sz w:val="20"/>
          <w:szCs w:val="20"/>
        </w:rPr>
        <w:t>the occupier has not vacated the land within the period of notice given by the owner or person in charge;</w:t>
      </w:r>
    </w:p>
    <w:p w14:paraId="69FA75FC" w14:textId="77777777" w:rsidR="00F82524" w:rsidRPr="00CB4E51" w:rsidRDefault="00F82524" w:rsidP="00A72873">
      <w:pPr>
        <w:spacing w:after="0" w:line="240" w:lineRule="auto"/>
        <w:jc w:val="both"/>
        <w:rPr>
          <w:rFonts w:ascii="Arial" w:eastAsia="Times New Roman" w:hAnsi="Arial" w:cs="Arial"/>
          <w:bCs/>
          <w:sz w:val="20"/>
          <w:szCs w:val="20"/>
        </w:rPr>
      </w:pPr>
      <w:r w:rsidRPr="00CB4E51">
        <w:rPr>
          <w:rFonts w:ascii="Arial" w:eastAsia="Times New Roman" w:hAnsi="Arial" w:cs="Arial"/>
          <w:bCs/>
          <w:i/>
          <w:iCs/>
          <w:sz w:val="20"/>
          <w:szCs w:val="20"/>
        </w:rPr>
        <w:t>(c) </w:t>
      </w:r>
      <w:r w:rsidRPr="00CB4E51">
        <w:rPr>
          <w:rFonts w:ascii="Arial" w:eastAsia="Times New Roman" w:hAnsi="Arial" w:cs="Arial"/>
          <w:bCs/>
          <w:sz w:val="20"/>
          <w:szCs w:val="20"/>
        </w:rPr>
        <w:t>the conditions for an order for eviction in terms of section 10 or 11 have been complied with; and</w:t>
      </w:r>
    </w:p>
    <w:p w14:paraId="488D2FB2" w14:textId="77777777" w:rsidR="00F82524" w:rsidRPr="00CB4E51" w:rsidRDefault="00F82524" w:rsidP="00A72873">
      <w:pPr>
        <w:spacing w:after="0" w:line="240" w:lineRule="auto"/>
        <w:jc w:val="both"/>
        <w:rPr>
          <w:rFonts w:ascii="Arial" w:eastAsia="Times New Roman" w:hAnsi="Arial" w:cs="Arial"/>
          <w:bCs/>
          <w:sz w:val="20"/>
          <w:szCs w:val="20"/>
        </w:rPr>
      </w:pPr>
      <w:r w:rsidRPr="00CB4E51">
        <w:rPr>
          <w:rFonts w:ascii="Arial" w:eastAsia="Times New Roman" w:hAnsi="Arial" w:cs="Arial"/>
          <w:bCs/>
          <w:i/>
          <w:iCs/>
          <w:sz w:val="20"/>
          <w:szCs w:val="20"/>
        </w:rPr>
        <w:t>(d) </w:t>
      </w:r>
      <w:r w:rsidRPr="00CB4E51">
        <w:rPr>
          <w:rFonts w:ascii="Arial" w:eastAsia="Times New Roman" w:hAnsi="Arial" w:cs="Arial"/>
          <w:bCs/>
          <w:sz w:val="20"/>
          <w:szCs w:val="20"/>
        </w:rPr>
        <w:t xml:space="preserve">the owner or person in charge has, after the termination of the right of residence, given – </w:t>
      </w:r>
    </w:p>
    <w:p w14:paraId="6B6B8FC3" w14:textId="77777777" w:rsidR="00F82524" w:rsidRPr="00CB4E51" w:rsidRDefault="00F82524" w:rsidP="00A72873">
      <w:pPr>
        <w:spacing w:after="0" w:line="240" w:lineRule="auto"/>
        <w:jc w:val="both"/>
        <w:rPr>
          <w:rFonts w:ascii="Arial" w:eastAsia="Times New Roman" w:hAnsi="Arial" w:cs="Arial"/>
          <w:bCs/>
          <w:sz w:val="20"/>
          <w:szCs w:val="20"/>
        </w:rPr>
      </w:pPr>
      <w:r w:rsidRPr="00CB4E51">
        <w:rPr>
          <w:rFonts w:ascii="Arial" w:eastAsia="Times New Roman" w:hAnsi="Arial" w:cs="Arial"/>
          <w:bCs/>
          <w:sz w:val="20"/>
          <w:szCs w:val="20"/>
        </w:rPr>
        <w:t>(i) the occupier;</w:t>
      </w:r>
    </w:p>
    <w:p w14:paraId="18770C5A" w14:textId="77777777" w:rsidR="00F82524" w:rsidRPr="00CB4E51" w:rsidRDefault="00F82524" w:rsidP="00A72873">
      <w:pPr>
        <w:spacing w:after="0" w:line="240" w:lineRule="auto"/>
        <w:jc w:val="both"/>
        <w:rPr>
          <w:rFonts w:ascii="Arial" w:eastAsia="Times New Roman" w:hAnsi="Arial" w:cs="Arial"/>
          <w:bCs/>
          <w:sz w:val="20"/>
          <w:szCs w:val="20"/>
        </w:rPr>
      </w:pPr>
      <w:r w:rsidRPr="00CB4E51">
        <w:rPr>
          <w:rFonts w:ascii="Arial" w:eastAsia="Times New Roman" w:hAnsi="Arial" w:cs="Arial"/>
          <w:bCs/>
          <w:sz w:val="20"/>
          <w:szCs w:val="20"/>
        </w:rPr>
        <w:t>(ii) the municipality in whose area of jurisdiction the land in question is situated; and</w:t>
      </w:r>
    </w:p>
    <w:p w14:paraId="2A218A60" w14:textId="77777777" w:rsidR="00F82524" w:rsidRPr="00CB4E51" w:rsidRDefault="00F82524" w:rsidP="00A72873">
      <w:pPr>
        <w:spacing w:after="0" w:line="240" w:lineRule="auto"/>
        <w:jc w:val="both"/>
        <w:rPr>
          <w:rFonts w:ascii="Arial" w:eastAsia="Times New Roman" w:hAnsi="Arial" w:cs="Arial"/>
          <w:bCs/>
          <w:sz w:val="20"/>
          <w:szCs w:val="20"/>
        </w:rPr>
      </w:pPr>
      <w:r w:rsidRPr="00CB4E51">
        <w:rPr>
          <w:rFonts w:ascii="Arial" w:eastAsia="Times New Roman" w:hAnsi="Arial" w:cs="Arial"/>
          <w:bCs/>
          <w:sz w:val="20"/>
          <w:szCs w:val="20"/>
        </w:rPr>
        <w:t>(iii) the head of the relevant provincial office of the Department of Rural Development and Land Reform, for information purposes,</w:t>
      </w:r>
    </w:p>
    <w:p w14:paraId="63C648C2" w14:textId="6E5274F1" w:rsidR="00F82524" w:rsidRPr="00CB4E51" w:rsidRDefault="00F82524" w:rsidP="00A72873">
      <w:pPr>
        <w:spacing w:after="0" w:line="240" w:lineRule="auto"/>
        <w:jc w:val="both"/>
        <w:rPr>
          <w:rFonts w:ascii="Arial" w:eastAsia="Times New Roman" w:hAnsi="Arial" w:cs="Arial"/>
          <w:sz w:val="20"/>
          <w:szCs w:val="20"/>
        </w:rPr>
      </w:pPr>
      <w:r w:rsidRPr="00CB4E51">
        <w:rPr>
          <w:rFonts w:ascii="Arial" w:eastAsia="Times New Roman" w:hAnsi="Arial" w:cs="Arial"/>
          <w:bCs/>
          <w:sz w:val="20"/>
          <w:szCs w:val="20"/>
        </w:rPr>
        <w:t>not less than two calendar months' written notice of the intention to obtain an order for eviction, which notice shall contain the prescribed particulars and set out the grounds on which the eviction is based: Provided that if a notice of application to a court has, after the termination of the right of residence, been given to the occupier, the municipality and the head of the relevant provincial office of the Department of Rural Development and Land Reform not less than two months before the date of the commencement of the hearing of the application, this paragraph shall be deemed to have been complied with.</w:t>
      </w:r>
      <w:r>
        <w:rPr>
          <w:rFonts w:ascii="Arial" w:eastAsia="Times New Roman" w:hAnsi="Arial" w:cs="Arial"/>
          <w:bCs/>
          <w:sz w:val="20"/>
          <w:szCs w:val="20"/>
        </w:rPr>
        <w:t>’</w:t>
      </w:r>
    </w:p>
    <w:p w14:paraId="05455D12" w14:textId="5340A941" w:rsidR="00F82524" w:rsidRPr="00834E03" w:rsidRDefault="00F82524" w:rsidP="00774A33">
      <w:pPr>
        <w:pStyle w:val="FootnoteText"/>
        <w:rPr>
          <w:rFonts w:ascii="Arial" w:hAnsi="Arial" w:cs="Arial"/>
          <w:lang w:val="en-ZA"/>
        </w:rPr>
      </w:pPr>
      <w:r w:rsidRPr="00834E03">
        <w:rPr>
          <w:rFonts w:ascii="Arial" w:hAnsi="Arial" w:cs="Arial"/>
          <w:lang w:val="en-GB"/>
        </w:rPr>
        <w:t xml:space="preserve"> </w:t>
      </w:r>
    </w:p>
  </w:footnote>
  <w:footnote w:id="40">
    <w:p w14:paraId="7435930F" w14:textId="58A93242" w:rsidR="00F82524" w:rsidRPr="005E6516" w:rsidRDefault="00F82524">
      <w:pPr>
        <w:pStyle w:val="FootnoteText"/>
        <w:rPr>
          <w:lang w:val="en-ZA"/>
        </w:rPr>
      </w:pPr>
      <w:r w:rsidRPr="00387E57">
        <w:rPr>
          <w:rStyle w:val="FootnoteReference"/>
        </w:rPr>
        <w:footnoteRef/>
      </w:r>
      <w:r w:rsidRPr="00387E57">
        <w:rPr>
          <w:i/>
          <w:iCs/>
          <w:lang w:val="en-GB"/>
        </w:rPr>
        <w:t>Haakdoringbult Boerdery CC &amp; others v Mphela &amp; others</w:t>
      </w:r>
      <w:r w:rsidRPr="00387E57">
        <w:t xml:space="preserve"> </w:t>
      </w:r>
      <w:r w:rsidRPr="00387E57">
        <w:rPr>
          <w:lang w:val="en-GB"/>
        </w:rPr>
        <w:t>2007 (5) SA 596 (SCA) para 76.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1B9C" w14:textId="77777777" w:rsidR="00F82524" w:rsidRDefault="00F82524" w:rsidP="00F817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51BF1" w14:textId="77777777" w:rsidR="00F82524" w:rsidRDefault="00F82524" w:rsidP="00F8171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85CB4" w14:textId="2F32F195" w:rsidR="00F82524" w:rsidRPr="003A1840" w:rsidRDefault="00F82524" w:rsidP="00F8171D">
    <w:pPr>
      <w:pStyle w:val="Header"/>
      <w:framePr w:wrap="around" w:vAnchor="text" w:hAnchor="page" w:x="10190" w:y="-54"/>
      <w:rPr>
        <w:rStyle w:val="PageNumber"/>
      </w:rPr>
    </w:pPr>
    <w:r w:rsidRPr="003A1840">
      <w:rPr>
        <w:rStyle w:val="PageNumber"/>
      </w:rPr>
      <w:fldChar w:fldCharType="begin"/>
    </w:r>
    <w:r w:rsidRPr="003A1840">
      <w:rPr>
        <w:rStyle w:val="PageNumber"/>
      </w:rPr>
      <w:instrText xml:space="preserve">PAGE  </w:instrText>
    </w:r>
    <w:r w:rsidRPr="003A1840">
      <w:rPr>
        <w:rStyle w:val="PageNumber"/>
      </w:rPr>
      <w:fldChar w:fldCharType="separate"/>
    </w:r>
    <w:r w:rsidR="00905D78">
      <w:rPr>
        <w:rStyle w:val="PageNumber"/>
        <w:noProof/>
      </w:rPr>
      <w:t>4</w:t>
    </w:r>
    <w:r w:rsidRPr="003A1840">
      <w:rPr>
        <w:rStyle w:val="PageNumber"/>
      </w:rPr>
      <w:fldChar w:fldCharType="end"/>
    </w:r>
  </w:p>
  <w:p w14:paraId="37C93EEE" w14:textId="77777777" w:rsidR="00F82524" w:rsidRPr="002533B8" w:rsidRDefault="00F82524" w:rsidP="00F8171D">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A6ED2"/>
    <w:multiLevelType w:val="hybridMultilevel"/>
    <w:tmpl w:val="3BA239D6"/>
    <w:lvl w:ilvl="0" w:tplc="C34E37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C37DA8"/>
    <w:multiLevelType w:val="hybridMultilevel"/>
    <w:tmpl w:val="5500431E"/>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E92D3E"/>
    <w:multiLevelType w:val="hybridMultilevel"/>
    <w:tmpl w:val="F52C6222"/>
    <w:lvl w:ilvl="0" w:tplc="263E811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37A72EF"/>
    <w:multiLevelType w:val="hybridMultilevel"/>
    <w:tmpl w:val="C1428C6A"/>
    <w:lvl w:ilvl="0" w:tplc="C02274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71C5026"/>
    <w:multiLevelType w:val="hybridMultilevel"/>
    <w:tmpl w:val="ACFA7116"/>
    <w:lvl w:ilvl="0" w:tplc="A65E0A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A74109B"/>
    <w:multiLevelType w:val="hybridMultilevel"/>
    <w:tmpl w:val="C0364F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597B65"/>
    <w:multiLevelType w:val="hybridMultilevel"/>
    <w:tmpl w:val="5500431E"/>
    <w:lvl w:ilvl="0" w:tplc="2356E0E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8C183D"/>
    <w:multiLevelType w:val="hybridMultilevel"/>
    <w:tmpl w:val="DB3E7B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8AC2061"/>
    <w:multiLevelType w:val="hybridMultilevel"/>
    <w:tmpl w:val="5500431E"/>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D872759"/>
    <w:multiLevelType w:val="hybridMultilevel"/>
    <w:tmpl w:val="3514B9B6"/>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2D92E00"/>
    <w:multiLevelType w:val="hybridMultilevel"/>
    <w:tmpl w:val="0736FC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9" w15:restartNumberingAfterBreak="0">
    <w:nsid w:val="79A27B77"/>
    <w:multiLevelType w:val="hybridMultilevel"/>
    <w:tmpl w:val="5500431E"/>
    <w:lvl w:ilvl="0" w:tplc="2356E0E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5"/>
  </w:num>
  <w:num w:numId="3">
    <w:abstractNumId w:val="16"/>
  </w:num>
  <w:num w:numId="4">
    <w:abstractNumId w:val="9"/>
  </w:num>
  <w:num w:numId="5">
    <w:abstractNumId w:val="25"/>
  </w:num>
  <w:num w:numId="6">
    <w:abstractNumId w:val="11"/>
  </w:num>
  <w:num w:numId="7">
    <w:abstractNumId w:val="17"/>
  </w:num>
  <w:num w:numId="8">
    <w:abstractNumId w:val="2"/>
  </w:num>
  <w:num w:numId="9">
    <w:abstractNumId w:val="15"/>
  </w:num>
  <w:num w:numId="10">
    <w:abstractNumId w:val="28"/>
  </w:num>
  <w:num w:numId="11">
    <w:abstractNumId w:val="20"/>
  </w:num>
  <w:num w:numId="12">
    <w:abstractNumId w:val="27"/>
  </w:num>
  <w:num w:numId="13">
    <w:abstractNumId w:val="7"/>
  </w:num>
  <w:num w:numId="14">
    <w:abstractNumId w:val="22"/>
  </w:num>
  <w:num w:numId="15">
    <w:abstractNumId w:val="24"/>
  </w:num>
  <w:num w:numId="16">
    <w:abstractNumId w:val="18"/>
  </w:num>
  <w:num w:numId="17">
    <w:abstractNumId w:val="30"/>
  </w:num>
  <w:num w:numId="18">
    <w:abstractNumId w:val="0"/>
  </w:num>
  <w:num w:numId="19">
    <w:abstractNumId w:val="19"/>
  </w:num>
  <w:num w:numId="20">
    <w:abstractNumId w:val="8"/>
  </w:num>
  <w:num w:numId="21">
    <w:abstractNumId w:val="13"/>
  </w:num>
  <w:num w:numId="22">
    <w:abstractNumId w:val="12"/>
  </w:num>
  <w:num w:numId="23">
    <w:abstractNumId w:val="10"/>
  </w:num>
  <w:num w:numId="24">
    <w:abstractNumId w:val="21"/>
  </w:num>
  <w:num w:numId="25">
    <w:abstractNumId w:val="26"/>
  </w:num>
  <w:num w:numId="26">
    <w:abstractNumId w:val="3"/>
  </w:num>
  <w:num w:numId="27">
    <w:abstractNumId w:val="14"/>
  </w:num>
  <w:num w:numId="28">
    <w:abstractNumId w:val="6"/>
  </w:num>
  <w:num w:numId="29">
    <w:abstractNumId w:val="4"/>
  </w:num>
  <w:num w:numId="30">
    <w:abstractNumId w:val="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33"/>
    <w:rsid w:val="0000035E"/>
    <w:rsid w:val="00002E6E"/>
    <w:rsid w:val="00003BC0"/>
    <w:rsid w:val="000042AC"/>
    <w:rsid w:val="00006BEB"/>
    <w:rsid w:val="00010503"/>
    <w:rsid w:val="000110A6"/>
    <w:rsid w:val="00012AF4"/>
    <w:rsid w:val="00017C9F"/>
    <w:rsid w:val="000224B7"/>
    <w:rsid w:val="0002538C"/>
    <w:rsid w:val="00030AE2"/>
    <w:rsid w:val="000317C9"/>
    <w:rsid w:val="000322B5"/>
    <w:rsid w:val="00042A40"/>
    <w:rsid w:val="00051398"/>
    <w:rsid w:val="00054D8E"/>
    <w:rsid w:val="00061E86"/>
    <w:rsid w:val="00062C89"/>
    <w:rsid w:val="0006473A"/>
    <w:rsid w:val="00075F2B"/>
    <w:rsid w:val="00076409"/>
    <w:rsid w:val="000776BE"/>
    <w:rsid w:val="00080CF5"/>
    <w:rsid w:val="00083C52"/>
    <w:rsid w:val="00084BD8"/>
    <w:rsid w:val="000858B7"/>
    <w:rsid w:val="00085911"/>
    <w:rsid w:val="00090DAD"/>
    <w:rsid w:val="00091E35"/>
    <w:rsid w:val="000A0510"/>
    <w:rsid w:val="000A1E9D"/>
    <w:rsid w:val="000A2BC9"/>
    <w:rsid w:val="000A606F"/>
    <w:rsid w:val="000A652C"/>
    <w:rsid w:val="000A6F74"/>
    <w:rsid w:val="000B08F5"/>
    <w:rsid w:val="000B1B3F"/>
    <w:rsid w:val="000B1E76"/>
    <w:rsid w:val="000B1FC8"/>
    <w:rsid w:val="000B51E9"/>
    <w:rsid w:val="000C3675"/>
    <w:rsid w:val="000C578E"/>
    <w:rsid w:val="000D1281"/>
    <w:rsid w:val="000D1E7D"/>
    <w:rsid w:val="000D25A5"/>
    <w:rsid w:val="000D490C"/>
    <w:rsid w:val="000D69F3"/>
    <w:rsid w:val="000E0216"/>
    <w:rsid w:val="000E362F"/>
    <w:rsid w:val="000E778B"/>
    <w:rsid w:val="000F479A"/>
    <w:rsid w:val="00102E4F"/>
    <w:rsid w:val="001150E7"/>
    <w:rsid w:val="00116634"/>
    <w:rsid w:val="001168D2"/>
    <w:rsid w:val="00122DED"/>
    <w:rsid w:val="001256CF"/>
    <w:rsid w:val="00134472"/>
    <w:rsid w:val="00136439"/>
    <w:rsid w:val="00137334"/>
    <w:rsid w:val="001379AB"/>
    <w:rsid w:val="00137E1B"/>
    <w:rsid w:val="0014003D"/>
    <w:rsid w:val="00141BF3"/>
    <w:rsid w:val="00141FBB"/>
    <w:rsid w:val="001441BC"/>
    <w:rsid w:val="00145168"/>
    <w:rsid w:val="00150245"/>
    <w:rsid w:val="001507CB"/>
    <w:rsid w:val="001531D2"/>
    <w:rsid w:val="001536E1"/>
    <w:rsid w:val="001552D8"/>
    <w:rsid w:val="00156AC5"/>
    <w:rsid w:val="00163510"/>
    <w:rsid w:val="00163FAC"/>
    <w:rsid w:val="00166E75"/>
    <w:rsid w:val="0016706F"/>
    <w:rsid w:val="00172E2C"/>
    <w:rsid w:val="001736BE"/>
    <w:rsid w:val="00176408"/>
    <w:rsid w:val="00177401"/>
    <w:rsid w:val="00177FC6"/>
    <w:rsid w:val="001801BF"/>
    <w:rsid w:val="00185CA7"/>
    <w:rsid w:val="00192264"/>
    <w:rsid w:val="001923EB"/>
    <w:rsid w:val="00192BFF"/>
    <w:rsid w:val="00194E0B"/>
    <w:rsid w:val="00195FB1"/>
    <w:rsid w:val="001A0A72"/>
    <w:rsid w:val="001A17B8"/>
    <w:rsid w:val="001A6251"/>
    <w:rsid w:val="001A74A4"/>
    <w:rsid w:val="001B14CF"/>
    <w:rsid w:val="001B21E9"/>
    <w:rsid w:val="001B33EF"/>
    <w:rsid w:val="001B401A"/>
    <w:rsid w:val="001B4864"/>
    <w:rsid w:val="001B4F32"/>
    <w:rsid w:val="001B50AA"/>
    <w:rsid w:val="001B5101"/>
    <w:rsid w:val="001B68B7"/>
    <w:rsid w:val="001B7A23"/>
    <w:rsid w:val="001C1D85"/>
    <w:rsid w:val="001C24FD"/>
    <w:rsid w:val="001C2C9B"/>
    <w:rsid w:val="001C3ACD"/>
    <w:rsid w:val="001C43BF"/>
    <w:rsid w:val="001C534F"/>
    <w:rsid w:val="001C6D07"/>
    <w:rsid w:val="001D0596"/>
    <w:rsid w:val="001D313D"/>
    <w:rsid w:val="001E27A6"/>
    <w:rsid w:val="001E40F8"/>
    <w:rsid w:val="001E429E"/>
    <w:rsid w:val="001E4EE0"/>
    <w:rsid w:val="001E5D35"/>
    <w:rsid w:val="001E6922"/>
    <w:rsid w:val="001E6E4E"/>
    <w:rsid w:val="001F1EE4"/>
    <w:rsid w:val="001F3DB6"/>
    <w:rsid w:val="001F4656"/>
    <w:rsid w:val="002023E5"/>
    <w:rsid w:val="002108B4"/>
    <w:rsid w:val="00211441"/>
    <w:rsid w:val="00211918"/>
    <w:rsid w:val="00211D9A"/>
    <w:rsid w:val="00212D4A"/>
    <w:rsid w:val="00214928"/>
    <w:rsid w:val="00214958"/>
    <w:rsid w:val="00214C96"/>
    <w:rsid w:val="00215E32"/>
    <w:rsid w:val="00216177"/>
    <w:rsid w:val="00217C6B"/>
    <w:rsid w:val="00220BFA"/>
    <w:rsid w:val="002257F1"/>
    <w:rsid w:val="002307F9"/>
    <w:rsid w:val="00230CDB"/>
    <w:rsid w:val="00243354"/>
    <w:rsid w:val="00243484"/>
    <w:rsid w:val="00243F04"/>
    <w:rsid w:val="002453CA"/>
    <w:rsid w:val="0024704B"/>
    <w:rsid w:val="00250409"/>
    <w:rsid w:val="00256945"/>
    <w:rsid w:val="00256AA8"/>
    <w:rsid w:val="00257706"/>
    <w:rsid w:val="00257A02"/>
    <w:rsid w:val="00260448"/>
    <w:rsid w:val="00262202"/>
    <w:rsid w:val="00263A37"/>
    <w:rsid w:val="00273973"/>
    <w:rsid w:val="00274DB4"/>
    <w:rsid w:val="0027686E"/>
    <w:rsid w:val="0028109D"/>
    <w:rsid w:val="0028638A"/>
    <w:rsid w:val="00292D87"/>
    <w:rsid w:val="002A044B"/>
    <w:rsid w:val="002A1438"/>
    <w:rsid w:val="002A18F3"/>
    <w:rsid w:val="002A74E7"/>
    <w:rsid w:val="002B1E60"/>
    <w:rsid w:val="002B1ED1"/>
    <w:rsid w:val="002B2309"/>
    <w:rsid w:val="002B37D8"/>
    <w:rsid w:val="002B6E69"/>
    <w:rsid w:val="002B7173"/>
    <w:rsid w:val="002B7477"/>
    <w:rsid w:val="002B7F05"/>
    <w:rsid w:val="002C286B"/>
    <w:rsid w:val="002C3971"/>
    <w:rsid w:val="002C540A"/>
    <w:rsid w:val="002C5B96"/>
    <w:rsid w:val="002D2675"/>
    <w:rsid w:val="002D77A3"/>
    <w:rsid w:val="002E5A80"/>
    <w:rsid w:val="002F2519"/>
    <w:rsid w:val="002F3696"/>
    <w:rsid w:val="00313B55"/>
    <w:rsid w:val="003155A0"/>
    <w:rsid w:val="00317593"/>
    <w:rsid w:val="003206CD"/>
    <w:rsid w:val="00322707"/>
    <w:rsid w:val="00322FDC"/>
    <w:rsid w:val="00326C83"/>
    <w:rsid w:val="00332B06"/>
    <w:rsid w:val="003432D0"/>
    <w:rsid w:val="00347D4E"/>
    <w:rsid w:val="00362F9E"/>
    <w:rsid w:val="0036481C"/>
    <w:rsid w:val="003650F2"/>
    <w:rsid w:val="00366C12"/>
    <w:rsid w:val="00367AD8"/>
    <w:rsid w:val="003719EF"/>
    <w:rsid w:val="00373DC9"/>
    <w:rsid w:val="00374C86"/>
    <w:rsid w:val="0037656B"/>
    <w:rsid w:val="00382DD8"/>
    <w:rsid w:val="0038443A"/>
    <w:rsid w:val="00384B7B"/>
    <w:rsid w:val="003854AA"/>
    <w:rsid w:val="00387E57"/>
    <w:rsid w:val="0039180B"/>
    <w:rsid w:val="003923CD"/>
    <w:rsid w:val="00394105"/>
    <w:rsid w:val="003958A9"/>
    <w:rsid w:val="0039636F"/>
    <w:rsid w:val="003969DE"/>
    <w:rsid w:val="003A03A1"/>
    <w:rsid w:val="003A4FF3"/>
    <w:rsid w:val="003B41ED"/>
    <w:rsid w:val="003C084A"/>
    <w:rsid w:val="003C1219"/>
    <w:rsid w:val="003C3C59"/>
    <w:rsid w:val="003D5350"/>
    <w:rsid w:val="003E1463"/>
    <w:rsid w:val="003E25DA"/>
    <w:rsid w:val="003E29AF"/>
    <w:rsid w:val="003E39AB"/>
    <w:rsid w:val="003E49D5"/>
    <w:rsid w:val="003E6FF2"/>
    <w:rsid w:val="003E752A"/>
    <w:rsid w:val="003F7862"/>
    <w:rsid w:val="00400FFC"/>
    <w:rsid w:val="00403307"/>
    <w:rsid w:val="00403D8E"/>
    <w:rsid w:val="0041349C"/>
    <w:rsid w:val="0041652D"/>
    <w:rsid w:val="00420695"/>
    <w:rsid w:val="0042412B"/>
    <w:rsid w:val="00424145"/>
    <w:rsid w:val="00424B48"/>
    <w:rsid w:val="004255BF"/>
    <w:rsid w:val="00430D67"/>
    <w:rsid w:val="004332F7"/>
    <w:rsid w:val="00433D50"/>
    <w:rsid w:val="004370BD"/>
    <w:rsid w:val="004374DF"/>
    <w:rsid w:val="004379DB"/>
    <w:rsid w:val="00442B87"/>
    <w:rsid w:val="00446DD5"/>
    <w:rsid w:val="00447771"/>
    <w:rsid w:val="004505B4"/>
    <w:rsid w:val="004506C4"/>
    <w:rsid w:val="00453003"/>
    <w:rsid w:val="00456683"/>
    <w:rsid w:val="004617E9"/>
    <w:rsid w:val="00463349"/>
    <w:rsid w:val="00463BFC"/>
    <w:rsid w:val="00463FAF"/>
    <w:rsid w:val="00464544"/>
    <w:rsid w:val="00464CCB"/>
    <w:rsid w:val="00470680"/>
    <w:rsid w:val="004737A6"/>
    <w:rsid w:val="0047430A"/>
    <w:rsid w:val="004808AC"/>
    <w:rsid w:val="00482DAA"/>
    <w:rsid w:val="0048358A"/>
    <w:rsid w:val="00483723"/>
    <w:rsid w:val="004840FE"/>
    <w:rsid w:val="004862F4"/>
    <w:rsid w:val="00490360"/>
    <w:rsid w:val="00490B84"/>
    <w:rsid w:val="00490C49"/>
    <w:rsid w:val="00492279"/>
    <w:rsid w:val="00493044"/>
    <w:rsid w:val="004967C9"/>
    <w:rsid w:val="004A0222"/>
    <w:rsid w:val="004A0B8C"/>
    <w:rsid w:val="004A180D"/>
    <w:rsid w:val="004A33D0"/>
    <w:rsid w:val="004A3FB3"/>
    <w:rsid w:val="004A48F0"/>
    <w:rsid w:val="004A49FD"/>
    <w:rsid w:val="004A5157"/>
    <w:rsid w:val="004A550B"/>
    <w:rsid w:val="004A555C"/>
    <w:rsid w:val="004B42A7"/>
    <w:rsid w:val="004B5006"/>
    <w:rsid w:val="004B6AF5"/>
    <w:rsid w:val="004C15AD"/>
    <w:rsid w:val="004C4811"/>
    <w:rsid w:val="004D5275"/>
    <w:rsid w:val="004E4C6D"/>
    <w:rsid w:val="004E5A87"/>
    <w:rsid w:val="004F1E42"/>
    <w:rsid w:val="004F54E4"/>
    <w:rsid w:val="004F58E3"/>
    <w:rsid w:val="004F62C6"/>
    <w:rsid w:val="00501A06"/>
    <w:rsid w:val="00505633"/>
    <w:rsid w:val="00506DF1"/>
    <w:rsid w:val="00510A5F"/>
    <w:rsid w:val="0051202D"/>
    <w:rsid w:val="00513E8F"/>
    <w:rsid w:val="0051538F"/>
    <w:rsid w:val="005155FD"/>
    <w:rsid w:val="005202DA"/>
    <w:rsid w:val="00521098"/>
    <w:rsid w:val="00522080"/>
    <w:rsid w:val="00524151"/>
    <w:rsid w:val="00533838"/>
    <w:rsid w:val="0053775D"/>
    <w:rsid w:val="00537B2E"/>
    <w:rsid w:val="00541D42"/>
    <w:rsid w:val="00543384"/>
    <w:rsid w:val="00545202"/>
    <w:rsid w:val="00547FB3"/>
    <w:rsid w:val="0055586E"/>
    <w:rsid w:val="00557C6C"/>
    <w:rsid w:val="00557C95"/>
    <w:rsid w:val="005605B7"/>
    <w:rsid w:val="00561429"/>
    <w:rsid w:val="00561A78"/>
    <w:rsid w:val="00562F08"/>
    <w:rsid w:val="00563858"/>
    <w:rsid w:val="0056423B"/>
    <w:rsid w:val="005672F6"/>
    <w:rsid w:val="00580018"/>
    <w:rsid w:val="00582091"/>
    <w:rsid w:val="005842A7"/>
    <w:rsid w:val="0059125B"/>
    <w:rsid w:val="00597860"/>
    <w:rsid w:val="005A01DD"/>
    <w:rsid w:val="005A7E46"/>
    <w:rsid w:val="005B06DD"/>
    <w:rsid w:val="005B21E9"/>
    <w:rsid w:val="005B3434"/>
    <w:rsid w:val="005B7105"/>
    <w:rsid w:val="005C099C"/>
    <w:rsid w:val="005C1156"/>
    <w:rsid w:val="005C4819"/>
    <w:rsid w:val="005C540A"/>
    <w:rsid w:val="005C78A3"/>
    <w:rsid w:val="005C7F4C"/>
    <w:rsid w:val="005D11FE"/>
    <w:rsid w:val="005D39BD"/>
    <w:rsid w:val="005D3FBB"/>
    <w:rsid w:val="005D532E"/>
    <w:rsid w:val="005D5E03"/>
    <w:rsid w:val="005D66A6"/>
    <w:rsid w:val="005D6E9D"/>
    <w:rsid w:val="005D7CE3"/>
    <w:rsid w:val="005E0FA4"/>
    <w:rsid w:val="005E2825"/>
    <w:rsid w:val="005E6356"/>
    <w:rsid w:val="005E6516"/>
    <w:rsid w:val="005E6872"/>
    <w:rsid w:val="005E7978"/>
    <w:rsid w:val="005F0711"/>
    <w:rsid w:val="005F62F4"/>
    <w:rsid w:val="0060186D"/>
    <w:rsid w:val="00602AA0"/>
    <w:rsid w:val="006031D8"/>
    <w:rsid w:val="006104BF"/>
    <w:rsid w:val="00610FA5"/>
    <w:rsid w:val="006113CD"/>
    <w:rsid w:val="00611D27"/>
    <w:rsid w:val="00612581"/>
    <w:rsid w:val="0061301D"/>
    <w:rsid w:val="00613BC1"/>
    <w:rsid w:val="00613CA0"/>
    <w:rsid w:val="00614562"/>
    <w:rsid w:val="006150BC"/>
    <w:rsid w:val="00617E9F"/>
    <w:rsid w:val="00625BA9"/>
    <w:rsid w:val="00627554"/>
    <w:rsid w:val="00632A3A"/>
    <w:rsid w:val="006335A9"/>
    <w:rsid w:val="00635E63"/>
    <w:rsid w:val="00636689"/>
    <w:rsid w:val="00637688"/>
    <w:rsid w:val="006377A0"/>
    <w:rsid w:val="006432ED"/>
    <w:rsid w:val="00644128"/>
    <w:rsid w:val="00646FB3"/>
    <w:rsid w:val="00650471"/>
    <w:rsid w:val="00650849"/>
    <w:rsid w:val="00650AE1"/>
    <w:rsid w:val="00650B2A"/>
    <w:rsid w:val="00653793"/>
    <w:rsid w:val="0065624A"/>
    <w:rsid w:val="00657B4B"/>
    <w:rsid w:val="0066064A"/>
    <w:rsid w:val="0066200A"/>
    <w:rsid w:val="00663ED4"/>
    <w:rsid w:val="00664004"/>
    <w:rsid w:val="0066436F"/>
    <w:rsid w:val="00664AED"/>
    <w:rsid w:val="00665D31"/>
    <w:rsid w:val="0066631C"/>
    <w:rsid w:val="00670CEA"/>
    <w:rsid w:val="006745AC"/>
    <w:rsid w:val="00676764"/>
    <w:rsid w:val="00677D2B"/>
    <w:rsid w:val="00680442"/>
    <w:rsid w:val="00680E98"/>
    <w:rsid w:val="0068244C"/>
    <w:rsid w:val="00687345"/>
    <w:rsid w:val="00692855"/>
    <w:rsid w:val="0069372B"/>
    <w:rsid w:val="006939EC"/>
    <w:rsid w:val="00694E4C"/>
    <w:rsid w:val="0069681D"/>
    <w:rsid w:val="006A1A0A"/>
    <w:rsid w:val="006A4A15"/>
    <w:rsid w:val="006A4FA2"/>
    <w:rsid w:val="006A7F29"/>
    <w:rsid w:val="006C18DD"/>
    <w:rsid w:val="006C242E"/>
    <w:rsid w:val="006C7833"/>
    <w:rsid w:val="006D3515"/>
    <w:rsid w:val="006E16C7"/>
    <w:rsid w:val="006E47CA"/>
    <w:rsid w:val="006E51E1"/>
    <w:rsid w:val="006E5BCE"/>
    <w:rsid w:val="006F3F34"/>
    <w:rsid w:val="006F40C4"/>
    <w:rsid w:val="006F45B3"/>
    <w:rsid w:val="006F68DF"/>
    <w:rsid w:val="006F6D72"/>
    <w:rsid w:val="006F7180"/>
    <w:rsid w:val="00700584"/>
    <w:rsid w:val="00701C65"/>
    <w:rsid w:val="007055EB"/>
    <w:rsid w:val="00705618"/>
    <w:rsid w:val="007101A2"/>
    <w:rsid w:val="00712101"/>
    <w:rsid w:val="00713D0B"/>
    <w:rsid w:val="00714B21"/>
    <w:rsid w:val="00717323"/>
    <w:rsid w:val="00717A87"/>
    <w:rsid w:val="00717DD6"/>
    <w:rsid w:val="00720DAD"/>
    <w:rsid w:val="00721282"/>
    <w:rsid w:val="00725567"/>
    <w:rsid w:val="0072562C"/>
    <w:rsid w:val="00731398"/>
    <w:rsid w:val="00732D91"/>
    <w:rsid w:val="00733944"/>
    <w:rsid w:val="00733F9B"/>
    <w:rsid w:val="00734B07"/>
    <w:rsid w:val="007432ED"/>
    <w:rsid w:val="007438E2"/>
    <w:rsid w:val="0074402C"/>
    <w:rsid w:val="0074416B"/>
    <w:rsid w:val="00747F62"/>
    <w:rsid w:val="007537C6"/>
    <w:rsid w:val="00762F59"/>
    <w:rsid w:val="00767388"/>
    <w:rsid w:val="00767749"/>
    <w:rsid w:val="00770890"/>
    <w:rsid w:val="00772F5C"/>
    <w:rsid w:val="00774A33"/>
    <w:rsid w:val="00775D5A"/>
    <w:rsid w:val="0077635F"/>
    <w:rsid w:val="007826A4"/>
    <w:rsid w:val="00786995"/>
    <w:rsid w:val="00786DDD"/>
    <w:rsid w:val="00790D5A"/>
    <w:rsid w:val="00791830"/>
    <w:rsid w:val="00792AE3"/>
    <w:rsid w:val="0079476F"/>
    <w:rsid w:val="00795A33"/>
    <w:rsid w:val="0079613C"/>
    <w:rsid w:val="00797946"/>
    <w:rsid w:val="00797AFC"/>
    <w:rsid w:val="007A0808"/>
    <w:rsid w:val="007A0DC5"/>
    <w:rsid w:val="007A2C9C"/>
    <w:rsid w:val="007A3B34"/>
    <w:rsid w:val="007A3D33"/>
    <w:rsid w:val="007B0168"/>
    <w:rsid w:val="007B0ED9"/>
    <w:rsid w:val="007B20F3"/>
    <w:rsid w:val="007B34DA"/>
    <w:rsid w:val="007B5ABB"/>
    <w:rsid w:val="007C105F"/>
    <w:rsid w:val="007C2CEC"/>
    <w:rsid w:val="007C3202"/>
    <w:rsid w:val="007C7741"/>
    <w:rsid w:val="007C7C09"/>
    <w:rsid w:val="007D1C3A"/>
    <w:rsid w:val="007D23F5"/>
    <w:rsid w:val="007D40D2"/>
    <w:rsid w:val="007D4575"/>
    <w:rsid w:val="007D5BED"/>
    <w:rsid w:val="007D62F8"/>
    <w:rsid w:val="007D70FC"/>
    <w:rsid w:val="007D7B7D"/>
    <w:rsid w:val="007E1B04"/>
    <w:rsid w:val="007E25EE"/>
    <w:rsid w:val="007E4152"/>
    <w:rsid w:val="007E436C"/>
    <w:rsid w:val="007E4456"/>
    <w:rsid w:val="007E5947"/>
    <w:rsid w:val="007F2F01"/>
    <w:rsid w:val="007F3691"/>
    <w:rsid w:val="007F738F"/>
    <w:rsid w:val="007F7794"/>
    <w:rsid w:val="0080571B"/>
    <w:rsid w:val="00805FEC"/>
    <w:rsid w:val="00806F1D"/>
    <w:rsid w:val="008074F7"/>
    <w:rsid w:val="00807954"/>
    <w:rsid w:val="00811A77"/>
    <w:rsid w:val="008144D9"/>
    <w:rsid w:val="008147BA"/>
    <w:rsid w:val="008307BE"/>
    <w:rsid w:val="00834E03"/>
    <w:rsid w:val="00843ABA"/>
    <w:rsid w:val="00846CBD"/>
    <w:rsid w:val="00853AB9"/>
    <w:rsid w:val="00855985"/>
    <w:rsid w:val="00856E8B"/>
    <w:rsid w:val="00861C3E"/>
    <w:rsid w:val="00862F5F"/>
    <w:rsid w:val="00866A4E"/>
    <w:rsid w:val="00870DBC"/>
    <w:rsid w:val="00872CA7"/>
    <w:rsid w:val="00873C13"/>
    <w:rsid w:val="00875D4E"/>
    <w:rsid w:val="008809DF"/>
    <w:rsid w:val="008856B9"/>
    <w:rsid w:val="00885BCA"/>
    <w:rsid w:val="0088727D"/>
    <w:rsid w:val="00890F4A"/>
    <w:rsid w:val="00891916"/>
    <w:rsid w:val="008926BC"/>
    <w:rsid w:val="008928D9"/>
    <w:rsid w:val="008A322B"/>
    <w:rsid w:val="008A5BEE"/>
    <w:rsid w:val="008B0F03"/>
    <w:rsid w:val="008B5ED2"/>
    <w:rsid w:val="008B633E"/>
    <w:rsid w:val="008B7850"/>
    <w:rsid w:val="008C0EC7"/>
    <w:rsid w:val="008C1F2B"/>
    <w:rsid w:val="008C3780"/>
    <w:rsid w:val="008C44AE"/>
    <w:rsid w:val="008D1D4C"/>
    <w:rsid w:val="008D6DA1"/>
    <w:rsid w:val="008E02FE"/>
    <w:rsid w:val="008E1A2F"/>
    <w:rsid w:val="008E26BC"/>
    <w:rsid w:val="008E3D78"/>
    <w:rsid w:val="008F0888"/>
    <w:rsid w:val="008F242B"/>
    <w:rsid w:val="008F4168"/>
    <w:rsid w:val="008F65BD"/>
    <w:rsid w:val="008F768F"/>
    <w:rsid w:val="00900B8F"/>
    <w:rsid w:val="00901300"/>
    <w:rsid w:val="00902234"/>
    <w:rsid w:val="009047B2"/>
    <w:rsid w:val="00905D78"/>
    <w:rsid w:val="00906492"/>
    <w:rsid w:val="009134C4"/>
    <w:rsid w:val="00913E5B"/>
    <w:rsid w:val="0091472A"/>
    <w:rsid w:val="0092542B"/>
    <w:rsid w:val="009266FC"/>
    <w:rsid w:val="009279CD"/>
    <w:rsid w:val="00927C48"/>
    <w:rsid w:val="00932D29"/>
    <w:rsid w:val="00934094"/>
    <w:rsid w:val="00934389"/>
    <w:rsid w:val="009421B2"/>
    <w:rsid w:val="00942896"/>
    <w:rsid w:val="00942945"/>
    <w:rsid w:val="0094316A"/>
    <w:rsid w:val="00943AA4"/>
    <w:rsid w:val="00943D21"/>
    <w:rsid w:val="00945A82"/>
    <w:rsid w:val="00945D64"/>
    <w:rsid w:val="00947C95"/>
    <w:rsid w:val="009507DE"/>
    <w:rsid w:val="009525E9"/>
    <w:rsid w:val="00952F00"/>
    <w:rsid w:val="009534D2"/>
    <w:rsid w:val="00955B5C"/>
    <w:rsid w:val="009568B5"/>
    <w:rsid w:val="00961D56"/>
    <w:rsid w:val="00974B6E"/>
    <w:rsid w:val="009754CA"/>
    <w:rsid w:val="009763C9"/>
    <w:rsid w:val="009765C0"/>
    <w:rsid w:val="009806E5"/>
    <w:rsid w:val="0098396E"/>
    <w:rsid w:val="00984788"/>
    <w:rsid w:val="00985201"/>
    <w:rsid w:val="0099076A"/>
    <w:rsid w:val="00992E2C"/>
    <w:rsid w:val="00995465"/>
    <w:rsid w:val="00997793"/>
    <w:rsid w:val="009A1F11"/>
    <w:rsid w:val="009A2A05"/>
    <w:rsid w:val="009A4CF7"/>
    <w:rsid w:val="009A56FC"/>
    <w:rsid w:val="009A5FC1"/>
    <w:rsid w:val="009A7403"/>
    <w:rsid w:val="009A7AF6"/>
    <w:rsid w:val="009B28A6"/>
    <w:rsid w:val="009B6E7A"/>
    <w:rsid w:val="009C0970"/>
    <w:rsid w:val="009C19E6"/>
    <w:rsid w:val="009C383E"/>
    <w:rsid w:val="009D186C"/>
    <w:rsid w:val="009D37E0"/>
    <w:rsid w:val="009D3B68"/>
    <w:rsid w:val="009D3DCB"/>
    <w:rsid w:val="009D6542"/>
    <w:rsid w:val="009D7239"/>
    <w:rsid w:val="009E3331"/>
    <w:rsid w:val="009E515D"/>
    <w:rsid w:val="009E5F7F"/>
    <w:rsid w:val="009E6FC0"/>
    <w:rsid w:val="009E71A9"/>
    <w:rsid w:val="009F0DA3"/>
    <w:rsid w:val="009F1EAE"/>
    <w:rsid w:val="009F3F6C"/>
    <w:rsid w:val="009F43B0"/>
    <w:rsid w:val="00A0410D"/>
    <w:rsid w:val="00A06D58"/>
    <w:rsid w:val="00A10023"/>
    <w:rsid w:val="00A11347"/>
    <w:rsid w:val="00A11485"/>
    <w:rsid w:val="00A119A8"/>
    <w:rsid w:val="00A137FB"/>
    <w:rsid w:val="00A13EBF"/>
    <w:rsid w:val="00A14E9D"/>
    <w:rsid w:val="00A24A0A"/>
    <w:rsid w:val="00A25FFF"/>
    <w:rsid w:val="00A265F6"/>
    <w:rsid w:val="00A3169D"/>
    <w:rsid w:val="00A32B50"/>
    <w:rsid w:val="00A3317A"/>
    <w:rsid w:val="00A35FDB"/>
    <w:rsid w:val="00A36FE1"/>
    <w:rsid w:val="00A37435"/>
    <w:rsid w:val="00A41076"/>
    <w:rsid w:val="00A44436"/>
    <w:rsid w:val="00A4500D"/>
    <w:rsid w:val="00A4570B"/>
    <w:rsid w:val="00A51929"/>
    <w:rsid w:val="00A56E85"/>
    <w:rsid w:val="00A6016A"/>
    <w:rsid w:val="00A61D51"/>
    <w:rsid w:val="00A62C99"/>
    <w:rsid w:val="00A706B8"/>
    <w:rsid w:val="00A70C58"/>
    <w:rsid w:val="00A71B80"/>
    <w:rsid w:val="00A72873"/>
    <w:rsid w:val="00A73C28"/>
    <w:rsid w:val="00A830D7"/>
    <w:rsid w:val="00A85829"/>
    <w:rsid w:val="00A86C2E"/>
    <w:rsid w:val="00A873D6"/>
    <w:rsid w:val="00A90CB9"/>
    <w:rsid w:val="00A910E5"/>
    <w:rsid w:val="00A942D3"/>
    <w:rsid w:val="00A94745"/>
    <w:rsid w:val="00A94FA3"/>
    <w:rsid w:val="00A97EEA"/>
    <w:rsid w:val="00AA0A55"/>
    <w:rsid w:val="00AA372C"/>
    <w:rsid w:val="00AA4829"/>
    <w:rsid w:val="00AA7030"/>
    <w:rsid w:val="00AB2DF8"/>
    <w:rsid w:val="00AB4643"/>
    <w:rsid w:val="00AB5FBD"/>
    <w:rsid w:val="00AC0675"/>
    <w:rsid w:val="00AC077C"/>
    <w:rsid w:val="00AC5967"/>
    <w:rsid w:val="00AC5B51"/>
    <w:rsid w:val="00AD2527"/>
    <w:rsid w:val="00AD446E"/>
    <w:rsid w:val="00AD6BEA"/>
    <w:rsid w:val="00AD79C0"/>
    <w:rsid w:val="00AD7B80"/>
    <w:rsid w:val="00AE15D9"/>
    <w:rsid w:val="00AE1DB0"/>
    <w:rsid w:val="00AE56F8"/>
    <w:rsid w:val="00AF09CE"/>
    <w:rsid w:val="00AF1F81"/>
    <w:rsid w:val="00AF52F1"/>
    <w:rsid w:val="00AF6AC5"/>
    <w:rsid w:val="00AF72AF"/>
    <w:rsid w:val="00B00E8C"/>
    <w:rsid w:val="00B0434F"/>
    <w:rsid w:val="00B05C22"/>
    <w:rsid w:val="00B07179"/>
    <w:rsid w:val="00B14E61"/>
    <w:rsid w:val="00B16D5E"/>
    <w:rsid w:val="00B209FC"/>
    <w:rsid w:val="00B25577"/>
    <w:rsid w:val="00B26E39"/>
    <w:rsid w:val="00B35114"/>
    <w:rsid w:val="00B37CD5"/>
    <w:rsid w:val="00B42A65"/>
    <w:rsid w:val="00B43383"/>
    <w:rsid w:val="00B43845"/>
    <w:rsid w:val="00B43B99"/>
    <w:rsid w:val="00B44A67"/>
    <w:rsid w:val="00B45DF0"/>
    <w:rsid w:val="00B523AB"/>
    <w:rsid w:val="00B52EC9"/>
    <w:rsid w:val="00B56623"/>
    <w:rsid w:val="00B62ACA"/>
    <w:rsid w:val="00B70130"/>
    <w:rsid w:val="00B74185"/>
    <w:rsid w:val="00B80C8F"/>
    <w:rsid w:val="00B8489B"/>
    <w:rsid w:val="00B85552"/>
    <w:rsid w:val="00B87914"/>
    <w:rsid w:val="00B91FCF"/>
    <w:rsid w:val="00B969EB"/>
    <w:rsid w:val="00BA08BF"/>
    <w:rsid w:val="00BB3AF1"/>
    <w:rsid w:val="00BB4276"/>
    <w:rsid w:val="00BB522B"/>
    <w:rsid w:val="00BB7401"/>
    <w:rsid w:val="00BB7CDC"/>
    <w:rsid w:val="00BC2FF3"/>
    <w:rsid w:val="00BC4AB7"/>
    <w:rsid w:val="00BC50EE"/>
    <w:rsid w:val="00BC5F66"/>
    <w:rsid w:val="00BC6E4D"/>
    <w:rsid w:val="00BC732A"/>
    <w:rsid w:val="00BD0C75"/>
    <w:rsid w:val="00BD2CC9"/>
    <w:rsid w:val="00BD2FF8"/>
    <w:rsid w:val="00BD3301"/>
    <w:rsid w:val="00BD3A8D"/>
    <w:rsid w:val="00BD3E29"/>
    <w:rsid w:val="00BD5947"/>
    <w:rsid w:val="00BD6BC3"/>
    <w:rsid w:val="00BD7AB4"/>
    <w:rsid w:val="00BE03A6"/>
    <w:rsid w:val="00BE1288"/>
    <w:rsid w:val="00BE356F"/>
    <w:rsid w:val="00BE57AC"/>
    <w:rsid w:val="00BF0A9D"/>
    <w:rsid w:val="00BF5E18"/>
    <w:rsid w:val="00BF715E"/>
    <w:rsid w:val="00BF76DE"/>
    <w:rsid w:val="00C017B9"/>
    <w:rsid w:val="00C02F6C"/>
    <w:rsid w:val="00C03693"/>
    <w:rsid w:val="00C12E75"/>
    <w:rsid w:val="00C132BF"/>
    <w:rsid w:val="00C170C2"/>
    <w:rsid w:val="00C253A8"/>
    <w:rsid w:val="00C313EE"/>
    <w:rsid w:val="00C349A1"/>
    <w:rsid w:val="00C424E8"/>
    <w:rsid w:val="00C43122"/>
    <w:rsid w:val="00C44223"/>
    <w:rsid w:val="00C466AB"/>
    <w:rsid w:val="00C47EB3"/>
    <w:rsid w:val="00C50CEF"/>
    <w:rsid w:val="00C541FA"/>
    <w:rsid w:val="00C5672D"/>
    <w:rsid w:val="00C608C7"/>
    <w:rsid w:val="00C70F67"/>
    <w:rsid w:val="00C7166E"/>
    <w:rsid w:val="00C73308"/>
    <w:rsid w:val="00C73CD5"/>
    <w:rsid w:val="00C805FD"/>
    <w:rsid w:val="00C82605"/>
    <w:rsid w:val="00C84214"/>
    <w:rsid w:val="00C85266"/>
    <w:rsid w:val="00C85C28"/>
    <w:rsid w:val="00C868FE"/>
    <w:rsid w:val="00C90D41"/>
    <w:rsid w:val="00C91FE5"/>
    <w:rsid w:val="00C92F4B"/>
    <w:rsid w:val="00C94371"/>
    <w:rsid w:val="00C95230"/>
    <w:rsid w:val="00C95F96"/>
    <w:rsid w:val="00C964FC"/>
    <w:rsid w:val="00C97A01"/>
    <w:rsid w:val="00CA0A4A"/>
    <w:rsid w:val="00CA15B6"/>
    <w:rsid w:val="00CA2555"/>
    <w:rsid w:val="00CA3661"/>
    <w:rsid w:val="00CA44B8"/>
    <w:rsid w:val="00CA7BAE"/>
    <w:rsid w:val="00CB2508"/>
    <w:rsid w:val="00CB3E64"/>
    <w:rsid w:val="00CB4E51"/>
    <w:rsid w:val="00CB6BD6"/>
    <w:rsid w:val="00CC16D3"/>
    <w:rsid w:val="00CC34A1"/>
    <w:rsid w:val="00CC6388"/>
    <w:rsid w:val="00CC7988"/>
    <w:rsid w:val="00CD1B06"/>
    <w:rsid w:val="00CD1DDE"/>
    <w:rsid w:val="00CD4F23"/>
    <w:rsid w:val="00CD6C13"/>
    <w:rsid w:val="00CE0B83"/>
    <w:rsid w:val="00CE2BFF"/>
    <w:rsid w:val="00CE4EB5"/>
    <w:rsid w:val="00CE5735"/>
    <w:rsid w:val="00CF000D"/>
    <w:rsid w:val="00CF36FA"/>
    <w:rsid w:val="00D03AC3"/>
    <w:rsid w:val="00D0743D"/>
    <w:rsid w:val="00D105E0"/>
    <w:rsid w:val="00D113D1"/>
    <w:rsid w:val="00D16BBC"/>
    <w:rsid w:val="00D200BB"/>
    <w:rsid w:val="00D22C92"/>
    <w:rsid w:val="00D2306D"/>
    <w:rsid w:val="00D2580C"/>
    <w:rsid w:val="00D315CF"/>
    <w:rsid w:val="00D3223D"/>
    <w:rsid w:val="00D33234"/>
    <w:rsid w:val="00D35F06"/>
    <w:rsid w:val="00D37536"/>
    <w:rsid w:val="00D44ADB"/>
    <w:rsid w:val="00D44DA3"/>
    <w:rsid w:val="00D46D36"/>
    <w:rsid w:val="00D5431C"/>
    <w:rsid w:val="00D62D87"/>
    <w:rsid w:val="00D66419"/>
    <w:rsid w:val="00D66D9A"/>
    <w:rsid w:val="00D67589"/>
    <w:rsid w:val="00D70E8F"/>
    <w:rsid w:val="00D7156B"/>
    <w:rsid w:val="00D745F5"/>
    <w:rsid w:val="00D74FBE"/>
    <w:rsid w:val="00D75C47"/>
    <w:rsid w:val="00D76E53"/>
    <w:rsid w:val="00D77E97"/>
    <w:rsid w:val="00D8294F"/>
    <w:rsid w:val="00D84AB2"/>
    <w:rsid w:val="00D854C4"/>
    <w:rsid w:val="00D86A68"/>
    <w:rsid w:val="00D91450"/>
    <w:rsid w:val="00D926CC"/>
    <w:rsid w:val="00D94E75"/>
    <w:rsid w:val="00D958C4"/>
    <w:rsid w:val="00DA0C20"/>
    <w:rsid w:val="00DA3A40"/>
    <w:rsid w:val="00DA4894"/>
    <w:rsid w:val="00DA669C"/>
    <w:rsid w:val="00DA6C53"/>
    <w:rsid w:val="00DB026E"/>
    <w:rsid w:val="00DB5F13"/>
    <w:rsid w:val="00DB6D55"/>
    <w:rsid w:val="00DB7BC6"/>
    <w:rsid w:val="00DC2147"/>
    <w:rsid w:val="00DC4627"/>
    <w:rsid w:val="00DD738B"/>
    <w:rsid w:val="00DE2E2E"/>
    <w:rsid w:val="00DE35A3"/>
    <w:rsid w:val="00DE3CF8"/>
    <w:rsid w:val="00DE7706"/>
    <w:rsid w:val="00DE7A92"/>
    <w:rsid w:val="00DF0781"/>
    <w:rsid w:val="00DF0ACA"/>
    <w:rsid w:val="00DF112C"/>
    <w:rsid w:val="00DF1D78"/>
    <w:rsid w:val="00DF1FFC"/>
    <w:rsid w:val="00DF3E09"/>
    <w:rsid w:val="00DF5BF5"/>
    <w:rsid w:val="00E00705"/>
    <w:rsid w:val="00E031DD"/>
    <w:rsid w:val="00E04440"/>
    <w:rsid w:val="00E10149"/>
    <w:rsid w:val="00E14E8F"/>
    <w:rsid w:val="00E156B7"/>
    <w:rsid w:val="00E201C7"/>
    <w:rsid w:val="00E22446"/>
    <w:rsid w:val="00E236D7"/>
    <w:rsid w:val="00E24E04"/>
    <w:rsid w:val="00E2796D"/>
    <w:rsid w:val="00E3091E"/>
    <w:rsid w:val="00E32B8B"/>
    <w:rsid w:val="00E34D60"/>
    <w:rsid w:val="00E35055"/>
    <w:rsid w:val="00E3708C"/>
    <w:rsid w:val="00E370B7"/>
    <w:rsid w:val="00E373D6"/>
    <w:rsid w:val="00E461F9"/>
    <w:rsid w:val="00E46ACD"/>
    <w:rsid w:val="00E55C21"/>
    <w:rsid w:val="00E56084"/>
    <w:rsid w:val="00E56B94"/>
    <w:rsid w:val="00E610AF"/>
    <w:rsid w:val="00E62505"/>
    <w:rsid w:val="00E6366F"/>
    <w:rsid w:val="00E63892"/>
    <w:rsid w:val="00E63F9D"/>
    <w:rsid w:val="00E64D40"/>
    <w:rsid w:val="00E676C2"/>
    <w:rsid w:val="00E703E8"/>
    <w:rsid w:val="00E7060D"/>
    <w:rsid w:val="00E71DB2"/>
    <w:rsid w:val="00E74D27"/>
    <w:rsid w:val="00E803BC"/>
    <w:rsid w:val="00E83707"/>
    <w:rsid w:val="00E83C7D"/>
    <w:rsid w:val="00E857B6"/>
    <w:rsid w:val="00E8694A"/>
    <w:rsid w:val="00E911BE"/>
    <w:rsid w:val="00E918B9"/>
    <w:rsid w:val="00E91DBD"/>
    <w:rsid w:val="00E91FE4"/>
    <w:rsid w:val="00E921D8"/>
    <w:rsid w:val="00E92466"/>
    <w:rsid w:val="00E93057"/>
    <w:rsid w:val="00E93832"/>
    <w:rsid w:val="00E9450F"/>
    <w:rsid w:val="00E94950"/>
    <w:rsid w:val="00E965EE"/>
    <w:rsid w:val="00E97FB9"/>
    <w:rsid w:val="00EA15A3"/>
    <w:rsid w:val="00EA1FA6"/>
    <w:rsid w:val="00EA2789"/>
    <w:rsid w:val="00EA2D1A"/>
    <w:rsid w:val="00EB2CF6"/>
    <w:rsid w:val="00EB55EC"/>
    <w:rsid w:val="00EB7646"/>
    <w:rsid w:val="00EC1F8F"/>
    <w:rsid w:val="00EC3E21"/>
    <w:rsid w:val="00EC5A77"/>
    <w:rsid w:val="00ED00F5"/>
    <w:rsid w:val="00EE0855"/>
    <w:rsid w:val="00EE3BF6"/>
    <w:rsid w:val="00EE3DD4"/>
    <w:rsid w:val="00EE40C9"/>
    <w:rsid w:val="00EF223F"/>
    <w:rsid w:val="00EF3C17"/>
    <w:rsid w:val="00EF4223"/>
    <w:rsid w:val="00EF4CA6"/>
    <w:rsid w:val="00EF5F0C"/>
    <w:rsid w:val="00EF63B9"/>
    <w:rsid w:val="00F00811"/>
    <w:rsid w:val="00F06C01"/>
    <w:rsid w:val="00F122EB"/>
    <w:rsid w:val="00F1470F"/>
    <w:rsid w:val="00F16B06"/>
    <w:rsid w:val="00F17F47"/>
    <w:rsid w:val="00F20062"/>
    <w:rsid w:val="00F20873"/>
    <w:rsid w:val="00F21FED"/>
    <w:rsid w:val="00F26AA5"/>
    <w:rsid w:val="00F40B58"/>
    <w:rsid w:val="00F45C76"/>
    <w:rsid w:val="00F45D7B"/>
    <w:rsid w:val="00F463DC"/>
    <w:rsid w:val="00F47165"/>
    <w:rsid w:val="00F47D1D"/>
    <w:rsid w:val="00F539A0"/>
    <w:rsid w:val="00F566FF"/>
    <w:rsid w:val="00F5690E"/>
    <w:rsid w:val="00F6067D"/>
    <w:rsid w:val="00F6202E"/>
    <w:rsid w:val="00F6349F"/>
    <w:rsid w:val="00F63B01"/>
    <w:rsid w:val="00F63CE4"/>
    <w:rsid w:val="00F64086"/>
    <w:rsid w:val="00F6542B"/>
    <w:rsid w:val="00F65F24"/>
    <w:rsid w:val="00F735A3"/>
    <w:rsid w:val="00F73796"/>
    <w:rsid w:val="00F76CE7"/>
    <w:rsid w:val="00F80655"/>
    <w:rsid w:val="00F808A4"/>
    <w:rsid w:val="00F8171D"/>
    <w:rsid w:val="00F82524"/>
    <w:rsid w:val="00F8573A"/>
    <w:rsid w:val="00F85E29"/>
    <w:rsid w:val="00F921C7"/>
    <w:rsid w:val="00F95ABE"/>
    <w:rsid w:val="00FA0695"/>
    <w:rsid w:val="00FA1F14"/>
    <w:rsid w:val="00FB1136"/>
    <w:rsid w:val="00FB3939"/>
    <w:rsid w:val="00FC0A4A"/>
    <w:rsid w:val="00FC7E40"/>
    <w:rsid w:val="00FD4CCC"/>
    <w:rsid w:val="00FD5CDC"/>
    <w:rsid w:val="00FD7B56"/>
    <w:rsid w:val="00FE78F1"/>
    <w:rsid w:val="00FF0453"/>
    <w:rsid w:val="00FF4907"/>
    <w:rsid w:val="00FF5182"/>
    <w:rsid w:val="00FF5508"/>
    <w:rsid w:val="00FF55F3"/>
    <w:rsid w:val="00FF5955"/>
    <w:rsid w:val="00FF7E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FA3F"/>
  <w15:chartTrackingRefBased/>
  <w15:docId w15:val="{A7E36B3D-61A5-4D24-8F6E-5CB4584D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73"/>
  </w:style>
  <w:style w:type="paragraph" w:styleId="Heading1">
    <w:name w:val="heading 1"/>
    <w:basedOn w:val="Normal"/>
    <w:next w:val="Normal"/>
    <w:link w:val="Heading1Char"/>
    <w:qFormat/>
    <w:rsid w:val="00774A33"/>
    <w:pPr>
      <w:keepNext/>
      <w:spacing w:after="0" w:line="240" w:lineRule="auto"/>
      <w:jc w:val="center"/>
      <w:outlineLvl w:val="0"/>
    </w:pPr>
    <w:rPr>
      <w:rFonts w:ascii="Arial" w:eastAsia="Times New Roman" w:hAnsi="Arial" w:cs="Arial"/>
      <w:b/>
      <w:bCs/>
      <w:i/>
      <w:iCs/>
      <w:sz w:val="44"/>
      <w:szCs w:val="24"/>
      <w:lang w:val="en-GB"/>
    </w:rPr>
  </w:style>
  <w:style w:type="paragraph" w:styleId="Heading2">
    <w:name w:val="heading 2"/>
    <w:basedOn w:val="Normal"/>
    <w:next w:val="Normal"/>
    <w:link w:val="Heading2Char"/>
    <w:semiHidden/>
    <w:unhideWhenUsed/>
    <w:qFormat/>
    <w:rsid w:val="00774A33"/>
    <w:pPr>
      <w:keepNext/>
      <w:spacing w:before="240" w:after="60" w:line="240" w:lineRule="auto"/>
      <w:outlineLvl w:val="1"/>
    </w:pPr>
    <w:rPr>
      <w:rFonts w:ascii="Calibri Light" w:eastAsia="Times New Roman" w:hAnsi="Calibri Light" w:cs="Times New Roman"/>
      <w:b/>
      <w:bCs/>
      <w:i/>
      <w:iCs/>
      <w:sz w:val="28"/>
      <w:szCs w:val="28"/>
      <w:lang w:val="en-GB"/>
    </w:rPr>
  </w:style>
  <w:style w:type="paragraph" w:styleId="Heading8">
    <w:name w:val="heading 8"/>
    <w:basedOn w:val="Normal"/>
    <w:next w:val="Normal"/>
    <w:link w:val="Heading8Char"/>
    <w:qFormat/>
    <w:rsid w:val="00774A33"/>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A33"/>
    <w:rPr>
      <w:rFonts w:ascii="Arial" w:eastAsia="Times New Roman" w:hAnsi="Arial" w:cs="Arial"/>
      <w:b/>
      <w:bCs/>
      <w:i/>
      <w:iCs/>
      <w:sz w:val="44"/>
      <w:szCs w:val="24"/>
      <w:lang w:val="en-GB"/>
    </w:rPr>
  </w:style>
  <w:style w:type="character" w:customStyle="1" w:styleId="Heading2Char">
    <w:name w:val="Heading 2 Char"/>
    <w:basedOn w:val="DefaultParagraphFont"/>
    <w:link w:val="Heading2"/>
    <w:semiHidden/>
    <w:rsid w:val="00774A33"/>
    <w:rPr>
      <w:rFonts w:ascii="Calibri Light" w:eastAsia="Times New Roman" w:hAnsi="Calibri Light" w:cs="Times New Roman"/>
      <w:b/>
      <w:bCs/>
      <w:i/>
      <w:iCs/>
      <w:sz w:val="28"/>
      <w:szCs w:val="28"/>
      <w:lang w:val="en-GB"/>
    </w:rPr>
  </w:style>
  <w:style w:type="character" w:customStyle="1" w:styleId="Heading8Char">
    <w:name w:val="Heading 8 Char"/>
    <w:basedOn w:val="DefaultParagraphFont"/>
    <w:link w:val="Heading8"/>
    <w:rsid w:val="00774A33"/>
    <w:rPr>
      <w:rFonts w:ascii="Times New Roman" w:eastAsia="Times New Roman" w:hAnsi="Times New Roman" w:cs="Times New Roman"/>
      <w:i/>
      <w:iCs/>
      <w:sz w:val="24"/>
      <w:szCs w:val="24"/>
      <w:lang w:val="en-GB"/>
    </w:rPr>
  </w:style>
  <w:style w:type="numbering" w:customStyle="1" w:styleId="NoList1">
    <w:name w:val="No List1"/>
    <w:next w:val="NoList"/>
    <w:semiHidden/>
    <w:rsid w:val="00774A33"/>
  </w:style>
  <w:style w:type="paragraph" w:styleId="BodyTextIndent">
    <w:name w:val="Body Text Indent"/>
    <w:basedOn w:val="Normal"/>
    <w:link w:val="BodyTextIndentChar"/>
    <w:rsid w:val="00774A33"/>
    <w:pPr>
      <w:widowControl w:val="0"/>
      <w:autoSpaceDE w:val="0"/>
      <w:autoSpaceDN w:val="0"/>
      <w:adjustRightInd w:val="0"/>
      <w:spacing w:after="0" w:line="720" w:lineRule="auto"/>
      <w:jc w:val="both"/>
    </w:pPr>
    <w:rPr>
      <w:rFonts w:ascii="Arial" w:eastAsia="Times New Roman" w:hAnsi="Arial" w:cs="Arial"/>
      <w:sz w:val="28"/>
      <w:szCs w:val="28"/>
      <w:lang w:val="en-GB"/>
    </w:rPr>
  </w:style>
  <w:style w:type="character" w:customStyle="1" w:styleId="BodyTextIndentChar">
    <w:name w:val="Body Text Indent Char"/>
    <w:basedOn w:val="DefaultParagraphFont"/>
    <w:link w:val="BodyTextIndent"/>
    <w:rsid w:val="00774A33"/>
    <w:rPr>
      <w:rFonts w:ascii="Arial" w:eastAsia="Times New Roman" w:hAnsi="Arial" w:cs="Arial"/>
      <w:sz w:val="28"/>
      <w:szCs w:val="28"/>
      <w:lang w:val="en-GB"/>
    </w:rPr>
  </w:style>
  <w:style w:type="paragraph" w:styleId="Header">
    <w:name w:val="header"/>
    <w:basedOn w:val="Normal"/>
    <w:link w:val="HeaderChar"/>
    <w:rsid w:val="00774A33"/>
    <w:pPr>
      <w:tabs>
        <w:tab w:val="center" w:pos="4153"/>
        <w:tab w:val="right" w:pos="8306"/>
      </w:tabs>
      <w:spacing w:after="0" w:line="240" w:lineRule="auto"/>
    </w:pPr>
    <w:rPr>
      <w:rFonts w:ascii="Arial" w:eastAsia="Times New Roman" w:hAnsi="Arial" w:cs="Arial"/>
      <w:sz w:val="28"/>
      <w:szCs w:val="24"/>
      <w:lang w:val="en-GB"/>
    </w:rPr>
  </w:style>
  <w:style w:type="character" w:customStyle="1" w:styleId="HeaderChar">
    <w:name w:val="Header Char"/>
    <w:basedOn w:val="DefaultParagraphFont"/>
    <w:link w:val="Header"/>
    <w:rsid w:val="00774A33"/>
    <w:rPr>
      <w:rFonts w:ascii="Arial" w:eastAsia="Times New Roman" w:hAnsi="Arial" w:cs="Arial"/>
      <w:sz w:val="28"/>
      <w:szCs w:val="24"/>
      <w:lang w:val="en-GB"/>
    </w:rPr>
  </w:style>
  <w:style w:type="character" w:styleId="PageNumber">
    <w:name w:val="page number"/>
    <w:basedOn w:val="DefaultParagraphFont"/>
    <w:rsid w:val="00774A33"/>
  </w:style>
  <w:style w:type="paragraph" w:customStyle="1" w:styleId="Pa3">
    <w:name w:val="Pa3"/>
    <w:basedOn w:val="Normal"/>
    <w:next w:val="Normal"/>
    <w:rsid w:val="00774A33"/>
    <w:pPr>
      <w:autoSpaceDE w:val="0"/>
      <w:autoSpaceDN w:val="0"/>
      <w:adjustRightInd w:val="0"/>
      <w:spacing w:after="0" w:line="241" w:lineRule="atLeast"/>
    </w:pPr>
    <w:rPr>
      <w:rFonts w:ascii="Arial" w:eastAsia="Times New Roman" w:hAnsi="Arial" w:cs="Times New Roman"/>
      <w:sz w:val="24"/>
      <w:szCs w:val="24"/>
      <w:lang w:val="en-US"/>
    </w:rPr>
  </w:style>
  <w:style w:type="character" w:customStyle="1" w:styleId="A0">
    <w:name w:val="A0"/>
    <w:rsid w:val="00774A33"/>
    <w:rPr>
      <w:rFonts w:cs="Arial"/>
      <w:b/>
      <w:bCs/>
      <w:color w:val="221E1F"/>
      <w:sz w:val="20"/>
      <w:szCs w:val="20"/>
    </w:rPr>
  </w:style>
  <w:style w:type="paragraph" w:styleId="Footer">
    <w:name w:val="footer"/>
    <w:basedOn w:val="Normal"/>
    <w:link w:val="FooterChar"/>
    <w:rsid w:val="00774A33"/>
    <w:pPr>
      <w:tabs>
        <w:tab w:val="center" w:pos="4320"/>
        <w:tab w:val="right" w:pos="8640"/>
      </w:tabs>
      <w:spacing w:after="0" w:line="240" w:lineRule="auto"/>
    </w:pPr>
    <w:rPr>
      <w:rFonts w:ascii="Arial" w:eastAsia="Times New Roman" w:hAnsi="Arial" w:cs="Arial"/>
      <w:sz w:val="28"/>
      <w:szCs w:val="24"/>
      <w:lang w:val="en-GB"/>
    </w:rPr>
  </w:style>
  <w:style w:type="character" w:customStyle="1" w:styleId="FooterChar">
    <w:name w:val="Footer Char"/>
    <w:basedOn w:val="DefaultParagraphFont"/>
    <w:link w:val="Footer"/>
    <w:rsid w:val="00774A33"/>
    <w:rPr>
      <w:rFonts w:ascii="Arial" w:eastAsia="Times New Roman" w:hAnsi="Arial" w:cs="Arial"/>
      <w:sz w:val="28"/>
      <w:szCs w:val="24"/>
      <w:lang w:val="en-GB"/>
    </w:rPr>
  </w:style>
  <w:style w:type="paragraph" w:styleId="FootnoteText">
    <w:name w:val="footnote text"/>
    <w:basedOn w:val="Normal"/>
    <w:link w:val="FootnoteTextChar1"/>
    <w:uiPriority w:val="99"/>
    <w:semiHidden/>
    <w:rsid w:val="00774A3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semiHidden/>
    <w:rsid w:val="00774A33"/>
    <w:rPr>
      <w:sz w:val="20"/>
      <w:szCs w:val="20"/>
    </w:rPr>
  </w:style>
  <w:style w:type="character" w:customStyle="1" w:styleId="FootnoteTextChar1">
    <w:name w:val="Footnote Text Char1"/>
    <w:link w:val="FootnoteText"/>
    <w:semiHidden/>
    <w:locked/>
    <w:rsid w:val="00774A33"/>
    <w:rPr>
      <w:rFonts w:ascii="Times New Roman" w:eastAsia="Times New Roman" w:hAnsi="Times New Roman" w:cs="Times New Roman"/>
      <w:sz w:val="20"/>
      <w:szCs w:val="20"/>
      <w:lang w:val="en-US"/>
    </w:rPr>
  </w:style>
  <w:style w:type="character" w:styleId="FootnoteReference">
    <w:name w:val="footnote reference"/>
    <w:uiPriority w:val="99"/>
    <w:semiHidden/>
    <w:rsid w:val="00774A33"/>
    <w:rPr>
      <w:rFonts w:cs="Times New Roman"/>
      <w:vertAlign w:val="superscript"/>
    </w:rPr>
  </w:style>
  <w:style w:type="paragraph" w:customStyle="1" w:styleId="ColorfulList-Accent11">
    <w:name w:val="Colorful List - Accent 11"/>
    <w:basedOn w:val="Normal"/>
    <w:uiPriority w:val="34"/>
    <w:qFormat/>
    <w:rsid w:val="00774A33"/>
    <w:pPr>
      <w:spacing w:after="200" w:line="480" w:lineRule="auto"/>
      <w:ind w:left="720"/>
      <w:contextualSpacing/>
    </w:pPr>
    <w:rPr>
      <w:rFonts w:ascii="Times New Roman" w:eastAsia="Times New Roman" w:hAnsi="Times New Roman" w:cs="Times New Roman"/>
      <w:sz w:val="28"/>
      <w:lang w:val="en-US"/>
    </w:rPr>
  </w:style>
  <w:style w:type="paragraph" w:styleId="BalloonText">
    <w:name w:val="Balloon Text"/>
    <w:basedOn w:val="Normal"/>
    <w:link w:val="BalloonTextChar"/>
    <w:semiHidden/>
    <w:rsid w:val="00774A33"/>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774A33"/>
    <w:rPr>
      <w:rFonts w:ascii="Tahoma" w:eastAsia="Times New Roman" w:hAnsi="Tahoma" w:cs="Tahoma"/>
      <w:sz w:val="16"/>
      <w:szCs w:val="16"/>
      <w:lang w:val="en-GB"/>
    </w:rPr>
  </w:style>
  <w:style w:type="character" w:customStyle="1" w:styleId="mc1">
    <w:name w:val="mc1"/>
    <w:rsid w:val="00774A33"/>
    <w:rPr>
      <w:rFonts w:ascii="Verdana" w:hAnsi="Verdana" w:hint="default"/>
      <w:b w:val="0"/>
      <w:bCs w:val="0"/>
      <w:i w:val="0"/>
      <w:iCs w:val="0"/>
      <w:color w:val="000000"/>
      <w:sz w:val="17"/>
      <w:szCs w:val="17"/>
      <w:shd w:val="clear" w:color="auto" w:fill="C0C0C0"/>
    </w:rPr>
  </w:style>
  <w:style w:type="character" w:styleId="Strong">
    <w:name w:val="Strong"/>
    <w:qFormat/>
    <w:rsid w:val="00774A33"/>
    <w:rPr>
      <w:b/>
      <w:bCs/>
    </w:rPr>
  </w:style>
  <w:style w:type="character" w:styleId="CommentReference">
    <w:name w:val="annotation reference"/>
    <w:rsid w:val="00774A33"/>
    <w:rPr>
      <w:sz w:val="18"/>
      <w:szCs w:val="18"/>
    </w:rPr>
  </w:style>
  <w:style w:type="paragraph" w:styleId="CommentText">
    <w:name w:val="annotation text"/>
    <w:basedOn w:val="Normal"/>
    <w:link w:val="CommentTextChar"/>
    <w:rsid w:val="00774A33"/>
    <w:pPr>
      <w:spacing w:after="0" w:line="240" w:lineRule="auto"/>
    </w:pPr>
    <w:rPr>
      <w:rFonts w:ascii="Arial" w:eastAsia="Times New Roman" w:hAnsi="Arial" w:cs="Arial"/>
      <w:sz w:val="24"/>
      <w:szCs w:val="24"/>
      <w:lang w:val="en-GB"/>
    </w:rPr>
  </w:style>
  <w:style w:type="character" w:customStyle="1" w:styleId="CommentTextChar">
    <w:name w:val="Comment Text Char"/>
    <w:basedOn w:val="DefaultParagraphFont"/>
    <w:link w:val="CommentText"/>
    <w:rsid w:val="00774A33"/>
    <w:rPr>
      <w:rFonts w:ascii="Arial" w:eastAsia="Times New Roman" w:hAnsi="Arial" w:cs="Arial"/>
      <w:sz w:val="24"/>
      <w:szCs w:val="24"/>
      <w:lang w:val="en-GB"/>
    </w:rPr>
  </w:style>
  <w:style w:type="paragraph" w:styleId="CommentSubject">
    <w:name w:val="annotation subject"/>
    <w:basedOn w:val="CommentText"/>
    <w:next w:val="CommentText"/>
    <w:link w:val="CommentSubjectChar"/>
    <w:rsid w:val="00774A33"/>
    <w:rPr>
      <w:b/>
      <w:bCs/>
      <w:sz w:val="20"/>
      <w:szCs w:val="20"/>
    </w:rPr>
  </w:style>
  <w:style w:type="character" w:customStyle="1" w:styleId="CommentSubjectChar">
    <w:name w:val="Comment Subject Char"/>
    <w:basedOn w:val="CommentTextChar"/>
    <w:link w:val="CommentSubject"/>
    <w:rsid w:val="00774A33"/>
    <w:rPr>
      <w:rFonts w:ascii="Arial" w:eastAsia="Times New Roman" w:hAnsi="Arial" w:cs="Arial"/>
      <w:b/>
      <w:bCs/>
      <w:sz w:val="20"/>
      <w:szCs w:val="20"/>
      <w:lang w:val="en-GB"/>
    </w:rPr>
  </w:style>
  <w:style w:type="character" w:styleId="Hyperlink">
    <w:name w:val="Hyperlink"/>
    <w:rsid w:val="00774A33"/>
    <w:rPr>
      <w:color w:val="0563C1"/>
      <w:u w:val="single"/>
    </w:rPr>
  </w:style>
  <w:style w:type="character" w:customStyle="1" w:styleId="UnresolvedMention1">
    <w:name w:val="Unresolved Mention1"/>
    <w:uiPriority w:val="99"/>
    <w:semiHidden/>
    <w:unhideWhenUsed/>
    <w:rsid w:val="00774A33"/>
    <w:rPr>
      <w:color w:val="605E5C"/>
      <w:shd w:val="clear" w:color="auto" w:fill="E1DFDD"/>
    </w:rPr>
  </w:style>
  <w:style w:type="paragraph" w:styleId="NormalWeb">
    <w:name w:val="Normal (Web)"/>
    <w:basedOn w:val="Normal"/>
    <w:rsid w:val="00774A33"/>
    <w:pPr>
      <w:spacing w:after="0"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774A33"/>
    <w:pPr>
      <w:spacing w:after="0" w:line="240" w:lineRule="auto"/>
    </w:pPr>
    <w:rPr>
      <w:rFonts w:ascii="Arial" w:eastAsia="Times New Roman" w:hAnsi="Arial" w:cs="Arial"/>
      <w:sz w:val="28"/>
      <w:szCs w:val="24"/>
      <w:lang w:val="en-GB"/>
    </w:rPr>
  </w:style>
  <w:style w:type="paragraph" w:styleId="ListParagraph">
    <w:name w:val="List Paragraph"/>
    <w:basedOn w:val="Normal"/>
    <w:uiPriority w:val="34"/>
    <w:qFormat/>
    <w:rsid w:val="00163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consol_act/lra1995188/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lra1995188/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lra1995188/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flii.org/za/legis/consol_act/lra1995188/index.html" TargetMode="External"/><Relationship Id="rId4" Type="http://schemas.openxmlformats.org/officeDocument/2006/relationships/settings" Target="settings.xml"/><Relationship Id="rId9" Type="http://schemas.openxmlformats.org/officeDocument/2006/relationships/hyperlink" Target="http://www.saflii.org/za/legis/consol_act/lra1995188/index.html" TargetMode="External"/><Relationship Id="rId14" Type="http://schemas.openxmlformats.org/officeDocument/2006/relationships/hyperlink" Target="http://www.saflii.org/za/legis/consol_act/lra1995188/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1984%20%283%29%20SA%20623" TargetMode="External"/><Relationship Id="rId3" Type="http://schemas.openxmlformats.org/officeDocument/2006/relationships/hyperlink" Target="http://www.saflii.org/cgi-bin/LawCite?cit=2004%20%2812%29%20BCLR%201268" TargetMode="External"/><Relationship Id="rId7" Type="http://schemas.openxmlformats.org/officeDocument/2006/relationships/hyperlink" Target="http://www.saflii.org/cgi-bin/LawCite?cit=1984%5d%202%20All%20SA%20366" TargetMode="External"/><Relationship Id="rId2" Type="http://schemas.openxmlformats.org/officeDocument/2006/relationships/hyperlink" Target="http://www.saflii.org/cgi-bin/LawCite?cit=2005%20%281%29%20SA%20217" TargetMode="External"/><Relationship Id="rId1" Type="http://schemas.openxmlformats.org/officeDocument/2006/relationships/hyperlink" Target="http://www.saflii.org/za/cases/ZACC/2004/7.html" TargetMode="External"/><Relationship Id="rId6" Type="http://schemas.openxmlformats.org/officeDocument/2006/relationships/hyperlink" Target="http://www.saflii.org/za/cases/ZASCA/1984/51.html" TargetMode="External"/><Relationship Id="rId11" Type="http://schemas.openxmlformats.org/officeDocument/2006/relationships/hyperlink" Target="http://www.saflii.org/za/legis/consol_act/lra1995188/" TargetMode="External"/><Relationship Id="rId5" Type="http://schemas.openxmlformats.org/officeDocument/2006/relationships/hyperlink" Target="http://www.saflii.org/cgi-bin/LawCite?cit=2016%20%283%29%20SA%20370" TargetMode="External"/><Relationship Id="rId10" Type="http://schemas.openxmlformats.org/officeDocument/2006/relationships/hyperlink" Target="http://www.saflii.org/za/legis/consol_act/lra1995188/" TargetMode="External"/><Relationship Id="rId4" Type="http://schemas.openxmlformats.org/officeDocument/2006/relationships/hyperlink" Target="http://www.saflii.org/cgi-bin/LawCite?cit=%5b2016%5d%20ZACC%206" TargetMode="External"/><Relationship Id="rId9" Type="http://schemas.openxmlformats.org/officeDocument/2006/relationships/hyperlink" Target="http://www.saflii.org/za/legis/consol_act/lra1995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1042-53F6-48E3-A802-CE761D10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11157</Words>
  <Characters>63600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Judge-Mahube Molemela</dc:creator>
  <cp:keywords/>
  <dc:description/>
  <cp:lastModifiedBy>Ayanda Mdletshe</cp:lastModifiedBy>
  <cp:revision>2</cp:revision>
  <cp:lastPrinted>2023-02-17T13:36:00Z</cp:lastPrinted>
  <dcterms:created xsi:type="dcterms:W3CDTF">2023-02-20T08:54:00Z</dcterms:created>
  <dcterms:modified xsi:type="dcterms:W3CDTF">2023-02-20T08:54:00Z</dcterms:modified>
</cp:coreProperties>
</file>