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7E55" w14:textId="77777777" w:rsidR="001265A3" w:rsidRPr="001265A3" w:rsidRDefault="001265A3" w:rsidP="001265A3">
      <w:pPr>
        <w:pStyle w:val="Normal1"/>
        <w:spacing w:after="0" w:line="360" w:lineRule="auto"/>
        <w:ind w:right="72"/>
        <w:contextualSpacing/>
        <w:jc w:val="both"/>
        <w:rPr>
          <w:rFonts w:ascii="Arial" w:eastAsia="Arial" w:hAnsi="Arial" w:cs="Arial"/>
          <w:b/>
          <w:sz w:val="24"/>
          <w:szCs w:val="24"/>
        </w:rPr>
      </w:pPr>
      <w:r w:rsidRPr="001265A3">
        <w:rPr>
          <w:rFonts w:ascii="Arial" w:hAnsi="Arial" w:cs="Arial"/>
          <w:noProof/>
          <w:sz w:val="24"/>
          <w:szCs w:val="24"/>
          <w:lang w:eastAsia="en-ZA"/>
        </w:rPr>
        <w:drawing>
          <wp:anchor distT="0" distB="0" distL="114300" distR="114300" simplePos="0" relativeHeight="251659264" behindDoc="0" locked="0" layoutInCell="1" hidden="0" allowOverlap="1" wp14:anchorId="213F8F97" wp14:editId="1E7462C2">
            <wp:simplePos x="0" y="0"/>
            <wp:positionH relativeFrom="page">
              <wp:align>center</wp:align>
            </wp:positionH>
            <wp:positionV relativeFrom="paragraph">
              <wp:posOffset>0</wp:posOffset>
            </wp:positionV>
            <wp:extent cx="741600" cy="925200"/>
            <wp:effectExtent l="0" t="0" r="1905" b="8255"/>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1600" cy="925200"/>
                    </a:xfrm>
                    <a:prstGeom prst="rect">
                      <a:avLst/>
                    </a:prstGeom>
                    <a:ln/>
                  </pic:spPr>
                </pic:pic>
              </a:graphicData>
            </a:graphic>
            <wp14:sizeRelH relativeFrom="margin">
              <wp14:pctWidth>0</wp14:pctWidth>
            </wp14:sizeRelH>
            <wp14:sizeRelV relativeFrom="margin">
              <wp14:pctHeight>0</wp14:pctHeight>
            </wp14:sizeRelV>
          </wp:anchor>
        </w:drawing>
      </w:r>
    </w:p>
    <w:p w14:paraId="621241BE" w14:textId="77777777" w:rsidR="001265A3" w:rsidRPr="009E30DB" w:rsidRDefault="001265A3" w:rsidP="001265A3">
      <w:pPr>
        <w:pStyle w:val="Normal1"/>
        <w:spacing w:after="0" w:line="360" w:lineRule="auto"/>
        <w:ind w:right="72"/>
        <w:contextualSpacing/>
        <w:jc w:val="center"/>
        <w:rPr>
          <w:rFonts w:ascii="Arial" w:eastAsia="Arial" w:hAnsi="Arial" w:cs="Arial"/>
          <w:b/>
          <w:sz w:val="24"/>
          <w:szCs w:val="24"/>
        </w:rPr>
      </w:pPr>
      <w:r w:rsidRPr="009E30DB">
        <w:rPr>
          <w:rFonts w:ascii="Arial" w:eastAsia="Arial" w:hAnsi="Arial" w:cs="Arial"/>
          <w:b/>
          <w:sz w:val="24"/>
          <w:szCs w:val="24"/>
        </w:rPr>
        <w:t>THE SUPREME COURT OF APPEAL OF SOUTH AFRICA</w:t>
      </w:r>
    </w:p>
    <w:p w14:paraId="7170FF12" w14:textId="77777777" w:rsidR="001265A3" w:rsidRPr="009E30DB" w:rsidRDefault="001265A3" w:rsidP="001265A3">
      <w:pPr>
        <w:pStyle w:val="Normal1"/>
        <w:spacing w:after="0" w:line="360" w:lineRule="auto"/>
        <w:ind w:right="72"/>
        <w:contextualSpacing/>
        <w:jc w:val="center"/>
        <w:rPr>
          <w:rFonts w:ascii="Arial" w:eastAsia="Arial" w:hAnsi="Arial" w:cs="Arial"/>
          <w:b/>
          <w:sz w:val="24"/>
          <w:szCs w:val="24"/>
        </w:rPr>
      </w:pPr>
      <w:r w:rsidRPr="009E30DB">
        <w:rPr>
          <w:rFonts w:ascii="Arial" w:eastAsia="Arial" w:hAnsi="Arial" w:cs="Arial"/>
          <w:b/>
          <w:sz w:val="24"/>
          <w:szCs w:val="24"/>
        </w:rPr>
        <w:t xml:space="preserve">JUDGMENT </w:t>
      </w:r>
    </w:p>
    <w:p w14:paraId="16F648B5" w14:textId="77777777" w:rsidR="001265A3" w:rsidRPr="009E30DB" w:rsidRDefault="001265A3" w:rsidP="001265A3">
      <w:pPr>
        <w:pStyle w:val="Normal1"/>
        <w:spacing w:after="0" w:line="360" w:lineRule="auto"/>
        <w:ind w:left="720" w:right="72" w:firstLine="720"/>
        <w:contextualSpacing/>
        <w:jc w:val="both"/>
        <w:rPr>
          <w:rFonts w:ascii="Arial" w:eastAsia="Arial" w:hAnsi="Arial" w:cs="Arial"/>
          <w:b/>
          <w:sz w:val="24"/>
          <w:szCs w:val="24"/>
        </w:rPr>
      </w:pPr>
      <w:r w:rsidRPr="009E30DB">
        <w:rPr>
          <w:rFonts w:ascii="Arial" w:eastAsia="Arial" w:hAnsi="Arial" w:cs="Arial"/>
          <w:b/>
          <w:sz w:val="24"/>
          <w:szCs w:val="24"/>
        </w:rPr>
        <w:t xml:space="preserve">                  </w:t>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t xml:space="preserve">             </w:t>
      </w:r>
    </w:p>
    <w:p w14:paraId="01500247" w14:textId="77777777" w:rsidR="001265A3" w:rsidRPr="009E30DB" w:rsidRDefault="001265A3" w:rsidP="001265A3">
      <w:pPr>
        <w:pStyle w:val="Normal1"/>
        <w:spacing w:after="0" w:line="360" w:lineRule="auto"/>
        <w:ind w:left="5040" w:right="72" w:firstLine="720"/>
        <w:contextualSpacing/>
        <w:jc w:val="both"/>
        <w:rPr>
          <w:rFonts w:ascii="Arial" w:eastAsia="Arial" w:hAnsi="Arial" w:cs="Arial"/>
          <w:b/>
          <w:sz w:val="24"/>
          <w:szCs w:val="24"/>
        </w:rPr>
      </w:pPr>
      <w:r w:rsidRPr="009E30DB">
        <w:rPr>
          <w:rFonts w:ascii="Arial" w:eastAsia="Arial" w:hAnsi="Arial" w:cs="Arial"/>
          <w:b/>
          <w:sz w:val="24"/>
          <w:szCs w:val="24"/>
        </w:rPr>
        <w:t xml:space="preserve">                        </w:t>
      </w:r>
    </w:p>
    <w:p w14:paraId="75740BF2" w14:textId="24AFC488" w:rsidR="001265A3" w:rsidRPr="009E30DB" w:rsidRDefault="001265A3" w:rsidP="001265A3">
      <w:pPr>
        <w:pStyle w:val="Normal1"/>
        <w:spacing w:after="0" w:line="360" w:lineRule="auto"/>
        <w:ind w:right="72"/>
        <w:contextualSpacing/>
        <w:jc w:val="right"/>
        <w:rPr>
          <w:rFonts w:ascii="Arial" w:eastAsia="Arial" w:hAnsi="Arial" w:cs="Arial"/>
          <w:b/>
          <w:sz w:val="24"/>
          <w:szCs w:val="24"/>
        </w:rPr>
      </w:pPr>
      <w:r w:rsidRPr="009E30DB">
        <w:rPr>
          <w:rFonts w:ascii="Arial" w:eastAsia="Arial" w:hAnsi="Arial" w:cs="Arial"/>
          <w:b/>
          <w:sz w:val="24"/>
          <w:szCs w:val="24"/>
        </w:rPr>
        <w:t>Not Reportable</w:t>
      </w:r>
    </w:p>
    <w:p w14:paraId="7FFB3EEB"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r w:rsidRPr="009E30DB">
        <w:rPr>
          <w:rFonts w:ascii="Arial" w:eastAsia="Arial" w:hAnsi="Arial" w:cs="Arial"/>
          <w:sz w:val="24"/>
          <w:szCs w:val="24"/>
        </w:rPr>
        <w:t xml:space="preserve">                                                                                                      Case no: 1025/2022</w:t>
      </w:r>
    </w:p>
    <w:p w14:paraId="64A9BA6D"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p>
    <w:p w14:paraId="5E61C794" w14:textId="77777777" w:rsidR="001265A3" w:rsidRPr="009E30DB" w:rsidRDefault="001265A3" w:rsidP="001265A3">
      <w:pPr>
        <w:pStyle w:val="Normal1"/>
        <w:spacing w:after="0" w:line="360" w:lineRule="auto"/>
        <w:ind w:right="72"/>
        <w:contextualSpacing/>
        <w:jc w:val="both"/>
        <w:rPr>
          <w:rFonts w:ascii="Arial" w:eastAsia="Arial" w:hAnsi="Arial" w:cs="Arial"/>
          <w:b/>
          <w:sz w:val="24"/>
          <w:szCs w:val="24"/>
        </w:rPr>
      </w:pPr>
      <w:r w:rsidRPr="009E30DB">
        <w:rPr>
          <w:rFonts w:ascii="Arial" w:eastAsia="Arial" w:hAnsi="Arial" w:cs="Arial"/>
          <w:sz w:val="24"/>
          <w:szCs w:val="24"/>
        </w:rPr>
        <w:t>In the matter between:</w:t>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r>
      <w:r w:rsidRPr="009E30DB">
        <w:rPr>
          <w:rFonts w:ascii="Arial" w:eastAsia="Arial" w:hAnsi="Arial" w:cs="Arial"/>
          <w:b/>
          <w:sz w:val="24"/>
          <w:szCs w:val="24"/>
        </w:rPr>
        <w:tab/>
        <w:t xml:space="preserve">                        </w:t>
      </w:r>
    </w:p>
    <w:p w14:paraId="68326CC1" w14:textId="77777777" w:rsidR="001265A3" w:rsidRPr="009E30DB" w:rsidRDefault="001265A3" w:rsidP="001265A3">
      <w:pPr>
        <w:pStyle w:val="Normal1"/>
        <w:tabs>
          <w:tab w:val="right" w:pos="8931"/>
        </w:tabs>
        <w:spacing w:after="0" w:line="360" w:lineRule="auto"/>
        <w:ind w:right="-46"/>
        <w:contextualSpacing/>
        <w:jc w:val="both"/>
        <w:rPr>
          <w:rFonts w:ascii="Arial" w:eastAsia="Arial" w:hAnsi="Arial" w:cs="Arial"/>
          <w:b/>
          <w:sz w:val="24"/>
          <w:szCs w:val="24"/>
        </w:rPr>
      </w:pPr>
      <w:r w:rsidRPr="009E30DB">
        <w:rPr>
          <w:rFonts w:ascii="Arial" w:eastAsia="Arial" w:hAnsi="Arial" w:cs="Arial"/>
          <w:b/>
          <w:sz w:val="24"/>
          <w:szCs w:val="24"/>
        </w:rPr>
        <w:t xml:space="preserve">VUMANI OSCAR NTULI                                      </w:t>
      </w:r>
      <w:r w:rsidRPr="009E30DB">
        <w:rPr>
          <w:rFonts w:ascii="Arial" w:eastAsia="Arial" w:hAnsi="Arial" w:cs="Arial"/>
          <w:b/>
          <w:sz w:val="24"/>
          <w:szCs w:val="24"/>
        </w:rPr>
        <w:tab/>
        <w:t>APPELLANT</w:t>
      </w:r>
    </w:p>
    <w:p w14:paraId="718308D8"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p>
    <w:p w14:paraId="4AF7336A"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r w:rsidRPr="009E30DB">
        <w:rPr>
          <w:rFonts w:ascii="Arial" w:eastAsia="Arial" w:hAnsi="Arial" w:cs="Arial"/>
          <w:sz w:val="24"/>
          <w:szCs w:val="24"/>
        </w:rPr>
        <w:t>and</w:t>
      </w:r>
    </w:p>
    <w:p w14:paraId="087C478C"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p>
    <w:p w14:paraId="22D177C4" w14:textId="77777777" w:rsidR="001265A3" w:rsidRPr="009E30DB" w:rsidRDefault="001265A3" w:rsidP="001265A3">
      <w:pPr>
        <w:pStyle w:val="Normal1"/>
        <w:tabs>
          <w:tab w:val="right" w:pos="8931"/>
        </w:tabs>
        <w:spacing w:after="0" w:line="360" w:lineRule="auto"/>
        <w:ind w:right="-46"/>
        <w:contextualSpacing/>
        <w:jc w:val="both"/>
        <w:rPr>
          <w:rFonts w:ascii="Arial" w:eastAsia="Arial" w:hAnsi="Arial" w:cs="Arial"/>
          <w:b/>
          <w:sz w:val="24"/>
          <w:szCs w:val="24"/>
        </w:rPr>
      </w:pPr>
      <w:r w:rsidRPr="009E30DB">
        <w:rPr>
          <w:rFonts w:ascii="Arial" w:eastAsia="Arial" w:hAnsi="Arial" w:cs="Arial"/>
          <w:b/>
          <w:sz w:val="24"/>
          <w:szCs w:val="24"/>
        </w:rPr>
        <w:t>THE STATE</w:t>
      </w:r>
      <w:r w:rsidRPr="009E30DB">
        <w:rPr>
          <w:rFonts w:ascii="Arial" w:eastAsia="Arial" w:hAnsi="Arial" w:cs="Arial"/>
          <w:b/>
          <w:sz w:val="24"/>
          <w:szCs w:val="24"/>
        </w:rPr>
        <w:tab/>
        <w:t xml:space="preserve">                      RESPONDENT</w:t>
      </w:r>
    </w:p>
    <w:p w14:paraId="58EC4CA1" w14:textId="77777777" w:rsidR="001265A3" w:rsidRPr="009E30DB" w:rsidRDefault="001265A3" w:rsidP="001265A3">
      <w:pPr>
        <w:pStyle w:val="Normal1"/>
        <w:spacing w:after="0" w:line="360" w:lineRule="auto"/>
        <w:ind w:right="72"/>
        <w:contextualSpacing/>
        <w:jc w:val="both"/>
        <w:rPr>
          <w:rFonts w:ascii="Arial" w:eastAsia="Arial" w:hAnsi="Arial" w:cs="Arial"/>
          <w:b/>
          <w:sz w:val="24"/>
          <w:szCs w:val="24"/>
        </w:rPr>
      </w:pPr>
    </w:p>
    <w:p w14:paraId="7C449FB1" w14:textId="77777777" w:rsidR="001265A3" w:rsidRPr="009E30DB" w:rsidRDefault="001265A3" w:rsidP="001265A3">
      <w:pPr>
        <w:pStyle w:val="Normal1"/>
        <w:spacing w:after="0" w:line="360" w:lineRule="auto"/>
        <w:ind w:right="72"/>
        <w:contextualSpacing/>
        <w:jc w:val="both"/>
        <w:rPr>
          <w:rFonts w:ascii="Arial" w:eastAsia="Arial" w:hAnsi="Arial" w:cs="Arial"/>
          <w:b/>
          <w:sz w:val="24"/>
          <w:szCs w:val="24"/>
        </w:rPr>
      </w:pPr>
    </w:p>
    <w:p w14:paraId="6FAF3605" w14:textId="4F327DF0" w:rsidR="001265A3" w:rsidRPr="009E30DB" w:rsidRDefault="001265A3" w:rsidP="001265A3">
      <w:pPr>
        <w:pStyle w:val="Normal1"/>
        <w:spacing w:after="0" w:line="360" w:lineRule="auto"/>
        <w:ind w:right="72"/>
        <w:contextualSpacing/>
        <w:jc w:val="both"/>
        <w:rPr>
          <w:rFonts w:ascii="Arial" w:eastAsia="Arial" w:hAnsi="Arial" w:cs="Arial"/>
          <w:sz w:val="24"/>
          <w:szCs w:val="24"/>
        </w:rPr>
      </w:pPr>
      <w:bookmarkStart w:id="0" w:name="_gjdgxs" w:colFirst="0" w:colLast="0"/>
      <w:bookmarkEnd w:id="0"/>
      <w:r w:rsidRPr="009E30DB">
        <w:rPr>
          <w:rFonts w:ascii="Arial" w:eastAsia="Arial" w:hAnsi="Arial" w:cs="Arial"/>
          <w:b/>
          <w:sz w:val="24"/>
          <w:szCs w:val="24"/>
        </w:rPr>
        <w:t>Neutral citation:</w:t>
      </w:r>
      <w:r w:rsidRPr="009E30DB">
        <w:rPr>
          <w:rFonts w:ascii="Arial" w:eastAsia="Arial" w:hAnsi="Arial" w:cs="Arial"/>
          <w:b/>
          <w:sz w:val="24"/>
          <w:szCs w:val="24"/>
        </w:rPr>
        <w:tab/>
      </w:r>
      <w:r w:rsidRPr="009E30DB">
        <w:rPr>
          <w:rFonts w:ascii="Arial" w:eastAsia="Arial" w:hAnsi="Arial" w:cs="Arial"/>
          <w:i/>
          <w:sz w:val="24"/>
          <w:szCs w:val="24"/>
        </w:rPr>
        <w:t xml:space="preserve">Vumani Oscar Ntuli v The State </w:t>
      </w:r>
      <w:r w:rsidR="000527F1">
        <w:rPr>
          <w:rFonts w:ascii="Arial" w:eastAsia="Arial" w:hAnsi="Arial" w:cs="Arial"/>
          <w:sz w:val="24"/>
          <w:szCs w:val="24"/>
        </w:rPr>
        <w:t>(1025/2022) [2023] ZASCA 150 (10</w:t>
      </w:r>
      <w:r w:rsidRPr="009E30DB">
        <w:rPr>
          <w:rFonts w:ascii="Arial" w:eastAsia="Arial" w:hAnsi="Arial" w:cs="Arial"/>
          <w:sz w:val="24"/>
          <w:szCs w:val="24"/>
        </w:rPr>
        <w:t xml:space="preserve"> November 2023) </w:t>
      </w:r>
    </w:p>
    <w:p w14:paraId="2FB84D3C"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p>
    <w:p w14:paraId="4C77D488" w14:textId="77777777" w:rsidR="001265A3" w:rsidRPr="009E30DB" w:rsidRDefault="001265A3" w:rsidP="001265A3">
      <w:pPr>
        <w:pStyle w:val="Normal1"/>
        <w:spacing w:line="360" w:lineRule="auto"/>
        <w:ind w:left="1440" w:right="72" w:hanging="1440"/>
        <w:contextualSpacing/>
        <w:jc w:val="both"/>
        <w:rPr>
          <w:rFonts w:ascii="Arial" w:eastAsia="Arial" w:hAnsi="Arial" w:cs="Arial"/>
          <w:bCs/>
          <w:sz w:val="24"/>
          <w:szCs w:val="24"/>
        </w:rPr>
      </w:pPr>
      <w:r w:rsidRPr="009E30DB">
        <w:rPr>
          <w:rFonts w:ascii="Arial" w:eastAsia="Arial" w:hAnsi="Arial" w:cs="Arial"/>
          <w:b/>
          <w:sz w:val="24"/>
          <w:szCs w:val="24"/>
        </w:rPr>
        <w:t>Coram:</w:t>
      </w:r>
      <w:r w:rsidRPr="009E30DB">
        <w:rPr>
          <w:rFonts w:ascii="Arial" w:eastAsia="Arial" w:hAnsi="Arial" w:cs="Arial"/>
          <w:b/>
          <w:sz w:val="24"/>
          <w:szCs w:val="24"/>
        </w:rPr>
        <w:tab/>
      </w:r>
      <w:r w:rsidRPr="009E30DB">
        <w:rPr>
          <w:rFonts w:ascii="Arial" w:eastAsia="Arial" w:hAnsi="Arial" w:cs="Arial"/>
          <w:sz w:val="24"/>
          <w:szCs w:val="24"/>
        </w:rPr>
        <w:t>GORVEN, HUGHES</w:t>
      </w:r>
      <w:r w:rsidR="002568BD" w:rsidRPr="009E30DB">
        <w:rPr>
          <w:rFonts w:ascii="Arial" w:eastAsia="Arial" w:hAnsi="Arial" w:cs="Arial"/>
          <w:sz w:val="24"/>
          <w:szCs w:val="24"/>
        </w:rPr>
        <w:t xml:space="preserve"> AND</w:t>
      </w:r>
      <w:r w:rsidRPr="009E30DB">
        <w:rPr>
          <w:rFonts w:ascii="Arial" w:eastAsia="Arial" w:hAnsi="Arial" w:cs="Arial"/>
          <w:sz w:val="24"/>
          <w:szCs w:val="24"/>
        </w:rPr>
        <w:t xml:space="preserve"> </w:t>
      </w:r>
      <w:r w:rsidRPr="009E30DB">
        <w:rPr>
          <w:rFonts w:ascii="Arial" w:eastAsia="Arial" w:hAnsi="Arial" w:cs="Arial"/>
          <w:bCs/>
          <w:sz w:val="24"/>
          <w:szCs w:val="24"/>
        </w:rPr>
        <w:t xml:space="preserve">MATOJANE JJA AND KOEN AND </w:t>
      </w:r>
      <w:r w:rsidR="000A4BF6" w:rsidRPr="009E30DB">
        <w:rPr>
          <w:rFonts w:ascii="Arial" w:eastAsia="Arial" w:hAnsi="Arial" w:cs="Arial"/>
          <w:bCs/>
          <w:sz w:val="24"/>
          <w:szCs w:val="24"/>
        </w:rPr>
        <w:t xml:space="preserve">MASIPA </w:t>
      </w:r>
      <w:r w:rsidRPr="009E30DB">
        <w:rPr>
          <w:rFonts w:ascii="Arial" w:eastAsia="Arial" w:hAnsi="Arial" w:cs="Arial"/>
          <w:bCs/>
          <w:sz w:val="24"/>
          <w:szCs w:val="24"/>
        </w:rPr>
        <w:t>A</w:t>
      </w:r>
      <w:r w:rsidR="002568BD" w:rsidRPr="009E30DB">
        <w:rPr>
          <w:rFonts w:ascii="Arial" w:eastAsia="Arial" w:hAnsi="Arial" w:cs="Arial"/>
          <w:bCs/>
          <w:sz w:val="24"/>
          <w:szCs w:val="24"/>
        </w:rPr>
        <w:t>J</w:t>
      </w:r>
      <w:r w:rsidRPr="009E30DB">
        <w:rPr>
          <w:rFonts w:ascii="Arial" w:eastAsia="Arial" w:hAnsi="Arial" w:cs="Arial"/>
          <w:bCs/>
          <w:sz w:val="24"/>
          <w:szCs w:val="24"/>
        </w:rPr>
        <w:t>JA</w:t>
      </w:r>
    </w:p>
    <w:p w14:paraId="2C21482A" w14:textId="77777777" w:rsidR="001265A3" w:rsidRPr="009E30DB" w:rsidRDefault="001265A3" w:rsidP="001265A3">
      <w:pPr>
        <w:pStyle w:val="Normal1"/>
        <w:spacing w:after="0" w:line="360" w:lineRule="auto"/>
        <w:ind w:right="72"/>
        <w:contextualSpacing/>
        <w:jc w:val="both"/>
        <w:rPr>
          <w:rFonts w:ascii="Arial" w:eastAsia="Arial" w:hAnsi="Arial" w:cs="Arial"/>
          <w:b/>
          <w:sz w:val="24"/>
          <w:szCs w:val="24"/>
        </w:rPr>
      </w:pPr>
    </w:p>
    <w:p w14:paraId="13DA362C"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r w:rsidRPr="009E30DB">
        <w:rPr>
          <w:rFonts w:ascii="Arial" w:eastAsia="Arial" w:hAnsi="Arial" w:cs="Arial"/>
          <w:b/>
          <w:sz w:val="24"/>
          <w:szCs w:val="24"/>
        </w:rPr>
        <w:t xml:space="preserve">Heard: </w:t>
      </w:r>
      <w:r w:rsidRPr="009E30DB">
        <w:rPr>
          <w:rFonts w:ascii="Arial" w:eastAsia="Arial" w:hAnsi="Arial" w:cs="Arial"/>
          <w:b/>
          <w:sz w:val="24"/>
          <w:szCs w:val="24"/>
        </w:rPr>
        <w:tab/>
      </w:r>
      <w:r w:rsidR="00E029DF" w:rsidRPr="009E30DB">
        <w:rPr>
          <w:rFonts w:ascii="Arial" w:hAnsi="Arial" w:cs="Arial"/>
          <w:sz w:val="24"/>
          <w:szCs w:val="24"/>
        </w:rPr>
        <w:t>No oral hearing in terms of s 19</w:t>
      </w:r>
      <w:r w:rsidR="00E029DF" w:rsidRPr="009E30DB">
        <w:rPr>
          <w:rFonts w:ascii="Arial" w:hAnsi="Arial" w:cs="Arial"/>
          <w:i/>
          <w:iCs/>
          <w:sz w:val="24"/>
          <w:szCs w:val="24"/>
        </w:rPr>
        <w:t xml:space="preserve">(a) </w:t>
      </w:r>
      <w:r w:rsidR="00E029DF" w:rsidRPr="009E30DB">
        <w:rPr>
          <w:rFonts w:ascii="Arial" w:hAnsi="Arial" w:cs="Arial"/>
          <w:sz w:val="24"/>
          <w:szCs w:val="24"/>
        </w:rPr>
        <w:t>of the Superior Court</w:t>
      </w:r>
      <w:r w:rsidR="00752424" w:rsidRPr="009E30DB">
        <w:rPr>
          <w:rFonts w:ascii="Arial" w:hAnsi="Arial" w:cs="Arial"/>
          <w:sz w:val="24"/>
          <w:szCs w:val="24"/>
        </w:rPr>
        <w:t>s</w:t>
      </w:r>
      <w:r w:rsidR="00E029DF" w:rsidRPr="009E30DB">
        <w:rPr>
          <w:rFonts w:ascii="Arial" w:hAnsi="Arial" w:cs="Arial"/>
          <w:sz w:val="24"/>
          <w:szCs w:val="24"/>
        </w:rPr>
        <w:t xml:space="preserve"> Act 10 of 2013.</w:t>
      </w:r>
      <w:r w:rsidR="00E029DF" w:rsidRPr="009E30DB">
        <w:rPr>
          <w:sz w:val="23"/>
          <w:szCs w:val="23"/>
        </w:rPr>
        <w:t xml:space="preserve"> </w:t>
      </w:r>
    </w:p>
    <w:p w14:paraId="355CF154"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p>
    <w:p w14:paraId="49A2F7F6" w14:textId="3A306FF0" w:rsidR="001265A3" w:rsidRPr="009E30DB" w:rsidRDefault="001265A3" w:rsidP="001265A3">
      <w:pPr>
        <w:pStyle w:val="Normal1"/>
        <w:spacing w:after="0" w:line="360" w:lineRule="auto"/>
        <w:ind w:right="72"/>
        <w:contextualSpacing/>
        <w:jc w:val="both"/>
        <w:rPr>
          <w:rFonts w:ascii="Arial" w:eastAsia="Arial" w:hAnsi="Arial" w:cs="Arial"/>
          <w:sz w:val="24"/>
          <w:szCs w:val="24"/>
        </w:rPr>
      </w:pPr>
      <w:r w:rsidRPr="009E30DB">
        <w:rPr>
          <w:rFonts w:ascii="Arial" w:eastAsia="Arial" w:hAnsi="Arial" w:cs="Arial"/>
          <w:b/>
          <w:sz w:val="24"/>
          <w:szCs w:val="24"/>
        </w:rPr>
        <w:t xml:space="preserve">Delivered: </w:t>
      </w:r>
      <w:r w:rsidRPr="009E30DB">
        <w:rPr>
          <w:rFonts w:ascii="Arial" w:eastAsia="Arial" w:hAnsi="Arial" w:cs="Arial"/>
          <w:b/>
          <w:sz w:val="24"/>
          <w:szCs w:val="24"/>
        </w:rPr>
        <w:tab/>
      </w:r>
      <w:r w:rsidR="00D72F38">
        <w:rPr>
          <w:rFonts w:ascii="Arial" w:eastAsia="Arial" w:hAnsi="Arial" w:cs="Arial"/>
          <w:sz w:val="24"/>
          <w:szCs w:val="24"/>
        </w:rPr>
        <w:t>10</w:t>
      </w:r>
      <w:r w:rsidRPr="009E30DB">
        <w:rPr>
          <w:rFonts w:ascii="Arial" w:eastAsia="Arial" w:hAnsi="Arial" w:cs="Arial"/>
          <w:sz w:val="24"/>
          <w:szCs w:val="24"/>
        </w:rPr>
        <w:t xml:space="preserve"> November 2023.</w:t>
      </w:r>
    </w:p>
    <w:p w14:paraId="0C0F670C" w14:textId="77777777" w:rsidR="001265A3" w:rsidRPr="009E30DB" w:rsidRDefault="001265A3" w:rsidP="001265A3">
      <w:pPr>
        <w:pStyle w:val="Normal1"/>
        <w:spacing w:after="0" w:line="360" w:lineRule="auto"/>
        <w:ind w:right="72"/>
        <w:contextualSpacing/>
        <w:jc w:val="both"/>
        <w:rPr>
          <w:rFonts w:ascii="Arial" w:eastAsia="Arial" w:hAnsi="Arial" w:cs="Arial"/>
          <w:sz w:val="24"/>
          <w:szCs w:val="24"/>
        </w:rPr>
      </w:pPr>
    </w:p>
    <w:p w14:paraId="45F0E032" w14:textId="11260302" w:rsidR="00750E7B" w:rsidRDefault="00EE161C" w:rsidP="001265A3">
      <w:pPr>
        <w:pStyle w:val="Normal1"/>
        <w:spacing w:after="120" w:line="360" w:lineRule="auto"/>
        <w:jc w:val="both"/>
        <w:rPr>
          <w:rFonts w:ascii="Arial" w:eastAsia="Arial" w:hAnsi="Arial" w:cs="Arial"/>
          <w:sz w:val="24"/>
          <w:szCs w:val="24"/>
        </w:rPr>
      </w:pPr>
      <w:r w:rsidRPr="009E30DB">
        <w:rPr>
          <w:rFonts w:ascii="Arial" w:eastAsia="Arial" w:hAnsi="Arial" w:cs="Arial"/>
          <w:b/>
          <w:sz w:val="24"/>
          <w:szCs w:val="24"/>
        </w:rPr>
        <w:t>Summary:</w:t>
      </w:r>
      <w:r w:rsidRPr="009E30DB">
        <w:rPr>
          <w:rFonts w:ascii="Arial" w:eastAsia="Arial" w:hAnsi="Arial" w:cs="Arial"/>
          <w:sz w:val="24"/>
          <w:szCs w:val="24"/>
        </w:rPr>
        <w:t xml:space="preserve"> </w:t>
      </w:r>
      <w:r w:rsidR="000A4BF6" w:rsidRPr="009E30DB">
        <w:rPr>
          <w:rFonts w:ascii="Arial" w:eastAsia="Arial" w:hAnsi="Arial" w:cs="Arial"/>
          <w:sz w:val="24"/>
          <w:szCs w:val="24"/>
        </w:rPr>
        <w:t>Appeal to the Supreme Court of Appeal against the refusal of the high court of a petition seeking leave to appeal against conviction and sentence imposed by a r</w:t>
      </w:r>
      <w:r w:rsidR="008E33A3" w:rsidRPr="009E30DB">
        <w:rPr>
          <w:rFonts w:ascii="Arial" w:eastAsia="Arial" w:hAnsi="Arial" w:cs="Arial"/>
          <w:sz w:val="24"/>
          <w:szCs w:val="24"/>
        </w:rPr>
        <w:t xml:space="preserve">egional court </w:t>
      </w:r>
      <w:r w:rsidR="00C37DD3">
        <w:rPr>
          <w:rFonts w:ascii="Arial" w:eastAsia="Arial" w:hAnsi="Arial" w:cs="Arial"/>
          <w:sz w:val="24"/>
          <w:szCs w:val="24"/>
        </w:rPr>
        <w:t>–</w:t>
      </w:r>
      <w:r w:rsidRPr="009E30DB">
        <w:rPr>
          <w:rFonts w:ascii="Arial" w:eastAsia="Arial" w:hAnsi="Arial" w:cs="Arial"/>
          <w:sz w:val="24"/>
          <w:szCs w:val="24"/>
        </w:rPr>
        <w:t xml:space="preserve"> special leave granted by this court in terms of s</w:t>
      </w:r>
      <w:r w:rsidR="00C37DD3">
        <w:rPr>
          <w:rFonts w:ascii="Arial" w:eastAsia="Arial" w:hAnsi="Arial" w:cs="Arial"/>
          <w:sz w:val="24"/>
          <w:szCs w:val="24"/>
        </w:rPr>
        <w:t xml:space="preserve"> </w:t>
      </w:r>
      <w:r w:rsidRPr="009E30DB">
        <w:rPr>
          <w:rFonts w:ascii="Arial" w:eastAsia="Arial" w:hAnsi="Arial" w:cs="Arial"/>
          <w:sz w:val="24"/>
          <w:szCs w:val="24"/>
        </w:rPr>
        <w:t>16(1)</w:t>
      </w:r>
      <w:r w:rsidR="007936D8">
        <w:rPr>
          <w:rFonts w:ascii="Arial" w:eastAsia="Arial" w:hAnsi="Arial" w:cs="Arial"/>
          <w:sz w:val="24"/>
          <w:szCs w:val="24"/>
        </w:rPr>
        <w:t xml:space="preserve"> of the </w:t>
      </w:r>
      <w:r w:rsidR="007936D8">
        <w:rPr>
          <w:rFonts w:ascii="Arial" w:eastAsia="Arial" w:hAnsi="Arial" w:cs="Arial"/>
          <w:sz w:val="24"/>
          <w:szCs w:val="24"/>
        </w:rPr>
        <w:lastRenderedPageBreak/>
        <w:t>Superior Courts Act 10 of 2013</w:t>
      </w:r>
      <w:r w:rsidR="003731AA" w:rsidRPr="009E30DB">
        <w:rPr>
          <w:rFonts w:ascii="Arial" w:eastAsia="Arial" w:hAnsi="Arial" w:cs="Arial"/>
          <w:sz w:val="24"/>
          <w:szCs w:val="24"/>
        </w:rPr>
        <w:t xml:space="preserve"> </w:t>
      </w:r>
      <w:r w:rsidR="000A4BF6" w:rsidRPr="009E30DB">
        <w:rPr>
          <w:rFonts w:ascii="Arial" w:eastAsia="Arial" w:hAnsi="Arial" w:cs="Arial"/>
          <w:sz w:val="24"/>
          <w:szCs w:val="24"/>
        </w:rPr>
        <w:t xml:space="preserve">in respect of </w:t>
      </w:r>
      <w:r w:rsidR="003731AA" w:rsidRPr="009E30DB">
        <w:rPr>
          <w:rFonts w:ascii="Arial" w:eastAsia="Arial" w:hAnsi="Arial" w:cs="Arial"/>
          <w:sz w:val="24"/>
          <w:szCs w:val="24"/>
        </w:rPr>
        <w:t>sentence</w:t>
      </w:r>
      <w:r w:rsidR="000A4BF6" w:rsidRPr="009E30DB">
        <w:rPr>
          <w:rFonts w:ascii="Arial" w:eastAsia="Arial" w:hAnsi="Arial" w:cs="Arial"/>
          <w:sz w:val="24"/>
          <w:szCs w:val="24"/>
        </w:rPr>
        <w:t xml:space="preserve"> only</w:t>
      </w:r>
      <w:r w:rsidR="003731AA" w:rsidRPr="009E30DB">
        <w:rPr>
          <w:rFonts w:ascii="Arial" w:eastAsia="Arial" w:hAnsi="Arial" w:cs="Arial"/>
          <w:sz w:val="24"/>
          <w:szCs w:val="24"/>
        </w:rPr>
        <w:t xml:space="preserve"> – </w:t>
      </w:r>
      <w:r w:rsidR="009D0C2B" w:rsidRPr="009E30DB">
        <w:rPr>
          <w:rFonts w:ascii="Arial" w:eastAsia="Arial" w:hAnsi="Arial" w:cs="Arial"/>
          <w:sz w:val="24"/>
          <w:szCs w:val="24"/>
        </w:rPr>
        <w:t>conceded misdirection or misdirections</w:t>
      </w:r>
      <w:r w:rsidR="003731AA" w:rsidRPr="009E30DB">
        <w:rPr>
          <w:rFonts w:ascii="Arial" w:eastAsia="Arial" w:hAnsi="Arial" w:cs="Arial"/>
          <w:sz w:val="24"/>
          <w:szCs w:val="24"/>
        </w:rPr>
        <w:t xml:space="preserve"> – reasonable prospect of success on appeal against sentence. </w:t>
      </w:r>
    </w:p>
    <w:p w14:paraId="768FE700" w14:textId="77777777" w:rsidR="00750E7B" w:rsidRDefault="00750E7B">
      <w:pPr>
        <w:rPr>
          <w:rFonts w:ascii="Arial" w:eastAsia="Arial" w:hAnsi="Arial" w:cs="Arial"/>
          <w:sz w:val="24"/>
          <w:szCs w:val="24"/>
        </w:rPr>
      </w:pPr>
      <w:r>
        <w:rPr>
          <w:rFonts w:ascii="Arial" w:eastAsia="Arial" w:hAnsi="Arial" w:cs="Arial"/>
          <w:sz w:val="24"/>
          <w:szCs w:val="24"/>
        </w:rPr>
        <w:br w:type="page"/>
      </w:r>
    </w:p>
    <w:p w14:paraId="02379C9A" w14:textId="77777777" w:rsidR="00F3468C" w:rsidRPr="009E30DB" w:rsidRDefault="00F3468C" w:rsidP="001265A3">
      <w:pPr>
        <w:pStyle w:val="Normal1"/>
        <w:spacing w:after="120" w:line="360" w:lineRule="auto"/>
        <w:jc w:val="both"/>
        <w:rPr>
          <w:rFonts w:ascii="Arial" w:eastAsia="Arial" w:hAnsi="Arial" w:cs="Arial"/>
          <w:sz w:val="24"/>
          <w:szCs w:val="24"/>
        </w:rPr>
      </w:pPr>
    </w:p>
    <w:p w14:paraId="44D5B7C7" w14:textId="3A1F7295" w:rsidR="00F3468C" w:rsidRPr="009E30DB" w:rsidRDefault="00F3468C" w:rsidP="001265A3">
      <w:pPr>
        <w:pStyle w:val="Normal1"/>
        <w:spacing w:after="0" w:line="360" w:lineRule="auto"/>
        <w:jc w:val="both"/>
        <w:rPr>
          <w:rFonts w:ascii="Arial" w:eastAsia="Arial" w:hAnsi="Arial" w:cs="Arial"/>
          <w:sz w:val="24"/>
          <w:szCs w:val="24"/>
        </w:rPr>
      </w:pPr>
      <w:r w:rsidRPr="009E30DB">
        <w:rPr>
          <w:rFonts w:ascii="Arial" w:eastAsia="Arial" w:hAnsi="Arial" w:cs="Arial"/>
          <w:sz w:val="24"/>
          <w:szCs w:val="24"/>
        </w:rPr>
        <w:t>_____________________________________</w:t>
      </w:r>
      <w:r w:rsidR="00C37DD3">
        <w:rPr>
          <w:rFonts w:ascii="Arial" w:eastAsia="Arial" w:hAnsi="Arial" w:cs="Arial"/>
          <w:sz w:val="24"/>
          <w:szCs w:val="24"/>
        </w:rPr>
        <w:t>______________________________</w:t>
      </w:r>
    </w:p>
    <w:p w14:paraId="55F8306C" w14:textId="77777777" w:rsidR="00F3468C" w:rsidRPr="009E30DB" w:rsidRDefault="00F3468C" w:rsidP="001265A3">
      <w:pPr>
        <w:pStyle w:val="Normal1"/>
        <w:spacing w:after="0" w:line="360" w:lineRule="auto"/>
        <w:jc w:val="center"/>
        <w:rPr>
          <w:rFonts w:ascii="Arial" w:eastAsia="Arial" w:hAnsi="Arial" w:cs="Arial"/>
          <w:b/>
          <w:sz w:val="24"/>
          <w:szCs w:val="24"/>
        </w:rPr>
      </w:pPr>
    </w:p>
    <w:p w14:paraId="2D6684FD" w14:textId="77777777" w:rsidR="00F3468C" w:rsidRPr="009E30DB" w:rsidRDefault="00F3468C" w:rsidP="001265A3">
      <w:pPr>
        <w:pStyle w:val="Normal1"/>
        <w:spacing w:after="0" w:line="360" w:lineRule="auto"/>
        <w:jc w:val="center"/>
        <w:rPr>
          <w:rFonts w:ascii="Arial" w:eastAsia="Arial" w:hAnsi="Arial" w:cs="Arial"/>
          <w:b/>
          <w:sz w:val="24"/>
          <w:szCs w:val="24"/>
        </w:rPr>
      </w:pPr>
      <w:r w:rsidRPr="009E30DB">
        <w:rPr>
          <w:rFonts w:ascii="Arial" w:eastAsia="Arial" w:hAnsi="Arial" w:cs="Arial"/>
          <w:b/>
          <w:sz w:val="24"/>
          <w:szCs w:val="24"/>
        </w:rPr>
        <w:t xml:space="preserve">ORDER </w:t>
      </w:r>
    </w:p>
    <w:p w14:paraId="5108AB03" w14:textId="77777777" w:rsidR="00F3468C" w:rsidRPr="009E30DB" w:rsidRDefault="00F3468C" w:rsidP="001265A3">
      <w:pPr>
        <w:pStyle w:val="Normal1"/>
        <w:spacing w:after="0" w:line="360" w:lineRule="auto"/>
        <w:jc w:val="both"/>
        <w:rPr>
          <w:rFonts w:ascii="Arial" w:eastAsia="Arial" w:hAnsi="Arial" w:cs="Arial"/>
          <w:sz w:val="24"/>
          <w:szCs w:val="24"/>
        </w:rPr>
      </w:pPr>
      <w:r w:rsidRPr="009E30DB">
        <w:rPr>
          <w:rFonts w:ascii="Arial" w:eastAsia="Arial" w:hAnsi="Arial" w:cs="Arial"/>
          <w:sz w:val="24"/>
          <w:szCs w:val="24"/>
        </w:rPr>
        <w:t>___________________________________________________________________</w:t>
      </w:r>
    </w:p>
    <w:p w14:paraId="54956868" w14:textId="77777777" w:rsidR="00F3468C" w:rsidRPr="009E30DB" w:rsidRDefault="00F3468C" w:rsidP="001265A3">
      <w:pPr>
        <w:pStyle w:val="Normal1"/>
        <w:spacing w:after="0" w:line="360" w:lineRule="auto"/>
        <w:jc w:val="both"/>
        <w:rPr>
          <w:rFonts w:ascii="Arial" w:eastAsia="Arial" w:hAnsi="Arial" w:cs="Arial"/>
          <w:b/>
          <w:sz w:val="24"/>
          <w:szCs w:val="24"/>
        </w:rPr>
      </w:pPr>
    </w:p>
    <w:p w14:paraId="02D34137" w14:textId="77777777" w:rsidR="00F3468C" w:rsidRPr="009E30DB" w:rsidRDefault="00F3468C" w:rsidP="001265A3">
      <w:pPr>
        <w:pStyle w:val="Normal1"/>
        <w:spacing w:after="0" w:line="360" w:lineRule="auto"/>
        <w:jc w:val="both"/>
        <w:rPr>
          <w:rFonts w:ascii="Arial" w:eastAsia="Arial" w:hAnsi="Arial" w:cs="Arial"/>
          <w:sz w:val="24"/>
          <w:szCs w:val="24"/>
        </w:rPr>
      </w:pPr>
      <w:r w:rsidRPr="009E30DB">
        <w:rPr>
          <w:rFonts w:ascii="Arial" w:eastAsia="Arial" w:hAnsi="Arial" w:cs="Arial"/>
          <w:b/>
          <w:sz w:val="24"/>
          <w:szCs w:val="24"/>
        </w:rPr>
        <w:t>On appeal from:</w:t>
      </w:r>
      <w:r w:rsidRPr="009E30DB">
        <w:rPr>
          <w:rFonts w:ascii="Arial" w:eastAsia="Arial" w:hAnsi="Arial" w:cs="Arial"/>
          <w:sz w:val="24"/>
          <w:szCs w:val="24"/>
        </w:rPr>
        <w:t xml:space="preserve"> Gauteng Division</w:t>
      </w:r>
      <w:r w:rsidR="00290F24" w:rsidRPr="009E30DB">
        <w:rPr>
          <w:rFonts w:ascii="Arial" w:eastAsia="Arial" w:hAnsi="Arial" w:cs="Arial"/>
          <w:sz w:val="24"/>
          <w:szCs w:val="24"/>
        </w:rPr>
        <w:t xml:space="preserve"> of the High Court</w:t>
      </w:r>
      <w:r w:rsidRPr="009E30DB">
        <w:rPr>
          <w:rFonts w:ascii="Arial" w:eastAsia="Arial" w:hAnsi="Arial" w:cs="Arial"/>
          <w:sz w:val="24"/>
          <w:szCs w:val="24"/>
        </w:rPr>
        <w:t>, Johannesburg (</w:t>
      </w:r>
      <w:r w:rsidR="00BD5226" w:rsidRPr="009E30DB">
        <w:rPr>
          <w:rFonts w:ascii="Arial" w:eastAsia="Arial" w:hAnsi="Arial" w:cs="Arial"/>
          <w:sz w:val="24"/>
          <w:szCs w:val="24"/>
        </w:rPr>
        <w:t>Mabesel</w:t>
      </w:r>
      <w:r w:rsidR="00C67520" w:rsidRPr="009E30DB">
        <w:rPr>
          <w:rFonts w:ascii="Arial" w:eastAsia="Arial" w:hAnsi="Arial" w:cs="Arial"/>
          <w:sz w:val="24"/>
          <w:szCs w:val="24"/>
        </w:rPr>
        <w:t>e</w:t>
      </w:r>
      <w:r w:rsidR="00BD5226" w:rsidRPr="009E30DB">
        <w:rPr>
          <w:rFonts w:ascii="Arial" w:eastAsia="Arial" w:hAnsi="Arial" w:cs="Arial"/>
          <w:sz w:val="24"/>
          <w:szCs w:val="24"/>
        </w:rPr>
        <w:t xml:space="preserve"> </w:t>
      </w:r>
      <w:r w:rsidR="0003001E" w:rsidRPr="009E30DB">
        <w:rPr>
          <w:rFonts w:ascii="Arial" w:eastAsia="Arial" w:hAnsi="Arial" w:cs="Arial"/>
          <w:sz w:val="24"/>
          <w:szCs w:val="24"/>
        </w:rPr>
        <w:t>J</w:t>
      </w:r>
      <w:r w:rsidR="00BD5226" w:rsidRPr="009E30DB">
        <w:rPr>
          <w:rFonts w:ascii="Arial" w:eastAsia="Arial" w:hAnsi="Arial" w:cs="Arial"/>
          <w:sz w:val="24"/>
          <w:szCs w:val="24"/>
        </w:rPr>
        <w:t xml:space="preserve"> and Vo</w:t>
      </w:r>
      <w:r w:rsidR="00032A91" w:rsidRPr="009E30DB">
        <w:rPr>
          <w:rFonts w:ascii="Arial" w:eastAsia="Arial" w:hAnsi="Arial" w:cs="Arial"/>
          <w:sz w:val="24"/>
          <w:szCs w:val="24"/>
        </w:rPr>
        <w:t>r</w:t>
      </w:r>
      <w:r w:rsidR="00BD5226" w:rsidRPr="009E30DB">
        <w:rPr>
          <w:rFonts w:ascii="Arial" w:eastAsia="Arial" w:hAnsi="Arial" w:cs="Arial"/>
          <w:sz w:val="24"/>
          <w:szCs w:val="24"/>
        </w:rPr>
        <w:t>ster AJ</w:t>
      </w:r>
      <w:r w:rsidRPr="009E30DB">
        <w:rPr>
          <w:rFonts w:ascii="Arial" w:eastAsia="Arial" w:hAnsi="Arial" w:cs="Arial"/>
          <w:sz w:val="24"/>
          <w:szCs w:val="24"/>
        </w:rPr>
        <w:t xml:space="preserve"> sitting as </w:t>
      </w:r>
      <w:r w:rsidR="0003001E" w:rsidRPr="009E30DB">
        <w:rPr>
          <w:rFonts w:ascii="Arial" w:eastAsia="Arial" w:hAnsi="Arial" w:cs="Arial"/>
          <w:sz w:val="24"/>
          <w:szCs w:val="24"/>
        </w:rPr>
        <w:t xml:space="preserve">court of </w:t>
      </w:r>
      <w:r w:rsidR="00BD5226" w:rsidRPr="009E30DB">
        <w:rPr>
          <w:rFonts w:ascii="Arial" w:eastAsia="Arial" w:hAnsi="Arial" w:cs="Arial"/>
          <w:sz w:val="24"/>
          <w:szCs w:val="24"/>
        </w:rPr>
        <w:t>appeal)</w:t>
      </w:r>
      <w:r w:rsidRPr="009E30DB">
        <w:rPr>
          <w:rFonts w:ascii="Arial" w:eastAsia="Arial" w:hAnsi="Arial" w:cs="Arial"/>
          <w:sz w:val="24"/>
          <w:szCs w:val="24"/>
        </w:rPr>
        <w:t>:</w:t>
      </w:r>
    </w:p>
    <w:p w14:paraId="7D798FE0" w14:textId="77777777" w:rsidR="00423319" w:rsidRPr="009E30DB" w:rsidRDefault="00F3468C" w:rsidP="001265A3">
      <w:pPr>
        <w:pStyle w:val="Normal1"/>
        <w:numPr>
          <w:ilvl w:val="0"/>
          <w:numId w:val="5"/>
        </w:numPr>
        <w:spacing w:after="0" w:line="360" w:lineRule="auto"/>
        <w:jc w:val="both"/>
        <w:rPr>
          <w:rFonts w:ascii="Arial" w:eastAsia="Arial" w:hAnsi="Arial" w:cs="Arial"/>
          <w:sz w:val="24"/>
          <w:szCs w:val="24"/>
        </w:rPr>
      </w:pPr>
      <w:r w:rsidRPr="009E30DB">
        <w:rPr>
          <w:rFonts w:ascii="Arial" w:eastAsia="Arial" w:hAnsi="Arial" w:cs="Arial"/>
          <w:sz w:val="24"/>
          <w:szCs w:val="24"/>
        </w:rPr>
        <w:t xml:space="preserve">The appeal </w:t>
      </w:r>
      <w:r w:rsidR="00423319" w:rsidRPr="009E30DB">
        <w:rPr>
          <w:rFonts w:ascii="Arial" w:eastAsia="Arial" w:hAnsi="Arial" w:cs="Arial"/>
          <w:sz w:val="24"/>
          <w:szCs w:val="24"/>
        </w:rPr>
        <w:t>succeeds.</w:t>
      </w:r>
    </w:p>
    <w:p w14:paraId="3B918DB9" w14:textId="1B78750A" w:rsidR="001F04CA" w:rsidRPr="009E30DB" w:rsidRDefault="001F04CA" w:rsidP="001F04CA">
      <w:pPr>
        <w:pStyle w:val="Normal1"/>
        <w:numPr>
          <w:ilvl w:val="0"/>
          <w:numId w:val="5"/>
        </w:numPr>
        <w:spacing w:after="0" w:line="360" w:lineRule="auto"/>
        <w:jc w:val="both"/>
        <w:rPr>
          <w:rFonts w:ascii="Arial" w:eastAsia="Arial" w:hAnsi="Arial" w:cs="Arial"/>
          <w:sz w:val="24"/>
          <w:szCs w:val="24"/>
        </w:rPr>
      </w:pPr>
      <w:r w:rsidRPr="009E30DB">
        <w:rPr>
          <w:rFonts w:ascii="Arial" w:eastAsia="Arial" w:hAnsi="Arial" w:cs="Arial"/>
          <w:sz w:val="24"/>
          <w:szCs w:val="24"/>
        </w:rPr>
        <w:t xml:space="preserve">The order of the court below </w:t>
      </w:r>
      <w:r w:rsidR="00DA5EEF" w:rsidRPr="009E30DB">
        <w:rPr>
          <w:rFonts w:ascii="Arial" w:eastAsia="Arial" w:hAnsi="Arial" w:cs="Arial"/>
          <w:sz w:val="24"/>
          <w:szCs w:val="24"/>
        </w:rPr>
        <w:t xml:space="preserve">to the extent that it refused the petition against the sentences imposed </w:t>
      </w:r>
      <w:r w:rsidRPr="009E30DB">
        <w:rPr>
          <w:rFonts w:ascii="Arial" w:eastAsia="Arial" w:hAnsi="Arial" w:cs="Arial"/>
          <w:sz w:val="24"/>
          <w:szCs w:val="24"/>
        </w:rPr>
        <w:t xml:space="preserve">is set aside and replaced with </w:t>
      </w:r>
      <w:r w:rsidR="007936D8">
        <w:rPr>
          <w:rFonts w:ascii="Arial" w:eastAsia="Arial" w:hAnsi="Arial" w:cs="Arial"/>
          <w:sz w:val="24"/>
          <w:szCs w:val="24"/>
        </w:rPr>
        <w:t xml:space="preserve">the </w:t>
      </w:r>
      <w:r w:rsidRPr="009E30DB">
        <w:rPr>
          <w:rFonts w:ascii="Arial" w:eastAsia="Arial" w:hAnsi="Arial" w:cs="Arial"/>
          <w:sz w:val="24"/>
          <w:szCs w:val="24"/>
        </w:rPr>
        <w:t>following:</w:t>
      </w:r>
    </w:p>
    <w:p w14:paraId="59F6BAA9" w14:textId="77777777" w:rsidR="00F3468C" w:rsidRPr="009E30DB" w:rsidRDefault="00DA5EEF" w:rsidP="007936D8">
      <w:pPr>
        <w:pStyle w:val="Normal1"/>
        <w:spacing w:after="0" w:line="360" w:lineRule="auto"/>
        <w:jc w:val="both"/>
        <w:rPr>
          <w:rFonts w:ascii="Arial" w:eastAsia="Arial" w:hAnsi="Arial" w:cs="Arial"/>
          <w:sz w:val="24"/>
          <w:szCs w:val="24"/>
        </w:rPr>
      </w:pPr>
      <w:r w:rsidRPr="009E30DB">
        <w:rPr>
          <w:rFonts w:ascii="Arial" w:eastAsia="Arial" w:hAnsi="Arial" w:cs="Arial"/>
          <w:sz w:val="24"/>
          <w:szCs w:val="24"/>
        </w:rPr>
        <w:t>‘The</w:t>
      </w:r>
      <w:r w:rsidR="001F04CA" w:rsidRPr="009E30DB">
        <w:rPr>
          <w:rFonts w:ascii="Arial" w:eastAsia="Arial" w:hAnsi="Arial" w:cs="Arial"/>
          <w:sz w:val="24"/>
          <w:szCs w:val="24"/>
        </w:rPr>
        <w:t xml:space="preserve"> application for leave to appeal against the sentences imposed on the applicant succeeds and the applicant is granted leave to appeal against his sentences to the Gauteng Division of the High Court, Johannesburg.</w:t>
      </w:r>
      <w:r w:rsidR="00FB482A" w:rsidRPr="009E30DB">
        <w:rPr>
          <w:rFonts w:ascii="Arial" w:eastAsia="Arial" w:hAnsi="Arial" w:cs="Arial"/>
          <w:sz w:val="24"/>
          <w:szCs w:val="24"/>
        </w:rPr>
        <w:t>’</w:t>
      </w:r>
      <w:r w:rsidR="001F04CA" w:rsidRPr="009E30DB">
        <w:rPr>
          <w:rFonts w:ascii="Arial" w:eastAsia="Arial" w:hAnsi="Arial" w:cs="Arial"/>
          <w:sz w:val="24"/>
          <w:szCs w:val="24"/>
        </w:rPr>
        <w:t xml:space="preserve"> </w:t>
      </w:r>
    </w:p>
    <w:p w14:paraId="6963D808" w14:textId="77777777" w:rsidR="00F3468C" w:rsidRPr="009E30DB" w:rsidRDefault="00F3468C" w:rsidP="001265A3">
      <w:pPr>
        <w:pStyle w:val="Normal1"/>
        <w:spacing w:after="0" w:line="360" w:lineRule="auto"/>
        <w:ind w:left="360"/>
        <w:jc w:val="both"/>
        <w:rPr>
          <w:rFonts w:ascii="Arial" w:eastAsia="Arial" w:hAnsi="Arial" w:cs="Arial"/>
          <w:sz w:val="24"/>
          <w:szCs w:val="24"/>
        </w:rPr>
      </w:pPr>
    </w:p>
    <w:p w14:paraId="3663A7AA" w14:textId="220F931E" w:rsidR="00F3468C" w:rsidRPr="009E30DB" w:rsidRDefault="00F3468C" w:rsidP="001265A3">
      <w:pPr>
        <w:pStyle w:val="Normal1"/>
        <w:spacing w:after="0" w:line="360" w:lineRule="auto"/>
        <w:jc w:val="both"/>
        <w:rPr>
          <w:rFonts w:ascii="Arial" w:eastAsia="Arial" w:hAnsi="Arial" w:cs="Arial"/>
          <w:sz w:val="24"/>
          <w:szCs w:val="24"/>
        </w:rPr>
      </w:pPr>
      <w:r w:rsidRPr="009E30DB">
        <w:rPr>
          <w:rFonts w:ascii="Arial" w:eastAsia="Arial" w:hAnsi="Arial" w:cs="Arial"/>
          <w:sz w:val="24"/>
          <w:szCs w:val="24"/>
        </w:rPr>
        <w:t>__________________________________________________________________</w:t>
      </w:r>
      <w:r w:rsidR="00C37DD3">
        <w:rPr>
          <w:rFonts w:ascii="Arial" w:eastAsia="Arial" w:hAnsi="Arial" w:cs="Arial"/>
          <w:sz w:val="24"/>
          <w:szCs w:val="24"/>
        </w:rPr>
        <w:t>_</w:t>
      </w:r>
    </w:p>
    <w:p w14:paraId="2823E8CB" w14:textId="77777777" w:rsidR="00F3468C" w:rsidRPr="009E30DB" w:rsidRDefault="00F3468C" w:rsidP="001265A3">
      <w:pPr>
        <w:pStyle w:val="Normal1"/>
        <w:spacing w:after="0" w:line="360" w:lineRule="auto"/>
        <w:jc w:val="center"/>
        <w:rPr>
          <w:rFonts w:ascii="Arial" w:eastAsia="Arial" w:hAnsi="Arial" w:cs="Arial"/>
          <w:b/>
          <w:sz w:val="24"/>
          <w:szCs w:val="24"/>
        </w:rPr>
      </w:pPr>
    </w:p>
    <w:p w14:paraId="04A68AE4" w14:textId="77777777" w:rsidR="00F3468C" w:rsidRPr="009E30DB" w:rsidRDefault="00F3468C" w:rsidP="001265A3">
      <w:pPr>
        <w:pStyle w:val="Normal1"/>
        <w:spacing w:after="0" w:line="360" w:lineRule="auto"/>
        <w:jc w:val="center"/>
        <w:rPr>
          <w:rFonts w:ascii="Arial" w:eastAsia="Arial" w:hAnsi="Arial" w:cs="Arial"/>
          <w:b/>
          <w:sz w:val="24"/>
          <w:szCs w:val="24"/>
        </w:rPr>
      </w:pPr>
      <w:r w:rsidRPr="009E30DB">
        <w:rPr>
          <w:rFonts w:ascii="Arial" w:eastAsia="Arial" w:hAnsi="Arial" w:cs="Arial"/>
          <w:b/>
          <w:sz w:val="24"/>
          <w:szCs w:val="24"/>
        </w:rPr>
        <w:t>JUDGMENT</w:t>
      </w:r>
    </w:p>
    <w:p w14:paraId="042B09D3" w14:textId="77777777" w:rsidR="00F3468C" w:rsidRPr="009E30DB" w:rsidRDefault="00F3468C" w:rsidP="001265A3">
      <w:pPr>
        <w:pStyle w:val="Normal1"/>
        <w:spacing w:after="0" w:line="360" w:lineRule="auto"/>
        <w:jc w:val="both"/>
        <w:rPr>
          <w:rFonts w:ascii="Arial" w:eastAsia="Arial" w:hAnsi="Arial" w:cs="Arial"/>
          <w:sz w:val="24"/>
          <w:szCs w:val="24"/>
        </w:rPr>
      </w:pPr>
      <w:r w:rsidRPr="009E30DB">
        <w:rPr>
          <w:rFonts w:ascii="Arial" w:eastAsia="Arial" w:hAnsi="Arial" w:cs="Arial"/>
          <w:sz w:val="24"/>
          <w:szCs w:val="24"/>
        </w:rPr>
        <w:t>___________________________________________________________________</w:t>
      </w:r>
    </w:p>
    <w:p w14:paraId="3042115A" w14:textId="57348FF0" w:rsidR="00C129C3" w:rsidRDefault="00C129C3" w:rsidP="001265A3">
      <w:pPr>
        <w:pStyle w:val="Normal1"/>
        <w:spacing w:before="240" w:after="0" w:line="360" w:lineRule="auto"/>
        <w:jc w:val="both"/>
        <w:rPr>
          <w:rFonts w:ascii="Arial" w:eastAsia="Arial" w:hAnsi="Arial" w:cs="Arial"/>
          <w:b/>
          <w:sz w:val="24"/>
          <w:szCs w:val="24"/>
        </w:rPr>
      </w:pPr>
      <w:r>
        <w:rPr>
          <w:rFonts w:ascii="Arial" w:eastAsia="Arial" w:hAnsi="Arial" w:cs="Arial"/>
          <w:b/>
          <w:sz w:val="24"/>
          <w:szCs w:val="24"/>
        </w:rPr>
        <w:t xml:space="preserve">Hughes JA (Gorven, Matojane JJA and </w:t>
      </w:r>
      <w:r w:rsidR="00E0709D">
        <w:rPr>
          <w:rFonts w:ascii="Arial" w:eastAsia="Arial" w:hAnsi="Arial" w:cs="Arial"/>
          <w:b/>
          <w:sz w:val="24"/>
          <w:szCs w:val="24"/>
        </w:rPr>
        <w:t>Koen</w:t>
      </w:r>
      <w:r>
        <w:rPr>
          <w:rFonts w:ascii="Arial" w:eastAsia="Arial" w:hAnsi="Arial" w:cs="Arial"/>
          <w:b/>
          <w:sz w:val="24"/>
          <w:szCs w:val="24"/>
        </w:rPr>
        <w:t xml:space="preserve"> and </w:t>
      </w:r>
      <w:r w:rsidR="00E0709D">
        <w:rPr>
          <w:rFonts w:ascii="Arial" w:eastAsia="Arial" w:hAnsi="Arial" w:cs="Arial"/>
          <w:b/>
          <w:sz w:val="24"/>
          <w:szCs w:val="24"/>
        </w:rPr>
        <w:t>Masipa</w:t>
      </w:r>
      <w:r>
        <w:rPr>
          <w:rFonts w:ascii="Arial" w:eastAsia="Arial" w:hAnsi="Arial" w:cs="Arial"/>
          <w:b/>
          <w:sz w:val="24"/>
          <w:szCs w:val="24"/>
        </w:rPr>
        <w:t xml:space="preserve"> AJA </w:t>
      </w:r>
      <w:r w:rsidR="00F3468C" w:rsidRPr="009E30DB">
        <w:rPr>
          <w:rFonts w:ascii="Arial" w:eastAsia="Arial" w:hAnsi="Arial" w:cs="Arial"/>
          <w:b/>
          <w:sz w:val="24"/>
          <w:szCs w:val="24"/>
        </w:rPr>
        <w:t>concurring)</w:t>
      </w:r>
    </w:p>
    <w:p w14:paraId="4FF1E83B" w14:textId="7668DF0E" w:rsidR="0003001E" w:rsidRPr="009E30DB" w:rsidRDefault="00F3468C" w:rsidP="001265A3">
      <w:pPr>
        <w:pStyle w:val="Normal1"/>
        <w:spacing w:before="240" w:after="0" w:line="360" w:lineRule="auto"/>
        <w:jc w:val="both"/>
        <w:rPr>
          <w:rFonts w:ascii="Arial" w:eastAsia="Arial" w:hAnsi="Arial" w:cs="Arial"/>
          <w:b/>
          <w:sz w:val="24"/>
          <w:szCs w:val="24"/>
        </w:rPr>
      </w:pPr>
      <w:r w:rsidRPr="009E30DB">
        <w:rPr>
          <w:rFonts w:ascii="Arial" w:eastAsia="Arial" w:hAnsi="Arial" w:cs="Arial"/>
          <w:b/>
          <w:sz w:val="24"/>
          <w:szCs w:val="24"/>
        </w:rPr>
        <w:t xml:space="preserve"> </w:t>
      </w:r>
    </w:p>
    <w:p w14:paraId="0E66F6E1" w14:textId="4177D612" w:rsidR="00097E4C" w:rsidRPr="00C9658B" w:rsidRDefault="00F3468C" w:rsidP="00C9658B">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Th</w:t>
      </w:r>
      <w:r w:rsidR="007B4567" w:rsidRPr="009E30DB">
        <w:rPr>
          <w:rFonts w:ascii="Arial" w:eastAsia="Arial" w:hAnsi="Arial" w:cs="Arial"/>
          <w:color w:val="000000"/>
          <w:sz w:val="24"/>
          <w:szCs w:val="24"/>
        </w:rPr>
        <w:t>is is an appeal where special l</w:t>
      </w:r>
      <w:r w:rsidRPr="009E30DB">
        <w:rPr>
          <w:rFonts w:ascii="Arial" w:eastAsia="Arial" w:hAnsi="Arial" w:cs="Arial"/>
          <w:color w:val="000000"/>
          <w:sz w:val="24"/>
          <w:szCs w:val="24"/>
        </w:rPr>
        <w:t>e</w:t>
      </w:r>
      <w:r w:rsidR="00776A88" w:rsidRPr="009E30DB">
        <w:rPr>
          <w:rFonts w:ascii="Arial" w:eastAsia="Arial" w:hAnsi="Arial" w:cs="Arial"/>
          <w:color w:val="000000"/>
          <w:sz w:val="24"/>
          <w:szCs w:val="24"/>
        </w:rPr>
        <w:t xml:space="preserve">ave </w:t>
      </w:r>
      <w:r w:rsidR="0099774C" w:rsidRPr="009E30DB">
        <w:rPr>
          <w:rFonts w:ascii="Arial" w:eastAsia="Arial" w:hAnsi="Arial" w:cs="Arial"/>
          <w:color w:val="000000"/>
          <w:sz w:val="24"/>
          <w:szCs w:val="24"/>
        </w:rPr>
        <w:t xml:space="preserve">to appeal </w:t>
      </w:r>
      <w:r w:rsidR="00776A88" w:rsidRPr="009E30DB">
        <w:rPr>
          <w:rFonts w:ascii="Arial" w:eastAsia="Arial" w:hAnsi="Arial" w:cs="Arial"/>
          <w:color w:val="000000"/>
          <w:sz w:val="24"/>
          <w:szCs w:val="24"/>
        </w:rPr>
        <w:t xml:space="preserve">was granted by this </w:t>
      </w:r>
      <w:r w:rsidR="00736063">
        <w:rPr>
          <w:rFonts w:ascii="Arial" w:eastAsia="Arial" w:hAnsi="Arial" w:cs="Arial"/>
          <w:color w:val="000000"/>
          <w:sz w:val="24"/>
          <w:szCs w:val="24"/>
        </w:rPr>
        <w:t>C</w:t>
      </w:r>
      <w:r w:rsidR="00776A88" w:rsidRPr="009E30DB">
        <w:rPr>
          <w:rFonts w:ascii="Arial" w:eastAsia="Arial" w:hAnsi="Arial" w:cs="Arial"/>
          <w:color w:val="000000"/>
          <w:sz w:val="24"/>
          <w:szCs w:val="24"/>
        </w:rPr>
        <w:t>our</w:t>
      </w:r>
      <w:r w:rsidR="007B4567" w:rsidRPr="009E30DB">
        <w:rPr>
          <w:rFonts w:ascii="Arial" w:eastAsia="Arial" w:hAnsi="Arial" w:cs="Arial"/>
          <w:color w:val="000000"/>
          <w:sz w:val="24"/>
          <w:szCs w:val="24"/>
        </w:rPr>
        <w:t xml:space="preserve">t </w:t>
      </w:r>
      <w:r w:rsidR="00CC586C" w:rsidRPr="009E30DB">
        <w:rPr>
          <w:rFonts w:ascii="Arial" w:eastAsia="Arial" w:hAnsi="Arial" w:cs="Arial"/>
          <w:color w:val="000000"/>
          <w:sz w:val="24"/>
          <w:szCs w:val="24"/>
        </w:rPr>
        <w:t>in respect of sentence only</w:t>
      </w:r>
      <w:r w:rsidR="00736063">
        <w:rPr>
          <w:rFonts w:ascii="Arial" w:eastAsia="Arial" w:hAnsi="Arial" w:cs="Arial"/>
          <w:color w:val="000000"/>
          <w:sz w:val="24"/>
          <w:szCs w:val="24"/>
        </w:rPr>
        <w:t>,</w:t>
      </w:r>
      <w:r w:rsidR="00CC586C" w:rsidRPr="009E30DB">
        <w:rPr>
          <w:rFonts w:ascii="Arial" w:eastAsia="Arial" w:hAnsi="Arial" w:cs="Arial"/>
          <w:color w:val="000000"/>
          <w:sz w:val="24"/>
          <w:szCs w:val="24"/>
        </w:rPr>
        <w:t xml:space="preserve"> </w:t>
      </w:r>
      <w:r w:rsidR="007865D8" w:rsidRPr="009E30DB">
        <w:rPr>
          <w:rFonts w:ascii="Arial" w:eastAsia="Arial" w:hAnsi="Arial" w:cs="Arial"/>
          <w:color w:val="000000"/>
          <w:sz w:val="24"/>
          <w:szCs w:val="24"/>
        </w:rPr>
        <w:t xml:space="preserve">against the dismissal of a petition. </w:t>
      </w:r>
      <w:r w:rsidR="007B4567" w:rsidRPr="009E30DB">
        <w:rPr>
          <w:rFonts w:ascii="Arial" w:eastAsia="Arial" w:hAnsi="Arial" w:cs="Arial"/>
          <w:color w:val="000000"/>
          <w:sz w:val="24"/>
          <w:szCs w:val="24"/>
        </w:rPr>
        <w:t>The appellant was one of t</w:t>
      </w:r>
      <w:r w:rsidR="00240FF6" w:rsidRPr="009E30DB">
        <w:rPr>
          <w:rFonts w:ascii="Arial" w:eastAsia="Arial" w:hAnsi="Arial" w:cs="Arial"/>
          <w:color w:val="000000"/>
          <w:sz w:val="24"/>
          <w:szCs w:val="24"/>
        </w:rPr>
        <w:t>hree</w:t>
      </w:r>
      <w:r w:rsidR="007B4567" w:rsidRPr="009E30DB">
        <w:rPr>
          <w:rFonts w:ascii="Arial" w:eastAsia="Arial" w:hAnsi="Arial" w:cs="Arial"/>
          <w:color w:val="000000"/>
          <w:sz w:val="24"/>
          <w:szCs w:val="24"/>
        </w:rPr>
        <w:t xml:space="preserve"> accused</w:t>
      </w:r>
      <w:r w:rsidR="00A26BE1" w:rsidRPr="009E30DB">
        <w:rPr>
          <w:rFonts w:ascii="Arial" w:eastAsia="Arial" w:hAnsi="Arial" w:cs="Arial"/>
          <w:color w:val="000000"/>
          <w:sz w:val="24"/>
          <w:szCs w:val="24"/>
        </w:rPr>
        <w:t>. He was</w:t>
      </w:r>
      <w:r w:rsidR="002D03E9" w:rsidRPr="009E30DB">
        <w:rPr>
          <w:rFonts w:ascii="Arial" w:eastAsia="Arial" w:hAnsi="Arial" w:cs="Arial"/>
          <w:color w:val="000000"/>
          <w:sz w:val="24"/>
          <w:szCs w:val="24"/>
        </w:rPr>
        <w:t xml:space="preserve"> charged </w:t>
      </w:r>
      <w:r w:rsidR="00D63793" w:rsidRPr="009E30DB">
        <w:rPr>
          <w:rFonts w:ascii="Arial" w:eastAsia="Arial" w:hAnsi="Arial" w:cs="Arial"/>
          <w:color w:val="000000"/>
          <w:sz w:val="24"/>
          <w:szCs w:val="24"/>
        </w:rPr>
        <w:t xml:space="preserve">before the </w:t>
      </w:r>
      <w:r w:rsidR="00D63793" w:rsidRPr="00C9658B">
        <w:rPr>
          <w:rFonts w:ascii="Arial" w:eastAsia="Arial" w:hAnsi="Arial" w:cs="Arial"/>
          <w:color w:val="000000"/>
          <w:sz w:val="24"/>
          <w:szCs w:val="24"/>
        </w:rPr>
        <w:t>regional court, Lenasia, Gauteng</w:t>
      </w:r>
      <w:r w:rsidR="002D03E9" w:rsidRPr="00C9658B">
        <w:rPr>
          <w:rFonts w:ascii="Arial" w:eastAsia="Arial" w:hAnsi="Arial" w:cs="Arial"/>
          <w:color w:val="000000"/>
          <w:sz w:val="24"/>
          <w:szCs w:val="24"/>
        </w:rPr>
        <w:t xml:space="preserve"> </w:t>
      </w:r>
      <w:r w:rsidR="00736063" w:rsidRPr="00C9658B">
        <w:rPr>
          <w:rFonts w:ascii="Arial" w:eastAsia="Arial" w:hAnsi="Arial" w:cs="Arial"/>
          <w:color w:val="000000"/>
          <w:sz w:val="24"/>
          <w:szCs w:val="24"/>
        </w:rPr>
        <w:t xml:space="preserve">(regional court) </w:t>
      </w:r>
      <w:r w:rsidR="002D03E9" w:rsidRPr="00C9658B">
        <w:rPr>
          <w:rFonts w:ascii="Arial" w:eastAsia="Arial" w:hAnsi="Arial" w:cs="Arial"/>
          <w:color w:val="000000"/>
          <w:sz w:val="24"/>
          <w:szCs w:val="24"/>
        </w:rPr>
        <w:t xml:space="preserve">and </w:t>
      </w:r>
      <w:r w:rsidR="00D63793" w:rsidRPr="00C9658B">
        <w:rPr>
          <w:rFonts w:ascii="Arial" w:eastAsia="Arial" w:hAnsi="Arial" w:cs="Arial"/>
          <w:color w:val="000000"/>
          <w:sz w:val="24"/>
          <w:szCs w:val="24"/>
        </w:rPr>
        <w:t xml:space="preserve">was </w:t>
      </w:r>
      <w:r w:rsidR="002D03E9" w:rsidRPr="00C9658B">
        <w:rPr>
          <w:rFonts w:ascii="Arial" w:eastAsia="Arial" w:hAnsi="Arial" w:cs="Arial"/>
          <w:color w:val="000000"/>
          <w:sz w:val="24"/>
          <w:szCs w:val="24"/>
        </w:rPr>
        <w:t>convicted on</w:t>
      </w:r>
      <w:r w:rsidR="007B4567" w:rsidRPr="00C9658B">
        <w:rPr>
          <w:rFonts w:ascii="Arial" w:eastAsia="Arial" w:hAnsi="Arial" w:cs="Arial"/>
          <w:color w:val="000000"/>
          <w:sz w:val="24"/>
          <w:szCs w:val="24"/>
        </w:rPr>
        <w:t xml:space="preserve"> two counts of robbery with aggravating circumstances, </w:t>
      </w:r>
      <w:r w:rsidR="00D63793" w:rsidRPr="00C9658B">
        <w:rPr>
          <w:rFonts w:ascii="Arial" w:eastAsia="Arial" w:hAnsi="Arial" w:cs="Arial"/>
          <w:color w:val="000000"/>
          <w:sz w:val="24"/>
          <w:szCs w:val="24"/>
        </w:rPr>
        <w:t xml:space="preserve">one of </w:t>
      </w:r>
      <w:r w:rsidR="007B4567" w:rsidRPr="00C9658B">
        <w:rPr>
          <w:rFonts w:ascii="Arial" w:eastAsia="Arial" w:hAnsi="Arial" w:cs="Arial"/>
          <w:color w:val="000000"/>
          <w:sz w:val="24"/>
          <w:szCs w:val="24"/>
        </w:rPr>
        <w:t xml:space="preserve">unlawful possession of a firearm, and </w:t>
      </w:r>
      <w:r w:rsidR="00D63793" w:rsidRPr="00C9658B">
        <w:rPr>
          <w:rFonts w:ascii="Arial" w:eastAsia="Arial" w:hAnsi="Arial" w:cs="Arial"/>
          <w:color w:val="000000"/>
          <w:sz w:val="24"/>
          <w:szCs w:val="24"/>
        </w:rPr>
        <w:t xml:space="preserve">one of </w:t>
      </w:r>
      <w:r w:rsidR="007B4567" w:rsidRPr="00C9658B">
        <w:rPr>
          <w:rFonts w:ascii="Arial" w:eastAsia="Arial" w:hAnsi="Arial" w:cs="Arial"/>
          <w:color w:val="000000"/>
          <w:sz w:val="24"/>
          <w:szCs w:val="24"/>
        </w:rPr>
        <w:t>attempted murder</w:t>
      </w:r>
      <w:r w:rsidR="000D39EC" w:rsidRPr="00C9658B">
        <w:rPr>
          <w:rFonts w:ascii="Arial" w:eastAsia="Arial" w:hAnsi="Arial" w:cs="Arial"/>
          <w:color w:val="000000"/>
          <w:sz w:val="24"/>
          <w:szCs w:val="24"/>
        </w:rPr>
        <w:t>.</w:t>
      </w:r>
      <w:r w:rsidR="002D03E9" w:rsidRPr="00C9658B">
        <w:rPr>
          <w:rFonts w:ascii="Arial" w:eastAsia="Arial" w:hAnsi="Arial" w:cs="Arial"/>
          <w:color w:val="000000"/>
          <w:sz w:val="24"/>
          <w:szCs w:val="24"/>
        </w:rPr>
        <w:t xml:space="preserve"> He was acquitted on a further count.</w:t>
      </w:r>
      <w:r w:rsidR="007B4567" w:rsidRPr="00C9658B">
        <w:rPr>
          <w:rFonts w:ascii="Arial" w:eastAsia="Arial" w:hAnsi="Arial" w:cs="Arial"/>
          <w:color w:val="000000"/>
          <w:sz w:val="24"/>
          <w:szCs w:val="24"/>
        </w:rPr>
        <w:t xml:space="preserve"> </w:t>
      </w:r>
    </w:p>
    <w:p w14:paraId="1F19DF3F" w14:textId="77777777" w:rsidR="00097E4C" w:rsidRPr="009E30DB" w:rsidRDefault="00097E4C" w:rsidP="001265A3">
      <w:pPr>
        <w:pStyle w:val="Normal1"/>
        <w:spacing w:after="0" w:line="360" w:lineRule="auto"/>
        <w:jc w:val="both"/>
        <w:rPr>
          <w:rFonts w:ascii="Arial" w:eastAsia="Arial" w:hAnsi="Arial" w:cs="Arial"/>
          <w:color w:val="000000"/>
          <w:sz w:val="24"/>
          <w:szCs w:val="24"/>
        </w:rPr>
      </w:pPr>
    </w:p>
    <w:p w14:paraId="3E962EA2" w14:textId="3DEC77B3" w:rsidR="007B4567" w:rsidRPr="009E30DB" w:rsidRDefault="007B4567" w:rsidP="001265A3">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 xml:space="preserve">For </w:t>
      </w:r>
      <w:r w:rsidR="00F32555" w:rsidRPr="009E30DB">
        <w:rPr>
          <w:rFonts w:ascii="Arial" w:eastAsia="Arial" w:hAnsi="Arial" w:cs="Arial"/>
          <w:color w:val="000000"/>
          <w:sz w:val="24"/>
          <w:szCs w:val="24"/>
        </w:rPr>
        <w:t xml:space="preserve">each of </w:t>
      </w:r>
      <w:r w:rsidRPr="009E30DB">
        <w:rPr>
          <w:rFonts w:ascii="Arial" w:eastAsia="Arial" w:hAnsi="Arial" w:cs="Arial"/>
          <w:color w:val="000000"/>
          <w:sz w:val="24"/>
          <w:szCs w:val="24"/>
        </w:rPr>
        <w:t>the first three counts he was sentenced to 15 years</w:t>
      </w:r>
      <w:r w:rsidR="00736063">
        <w:rPr>
          <w:rFonts w:ascii="Arial" w:eastAsia="Arial" w:hAnsi="Arial" w:cs="Arial"/>
          <w:color w:val="000000"/>
          <w:sz w:val="24"/>
          <w:szCs w:val="24"/>
        </w:rPr>
        <w:t>’</w:t>
      </w:r>
      <w:r w:rsidRPr="009E30DB">
        <w:rPr>
          <w:rFonts w:ascii="Arial" w:eastAsia="Arial" w:hAnsi="Arial" w:cs="Arial"/>
          <w:color w:val="000000"/>
          <w:sz w:val="24"/>
          <w:szCs w:val="24"/>
        </w:rPr>
        <w:t xml:space="preserve"> imprisonment </w:t>
      </w:r>
      <w:r w:rsidR="00240FF6" w:rsidRPr="009E30DB">
        <w:rPr>
          <w:rFonts w:ascii="Arial" w:eastAsia="Arial" w:hAnsi="Arial" w:cs="Arial"/>
          <w:color w:val="000000"/>
          <w:sz w:val="24"/>
          <w:szCs w:val="24"/>
        </w:rPr>
        <w:t>and</w:t>
      </w:r>
      <w:r w:rsidR="00097E4C" w:rsidRPr="009E30DB">
        <w:rPr>
          <w:rFonts w:ascii="Arial" w:eastAsia="Arial" w:hAnsi="Arial" w:cs="Arial"/>
          <w:color w:val="000000"/>
          <w:sz w:val="24"/>
          <w:szCs w:val="24"/>
        </w:rPr>
        <w:t xml:space="preserve"> </w:t>
      </w:r>
      <w:r w:rsidR="00F32555" w:rsidRPr="009E30DB">
        <w:rPr>
          <w:rFonts w:ascii="Arial" w:eastAsia="Arial" w:hAnsi="Arial" w:cs="Arial"/>
          <w:color w:val="000000"/>
          <w:sz w:val="24"/>
          <w:szCs w:val="24"/>
        </w:rPr>
        <w:t xml:space="preserve">was sentenced to </w:t>
      </w:r>
      <w:r w:rsidR="00097E4C" w:rsidRPr="009E30DB">
        <w:rPr>
          <w:rFonts w:ascii="Arial" w:eastAsia="Arial" w:hAnsi="Arial" w:cs="Arial"/>
          <w:color w:val="000000"/>
          <w:sz w:val="24"/>
          <w:szCs w:val="24"/>
        </w:rPr>
        <w:t>ten years</w:t>
      </w:r>
      <w:r w:rsidR="00736063">
        <w:rPr>
          <w:rFonts w:ascii="Arial" w:eastAsia="Arial" w:hAnsi="Arial" w:cs="Arial"/>
          <w:color w:val="000000"/>
          <w:sz w:val="24"/>
          <w:szCs w:val="24"/>
        </w:rPr>
        <w:t>’</w:t>
      </w:r>
      <w:r w:rsidR="00240FF6" w:rsidRPr="009E30DB">
        <w:rPr>
          <w:rFonts w:ascii="Arial" w:eastAsia="Arial" w:hAnsi="Arial" w:cs="Arial"/>
          <w:color w:val="000000"/>
          <w:sz w:val="24"/>
          <w:szCs w:val="24"/>
        </w:rPr>
        <w:t xml:space="preserve"> </w:t>
      </w:r>
      <w:r w:rsidR="00F32555" w:rsidRPr="009E30DB">
        <w:rPr>
          <w:rFonts w:ascii="Arial" w:eastAsia="Arial" w:hAnsi="Arial" w:cs="Arial"/>
          <w:color w:val="000000"/>
          <w:sz w:val="24"/>
          <w:szCs w:val="24"/>
        </w:rPr>
        <w:t xml:space="preserve">imprisonment </w:t>
      </w:r>
      <w:r w:rsidR="00240FF6" w:rsidRPr="009E30DB">
        <w:rPr>
          <w:rFonts w:ascii="Arial" w:eastAsia="Arial" w:hAnsi="Arial" w:cs="Arial"/>
          <w:color w:val="000000"/>
          <w:sz w:val="24"/>
          <w:szCs w:val="24"/>
        </w:rPr>
        <w:t xml:space="preserve">for the attempted murder count. </w:t>
      </w:r>
      <w:r w:rsidRPr="009E30DB">
        <w:rPr>
          <w:rFonts w:ascii="Arial" w:eastAsia="Arial" w:hAnsi="Arial" w:cs="Arial"/>
          <w:color w:val="000000"/>
          <w:sz w:val="24"/>
          <w:szCs w:val="24"/>
        </w:rPr>
        <w:t xml:space="preserve"> </w:t>
      </w:r>
      <w:r w:rsidR="00240FF6" w:rsidRPr="009E30DB">
        <w:rPr>
          <w:rFonts w:ascii="Arial" w:eastAsia="Arial" w:hAnsi="Arial" w:cs="Arial"/>
          <w:color w:val="000000"/>
          <w:sz w:val="24"/>
          <w:szCs w:val="24"/>
        </w:rPr>
        <w:t xml:space="preserve">The sentence in </w:t>
      </w:r>
      <w:r w:rsidR="00B56C14" w:rsidRPr="009E30DB">
        <w:rPr>
          <w:rFonts w:ascii="Arial" w:eastAsia="Arial" w:hAnsi="Arial" w:cs="Arial"/>
          <w:color w:val="000000"/>
          <w:sz w:val="24"/>
          <w:szCs w:val="24"/>
        </w:rPr>
        <w:t xml:space="preserve">the first </w:t>
      </w:r>
      <w:r w:rsidR="00240FF6" w:rsidRPr="009E30DB">
        <w:rPr>
          <w:rFonts w:ascii="Arial" w:eastAsia="Arial" w:hAnsi="Arial" w:cs="Arial"/>
          <w:color w:val="000000"/>
          <w:sz w:val="24"/>
          <w:szCs w:val="24"/>
        </w:rPr>
        <w:t>count</w:t>
      </w:r>
      <w:r w:rsidR="00097E4C" w:rsidRPr="009E30DB">
        <w:rPr>
          <w:rFonts w:ascii="Arial" w:eastAsia="Arial" w:hAnsi="Arial" w:cs="Arial"/>
          <w:color w:val="000000"/>
          <w:sz w:val="24"/>
          <w:szCs w:val="24"/>
        </w:rPr>
        <w:t xml:space="preserve"> </w:t>
      </w:r>
      <w:r w:rsidR="00240FF6" w:rsidRPr="009E30DB">
        <w:rPr>
          <w:rFonts w:ascii="Arial" w:eastAsia="Arial" w:hAnsi="Arial" w:cs="Arial"/>
          <w:color w:val="000000"/>
          <w:sz w:val="24"/>
          <w:szCs w:val="24"/>
        </w:rPr>
        <w:t xml:space="preserve">was </w:t>
      </w:r>
      <w:r w:rsidR="000C02DC" w:rsidRPr="009E30DB">
        <w:rPr>
          <w:rFonts w:ascii="Arial" w:eastAsia="Arial" w:hAnsi="Arial" w:cs="Arial"/>
          <w:color w:val="000000"/>
          <w:sz w:val="24"/>
          <w:szCs w:val="24"/>
        </w:rPr>
        <w:t xml:space="preserve">ordered </w:t>
      </w:r>
      <w:r w:rsidR="00240FF6" w:rsidRPr="009E30DB">
        <w:rPr>
          <w:rFonts w:ascii="Arial" w:eastAsia="Arial" w:hAnsi="Arial" w:cs="Arial"/>
          <w:color w:val="000000"/>
          <w:sz w:val="24"/>
          <w:szCs w:val="24"/>
        </w:rPr>
        <w:t>to</w:t>
      </w:r>
      <w:r w:rsidR="00097E4C" w:rsidRPr="009E30DB">
        <w:rPr>
          <w:rFonts w:ascii="Arial" w:eastAsia="Arial" w:hAnsi="Arial" w:cs="Arial"/>
          <w:color w:val="000000"/>
          <w:sz w:val="24"/>
          <w:szCs w:val="24"/>
        </w:rPr>
        <w:t xml:space="preserve"> run concurrently with </w:t>
      </w:r>
      <w:r w:rsidR="000C02DC" w:rsidRPr="009E30DB">
        <w:rPr>
          <w:rFonts w:ascii="Arial" w:eastAsia="Arial" w:hAnsi="Arial" w:cs="Arial"/>
          <w:color w:val="000000"/>
          <w:sz w:val="24"/>
          <w:szCs w:val="24"/>
        </w:rPr>
        <w:t xml:space="preserve">that imposed for </w:t>
      </w:r>
      <w:r w:rsidR="00B56C14" w:rsidRPr="009E30DB">
        <w:rPr>
          <w:rFonts w:ascii="Arial" w:eastAsia="Arial" w:hAnsi="Arial" w:cs="Arial"/>
          <w:color w:val="000000"/>
          <w:sz w:val="24"/>
          <w:szCs w:val="24"/>
        </w:rPr>
        <w:t xml:space="preserve">the second </w:t>
      </w:r>
      <w:r w:rsidR="00097E4C" w:rsidRPr="009E30DB">
        <w:rPr>
          <w:rFonts w:ascii="Arial" w:eastAsia="Arial" w:hAnsi="Arial" w:cs="Arial"/>
          <w:color w:val="000000"/>
          <w:sz w:val="24"/>
          <w:szCs w:val="24"/>
        </w:rPr>
        <w:t>count</w:t>
      </w:r>
      <w:r w:rsidR="00240FF6" w:rsidRPr="009E30DB">
        <w:rPr>
          <w:rFonts w:ascii="Arial" w:eastAsia="Arial" w:hAnsi="Arial" w:cs="Arial"/>
          <w:color w:val="000000"/>
          <w:sz w:val="24"/>
          <w:szCs w:val="24"/>
        </w:rPr>
        <w:t xml:space="preserve">. </w:t>
      </w:r>
      <w:r w:rsidR="00B56C14" w:rsidRPr="009E30DB">
        <w:rPr>
          <w:rFonts w:ascii="Arial" w:eastAsia="Arial" w:hAnsi="Arial" w:cs="Arial"/>
          <w:color w:val="000000"/>
          <w:sz w:val="24"/>
          <w:szCs w:val="24"/>
        </w:rPr>
        <w:t>T</w:t>
      </w:r>
      <w:r w:rsidR="00240FF6" w:rsidRPr="009E30DB">
        <w:rPr>
          <w:rFonts w:ascii="Arial" w:eastAsia="Arial" w:hAnsi="Arial" w:cs="Arial"/>
          <w:color w:val="000000"/>
          <w:sz w:val="24"/>
          <w:szCs w:val="24"/>
        </w:rPr>
        <w:t xml:space="preserve">en years of </w:t>
      </w:r>
      <w:r w:rsidR="00B56C14" w:rsidRPr="009E30DB">
        <w:rPr>
          <w:rFonts w:ascii="Arial" w:eastAsia="Arial" w:hAnsi="Arial" w:cs="Arial"/>
          <w:color w:val="000000"/>
          <w:sz w:val="24"/>
          <w:szCs w:val="24"/>
        </w:rPr>
        <w:t xml:space="preserve">the sentence </w:t>
      </w:r>
      <w:r w:rsidR="00C54CAE" w:rsidRPr="009E30DB">
        <w:rPr>
          <w:rFonts w:ascii="Arial" w:eastAsia="Arial" w:hAnsi="Arial" w:cs="Arial"/>
          <w:color w:val="000000"/>
          <w:sz w:val="24"/>
          <w:szCs w:val="24"/>
        </w:rPr>
        <w:t>for</w:t>
      </w:r>
      <w:r w:rsidR="00B56C14" w:rsidRPr="009E30DB">
        <w:rPr>
          <w:rFonts w:ascii="Arial" w:eastAsia="Arial" w:hAnsi="Arial" w:cs="Arial"/>
          <w:color w:val="000000"/>
          <w:sz w:val="24"/>
          <w:szCs w:val="24"/>
        </w:rPr>
        <w:t xml:space="preserve"> </w:t>
      </w:r>
      <w:r w:rsidR="00C54CAE" w:rsidRPr="009E30DB">
        <w:rPr>
          <w:rFonts w:ascii="Arial" w:eastAsia="Arial" w:hAnsi="Arial" w:cs="Arial"/>
          <w:color w:val="000000"/>
          <w:sz w:val="24"/>
          <w:szCs w:val="24"/>
        </w:rPr>
        <w:t xml:space="preserve">the third </w:t>
      </w:r>
      <w:r w:rsidR="00240FF6" w:rsidRPr="009E30DB">
        <w:rPr>
          <w:rFonts w:ascii="Arial" w:eastAsia="Arial" w:hAnsi="Arial" w:cs="Arial"/>
          <w:color w:val="000000"/>
          <w:sz w:val="24"/>
          <w:szCs w:val="24"/>
        </w:rPr>
        <w:t>count</w:t>
      </w:r>
      <w:r w:rsidR="00C54CAE" w:rsidRPr="009E30DB">
        <w:rPr>
          <w:rFonts w:ascii="Arial" w:eastAsia="Arial" w:hAnsi="Arial" w:cs="Arial"/>
          <w:color w:val="000000"/>
          <w:sz w:val="24"/>
          <w:szCs w:val="24"/>
        </w:rPr>
        <w:t xml:space="preserve"> </w:t>
      </w:r>
      <w:r w:rsidR="00240FF6" w:rsidRPr="009E30DB">
        <w:rPr>
          <w:rFonts w:ascii="Arial" w:eastAsia="Arial" w:hAnsi="Arial" w:cs="Arial"/>
          <w:color w:val="000000"/>
          <w:sz w:val="24"/>
          <w:szCs w:val="24"/>
        </w:rPr>
        <w:t xml:space="preserve">was </w:t>
      </w:r>
      <w:r w:rsidR="000C02DC" w:rsidRPr="009E30DB">
        <w:rPr>
          <w:rFonts w:ascii="Arial" w:eastAsia="Arial" w:hAnsi="Arial" w:cs="Arial"/>
          <w:color w:val="000000"/>
          <w:sz w:val="24"/>
          <w:szCs w:val="24"/>
        </w:rPr>
        <w:t xml:space="preserve">ordered </w:t>
      </w:r>
      <w:r w:rsidR="00240FF6" w:rsidRPr="009E30DB">
        <w:rPr>
          <w:rFonts w:ascii="Arial" w:eastAsia="Arial" w:hAnsi="Arial" w:cs="Arial"/>
          <w:color w:val="000000"/>
          <w:sz w:val="24"/>
          <w:szCs w:val="24"/>
        </w:rPr>
        <w:t xml:space="preserve">to run </w:t>
      </w:r>
      <w:r w:rsidR="00240FF6" w:rsidRPr="009E30DB">
        <w:rPr>
          <w:rFonts w:ascii="Arial" w:eastAsia="Arial" w:hAnsi="Arial" w:cs="Arial"/>
          <w:color w:val="000000"/>
          <w:sz w:val="24"/>
          <w:szCs w:val="24"/>
        </w:rPr>
        <w:lastRenderedPageBreak/>
        <w:t xml:space="preserve">concurrently with </w:t>
      </w:r>
      <w:r w:rsidR="000C02DC" w:rsidRPr="009E30DB">
        <w:rPr>
          <w:rFonts w:ascii="Arial" w:eastAsia="Arial" w:hAnsi="Arial" w:cs="Arial"/>
          <w:color w:val="000000"/>
          <w:sz w:val="24"/>
          <w:szCs w:val="24"/>
        </w:rPr>
        <w:t xml:space="preserve">that </w:t>
      </w:r>
      <w:r w:rsidR="002467D5" w:rsidRPr="009E30DB">
        <w:rPr>
          <w:rFonts w:ascii="Arial" w:eastAsia="Arial" w:hAnsi="Arial" w:cs="Arial"/>
          <w:color w:val="000000"/>
          <w:sz w:val="24"/>
          <w:szCs w:val="24"/>
        </w:rPr>
        <w:t>imposed for</w:t>
      </w:r>
      <w:r w:rsidR="000C02DC" w:rsidRPr="009E30DB">
        <w:rPr>
          <w:rFonts w:ascii="Arial" w:eastAsia="Arial" w:hAnsi="Arial" w:cs="Arial"/>
          <w:color w:val="000000"/>
          <w:sz w:val="24"/>
          <w:szCs w:val="24"/>
        </w:rPr>
        <w:t xml:space="preserve"> </w:t>
      </w:r>
      <w:r w:rsidR="00C54CAE" w:rsidRPr="009E30DB">
        <w:rPr>
          <w:rFonts w:ascii="Arial" w:eastAsia="Arial" w:hAnsi="Arial" w:cs="Arial"/>
          <w:color w:val="000000"/>
          <w:sz w:val="24"/>
          <w:szCs w:val="24"/>
        </w:rPr>
        <w:t>the first</w:t>
      </w:r>
      <w:r w:rsidR="009875CB" w:rsidRPr="009E30DB">
        <w:rPr>
          <w:rFonts w:ascii="Arial" w:eastAsia="Arial" w:hAnsi="Arial" w:cs="Arial"/>
          <w:color w:val="000000"/>
          <w:sz w:val="24"/>
          <w:szCs w:val="24"/>
        </w:rPr>
        <w:t>.</w:t>
      </w:r>
      <w:r w:rsidR="00FC3730" w:rsidRPr="009E30DB">
        <w:rPr>
          <w:rFonts w:ascii="Arial" w:eastAsia="Arial" w:hAnsi="Arial" w:cs="Arial"/>
          <w:color w:val="000000"/>
          <w:sz w:val="24"/>
          <w:szCs w:val="24"/>
        </w:rPr>
        <w:t xml:space="preserve"> </w:t>
      </w:r>
      <w:r w:rsidR="009875CB" w:rsidRPr="009E30DB">
        <w:rPr>
          <w:rFonts w:ascii="Arial" w:eastAsia="Arial" w:hAnsi="Arial" w:cs="Arial"/>
          <w:color w:val="000000"/>
          <w:sz w:val="24"/>
          <w:szCs w:val="24"/>
        </w:rPr>
        <w:t xml:space="preserve">The </w:t>
      </w:r>
      <w:r w:rsidR="00891507" w:rsidRPr="009E30DB">
        <w:rPr>
          <w:rFonts w:ascii="Arial" w:eastAsia="Arial" w:hAnsi="Arial" w:cs="Arial"/>
          <w:color w:val="000000"/>
          <w:sz w:val="24"/>
          <w:szCs w:val="24"/>
        </w:rPr>
        <w:t xml:space="preserve">cumulative effect was thus that the </w:t>
      </w:r>
      <w:r w:rsidR="009875CB" w:rsidRPr="009E30DB">
        <w:rPr>
          <w:rFonts w:ascii="Arial" w:eastAsia="Arial" w:hAnsi="Arial" w:cs="Arial"/>
          <w:color w:val="000000"/>
          <w:sz w:val="24"/>
          <w:szCs w:val="24"/>
        </w:rPr>
        <w:t xml:space="preserve">appellant was </w:t>
      </w:r>
      <w:r w:rsidR="00FC3730" w:rsidRPr="009E30DB">
        <w:rPr>
          <w:rFonts w:ascii="Arial" w:eastAsia="Arial" w:hAnsi="Arial" w:cs="Arial"/>
          <w:color w:val="000000"/>
          <w:sz w:val="24"/>
          <w:szCs w:val="24"/>
        </w:rPr>
        <w:t>sentence</w:t>
      </w:r>
      <w:r w:rsidR="00097E4C" w:rsidRPr="009E30DB">
        <w:rPr>
          <w:rFonts w:ascii="Arial" w:eastAsia="Arial" w:hAnsi="Arial" w:cs="Arial"/>
          <w:color w:val="000000"/>
          <w:sz w:val="24"/>
          <w:szCs w:val="24"/>
        </w:rPr>
        <w:t>d</w:t>
      </w:r>
      <w:r w:rsidR="00FC3730" w:rsidRPr="009E30DB">
        <w:rPr>
          <w:rFonts w:ascii="Arial" w:eastAsia="Arial" w:hAnsi="Arial" w:cs="Arial"/>
          <w:color w:val="000000"/>
          <w:sz w:val="24"/>
          <w:szCs w:val="24"/>
        </w:rPr>
        <w:t xml:space="preserve"> to </w:t>
      </w:r>
      <w:r w:rsidR="00891507" w:rsidRPr="009E30DB">
        <w:rPr>
          <w:rFonts w:ascii="Arial" w:eastAsia="Arial" w:hAnsi="Arial" w:cs="Arial"/>
          <w:color w:val="000000"/>
          <w:sz w:val="24"/>
          <w:szCs w:val="24"/>
        </w:rPr>
        <w:t xml:space="preserve">an effective term of </w:t>
      </w:r>
      <w:r w:rsidR="00FC3730" w:rsidRPr="009E30DB">
        <w:rPr>
          <w:rFonts w:ascii="Arial" w:eastAsia="Arial" w:hAnsi="Arial" w:cs="Arial"/>
          <w:color w:val="000000"/>
          <w:sz w:val="24"/>
          <w:szCs w:val="24"/>
        </w:rPr>
        <w:t xml:space="preserve">thirty </w:t>
      </w:r>
      <w:proofErr w:type="gramStart"/>
      <w:r w:rsidR="00FC3730" w:rsidRPr="009E30DB">
        <w:rPr>
          <w:rFonts w:ascii="Arial" w:eastAsia="Arial" w:hAnsi="Arial" w:cs="Arial"/>
          <w:color w:val="000000"/>
          <w:sz w:val="24"/>
          <w:szCs w:val="24"/>
        </w:rPr>
        <w:t>years</w:t>
      </w:r>
      <w:proofErr w:type="gramEnd"/>
      <w:r w:rsidR="00FC3730" w:rsidRPr="009E30DB">
        <w:rPr>
          <w:rFonts w:ascii="Arial" w:eastAsia="Arial" w:hAnsi="Arial" w:cs="Arial"/>
          <w:color w:val="000000"/>
          <w:sz w:val="24"/>
          <w:szCs w:val="24"/>
        </w:rPr>
        <w:t xml:space="preserve"> imprisonment.</w:t>
      </w:r>
    </w:p>
    <w:p w14:paraId="2287BFEA" w14:textId="77777777" w:rsidR="007B4567" w:rsidRPr="009E30DB" w:rsidRDefault="007B4567" w:rsidP="001265A3">
      <w:pPr>
        <w:pStyle w:val="Normal1"/>
        <w:spacing w:after="0" w:line="360" w:lineRule="auto"/>
        <w:jc w:val="both"/>
        <w:rPr>
          <w:rFonts w:ascii="Arial" w:eastAsia="Arial" w:hAnsi="Arial" w:cs="Arial"/>
          <w:color w:val="000000"/>
          <w:sz w:val="24"/>
          <w:szCs w:val="24"/>
        </w:rPr>
      </w:pPr>
    </w:p>
    <w:p w14:paraId="4CDA3D4A" w14:textId="59586020" w:rsidR="00002FEF" w:rsidRPr="009E30DB" w:rsidRDefault="007B4567" w:rsidP="00002FEF">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 xml:space="preserve"> </w:t>
      </w:r>
      <w:r w:rsidR="00002FEF" w:rsidRPr="009E30DB">
        <w:rPr>
          <w:rFonts w:ascii="Arial" w:eastAsia="Arial" w:hAnsi="Arial" w:cs="Arial"/>
          <w:color w:val="000000"/>
          <w:sz w:val="24"/>
          <w:szCs w:val="24"/>
        </w:rPr>
        <w:t>In terms of s</w:t>
      </w:r>
      <w:r w:rsidR="00F860D6" w:rsidRPr="009E30DB">
        <w:rPr>
          <w:rFonts w:ascii="Arial" w:eastAsia="Arial" w:hAnsi="Arial" w:cs="Arial"/>
          <w:color w:val="000000"/>
          <w:sz w:val="24"/>
          <w:szCs w:val="24"/>
        </w:rPr>
        <w:t> </w:t>
      </w:r>
      <w:r w:rsidR="00002FEF" w:rsidRPr="009E30DB">
        <w:rPr>
          <w:rFonts w:ascii="Arial" w:eastAsia="Arial" w:hAnsi="Arial" w:cs="Arial"/>
          <w:color w:val="000000"/>
          <w:sz w:val="24"/>
          <w:szCs w:val="24"/>
        </w:rPr>
        <w:t>309B of the Criminal Procedure Act 51 of 1977 (CPA) the appellant applied for leave to appeal</w:t>
      </w:r>
      <w:r w:rsidR="00946CF7" w:rsidRPr="009E30DB">
        <w:rPr>
          <w:rFonts w:ascii="Arial" w:eastAsia="Arial" w:hAnsi="Arial" w:cs="Arial"/>
          <w:color w:val="000000"/>
          <w:sz w:val="24"/>
          <w:szCs w:val="24"/>
        </w:rPr>
        <w:t xml:space="preserve"> against conviction and sentence </w:t>
      </w:r>
      <w:r w:rsidR="00002FEF" w:rsidRPr="009E30DB">
        <w:rPr>
          <w:rFonts w:ascii="Arial" w:eastAsia="Arial" w:hAnsi="Arial" w:cs="Arial"/>
          <w:color w:val="000000"/>
          <w:sz w:val="24"/>
          <w:szCs w:val="24"/>
        </w:rPr>
        <w:t>which was refused by the magistrate</w:t>
      </w:r>
      <w:r w:rsidR="008E33A3" w:rsidRPr="009E30DB">
        <w:rPr>
          <w:rFonts w:ascii="Arial" w:eastAsia="Arial" w:hAnsi="Arial" w:cs="Arial"/>
          <w:color w:val="000000"/>
          <w:sz w:val="24"/>
          <w:szCs w:val="24"/>
        </w:rPr>
        <w:t xml:space="preserve"> in the regional court</w:t>
      </w:r>
      <w:r w:rsidR="00002FEF" w:rsidRPr="009E30DB">
        <w:rPr>
          <w:rFonts w:ascii="Arial" w:eastAsia="Arial" w:hAnsi="Arial" w:cs="Arial"/>
          <w:color w:val="000000"/>
          <w:sz w:val="24"/>
          <w:szCs w:val="24"/>
        </w:rPr>
        <w:t xml:space="preserve">. He then petitioned the </w:t>
      </w:r>
      <w:r w:rsidR="00891507" w:rsidRPr="009E30DB">
        <w:rPr>
          <w:rFonts w:ascii="Arial" w:eastAsia="Arial" w:hAnsi="Arial" w:cs="Arial"/>
          <w:color w:val="000000"/>
          <w:sz w:val="24"/>
          <w:szCs w:val="24"/>
        </w:rPr>
        <w:t xml:space="preserve">Gauteng Division </w:t>
      </w:r>
      <w:r w:rsidR="002C53A4" w:rsidRPr="009E30DB">
        <w:rPr>
          <w:rFonts w:ascii="Arial" w:eastAsia="Arial" w:hAnsi="Arial" w:cs="Arial"/>
          <w:color w:val="000000"/>
          <w:sz w:val="24"/>
          <w:szCs w:val="24"/>
        </w:rPr>
        <w:t>of the H</w:t>
      </w:r>
      <w:r w:rsidR="00002FEF" w:rsidRPr="009E30DB">
        <w:rPr>
          <w:rFonts w:ascii="Arial" w:eastAsia="Arial" w:hAnsi="Arial" w:cs="Arial"/>
          <w:color w:val="000000"/>
          <w:sz w:val="24"/>
          <w:szCs w:val="24"/>
        </w:rPr>
        <w:t xml:space="preserve">igh </w:t>
      </w:r>
      <w:r w:rsidR="00942345" w:rsidRPr="009E30DB">
        <w:rPr>
          <w:rFonts w:ascii="Arial" w:eastAsia="Arial" w:hAnsi="Arial" w:cs="Arial"/>
          <w:color w:val="000000"/>
          <w:sz w:val="24"/>
          <w:szCs w:val="24"/>
        </w:rPr>
        <w:t>C</w:t>
      </w:r>
      <w:r w:rsidR="00002FEF" w:rsidRPr="009E30DB">
        <w:rPr>
          <w:rFonts w:ascii="Arial" w:eastAsia="Arial" w:hAnsi="Arial" w:cs="Arial"/>
          <w:color w:val="000000"/>
          <w:sz w:val="24"/>
          <w:szCs w:val="24"/>
        </w:rPr>
        <w:t xml:space="preserve">ourt, Johannesburg in terms of </w:t>
      </w:r>
      <w:r w:rsidR="00495B71" w:rsidRPr="009E30DB">
        <w:rPr>
          <w:rFonts w:ascii="Arial" w:eastAsia="Arial" w:hAnsi="Arial" w:cs="Arial"/>
          <w:color w:val="000000"/>
          <w:sz w:val="24"/>
          <w:szCs w:val="24"/>
        </w:rPr>
        <w:t>s</w:t>
      </w:r>
      <w:r w:rsidR="00942345" w:rsidRPr="009E30DB">
        <w:rPr>
          <w:rFonts w:ascii="Arial" w:eastAsia="Arial" w:hAnsi="Arial" w:cs="Arial"/>
          <w:color w:val="000000"/>
          <w:sz w:val="24"/>
          <w:szCs w:val="24"/>
        </w:rPr>
        <w:t> </w:t>
      </w:r>
      <w:r w:rsidR="0093220B" w:rsidRPr="009E30DB">
        <w:rPr>
          <w:rFonts w:ascii="Arial" w:eastAsia="Arial" w:hAnsi="Arial" w:cs="Arial"/>
          <w:color w:val="000000"/>
          <w:sz w:val="24"/>
          <w:szCs w:val="24"/>
        </w:rPr>
        <w:t>309</w:t>
      </w:r>
      <w:proofErr w:type="gramStart"/>
      <w:r w:rsidR="0093220B" w:rsidRPr="009E30DB">
        <w:rPr>
          <w:rFonts w:ascii="Arial" w:eastAsia="Arial" w:hAnsi="Arial" w:cs="Arial"/>
          <w:color w:val="000000"/>
          <w:sz w:val="24"/>
          <w:szCs w:val="24"/>
        </w:rPr>
        <w:t>C(</w:t>
      </w:r>
      <w:proofErr w:type="gramEnd"/>
      <w:r w:rsidR="00002FEF" w:rsidRPr="009E30DB">
        <w:rPr>
          <w:rFonts w:ascii="Arial" w:eastAsia="Arial" w:hAnsi="Arial" w:cs="Arial"/>
          <w:color w:val="000000"/>
          <w:sz w:val="24"/>
          <w:szCs w:val="24"/>
        </w:rPr>
        <w:t>2</w:t>
      </w:r>
      <w:r w:rsidR="00495B71" w:rsidRPr="009E30DB">
        <w:rPr>
          <w:rFonts w:ascii="Arial" w:eastAsia="Arial" w:hAnsi="Arial" w:cs="Arial"/>
          <w:color w:val="000000"/>
          <w:sz w:val="24"/>
          <w:szCs w:val="24"/>
        </w:rPr>
        <w:t>)</w:t>
      </w:r>
      <w:r w:rsidR="00946CF7" w:rsidRPr="009E30DB">
        <w:rPr>
          <w:rFonts w:ascii="Arial" w:eastAsia="Arial" w:hAnsi="Arial" w:cs="Arial"/>
          <w:color w:val="000000"/>
          <w:sz w:val="24"/>
          <w:szCs w:val="24"/>
        </w:rPr>
        <w:t xml:space="preserve"> for leave against </w:t>
      </w:r>
      <w:r w:rsidR="003C164F" w:rsidRPr="009E30DB">
        <w:rPr>
          <w:rFonts w:ascii="Arial" w:eastAsia="Arial" w:hAnsi="Arial" w:cs="Arial"/>
          <w:color w:val="000000"/>
          <w:sz w:val="24"/>
          <w:szCs w:val="24"/>
        </w:rPr>
        <w:t xml:space="preserve">his </w:t>
      </w:r>
      <w:r w:rsidR="00946CF7" w:rsidRPr="009E30DB">
        <w:rPr>
          <w:rFonts w:ascii="Arial" w:eastAsia="Arial" w:hAnsi="Arial" w:cs="Arial"/>
          <w:color w:val="000000"/>
          <w:sz w:val="24"/>
          <w:szCs w:val="24"/>
        </w:rPr>
        <w:t>conviction</w:t>
      </w:r>
      <w:r w:rsidR="003C164F" w:rsidRPr="009E30DB">
        <w:rPr>
          <w:rFonts w:ascii="Arial" w:eastAsia="Arial" w:hAnsi="Arial" w:cs="Arial"/>
          <w:color w:val="000000"/>
          <w:sz w:val="24"/>
          <w:szCs w:val="24"/>
        </w:rPr>
        <w:t>s</w:t>
      </w:r>
      <w:r w:rsidR="00946CF7" w:rsidRPr="009E30DB">
        <w:rPr>
          <w:rFonts w:ascii="Arial" w:eastAsia="Arial" w:hAnsi="Arial" w:cs="Arial"/>
          <w:color w:val="000000"/>
          <w:sz w:val="24"/>
          <w:szCs w:val="24"/>
        </w:rPr>
        <w:t xml:space="preserve"> and sentence</w:t>
      </w:r>
      <w:r w:rsidR="003C164F" w:rsidRPr="009E30DB">
        <w:rPr>
          <w:rFonts w:ascii="Arial" w:eastAsia="Arial" w:hAnsi="Arial" w:cs="Arial"/>
          <w:color w:val="000000"/>
          <w:sz w:val="24"/>
          <w:szCs w:val="24"/>
        </w:rPr>
        <w:t>s</w:t>
      </w:r>
      <w:r w:rsidR="002C53A4" w:rsidRPr="009E30DB">
        <w:rPr>
          <w:rFonts w:ascii="Arial" w:eastAsia="Arial" w:hAnsi="Arial" w:cs="Arial"/>
          <w:color w:val="000000"/>
          <w:sz w:val="24"/>
          <w:szCs w:val="24"/>
        </w:rPr>
        <w:t xml:space="preserve">. </w:t>
      </w:r>
      <w:r w:rsidR="00891507" w:rsidRPr="009E30DB">
        <w:rPr>
          <w:rFonts w:ascii="Arial" w:eastAsia="Arial" w:hAnsi="Arial" w:cs="Arial"/>
          <w:sz w:val="24"/>
          <w:szCs w:val="24"/>
        </w:rPr>
        <w:t>Mabesel</w:t>
      </w:r>
      <w:r w:rsidR="00D2161A" w:rsidRPr="009E30DB">
        <w:rPr>
          <w:rFonts w:ascii="Arial" w:eastAsia="Arial" w:hAnsi="Arial" w:cs="Arial"/>
          <w:sz w:val="24"/>
          <w:szCs w:val="24"/>
        </w:rPr>
        <w:t>e</w:t>
      </w:r>
      <w:r w:rsidR="00891507" w:rsidRPr="009E30DB">
        <w:rPr>
          <w:rFonts w:ascii="Arial" w:eastAsia="Arial" w:hAnsi="Arial" w:cs="Arial"/>
          <w:sz w:val="24"/>
          <w:szCs w:val="24"/>
        </w:rPr>
        <w:t xml:space="preserve"> J and Vorster AJ</w:t>
      </w:r>
      <w:r w:rsidR="002C53A4" w:rsidRPr="009E30DB">
        <w:rPr>
          <w:rFonts w:ascii="Arial" w:eastAsia="Arial" w:hAnsi="Arial" w:cs="Arial"/>
          <w:sz w:val="24"/>
          <w:szCs w:val="24"/>
        </w:rPr>
        <w:t xml:space="preserve"> dismissed the petition</w:t>
      </w:r>
      <w:r w:rsidR="00002FEF" w:rsidRPr="009E30DB">
        <w:rPr>
          <w:rFonts w:ascii="Arial" w:eastAsia="Arial" w:hAnsi="Arial" w:cs="Arial"/>
          <w:color w:val="000000"/>
          <w:sz w:val="24"/>
          <w:szCs w:val="24"/>
        </w:rPr>
        <w:t xml:space="preserve">. The appellant applied for special leave to appeal from this </w:t>
      </w:r>
      <w:r w:rsidR="00336788">
        <w:rPr>
          <w:rFonts w:ascii="Arial" w:eastAsia="Arial" w:hAnsi="Arial" w:cs="Arial"/>
          <w:color w:val="000000"/>
          <w:sz w:val="24"/>
          <w:szCs w:val="24"/>
        </w:rPr>
        <w:t>C</w:t>
      </w:r>
      <w:r w:rsidR="00002FEF" w:rsidRPr="009E30DB">
        <w:rPr>
          <w:rFonts w:ascii="Arial" w:eastAsia="Arial" w:hAnsi="Arial" w:cs="Arial"/>
          <w:color w:val="000000"/>
          <w:sz w:val="24"/>
          <w:szCs w:val="24"/>
        </w:rPr>
        <w:t>ourt in terms of s</w:t>
      </w:r>
      <w:r w:rsidR="002C53A4" w:rsidRPr="009E30DB">
        <w:rPr>
          <w:rFonts w:ascii="Arial" w:eastAsia="Arial" w:hAnsi="Arial" w:cs="Arial"/>
          <w:color w:val="000000"/>
          <w:sz w:val="24"/>
          <w:szCs w:val="24"/>
        </w:rPr>
        <w:t> </w:t>
      </w:r>
      <w:r w:rsidR="00002FEF" w:rsidRPr="009E30DB">
        <w:rPr>
          <w:rFonts w:ascii="Arial" w:eastAsia="Arial" w:hAnsi="Arial" w:cs="Arial"/>
          <w:color w:val="000000"/>
          <w:sz w:val="24"/>
          <w:szCs w:val="24"/>
        </w:rPr>
        <w:t>16(1)</w:t>
      </w:r>
      <w:r w:rsidR="005D29E1" w:rsidRPr="009E30DB">
        <w:rPr>
          <w:rFonts w:ascii="Arial" w:eastAsia="Arial" w:hAnsi="Arial" w:cs="Arial"/>
          <w:i/>
          <w:iCs/>
          <w:color w:val="000000"/>
          <w:sz w:val="24"/>
          <w:szCs w:val="24"/>
        </w:rPr>
        <w:t>(b)</w:t>
      </w:r>
      <w:r w:rsidR="00002FEF" w:rsidRPr="009E30DB">
        <w:rPr>
          <w:rFonts w:ascii="Arial" w:eastAsia="Arial" w:hAnsi="Arial" w:cs="Arial"/>
          <w:color w:val="000000"/>
          <w:sz w:val="24"/>
          <w:szCs w:val="24"/>
        </w:rPr>
        <w:t xml:space="preserve"> of the Superior Courts Act 10 of 2013, which leave was duly granted only in respect of the sentence</w:t>
      </w:r>
      <w:r w:rsidR="004424C9" w:rsidRPr="009E30DB">
        <w:rPr>
          <w:rFonts w:ascii="Arial" w:eastAsia="Arial" w:hAnsi="Arial" w:cs="Arial"/>
          <w:color w:val="000000"/>
          <w:sz w:val="24"/>
          <w:szCs w:val="24"/>
        </w:rPr>
        <w:t>s</w:t>
      </w:r>
      <w:r w:rsidR="00002FEF" w:rsidRPr="009E30DB">
        <w:rPr>
          <w:rFonts w:ascii="Arial" w:eastAsia="Arial" w:hAnsi="Arial" w:cs="Arial"/>
          <w:color w:val="000000"/>
          <w:sz w:val="24"/>
          <w:szCs w:val="24"/>
        </w:rPr>
        <w:t xml:space="preserve">. </w:t>
      </w:r>
    </w:p>
    <w:p w14:paraId="6B6E0C15" w14:textId="77777777" w:rsidR="00002FEF" w:rsidRPr="009E30DB" w:rsidRDefault="00002FEF" w:rsidP="008E33A3">
      <w:pPr>
        <w:rPr>
          <w:rFonts w:ascii="Arial" w:eastAsia="Arial" w:hAnsi="Arial" w:cs="Arial"/>
          <w:color w:val="000000"/>
          <w:sz w:val="24"/>
          <w:szCs w:val="24"/>
        </w:rPr>
      </w:pPr>
    </w:p>
    <w:p w14:paraId="77D2776A" w14:textId="7A9E3499" w:rsidR="00F3468C" w:rsidRPr="009E30DB" w:rsidRDefault="00776A88" w:rsidP="001265A3">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 xml:space="preserve">As </w:t>
      </w:r>
      <w:r w:rsidR="000D39EC" w:rsidRPr="009E30DB">
        <w:rPr>
          <w:rFonts w:ascii="Arial" w:eastAsia="Arial" w:hAnsi="Arial" w:cs="Arial"/>
          <w:color w:val="000000"/>
          <w:sz w:val="24"/>
          <w:szCs w:val="24"/>
        </w:rPr>
        <w:t>the appeal does not concern the merits of the matter</w:t>
      </w:r>
      <w:r w:rsidR="009875CB" w:rsidRPr="009E30DB">
        <w:rPr>
          <w:rFonts w:ascii="Arial" w:eastAsia="Arial" w:hAnsi="Arial" w:cs="Arial"/>
          <w:color w:val="000000"/>
          <w:sz w:val="24"/>
          <w:szCs w:val="24"/>
        </w:rPr>
        <w:t>,</w:t>
      </w:r>
      <w:r w:rsidR="000D39EC" w:rsidRPr="009E30DB">
        <w:rPr>
          <w:rFonts w:ascii="Arial" w:eastAsia="Arial" w:hAnsi="Arial" w:cs="Arial"/>
          <w:color w:val="000000"/>
          <w:sz w:val="24"/>
          <w:szCs w:val="24"/>
        </w:rPr>
        <w:t xml:space="preserve"> I set out very briefly the </w:t>
      </w:r>
      <w:r w:rsidR="00E76E15" w:rsidRPr="009E30DB">
        <w:rPr>
          <w:rFonts w:ascii="Arial" w:eastAsia="Arial" w:hAnsi="Arial" w:cs="Arial"/>
          <w:color w:val="000000"/>
          <w:sz w:val="24"/>
          <w:szCs w:val="24"/>
        </w:rPr>
        <w:t>back</w:t>
      </w:r>
      <w:r w:rsidR="00E0527F" w:rsidRPr="009E30DB">
        <w:rPr>
          <w:rFonts w:ascii="Arial" w:eastAsia="Arial" w:hAnsi="Arial" w:cs="Arial"/>
          <w:color w:val="000000"/>
          <w:sz w:val="24"/>
          <w:szCs w:val="24"/>
        </w:rPr>
        <w:t>ground fact</w:t>
      </w:r>
      <w:r w:rsidR="00E71236" w:rsidRPr="009E30DB">
        <w:rPr>
          <w:rFonts w:ascii="Arial" w:eastAsia="Arial" w:hAnsi="Arial" w:cs="Arial"/>
          <w:color w:val="000000"/>
          <w:sz w:val="24"/>
          <w:szCs w:val="24"/>
        </w:rPr>
        <w:t>s</w:t>
      </w:r>
      <w:r w:rsidR="00E0527F" w:rsidRPr="009E30DB">
        <w:rPr>
          <w:rFonts w:ascii="Arial" w:eastAsia="Arial" w:hAnsi="Arial" w:cs="Arial"/>
          <w:color w:val="000000"/>
          <w:sz w:val="24"/>
          <w:szCs w:val="24"/>
        </w:rPr>
        <w:t xml:space="preserve"> that culminated in the charges preferred. T</w:t>
      </w:r>
      <w:r w:rsidRPr="009E30DB">
        <w:rPr>
          <w:rFonts w:ascii="Arial" w:eastAsia="Arial" w:hAnsi="Arial" w:cs="Arial"/>
          <w:color w:val="000000"/>
          <w:sz w:val="24"/>
          <w:szCs w:val="24"/>
        </w:rPr>
        <w:t xml:space="preserve">he appellant </w:t>
      </w:r>
      <w:r w:rsidR="00E0527F" w:rsidRPr="009E30DB">
        <w:rPr>
          <w:rFonts w:ascii="Arial" w:eastAsia="Arial" w:hAnsi="Arial" w:cs="Arial"/>
          <w:color w:val="000000"/>
          <w:sz w:val="24"/>
          <w:szCs w:val="24"/>
        </w:rPr>
        <w:t xml:space="preserve">and </w:t>
      </w:r>
      <w:r w:rsidR="00344AAF" w:rsidRPr="009E30DB">
        <w:rPr>
          <w:rFonts w:ascii="Arial" w:eastAsia="Arial" w:hAnsi="Arial" w:cs="Arial"/>
          <w:color w:val="000000"/>
          <w:sz w:val="24"/>
          <w:szCs w:val="24"/>
        </w:rPr>
        <w:t xml:space="preserve">his co-accused </w:t>
      </w:r>
      <w:r w:rsidR="00DE0151" w:rsidRPr="009E30DB">
        <w:rPr>
          <w:rFonts w:ascii="Arial" w:eastAsia="Arial" w:hAnsi="Arial" w:cs="Arial"/>
          <w:color w:val="000000"/>
          <w:sz w:val="24"/>
          <w:szCs w:val="24"/>
        </w:rPr>
        <w:t xml:space="preserve">attacked and robbed </w:t>
      </w:r>
      <w:r w:rsidR="00E0527F" w:rsidRPr="009E30DB">
        <w:rPr>
          <w:rFonts w:ascii="Arial" w:eastAsia="Arial" w:hAnsi="Arial" w:cs="Arial"/>
          <w:color w:val="000000"/>
          <w:sz w:val="24"/>
          <w:szCs w:val="24"/>
        </w:rPr>
        <w:t xml:space="preserve">the </w:t>
      </w:r>
      <w:r w:rsidR="00DE0151" w:rsidRPr="009E30DB">
        <w:rPr>
          <w:rFonts w:ascii="Arial" w:eastAsia="Arial" w:hAnsi="Arial" w:cs="Arial"/>
          <w:color w:val="000000"/>
          <w:sz w:val="24"/>
          <w:szCs w:val="24"/>
        </w:rPr>
        <w:t>complainant, Ms Regina Siyabela, in Meadowlands</w:t>
      </w:r>
      <w:r w:rsidR="00E0527F" w:rsidRPr="009E30DB">
        <w:rPr>
          <w:rFonts w:ascii="Arial" w:eastAsia="Arial" w:hAnsi="Arial" w:cs="Arial"/>
          <w:color w:val="000000"/>
          <w:sz w:val="24"/>
          <w:szCs w:val="24"/>
        </w:rPr>
        <w:t>,</w:t>
      </w:r>
      <w:r w:rsidR="00DE0151" w:rsidRPr="009E30DB">
        <w:rPr>
          <w:rFonts w:ascii="Arial" w:eastAsia="Arial" w:hAnsi="Arial" w:cs="Arial"/>
          <w:color w:val="000000"/>
          <w:sz w:val="24"/>
          <w:szCs w:val="24"/>
        </w:rPr>
        <w:t xml:space="preserve"> of</w:t>
      </w:r>
      <w:r w:rsidR="008A1758">
        <w:rPr>
          <w:rFonts w:ascii="Arial" w:eastAsia="Arial" w:hAnsi="Arial" w:cs="Arial"/>
          <w:color w:val="000000"/>
          <w:sz w:val="24"/>
          <w:szCs w:val="24"/>
        </w:rPr>
        <w:t xml:space="preserve"> about</w:t>
      </w:r>
      <w:r w:rsidR="00DE0151" w:rsidRPr="009E30DB">
        <w:rPr>
          <w:rFonts w:ascii="Arial" w:eastAsia="Arial" w:hAnsi="Arial" w:cs="Arial"/>
          <w:color w:val="000000"/>
          <w:sz w:val="24"/>
          <w:szCs w:val="24"/>
        </w:rPr>
        <w:t xml:space="preserve"> R14 000 at gunpoint.</w:t>
      </w:r>
      <w:r w:rsidR="007620CF" w:rsidRPr="009E30DB">
        <w:rPr>
          <w:rFonts w:ascii="Arial" w:eastAsia="Arial" w:hAnsi="Arial" w:cs="Arial"/>
          <w:color w:val="000000"/>
          <w:sz w:val="24"/>
          <w:szCs w:val="24"/>
        </w:rPr>
        <w:t xml:space="preserve"> </w:t>
      </w:r>
      <w:r w:rsidR="00E0527F" w:rsidRPr="009E30DB">
        <w:rPr>
          <w:rFonts w:ascii="Arial" w:eastAsia="Arial" w:hAnsi="Arial" w:cs="Arial"/>
          <w:color w:val="000000"/>
          <w:sz w:val="24"/>
          <w:szCs w:val="24"/>
        </w:rPr>
        <w:t xml:space="preserve">He was identified as the person who was in possession of the firearm. </w:t>
      </w:r>
      <w:r w:rsidR="00344AAF" w:rsidRPr="009E30DB">
        <w:rPr>
          <w:rFonts w:ascii="Arial" w:eastAsia="Arial" w:hAnsi="Arial" w:cs="Arial"/>
          <w:color w:val="000000"/>
          <w:sz w:val="24"/>
          <w:szCs w:val="24"/>
        </w:rPr>
        <w:t xml:space="preserve">In addition, they robbed </w:t>
      </w:r>
      <w:r w:rsidR="007620CF" w:rsidRPr="009E30DB">
        <w:rPr>
          <w:rFonts w:ascii="Arial" w:eastAsia="Arial" w:hAnsi="Arial" w:cs="Arial"/>
          <w:color w:val="000000"/>
          <w:sz w:val="24"/>
          <w:szCs w:val="24"/>
        </w:rPr>
        <w:t>two Makro workers, of their personal belongings, whils</w:t>
      </w:r>
      <w:r w:rsidR="00344AAF" w:rsidRPr="009E30DB">
        <w:rPr>
          <w:rFonts w:ascii="Arial" w:eastAsia="Arial" w:hAnsi="Arial" w:cs="Arial"/>
          <w:color w:val="000000"/>
          <w:sz w:val="24"/>
          <w:szCs w:val="24"/>
        </w:rPr>
        <w:t xml:space="preserve">t they were delivering goods at </w:t>
      </w:r>
      <w:r w:rsidR="007620CF" w:rsidRPr="009E30DB">
        <w:rPr>
          <w:rFonts w:ascii="Arial" w:eastAsia="Arial" w:hAnsi="Arial" w:cs="Arial"/>
          <w:color w:val="000000"/>
          <w:sz w:val="24"/>
          <w:szCs w:val="24"/>
        </w:rPr>
        <w:t>Ms Siyabela’s premises.</w:t>
      </w:r>
      <w:r w:rsidR="00E0527F" w:rsidRPr="009E30DB">
        <w:rPr>
          <w:rFonts w:ascii="Arial" w:eastAsia="Arial" w:hAnsi="Arial" w:cs="Arial"/>
          <w:color w:val="000000"/>
          <w:sz w:val="24"/>
          <w:szCs w:val="24"/>
        </w:rPr>
        <w:t xml:space="preserve"> </w:t>
      </w:r>
      <w:r w:rsidR="0017524C" w:rsidRPr="009E30DB">
        <w:rPr>
          <w:rFonts w:ascii="Arial" w:eastAsia="Arial" w:hAnsi="Arial" w:cs="Arial"/>
          <w:color w:val="000000"/>
          <w:sz w:val="24"/>
          <w:szCs w:val="24"/>
        </w:rPr>
        <w:t>The appellant fled the scene with his co-accused in a Toyota Tazz</w:t>
      </w:r>
      <w:r w:rsidR="00344AAF" w:rsidRPr="009E30DB">
        <w:rPr>
          <w:rFonts w:ascii="Arial" w:eastAsia="Arial" w:hAnsi="Arial" w:cs="Arial"/>
          <w:color w:val="000000"/>
          <w:sz w:val="24"/>
          <w:szCs w:val="24"/>
        </w:rPr>
        <w:t>,</w:t>
      </w:r>
      <w:r w:rsidR="0017524C" w:rsidRPr="009E30DB">
        <w:rPr>
          <w:rFonts w:ascii="Arial" w:eastAsia="Arial" w:hAnsi="Arial" w:cs="Arial"/>
          <w:color w:val="000000"/>
          <w:sz w:val="24"/>
          <w:szCs w:val="24"/>
        </w:rPr>
        <w:t xml:space="preserve"> </w:t>
      </w:r>
      <w:r w:rsidR="00344AAF" w:rsidRPr="009E30DB">
        <w:rPr>
          <w:rFonts w:ascii="Arial" w:eastAsia="Arial" w:hAnsi="Arial" w:cs="Arial"/>
          <w:color w:val="000000"/>
          <w:sz w:val="24"/>
          <w:szCs w:val="24"/>
        </w:rPr>
        <w:t>t</w:t>
      </w:r>
      <w:r w:rsidR="0017524C" w:rsidRPr="009E30DB">
        <w:rPr>
          <w:rFonts w:ascii="Arial" w:eastAsia="Arial" w:hAnsi="Arial" w:cs="Arial"/>
          <w:color w:val="000000"/>
          <w:sz w:val="24"/>
          <w:szCs w:val="24"/>
        </w:rPr>
        <w:t xml:space="preserve">he police gave chase and </w:t>
      </w:r>
      <w:r w:rsidR="00E0527F" w:rsidRPr="009E30DB">
        <w:rPr>
          <w:rFonts w:ascii="Arial" w:eastAsia="Arial" w:hAnsi="Arial" w:cs="Arial"/>
          <w:color w:val="000000"/>
          <w:sz w:val="24"/>
          <w:szCs w:val="24"/>
        </w:rPr>
        <w:t xml:space="preserve">a shootout ensued between the appellant, </w:t>
      </w:r>
      <w:r w:rsidR="0017524C" w:rsidRPr="009E30DB">
        <w:rPr>
          <w:rFonts w:ascii="Arial" w:eastAsia="Arial" w:hAnsi="Arial" w:cs="Arial"/>
          <w:color w:val="000000"/>
          <w:sz w:val="24"/>
          <w:szCs w:val="24"/>
        </w:rPr>
        <w:t xml:space="preserve">his </w:t>
      </w:r>
      <w:r w:rsidR="00E0527F" w:rsidRPr="009E30DB">
        <w:rPr>
          <w:rFonts w:ascii="Arial" w:eastAsia="Arial" w:hAnsi="Arial" w:cs="Arial"/>
          <w:color w:val="000000"/>
          <w:sz w:val="24"/>
          <w:szCs w:val="24"/>
        </w:rPr>
        <w:t>co-accused</w:t>
      </w:r>
      <w:r w:rsidR="0017524C" w:rsidRPr="009E30DB">
        <w:rPr>
          <w:rFonts w:ascii="Arial" w:eastAsia="Arial" w:hAnsi="Arial" w:cs="Arial"/>
          <w:color w:val="000000"/>
          <w:sz w:val="24"/>
          <w:szCs w:val="24"/>
        </w:rPr>
        <w:t xml:space="preserve"> </w:t>
      </w:r>
      <w:r w:rsidR="00E0527F" w:rsidRPr="009E30DB">
        <w:rPr>
          <w:rFonts w:ascii="Arial" w:eastAsia="Arial" w:hAnsi="Arial" w:cs="Arial"/>
          <w:color w:val="000000"/>
          <w:sz w:val="24"/>
          <w:szCs w:val="24"/>
        </w:rPr>
        <w:t>and</w:t>
      </w:r>
      <w:r w:rsidR="0017524C" w:rsidRPr="009E30DB">
        <w:rPr>
          <w:rFonts w:ascii="Arial" w:eastAsia="Arial" w:hAnsi="Arial" w:cs="Arial"/>
          <w:color w:val="000000"/>
          <w:sz w:val="24"/>
          <w:szCs w:val="24"/>
        </w:rPr>
        <w:t xml:space="preserve"> the police. </w:t>
      </w:r>
      <w:r w:rsidR="00344AAF" w:rsidRPr="009E30DB">
        <w:rPr>
          <w:rFonts w:ascii="Arial" w:eastAsia="Arial" w:hAnsi="Arial" w:cs="Arial"/>
          <w:color w:val="000000"/>
          <w:sz w:val="24"/>
          <w:szCs w:val="24"/>
        </w:rPr>
        <w:t>Ultimately</w:t>
      </w:r>
      <w:r w:rsidR="0017524C" w:rsidRPr="009E30DB">
        <w:rPr>
          <w:rFonts w:ascii="Arial" w:eastAsia="Arial" w:hAnsi="Arial" w:cs="Arial"/>
          <w:color w:val="000000"/>
          <w:sz w:val="24"/>
          <w:szCs w:val="24"/>
        </w:rPr>
        <w:t>, the</w:t>
      </w:r>
      <w:r w:rsidR="00E0527F" w:rsidRPr="009E30DB">
        <w:rPr>
          <w:rFonts w:ascii="Arial" w:eastAsia="Arial" w:hAnsi="Arial" w:cs="Arial"/>
          <w:color w:val="000000"/>
          <w:sz w:val="24"/>
          <w:szCs w:val="24"/>
        </w:rPr>
        <w:t xml:space="preserve"> appellant and his co-accused </w:t>
      </w:r>
      <w:r w:rsidR="0017524C" w:rsidRPr="009E30DB">
        <w:rPr>
          <w:rFonts w:ascii="Arial" w:eastAsia="Arial" w:hAnsi="Arial" w:cs="Arial"/>
          <w:color w:val="000000"/>
          <w:sz w:val="24"/>
          <w:szCs w:val="24"/>
        </w:rPr>
        <w:t>abandoned the vehicle and fled on foot</w:t>
      </w:r>
      <w:r w:rsidR="00344AAF" w:rsidRPr="009E30DB">
        <w:rPr>
          <w:rFonts w:ascii="Arial" w:eastAsia="Arial" w:hAnsi="Arial" w:cs="Arial"/>
          <w:color w:val="000000"/>
          <w:sz w:val="24"/>
          <w:szCs w:val="24"/>
        </w:rPr>
        <w:t>. T</w:t>
      </w:r>
      <w:r w:rsidR="0017524C" w:rsidRPr="009E30DB">
        <w:rPr>
          <w:rFonts w:ascii="Arial" w:eastAsia="Arial" w:hAnsi="Arial" w:cs="Arial"/>
          <w:color w:val="000000"/>
          <w:sz w:val="24"/>
          <w:szCs w:val="24"/>
        </w:rPr>
        <w:t xml:space="preserve">hey were arrested shortly after the incident. </w:t>
      </w:r>
    </w:p>
    <w:p w14:paraId="603C0C07" w14:textId="77777777" w:rsidR="00DE0151" w:rsidRPr="009E30DB" w:rsidRDefault="00DE0151" w:rsidP="001265A3">
      <w:pPr>
        <w:pStyle w:val="Normal1"/>
        <w:spacing w:after="0" w:line="360" w:lineRule="auto"/>
        <w:jc w:val="both"/>
        <w:rPr>
          <w:rFonts w:ascii="Arial" w:eastAsia="Arial" w:hAnsi="Arial" w:cs="Arial"/>
          <w:color w:val="000000"/>
          <w:sz w:val="24"/>
          <w:szCs w:val="24"/>
        </w:rPr>
      </w:pPr>
    </w:p>
    <w:p w14:paraId="7AA63F62" w14:textId="6DF07433" w:rsidR="007D3772" w:rsidRPr="009E30DB" w:rsidRDefault="000C6A5F" w:rsidP="001265A3">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 xml:space="preserve">In sentencing the </w:t>
      </w:r>
      <w:r w:rsidR="00715A23" w:rsidRPr="009E30DB">
        <w:rPr>
          <w:rFonts w:ascii="Arial" w:eastAsia="Arial" w:hAnsi="Arial" w:cs="Arial"/>
          <w:color w:val="000000"/>
          <w:sz w:val="24"/>
          <w:szCs w:val="24"/>
        </w:rPr>
        <w:t>appellant</w:t>
      </w:r>
      <w:r w:rsidR="008A1758">
        <w:rPr>
          <w:rFonts w:ascii="Arial" w:eastAsia="Arial" w:hAnsi="Arial" w:cs="Arial"/>
          <w:color w:val="000000"/>
          <w:sz w:val="24"/>
          <w:szCs w:val="24"/>
        </w:rPr>
        <w:t>,</w:t>
      </w:r>
      <w:r w:rsidRPr="009E30DB">
        <w:rPr>
          <w:rFonts w:ascii="Arial" w:eastAsia="Arial" w:hAnsi="Arial" w:cs="Arial"/>
          <w:color w:val="000000"/>
          <w:sz w:val="24"/>
          <w:szCs w:val="24"/>
        </w:rPr>
        <w:t xml:space="preserve"> the </w:t>
      </w:r>
      <w:r w:rsidR="00EE161C" w:rsidRPr="009E30DB">
        <w:rPr>
          <w:rFonts w:ascii="Arial" w:eastAsia="Arial" w:hAnsi="Arial" w:cs="Arial"/>
          <w:color w:val="000000"/>
          <w:sz w:val="24"/>
          <w:szCs w:val="24"/>
        </w:rPr>
        <w:t>m</w:t>
      </w:r>
      <w:r w:rsidRPr="009E30DB">
        <w:rPr>
          <w:rFonts w:ascii="Arial" w:eastAsia="Arial" w:hAnsi="Arial" w:cs="Arial"/>
          <w:color w:val="000000"/>
          <w:sz w:val="24"/>
          <w:szCs w:val="24"/>
        </w:rPr>
        <w:t xml:space="preserve">agistrate imposed the minimum </w:t>
      </w:r>
      <w:r w:rsidR="0030660D" w:rsidRPr="009E30DB">
        <w:rPr>
          <w:rFonts w:ascii="Arial" w:eastAsia="Arial" w:hAnsi="Arial" w:cs="Arial"/>
          <w:color w:val="000000"/>
          <w:sz w:val="24"/>
          <w:szCs w:val="24"/>
        </w:rPr>
        <w:t xml:space="preserve">sentences </w:t>
      </w:r>
      <w:r w:rsidRPr="009E30DB">
        <w:rPr>
          <w:rFonts w:ascii="Arial" w:eastAsia="Arial" w:hAnsi="Arial" w:cs="Arial"/>
          <w:color w:val="000000"/>
          <w:sz w:val="24"/>
          <w:szCs w:val="24"/>
        </w:rPr>
        <w:t>prescribed in terms of the C</w:t>
      </w:r>
      <w:r w:rsidR="00336788">
        <w:rPr>
          <w:rFonts w:ascii="Arial" w:eastAsia="Arial" w:hAnsi="Arial" w:cs="Arial"/>
          <w:color w:val="000000"/>
          <w:sz w:val="24"/>
          <w:szCs w:val="24"/>
        </w:rPr>
        <w:t>PA</w:t>
      </w:r>
      <w:r w:rsidRPr="009E30DB">
        <w:rPr>
          <w:rFonts w:ascii="Arial" w:eastAsia="Arial" w:hAnsi="Arial" w:cs="Arial"/>
          <w:color w:val="000000"/>
          <w:sz w:val="24"/>
          <w:szCs w:val="24"/>
        </w:rPr>
        <w:t xml:space="preserve"> for each </w:t>
      </w:r>
      <w:r w:rsidR="00777556" w:rsidRPr="009E30DB">
        <w:rPr>
          <w:rFonts w:ascii="Arial" w:eastAsia="Arial" w:hAnsi="Arial" w:cs="Arial"/>
          <w:color w:val="000000"/>
          <w:sz w:val="24"/>
          <w:szCs w:val="24"/>
        </w:rPr>
        <w:t>count, having found that there were</w:t>
      </w:r>
      <w:r w:rsidRPr="009E30DB">
        <w:rPr>
          <w:rFonts w:ascii="Arial" w:eastAsia="Arial" w:hAnsi="Arial" w:cs="Arial"/>
          <w:color w:val="000000"/>
          <w:sz w:val="24"/>
          <w:szCs w:val="24"/>
        </w:rPr>
        <w:t xml:space="preserve"> no substantial and compelling factor</w:t>
      </w:r>
      <w:r w:rsidR="00777556" w:rsidRPr="009E30DB">
        <w:rPr>
          <w:rFonts w:ascii="Arial" w:eastAsia="Arial" w:hAnsi="Arial" w:cs="Arial"/>
          <w:color w:val="000000"/>
          <w:sz w:val="24"/>
          <w:szCs w:val="24"/>
        </w:rPr>
        <w:t xml:space="preserve">s </w:t>
      </w:r>
      <w:r w:rsidRPr="009E30DB">
        <w:rPr>
          <w:rFonts w:ascii="Arial" w:eastAsia="Arial" w:hAnsi="Arial" w:cs="Arial"/>
          <w:color w:val="000000"/>
          <w:sz w:val="24"/>
          <w:szCs w:val="24"/>
        </w:rPr>
        <w:t>to deviate from the</w:t>
      </w:r>
      <w:r w:rsidR="0030660D" w:rsidRPr="009E30DB">
        <w:rPr>
          <w:rFonts w:ascii="Arial" w:eastAsia="Arial" w:hAnsi="Arial" w:cs="Arial"/>
          <w:color w:val="000000"/>
          <w:sz w:val="24"/>
          <w:szCs w:val="24"/>
        </w:rPr>
        <w:t>m</w:t>
      </w:r>
      <w:r w:rsidR="00155120" w:rsidRPr="009E30DB">
        <w:rPr>
          <w:rFonts w:ascii="Arial" w:eastAsia="Arial" w:hAnsi="Arial" w:cs="Arial"/>
          <w:color w:val="000000"/>
          <w:sz w:val="24"/>
          <w:szCs w:val="24"/>
        </w:rPr>
        <w:t>.</w:t>
      </w:r>
      <w:r w:rsidRPr="009E30DB">
        <w:rPr>
          <w:rFonts w:ascii="Arial" w:eastAsia="Arial" w:hAnsi="Arial" w:cs="Arial"/>
          <w:color w:val="000000"/>
          <w:sz w:val="24"/>
          <w:szCs w:val="24"/>
        </w:rPr>
        <w:t xml:space="preserve"> </w:t>
      </w:r>
      <w:r w:rsidR="00777556" w:rsidRPr="009E30DB">
        <w:rPr>
          <w:rFonts w:ascii="Arial" w:eastAsia="Arial" w:hAnsi="Arial" w:cs="Arial"/>
          <w:color w:val="000000"/>
          <w:sz w:val="24"/>
          <w:szCs w:val="24"/>
        </w:rPr>
        <w:t xml:space="preserve">The </w:t>
      </w:r>
      <w:r w:rsidR="009F44A4" w:rsidRPr="009E30DB">
        <w:rPr>
          <w:rFonts w:ascii="Arial" w:eastAsia="Arial" w:hAnsi="Arial" w:cs="Arial"/>
          <w:color w:val="000000"/>
          <w:sz w:val="24"/>
          <w:szCs w:val="24"/>
        </w:rPr>
        <w:t xml:space="preserve">appellant </w:t>
      </w:r>
      <w:r w:rsidR="003426B7" w:rsidRPr="009E30DB">
        <w:rPr>
          <w:rFonts w:ascii="Arial" w:eastAsia="Arial" w:hAnsi="Arial" w:cs="Arial"/>
          <w:color w:val="000000"/>
          <w:sz w:val="24"/>
          <w:szCs w:val="24"/>
        </w:rPr>
        <w:t>submitted</w:t>
      </w:r>
      <w:r w:rsidR="00AB3C91" w:rsidRPr="009E30DB">
        <w:rPr>
          <w:rFonts w:ascii="Arial" w:eastAsia="Arial" w:hAnsi="Arial" w:cs="Arial"/>
          <w:color w:val="000000"/>
          <w:sz w:val="24"/>
          <w:szCs w:val="24"/>
        </w:rPr>
        <w:t xml:space="preserve"> that his personal circumstances </w:t>
      </w:r>
      <w:r w:rsidR="003426B7" w:rsidRPr="009E30DB">
        <w:rPr>
          <w:rFonts w:ascii="Arial" w:eastAsia="Arial" w:hAnsi="Arial" w:cs="Arial"/>
          <w:color w:val="000000"/>
          <w:sz w:val="24"/>
          <w:szCs w:val="24"/>
        </w:rPr>
        <w:t>and</w:t>
      </w:r>
      <w:r w:rsidR="00995AA1" w:rsidRPr="009E30DB">
        <w:rPr>
          <w:rFonts w:ascii="Arial" w:eastAsia="Arial" w:hAnsi="Arial" w:cs="Arial"/>
          <w:color w:val="000000"/>
          <w:sz w:val="24"/>
          <w:szCs w:val="24"/>
        </w:rPr>
        <w:t>,</w:t>
      </w:r>
      <w:r w:rsidR="003426B7" w:rsidRPr="009E30DB">
        <w:rPr>
          <w:rFonts w:ascii="Arial" w:eastAsia="Arial" w:hAnsi="Arial" w:cs="Arial"/>
          <w:color w:val="000000"/>
          <w:sz w:val="24"/>
          <w:szCs w:val="24"/>
        </w:rPr>
        <w:t xml:space="preserve"> in particular the three and a half years that he was in custody awaiting trial</w:t>
      </w:r>
      <w:r w:rsidR="00DC617F" w:rsidRPr="009E30DB">
        <w:rPr>
          <w:rFonts w:ascii="Arial" w:eastAsia="Arial" w:hAnsi="Arial" w:cs="Arial"/>
          <w:color w:val="000000"/>
          <w:sz w:val="24"/>
          <w:szCs w:val="24"/>
        </w:rPr>
        <w:t xml:space="preserve">, </w:t>
      </w:r>
      <w:r w:rsidR="00AB3C91" w:rsidRPr="009E30DB">
        <w:rPr>
          <w:rFonts w:ascii="Arial" w:eastAsia="Arial" w:hAnsi="Arial" w:cs="Arial"/>
          <w:color w:val="000000"/>
          <w:sz w:val="24"/>
          <w:szCs w:val="24"/>
        </w:rPr>
        <w:t xml:space="preserve">were not considered and </w:t>
      </w:r>
      <w:r w:rsidR="009F44A4" w:rsidRPr="009E30DB">
        <w:rPr>
          <w:rFonts w:ascii="Arial" w:eastAsia="Arial" w:hAnsi="Arial" w:cs="Arial"/>
          <w:color w:val="000000"/>
          <w:sz w:val="24"/>
          <w:szCs w:val="24"/>
        </w:rPr>
        <w:t xml:space="preserve">that </w:t>
      </w:r>
      <w:r w:rsidR="00AB3C91" w:rsidRPr="009E30DB">
        <w:rPr>
          <w:rFonts w:ascii="Arial" w:eastAsia="Arial" w:hAnsi="Arial" w:cs="Arial"/>
          <w:color w:val="000000"/>
          <w:sz w:val="24"/>
          <w:szCs w:val="24"/>
        </w:rPr>
        <w:t>the cumulative effect of the sentence</w:t>
      </w:r>
      <w:r w:rsidR="00D85D9F" w:rsidRPr="009E30DB">
        <w:rPr>
          <w:rFonts w:ascii="Arial" w:eastAsia="Arial" w:hAnsi="Arial" w:cs="Arial"/>
          <w:color w:val="000000"/>
          <w:sz w:val="24"/>
          <w:szCs w:val="24"/>
        </w:rPr>
        <w:t>s</w:t>
      </w:r>
      <w:r w:rsidR="00AB3C91" w:rsidRPr="009E30DB">
        <w:rPr>
          <w:rFonts w:ascii="Arial" w:eastAsia="Arial" w:hAnsi="Arial" w:cs="Arial"/>
          <w:color w:val="000000"/>
          <w:sz w:val="24"/>
          <w:szCs w:val="24"/>
        </w:rPr>
        <w:t xml:space="preserve"> was too harsh. </w:t>
      </w:r>
    </w:p>
    <w:p w14:paraId="56DA8072" w14:textId="77777777" w:rsidR="00010E5F" w:rsidRPr="007936D8" w:rsidRDefault="00010E5F" w:rsidP="007936D8">
      <w:pPr>
        <w:spacing w:after="0" w:line="360" w:lineRule="auto"/>
        <w:rPr>
          <w:rFonts w:ascii="Arial" w:eastAsia="Arial" w:hAnsi="Arial" w:cs="Arial"/>
          <w:color w:val="000000"/>
          <w:sz w:val="24"/>
          <w:szCs w:val="24"/>
        </w:rPr>
      </w:pPr>
    </w:p>
    <w:p w14:paraId="177E7A58" w14:textId="1FCC94CF" w:rsidR="00010E5F" w:rsidRPr="009E30DB" w:rsidRDefault="00010E5F" w:rsidP="001265A3">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 xml:space="preserve">This </w:t>
      </w:r>
      <w:r w:rsidR="00D93C8F">
        <w:rPr>
          <w:rFonts w:ascii="Arial" w:eastAsia="Arial" w:hAnsi="Arial" w:cs="Arial"/>
          <w:color w:val="000000"/>
          <w:sz w:val="24"/>
          <w:szCs w:val="24"/>
        </w:rPr>
        <w:t>C</w:t>
      </w:r>
      <w:r w:rsidRPr="009E30DB">
        <w:rPr>
          <w:rFonts w:ascii="Arial" w:eastAsia="Arial" w:hAnsi="Arial" w:cs="Arial"/>
          <w:color w:val="000000"/>
          <w:sz w:val="24"/>
          <w:szCs w:val="24"/>
        </w:rPr>
        <w:t>ourt has held that ‘a petition for leave to appeal to the high court is</w:t>
      </w:r>
      <w:r w:rsidR="000A1740" w:rsidRPr="009E30DB">
        <w:rPr>
          <w:rFonts w:ascii="Arial" w:eastAsia="Arial" w:hAnsi="Arial" w:cs="Arial"/>
          <w:color w:val="000000"/>
          <w:sz w:val="24"/>
          <w:szCs w:val="24"/>
        </w:rPr>
        <w:t>,</w:t>
      </w:r>
      <w:r w:rsidRPr="009E30DB">
        <w:rPr>
          <w:rFonts w:ascii="Arial" w:eastAsia="Arial" w:hAnsi="Arial" w:cs="Arial"/>
          <w:color w:val="000000"/>
          <w:sz w:val="24"/>
          <w:szCs w:val="24"/>
        </w:rPr>
        <w:t xml:space="preserve"> in effect, an appeal against the refusal of leave to appeal by the court of first instance</w:t>
      </w:r>
      <w:r w:rsidR="000A1740" w:rsidRPr="009E30DB">
        <w:rPr>
          <w:rFonts w:ascii="Arial" w:eastAsia="Arial" w:hAnsi="Arial" w:cs="Arial"/>
          <w:color w:val="000000"/>
          <w:sz w:val="24"/>
          <w:szCs w:val="24"/>
        </w:rPr>
        <w:t>’</w:t>
      </w:r>
      <w:r w:rsidR="00893190" w:rsidRPr="009E30DB">
        <w:rPr>
          <w:rFonts w:ascii="Arial" w:eastAsia="Arial" w:hAnsi="Arial" w:cs="Arial"/>
          <w:color w:val="000000"/>
          <w:sz w:val="24"/>
          <w:szCs w:val="24"/>
        </w:rPr>
        <w:t>.</w:t>
      </w:r>
      <w:r w:rsidR="00E14A4B" w:rsidRPr="009E30DB">
        <w:rPr>
          <w:rStyle w:val="FootnoteReference"/>
          <w:rFonts w:ascii="Arial" w:eastAsia="Arial" w:hAnsi="Arial" w:cs="Arial"/>
          <w:color w:val="000000"/>
          <w:sz w:val="24"/>
          <w:szCs w:val="24"/>
        </w:rPr>
        <w:footnoteReference w:id="1"/>
      </w:r>
      <w:r w:rsidR="00180CFA" w:rsidRPr="009E30DB">
        <w:rPr>
          <w:rFonts w:ascii="Arial" w:eastAsia="Arial" w:hAnsi="Arial" w:cs="Arial"/>
          <w:color w:val="000000"/>
          <w:sz w:val="24"/>
          <w:szCs w:val="24"/>
        </w:rPr>
        <w:t xml:space="preserve"> </w:t>
      </w:r>
      <w:r w:rsidR="00D76BE3" w:rsidRPr="009E30DB">
        <w:rPr>
          <w:rFonts w:ascii="Arial" w:eastAsia="Arial" w:hAnsi="Arial" w:cs="Arial"/>
          <w:color w:val="000000"/>
          <w:sz w:val="24"/>
          <w:szCs w:val="24"/>
        </w:rPr>
        <w:lastRenderedPageBreak/>
        <w:t xml:space="preserve">This means that, in refusing such a petition, </w:t>
      </w:r>
      <w:r w:rsidR="004A1D94" w:rsidRPr="009E30DB">
        <w:rPr>
          <w:rFonts w:ascii="Arial" w:eastAsia="Arial" w:hAnsi="Arial" w:cs="Arial"/>
          <w:color w:val="000000"/>
          <w:sz w:val="24"/>
          <w:szCs w:val="24"/>
        </w:rPr>
        <w:t>the high court decided a matter on appeal to it.</w:t>
      </w:r>
      <w:r w:rsidR="009613D7" w:rsidRPr="009E30DB">
        <w:rPr>
          <w:rFonts w:ascii="Arial" w:eastAsia="Arial" w:hAnsi="Arial" w:cs="Arial"/>
          <w:color w:val="000000"/>
          <w:sz w:val="24"/>
          <w:szCs w:val="24"/>
        </w:rPr>
        <w:t xml:space="preserve"> Section</w:t>
      </w:r>
      <w:r w:rsidR="005D4BA9" w:rsidRPr="009E30DB">
        <w:rPr>
          <w:rFonts w:ascii="Arial" w:eastAsia="Arial" w:hAnsi="Arial" w:cs="Arial"/>
          <w:color w:val="000000"/>
          <w:sz w:val="24"/>
          <w:szCs w:val="24"/>
        </w:rPr>
        <w:t> 16(1)</w:t>
      </w:r>
      <w:r w:rsidR="005D4BA9" w:rsidRPr="009E30DB">
        <w:rPr>
          <w:rFonts w:ascii="Arial" w:eastAsia="Arial" w:hAnsi="Arial" w:cs="Arial"/>
          <w:i/>
          <w:iCs/>
          <w:color w:val="000000"/>
          <w:sz w:val="24"/>
          <w:szCs w:val="24"/>
        </w:rPr>
        <w:t>(b)</w:t>
      </w:r>
      <w:r w:rsidR="005D4BA9" w:rsidRPr="009E30DB">
        <w:rPr>
          <w:rFonts w:ascii="Arial" w:eastAsia="Arial" w:hAnsi="Arial" w:cs="Arial"/>
          <w:color w:val="000000"/>
          <w:sz w:val="24"/>
          <w:szCs w:val="24"/>
        </w:rPr>
        <w:t xml:space="preserve"> of the Superior Courts Act</w:t>
      </w:r>
      <w:r w:rsidR="004A1D94" w:rsidRPr="009E30DB">
        <w:rPr>
          <w:rFonts w:ascii="Arial" w:eastAsia="Arial" w:hAnsi="Arial" w:cs="Arial"/>
          <w:color w:val="000000"/>
          <w:sz w:val="24"/>
          <w:szCs w:val="24"/>
        </w:rPr>
        <w:t xml:space="preserve"> </w:t>
      </w:r>
      <w:r w:rsidR="00787589" w:rsidRPr="009E30DB">
        <w:rPr>
          <w:rFonts w:ascii="Arial" w:eastAsia="Arial" w:hAnsi="Arial" w:cs="Arial"/>
          <w:color w:val="000000"/>
          <w:sz w:val="24"/>
          <w:szCs w:val="24"/>
        </w:rPr>
        <w:t>provides that ‘an appeal against</w:t>
      </w:r>
      <w:r w:rsidR="00F9549C" w:rsidRPr="009E30DB">
        <w:rPr>
          <w:rFonts w:ascii="Arial" w:eastAsia="Arial" w:hAnsi="Arial" w:cs="Arial"/>
          <w:color w:val="000000"/>
          <w:sz w:val="24"/>
          <w:szCs w:val="24"/>
        </w:rPr>
        <w:t xml:space="preserve"> any decision of a Divisio</w:t>
      </w:r>
      <w:r w:rsidR="00F66372" w:rsidRPr="009E30DB">
        <w:rPr>
          <w:rFonts w:ascii="Arial" w:eastAsia="Arial" w:hAnsi="Arial" w:cs="Arial"/>
          <w:color w:val="000000"/>
          <w:sz w:val="24"/>
          <w:szCs w:val="24"/>
        </w:rPr>
        <w:t>n</w:t>
      </w:r>
      <w:r w:rsidR="00F9549C" w:rsidRPr="009E30DB">
        <w:rPr>
          <w:rFonts w:ascii="Arial" w:eastAsia="Arial" w:hAnsi="Arial" w:cs="Arial"/>
          <w:color w:val="000000"/>
          <w:sz w:val="24"/>
          <w:szCs w:val="24"/>
        </w:rPr>
        <w:t xml:space="preserve"> on appeal to it, lies to t</w:t>
      </w:r>
      <w:r w:rsidR="00F66372" w:rsidRPr="009E30DB">
        <w:rPr>
          <w:rFonts w:ascii="Arial" w:eastAsia="Arial" w:hAnsi="Arial" w:cs="Arial"/>
          <w:color w:val="000000"/>
          <w:sz w:val="24"/>
          <w:szCs w:val="24"/>
        </w:rPr>
        <w:t>h</w:t>
      </w:r>
      <w:r w:rsidR="00F9549C" w:rsidRPr="009E30DB">
        <w:rPr>
          <w:rFonts w:ascii="Arial" w:eastAsia="Arial" w:hAnsi="Arial" w:cs="Arial"/>
          <w:color w:val="000000"/>
          <w:sz w:val="24"/>
          <w:szCs w:val="24"/>
        </w:rPr>
        <w:t>e Supreme Court of Appeal upon special leave having been g</w:t>
      </w:r>
      <w:r w:rsidR="00F66372" w:rsidRPr="009E30DB">
        <w:rPr>
          <w:rFonts w:ascii="Arial" w:eastAsia="Arial" w:hAnsi="Arial" w:cs="Arial"/>
          <w:color w:val="000000"/>
          <w:sz w:val="24"/>
          <w:szCs w:val="24"/>
        </w:rPr>
        <w:t>ranted by the Supreme Court of Appeal</w:t>
      </w:r>
      <w:r w:rsidR="007A7EEC" w:rsidRPr="009E30DB">
        <w:rPr>
          <w:rFonts w:ascii="Arial" w:eastAsia="Arial" w:hAnsi="Arial" w:cs="Arial"/>
          <w:color w:val="000000"/>
          <w:sz w:val="24"/>
          <w:szCs w:val="24"/>
        </w:rPr>
        <w:t>’</w:t>
      </w:r>
      <w:r w:rsidR="00F66372" w:rsidRPr="009E30DB">
        <w:rPr>
          <w:rFonts w:ascii="Arial" w:eastAsia="Arial" w:hAnsi="Arial" w:cs="Arial"/>
          <w:color w:val="000000"/>
          <w:sz w:val="24"/>
          <w:szCs w:val="24"/>
        </w:rPr>
        <w:t xml:space="preserve">. </w:t>
      </w:r>
      <w:r w:rsidR="0035643A" w:rsidRPr="009E30DB">
        <w:rPr>
          <w:rFonts w:ascii="Arial" w:eastAsia="Arial" w:hAnsi="Arial" w:cs="Arial"/>
          <w:color w:val="000000"/>
          <w:sz w:val="24"/>
          <w:szCs w:val="24"/>
        </w:rPr>
        <w:t>‘[T]</w:t>
      </w:r>
      <w:r w:rsidRPr="009E30DB">
        <w:rPr>
          <w:rFonts w:ascii="Arial" w:eastAsia="Arial" w:hAnsi="Arial" w:cs="Arial"/>
          <w:color w:val="000000"/>
          <w:sz w:val="24"/>
          <w:szCs w:val="24"/>
        </w:rPr>
        <w:t>he</w:t>
      </w:r>
      <w:r w:rsidR="00CA227C" w:rsidRPr="009E30DB">
        <w:rPr>
          <w:rFonts w:ascii="Arial" w:eastAsia="Arial" w:hAnsi="Arial" w:cs="Arial"/>
          <w:color w:val="000000"/>
          <w:sz w:val="24"/>
          <w:szCs w:val="24"/>
        </w:rPr>
        <w:t xml:space="preserve"> </w:t>
      </w:r>
      <w:proofErr w:type="gramStart"/>
      <w:r w:rsidR="00CA227C" w:rsidRPr="009E30DB">
        <w:rPr>
          <w:rFonts w:ascii="Arial" w:eastAsia="Arial" w:hAnsi="Arial" w:cs="Arial"/>
          <w:color w:val="000000"/>
          <w:sz w:val="24"/>
          <w:szCs w:val="24"/>
        </w:rPr>
        <w:t>issue</w:t>
      </w:r>
      <w:proofErr w:type="gramEnd"/>
      <w:r w:rsidR="00CA227C" w:rsidRPr="009E30DB">
        <w:rPr>
          <w:rFonts w:ascii="Arial" w:eastAsia="Arial" w:hAnsi="Arial" w:cs="Arial"/>
          <w:color w:val="000000"/>
          <w:sz w:val="24"/>
          <w:szCs w:val="24"/>
        </w:rPr>
        <w:t xml:space="preserve"> to be determined at this stage is </w:t>
      </w:r>
      <w:r w:rsidR="003F04D1" w:rsidRPr="009E30DB">
        <w:rPr>
          <w:rFonts w:ascii="Arial" w:eastAsia="Arial" w:hAnsi="Arial" w:cs="Arial"/>
          <w:color w:val="000000"/>
          <w:sz w:val="24"/>
          <w:szCs w:val="24"/>
        </w:rPr>
        <w:t>“</w:t>
      </w:r>
      <w:r w:rsidR="00CA227C" w:rsidRPr="009E30DB">
        <w:rPr>
          <w:rFonts w:ascii="Arial" w:eastAsia="Arial" w:hAnsi="Arial" w:cs="Arial"/>
          <w:color w:val="000000"/>
          <w:sz w:val="24"/>
          <w:szCs w:val="24"/>
        </w:rPr>
        <w:t>whether leave to appeal should have been granted by the High Court and not the appeal itself</w:t>
      </w:r>
      <w:r w:rsidR="0051204E">
        <w:rPr>
          <w:rFonts w:ascii="Arial" w:eastAsia="Arial" w:hAnsi="Arial" w:cs="Arial"/>
          <w:color w:val="000000"/>
          <w:sz w:val="24"/>
          <w:szCs w:val="24"/>
        </w:rPr>
        <w:t>”.</w:t>
      </w:r>
      <w:r w:rsidR="00CA227C" w:rsidRPr="009E30DB">
        <w:rPr>
          <w:rFonts w:ascii="Arial" w:eastAsia="Arial" w:hAnsi="Arial" w:cs="Arial"/>
          <w:color w:val="000000"/>
          <w:sz w:val="24"/>
          <w:szCs w:val="24"/>
        </w:rPr>
        <w:t xml:space="preserve"> As a result the test to be applied </w:t>
      </w:r>
      <w:r w:rsidR="00514AC8">
        <w:rPr>
          <w:rFonts w:ascii="Arial" w:eastAsia="Arial" w:hAnsi="Arial" w:cs="Arial"/>
          <w:color w:val="000000"/>
          <w:sz w:val="24"/>
          <w:szCs w:val="24"/>
        </w:rPr>
        <w:t>“</w:t>
      </w:r>
      <w:r w:rsidR="00CA227C" w:rsidRPr="009E30DB">
        <w:rPr>
          <w:rFonts w:ascii="Arial" w:eastAsia="Arial" w:hAnsi="Arial" w:cs="Arial"/>
          <w:color w:val="000000"/>
          <w:sz w:val="24"/>
          <w:szCs w:val="24"/>
        </w:rPr>
        <w:t>is simply whether there is a reasonable prospect of success in the envisaged appeal</w:t>
      </w:r>
      <w:r w:rsidR="00514AC8">
        <w:rPr>
          <w:rFonts w:ascii="Arial" w:eastAsia="Arial" w:hAnsi="Arial" w:cs="Arial"/>
          <w:color w:val="000000"/>
          <w:sz w:val="24"/>
          <w:szCs w:val="24"/>
        </w:rPr>
        <w:t xml:space="preserve"> . . . </w:t>
      </w:r>
      <w:r w:rsidR="00CA227C" w:rsidRPr="009E30DB">
        <w:rPr>
          <w:rFonts w:ascii="Arial" w:eastAsia="Arial" w:hAnsi="Arial" w:cs="Arial"/>
          <w:color w:val="000000"/>
          <w:sz w:val="24"/>
          <w:szCs w:val="24"/>
        </w:rPr>
        <w:t>rather than whether the appeal</w:t>
      </w:r>
      <w:r w:rsidR="00514AC8">
        <w:rPr>
          <w:rFonts w:ascii="Arial" w:eastAsia="Arial" w:hAnsi="Arial" w:cs="Arial"/>
          <w:color w:val="000000"/>
          <w:sz w:val="24"/>
          <w:szCs w:val="24"/>
        </w:rPr>
        <w:t xml:space="preserve"> . . . </w:t>
      </w:r>
      <w:r w:rsidR="0051204E">
        <w:rPr>
          <w:rFonts w:ascii="Arial" w:eastAsia="Arial" w:hAnsi="Arial" w:cs="Arial"/>
          <w:color w:val="000000"/>
          <w:sz w:val="24"/>
          <w:szCs w:val="24"/>
        </w:rPr>
        <w:t>ought to succeed or not</w:t>
      </w:r>
      <w:r w:rsidR="00514AC8">
        <w:rPr>
          <w:rFonts w:ascii="Arial" w:eastAsia="Arial" w:hAnsi="Arial" w:cs="Arial"/>
          <w:color w:val="000000"/>
          <w:sz w:val="24"/>
          <w:szCs w:val="24"/>
        </w:rPr>
        <w:t>”</w:t>
      </w:r>
      <w:r w:rsidR="0051204E">
        <w:rPr>
          <w:rFonts w:ascii="Arial" w:eastAsia="Arial" w:hAnsi="Arial" w:cs="Arial"/>
          <w:color w:val="000000"/>
          <w:sz w:val="24"/>
          <w:szCs w:val="24"/>
        </w:rPr>
        <w:t>.</w:t>
      </w:r>
      <w:r w:rsidR="00CA227C" w:rsidRPr="009E30DB">
        <w:rPr>
          <w:rFonts w:ascii="Arial" w:eastAsia="Arial" w:hAnsi="Arial" w:cs="Arial"/>
          <w:color w:val="000000"/>
          <w:sz w:val="24"/>
          <w:szCs w:val="24"/>
        </w:rPr>
        <w:t>’</w:t>
      </w:r>
      <w:r w:rsidR="00325C74" w:rsidRPr="009E30DB">
        <w:rPr>
          <w:rStyle w:val="FootnoteReference"/>
          <w:rFonts w:ascii="Arial" w:eastAsia="Arial" w:hAnsi="Arial" w:cs="Arial"/>
          <w:color w:val="000000"/>
          <w:sz w:val="24"/>
          <w:szCs w:val="24"/>
        </w:rPr>
        <w:footnoteReference w:id="2"/>
      </w:r>
      <w:r w:rsidRPr="009E30DB">
        <w:rPr>
          <w:rFonts w:ascii="Arial" w:eastAsia="Arial" w:hAnsi="Arial" w:cs="Arial"/>
          <w:color w:val="000000"/>
          <w:sz w:val="24"/>
          <w:szCs w:val="24"/>
        </w:rPr>
        <w:t xml:space="preserve"> </w:t>
      </w:r>
    </w:p>
    <w:p w14:paraId="6A284F25" w14:textId="77777777" w:rsidR="00E71236" w:rsidRPr="009E30DB" w:rsidRDefault="00E71236" w:rsidP="001265A3">
      <w:pPr>
        <w:pStyle w:val="Normal1"/>
        <w:spacing w:after="0" w:line="360" w:lineRule="auto"/>
        <w:jc w:val="both"/>
        <w:rPr>
          <w:rFonts w:ascii="Arial" w:eastAsia="Arial" w:hAnsi="Arial" w:cs="Arial"/>
          <w:color w:val="000000"/>
          <w:sz w:val="24"/>
          <w:szCs w:val="24"/>
        </w:rPr>
      </w:pPr>
      <w:r w:rsidRPr="009E30DB">
        <w:rPr>
          <w:rFonts w:ascii="Arial" w:eastAsia="Arial" w:hAnsi="Arial" w:cs="Arial"/>
          <w:color w:val="000000"/>
          <w:sz w:val="24"/>
          <w:szCs w:val="24"/>
        </w:rPr>
        <w:t xml:space="preserve"> </w:t>
      </w:r>
    </w:p>
    <w:p w14:paraId="27711BBB" w14:textId="116AD643" w:rsidR="00673253" w:rsidRPr="009E30DB" w:rsidRDefault="0051204E" w:rsidP="00EF2D60">
      <w:pPr>
        <w:pStyle w:val="Normal1"/>
        <w:numPr>
          <w:ilvl w:val="0"/>
          <w:numId w:val="2"/>
        </w:numP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The appellant contends</w:t>
      </w:r>
      <w:r w:rsidR="008E33A3" w:rsidRPr="009E30DB">
        <w:rPr>
          <w:rFonts w:ascii="Arial" w:eastAsia="Arial" w:hAnsi="Arial" w:cs="Arial"/>
          <w:color w:val="000000"/>
          <w:sz w:val="24"/>
          <w:szCs w:val="24"/>
        </w:rPr>
        <w:t>, that indeed</w:t>
      </w:r>
      <w:r w:rsidR="00435955" w:rsidRPr="009E30DB">
        <w:rPr>
          <w:rFonts w:ascii="Arial" w:eastAsia="Arial" w:hAnsi="Arial" w:cs="Arial"/>
          <w:color w:val="000000"/>
          <w:sz w:val="24"/>
          <w:szCs w:val="24"/>
        </w:rPr>
        <w:t>,</w:t>
      </w:r>
      <w:r w:rsidR="00CA227C" w:rsidRPr="009E30DB">
        <w:rPr>
          <w:rFonts w:ascii="Arial" w:eastAsia="Arial" w:hAnsi="Arial" w:cs="Arial"/>
          <w:color w:val="000000"/>
          <w:sz w:val="24"/>
          <w:szCs w:val="24"/>
        </w:rPr>
        <w:t xml:space="preserve"> reasonable prospects of success </w:t>
      </w:r>
      <w:r w:rsidR="000C79A3" w:rsidRPr="009E30DB">
        <w:rPr>
          <w:rFonts w:ascii="Arial" w:eastAsia="Arial" w:hAnsi="Arial" w:cs="Arial"/>
          <w:color w:val="000000"/>
          <w:sz w:val="24"/>
          <w:szCs w:val="24"/>
        </w:rPr>
        <w:t>exist for this</w:t>
      </w:r>
      <w:r w:rsidR="00010E5F" w:rsidRPr="009E30DB">
        <w:rPr>
          <w:rFonts w:ascii="Arial" w:eastAsia="Arial" w:hAnsi="Arial" w:cs="Arial"/>
          <w:color w:val="000000"/>
          <w:sz w:val="24"/>
          <w:szCs w:val="24"/>
        </w:rPr>
        <w:t xml:space="preserve"> court to gran</w:t>
      </w:r>
      <w:r w:rsidR="000C79A3" w:rsidRPr="009E30DB">
        <w:rPr>
          <w:rFonts w:ascii="Arial" w:eastAsia="Arial" w:hAnsi="Arial" w:cs="Arial"/>
          <w:color w:val="000000"/>
          <w:sz w:val="24"/>
          <w:szCs w:val="24"/>
        </w:rPr>
        <w:t>t leave to appeal</w:t>
      </w:r>
      <w:r>
        <w:rPr>
          <w:rFonts w:ascii="Arial" w:eastAsia="Arial" w:hAnsi="Arial" w:cs="Arial"/>
          <w:color w:val="000000"/>
          <w:sz w:val="24"/>
          <w:szCs w:val="24"/>
        </w:rPr>
        <w:t>. He submitted</w:t>
      </w:r>
      <w:r w:rsidR="002529F4" w:rsidRPr="009E30DB">
        <w:rPr>
          <w:rFonts w:ascii="Arial" w:eastAsia="Arial" w:hAnsi="Arial" w:cs="Arial"/>
          <w:color w:val="000000"/>
          <w:sz w:val="24"/>
          <w:szCs w:val="24"/>
        </w:rPr>
        <w:t xml:space="preserve"> that the </w:t>
      </w:r>
      <w:r w:rsidR="00E71236" w:rsidRPr="009E30DB">
        <w:rPr>
          <w:rFonts w:ascii="Arial" w:eastAsia="Arial" w:hAnsi="Arial" w:cs="Arial"/>
          <w:color w:val="000000"/>
          <w:sz w:val="24"/>
          <w:szCs w:val="24"/>
        </w:rPr>
        <w:t xml:space="preserve">three and a half years </w:t>
      </w:r>
      <w:r w:rsidR="00946CF7" w:rsidRPr="009E30DB">
        <w:rPr>
          <w:rFonts w:ascii="Arial" w:eastAsia="Arial" w:hAnsi="Arial" w:cs="Arial"/>
          <w:color w:val="000000"/>
          <w:sz w:val="24"/>
          <w:szCs w:val="24"/>
        </w:rPr>
        <w:t xml:space="preserve">spent awaiting trial </w:t>
      </w:r>
      <w:r w:rsidR="00E71236" w:rsidRPr="009E30DB">
        <w:rPr>
          <w:rFonts w:ascii="Arial" w:eastAsia="Arial" w:hAnsi="Arial" w:cs="Arial"/>
          <w:color w:val="000000"/>
          <w:sz w:val="24"/>
          <w:szCs w:val="24"/>
        </w:rPr>
        <w:t xml:space="preserve">ought to have </w:t>
      </w:r>
      <w:r w:rsidR="002529F4" w:rsidRPr="009E30DB">
        <w:rPr>
          <w:rFonts w:ascii="Arial" w:eastAsia="Arial" w:hAnsi="Arial" w:cs="Arial"/>
          <w:color w:val="000000"/>
          <w:sz w:val="24"/>
          <w:szCs w:val="24"/>
        </w:rPr>
        <w:t>be</w:t>
      </w:r>
      <w:r w:rsidR="00E71236" w:rsidRPr="009E30DB">
        <w:rPr>
          <w:rFonts w:ascii="Arial" w:eastAsia="Arial" w:hAnsi="Arial" w:cs="Arial"/>
          <w:color w:val="000000"/>
          <w:sz w:val="24"/>
          <w:szCs w:val="24"/>
        </w:rPr>
        <w:t>en</w:t>
      </w:r>
      <w:r w:rsidR="002529F4" w:rsidRPr="009E30DB">
        <w:rPr>
          <w:rFonts w:ascii="Arial" w:eastAsia="Arial" w:hAnsi="Arial" w:cs="Arial"/>
          <w:color w:val="000000"/>
          <w:sz w:val="24"/>
          <w:szCs w:val="24"/>
        </w:rPr>
        <w:t xml:space="preserve"> taken into account</w:t>
      </w:r>
      <w:r w:rsidR="00E71236" w:rsidRPr="009E30DB">
        <w:rPr>
          <w:rFonts w:ascii="Arial" w:eastAsia="Arial" w:hAnsi="Arial" w:cs="Arial"/>
          <w:color w:val="000000"/>
          <w:sz w:val="24"/>
          <w:szCs w:val="24"/>
        </w:rPr>
        <w:t xml:space="preserve"> when he was being sentence</w:t>
      </w:r>
      <w:r w:rsidR="00435955" w:rsidRPr="009E30DB">
        <w:rPr>
          <w:rFonts w:ascii="Arial" w:eastAsia="Arial" w:hAnsi="Arial" w:cs="Arial"/>
          <w:color w:val="000000"/>
          <w:sz w:val="24"/>
          <w:szCs w:val="24"/>
        </w:rPr>
        <w:t>d</w:t>
      </w:r>
      <w:r w:rsidR="00E71236" w:rsidRPr="009E30DB">
        <w:rPr>
          <w:rFonts w:ascii="Arial" w:eastAsia="Arial" w:hAnsi="Arial" w:cs="Arial"/>
          <w:color w:val="000000"/>
          <w:sz w:val="24"/>
          <w:szCs w:val="24"/>
        </w:rPr>
        <w:t xml:space="preserve">, as this would have </w:t>
      </w:r>
      <w:r w:rsidR="002529F4" w:rsidRPr="009E30DB">
        <w:rPr>
          <w:rFonts w:ascii="Arial" w:eastAsia="Arial" w:hAnsi="Arial" w:cs="Arial"/>
          <w:color w:val="000000"/>
          <w:sz w:val="24"/>
          <w:szCs w:val="24"/>
        </w:rPr>
        <w:t>reduce</w:t>
      </w:r>
      <w:r w:rsidR="00E71236" w:rsidRPr="009E30DB">
        <w:rPr>
          <w:rFonts w:ascii="Arial" w:eastAsia="Arial" w:hAnsi="Arial" w:cs="Arial"/>
          <w:color w:val="000000"/>
          <w:sz w:val="24"/>
          <w:szCs w:val="24"/>
        </w:rPr>
        <w:t xml:space="preserve">d his cumulative sentence. </w:t>
      </w:r>
      <w:r w:rsidR="00B80D8C" w:rsidRPr="009E30DB">
        <w:rPr>
          <w:rFonts w:ascii="Arial" w:eastAsia="Arial" w:hAnsi="Arial" w:cs="Arial"/>
          <w:color w:val="000000"/>
          <w:sz w:val="24"/>
          <w:szCs w:val="24"/>
        </w:rPr>
        <w:t>The respondent</w:t>
      </w:r>
      <w:r w:rsidR="00E71236" w:rsidRPr="009E30DB">
        <w:rPr>
          <w:rFonts w:ascii="Arial" w:eastAsia="Arial" w:hAnsi="Arial" w:cs="Arial"/>
          <w:color w:val="000000"/>
          <w:sz w:val="24"/>
          <w:szCs w:val="24"/>
        </w:rPr>
        <w:t xml:space="preserve"> </w:t>
      </w:r>
      <w:r w:rsidR="008E33A3" w:rsidRPr="009E30DB">
        <w:rPr>
          <w:rFonts w:ascii="Arial" w:eastAsia="Arial" w:hAnsi="Arial" w:cs="Arial"/>
          <w:color w:val="000000"/>
          <w:sz w:val="24"/>
          <w:szCs w:val="24"/>
        </w:rPr>
        <w:t>conceded</w:t>
      </w:r>
      <w:r w:rsidR="00EE161C" w:rsidRPr="009E30DB">
        <w:rPr>
          <w:rFonts w:ascii="Arial" w:eastAsia="Arial" w:hAnsi="Arial" w:cs="Arial"/>
          <w:color w:val="000000"/>
          <w:sz w:val="24"/>
          <w:szCs w:val="24"/>
        </w:rPr>
        <w:t xml:space="preserve"> that the m</w:t>
      </w:r>
      <w:r w:rsidR="00B80D8C" w:rsidRPr="009E30DB">
        <w:rPr>
          <w:rFonts w:ascii="Arial" w:eastAsia="Arial" w:hAnsi="Arial" w:cs="Arial"/>
          <w:color w:val="000000"/>
          <w:sz w:val="24"/>
          <w:szCs w:val="24"/>
        </w:rPr>
        <w:t xml:space="preserve">agistrate </w:t>
      </w:r>
      <w:r w:rsidR="00E71236" w:rsidRPr="009E30DB">
        <w:rPr>
          <w:rFonts w:ascii="Arial" w:eastAsia="Arial" w:hAnsi="Arial" w:cs="Arial"/>
          <w:color w:val="000000"/>
          <w:sz w:val="24"/>
          <w:szCs w:val="24"/>
        </w:rPr>
        <w:t xml:space="preserve">should have </w:t>
      </w:r>
      <w:r w:rsidR="008D645B" w:rsidRPr="009E30DB">
        <w:rPr>
          <w:rFonts w:ascii="Arial" w:eastAsia="Arial" w:hAnsi="Arial" w:cs="Arial"/>
          <w:color w:val="000000"/>
          <w:sz w:val="24"/>
          <w:szCs w:val="24"/>
        </w:rPr>
        <w:t>considered</w:t>
      </w:r>
      <w:r w:rsidR="006C3654" w:rsidRPr="009E30DB">
        <w:rPr>
          <w:rFonts w:ascii="Arial" w:eastAsia="Arial" w:hAnsi="Arial" w:cs="Arial"/>
          <w:color w:val="000000"/>
          <w:sz w:val="24"/>
          <w:szCs w:val="24"/>
        </w:rPr>
        <w:t xml:space="preserve"> </w:t>
      </w:r>
      <w:r w:rsidR="00435955" w:rsidRPr="009E30DB">
        <w:rPr>
          <w:rFonts w:ascii="Arial" w:eastAsia="Arial" w:hAnsi="Arial" w:cs="Arial"/>
          <w:color w:val="000000"/>
          <w:sz w:val="24"/>
          <w:szCs w:val="24"/>
        </w:rPr>
        <w:t>the time</w:t>
      </w:r>
      <w:r w:rsidR="006C3654" w:rsidRPr="009E30DB">
        <w:rPr>
          <w:rFonts w:ascii="Arial" w:eastAsia="Arial" w:hAnsi="Arial" w:cs="Arial"/>
          <w:color w:val="000000"/>
          <w:sz w:val="24"/>
          <w:szCs w:val="24"/>
        </w:rPr>
        <w:t xml:space="preserve"> </w:t>
      </w:r>
      <w:r w:rsidR="00435955" w:rsidRPr="009E30DB">
        <w:rPr>
          <w:rFonts w:ascii="Arial" w:eastAsia="Arial" w:hAnsi="Arial" w:cs="Arial"/>
          <w:color w:val="000000"/>
          <w:sz w:val="24"/>
          <w:szCs w:val="24"/>
        </w:rPr>
        <w:t xml:space="preserve">spent </w:t>
      </w:r>
      <w:r w:rsidR="00946CF7" w:rsidRPr="009E30DB">
        <w:rPr>
          <w:rFonts w:ascii="Arial" w:eastAsia="Arial" w:hAnsi="Arial" w:cs="Arial"/>
          <w:color w:val="000000"/>
          <w:sz w:val="24"/>
          <w:szCs w:val="24"/>
        </w:rPr>
        <w:t xml:space="preserve">by the appellant </w:t>
      </w:r>
      <w:r w:rsidR="00435955" w:rsidRPr="009E30DB">
        <w:rPr>
          <w:rFonts w:ascii="Arial" w:eastAsia="Arial" w:hAnsi="Arial" w:cs="Arial"/>
          <w:color w:val="000000"/>
          <w:sz w:val="24"/>
          <w:szCs w:val="24"/>
        </w:rPr>
        <w:t>in custody</w:t>
      </w:r>
      <w:r w:rsidR="00E71236" w:rsidRPr="009E30DB">
        <w:rPr>
          <w:rFonts w:ascii="Arial" w:eastAsia="Arial" w:hAnsi="Arial" w:cs="Arial"/>
          <w:color w:val="000000"/>
          <w:sz w:val="24"/>
          <w:szCs w:val="24"/>
        </w:rPr>
        <w:t xml:space="preserve"> </w:t>
      </w:r>
      <w:r w:rsidR="006C3654" w:rsidRPr="009E30DB">
        <w:rPr>
          <w:rFonts w:ascii="Arial" w:eastAsia="Arial" w:hAnsi="Arial" w:cs="Arial"/>
          <w:color w:val="000000"/>
          <w:sz w:val="24"/>
          <w:szCs w:val="24"/>
        </w:rPr>
        <w:t>while</w:t>
      </w:r>
      <w:r w:rsidR="00B80D8C" w:rsidRPr="009E30DB">
        <w:rPr>
          <w:rFonts w:ascii="Arial" w:eastAsia="Arial" w:hAnsi="Arial" w:cs="Arial"/>
          <w:color w:val="000000"/>
          <w:sz w:val="24"/>
          <w:szCs w:val="24"/>
        </w:rPr>
        <w:t xml:space="preserve"> awaiting trial.</w:t>
      </w:r>
      <w:r w:rsidR="00E71236" w:rsidRPr="009E30DB">
        <w:rPr>
          <w:rFonts w:ascii="Arial" w:eastAsia="Arial" w:hAnsi="Arial" w:cs="Arial"/>
          <w:color w:val="000000"/>
          <w:sz w:val="24"/>
          <w:szCs w:val="24"/>
        </w:rPr>
        <w:t xml:space="preserve"> </w:t>
      </w:r>
      <w:r w:rsidR="00C9697E" w:rsidRPr="009E30DB">
        <w:rPr>
          <w:rFonts w:ascii="Arial" w:eastAsia="Arial" w:hAnsi="Arial" w:cs="Arial"/>
          <w:color w:val="000000"/>
          <w:sz w:val="24"/>
          <w:szCs w:val="24"/>
        </w:rPr>
        <w:t>I</w:t>
      </w:r>
      <w:r w:rsidR="00F77585" w:rsidRPr="009E30DB">
        <w:rPr>
          <w:rFonts w:ascii="Arial" w:eastAsia="Arial" w:hAnsi="Arial" w:cs="Arial"/>
          <w:color w:val="000000"/>
          <w:sz w:val="24"/>
          <w:szCs w:val="24"/>
        </w:rPr>
        <w:t xml:space="preserve">n </w:t>
      </w:r>
      <w:r w:rsidR="00B3150D" w:rsidRPr="009E30DB">
        <w:rPr>
          <w:rFonts w:ascii="Arial" w:eastAsia="Arial" w:hAnsi="Arial" w:cs="Arial"/>
          <w:i/>
          <w:color w:val="000000"/>
          <w:sz w:val="24"/>
          <w:szCs w:val="24"/>
        </w:rPr>
        <w:t>Radebe and</w:t>
      </w:r>
      <w:r w:rsidR="00B3150D" w:rsidRPr="009E30DB">
        <w:rPr>
          <w:rFonts w:ascii="Arial" w:eastAsiaTheme="minorEastAsia" w:hAnsi="Arial" w:cs="Arial"/>
          <w:i/>
          <w:sz w:val="20"/>
          <w:szCs w:val="20"/>
        </w:rPr>
        <w:t xml:space="preserve"> </w:t>
      </w:r>
      <w:r w:rsidR="00B3150D" w:rsidRPr="009E30DB">
        <w:rPr>
          <w:rFonts w:ascii="Arial" w:eastAsia="Arial" w:hAnsi="Arial" w:cs="Arial"/>
          <w:i/>
          <w:color w:val="000000"/>
          <w:sz w:val="24"/>
          <w:szCs w:val="24"/>
        </w:rPr>
        <w:t xml:space="preserve">Another </w:t>
      </w:r>
      <w:r w:rsidR="00B3150D">
        <w:rPr>
          <w:rFonts w:ascii="Arial" w:eastAsia="Arial" w:hAnsi="Arial" w:cs="Arial"/>
          <w:i/>
          <w:color w:val="000000"/>
          <w:sz w:val="24"/>
          <w:szCs w:val="24"/>
        </w:rPr>
        <w:t xml:space="preserve">v </w:t>
      </w:r>
      <w:r w:rsidR="00F77585" w:rsidRPr="009E30DB">
        <w:rPr>
          <w:rFonts w:ascii="Arial" w:eastAsia="Arial" w:hAnsi="Arial" w:cs="Arial"/>
          <w:i/>
          <w:color w:val="000000"/>
          <w:sz w:val="24"/>
          <w:szCs w:val="24"/>
        </w:rPr>
        <w:t>S</w:t>
      </w:r>
      <w:r w:rsidR="00C9697E" w:rsidRPr="009E30DB">
        <w:rPr>
          <w:rFonts w:ascii="Arial" w:eastAsia="Arial" w:hAnsi="Arial" w:cs="Arial"/>
          <w:iCs/>
          <w:color w:val="000000"/>
          <w:sz w:val="24"/>
          <w:szCs w:val="24"/>
        </w:rPr>
        <w:t>,</w:t>
      </w:r>
      <w:r w:rsidR="00B3150D">
        <w:rPr>
          <w:rStyle w:val="FootnoteReference"/>
          <w:rFonts w:ascii="Arial" w:eastAsia="Arial" w:hAnsi="Arial" w:cs="Arial"/>
          <w:iCs/>
          <w:color w:val="000000"/>
          <w:sz w:val="24"/>
          <w:szCs w:val="24"/>
        </w:rPr>
        <w:footnoteReference w:id="3"/>
      </w:r>
      <w:r w:rsidR="00F77585" w:rsidRPr="009E30DB">
        <w:rPr>
          <w:rFonts w:ascii="Arial" w:eastAsia="Arial" w:hAnsi="Arial" w:cs="Arial"/>
          <w:color w:val="000000"/>
          <w:sz w:val="24"/>
          <w:szCs w:val="24"/>
        </w:rPr>
        <w:t xml:space="preserve"> </w:t>
      </w:r>
      <w:r w:rsidR="00673253" w:rsidRPr="009E30DB">
        <w:rPr>
          <w:rFonts w:ascii="Arial" w:eastAsia="Arial" w:hAnsi="Arial" w:cs="Arial"/>
          <w:color w:val="000000"/>
          <w:sz w:val="24"/>
          <w:szCs w:val="24"/>
        </w:rPr>
        <w:t>Lewis JA held:</w:t>
      </w:r>
    </w:p>
    <w:p w14:paraId="39418DE1" w14:textId="5B0B1EA0" w:rsidR="00435CD8" w:rsidRPr="009E30DB" w:rsidRDefault="00673253" w:rsidP="00EF2D60">
      <w:pPr>
        <w:pStyle w:val="Normal1"/>
        <w:spacing w:after="0" w:line="360" w:lineRule="auto"/>
        <w:jc w:val="both"/>
        <w:rPr>
          <w:rFonts w:ascii="Arial" w:eastAsia="Arial" w:hAnsi="Arial" w:cs="Arial"/>
          <w:color w:val="000000"/>
          <w:sz w:val="24"/>
          <w:szCs w:val="24"/>
        </w:rPr>
      </w:pPr>
      <w:r w:rsidRPr="007936D8">
        <w:rPr>
          <w:rFonts w:ascii="Arial" w:hAnsi="Arial" w:cs="Arial"/>
          <w:color w:val="242121"/>
        </w:rPr>
        <w:t xml:space="preserve">‘A better approach, in my view, is that the period </w:t>
      </w:r>
      <w:r w:rsidR="004766AD" w:rsidRPr="007936D8">
        <w:rPr>
          <w:rFonts w:ascii="Arial" w:hAnsi="Arial" w:cs="Arial"/>
          <w:color w:val="242121"/>
        </w:rPr>
        <w:t>in</w:t>
      </w:r>
      <w:r w:rsidRPr="007936D8">
        <w:rPr>
          <w:rFonts w:ascii="Arial" w:hAnsi="Arial" w:cs="Arial"/>
          <w:color w:val="242121"/>
        </w:rPr>
        <w:t xml:space="preserve"> detention pre-sentencing is but one of the factors that should be taken into account in determining whether the effective period of imprisonment to be imposed is justified: whether it is proportionate to the crime committed. Such an approach would take into account the conditions affecting the accused in detention and the reason for a prolonged period of detention. And accordingly, in determining, in respect of the charge of robbery with aggravating circumstances, whether substantial and compelling circumstances warrant a lesser sentence than that prescribed by the Criminal Law Amendment Act 105 of 1997 (15 years’ imprisonment for robbery), the test is not whether on its own that period of detention constitutes a substantial and compelling circumstance, but whether the effective sentence proposed is proportionate to the crime or crimes committed: whether the sentence in all the circumstances, including the period spent in detention prior to conviction and sentencing, is a just one.’</w:t>
      </w:r>
      <w:r w:rsidR="00C9697E" w:rsidRPr="009E30DB">
        <w:rPr>
          <w:rStyle w:val="FootnoteReference"/>
          <w:rFonts w:ascii="Arial" w:eastAsia="Arial" w:hAnsi="Arial" w:cs="Arial"/>
          <w:iCs/>
          <w:color w:val="000000"/>
          <w:sz w:val="24"/>
          <w:szCs w:val="24"/>
        </w:rPr>
        <w:footnoteReference w:id="4"/>
      </w:r>
    </w:p>
    <w:p w14:paraId="22ECCC61" w14:textId="77777777" w:rsidR="00435CD8" w:rsidRPr="009E30DB" w:rsidRDefault="00435CD8" w:rsidP="00EF2D60">
      <w:pPr>
        <w:pStyle w:val="ListParagraph"/>
        <w:rPr>
          <w:rFonts w:ascii="Arial" w:eastAsia="Arial" w:hAnsi="Arial" w:cs="Arial"/>
          <w:color w:val="000000"/>
          <w:sz w:val="24"/>
          <w:szCs w:val="24"/>
        </w:rPr>
      </w:pPr>
    </w:p>
    <w:p w14:paraId="71695E55" w14:textId="77777777" w:rsidR="00F3468C" w:rsidRPr="009E30DB" w:rsidRDefault="00454B39" w:rsidP="001265A3">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T</w:t>
      </w:r>
      <w:r w:rsidR="00EE161C" w:rsidRPr="009E30DB">
        <w:rPr>
          <w:rFonts w:ascii="Arial" w:eastAsia="Arial" w:hAnsi="Arial" w:cs="Arial"/>
          <w:color w:val="000000"/>
          <w:sz w:val="24"/>
          <w:szCs w:val="24"/>
        </w:rPr>
        <w:t>he failure of the m</w:t>
      </w:r>
      <w:r w:rsidR="00B95B5B" w:rsidRPr="009E30DB">
        <w:rPr>
          <w:rFonts w:ascii="Arial" w:eastAsia="Arial" w:hAnsi="Arial" w:cs="Arial"/>
          <w:color w:val="000000"/>
          <w:sz w:val="24"/>
          <w:szCs w:val="24"/>
        </w:rPr>
        <w:t xml:space="preserve">agistrate to </w:t>
      </w:r>
      <w:r w:rsidR="009A0700" w:rsidRPr="009E30DB">
        <w:rPr>
          <w:rFonts w:ascii="Arial" w:eastAsia="Arial" w:hAnsi="Arial" w:cs="Arial"/>
          <w:color w:val="000000"/>
          <w:sz w:val="24"/>
          <w:szCs w:val="24"/>
        </w:rPr>
        <w:t xml:space="preserve">take into account the time spent </w:t>
      </w:r>
      <w:r w:rsidR="00946CF7" w:rsidRPr="009E30DB">
        <w:rPr>
          <w:rFonts w:ascii="Arial" w:eastAsia="Arial" w:hAnsi="Arial" w:cs="Arial"/>
          <w:color w:val="000000"/>
          <w:sz w:val="24"/>
          <w:szCs w:val="24"/>
        </w:rPr>
        <w:t xml:space="preserve">by the appellant </w:t>
      </w:r>
      <w:r w:rsidR="009A0700" w:rsidRPr="009E30DB">
        <w:rPr>
          <w:rFonts w:ascii="Arial" w:eastAsia="Arial" w:hAnsi="Arial" w:cs="Arial"/>
          <w:color w:val="000000"/>
          <w:sz w:val="24"/>
          <w:szCs w:val="24"/>
        </w:rPr>
        <w:t xml:space="preserve">in custody </w:t>
      </w:r>
      <w:r w:rsidR="00946CF7" w:rsidRPr="009E30DB">
        <w:rPr>
          <w:rFonts w:ascii="Arial" w:eastAsia="Arial" w:hAnsi="Arial" w:cs="Arial"/>
          <w:color w:val="000000"/>
          <w:sz w:val="24"/>
          <w:szCs w:val="24"/>
        </w:rPr>
        <w:t xml:space="preserve">while </w:t>
      </w:r>
      <w:r w:rsidR="009A0700" w:rsidRPr="009E30DB">
        <w:rPr>
          <w:rFonts w:ascii="Arial" w:eastAsia="Arial" w:hAnsi="Arial" w:cs="Arial"/>
          <w:color w:val="000000"/>
          <w:sz w:val="24"/>
          <w:szCs w:val="24"/>
        </w:rPr>
        <w:t xml:space="preserve">awaiting trial thus amounted to a misdirection on the part of the learned magistrate. </w:t>
      </w:r>
      <w:r w:rsidR="00CE1C34" w:rsidRPr="009E30DB">
        <w:rPr>
          <w:rFonts w:ascii="Arial" w:eastAsia="Arial" w:hAnsi="Arial" w:cs="Arial"/>
          <w:color w:val="000000"/>
          <w:sz w:val="24"/>
          <w:szCs w:val="24"/>
        </w:rPr>
        <w:t>In my view, had the magistrate engaged in that</w:t>
      </w:r>
      <w:r w:rsidR="00946CF7" w:rsidRPr="009E30DB">
        <w:rPr>
          <w:rFonts w:ascii="Arial" w:eastAsia="Arial" w:hAnsi="Arial" w:cs="Arial"/>
          <w:color w:val="000000"/>
          <w:sz w:val="24"/>
          <w:szCs w:val="24"/>
        </w:rPr>
        <w:t xml:space="preserve"> exercise, this c</w:t>
      </w:r>
      <w:r w:rsidR="00CE1C34" w:rsidRPr="009E30DB">
        <w:rPr>
          <w:rFonts w:ascii="Arial" w:eastAsia="Arial" w:hAnsi="Arial" w:cs="Arial"/>
          <w:color w:val="000000"/>
          <w:sz w:val="24"/>
          <w:szCs w:val="24"/>
        </w:rPr>
        <w:t xml:space="preserve">ould </w:t>
      </w:r>
      <w:r w:rsidR="00CE1C34" w:rsidRPr="009E30DB">
        <w:rPr>
          <w:rFonts w:ascii="Arial" w:eastAsia="Arial" w:hAnsi="Arial" w:cs="Arial"/>
          <w:color w:val="000000"/>
          <w:sz w:val="24"/>
          <w:szCs w:val="24"/>
        </w:rPr>
        <w:lastRenderedPageBreak/>
        <w:t>have had a bearing on the sentence</w:t>
      </w:r>
      <w:r w:rsidR="000B3A2E" w:rsidRPr="009E30DB">
        <w:rPr>
          <w:rFonts w:ascii="Arial" w:eastAsia="Arial" w:hAnsi="Arial" w:cs="Arial"/>
          <w:color w:val="000000"/>
          <w:sz w:val="24"/>
          <w:szCs w:val="24"/>
        </w:rPr>
        <w:t>s</w:t>
      </w:r>
      <w:r w:rsidR="00CE1C34" w:rsidRPr="009E30DB">
        <w:rPr>
          <w:rFonts w:ascii="Arial" w:eastAsia="Arial" w:hAnsi="Arial" w:cs="Arial"/>
          <w:color w:val="000000"/>
          <w:sz w:val="24"/>
          <w:szCs w:val="24"/>
        </w:rPr>
        <w:t xml:space="preserve"> imposed. </w:t>
      </w:r>
      <w:r w:rsidR="000B3A2E" w:rsidRPr="009E30DB">
        <w:rPr>
          <w:rFonts w:ascii="Arial" w:eastAsia="Arial" w:hAnsi="Arial" w:cs="Arial"/>
          <w:color w:val="000000"/>
          <w:sz w:val="24"/>
          <w:szCs w:val="24"/>
        </w:rPr>
        <w:t xml:space="preserve">This omission is apparent from the record and conceded by the respondent. </w:t>
      </w:r>
      <w:r w:rsidR="006F246A" w:rsidRPr="009E30DB">
        <w:rPr>
          <w:rFonts w:ascii="Arial" w:eastAsia="Arial" w:hAnsi="Arial" w:cs="Arial"/>
          <w:color w:val="000000"/>
          <w:sz w:val="24"/>
          <w:szCs w:val="24"/>
        </w:rPr>
        <w:t>As such there are reasonable prospects that the appellant could be successful on appeal against sentence.</w:t>
      </w:r>
      <w:r w:rsidR="006F246A" w:rsidRPr="009E30DB">
        <w:rPr>
          <w:rStyle w:val="FootnoteReference"/>
          <w:rFonts w:ascii="Arial" w:eastAsia="Arial" w:hAnsi="Arial" w:cs="Arial"/>
          <w:color w:val="000000"/>
          <w:sz w:val="24"/>
          <w:szCs w:val="24"/>
        </w:rPr>
        <w:footnoteReference w:id="5"/>
      </w:r>
      <w:r w:rsidR="006F246A" w:rsidRPr="009E30DB">
        <w:rPr>
          <w:rFonts w:ascii="Arial" w:eastAsia="Arial" w:hAnsi="Arial" w:cs="Arial"/>
          <w:color w:val="000000"/>
          <w:sz w:val="24"/>
          <w:szCs w:val="24"/>
        </w:rPr>
        <w:t xml:space="preserve"> T</w:t>
      </w:r>
      <w:r w:rsidR="00CA3EF4" w:rsidRPr="009E30DB">
        <w:rPr>
          <w:rFonts w:ascii="Arial" w:eastAsia="Arial" w:hAnsi="Arial" w:cs="Arial"/>
          <w:color w:val="000000"/>
          <w:sz w:val="24"/>
          <w:szCs w:val="24"/>
        </w:rPr>
        <w:t xml:space="preserve">he high court </w:t>
      </w:r>
      <w:r w:rsidR="006F246A" w:rsidRPr="009E30DB">
        <w:rPr>
          <w:rFonts w:ascii="Arial" w:eastAsia="Arial" w:hAnsi="Arial" w:cs="Arial"/>
          <w:color w:val="000000"/>
          <w:sz w:val="24"/>
          <w:szCs w:val="24"/>
        </w:rPr>
        <w:t xml:space="preserve">erred in failing </w:t>
      </w:r>
      <w:r w:rsidR="00871602" w:rsidRPr="009E30DB">
        <w:rPr>
          <w:rFonts w:ascii="Arial" w:eastAsia="Arial" w:hAnsi="Arial" w:cs="Arial"/>
          <w:color w:val="000000"/>
          <w:sz w:val="24"/>
          <w:szCs w:val="24"/>
        </w:rPr>
        <w:t xml:space="preserve">to grant </w:t>
      </w:r>
      <w:r w:rsidR="000065A0" w:rsidRPr="009E30DB">
        <w:rPr>
          <w:rFonts w:ascii="Arial" w:eastAsia="Arial" w:hAnsi="Arial" w:cs="Arial"/>
          <w:color w:val="000000"/>
          <w:sz w:val="24"/>
          <w:szCs w:val="24"/>
        </w:rPr>
        <w:t>the appellant</w:t>
      </w:r>
      <w:r w:rsidR="006F246A" w:rsidRPr="009E30DB">
        <w:rPr>
          <w:rFonts w:ascii="Arial" w:eastAsia="Arial" w:hAnsi="Arial" w:cs="Arial"/>
          <w:color w:val="000000"/>
          <w:sz w:val="24"/>
          <w:szCs w:val="24"/>
        </w:rPr>
        <w:t xml:space="preserve"> that</w:t>
      </w:r>
      <w:r w:rsidR="000065A0" w:rsidRPr="009E30DB">
        <w:rPr>
          <w:rFonts w:ascii="Arial" w:eastAsia="Arial" w:hAnsi="Arial" w:cs="Arial"/>
          <w:color w:val="000000"/>
          <w:sz w:val="24"/>
          <w:szCs w:val="24"/>
        </w:rPr>
        <w:t xml:space="preserve"> </w:t>
      </w:r>
      <w:r w:rsidR="00871602" w:rsidRPr="009E30DB">
        <w:rPr>
          <w:rFonts w:ascii="Arial" w:eastAsia="Arial" w:hAnsi="Arial" w:cs="Arial"/>
          <w:color w:val="000000"/>
          <w:sz w:val="24"/>
          <w:szCs w:val="24"/>
        </w:rPr>
        <w:t>leave</w:t>
      </w:r>
      <w:r w:rsidR="00CA0C79" w:rsidRPr="009E30DB">
        <w:rPr>
          <w:rFonts w:ascii="Arial" w:eastAsia="Arial" w:hAnsi="Arial" w:cs="Arial"/>
          <w:color w:val="000000"/>
          <w:sz w:val="24"/>
          <w:szCs w:val="24"/>
        </w:rPr>
        <w:t xml:space="preserve">. </w:t>
      </w:r>
      <w:r w:rsidR="00EE140E" w:rsidRPr="009E30DB">
        <w:rPr>
          <w:rFonts w:ascii="Arial" w:eastAsia="Arial" w:hAnsi="Arial" w:cs="Arial"/>
          <w:color w:val="000000"/>
          <w:sz w:val="24"/>
          <w:szCs w:val="24"/>
        </w:rPr>
        <w:t xml:space="preserve"> </w:t>
      </w:r>
      <w:r w:rsidR="007E3F34" w:rsidRPr="009E30DB">
        <w:rPr>
          <w:rFonts w:ascii="Arial" w:eastAsia="Arial" w:hAnsi="Arial" w:cs="Arial"/>
          <w:color w:val="000000"/>
          <w:sz w:val="24"/>
          <w:szCs w:val="24"/>
        </w:rPr>
        <w:t xml:space="preserve"> </w:t>
      </w:r>
    </w:p>
    <w:p w14:paraId="7254CC73" w14:textId="77777777" w:rsidR="00871602" w:rsidRPr="009E30DB" w:rsidRDefault="00871602" w:rsidP="001265A3">
      <w:pPr>
        <w:pStyle w:val="ListParagraph"/>
        <w:spacing w:line="360" w:lineRule="auto"/>
        <w:rPr>
          <w:rFonts w:ascii="Arial" w:eastAsia="Arial" w:hAnsi="Arial" w:cs="Arial"/>
          <w:color w:val="000000"/>
          <w:sz w:val="24"/>
          <w:szCs w:val="24"/>
        </w:rPr>
      </w:pPr>
    </w:p>
    <w:p w14:paraId="3A34556F" w14:textId="77777777" w:rsidR="00F3468C" w:rsidRPr="009E30DB" w:rsidRDefault="00F3468C" w:rsidP="001265A3">
      <w:pPr>
        <w:pStyle w:val="Normal1"/>
        <w:numPr>
          <w:ilvl w:val="0"/>
          <w:numId w:val="2"/>
        </w:numPr>
        <w:spacing w:after="0" w:line="360" w:lineRule="auto"/>
        <w:ind w:left="0" w:firstLine="0"/>
        <w:jc w:val="both"/>
        <w:rPr>
          <w:rFonts w:ascii="Arial" w:eastAsia="Arial" w:hAnsi="Arial" w:cs="Arial"/>
          <w:color w:val="000000"/>
          <w:sz w:val="24"/>
          <w:szCs w:val="24"/>
        </w:rPr>
      </w:pPr>
      <w:r w:rsidRPr="009E30DB">
        <w:rPr>
          <w:rFonts w:ascii="Arial" w:eastAsia="Arial" w:hAnsi="Arial" w:cs="Arial"/>
          <w:color w:val="000000"/>
          <w:sz w:val="24"/>
          <w:szCs w:val="24"/>
        </w:rPr>
        <w:t>I</w:t>
      </w:r>
      <w:r w:rsidR="00C74047" w:rsidRPr="009E30DB">
        <w:rPr>
          <w:rFonts w:ascii="Arial" w:eastAsia="Arial" w:hAnsi="Arial" w:cs="Arial"/>
          <w:color w:val="000000"/>
          <w:sz w:val="24"/>
          <w:szCs w:val="24"/>
        </w:rPr>
        <w:t xml:space="preserve"> accordingly make the order set out below. </w:t>
      </w:r>
    </w:p>
    <w:p w14:paraId="04BE4E55" w14:textId="77777777" w:rsidR="006366C4" w:rsidRPr="009E30DB" w:rsidRDefault="006366C4" w:rsidP="007936D8">
      <w:pPr>
        <w:pStyle w:val="Normal1"/>
        <w:numPr>
          <w:ilvl w:val="0"/>
          <w:numId w:val="6"/>
        </w:numPr>
        <w:spacing w:after="0" w:line="360" w:lineRule="auto"/>
        <w:ind w:left="0" w:firstLine="0"/>
        <w:jc w:val="both"/>
        <w:rPr>
          <w:rFonts w:ascii="Arial" w:eastAsia="Arial" w:hAnsi="Arial" w:cs="Arial"/>
          <w:sz w:val="24"/>
          <w:szCs w:val="24"/>
        </w:rPr>
      </w:pPr>
      <w:r w:rsidRPr="009E30DB">
        <w:rPr>
          <w:rFonts w:ascii="Arial" w:eastAsia="Arial" w:hAnsi="Arial" w:cs="Arial"/>
          <w:sz w:val="24"/>
          <w:szCs w:val="24"/>
        </w:rPr>
        <w:t>The appeal succeeds.</w:t>
      </w:r>
    </w:p>
    <w:p w14:paraId="13CFBF8A" w14:textId="3780E262" w:rsidR="006366C4" w:rsidRPr="009E30DB" w:rsidRDefault="006366C4" w:rsidP="007936D8">
      <w:pPr>
        <w:pStyle w:val="Normal1"/>
        <w:numPr>
          <w:ilvl w:val="0"/>
          <w:numId w:val="6"/>
        </w:numPr>
        <w:spacing w:after="0" w:line="360" w:lineRule="auto"/>
        <w:ind w:left="0" w:firstLine="0"/>
        <w:jc w:val="both"/>
        <w:rPr>
          <w:rFonts w:ascii="Arial" w:eastAsia="Arial" w:hAnsi="Arial" w:cs="Arial"/>
          <w:sz w:val="24"/>
          <w:szCs w:val="24"/>
        </w:rPr>
      </w:pPr>
      <w:bookmarkStart w:id="1" w:name="_Hlk149823060"/>
      <w:r w:rsidRPr="009E30DB">
        <w:rPr>
          <w:rFonts w:ascii="Arial" w:eastAsia="Arial" w:hAnsi="Arial" w:cs="Arial"/>
          <w:sz w:val="24"/>
          <w:szCs w:val="24"/>
        </w:rPr>
        <w:t xml:space="preserve">The order of the court below </w:t>
      </w:r>
      <w:r w:rsidR="00DA5EEF" w:rsidRPr="009E30DB">
        <w:rPr>
          <w:rFonts w:ascii="Arial" w:eastAsia="Arial" w:hAnsi="Arial" w:cs="Arial"/>
          <w:sz w:val="24"/>
          <w:szCs w:val="24"/>
        </w:rPr>
        <w:t xml:space="preserve">to the extent that it refused the petition against the sentences imposed </w:t>
      </w:r>
      <w:r w:rsidRPr="009E30DB">
        <w:rPr>
          <w:rFonts w:ascii="Arial" w:eastAsia="Arial" w:hAnsi="Arial" w:cs="Arial"/>
          <w:sz w:val="24"/>
          <w:szCs w:val="24"/>
        </w:rPr>
        <w:t>is set aside and replaced with</w:t>
      </w:r>
      <w:r w:rsidR="00130653">
        <w:rPr>
          <w:rFonts w:ascii="Arial" w:eastAsia="Arial" w:hAnsi="Arial" w:cs="Arial"/>
          <w:sz w:val="24"/>
          <w:szCs w:val="24"/>
        </w:rPr>
        <w:t xml:space="preserve"> the</w:t>
      </w:r>
      <w:r w:rsidRPr="009E30DB">
        <w:rPr>
          <w:rFonts w:ascii="Arial" w:eastAsia="Arial" w:hAnsi="Arial" w:cs="Arial"/>
          <w:sz w:val="24"/>
          <w:szCs w:val="24"/>
        </w:rPr>
        <w:t xml:space="preserve"> following</w:t>
      </w:r>
      <w:r w:rsidR="00032A91" w:rsidRPr="009E30DB">
        <w:rPr>
          <w:rFonts w:ascii="Arial" w:eastAsia="Arial" w:hAnsi="Arial" w:cs="Arial"/>
          <w:sz w:val="24"/>
          <w:szCs w:val="24"/>
        </w:rPr>
        <w:t>:</w:t>
      </w:r>
    </w:p>
    <w:p w14:paraId="23F3CE80" w14:textId="6852AF4A" w:rsidR="006366C4" w:rsidRPr="009E30DB" w:rsidRDefault="006366C4" w:rsidP="007936D8">
      <w:pPr>
        <w:pStyle w:val="Normal1"/>
        <w:spacing w:after="0" w:line="360" w:lineRule="auto"/>
        <w:jc w:val="both"/>
        <w:rPr>
          <w:rFonts w:ascii="Arial" w:eastAsia="Arial" w:hAnsi="Arial" w:cs="Arial"/>
          <w:sz w:val="24"/>
          <w:szCs w:val="24"/>
        </w:rPr>
      </w:pPr>
      <w:r w:rsidRPr="009E30DB">
        <w:rPr>
          <w:rFonts w:ascii="Arial" w:eastAsia="Arial" w:hAnsi="Arial" w:cs="Arial"/>
          <w:sz w:val="24"/>
          <w:szCs w:val="24"/>
        </w:rPr>
        <w:t xml:space="preserve">‘The </w:t>
      </w:r>
      <w:r w:rsidR="001F04CA" w:rsidRPr="009E30DB">
        <w:rPr>
          <w:rFonts w:ascii="Arial" w:eastAsia="Arial" w:hAnsi="Arial" w:cs="Arial"/>
          <w:sz w:val="24"/>
          <w:szCs w:val="24"/>
        </w:rPr>
        <w:t xml:space="preserve">application for leave to appeal against the sentences imposed on the applicant succeeds and the </w:t>
      </w:r>
      <w:r w:rsidRPr="009E30DB">
        <w:rPr>
          <w:rFonts w:ascii="Arial" w:eastAsia="Arial" w:hAnsi="Arial" w:cs="Arial"/>
          <w:sz w:val="24"/>
          <w:szCs w:val="24"/>
        </w:rPr>
        <w:t>app</w:t>
      </w:r>
      <w:r w:rsidR="001F04CA" w:rsidRPr="009E30DB">
        <w:rPr>
          <w:rFonts w:ascii="Arial" w:eastAsia="Arial" w:hAnsi="Arial" w:cs="Arial"/>
          <w:sz w:val="24"/>
          <w:szCs w:val="24"/>
        </w:rPr>
        <w:t>licant</w:t>
      </w:r>
      <w:r w:rsidRPr="009E30DB">
        <w:rPr>
          <w:rFonts w:ascii="Arial" w:eastAsia="Arial" w:hAnsi="Arial" w:cs="Arial"/>
          <w:sz w:val="24"/>
          <w:szCs w:val="24"/>
        </w:rPr>
        <w:t xml:space="preserve"> is granted leave to appeal against </w:t>
      </w:r>
      <w:r w:rsidR="001F04CA" w:rsidRPr="009E30DB">
        <w:rPr>
          <w:rFonts w:ascii="Arial" w:eastAsia="Arial" w:hAnsi="Arial" w:cs="Arial"/>
          <w:sz w:val="24"/>
          <w:szCs w:val="24"/>
        </w:rPr>
        <w:t xml:space="preserve">his </w:t>
      </w:r>
      <w:r w:rsidRPr="009E30DB">
        <w:rPr>
          <w:rFonts w:ascii="Arial" w:eastAsia="Arial" w:hAnsi="Arial" w:cs="Arial"/>
          <w:sz w:val="24"/>
          <w:szCs w:val="24"/>
        </w:rPr>
        <w:t>sentence</w:t>
      </w:r>
      <w:r w:rsidR="001F04CA" w:rsidRPr="009E30DB">
        <w:rPr>
          <w:rFonts w:ascii="Arial" w:eastAsia="Arial" w:hAnsi="Arial" w:cs="Arial"/>
          <w:sz w:val="24"/>
          <w:szCs w:val="24"/>
        </w:rPr>
        <w:t>s</w:t>
      </w:r>
      <w:r w:rsidRPr="009E30DB">
        <w:rPr>
          <w:rFonts w:ascii="Arial" w:eastAsia="Arial" w:hAnsi="Arial" w:cs="Arial"/>
          <w:sz w:val="24"/>
          <w:szCs w:val="24"/>
        </w:rPr>
        <w:t xml:space="preserve"> to the </w:t>
      </w:r>
      <w:r w:rsidR="001F04CA" w:rsidRPr="009E30DB">
        <w:rPr>
          <w:rFonts w:ascii="Arial" w:eastAsia="Arial" w:hAnsi="Arial" w:cs="Arial"/>
          <w:sz w:val="24"/>
          <w:szCs w:val="24"/>
        </w:rPr>
        <w:t>Gauteng Division of the H</w:t>
      </w:r>
      <w:r w:rsidRPr="009E30DB">
        <w:rPr>
          <w:rFonts w:ascii="Arial" w:eastAsia="Arial" w:hAnsi="Arial" w:cs="Arial"/>
          <w:sz w:val="24"/>
          <w:szCs w:val="24"/>
        </w:rPr>
        <w:t xml:space="preserve">igh </w:t>
      </w:r>
      <w:r w:rsidR="001F04CA" w:rsidRPr="009E30DB">
        <w:rPr>
          <w:rFonts w:ascii="Arial" w:eastAsia="Arial" w:hAnsi="Arial" w:cs="Arial"/>
          <w:sz w:val="24"/>
          <w:szCs w:val="24"/>
        </w:rPr>
        <w:t>C</w:t>
      </w:r>
      <w:r w:rsidRPr="009E30DB">
        <w:rPr>
          <w:rFonts w:ascii="Arial" w:eastAsia="Arial" w:hAnsi="Arial" w:cs="Arial"/>
          <w:sz w:val="24"/>
          <w:szCs w:val="24"/>
        </w:rPr>
        <w:t>ourt</w:t>
      </w:r>
      <w:r w:rsidR="001F04CA" w:rsidRPr="009E30DB">
        <w:rPr>
          <w:rFonts w:ascii="Arial" w:eastAsia="Arial" w:hAnsi="Arial" w:cs="Arial"/>
          <w:sz w:val="24"/>
          <w:szCs w:val="24"/>
        </w:rPr>
        <w:t xml:space="preserve">, </w:t>
      </w:r>
      <w:r w:rsidR="00130653">
        <w:rPr>
          <w:rFonts w:ascii="Arial" w:eastAsia="Arial" w:hAnsi="Arial" w:cs="Arial"/>
          <w:sz w:val="24"/>
          <w:szCs w:val="24"/>
        </w:rPr>
        <w:t>Johannesburg</w:t>
      </w:r>
      <w:r w:rsidRPr="009E30DB">
        <w:rPr>
          <w:rFonts w:ascii="Arial" w:eastAsia="Arial" w:hAnsi="Arial" w:cs="Arial"/>
          <w:sz w:val="24"/>
          <w:szCs w:val="24"/>
        </w:rPr>
        <w:t>.</w:t>
      </w:r>
      <w:r w:rsidR="00130653">
        <w:rPr>
          <w:rFonts w:ascii="Arial" w:eastAsia="Arial" w:hAnsi="Arial" w:cs="Arial"/>
          <w:sz w:val="24"/>
          <w:szCs w:val="24"/>
        </w:rPr>
        <w:t>’</w:t>
      </w:r>
      <w:r w:rsidRPr="009E30DB">
        <w:rPr>
          <w:rFonts w:ascii="Arial" w:eastAsia="Arial" w:hAnsi="Arial" w:cs="Arial"/>
          <w:sz w:val="24"/>
          <w:szCs w:val="24"/>
        </w:rPr>
        <w:t xml:space="preserve"> </w:t>
      </w:r>
      <w:bookmarkEnd w:id="1"/>
    </w:p>
    <w:p w14:paraId="5B45D545" w14:textId="77777777" w:rsidR="00F3468C" w:rsidRPr="009E30DB" w:rsidRDefault="00A21833" w:rsidP="001265A3">
      <w:pPr>
        <w:pStyle w:val="Normal1"/>
        <w:spacing w:after="0" w:line="360" w:lineRule="auto"/>
        <w:jc w:val="both"/>
        <w:rPr>
          <w:rFonts w:ascii="Arial" w:eastAsia="Arial" w:hAnsi="Arial" w:cs="Arial"/>
          <w:color w:val="000000"/>
          <w:sz w:val="24"/>
          <w:szCs w:val="24"/>
        </w:rPr>
      </w:pPr>
      <w:r w:rsidRPr="009E30DB">
        <w:rPr>
          <w:rFonts w:ascii="Arial" w:eastAsia="Arial" w:hAnsi="Arial" w:cs="Arial"/>
          <w:color w:val="000000"/>
          <w:sz w:val="24"/>
          <w:szCs w:val="24"/>
        </w:rPr>
        <w:t xml:space="preserve"> </w:t>
      </w:r>
    </w:p>
    <w:p w14:paraId="2113B0EE" w14:textId="20100E1D" w:rsidR="00F3468C" w:rsidRDefault="00F3468C" w:rsidP="008E1893">
      <w:pPr>
        <w:pStyle w:val="Normal1"/>
        <w:spacing w:before="240" w:after="0" w:line="360" w:lineRule="auto"/>
        <w:jc w:val="right"/>
        <w:rPr>
          <w:rFonts w:ascii="Arial" w:eastAsia="Arial" w:hAnsi="Arial" w:cs="Arial"/>
          <w:b/>
          <w:noProof/>
          <w:sz w:val="24"/>
          <w:szCs w:val="24"/>
          <w:lang w:eastAsia="en-ZA"/>
        </w:rPr>
      </w:pPr>
    </w:p>
    <w:p w14:paraId="22FA38CB" w14:textId="184A13EC" w:rsidR="004B72D5" w:rsidRDefault="004B72D5" w:rsidP="008E1893">
      <w:pPr>
        <w:pStyle w:val="Normal1"/>
        <w:spacing w:before="240" w:after="0" w:line="360" w:lineRule="auto"/>
        <w:jc w:val="right"/>
        <w:rPr>
          <w:rFonts w:ascii="Arial" w:eastAsia="Arial" w:hAnsi="Arial" w:cs="Arial"/>
          <w:b/>
          <w:noProof/>
          <w:sz w:val="24"/>
          <w:szCs w:val="24"/>
          <w:lang w:eastAsia="en-ZA"/>
        </w:rPr>
      </w:pPr>
    </w:p>
    <w:p w14:paraId="6CEB0133" w14:textId="77777777" w:rsidR="004B72D5" w:rsidRPr="009E30DB" w:rsidRDefault="004B72D5" w:rsidP="008E1893">
      <w:pPr>
        <w:pStyle w:val="Normal1"/>
        <w:spacing w:before="240" w:after="0" w:line="360" w:lineRule="auto"/>
        <w:jc w:val="right"/>
        <w:rPr>
          <w:rFonts w:ascii="Arial" w:eastAsia="Arial" w:hAnsi="Arial" w:cs="Arial"/>
          <w:b/>
          <w:sz w:val="24"/>
          <w:szCs w:val="24"/>
        </w:rPr>
      </w:pPr>
    </w:p>
    <w:p w14:paraId="0B774D6A" w14:textId="77777777" w:rsidR="00F3468C" w:rsidRPr="009E30DB" w:rsidRDefault="00F3468C" w:rsidP="001265A3">
      <w:pPr>
        <w:pStyle w:val="Normal1"/>
        <w:spacing w:after="0" w:line="360" w:lineRule="auto"/>
        <w:jc w:val="right"/>
        <w:rPr>
          <w:rFonts w:ascii="Arial" w:eastAsia="Arial" w:hAnsi="Arial" w:cs="Arial"/>
          <w:sz w:val="24"/>
          <w:szCs w:val="24"/>
        </w:rPr>
      </w:pPr>
      <w:r w:rsidRPr="009E30DB">
        <w:rPr>
          <w:rFonts w:ascii="Arial" w:eastAsia="Arial" w:hAnsi="Arial" w:cs="Arial"/>
          <w:sz w:val="24"/>
          <w:szCs w:val="24"/>
        </w:rPr>
        <w:t>___________________</w:t>
      </w:r>
    </w:p>
    <w:p w14:paraId="7AE1A2C3" w14:textId="77777777" w:rsidR="00F3468C" w:rsidRPr="009E30DB" w:rsidRDefault="00A4484E" w:rsidP="001265A3">
      <w:pPr>
        <w:pStyle w:val="Normal1"/>
        <w:spacing w:after="0" w:line="360" w:lineRule="auto"/>
        <w:jc w:val="right"/>
        <w:rPr>
          <w:rFonts w:ascii="Arial" w:eastAsia="Arial" w:hAnsi="Arial" w:cs="Arial"/>
          <w:b/>
          <w:sz w:val="24"/>
          <w:szCs w:val="24"/>
        </w:rPr>
      </w:pPr>
      <w:r w:rsidRPr="009E30DB">
        <w:rPr>
          <w:rFonts w:ascii="Arial" w:eastAsia="Arial" w:hAnsi="Arial" w:cs="Arial"/>
          <w:b/>
          <w:sz w:val="24"/>
          <w:szCs w:val="24"/>
        </w:rPr>
        <w:t>W HUGHES</w:t>
      </w:r>
    </w:p>
    <w:p w14:paraId="3D2E0914" w14:textId="77777777" w:rsidR="00F3468C" w:rsidRPr="009E30DB" w:rsidRDefault="00A4484E" w:rsidP="001265A3">
      <w:pPr>
        <w:pStyle w:val="Normal1"/>
        <w:spacing w:after="0" w:line="360" w:lineRule="auto"/>
        <w:jc w:val="right"/>
        <w:rPr>
          <w:rFonts w:ascii="Arial" w:eastAsia="Arial" w:hAnsi="Arial" w:cs="Arial"/>
          <w:b/>
          <w:sz w:val="24"/>
          <w:szCs w:val="24"/>
        </w:rPr>
      </w:pPr>
      <w:r w:rsidRPr="009E30DB">
        <w:rPr>
          <w:rFonts w:ascii="Arial" w:eastAsia="Arial" w:hAnsi="Arial" w:cs="Arial"/>
          <w:b/>
          <w:sz w:val="24"/>
          <w:szCs w:val="24"/>
        </w:rPr>
        <w:t>JUDGE OF APPEAL</w:t>
      </w:r>
    </w:p>
    <w:p w14:paraId="2A1F1005" w14:textId="77777777" w:rsidR="00F3468C" w:rsidRPr="009E30DB" w:rsidRDefault="00F3468C" w:rsidP="001265A3">
      <w:pPr>
        <w:pStyle w:val="Normal1"/>
        <w:spacing w:after="0" w:line="360" w:lineRule="auto"/>
        <w:rPr>
          <w:rFonts w:ascii="Arial" w:eastAsia="Arial" w:hAnsi="Arial" w:cs="Arial"/>
          <w:sz w:val="24"/>
          <w:szCs w:val="24"/>
        </w:rPr>
      </w:pPr>
    </w:p>
    <w:p w14:paraId="04B65BCC" w14:textId="77777777" w:rsidR="00D944E2" w:rsidRPr="009E30DB" w:rsidRDefault="00D944E2" w:rsidP="001265A3">
      <w:pPr>
        <w:pStyle w:val="Normal1"/>
        <w:spacing w:after="0" w:line="360" w:lineRule="auto"/>
        <w:rPr>
          <w:rFonts w:ascii="Arial" w:eastAsia="Arial" w:hAnsi="Arial" w:cs="Arial"/>
          <w:sz w:val="24"/>
          <w:szCs w:val="24"/>
        </w:rPr>
      </w:pPr>
    </w:p>
    <w:p w14:paraId="62EC5BA0" w14:textId="77777777" w:rsidR="00D944E2" w:rsidRPr="009E30DB" w:rsidRDefault="00D944E2" w:rsidP="001265A3">
      <w:pPr>
        <w:pStyle w:val="Normal1"/>
        <w:spacing w:after="0" w:line="360" w:lineRule="auto"/>
        <w:rPr>
          <w:rFonts w:ascii="Arial" w:eastAsia="Arial" w:hAnsi="Arial" w:cs="Arial"/>
          <w:sz w:val="24"/>
          <w:szCs w:val="24"/>
        </w:rPr>
      </w:pPr>
    </w:p>
    <w:p w14:paraId="20840402" w14:textId="77777777" w:rsidR="00D944E2" w:rsidRPr="009E30DB" w:rsidRDefault="00D944E2" w:rsidP="001265A3">
      <w:pPr>
        <w:pStyle w:val="Normal1"/>
        <w:spacing w:after="0" w:line="360" w:lineRule="auto"/>
        <w:rPr>
          <w:rFonts w:ascii="Arial" w:eastAsia="Arial" w:hAnsi="Arial" w:cs="Arial"/>
          <w:sz w:val="24"/>
          <w:szCs w:val="24"/>
        </w:rPr>
      </w:pPr>
    </w:p>
    <w:p w14:paraId="039A9660" w14:textId="77777777" w:rsidR="00D944E2" w:rsidRPr="009E30DB" w:rsidRDefault="00D944E2" w:rsidP="001265A3">
      <w:pPr>
        <w:pStyle w:val="Normal1"/>
        <w:spacing w:after="0" w:line="360" w:lineRule="auto"/>
        <w:rPr>
          <w:rFonts w:ascii="Arial" w:eastAsia="Arial" w:hAnsi="Arial" w:cs="Arial"/>
          <w:sz w:val="24"/>
          <w:szCs w:val="24"/>
        </w:rPr>
      </w:pPr>
    </w:p>
    <w:p w14:paraId="5C878597" w14:textId="77777777" w:rsidR="00D944E2" w:rsidRPr="009E30DB" w:rsidRDefault="00D944E2" w:rsidP="001265A3">
      <w:pPr>
        <w:pStyle w:val="Normal1"/>
        <w:spacing w:after="0" w:line="360" w:lineRule="auto"/>
        <w:rPr>
          <w:rFonts w:ascii="Arial" w:eastAsia="Arial" w:hAnsi="Arial" w:cs="Arial"/>
          <w:sz w:val="24"/>
          <w:szCs w:val="24"/>
        </w:rPr>
      </w:pPr>
    </w:p>
    <w:p w14:paraId="561CCBD8" w14:textId="77777777" w:rsidR="00D944E2" w:rsidRPr="009E30DB" w:rsidRDefault="00D944E2" w:rsidP="001265A3">
      <w:pPr>
        <w:pStyle w:val="Normal1"/>
        <w:spacing w:after="0" w:line="360" w:lineRule="auto"/>
        <w:rPr>
          <w:rFonts w:ascii="Arial" w:eastAsia="Arial" w:hAnsi="Arial" w:cs="Arial"/>
          <w:sz w:val="24"/>
          <w:szCs w:val="24"/>
        </w:rPr>
      </w:pPr>
    </w:p>
    <w:p w14:paraId="29C4FD14" w14:textId="77777777" w:rsidR="00D944E2" w:rsidRPr="009E30DB" w:rsidRDefault="00D944E2" w:rsidP="001265A3">
      <w:pPr>
        <w:pStyle w:val="Normal1"/>
        <w:spacing w:after="0" w:line="360" w:lineRule="auto"/>
        <w:rPr>
          <w:rFonts w:ascii="Arial" w:eastAsia="Arial" w:hAnsi="Arial" w:cs="Arial"/>
          <w:sz w:val="24"/>
          <w:szCs w:val="24"/>
        </w:rPr>
      </w:pPr>
    </w:p>
    <w:p w14:paraId="052DB96B" w14:textId="77777777" w:rsidR="006E6AA9" w:rsidRPr="009E30DB" w:rsidRDefault="006E6AA9" w:rsidP="001265A3">
      <w:pPr>
        <w:pStyle w:val="Normal1"/>
        <w:spacing w:after="0" w:line="360" w:lineRule="auto"/>
        <w:rPr>
          <w:rFonts w:ascii="Arial" w:eastAsia="Arial" w:hAnsi="Arial" w:cs="Arial"/>
          <w:sz w:val="24"/>
          <w:szCs w:val="24"/>
        </w:rPr>
      </w:pPr>
    </w:p>
    <w:p w14:paraId="462EE67B" w14:textId="77777777" w:rsidR="00980CDC" w:rsidRPr="009E30DB" w:rsidRDefault="00980CDC" w:rsidP="001265A3">
      <w:pPr>
        <w:pStyle w:val="Normal1"/>
        <w:spacing w:after="0" w:line="360" w:lineRule="auto"/>
        <w:rPr>
          <w:rFonts w:ascii="Arial" w:eastAsia="Arial" w:hAnsi="Arial" w:cs="Arial"/>
          <w:sz w:val="24"/>
          <w:szCs w:val="24"/>
        </w:rPr>
      </w:pPr>
    </w:p>
    <w:p w14:paraId="7163C69B" w14:textId="719B163A" w:rsidR="00E85A91" w:rsidRPr="009E30DB" w:rsidRDefault="00E85A91">
      <w:pPr>
        <w:rPr>
          <w:rFonts w:ascii="Arial" w:eastAsia="Arial" w:hAnsi="Arial" w:cs="Arial"/>
          <w:sz w:val="24"/>
          <w:szCs w:val="24"/>
        </w:rPr>
      </w:pPr>
    </w:p>
    <w:p w14:paraId="1BC70CF1" w14:textId="2297F55C" w:rsidR="00F3468C" w:rsidRPr="009E30DB" w:rsidRDefault="004C505F" w:rsidP="001265A3">
      <w:pPr>
        <w:pStyle w:val="Normal1"/>
        <w:spacing w:after="0" w:line="360" w:lineRule="auto"/>
        <w:rPr>
          <w:rFonts w:ascii="Arial" w:eastAsia="Arial" w:hAnsi="Arial" w:cs="Arial"/>
          <w:sz w:val="24"/>
          <w:szCs w:val="24"/>
        </w:rPr>
      </w:pPr>
      <w:bookmarkStart w:id="2" w:name="_GoBack"/>
      <w:bookmarkEnd w:id="2"/>
      <w:r>
        <w:rPr>
          <w:rFonts w:ascii="Arial" w:eastAsia="Arial" w:hAnsi="Arial" w:cs="Arial"/>
          <w:sz w:val="24"/>
          <w:szCs w:val="24"/>
        </w:rPr>
        <w:lastRenderedPageBreak/>
        <w:t>Appearances</w:t>
      </w:r>
    </w:p>
    <w:p w14:paraId="3E482AEE" w14:textId="77777777" w:rsidR="00980CDC" w:rsidRPr="009E30DB" w:rsidRDefault="00980CDC" w:rsidP="001265A3">
      <w:pPr>
        <w:pStyle w:val="Normal1"/>
        <w:spacing w:after="0" w:line="360" w:lineRule="auto"/>
        <w:rPr>
          <w:rFonts w:ascii="Arial" w:eastAsia="Arial" w:hAnsi="Arial" w:cs="Arial"/>
          <w:sz w:val="24"/>
          <w:szCs w:val="24"/>
        </w:rPr>
      </w:pPr>
    </w:p>
    <w:p w14:paraId="71A3BAD5" w14:textId="155B0A3C" w:rsidR="00F3468C" w:rsidRPr="009E30DB" w:rsidRDefault="00F6498A" w:rsidP="001265A3">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For the Appellant:</w:t>
      </w:r>
      <w:r>
        <w:rPr>
          <w:rFonts w:ascii="Arial" w:eastAsia="Arial" w:hAnsi="Arial" w:cs="Arial"/>
          <w:sz w:val="24"/>
          <w:szCs w:val="24"/>
        </w:rPr>
        <w:tab/>
      </w:r>
      <w:r w:rsidR="004C505F">
        <w:rPr>
          <w:rFonts w:ascii="Arial" w:eastAsia="Arial" w:hAnsi="Arial" w:cs="Arial"/>
          <w:sz w:val="24"/>
          <w:szCs w:val="24"/>
        </w:rPr>
        <w:t xml:space="preserve">Heads of argument prepared by </w:t>
      </w:r>
      <w:r>
        <w:rPr>
          <w:rFonts w:ascii="Arial" w:eastAsia="Arial" w:hAnsi="Arial" w:cs="Arial"/>
          <w:sz w:val="24"/>
          <w:szCs w:val="24"/>
        </w:rPr>
        <w:t>E</w:t>
      </w:r>
      <w:r w:rsidR="00F3468C" w:rsidRPr="009E30DB">
        <w:rPr>
          <w:rFonts w:ascii="Arial" w:eastAsia="Arial" w:hAnsi="Arial" w:cs="Arial"/>
          <w:sz w:val="24"/>
          <w:szCs w:val="24"/>
        </w:rPr>
        <w:t>A Guarneri</w:t>
      </w:r>
    </w:p>
    <w:p w14:paraId="31437D6F" w14:textId="77777777" w:rsidR="00F3468C" w:rsidRPr="009E30DB" w:rsidRDefault="00F3468C" w:rsidP="001265A3">
      <w:pPr>
        <w:pStyle w:val="Normal1"/>
        <w:tabs>
          <w:tab w:val="left" w:pos="3686"/>
        </w:tabs>
        <w:spacing w:after="0" w:line="360" w:lineRule="auto"/>
        <w:jc w:val="both"/>
        <w:rPr>
          <w:rFonts w:ascii="Arial" w:eastAsia="Arial" w:hAnsi="Arial" w:cs="Arial"/>
          <w:sz w:val="24"/>
          <w:szCs w:val="24"/>
        </w:rPr>
      </w:pPr>
      <w:r w:rsidRPr="009E30DB">
        <w:rPr>
          <w:rFonts w:ascii="Arial" w:eastAsia="Arial" w:hAnsi="Arial" w:cs="Arial"/>
          <w:sz w:val="24"/>
          <w:szCs w:val="24"/>
        </w:rPr>
        <w:t>Instructed by:</w:t>
      </w:r>
      <w:r w:rsidRPr="009E30DB">
        <w:rPr>
          <w:rFonts w:ascii="Arial" w:eastAsia="Arial" w:hAnsi="Arial" w:cs="Arial"/>
          <w:sz w:val="24"/>
          <w:szCs w:val="24"/>
        </w:rPr>
        <w:tab/>
        <w:t>Johannesburg Justice Centre</w:t>
      </w:r>
      <w:r w:rsidR="000C00F4" w:rsidRPr="009E30DB">
        <w:rPr>
          <w:rFonts w:ascii="Arial" w:eastAsia="Arial" w:hAnsi="Arial" w:cs="Arial"/>
          <w:sz w:val="24"/>
          <w:szCs w:val="24"/>
        </w:rPr>
        <w:t>, Johannesburg</w:t>
      </w:r>
      <w:r w:rsidRPr="009E30DB">
        <w:rPr>
          <w:rFonts w:ascii="Arial" w:eastAsia="Arial" w:hAnsi="Arial" w:cs="Arial"/>
          <w:sz w:val="24"/>
          <w:szCs w:val="24"/>
        </w:rPr>
        <w:t xml:space="preserve"> </w:t>
      </w:r>
    </w:p>
    <w:p w14:paraId="052FCF23" w14:textId="77777777" w:rsidR="00F3468C" w:rsidRPr="009E30DB" w:rsidRDefault="00F3468C" w:rsidP="001265A3">
      <w:pPr>
        <w:pStyle w:val="Normal1"/>
        <w:tabs>
          <w:tab w:val="left" w:pos="3686"/>
        </w:tabs>
        <w:spacing w:after="0" w:line="360" w:lineRule="auto"/>
        <w:jc w:val="both"/>
        <w:rPr>
          <w:rFonts w:ascii="Arial" w:eastAsia="Arial" w:hAnsi="Arial" w:cs="Arial"/>
          <w:sz w:val="24"/>
          <w:szCs w:val="24"/>
        </w:rPr>
      </w:pPr>
      <w:r w:rsidRPr="009E30DB">
        <w:rPr>
          <w:rFonts w:ascii="Arial" w:eastAsia="Arial" w:hAnsi="Arial" w:cs="Arial"/>
          <w:sz w:val="24"/>
          <w:szCs w:val="24"/>
        </w:rPr>
        <w:tab/>
        <w:t>Bloemfontein Justice Centre</w:t>
      </w:r>
      <w:r w:rsidR="000C00F4" w:rsidRPr="009E30DB">
        <w:rPr>
          <w:rFonts w:ascii="Arial" w:eastAsia="Arial" w:hAnsi="Arial" w:cs="Arial"/>
          <w:sz w:val="24"/>
          <w:szCs w:val="24"/>
        </w:rPr>
        <w:t>, Bloemfontein</w:t>
      </w:r>
    </w:p>
    <w:p w14:paraId="162A33F4" w14:textId="77777777" w:rsidR="00F3468C" w:rsidRPr="009E30DB" w:rsidRDefault="00F3468C" w:rsidP="001265A3">
      <w:pPr>
        <w:pStyle w:val="Normal1"/>
        <w:tabs>
          <w:tab w:val="left" w:pos="3686"/>
        </w:tabs>
        <w:spacing w:after="0" w:line="360" w:lineRule="auto"/>
        <w:jc w:val="both"/>
        <w:rPr>
          <w:rFonts w:ascii="Arial" w:eastAsia="Arial" w:hAnsi="Arial" w:cs="Arial"/>
          <w:sz w:val="24"/>
          <w:szCs w:val="24"/>
        </w:rPr>
      </w:pPr>
    </w:p>
    <w:p w14:paraId="6C17E0FE" w14:textId="3276AAB3" w:rsidR="00F3468C" w:rsidRPr="009E30DB" w:rsidRDefault="00F3468C" w:rsidP="001265A3">
      <w:pPr>
        <w:pStyle w:val="Normal1"/>
        <w:tabs>
          <w:tab w:val="left" w:pos="3686"/>
        </w:tabs>
        <w:spacing w:after="0" w:line="360" w:lineRule="auto"/>
        <w:jc w:val="both"/>
        <w:rPr>
          <w:rFonts w:ascii="Arial" w:eastAsia="Arial" w:hAnsi="Arial" w:cs="Arial"/>
          <w:sz w:val="24"/>
          <w:szCs w:val="24"/>
        </w:rPr>
      </w:pPr>
      <w:r w:rsidRPr="009E30DB">
        <w:rPr>
          <w:rFonts w:ascii="Arial" w:eastAsia="Arial" w:hAnsi="Arial" w:cs="Arial"/>
          <w:sz w:val="24"/>
          <w:szCs w:val="24"/>
        </w:rPr>
        <w:t>For the Respondent:</w:t>
      </w:r>
      <w:r w:rsidR="00485F0A" w:rsidRPr="009E30DB">
        <w:rPr>
          <w:rFonts w:ascii="Arial" w:eastAsia="Arial" w:hAnsi="Arial" w:cs="Arial"/>
          <w:sz w:val="24"/>
          <w:szCs w:val="24"/>
        </w:rPr>
        <w:tab/>
      </w:r>
      <w:r w:rsidR="004C505F">
        <w:rPr>
          <w:rFonts w:ascii="Arial" w:eastAsia="Arial" w:hAnsi="Arial" w:cs="Arial"/>
          <w:sz w:val="24"/>
          <w:szCs w:val="24"/>
        </w:rPr>
        <w:t xml:space="preserve">Heads of argument prepared by </w:t>
      </w:r>
      <w:r w:rsidR="00485F0A" w:rsidRPr="009E30DB">
        <w:rPr>
          <w:rFonts w:ascii="Arial" w:eastAsia="Arial" w:hAnsi="Arial" w:cs="Arial"/>
          <w:sz w:val="24"/>
          <w:szCs w:val="24"/>
        </w:rPr>
        <w:t>EHF Le Roux</w:t>
      </w:r>
    </w:p>
    <w:p w14:paraId="6B1F69CE" w14:textId="090BF292" w:rsidR="00F3468C" w:rsidRPr="009E30DB" w:rsidRDefault="00F3468C" w:rsidP="001265A3">
      <w:pPr>
        <w:pStyle w:val="Normal1"/>
        <w:tabs>
          <w:tab w:val="left" w:pos="3686"/>
        </w:tabs>
        <w:spacing w:after="0" w:line="360" w:lineRule="auto"/>
        <w:jc w:val="both"/>
        <w:rPr>
          <w:rFonts w:ascii="Arial" w:eastAsia="Arial" w:hAnsi="Arial" w:cs="Arial"/>
          <w:sz w:val="24"/>
          <w:szCs w:val="24"/>
        </w:rPr>
      </w:pPr>
      <w:r w:rsidRPr="009E30DB">
        <w:rPr>
          <w:rFonts w:ascii="Arial" w:eastAsia="Arial" w:hAnsi="Arial" w:cs="Arial"/>
          <w:sz w:val="24"/>
          <w:szCs w:val="24"/>
        </w:rPr>
        <w:t>Instructed by:</w:t>
      </w:r>
      <w:r w:rsidRPr="009E30DB">
        <w:rPr>
          <w:rFonts w:ascii="Arial" w:eastAsia="Arial" w:hAnsi="Arial" w:cs="Arial"/>
          <w:sz w:val="24"/>
          <w:szCs w:val="24"/>
        </w:rPr>
        <w:tab/>
        <w:t>The Director of Public Prosecution</w:t>
      </w:r>
      <w:r w:rsidR="00F6498A">
        <w:rPr>
          <w:rFonts w:ascii="Arial" w:eastAsia="Arial" w:hAnsi="Arial" w:cs="Arial"/>
          <w:sz w:val="24"/>
          <w:szCs w:val="24"/>
        </w:rPr>
        <w:t>s</w:t>
      </w:r>
      <w:r w:rsidRPr="009E30DB">
        <w:rPr>
          <w:rFonts w:ascii="Arial" w:eastAsia="Arial" w:hAnsi="Arial" w:cs="Arial"/>
          <w:sz w:val="24"/>
          <w:szCs w:val="24"/>
        </w:rPr>
        <w:t>, Johannesburg</w:t>
      </w:r>
    </w:p>
    <w:p w14:paraId="2F2AF5A7" w14:textId="77777777" w:rsidR="00F3468C" w:rsidRPr="001265A3" w:rsidRDefault="00F3468C" w:rsidP="001265A3">
      <w:pPr>
        <w:pStyle w:val="Normal1"/>
        <w:tabs>
          <w:tab w:val="left" w:pos="3686"/>
        </w:tabs>
        <w:spacing w:after="0" w:line="360" w:lineRule="auto"/>
        <w:jc w:val="both"/>
        <w:rPr>
          <w:rFonts w:ascii="Arial" w:eastAsia="Arial" w:hAnsi="Arial" w:cs="Arial"/>
          <w:sz w:val="24"/>
          <w:szCs w:val="24"/>
        </w:rPr>
      </w:pPr>
      <w:r w:rsidRPr="009E30DB">
        <w:rPr>
          <w:rFonts w:ascii="Arial" w:eastAsia="Arial" w:hAnsi="Arial" w:cs="Arial"/>
          <w:sz w:val="24"/>
          <w:szCs w:val="24"/>
        </w:rPr>
        <w:t xml:space="preserve">                                                       The Director of Public Prosecutions, Bloemfontein</w:t>
      </w:r>
      <w:r w:rsidRPr="001265A3">
        <w:rPr>
          <w:rFonts w:ascii="Arial" w:eastAsia="Arial" w:hAnsi="Arial" w:cs="Arial"/>
          <w:sz w:val="24"/>
          <w:szCs w:val="24"/>
        </w:rPr>
        <w:t xml:space="preserve"> </w:t>
      </w:r>
    </w:p>
    <w:p w14:paraId="1E1EDE36" w14:textId="77777777" w:rsidR="00A5323E" w:rsidRDefault="00A5323E"/>
    <w:sectPr w:rsidR="00A5323E" w:rsidSect="008E189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0BBB" w14:textId="77777777" w:rsidR="00A23119" w:rsidRDefault="00A23119" w:rsidP="00F3468C">
      <w:pPr>
        <w:spacing w:after="0" w:line="240" w:lineRule="auto"/>
      </w:pPr>
      <w:r>
        <w:separator/>
      </w:r>
    </w:p>
  </w:endnote>
  <w:endnote w:type="continuationSeparator" w:id="0">
    <w:p w14:paraId="7008A42C" w14:textId="77777777" w:rsidR="00A23119" w:rsidRDefault="00A23119" w:rsidP="00F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7C67" w14:textId="77777777" w:rsidR="00A23119" w:rsidRDefault="00A23119" w:rsidP="00F3468C">
      <w:pPr>
        <w:spacing w:after="0" w:line="240" w:lineRule="auto"/>
      </w:pPr>
      <w:r>
        <w:separator/>
      </w:r>
    </w:p>
  </w:footnote>
  <w:footnote w:type="continuationSeparator" w:id="0">
    <w:p w14:paraId="323DC755" w14:textId="77777777" w:rsidR="00A23119" w:rsidRDefault="00A23119" w:rsidP="00F3468C">
      <w:pPr>
        <w:spacing w:after="0" w:line="240" w:lineRule="auto"/>
      </w:pPr>
      <w:r>
        <w:continuationSeparator/>
      </w:r>
    </w:p>
  </w:footnote>
  <w:footnote w:id="1">
    <w:p w14:paraId="17B122DA" w14:textId="7660ADC1" w:rsidR="00E14A4B" w:rsidRPr="007168CE" w:rsidRDefault="00E14A4B" w:rsidP="002D471D">
      <w:pPr>
        <w:pStyle w:val="FootnoteText"/>
        <w:jc w:val="both"/>
        <w:rPr>
          <w:rFonts w:ascii="Arial" w:hAnsi="Arial" w:cs="Arial"/>
        </w:rPr>
      </w:pPr>
      <w:r w:rsidRPr="007168CE">
        <w:rPr>
          <w:rStyle w:val="FootnoteReference"/>
          <w:rFonts w:ascii="Arial" w:hAnsi="Arial" w:cs="Arial"/>
        </w:rPr>
        <w:footnoteRef/>
      </w:r>
      <w:r w:rsidRPr="007168CE">
        <w:rPr>
          <w:rFonts w:ascii="Arial" w:hAnsi="Arial" w:cs="Arial"/>
        </w:rPr>
        <w:t xml:space="preserve"> </w:t>
      </w:r>
      <w:r w:rsidR="00A730D8" w:rsidRPr="00292F48">
        <w:rPr>
          <w:rFonts w:ascii="Arial" w:hAnsi="Arial" w:cs="Arial"/>
          <w:i/>
        </w:rPr>
        <w:t>Smith v S</w:t>
      </w:r>
      <w:r w:rsidR="00A730D8" w:rsidRPr="00292F48">
        <w:rPr>
          <w:rFonts w:ascii="Arial" w:hAnsi="Arial" w:cs="Arial"/>
        </w:rPr>
        <w:t xml:space="preserve"> [2011] ZA</w:t>
      </w:r>
      <w:r w:rsidR="00A730D8">
        <w:rPr>
          <w:rFonts w:ascii="Arial" w:hAnsi="Arial" w:cs="Arial"/>
        </w:rPr>
        <w:t>SCA 15; 2012 (1) SACR 567 (SCA)</w:t>
      </w:r>
      <w:r w:rsidRPr="007168CE">
        <w:rPr>
          <w:rFonts w:ascii="Arial" w:hAnsi="Arial" w:cs="Arial"/>
          <w:color w:val="000000" w:themeColor="text1"/>
          <w:shd w:val="clear" w:color="auto" w:fill="FFFFFF"/>
        </w:rPr>
        <w:t xml:space="preserve"> </w:t>
      </w:r>
      <w:r w:rsidR="00750E7B">
        <w:rPr>
          <w:rFonts w:ascii="Arial" w:hAnsi="Arial" w:cs="Arial"/>
          <w:color w:val="000000" w:themeColor="text1"/>
          <w:shd w:val="clear" w:color="auto" w:fill="FFFFFF"/>
        </w:rPr>
        <w:t>(</w:t>
      </w:r>
      <w:r w:rsidR="00750E7B" w:rsidRPr="007936D8">
        <w:rPr>
          <w:rFonts w:ascii="Arial" w:hAnsi="Arial" w:cs="Arial"/>
          <w:i/>
          <w:iCs/>
          <w:color w:val="000000" w:themeColor="text1"/>
          <w:shd w:val="clear" w:color="auto" w:fill="FFFFFF"/>
        </w:rPr>
        <w:t>Smith</w:t>
      </w:r>
      <w:r w:rsidR="00750E7B">
        <w:rPr>
          <w:rFonts w:ascii="Arial" w:hAnsi="Arial" w:cs="Arial"/>
          <w:color w:val="000000" w:themeColor="text1"/>
          <w:shd w:val="clear" w:color="auto" w:fill="FFFFFF"/>
        </w:rPr>
        <w:t xml:space="preserve">) </w:t>
      </w:r>
      <w:r w:rsidRPr="007168CE">
        <w:rPr>
          <w:rFonts w:ascii="Arial" w:hAnsi="Arial" w:cs="Arial"/>
          <w:color w:val="000000" w:themeColor="text1"/>
          <w:shd w:val="clear" w:color="auto" w:fill="FFFFFF"/>
        </w:rPr>
        <w:t>para 2.</w:t>
      </w:r>
    </w:p>
  </w:footnote>
  <w:footnote w:id="2">
    <w:p w14:paraId="764D3E70" w14:textId="40262EE5" w:rsidR="00325C74" w:rsidRPr="00B3150D" w:rsidRDefault="00325C74" w:rsidP="009E30DB">
      <w:pPr>
        <w:pStyle w:val="FootnoteText"/>
        <w:jc w:val="both"/>
        <w:rPr>
          <w:rFonts w:ascii="Arial" w:hAnsi="Arial" w:cs="Arial"/>
        </w:rPr>
      </w:pPr>
      <w:r w:rsidRPr="009E30DB">
        <w:rPr>
          <w:rStyle w:val="FootnoteReference"/>
          <w:rFonts w:ascii="Arial" w:hAnsi="Arial" w:cs="Arial"/>
        </w:rPr>
        <w:footnoteRef/>
      </w:r>
      <w:r w:rsidRPr="009E30DB">
        <w:rPr>
          <w:rFonts w:ascii="Arial" w:hAnsi="Arial" w:cs="Arial"/>
        </w:rPr>
        <w:t xml:space="preserve"> </w:t>
      </w:r>
      <w:r w:rsidR="00514AC8">
        <w:rPr>
          <w:rFonts w:ascii="Arial" w:hAnsi="Arial" w:cs="Arial"/>
        </w:rPr>
        <w:t xml:space="preserve">Ibid para 3, citing </w:t>
      </w:r>
      <w:r w:rsidR="00A730D8" w:rsidRPr="00292F48">
        <w:rPr>
          <w:rFonts w:ascii="Arial" w:hAnsi="Arial" w:cs="Arial"/>
          <w:i/>
          <w:color w:val="000000" w:themeColor="text1"/>
          <w:shd w:val="clear" w:color="auto" w:fill="FFFFFF"/>
        </w:rPr>
        <w:t xml:space="preserve">S v Matshona </w:t>
      </w:r>
      <w:r w:rsidR="00A730D8" w:rsidRPr="00292F48">
        <w:rPr>
          <w:rFonts w:ascii="Arial" w:hAnsi="Arial" w:cs="Arial"/>
          <w:color w:val="000000" w:themeColor="text1"/>
          <w:shd w:val="clear" w:color="auto" w:fill="FFFFFF"/>
        </w:rPr>
        <w:t>[2008] ZASCA 58; [2008] 4 All SA 68 (SCA); 2013 (2) SACR 126 (S</w:t>
      </w:r>
      <w:r w:rsidR="0051204E">
        <w:rPr>
          <w:rFonts w:ascii="Arial" w:hAnsi="Arial" w:cs="Arial"/>
          <w:color w:val="000000" w:themeColor="text1"/>
          <w:shd w:val="clear" w:color="auto" w:fill="FFFFFF"/>
        </w:rPr>
        <w:t>CA)</w:t>
      </w:r>
      <w:r w:rsidR="00A730D8" w:rsidRPr="00B3150D">
        <w:rPr>
          <w:rFonts w:ascii="Arial" w:hAnsi="Arial" w:cs="Arial"/>
          <w:color w:val="000000" w:themeColor="text1"/>
          <w:shd w:val="clear" w:color="auto" w:fill="FFFFFF"/>
        </w:rPr>
        <w:t xml:space="preserve"> </w:t>
      </w:r>
      <w:r w:rsidR="00607ED1">
        <w:rPr>
          <w:rFonts w:ascii="Arial" w:hAnsi="Arial" w:cs="Arial"/>
          <w:color w:val="000000" w:themeColor="text1"/>
          <w:shd w:val="clear" w:color="auto" w:fill="FFFFFF"/>
        </w:rPr>
        <w:t>(</w:t>
      </w:r>
      <w:r w:rsidR="00607ED1" w:rsidRPr="007936D8">
        <w:rPr>
          <w:rFonts w:ascii="Arial" w:hAnsi="Arial" w:cs="Arial"/>
          <w:i/>
          <w:iCs/>
          <w:color w:val="000000" w:themeColor="text1"/>
          <w:shd w:val="clear" w:color="auto" w:fill="FFFFFF"/>
        </w:rPr>
        <w:t>Matshona</w:t>
      </w:r>
      <w:r w:rsidR="00607ED1">
        <w:rPr>
          <w:rFonts w:ascii="Arial" w:hAnsi="Arial" w:cs="Arial"/>
          <w:color w:val="000000" w:themeColor="text1"/>
          <w:shd w:val="clear" w:color="auto" w:fill="FFFFFF"/>
        </w:rPr>
        <w:t xml:space="preserve">) </w:t>
      </w:r>
      <w:r w:rsidR="00A730D8" w:rsidRPr="00B3150D">
        <w:rPr>
          <w:rFonts w:ascii="Arial" w:hAnsi="Arial" w:cs="Arial"/>
          <w:color w:val="000000" w:themeColor="text1"/>
          <w:shd w:val="clear" w:color="auto" w:fill="FFFFFF"/>
        </w:rPr>
        <w:t xml:space="preserve">para </w:t>
      </w:r>
      <w:r w:rsidRPr="00B3150D">
        <w:rPr>
          <w:rFonts w:ascii="Arial" w:hAnsi="Arial" w:cs="Arial"/>
        </w:rPr>
        <w:t>8.</w:t>
      </w:r>
    </w:p>
  </w:footnote>
  <w:footnote w:id="3">
    <w:p w14:paraId="7ED08CB0" w14:textId="1FB78002" w:rsidR="00B3150D" w:rsidRPr="007936D8" w:rsidRDefault="00B3150D">
      <w:pPr>
        <w:pStyle w:val="FootnoteText"/>
        <w:rPr>
          <w:rFonts w:ascii="Arial" w:hAnsi="Arial" w:cs="Arial"/>
        </w:rPr>
      </w:pPr>
      <w:r w:rsidRPr="007936D8">
        <w:rPr>
          <w:rStyle w:val="FootnoteReference"/>
          <w:rFonts w:ascii="Arial" w:hAnsi="Arial" w:cs="Arial"/>
        </w:rPr>
        <w:footnoteRef/>
      </w:r>
      <w:r w:rsidRPr="007936D8">
        <w:rPr>
          <w:rFonts w:ascii="Arial" w:hAnsi="Arial" w:cs="Arial"/>
        </w:rPr>
        <w:t xml:space="preserve"> </w:t>
      </w:r>
      <w:r w:rsidRPr="007936D8">
        <w:rPr>
          <w:rFonts w:ascii="Arial" w:hAnsi="Arial" w:cs="Arial"/>
          <w:i/>
          <w:iCs/>
        </w:rPr>
        <w:t xml:space="preserve">Radebe and Another </w:t>
      </w:r>
      <w:proofErr w:type="gramStart"/>
      <w:r w:rsidRPr="007936D8">
        <w:rPr>
          <w:rFonts w:ascii="Arial" w:hAnsi="Arial" w:cs="Arial"/>
          <w:i/>
          <w:iCs/>
        </w:rPr>
        <w:t>v</w:t>
      </w:r>
      <w:proofErr w:type="gramEnd"/>
      <w:r w:rsidRPr="007936D8">
        <w:rPr>
          <w:rFonts w:ascii="Arial" w:hAnsi="Arial" w:cs="Arial"/>
          <w:i/>
          <w:iCs/>
        </w:rPr>
        <w:t xml:space="preserve"> S</w:t>
      </w:r>
      <w:r w:rsidRPr="007936D8">
        <w:rPr>
          <w:rFonts w:ascii="Arial" w:hAnsi="Arial" w:cs="Arial"/>
        </w:rPr>
        <w:t xml:space="preserve"> [2013] ZASCA 31; 2013 (2) SACR 165 (SCA).</w:t>
      </w:r>
    </w:p>
  </w:footnote>
  <w:footnote w:id="4">
    <w:p w14:paraId="0C6132F2" w14:textId="32D17EE8" w:rsidR="00C9697E" w:rsidRPr="009E30DB" w:rsidRDefault="00C9697E" w:rsidP="009E30DB">
      <w:pPr>
        <w:pStyle w:val="FootnoteText"/>
        <w:jc w:val="both"/>
        <w:rPr>
          <w:rFonts w:ascii="Arial" w:hAnsi="Arial" w:cs="Arial"/>
        </w:rPr>
      </w:pPr>
      <w:r w:rsidRPr="00B3150D">
        <w:rPr>
          <w:rStyle w:val="FootnoteReference"/>
          <w:rFonts w:ascii="Arial" w:hAnsi="Arial" w:cs="Arial"/>
        </w:rPr>
        <w:footnoteRef/>
      </w:r>
      <w:r w:rsidRPr="00B3150D">
        <w:rPr>
          <w:rFonts w:ascii="Arial" w:hAnsi="Arial" w:cs="Arial"/>
        </w:rPr>
        <w:t xml:space="preserve"> </w:t>
      </w:r>
      <w:r w:rsidR="00B3150D" w:rsidRPr="007936D8">
        <w:rPr>
          <w:rFonts w:ascii="Arial" w:hAnsi="Arial" w:cs="Arial"/>
          <w:iCs/>
        </w:rPr>
        <w:t>Ibid</w:t>
      </w:r>
      <w:r w:rsidR="00A730D8" w:rsidRPr="00292F48">
        <w:rPr>
          <w:rFonts w:ascii="Arial" w:hAnsi="Arial" w:cs="Arial"/>
        </w:rPr>
        <w:t xml:space="preserve"> </w:t>
      </w:r>
      <w:r w:rsidR="00A730D8">
        <w:rPr>
          <w:rFonts w:ascii="Arial" w:hAnsi="Arial" w:cs="Arial"/>
        </w:rPr>
        <w:t>para 14</w:t>
      </w:r>
      <w:r w:rsidRPr="009E30DB">
        <w:rPr>
          <w:rFonts w:ascii="Arial" w:hAnsi="Arial" w:cs="Arial"/>
        </w:rPr>
        <w:t>.</w:t>
      </w:r>
    </w:p>
  </w:footnote>
  <w:footnote w:id="5">
    <w:p w14:paraId="07EC2E48" w14:textId="614C1E22" w:rsidR="006F246A" w:rsidRPr="009E30DB" w:rsidRDefault="006F246A" w:rsidP="00EF2D60">
      <w:pPr>
        <w:pStyle w:val="FootnoteText"/>
        <w:jc w:val="both"/>
        <w:rPr>
          <w:rFonts w:ascii="Arial" w:hAnsi="Arial" w:cs="Arial"/>
          <w:color w:val="000000" w:themeColor="text1"/>
        </w:rPr>
      </w:pPr>
      <w:r w:rsidRPr="009E30DB">
        <w:rPr>
          <w:rStyle w:val="FootnoteReference"/>
          <w:rFonts w:ascii="Arial" w:hAnsi="Arial" w:cs="Arial"/>
        </w:rPr>
        <w:footnoteRef/>
      </w:r>
      <w:r w:rsidRPr="009E30DB">
        <w:rPr>
          <w:rFonts w:ascii="Arial" w:hAnsi="Arial" w:cs="Arial"/>
        </w:rPr>
        <w:t xml:space="preserve"> </w:t>
      </w:r>
      <w:r w:rsidR="00750E7B" w:rsidRPr="007936D8">
        <w:rPr>
          <w:rFonts w:ascii="Arial" w:hAnsi="Arial" w:cs="Arial"/>
          <w:i/>
          <w:iCs/>
        </w:rPr>
        <w:t>Smith</w:t>
      </w:r>
      <w:r w:rsidR="00A730D8" w:rsidRPr="00292F48">
        <w:rPr>
          <w:rFonts w:ascii="Arial" w:hAnsi="Arial" w:cs="Arial"/>
        </w:rPr>
        <w:t xml:space="preserve"> </w:t>
      </w:r>
      <w:r w:rsidR="00A730D8" w:rsidRPr="00292F48">
        <w:rPr>
          <w:rFonts w:ascii="Arial" w:hAnsi="Arial" w:cs="Arial"/>
          <w:color w:val="000000" w:themeColor="text1"/>
          <w:shd w:val="clear" w:color="auto" w:fill="FFFFFF"/>
        </w:rPr>
        <w:t xml:space="preserve">paras 2-3; </w:t>
      </w:r>
      <w:r w:rsidR="00A730D8" w:rsidRPr="00292F48">
        <w:rPr>
          <w:rFonts w:ascii="Arial" w:hAnsi="Arial" w:cs="Arial"/>
          <w:i/>
          <w:color w:val="000000" w:themeColor="text1"/>
          <w:shd w:val="clear" w:color="auto" w:fill="FFFFFF"/>
        </w:rPr>
        <w:t>Matshona</w:t>
      </w:r>
      <w:r w:rsidR="00A730D8">
        <w:rPr>
          <w:rFonts w:ascii="Arial" w:hAnsi="Arial" w:cs="Arial"/>
          <w:color w:val="000000" w:themeColor="text1"/>
          <w:shd w:val="clear" w:color="auto" w:fill="FFFFFF"/>
        </w:rPr>
        <w:t xml:space="preserve"> para </w:t>
      </w:r>
      <w:r w:rsidR="008828EF" w:rsidRPr="009E30DB">
        <w:rPr>
          <w:rFonts w:ascii="Arial" w:hAnsi="Arial" w:cs="Arial"/>
          <w:color w:val="000000" w:themeColor="text1"/>
          <w:shd w:val="clear" w:color="auto" w:fill="FFFFFF"/>
        </w:rPr>
        <w:t>8</w:t>
      </w:r>
      <w:r w:rsidRPr="009E30DB">
        <w:rPr>
          <w:rFonts w:ascii="Arial" w:hAnsi="Arial" w:cs="Arial"/>
          <w:color w:val="000000" w:themeColor="text1"/>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380533"/>
      <w:docPartObj>
        <w:docPartGallery w:val="Page Numbers (Top of Page)"/>
        <w:docPartUnique/>
      </w:docPartObj>
    </w:sdtPr>
    <w:sdtEndPr>
      <w:rPr>
        <w:noProof/>
      </w:rPr>
    </w:sdtEndPr>
    <w:sdtContent>
      <w:p w14:paraId="4B9B3245" w14:textId="6549E9C9" w:rsidR="008E1893" w:rsidRDefault="008E1893">
        <w:pPr>
          <w:pStyle w:val="Header"/>
          <w:jc w:val="right"/>
        </w:pPr>
        <w:r>
          <w:fldChar w:fldCharType="begin"/>
        </w:r>
        <w:r>
          <w:instrText xml:space="preserve"> PAGE   \* MERGEFORMAT </w:instrText>
        </w:r>
        <w:r>
          <w:fldChar w:fldCharType="separate"/>
        </w:r>
        <w:r w:rsidR="00FE6D11">
          <w:rPr>
            <w:noProof/>
          </w:rPr>
          <w:t>7</w:t>
        </w:r>
        <w:r>
          <w:rPr>
            <w:noProof/>
          </w:rPr>
          <w:fldChar w:fldCharType="end"/>
        </w:r>
      </w:p>
    </w:sdtContent>
  </w:sdt>
  <w:p w14:paraId="2DFB28DF" w14:textId="77777777" w:rsidR="00891F36" w:rsidRDefault="00891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47C5"/>
    <w:multiLevelType w:val="hybridMultilevel"/>
    <w:tmpl w:val="8E34E30A"/>
    <w:lvl w:ilvl="0" w:tplc="2A42A84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C9E45C9"/>
    <w:multiLevelType w:val="hybridMultilevel"/>
    <w:tmpl w:val="96328954"/>
    <w:lvl w:ilvl="0" w:tplc="15A82E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4C93741E"/>
    <w:multiLevelType w:val="hybridMultilevel"/>
    <w:tmpl w:val="4CEA041A"/>
    <w:lvl w:ilvl="0" w:tplc="0896D4DA">
      <w:start w:val="1"/>
      <w:numFmt w:val="lowerLetter"/>
      <w:lvlText w:val="(%1)"/>
      <w:lvlJc w:val="left"/>
      <w:pPr>
        <w:ind w:left="360"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3" w15:restartNumberingAfterBreak="0">
    <w:nsid w:val="6E894C20"/>
    <w:multiLevelType w:val="hybridMultilevel"/>
    <w:tmpl w:val="4B6E0F88"/>
    <w:lvl w:ilvl="0" w:tplc="4EA47C20">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2724F66"/>
    <w:multiLevelType w:val="hybridMultilevel"/>
    <w:tmpl w:val="114258C8"/>
    <w:lvl w:ilvl="0" w:tplc="1E4837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4717103"/>
    <w:multiLevelType w:val="multilevel"/>
    <w:tmpl w:val="BB1C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8C"/>
    <w:rsid w:val="000013A8"/>
    <w:rsid w:val="00001555"/>
    <w:rsid w:val="00002FEF"/>
    <w:rsid w:val="000065A0"/>
    <w:rsid w:val="0001009B"/>
    <w:rsid w:val="00010E5F"/>
    <w:rsid w:val="00024437"/>
    <w:rsid w:val="00027F70"/>
    <w:rsid w:val="0003001E"/>
    <w:rsid w:val="00032A91"/>
    <w:rsid w:val="000355AA"/>
    <w:rsid w:val="00037979"/>
    <w:rsid w:val="0004158D"/>
    <w:rsid w:val="000419CE"/>
    <w:rsid w:val="00041E36"/>
    <w:rsid w:val="000424BC"/>
    <w:rsid w:val="000527F1"/>
    <w:rsid w:val="00060479"/>
    <w:rsid w:val="00066267"/>
    <w:rsid w:val="00073CFA"/>
    <w:rsid w:val="000855DB"/>
    <w:rsid w:val="00095BF6"/>
    <w:rsid w:val="00097E4C"/>
    <w:rsid w:val="000A1740"/>
    <w:rsid w:val="000A4BF6"/>
    <w:rsid w:val="000B3A2E"/>
    <w:rsid w:val="000B7829"/>
    <w:rsid w:val="000C00F4"/>
    <w:rsid w:val="000C02DC"/>
    <w:rsid w:val="000C2F3F"/>
    <w:rsid w:val="000C6A5F"/>
    <w:rsid w:val="000C79A3"/>
    <w:rsid w:val="000D03A6"/>
    <w:rsid w:val="000D39EC"/>
    <w:rsid w:val="000D505B"/>
    <w:rsid w:val="000D59C8"/>
    <w:rsid w:val="000E64F7"/>
    <w:rsid w:val="000E7BBA"/>
    <w:rsid w:val="000F4F6C"/>
    <w:rsid w:val="00101AD6"/>
    <w:rsid w:val="001125A1"/>
    <w:rsid w:val="00122E94"/>
    <w:rsid w:val="001265A3"/>
    <w:rsid w:val="00126817"/>
    <w:rsid w:val="00130653"/>
    <w:rsid w:val="001417AF"/>
    <w:rsid w:val="001428CB"/>
    <w:rsid w:val="00147F03"/>
    <w:rsid w:val="001513DF"/>
    <w:rsid w:val="00153883"/>
    <w:rsid w:val="00155120"/>
    <w:rsid w:val="00171EE6"/>
    <w:rsid w:val="0017524C"/>
    <w:rsid w:val="00180CFA"/>
    <w:rsid w:val="00196316"/>
    <w:rsid w:val="0019739D"/>
    <w:rsid w:val="001C4E40"/>
    <w:rsid w:val="001C7A33"/>
    <w:rsid w:val="001D24B1"/>
    <w:rsid w:val="001E7602"/>
    <w:rsid w:val="001F04CA"/>
    <w:rsid w:val="001F6E62"/>
    <w:rsid w:val="001F7D67"/>
    <w:rsid w:val="00202EE4"/>
    <w:rsid w:val="002079B8"/>
    <w:rsid w:val="00207E67"/>
    <w:rsid w:val="00216BD1"/>
    <w:rsid w:val="002218E6"/>
    <w:rsid w:val="00234995"/>
    <w:rsid w:val="00240FF6"/>
    <w:rsid w:val="002462D2"/>
    <w:rsid w:val="002467D5"/>
    <w:rsid w:val="002529F4"/>
    <w:rsid w:val="002568BD"/>
    <w:rsid w:val="002628F3"/>
    <w:rsid w:val="00267F42"/>
    <w:rsid w:val="00275E81"/>
    <w:rsid w:val="0027795E"/>
    <w:rsid w:val="002802EF"/>
    <w:rsid w:val="00280A6C"/>
    <w:rsid w:val="00290F24"/>
    <w:rsid w:val="0029408D"/>
    <w:rsid w:val="002B67DB"/>
    <w:rsid w:val="002C2A31"/>
    <w:rsid w:val="002C53A4"/>
    <w:rsid w:val="002C5FC8"/>
    <w:rsid w:val="002D03E9"/>
    <w:rsid w:val="002D15B5"/>
    <w:rsid w:val="002D471D"/>
    <w:rsid w:val="002D4C7F"/>
    <w:rsid w:val="002D55CD"/>
    <w:rsid w:val="002E41CC"/>
    <w:rsid w:val="002E5DF3"/>
    <w:rsid w:val="0030374D"/>
    <w:rsid w:val="00305A5C"/>
    <w:rsid w:val="0030660D"/>
    <w:rsid w:val="00306D06"/>
    <w:rsid w:val="00317781"/>
    <w:rsid w:val="00325C74"/>
    <w:rsid w:val="00334416"/>
    <w:rsid w:val="00336788"/>
    <w:rsid w:val="003426B7"/>
    <w:rsid w:val="0034459C"/>
    <w:rsid w:val="00344AAF"/>
    <w:rsid w:val="0035525A"/>
    <w:rsid w:val="0035643A"/>
    <w:rsid w:val="00370B1C"/>
    <w:rsid w:val="00370D36"/>
    <w:rsid w:val="00372F2F"/>
    <w:rsid w:val="003731AA"/>
    <w:rsid w:val="0037746D"/>
    <w:rsid w:val="003853B1"/>
    <w:rsid w:val="003A7C03"/>
    <w:rsid w:val="003B27CA"/>
    <w:rsid w:val="003B452E"/>
    <w:rsid w:val="003C164F"/>
    <w:rsid w:val="003D2050"/>
    <w:rsid w:val="003D235D"/>
    <w:rsid w:val="003D2676"/>
    <w:rsid w:val="003D7B3C"/>
    <w:rsid w:val="003E371F"/>
    <w:rsid w:val="003F0200"/>
    <w:rsid w:val="003F04D1"/>
    <w:rsid w:val="003F34BB"/>
    <w:rsid w:val="003F594D"/>
    <w:rsid w:val="00405530"/>
    <w:rsid w:val="00423319"/>
    <w:rsid w:val="00433E79"/>
    <w:rsid w:val="00435955"/>
    <w:rsid w:val="00435CD8"/>
    <w:rsid w:val="004424C9"/>
    <w:rsid w:val="004531F5"/>
    <w:rsid w:val="00454B39"/>
    <w:rsid w:val="00456FE2"/>
    <w:rsid w:val="00464891"/>
    <w:rsid w:val="00467C9B"/>
    <w:rsid w:val="0047423A"/>
    <w:rsid w:val="004766AD"/>
    <w:rsid w:val="0048375C"/>
    <w:rsid w:val="00485F0A"/>
    <w:rsid w:val="00485F87"/>
    <w:rsid w:val="00491B4D"/>
    <w:rsid w:val="00493A58"/>
    <w:rsid w:val="00495B71"/>
    <w:rsid w:val="004A1D94"/>
    <w:rsid w:val="004A41DF"/>
    <w:rsid w:val="004A717B"/>
    <w:rsid w:val="004B0C2B"/>
    <w:rsid w:val="004B7173"/>
    <w:rsid w:val="004B72D5"/>
    <w:rsid w:val="004C505F"/>
    <w:rsid w:val="004D267D"/>
    <w:rsid w:val="004D4778"/>
    <w:rsid w:val="004F3769"/>
    <w:rsid w:val="00506F63"/>
    <w:rsid w:val="0051204E"/>
    <w:rsid w:val="00514AC8"/>
    <w:rsid w:val="005157D4"/>
    <w:rsid w:val="00525426"/>
    <w:rsid w:val="00526123"/>
    <w:rsid w:val="00555CE8"/>
    <w:rsid w:val="0056506C"/>
    <w:rsid w:val="00566A3B"/>
    <w:rsid w:val="005817CF"/>
    <w:rsid w:val="0058417A"/>
    <w:rsid w:val="0058695D"/>
    <w:rsid w:val="00595B68"/>
    <w:rsid w:val="00597940"/>
    <w:rsid w:val="00597FF7"/>
    <w:rsid w:val="005A0AA0"/>
    <w:rsid w:val="005B1F40"/>
    <w:rsid w:val="005C121B"/>
    <w:rsid w:val="005D29E1"/>
    <w:rsid w:val="005D4BA9"/>
    <w:rsid w:val="005E5B0A"/>
    <w:rsid w:val="005F43FB"/>
    <w:rsid w:val="005F46D2"/>
    <w:rsid w:val="005F6B65"/>
    <w:rsid w:val="005F6E2B"/>
    <w:rsid w:val="005F6EF7"/>
    <w:rsid w:val="00602DC7"/>
    <w:rsid w:val="00603D33"/>
    <w:rsid w:val="00607ED1"/>
    <w:rsid w:val="0061012F"/>
    <w:rsid w:val="00615476"/>
    <w:rsid w:val="00624AA2"/>
    <w:rsid w:val="00632516"/>
    <w:rsid w:val="00635B11"/>
    <w:rsid w:val="006366C4"/>
    <w:rsid w:val="00636DB5"/>
    <w:rsid w:val="00637286"/>
    <w:rsid w:val="0064093E"/>
    <w:rsid w:val="006414E7"/>
    <w:rsid w:val="0064283C"/>
    <w:rsid w:val="00643ED2"/>
    <w:rsid w:val="0064626A"/>
    <w:rsid w:val="00667BCC"/>
    <w:rsid w:val="00673253"/>
    <w:rsid w:val="00674B9F"/>
    <w:rsid w:val="00675BF2"/>
    <w:rsid w:val="00676B4A"/>
    <w:rsid w:val="00684291"/>
    <w:rsid w:val="00685629"/>
    <w:rsid w:val="00685D06"/>
    <w:rsid w:val="006960C3"/>
    <w:rsid w:val="00696F10"/>
    <w:rsid w:val="006A59B3"/>
    <w:rsid w:val="006B2316"/>
    <w:rsid w:val="006B507E"/>
    <w:rsid w:val="006C2C90"/>
    <w:rsid w:val="006C3654"/>
    <w:rsid w:val="006D11B8"/>
    <w:rsid w:val="006D18D0"/>
    <w:rsid w:val="006D6E18"/>
    <w:rsid w:val="006E142B"/>
    <w:rsid w:val="006E6AA9"/>
    <w:rsid w:val="006F246A"/>
    <w:rsid w:val="006F5884"/>
    <w:rsid w:val="006F5F3B"/>
    <w:rsid w:val="006F623E"/>
    <w:rsid w:val="0071040D"/>
    <w:rsid w:val="00715A23"/>
    <w:rsid w:val="007168CE"/>
    <w:rsid w:val="00717D2D"/>
    <w:rsid w:val="00726BE7"/>
    <w:rsid w:val="00736063"/>
    <w:rsid w:val="00742253"/>
    <w:rsid w:val="00745A18"/>
    <w:rsid w:val="00750E7B"/>
    <w:rsid w:val="00752424"/>
    <w:rsid w:val="0075726F"/>
    <w:rsid w:val="007620CF"/>
    <w:rsid w:val="00762595"/>
    <w:rsid w:val="00770CCC"/>
    <w:rsid w:val="00773665"/>
    <w:rsid w:val="00775730"/>
    <w:rsid w:val="0077582D"/>
    <w:rsid w:val="00776A88"/>
    <w:rsid w:val="00777556"/>
    <w:rsid w:val="007828DE"/>
    <w:rsid w:val="007863FD"/>
    <w:rsid w:val="007865D8"/>
    <w:rsid w:val="00787589"/>
    <w:rsid w:val="007936D8"/>
    <w:rsid w:val="0079589B"/>
    <w:rsid w:val="007972D8"/>
    <w:rsid w:val="007A7EEC"/>
    <w:rsid w:val="007B04EA"/>
    <w:rsid w:val="007B160A"/>
    <w:rsid w:val="007B2A1D"/>
    <w:rsid w:val="007B4567"/>
    <w:rsid w:val="007B64E0"/>
    <w:rsid w:val="007C0734"/>
    <w:rsid w:val="007D3772"/>
    <w:rsid w:val="007E3F34"/>
    <w:rsid w:val="007E7E18"/>
    <w:rsid w:val="007F42F2"/>
    <w:rsid w:val="00801D71"/>
    <w:rsid w:val="00806695"/>
    <w:rsid w:val="008128B7"/>
    <w:rsid w:val="00816CB5"/>
    <w:rsid w:val="00832783"/>
    <w:rsid w:val="00832A7E"/>
    <w:rsid w:val="00832DF8"/>
    <w:rsid w:val="008365FC"/>
    <w:rsid w:val="00855FE7"/>
    <w:rsid w:val="00860E92"/>
    <w:rsid w:val="00866CEC"/>
    <w:rsid w:val="00871602"/>
    <w:rsid w:val="00874327"/>
    <w:rsid w:val="00882507"/>
    <w:rsid w:val="008828EF"/>
    <w:rsid w:val="0088676D"/>
    <w:rsid w:val="00891507"/>
    <w:rsid w:val="00891F36"/>
    <w:rsid w:val="00893190"/>
    <w:rsid w:val="0089742C"/>
    <w:rsid w:val="008A1758"/>
    <w:rsid w:val="008A18BE"/>
    <w:rsid w:val="008B02F0"/>
    <w:rsid w:val="008B0EC0"/>
    <w:rsid w:val="008C0AA3"/>
    <w:rsid w:val="008C1434"/>
    <w:rsid w:val="008C4AF9"/>
    <w:rsid w:val="008D037A"/>
    <w:rsid w:val="008D53E8"/>
    <w:rsid w:val="008D645B"/>
    <w:rsid w:val="008E1893"/>
    <w:rsid w:val="008E2897"/>
    <w:rsid w:val="008E33A3"/>
    <w:rsid w:val="008F6C14"/>
    <w:rsid w:val="009049E1"/>
    <w:rsid w:val="00923B42"/>
    <w:rsid w:val="0092768A"/>
    <w:rsid w:val="0093220B"/>
    <w:rsid w:val="009363BF"/>
    <w:rsid w:val="00942345"/>
    <w:rsid w:val="00942D0C"/>
    <w:rsid w:val="00946CF7"/>
    <w:rsid w:val="00947221"/>
    <w:rsid w:val="00951E90"/>
    <w:rsid w:val="00952CF7"/>
    <w:rsid w:val="0095354A"/>
    <w:rsid w:val="00960537"/>
    <w:rsid w:val="009613D7"/>
    <w:rsid w:val="0096684B"/>
    <w:rsid w:val="009713F0"/>
    <w:rsid w:val="00976C7F"/>
    <w:rsid w:val="00980CDC"/>
    <w:rsid w:val="0098426B"/>
    <w:rsid w:val="009875CB"/>
    <w:rsid w:val="009925DD"/>
    <w:rsid w:val="00995AA1"/>
    <w:rsid w:val="0099774C"/>
    <w:rsid w:val="009A0700"/>
    <w:rsid w:val="009B495C"/>
    <w:rsid w:val="009C1A92"/>
    <w:rsid w:val="009C37B5"/>
    <w:rsid w:val="009C497F"/>
    <w:rsid w:val="009D0C2B"/>
    <w:rsid w:val="009D4AB5"/>
    <w:rsid w:val="009D4C43"/>
    <w:rsid w:val="009D5104"/>
    <w:rsid w:val="009D6F13"/>
    <w:rsid w:val="009E30DB"/>
    <w:rsid w:val="009E61B3"/>
    <w:rsid w:val="009E66BE"/>
    <w:rsid w:val="009F44A4"/>
    <w:rsid w:val="00A0098D"/>
    <w:rsid w:val="00A030CC"/>
    <w:rsid w:val="00A069F8"/>
    <w:rsid w:val="00A15117"/>
    <w:rsid w:val="00A20355"/>
    <w:rsid w:val="00A21833"/>
    <w:rsid w:val="00A23119"/>
    <w:rsid w:val="00A24151"/>
    <w:rsid w:val="00A2690E"/>
    <w:rsid w:val="00A26BE1"/>
    <w:rsid w:val="00A26CD4"/>
    <w:rsid w:val="00A30958"/>
    <w:rsid w:val="00A4484E"/>
    <w:rsid w:val="00A5323E"/>
    <w:rsid w:val="00A53B51"/>
    <w:rsid w:val="00A64C45"/>
    <w:rsid w:val="00A730D8"/>
    <w:rsid w:val="00A8686A"/>
    <w:rsid w:val="00A94A2C"/>
    <w:rsid w:val="00AB39A1"/>
    <w:rsid w:val="00AB3C91"/>
    <w:rsid w:val="00AB6D84"/>
    <w:rsid w:val="00AC498D"/>
    <w:rsid w:val="00AC5435"/>
    <w:rsid w:val="00AF6FE3"/>
    <w:rsid w:val="00B076AC"/>
    <w:rsid w:val="00B20076"/>
    <w:rsid w:val="00B25399"/>
    <w:rsid w:val="00B3150D"/>
    <w:rsid w:val="00B35324"/>
    <w:rsid w:val="00B36EBE"/>
    <w:rsid w:val="00B53AF3"/>
    <w:rsid w:val="00B55D11"/>
    <w:rsid w:val="00B56C14"/>
    <w:rsid w:val="00B60064"/>
    <w:rsid w:val="00B62155"/>
    <w:rsid w:val="00B71B78"/>
    <w:rsid w:val="00B71CC6"/>
    <w:rsid w:val="00B73ABD"/>
    <w:rsid w:val="00B80D8C"/>
    <w:rsid w:val="00B8145F"/>
    <w:rsid w:val="00B86FD3"/>
    <w:rsid w:val="00B94988"/>
    <w:rsid w:val="00B95B5B"/>
    <w:rsid w:val="00BA6E95"/>
    <w:rsid w:val="00BD5226"/>
    <w:rsid w:val="00BD6C8D"/>
    <w:rsid w:val="00C129C3"/>
    <w:rsid w:val="00C275B0"/>
    <w:rsid w:val="00C304E8"/>
    <w:rsid w:val="00C35F5B"/>
    <w:rsid w:val="00C37DD3"/>
    <w:rsid w:val="00C43A66"/>
    <w:rsid w:val="00C54CAE"/>
    <w:rsid w:val="00C67520"/>
    <w:rsid w:val="00C710E7"/>
    <w:rsid w:val="00C74047"/>
    <w:rsid w:val="00C82EA3"/>
    <w:rsid w:val="00C86CAA"/>
    <w:rsid w:val="00C8741A"/>
    <w:rsid w:val="00C9658B"/>
    <w:rsid w:val="00C9697E"/>
    <w:rsid w:val="00C97455"/>
    <w:rsid w:val="00C9779A"/>
    <w:rsid w:val="00CA0C79"/>
    <w:rsid w:val="00CA1979"/>
    <w:rsid w:val="00CA227C"/>
    <w:rsid w:val="00CA3EF4"/>
    <w:rsid w:val="00CA7A3D"/>
    <w:rsid w:val="00CB0746"/>
    <w:rsid w:val="00CB3681"/>
    <w:rsid w:val="00CC586C"/>
    <w:rsid w:val="00CD5903"/>
    <w:rsid w:val="00CE1C34"/>
    <w:rsid w:val="00CE67D4"/>
    <w:rsid w:val="00CE77FF"/>
    <w:rsid w:val="00CF099C"/>
    <w:rsid w:val="00CF218F"/>
    <w:rsid w:val="00D013CC"/>
    <w:rsid w:val="00D03112"/>
    <w:rsid w:val="00D050A8"/>
    <w:rsid w:val="00D05665"/>
    <w:rsid w:val="00D15415"/>
    <w:rsid w:val="00D2149E"/>
    <w:rsid w:val="00D2161A"/>
    <w:rsid w:val="00D217D8"/>
    <w:rsid w:val="00D2224A"/>
    <w:rsid w:val="00D40117"/>
    <w:rsid w:val="00D40A21"/>
    <w:rsid w:val="00D53735"/>
    <w:rsid w:val="00D63793"/>
    <w:rsid w:val="00D7290F"/>
    <w:rsid w:val="00D72F38"/>
    <w:rsid w:val="00D75B70"/>
    <w:rsid w:val="00D76BE3"/>
    <w:rsid w:val="00D85D9F"/>
    <w:rsid w:val="00D93C8F"/>
    <w:rsid w:val="00D944E2"/>
    <w:rsid w:val="00D9571B"/>
    <w:rsid w:val="00D96307"/>
    <w:rsid w:val="00D9785E"/>
    <w:rsid w:val="00DA1AE6"/>
    <w:rsid w:val="00DA42D0"/>
    <w:rsid w:val="00DA5EEF"/>
    <w:rsid w:val="00DB1637"/>
    <w:rsid w:val="00DB2F4D"/>
    <w:rsid w:val="00DB51FD"/>
    <w:rsid w:val="00DC617F"/>
    <w:rsid w:val="00DC77D4"/>
    <w:rsid w:val="00DD623F"/>
    <w:rsid w:val="00DD6B0D"/>
    <w:rsid w:val="00DD7B66"/>
    <w:rsid w:val="00DE0151"/>
    <w:rsid w:val="00DE157D"/>
    <w:rsid w:val="00DE4F0E"/>
    <w:rsid w:val="00DE6CCC"/>
    <w:rsid w:val="00DF1375"/>
    <w:rsid w:val="00E00D8A"/>
    <w:rsid w:val="00E029DF"/>
    <w:rsid w:val="00E03E35"/>
    <w:rsid w:val="00E0527F"/>
    <w:rsid w:val="00E0709D"/>
    <w:rsid w:val="00E14A4B"/>
    <w:rsid w:val="00E152A6"/>
    <w:rsid w:val="00E27EC2"/>
    <w:rsid w:val="00E365E8"/>
    <w:rsid w:val="00E41363"/>
    <w:rsid w:val="00E50C2C"/>
    <w:rsid w:val="00E50D1F"/>
    <w:rsid w:val="00E5353B"/>
    <w:rsid w:val="00E53646"/>
    <w:rsid w:val="00E54727"/>
    <w:rsid w:val="00E55548"/>
    <w:rsid w:val="00E71236"/>
    <w:rsid w:val="00E74D05"/>
    <w:rsid w:val="00E76E15"/>
    <w:rsid w:val="00E84159"/>
    <w:rsid w:val="00E85A91"/>
    <w:rsid w:val="00E909EE"/>
    <w:rsid w:val="00EA02CB"/>
    <w:rsid w:val="00EA0CE4"/>
    <w:rsid w:val="00EB09EE"/>
    <w:rsid w:val="00EB390F"/>
    <w:rsid w:val="00EC51CE"/>
    <w:rsid w:val="00EC64AE"/>
    <w:rsid w:val="00ED0AA5"/>
    <w:rsid w:val="00ED1BCB"/>
    <w:rsid w:val="00EE0EC2"/>
    <w:rsid w:val="00EE140E"/>
    <w:rsid w:val="00EE161C"/>
    <w:rsid w:val="00EE4916"/>
    <w:rsid w:val="00EF2D60"/>
    <w:rsid w:val="00EF39B2"/>
    <w:rsid w:val="00EF50E3"/>
    <w:rsid w:val="00EF72DE"/>
    <w:rsid w:val="00F10048"/>
    <w:rsid w:val="00F201C4"/>
    <w:rsid w:val="00F32555"/>
    <w:rsid w:val="00F3468C"/>
    <w:rsid w:val="00F40B19"/>
    <w:rsid w:val="00F41EEF"/>
    <w:rsid w:val="00F46DE1"/>
    <w:rsid w:val="00F50089"/>
    <w:rsid w:val="00F6498A"/>
    <w:rsid w:val="00F6602A"/>
    <w:rsid w:val="00F66372"/>
    <w:rsid w:val="00F7179D"/>
    <w:rsid w:val="00F72BB8"/>
    <w:rsid w:val="00F77585"/>
    <w:rsid w:val="00F860D6"/>
    <w:rsid w:val="00F86DE4"/>
    <w:rsid w:val="00F9162A"/>
    <w:rsid w:val="00F9549C"/>
    <w:rsid w:val="00FA22E5"/>
    <w:rsid w:val="00FA4F86"/>
    <w:rsid w:val="00FA6D5F"/>
    <w:rsid w:val="00FB172D"/>
    <w:rsid w:val="00FB3539"/>
    <w:rsid w:val="00FB482A"/>
    <w:rsid w:val="00FC3730"/>
    <w:rsid w:val="00FE1377"/>
    <w:rsid w:val="00FE1903"/>
    <w:rsid w:val="00FE49C5"/>
    <w:rsid w:val="00FE6D11"/>
    <w:rsid w:val="00FF2EF7"/>
    <w:rsid w:val="00FF7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1E56D"/>
  <w15:chartTrackingRefBased/>
  <w15:docId w15:val="{02DC89B3-E753-4680-937E-C47D0A0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5B"/>
  </w:style>
  <w:style w:type="paragraph" w:styleId="Heading1">
    <w:name w:val="heading 1"/>
    <w:basedOn w:val="Normal"/>
    <w:next w:val="Normal"/>
    <w:link w:val="Heading1Char"/>
    <w:uiPriority w:val="9"/>
    <w:qFormat/>
    <w:rsid w:val="000D505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D505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D505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D505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D50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D50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D50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D50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D50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468C"/>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3468C"/>
    <w:rPr>
      <w:rFonts w:ascii="Calibri" w:eastAsia="Calibri" w:hAnsi="Calibri" w:cs="Calibri"/>
      <w:sz w:val="20"/>
      <w:szCs w:val="20"/>
    </w:rPr>
  </w:style>
  <w:style w:type="paragraph" w:styleId="ListParagraph">
    <w:name w:val="List Paragraph"/>
    <w:basedOn w:val="Normal"/>
    <w:uiPriority w:val="34"/>
    <w:qFormat/>
    <w:rsid w:val="00F3468C"/>
    <w:pPr>
      <w:ind w:left="720"/>
      <w:contextualSpacing/>
    </w:pPr>
  </w:style>
  <w:style w:type="paragraph" w:customStyle="1" w:styleId="Normal1">
    <w:name w:val="Normal1"/>
    <w:rsid w:val="00F3468C"/>
    <w:pPr>
      <w:spacing w:after="200" w:line="276" w:lineRule="auto"/>
    </w:pPr>
    <w:rPr>
      <w:rFonts w:ascii="Calibri" w:eastAsia="Calibri" w:hAnsi="Calibri" w:cs="Calibri"/>
    </w:rPr>
  </w:style>
  <w:style w:type="character" w:styleId="FootnoteReference">
    <w:name w:val="footnote reference"/>
    <w:basedOn w:val="DefaultParagraphFont"/>
    <w:uiPriority w:val="99"/>
    <w:semiHidden/>
    <w:unhideWhenUsed/>
    <w:rsid w:val="00F3468C"/>
    <w:rPr>
      <w:vertAlign w:val="superscript"/>
    </w:rPr>
  </w:style>
  <w:style w:type="character" w:customStyle="1" w:styleId="Heading1Char">
    <w:name w:val="Heading 1 Char"/>
    <w:basedOn w:val="DefaultParagraphFont"/>
    <w:link w:val="Heading1"/>
    <w:uiPriority w:val="9"/>
    <w:rsid w:val="000D505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D505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D505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D505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D50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D50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D50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D50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D505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D505B"/>
    <w:pPr>
      <w:spacing w:line="240" w:lineRule="auto"/>
    </w:pPr>
    <w:rPr>
      <w:b/>
      <w:bCs/>
      <w:smallCaps/>
      <w:color w:val="44546A" w:themeColor="text2"/>
    </w:rPr>
  </w:style>
  <w:style w:type="paragraph" w:styleId="Title">
    <w:name w:val="Title"/>
    <w:basedOn w:val="Normal"/>
    <w:next w:val="Normal"/>
    <w:link w:val="TitleChar"/>
    <w:uiPriority w:val="10"/>
    <w:qFormat/>
    <w:rsid w:val="000D50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50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505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D505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D505B"/>
    <w:rPr>
      <w:b/>
      <w:bCs/>
    </w:rPr>
  </w:style>
  <w:style w:type="character" w:styleId="Emphasis">
    <w:name w:val="Emphasis"/>
    <w:basedOn w:val="DefaultParagraphFont"/>
    <w:uiPriority w:val="20"/>
    <w:qFormat/>
    <w:rsid w:val="000D505B"/>
    <w:rPr>
      <w:i/>
      <w:iCs/>
    </w:rPr>
  </w:style>
  <w:style w:type="paragraph" w:styleId="NoSpacing">
    <w:name w:val="No Spacing"/>
    <w:uiPriority w:val="1"/>
    <w:qFormat/>
    <w:rsid w:val="000D505B"/>
    <w:pPr>
      <w:spacing w:after="0" w:line="240" w:lineRule="auto"/>
    </w:pPr>
  </w:style>
  <w:style w:type="paragraph" w:styleId="Quote">
    <w:name w:val="Quote"/>
    <w:basedOn w:val="Normal"/>
    <w:next w:val="Normal"/>
    <w:link w:val="QuoteChar"/>
    <w:uiPriority w:val="29"/>
    <w:qFormat/>
    <w:rsid w:val="000D50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D505B"/>
    <w:rPr>
      <w:color w:val="44546A" w:themeColor="text2"/>
      <w:sz w:val="24"/>
      <w:szCs w:val="24"/>
    </w:rPr>
  </w:style>
  <w:style w:type="paragraph" w:styleId="IntenseQuote">
    <w:name w:val="Intense Quote"/>
    <w:basedOn w:val="Normal"/>
    <w:next w:val="Normal"/>
    <w:link w:val="IntenseQuoteChar"/>
    <w:uiPriority w:val="30"/>
    <w:qFormat/>
    <w:rsid w:val="000D50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50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505B"/>
    <w:rPr>
      <w:i/>
      <w:iCs/>
      <w:color w:val="595959" w:themeColor="text1" w:themeTint="A6"/>
    </w:rPr>
  </w:style>
  <w:style w:type="character" w:styleId="IntenseEmphasis">
    <w:name w:val="Intense Emphasis"/>
    <w:basedOn w:val="DefaultParagraphFont"/>
    <w:uiPriority w:val="21"/>
    <w:qFormat/>
    <w:rsid w:val="000D505B"/>
    <w:rPr>
      <w:b/>
      <w:bCs/>
      <w:i/>
      <w:iCs/>
    </w:rPr>
  </w:style>
  <w:style w:type="character" w:styleId="SubtleReference">
    <w:name w:val="Subtle Reference"/>
    <w:basedOn w:val="DefaultParagraphFont"/>
    <w:uiPriority w:val="31"/>
    <w:qFormat/>
    <w:rsid w:val="000D50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505B"/>
    <w:rPr>
      <w:b/>
      <w:bCs/>
      <w:smallCaps/>
      <w:color w:val="44546A" w:themeColor="text2"/>
      <w:u w:val="single"/>
    </w:rPr>
  </w:style>
  <w:style w:type="character" w:styleId="BookTitle">
    <w:name w:val="Book Title"/>
    <w:basedOn w:val="DefaultParagraphFont"/>
    <w:uiPriority w:val="33"/>
    <w:qFormat/>
    <w:rsid w:val="000D505B"/>
    <w:rPr>
      <w:b/>
      <w:bCs/>
      <w:smallCaps/>
      <w:spacing w:val="10"/>
    </w:rPr>
  </w:style>
  <w:style w:type="paragraph" w:styleId="TOCHeading">
    <w:name w:val="TOC Heading"/>
    <w:basedOn w:val="Heading1"/>
    <w:next w:val="Normal"/>
    <w:uiPriority w:val="39"/>
    <w:semiHidden/>
    <w:unhideWhenUsed/>
    <w:qFormat/>
    <w:rsid w:val="000D505B"/>
    <w:pPr>
      <w:outlineLvl w:val="9"/>
    </w:pPr>
  </w:style>
  <w:style w:type="paragraph" w:styleId="BalloonText">
    <w:name w:val="Balloon Text"/>
    <w:basedOn w:val="Normal"/>
    <w:link w:val="BalloonTextChar"/>
    <w:uiPriority w:val="99"/>
    <w:semiHidden/>
    <w:unhideWhenUsed/>
    <w:rsid w:val="0089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36"/>
    <w:rPr>
      <w:rFonts w:ascii="Segoe UI" w:hAnsi="Segoe UI" w:cs="Segoe UI"/>
      <w:sz w:val="18"/>
      <w:szCs w:val="18"/>
    </w:rPr>
  </w:style>
  <w:style w:type="paragraph" w:styleId="Header">
    <w:name w:val="header"/>
    <w:basedOn w:val="Normal"/>
    <w:link w:val="HeaderChar"/>
    <w:uiPriority w:val="99"/>
    <w:unhideWhenUsed/>
    <w:rsid w:val="0089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F36"/>
  </w:style>
  <w:style w:type="paragraph" w:styleId="Footer">
    <w:name w:val="footer"/>
    <w:basedOn w:val="Normal"/>
    <w:link w:val="FooterChar"/>
    <w:uiPriority w:val="99"/>
    <w:unhideWhenUsed/>
    <w:rsid w:val="0089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36"/>
  </w:style>
  <w:style w:type="character" w:styleId="Hyperlink">
    <w:name w:val="Hyperlink"/>
    <w:basedOn w:val="DefaultParagraphFont"/>
    <w:uiPriority w:val="99"/>
    <w:semiHidden/>
    <w:unhideWhenUsed/>
    <w:rsid w:val="001428CB"/>
    <w:rPr>
      <w:color w:val="0000FF"/>
      <w:u w:val="single"/>
    </w:rPr>
  </w:style>
  <w:style w:type="paragraph" w:styleId="NormalWeb">
    <w:name w:val="Normal (Web)"/>
    <w:basedOn w:val="Normal"/>
    <w:uiPriority w:val="99"/>
    <w:semiHidden/>
    <w:unhideWhenUsed/>
    <w:rsid w:val="00DA42D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B20076"/>
    <w:pPr>
      <w:spacing w:after="0" w:line="240" w:lineRule="auto"/>
    </w:pPr>
  </w:style>
  <w:style w:type="character" w:styleId="CommentReference">
    <w:name w:val="annotation reference"/>
    <w:basedOn w:val="DefaultParagraphFont"/>
    <w:uiPriority w:val="99"/>
    <w:semiHidden/>
    <w:unhideWhenUsed/>
    <w:rsid w:val="003D2050"/>
    <w:rPr>
      <w:sz w:val="16"/>
      <w:szCs w:val="16"/>
    </w:rPr>
  </w:style>
  <w:style w:type="paragraph" w:styleId="CommentText">
    <w:name w:val="annotation text"/>
    <w:basedOn w:val="Normal"/>
    <w:link w:val="CommentTextChar"/>
    <w:uiPriority w:val="99"/>
    <w:unhideWhenUsed/>
    <w:rsid w:val="003D2050"/>
    <w:pPr>
      <w:spacing w:line="240" w:lineRule="auto"/>
    </w:pPr>
    <w:rPr>
      <w:sz w:val="20"/>
      <w:szCs w:val="20"/>
    </w:rPr>
  </w:style>
  <w:style w:type="character" w:customStyle="1" w:styleId="CommentTextChar">
    <w:name w:val="Comment Text Char"/>
    <w:basedOn w:val="DefaultParagraphFont"/>
    <w:link w:val="CommentText"/>
    <w:uiPriority w:val="99"/>
    <w:rsid w:val="003D2050"/>
    <w:rPr>
      <w:sz w:val="20"/>
      <w:szCs w:val="20"/>
    </w:rPr>
  </w:style>
  <w:style w:type="paragraph" w:styleId="CommentSubject">
    <w:name w:val="annotation subject"/>
    <w:basedOn w:val="CommentText"/>
    <w:next w:val="CommentText"/>
    <w:link w:val="CommentSubjectChar"/>
    <w:uiPriority w:val="99"/>
    <w:semiHidden/>
    <w:unhideWhenUsed/>
    <w:rsid w:val="003D2050"/>
    <w:rPr>
      <w:b/>
      <w:bCs/>
    </w:rPr>
  </w:style>
  <w:style w:type="character" w:customStyle="1" w:styleId="CommentSubjectChar">
    <w:name w:val="Comment Subject Char"/>
    <w:basedOn w:val="CommentTextChar"/>
    <w:link w:val="CommentSubject"/>
    <w:uiPriority w:val="99"/>
    <w:semiHidden/>
    <w:rsid w:val="003D20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6821">
      <w:bodyDiv w:val="1"/>
      <w:marLeft w:val="0"/>
      <w:marRight w:val="0"/>
      <w:marTop w:val="0"/>
      <w:marBottom w:val="0"/>
      <w:divBdr>
        <w:top w:val="none" w:sz="0" w:space="0" w:color="auto"/>
        <w:left w:val="none" w:sz="0" w:space="0" w:color="auto"/>
        <w:bottom w:val="none" w:sz="0" w:space="0" w:color="auto"/>
        <w:right w:val="none" w:sz="0" w:space="0" w:color="auto"/>
      </w:divBdr>
    </w:div>
    <w:div w:id="772365392">
      <w:bodyDiv w:val="1"/>
      <w:marLeft w:val="0"/>
      <w:marRight w:val="0"/>
      <w:marTop w:val="0"/>
      <w:marBottom w:val="0"/>
      <w:divBdr>
        <w:top w:val="none" w:sz="0" w:space="0" w:color="auto"/>
        <w:left w:val="none" w:sz="0" w:space="0" w:color="auto"/>
        <w:bottom w:val="none" w:sz="0" w:space="0" w:color="auto"/>
        <w:right w:val="none" w:sz="0" w:space="0" w:color="auto"/>
      </w:divBdr>
    </w:div>
    <w:div w:id="14914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1471-7A9D-4A0C-8629-57FD5F4B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Wendy Hughes</dc:creator>
  <cp:keywords/>
  <dc:description/>
  <cp:lastModifiedBy>Judy Rautenheimer</cp:lastModifiedBy>
  <cp:revision>4</cp:revision>
  <cp:lastPrinted>2023-11-10T16:10:00Z</cp:lastPrinted>
  <dcterms:created xsi:type="dcterms:W3CDTF">2023-11-10T10:47:00Z</dcterms:created>
  <dcterms:modified xsi:type="dcterms:W3CDTF">2023-11-10T16:10:00Z</dcterms:modified>
</cp:coreProperties>
</file>