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32F89" w14:textId="77777777" w:rsidR="00913FB7" w:rsidRPr="00CC6DFF" w:rsidRDefault="00913FB7" w:rsidP="00913FB7">
      <w:pPr>
        <w:widowControl w:val="0"/>
        <w:autoSpaceDE w:val="0"/>
        <w:autoSpaceDN w:val="0"/>
        <w:adjustRightInd w:val="0"/>
        <w:spacing w:after="0" w:line="240" w:lineRule="auto"/>
        <w:rPr>
          <w:rFonts w:ascii="Arial" w:eastAsiaTheme="minorEastAsia" w:hAnsi="Arial" w:cs="Arial"/>
          <w:sz w:val="24"/>
          <w:szCs w:val="24"/>
          <w:lang w:eastAsia="en-ZA"/>
        </w:rPr>
      </w:pPr>
      <w:bookmarkStart w:id="0" w:name="_GoBack"/>
      <w:bookmarkEnd w:id="0"/>
      <w:r w:rsidRPr="00CC6DFF">
        <w:rPr>
          <w:rFonts w:ascii="Arial" w:eastAsiaTheme="minorEastAsia" w:hAnsi="Arial" w:cs="Arial"/>
          <w:noProof/>
          <w:sz w:val="24"/>
          <w:szCs w:val="24"/>
          <w:lang w:eastAsia="en-ZA"/>
        </w:rPr>
        <w:drawing>
          <wp:anchor distT="0" distB="0" distL="114300" distR="114300" simplePos="0" relativeHeight="251659264" behindDoc="0" locked="0" layoutInCell="1" allowOverlap="1" wp14:anchorId="220E4972" wp14:editId="75C94AB5">
            <wp:simplePos x="0" y="0"/>
            <wp:positionH relativeFrom="margin">
              <wp:align>center</wp:align>
            </wp:positionH>
            <wp:positionV relativeFrom="paragraph">
              <wp:posOffset>0</wp:posOffset>
            </wp:positionV>
            <wp:extent cx="799200" cy="914400"/>
            <wp:effectExtent l="0" t="0" r="1270" b="0"/>
            <wp:wrapSquare wrapText="bothSides"/>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39799" w14:textId="77777777" w:rsidR="00913FB7" w:rsidRPr="00CC6DFF" w:rsidRDefault="00913FB7" w:rsidP="00913FB7">
      <w:pPr>
        <w:widowControl w:val="0"/>
        <w:autoSpaceDE w:val="0"/>
        <w:autoSpaceDN w:val="0"/>
        <w:adjustRightInd w:val="0"/>
        <w:spacing w:after="0"/>
        <w:rPr>
          <w:rFonts w:ascii="Arial" w:eastAsiaTheme="minorEastAsia" w:hAnsi="Arial" w:cs="Arial"/>
          <w:b/>
          <w:bCs/>
          <w:sz w:val="24"/>
          <w:szCs w:val="24"/>
          <w:lang w:eastAsia="en-ZA"/>
        </w:rPr>
      </w:pPr>
    </w:p>
    <w:p w14:paraId="570BB9F3" w14:textId="77777777" w:rsidR="00913FB7" w:rsidRPr="00CC6DFF" w:rsidRDefault="00913FB7" w:rsidP="00913FB7">
      <w:pPr>
        <w:widowControl w:val="0"/>
        <w:autoSpaceDE w:val="0"/>
        <w:autoSpaceDN w:val="0"/>
        <w:adjustRightInd w:val="0"/>
        <w:spacing w:after="0"/>
        <w:rPr>
          <w:rFonts w:ascii="Arial" w:eastAsiaTheme="minorEastAsia" w:hAnsi="Arial" w:cs="Arial"/>
          <w:b/>
          <w:bCs/>
          <w:sz w:val="24"/>
          <w:szCs w:val="24"/>
          <w:lang w:eastAsia="en-ZA"/>
        </w:rPr>
      </w:pPr>
    </w:p>
    <w:p w14:paraId="77E9725F" w14:textId="77777777" w:rsidR="00913FB7" w:rsidRPr="00CC6DFF" w:rsidRDefault="00913FB7" w:rsidP="00913FB7">
      <w:pPr>
        <w:widowControl w:val="0"/>
        <w:autoSpaceDE w:val="0"/>
        <w:autoSpaceDN w:val="0"/>
        <w:adjustRightInd w:val="0"/>
        <w:spacing w:after="0"/>
        <w:jc w:val="center"/>
        <w:rPr>
          <w:rFonts w:ascii="Arial" w:eastAsiaTheme="minorEastAsia" w:hAnsi="Arial" w:cs="Arial"/>
          <w:b/>
          <w:bCs/>
          <w:sz w:val="24"/>
          <w:szCs w:val="24"/>
          <w:lang w:eastAsia="en-ZA"/>
        </w:rPr>
      </w:pPr>
    </w:p>
    <w:p w14:paraId="09309146" w14:textId="77777777" w:rsidR="00913FB7" w:rsidRPr="00CC6DFF" w:rsidRDefault="00913FB7" w:rsidP="006F282D">
      <w:pPr>
        <w:widowControl w:val="0"/>
        <w:autoSpaceDE w:val="0"/>
        <w:autoSpaceDN w:val="0"/>
        <w:adjustRightInd w:val="0"/>
        <w:spacing w:after="0"/>
        <w:jc w:val="center"/>
        <w:rPr>
          <w:rFonts w:ascii="Arial" w:eastAsiaTheme="minorEastAsia" w:hAnsi="Arial" w:cs="Arial"/>
          <w:b/>
          <w:bCs/>
          <w:sz w:val="24"/>
          <w:szCs w:val="24"/>
          <w:lang w:eastAsia="en-ZA"/>
        </w:rPr>
      </w:pPr>
      <w:r w:rsidRPr="00CC6DFF">
        <w:rPr>
          <w:rFonts w:ascii="Arial" w:eastAsiaTheme="minorEastAsia" w:hAnsi="Arial" w:cs="Arial"/>
          <w:b/>
          <w:bCs/>
          <w:sz w:val="24"/>
          <w:szCs w:val="24"/>
          <w:lang w:eastAsia="en-ZA"/>
        </w:rPr>
        <w:t>THE SUPREME COURT OF APPEAL OF SOUTH AFRICA</w:t>
      </w:r>
    </w:p>
    <w:p w14:paraId="2741D6F0" w14:textId="77777777" w:rsidR="00913FB7" w:rsidRPr="00CC6DFF" w:rsidRDefault="00913FB7" w:rsidP="006F282D">
      <w:pPr>
        <w:widowControl w:val="0"/>
        <w:tabs>
          <w:tab w:val="left" w:pos="623"/>
          <w:tab w:val="center" w:pos="4513"/>
        </w:tabs>
        <w:autoSpaceDE w:val="0"/>
        <w:autoSpaceDN w:val="0"/>
        <w:adjustRightInd w:val="0"/>
        <w:spacing w:after="0"/>
        <w:jc w:val="center"/>
        <w:outlineLvl w:val="0"/>
        <w:rPr>
          <w:rFonts w:ascii="Arial" w:eastAsiaTheme="minorEastAsia" w:hAnsi="Arial" w:cs="Arial"/>
          <w:b/>
          <w:bCs/>
          <w:sz w:val="24"/>
          <w:szCs w:val="24"/>
          <w:lang w:eastAsia="en-ZA"/>
        </w:rPr>
      </w:pPr>
      <w:r w:rsidRPr="00CC6DFF">
        <w:rPr>
          <w:rFonts w:ascii="Arial" w:eastAsiaTheme="minorEastAsia" w:hAnsi="Arial" w:cs="Arial"/>
          <w:b/>
          <w:bCs/>
          <w:sz w:val="24"/>
          <w:szCs w:val="24"/>
          <w:lang w:eastAsia="en-ZA"/>
        </w:rPr>
        <w:t>JUDGMENT</w:t>
      </w:r>
    </w:p>
    <w:p w14:paraId="23DF8AFC" w14:textId="2E5364DE" w:rsidR="00913FB7" w:rsidRPr="00CC6DFF" w:rsidRDefault="00913FB7" w:rsidP="006F282D">
      <w:pPr>
        <w:widowControl w:val="0"/>
        <w:autoSpaceDE w:val="0"/>
        <w:autoSpaceDN w:val="0"/>
        <w:adjustRightInd w:val="0"/>
        <w:spacing w:after="0"/>
        <w:ind w:left="1440" w:firstLine="720"/>
        <w:jc w:val="right"/>
        <w:outlineLvl w:val="0"/>
        <w:rPr>
          <w:rFonts w:ascii="Arial" w:eastAsiaTheme="minorEastAsia" w:hAnsi="Arial" w:cs="Arial"/>
          <w:b/>
          <w:bCs/>
          <w:sz w:val="24"/>
          <w:szCs w:val="24"/>
          <w:lang w:eastAsia="en-ZA"/>
        </w:rPr>
      </w:pPr>
      <w:bookmarkStart w:id="1" w:name="_Hlk107737895"/>
      <w:r w:rsidRPr="00CC6DFF">
        <w:rPr>
          <w:rFonts w:ascii="Arial" w:eastAsiaTheme="minorEastAsia" w:hAnsi="Arial" w:cs="Arial"/>
          <w:b/>
          <w:bCs/>
          <w:sz w:val="24"/>
          <w:szCs w:val="24"/>
          <w:lang w:eastAsia="en-ZA"/>
        </w:rPr>
        <w:t>Not Reportable</w:t>
      </w:r>
      <w:bookmarkEnd w:id="1"/>
    </w:p>
    <w:p w14:paraId="51E39833" w14:textId="77777777" w:rsidR="00913FB7" w:rsidRPr="00CC6DFF" w:rsidRDefault="00396635" w:rsidP="006F282D">
      <w:pPr>
        <w:autoSpaceDE w:val="0"/>
        <w:autoSpaceDN w:val="0"/>
        <w:adjustRightInd w:val="0"/>
        <w:spacing w:after="0"/>
        <w:ind w:firstLine="720"/>
        <w:jc w:val="right"/>
        <w:rPr>
          <w:rFonts w:ascii="Arial" w:hAnsi="Arial" w:cs="Arial"/>
          <w:b/>
          <w:bCs/>
          <w:color w:val="0D0D0D"/>
          <w:sz w:val="24"/>
          <w:szCs w:val="24"/>
        </w:rPr>
      </w:pPr>
      <w:r w:rsidRPr="00CC6DFF">
        <w:rPr>
          <w:rFonts w:ascii="Arial" w:hAnsi="Arial" w:cs="Arial"/>
          <w:color w:val="0D0D0D"/>
          <w:sz w:val="24"/>
          <w:szCs w:val="24"/>
        </w:rPr>
        <w:t xml:space="preserve">  </w:t>
      </w:r>
      <w:r w:rsidR="006F282D" w:rsidRPr="00CC6DFF">
        <w:rPr>
          <w:rFonts w:ascii="Arial" w:hAnsi="Arial" w:cs="Arial"/>
          <w:color w:val="0D0D0D"/>
          <w:sz w:val="24"/>
          <w:szCs w:val="24"/>
        </w:rPr>
        <w:t>Case n</w:t>
      </w:r>
      <w:r w:rsidR="00913FB7" w:rsidRPr="00CC6DFF">
        <w:rPr>
          <w:rFonts w:ascii="Arial" w:hAnsi="Arial" w:cs="Arial"/>
          <w:color w:val="0D0D0D"/>
          <w:sz w:val="24"/>
          <w:szCs w:val="24"/>
        </w:rPr>
        <w:t xml:space="preserve">o: </w:t>
      </w:r>
      <w:r w:rsidR="00913FB7" w:rsidRPr="00CC6DFF">
        <w:rPr>
          <w:rFonts w:ascii="Arial" w:eastAsiaTheme="minorEastAsia" w:hAnsi="Arial" w:cs="Arial"/>
          <w:bCs/>
          <w:sz w:val="24"/>
          <w:szCs w:val="24"/>
          <w:lang w:eastAsia="en-ZA"/>
        </w:rPr>
        <w:t>765/2021</w:t>
      </w:r>
    </w:p>
    <w:p w14:paraId="2352AE47" w14:textId="77777777" w:rsidR="00913FB7" w:rsidRPr="00CC6DFF" w:rsidRDefault="00913FB7" w:rsidP="00913FB7">
      <w:pPr>
        <w:autoSpaceDE w:val="0"/>
        <w:autoSpaceDN w:val="0"/>
        <w:adjustRightInd w:val="0"/>
        <w:spacing w:after="0" w:line="240" w:lineRule="auto"/>
        <w:rPr>
          <w:rFonts w:ascii="Arial" w:hAnsi="Arial" w:cs="Arial"/>
          <w:color w:val="0D0D0D"/>
          <w:sz w:val="24"/>
          <w:szCs w:val="24"/>
        </w:rPr>
      </w:pPr>
    </w:p>
    <w:p w14:paraId="35F493CA" w14:textId="77777777" w:rsidR="00913FB7" w:rsidRPr="00CC6DFF" w:rsidRDefault="00913FB7" w:rsidP="00CC4CE2">
      <w:pPr>
        <w:autoSpaceDE w:val="0"/>
        <w:autoSpaceDN w:val="0"/>
        <w:adjustRightInd w:val="0"/>
        <w:spacing w:after="240"/>
        <w:rPr>
          <w:rFonts w:ascii="Arial" w:hAnsi="Arial" w:cs="Arial"/>
          <w:color w:val="0D0D0D"/>
          <w:sz w:val="24"/>
          <w:szCs w:val="24"/>
        </w:rPr>
      </w:pPr>
      <w:r w:rsidRPr="00CC6DFF">
        <w:rPr>
          <w:rFonts w:ascii="Arial" w:hAnsi="Arial" w:cs="Arial"/>
          <w:color w:val="0D0D0D"/>
          <w:sz w:val="24"/>
          <w:szCs w:val="24"/>
        </w:rPr>
        <w:t xml:space="preserve">In </w:t>
      </w:r>
      <w:r w:rsidRPr="00CC6DFF">
        <w:rPr>
          <w:rFonts w:ascii="Arial" w:hAnsi="Arial" w:cs="Arial"/>
          <w:color w:val="222222"/>
          <w:sz w:val="24"/>
          <w:szCs w:val="24"/>
        </w:rPr>
        <w:t xml:space="preserve">the </w:t>
      </w:r>
      <w:r w:rsidRPr="00CC6DFF">
        <w:rPr>
          <w:rFonts w:ascii="Arial" w:hAnsi="Arial" w:cs="Arial"/>
          <w:color w:val="0D0D0D"/>
          <w:sz w:val="24"/>
          <w:szCs w:val="24"/>
        </w:rPr>
        <w:t>matter between:</w:t>
      </w:r>
    </w:p>
    <w:p w14:paraId="02D6767E" w14:textId="4D945B20" w:rsidR="00913FB7" w:rsidRPr="00CC6DFF" w:rsidRDefault="00913FB7" w:rsidP="00316F7E">
      <w:pPr>
        <w:tabs>
          <w:tab w:val="right" w:pos="9026"/>
        </w:tabs>
        <w:autoSpaceDE w:val="0"/>
        <w:autoSpaceDN w:val="0"/>
        <w:adjustRightInd w:val="0"/>
        <w:spacing w:after="0"/>
        <w:rPr>
          <w:rFonts w:ascii="Arial" w:hAnsi="Arial" w:cs="Arial"/>
          <w:b/>
          <w:bCs/>
          <w:color w:val="0D0D0D"/>
          <w:sz w:val="24"/>
          <w:szCs w:val="24"/>
        </w:rPr>
      </w:pPr>
      <w:r w:rsidRPr="00CC6DFF">
        <w:rPr>
          <w:rFonts w:ascii="Arial" w:eastAsiaTheme="minorEastAsia" w:hAnsi="Arial" w:cs="Arial"/>
          <w:b/>
          <w:sz w:val="24"/>
          <w:szCs w:val="24"/>
          <w:lang w:eastAsia="en-ZA"/>
        </w:rPr>
        <w:t>G PHADZIRI &amp; SONS (PTY) LTD</w:t>
      </w:r>
      <w:r w:rsidR="00316F7E" w:rsidRPr="00CC6DFF">
        <w:rPr>
          <w:rFonts w:ascii="Arial" w:hAnsi="Arial" w:cs="Arial"/>
          <w:b/>
          <w:bCs/>
          <w:color w:val="0D0D0D"/>
          <w:sz w:val="24"/>
          <w:szCs w:val="24"/>
        </w:rPr>
        <w:tab/>
      </w:r>
      <w:r w:rsidRPr="00CC6DFF">
        <w:rPr>
          <w:rFonts w:ascii="Arial" w:hAnsi="Arial" w:cs="Arial"/>
          <w:b/>
          <w:bCs/>
          <w:color w:val="0D0D0D"/>
          <w:sz w:val="24"/>
          <w:szCs w:val="24"/>
        </w:rPr>
        <w:t>APPELLANT</w:t>
      </w:r>
    </w:p>
    <w:p w14:paraId="788C6589" w14:textId="77777777" w:rsidR="00913FB7" w:rsidRPr="00CC6DFF" w:rsidRDefault="00913FB7" w:rsidP="006F282D">
      <w:pPr>
        <w:autoSpaceDE w:val="0"/>
        <w:autoSpaceDN w:val="0"/>
        <w:adjustRightInd w:val="0"/>
        <w:spacing w:after="0"/>
        <w:rPr>
          <w:rFonts w:ascii="Arial" w:hAnsi="Arial" w:cs="Arial"/>
          <w:color w:val="0D0D0D"/>
          <w:sz w:val="24"/>
          <w:szCs w:val="24"/>
        </w:rPr>
      </w:pPr>
    </w:p>
    <w:p w14:paraId="3D202797" w14:textId="77777777" w:rsidR="00913FB7" w:rsidRPr="00CC6DFF" w:rsidRDefault="00913FB7" w:rsidP="006F282D">
      <w:pPr>
        <w:autoSpaceDE w:val="0"/>
        <w:autoSpaceDN w:val="0"/>
        <w:adjustRightInd w:val="0"/>
        <w:spacing w:after="0"/>
        <w:rPr>
          <w:rFonts w:ascii="Arial" w:hAnsi="Arial" w:cs="Arial"/>
          <w:color w:val="0D0D0D"/>
          <w:sz w:val="24"/>
          <w:szCs w:val="24"/>
        </w:rPr>
      </w:pPr>
      <w:r w:rsidRPr="00CC6DFF">
        <w:rPr>
          <w:rFonts w:ascii="Arial" w:hAnsi="Arial" w:cs="Arial"/>
          <w:color w:val="0D0D0D"/>
          <w:sz w:val="24"/>
          <w:szCs w:val="24"/>
        </w:rPr>
        <w:t>and</w:t>
      </w:r>
    </w:p>
    <w:p w14:paraId="159BAF23" w14:textId="77777777" w:rsidR="00913FB7" w:rsidRPr="00CC6DFF" w:rsidRDefault="00913FB7" w:rsidP="006F282D">
      <w:pPr>
        <w:autoSpaceDE w:val="0"/>
        <w:autoSpaceDN w:val="0"/>
        <w:adjustRightInd w:val="0"/>
        <w:spacing w:after="0"/>
        <w:rPr>
          <w:rFonts w:ascii="Arial" w:hAnsi="Arial" w:cs="Arial"/>
          <w:color w:val="0D0D0D"/>
          <w:sz w:val="24"/>
          <w:szCs w:val="24"/>
        </w:rPr>
      </w:pPr>
    </w:p>
    <w:p w14:paraId="109A9F0B" w14:textId="0686E122" w:rsidR="00913FB7" w:rsidRPr="00CC6DFF" w:rsidRDefault="00913FB7" w:rsidP="00316F7E">
      <w:pPr>
        <w:tabs>
          <w:tab w:val="right" w:pos="9026"/>
        </w:tabs>
        <w:autoSpaceDE w:val="0"/>
        <w:autoSpaceDN w:val="0"/>
        <w:adjustRightInd w:val="0"/>
        <w:spacing w:after="0"/>
        <w:rPr>
          <w:rFonts w:ascii="Arial" w:hAnsi="Arial" w:cs="Arial"/>
          <w:b/>
          <w:bCs/>
          <w:color w:val="0D0D0D"/>
          <w:sz w:val="24"/>
          <w:szCs w:val="24"/>
        </w:rPr>
      </w:pPr>
      <w:r w:rsidRPr="00CC6DFF">
        <w:rPr>
          <w:rFonts w:ascii="Arial" w:eastAsiaTheme="minorEastAsia" w:hAnsi="Arial" w:cs="Arial"/>
          <w:b/>
          <w:sz w:val="24"/>
          <w:szCs w:val="24"/>
          <w:lang w:eastAsia="en-ZA"/>
        </w:rPr>
        <w:t>DO LIGHT TRANSPORT (PTY) LTD</w:t>
      </w:r>
      <w:r w:rsidR="00316F7E" w:rsidRPr="00CC6DFF">
        <w:rPr>
          <w:rFonts w:ascii="Arial" w:hAnsi="Arial" w:cs="Arial"/>
          <w:b/>
          <w:bCs/>
          <w:color w:val="0D0D0D"/>
          <w:sz w:val="24"/>
          <w:szCs w:val="24"/>
        </w:rPr>
        <w:tab/>
      </w:r>
      <w:r w:rsidRPr="00CC6DFF">
        <w:rPr>
          <w:rFonts w:ascii="Arial" w:hAnsi="Arial" w:cs="Arial"/>
          <w:b/>
          <w:bCs/>
          <w:color w:val="0D0D0D"/>
          <w:sz w:val="24"/>
          <w:szCs w:val="24"/>
        </w:rPr>
        <w:t>FIRST RESPONDENT</w:t>
      </w:r>
    </w:p>
    <w:p w14:paraId="16D42DDC" w14:textId="77777777" w:rsidR="00913FB7" w:rsidRPr="00CC6DFF" w:rsidRDefault="00913FB7" w:rsidP="006F282D">
      <w:pPr>
        <w:autoSpaceDE w:val="0"/>
        <w:autoSpaceDN w:val="0"/>
        <w:adjustRightInd w:val="0"/>
        <w:spacing w:after="0"/>
        <w:rPr>
          <w:rFonts w:ascii="Arial" w:hAnsi="Arial" w:cs="Arial"/>
          <w:b/>
          <w:bCs/>
          <w:color w:val="0D0D0D"/>
          <w:sz w:val="24"/>
          <w:szCs w:val="24"/>
        </w:rPr>
      </w:pPr>
    </w:p>
    <w:p w14:paraId="64F001A0" w14:textId="22B093B9" w:rsidR="00913FB7" w:rsidRPr="00CC6DFF" w:rsidRDefault="00913FB7" w:rsidP="006F282D">
      <w:pPr>
        <w:autoSpaceDE w:val="0"/>
        <w:autoSpaceDN w:val="0"/>
        <w:adjustRightInd w:val="0"/>
        <w:spacing w:after="0"/>
        <w:rPr>
          <w:rFonts w:ascii="Arial" w:hAnsi="Arial" w:cs="Arial"/>
          <w:b/>
          <w:bCs/>
          <w:color w:val="0D0D0D"/>
          <w:sz w:val="24"/>
          <w:szCs w:val="24"/>
        </w:rPr>
      </w:pPr>
      <w:r w:rsidRPr="00CC6DFF">
        <w:rPr>
          <w:rFonts w:ascii="Arial" w:hAnsi="Arial" w:cs="Arial"/>
          <w:b/>
          <w:bCs/>
          <w:color w:val="0D0D0D"/>
          <w:sz w:val="24"/>
          <w:szCs w:val="24"/>
        </w:rPr>
        <w:t xml:space="preserve">DEPARTMENT OF TRANSPORT, </w:t>
      </w:r>
    </w:p>
    <w:p w14:paraId="667B3382" w14:textId="7D9ED9B2" w:rsidR="00913FB7" w:rsidRPr="00CC6DFF" w:rsidRDefault="00913FB7" w:rsidP="00316F7E">
      <w:pPr>
        <w:tabs>
          <w:tab w:val="right" w:pos="9026"/>
        </w:tabs>
        <w:autoSpaceDE w:val="0"/>
        <w:autoSpaceDN w:val="0"/>
        <w:adjustRightInd w:val="0"/>
        <w:spacing w:after="0"/>
        <w:rPr>
          <w:rFonts w:ascii="Arial" w:hAnsi="Arial" w:cs="Arial"/>
          <w:b/>
          <w:bCs/>
          <w:color w:val="0D0D0D"/>
          <w:sz w:val="24"/>
          <w:szCs w:val="24"/>
        </w:rPr>
      </w:pPr>
      <w:r w:rsidRPr="00CC6DFF">
        <w:rPr>
          <w:rFonts w:ascii="Arial" w:hAnsi="Arial" w:cs="Arial"/>
          <w:b/>
          <w:bCs/>
          <w:color w:val="0D0D0D"/>
          <w:sz w:val="24"/>
          <w:szCs w:val="24"/>
        </w:rPr>
        <w:t>LIMPOPO PROVINCE</w:t>
      </w:r>
      <w:r w:rsidR="00316F7E" w:rsidRPr="00CC6DFF">
        <w:rPr>
          <w:rFonts w:ascii="Arial" w:hAnsi="Arial" w:cs="Arial"/>
          <w:b/>
          <w:bCs/>
          <w:color w:val="0D0D0D"/>
          <w:sz w:val="24"/>
          <w:szCs w:val="24"/>
        </w:rPr>
        <w:tab/>
      </w:r>
      <w:r w:rsidRPr="00CC6DFF">
        <w:rPr>
          <w:rFonts w:ascii="Arial" w:hAnsi="Arial" w:cs="Arial"/>
          <w:b/>
          <w:bCs/>
          <w:color w:val="0D0D0D"/>
          <w:sz w:val="24"/>
          <w:szCs w:val="24"/>
        </w:rPr>
        <w:t>SECOND RESPONDENT</w:t>
      </w:r>
    </w:p>
    <w:p w14:paraId="1F740102" w14:textId="77777777" w:rsidR="00913FB7" w:rsidRPr="00CC6DFF" w:rsidRDefault="00913FB7" w:rsidP="006F282D">
      <w:pPr>
        <w:autoSpaceDE w:val="0"/>
        <w:autoSpaceDN w:val="0"/>
        <w:adjustRightInd w:val="0"/>
        <w:spacing w:after="0"/>
        <w:rPr>
          <w:rFonts w:ascii="Arial" w:hAnsi="Arial" w:cs="Arial"/>
          <w:b/>
          <w:bCs/>
          <w:color w:val="0D0D0D"/>
          <w:sz w:val="24"/>
          <w:szCs w:val="24"/>
        </w:rPr>
      </w:pPr>
    </w:p>
    <w:p w14:paraId="40576A17" w14:textId="405C7851" w:rsidR="00913FB7" w:rsidRPr="00CC6DFF" w:rsidRDefault="00913FB7" w:rsidP="006F282D">
      <w:pPr>
        <w:widowControl w:val="0"/>
        <w:autoSpaceDE w:val="0"/>
        <w:autoSpaceDN w:val="0"/>
        <w:adjustRightInd w:val="0"/>
        <w:ind w:right="113"/>
        <w:rPr>
          <w:rFonts w:ascii="Arial" w:eastAsiaTheme="minorEastAsia" w:hAnsi="Arial" w:cs="Arial"/>
          <w:b/>
          <w:sz w:val="24"/>
          <w:szCs w:val="24"/>
          <w:lang w:eastAsia="en-ZA"/>
        </w:rPr>
      </w:pPr>
      <w:r w:rsidRPr="00CC6DFF">
        <w:rPr>
          <w:rFonts w:ascii="Arial" w:eastAsiaTheme="minorEastAsia" w:hAnsi="Arial" w:cs="Arial"/>
          <w:b/>
          <w:sz w:val="24"/>
          <w:szCs w:val="24"/>
          <w:lang w:eastAsia="en-ZA"/>
        </w:rPr>
        <w:t>Neutral citation:</w:t>
      </w:r>
      <w:r w:rsidRPr="00CC6DFF">
        <w:rPr>
          <w:rFonts w:ascii="Arial" w:eastAsiaTheme="minorEastAsia" w:hAnsi="Arial" w:cs="Arial"/>
          <w:bCs/>
          <w:sz w:val="24"/>
          <w:szCs w:val="24"/>
          <w:lang w:eastAsia="en-ZA"/>
        </w:rPr>
        <w:t xml:space="preserve"> </w:t>
      </w:r>
      <w:r w:rsidRPr="00CC6DFF">
        <w:rPr>
          <w:rFonts w:ascii="Arial" w:eastAsiaTheme="minorEastAsia" w:hAnsi="Arial" w:cs="Arial"/>
          <w:i/>
          <w:sz w:val="24"/>
          <w:szCs w:val="24"/>
          <w:lang w:eastAsia="en-ZA"/>
        </w:rPr>
        <w:t>G Phadziri &amp; Sons (Pty) Ltd</w:t>
      </w:r>
      <w:r w:rsidRPr="00CC6DFF">
        <w:rPr>
          <w:rFonts w:ascii="Arial" w:eastAsiaTheme="minorEastAsia" w:hAnsi="Arial" w:cs="Arial"/>
          <w:bCs/>
          <w:i/>
          <w:iCs/>
          <w:sz w:val="24"/>
          <w:szCs w:val="24"/>
          <w:lang w:eastAsia="en-ZA"/>
        </w:rPr>
        <w:t xml:space="preserve"> v </w:t>
      </w:r>
      <w:r w:rsidRPr="00CC6DFF">
        <w:rPr>
          <w:rFonts w:ascii="Arial" w:eastAsiaTheme="minorEastAsia" w:hAnsi="Arial" w:cs="Arial"/>
          <w:i/>
          <w:sz w:val="24"/>
          <w:szCs w:val="24"/>
          <w:lang w:eastAsia="en-ZA"/>
        </w:rPr>
        <w:t>Do Light Transport</w:t>
      </w:r>
      <w:r w:rsidRPr="00CC6DFF">
        <w:rPr>
          <w:rFonts w:ascii="Arial" w:eastAsiaTheme="minorEastAsia" w:hAnsi="Arial" w:cs="Arial"/>
          <w:bCs/>
          <w:i/>
          <w:iCs/>
          <w:sz w:val="24"/>
          <w:szCs w:val="24"/>
          <w:lang w:eastAsia="en-ZA"/>
        </w:rPr>
        <w:t xml:space="preserve"> (Pty) Ltd and Another</w:t>
      </w:r>
      <w:r w:rsidRPr="00CC6DFF">
        <w:rPr>
          <w:rFonts w:ascii="Arial" w:eastAsiaTheme="minorEastAsia" w:hAnsi="Arial" w:cs="Arial"/>
          <w:bCs/>
          <w:sz w:val="24"/>
          <w:szCs w:val="24"/>
          <w:lang w:eastAsia="en-ZA"/>
        </w:rPr>
        <w:t xml:space="preserve"> (765/2021) [202</w:t>
      </w:r>
      <w:r w:rsidR="004720DD" w:rsidRPr="00CC6DFF">
        <w:rPr>
          <w:rFonts w:ascii="Arial" w:eastAsiaTheme="minorEastAsia" w:hAnsi="Arial" w:cs="Arial"/>
          <w:bCs/>
          <w:sz w:val="24"/>
          <w:szCs w:val="24"/>
          <w:lang w:eastAsia="en-ZA"/>
        </w:rPr>
        <w:t>3</w:t>
      </w:r>
      <w:r w:rsidRPr="00CC6DFF">
        <w:rPr>
          <w:rFonts w:ascii="Arial" w:eastAsiaTheme="minorEastAsia" w:hAnsi="Arial" w:cs="Arial"/>
          <w:bCs/>
          <w:sz w:val="24"/>
          <w:szCs w:val="24"/>
          <w:lang w:eastAsia="en-ZA"/>
        </w:rPr>
        <w:t xml:space="preserve">] ZASCA </w:t>
      </w:r>
      <w:r w:rsidR="003F1BD6" w:rsidRPr="00CC6DFF">
        <w:rPr>
          <w:rFonts w:ascii="Arial" w:eastAsiaTheme="minorEastAsia" w:hAnsi="Arial" w:cs="Arial"/>
          <w:bCs/>
          <w:sz w:val="24"/>
          <w:szCs w:val="24"/>
          <w:lang w:eastAsia="en-ZA"/>
        </w:rPr>
        <w:t>16</w:t>
      </w:r>
      <w:r w:rsidRPr="00CC6DFF">
        <w:rPr>
          <w:rFonts w:ascii="Arial" w:eastAsiaTheme="minorEastAsia" w:hAnsi="Arial" w:cs="Arial"/>
          <w:bCs/>
          <w:sz w:val="24"/>
          <w:szCs w:val="24"/>
          <w:lang w:eastAsia="en-ZA"/>
        </w:rPr>
        <w:t xml:space="preserve"> (</w:t>
      </w:r>
      <w:r w:rsidR="003F1BD6" w:rsidRPr="00CC6DFF">
        <w:rPr>
          <w:rFonts w:ascii="Arial" w:eastAsiaTheme="minorEastAsia" w:hAnsi="Arial" w:cs="Arial"/>
          <w:bCs/>
          <w:sz w:val="24"/>
          <w:szCs w:val="24"/>
          <w:lang w:eastAsia="en-ZA"/>
        </w:rPr>
        <w:t>20</w:t>
      </w:r>
      <w:r w:rsidR="004720DD" w:rsidRPr="00CC6DFF">
        <w:rPr>
          <w:rFonts w:ascii="Arial" w:eastAsiaTheme="minorEastAsia" w:hAnsi="Arial" w:cs="Arial"/>
          <w:bCs/>
          <w:sz w:val="24"/>
          <w:szCs w:val="24"/>
          <w:lang w:eastAsia="en-ZA"/>
        </w:rPr>
        <w:t xml:space="preserve"> February</w:t>
      </w:r>
      <w:r w:rsidRPr="00CC6DFF">
        <w:rPr>
          <w:rFonts w:ascii="Arial" w:eastAsiaTheme="minorEastAsia" w:hAnsi="Arial" w:cs="Arial"/>
          <w:bCs/>
          <w:sz w:val="24"/>
          <w:szCs w:val="24"/>
          <w:lang w:eastAsia="en-ZA"/>
        </w:rPr>
        <w:t xml:space="preserve"> 2023) </w:t>
      </w:r>
    </w:p>
    <w:p w14:paraId="748DCF51" w14:textId="77777777" w:rsidR="00913FB7" w:rsidRPr="00CC6DFF" w:rsidRDefault="00913FB7" w:rsidP="006F282D">
      <w:pPr>
        <w:widowControl w:val="0"/>
        <w:autoSpaceDE w:val="0"/>
        <w:autoSpaceDN w:val="0"/>
        <w:adjustRightInd w:val="0"/>
        <w:ind w:left="1440" w:hanging="1440"/>
        <w:rPr>
          <w:rFonts w:ascii="Arial" w:eastAsiaTheme="minorEastAsia" w:hAnsi="Arial" w:cs="Arial"/>
          <w:sz w:val="24"/>
          <w:szCs w:val="24"/>
          <w:lang w:eastAsia="en-ZA"/>
        </w:rPr>
      </w:pPr>
      <w:r w:rsidRPr="00CC6DFF">
        <w:rPr>
          <w:rFonts w:ascii="Arial" w:eastAsiaTheme="minorEastAsia" w:hAnsi="Arial" w:cs="Arial"/>
          <w:b/>
          <w:sz w:val="24"/>
          <w:szCs w:val="24"/>
          <w:lang w:eastAsia="en-ZA"/>
        </w:rPr>
        <w:t>Bench:</w:t>
      </w:r>
      <w:r w:rsidRPr="00CC6DFF">
        <w:rPr>
          <w:rFonts w:ascii="Arial" w:eastAsiaTheme="minorEastAsia" w:hAnsi="Arial" w:cs="Arial"/>
          <w:b/>
          <w:sz w:val="24"/>
          <w:szCs w:val="24"/>
          <w:lang w:eastAsia="en-ZA"/>
        </w:rPr>
        <w:tab/>
      </w:r>
      <w:bookmarkStart w:id="2" w:name="_Hlk106661950"/>
      <w:bookmarkStart w:id="3" w:name="_Hlk64406736"/>
      <w:r w:rsidRPr="00CC6DFF">
        <w:rPr>
          <w:rFonts w:ascii="Arial" w:eastAsiaTheme="minorEastAsia" w:hAnsi="Arial" w:cs="Arial"/>
          <w:sz w:val="24"/>
          <w:szCs w:val="24"/>
          <w:lang w:eastAsia="en-ZA"/>
        </w:rPr>
        <w:t xml:space="preserve">PETSE AP, </w:t>
      </w:r>
      <w:r w:rsidR="00396635" w:rsidRPr="00CC6DFF">
        <w:rPr>
          <w:rFonts w:ascii="Arial" w:eastAsiaTheme="minorEastAsia" w:hAnsi="Arial" w:cs="Arial"/>
          <w:sz w:val="24"/>
          <w:szCs w:val="24"/>
          <w:lang w:eastAsia="en-ZA"/>
        </w:rPr>
        <w:t>MOCUMIE and</w:t>
      </w:r>
      <w:r w:rsidRPr="00CC6DFF">
        <w:rPr>
          <w:rFonts w:ascii="Arial" w:eastAsiaTheme="minorEastAsia" w:hAnsi="Arial" w:cs="Arial"/>
          <w:sz w:val="24"/>
          <w:szCs w:val="24"/>
          <w:lang w:eastAsia="en-ZA"/>
        </w:rPr>
        <w:t xml:space="preserve"> MAKGOKA </w:t>
      </w:r>
      <w:bookmarkEnd w:id="2"/>
      <w:r w:rsidRPr="00CC6DFF">
        <w:rPr>
          <w:rFonts w:ascii="Arial" w:eastAsiaTheme="minorEastAsia" w:hAnsi="Arial" w:cs="Arial"/>
          <w:sz w:val="24"/>
          <w:szCs w:val="24"/>
          <w:lang w:eastAsia="en-ZA"/>
        </w:rPr>
        <w:t xml:space="preserve">JJA and </w:t>
      </w:r>
      <w:r w:rsidR="003002E6" w:rsidRPr="00CC6DFF">
        <w:rPr>
          <w:rFonts w:ascii="Arial" w:eastAsiaTheme="minorEastAsia" w:hAnsi="Arial" w:cs="Arial"/>
          <w:sz w:val="24"/>
          <w:szCs w:val="24"/>
          <w:lang w:eastAsia="en-ZA"/>
        </w:rPr>
        <w:t>SALIE and SIWENDU</w:t>
      </w:r>
      <w:r w:rsidRPr="00CC6DFF">
        <w:rPr>
          <w:rFonts w:ascii="Arial" w:eastAsiaTheme="minorEastAsia" w:hAnsi="Arial" w:cs="Arial"/>
          <w:sz w:val="24"/>
          <w:szCs w:val="24"/>
          <w:lang w:eastAsia="en-ZA"/>
        </w:rPr>
        <w:t xml:space="preserve"> AJJA</w:t>
      </w:r>
    </w:p>
    <w:bookmarkEnd w:id="3"/>
    <w:p w14:paraId="7F5743E4" w14:textId="77777777" w:rsidR="00913FB7" w:rsidRPr="00CC6DFF" w:rsidRDefault="00913FB7" w:rsidP="006F282D">
      <w:pPr>
        <w:widowControl w:val="0"/>
        <w:tabs>
          <w:tab w:val="left" w:pos="720"/>
          <w:tab w:val="left" w:pos="1440"/>
          <w:tab w:val="left" w:pos="2160"/>
          <w:tab w:val="left" w:pos="2880"/>
          <w:tab w:val="left" w:pos="3600"/>
          <w:tab w:val="left" w:pos="7628"/>
        </w:tabs>
        <w:autoSpaceDE w:val="0"/>
        <w:autoSpaceDN w:val="0"/>
        <w:adjustRightInd w:val="0"/>
        <w:outlineLvl w:val="0"/>
        <w:rPr>
          <w:rFonts w:ascii="Arial" w:eastAsiaTheme="minorEastAsia" w:hAnsi="Arial" w:cs="Arial"/>
          <w:sz w:val="24"/>
          <w:szCs w:val="24"/>
          <w:lang w:eastAsia="en-ZA"/>
        </w:rPr>
      </w:pPr>
      <w:r w:rsidRPr="00CC6DFF">
        <w:rPr>
          <w:rFonts w:ascii="Arial" w:eastAsiaTheme="minorEastAsia" w:hAnsi="Arial" w:cs="Arial"/>
          <w:b/>
          <w:sz w:val="24"/>
          <w:szCs w:val="24"/>
          <w:lang w:eastAsia="en-ZA"/>
        </w:rPr>
        <w:t>Heard:</w:t>
      </w:r>
      <w:r w:rsidRPr="00CC6DFF">
        <w:rPr>
          <w:rFonts w:ascii="Arial" w:eastAsiaTheme="minorEastAsia" w:hAnsi="Arial" w:cs="Arial"/>
          <w:sz w:val="24"/>
          <w:szCs w:val="24"/>
          <w:lang w:eastAsia="en-ZA"/>
        </w:rPr>
        <w:tab/>
        <w:t>10 November 2022</w:t>
      </w:r>
    </w:p>
    <w:p w14:paraId="51D49091" w14:textId="717080C0" w:rsidR="00913FB7" w:rsidRPr="00CC6DFF" w:rsidRDefault="00913FB7" w:rsidP="006F282D">
      <w:pPr>
        <w:widowControl w:val="0"/>
        <w:autoSpaceDE w:val="0"/>
        <w:autoSpaceDN w:val="0"/>
        <w:adjustRightInd w:val="0"/>
        <w:outlineLvl w:val="0"/>
        <w:rPr>
          <w:rFonts w:ascii="Arial" w:eastAsiaTheme="minorEastAsia" w:hAnsi="Arial" w:cs="Arial"/>
          <w:sz w:val="24"/>
          <w:szCs w:val="24"/>
          <w:lang w:eastAsia="en-ZA"/>
        </w:rPr>
      </w:pPr>
      <w:r w:rsidRPr="00CC6DFF">
        <w:rPr>
          <w:rFonts w:ascii="Arial" w:eastAsiaTheme="minorEastAsia" w:hAnsi="Arial" w:cs="Arial"/>
          <w:b/>
          <w:sz w:val="24"/>
          <w:szCs w:val="24"/>
          <w:lang w:eastAsia="en-ZA"/>
        </w:rPr>
        <w:t>Delivered:</w:t>
      </w:r>
      <w:r w:rsidRPr="00CC6DFF">
        <w:rPr>
          <w:rFonts w:ascii="Arial" w:eastAsiaTheme="minorEastAsia" w:hAnsi="Arial" w:cs="Arial"/>
          <w:b/>
          <w:sz w:val="24"/>
          <w:szCs w:val="24"/>
          <w:lang w:eastAsia="en-ZA"/>
        </w:rPr>
        <w:tab/>
      </w:r>
      <w:r w:rsidR="000F1240">
        <w:rPr>
          <w:rFonts w:ascii="Arial" w:eastAsiaTheme="minorEastAsia" w:hAnsi="Arial" w:cs="Arial"/>
          <w:sz w:val="24"/>
          <w:szCs w:val="24"/>
          <w:lang w:eastAsia="en-ZA"/>
        </w:rPr>
        <w:t>20</w:t>
      </w:r>
      <w:r w:rsidRPr="00CC6DFF">
        <w:rPr>
          <w:rFonts w:ascii="Arial" w:eastAsiaTheme="minorEastAsia" w:hAnsi="Arial" w:cs="Arial"/>
          <w:b/>
          <w:sz w:val="24"/>
          <w:szCs w:val="24"/>
          <w:lang w:eastAsia="en-ZA"/>
        </w:rPr>
        <w:t xml:space="preserve"> </w:t>
      </w:r>
      <w:r w:rsidR="003002E6" w:rsidRPr="00CC6DFF">
        <w:rPr>
          <w:rFonts w:ascii="Arial" w:eastAsiaTheme="minorEastAsia" w:hAnsi="Arial" w:cs="Arial"/>
          <w:sz w:val="24"/>
          <w:szCs w:val="24"/>
          <w:lang w:eastAsia="en-ZA"/>
        </w:rPr>
        <w:t>February</w:t>
      </w:r>
      <w:r w:rsidRPr="00CC6DFF">
        <w:rPr>
          <w:rFonts w:ascii="Arial" w:eastAsiaTheme="minorEastAsia" w:hAnsi="Arial" w:cs="Arial"/>
          <w:b/>
          <w:sz w:val="24"/>
          <w:szCs w:val="24"/>
          <w:lang w:eastAsia="en-ZA"/>
        </w:rPr>
        <w:t xml:space="preserve"> </w:t>
      </w:r>
      <w:r w:rsidRPr="00CC6DFF">
        <w:rPr>
          <w:rFonts w:ascii="Arial" w:eastAsiaTheme="minorEastAsia" w:hAnsi="Arial" w:cs="Arial"/>
          <w:sz w:val="24"/>
          <w:szCs w:val="24"/>
          <w:lang w:eastAsia="en-ZA"/>
        </w:rPr>
        <w:t>2023</w:t>
      </w:r>
    </w:p>
    <w:p w14:paraId="62BAE590" w14:textId="033E008B" w:rsidR="00913FB7" w:rsidRPr="00CC6DFF" w:rsidRDefault="00913FB7" w:rsidP="006F282D">
      <w:pPr>
        <w:contextualSpacing/>
        <w:rPr>
          <w:rFonts w:ascii="Arial" w:eastAsiaTheme="minorEastAsia" w:hAnsi="Arial" w:cs="Arial"/>
          <w:sz w:val="24"/>
          <w:szCs w:val="24"/>
          <w:lang w:eastAsia="en-ZA"/>
        </w:rPr>
      </w:pPr>
      <w:r w:rsidRPr="00CC6DFF">
        <w:rPr>
          <w:rFonts w:ascii="Arial" w:eastAsiaTheme="minorEastAsia" w:hAnsi="Arial" w:cs="Arial"/>
          <w:b/>
          <w:sz w:val="24"/>
          <w:szCs w:val="24"/>
          <w:lang w:eastAsia="en-ZA"/>
        </w:rPr>
        <w:t xml:space="preserve">Summary: </w:t>
      </w:r>
      <w:r w:rsidRPr="00CC6DFF">
        <w:rPr>
          <w:rFonts w:ascii="Arial" w:eastAsiaTheme="minorEastAsia" w:hAnsi="Arial" w:cs="Arial"/>
          <w:b/>
          <w:sz w:val="24"/>
          <w:szCs w:val="24"/>
          <w:lang w:eastAsia="en-ZA"/>
        </w:rPr>
        <w:tab/>
      </w:r>
      <w:r w:rsidRPr="00CC6DFF">
        <w:rPr>
          <w:rFonts w:ascii="Arial" w:eastAsiaTheme="minorEastAsia" w:hAnsi="Arial" w:cs="Arial"/>
          <w:sz w:val="24"/>
          <w:szCs w:val="24"/>
          <w:lang w:eastAsia="en-ZA"/>
        </w:rPr>
        <w:t xml:space="preserve">Contract </w:t>
      </w:r>
      <w:r w:rsidR="006F282D" w:rsidRPr="00CC6DFF">
        <w:rPr>
          <w:rFonts w:ascii="Arial" w:eastAsiaTheme="minorEastAsia" w:hAnsi="Arial" w:cs="Arial"/>
          <w:sz w:val="24"/>
          <w:szCs w:val="24"/>
          <w:lang w:eastAsia="en-ZA"/>
        </w:rPr>
        <w:t>l</w:t>
      </w:r>
      <w:r w:rsidRPr="00CC6DFF">
        <w:rPr>
          <w:rFonts w:ascii="Arial" w:eastAsiaTheme="minorEastAsia" w:hAnsi="Arial" w:cs="Arial"/>
          <w:sz w:val="24"/>
          <w:szCs w:val="24"/>
          <w:lang w:eastAsia="en-ZA"/>
        </w:rPr>
        <w:t>aw – written agreement referring to annexures</w:t>
      </w:r>
      <w:r w:rsidR="006F282D" w:rsidRPr="00CC6DFF">
        <w:rPr>
          <w:rFonts w:ascii="Arial" w:eastAsiaTheme="minorEastAsia" w:hAnsi="Arial" w:cs="Arial"/>
          <w:sz w:val="24"/>
          <w:szCs w:val="24"/>
          <w:lang w:eastAsia="en-ZA"/>
        </w:rPr>
        <w:t>,</w:t>
      </w:r>
      <w:r w:rsidRPr="00CC6DFF">
        <w:rPr>
          <w:rFonts w:ascii="Arial" w:eastAsiaTheme="minorEastAsia" w:hAnsi="Arial" w:cs="Arial"/>
          <w:sz w:val="24"/>
          <w:szCs w:val="24"/>
          <w:lang w:eastAsia="en-ZA"/>
        </w:rPr>
        <w:t xml:space="preserve"> but </w:t>
      </w:r>
      <w:r w:rsidR="00C411DB" w:rsidRPr="00CC6DFF">
        <w:rPr>
          <w:rFonts w:ascii="Arial" w:eastAsiaTheme="minorEastAsia" w:hAnsi="Arial" w:cs="Arial"/>
          <w:sz w:val="24"/>
          <w:szCs w:val="24"/>
          <w:lang w:eastAsia="en-ZA"/>
        </w:rPr>
        <w:t xml:space="preserve">same </w:t>
      </w:r>
      <w:r w:rsidRPr="00CC6DFF">
        <w:rPr>
          <w:rFonts w:ascii="Arial" w:eastAsiaTheme="minorEastAsia" w:hAnsi="Arial" w:cs="Arial"/>
          <w:sz w:val="24"/>
          <w:szCs w:val="24"/>
          <w:lang w:eastAsia="en-ZA"/>
        </w:rPr>
        <w:t xml:space="preserve">not attached – whether </w:t>
      </w:r>
      <w:r w:rsidR="00C411DB" w:rsidRPr="00CC6DFF">
        <w:rPr>
          <w:rFonts w:ascii="Arial" w:eastAsiaTheme="minorEastAsia" w:hAnsi="Arial" w:cs="Arial"/>
          <w:sz w:val="24"/>
          <w:szCs w:val="24"/>
          <w:lang w:eastAsia="en-ZA"/>
        </w:rPr>
        <w:t>such</w:t>
      </w:r>
      <w:r w:rsidRPr="00CC6DFF">
        <w:rPr>
          <w:rFonts w:ascii="Arial" w:eastAsiaTheme="minorEastAsia" w:hAnsi="Arial" w:cs="Arial"/>
          <w:sz w:val="24"/>
          <w:szCs w:val="24"/>
          <w:lang w:eastAsia="en-ZA"/>
        </w:rPr>
        <w:t xml:space="preserve"> renders the agreement </w:t>
      </w:r>
      <w:r w:rsidR="00A17F52" w:rsidRPr="00CC6DFF">
        <w:rPr>
          <w:rFonts w:ascii="Arial" w:eastAsiaTheme="minorEastAsia" w:hAnsi="Arial" w:cs="Arial"/>
          <w:sz w:val="24"/>
          <w:szCs w:val="24"/>
          <w:lang w:eastAsia="en-ZA"/>
        </w:rPr>
        <w:t xml:space="preserve">void for </w:t>
      </w:r>
      <w:r w:rsidRPr="00CC6DFF">
        <w:rPr>
          <w:rFonts w:ascii="Arial" w:eastAsiaTheme="minorEastAsia" w:hAnsi="Arial" w:cs="Arial"/>
          <w:sz w:val="24"/>
          <w:szCs w:val="24"/>
          <w:lang w:eastAsia="en-ZA"/>
        </w:rPr>
        <w:t>vague</w:t>
      </w:r>
      <w:r w:rsidR="00A17F52" w:rsidRPr="00CC6DFF">
        <w:rPr>
          <w:rFonts w:ascii="Arial" w:eastAsiaTheme="minorEastAsia" w:hAnsi="Arial" w:cs="Arial"/>
          <w:sz w:val="24"/>
          <w:szCs w:val="24"/>
          <w:lang w:eastAsia="en-ZA"/>
        </w:rPr>
        <w:t>ness</w:t>
      </w:r>
      <w:r w:rsidRPr="00CC6DFF">
        <w:rPr>
          <w:rFonts w:ascii="Arial" w:eastAsiaTheme="minorEastAsia" w:hAnsi="Arial" w:cs="Arial"/>
          <w:sz w:val="24"/>
          <w:szCs w:val="24"/>
          <w:lang w:eastAsia="en-ZA"/>
        </w:rPr>
        <w:t xml:space="preserve">. </w:t>
      </w:r>
    </w:p>
    <w:p w14:paraId="3705ABD1" w14:textId="5EDE1A31" w:rsidR="00913FB7" w:rsidRPr="00CC6DFF" w:rsidRDefault="00913FB7" w:rsidP="00913FB7">
      <w:pPr>
        <w:contextualSpacing/>
        <w:rPr>
          <w:rFonts w:ascii="Arial" w:eastAsiaTheme="minorEastAsia" w:hAnsi="Arial" w:cs="Arial"/>
          <w:sz w:val="24"/>
          <w:szCs w:val="24"/>
          <w:lang w:eastAsia="en-ZA"/>
        </w:rPr>
      </w:pPr>
      <w:r w:rsidRPr="00CC6DFF">
        <w:rPr>
          <w:rFonts w:ascii="Arial" w:eastAsiaTheme="minorEastAsia" w:hAnsi="Arial" w:cs="Arial"/>
          <w:sz w:val="24"/>
          <w:szCs w:val="24"/>
          <w:lang w:eastAsia="en-ZA"/>
        </w:rPr>
        <w:t xml:space="preserve">Tacit term – duration of agreement subject to occurrence of a specified event – whether tacit term </w:t>
      </w:r>
      <w:r w:rsidR="00A17F52" w:rsidRPr="00CC6DFF">
        <w:rPr>
          <w:rFonts w:ascii="Arial" w:eastAsiaTheme="minorEastAsia" w:hAnsi="Arial" w:cs="Arial"/>
          <w:sz w:val="24"/>
          <w:szCs w:val="24"/>
          <w:lang w:eastAsia="en-ZA"/>
        </w:rPr>
        <w:t>can</w:t>
      </w:r>
      <w:r w:rsidRPr="00CC6DFF">
        <w:rPr>
          <w:rFonts w:ascii="Arial" w:eastAsiaTheme="minorEastAsia" w:hAnsi="Arial" w:cs="Arial"/>
          <w:sz w:val="24"/>
          <w:szCs w:val="24"/>
          <w:lang w:eastAsia="en-ZA"/>
        </w:rPr>
        <w:t xml:space="preserve"> be read in to allow a party to terminate </w:t>
      </w:r>
      <w:r w:rsidR="00316F7E" w:rsidRPr="00CC6DFF">
        <w:rPr>
          <w:rFonts w:ascii="Arial" w:eastAsiaTheme="minorEastAsia" w:hAnsi="Arial" w:cs="Arial"/>
          <w:sz w:val="24"/>
          <w:szCs w:val="24"/>
          <w:lang w:eastAsia="en-ZA"/>
        </w:rPr>
        <w:t xml:space="preserve">the </w:t>
      </w:r>
      <w:r w:rsidR="006F282D" w:rsidRPr="00CC6DFF">
        <w:rPr>
          <w:rFonts w:ascii="Arial" w:eastAsiaTheme="minorEastAsia" w:hAnsi="Arial" w:cs="Arial"/>
          <w:sz w:val="24"/>
          <w:szCs w:val="24"/>
          <w:lang w:eastAsia="en-ZA"/>
        </w:rPr>
        <w:t>agreement</w:t>
      </w:r>
      <w:r w:rsidRPr="00CC6DFF">
        <w:rPr>
          <w:rFonts w:ascii="Arial" w:eastAsiaTheme="minorEastAsia" w:hAnsi="Arial" w:cs="Arial"/>
          <w:sz w:val="24"/>
          <w:szCs w:val="24"/>
          <w:lang w:eastAsia="en-ZA"/>
        </w:rPr>
        <w:t xml:space="preserve"> on reasonable notice.  </w:t>
      </w:r>
      <w:r w:rsidRPr="00CC6DFF">
        <w:rPr>
          <w:rFonts w:ascii="Arial" w:eastAsiaTheme="minorEastAsia" w:hAnsi="Arial" w:cs="Arial"/>
          <w:b/>
          <w:sz w:val="24"/>
          <w:szCs w:val="24"/>
          <w:lang w:eastAsia="en-ZA"/>
        </w:rPr>
        <w:br w:type="page"/>
      </w:r>
    </w:p>
    <w:p w14:paraId="6F9D36FB" w14:textId="77777777" w:rsidR="00913FB7" w:rsidRPr="00CC6DFF" w:rsidRDefault="00913FB7" w:rsidP="00913FB7">
      <w:pPr>
        <w:widowControl w:val="0"/>
        <w:autoSpaceDE w:val="0"/>
        <w:autoSpaceDN w:val="0"/>
        <w:adjustRightInd w:val="0"/>
        <w:spacing w:line="240" w:lineRule="auto"/>
        <w:ind w:left="1440" w:hanging="1440"/>
        <w:jc w:val="center"/>
        <w:rPr>
          <w:rFonts w:ascii="Arial" w:eastAsiaTheme="minorEastAsia" w:hAnsi="Arial" w:cs="Arial"/>
          <w:b/>
          <w:sz w:val="24"/>
          <w:szCs w:val="24"/>
          <w:lang w:eastAsia="en-ZA"/>
        </w:rPr>
      </w:pPr>
      <w:r w:rsidRPr="00CC6DFF">
        <w:rPr>
          <w:rFonts w:ascii="Arial" w:eastAsiaTheme="minorEastAsia" w:hAnsi="Arial" w:cs="Arial"/>
          <w:b/>
          <w:sz w:val="24"/>
          <w:szCs w:val="24"/>
          <w:lang w:eastAsia="en-ZA"/>
        </w:rPr>
        <w:lastRenderedPageBreak/>
        <w:t>___________________________________________________________________</w:t>
      </w:r>
    </w:p>
    <w:p w14:paraId="7D533503" w14:textId="77777777" w:rsidR="00913FB7" w:rsidRPr="00CC6DFF" w:rsidRDefault="00913FB7" w:rsidP="00913FB7">
      <w:pPr>
        <w:widowControl w:val="0"/>
        <w:autoSpaceDE w:val="0"/>
        <w:autoSpaceDN w:val="0"/>
        <w:adjustRightInd w:val="0"/>
        <w:spacing w:after="120" w:line="240" w:lineRule="auto"/>
        <w:jc w:val="center"/>
        <w:rPr>
          <w:rFonts w:ascii="Arial" w:eastAsiaTheme="minorEastAsia" w:hAnsi="Arial" w:cs="Arial"/>
          <w:b/>
          <w:sz w:val="24"/>
          <w:szCs w:val="24"/>
          <w:lang w:eastAsia="en-ZA"/>
        </w:rPr>
      </w:pPr>
      <w:r w:rsidRPr="00CC6DFF">
        <w:rPr>
          <w:rFonts w:ascii="Arial" w:eastAsiaTheme="minorEastAsia" w:hAnsi="Arial" w:cs="Arial"/>
          <w:b/>
          <w:sz w:val="24"/>
          <w:szCs w:val="24"/>
          <w:lang w:eastAsia="en-ZA"/>
        </w:rPr>
        <w:t>ORDER</w:t>
      </w:r>
    </w:p>
    <w:p w14:paraId="7C25C1C7" w14:textId="77777777" w:rsidR="00913FB7" w:rsidRPr="00CC6DFF" w:rsidRDefault="00913FB7" w:rsidP="00913FB7">
      <w:pPr>
        <w:widowControl w:val="0"/>
        <w:autoSpaceDE w:val="0"/>
        <w:autoSpaceDN w:val="0"/>
        <w:adjustRightInd w:val="0"/>
        <w:spacing w:after="0" w:line="240" w:lineRule="auto"/>
        <w:ind w:left="1440" w:hanging="1440"/>
        <w:jc w:val="center"/>
        <w:rPr>
          <w:rFonts w:ascii="Arial" w:eastAsiaTheme="minorEastAsia" w:hAnsi="Arial" w:cs="Arial"/>
          <w:sz w:val="24"/>
          <w:szCs w:val="24"/>
          <w:lang w:eastAsia="en-ZA"/>
        </w:rPr>
      </w:pPr>
      <w:r w:rsidRPr="00CC6DFF">
        <w:rPr>
          <w:rFonts w:ascii="Arial" w:eastAsiaTheme="minorEastAsia" w:hAnsi="Arial" w:cs="Arial"/>
          <w:b/>
          <w:sz w:val="24"/>
          <w:szCs w:val="24"/>
          <w:lang w:eastAsia="en-ZA"/>
        </w:rPr>
        <w:t>___________________________________________________________________</w:t>
      </w:r>
    </w:p>
    <w:p w14:paraId="4F87DBB7" w14:textId="77777777" w:rsidR="00913FB7" w:rsidRPr="00CC6DFF" w:rsidRDefault="00913FB7" w:rsidP="00913FB7">
      <w:pPr>
        <w:keepNext/>
        <w:keepLines/>
        <w:shd w:val="clear" w:color="auto" w:fill="FFFFFF"/>
        <w:spacing w:before="240" w:after="0"/>
        <w:outlineLvl w:val="1"/>
        <w:rPr>
          <w:rFonts w:ascii="Arial" w:eastAsiaTheme="minorEastAsia" w:hAnsi="Arial" w:cs="Arial"/>
          <w:sz w:val="24"/>
          <w:szCs w:val="24"/>
          <w:lang w:eastAsia="en-ZA"/>
        </w:rPr>
      </w:pPr>
      <w:r w:rsidRPr="00CC6DFF">
        <w:rPr>
          <w:rFonts w:ascii="Arial" w:eastAsiaTheme="minorEastAsia" w:hAnsi="Arial" w:cs="Arial"/>
          <w:b/>
          <w:sz w:val="24"/>
          <w:szCs w:val="24"/>
          <w:lang w:eastAsia="en-ZA"/>
        </w:rPr>
        <w:t>On appeal from:</w:t>
      </w:r>
      <w:r w:rsidRPr="00CC6DFF">
        <w:rPr>
          <w:rFonts w:ascii="Arial" w:eastAsiaTheme="minorEastAsia" w:hAnsi="Arial" w:cs="Arial"/>
          <w:sz w:val="24"/>
          <w:szCs w:val="24"/>
          <w:lang w:eastAsia="en-ZA"/>
        </w:rPr>
        <w:t xml:space="preserve"> </w:t>
      </w:r>
      <w:bookmarkStart w:id="4" w:name="_Hlk92393248"/>
      <w:r w:rsidRPr="00CC6DFF">
        <w:rPr>
          <w:rFonts w:ascii="Arial" w:eastAsiaTheme="minorEastAsia" w:hAnsi="Arial" w:cs="Arial"/>
          <w:sz w:val="24"/>
          <w:szCs w:val="24"/>
          <w:lang w:eastAsia="en-ZA"/>
        </w:rPr>
        <w:t xml:space="preserve">Limpopo </w:t>
      </w:r>
      <w:r w:rsidRPr="00CC6DFF">
        <w:rPr>
          <w:rFonts w:ascii="Arial" w:eastAsiaTheme="majorEastAsia" w:hAnsi="Arial" w:cs="Arial"/>
          <w:sz w:val="24"/>
          <w:szCs w:val="24"/>
        </w:rPr>
        <w:t xml:space="preserve">Division </w:t>
      </w:r>
      <w:r w:rsidRPr="00CC6DFF">
        <w:rPr>
          <w:rFonts w:ascii="Arial" w:eastAsiaTheme="minorEastAsia" w:hAnsi="Arial" w:cs="Arial"/>
          <w:sz w:val="24"/>
          <w:szCs w:val="24"/>
          <w:lang w:eastAsia="en-ZA"/>
        </w:rPr>
        <w:t>of the High Court,</w:t>
      </w:r>
      <w:r w:rsidRPr="00CC6DFF">
        <w:rPr>
          <w:rFonts w:ascii="Arial" w:eastAsiaTheme="majorEastAsia" w:hAnsi="Arial" w:cs="Arial"/>
          <w:sz w:val="24"/>
          <w:szCs w:val="24"/>
        </w:rPr>
        <w:t xml:space="preserve"> </w:t>
      </w:r>
      <w:bookmarkEnd w:id="4"/>
      <w:r w:rsidRPr="00CC6DFF">
        <w:rPr>
          <w:rFonts w:ascii="Arial" w:eastAsiaTheme="majorEastAsia" w:hAnsi="Arial" w:cs="Arial"/>
          <w:sz w:val="24"/>
          <w:szCs w:val="24"/>
        </w:rPr>
        <w:t xml:space="preserve">Thohoyandou </w:t>
      </w:r>
      <w:r w:rsidRPr="00CC6DFF">
        <w:rPr>
          <w:rFonts w:ascii="Arial" w:eastAsiaTheme="minorEastAsia" w:hAnsi="Arial" w:cs="Arial"/>
          <w:sz w:val="24"/>
          <w:szCs w:val="24"/>
          <w:lang w:eastAsia="en-ZA"/>
        </w:rPr>
        <w:t xml:space="preserve">(Ledwaba AJ, sitting as a court of first instance): </w:t>
      </w:r>
      <w:bookmarkStart w:id="5" w:name="_Hlk116395877"/>
    </w:p>
    <w:p w14:paraId="2A04CF07" w14:textId="77777777" w:rsidR="00913FB7" w:rsidRPr="00CC6DFF" w:rsidRDefault="00913FB7" w:rsidP="00CC4CE2">
      <w:pPr>
        <w:shd w:val="clear" w:color="auto" w:fill="FFFFFF"/>
        <w:spacing w:before="240" w:after="0"/>
        <w:rPr>
          <w:rFonts w:ascii="Arial" w:hAnsi="Arial" w:cs="Arial"/>
          <w:sz w:val="24"/>
          <w:szCs w:val="24"/>
        </w:rPr>
      </w:pPr>
      <w:bookmarkStart w:id="6" w:name="_Hlk117677721"/>
      <w:bookmarkStart w:id="7" w:name="_Hlk117514591"/>
      <w:r w:rsidRPr="00CC6DFF">
        <w:rPr>
          <w:rFonts w:ascii="Arial" w:hAnsi="Arial" w:cs="Arial"/>
          <w:sz w:val="24"/>
          <w:szCs w:val="24"/>
        </w:rPr>
        <w:t>The appeal is dismissed with costs.</w:t>
      </w:r>
    </w:p>
    <w:p w14:paraId="15870754" w14:textId="77777777" w:rsidR="00913FB7" w:rsidRPr="00CC6DFF" w:rsidRDefault="00913FB7" w:rsidP="00913FB7">
      <w:pPr>
        <w:widowControl w:val="0"/>
        <w:autoSpaceDE w:val="0"/>
        <w:autoSpaceDN w:val="0"/>
        <w:adjustRightInd w:val="0"/>
        <w:spacing w:before="240" w:after="120" w:line="240" w:lineRule="auto"/>
        <w:ind w:left="1440" w:hanging="1440"/>
        <w:jc w:val="center"/>
        <w:rPr>
          <w:rFonts w:ascii="Arial" w:eastAsiaTheme="minorEastAsia" w:hAnsi="Arial" w:cs="Arial"/>
          <w:b/>
          <w:sz w:val="24"/>
          <w:szCs w:val="24"/>
          <w:lang w:eastAsia="en-ZA"/>
        </w:rPr>
      </w:pPr>
      <w:r w:rsidRPr="00CC6DFF">
        <w:rPr>
          <w:rFonts w:ascii="Arial" w:eastAsiaTheme="minorEastAsia" w:hAnsi="Arial" w:cs="Arial"/>
          <w:b/>
          <w:sz w:val="24"/>
          <w:szCs w:val="24"/>
          <w:lang w:eastAsia="en-ZA"/>
        </w:rPr>
        <w:t>___________________________________________________________________</w:t>
      </w:r>
    </w:p>
    <w:p w14:paraId="7830D570" w14:textId="77777777" w:rsidR="00913FB7" w:rsidRPr="00CC6DFF" w:rsidRDefault="00913FB7" w:rsidP="00913FB7">
      <w:pPr>
        <w:widowControl w:val="0"/>
        <w:autoSpaceDE w:val="0"/>
        <w:autoSpaceDN w:val="0"/>
        <w:adjustRightInd w:val="0"/>
        <w:spacing w:after="0" w:line="240" w:lineRule="auto"/>
        <w:jc w:val="center"/>
        <w:rPr>
          <w:rFonts w:ascii="Arial" w:eastAsiaTheme="minorEastAsia" w:hAnsi="Arial" w:cs="Arial"/>
          <w:b/>
          <w:sz w:val="24"/>
          <w:szCs w:val="24"/>
          <w:lang w:eastAsia="en-ZA"/>
        </w:rPr>
      </w:pPr>
    </w:p>
    <w:p w14:paraId="0479252C" w14:textId="77777777" w:rsidR="00913FB7" w:rsidRPr="00CC6DFF" w:rsidRDefault="00913FB7" w:rsidP="00913FB7">
      <w:pPr>
        <w:widowControl w:val="0"/>
        <w:autoSpaceDE w:val="0"/>
        <w:autoSpaceDN w:val="0"/>
        <w:adjustRightInd w:val="0"/>
        <w:spacing w:after="120" w:line="240" w:lineRule="auto"/>
        <w:jc w:val="center"/>
        <w:rPr>
          <w:rFonts w:ascii="Arial" w:eastAsiaTheme="minorEastAsia" w:hAnsi="Arial" w:cs="Arial"/>
          <w:b/>
          <w:sz w:val="24"/>
          <w:szCs w:val="24"/>
          <w:lang w:eastAsia="en-ZA"/>
        </w:rPr>
      </w:pPr>
      <w:r w:rsidRPr="00CC6DFF">
        <w:rPr>
          <w:rFonts w:ascii="Arial" w:eastAsiaTheme="minorEastAsia" w:hAnsi="Arial" w:cs="Arial"/>
          <w:b/>
          <w:sz w:val="24"/>
          <w:szCs w:val="24"/>
          <w:lang w:eastAsia="en-ZA"/>
        </w:rPr>
        <w:t>JUDGMENT</w:t>
      </w:r>
    </w:p>
    <w:p w14:paraId="3693C9A6" w14:textId="77777777" w:rsidR="00913FB7" w:rsidRPr="00CC6DFF" w:rsidRDefault="00913FB7" w:rsidP="00CC4CE2">
      <w:pPr>
        <w:widowControl w:val="0"/>
        <w:autoSpaceDE w:val="0"/>
        <w:autoSpaceDN w:val="0"/>
        <w:adjustRightInd w:val="0"/>
        <w:spacing w:after="480" w:line="240" w:lineRule="auto"/>
        <w:ind w:left="1440" w:hanging="1440"/>
        <w:jc w:val="center"/>
        <w:rPr>
          <w:rFonts w:ascii="Arial" w:eastAsiaTheme="minorEastAsia" w:hAnsi="Arial" w:cs="Arial"/>
          <w:sz w:val="24"/>
          <w:szCs w:val="24"/>
          <w:lang w:eastAsia="en-ZA"/>
        </w:rPr>
      </w:pPr>
      <w:r w:rsidRPr="00CC6DFF">
        <w:rPr>
          <w:rFonts w:ascii="Arial" w:eastAsiaTheme="minorEastAsia" w:hAnsi="Arial" w:cs="Arial"/>
          <w:b/>
          <w:sz w:val="24"/>
          <w:szCs w:val="24"/>
          <w:lang w:eastAsia="en-ZA"/>
        </w:rPr>
        <w:t>___________________________________________________________________</w:t>
      </w:r>
    </w:p>
    <w:p w14:paraId="5EABB5C7" w14:textId="19ED5A07" w:rsidR="00C0224C" w:rsidRPr="00CC6DFF" w:rsidRDefault="00913FB7" w:rsidP="00457BFE">
      <w:pPr>
        <w:widowControl w:val="0"/>
        <w:autoSpaceDE w:val="0"/>
        <w:autoSpaceDN w:val="0"/>
        <w:adjustRightInd w:val="0"/>
        <w:spacing w:before="240" w:after="240"/>
        <w:ind w:left="1440" w:hanging="1440"/>
        <w:rPr>
          <w:rFonts w:ascii="Arial" w:hAnsi="Arial" w:cs="Arial"/>
          <w:b/>
          <w:bCs/>
          <w:sz w:val="24"/>
          <w:szCs w:val="24"/>
        </w:rPr>
      </w:pPr>
      <w:r w:rsidRPr="00CC6DFF">
        <w:rPr>
          <w:rFonts w:ascii="Arial" w:hAnsi="Arial" w:cs="Arial"/>
          <w:b/>
          <w:bCs/>
          <w:sz w:val="24"/>
          <w:szCs w:val="24"/>
        </w:rPr>
        <w:t>Makgoka JA (</w:t>
      </w:r>
      <w:r w:rsidR="00457BFE" w:rsidRPr="00CC6DFF">
        <w:rPr>
          <w:rFonts w:ascii="Arial" w:hAnsi="Arial" w:cs="Arial"/>
          <w:b/>
          <w:bCs/>
          <w:sz w:val="24"/>
          <w:szCs w:val="24"/>
        </w:rPr>
        <w:t xml:space="preserve">Petse AP, Mocumie JA and Salie and Siwendu AJJA </w:t>
      </w:r>
      <w:r w:rsidRPr="00CC6DFF">
        <w:rPr>
          <w:rFonts w:ascii="Arial" w:hAnsi="Arial" w:cs="Arial"/>
          <w:b/>
          <w:bCs/>
          <w:sz w:val="24"/>
          <w:szCs w:val="24"/>
        </w:rPr>
        <w:t>concurring):</w:t>
      </w:r>
    </w:p>
    <w:p w14:paraId="7C697047" w14:textId="09B5CF48" w:rsidR="00913FB7" w:rsidRPr="00CC6DFF" w:rsidRDefault="00311C8E" w:rsidP="00311C8E">
      <w:pPr>
        <w:shd w:val="clear" w:color="auto" w:fill="FFFFFF"/>
        <w:spacing w:after="840"/>
        <w:contextualSpacing/>
        <w:rPr>
          <w:rFonts w:ascii="Arial" w:hAnsi="Arial" w:cs="Arial"/>
          <w:sz w:val="24"/>
          <w:szCs w:val="24"/>
        </w:rPr>
      </w:pPr>
      <w:r w:rsidRPr="00CC6DFF">
        <w:rPr>
          <w:rFonts w:ascii="Arial" w:hAnsi="Arial" w:cs="Arial"/>
          <w:snapToGrid w:val="0"/>
          <w:color w:val="000000"/>
          <w:w w:val="0"/>
          <w:sz w:val="24"/>
          <w:szCs w:val="24"/>
        </w:rPr>
        <w:t>[1]</w:t>
      </w:r>
      <w:r w:rsidRPr="00CC6DFF">
        <w:rPr>
          <w:rFonts w:ascii="Arial" w:hAnsi="Arial" w:cs="Arial"/>
          <w:snapToGrid w:val="0"/>
          <w:color w:val="000000"/>
          <w:w w:val="0"/>
          <w:sz w:val="24"/>
          <w:szCs w:val="24"/>
        </w:rPr>
        <w:tab/>
      </w:r>
      <w:r w:rsidR="00913FB7" w:rsidRPr="00CC6DFF">
        <w:rPr>
          <w:rFonts w:ascii="Arial" w:hAnsi="Arial" w:cs="Arial"/>
          <w:sz w:val="24"/>
          <w:szCs w:val="24"/>
        </w:rPr>
        <w:t xml:space="preserve">The issue </w:t>
      </w:r>
      <w:r w:rsidR="00B6564B" w:rsidRPr="00CC6DFF">
        <w:rPr>
          <w:rFonts w:ascii="Arial" w:hAnsi="Arial" w:cs="Arial"/>
          <w:sz w:val="24"/>
          <w:szCs w:val="24"/>
        </w:rPr>
        <w:t>in</w:t>
      </w:r>
      <w:r w:rsidR="00913FB7" w:rsidRPr="00CC6DFF">
        <w:rPr>
          <w:rFonts w:ascii="Arial" w:hAnsi="Arial" w:cs="Arial"/>
          <w:sz w:val="24"/>
          <w:szCs w:val="24"/>
        </w:rPr>
        <w:t xml:space="preserve"> this appeal is whether </w:t>
      </w:r>
      <w:r w:rsidR="00476F89" w:rsidRPr="00CC6DFF">
        <w:rPr>
          <w:rFonts w:ascii="Arial" w:hAnsi="Arial" w:cs="Arial"/>
          <w:sz w:val="24"/>
          <w:szCs w:val="24"/>
        </w:rPr>
        <w:t xml:space="preserve">an </w:t>
      </w:r>
      <w:r w:rsidR="00913FB7" w:rsidRPr="00CC6DFF">
        <w:rPr>
          <w:rFonts w:ascii="Arial" w:hAnsi="Arial" w:cs="Arial"/>
          <w:sz w:val="24"/>
          <w:szCs w:val="24"/>
        </w:rPr>
        <w:t xml:space="preserve">agreement concluded between the </w:t>
      </w:r>
      <w:r w:rsidR="006E6571" w:rsidRPr="00CC6DFF">
        <w:rPr>
          <w:rFonts w:ascii="Arial" w:hAnsi="Arial" w:cs="Arial"/>
          <w:sz w:val="24"/>
          <w:szCs w:val="24"/>
          <w:lang w:val="en-GB"/>
        </w:rPr>
        <w:t xml:space="preserve">appellant, </w:t>
      </w:r>
      <w:r w:rsidR="00202BBA" w:rsidRPr="00CC6DFF">
        <w:rPr>
          <w:rFonts w:ascii="Arial" w:hAnsi="Arial" w:cs="Arial"/>
          <w:sz w:val="24"/>
          <w:szCs w:val="24"/>
          <w:lang w:val="en-GB"/>
        </w:rPr>
        <w:t xml:space="preserve">the first </w:t>
      </w:r>
      <w:r w:rsidR="00316F7E" w:rsidRPr="00CC6DFF">
        <w:rPr>
          <w:rFonts w:ascii="Arial" w:hAnsi="Arial" w:cs="Arial"/>
          <w:sz w:val="24"/>
          <w:szCs w:val="24"/>
          <w:lang w:val="en-GB"/>
        </w:rPr>
        <w:t xml:space="preserve">respondent </w:t>
      </w:r>
      <w:r w:rsidR="00202BBA" w:rsidRPr="00CC6DFF">
        <w:rPr>
          <w:rFonts w:ascii="Arial" w:hAnsi="Arial" w:cs="Arial"/>
          <w:sz w:val="24"/>
          <w:szCs w:val="24"/>
          <w:lang w:val="en-GB"/>
        </w:rPr>
        <w:t xml:space="preserve">and </w:t>
      </w:r>
      <w:r w:rsidR="00316F7E" w:rsidRPr="00CC6DFF">
        <w:rPr>
          <w:rFonts w:ascii="Arial" w:hAnsi="Arial" w:cs="Arial"/>
          <w:sz w:val="24"/>
          <w:szCs w:val="24"/>
          <w:lang w:val="en-GB"/>
        </w:rPr>
        <w:t xml:space="preserve">the </w:t>
      </w:r>
      <w:r w:rsidR="00202BBA" w:rsidRPr="00CC6DFF">
        <w:rPr>
          <w:rFonts w:ascii="Arial" w:hAnsi="Arial" w:cs="Arial"/>
          <w:sz w:val="24"/>
          <w:szCs w:val="24"/>
          <w:lang w:val="en-GB"/>
        </w:rPr>
        <w:t>second respondent</w:t>
      </w:r>
      <w:r w:rsidR="006E6571" w:rsidRPr="00CC6DFF">
        <w:rPr>
          <w:rFonts w:ascii="Arial" w:hAnsi="Arial" w:cs="Arial"/>
          <w:sz w:val="24"/>
          <w:szCs w:val="24"/>
          <w:lang w:val="en-GB"/>
        </w:rPr>
        <w:t xml:space="preserve"> </w:t>
      </w:r>
      <w:r w:rsidR="00913FB7" w:rsidRPr="00CC6DFF">
        <w:rPr>
          <w:rFonts w:ascii="Arial" w:hAnsi="Arial" w:cs="Arial"/>
          <w:sz w:val="24"/>
          <w:szCs w:val="24"/>
        </w:rPr>
        <w:t>is</w:t>
      </w:r>
      <w:r w:rsidR="00A17F52" w:rsidRPr="00CC6DFF">
        <w:rPr>
          <w:rFonts w:ascii="Arial" w:hAnsi="Arial" w:cs="Arial"/>
          <w:sz w:val="24"/>
          <w:szCs w:val="24"/>
        </w:rPr>
        <w:t>:</w:t>
      </w:r>
      <w:r w:rsidR="00913FB7" w:rsidRPr="00CC6DFF">
        <w:rPr>
          <w:rFonts w:ascii="Arial" w:hAnsi="Arial" w:cs="Arial"/>
          <w:sz w:val="24"/>
          <w:szCs w:val="24"/>
        </w:rPr>
        <w:t xml:space="preserve"> </w:t>
      </w:r>
      <w:r w:rsidR="003002E6" w:rsidRPr="00CC6DFF">
        <w:rPr>
          <w:rFonts w:ascii="Arial" w:hAnsi="Arial" w:cs="Arial"/>
          <w:sz w:val="24"/>
          <w:szCs w:val="24"/>
        </w:rPr>
        <w:t xml:space="preserve">(a) </w:t>
      </w:r>
      <w:r w:rsidR="00913FB7" w:rsidRPr="00CC6DFF">
        <w:rPr>
          <w:rFonts w:ascii="Arial" w:hAnsi="Arial" w:cs="Arial"/>
          <w:sz w:val="24"/>
          <w:szCs w:val="24"/>
        </w:rPr>
        <w:t xml:space="preserve">void for vagueness; </w:t>
      </w:r>
      <w:r w:rsidR="006E6571" w:rsidRPr="00CC6DFF">
        <w:rPr>
          <w:rFonts w:ascii="Arial" w:hAnsi="Arial" w:cs="Arial"/>
          <w:sz w:val="24"/>
          <w:szCs w:val="24"/>
        </w:rPr>
        <w:t xml:space="preserve">and </w:t>
      </w:r>
      <w:r w:rsidR="00913FB7" w:rsidRPr="00CC6DFF">
        <w:rPr>
          <w:rFonts w:ascii="Arial" w:hAnsi="Arial" w:cs="Arial"/>
          <w:sz w:val="24"/>
          <w:szCs w:val="24"/>
        </w:rPr>
        <w:t xml:space="preserve">(b) </w:t>
      </w:r>
      <w:r w:rsidR="003002E6" w:rsidRPr="00CC6DFF">
        <w:rPr>
          <w:rFonts w:ascii="Arial" w:hAnsi="Arial" w:cs="Arial"/>
          <w:sz w:val="24"/>
          <w:szCs w:val="24"/>
        </w:rPr>
        <w:t xml:space="preserve">necessitates a </w:t>
      </w:r>
      <w:r w:rsidR="00913FB7" w:rsidRPr="00CC6DFF">
        <w:rPr>
          <w:rFonts w:ascii="Arial" w:hAnsi="Arial" w:cs="Arial"/>
          <w:sz w:val="24"/>
          <w:szCs w:val="24"/>
        </w:rPr>
        <w:t xml:space="preserve">tacit term </w:t>
      </w:r>
      <w:r w:rsidR="003002E6" w:rsidRPr="00CC6DFF">
        <w:rPr>
          <w:rFonts w:ascii="Arial" w:hAnsi="Arial" w:cs="Arial"/>
          <w:sz w:val="24"/>
          <w:szCs w:val="24"/>
        </w:rPr>
        <w:t xml:space="preserve">to </w:t>
      </w:r>
      <w:r w:rsidR="00913FB7" w:rsidRPr="00CC6DFF">
        <w:rPr>
          <w:rFonts w:ascii="Arial" w:hAnsi="Arial" w:cs="Arial"/>
          <w:sz w:val="24"/>
          <w:szCs w:val="24"/>
        </w:rPr>
        <w:t xml:space="preserve">be read into </w:t>
      </w:r>
      <w:r w:rsidR="003002E6" w:rsidRPr="00CC6DFF">
        <w:rPr>
          <w:rFonts w:ascii="Arial" w:hAnsi="Arial" w:cs="Arial"/>
          <w:sz w:val="24"/>
          <w:szCs w:val="24"/>
        </w:rPr>
        <w:t xml:space="preserve">it </w:t>
      </w:r>
      <w:r w:rsidR="00913FB7" w:rsidRPr="00CC6DFF">
        <w:rPr>
          <w:rFonts w:ascii="Arial" w:hAnsi="Arial" w:cs="Arial"/>
          <w:sz w:val="24"/>
          <w:szCs w:val="24"/>
        </w:rPr>
        <w:t>as to its duration. The Limpopo Division</w:t>
      </w:r>
      <w:r w:rsidR="00B6564B" w:rsidRPr="00CC6DFF">
        <w:rPr>
          <w:rFonts w:ascii="Arial" w:hAnsi="Arial" w:cs="Arial"/>
          <w:sz w:val="24"/>
          <w:szCs w:val="24"/>
        </w:rPr>
        <w:t xml:space="preserve"> of the High Court</w:t>
      </w:r>
      <w:r w:rsidR="00913FB7" w:rsidRPr="00CC6DFF">
        <w:rPr>
          <w:rFonts w:ascii="Arial" w:hAnsi="Arial" w:cs="Arial"/>
          <w:sz w:val="24"/>
          <w:szCs w:val="24"/>
        </w:rPr>
        <w:t xml:space="preserve">, Thohoyandou (the high court) answered both questions in the negative, and made an order enforcing the agreement. Aggrieved </w:t>
      </w:r>
      <w:r w:rsidR="00A17F52" w:rsidRPr="00CC6DFF">
        <w:rPr>
          <w:rFonts w:ascii="Arial" w:hAnsi="Arial" w:cs="Arial"/>
          <w:sz w:val="24"/>
          <w:szCs w:val="24"/>
        </w:rPr>
        <w:t>by</w:t>
      </w:r>
      <w:r w:rsidR="00913FB7" w:rsidRPr="00CC6DFF">
        <w:rPr>
          <w:rFonts w:ascii="Arial" w:hAnsi="Arial" w:cs="Arial"/>
          <w:sz w:val="24"/>
          <w:szCs w:val="24"/>
        </w:rPr>
        <w:t xml:space="preserve"> that order,</w:t>
      </w:r>
      <w:r w:rsidR="00B6564B" w:rsidRPr="00CC6DFF">
        <w:rPr>
          <w:rFonts w:ascii="Arial" w:hAnsi="Arial" w:cs="Arial"/>
          <w:sz w:val="24"/>
          <w:szCs w:val="24"/>
        </w:rPr>
        <w:t xml:space="preserve"> the appellant </w:t>
      </w:r>
      <w:r w:rsidR="00913FB7" w:rsidRPr="00CC6DFF">
        <w:rPr>
          <w:rFonts w:ascii="Arial" w:hAnsi="Arial" w:cs="Arial"/>
          <w:sz w:val="24"/>
          <w:szCs w:val="24"/>
          <w:lang w:val="en-GB"/>
        </w:rPr>
        <w:t xml:space="preserve">appeals </w:t>
      </w:r>
      <w:r w:rsidR="00B6564B" w:rsidRPr="00CC6DFF">
        <w:rPr>
          <w:rFonts w:ascii="Arial" w:hAnsi="Arial" w:cs="Arial"/>
          <w:sz w:val="24"/>
          <w:szCs w:val="24"/>
          <w:lang w:val="en-GB"/>
        </w:rPr>
        <w:t>against the decision with</w:t>
      </w:r>
      <w:r w:rsidR="00913FB7" w:rsidRPr="00CC6DFF">
        <w:rPr>
          <w:rFonts w:ascii="Arial" w:hAnsi="Arial" w:cs="Arial"/>
          <w:sz w:val="24"/>
          <w:szCs w:val="24"/>
        </w:rPr>
        <w:t xml:space="preserve"> the leave of the high court.</w:t>
      </w:r>
      <w:r w:rsidR="004F15F0" w:rsidRPr="00CC6DFF">
        <w:rPr>
          <w:rFonts w:ascii="Arial" w:hAnsi="Arial" w:cs="Arial"/>
          <w:sz w:val="24"/>
          <w:szCs w:val="24"/>
        </w:rPr>
        <w:t xml:space="preserve"> The second respondent did not take part in the proceedings in the high court, and does not participate in this appeal.</w:t>
      </w:r>
    </w:p>
    <w:p w14:paraId="74053D97" w14:textId="77777777" w:rsidR="00C0224C" w:rsidRPr="00CC6DFF" w:rsidRDefault="00C0224C" w:rsidP="00867989">
      <w:pPr>
        <w:shd w:val="clear" w:color="auto" w:fill="FFFFFF"/>
        <w:spacing w:after="0"/>
        <w:contextualSpacing/>
        <w:rPr>
          <w:rFonts w:ascii="Arial" w:hAnsi="Arial" w:cs="Arial"/>
          <w:sz w:val="24"/>
          <w:szCs w:val="24"/>
        </w:rPr>
      </w:pPr>
    </w:p>
    <w:p w14:paraId="0818B5FB" w14:textId="439A18CA" w:rsidR="000805F8"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[2]</w:t>
      </w:r>
      <w:r w:rsidRPr="00CC6DFF">
        <w:rPr>
          <w:rFonts w:ascii="Arial" w:hAnsi="Arial" w:cs="Arial"/>
          <w:snapToGrid w:val="0"/>
          <w:color w:val="000000"/>
          <w:w w:val="0"/>
          <w:sz w:val="24"/>
          <w:szCs w:val="24"/>
        </w:rPr>
        <w:tab/>
      </w:r>
      <w:r w:rsidR="00B6564B" w:rsidRPr="00CC6DFF">
        <w:rPr>
          <w:rFonts w:ascii="Arial" w:hAnsi="Arial" w:cs="Arial"/>
          <w:sz w:val="24"/>
          <w:szCs w:val="24"/>
          <w:lang w:val="en-GB"/>
        </w:rPr>
        <w:t xml:space="preserve">The </w:t>
      </w:r>
      <w:r w:rsidR="00913FB7" w:rsidRPr="00CC6DFF">
        <w:rPr>
          <w:rFonts w:ascii="Arial" w:hAnsi="Arial" w:cs="Arial"/>
          <w:sz w:val="24"/>
          <w:szCs w:val="24"/>
          <w:lang w:val="en-GB"/>
        </w:rPr>
        <w:t xml:space="preserve">facts </w:t>
      </w:r>
      <w:r w:rsidR="00476F89" w:rsidRPr="00CC6DFF">
        <w:rPr>
          <w:rFonts w:ascii="Arial" w:hAnsi="Arial" w:cs="Arial"/>
          <w:sz w:val="24"/>
          <w:szCs w:val="24"/>
          <w:lang w:val="en-GB"/>
        </w:rPr>
        <w:t xml:space="preserve">which </w:t>
      </w:r>
      <w:r w:rsidR="00913FB7" w:rsidRPr="00CC6DFF">
        <w:rPr>
          <w:rFonts w:ascii="Arial" w:hAnsi="Arial" w:cs="Arial"/>
          <w:sz w:val="24"/>
          <w:szCs w:val="24"/>
          <w:lang w:val="en-GB"/>
        </w:rPr>
        <w:t>g</w:t>
      </w:r>
      <w:r w:rsidR="00476F89" w:rsidRPr="00CC6DFF">
        <w:rPr>
          <w:rFonts w:ascii="Arial" w:hAnsi="Arial" w:cs="Arial"/>
          <w:sz w:val="24"/>
          <w:szCs w:val="24"/>
          <w:lang w:val="en-GB"/>
        </w:rPr>
        <w:t>ave</w:t>
      </w:r>
      <w:r w:rsidR="00913FB7" w:rsidRPr="00CC6DFF">
        <w:rPr>
          <w:rFonts w:ascii="Arial" w:hAnsi="Arial" w:cs="Arial"/>
          <w:sz w:val="24"/>
          <w:szCs w:val="24"/>
          <w:lang w:val="en-GB"/>
        </w:rPr>
        <w:t xml:space="preserve"> rise to the</w:t>
      </w:r>
      <w:r w:rsidR="003002E6" w:rsidRPr="00CC6DFF">
        <w:rPr>
          <w:rFonts w:ascii="Arial" w:hAnsi="Arial" w:cs="Arial"/>
          <w:sz w:val="24"/>
          <w:szCs w:val="24"/>
          <w:lang w:val="en-GB"/>
        </w:rPr>
        <w:t xml:space="preserve"> dispute</w:t>
      </w:r>
      <w:r w:rsidR="00B6564B" w:rsidRPr="00CC6DFF">
        <w:rPr>
          <w:rFonts w:ascii="Arial" w:hAnsi="Arial" w:cs="Arial"/>
          <w:sz w:val="24"/>
          <w:szCs w:val="24"/>
          <w:lang w:val="en-GB"/>
        </w:rPr>
        <w:t xml:space="preserve"> are as follows</w:t>
      </w:r>
      <w:r w:rsidR="003002E6" w:rsidRPr="00CC6DFF">
        <w:rPr>
          <w:rFonts w:ascii="Arial" w:hAnsi="Arial" w:cs="Arial"/>
          <w:sz w:val="24"/>
          <w:szCs w:val="24"/>
          <w:lang w:val="en-GB"/>
        </w:rPr>
        <w:t>.</w:t>
      </w:r>
      <w:r w:rsidR="00913FB7" w:rsidRPr="00CC6DFF">
        <w:rPr>
          <w:rFonts w:ascii="Arial" w:hAnsi="Arial" w:cs="Arial"/>
          <w:sz w:val="24"/>
          <w:szCs w:val="24"/>
          <w:lang w:val="en-GB"/>
        </w:rPr>
        <w:t xml:space="preserve"> </w:t>
      </w:r>
      <w:r w:rsidR="00202BBA" w:rsidRPr="00CC6DFF">
        <w:rPr>
          <w:rFonts w:ascii="Arial" w:hAnsi="Arial" w:cs="Arial"/>
          <w:sz w:val="24"/>
          <w:szCs w:val="24"/>
          <w:lang w:val="en-GB"/>
        </w:rPr>
        <w:t xml:space="preserve">The appellant, Phadziri &amp; Sons </w:t>
      </w:r>
      <w:r w:rsidR="00605E7E" w:rsidRPr="00CC6DFF">
        <w:rPr>
          <w:rFonts w:ascii="Arial" w:hAnsi="Arial" w:cs="Arial"/>
          <w:sz w:val="24"/>
          <w:szCs w:val="24"/>
          <w:lang w:val="en-GB"/>
        </w:rPr>
        <w:t xml:space="preserve">(Pty) </w:t>
      </w:r>
      <w:r w:rsidR="00202BBA" w:rsidRPr="00CC6DFF">
        <w:rPr>
          <w:rFonts w:ascii="Arial" w:hAnsi="Arial" w:cs="Arial"/>
          <w:sz w:val="24"/>
          <w:szCs w:val="24"/>
          <w:lang w:val="en-GB"/>
        </w:rPr>
        <w:t>Ltd (</w:t>
      </w:r>
      <w:r w:rsidR="00913FB7" w:rsidRPr="00CC6DFF">
        <w:rPr>
          <w:rFonts w:ascii="Arial" w:hAnsi="Arial" w:cs="Arial"/>
          <w:sz w:val="24"/>
          <w:szCs w:val="24"/>
          <w:lang w:val="en-GB"/>
        </w:rPr>
        <w:t>Phadziri</w:t>
      </w:r>
      <w:r w:rsidR="00202BBA" w:rsidRPr="00CC6DFF">
        <w:rPr>
          <w:rFonts w:ascii="Arial" w:hAnsi="Arial" w:cs="Arial"/>
          <w:sz w:val="24"/>
          <w:szCs w:val="24"/>
          <w:lang w:val="en-GB"/>
        </w:rPr>
        <w:t>)</w:t>
      </w:r>
      <w:r w:rsidR="00316F7E" w:rsidRPr="00CC6DFF">
        <w:rPr>
          <w:rFonts w:ascii="Arial" w:hAnsi="Arial" w:cs="Arial"/>
          <w:sz w:val="24"/>
          <w:szCs w:val="24"/>
          <w:lang w:val="en-GB"/>
        </w:rPr>
        <w:t>,</w:t>
      </w:r>
      <w:r w:rsidR="00913FB7" w:rsidRPr="00CC6DFF">
        <w:rPr>
          <w:rFonts w:ascii="Arial" w:hAnsi="Arial" w:cs="Arial"/>
          <w:sz w:val="24"/>
          <w:szCs w:val="24"/>
          <w:lang w:val="en-GB"/>
        </w:rPr>
        <w:t xml:space="preserve"> and </w:t>
      </w:r>
      <w:r w:rsidR="00316F7E" w:rsidRPr="00CC6DFF">
        <w:rPr>
          <w:rFonts w:ascii="Arial" w:hAnsi="Arial" w:cs="Arial"/>
          <w:sz w:val="24"/>
          <w:szCs w:val="24"/>
          <w:lang w:val="en-GB"/>
        </w:rPr>
        <w:t xml:space="preserve">the first respondent, </w:t>
      </w:r>
      <w:r w:rsidR="00202BBA" w:rsidRPr="00CC6DFF">
        <w:rPr>
          <w:rFonts w:ascii="Arial" w:hAnsi="Arial" w:cs="Arial"/>
          <w:sz w:val="24"/>
          <w:szCs w:val="24"/>
          <w:lang w:val="en-GB"/>
        </w:rPr>
        <w:t xml:space="preserve">Do Light </w:t>
      </w:r>
      <w:r w:rsidR="00605E7E" w:rsidRPr="00CC6DFF">
        <w:rPr>
          <w:rFonts w:ascii="Arial" w:hAnsi="Arial" w:cs="Arial"/>
          <w:sz w:val="24"/>
          <w:szCs w:val="24"/>
          <w:lang w:val="en-GB"/>
        </w:rPr>
        <w:t xml:space="preserve">Transport </w:t>
      </w:r>
      <w:r w:rsidR="00202BBA" w:rsidRPr="00CC6DFF">
        <w:rPr>
          <w:rFonts w:ascii="Arial" w:hAnsi="Arial" w:cs="Arial"/>
          <w:sz w:val="24"/>
          <w:szCs w:val="24"/>
          <w:lang w:val="en-GB"/>
        </w:rPr>
        <w:t>(Pty) Ltd (</w:t>
      </w:r>
      <w:r w:rsidR="00913FB7" w:rsidRPr="00CC6DFF">
        <w:rPr>
          <w:rFonts w:ascii="Arial" w:hAnsi="Arial" w:cs="Arial"/>
          <w:sz w:val="24"/>
          <w:szCs w:val="24"/>
          <w:lang w:val="en-GB"/>
        </w:rPr>
        <w:t>Do Light</w:t>
      </w:r>
      <w:r w:rsidR="00202BBA" w:rsidRPr="00CC6DFF">
        <w:rPr>
          <w:rFonts w:ascii="Arial" w:hAnsi="Arial" w:cs="Arial"/>
          <w:sz w:val="24"/>
          <w:szCs w:val="24"/>
          <w:lang w:val="en-GB"/>
        </w:rPr>
        <w:t>)</w:t>
      </w:r>
      <w:r w:rsidR="00316F7E" w:rsidRPr="00CC6DFF">
        <w:rPr>
          <w:rFonts w:ascii="Arial" w:hAnsi="Arial" w:cs="Arial"/>
          <w:sz w:val="24"/>
          <w:szCs w:val="24"/>
          <w:lang w:val="en-GB"/>
        </w:rPr>
        <w:t>,</w:t>
      </w:r>
      <w:r w:rsidR="00913FB7" w:rsidRPr="00CC6DFF">
        <w:rPr>
          <w:rFonts w:ascii="Arial" w:hAnsi="Arial" w:cs="Arial"/>
          <w:sz w:val="24"/>
          <w:szCs w:val="24"/>
          <w:lang w:val="en-GB"/>
        </w:rPr>
        <w:t xml:space="preserve"> are bus </w:t>
      </w:r>
      <w:r w:rsidR="00605E7E" w:rsidRPr="00CC6DFF">
        <w:rPr>
          <w:rFonts w:ascii="Arial" w:hAnsi="Arial" w:cs="Arial"/>
          <w:sz w:val="24"/>
          <w:szCs w:val="24"/>
          <w:lang w:val="en-GB"/>
        </w:rPr>
        <w:t xml:space="preserve">service </w:t>
      </w:r>
      <w:r w:rsidR="00913FB7" w:rsidRPr="00CC6DFF">
        <w:rPr>
          <w:rFonts w:ascii="Arial" w:hAnsi="Arial" w:cs="Arial"/>
          <w:sz w:val="24"/>
          <w:szCs w:val="24"/>
          <w:lang w:val="en-GB"/>
        </w:rPr>
        <w:t>companies offering public transport services in the V</w:t>
      </w:r>
      <w:r w:rsidR="00E80D91" w:rsidRPr="00CC6DFF">
        <w:rPr>
          <w:rFonts w:ascii="Arial" w:hAnsi="Arial" w:cs="Arial"/>
          <w:sz w:val="24"/>
          <w:szCs w:val="24"/>
          <w:lang w:val="en-GB"/>
        </w:rPr>
        <w:t>h</w:t>
      </w:r>
      <w:r w:rsidR="00913FB7" w:rsidRPr="00CC6DFF">
        <w:rPr>
          <w:rFonts w:ascii="Arial" w:hAnsi="Arial" w:cs="Arial"/>
          <w:sz w:val="24"/>
          <w:szCs w:val="24"/>
          <w:lang w:val="en-GB"/>
        </w:rPr>
        <w:t xml:space="preserve">embe </w:t>
      </w:r>
      <w:r w:rsidR="006E6571" w:rsidRPr="00CC6DFF">
        <w:rPr>
          <w:rFonts w:ascii="Arial" w:hAnsi="Arial" w:cs="Arial"/>
          <w:sz w:val="24"/>
          <w:szCs w:val="24"/>
          <w:lang w:val="en-GB"/>
        </w:rPr>
        <w:t xml:space="preserve">district </w:t>
      </w:r>
      <w:r w:rsidR="00913FB7" w:rsidRPr="00CC6DFF">
        <w:rPr>
          <w:rFonts w:ascii="Arial" w:hAnsi="Arial" w:cs="Arial"/>
          <w:sz w:val="24"/>
          <w:szCs w:val="24"/>
          <w:lang w:val="en-GB"/>
        </w:rPr>
        <w:t>of Limpopo. Phadziri is the holder of a number of licen</w:t>
      </w:r>
      <w:r w:rsidR="00605E7E" w:rsidRPr="00CC6DFF">
        <w:rPr>
          <w:rFonts w:ascii="Arial" w:hAnsi="Arial" w:cs="Arial"/>
          <w:sz w:val="24"/>
          <w:szCs w:val="24"/>
          <w:lang w:val="en-GB"/>
        </w:rPr>
        <w:t>c</w:t>
      </w:r>
      <w:r w:rsidR="00913FB7" w:rsidRPr="00CC6DFF">
        <w:rPr>
          <w:rFonts w:ascii="Arial" w:hAnsi="Arial" w:cs="Arial"/>
          <w:sz w:val="24"/>
          <w:szCs w:val="24"/>
          <w:lang w:val="en-GB"/>
        </w:rPr>
        <w:t>es in respect of specific routes, issued to it by</w:t>
      </w:r>
      <w:r w:rsidR="00316F7E" w:rsidRPr="00CC6DFF">
        <w:rPr>
          <w:rFonts w:ascii="Arial" w:hAnsi="Arial" w:cs="Arial"/>
          <w:sz w:val="24"/>
          <w:szCs w:val="24"/>
          <w:lang w:val="en-GB"/>
        </w:rPr>
        <w:t xml:space="preserve"> the second respondent,</w:t>
      </w:r>
      <w:r w:rsidR="00913FB7" w:rsidRPr="00CC6DFF">
        <w:rPr>
          <w:rFonts w:ascii="Arial" w:hAnsi="Arial" w:cs="Arial"/>
          <w:sz w:val="24"/>
          <w:szCs w:val="24"/>
          <w:lang w:val="en-GB"/>
        </w:rPr>
        <w:t xml:space="preserve"> </w:t>
      </w:r>
      <w:r w:rsidR="00202BBA" w:rsidRPr="00CC6DFF">
        <w:rPr>
          <w:rFonts w:ascii="Arial" w:hAnsi="Arial" w:cs="Arial"/>
          <w:sz w:val="24"/>
          <w:szCs w:val="24"/>
          <w:lang w:val="en-GB"/>
        </w:rPr>
        <w:t>the Limpopo Department of Transport (</w:t>
      </w:r>
      <w:r w:rsidR="00913FB7" w:rsidRPr="00CC6DFF">
        <w:rPr>
          <w:rFonts w:ascii="Arial" w:hAnsi="Arial" w:cs="Arial"/>
          <w:sz w:val="24"/>
          <w:szCs w:val="24"/>
          <w:lang w:val="en-GB"/>
        </w:rPr>
        <w:t>the Department</w:t>
      </w:r>
      <w:r w:rsidR="00202BBA" w:rsidRPr="00CC6DFF">
        <w:rPr>
          <w:rFonts w:ascii="Arial" w:hAnsi="Arial" w:cs="Arial"/>
          <w:sz w:val="24"/>
          <w:szCs w:val="24"/>
          <w:lang w:val="en-GB"/>
        </w:rPr>
        <w:t>)</w:t>
      </w:r>
      <w:r w:rsidR="00913FB7" w:rsidRPr="00CC6DFF">
        <w:rPr>
          <w:rFonts w:ascii="Arial" w:hAnsi="Arial" w:cs="Arial"/>
          <w:sz w:val="24"/>
          <w:szCs w:val="24"/>
          <w:lang w:val="en-GB"/>
        </w:rPr>
        <w:t xml:space="preserve">. Up </w:t>
      </w:r>
      <w:r w:rsidR="00E80D91" w:rsidRPr="00CC6DFF">
        <w:rPr>
          <w:rFonts w:ascii="Arial" w:hAnsi="Arial" w:cs="Arial"/>
          <w:sz w:val="24"/>
          <w:szCs w:val="24"/>
          <w:lang w:val="en-GB"/>
        </w:rPr>
        <w:t>until</w:t>
      </w:r>
      <w:r w:rsidR="00913FB7" w:rsidRPr="00CC6DFF">
        <w:rPr>
          <w:rFonts w:ascii="Arial" w:hAnsi="Arial" w:cs="Arial"/>
          <w:sz w:val="24"/>
          <w:szCs w:val="24"/>
          <w:lang w:val="en-GB"/>
        </w:rPr>
        <w:t xml:space="preserve"> September 2010, Phadziri used its </w:t>
      </w:r>
      <w:r w:rsidR="003002E6" w:rsidRPr="00CC6DFF">
        <w:rPr>
          <w:rFonts w:ascii="Arial" w:hAnsi="Arial" w:cs="Arial"/>
          <w:sz w:val="24"/>
          <w:szCs w:val="24"/>
          <w:lang w:val="en-GB"/>
        </w:rPr>
        <w:t>licen</w:t>
      </w:r>
      <w:r w:rsidR="00605E7E" w:rsidRPr="00CC6DFF">
        <w:rPr>
          <w:rFonts w:ascii="Arial" w:hAnsi="Arial" w:cs="Arial"/>
          <w:sz w:val="24"/>
          <w:szCs w:val="24"/>
          <w:lang w:val="en-GB"/>
        </w:rPr>
        <w:t>c</w:t>
      </w:r>
      <w:r w:rsidR="003002E6" w:rsidRPr="00CC6DFF">
        <w:rPr>
          <w:rFonts w:ascii="Arial" w:hAnsi="Arial" w:cs="Arial"/>
          <w:sz w:val="24"/>
          <w:szCs w:val="24"/>
          <w:lang w:val="en-GB"/>
        </w:rPr>
        <w:t xml:space="preserve">es </w:t>
      </w:r>
      <w:r w:rsidR="00913FB7" w:rsidRPr="00CC6DFF">
        <w:rPr>
          <w:rFonts w:ascii="Arial" w:hAnsi="Arial" w:cs="Arial"/>
          <w:sz w:val="24"/>
          <w:szCs w:val="24"/>
          <w:lang w:val="en-GB"/>
        </w:rPr>
        <w:t xml:space="preserve">for public transport services on those routes. However, due to its aging bus fleet and other problems, Phadziri was </w:t>
      </w:r>
      <w:r w:rsidR="000805F8" w:rsidRPr="00CC6DFF">
        <w:rPr>
          <w:rFonts w:ascii="Arial" w:hAnsi="Arial" w:cs="Arial"/>
          <w:sz w:val="24"/>
          <w:szCs w:val="24"/>
          <w:lang w:val="en-GB"/>
        </w:rPr>
        <w:t>un</w:t>
      </w:r>
      <w:r w:rsidR="00913FB7" w:rsidRPr="00CC6DFF">
        <w:rPr>
          <w:rFonts w:ascii="Arial" w:hAnsi="Arial" w:cs="Arial"/>
          <w:sz w:val="24"/>
          <w:szCs w:val="24"/>
          <w:lang w:val="en-GB"/>
        </w:rPr>
        <w:t>able to offer effective and reliable public transport service</w:t>
      </w:r>
      <w:r w:rsidR="00605E7E" w:rsidRPr="00CC6DFF">
        <w:rPr>
          <w:rFonts w:ascii="Arial" w:hAnsi="Arial" w:cs="Arial"/>
          <w:sz w:val="24"/>
          <w:szCs w:val="24"/>
          <w:lang w:val="en-GB"/>
        </w:rPr>
        <w:t>s</w:t>
      </w:r>
      <w:r w:rsidR="00913FB7" w:rsidRPr="00CC6DFF">
        <w:rPr>
          <w:rFonts w:ascii="Arial" w:hAnsi="Arial" w:cs="Arial"/>
          <w:sz w:val="24"/>
          <w:szCs w:val="24"/>
          <w:lang w:val="en-GB"/>
        </w:rPr>
        <w:t xml:space="preserve"> as required in terms of the</w:t>
      </w:r>
      <w:r w:rsidR="003002E6" w:rsidRPr="00CC6DFF">
        <w:rPr>
          <w:rFonts w:ascii="Arial" w:hAnsi="Arial" w:cs="Arial"/>
          <w:sz w:val="24"/>
          <w:szCs w:val="24"/>
          <w:lang w:val="en-GB"/>
        </w:rPr>
        <w:t xml:space="preserve"> licen</w:t>
      </w:r>
      <w:r w:rsidR="00605E7E" w:rsidRPr="00CC6DFF">
        <w:rPr>
          <w:rFonts w:ascii="Arial" w:hAnsi="Arial" w:cs="Arial"/>
          <w:sz w:val="24"/>
          <w:szCs w:val="24"/>
          <w:lang w:val="en-GB"/>
        </w:rPr>
        <w:t>c</w:t>
      </w:r>
      <w:r w:rsidR="003002E6" w:rsidRPr="00CC6DFF">
        <w:rPr>
          <w:rFonts w:ascii="Arial" w:hAnsi="Arial" w:cs="Arial"/>
          <w:sz w:val="24"/>
          <w:szCs w:val="24"/>
          <w:lang w:val="en-GB"/>
        </w:rPr>
        <w:t>es</w:t>
      </w:r>
      <w:r w:rsidR="00913FB7" w:rsidRPr="00CC6DFF">
        <w:rPr>
          <w:rFonts w:ascii="Arial" w:hAnsi="Arial" w:cs="Arial"/>
          <w:sz w:val="24"/>
          <w:szCs w:val="24"/>
          <w:lang w:val="en-GB"/>
        </w:rPr>
        <w:t xml:space="preserve">. </w:t>
      </w:r>
    </w:p>
    <w:p w14:paraId="370A15DB" w14:textId="77777777" w:rsidR="00C0224C" w:rsidRPr="00CC6DFF" w:rsidRDefault="00C0224C" w:rsidP="00867989">
      <w:pPr>
        <w:shd w:val="clear" w:color="auto" w:fill="FFFFFF"/>
        <w:spacing w:after="0"/>
        <w:contextualSpacing/>
        <w:rPr>
          <w:rFonts w:ascii="Arial" w:hAnsi="Arial" w:cs="Arial"/>
          <w:sz w:val="24"/>
          <w:szCs w:val="24"/>
        </w:rPr>
      </w:pPr>
    </w:p>
    <w:p w14:paraId="18F54AD4" w14:textId="4495D85C"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lastRenderedPageBreak/>
        <w:t>[3]</w:t>
      </w:r>
      <w:r w:rsidRPr="00CC6DFF">
        <w:rPr>
          <w:rFonts w:ascii="Arial" w:hAnsi="Arial" w:cs="Arial"/>
          <w:snapToGrid w:val="0"/>
          <w:color w:val="000000"/>
          <w:w w:val="0"/>
          <w:sz w:val="24"/>
          <w:szCs w:val="24"/>
        </w:rPr>
        <w:tab/>
      </w:r>
      <w:r w:rsidR="00913FB7" w:rsidRPr="00CC6DFF">
        <w:rPr>
          <w:rFonts w:ascii="Arial" w:hAnsi="Arial" w:cs="Arial"/>
          <w:sz w:val="24"/>
          <w:szCs w:val="24"/>
          <w:lang w:val="en-GB"/>
        </w:rPr>
        <w:t xml:space="preserve">As a result, on 15 September 2010, Phadziri concluded a written agreement with Do Light (the bilateral agreement) in terms of which Do Light would, as a sub-contractor, </w:t>
      </w:r>
      <w:r w:rsidR="00A17F52" w:rsidRPr="00CC6DFF">
        <w:rPr>
          <w:rFonts w:ascii="Arial" w:hAnsi="Arial" w:cs="Arial"/>
          <w:sz w:val="24"/>
          <w:szCs w:val="24"/>
          <w:lang w:val="en-GB"/>
        </w:rPr>
        <w:t>render</w:t>
      </w:r>
      <w:r w:rsidR="00913FB7" w:rsidRPr="00CC6DFF">
        <w:rPr>
          <w:rFonts w:ascii="Arial" w:hAnsi="Arial" w:cs="Arial"/>
          <w:sz w:val="24"/>
          <w:szCs w:val="24"/>
          <w:lang w:val="en-GB"/>
        </w:rPr>
        <w:t xml:space="preserve"> the public transport services</w:t>
      </w:r>
      <w:r w:rsidR="00A17F52" w:rsidRPr="00CC6DFF">
        <w:rPr>
          <w:rFonts w:ascii="Arial" w:hAnsi="Arial" w:cs="Arial"/>
          <w:sz w:val="24"/>
          <w:szCs w:val="24"/>
          <w:lang w:val="en-GB"/>
        </w:rPr>
        <w:t xml:space="preserve"> in Phadziri’s stead</w:t>
      </w:r>
      <w:r w:rsidR="00913FB7" w:rsidRPr="00CC6DFF">
        <w:rPr>
          <w:rFonts w:ascii="Arial" w:hAnsi="Arial" w:cs="Arial"/>
          <w:sz w:val="24"/>
          <w:szCs w:val="24"/>
          <w:lang w:val="en-GB"/>
        </w:rPr>
        <w:t xml:space="preserve"> in terms of some of those</w:t>
      </w:r>
      <w:r w:rsidR="003002E6" w:rsidRPr="00CC6DFF">
        <w:rPr>
          <w:rFonts w:ascii="Arial" w:hAnsi="Arial" w:cs="Arial"/>
          <w:sz w:val="24"/>
          <w:szCs w:val="24"/>
          <w:lang w:val="en-GB"/>
        </w:rPr>
        <w:t xml:space="preserve"> licen</w:t>
      </w:r>
      <w:r w:rsidR="00605E7E" w:rsidRPr="00CC6DFF">
        <w:rPr>
          <w:rFonts w:ascii="Arial" w:hAnsi="Arial" w:cs="Arial"/>
          <w:sz w:val="24"/>
          <w:szCs w:val="24"/>
          <w:lang w:val="en-GB"/>
        </w:rPr>
        <w:t>c</w:t>
      </w:r>
      <w:r w:rsidR="003002E6" w:rsidRPr="00CC6DFF">
        <w:rPr>
          <w:rFonts w:ascii="Arial" w:hAnsi="Arial" w:cs="Arial"/>
          <w:sz w:val="24"/>
          <w:szCs w:val="24"/>
          <w:lang w:val="en-GB"/>
        </w:rPr>
        <w:t>es</w:t>
      </w:r>
      <w:r w:rsidR="00913FB7" w:rsidRPr="00CC6DFF">
        <w:rPr>
          <w:rFonts w:ascii="Arial" w:hAnsi="Arial" w:cs="Arial"/>
          <w:sz w:val="24"/>
          <w:szCs w:val="24"/>
          <w:lang w:val="en-GB"/>
        </w:rPr>
        <w:t>. The duration of the bilateral agreement was five years, ‘with a grace period of</w:t>
      </w:r>
      <w:r w:rsidR="00B37E2F" w:rsidRPr="00CC6DFF">
        <w:rPr>
          <w:rFonts w:ascii="Arial" w:hAnsi="Arial" w:cs="Arial"/>
          <w:sz w:val="24"/>
          <w:szCs w:val="24"/>
          <w:lang w:val="en-GB"/>
        </w:rPr>
        <w:t xml:space="preserve"> 3</w:t>
      </w:r>
      <w:r w:rsidR="00913FB7" w:rsidRPr="00CC6DFF">
        <w:rPr>
          <w:rFonts w:ascii="Arial" w:hAnsi="Arial" w:cs="Arial"/>
          <w:sz w:val="24"/>
          <w:szCs w:val="24"/>
          <w:lang w:val="en-GB"/>
        </w:rPr>
        <w:t xml:space="preserve"> </w:t>
      </w:r>
      <w:r w:rsidR="00B37E2F" w:rsidRPr="00CC6DFF">
        <w:rPr>
          <w:rFonts w:ascii="Arial" w:hAnsi="Arial" w:cs="Arial"/>
          <w:sz w:val="24"/>
          <w:szCs w:val="24"/>
          <w:lang w:val="en-GB"/>
        </w:rPr>
        <w:t>(</w:t>
      </w:r>
      <w:r w:rsidR="00913FB7" w:rsidRPr="00CC6DFF">
        <w:rPr>
          <w:rFonts w:ascii="Arial" w:hAnsi="Arial" w:cs="Arial"/>
          <w:sz w:val="24"/>
          <w:szCs w:val="24"/>
          <w:lang w:val="en-GB"/>
        </w:rPr>
        <w:t>three</w:t>
      </w:r>
      <w:r w:rsidR="00B37E2F" w:rsidRPr="00CC6DFF">
        <w:rPr>
          <w:rFonts w:ascii="Arial" w:hAnsi="Arial" w:cs="Arial"/>
          <w:sz w:val="24"/>
          <w:szCs w:val="24"/>
          <w:lang w:val="en-GB"/>
        </w:rPr>
        <w:t>)</w:t>
      </w:r>
      <w:r w:rsidR="00913FB7" w:rsidRPr="00CC6DFF">
        <w:rPr>
          <w:rFonts w:ascii="Arial" w:hAnsi="Arial" w:cs="Arial"/>
          <w:sz w:val="24"/>
          <w:szCs w:val="24"/>
          <w:lang w:val="en-GB"/>
        </w:rPr>
        <w:t xml:space="preserve"> years’</w:t>
      </w:r>
      <w:r w:rsidR="00E80D91" w:rsidRPr="00CC6DFF">
        <w:rPr>
          <w:rFonts w:ascii="Arial" w:hAnsi="Arial" w:cs="Arial"/>
          <w:sz w:val="24"/>
          <w:szCs w:val="24"/>
          <w:lang w:val="en-GB"/>
        </w:rPr>
        <w:t>;</w:t>
      </w:r>
      <w:r w:rsidR="00913FB7" w:rsidRPr="00CC6DFF">
        <w:rPr>
          <w:rFonts w:ascii="Arial" w:hAnsi="Arial" w:cs="Arial"/>
          <w:sz w:val="24"/>
          <w:szCs w:val="24"/>
          <w:lang w:val="en-GB"/>
        </w:rPr>
        <w:t xml:space="preserve"> thus</w:t>
      </w:r>
      <w:r w:rsidR="00E80D91" w:rsidRPr="00CC6DFF">
        <w:rPr>
          <w:rFonts w:ascii="Arial" w:hAnsi="Arial" w:cs="Arial"/>
          <w:sz w:val="24"/>
          <w:szCs w:val="24"/>
          <w:lang w:val="en-GB"/>
        </w:rPr>
        <w:t>,</w:t>
      </w:r>
      <w:r w:rsidR="00913FB7" w:rsidRPr="00CC6DFF">
        <w:rPr>
          <w:rFonts w:ascii="Arial" w:hAnsi="Arial" w:cs="Arial"/>
          <w:sz w:val="24"/>
          <w:szCs w:val="24"/>
          <w:lang w:val="en-GB"/>
        </w:rPr>
        <w:t xml:space="preserve"> potentially </w:t>
      </w:r>
      <w:r w:rsidR="00E80D91" w:rsidRPr="00CC6DFF">
        <w:rPr>
          <w:rFonts w:ascii="Arial" w:hAnsi="Arial" w:cs="Arial"/>
          <w:sz w:val="24"/>
          <w:szCs w:val="24"/>
          <w:lang w:val="en-GB"/>
        </w:rPr>
        <w:t xml:space="preserve">totalling </w:t>
      </w:r>
      <w:r w:rsidR="004212CE" w:rsidRPr="00CC6DFF">
        <w:rPr>
          <w:rFonts w:ascii="Arial" w:hAnsi="Arial" w:cs="Arial"/>
          <w:sz w:val="24"/>
          <w:szCs w:val="24"/>
          <w:lang w:val="en-GB"/>
        </w:rPr>
        <w:t>eight</w:t>
      </w:r>
      <w:r w:rsidR="00913FB7" w:rsidRPr="00CC6DFF">
        <w:rPr>
          <w:rFonts w:ascii="Arial" w:hAnsi="Arial" w:cs="Arial"/>
          <w:sz w:val="24"/>
          <w:szCs w:val="24"/>
          <w:lang w:val="en-GB"/>
        </w:rPr>
        <w:t xml:space="preserve"> years. The bilateral agreement </w:t>
      </w:r>
      <w:r w:rsidR="006E6571" w:rsidRPr="00CC6DFF">
        <w:rPr>
          <w:rFonts w:ascii="Arial" w:hAnsi="Arial" w:cs="Arial"/>
          <w:sz w:val="24"/>
          <w:szCs w:val="24"/>
          <w:lang w:val="en-GB"/>
        </w:rPr>
        <w:t>was subject to the approval of the Department, which subsequently disapproved</w:t>
      </w:r>
      <w:r w:rsidR="00476F89" w:rsidRPr="00CC6DFF">
        <w:rPr>
          <w:rFonts w:ascii="Arial" w:hAnsi="Arial" w:cs="Arial"/>
          <w:sz w:val="24"/>
          <w:szCs w:val="24"/>
          <w:lang w:val="en-GB"/>
        </w:rPr>
        <w:t xml:space="preserve"> it</w:t>
      </w:r>
      <w:r w:rsidR="006E6571" w:rsidRPr="00CC6DFF">
        <w:rPr>
          <w:rFonts w:ascii="Arial" w:hAnsi="Arial" w:cs="Arial"/>
          <w:sz w:val="24"/>
          <w:szCs w:val="24"/>
          <w:lang w:val="en-GB"/>
        </w:rPr>
        <w:t xml:space="preserve">. </w:t>
      </w:r>
    </w:p>
    <w:p w14:paraId="15445972" w14:textId="77777777" w:rsidR="000805F8" w:rsidRPr="00CC6DFF" w:rsidRDefault="000805F8" w:rsidP="00867989">
      <w:pPr>
        <w:shd w:val="clear" w:color="auto" w:fill="FFFFFF"/>
        <w:spacing w:after="0"/>
        <w:contextualSpacing/>
        <w:rPr>
          <w:rFonts w:ascii="Arial" w:hAnsi="Arial" w:cs="Arial"/>
          <w:sz w:val="24"/>
          <w:szCs w:val="24"/>
        </w:rPr>
      </w:pPr>
    </w:p>
    <w:p w14:paraId="7A282741" w14:textId="462CED3B" w:rsidR="000805F8"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[4]</w:t>
      </w:r>
      <w:r w:rsidRPr="00CC6DFF">
        <w:rPr>
          <w:rFonts w:ascii="Arial" w:hAnsi="Arial" w:cs="Arial"/>
          <w:snapToGrid w:val="0"/>
          <w:color w:val="000000"/>
          <w:w w:val="0"/>
          <w:sz w:val="24"/>
          <w:szCs w:val="24"/>
        </w:rPr>
        <w:tab/>
      </w:r>
      <w:r w:rsidR="006E6571" w:rsidRPr="00CC6DFF">
        <w:rPr>
          <w:rFonts w:ascii="Arial" w:hAnsi="Arial" w:cs="Arial"/>
          <w:sz w:val="24"/>
          <w:szCs w:val="24"/>
          <w:lang w:val="en-GB"/>
        </w:rPr>
        <w:t>Over a week later</w:t>
      </w:r>
      <w:r w:rsidR="00913FB7" w:rsidRPr="00CC6DFF">
        <w:rPr>
          <w:rFonts w:ascii="Arial" w:hAnsi="Arial" w:cs="Arial"/>
          <w:sz w:val="24"/>
          <w:szCs w:val="24"/>
          <w:lang w:val="en-GB"/>
        </w:rPr>
        <w:t xml:space="preserve">, </w:t>
      </w:r>
      <w:r w:rsidR="006E6571" w:rsidRPr="00CC6DFF">
        <w:rPr>
          <w:rFonts w:ascii="Arial" w:hAnsi="Arial" w:cs="Arial"/>
          <w:sz w:val="24"/>
          <w:szCs w:val="24"/>
        </w:rPr>
        <w:t xml:space="preserve">on </w:t>
      </w:r>
      <w:r w:rsidR="006E6571" w:rsidRPr="00CC6DFF">
        <w:rPr>
          <w:rFonts w:ascii="Arial" w:hAnsi="Arial" w:cs="Arial"/>
          <w:sz w:val="24"/>
          <w:szCs w:val="24"/>
          <w:lang w:val="en-GB"/>
        </w:rPr>
        <w:t>23 September 2010</w:t>
      </w:r>
      <w:r w:rsidR="00B37E2F" w:rsidRPr="00CC6DFF">
        <w:rPr>
          <w:rFonts w:ascii="Arial" w:hAnsi="Arial" w:cs="Arial"/>
          <w:sz w:val="24"/>
          <w:szCs w:val="24"/>
          <w:lang w:val="en-GB"/>
        </w:rPr>
        <w:t>,</w:t>
      </w:r>
      <w:r w:rsidR="006E6571" w:rsidRPr="00CC6DFF">
        <w:rPr>
          <w:rFonts w:ascii="Arial" w:hAnsi="Arial" w:cs="Arial"/>
          <w:sz w:val="24"/>
          <w:szCs w:val="24"/>
        </w:rPr>
        <w:t xml:space="preserve"> </w:t>
      </w:r>
      <w:r w:rsidR="00913FB7" w:rsidRPr="00CC6DFF">
        <w:rPr>
          <w:rFonts w:ascii="Arial" w:hAnsi="Arial" w:cs="Arial"/>
          <w:sz w:val="24"/>
          <w:szCs w:val="24"/>
          <w:lang w:val="en-GB"/>
        </w:rPr>
        <w:t>Phadziri, Do Light and the Department concluded a</w:t>
      </w:r>
      <w:r w:rsidR="00476F89" w:rsidRPr="00CC6DFF">
        <w:rPr>
          <w:rFonts w:ascii="Arial" w:hAnsi="Arial" w:cs="Arial"/>
          <w:sz w:val="24"/>
          <w:szCs w:val="24"/>
          <w:lang w:val="en-GB"/>
        </w:rPr>
        <w:t xml:space="preserve"> </w:t>
      </w:r>
      <w:r w:rsidR="00913FB7" w:rsidRPr="00CC6DFF">
        <w:rPr>
          <w:rFonts w:ascii="Arial" w:hAnsi="Arial" w:cs="Arial"/>
          <w:sz w:val="24"/>
          <w:szCs w:val="24"/>
          <w:lang w:val="en-GB"/>
        </w:rPr>
        <w:t xml:space="preserve">tripartite agreement. In terms thereof, </w:t>
      </w:r>
      <w:r w:rsidR="00913FB7" w:rsidRPr="00CC6DFF">
        <w:rPr>
          <w:rFonts w:ascii="Arial" w:hAnsi="Arial" w:cs="Arial"/>
          <w:sz w:val="24"/>
          <w:szCs w:val="24"/>
        </w:rPr>
        <w:t xml:space="preserve">Do Light would be Phadziri’s sub-contractor for the road public passenger services in respect of </w:t>
      </w:r>
      <w:r w:rsidR="00476F89" w:rsidRPr="00CC6DFF">
        <w:rPr>
          <w:rFonts w:ascii="Arial" w:hAnsi="Arial" w:cs="Arial"/>
          <w:sz w:val="24"/>
          <w:szCs w:val="24"/>
        </w:rPr>
        <w:t xml:space="preserve">certain </w:t>
      </w:r>
      <w:r w:rsidR="00913FB7" w:rsidRPr="00CC6DFF">
        <w:rPr>
          <w:rFonts w:ascii="Arial" w:hAnsi="Arial" w:cs="Arial"/>
          <w:sz w:val="24"/>
          <w:szCs w:val="24"/>
        </w:rPr>
        <w:t>routes</w:t>
      </w:r>
      <w:r w:rsidR="00476F89" w:rsidRPr="00CC6DFF">
        <w:rPr>
          <w:rFonts w:ascii="Arial" w:hAnsi="Arial" w:cs="Arial"/>
          <w:sz w:val="24"/>
          <w:szCs w:val="24"/>
        </w:rPr>
        <w:t>. Those were</w:t>
      </w:r>
      <w:r w:rsidR="00913FB7" w:rsidRPr="00CC6DFF">
        <w:rPr>
          <w:rFonts w:ascii="Arial" w:hAnsi="Arial" w:cs="Arial"/>
          <w:sz w:val="24"/>
          <w:szCs w:val="24"/>
        </w:rPr>
        <w:t xml:space="preserve"> identified in the agreement as </w:t>
      </w:r>
      <w:r w:rsidR="00913FB7" w:rsidRPr="00CC6DFF">
        <w:rPr>
          <w:rFonts w:ascii="Arial" w:hAnsi="Arial" w:cs="Arial"/>
          <w:sz w:val="24"/>
          <w:szCs w:val="24"/>
          <w:lang w:val="en-GB"/>
        </w:rPr>
        <w:t xml:space="preserve">the </w:t>
      </w:r>
      <w:r w:rsidR="00913FB7" w:rsidRPr="00CC6DFF">
        <w:rPr>
          <w:rFonts w:ascii="Arial" w:hAnsi="Arial" w:cs="Arial"/>
          <w:sz w:val="24"/>
          <w:szCs w:val="24"/>
        </w:rPr>
        <w:t>Maila and Vleifontein routes</w:t>
      </w:r>
      <w:r w:rsidR="00B37E2F" w:rsidRPr="00CC6DFF">
        <w:rPr>
          <w:rFonts w:ascii="Arial" w:hAnsi="Arial" w:cs="Arial"/>
          <w:sz w:val="24"/>
          <w:szCs w:val="24"/>
        </w:rPr>
        <w:t xml:space="preserve"> –</w:t>
      </w:r>
      <w:r w:rsidR="00913FB7" w:rsidRPr="00CC6DFF">
        <w:rPr>
          <w:rFonts w:ascii="Arial" w:hAnsi="Arial" w:cs="Arial"/>
          <w:sz w:val="24"/>
          <w:szCs w:val="24"/>
        </w:rPr>
        <w:t xml:space="preserve"> both to and from Louis Trichardt (the affected routes). </w:t>
      </w:r>
      <w:r w:rsidR="00CD23B8" w:rsidRPr="00CC6DFF">
        <w:rPr>
          <w:rFonts w:ascii="Arial" w:hAnsi="Arial" w:cs="Arial"/>
          <w:sz w:val="24"/>
          <w:szCs w:val="24"/>
        </w:rPr>
        <w:t>As to its duration, t</w:t>
      </w:r>
      <w:r w:rsidR="00913FB7" w:rsidRPr="00CC6DFF">
        <w:rPr>
          <w:rFonts w:ascii="Arial" w:hAnsi="Arial" w:cs="Arial"/>
          <w:sz w:val="24"/>
          <w:szCs w:val="24"/>
        </w:rPr>
        <w:t xml:space="preserve">he </w:t>
      </w:r>
      <w:r w:rsidR="00913FB7" w:rsidRPr="00CC6DFF">
        <w:rPr>
          <w:rFonts w:ascii="Arial" w:hAnsi="Arial" w:cs="Arial"/>
          <w:sz w:val="24"/>
          <w:szCs w:val="24"/>
          <w:lang w:val="en-GB"/>
        </w:rPr>
        <w:t>tripartite</w:t>
      </w:r>
      <w:r w:rsidR="00913FB7" w:rsidRPr="00CC6DFF">
        <w:rPr>
          <w:rFonts w:ascii="Arial" w:hAnsi="Arial" w:cs="Arial"/>
          <w:sz w:val="24"/>
          <w:szCs w:val="24"/>
        </w:rPr>
        <w:t xml:space="preserve"> agreement would ‘terminate when integrated public transport services are introduced for the Vhembe District of the Limpopo Province’. </w:t>
      </w:r>
    </w:p>
    <w:p w14:paraId="7176D555" w14:textId="77777777" w:rsidR="000805F8" w:rsidRPr="00CC6DFF" w:rsidRDefault="000805F8" w:rsidP="00867989">
      <w:pPr>
        <w:shd w:val="clear" w:color="auto" w:fill="FFFFFF"/>
        <w:spacing w:after="0"/>
        <w:contextualSpacing/>
        <w:rPr>
          <w:rFonts w:ascii="Arial" w:hAnsi="Arial" w:cs="Arial"/>
          <w:strike/>
          <w:sz w:val="24"/>
          <w:szCs w:val="24"/>
        </w:rPr>
      </w:pPr>
    </w:p>
    <w:p w14:paraId="76E30D4B" w14:textId="72A88616" w:rsidR="00913FB7"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[5]</w:t>
      </w:r>
      <w:r w:rsidRPr="00CC6DFF">
        <w:rPr>
          <w:rFonts w:ascii="Arial" w:hAnsi="Arial" w:cs="Arial"/>
          <w:snapToGrid w:val="0"/>
          <w:color w:val="000000"/>
          <w:w w:val="0"/>
          <w:sz w:val="24"/>
          <w:szCs w:val="24"/>
        </w:rPr>
        <w:tab/>
      </w:r>
      <w:r w:rsidR="00476F89" w:rsidRPr="00CC6DFF">
        <w:rPr>
          <w:rFonts w:ascii="Arial" w:hAnsi="Arial" w:cs="Arial"/>
          <w:sz w:val="24"/>
          <w:szCs w:val="24"/>
        </w:rPr>
        <w:t xml:space="preserve">In </w:t>
      </w:r>
      <w:r w:rsidR="00913FB7" w:rsidRPr="00CC6DFF">
        <w:rPr>
          <w:rFonts w:ascii="Arial" w:hAnsi="Arial" w:cs="Arial"/>
          <w:sz w:val="24"/>
          <w:szCs w:val="24"/>
        </w:rPr>
        <w:t xml:space="preserve">terms of the </w:t>
      </w:r>
      <w:r w:rsidR="00913FB7" w:rsidRPr="00CC6DFF">
        <w:rPr>
          <w:rFonts w:ascii="Arial" w:hAnsi="Arial" w:cs="Arial"/>
          <w:sz w:val="24"/>
          <w:szCs w:val="24"/>
          <w:lang w:val="en-GB"/>
        </w:rPr>
        <w:t>tripartite</w:t>
      </w:r>
      <w:r w:rsidR="00913FB7" w:rsidRPr="00CC6DFF">
        <w:rPr>
          <w:rFonts w:ascii="Arial" w:hAnsi="Arial" w:cs="Arial"/>
          <w:sz w:val="24"/>
          <w:szCs w:val="24"/>
        </w:rPr>
        <w:t xml:space="preserve"> agreement</w:t>
      </w:r>
      <w:r w:rsidR="00B37E2F" w:rsidRPr="00CC6DFF">
        <w:rPr>
          <w:rFonts w:ascii="Arial" w:hAnsi="Arial" w:cs="Arial"/>
          <w:sz w:val="24"/>
          <w:szCs w:val="24"/>
        </w:rPr>
        <w:t>,</w:t>
      </w:r>
      <w:r w:rsidR="00913FB7" w:rsidRPr="00CC6DFF">
        <w:rPr>
          <w:rFonts w:ascii="Arial" w:hAnsi="Arial" w:cs="Arial"/>
          <w:sz w:val="24"/>
          <w:szCs w:val="24"/>
        </w:rPr>
        <w:t xml:space="preserve"> Phadziri undertook to: (i) allow Do Light to operate on the </w:t>
      </w:r>
      <w:r w:rsidR="00CD23B8" w:rsidRPr="00CC6DFF">
        <w:rPr>
          <w:rFonts w:ascii="Arial" w:hAnsi="Arial" w:cs="Arial"/>
          <w:sz w:val="24"/>
          <w:szCs w:val="24"/>
        </w:rPr>
        <w:t xml:space="preserve">affected </w:t>
      </w:r>
      <w:r w:rsidR="00913FB7" w:rsidRPr="00CC6DFF">
        <w:rPr>
          <w:rFonts w:ascii="Arial" w:hAnsi="Arial" w:cs="Arial"/>
          <w:sz w:val="24"/>
          <w:szCs w:val="24"/>
        </w:rPr>
        <w:t xml:space="preserve">routes in terms of an agreed timetable, or as amended by agreement between the Department and Do Light; (ii) cede the licences pertaining to the affected routes for the duration of the agreement; </w:t>
      </w:r>
      <w:r w:rsidR="009A2CF2" w:rsidRPr="00CC6DFF">
        <w:rPr>
          <w:rFonts w:ascii="Arial" w:hAnsi="Arial" w:cs="Arial"/>
          <w:sz w:val="24"/>
          <w:szCs w:val="24"/>
        </w:rPr>
        <w:t xml:space="preserve">and </w:t>
      </w:r>
      <w:r w:rsidR="00913FB7" w:rsidRPr="00CC6DFF">
        <w:rPr>
          <w:rFonts w:ascii="Arial" w:hAnsi="Arial" w:cs="Arial"/>
          <w:sz w:val="24"/>
          <w:szCs w:val="24"/>
        </w:rPr>
        <w:t>(iii) provide Do Light with the ne</w:t>
      </w:r>
      <w:r w:rsidR="000805F8" w:rsidRPr="00CC6DFF">
        <w:rPr>
          <w:rFonts w:ascii="Arial" w:hAnsi="Arial" w:cs="Arial"/>
          <w:sz w:val="24"/>
          <w:szCs w:val="24"/>
        </w:rPr>
        <w:t xml:space="preserve">cessary equipment required to </w:t>
      </w:r>
      <w:r w:rsidR="00CD23B8" w:rsidRPr="00CC6DFF">
        <w:rPr>
          <w:rFonts w:ascii="Arial" w:hAnsi="Arial" w:cs="Arial"/>
          <w:sz w:val="24"/>
          <w:szCs w:val="24"/>
        </w:rPr>
        <w:t xml:space="preserve">enable </w:t>
      </w:r>
      <w:r w:rsidR="000805F8" w:rsidRPr="00CC6DFF">
        <w:rPr>
          <w:rFonts w:ascii="Arial" w:hAnsi="Arial" w:cs="Arial"/>
          <w:sz w:val="24"/>
          <w:szCs w:val="24"/>
        </w:rPr>
        <w:t xml:space="preserve">it </w:t>
      </w:r>
      <w:r w:rsidR="009A2CF2" w:rsidRPr="00CC6DFF">
        <w:rPr>
          <w:rFonts w:ascii="Arial" w:hAnsi="Arial" w:cs="Arial"/>
          <w:sz w:val="24"/>
          <w:szCs w:val="24"/>
        </w:rPr>
        <w:t xml:space="preserve">to </w:t>
      </w:r>
      <w:r w:rsidR="00913FB7" w:rsidRPr="00CC6DFF">
        <w:rPr>
          <w:rFonts w:ascii="Arial" w:hAnsi="Arial" w:cs="Arial"/>
          <w:sz w:val="24"/>
          <w:szCs w:val="24"/>
        </w:rPr>
        <w:t xml:space="preserve">operate </w:t>
      </w:r>
      <w:r w:rsidR="00CD23B8" w:rsidRPr="00CC6DFF">
        <w:rPr>
          <w:rFonts w:ascii="Arial" w:hAnsi="Arial" w:cs="Arial"/>
          <w:sz w:val="24"/>
          <w:szCs w:val="24"/>
        </w:rPr>
        <w:t xml:space="preserve">on </w:t>
      </w:r>
      <w:r w:rsidR="00913FB7" w:rsidRPr="00CC6DFF">
        <w:rPr>
          <w:rFonts w:ascii="Arial" w:hAnsi="Arial" w:cs="Arial"/>
          <w:sz w:val="24"/>
          <w:szCs w:val="24"/>
        </w:rPr>
        <w:t>the affected routes. Do Light</w:t>
      </w:r>
      <w:r w:rsidR="00476F89" w:rsidRPr="00CC6DFF">
        <w:rPr>
          <w:rFonts w:ascii="Arial" w:hAnsi="Arial" w:cs="Arial"/>
          <w:sz w:val="24"/>
          <w:szCs w:val="24"/>
        </w:rPr>
        <w:t xml:space="preserve">’s obligations included, among other things, </w:t>
      </w:r>
      <w:r w:rsidR="00913FB7" w:rsidRPr="00CC6DFF">
        <w:rPr>
          <w:rFonts w:ascii="Arial" w:hAnsi="Arial" w:cs="Arial"/>
          <w:sz w:val="24"/>
          <w:szCs w:val="24"/>
        </w:rPr>
        <w:t xml:space="preserve">to take over the affected routes and </w:t>
      </w:r>
      <w:r w:rsidR="00CD23B8" w:rsidRPr="00CC6DFF">
        <w:rPr>
          <w:rFonts w:ascii="Arial" w:hAnsi="Arial" w:cs="Arial"/>
          <w:sz w:val="24"/>
          <w:szCs w:val="24"/>
        </w:rPr>
        <w:t xml:space="preserve">offer </w:t>
      </w:r>
      <w:r w:rsidR="00913FB7" w:rsidRPr="00CC6DFF">
        <w:rPr>
          <w:rFonts w:ascii="Arial" w:hAnsi="Arial" w:cs="Arial"/>
          <w:sz w:val="24"/>
          <w:szCs w:val="24"/>
        </w:rPr>
        <w:t xml:space="preserve">the required </w:t>
      </w:r>
      <w:r w:rsidR="00CD23B8" w:rsidRPr="00CC6DFF">
        <w:rPr>
          <w:rFonts w:ascii="Arial" w:hAnsi="Arial" w:cs="Arial"/>
          <w:sz w:val="24"/>
          <w:szCs w:val="24"/>
        </w:rPr>
        <w:t xml:space="preserve">transportation </w:t>
      </w:r>
      <w:r w:rsidR="00913FB7" w:rsidRPr="00CC6DFF">
        <w:rPr>
          <w:rFonts w:ascii="Arial" w:hAnsi="Arial" w:cs="Arial"/>
          <w:sz w:val="24"/>
          <w:szCs w:val="24"/>
        </w:rPr>
        <w:t>service</w:t>
      </w:r>
      <w:r w:rsidR="00CD23B8" w:rsidRPr="00CC6DFF">
        <w:rPr>
          <w:rFonts w:ascii="Arial" w:hAnsi="Arial" w:cs="Arial"/>
          <w:sz w:val="24"/>
          <w:szCs w:val="24"/>
        </w:rPr>
        <w:t>s</w:t>
      </w:r>
      <w:r w:rsidR="00913FB7" w:rsidRPr="00CC6DFF">
        <w:rPr>
          <w:rFonts w:ascii="Arial" w:hAnsi="Arial" w:cs="Arial"/>
          <w:sz w:val="24"/>
          <w:szCs w:val="24"/>
        </w:rPr>
        <w:t>, as well as ancillary operational issues.</w:t>
      </w:r>
      <w:bookmarkEnd w:id="5"/>
      <w:bookmarkEnd w:id="6"/>
      <w:bookmarkEnd w:id="7"/>
      <w:r w:rsidR="00913FB7" w:rsidRPr="00CC6DFF">
        <w:rPr>
          <w:rFonts w:ascii="Arial" w:hAnsi="Arial" w:cs="Arial"/>
          <w:sz w:val="24"/>
          <w:szCs w:val="24"/>
        </w:rPr>
        <w:t xml:space="preserve"> For its part, the Department undertook to pay the subsidy claims directly to Phadziri and Do Light in respect of the areas operated by the parties, respectively.</w:t>
      </w:r>
    </w:p>
    <w:p w14:paraId="7F81FA57" w14:textId="77777777" w:rsidR="00913FB7" w:rsidRPr="00CC6DFF" w:rsidRDefault="00913FB7" w:rsidP="00867989">
      <w:pPr>
        <w:shd w:val="clear" w:color="auto" w:fill="FFFFFF"/>
        <w:spacing w:after="0"/>
        <w:contextualSpacing/>
        <w:rPr>
          <w:rFonts w:ascii="Arial" w:hAnsi="Arial" w:cs="Arial"/>
          <w:strike/>
          <w:sz w:val="24"/>
          <w:szCs w:val="24"/>
        </w:rPr>
      </w:pPr>
    </w:p>
    <w:p w14:paraId="386DE4CD" w14:textId="1572DD82" w:rsidR="000805F8"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[6]</w:t>
      </w:r>
      <w:r w:rsidRPr="00CC6DFF">
        <w:rPr>
          <w:rFonts w:ascii="Arial" w:hAnsi="Arial" w:cs="Arial"/>
          <w:snapToGrid w:val="0"/>
          <w:color w:val="000000"/>
          <w:w w:val="0"/>
          <w:sz w:val="24"/>
          <w:szCs w:val="24"/>
        </w:rPr>
        <w:tab/>
      </w:r>
      <w:r w:rsidR="00913FB7" w:rsidRPr="00CC6DFF">
        <w:rPr>
          <w:rFonts w:ascii="Arial" w:hAnsi="Arial" w:cs="Arial"/>
          <w:sz w:val="24"/>
          <w:szCs w:val="24"/>
        </w:rPr>
        <w:t xml:space="preserve">For about eight years after it was concluded, the tripartite agreement was implemented without any problems. However, towards the end of September 2018, Phadziri asserted that the agreement had terminated. It demanded back the </w:t>
      </w:r>
      <w:r w:rsidR="00476F89" w:rsidRPr="00CC6DFF">
        <w:rPr>
          <w:rFonts w:ascii="Arial" w:hAnsi="Arial" w:cs="Arial"/>
          <w:sz w:val="24"/>
          <w:szCs w:val="24"/>
        </w:rPr>
        <w:t>licen</w:t>
      </w:r>
      <w:r w:rsidR="009A2CF2" w:rsidRPr="00CC6DFF">
        <w:rPr>
          <w:rFonts w:ascii="Arial" w:hAnsi="Arial" w:cs="Arial"/>
          <w:sz w:val="24"/>
          <w:szCs w:val="24"/>
        </w:rPr>
        <w:t>c</w:t>
      </w:r>
      <w:r w:rsidR="00476F89" w:rsidRPr="00CC6DFF">
        <w:rPr>
          <w:rFonts w:ascii="Arial" w:hAnsi="Arial" w:cs="Arial"/>
          <w:sz w:val="24"/>
          <w:szCs w:val="24"/>
        </w:rPr>
        <w:t xml:space="preserve">es </w:t>
      </w:r>
      <w:r w:rsidR="00913FB7" w:rsidRPr="00CC6DFF">
        <w:rPr>
          <w:rFonts w:ascii="Arial" w:hAnsi="Arial" w:cs="Arial"/>
          <w:sz w:val="24"/>
          <w:szCs w:val="24"/>
        </w:rPr>
        <w:t xml:space="preserve">it had ceded to Do Light, as well as the right to operate on the affected routes. Do Light </w:t>
      </w:r>
      <w:r w:rsidR="00CD23B8" w:rsidRPr="00CC6DFF">
        <w:rPr>
          <w:rFonts w:ascii="Arial" w:hAnsi="Arial" w:cs="Arial"/>
          <w:sz w:val="24"/>
          <w:szCs w:val="24"/>
        </w:rPr>
        <w:t xml:space="preserve">rebuffed Phadziri’s demands, and </w:t>
      </w:r>
      <w:r w:rsidR="00913FB7" w:rsidRPr="00CC6DFF">
        <w:rPr>
          <w:rFonts w:ascii="Arial" w:hAnsi="Arial" w:cs="Arial"/>
          <w:sz w:val="24"/>
          <w:szCs w:val="24"/>
        </w:rPr>
        <w:t xml:space="preserve">pointed out that the tripartite agreement would only terminate </w:t>
      </w:r>
      <w:r w:rsidR="00CD23B8" w:rsidRPr="00CC6DFF">
        <w:rPr>
          <w:rFonts w:ascii="Arial" w:hAnsi="Arial" w:cs="Arial"/>
          <w:sz w:val="24"/>
          <w:szCs w:val="24"/>
        </w:rPr>
        <w:t xml:space="preserve">upon </w:t>
      </w:r>
      <w:r w:rsidR="00913FB7" w:rsidRPr="00CC6DFF">
        <w:rPr>
          <w:rFonts w:ascii="Arial" w:hAnsi="Arial" w:cs="Arial"/>
          <w:sz w:val="24"/>
          <w:szCs w:val="24"/>
        </w:rPr>
        <w:t xml:space="preserve">the </w:t>
      </w:r>
      <w:r w:rsidR="00CD23B8" w:rsidRPr="00CC6DFF">
        <w:rPr>
          <w:rFonts w:ascii="Arial" w:hAnsi="Arial" w:cs="Arial"/>
          <w:sz w:val="24"/>
          <w:szCs w:val="24"/>
        </w:rPr>
        <w:t xml:space="preserve">implementation by the </w:t>
      </w:r>
      <w:r w:rsidR="00913FB7" w:rsidRPr="00CC6DFF">
        <w:rPr>
          <w:rFonts w:ascii="Arial" w:hAnsi="Arial" w:cs="Arial"/>
          <w:sz w:val="24"/>
          <w:szCs w:val="24"/>
        </w:rPr>
        <w:t>Department</w:t>
      </w:r>
      <w:r w:rsidR="00CD23B8" w:rsidRPr="00CC6DFF">
        <w:rPr>
          <w:rFonts w:ascii="Arial" w:hAnsi="Arial" w:cs="Arial"/>
          <w:sz w:val="24"/>
          <w:szCs w:val="24"/>
        </w:rPr>
        <w:t xml:space="preserve"> of</w:t>
      </w:r>
      <w:r w:rsidR="00913FB7" w:rsidRPr="00CC6DFF">
        <w:rPr>
          <w:rFonts w:ascii="Arial" w:hAnsi="Arial" w:cs="Arial"/>
          <w:sz w:val="24"/>
          <w:szCs w:val="24"/>
        </w:rPr>
        <w:t xml:space="preserve"> the integrated </w:t>
      </w:r>
      <w:r w:rsidR="00E80D91" w:rsidRPr="00CC6DFF">
        <w:rPr>
          <w:rFonts w:ascii="Arial" w:hAnsi="Arial" w:cs="Arial"/>
          <w:sz w:val="24"/>
          <w:szCs w:val="24"/>
        </w:rPr>
        <w:t xml:space="preserve">public </w:t>
      </w:r>
      <w:r w:rsidR="00913FB7" w:rsidRPr="00CC6DFF">
        <w:rPr>
          <w:rFonts w:ascii="Arial" w:hAnsi="Arial" w:cs="Arial"/>
          <w:sz w:val="24"/>
          <w:szCs w:val="24"/>
        </w:rPr>
        <w:t>transport services</w:t>
      </w:r>
      <w:r w:rsidR="00CD23B8" w:rsidRPr="00CC6DFF">
        <w:rPr>
          <w:rFonts w:ascii="Arial" w:hAnsi="Arial" w:cs="Arial"/>
          <w:sz w:val="24"/>
          <w:szCs w:val="24"/>
        </w:rPr>
        <w:t>.</w:t>
      </w:r>
      <w:r w:rsidR="00913FB7" w:rsidRPr="00CC6DFF">
        <w:rPr>
          <w:rFonts w:ascii="Arial" w:hAnsi="Arial" w:cs="Arial"/>
          <w:sz w:val="24"/>
          <w:szCs w:val="24"/>
        </w:rPr>
        <w:t xml:space="preserve"> Efforts to resolve the impasse between the parties, including interventions by the Department, failed to bear fruit.</w:t>
      </w:r>
    </w:p>
    <w:p w14:paraId="6AEF566D" w14:textId="1F60008D" w:rsidR="00476F89" w:rsidRPr="00CC6DFF" w:rsidRDefault="00476F89" w:rsidP="00867989">
      <w:pPr>
        <w:shd w:val="clear" w:color="auto" w:fill="FFFFFF"/>
        <w:spacing w:after="0"/>
        <w:contextualSpacing/>
        <w:rPr>
          <w:rFonts w:ascii="Arial" w:hAnsi="Arial" w:cs="Arial"/>
          <w:strike/>
          <w:sz w:val="24"/>
          <w:szCs w:val="24"/>
        </w:rPr>
      </w:pPr>
    </w:p>
    <w:p w14:paraId="7AD37826" w14:textId="63858CAE" w:rsidR="00057F67"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lastRenderedPageBreak/>
        <w:t>[7]</w:t>
      </w:r>
      <w:r w:rsidRPr="00CC6DFF">
        <w:rPr>
          <w:rFonts w:ascii="Arial" w:hAnsi="Arial" w:cs="Arial"/>
          <w:snapToGrid w:val="0"/>
          <w:color w:val="000000"/>
          <w:w w:val="0"/>
          <w:sz w:val="24"/>
          <w:szCs w:val="24"/>
        </w:rPr>
        <w:tab/>
      </w:r>
      <w:r w:rsidR="00913FB7" w:rsidRPr="00CC6DFF">
        <w:rPr>
          <w:rFonts w:ascii="Arial" w:hAnsi="Arial" w:cs="Arial"/>
          <w:sz w:val="24"/>
          <w:szCs w:val="24"/>
        </w:rPr>
        <w:t>At the beginning of August 2019, Phadziri commenced operating on the affected routes</w:t>
      </w:r>
      <w:r w:rsidR="00CD23B8" w:rsidRPr="00CC6DFF">
        <w:rPr>
          <w:rFonts w:ascii="Arial" w:hAnsi="Arial" w:cs="Arial"/>
          <w:sz w:val="24"/>
          <w:szCs w:val="24"/>
        </w:rPr>
        <w:t xml:space="preserve"> in competition with Do Light</w:t>
      </w:r>
      <w:r w:rsidR="00913FB7" w:rsidRPr="00CC6DFF">
        <w:rPr>
          <w:rFonts w:ascii="Arial" w:hAnsi="Arial" w:cs="Arial"/>
          <w:sz w:val="24"/>
          <w:szCs w:val="24"/>
        </w:rPr>
        <w:t xml:space="preserve">. In response, Do Light </w:t>
      </w:r>
      <w:r w:rsidR="00C80596" w:rsidRPr="00CC6DFF">
        <w:rPr>
          <w:rFonts w:ascii="Arial" w:hAnsi="Arial" w:cs="Arial"/>
          <w:sz w:val="24"/>
          <w:szCs w:val="24"/>
        </w:rPr>
        <w:t xml:space="preserve">launched a two-part application in the high court, and </w:t>
      </w:r>
      <w:r w:rsidR="00913FB7" w:rsidRPr="00CC6DFF">
        <w:rPr>
          <w:rFonts w:ascii="Arial" w:hAnsi="Arial" w:cs="Arial"/>
          <w:sz w:val="24"/>
          <w:szCs w:val="24"/>
        </w:rPr>
        <w:t>obtained</w:t>
      </w:r>
      <w:r w:rsidR="00BF2A00" w:rsidRPr="00CC6DFF">
        <w:rPr>
          <w:rFonts w:ascii="Arial" w:hAnsi="Arial" w:cs="Arial"/>
          <w:sz w:val="24"/>
          <w:szCs w:val="24"/>
        </w:rPr>
        <w:t>, in part A,</w:t>
      </w:r>
      <w:r w:rsidR="00913FB7" w:rsidRPr="00CC6DFF">
        <w:rPr>
          <w:rFonts w:ascii="Arial" w:hAnsi="Arial" w:cs="Arial"/>
          <w:sz w:val="24"/>
          <w:szCs w:val="24"/>
        </w:rPr>
        <w:t xml:space="preserve"> an </w:t>
      </w:r>
      <w:r w:rsidR="00C80596" w:rsidRPr="00CC6DFF">
        <w:rPr>
          <w:rFonts w:ascii="Arial" w:hAnsi="Arial" w:cs="Arial"/>
          <w:sz w:val="24"/>
          <w:szCs w:val="24"/>
        </w:rPr>
        <w:t xml:space="preserve">urgent </w:t>
      </w:r>
      <w:r w:rsidR="00913FB7" w:rsidRPr="00CC6DFF">
        <w:rPr>
          <w:rFonts w:ascii="Arial" w:hAnsi="Arial" w:cs="Arial"/>
          <w:sz w:val="24"/>
          <w:szCs w:val="24"/>
        </w:rPr>
        <w:t>interim order interdicting Phadziri</w:t>
      </w:r>
      <w:r w:rsidR="00C80596" w:rsidRPr="00CC6DFF">
        <w:rPr>
          <w:rFonts w:ascii="Arial" w:hAnsi="Arial" w:cs="Arial"/>
          <w:sz w:val="24"/>
          <w:szCs w:val="24"/>
        </w:rPr>
        <w:t>’s conduct.</w:t>
      </w:r>
      <w:r w:rsidR="00913FB7" w:rsidRPr="00CC6DFF">
        <w:rPr>
          <w:rFonts w:ascii="Arial" w:hAnsi="Arial" w:cs="Arial"/>
          <w:sz w:val="24"/>
          <w:szCs w:val="24"/>
        </w:rPr>
        <w:t xml:space="preserve"> The interim order was to operate with immediate effect pending the determination of</w:t>
      </w:r>
      <w:r w:rsidR="00476F89" w:rsidRPr="00CC6DFF">
        <w:rPr>
          <w:rFonts w:ascii="Arial" w:hAnsi="Arial" w:cs="Arial"/>
          <w:sz w:val="24"/>
          <w:szCs w:val="24"/>
        </w:rPr>
        <w:t xml:space="preserve"> </w:t>
      </w:r>
      <w:r w:rsidR="00913FB7" w:rsidRPr="00CC6DFF">
        <w:rPr>
          <w:rFonts w:ascii="Arial" w:hAnsi="Arial" w:cs="Arial"/>
          <w:sz w:val="24"/>
          <w:szCs w:val="24"/>
        </w:rPr>
        <w:t>part B of that application</w:t>
      </w:r>
      <w:r w:rsidR="00CD23B8" w:rsidRPr="00CC6DFF">
        <w:rPr>
          <w:rFonts w:ascii="Arial" w:hAnsi="Arial" w:cs="Arial"/>
          <w:sz w:val="24"/>
          <w:szCs w:val="24"/>
        </w:rPr>
        <w:t>.</w:t>
      </w:r>
      <w:r w:rsidR="000805F8" w:rsidRPr="00CC6DFF">
        <w:rPr>
          <w:rFonts w:ascii="Arial" w:hAnsi="Arial" w:cs="Arial"/>
          <w:sz w:val="24"/>
          <w:szCs w:val="24"/>
        </w:rPr>
        <w:t xml:space="preserve"> </w:t>
      </w:r>
      <w:r w:rsidR="00913FB7" w:rsidRPr="00CC6DFF">
        <w:rPr>
          <w:rFonts w:ascii="Arial" w:hAnsi="Arial" w:cs="Arial"/>
          <w:sz w:val="24"/>
          <w:szCs w:val="24"/>
        </w:rPr>
        <w:t xml:space="preserve">When part B came before </w:t>
      </w:r>
      <w:r w:rsidR="00CD23B8" w:rsidRPr="00CC6DFF">
        <w:rPr>
          <w:rFonts w:ascii="Arial" w:hAnsi="Arial" w:cs="Arial"/>
          <w:sz w:val="24"/>
          <w:szCs w:val="24"/>
        </w:rPr>
        <w:t xml:space="preserve">it, </w:t>
      </w:r>
      <w:r w:rsidR="00913FB7" w:rsidRPr="00CC6DFF">
        <w:rPr>
          <w:rFonts w:ascii="Arial" w:hAnsi="Arial" w:cs="Arial"/>
          <w:sz w:val="24"/>
          <w:szCs w:val="24"/>
        </w:rPr>
        <w:t>the high court granted an order</w:t>
      </w:r>
      <w:r w:rsidR="00C80596" w:rsidRPr="00CC6DFF">
        <w:rPr>
          <w:rFonts w:ascii="Arial" w:hAnsi="Arial" w:cs="Arial"/>
          <w:sz w:val="24"/>
          <w:szCs w:val="24"/>
        </w:rPr>
        <w:t xml:space="preserve"> </w:t>
      </w:r>
      <w:r w:rsidR="00913FB7" w:rsidRPr="00CC6DFF">
        <w:rPr>
          <w:rFonts w:ascii="Arial" w:hAnsi="Arial" w:cs="Arial"/>
          <w:sz w:val="24"/>
          <w:szCs w:val="24"/>
        </w:rPr>
        <w:t xml:space="preserve">declaring that the </w:t>
      </w:r>
      <w:r w:rsidR="00913FB7" w:rsidRPr="00CC6DFF">
        <w:rPr>
          <w:rFonts w:ascii="Arial" w:hAnsi="Arial" w:cs="Arial"/>
          <w:sz w:val="24"/>
          <w:szCs w:val="24"/>
          <w:lang w:val="en-GB"/>
        </w:rPr>
        <w:t>tripartite agreement</w:t>
      </w:r>
      <w:r w:rsidR="00C80596" w:rsidRPr="00CC6DFF">
        <w:rPr>
          <w:rFonts w:ascii="Arial" w:hAnsi="Arial" w:cs="Arial"/>
          <w:sz w:val="24"/>
          <w:szCs w:val="24"/>
          <w:lang w:val="en-GB"/>
        </w:rPr>
        <w:t>:</w:t>
      </w:r>
      <w:r w:rsidR="00913FB7" w:rsidRPr="00CC6DFF">
        <w:rPr>
          <w:rFonts w:ascii="Arial" w:hAnsi="Arial" w:cs="Arial"/>
          <w:sz w:val="24"/>
          <w:szCs w:val="24"/>
        </w:rPr>
        <w:t xml:space="preserve"> </w:t>
      </w:r>
      <w:r w:rsidR="00057F67" w:rsidRPr="00CC6DFF">
        <w:rPr>
          <w:rFonts w:ascii="Arial" w:hAnsi="Arial" w:cs="Arial"/>
          <w:sz w:val="24"/>
          <w:szCs w:val="24"/>
        </w:rPr>
        <w:t xml:space="preserve">(a) </w:t>
      </w:r>
      <w:r w:rsidR="00913FB7" w:rsidRPr="00CC6DFF">
        <w:rPr>
          <w:rFonts w:ascii="Arial" w:hAnsi="Arial" w:cs="Arial"/>
          <w:sz w:val="24"/>
          <w:szCs w:val="24"/>
          <w:lang w:val="en-GB"/>
        </w:rPr>
        <w:t xml:space="preserve">was valid and enforceable until the introduction of the </w:t>
      </w:r>
      <w:r w:rsidR="00913FB7" w:rsidRPr="00CC6DFF">
        <w:rPr>
          <w:rFonts w:ascii="Arial" w:hAnsi="Arial" w:cs="Arial"/>
          <w:sz w:val="24"/>
          <w:szCs w:val="24"/>
        </w:rPr>
        <w:t xml:space="preserve">integrated public transport services </w:t>
      </w:r>
      <w:r w:rsidR="00913FB7" w:rsidRPr="00CC6DFF">
        <w:rPr>
          <w:rFonts w:ascii="Arial" w:hAnsi="Arial" w:cs="Arial"/>
          <w:sz w:val="24"/>
          <w:szCs w:val="24"/>
          <w:lang w:val="en-GB"/>
        </w:rPr>
        <w:t xml:space="preserve">by the Department, </w:t>
      </w:r>
      <w:r w:rsidR="00913FB7" w:rsidRPr="00CC6DFF">
        <w:rPr>
          <w:rFonts w:ascii="Arial" w:hAnsi="Arial" w:cs="Arial"/>
          <w:sz w:val="24"/>
          <w:szCs w:val="24"/>
        </w:rPr>
        <w:t xml:space="preserve">or until </w:t>
      </w:r>
      <w:r w:rsidR="00C80596" w:rsidRPr="00CC6DFF">
        <w:rPr>
          <w:rFonts w:ascii="Arial" w:hAnsi="Arial" w:cs="Arial"/>
          <w:sz w:val="24"/>
          <w:szCs w:val="24"/>
        </w:rPr>
        <w:t xml:space="preserve">it </w:t>
      </w:r>
      <w:r w:rsidR="00913FB7" w:rsidRPr="00CC6DFF">
        <w:rPr>
          <w:rFonts w:ascii="Arial" w:hAnsi="Arial" w:cs="Arial"/>
          <w:sz w:val="24"/>
          <w:szCs w:val="24"/>
        </w:rPr>
        <w:t>was lawfully terminated</w:t>
      </w:r>
      <w:r w:rsidR="00913FB7" w:rsidRPr="00CC6DFF">
        <w:rPr>
          <w:rFonts w:ascii="Arial" w:hAnsi="Arial" w:cs="Arial"/>
          <w:sz w:val="24"/>
          <w:szCs w:val="24"/>
          <w:lang w:val="en-GB"/>
        </w:rPr>
        <w:t>;</w:t>
      </w:r>
      <w:r w:rsidR="009A2CF2" w:rsidRPr="00CC6DFF">
        <w:rPr>
          <w:rFonts w:ascii="Arial" w:hAnsi="Arial" w:cs="Arial"/>
          <w:sz w:val="24"/>
          <w:szCs w:val="24"/>
          <w:lang w:val="en-GB"/>
        </w:rPr>
        <w:t xml:space="preserve"> and</w:t>
      </w:r>
      <w:r w:rsidR="00913FB7" w:rsidRPr="00CC6DFF">
        <w:rPr>
          <w:rFonts w:ascii="Arial" w:hAnsi="Arial" w:cs="Arial"/>
          <w:sz w:val="24"/>
          <w:szCs w:val="24"/>
          <w:lang w:val="en-GB"/>
        </w:rPr>
        <w:t xml:space="preserve"> (b) had superseded the bilateral agreement</w:t>
      </w:r>
      <w:r w:rsidR="00057F67" w:rsidRPr="00CC6DFF">
        <w:rPr>
          <w:rFonts w:ascii="Arial" w:hAnsi="Arial" w:cs="Arial"/>
          <w:sz w:val="24"/>
          <w:szCs w:val="24"/>
          <w:lang w:val="en-GB"/>
        </w:rPr>
        <w:t>. In coming to that</w:t>
      </w:r>
      <w:r w:rsidR="00C80596" w:rsidRPr="00CC6DFF">
        <w:rPr>
          <w:rFonts w:ascii="Arial" w:hAnsi="Arial" w:cs="Arial"/>
          <w:sz w:val="24"/>
          <w:szCs w:val="24"/>
          <w:lang w:val="en-GB"/>
        </w:rPr>
        <w:t xml:space="preserve"> conclusion</w:t>
      </w:r>
      <w:r w:rsidR="00057F67" w:rsidRPr="00CC6DFF">
        <w:rPr>
          <w:rFonts w:ascii="Arial" w:hAnsi="Arial" w:cs="Arial"/>
          <w:sz w:val="24"/>
          <w:szCs w:val="24"/>
          <w:lang w:val="en-GB"/>
        </w:rPr>
        <w:t xml:space="preserve">, the high court rejected the thrust of Phadziri’s </w:t>
      </w:r>
      <w:r w:rsidR="00C80596" w:rsidRPr="00CC6DFF">
        <w:rPr>
          <w:rFonts w:ascii="Arial" w:hAnsi="Arial" w:cs="Arial"/>
          <w:sz w:val="24"/>
          <w:szCs w:val="24"/>
          <w:lang w:val="en-GB"/>
        </w:rPr>
        <w:t xml:space="preserve">two-pronged </w:t>
      </w:r>
      <w:r w:rsidR="00057F67" w:rsidRPr="00CC6DFF">
        <w:rPr>
          <w:rFonts w:ascii="Arial" w:hAnsi="Arial" w:cs="Arial"/>
          <w:sz w:val="24"/>
          <w:szCs w:val="24"/>
          <w:lang w:val="en-GB"/>
        </w:rPr>
        <w:t xml:space="preserve">submission, namely </w:t>
      </w:r>
      <w:r w:rsidR="00C80596" w:rsidRPr="00CC6DFF">
        <w:rPr>
          <w:rFonts w:ascii="Arial" w:hAnsi="Arial" w:cs="Arial"/>
          <w:sz w:val="24"/>
          <w:szCs w:val="24"/>
          <w:lang w:val="en-GB"/>
        </w:rPr>
        <w:t xml:space="preserve">that </w:t>
      </w:r>
      <w:r w:rsidR="00057F67" w:rsidRPr="00CC6DFF">
        <w:rPr>
          <w:rFonts w:ascii="Arial" w:hAnsi="Arial" w:cs="Arial"/>
          <w:sz w:val="24"/>
          <w:szCs w:val="24"/>
        </w:rPr>
        <w:t>the tripartite agreement</w:t>
      </w:r>
      <w:r w:rsidR="00C80596" w:rsidRPr="00CC6DFF">
        <w:rPr>
          <w:rFonts w:ascii="Arial" w:hAnsi="Arial" w:cs="Arial"/>
          <w:sz w:val="24"/>
          <w:szCs w:val="24"/>
        </w:rPr>
        <w:t xml:space="preserve"> was void for vagueness, alternatively that </w:t>
      </w:r>
      <w:r w:rsidR="00057F67" w:rsidRPr="00CC6DFF">
        <w:rPr>
          <w:rFonts w:ascii="Arial" w:hAnsi="Arial" w:cs="Arial"/>
          <w:sz w:val="24"/>
          <w:szCs w:val="24"/>
        </w:rPr>
        <w:t xml:space="preserve">a tacit term should be read </w:t>
      </w:r>
      <w:r w:rsidR="00A17F52" w:rsidRPr="00CC6DFF">
        <w:rPr>
          <w:rFonts w:ascii="Arial" w:hAnsi="Arial" w:cs="Arial"/>
          <w:sz w:val="24"/>
          <w:szCs w:val="24"/>
        </w:rPr>
        <w:t>into it as to its duration to remedy the perceived vagueness.</w:t>
      </w:r>
    </w:p>
    <w:p w14:paraId="1DB54105" w14:textId="77777777" w:rsidR="00C0224C" w:rsidRPr="00CC6DFF" w:rsidRDefault="00C0224C" w:rsidP="00867989">
      <w:pPr>
        <w:shd w:val="clear" w:color="auto" w:fill="FFFFFF"/>
        <w:spacing w:after="0"/>
        <w:contextualSpacing/>
        <w:rPr>
          <w:rFonts w:ascii="Arial" w:hAnsi="Arial" w:cs="Arial"/>
          <w:strike/>
          <w:sz w:val="24"/>
          <w:szCs w:val="24"/>
        </w:rPr>
      </w:pPr>
    </w:p>
    <w:p w14:paraId="4D8C0FFE" w14:textId="6A73475C" w:rsidR="00644C8F"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[8]</w:t>
      </w:r>
      <w:r w:rsidRPr="00CC6DFF">
        <w:rPr>
          <w:rFonts w:ascii="Arial" w:hAnsi="Arial" w:cs="Arial"/>
          <w:snapToGrid w:val="0"/>
          <w:color w:val="000000"/>
          <w:w w:val="0"/>
          <w:sz w:val="24"/>
          <w:szCs w:val="24"/>
        </w:rPr>
        <w:tab/>
      </w:r>
      <w:r w:rsidR="00913FB7" w:rsidRPr="00CC6DFF">
        <w:rPr>
          <w:rFonts w:ascii="Arial" w:hAnsi="Arial" w:cs="Arial"/>
          <w:sz w:val="24"/>
          <w:szCs w:val="24"/>
        </w:rPr>
        <w:t>In this Court, Phadziri persisted with the</w:t>
      </w:r>
      <w:r w:rsidR="00C80596" w:rsidRPr="00CC6DFF">
        <w:rPr>
          <w:rFonts w:ascii="Arial" w:hAnsi="Arial" w:cs="Arial"/>
          <w:sz w:val="24"/>
          <w:szCs w:val="24"/>
        </w:rPr>
        <w:t>se submissions.</w:t>
      </w:r>
      <w:r w:rsidR="00913FB7" w:rsidRPr="00CC6DFF">
        <w:rPr>
          <w:rFonts w:ascii="Arial" w:hAnsi="Arial" w:cs="Arial"/>
          <w:sz w:val="24"/>
          <w:szCs w:val="24"/>
        </w:rPr>
        <w:t xml:space="preserve"> In support of </w:t>
      </w:r>
      <w:r w:rsidR="00C80596" w:rsidRPr="00CC6DFF">
        <w:rPr>
          <w:rFonts w:ascii="Arial" w:hAnsi="Arial" w:cs="Arial"/>
          <w:sz w:val="24"/>
          <w:szCs w:val="24"/>
        </w:rPr>
        <w:t>th</w:t>
      </w:r>
      <w:r w:rsidR="00057F67" w:rsidRPr="00CC6DFF">
        <w:rPr>
          <w:rFonts w:ascii="Arial" w:hAnsi="Arial" w:cs="Arial"/>
          <w:sz w:val="24"/>
          <w:szCs w:val="24"/>
        </w:rPr>
        <w:t>e</w:t>
      </w:r>
      <w:r w:rsidR="00913FB7" w:rsidRPr="00CC6DFF">
        <w:rPr>
          <w:rFonts w:ascii="Arial" w:hAnsi="Arial" w:cs="Arial"/>
          <w:sz w:val="24"/>
          <w:szCs w:val="24"/>
        </w:rPr>
        <w:t xml:space="preserve"> contention</w:t>
      </w:r>
      <w:r w:rsidR="00057F67" w:rsidRPr="00CC6DFF">
        <w:rPr>
          <w:rFonts w:ascii="Arial" w:hAnsi="Arial" w:cs="Arial"/>
          <w:sz w:val="24"/>
          <w:szCs w:val="24"/>
        </w:rPr>
        <w:t xml:space="preserve"> for vagueness</w:t>
      </w:r>
      <w:r w:rsidR="00913FB7" w:rsidRPr="00CC6DFF">
        <w:rPr>
          <w:rFonts w:ascii="Arial" w:hAnsi="Arial" w:cs="Arial"/>
          <w:sz w:val="24"/>
          <w:szCs w:val="24"/>
        </w:rPr>
        <w:t>, Phadziri relied on the fact that t</w:t>
      </w:r>
      <w:r w:rsidR="00C80596" w:rsidRPr="00CC6DFF">
        <w:rPr>
          <w:rFonts w:ascii="Arial" w:hAnsi="Arial" w:cs="Arial"/>
          <w:sz w:val="24"/>
          <w:szCs w:val="24"/>
        </w:rPr>
        <w:t>wo</w:t>
      </w:r>
      <w:r w:rsidR="00913FB7" w:rsidRPr="00CC6DFF">
        <w:rPr>
          <w:rFonts w:ascii="Arial" w:hAnsi="Arial" w:cs="Arial"/>
          <w:sz w:val="24"/>
          <w:szCs w:val="24"/>
        </w:rPr>
        <w:t xml:space="preserve"> documents referred to as annexures 1</w:t>
      </w:r>
      <w:r w:rsidR="00C80596" w:rsidRPr="00CC6DFF">
        <w:rPr>
          <w:rFonts w:ascii="Arial" w:hAnsi="Arial" w:cs="Arial"/>
          <w:sz w:val="24"/>
          <w:szCs w:val="24"/>
        </w:rPr>
        <w:t xml:space="preserve"> and</w:t>
      </w:r>
      <w:r w:rsidR="00913FB7" w:rsidRPr="00CC6DFF">
        <w:rPr>
          <w:rFonts w:ascii="Arial" w:hAnsi="Arial" w:cs="Arial"/>
          <w:sz w:val="24"/>
          <w:szCs w:val="24"/>
        </w:rPr>
        <w:t xml:space="preserve"> 3 in the </w:t>
      </w:r>
      <w:r w:rsidR="00BF2A00" w:rsidRPr="00CC6DFF">
        <w:rPr>
          <w:rFonts w:ascii="Arial" w:hAnsi="Arial" w:cs="Arial"/>
          <w:sz w:val="24"/>
          <w:szCs w:val="24"/>
        </w:rPr>
        <w:t xml:space="preserve">tripartite </w:t>
      </w:r>
      <w:r w:rsidR="00913FB7" w:rsidRPr="00CC6DFF">
        <w:rPr>
          <w:rFonts w:ascii="Arial" w:hAnsi="Arial" w:cs="Arial"/>
          <w:sz w:val="24"/>
          <w:szCs w:val="24"/>
        </w:rPr>
        <w:t xml:space="preserve">agreement were not attached to </w:t>
      </w:r>
      <w:r w:rsidR="00BF2A00" w:rsidRPr="00CC6DFF">
        <w:rPr>
          <w:rFonts w:ascii="Arial" w:hAnsi="Arial" w:cs="Arial"/>
          <w:sz w:val="24"/>
          <w:szCs w:val="24"/>
        </w:rPr>
        <w:t xml:space="preserve">it. </w:t>
      </w:r>
      <w:r w:rsidR="00913FB7" w:rsidRPr="00CC6DFF">
        <w:rPr>
          <w:rFonts w:ascii="Arial" w:hAnsi="Arial" w:cs="Arial"/>
          <w:sz w:val="24"/>
          <w:szCs w:val="24"/>
        </w:rPr>
        <w:t>Because of this omission, asserted Phadziri, the routes which it had cede</w:t>
      </w:r>
      <w:r w:rsidR="00C80596" w:rsidRPr="00CC6DFF">
        <w:rPr>
          <w:rFonts w:ascii="Arial" w:hAnsi="Arial" w:cs="Arial"/>
          <w:sz w:val="24"/>
          <w:szCs w:val="24"/>
        </w:rPr>
        <w:t>d</w:t>
      </w:r>
      <w:r w:rsidR="00913FB7" w:rsidRPr="00CC6DFF">
        <w:rPr>
          <w:rFonts w:ascii="Arial" w:hAnsi="Arial" w:cs="Arial"/>
          <w:sz w:val="24"/>
          <w:szCs w:val="24"/>
        </w:rPr>
        <w:t xml:space="preserve"> to Do Light in terms of the tripartite agreement could not be identified.</w:t>
      </w:r>
    </w:p>
    <w:p w14:paraId="114E5F70" w14:textId="77777777" w:rsidR="000805F8" w:rsidRPr="00CC6DFF" w:rsidRDefault="000805F8" w:rsidP="00867989">
      <w:pPr>
        <w:shd w:val="clear" w:color="auto" w:fill="FFFFFF"/>
        <w:spacing w:after="0"/>
        <w:contextualSpacing/>
        <w:rPr>
          <w:rFonts w:ascii="Arial" w:hAnsi="Arial" w:cs="Arial"/>
          <w:strike/>
          <w:sz w:val="24"/>
          <w:szCs w:val="24"/>
        </w:rPr>
      </w:pPr>
    </w:p>
    <w:p w14:paraId="06B00F34" w14:textId="07D7520C" w:rsidR="00913FB7"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[9]</w:t>
      </w:r>
      <w:r w:rsidRPr="00CC6DFF">
        <w:rPr>
          <w:rFonts w:ascii="Arial" w:hAnsi="Arial" w:cs="Arial"/>
          <w:snapToGrid w:val="0"/>
          <w:color w:val="000000"/>
          <w:w w:val="0"/>
          <w:sz w:val="24"/>
          <w:szCs w:val="24"/>
        </w:rPr>
        <w:tab/>
      </w:r>
      <w:r w:rsidR="00913FB7" w:rsidRPr="00CC6DFF">
        <w:rPr>
          <w:rFonts w:ascii="Arial" w:hAnsi="Arial" w:cs="Arial"/>
          <w:sz w:val="24"/>
          <w:szCs w:val="24"/>
        </w:rPr>
        <w:t xml:space="preserve">Annexure 1 is referred to in clause 3.1 </w:t>
      </w:r>
      <w:r w:rsidR="003949ED" w:rsidRPr="00CC6DFF">
        <w:rPr>
          <w:rFonts w:ascii="Arial" w:hAnsi="Arial" w:cs="Arial"/>
          <w:sz w:val="24"/>
          <w:szCs w:val="24"/>
        </w:rPr>
        <w:t xml:space="preserve">of the tripartite agreement </w:t>
      </w:r>
      <w:r w:rsidR="00913FB7" w:rsidRPr="00CC6DFF">
        <w:rPr>
          <w:rFonts w:ascii="Arial" w:hAnsi="Arial" w:cs="Arial"/>
          <w:sz w:val="24"/>
          <w:szCs w:val="24"/>
        </w:rPr>
        <w:t>under Phadziri’s obligations. The clause provides:</w:t>
      </w:r>
    </w:p>
    <w:p w14:paraId="2B43E441" w14:textId="5541DC7B" w:rsidR="00202BBA" w:rsidRPr="00CC6DFF" w:rsidRDefault="00913FB7" w:rsidP="00867989">
      <w:pPr>
        <w:shd w:val="clear" w:color="auto" w:fill="FFFFFF"/>
        <w:spacing w:after="0"/>
        <w:contextualSpacing/>
        <w:rPr>
          <w:rFonts w:ascii="Arial" w:hAnsi="Arial" w:cs="Arial"/>
        </w:rPr>
      </w:pPr>
      <w:r w:rsidRPr="00CC6DFF">
        <w:rPr>
          <w:rFonts w:ascii="Arial" w:hAnsi="Arial" w:cs="Arial"/>
        </w:rPr>
        <w:t xml:space="preserve">‘To allow [Do Light] to operate from Vleifontein and Maila to Makhado (Louis Trichardt) in terms of the timetable as attached as annexure 1, or as amended by agreement between the Department and Do Light.’ </w:t>
      </w:r>
    </w:p>
    <w:p w14:paraId="66986B73" w14:textId="5C5DE93F" w:rsidR="00202BBA" w:rsidRPr="00CC6DFF" w:rsidRDefault="00913FB7" w:rsidP="00867989">
      <w:pPr>
        <w:shd w:val="clear" w:color="auto" w:fill="FFFFFF"/>
        <w:spacing w:after="0"/>
        <w:contextualSpacing/>
        <w:rPr>
          <w:rFonts w:ascii="Arial" w:hAnsi="Arial" w:cs="Arial"/>
          <w:sz w:val="24"/>
          <w:szCs w:val="24"/>
        </w:rPr>
      </w:pPr>
      <w:r w:rsidRPr="00CC6DFF">
        <w:rPr>
          <w:rFonts w:ascii="Arial" w:hAnsi="Arial" w:cs="Arial"/>
          <w:sz w:val="24"/>
          <w:szCs w:val="24"/>
        </w:rPr>
        <w:t>Annexure 3 appear</w:t>
      </w:r>
      <w:r w:rsidR="00C80596" w:rsidRPr="00CC6DFF">
        <w:rPr>
          <w:rFonts w:ascii="Arial" w:hAnsi="Arial" w:cs="Arial"/>
          <w:sz w:val="24"/>
          <w:szCs w:val="24"/>
        </w:rPr>
        <w:t>s</w:t>
      </w:r>
      <w:r w:rsidRPr="00CC6DFF">
        <w:rPr>
          <w:rFonts w:ascii="Arial" w:hAnsi="Arial" w:cs="Arial"/>
          <w:sz w:val="24"/>
          <w:szCs w:val="24"/>
        </w:rPr>
        <w:t xml:space="preserve"> </w:t>
      </w:r>
      <w:r w:rsidR="00644C8F" w:rsidRPr="00CC6DFF">
        <w:rPr>
          <w:rFonts w:ascii="Arial" w:hAnsi="Arial" w:cs="Arial"/>
          <w:sz w:val="24"/>
          <w:szCs w:val="24"/>
        </w:rPr>
        <w:t>in clause 4.8</w:t>
      </w:r>
      <w:r w:rsidR="00644C8F" w:rsidRPr="00CC6DFF">
        <w:rPr>
          <w:rStyle w:val="FootnoteReference"/>
          <w:rFonts w:ascii="Arial" w:hAnsi="Arial"/>
          <w:sz w:val="24"/>
          <w:szCs w:val="24"/>
        </w:rPr>
        <w:footnoteReference w:id="1"/>
      </w:r>
      <w:r w:rsidR="00644C8F" w:rsidRPr="00CC6DFF">
        <w:rPr>
          <w:rFonts w:ascii="Arial" w:hAnsi="Arial" w:cs="Arial"/>
          <w:sz w:val="24"/>
          <w:szCs w:val="24"/>
        </w:rPr>
        <w:t xml:space="preserve"> </w:t>
      </w:r>
      <w:r w:rsidR="003949ED" w:rsidRPr="00CC6DFF">
        <w:rPr>
          <w:rFonts w:ascii="Arial" w:hAnsi="Arial" w:cs="Arial"/>
          <w:sz w:val="24"/>
          <w:szCs w:val="24"/>
        </w:rPr>
        <w:t xml:space="preserve">of the tripartite agreement </w:t>
      </w:r>
      <w:r w:rsidRPr="00CC6DFF">
        <w:rPr>
          <w:rFonts w:ascii="Arial" w:hAnsi="Arial" w:cs="Arial"/>
          <w:sz w:val="24"/>
          <w:szCs w:val="24"/>
        </w:rPr>
        <w:t xml:space="preserve">under Do Light’s obligations, </w:t>
      </w:r>
      <w:r w:rsidR="00644C8F" w:rsidRPr="00CC6DFF">
        <w:rPr>
          <w:rFonts w:ascii="Arial" w:hAnsi="Arial" w:cs="Arial"/>
          <w:sz w:val="24"/>
          <w:szCs w:val="24"/>
        </w:rPr>
        <w:t>and it reads as follows:</w:t>
      </w:r>
      <w:r w:rsidR="00644C8F" w:rsidRPr="00CC6DFF" w:rsidDel="00644C8F">
        <w:rPr>
          <w:rFonts w:ascii="Arial" w:hAnsi="Arial" w:cs="Arial"/>
          <w:sz w:val="24"/>
          <w:szCs w:val="24"/>
        </w:rPr>
        <w:t xml:space="preserve"> </w:t>
      </w:r>
    </w:p>
    <w:p w14:paraId="005F12D1" w14:textId="4F6C5D8C" w:rsidR="00913FB7" w:rsidRPr="00CC6DFF" w:rsidRDefault="00913FB7" w:rsidP="00867989">
      <w:pPr>
        <w:shd w:val="clear" w:color="auto" w:fill="FFFFFF"/>
        <w:spacing w:after="0"/>
        <w:contextualSpacing/>
        <w:rPr>
          <w:rFonts w:ascii="Arial" w:hAnsi="Arial" w:cs="Arial"/>
        </w:rPr>
      </w:pPr>
      <w:r w:rsidRPr="00CC6DFF">
        <w:rPr>
          <w:rFonts w:ascii="Arial" w:hAnsi="Arial" w:cs="Arial"/>
        </w:rPr>
        <w:t xml:space="preserve">‘Cash journey tickets will be sold to passengers on the affected routes as per the </w:t>
      </w:r>
      <w:r w:rsidR="009A2CF2" w:rsidRPr="00CC6DFF">
        <w:rPr>
          <w:rFonts w:ascii="Arial" w:hAnsi="Arial" w:cs="Arial"/>
        </w:rPr>
        <w:t xml:space="preserve">fare </w:t>
      </w:r>
      <w:r w:rsidRPr="00CC6DFF">
        <w:rPr>
          <w:rFonts w:ascii="Arial" w:hAnsi="Arial" w:cs="Arial"/>
        </w:rPr>
        <w:t xml:space="preserve">tables as attached </w:t>
      </w:r>
      <w:r w:rsidR="009A2CF2" w:rsidRPr="00CC6DFF">
        <w:rPr>
          <w:rFonts w:ascii="Arial" w:hAnsi="Arial" w:cs="Arial"/>
        </w:rPr>
        <w:t xml:space="preserve">in . . . </w:t>
      </w:r>
      <w:r w:rsidRPr="00CC6DFF">
        <w:rPr>
          <w:rFonts w:ascii="Arial" w:hAnsi="Arial" w:cs="Arial"/>
        </w:rPr>
        <w:t>annexure 3, or as agreed to.’</w:t>
      </w:r>
    </w:p>
    <w:p w14:paraId="5A618EF3" w14:textId="77777777" w:rsidR="000805F8" w:rsidRPr="00CC6DFF" w:rsidRDefault="000805F8" w:rsidP="00867989">
      <w:pPr>
        <w:shd w:val="clear" w:color="auto" w:fill="FFFFFF"/>
        <w:spacing w:after="0"/>
        <w:contextualSpacing/>
        <w:rPr>
          <w:rFonts w:ascii="Arial" w:hAnsi="Arial" w:cs="Arial"/>
          <w:sz w:val="24"/>
          <w:szCs w:val="24"/>
        </w:rPr>
      </w:pPr>
    </w:p>
    <w:p w14:paraId="6BB5F4DD" w14:textId="59B174B6" w:rsidR="00A77594"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[10]</w:t>
      </w:r>
      <w:r w:rsidRPr="00CC6DFF">
        <w:rPr>
          <w:rFonts w:ascii="Arial" w:hAnsi="Arial" w:cs="Arial"/>
          <w:snapToGrid w:val="0"/>
          <w:color w:val="000000"/>
          <w:w w:val="0"/>
          <w:sz w:val="24"/>
          <w:szCs w:val="24"/>
        </w:rPr>
        <w:tab/>
      </w:r>
      <w:r w:rsidR="00644C8F" w:rsidRPr="00CC6DFF">
        <w:rPr>
          <w:rFonts w:ascii="Arial" w:hAnsi="Arial" w:cs="Arial"/>
          <w:sz w:val="24"/>
          <w:szCs w:val="24"/>
        </w:rPr>
        <w:t xml:space="preserve">These </w:t>
      </w:r>
      <w:r w:rsidR="00BF2A00" w:rsidRPr="00CC6DFF">
        <w:rPr>
          <w:rFonts w:ascii="Arial" w:hAnsi="Arial" w:cs="Arial"/>
          <w:sz w:val="24"/>
          <w:szCs w:val="24"/>
        </w:rPr>
        <w:t xml:space="preserve">two </w:t>
      </w:r>
      <w:r w:rsidR="00644C8F" w:rsidRPr="00CC6DFF">
        <w:rPr>
          <w:rFonts w:ascii="Arial" w:hAnsi="Arial" w:cs="Arial"/>
          <w:sz w:val="24"/>
          <w:szCs w:val="24"/>
        </w:rPr>
        <w:t>a</w:t>
      </w:r>
      <w:r w:rsidR="00913FB7" w:rsidRPr="00CC6DFF">
        <w:rPr>
          <w:rFonts w:ascii="Arial" w:hAnsi="Arial" w:cs="Arial"/>
          <w:sz w:val="24"/>
          <w:szCs w:val="24"/>
        </w:rPr>
        <w:t>nnexures</w:t>
      </w:r>
      <w:r w:rsidR="004D7F85" w:rsidRPr="00CC6DFF">
        <w:rPr>
          <w:rFonts w:ascii="Arial" w:hAnsi="Arial" w:cs="Arial"/>
          <w:sz w:val="24"/>
          <w:szCs w:val="24"/>
        </w:rPr>
        <w:t xml:space="preserve"> </w:t>
      </w:r>
      <w:r w:rsidR="00644C8F" w:rsidRPr="00CC6DFF">
        <w:rPr>
          <w:rFonts w:ascii="Arial" w:hAnsi="Arial" w:cs="Arial"/>
          <w:sz w:val="24"/>
          <w:szCs w:val="24"/>
        </w:rPr>
        <w:t xml:space="preserve">clearly </w:t>
      </w:r>
      <w:r w:rsidR="00913FB7" w:rsidRPr="00CC6DFF">
        <w:rPr>
          <w:rFonts w:ascii="Arial" w:hAnsi="Arial" w:cs="Arial"/>
          <w:sz w:val="24"/>
          <w:szCs w:val="24"/>
        </w:rPr>
        <w:t>ref</w:t>
      </w:r>
      <w:r w:rsidR="004D7F85" w:rsidRPr="00CC6DFF">
        <w:rPr>
          <w:rFonts w:ascii="Arial" w:hAnsi="Arial" w:cs="Arial"/>
          <w:sz w:val="24"/>
          <w:szCs w:val="24"/>
        </w:rPr>
        <w:t>er to</w:t>
      </w:r>
      <w:r w:rsidR="00913FB7" w:rsidRPr="00CC6DFF">
        <w:rPr>
          <w:rFonts w:ascii="Arial" w:hAnsi="Arial" w:cs="Arial"/>
          <w:sz w:val="24"/>
          <w:szCs w:val="24"/>
        </w:rPr>
        <w:t xml:space="preserve"> a timetable </w:t>
      </w:r>
      <w:r w:rsidR="004D7F85" w:rsidRPr="00CC6DFF">
        <w:rPr>
          <w:rFonts w:ascii="Arial" w:hAnsi="Arial" w:cs="Arial"/>
          <w:sz w:val="24"/>
          <w:szCs w:val="24"/>
        </w:rPr>
        <w:t xml:space="preserve">in terms of which </w:t>
      </w:r>
      <w:r w:rsidR="00913FB7" w:rsidRPr="00CC6DFF">
        <w:rPr>
          <w:rFonts w:ascii="Arial" w:hAnsi="Arial" w:cs="Arial"/>
          <w:sz w:val="24"/>
          <w:szCs w:val="24"/>
        </w:rPr>
        <w:t>Do Light</w:t>
      </w:r>
      <w:r w:rsidR="004D7F85" w:rsidRPr="00CC6DFF">
        <w:rPr>
          <w:rFonts w:ascii="Arial" w:hAnsi="Arial" w:cs="Arial"/>
          <w:sz w:val="24"/>
          <w:szCs w:val="24"/>
        </w:rPr>
        <w:t xml:space="preserve"> would operate its</w:t>
      </w:r>
      <w:r w:rsidR="00913FB7" w:rsidRPr="00CC6DFF">
        <w:rPr>
          <w:rFonts w:ascii="Arial" w:hAnsi="Arial" w:cs="Arial"/>
          <w:sz w:val="24"/>
          <w:szCs w:val="24"/>
        </w:rPr>
        <w:t xml:space="preserve"> busses on the affected routes. </w:t>
      </w:r>
      <w:r w:rsidR="00A77594" w:rsidRPr="00CC6DFF">
        <w:rPr>
          <w:rFonts w:ascii="Arial" w:hAnsi="Arial" w:cs="Arial"/>
          <w:sz w:val="24"/>
          <w:szCs w:val="24"/>
        </w:rPr>
        <w:t>‘Timetable’ as defined in s 1 of the National Land Transport Act</w:t>
      </w:r>
      <w:r w:rsidR="003B24E5" w:rsidRPr="00CC6DFF">
        <w:rPr>
          <w:rFonts w:ascii="Arial" w:hAnsi="Arial" w:cs="Arial"/>
          <w:sz w:val="24"/>
          <w:szCs w:val="24"/>
        </w:rPr>
        <w:t xml:space="preserve"> 5 of 2009</w:t>
      </w:r>
      <w:r w:rsidR="00413127" w:rsidRPr="00CC6DFF">
        <w:rPr>
          <w:rFonts w:ascii="Arial" w:hAnsi="Arial" w:cs="Arial"/>
          <w:sz w:val="24"/>
          <w:szCs w:val="24"/>
        </w:rPr>
        <w:t xml:space="preserve"> (the Act) means:</w:t>
      </w:r>
    </w:p>
    <w:p w14:paraId="3E7FC2CA" w14:textId="6562DCCC" w:rsidR="00644C8F" w:rsidRPr="00CC6DFF" w:rsidRDefault="00A77594" w:rsidP="00867989">
      <w:pPr>
        <w:shd w:val="clear" w:color="auto" w:fill="FFFFFF"/>
        <w:spacing w:after="0"/>
        <w:contextualSpacing/>
        <w:rPr>
          <w:rFonts w:ascii="Arial" w:hAnsi="Arial" w:cs="Arial"/>
        </w:rPr>
      </w:pPr>
      <w:r w:rsidRPr="00CC6DFF">
        <w:rPr>
          <w:rFonts w:ascii="Arial" w:hAnsi="Arial" w:cs="Arial"/>
        </w:rPr>
        <w:lastRenderedPageBreak/>
        <w:t>‘</w:t>
      </w:r>
      <w:r w:rsidR="003B24E5" w:rsidRPr="00CC6DFF">
        <w:rPr>
          <w:rFonts w:ascii="Arial" w:hAnsi="Arial" w:cs="Arial"/>
        </w:rPr>
        <w:t>[A]</w:t>
      </w:r>
      <w:r w:rsidRPr="00CC6DFF">
        <w:rPr>
          <w:rFonts w:ascii="Arial" w:hAnsi="Arial" w:cs="Arial"/>
        </w:rPr>
        <w:t xml:space="preserve"> published document informing passengers of headways (intervals between departures or the passing of vehicles), or times when and places where public transport services are available, indicating at least origin and destination points and significant intermediate locations along the route.’</w:t>
      </w:r>
    </w:p>
    <w:p w14:paraId="466086A4" w14:textId="77777777" w:rsidR="000805F8" w:rsidRPr="00CC6DFF" w:rsidRDefault="000805F8" w:rsidP="00867989">
      <w:pPr>
        <w:shd w:val="clear" w:color="auto" w:fill="FFFFFF"/>
        <w:spacing w:after="0"/>
        <w:contextualSpacing/>
        <w:rPr>
          <w:rFonts w:ascii="Arial" w:hAnsi="Arial" w:cs="Arial"/>
          <w:sz w:val="24"/>
          <w:szCs w:val="24"/>
        </w:rPr>
      </w:pPr>
    </w:p>
    <w:p w14:paraId="001A1175" w14:textId="7D8E5DCD" w:rsidR="00A77594"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[11]</w:t>
      </w:r>
      <w:r w:rsidRPr="00CC6DFF">
        <w:rPr>
          <w:rFonts w:ascii="Arial" w:hAnsi="Arial" w:cs="Arial"/>
          <w:snapToGrid w:val="0"/>
          <w:color w:val="000000"/>
          <w:w w:val="0"/>
          <w:sz w:val="24"/>
          <w:szCs w:val="24"/>
        </w:rPr>
        <w:tab/>
      </w:r>
      <w:r w:rsidR="004D7F85" w:rsidRPr="00CC6DFF">
        <w:rPr>
          <w:rFonts w:ascii="Arial" w:hAnsi="Arial" w:cs="Arial"/>
          <w:sz w:val="24"/>
          <w:szCs w:val="24"/>
        </w:rPr>
        <w:t xml:space="preserve">The question </w:t>
      </w:r>
      <w:r w:rsidR="003949ED" w:rsidRPr="00CC6DFF">
        <w:rPr>
          <w:rFonts w:ascii="Arial" w:hAnsi="Arial" w:cs="Arial"/>
          <w:sz w:val="24"/>
          <w:szCs w:val="24"/>
        </w:rPr>
        <w:t xml:space="preserve">to be determined </w:t>
      </w:r>
      <w:r w:rsidR="004D7F85" w:rsidRPr="00CC6DFF">
        <w:rPr>
          <w:rFonts w:ascii="Arial" w:hAnsi="Arial" w:cs="Arial"/>
          <w:sz w:val="24"/>
          <w:szCs w:val="24"/>
        </w:rPr>
        <w:t xml:space="preserve">is whether the omission of </w:t>
      </w:r>
      <w:r w:rsidR="00644C8F" w:rsidRPr="00CC6DFF">
        <w:rPr>
          <w:rFonts w:ascii="Arial" w:hAnsi="Arial" w:cs="Arial"/>
          <w:sz w:val="24"/>
          <w:szCs w:val="24"/>
        </w:rPr>
        <w:t xml:space="preserve">the </w:t>
      </w:r>
      <w:r w:rsidR="004D7F85" w:rsidRPr="00CC6DFF">
        <w:rPr>
          <w:rFonts w:ascii="Arial" w:hAnsi="Arial" w:cs="Arial"/>
          <w:sz w:val="24"/>
          <w:szCs w:val="24"/>
        </w:rPr>
        <w:t xml:space="preserve">annexures renders the agreement not capable of implementation. </w:t>
      </w:r>
      <w:r w:rsidR="00644C8F" w:rsidRPr="00CC6DFF">
        <w:rPr>
          <w:rFonts w:ascii="Arial" w:hAnsi="Arial" w:cs="Arial"/>
          <w:sz w:val="24"/>
          <w:szCs w:val="24"/>
        </w:rPr>
        <w:t>To answer that question, t</w:t>
      </w:r>
      <w:r w:rsidR="00913FB7" w:rsidRPr="00CC6DFF">
        <w:rPr>
          <w:rFonts w:ascii="Arial" w:hAnsi="Arial" w:cs="Arial"/>
          <w:sz w:val="24"/>
          <w:szCs w:val="24"/>
        </w:rPr>
        <w:t xml:space="preserve">he clauses in which </w:t>
      </w:r>
      <w:r w:rsidR="00644C8F" w:rsidRPr="00CC6DFF">
        <w:rPr>
          <w:rFonts w:ascii="Arial" w:hAnsi="Arial" w:cs="Arial"/>
          <w:sz w:val="24"/>
          <w:szCs w:val="24"/>
        </w:rPr>
        <w:t xml:space="preserve">the </w:t>
      </w:r>
      <w:r w:rsidR="00913FB7" w:rsidRPr="00CC6DFF">
        <w:rPr>
          <w:rFonts w:ascii="Arial" w:hAnsi="Arial" w:cs="Arial"/>
          <w:sz w:val="24"/>
          <w:szCs w:val="24"/>
        </w:rPr>
        <w:t>annexures</w:t>
      </w:r>
      <w:r w:rsidR="004D7F85" w:rsidRPr="00CC6DFF">
        <w:rPr>
          <w:rFonts w:ascii="Arial" w:hAnsi="Arial" w:cs="Arial"/>
          <w:sz w:val="24"/>
          <w:szCs w:val="24"/>
        </w:rPr>
        <w:t xml:space="preserve"> </w:t>
      </w:r>
      <w:r w:rsidR="00913FB7" w:rsidRPr="00CC6DFF">
        <w:rPr>
          <w:rFonts w:ascii="Arial" w:hAnsi="Arial" w:cs="Arial"/>
          <w:sz w:val="24"/>
          <w:szCs w:val="24"/>
        </w:rPr>
        <w:t xml:space="preserve">are mentioned should not be read in isolation, but as part of the whole agreement. On a plain reading of the tripartite agreement, what was to be ceded were the </w:t>
      </w:r>
      <w:r w:rsidR="00644C8F" w:rsidRPr="00CC6DFF">
        <w:rPr>
          <w:rFonts w:ascii="Arial" w:hAnsi="Arial" w:cs="Arial"/>
          <w:sz w:val="24"/>
          <w:szCs w:val="24"/>
        </w:rPr>
        <w:t>licen</w:t>
      </w:r>
      <w:r w:rsidR="00D015B0" w:rsidRPr="00CC6DFF">
        <w:rPr>
          <w:rFonts w:ascii="Arial" w:hAnsi="Arial" w:cs="Arial"/>
          <w:sz w:val="24"/>
          <w:szCs w:val="24"/>
        </w:rPr>
        <w:t>c</w:t>
      </w:r>
      <w:r w:rsidR="00644C8F" w:rsidRPr="00CC6DFF">
        <w:rPr>
          <w:rFonts w:ascii="Arial" w:hAnsi="Arial" w:cs="Arial"/>
          <w:sz w:val="24"/>
          <w:szCs w:val="24"/>
        </w:rPr>
        <w:t>es</w:t>
      </w:r>
      <w:r w:rsidR="00913FB7" w:rsidRPr="00CC6DFF">
        <w:rPr>
          <w:rFonts w:ascii="Arial" w:hAnsi="Arial" w:cs="Arial"/>
          <w:sz w:val="24"/>
          <w:szCs w:val="24"/>
        </w:rPr>
        <w:t>, which reflected the affected routes, identified in clause 3.1 as ‘Vleifontein and Maila to Makhado (Louis Trichardt)’</w:t>
      </w:r>
      <w:r w:rsidR="00D015B0" w:rsidRPr="00CC6DFF">
        <w:rPr>
          <w:rFonts w:ascii="Arial" w:hAnsi="Arial" w:cs="Arial"/>
          <w:sz w:val="24"/>
          <w:szCs w:val="24"/>
        </w:rPr>
        <w:t>.</w:t>
      </w:r>
      <w:r w:rsidR="00913FB7" w:rsidRPr="00CC6DFF">
        <w:rPr>
          <w:rFonts w:ascii="Arial" w:hAnsi="Arial" w:cs="Arial"/>
          <w:sz w:val="24"/>
          <w:szCs w:val="24"/>
        </w:rPr>
        <w:t xml:space="preserve"> Clause 3.2 obliged Phadziri to ‘cede the permits/operating licences pertaining to the affected routes’ for the duration of the agreement. </w:t>
      </w:r>
      <w:r w:rsidR="00A77594" w:rsidRPr="00CC6DFF">
        <w:rPr>
          <w:rFonts w:ascii="Arial" w:hAnsi="Arial" w:cs="Arial"/>
          <w:sz w:val="24"/>
          <w:szCs w:val="24"/>
        </w:rPr>
        <w:t>The effect of Phadziri ceding the licen</w:t>
      </w:r>
      <w:r w:rsidR="00D015B0" w:rsidRPr="00CC6DFF">
        <w:rPr>
          <w:rFonts w:ascii="Arial" w:hAnsi="Arial" w:cs="Arial"/>
          <w:sz w:val="24"/>
          <w:szCs w:val="24"/>
        </w:rPr>
        <w:t>c</w:t>
      </w:r>
      <w:r w:rsidR="00A77594" w:rsidRPr="00CC6DFF">
        <w:rPr>
          <w:rFonts w:ascii="Arial" w:hAnsi="Arial" w:cs="Arial"/>
          <w:sz w:val="24"/>
          <w:szCs w:val="24"/>
        </w:rPr>
        <w:t>es in terms of clause 3.2 to Do Light was that the latter would step into the shoes of Phadziri and transport passengers in terms of the licen</w:t>
      </w:r>
      <w:r w:rsidR="00D015B0" w:rsidRPr="00CC6DFF">
        <w:rPr>
          <w:rFonts w:ascii="Arial" w:hAnsi="Arial" w:cs="Arial"/>
          <w:sz w:val="24"/>
          <w:szCs w:val="24"/>
        </w:rPr>
        <w:t>c</w:t>
      </w:r>
      <w:r w:rsidR="00A77594" w:rsidRPr="00CC6DFF">
        <w:rPr>
          <w:rFonts w:ascii="Arial" w:hAnsi="Arial" w:cs="Arial"/>
          <w:sz w:val="24"/>
          <w:szCs w:val="24"/>
        </w:rPr>
        <w:t>es, as Phadziri had done</w:t>
      </w:r>
      <w:r w:rsidR="00644C8F" w:rsidRPr="00CC6DFF">
        <w:rPr>
          <w:rFonts w:ascii="Arial" w:hAnsi="Arial" w:cs="Arial"/>
          <w:sz w:val="24"/>
          <w:szCs w:val="24"/>
        </w:rPr>
        <w:t xml:space="preserve"> before the conclusion of the </w:t>
      </w:r>
      <w:r w:rsidR="00BF2A00" w:rsidRPr="00CC6DFF">
        <w:rPr>
          <w:rFonts w:ascii="Arial" w:hAnsi="Arial" w:cs="Arial"/>
          <w:sz w:val="24"/>
          <w:szCs w:val="24"/>
        </w:rPr>
        <w:t xml:space="preserve">tripartite </w:t>
      </w:r>
      <w:r w:rsidR="00644C8F" w:rsidRPr="00CC6DFF">
        <w:rPr>
          <w:rFonts w:ascii="Arial" w:hAnsi="Arial" w:cs="Arial"/>
          <w:sz w:val="24"/>
          <w:szCs w:val="24"/>
        </w:rPr>
        <w:t>agreement</w:t>
      </w:r>
      <w:r w:rsidR="00A77594" w:rsidRPr="00CC6DFF">
        <w:rPr>
          <w:rFonts w:ascii="Arial" w:hAnsi="Arial" w:cs="Arial"/>
          <w:sz w:val="24"/>
          <w:szCs w:val="24"/>
        </w:rPr>
        <w:t xml:space="preserve">. </w:t>
      </w:r>
    </w:p>
    <w:p w14:paraId="031C5ABF" w14:textId="77777777" w:rsidR="00644C8F" w:rsidRPr="00CC6DFF" w:rsidRDefault="00644C8F" w:rsidP="00867989">
      <w:pPr>
        <w:shd w:val="clear" w:color="auto" w:fill="FFFFFF"/>
        <w:spacing w:after="0"/>
        <w:contextualSpacing/>
        <w:rPr>
          <w:rFonts w:ascii="Arial" w:hAnsi="Arial" w:cs="Arial"/>
          <w:strike/>
          <w:sz w:val="24"/>
          <w:szCs w:val="24"/>
        </w:rPr>
      </w:pPr>
    </w:p>
    <w:p w14:paraId="71D20F6D" w14:textId="5B7A4AA4" w:rsidR="000805F8"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[12]</w:t>
      </w:r>
      <w:r w:rsidRPr="00CC6DFF">
        <w:rPr>
          <w:rFonts w:ascii="Arial" w:hAnsi="Arial" w:cs="Arial"/>
          <w:snapToGrid w:val="0"/>
          <w:color w:val="000000"/>
          <w:w w:val="0"/>
          <w:sz w:val="24"/>
          <w:szCs w:val="24"/>
        </w:rPr>
        <w:tab/>
      </w:r>
      <w:r w:rsidR="00A77594" w:rsidRPr="00CC6DFF">
        <w:rPr>
          <w:rFonts w:ascii="Arial" w:hAnsi="Arial" w:cs="Arial"/>
          <w:sz w:val="24"/>
          <w:szCs w:val="24"/>
          <w:shd w:val="clear" w:color="auto" w:fill="FFFFFF"/>
        </w:rPr>
        <w:t>It is trite that a provision in a contract must be interpreted not only in the context of the contract as a whole, but also to give it a commercially sensible meaning.</w:t>
      </w:r>
      <w:r w:rsidR="00A77594" w:rsidRPr="00CC6DFF">
        <w:rPr>
          <w:rStyle w:val="FootnoteReference"/>
          <w:rFonts w:ascii="Arial" w:hAnsi="Arial" w:cs="Arial"/>
          <w:sz w:val="24"/>
          <w:szCs w:val="24"/>
          <w:shd w:val="clear" w:color="auto" w:fill="FFFFFF"/>
        </w:rPr>
        <w:footnoteReference w:id="2"/>
      </w:r>
      <w:r w:rsidR="00A77594" w:rsidRPr="00CC6DFF">
        <w:rPr>
          <w:rFonts w:ascii="Arial" w:hAnsi="Arial" w:cs="Arial"/>
          <w:sz w:val="24"/>
          <w:szCs w:val="24"/>
          <w:shd w:val="clear" w:color="auto" w:fill="FFFFFF"/>
        </w:rPr>
        <w:t xml:space="preserve"> The principle requires a court to construe a contract in context – within the factual matrix in which the parties operated.</w:t>
      </w:r>
      <w:r w:rsidR="00A77594" w:rsidRPr="00CC6DFF">
        <w:rPr>
          <w:rStyle w:val="FootnoteReference"/>
          <w:rFonts w:ascii="Arial" w:hAnsi="Arial" w:cs="Arial"/>
          <w:sz w:val="24"/>
          <w:szCs w:val="24"/>
          <w:shd w:val="clear" w:color="auto" w:fill="FFFFFF"/>
        </w:rPr>
        <w:footnoteReference w:id="3"/>
      </w:r>
      <w:r w:rsidR="00413127" w:rsidRPr="00CC6DFF">
        <w:rPr>
          <w:rFonts w:ascii="Arial" w:hAnsi="Arial" w:cs="Arial"/>
          <w:sz w:val="24"/>
          <w:szCs w:val="24"/>
          <w:shd w:val="clear" w:color="auto" w:fill="FFFFFF"/>
        </w:rPr>
        <w:t xml:space="preserve"> </w:t>
      </w:r>
      <w:r w:rsidR="00A77594" w:rsidRPr="00CC6DFF">
        <w:rPr>
          <w:rFonts w:ascii="Arial" w:hAnsi="Arial" w:cs="Arial"/>
          <w:sz w:val="24"/>
          <w:szCs w:val="24"/>
        </w:rPr>
        <w:t xml:space="preserve">Recently, </w:t>
      </w:r>
      <w:r w:rsidR="00913FB7" w:rsidRPr="00CC6DFF">
        <w:rPr>
          <w:rFonts w:ascii="Arial" w:hAnsi="Arial" w:cs="Arial"/>
          <w:sz w:val="24"/>
          <w:szCs w:val="24"/>
        </w:rPr>
        <w:t xml:space="preserve">in </w:t>
      </w:r>
      <w:r w:rsidR="00913FB7" w:rsidRPr="00CC6DFF">
        <w:rPr>
          <w:rFonts w:ascii="Arial" w:hAnsi="Arial" w:cs="Arial"/>
          <w:i/>
          <w:sz w:val="24"/>
          <w:szCs w:val="24"/>
          <w:lang w:eastAsia="en-ZA"/>
        </w:rPr>
        <w:t>University of Johannesburg v Auckland Park Theological Seminary</w:t>
      </w:r>
      <w:r w:rsidR="00D015B0" w:rsidRPr="00CC6DFF">
        <w:rPr>
          <w:rFonts w:ascii="Arial" w:hAnsi="Arial" w:cs="Arial"/>
          <w:sz w:val="24"/>
          <w:szCs w:val="24"/>
          <w:lang w:eastAsia="en-ZA"/>
        </w:rPr>
        <w:t>,</w:t>
      </w:r>
      <w:r w:rsidR="00913FB7" w:rsidRPr="00CC6DFF">
        <w:rPr>
          <w:rStyle w:val="FootnoteReference"/>
          <w:rFonts w:ascii="Arial" w:hAnsi="Arial" w:cs="Arial"/>
          <w:sz w:val="24"/>
          <w:szCs w:val="24"/>
          <w:lang w:eastAsia="en-ZA"/>
        </w:rPr>
        <w:footnoteReference w:id="4"/>
      </w:r>
      <w:r w:rsidR="00913FB7" w:rsidRPr="00CC6DFF">
        <w:rPr>
          <w:rFonts w:ascii="Arial" w:hAnsi="Arial" w:cs="Arial"/>
          <w:i/>
          <w:sz w:val="24"/>
          <w:szCs w:val="24"/>
          <w:lang w:eastAsia="en-ZA"/>
        </w:rPr>
        <w:t xml:space="preserve"> </w:t>
      </w:r>
      <w:r w:rsidR="00A77594" w:rsidRPr="00CC6DFF">
        <w:rPr>
          <w:rFonts w:ascii="Arial" w:hAnsi="Arial" w:cs="Arial"/>
          <w:sz w:val="24"/>
          <w:szCs w:val="24"/>
          <w:lang w:eastAsia="en-ZA"/>
        </w:rPr>
        <w:t>the</w:t>
      </w:r>
      <w:r w:rsidR="00A77594" w:rsidRPr="00CC6DFF">
        <w:rPr>
          <w:rFonts w:ascii="Arial" w:hAnsi="Arial" w:cs="Arial"/>
          <w:i/>
          <w:sz w:val="24"/>
          <w:szCs w:val="24"/>
          <w:lang w:eastAsia="en-ZA"/>
        </w:rPr>
        <w:t xml:space="preserve"> </w:t>
      </w:r>
      <w:r w:rsidR="00A77594" w:rsidRPr="00CC6DFF">
        <w:rPr>
          <w:rFonts w:ascii="Arial" w:hAnsi="Arial" w:cs="Arial"/>
          <w:sz w:val="24"/>
          <w:szCs w:val="24"/>
        </w:rPr>
        <w:t xml:space="preserve">Constitutional Court emphasised </w:t>
      </w:r>
      <w:r w:rsidR="00913FB7" w:rsidRPr="00CC6DFF">
        <w:rPr>
          <w:rFonts w:ascii="Arial" w:hAnsi="Arial" w:cs="Arial"/>
          <w:sz w:val="24"/>
          <w:szCs w:val="24"/>
        </w:rPr>
        <w:t xml:space="preserve">that </w:t>
      </w:r>
      <w:r w:rsidR="00913FB7" w:rsidRPr="00CC6DFF">
        <w:rPr>
          <w:rFonts w:ascii="Arial" w:hAnsi="Arial" w:cs="Arial"/>
          <w:sz w:val="24"/>
          <w:szCs w:val="24"/>
          <w:shd w:val="clear" w:color="auto" w:fill="FFFFFF"/>
        </w:rPr>
        <w:t>a court interpreting a contract has to, from the onset, consider the contract’s factual matrix, its purpose, the circumstances leading up to its conclusion, and the knowledge at the time of those who negotiated and produced the contract.</w:t>
      </w:r>
      <w:r w:rsidR="00913FB7" w:rsidRPr="00CC6DFF">
        <w:rPr>
          <w:rStyle w:val="FootnoteReference"/>
          <w:rFonts w:ascii="Arial" w:hAnsi="Arial" w:cs="Arial"/>
          <w:sz w:val="24"/>
          <w:szCs w:val="24"/>
          <w:shd w:val="clear" w:color="auto" w:fill="FFFFFF"/>
        </w:rPr>
        <w:footnoteReference w:id="5"/>
      </w:r>
      <w:r w:rsidR="00913FB7" w:rsidRPr="00CC6DFF">
        <w:rPr>
          <w:rFonts w:ascii="Arial" w:hAnsi="Arial" w:cs="Arial"/>
          <w:sz w:val="24"/>
          <w:szCs w:val="24"/>
          <w:shd w:val="clear" w:color="auto" w:fill="FFFFFF"/>
        </w:rPr>
        <w:t xml:space="preserve"> </w:t>
      </w:r>
    </w:p>
    <w:p w14:paraId="22A6C019" w14:textId="77777777" w:rsidR="00C0224C" w:rsidRPr="00CC6DFF" w:rsidRDefault="00C0224C" w:rsidP="00867989">
      <w:pPr>
        <w:shd w:val="clear" w:color="auto" w:fill="FFFFFF"/>
        <w:spacing w:after="0"/>
        <w:contextualSpacing/>
        <w:rPr>
          <w:rFonts w:ascii="Arial" w:hAnsi="Arial" w:cs="Arial"/>
          <w:strike/>
          <w:sz w:val="24"/>
          <w:szCs w:val="24"/>
        </w:rPr>
      </w:pPr>
    </w:p>
    <w:p w14:paraId="72244E47" w14:textId="7371453E" w:rsidR="008017CE"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[13]</w:t>
      </w:r>
      <w:r w:rsidRPr="00CC6DFF">
        <w:rPr>
          <w:rFonts w:ascii="Arial" w:hAnsi="Arial" w:cs="Arial"/>
          <w:snapToGrid w:val="0"/>
          <w:color w:val="000000"/>
          <w:w w:val="0"/>
          <w:sz w:val="24"/>
          <w:szCs w:val="24"/>
        </w:rPr>
        <w:tab/>
      </w:r>
      <w:r w:rsidR="00913FB7" w:rsidRPr="00CC6DFF">
        <w:rPr>
          <w:rFonts w:ascii="Arial" w:hAnsi="Arial" w:cs="Arial"/>
          <w:sz w:val="24"/>
          <w:szCs w:val="24"/>
          <w:shd w:val="clear" w:color="auto" w:fill="FFFFFF"/>
        </w:rPr>
        <w:t xml:space="preserve">In the present case, </w:t>
      </w:r>
      <w:r w:rsidR="00913FB7" w:rsidRPr="00CC6DFF">
        <w:rPr>
          <w:rFonts w:ascii="Arial" w:hAnsi="Arial" w:cs="Arial"/>
          <w:sz w:val="24"/>
          <w:szCs w:val="24"/>
        </w:rPr>
        <w:t>before the tripartite agreement w</w:t>
      </w:r>
      <w:r w:rsidR="00A77594" w:rsidRPr="00CC6DFF">
        <w:rPr>
          <w:rFonts w:ascii="Arial" w:hAnsi="Arial" w:cs="Arial"/>
          <w:sz w:val="24"/>
          <w:szCs w:val="24"/>
        </w:rPr>
        <w:t>as</w:t>
      </w:r>
      <w:r w:rsidR="00913FB7" w:rsidRPr="00CC6DFF">
        <w:rPr>
          <w:rFonts w:ascii="Arial" w:hAnsi="Arial" w:cs="Arial"/>
          <w:sz w:val="24"/>
          <w:szCs w:val="24"/>
        </w:rPr>
        <w:t xml:space="preserve"> concluded, Phadziri and Do Light were competitors in the public transportation</w:t>
      </w:r>
      <w:r w:rsidR="00A77594" w:rsidRPr="00CC6DFF">
        <w:rPr>
          <w:rFonts w:ascii="Arial" w:hAnsi="Arial" w:cs="Arial"/>
          <w:sz w:val="24"/>
          <w:szCs w:val="24"/>
        </w:rPr>
        <w:t xml:space="preserve"> </w:t>
      </w:r>
      <w:r w:rsidR="00D015B0" w:rsidRPr="00CC6DFF">
        <w:rPr>
          <w:rFonts w:ascii="Arial" w:hAnsi="Arial" w:cs="Arial"/>
          <w:sz w:val="24"/>
          <w:szCs w:val="24"/>
        </w:rPr>
        <w:t xml:space="preserve">services </w:t>
      </w:r>
      <w:r w:rsidR="00A77594" w:rsidRPr="00CC6DFF">
        <w:rPr>
          <w:rFonts w:ascii="Arial" w:hAnsi="Arial" w:cs="Arial"/>
          <w:sz w:val="24"/>
          <w:szCs w:val="24"/>
        </w:rPr>
        <w:t>sector</w:t>
      </w:r>
      <w:r w:rsidR="00913FB7" w:rsidRPr="00CC6DFF">
        <w:rPr>
          <w:rFonts w:ascii="Arial" w:hAnsi="Arial" w:cs="Arial"/>
          <w:sz w:val="24"/>
          <w:szCs w:val="24"/>
        </w:rPr>
        <w:t>. Phadziri was at the risk of losing the licen</w:t>
      </w:r>
      <w:r w:rsidR="00D015B0" w:rsidRPr="00CC6DFF">
        <w:rPr>
          <w:rFonts w:ascii="Arial" w:hAnsi="Arial" w:cs="Arial"/>
          <w:sz w:val="24"/>
          <w:szCs w:val="24"/>
        </w:rPr>
        <w:t>c</w:t>
      </w:r>
      <w:r w:rsidR="00913FB7" w:rsidRPr="00CC6DFF">
        <w:rPr>
          <w:rFonts w:ascii="Arial" w:hAnsi="Arial" w:cs="Arial"/>
          <w:sz w:val="24"/>
          <w:szCs w:val="24"/>
        </w:rPr>
        <w:t>es issued to it by the Department</w:t>
      </w:r>
      <w:r w:rsidR="00D015B0" w:rsidRPr="00CC6DFF">
        <w:rPr>
          <w:rFonts w:ascii="Arial" w:hAnsi="Arial" w:cs="Arial"/>
          <w:sz w:val="24"/>
          <w:szCs w:val="24"/>
        </w:rPr>
        <w:t>,</w:t>
      </w:r>
      <w:r w:rsidR="00A77594" w:rsidRPr="00CC6DFF">
        <w:rPr>
          <w:rFonts w:ascii="Arial" w:hAnsi="Arial" w:cs="Arial"/>
          <w:sz w:val="24"/>
          <w:szCs w:val="24"/>
        </w:rPr>
        <w:t xml:space="preserve"> because of its </w:t>
      </w:r>
      <w:r w:rsidR="00A17F52" w:rsidRPr="00CC6DFF">
        <w:rPr>
          <w:rFonts w:ascii="Arial" w:hAnsi="Arial" w:cs="Arial"/>
          <w:sz w:val="24"/>
          <w:szCs w:val="24"/>
        </w:rPr>
        <w:t>inability</w:t>
      </w:r>
      <w:r w:rsidR="00A77594" w:rsidRPr="00CC6DFF">
        <w:rPr>
          <w:rFonts w:ascii="Arial" w:hAnsi="Arial" w:cs="Arial"/>
          <w:sz w:val="24"/>
          <w:szCs w:val="24"/>
        </w:rPr>
        <w:t xml:space="preserve"> to deliver effective service</w:t>
      </w:r>
      <w:r w:rsidR="008017CE" w:rsidRPr="00CC6DFF">
        <w:rPr>
          <w:rFonts w:ascii="Arial" w:hAnsi="Arial" w:cs="Arial"/>
          <w:sz w:val="24"/>
          <w:szCs w:val="24"/>
        </w:rPr>
        <w:t>s</w:t>
      </w:r>
      <w:r w:rsidR="00A77594" w:rsidRPr="00CC6DFF">
        <w:rPr>
          <w:rFonts w:ascii="Arial" w:hAnsi="Arial" w:cs="Arial"/>
          <w:sz w:val="24"/>
          <w:szCs w:val="24"/>
        </w:rPr>
        <w:t>.</w:t>
      </w:r>
      <w:r w:rsidR="00913FB7" w:rsidRPr="00CC6DFF">
        <w:rPr>
          <w:rFonts w:ascii="Arial" w:hAnsi="Arial" w:cs="Arial"/>
          <w:sz w:val="24"/>
          <w:szCs w:val="24"/>
        </w:rPr>
        <w:t xml:space="preserve"> To avoid that eventuality, </w:t>
      </w:r>
      <w:r w:rsidR="00A77594" w:rsidRPr="00CC6DFF">
        <w:rPr>
          <w:rFonts w:ascii="Arial" w:hAnsi="Arial" w:cs="Arial"/>
          <w:sz w:val="24"/>
          <w:szCs w:val="24"/>
        </w:rPr>
        <w:t xml:space="preserve">Phadziri approached </w:t>
      </w:r>
      <w:r w:rsidR="00913FB7" w:rsidRPr="00CC6DFF">
        <w:rPr>
          <w:rFonts w:ascii="Arial" w:hAnsi="Arial" w:cs="Arial"/>
          <w:sz w:val="24"/>
          <w:szCs w:val="24"/>
        </w:rPr>
        <w:lastRenderedPageBreak/>
        <w:t xml:space="preserve">Do Light to come </w:t>
      </w:r>
      <w:r w:rsidR="006A55CD" w:rsidRPr="00CC6DFF">
        <w:rPr>
          <w:rFonts w:ascii="Arial" w:hAnsi="Arial" w:cs="Arial"/>
          <w:sz w:val="24"/>
          <w:szCs w:val="24"/>
        </w:rPr>
        <w:t xml:space="preserve">to its rescue </w:t>
      </w:r>
      <w:r w:rsidR="00913FB7" w:rsidRPr="00CC6DFF">
        <w:rPr>
          <w:rFonts w:ascii="Arial" w:hAnsi="Arial" w:cs="Arial"/>
          <w:sz w:val="24"/>
          <w:szCs w:val="24"/>
        </w:rPr>
        <w:t xml:space="preserve">as a sub-contractor. </w:t>
      </w:r>
      <w:r w:rsidR="006A55CD" w:rsidRPr="00CC6DFF">
        <w:rPr>
          <w:rFonts w:ascii="Arial" w:hAnsi="Arial" w:cs="Arial"/>
          <w:sz w:val="24"/>
          <w:szCs w:val="24"/>
        </w:rPr>
        <w:t>It follows that it was in Phadziri’s interest that the agreement was implementable.</w:t>
      </w:r>
    </w:p>
    <w:p w14:paraId="75DBF9C4" w14:textId="77777777" w:rsidR="00913FB7" w:rsidRPr="00CC6DFF" w:rsidRDefault="006A55CD" w:rsidP="00867989">
      <w:pPr>
        <w:shd w:val="clear" w:color="auto" w:fill="FFFFFF"/>
        <w:spacing w:after="0"/>
        <w:contextualSpacing/>
        <w:rPr>
          <w:rFonts w:ascii="Arial" w:hAnsi="Arial" w:cs="Arial"/>
          <w:sz w:val="24"/>
          <w:szCs w:val="24"/>
        </w:rPr>
      </w:pPr>
      <w:r w:rsidRPr="00CC6DFF">
        <w:rPr>
          <w:rFonts w:ascii="Arial" w:hAnsi="Arial" w:cs="Arial"/>
          <w:sz w:val="24"/>
          <w:szCs w:val="24"/>
        </w:rPr>
        <w:t xml:space="preserve"> </w:t>
      </w:r>
    </w:p>
    <w:p w14:paraId="1309DDB3" w14:textId="6B92A282"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[14]</w:t>
      </w:r>
      <w:r w:rsidRPr="00CC6DFF">
        <w:rPr>
          <w:rFonts w:ascii="Arial" w:hAnsi="Arial" w:cs="Arial"/>
          <w:snapToGrid w:val="0"/>
          <w:color w:val="000000"/>
          <w:w w:val="0"/>
          <w:sz w:val="24"/>
          <w:szCs w:val="24"/>
        </w:rPr>
        <w:tab/>
      </w:r>
      <w:r w:rsidR="006A55CD" w:rsidRPr="00CC6DFF">
        <w:rPr>
          <w:rFonts w:ascii="Arial" w:hAnsi="Arial" w:cs="Arial"/>
          <w:sz w:val="24"/>
          <w:szCs w:val="24"/>
        </w:rPr>
        <w:t>Thus, w</w:t>
      </w:r>
      <w:r w:rsidR="00913FB7" w:rsidRPr="00CC6DFF">
        <w:rPr>
          <w:rFonts w:ascii="Arial" w:hAnsi="Arial" w:cs="Arial"/>
          <w:sz w:val="24"/>
          <w:szCs w:val="24"/>
        </w:rPr>
        <w:t xml:space="preserve">hen the tripartite agreement was concluded, Phadziri </w:t>
      </w:r>
      <w:r w:rsidR="006A55CD" w:rsidRPr="00CC6DFF">
        <w:rPr>
          <w:rFonts w:ascii="Arial" w:hAnsi="Arial" w:cs="Arial"/>
          <w:sz w:val="24"/>
          <w:szCs w:val="24"/>
        </w:rPr>
        <w:t xml:space="preserve">must have </w:t>
      </w:r>
      <w:r w:rsidR="008017CE" w:rsidRPr="00CC6DFF">
        <w:rPr>
          <w:rFonts w:ascii="Arial" w:hAnsi="Arial" w:cs="Arial"/>
          <w:sz w:val="24"/>
          <w:szCs w:val="24"/>
        </w:rPr>
        <w:t xml:space="preserve">had </w:t>
      </w:r>
      <w:r w:rsidR="006A55CD" w:rsidRPr="00CC6DFF">
        <w:rPr>
          <w:rFonts w:ascii="Arial" w:hAnsi="Arial" w:cs="Arial"/>
          <w:sz w:val="24"/>
          <w:szCs w:val="24"/>
        </w:rPr>
        <w:t xml:space="preserve">a </w:t>
      </w:r>
      <w:r w:rsidR="00913FB7" w:rsidRPr="00CC6DFF">
        <w:rPr>
          <w:rFonts w:ascii="Arial" w:hAnsi="Arial" w:cs="Arial"/>
          <w:sz w:val="24"/>
          <w:szCs w:val="24"/>
        </w:rPr>
        <w:t xml:space="preserve">timetable </w:t>
      </w:r>
      <w:r w:rsidR="008017CE" w:rsidRPr="00CC6DFF">
        <w:rPr>
          <w:rFonts w:ascii="Arial" w:hAnsi="Arial" w:cs="Arial"/>
          <w:sz w:val="24"/>
          <w:szCs w:val="24"/>
        </w:rPr>
        <w:t xml:space="preserve">used </w:t>
      </w:r>
      <w:r w:rsidR="00913FB7" w:rsidRPr="00CC6DFF">
        <w:rPr>
          <w:rFonts w:ascii="Arial" w:hAnsi="Arial" w:cs="Arial"/>
          <w:sz w:val="24"/>
          <w:szCs w:val="24"/>
        </w:rPr>
        <w:t>in conjunction with its</w:t>
      </w:r>
      <w:r w:rsidR="008017CE" w:rsidRPr="00CC6DFF">
        <w:rPr>
          <w:rFonts w:ascii="Arial" w:hAnsi="Arial" w:cs="Arial"/>
          <w:sz w:val="24"/>
          <w:szCs w:val="24"/>
        </w:rPr>
        <w:t xml:space="preserve"> licen</w:t>
      </w:r>
      <w:r w:rsidR="00D015B0" w:rsidRPr="00CC6DFF">
        <w:rPr>
          <w:rFonts w:ascii="Arial" w:hAnsi="Arial" w:cs="Arial"/>
          <w:sz w:val="24"/>
          <w:szCs w:val="24"/>
        </w:rPr>
        <w:t>c</w:t>
      </w:r>
      <w:r w:rsidR="008017CE" w:rsidRPr="00CC6DFF">
        <w:rPr>
          <w:rFonts w:ascii="Arial" w:hAnsi="Arial" w:cs="Arial"/>
          <w:sz w:val="24"/>
          <w:szCs w:val="24"/>
        </w:rPr>
        <w:t>es</w:t>
      </w:r>
      <w:r w:rsidR="00913FB7" w:rsidRPr="00CC6DFF">
        <w:rPr>
          <w:rFonts w:ascii="Arial" w:hAnsi="Arial" w:cs="Arial"/>
          <w:sz w:val="24"/>
          <w:szCs w:val="24"/>
        </w:rPr>
        <w:t>.</w:t>
      </w:r>
      <w:r w:rsidR="006A55CD" w:rsidRPr="00CC6DFF">
        <w:rPr>
          <w:rFonts w:ascii="Arial" w:hAnsi="Arial" w:cs="Arial"/>
          <w:sz w:val="24"/>
          <w:szCs w:val="24"/>
        </w:rPr>
        <w:t xml:space="preserve"> Accordingly</w:t>
      </w:r>
      <w:r w:rsidR="00913FB7" w:rsidRPr="00CC6DFF">
        <w:rPr>
          <w:rFonts w:ascii="Arial" w:hAnsi="Arial" w:cs="Arial"/>
          <w:sz w:val="24"/>
          <w:szCs w:val="24"/>
        </w:rPr>
        <w:t>, it knew of the ‘origin and destination points and significant intermediate locations along the route’</w:t>
      </w:r>
      <w:r w:rsidR="00D015B0" w:rsidRPr="00CC6DFF">
        <w:rPr>
          <w:rFonts w:ascii="Arial" w:hAnsi="Arial" w:cs="Arial"/>
          <w:sz w:val="24"/>
          <w:szCs w:val="24"/>
        </w:rPr>
        <w:t>.</w:t>
      </w:r>
      <w:r w:rsidR="00913FB7" w:rsidRPr="00CC6DFF">
        <w:rPr>
          <w:rFonts w:ascii="Arial" w:hAnsi="Arial" w:cs="Arial"/>
          <w:sz w:val="24"/>
          <w:szCs w:val="24"/>
        </w:rPr>
        <w:t xml:space="preserve"> It is th</w:t>
      </w:r>
      <w:r w:rsidR="006A55CD" w:rsidRPr="00CC6DFF">
        <w:rPr>
          <w:rFonts w:ascii="Arial" w:hAnsi="Arial" w:cs="Arial"/>
          <w:sz w:val="24"/>
          <w:szCs w:val="24"/>
        </w:rPr>
        <w:t>erefore</w:t>
      </w:r>
      <w:r w:rsidR="00913FB7" w:rsidRPr="00CC6DFF">
        <w:rPr>
          <w:rFonts w:ascii="Arial" w:hAnsi="Arial" w:cs="Arial"/>
          <w:sz w:val="24"/>
          <w:szCs w:val="24"/>
        </w:rPr>
        <w:t xml:space="preserve"> contrived for it to now suggest that the routes were not known</w:t>
      </w:r>
      <w:r w:rsidR="00D015B0" w:rsidRPr="00CC6DFF">
        <w:rPr>
          <w:rFonts w:ascii="Arial" w:hAnsi="Arial" w:cs="Arial"/>
          <w:sz w:val="24"/>
          <w:szCs w:val="24"/>
        </w:rPr>
        <w:t>,</w:t>
      </w:r>
      <w:r w:rsidR="00913FB7" w:rsidRPr="00CC6DFF">
        <w:rPr>
          <w:rFonts w:ascii="Arial" w:hAnsi="Arial" w:cs="Arial"/>
          <w:sz w:val="24"/>
          <w:szCs w:val="24"/>
        </w:rPr>
        <w:t xml:space="preserve"> because the timetable was not attached to the tripartite agreement. </w:t>
      </w:r>
      <w:r w:rsidR="006A55CD" w:rsidRPr="00CC6DFF">
        <w:rPr>
          <w:rFonts w:ascii="Arial" w:hAnsi="Arial" w:cs="Arial"/>
          <w:sz w:val="24"/>
          <w:szCs w:val="24"/>
        </w:rPr>
        <w:t xml:space="preserve">On any conceivable basis, </w:t>
      </w:r>
      <w:r w:rsidR="00913FB7" w:rsidRPr="00CC6DFF">
        <w:rPr>
          <w:rFonts w:ascii="Arial" w:hAnsi="Arial" w:cs="Arial"/>
          <w:sz w:val="24"/>
          <w:szCs w:val="24"/>
        </w:rPr>
        <w:t xml:space="preserve">when Phadziri invited Do Light to be its sub-contractor, </w:t>
      </w:r>
      <w:r w:rsidR="006A55CD" w:rsidRPr="00CC6DFF">
        <w:rPr>
          <w:rFonts w:ascii="Arial" w:hAnsi="Arial" w:cs="Arial"/>
          <w:sz w:val="24"/>
          <w:szCs w:val="24"/>
        </w:rPr>
        <w:t xml:space="preserve">both knew about the </w:t>
      </w:r>
      <w:r w:rsidR="00913FB7" w:rsidRPr="00CC6DFF">
        <w:rPr>
          <w:rFonts w:ascii="Arial" w:hAnsi="Arial" w:cs="Arial"/>
          <w:sz w:val="24"/>
          <w:szCs w:val="24"/>
        </w:rPr>
        <w:t>timetable</w:t>
      </w:r>
      <w:r w:rsidR="006A55CD" w:rsidRPr="00CC6DFF">
        <w:rPr>
          <w:rFonts w:ascii="Arial" w:hAnsi="Arial" w:cs="Arial"/>
          <w:sz w:val="24"/>
          <w:szCs w:val="24"/>
        </w:rPr>
        <w:t xml:space="preserve"> for Do Light’s scheduled trips on the affected routes</w:t>
      </w:r>
      <w:r w:rsidR="00913FB7" w:rsidRPr="00CC6DFF">
        <w:rPr>
          <w:rFonts w:ascii="Arial" w:hAnsi="Arial" w:cs="Arial"/>
          <w:sz w:val="24"/>
          <w:szCs w:val="24"/>
        </w:rPr>
        <w:t xml:space="preserve">. </w:t>
      </w:r>
      <w:r w:rsidR="00913FB7" w:rsidRPr="00CC6DFF">
        <w:rPr>
          <w:rFonts w:ascii="Arial" w:hAnsi="Arial" w:cs="Arial"/>
          <w:sz w:val="24"/>
          <w:szCs w:val="24"/>
          <w:shd w:val="clear" w:color="auto" w:fill="FFFFFF"/>
        </w:rPr>
        <w:t>As to the purpose of the tripartite agreement, a</w:t>
      </w:r>
      <w:r w:rsidR="00913FB7" w:rsidRPr="00CC6DFF">
        <w:rPr>
          <w:rFonts w:ascii="Arial" w:hAnsi="Arial" w:cs="Arial"/>
          <w:sz w:val="24"/>
          <w:szCs w:val="24"/>
        </w:rPr>
        <w:t xml:space="preserve">part from the commercial efficacy it afforded to Phadziri, its overall purpose was to avoid the collapse of public road transportation </w:t>
      </w:r>
      <w:r w:rsidR="00D015B0" w:rsidRPr="00CC6DFF">
        <w:rPr>
          <w:rFonts w:ascii="Arial" w:hAnsi="Arial" w:cs="Arial"/>
          <w:sz w:val="24"/>
          <w:szCs w:val="24"/>
        </w:rPr>
        <w:t xml:space="preserve">services </w:t>
      </w:r>
      <w:r w:rsidR="00913FB7" w:rsidRPr="00CC6DFF">
        <w:rPr>
          <w:rFonts w:ascii="Arial" w:hAnsi="Arial" w:cs="Arial"/>
          <w:sz w:val="24"/>
          <w:szCs w:val="24"/>
        </w:rPr>
        <w:t>on the affected routes.</w:t>
      </w:r>
    </w:p>
    <w:p w14:paraId="7C8ADB7D" w14:textId="77777777" w:rsidR="000805F8" w:rsidRPr="00CC6DFF" w:rsidRDefault="000805F8" w:rsidP="00867989">
      <w:pPr>
        <w:shd w:val="clear" w:color="auto" w:fill="FFFFFF"/>
        <w:spacing w:after="0"/>
        <w:contextualSpacing/>
        <w:rPr>
          <w:rFonts w:ascii="Arial" w:hAnsi="Arial" w:cs="Arial"/>
          <w:sz w:val="24"/>
          <w:szCs w:val="24"/>
        </w:rPr>
      </w:pPr>
    </w:p>
    <w:p w14:paraId="761344D7" w14:textId="7EE9D4B8"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[15]</w:t>
      </w:r>
      <w:r w:rsidRPr="00CC6DFF">
        <w:rPr>
          <w:rFonts w:ascii="Arial" w:hAnsi="Arial" w:cs="Arial"/>
          <w:snapToGrid w:val="0"/>
          <w:color w:val="000000"/>
          <w:w w:val="0"/>
          <w:sz w:val="24"/>
          <w:szCs w:val="24"/>
        </w:rPr>
        <w:tab/>
      </w:r>
      <w:r w:rsidR="00E75EFB" w:rsidRPr="00CC6DFF">
        <w:rPr>
          <w:rFonts w:ascii="Arial" w:eastAsia="Times New Roman" w:hAnsi="Arial" w:cs="Arial"/>
          <w:sz w:val="24"/>
          <w:szCs w:val="24"/>
          <w:shd w:val="clear" w:color="auto" w:fill="FFFFFF"/>
          <w:lang w:eastAsia="en-ZA"/>
        </w:rPr>
        <w:t>Furthermore, our</w:t>
      </w:r>
      <w:r w:rsidR="00913FB7" w:rsidRPr="00CC6DFF">
        <w:rPr>
          <w:rFonts w:ascii="Arial" w:eastAsia="Times New Roman" w:hAnsi="Arial" w:cs="Arial"/>
          <w:sz w:val="24"/>
          <w:szCs w:val="24"/>
          <w:shd w:val="clear" w:color="auto" w:fill="FFFFFF"/>
          <w:lang w:eastAsia="en-ZA"/>
        </w:rPr>
        <w:t xml:space="preserve"> law inclines to preserving, instead of destroying, a contract which the parties seriously entered</w:t>
      </w:r>
      <w:r w:rsidR="00913FB7" w:rsidRPr="00CC6DFF">
        <w:rPr>
          <w:rFonts w:ascii="Arial" w:eastAsia="Times New Roman" w:hAnsi="Arial" w:cs="Arial"/>
          <w:sz w:val="24"/>
          <w:szCs w:val="24"/>
          <w:lang w:eastAsia="en-ZA"/>
        </w:rPr>
        <w:t xml:space="preserve"> </w:t>
      </w:r>
      <w:r w:rsidR="00913FB7" w:rsidRPr="00CC6DFF">
        <w:rPr>
          <w:rFonts w:ascii="Arial" w:eastAsia="Times New Roman" w:hAnsi="Arial" w:cs="Arial"/>
          <w:sz w:val="24"/>
          <w:szCs w:val="24"/>
          <w:shd w:val="clear" w:color="auto" w:fill="FFFFFF"/>
          <w:lang w:eastAsia="en-ZA"/>
        </w:rPr>
        <w:t>into and considered capable of implementation.</w:t>
      </w:r>
      <w:r w:rsidR="00913FB7" w:rsidRPr="00CC6DFF">
        <w:rPr>
          <w:rStyle w:val="FootnoteReference"/>
          <w:rFonts w:ascii="Arial" w:hAnsi="Arial" w:cs="Arial"/>
          <w:sz w:val="24"/>
          <w:szCs w:val="24"/>
          <w:shd w:val="clear" w:color="auto" w:fill="FFFFFF"/>
          <w:lang w:eastAsia="en-ZA"/>
        </w:rPr>
        <w:footnoteReference w:id="6"/>
      </w:r>
      <w:r w:rsidR="00913FB7" w:rsidRPr="00CC6DFF">
        <w:rPr>
          <w:rFonts w:ascii="Arial" w:eastAsia="Times New Roman" w:hAnsi="Arial" w:cs="Arial"/>
          <w:sz w:val="24"/>
          <w:szCs w:val="24"/>
          <w:shd w:val="clear" w:color="auto" w:fill="FFFFFF"/>
          <w:lang w:eastAsia="en-ZA"/>
        </w:rPr>
        <w:t xml:space="preserve"> </w:t>
      </w:r>
      <w:r w:rsidR="00913FB7" w:rsidRPr="00CC6DFF">
        <w:rPr>
          <w:rFonts w:ascii="Arial" w:hAnsi="Arial" w:cs="Arial"/>
          <w:sz w:val="24"/>
          <w:szCs w:val="24"/>
          <w:lang w:eastAsia="en-ZA"/>
        </w:rPr>
        <w:t xml:space="preserve">In </w:t>
      </w:r>
      <w:r w:rsidR="00913FB7" w:rsidRPr="00CC6DFF">
        <w:rPr>
          <w:rFonts w:ascii="Arial" w:hAnsi="Arial" w:cs="Arial"/>
          <w:i/>
          <w:sz w:val="24"/>
          <w:szCs w:val="24"/>
          <w:lang w:eastAsia="en-ZA"/>
        </w:rPr>
        <w:t>Hoffmann and Carvalho v Minister of Agriculture</w:t>
      </w:r>
      <w:r w:rsidR="008B2BB9" w:rsidRPr="00CC6DFF">
        <w:rPr>
          <w:rFonts w:ascii="Arial" w:hAnsi="Arial" w:cs="Arial"/>
          <w:sz w:val="24"/>
          <w:szCs w:val="24"/>
          <w:lang w:eastAsia="en-ZA"/>
        </w:rPr>
        <w:t>,</w:t>
      </w:r>
      <w:r w:rsidR="00913FB7" w:rsidRPr="00CC6DFF">
        <w:rPr>
          <w:rStyle w:val="FootnoteReference"/>
          <w:rFonts w:ascii="Arial" w:hAnsi="Arial" w:cs="Arial"/>
          <w:sz w:val="24"/>
          <w:szCs w:val="24"/>
          <w:lang w:eastAsia="en-ZA"/>
        </w:rPr>
        <w:footnoteReference w:id="7"/>
      </w:r>
      <w:r w:rsidR="00913FB7" w:rsidRPr="00CC6DFF">
        <w:rPr>
          <w:rFonts w:ascii="Arial" w:hAnsi="Arial" w:cs="Arial"/>
          <w:i/>
          <w:sz w:val="24"/>
          <w:szCs w:val="24"/>
          <w:lang w:eastAsia="en-ZA"/>
        </w:rPr>
        <w:t xml:space="preserve"> </w:t>
      </w:r>
      <w:r w:rsidR="00913FB7" w:rsidRPr="00CC6DFF">
        <w:rPr>
          <w:rFonts w:ascii="Arial" w:hAnsi="Arial" w:cs="Arial"/>
          <w:bCs/>
          <w:sz w:val="24"/>
          <w:szCs w:val="24"/>
        </w:rPr>
        <w:t>the court observed:</w:t>
      </w:r>
    </w:p>
    <w:p w14:paraId="5C44E4D0" w14:textId="112CE3C7" w:rsidR="00913FB7" w:rsidRPr="00CC6DFF" w:rsidRDefault="00913FB7" w:rsidP="00867989">
      <w:pPr>
        <w:shd w:val="clear" w:color="auto" w:fill="FFFFFF"/>
        <w:spacing w:after="0"/>
        <w:contextualSpacing/>
        <w:rPr>
          <w:rFonts w:ascii="Arial" w:hAnsi="Arial" w:cs="Arial"/>
        </w:rPr>
      </w:pPr>
      <w:r w:rsidRPr="00CC6DFF">
        <w:rPr>
          <w:rFonts w:ascii="Arial" w:hAnsi="Arial" w:cs="Arial"/>
        </w:rPr>
        <w:t xml:space="preserve">‘. . . </w:t>
      </w:r>
      <w:r w:rsidR="008B2BB9" w:rsidRPr="00CC6DFF">
        <w:rPr>
          <w:rFonts w:ascii="Arial" w:hAnsi="Arial" w:cs="Arial"/>
        </w:rPr>
        <w:t>[T]he C</w:t>
      </w:r>
      <w:r w:rsidRPr="00CC6DFF">
        <w:rPr>
          <w:rFonts w:ascii="Arial" w:hAnsi="Arial" w:cs="Arial"/>
        </w:rPr>
        <w:t xml:space="preserve">ourts are very willing to treat a contract as having been concluded if the parties think they have made a binding contract (as they undoubtedly did in this case). Where parties intend to conclude a contract, think they have concluded a contract, and proceed to act </w:t>
      </w:r>
      <w:r w:rsidR="006E1DD6" w:rsidRPr="00CC6DFF">
        <w:rPr>
          <w:rFonts w:ascii="Arial" w:hAnsi="Arial" w:cs="Arial"/>
        </w:rPr>
        <w:t>a</w:t>
      </w:r>
      <w:r w:rsidRPr="00CC6DFF">
        <w:rPr>
          <w:rFonts w:ascii="Arial" w:hAnsi="Arial" w:cs="Arial"/>
        </w:rPr>
        <w:t>s if the contract were binding and complete, I think the Court ought rather to try to help the parties towards what they both intended rather than obstruct them by legal subtleties and assist one of the parties to escape the consequences of all that he has done and all that he has intended; except, of course, where parties have not observed statutory formalities required in certain contracts, such as in a contract for the sale of fixed property.’</w:t>
      </w:r>
      <w:r w:rsidRPr="00CC6DFF">
        <w:rPr>
          <w:rStyle w:val="FootnoteReference"/>
          <w:rFonts w:ascii="Arial" w:hAnsi="Arial" w:cs="Arial"/>
        </w:rPr>
        <w:footnoteReference w:id="8"/>
      </w:r>
    </w:p>
    <w:p w14:paraId="5A0AF161" w14:textId="77777777" w:rsidR="00913FB7" w:rsidRPr="00CC6DFF" w:rsidRDefault="00913FB7" w:rsidP="00867989">
      <w:pPr>
        <w:shd w:val="clear" w:color="auto" w:fill="FFFFFF"/>
        <w:spacing w:after="0"/>
        <w:contextualSpacing/>
        <w:rPr>
          <w:rFonts w:ascii="Arial" w:hAnsi="Arial" w:cs="Arial"/>
          <w:sz w:val="24"/>
          <w:szCs w:val="24"/>
        </w:rPr>
      </w:pPr>
    </w:p>
    <w:p w14:paraId="70DAECB4" w14:textId="1A9FC8DF" w:rsidR="000805F8"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[16]</w:t>
      </w:r>
      <w:r w:rsidRPr="00CC6DFF">
        <w:rPr>
          <w:rFonts w:ascii="Arial" w:hAnsi="Arial" w:cs="Arial"/>
          <w:snapToGrid w:val="0"/>
          <w:color w:val="000000"/>
          <w:w w:val="0"/>
          <w:sz w:val="24"/>
          <w:szCs w:val="24"/>
        </w:rPr>
        <w:tab/>
      </w:r>
      <w:r w:rsidR="00913FB7" w:rsidRPr="00CC6DFF">
        <w:rPr>
          <w:rFonts w:ascii="Arial" w:eastAsia="Times New Roman" w:hAnsi="Arial" w:cs="Arial"/>
          <w:sz w:val="24"/>
          <w:szCs w:val="24"/>
          <w:shd w:val="clear" w:color="auto" w:fill="FFFFFF"/>
          <w:lang w:eastAsia="en-ZA"/>
        </w:rPr>
        <w:t xml:space="preserve">This approach was also </w:t>
      </w:r>
      <w:r w:rsidR="00913FB7" w:rsidRPr="00CC6DFF">
        <w:rPr>
          <w:rFonts w:ascii="Arial" w:eastAsia="Times New Roman" w:hAnsi="Arial" w:cs="Arial"/>
          <w:sz w:val="24"/>
          <w:szCs w:val="24"/>
          <w:lang w:eastAsia="en-ZA"/>
        </w:rPr>
        <w:t xml:space="preserve">emphasised </w:t>
      </w:r>
      <w:r w:rsidR="00913FB7" w:rsidRPr="00CC6DFF">
        <w:rPr>
          <w:rFonts w:ascii="Arial" w:eastAsia="Times New Roman" w:hAnsi="Arial" w:cs="Arial"/>
          <w:sz w:val="24"/>
          <w:szCs w:val="24"/>
          <w:shd w:val="clear" w:color="auto" w:fill="FFFFFF"/>
          <w:lang w:eastAsia="en-ZA"/>
        </w:rPr>
        <w:t xml:space="preserve">in </w:t>
      </w:r>
      <w:r w:rsidR="00913FB7" w:rsidRPr="00CC6DFF">
        <w:rPr>
          <w:rFonts w:ascii="Arial" w:eastAsia="Times New Roman" w:hAnsi="Arial" w:cs="Arial"/>
          <w:i/>
          <w:iCs/>
          <w:sz w:val="24"/>
          <w:szCs w:val="24"/>
          <w:lang w:eastAsia="en-ZA"/>
        </w:rPr>
        <w:t>Soteriou v Retco Poyntons (Pty) Ltd</w:t>
      </w:r>
      <w:r w:rsidR="00212F37" w:rsidRPr="00CC6DFF">
        <w:rPr>
          <w:rFonts w:ascii="Arial" w:eastAsia="Times New Roman" w:hAnsi="Arial" w:cs="Arial"/>
          <w:iCs/>
          <w:sz w:val="24"/>
          <w:szCs w:val="24"/>
          <w:lang w:eastAsia="en-ZA"/>
        </w:rPr>
        <w:t>,</w:t>
      </w:r>
      <w:r w:rsidR="00913FB7" w:rsidRPr="00CC6DFF">
        <w:rPr>
          <w:rStyle w:val="FootnoteReference"/>
          <w:rFonts w:ascii="Arial" w:hAnsi="Arial" w:cs="Arial"/>
          <w:iCs/>
          <w:sz w:val="24"/>
          <w:szCs w:val="24"/>
          <w:lang w:eastAsia="en-ZA"/>
        </w:rPr>
        <w:footnoteReference w:id="9"/>
      </w:r>
      <w:r w:rsidR="00913FB7" w:rsidRPr="00CC6DFF">
        <w:rPr>
          <w:rFonts w:ascii="Arial" w:eastAsia="Times New Roman" w:hAnsi="Arial" w:cs="Arial"/>
          <w:sz w:val="24"/>
          <w:szCs w:val="24"/>
          <w:lang w:eastAsia="en-ZA"/>
        </w:rPr>
        <w:t xml:space="preserve"> where it was remarked that courts</w:t>
      </w:r>
      <w:r w:rsidR="00913FB7" w:rsidRPr="00CC6DFF">
        <w:rPr>
          <w:rFonts w:ascii="Arial" w:eastAsia="Times New Roman" w:hAnsi="Arial" w:cs="Arial"/>
          <w:sz w:val="24"/>
          <w:szCs w:val="24"/>
          <w:shd w:val="clear" w:color="auto" w:fill="FFFFFF"/>
          <w:lang w:eastAsia="en-ZA"/>
        </w:rPr>
        <w:t xml:space="preserve"> </w:t>
      </w:r>
      <w:r w:rsidR="00913FB7" w:rsidRPr="00CC6DFF">
        <w:rPr>
          <w:rFonts w:ascii="Arial" w:eastAsia="Times New Roman" w:hAnsi="Arial" w:cs="Arial"/>
          <w:sz w:val="24"/>
          <w:szCs w:val="24"/>
          <w:lang w:eastAsia="en-ZA"/>
        </w:rPr>
        <w:t>are ‘reluctant to hold void for uncertainty any provision that was intended to have legal effect’. With reference to English cases, this Court said that: ‘. . . [t]he problem for a Court of construction must always be so to balance matters that, without the violation of essential principles, the dealings of men may as far as possible be treated as effective, and that the law may not incur the reproach of being a destroyer of bargains</w:t>
      </w:r>
      <w:r w:rsidR="008017CE" w:rsidRPr="00CC6DFF">
        <w:rPr>
          <w:rFonts w:ascii="Arial" w:eastAsia="Times New Roman" w:hAnsi="Arial" w:cs="Arial"/>
          <w:sz w:val="24"/>
          <w:szCs w:val="24"/>
          <w:lang w:eastAsia="en-ZA"/>
        </w:rPr>
        <w:t>’</w:t>
      </w:r>
      <w:r w:rsidR="00212F37" w:rsidRPr="00CC6DFF">
        <w:rPr>
          <w:rFonts w:ascii="Arial" w:eastAsia="Times New Roman" w:hAnsi="Arial" w:cs="Arial"/>
          <w:sz w:val="24"/>
          <w:szCs w:val="24"/>
          <w:lang w:eastAsia="en-ZA"/>
        </w:rPr>
        <w:t>.</w:t>
      </w:r>
      <w:r w:rsidR="00913FB7" w:rsidRPr="00CC6DFF">
        <w:rPr>
          <w:rStyle w:val="FootnoteReference"/>
          <w:rFonts w:ascii="Arial" w:hAnsi="Arial" w:cs="Arial"/>
          <w:sz w:val="24"/>
          <w:szCs w:val="24"/>
          <w:lang w:eastAsia="en-ZA"/>
        </w:rPr>
        <w:footnoteReference w:id="10"/>
      </w:r>
      <w:r w:rsidR="00913FB7" w:rsidRPr="00CC6DFF">
        <w:rPr>
          <w:rFonts w:ascii="Arial" w:hAnsi="Arial" w:cs="Arial"/>
          <w:sz w:val="24"/>
          <w:szCs w:val="24"/>
        </w:rPr>
        <w:t xml:space="preserve"> </w:t>
      </w:r>
      <w:r w:rsidR="00913FB7" w:rsidRPr="00CC6DFF">
        <w:rPr>
          <w:rFonts w:ascii="Arial" w:hAnsi="Arial" w:cs="Arial"/>
          <w:sz w:val="24"/>
          <w:szCs w:val="24"/>
          <w:shd w:val="clear" w:color="auto" w:fill="FFFFFF"/>
        </w:rPr>
        <w:t>  </w:t>
      </w:r>
    </w:p>
    <w:p w14:paraId="19B7A6C3" w14:textId="77777777" w:rsidR="000805F8" w:rsidRPr="00CC6DFF" w:rsidRDefault="000805F8" w:rsidP="00867989">
      <w:pPr>
        <w:shd w:val="clear" w:color="auto" w:fill="FFFFFF"/>
        <w:spacing w:after="0"/>
        <w:contextualSpacing/>
        <w:rPr>
          <w:rFonts w:ascii="Arial" w:hAnsi="Arial" w:cs="Arial"/>
          <w:sz w:val="24"/>
          <w:szCs w:val="24"/>
        </w:rPr>
      </w:pPr>
    </w:p>
    <w:p w14:paraId="35853393" w14:textId="5C1B33D1"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[17]</w:t>
      </w:r>
      <w:r w:rsidRPr="00CC6DFF">
        <w:rPr>
          <w:rFonts w:ascii="Arial" w:hAnsi="Arial" w:cs="Arial"/>
          <w:snapToGrid w:val="0"/>
          <w:color w:val="000000"/>
          <w:w w:val="0"/>
          <w:sz w:val="24"/>
          <w:szCs w:val="24"/>
        </w:rPr>
        <w:tab/>
      </w:r>
      <w:r w:rsidR="00913FB7" w:rsidRPr="00CC6DFF">
        <w:rPr>
          <w:rFonts w:ascii="Arial" w:hAnsi="Arial" w:cs="Arial"/>
          <w:sz w:val="24"/>
          <w:szCs w:val="24"/>
        </w:rPr>
        <w:t xml:space="preserve">There is also authority for the proposition that the conduct of the parties in implementing an agreement may provide clear evidence as to how reasonable </w:t>
      </w:r>
      <w:r w:rsidR="00AA4016" w:rsidRPr="00CC6DFF">
        <w:rPr>
          <w:rFonts w:ascii="Arial" w:hAnsi="Arial" w:cs="Arial"/>
          <w:sz w:val="24"/>
          <w:szCs w:val="24"/>
        </w:rPr>
        <w:t xml:space="preserve">business </w:t>
      </w:r>
      <w:r w:rsidR="00913FB7" w:rsidRPr="00CC6DFF">
        <w:rPr>
          <w:rFonts w:ascii="Arial" w:hAnsi="Arial" w:cs="Arial"/>
          <w:sz w:val="24"/>
          <w:szCs w:val="24"/>
        </w:rPr>
        <w:t xml:space="preserve">persons construed a disputed provision in a contract. </w:t>
      </w:r>
      <w:r w:rsidR="00913FB7" w:rsidRPr="00CC6DFF">
        <w:rPr>
          <w:rFonts w:ascii="Arial" w:eastAsia="Times New Roman" w:hAnsi="Arial" w:cs="Arial"/>
          <w:sz w:val="24"/>
          <w:szCs w:val="24"/>
          <w:lang w:eastAsia="en-ZA"/>
        </w:rPr>
        <w:t>T</w:t>
      </w:r>
      <w:r w:rsidR="00913FB7" w:rsidRPr="00CC6DFF">
        <w:rPr>
          <w:rFonts w:ascii="Arial" w:hAnsi="Arial" w:cs="Arial"/>
          <w:sz w:val="24"/>
          <w:szCs w:val="24"/>
        </w:rPr>
        <w:t xml:space="preserve">his Court explained </w:t>
      </w:r>
      <w:r w:rsidR="00AA4016" w:rsidRPr="00CC6DFF">
        <w:rPr>
          <w:rFonts w:ascii="Arial" w:hAnsi="Arial" w:cs="Arial"/>
          <w:sz w:val="24"/>
          <w:szCs w:val="24"/>
        </w:rPr>
        <w:t xml:space="preserve">this </w:t>
      </w:r>
      <w:r w:rsidR="00913FB7" w:rsidRPr="00CC6DFF">
        <w:rPr>
          <w:rFonts w:ascii="Arial" w:hAnsi="Arial" w:cs="Arial"/>
          <w:sz w:val="24"/>
          <w:szCs w:val="24"/>
        </w:rPr>
        <w:t xml:space="preserve">in </w:t>
      </w:r>
      <w:r w:rsidR="00913FB7" w:rsidRPr="00CC6DFF">
        <w:rPr>
          <w:rFonts w:ascii="Arial" w:eastAsia="Times New Roman" w:hAnsi="Arial" w:cs="Arial"/>
          <w:i/>
          <w:sz w:val="24"/>
          <w:szCs w:val="24"/>
          <w:lang w:eastAsia="en-ZA"/>
        </w:rPr>
        <w:t>Comwezi Security Services v Cape Empowerment Trust</w:t>
      </w:r>
      <w:r w:rsidR="008017CE" w:rsidRPr="00CC6DFF">
        <w:rPr>
          <w:rStyle w:val="FootnoteReference"/>
          <w:rFonts w:ascii="Arial" w:hAnsi="Arial" w:cs="Arial"/>
          <w:sz w:val="24"/>
          <w:szCs w:val="24"/>
          <w:lang w:eastAsia="en-ZA"/>
        </w:rPr>
        <w:footnoteReference w:id="11"/>
      </w:r>
      <w:r w:rsidR="008017CE" w:rsidRPr="00CC6DFF">
        <w:rPr>
          <w:rFonts w:ascii="Arial" w:hAnsi="Arial" w:cs="Arial"/>
          <w:sz w:val="24"/>
          <w:szCs w:val="24"/>
        </w:rPr>
        <w:t xml:space="preserve"> </w:t>
      </w:r>
      <w:r w:rsidR="008017CE" w:rsidRPr="00CC6DFF">
        <w:rPr>
          <w:rFonts w:ascii="Arial" w:eastAsia="Times New Roman" w:hAnsi="Arial" w:cs="Arial"/>
          <w:sz w:val="24"/>
          <w:szCs w:val="24"/>
          <w:lang w:eastAsia="en-ZA"/>
        </w:rPr>
        <w:t>(</w:t>
      </w:r>
      <w:r w:rsidR="008017CE" w:rsidRPr="00CC6DFF">
        <w:rPr>
          <w:rFonts w:ascii="Arial" w:eastAsia="Times New Roman" w:hAnsi="Arial" w:cs="Arial"/>
          <w:i/>
          <w:sz w:val="24"/>
          <w:szCs w:val="24"/>
          <w:lang w:eastAsia="en-ZA"/>
        </w:rPr>
        <w:t>Comwezi</w:t>
      </w:r>
      <w:r w:rsidR="008017CE" w:rsidRPr="00CC6DFF">
        <w:rPr>
          <w:rFonts w:ascii="Arial" w:eastAsia="Times New Roman" w:hAnsi="Arial" w:cs="Arial"/>
          <w:sz w:val="24"/>
          <w:szCs w:val="24"/>
          <w:lang w:eastAsia="en-ZA"/>
        </w:rPr>
        <w:t>)</w:t>
      </w:r>
      <w:r w:rsidR="00AA4016" w:rsidRPr="00CC6DFF">
        <w:rPr>
          <w:rFonts w:ascii="Arial" w:eastAsia="Times New Roman" w:hAnsi="Arial" w:cs="Arial"/>
          <w:sz w:val="24"/>
          <w:szCs w:val="24"/>
          <w:lang w:eastAsia="en-ZA"/>
        </w:rPr>
        <w:t xml:space="preserve"> thus</w:t>
      </w:r>
      <w:r w:rsidR="008017CE" w:rsidRPr="00CC6DFF">
        <w:rPr>
          <w:rFonts w:ascii="Arial" w:eastAsia="Times New Roman" w:hAnsi="Arial" w:cs="Arial"/>
          <w:sz w:val="24"/>
          <w:szCs w:val="24"/>
          <w:lang w:eastAsia="en-ZA"/>
        </w:rPr>
        <w:t>:</w:t>
      </w:r>
      <w:r w:rsidR="00913FB7" w:rsidRPr="00CC6DFF">
        <w:rPr>
          <w:rFonts w:ascii="Arial" w:hAnsi="Arial" w:cs="Arial"/>
          <w:sz w:val="24"/>
          <w:szCs w:val="24"/>
        </w:rPr>
        <w:t xml:space="preserve"> </w:t>
      </w:r>
    </w:p>
    <w:p w14:paraId="521852BC" w14:textId="2B451CFC" w:rsidR="00913FB7" w:rsidRPr="00CC6DFF" w:rsidRDefault="00913FB7" w:rsidP="00867989">
      <w:pPr>
        <w:shd w:val="clear" w:color="auto" w:fill="FFFFFF"/>
        <w:spacing w:after="0"/>
        <w:contextualSpacing/>
        <w:rPr>
          <w:rFonts w:ascii="Arial" w:hAnsi="Arial" w:cs="Arial"/>
        </w:rPr>
      </w:pPr>
      <w:r w:rsidRPr="00CC6DFF">
        <w:rPr>
          <w:rFonts w:ascii="Arial" w:hAnsi="Arial" w:cs="Arial"/>
          <w:shd w:val="clear" w:color="auto" w:fill="FFFFFF"/>
        </w:rPr>
        <w:t xml:space="preserve">‘In the past, where there was perceived ambiguity in a contract, the courts held that the subsequent conduct of the parties in implementing their agreement was a factor that could be taken into account in preferring one interpretation to another. Now that regard is had to all relevant context, irrespective of whether there is a perceived ambiguity, there is no reason not to look at the conduct of the parties in implementing the agreement. Where it is clear that they </w:t>
      </w:r>
      <w:r w:rsidR="008558CB" w:rsidRPr="00CC6DFF">
        <w:rPr>
          <w:rFonts w:ascii="Arial" w:hAnsi="Arial" w:cs="Arial"/>
          <w:shd w:val="clear" w:color="auto" w:fill="FFFFFF"/>
        </w:rPr>
        <w:t>h</w:t>
      </w:r>
      <w:r w:rsidRPr="00CC6DFF">
        <w:rPr>
          <w:rFonts w:ascii="Arial" w:hAnsi="Arial" w:cs="Arial"/>
          <w:shd w:val="clear" w:color="auto" w:fill="FFFFFF"/>
        </w:rPr>
        <w:t>ave both taken the same approach to its implementation, and hence the meaning of the provision in dispute, their conduct provides clear evidence of how reasonable business people situated as they were and knowing what they knew, would construe the disputed provision.’</w:t>
      </w:r>
      <w:r w:rsidRPr="00CC6DFF">
        <w:rPr>
          <w:rStyle w:val="FootnoteReference"/>
          <w:rFonts w:ascii="Arial" w:hAnsi="Arial" w:cs="Arial"/>
          <w:shd w:val="clear" w:color="auto" w:fill="FFFFFF"/>
        </w:rPr>
        <w:footnoteReference w:id="12"/>
      </w:r>
      <w:r w:rsidR="00CC4CE2" w:rsidRPr="00CC6DFF">
        <w:rPr>
          <w:rFonts w:ascii="Arial" w:hAnsi="Arial" w:cs="Arial"/>
          <w:shd w:val="clear" w:color="auto" w:fill="FFFFFF"/>
        </w:rPr>
        <w:t xml:space="preserve"> (F</w:t>
      </w:r>
      <w:r w:rsidRPr="00CC6DFF">
        <w:rPr>
          <w:rFonts w:ascii="Arial" w:hAnsi="Arial" w:cs="Arial"/>
          <w:shd w:val="clear" w:color="auto" w:fill="FFFFFF"/>
        </w:rPr>
        <w:t xml:space="preserve">ootnotes omitted.) </w:t>
      </w:r>
    </w:p>
    <w:p w14:paraId="0A2AE951" w14:textId="77777777" w:rsidR="00913FB7" w:rsidRPr="00CC6DFF" w:rsidRDefault="00913FB7" w:rsidP="00867989">
      <w:pPr>
        <w:shd w:val="clear" w:color="auto" w:fill="FFFFFF"/>
        <w:spacing w:after="0"/>
        <w:contextualSpacing/>
        <w:rPr>
          <w:rFonts w:ascii="Arial" w:hAnsi="Arial" w:cs="Arial"/>
          <w:sz w:val="24"/>
          <w:szCs w:val="24"/>
        </w:rPr>
      </w:pPr>
    </w:p>
    <w:p w14:paraId="2B4574EF" w14:textId="47532765"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[18]</w:t>
      </w:r>
      <w:r w:rsidRPr="00CC6DFF">
        <w:rPr>
          <w:rFonts w:ascii="Arial" w:hAnsi="Arial" w:cs="Arial"/>
          <w:snapToGrid w:val="0"/>
          <w:color w:val="000000"/>
          <w:w w:val="0"/>
          <w:sz w:val="24"/>
          <w:szCs w:val="24"/>
        </w:rPr>
        <w:tab/>
      </w:r>
      <w:r w:rsidR="00913FB7" w:rsidRPr="00CC6DFF">
        <w:rPr>
          <w:rFonts w:ascii="Arial" w:eastAsia="Times New Roman" w:hAnsi="Arial" w:cs="Arial"/>
          <w:sz w:val="24"/>
          <w:szCs w:val="24"/>
          <w:lang w:eastAsia="en-ZA"/>
        </w:rPr>
        <w:t>In</w:t>
      </w:r>
      <w:r w:rsidR="00913FB7" w:rsidRPr="00CC6DFF">
        <w:rPr>
          <w:rFonts w:ascii="Arial" w:eastAsia="Times New Roman" w:hAnsi="Arial" w:cs="Arial"/>
          <w:i/>
          <w:sz w:val="24"/>
          <w:szCs w:val="24"/>
          <w:lang w:eastAsia="en-ZA"/>
        </w:rPr>
        <w:t xml:space="preserve"> Capitec Bank v Coral Lagoon Investments</w:t>
      </w:r>
      <w:r w:rsidR="00913FB7" w:rsidRPr="00CC6DFF">
        <w:rPr>
          <w:rStyle w:val="FootnoteReference"/>
          <w:rFonts w:ascii="Arial" w:hAnsi="Arial" w:cs="Arial"/>
          <w:sz w:val="24"/>
          <w:szCs w:val="24"/>
          <w:lang w:eastAsia="en-ZA"/>
        </w:rPr>
        <w:footnoteReference w:id="13"/>
      </w:r>
      <w:r w:rsidR="00CC4CE2" w:rsidRPr="00CC6DFF">
        <w:rPr>
          <w:rFonts w:ascii="Arial" w:eastAsia="Times New Roman" w:hAnsi="Arial" w:cs="Arial"/>
          <w:i/>
          <w:sz w:val="24"/>
          <w:szCs w:val="24"/>
          <w:lang w:eastAsia="en-ZA"/>
        </w:rPr>
        <w:t xml:space="preserve"> </w:t>
      </w:r>
      <w:r w:rsidR="00913FB7" w:rsidRPr="00CC6DFF">
        <w:rPr>
          <w:rFonts w:ascii="Arial" w:eastAsia="Times New Roman" w:hAnsi="Arial" w:cs="Arial"/>
          <w:sz w:val="24"/>
          <w:szCs w:val="24"/>
          <w:lang w:eastAsia="en-ZA"/>
        </w:rPr>
        <w:t>(</w:t>
      </w:r>
      <w:r w:rsidR="00913FB7" w:rsidRPr="00CC6DFF">
        <w:rPr>
          <w:rFonts w:ascii="Arial" w:eastAsia="Times New Roman" w:hAnsi="Arial" w:cs="Arial"/>
          <w:i/>
          <w:sz w:val="24"/>
          <w:szCs w:val="24"/>
          <w:lang w:eastAsia="en-ZA"/>
        </w:rPr>
        <w:t>Coral Lagoon</w:t>
      </w:r>
      <w:r w:rsidR="00913FB7" w:rsidRPr="00CC6DFF">
        <w:rPr>
          <w:rFonts w:ascii="Arial" w:eastAsia="Times New Roman" w:hAnsi="Arial" w:cs="Arial"/>
          <w:sz w:val="24"/>
          <w:szCs w:val="24"/>
          <w:lang w:eastAsia="en-ZA"/>
        </w:rPr>
        <w:t>)</w:t>
      </w:r>
      <w:r w:rsidR="0087145D" w:rsidRPr="00CC6DFF">
        <w:rPr>
          <w:rFonts w:ascii="Arial" w:eastAsia="Times New Roman" w:hAnsi="Arial" w:cs="Arial"/>
          <w:sz w:val="24"/>
          <w:szCs w:val="24"/>
          <w:lang w:eastAsia="en-ZA"/>
        </w:rPr>
        <w:t>,</w:t>
      </w:r>
      <w:r w:rsidR="00913FB7" w:rsidRPr="00CC6DFF">
        <w:rPr>
          <w:rFonts w:ascii="Arial" w:eastAsia="Times New Roman" w:hAnsi="Arial" w:cs="Arial"/>
          <w:sz w:val="24"/>
          <w:szCs w:val="24"/>
          <w:lang w:eastAsia="en-ZA"/>
        </w:rPr>
        <w:t> </w:t>
      </w:r>
      <w:r w:rsidR="00913FB7" w:rsidRPr="00CC6DFF">
        <w:rPr>
          <w:rFonts w:ascii="Arial" w:hAnsi="Arial" w:cs="Arial"/>
          <w:sz w:val="24"/>
          <w:szCs w:val="24"/>
        </w:rPr>
        <w:t xml:space="preserve">this Court cautioned that the passage in </w:t>
      </w:r>
      <w:r w:rsidR="00913FB7" w:rsidRPr="00CC6DFF">
        <w:rPr>
          <w:rFonts w:ascii="Arial" w:hAnsi="Arial" w:cs="Arial"/>
          <w:i/>
          <w:sz w:val="24"/>
          <w:szCs w:val="24"/>
        </w:rPr>
        <w:t xml:space="preserve">Comwezi </w:t>
      </w:r>
      <w:r w:rsidR="00913FB7" w:rsidRPr="00CC6DFF">
        <w:rPr>
          <w:rFonts w:ascii="Arial" w:hAnsi="Arial" w:cs="Arial"/>
          <w:sz w:val="24"/>
          <w:szCs w:val="24"/>
        </w:rPr>
        <w:t>referred to above, should not be understood ‘</w:t>
      </w:r>
      <w:r w:rsidR="00913FB7" w:rsidRPr="00CC6DFF">
        <w:rPr>
          <w:rFonts w:ascii="Arial" w:hAnsi="Arial" w:cs="Arial"/>
          <w:sz w:val="24"/>
          <w:szCs w:val="24"/>
          <w:shd w:val="clear" w:color="auto" w:fill="FFFFFF"/>
        </w:rPr>
        <w:t>as an invitation to harvest evidence, on an indiscriminate basis, of what the parties did after they concluded their agreement’</w:t>
      </w:r>
      <w:r w:rsidR="00F3655F" w:rsidRPr="00CC6DFF">
        <w:rPr>
          <w:rFonts w:ascii="Arial" w:hAnsi="Arial" w:cs="Arial"/>
          <w:sz w:val="24"/>
          <w:szCs w:val="24"/>
          <w:shd w:val="clear" w:color="auto" w:fill="FFFFFF"/>
        </w:rPr>
        <w:t>,</w:t>
      </w:r>
      <w:r w:rsidR="00913FB7" w:rsidRPr="00CC6DFF">
        <w:rPr>
          <w:rStyle w:val="FootnoteReference"/>
          <w:rFonts w:ascii="Arial" w:hAnsi="Arial" w:cs="Arial"/>
          <w:sz w:val="24"/>
          <w:szCs w:val="24"/>
          <w:shd w:val="clear" w:color="auto" w:fill="FFFFFF"/>
        </w:rPr>
        <w:footnoteReference w:id="14"/>
      </w:r>
      <w:r w:rsidR="00913FB7" w:rsidRPr="00CC6DFF">
        <w:rPr>
          <w:rFonts w:ascii="Arial" w:hAnsi="Arial" w:cs="Arial"/>
          <w:sz w:val="24"/>
          <w:szCs w:val="24"/>
          <w:shd w:val="clear" w:color="auto" w:fill="FFFFFF"/>
        </w:rPr>
        <w:t xml:space="preserve"> and pointed out that such evidence ‘must be relevant to an objective determination of the meaning of the words used in the contract’</w:t>
      </w:r>
      <w:r w:rsidR="00F3655F" w:rsidRPr="00CC6DFF">
        <w:rPr>
          <w:rFonts w:ascii="Arial" w:hAnsi="Arial" w:cs="Arial"/>
          <w:sz w:val="24"/>
          <w:szCs w:val="24"/>
          <w:shd w:val="clear" w:color="auto" w:fill="FFFFFF"/>
        </w:rPr>
        <w:t>.</w:t>
      </w:r>
      <w:r w:rsidR="00913FB7" w:rsidRPr="00CC6DFF">
        <w:rPr>
          <w:rStyle w:val="FootnoteReference"/>
          <w:rFonts w:ascii="Arial" w:hAnsi="Arial" w:cs="Arial"/>
          <w:sz w:val="24"/>
          <w:szCs w:val="24"/>
          <w:shd w:val="clear" w:color="auto" w:fill="FFFFFF"/>
        </w:rPr>
        <w:footnoteReference w:id="15"/>
      </w:r>
      <w:r w:rsidR="00913FB7" w:rsidRPr="00CC6DFF">
        <w:rPr>
          <w:rFonts w:ascii="Arial" w:hAnsi="Arial" w:cs="Arial"/>
          <w:sz w:val="24"/>
          <w:szCs w:val="24"/>
        </w:rPr>
        <w:t xml:space="preserve"> </w:t>
      </w:r>
    </w:p>
    <w:p w14:paraId="22A3CA9F" w14:textId="77777777" w:rsidR="00913FB7" w:rsidRPr="00CC6DFF" w:rsidRDefault="00913FB7" w:rsidP="00867989">
      <w:pPr>
        <w:shd w:val="clear" w:color="auto" w:fill="FFFFFF"/>
        <w:spacing w:after="0"/>
        <w:contextualSpacing/>
        <w:rPr>
          <w:rFonts w:ascii="Arial" w:hAnsi="Arial" w:cs="Arial"/>
          <w:sz w:val="24"/>
          <w:szCs w:val="24"/>
        </w:rPr>
      </w:pPr>
    </w:p>
    <w:p w14:paraId="00A0E86B" w14:textId="7D6FDBE0" w:rsidR="00913FB7"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[19]</w:t>
      </w:r>
      <w:r w:rsidRPr="00CC6DFF">
        <w:rPr>
          <w:rFonts w:ascii="Arial" w:hAnsi="Arial" w:cs="Arial"/>
          <w:snapToGrid w:val="0"/>
          <w:color w:val="000000"/>
          <w:w w:val="0"/>
          <w:sz w:val="24"/>
          <w:szCs w:val="24"/>
        </w:rPr>
        <w:tab/>
      </w:r>
      <w:r w:rsidR="00913FB7" w:rsidRPr="00CC6DFF">
        <w:rPr>
          <w:rFonts w:ascii="Arial" w:eastAsia="Times New Roman" w:hAnsi="Arial" w:cs="Arial"/>
          <w:sz w:val="24"/>
          <w:szCs w:val="24"/>
          <w:lang w:eastAsia="en-ZA"/>
        </w:rPr>
        <w:t xml:space="preserve">The upshot of these authorities is that the tripartite agreement should be preserved and enforced. I have no doubt </w:t>
      </w:r>
      <w:r w:rsidR="00913FB7" w:rsidRPr="00CC6DFF">
        <w:rPr>
          <w:rFonts w:ascii="Arial" w:eastAsia="Times New Roman" w:hAnsi="Arial" w:cs="Arial"/>
          <w:sz w:val="24"/>
          <w:szCs w:val="24"/>
          <w:shd w:val="clear" w:color="auto" w:fill="FFFFFF"/>
          <w:lang w:eastAsia="en-ZA"/>
        </w:rPr>
        <w:t>that</w:t>
      </w:r>
      <w:r w:rsidR="00913FB7" w:rsidRPr="00CC6DFF">
        <w:rPr>
          <w:rFonts w:ascii="Arial" w:eastAsia="Times New Roman" w:hAnsi="Arial" w:cs="Arial"/>
          <w:i/>
          <w:sz w:val="24"/>
          <w:szCs w:val="24"/>
          <w:shd w:val="clear" w:color="auto" w:fill="FFFFFF"/>
          <w:lang w:eastAsia="en-ZA"/>
        </w:rPr>
        <w:t xml:space="preserve"> </w:t>
      </w:r>
      <w:r w:rsidR="00913FB7" w:rsidRPr="00CC6DFF">
        <w:rPr>
          <w:rFonts w:ascii="Arial" w:eastAsia="Times New Roman" w:hAnsi="Arial" w:cs="Arial"/>
          <w:sz w:val="24"/>
          <w:szCs w:val="24"/>
          <w:lang w:eastAsia="en-ZA"/>
        </w:rPr>
        <w:t>the parties</w:t>
      </w:r>
      <w:r w:rsidR="00F3655F" w:rsidRPr="00CC6DFF">
        <w:rPr>
          <w:rFonts w:ascii="Arial" w:eastAsia="Times New Roman" w:hAnsi="Arial" w:cs="Arial"/>
          <w:sz w:val="24"/>
          <w:szCs w:val="24"/>
          <w:lang w:eastAsia="en-ZA"/>
        </w:rPr>
        <w:t xml:space="preserve"> </w:t>
      </w:r>
      <w:r w:rsidR="00913FB7" w:rsidRPr="00CC6DFF">
        <w:rPr>
          <w:rFonts w:ascii="Arial" w:eastAsia="Times New Roman" w:hAnsi="Arial" w:cs="Arial"/>
          <w:sz w:val="24"/>
          <w:szCs w:val="24"/>
          <w:lang w:eastAsia="en-ZA"/>
        </w:rPr>
        <w:t>seriously entered into the tripartite agreement and considered it capable of implementation, and</w:t>
      </w:r>
      <w:r w:rsidR="00F3655F" w:rsidRPr="00CC6DFF">
        <w:rPr>
          <w:rFonts w:ascii="Arial" w:eastAsia="Times New Roman" w:hAnsi="Arial" w:cs="Arial"/>
          <w:sz w:val="24"/>
          <w:szCs w:val="24"/>
          <w:lang w:eastAsia="en-ZA"/>
        </w:rPr>
        <w:t>,</w:t>
      </w:r>
      <w:r w:rsidR="00913FB7" w:rsidRPr="00CC6DFF">
        <w:rPr>
          <w:rFonts w:ascii="Arial" w:eastAsia="Times New Roman" w:hAnsi="Arial" w:cs="Arial"/>
          <w:sz w:val="24"/>
          <w:szCs w:val="24"/>
          <w:lang w:eastAsia="en-ZA"/>
        </w:rPr>
        <w:t xml:space="preserve"> in fact, implemented</w:t>
      </w:r>
      <w:r w:rsidR="00D64314" w:rsidRPr="00CC6DFF">
        <w:rPr>
          <w:rFonts w:ascii="Arial" w:eastAsia="Times New Roman" w:hAnsi="Arial" w:cs="Arial"/>
          <w:sz w:val="24"/>
          <w:szCs w:val="24"/>
          <w:lang w:eastAsia="en-ZA"/>
        </w:rPr>
        <w:t xml:space="preserve"> it</w:t>
      </w:r>
      <w:r w:rsidR="00913FB7" w:rsidRPr="00CC6DFF">
        <w:rPr>
          <w:rFonts w:ascii="Arial" w:eastAsia="Times New Roman" w:hAnsi="Arial" w:cs="Arial"/>
          <w:sz w:val="24"/>
          <w:szCs w:val="24"/>
          <w:lang w:eastAsia="en-ZA"/>
        </w:rPr>
        <w:t xml:space="preserve">. I also consider, on the authority of </w:t>
      </w:r>
      <w:r w:rsidR="00913FB7" w:rsidRPr="00CC6DFF">
        <w:rPr>
          <w:rFonts w:ascii="Arial" w:eastAsia="Times New Roman" w:hAnsi="Arial" w:cs="Arial"/>
          <w:i/>
          <w:sz w:val="24"/>
          <w:szCs w:val="24"/>
          <w:lang w:eastAsia="en-ZA"/>
        </w:rPr>
        <w:t xml:space="preserve">Comwezi </w:t>
      </w:r>
      <w:r w:rsidR="00913FB7" w:rsidRPr="00CC6DFF">
        <w:rPr>
          <w:rFonts w:ascii="Arial" w:eastAsia="Times New Roman" w:hAnsi="Arial" w:cs="Arial"/>
          <w:sz w:val="24"/>
          <w:szCs w:val="24"/>
          <w:lang w:eastAsia="en-ZA"/>
        </w:rPr>
        <w:t xml:space="preserve">and </w:t>
      </w:r>
      <w:r w:rsidR="00913FB7" w:rsidRPr="00CC6DFF">
        <w:rPr>
          <w:rFonts w:ascii="Arial" w:eastAsia="Times New Roman" w:hAnsi="Arial" w:cs="Arial"/>
          <w:i/>
          <w:sz w:val="24"/>
          <w:szCs w:val="24"/>
          <w:lang w:eastAsia="en-ZA"/>
        </w:rPr>
        <w:t>Coral Lagoon</w:t>
      </w:r>
      <w:r w:rsidR="00913FB7" w:rsidRPr="00CC6DFF">
        <w:rPr>
          <w:rFonts w:ascii="Arial" w:eastAsia="Times New Roman" w:hAnsi="Arial" w:cs="Arial"/>
          <w:sz w:val="24"/>
          <w:szCs w:val="24"/>
          <w:lang w:eastAsia="en-ZA"/>
        </w:rPr>
        <w:t xml:space="preserve">, that the evidence of how </w:t>
      </w:r>
      <w:r w:rsidR="00913FB7" w:rsidRPr="00CC6DFF">
        <w:rPr>
          <w:rFonts w:ascii="Arial" w:hAnsi="Arial" w:cs="Arial"/>
          <w:sz w:val="24"/>
          <w:szCs w:val="24"/>
        </w:rPr>
        <w:t>the parties conducted themselves in implementing the tripartite agreement is relevant to the determination of how the</w:t>
      </w:r>
      <w:r w:rsidR="008017CE" w:rsidRPr="00CC6DFF">
        <w:rPr>
          <w:rFonts w:ascii="Arial" w:hAnsi="Arial" w:cs="Arial"/>
          <w:sz w:val="24"/>
          <w:szCs w:val="24"/>
        </w:rPr>
        <w:t>y</w:t>
      </w:r>
      <w:r w:rsidR="00913FB7" w:rsidRPr="00CC6DFF">
        <w:rPr>
          <w:rFonts w:ascii="Arial" w:hAnsi="Arial" w:cs="Arial"/>
          <w:sz w:val="24"/>
          <w:szCs w:val="24"/>
        </w:rPr>
        <w:t xml:space="preserve"> understood their obligation</w:t>
      </w:r>
      <w:r w:rsidR="002D6C26" w:rsidRPr="00CC6DFF">
        <w:rPr>
          <w:rFonts w:ascii="Arial" w:hAnsi="Arial" w:cs="Arial"/>
          <w:sz w:val="24"/>
          <w:szCs w:val="24"/>
        </w:rPr>
        <w:t>s</w:t>
      </w:r>
      <w:r w:rsidR="00913FB7" w:rsidRPr="00CC6DFF">
        <w:rPr>
          <w:rFonts w:ascii="Arial" w:hAnsi="Arial" w:cs="Arial"/>
          <w:sz w:val="24"/>
          <w:szCs w:val="24"/>
        </w:rPr>
        <w:t xml:space="preserve"> in terms </w:t>
      </w:r>
      <w:r w:rsidR="002D6C26" w:rsidRPr="00CC6DFF">
        <w:rPr>
          <w:rFonts w:ascii="Arial" w:hAnsi="Arial" w:cs="Arial"/>
          <w:sz w:val="24"/>
          <w:szCs w:val="24"/>
        </w:rPr>
        <w:t>there</w:t>
      </w:r>
      <w:r w:rsidR="00913FB7" w:rsidRPr="00CC6DFF">
        <w:rPr>
          <w:rFonts w:ascii="Arial" w:hAnsi="Arial" w:cs="Arial"/>
          <w:sz w:val="24"/>
          <w:szCs w:val="24"/>
        </w:rPr>
        <w:t>of</w:t>
      </w:r>
      <w:r w:rsidR="002D6C26" w:rsidRPr="00CC6DFF">
        <w:rPr>
          <w:rFonts w:ascii="Arial" w:hAnsi="Arial" w:cs="Arial"/>
          <w:sz w:val="24"/>
          <w:szCs w:val="24"/>
        </w:rPr>
        <w:t>,</w:t>
      </w:r>
      <w:r w:rsidR="00913FB7" w:rsidRPr="00CC6DFF">
        <w:rPr>
          <w:rFonts w:ascii="Arial" w:hAnsi="Arial" w:cs="Arial"/>
          <w:sz w:val="24"/>
          <w:szCs w:val="24"/>
        </w:rPr>
        <w:t xml:space="preserve"> despite the missing annexures. </w:t>
      </w:r>
    </w:p>
    <w:p w14:paraId="3800FC41" w14:textId="77777777" w:rsidR="00212F37" w:rsidRPr="00CC6DFF" w:rsidRDefault="00212F37" w:rsidP="00212F37">
      <w:pPr>
        <w:shd w:val="clear" w:color="auto" w:fill="FFFFFF"/>
        <w:spacing w:after="0"/>
        <w:contextualSpacing/>
        <w:rPr>
          <w:rFonts w:ascii="Arial" w:hAnsi="Arial" w:cs="Arial"/>
          <w:strike/>
          <w:sz w:val="24"/>
          <w:szCs w:val="24"/>
        </w:rPr>
      </w:pPr>
    </w:p>
    <w:p w14:paraId="2BBEACBA" w14:textId="2311D046" w:rsidR="00DC40B1"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[20]</w:t>
      </w:r>
      <w:r w:rsidRPr="00CC6DFF">
        <w:rPr>
          <w:rFonts w:ascii="Arial" w:hAnsi="Arial" w:cs="Arial"/>
          <w:snapToGrid w:val="0"/>
          <w:color w:val="000000"/>
          <w:w w:val="0"/>
          <w:sz w:val="24"/>
          <w:szCs w:val="24"/>
        </w:rPr>
        <w:tab/>
      </w:r>
      <w:r w:rsidR="00913FB7" w:rsidRPr="00CC6DFF">
        <w:rPr>
          <w:rFonts w:ascii="Arial" w:eastAsia="Times New Roman" w:hAnsi="Arial" w:cs="Arial"/>
          <w:sz w:val="24"/>
          <w:szCs w:val="24"/>
          <w:lang w:eastAsia="en-ZA"/>
        </w:rPr>
        <w:t>Save for the timetable in respect of route 7, which was rectified per the order of 18 May 20</w:t>
      </w:r>
      <w:r w:rsidR="008944FF" w:rsidRPr="00CC6DFF">
        <w:rPr>
          <w:rFonts w:ascii="Arial" w:eastAsia="Times New Roman" w:hAnsi="Arial" w:cs="Arial"/>
          <w:sz w:val="24"/>
          <w:szCs w:val="24"/>
          <w:lang w:eastAsia="en-ZA"/>
        </w:rPr>
        <w:t>2</w:t>
      </w:r>
      <w:r w:rsidR="00913FB7" w:rsidRPr="00CC6DFF">
        <w:rPr>
          <w:rFonts w:ascii="Arial" w:eastAsia="Times New Roman" w:hAnsi="Arial" w:cs="Arial"/>
          <w:sz w:val="24"/>
          <w:szCs w:val="24"/>
          <w:lang w:eastAsia="en-ZA"/>
        </w:rPr>
        <w:t>0</w:t>
      </w:r>
      <w:r w:rsidR="004F15F0" w:rsidRPr="00CC6DFF">
        <w:rPr>
          <w:rFonts w:ascii="Arial" w:eastAsia="Times New Roman" w:hAnsi="Arial" w:cs="Arial"/>
          <w:sz w:val="24"/>
          <w:szCs w:val="24"/>
          <w:lang w:eastAsia="en-ZA"/>
        </w:rPr>
        <w:t xml:space="preserve"> at the instance of Phadziri,</w:t>
      </w:r>
      <w:r w:rsidR="00913FB7" w:rsidRPr="00CC6DFF">
        <w:rPr>
          <w:rFonts w:ascii="Arial" w:eastAsia="Times New Roman" w:hAnsi="Arial" w:cs="Arial"/>
          <w:sz w:val="24"/>
          <w:szCs w:val="24"/>
          <w:lang w:eastAsia="en-ZA"/>
        </w:rPr>
        <w:t xml:space="preserve"> the parties </w:t>
      </w:r>
      <w:r w:rsidR="002D6C26" w:rsidRPr="00CC6DFF">
        <w:rPr>
          <w:rFonts w:ascii="Arial" w:eastAsia="Times New Roman" w:hAnsi="Arial" w:cs="Arial"/>
          <w:sz w:val="24"/>
          <w:szCs w:val="24"/>
          <w:lang w:eastAsia="en-ZA"/>
        </w:rPr>
        <w:t xml:space="preserve">had </w:t>
      </w:r>
      <w:r w:rsidR="00913FB7" w:rsidRPr="00CC6DFF">
        <w:rPr>
          <w:rFonts w:ascii="Arial" w:eastAsia="Times New Roman" w:hAnsi="Arial" w:cs="Arial"/>
          <w:sz w:val="24"/>
          <w:szCs w:val="24"/>
          <w:lang w:eastAsia="en-ZA"/>
        </w:rPr>
        <w:t>a meeting of the minds as to the routes in respect of which licen</w:t>
      </w:r>
      <w:r w:rsidR="008944FF" w:rsidRPr="00CC6DFF">
        <w:rPr>
          <w:rFonts w:ascii="Arial" w:eastAsia="Times New Roman" w:hAnsi="Arial" w:cs="Arial"/>
          <w:sz w:val="24"/>
          <w:szCs w:val="24"/>
          <w:lang w:eastAsia="en-ZA"/>
        </w:rPr>
        <w:t>c</w:t>
      </w:r>
      <w:r w:rsidR="00913FB7" w:rsidRPr="00CC6DFF">
        <w:rPr>
          <w:rFonts w:ascii="Arial" w:eastAsia="Times New Roman" w:hAnsi="Arial" w:cs="Arial"/>
          <w:sz w:val="24"/>
          <w:szCs w:val="24"/>
          <w:lang w:eastAsia="en-ZA"/>
        </w:rPr>
        <w:t>es</w:t>
      </w:r>
      <w:r w:rsidR="004F15F0" w:rsidRPr="00CC6DFF">
        <w:rPr>
          <w:rFonts w:ascii="Arial" w:eastAsia="Times New Roman" w:hAnsi="Arial" w:cs="Arial"/>
          <w:sz w:val="24"/>
          <w:szCs w:val="24"/>
          <w:lang w:eastAsia="en-ZA"/>
        </w:rPr>
        <w:t xml:space="preserve"> had to be ceded</w:t>
      </w:r>
      <w:r w:rsidR="00913FB7" w:rsidRPr="00CC6DFF">
        <w:rPr>
          <w:rFonts w:ascii="Arial" w:eastAsia="Times New Roman" w:hAnsi="Arial" w:cs="Arial"/>
          <w:sz w:val="24"/>
          <w:szCs w:val="24"/>
          <w:lang w:eastAsia="en-ZA"/>
        </w:rPr>
        <w:t>.</w:t>
      </w:r>
      <w:r w:rsidR="002A686C" w:rsidRPr="00CC6DFF">
        <w:rPr>
          <w:rFonts w:ascii="Arial" w:eastAsia="Times New Roman" w:hAnsi="Arial" w:cs="Arial"/>
          <w:sz w:val="24"/>
          <w:szCs w:val="24"/>
          <w:lang w:eastAsia="en-ZA"/>
        </w:rPr>
        <w:t xml:space="preserve"> Phadziri relied on this rectification to support its assertion that the routes </w:t>
      </w:r>
      <w:r w:rsidR="004F15F0" w:rsidRPr="00CC6DFF">
        <w:rPr>
          <w:rFonts w:ascii="Arial" w:eastAsia="Times New Roman" w:hAnsi="Arial" w:cs="Arial"/>
          <w:sz w:val="24"/>
          <w:szCs w:val="24"/>
          <w:lang w:eastAsia="en-ZA"/>
        </w:rPr>
        <w:t xml:space="preserve">could </w:t>
      </w:r>
      <w:r w:rsidR="002A686C" w:rsidRPr="00CC6DFF">
        <w:rPr>
          <w:rFonts w:ascii="Arial" w:eastAsia="Times New Roman" w:hAnsi="Arial" w:cs="Arial"/>
          <w:sz w:val="24"/>
          <w:szCs w:val="24"/>
          <w:lang w:eastAsia="en-ZA"/>
        </w:rPr>
        <w:t xml:space="preserve">not </w:t>
      </w:r>
      <w:r w:rsidR="004F15F0" w:rsidRPr="00CC6DFF">
        <w:rPr>
          <w:rFonts w:ascii="Arial" w:eastAsia="Times New Roman" w:hAnsi="Arial" w:cs="Arial"/>
          <w:sz w:val="24"/>
          <w:szCs w:val="24"/>
          <w:lang w:eastAsia="en-ZA"/>
        </w:rPr>
        <w:t xml:space="preserve">be </w:t>
      </w:r>
      <w:r w:rsidR="002A686C" w:rsidRPr="00CC6DFF">
        <w:rPr>
          <w:rFonts w:ascii="Arial" w:eastAsia="Times New Roman" w:hAnsi="Arial" w:cs="Arial"/>
          <w:sz w:val="24"/>
          <w:szCs w:val="24"/>
          <w:lang w:eastAsia="en-ZA"/>
        </w:rPr>
        <w:t>identified. I disagree. In my view, it points in the opposite direction, when one considers that a total of eight licences were ceded, and it was only in respect of one that clarity had to be sought from the court. What is more, if Phadziri is correct in its stance, it would have approached the court to rectify the routes in respect of all the licences.</w:t>
      </w:r>
      <w:r w:rsidR="00913FB7" w:rsidRPr="00CC6DFF">
        <w:rPr>
          <w:rFonts w:ascii="Arial" w:eastAsia="Times New Roman" w:hAnsi="Arial" w:cs="Arial"/>
          <w:sz w:val="24"/>
          <w:szCs w:val="24"/>
          <w:lang w:eastAsia="en-ZA"/>
        </w:rPr>
        <w:t xml:space="preserve"> </w:t>
      </w:r>
      <w:r w:rsidR="002A686C" w:rsidRPr="00CC6DFF">
        <w:rPr>
          <w:rFonts w:ascii="Arial" w:eastAsia="Times New Roman" w:hAnsi="Arial" w:cs="Arial"/>
          <w:sz w:val="24"/>
          <w:szCs w:val="24"/>
          <w:lang w:eastAsia="en-ZA"/>
        </w:rPr>
        <w:t xml:space="preserve">The fact that it sought rectification in respect of only one, erodes its assertion. As mentioned already, </w:t>
      </w:r>
      <w:r w:rsidR="002A686C" w:rsidRPr="00CC6DFF">
        <w:rPr>
          <w:rFonts w:ascii="Arial" w:hAnsi="Arial" w:cs="Arial"/>
          <w:sz w:val="24"/>
          <w:szCs w:val="24"/>
        </w:rPr>
        <w:t>t</w:t>
      </w:r>
      <w:r w:rsidR="00913FB7" w:rsidRPr="00CC6DFF">
        <w:rPr>
          <w:rFonts w:ascii="Arial" w:hAnsi="Arial" w:cs="Arial"/>
          <w:sz w:val="24"/>
          <w:szCs w:val="24"/>
        </w:rPr>
        <w:t>he tripartite agreement was concluded in September 2010</w:t>
      </w:r>
      <w:r w:rsidR="002A686C" w:rsidRPr="00CC6DFF">
        <w:rPr>
          <w:rFonts w:ascii="Arial" w:hAnsi="Arial" w:cs="Arial"/>
          <w:sz w:val="24"/>
          <w:szCs w:val="24"/>
        </w:rPr>
        <w:t>, and f</w:t>
      </w:r>
      <w:r w:rsidR="00913FB7" w:rsidRPr="00CC6DFF">
        <w:rPr>
          <w:rFonts w:ascii="Arial" w:hAnsi="Arial" w:cs="Arial"/>
          <w:sz w:val="24"/>
          <w:szCs w:val="24"/>
        </w:rPr>
        <w:t xml:space="preserve">or close to eight years thereafter, </w:t>
      </w:r>
      <w:r w:rsidR="004F15F0" w:rsidRPr="00CC6DFF">
        <w:rPr>
          <w:rFonts w:ascii="Arial" w:hAnsi="Arial" w:cs="Arial"/>
          <w:sz w:val="24"/>
          <w:szCs w:val="24"/>
        </w:rPr>
        <w:t xml:space="preserve">it </w:t>
      </w:r>
      <w:r w:rsidR="00913FB7" w:rsidRPr="00CC6DFF">
        <w:rPr>
          <w:rFonts w:ascii="Arial" w:hAnsi="Arial" w:cs="Arial"/>
          <w:sz w:val="24"/>
          <w:szCs w:val="24"/>
        </w:rPr>
        <w:t xml:space="preserve">was implemented without any issues. </w:t>
      </w:r>
    </w:p>
    <w:p w14:paraId="049E63AA" w14:textId="77777777" w:rsidR="00DC40B1" w:rsidRPr="00CC6DFF" w:rsidRDefault="00DC40B1" w:rsidP="00CC4CE2">
      <w:pPr>
        <w:pStyle w:val="ListParagraph"/>
        <w:spacing w:after="0" w:line="360" w:lineRule="auto"/>
        <w:rPr>
          <w:rFonts w:ascii="Arial" w:hAnsi="Arial" w:cs="Arial"/>
          <w:sz w:val="24"/>
          <w:szCs w:val="24"/>
        </w:rPr>
      </w:pPr>
    </w:p>
    <w:p w14:paraId="243E0F64" w14:textId="7ED74227" w:rsidR="00DC40B1"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[21]</w:t>
      </w:r>
      <w:r w:rsidRPr="00CC6DFF">
        <w:rPr>
          <w:rFonts w:ascii="Arial" w:hAnsi="Arial" w:cs="Arial"/>
          <w:snapToGrid w:val="0"/>
          <w:color w:val="000000"/>
          <w:w w:val="0"/>
          <w:sz w:val="24"/>
          <w:szCs w:val="24"/>
        </w:rPr>
        <w:tab/>
      </w:r>
      <w:r w:rsidR="00913FB7" w:rsidRPr="00CC6DFF">
        <w:rPr>
          <w:rFonts w:ascii="Arial" w:hAnsi="Arial" w:cs="Arial"/>
          <w:sz w:val="24"/>
          <w:szCs w:val="24"/>
        </w:rPr>
        <w:t>In my judgment, this is a case where ‘the Court ought rather to try to help the parties towards what they both intended rather than obstruct them by legal subtleties and assist one of the parties to escape the consequences of all that he has done and all that he has intended’</w:t>
      </w:r>
      <w:r w:rsidR="008944FF" w:rsidRPr="00CC6DFF">
        <w:rPr>
          <w:rFonts w:ascii="Arial" w:hAnsi="Arial" w:cs="Arial"/>
          <w:sz w:val="24"/>
          <w:szCs w:val="24"/>
        </w:rPr>
        <w:t>.</w:t>
      </w:r>
      <w:r w:rsidR="00913FB7" w:rsidRPr="00CC6DFF">
        <w:rPr>
          <w:rStyle w:val="FootnoteReference"/>
          <w:rFonts w:ascii="Arial" w:hAnsi="Arial" w:cs="Arial"/>
          <w:sz w:val="24"/>
          <w:szCs w:val="24"/>
        </w:rPr>
        <w:footnoteReference w:id="16"/>
      </w:r>
      <w:r w:rsidR="00913FB7" w:rsidRPr="00CC6DFF">
        <w:rPr>
          <w:rFonts w:ascii="Arial" w:hAnsi="Arial" w:cs="Arial"/>
          <w:i/>
          <w:sz w:val="24"/>
          <w:szCs w:val="24"/>
        </w:rPr>
        <w:t xml:space="preserve"> </w:t>
      </w:r>
      <w:r w:rsidR="00913FB7" w:rsidRPr="00CC6DFF">
        <w:rPr>
          <w:rFonts w:ascii="Arial" w:hAnsi="Arial" w:cs="Arial"/>
          <w:sz w:val="24"/>
          <w:szCs w:val="24"/>
        </w:rPr>
        <w:t>Clauses 3.1</w:t>
      </w:r>
      <w:r w:rsidR="002D6C26" w:rsidRPr="00CC6DFF">
        <w:rPr>
          <w:rFonts w:ascii="Arial" w:hAnsi="Arial" w:cs="Arial"/>
          <w:sz w:val="24"/>
          <w:szCs w:val="24"/>
        </w:rPr>
        <w:t xml:space="preserve"> </w:t>
      </w:r>
      <w:r w:rsidR="00913FB7" w:rsidRPr="00CC6DFF">
        <w:rPr>
          <w:rFonts w:ascii="Arial" w:hAnsi="Arial" w:cs="Arial"/>
          <w:sz w:val="24"/>
          <w:szCs w:val="24"/>
        </w:rPr>
        <w:t>and 4.8 must be read so as to give them, and the tripartite agreement, a commercially sensible meaning.</w:t>
      </w:r>
      <w:r w:rsidR="00913FB7" w:rsidRPr="00CC6DFF">
        <w:rPr>
          <w:rStyle w:val="FootnoteReference"/>
          <w:rFonts w:ascii="Arial" w:hAnsi="Arial" w:cs="Arial"/>
          <w:sz w:val="24"/>
          <w:szCs w:val="24"/>
        </w:rPr>
        <w:footnoteReference w:id="17"/>
      </w:r>
      <w:r w:rsidR="00913FB7" w:rsidRPr="00CC6DFF">
        <w:rPr>
          <w:rFonts w:ascii="Arial" w:hAnsi="Arial" w:cs="Arial"/>
          <w:i/>
          <w:sz w:val="24"/>
          <w:szCs w:val="24"/>
        </w:rPr>
        <w:t xml:space="preserve"> </w:t>
      </w:r>
    </w:p>
    <w:p w14:paraId="3741B261" w14:textId="77777777" w:rsidR="00DC40B1" w:rsidRPr="00CC6DFF" w:rsidRDefault="00DC40B1" w:rsidP="00CC4CE2">
      <w:pPr>
        <w:pStyle w:val="ListParagraph"/>
        <w:spacing w:after="0" w:line="360" w:lineRule="auto"/>
        <w:rPr>
          <w:rFonts w:ascii="Arial" w:hAnsi="Arial" w:cs="Arial"/>
          <w:sz w:val="24"/>
          <w:szCs w:val="24"/>
        </w:rPr>
      </w:pPr>
    </w:p>
    <w:p w14:paraId="18DA29FA" w14:textId="4F39FE22" w:rsidR="008017CE" w:rsidRPr="00CC6DFF" w:rsidRDefault="00311C8E" w:rsidP="00311C8E">
      <w:pPr>
        <w:shd w:val="clear" w:color="auto" w:fill="FFFFFF"/>
        <w:spacing w:after="0"/>
        <w:contextualSpacing/>
        <w:rPr>
          <w:rFonts w:ascii="Arial" w:hAnsi="Arial" w:cs="Arial"/>
          <w:strike/>
          <w:sz w:val="24"/>
          <w:szCs w:val="24"/>
        </w:rPr>
      </w:pPr>
      <w:r w:rsidRPr="00CC6DFF">
        <w:rPr>
          <w:rFonts w:ascii="Arial" w:hAnsi="Arial" w:cs="Arial"/>
          <w:snapToGrid w:val="0"/>
          <w:color w:val="000000"/>
          <w:w w:val="0"/>
          <w:sz w:val="24"/>
          <w:szCs w:val="24"/>
        </w:rPr>
        <w:t>[22]</w:t>
      </w:r>
      <w:r w:rsidRPr="00CC6DFF">
        <w:rPr>
          <w:rFonts w:ascii="Arial" w:hAnsi="Arial" w:cs="Arial"/>
          <w:snapToGrid w:val="0"/>
          <w:color w:val="000000"/>
          <w:w w:val="0"/>
          <w:sz w:val="24"/>
          <w:szCs w:val="24"/>
        </w:rPr>
        <w:tab/>
      </w:r>
      <w:r w:rsidR="00913FB7" w:rsidRPr="00CC6DFF">
        <w:rPr>
          <w:rFonts w:ascii="Arial" w:hAnsi="Arial" w:cs="Arial"/>
          <w:sz w:val="24"/>
          <w:szCs w:val="24"/>
        </w:rPr>
        <w:t>For all of the above reasons, and on the basis of the authorities referred to, I conclude that the high court was correct in holding that</w:t>
      </w:r>
      <w:r w:rsidR="004F5DD1" w:rsidRPr="00CC6DFF">
        <w:rPr>
          <w:rFonts w:ascii="Arial" w:hAnsi="Arial" w:cs="Arial"/>
          <w:sz w:val="24"/>
          <w:szCs w:val="24"/>
        </w:rPr>
        <w:t xml:space="preserve"> the</w:t>
      </w:r>
      <w:r w:rsidR="00913FB7" w:rsidRPr="00CC6DFF">
        <w:rPr>
          <w:rFonts w:ascii="Arial" w:hAnsi="Arial" w:cs="Arial"/>
          <w:sz w:val="24"/>
          <w:szCs w:val="24"/>
        </w:rPr>
        <w:t xml:space="preserve"> tripartite agreement is not void for vagueness. </w:t>
      </w:r>
    </w:p>
    <w:p w14:paraId="04890B07" w14:textId="77777777" w:rsidR="002D6C26" w:rsidRPr="00CC6DFF" w:rsidRDefault="002D6C26" w:rsidP="00867989">
      <w:pPr>
        <w:shd w:val="clear" w:color="auto" w:fill="FFFFFF"/>
        <w:spacing w:after="0"/>
        <w:contextualSpacing/>
        <w:rPr>
          <w:rFonts w:ascii="Arial" w:hAnsi="Arial" w:cs="Arial"/>
          <w:strike/>
          <w:sz w:val="24"/>
          <w:szCs w:val="24"/>
        </w:rPr>
      </w:pPr>
    </w:p>
    <w:p w14:paraId="1878CFA8" w14:textId="5C193CAF"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[23]</w:t>
      </w:r>
      <w:r w:rsidRPr="00CC6DFF">
        <w:rPr>
          <w:rFonts w:ascii="Arial" w:hAnsi="Arial" w:cs="Arial"/>
          <w:snapToGrid w:val="0"/>
          <w:color w:val="000000"/>
          <w:w w:val="0"/>
          <w:sz w:val="24"/>
          <w:szCs w:val="24"/>
        </w:rPr>
        <w:tab/>
      </w:r>
      <w:r w:rsidR="002D6C26" w:rsidRPr="00CC6DFF">
        <w:rPr>
          <w:rFonts w:ascii="Arial" w:hAnsi="Arial" w:cs="Arial"/>
          <w:sz w:val="24"/>
          <w:szCs w:val="24"/>
        </w:rPr>
        <w:t>Turning now to whether</w:t>
      </w:r>
      <w:r w:rsidR="002D6C26" w:rsidRPr="00CC6DFF">
        <w:rPr>
          <w:rFonts w:ascii="Arial" w:hAnsi="Arial" w:cs="Arial"/>
          <w:b/>
          <w:sz w:val="24"/>
          <w:szCs w:val="24"/>
        </w:rPr>
        <w:t xml:space="preserve"> </w:t>
      </w:r>
      <w:r w:rsidR="00913FB7" w:rsidRPr="00CC6DFF">
        <w:rPr>
          <w:rFonts w:ascii="Arial" w:hAnsi="Arial" w:cs="Arial"/>
          <w:sz w:val="24"/>
          <w:szCs w:val="24"/>
        </w:rPr>
        <w:t>a tacit term should be read into the agreement</w:t>
      </w:r>
      <w:r w:rsidR="002D6C26" w:rsidRPr="00CC6DFF">
        <w:rPr>
          <w:rFonts w:ascii="Arial" w:hAnsi="Arial" w:cs="Arial"/>
          <w:sz w:val="24"/>
          <w:szCs w:val="24"/>
        </w:rPr>
        <w:t xml:space="preserve"> as to its duration, I consider first the approach adopted in </w:t>
      </w:r>
      <w:r w:rsidR="00913FB7" w:rsidRPr="00CC6DFF">
        <w:rPr>
          <w:rFonts w:ascii="Arial" w:hAnsi="Arial" w:cs="Arial"/>
          <w:i/>
          <w:sz w:val="24"/>
          <w:szCs w:val="24"/>
          <w:shd w:val="clear" w:color="auto" w:fill="FFFFFF"/>
        </w:rPr>
        <w:t>Transnet</w:t>
      </w:r>
      <w:r w:rsidR="00913FB7" w:rsidRPr="00CC6DFF">
        <w:rPr>
          <w:rFonts w:ascii="Arial" w:hAnsi="Arial" w:cs="Arial"/>
          <w:i/>
          <w:sz w:val="24"/>
          <w:szCs w:val="24"/>
        </w:rPr>
        <w:t xml:space="preserve"> Ltd v Rubenstein</w:t>
      </w:r>
      <w:r w:rsidR="00913FB7" w:rsidRPr="00CC6DFF">
        <w:rPr>
          <w:rStyle w:val="FootnoteReference"/>
          <w:rFonts w:ascii="Arial" w:hAnsi="Arial" w:cs="Arial"/>
          <w:sz w:val="24"/>
          <w:szCs w:val="24"/>
        </w:rPr>
        <w:footnoteReference w:id="18"/>
      </w:r>
      <w:r w:rsidR="004315FC" w:rsidRPr="00CC6DFF">
        <w:rPr>
          <w:rFonts w:ascii="Arial" w:hAnsi="Arial" w:cs="Arial"/>
          <w:i/>
          <w:sz w:val="24"/>
          <w:szCs w:val="24"/>
        </w:rPr>
        <w:t xml:space="preserve"> </w:t>
      </w:r>
      <w:r w:rsidR="00CF648E" w:rsidRPr="00CC6DFF">
        <w:rPr>
          <w:rFonts w:ascii="Arial" w:hAnsi="Arial" w:cs="Arial"/>
          <w:sz w:val="24"/>
          <w:szCs w:val="24"/>
        </w:rPr>
        <w:t>(</w:t>
      </w:r>
      <w:r w:rsidR="00CF648E" w:rsidRPr="00CC6DFF">
        <w:rPr>
          <w:rFonts w:ascii="Arial" w:hAnsi="Arial" w:cs="Arial"/>
          <w:i/>
          <w:sz w:val="24"/>
          <w:szCs w:val="24"/>
        </w:rPr>
        <w:t>Rubenstein</w:t>
      </w:r>
      <w:r w:rsidR="00CF648E" w:rsidRPr="00CC6DFF">
        <w:rPr>
          <w:rFonts w:ascii="Arial" w:hAnsi="Arial" w:cs="Arial"/>
          <w:sz w:val="24"/>
          <w:szCs w:val="24"/>
        </w:rPr>
        <w:t>)</w:t>
      </w:r>
      <w:r w:rsidR="002D6C26" w:rsidRPr="00CC6DFF">
        <w:rPr>
          <w:rFonts w:ascii="Arial" w:hAnsi="Arial" w:cs="Arial"/>
          <w:sz w:val="24"/>
          <w:szCs w:val="24"/>
        </w:rPr>
        <w:t>.</w:t>
      </w:r>
      <w:r w:rsidR="00913FB7" w:rsidRPr="00CC6DFF">
        <w:rPr>
          <w:rFonts w:ascii="Arial" w:hAnsi="Arial" w:cs="Arial"/>
          <w:i/>
          <w:sz w:val="24"/>
          <w:szCs w:val="24"/>
        </w:rPr>
        <w:t xml:space="preserve"> </w:t>
      </w:r>
      <w:r w:rsidR="002D6C26" w:rsidRPr="00CC6DFF">
        <w:rPr>
          <w:rFonts w:ascii="Arial" w:hAnsi="Arial" w:cs="Arial"/>
          <w:sz w:val="24"/>
          <w:szCs w:val="24"/>
        </w:rPr>
        <w:t>There,</w:t>
      </w:r>
      <w:r w:rsidR="002D6C26" w:rsidRPr="00CC6DFF">
        <w:rPr>
          <w:rFonts w:ascii="Arial" w:hAnsi="Arial" w:cs="Arial"/>
          <w:i/>
          <w:sz w:val="24"/>
          <w:szCs w:val="24"/>
        </w:rPr>
        <w:t xml:space="preserve"> </w:t>
      </w:r>
      <w:r w:rsidR="00913FB7" w:rsidRPr="00CC6DFF">
        <w:rPr>
          <w:rFonts w:ascii="Arial" w:hAnsi="Arial" w:cs="Arial"/>
          <w:sz w:val="24"/>
          <w:szCs w:val="24"/>
        </w:rPr>
        <w:t>this Court</w:t>
      </w:r>
      <w:r w:rsidR="002D6C26" w:rsidRPr="00CC6DFF">
        <w:rPr>
          <w:rFonts w:ascii="Arial" w:hAnsi="Arial" w:cs="Arial"/>
          <w:i/>
          <w:sz w:val="24"/>
          <w:szCs w:val="24"/>
        </w:rPr>
        <w:t xml:space="preserve"> </w:t>
      </w:r>
      <w:r w:rsidR="002D6C26" w:rsidRPr="00CC6DFF">
        <w:rPr>
          <w:rFonts w:ascii="Arial" w:hAnsi="Arial" w:cs="Arial"/>
          <w:sz w:val="24"/>
          <w:szCs w:val="24"/>
        </w:rPr>
        <w:t>considered a</w:t>
      </w:r>
      <w:r w:rsidR="001776A6" w:rsidRPr="00CC6DFF">
        <w:rPr>
          <w:rFonts w:ascii="Arial" w:hAnsi="Arial" w:cs="Arial"/>
          <w:sz w:val="24"/>
          <w:szCs w:val="24"/>
        </w:rPr>
        <w:t xml:space="preserve">n agreement with a termination clause </w:t>
      </w:r>
      <w:r w:rsidR="002D6C26" w:rsidRPr="00CC6DFF">
        <w:rPr>
          <w:rFonts w:ascii="Arial" w:hAnsi="Arial" w:cs="Arial"/>
          <w:sz w:val="24"/>
          <w:szCs w:val="24"/>
        </w:rPr>
        <w:t xml:space="preserve">similar </w:t>
      </w:r>
      <w:r w:rsidR="001776A6" w:rsidRPr="00CC6DFF">
        <w:rPr>
          <w:rFonts w:ascii="Arial" w:hAnsi="Arial" w:cs="Arial"/>
          <w:sz w:val="24"/>
          <w:szCs w:val="24"/>
        </w:rPr>
        <w:t xml:space="preserve">to the one in the present case. </w:t>
      </w:r>
      <w:r w:rsidR="00913FB7" w:rsidRPr="00CC6DFF">
        <w:rPr>
          <w:rFonts w:ascii="Arial" w:hAnsi="Arial" w:cs="Arial"/>
          <w:sz w:val="24"/>
          <w:szCs w:val="24"/>
        </w:rPr>
        <w:t>Th</w:t>
      </w:r>
      <w:r w:rsidR="002D6C26" w:rsidRPr="00CC6DFF">
        <w:rPr>
          <w:rFonts w:ascii="Arial" w:hAnsi="Arial" w:cs="Arial"/>
          <w:sz w:val="24"/>
          <w:szCs w:val="24"/>
        </w:rPr>
        <w:t>e</w:t>
      </w:r>
      <w:r w:rsidR="00913FB7" w:rsidRPr="00CC6DFF">
        <w:rPr>
          <w:rFonts w:ascii="Arial" w:hAnsi="Arial" w:cs="Arial"/>
          <w:sz w:val="24"/>
          <w:szCs w:val="24"/>
        </w:rPr>
        <w:t xml:space="preserve"> respondent </w:t>
      </w:r>
      <w:r w:rsidR="00913FB7" w:rsidRPr="00CC6DFF">
        <w:rPr>
          <w:rFonts w:ascii="Arial" w:hAnsi="Arial" w:cs="Arial"/>
          <w:sz w:val="24"/>
          <w:szCs w:val="24"/>
          <w:shd w:val="clear" w:color="auto" w:fill="FFFFFF"/>
        </w:rPr>
        <w:t xml:space="preserve">was given the exclusive right to operate a jewellery boutique on one of the businesses of the appellant, the Blue Train. </w:t>
      </w:r>
      <w:r w:rsidR="00913FB7" w:rsidRPr="00CC6DFF">
        <w:rPr>
          <w:rFonts w:ascii="Arial" w:hAnsi="Arial" w:cs="Arial"/>
          <w:sz w:val="24"/>
          <w:szCs w:val="24"/>
        </w:rPr>
        <w:t xml:space="preserve">The contract specifically provided for termination on the privatisation of the Blue Train. </w:t>
      </w:r>
      <w:r w:rsidR="00913FB7" w:rsidRPr="00CC6DFF">
        <w:rPr>
          <w:rFonts w:ascii="Arial" w:hAnsi="Arial" w:cs="Arial"/>
          <w:sz w:val="24"/>
          <w:szCs w:val="24"/>
          <w:shd w:val="clear" w:color="auto" w:fill="FFFFFF"/>
        </w:rPr>
        <w:t xml:space="preserve">It later </w:t>
      </w:r>
      <w:r w:rsidR="00913FB7" w:rsidRPr="00CC6DFF">
        <w:rPr>
          <w:rFonts w:ascii="Arial" w:hAnsi="Arial" w:cs="Arial"/>
          <w:sz w:val="24"/>
          <w:szCs w:val="24"/>
        </w:rPr>
        <w:t xml:space="preserve">became apparent that the privatisation was not going to happen. </w:t>
      </w:r>
      <w:r w:rsidR="00913FB7" w:rsidRPr="00CC6DFF">
        <w:rPr>
          <w:rFonts w:ascii="Arial" w:hAnsi="Arial" w:cs="Arial"/>
          <w:sz w:val="24"/>
          <w:szCs w:val="24"/>
          <w:shd w:val="clear" w:color="auto" w:fill="FFFFFF"/>
        </w:rPr>
        <w:t>T</w:t>
      </w:r>
      <w:r w:rsidR="00913FB7" w:rsidRPr="00CC6DFF">
        <w:rPr>
          <w:rFonts w:ascii="Arial" w:hAnsi="Arial" w:cs="Arial"/>
          <w:sz w:val="24"/>
          <w:szCs w:val="24"/>
        </w:rPr>
        <w:t>he appellant argued that it was necessary to read into the contract a term that if privatisation did not occur, the contract would be terminable on reasonable notice</w:t>
      </w:r>
      <w:r w:rsidR="004315FC" w:rsidRPr="00CC6DFF">
        <w:rPr>
          <w:rFonts w:ascii="Arial" w:hAnsi="Arial" w:cs="Arial"/>
          <w:sz w:val="24"/>
          <w:szCs w:val="24"/>
        </w:rPr>
        <w:t>. This, the respondent submitted, was</w:t>
      </w:r>
      <w:r w:rsidR="002D6C26" w:rsidRPr="00CC6DFF">
        <w:rPr>
          <w:rFonts w:ascii="Arial" w:hAnsi="Arial" w:cs="Arial"/>
          <w:sz w:val="24"/>
          <w:szCs w:val="24"/>
        </w:rPr>
        <w:t xml:space="preserve"> to avoid</w:t>
      </w:r>
      <w:r w:rsidR="00913FB7" w:rsidRPr="00CC6DFF">
        <w:rPr>
          <w:rFonts w:ascii="Arial" w:hAnsi="Arial" w:cs="Arial"/>
          <w:sz w:val="24"/>
          <w:szCs w:val="24"/>
        </w:rPr>
        <w:t xml:space="preserve"> lock</w:t>
      </w:r>
      <w:r w:rsidR="002D6C26" w:rsidRPr="00CC6DFF">
        <w:rPr>
          <w:rFonts w:ascii="Arial" w:hAnsi="Arial" w:cs="Arial"/>
          <w:sz w:val="24"/>
          <w:szCs w:val="24"/>
        </w:rPr>
        <w:t>ing the parties</w:t>
      </w:r>
      <w:r w:rsidR="00913FB7" w:rsidRPr="00CC6DFF">
        <w:rPr>
          <w:rFonts w:ascii="Arial" w:hAnsi="Arial" w:cs="Arial"/>
          <w:sz w:val="24"/>
          <w:szCs w:val="24"/>
        </w:rPr>
        <w:t xml:space="preserve"> in a</w:t>
      </w:r>
      <w:r w:rsidR="001776A6" w:rsidRPr="00CC6DFF">
        <w:rPr>
          <w:rFonts w:ascii="Arial" w:hAnsi="Arial" w:cs="Arial"/>
          <w:sz w:val="24"/>
          <w:szCs w:val="24"/>
        </w:rPr>
        <w:t>n</w:t>
      </w:r>
      <w:r w:rsidR="00913FB7" w:rsidRPr="00CC6DFF">
        <w:rPr>
          <w:rFonts w:ascii="Arial" w:hAnsi="Arial" w:cs="Arial"/>
          <w:sz w:val="24"/>
          <w:szCs w:val="24"/>
        </w:rPr>
        <w:t xml:space="preserve"> </w:t>
      </w:r>
      <w:r w:rsidR="002D6C26" w:rsidRPr="00CC6DFF">
        <w:rPr>
          <w:rFonts w:ascii="Arial" w:hAnsi="Arial" w:cs="Arial"/>
          <w:sz w:val="24"/>
          <w:szCs w:val="24"/>
        </w:rPr>
        <w:t xml:space="preserve">indefinite </w:t>
      </w:r>
      <w:r w:rsidR="00913FB7" w:rsidRPr="00CC6DFF">
        <w:rPr>
          <w:rFonts w:ascii="Arial" w:hAnsi="Arial" w:cs="Arial"/>
          <w:sz w:val="24"/>
          <w:szCs w:val="24"/>
        </w:rPr>
        <w:t xml:space="preserve">contract, which was </w:t>
      </w:r>
      <w:r w:rsidR="001776A6" w:rsidRPr="00CC6DFF">
        <w:rPr>
          <w:rFonts w:ascii="Arial" w:hAnsi="Arial" w:cs="Arial"/>
          <w:sz w:val="24"/>
          <w:szCs w:val="24"/>
        </w:rPr>
        <w:t xml:space="preserve">clearly </w:t>
      </w:r>
      <w:r w:rsidR="00913FB7" w:rsidRPr="00CC6DFF">
        <w:rPr>
          <w:rFonts w:ascii="Arial" w:hAnsi="Arial" w:cs="Arial"/>
          <w:sz w:val="24"/>
          <w:szCs w:val="24"/>
        </w:rPr>
        <w:t xml:space="preserve">never their intention. </w:t>
      </w:r>
    </w:p>
    <w:p w14:paraId="6DC317C7" w14:textId="77777777" w:rsidR="00913FB7" w:rsidRPr="00CC6DFF" w:rsidRDefault="00913FB7" w:rsidP="00867989">
      <w:pPr>
        <w:shd w:val="clear" w:color="auto" w:fill="FFFFFF"/>
        <w:spacing w:after="0"/>
        <w:contextualSpacing/>
        <w:rPr>
          <w:rFonts w:ascii="Arial" w:hAnsi="Arial" w:cs="Arial"/>
          <w:sz w:val="24"/>
          <w:szCs w:val="24"/>
        </w:rPr>
      </w:pPr>
    </w:p>
    <w:p w14:paraId="70740C86" w14:textId="240E8536"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[24]</w:t>
      </w:r>
      <w:r w:rsidRPr="00CC6DFF">
        <w:rPr>
          <w:rFonts w:ascii="Arial" w:hAnsi="Arial" w:cs="Arial"/>
          <w:snapToGrid w:val="0"/>
          <w:color w:val="000000"/>
          <w:w w:val="0"/>
          <w:sz w:val="24"/>
          <w:szCs w:val="24"/>
        </w:rPr>
        <w:tab/>
      </w:r>
      <w:r w:rsidR="00913FB7" w:rsidRPr="00CC6DFF">
        <w:rPr>
          <w:rFonts w:ascii="Arial" w:hAnsi="Arial" w:cs="Arial"/>
          <w:sz w:val="24"/>
          <w:szCs w:val="24"/>
        </w:rPr>
        <w:t>This Court explained that when a contract was terminable upon the happening of an uncertain future event, in the absence of evidence as to what the parties intended, it was not possible to impute into such a contract a term which was in conflict with the</w:t>
      </w:r>
      <w:r w:rsidR="004315FC" w:rsidRPr="00CC6DFF">
        <w:rPr>
          <w:rFonts w:ascii="Arial" w:hAnsi="Arial" w:cs="Arial"/>
          <w:sz w:val="24"/>
          <w:szCs w:val="24"/>
        </w:rPr>
        <w:t xml:space="preserve"> parties’</w:t>
      </w:r>
      <w:r w:rsidR="00913FB7" w:rsidRPr="00CC6DFF">
        <w:rPr>
          <w:rFonts w:ascii="Arial" w:hAnsi="Arial" w:cs="Arial"/>
          <w:sz w:val="24"/>
          <w:szCs w:val="24"/>
        </w:rPr>
        <w:t xml:space="preserve"> express agreement as to its duration. This followed from the principle that a tacit term</w:t>
      </w:r>
      <w:r w:rsidR="001776A6" w:rsidRPr="00CC6DFF">
        <w:rPr>
          <w:rFonts w:ascii="Arial" w:hAnsi="Arial" w:cs="Arial"/>
          <w:sz w:val="24"/>
          <w:szCs w:val="24"/>
        </w:rPr>
        <w:t xml:space="preserve"> may not be imputed into</w:t>
      </w:r>
      <w:r w:rsidR="00913FB7" w:rsidRPr="00CC6DFF">
        <w:rPr>
          <w:rFonts w:ascii="Arial" w:hAnsi="Arial" w:cs="Arial"/>
          <w:sz w:val="24"/>
          <w:szCs w:val="24"/>
        </w:rPr>
        <w:t xml:space="preserve"> a contract if it would be in conflict with </w:t>
      </w:r>
      <w:r w:rsidR="001776A6" w:rsidRPr="00CC6DFF">
        <w:rPr>
          <w:rFonts w:ascii="Arial" w:hAnsi="Arial" w:cs="Arial"/>
          <w:sz w:val="24"/>
          <w:szCs w:val="24"/>
        </w:rPr>
        <w:t xml:space="preserve">its </w:t>
      </w:r>
      <w:r w:rsidR="00913FB7" w:rsidRPr="00CC6DFF">
        <w:rPr>
          <w:rFonts w:ascii="Arial" w:hAnsi="Arial" w:cs="Arial"/>
          <w:sz w:val="24"/>
          <w:szCs w:val="24"/>
        </w:rPr>
        <w:t>express provisions.</w:t>
      </w:r>
      <w:r w:rsidR="00913FB7" w:rsidRPr="00CC6DFF">
        <w:rPr>
          <w:rStyle w:val="FootnoteReference"/>
          <w:rFonts w:ascii="Arial" w:hAnsi="Arial" w:cs="Arial"/>
          <w:sz w:val="24"/>
          <w:szCs w:val="24"/>
        </w:rPr>
        <w:footnoteReference w:id="19"/>
      </w:r>
      <w:r w:rsidR="00913FB7" w:rsidRPr="00CC6DFF">
        <w:rPr>
          <w:rFonts w:ascii="Arial" w:hAnsi="Arial" w:cs="Arial"/>
          <w:sz w:val="24"/>
          <w:szCs w:val="24"/>
        </w:rPr>
        <w:t xml:space="preserve"> On the facts</w:t>
      </w:r>
      <w:r w:rsidR="00FC00FF" w:rsidRPr="00CC6DFF">
        <w:rPr>
          <w:rFonts w:ascii="Arial" w:hAnsi="Arial" w:cs="Arial"/>
          <w:sz w:val="24"/>
          <w:szCs w:val="24"/>
        </w:rPr>
        <w:t>,</w:t>
      </w:r>
      <w:r w:rsidR="00913FB7" w:rsidRPr="00CC6DFF">
        <w:rPr>
          <w:rFonts w:ascii="Arial" w:hAnsi="Arial" w:cs="Arial"/>
          <w:sz w:val="24"/>
          <w:szCs w:val="24"/>
        </w:rPr>
        <w:t xml:space="preserve"> it was found that there was thus no common underlying supposition or assumption as to the termination of the contract</w:t>
      </w:r>
      <w:r w:rsidR="00FC00FF" w:rsidRPr="00CC6DFF">
        <w:rPr>
          <w:rFonts w:ascii="Arial" w:hAnsi="Arial" w:cs="Arial"/>
          <w:sz w:val="24"/>
          <w:szCs w:val="24"/>
        </w:rPr>
        <w:t>,</w:t>
      </w:r>
      <w:r w:rsidR="00913FB7" w:rsidRPr="00CC6DFF">
        <w:rPr>
          <w:rFonts w:ascii="Arial" w:hAnsi="Arial" w:cs="Arial"/>
          <w:sz w:val="24"/>
          <w:szCs w:val="24"/>
        </w:rPr>
        <w:t xml:space="preserve"> should privatisation not occur. Accordingly, the appeal was dismissed. </w:t>
      </w:r>
    </w:p>
    <w:p w14:paraId="2F116BCA" w14:textId="77777777" w:rsidR="00913FB7" w:rsidRPr="00CC6DFF" w:rsidRDefault="00913FB7" w:rsidP="00867989">
      <w:pPr>
        <w:shd w:val="clear" w:color="auto" w:fill="FFFFFF"/>
        <w:spacing w:after="0"/>
        <w:contextualSpacing/>
        <w:rPr>
          <w:rFonts w:ascii="Arial" w:hAnsi="Arial" w:cs="Arial"/>
          <w:sz w:val="24"/>
          <w:szCs w:val="24"/>
        </w:rPr>
      </w:pPr>
    </w:p>
    <w:p w14:paraId="4A60E8A4" w14:textId="604722CA"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[25]</w:t>
      </w:r>
      <w:r w:rsidRPr="00CC6DFF">
        <w:rPr>
          <w:rFonts w:ascii="Arial" w:hAnsi="Arial" w:cs="Arial"/>
          <w:snapToGrid w:val="0"/>
          <w:color w:val="000000"/>
          <w:w w:val="0"/>
          <w:sz w:val="24"/>
          <w:szCs w:val="24"/>
        </w:rPr>
        <w:tab/>
      </w:r>
      <w:r w:rsidR="001776A6" w:rsidRPr="00CC6DFF">
        <w:rPr>
          <w:rFonts w:ascii="Arial" w:hAnsi="Arial" w:cs="Arial"/>
          <w:sz w:val="24"/>
          <w:szCs w:val="24"/>
        </w:rPr>
        <w:t xml:space="preserve">In </w:t>
      </w:r>
      <w:r w:rsidR="00913FB7" w:rsidRPr="00CC6DFF">
        <w:rPr>
          <w:rFonts w:ascii="Arial" w:hAnsi="Arial" w:cs="Arial"/>
          <w:sz w:val="24"/>
          <w:szCs w:val="24"/>
        </w:rPr>
        <w:t xml:space="preserve">the present case, the tacit term which Phadziri maintains should be read into the tripartite agreement is that its duration was </w:t>
      </w:r>
      <w:r w:rsidR="001776A6" w:rsidRPr="00CC6DFF">
        <w:rPr>
          <w:rFonts w:ascii="Arial" w:hAnsi="Arial" w:cs="Arial"/>
          <w:sz w:val="24"/>
          <w:szCs w:val="24"/>
        </w:rPr>
        <w:t xml:space="preserve">terminable on reasonable notice after </w:t>
      </w:r>
      <w:r w:rsidR="00913FB7" w:rsidRPr="00CC6DFF">
        <w:rPr>
          <w:rFonts w:ascii="Arial" w:hAnsi="Arial" w:cs="Arial"/>
          <w:sz w:val="24"/>
          <w:szCs w:val="24"/>
        </w:rPr>
        <w:t xml:space="preserve">eight years. Initially, Phadziri </w:t>
      </w:r>
      <w:r w:rsidR="004315FC" w:rsidRPr="00CC6DFF">
        <w:rPr>
          <w:rFonts w:ascii="Arial" w:hAnsi="Arial" w:cs="Arial"/>
          <w:sz w:val="24"/>
          <w:szCs w:val="24"/>
        </w:rPr>
        <w:t xml:space="preserve">predicated </w:t>
      </w:r>
      <w:r w:rsidR="00913FB7" w:rsidRPr="00CC6DFF">
        <w:rPr>
          <w:rFonts w:ascii="Arial" w:hAnsi="Arial" w:cs="Arial"/>
          <w:sz w:val="24"/>
          <w:szCs w:val="24"/>
        </w:rPr>
        <w:t xml:space="preserve">this on </w:t>
      </w:r>
      <w:r w:rsidR="004315FC" w:rsidRPr="00CC6DFF">
        <w:rPr>
          <w:rFonts w:ascii="Arial" w:hAnsi="Arial" w:cs="Arial"/>
          <w:sz w:val="24"/>
          <w:szCs w:val="24"/>
        </w:rPr>
        <w:t>its stance</w:t>
      </w:r>
      <w:r w:rsidR="00913FB7" w:rsidRPr="00CC6DFF">
        <w:rPr>
          <w:rFonts w:ascii="Arial" w:hAnsi="Arial" w:cs="Arial"/>
          <w:sz w:val="24"/>
          <w:szCs w:val="24"/>
        </w:rPr>
        <w:t xml:space="preserve"> that the tripartite agreement was based on the bilateral agreement, which</w:t>
      </w:r>
      <w:r w:rsidR="00AF720B" w:rsidRPr="00CC6DFF">
        <w:rPr>
          <w:rFonts w:ascii="Arial" w:hAnsi="Arial" w:cs="Arial"/>
          <w:sz w:val="24"/>
          <w:szCs w:val="24"/>
        </w:rPr>
        <w:t>,</w:t>
      </w:r>
      <w:r w:rsidR="00913FB7" w:rsidRPr="00CC6DFF">
        <w:rPr>
          <w:rFonts w:ascii="Arial" w:hAnsi="Arial" w:cs="Arial"/>
          <w:sz w:val="24"/>
          <w:szCs w:val="24"/>
        </w:rPr>
        <w:t xml:space="preserve"> as mentioned already, had a duration of eight years. </w:t>
      </w:r>
      <w:r w:rsidR="001776A6" w:rsidRPr="00CC6DFF">
        <w:rPr>
          <w:rFonts w:ascii="Arial" w:hAnsi="Arial" w:cs="Arial"/>
          <w:sz w:val="24"/>
          <w:szCs w:val="24"/>
        </w:rPr>
        <w:t xml:space="preserve">In the high court, </w:t>
      </w:r>
      <w:r w:rsidR="00913FB7" w:rsidRPr="00CC6DFF">
        <w:rPr>
          <w:rFonts w:ascii="Arial" w:hAnsi="Arial" w:cs="Arial"/>
          <w:sz w:val="24"/>
          <w:szCs w:val="24"/>
        </w:rPr>
        <w:t xml:space="preserve">Phadziri </w:t>
      </w:r>
      <w:r w:rsidR="001776A6" w:rsidRPr="00CC6DFF">
        <w:rPr>
          <w:rFonts w:ascii="Arial" w:hAnsi="Arial" w:cs="Arial"/>
          <w:sz w:val="24"/>
          <w:szCs w:val="24"/>
        </w:rPr>
        <w:t xml:space="preserve">abandoned this stance, correctly in my view, and accepted </w:t>
      </w:r>
      <w:r w:rsidR="00913FB7" w:rsidRPr="00CC6DFF">
        <w:rPr>
          <w:rFonts w:ascii="Arial" w:hAnsi="Arial" w:cs="Arial"/>
          <w:sz w:val="24"/>
          <w:szCs w:val="24"/>
        </w:rPr>
        <w:t xml:space="preserve">that the tripartite agreement </w:t>
      </w:r>
      <w:r w:rsidR="004315FC" w:rsidRPr="00CC6DFF">
        <w:rPr>
          <w:rFonts w:ascii="Arial" w:hAnsi="Arial" w:cs="Arial"/>
          <w:sz w:val="24"/>
          <w:szCs w:val="24"/>
        </w:rPr>
        <w:t xml:space="preserve">had </w:t>
      </w:r>
      <w:r w:rsidR="00913FB7" w:rsidRPr="00CC6DFF">
        <w:rPr>
          <w:rFonts w:ascii="Arial" w:hAnsi="Arial" w:cs="Arial"/>
          <w:sz w:val="24"/>
          <w:szCs w:val="24"/>
        </w:rPr>
        <w:t xml:space="preserve">superseded the bilateral agreement. The significance of this is that the </w:t>
      </w:r>
      <w:r w:rsidR="006B4AAE" w:rsidRPr="00CC6DFF">
        <w:rPr>
          <w:rFonts w:ascii="Arial" w:hAnsi="Arial" w:cs="Arial"/>
          <w:sz w:val="24"/>
          <w:szCs w:val="24"/>
        </w:rPr>
        <w:t xml:space="preserve">premise of </w:t>
      </w:r>
      <w:r w:rsidR="006E1DD6" w:rsidRPr="00CC6DFF">
        <w:rPr>
          <w:rFonts w:ascii="Arial" w:hAnsi="Arial" w:cs="Arial"/>
          <w:sz w:val="24"/>
          <w:szCs w:val="24"/>
        </w:rPr>
        <w:t xml:space="preserve">the </w:t>
      </w:r>
      <w:r w:rsidR="00913FB7" w:rsidRPr="00CC6DFF">
        <w:rPr>
          <w:rFonts w:ascii="Arial" w:hAnsi="Arial" w:cs="Arial"/>
          <w:sz w:val="24"/>
          <w:szCs w:val="24"/>
        </w:rPr>
        <w:t>initial argument</w:t>
      </w:r>
      <w:r w:rsidR="006E1DD6" w:rsidRPr="00CC6DFF">
        <w:rPr>
          <w:rFonts w:ascii="Arial" w:hAnsi="Arial" w:cs="Arial"/>
          <w:sz w:val="24"/>
          <w:szCs w:val="24"/>
        </w:rPr>
        <w:t xml:space="preserve"> (that the tripartite agreement was based on the bilateral agreement)</w:t>
      </w:r>
      <w:r w:rsidR="00913FB7" w:rsidRPr="00CC6DFF">
        <w:rPr>
          <w:rFonts w:ascii="Arial" w:hAnsi="Arial" w:cs="Arial"/>
          <w:sz w:val="24"/>
          <w:szCs w:val="24"/>
        </w:rPr>
        <w:t xml:space="preserve"> was no longer open to Phadziri. </w:t>
      </w:r>
    </w:p>
    <w:p w14:paraId="02C9C7A1" w14:textId="77777777" w:rsidR="00913FB7" w:rsidRPr="00CC6DFF" w:rsidRDefault="00913FB7" w:rsidP="00867989">
      <w:pPr>
        <w:shd w:val="clear" w:color="auto" w:fill="FFFFFF"/>
        <w:spacing w:after="0"/>
        <w:contextualSpacing/>
        <w:rPr>
          <w:rFonts w:ascii="Arial" w:hAnsi="Arial" w:cs="Arial"/>
          <w:sz w:val="24"/>
          <w:szCs w:val="24"/>
        </w:rPr>
      </w:pPr>
    </w:p>
    <w:p w14:paraId="11FC1C1F" w14:textId="6B66C2AC"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[26]</w:t>
      </w:r>
      <w:r w:rsidRPr="00CC6DFF">
        <w:rPr>
          <w:rFonts w:ascii="Arial" w:hAnsi="Arial" w:cs="Arial"/>
          <w:snapToGrid w:val="0"/>
          <w:color w:val="000000"/>
          <w:w w:val="0"/>
          <w:sz w:val="24"/>
          <w:szCs w:val="24"/>
        </w:rPr>
        <w:tab/>
      </w:r>
      <w:r w:rsidR="00913FB7" w:rsidRPr="00CC6DFF">
        <w:rPr>
          <w:rFonts w:ascii="Arial" w:hAnsi="Arial" w:cs="Arial"/>
          <w:sz w:val="24"/>
          <w:szCs w:val="24"/>
        </w:rPr>
        <w:t>However, that did not deter</w:t>
      </w:r>
      <w:r w:rsidR="00CC4CE2" w:rsidRPr="00CC6DFF">
        <w:rPr>
          <w:rFonts w:ascii="Arial" w:hAnsi="Arial" w:cs="Arial"/>
          <w:sz w:val="24"/>
          <w:szCs w:val="24"/>
        </w:rPr>
        <w:t xml:space="preserve"> </w:t>
      </w:r>
      <w:r w:rsidR="00167020" w:rsidRPr="00CC6DFF">
        <w:rPr>
          <w:rFonts w:ascii="Arial" w:hAnsi="Arial" w:cs="Arial"/>
          <w:sz w:val="24"/>
          <w:szCs w:val="24"/>
        </w:rPr>
        <w:t>Phadziri</w:t>
      </w:r>
      <w:r w:rsidR="00913FB7" w:rsidRPr="00CC6DFF">
        <w:rPr>
          <w:rFonts w:ascii="Arial" w:hAnsi="Arial" w:cs="Arial"/>
          <w:sz w:val="24"/>
          <w:szCs w:val="24"/>
        </w:rPr>
        <w:t xml:space="preserve">. In this Court, </w:t>
      </w:r>
      <w:r w:rsidR="00167020" w:rsidRPr="00CC6DFF">
        <w:rPr>
          <w:rFonts w:ascii="Arial" w:hAnsi="Arial" w:cs="Arial"/>
          <w:sz w:val="24"/>
          <w:szCs w:val="24"/>
        </w:rPr>
        <w:t xml:space="preserve">it </w:t>
      </w:r>
      <w:r w:rsidR="00913FB7" w:rsidRPr="00CC6DFF">
        <w:rPr>
          <w:rFonts w:ascii="Arial" w:hAnsi="Arial" w:cs="Arial"/>
          <w:sz w:val="24"/>
          <w:szCs w:val="24"/>
        </w:rPr>
        <w:t xml:space="preserve">had a further string to its bow. </w:t>
      </w:r>
      <w:r w:rsidR="00CF648E" w:rsidRPr="00CC6DFF">
        <w:rPr>
          <w:rFonts w:ascii="Arial" w:hAnsi="Arial" w:cs="Arial"/>
          <w:sz w:val="24"/>
          <w:szCs w:val="24"/>
        </w:rPr>
        <w:t xml:space="preserve">As mentioned already, </w:t>
      </w:r>
      <w:r w:rsidR="00913FB7" w:rsidRPr="00CC6DFF">
        <w:rPr>
          <w:rFonts w:ascii="Arial" w:hAnsi="Arial" w:cs="Arial"/>
          <w:sz w:val="24"/>
          <w:szCs w:val="24"/>
        </w:rPr>
        <w:t xml:space="preserve">in </w:t>
      </w:r>
      <w:r w:rsidR="00913FB7" w:rsidRPr="00CC6DFF">
        <w:rPr>
          <w:rFonts w:ascii="Arial" w:hAnsi="Arial" w:cs="Arial"/>
          <w:i/>
          <w:sz w:val="24"/>
          <w:szCs w:val="24"/>
          <w:lang w:eastAsia="en-ZA"/>
        </w:rPr>
        <w:t xml:space="preserve">Auckland Park Theological Seminary </w:t>
      </w:r>
      <w:r w:rsidR="00CF648E" w:rsidRPr="00CC6DFF">
        <w:rPr>
          <w:rFonts w:ascii="Arial" w:hAnsi="Arial" w:cs="Arial"/>
          <w:sz w:val="24"/>
          <w:szCs w:val="24"/>
          <w:lang w:eastAsia="en-ZA"/>
        </w:rPr>
        <w:t>it was held that</w:t>
      </w:r>
      <w:r w:rsidR="004315FC" w:rsidRPr="00CC6DFF">
        <w:rPr>
          <w:rFonts w:ascii="Arial" w:hAnsi="Arial" w:cs="Arial"/>
          <w:sz w:val="24"/>
          <w:szCs w:val="24"/>
          <w:lang w:eastAsia="en-ZA"/>
        </w:rPr>
        <w:t xml:space="preserve"> in interpreting a contract,</w:t>
      </w:r>
      <w:r w:rsidR="00CF648E" w:rsidRPr="00CC6DFF">
        <w:rPr>
          <w:rFonts w:ascii="Arial" w:hAnsi="Arial" w:cs="Arial"/>
          <w:i/>
          <w:sz w:val="24"/>
          <w:szCs w:val="24"/>
          <w:lang w:eastAsia="en-ZA"/>
        </w:rPr>
        <w:t xml:space="preserve"> </w:t>
      </w:r>
      <w:r w:rsidR="004315FC" w:rsidRPr="00CC6DFF">
        <w:rPr>
          <w:rFonts w:ascii="Arial" w:hAnsi="Arial" w:cs="Arial"/>
          <w:sz w:val="24"/>
          <w:szCs w:val="24"/>
          <w:lang w:eastAsia="en-ZA"/>
        </w:rPr>
        <w:t xml:space="preserve">reliance may be placed </w:t>
      </w:r>
      <w:r w:rsidR="00CF648E" w:rsidRPr="00CC6DFF">
        <w:rPr>
          <w:rFonts w:ascii="Arial" w:hAnsi="Arial" w:cs="Arial"/>
          <w:sz w:val="24"/>
          <w:szCs w:val="24"/>
          <w:lang w:eastAsia="en-ZA"/>
        </w:rPr>
        <w:t>on</w:t>
      </w:r>
      <w:r w:rsidR="00913FB7" w:rsidRPr="00CC6DFF">
        <w:rPr>
          <w:rFonts w:ascii="Arial" w:hAnsi="Arial" w:cs="Arial"/>
          <w:i/>
          <w:sz w:val="24"/>
          <w:szCs w:val="24"/>
          <w:lang w:eastAsia="en-ZA"/>
        </w:rPr>
        <w:t xml:space="preserve"> </w:t>
      </w:r>
      <w:r w:rsidR="00913FB7" w:rsidRPr="00CC6DFF">
        <w:rPr>
          <w:rFonts w:ascii="Arial" w:hAnsi="Arial" w:cs="Arial"/>
          <w:sz w:val="24"/>
          <w:szCs w:val="24"/>
          <w:lang w:eastAsia="en-ZA"/>
        </w:rPr>
        <w:t xml:space="preserve">the evidence of </w:t>
      </w:r>
      <w:r w:rsidR="00CF648E" w:rsidRPr="00CC6DFF">
        <w:rPr>
          <w:rFonts w:ascii="Arial" w:hAnsi="Arial" w:cs="Arial"/>
          <w:sz w:val="24"/>
          <w:szCs w:val="24"/>
          <w:lang w:eastAsia="en-ZA"/>
        </w:rPr>
        <w:t xml:space="preserve">the circumstances leading to </w:t>
      </w:r>
      <w:r w:rsidR="004315FC" w:rsidRPr="00CC6DFF">
        <w:rPr>
          <w:rFonts w:ascii="Arial" w:hAnsi="Arial" w:cs="Arial"/>
          <w:sz w:val="24"/>
          <w:szCs w:val="24"/>
          <w:lang w:eastAsia="en-ZA"/>
        </w:rPr>
        <w:t xml:space="preserve">its </w:t>
      </w:r>
      <w:r w:rsidR="00CF648E" w:rsidRPr="00CC6DFF">
        <w:rPr>
          <w:rFonts w:ascii="Arial" w:hAnsi="Arial" w:cs="Arial"/>
          <w:sz w:val="24"/>
          <w:szCs w:val="24"/>
          <w:lang w:eastAsia="en-ZA"/>
        </w:rPr>
        <w:t xml:space="preserve">conclusion, and the </w:t>
      </w:r>
      <w:r w:rsidR="00913FB7" w:rsidRPr="00CC6DFF">
        <w:rPr>
          <w:rFonts w:ascii="Arial" w:hAnsi="Arial" w:cs="Arial"/>
          <w:sz w:val="24"/>
          <w:szCs w:val="24"/>
          <w:lang w:eastAsia="en-ZA"/>
        </w:rPr>
        <w:t xml:space="preserve">context in which </w:t>
      </w:r>
      <w:r w:rsidR="00CF648E" w:rsidRPr="00CC6DFF">
        <w:rPr>
          <w:rFonts w:ascii="Arial" w:hAnsi="Arial" w:cs="Arial"/>
          <w:sz w:val="24"/>
          <w:szCs w:val="24"/>
          <w:lang w:eastAsia="en-ZA"/>
        </w:rPr>
        <w:t xml:space="preserve">it was concluded. Relying on that </w:t>
      </w:r>
      <w:r w:rsidR="00AA4016" w:rsidRPr="00CC6DFF">
        <w:rPr>
          <w:rFonts w:ascii="Arial" w:hAnsi="Arial" w:cs="Arial"/>
          <w:sz w:val="24"/>
          <w:szCs w:val="24"/>
          <w:lang w:eastAsia="en-ZA"/>
        </w:rPr>
        <w:t>principle</w:t>
      </w:r>
      <w:r w:rsidR="00CF648E" w:rsidRPr="00CC6DFF">
        <w:rPr>
          <w:rFonts w:ascii="Arial" w:hAnsi="Arial" w:cs="Arial"/>
          <w:sz w:val="24"/>
          <w:szCs w:val="24"/>
          <w:lang w:eastAsia="en-ZA"/>
        </w:rPr>
        <w:t>,</w:t>
      </w:r>
      <w:r w:rsidR="00913FB7" w:rsidRPr="00CC6DFF">
        <w:rPr>
          <w:rFonts w:ascii="Arial" w:hAnsi="Arial" w:cs="Arial"/>
          <w:sz w:val="24"/>
          <w:szCs w:val="24"/>
          <w:lang w:eastAsia="en-ZA"/>
        </w:rPr>
        <w:t xml:space="preserve"> </w:t>
      </w:r>
      <w:r w:rsidR="00913FB7" w:rsidRPr="00CC6DFF">
        <w:rPr>
          <w:rFonts w:ascii="Arial" w:hAnsi="Arial" w:cs="Arial"/>
          <w:sz w:val="24"/>
          <w:szCs w:val="24"/>
          <w:shd w:val="clear" w:color="auto" w:fill="FFFFFF"/>
        </w:rPr>
        <w:t xml:space="preserve">Phadziri </w:t>
      </w:r>
      <w:r w:rsidR="006B4AAE" w:rsidRPr="00CC6DFF">
        <w:rPr>
          <w:rFonts w:ascii="Arial" w:hAnsi="Arial" w:cs="Arial"/>
          <w:sz w:val="24"/>
          <w:szCs w:val="24"/>
          <w:shd w:val="clear" w:color="auto" w:fill="FFFFFF"/>
        </w:rPr>
        <w:t xml:space="preserve">held </w:t>
      </w:r>
      <w:r w:rsidR="00CF648E" w:rsidRPr="00CC6DFF">
        <w:rPr>
          <w:rFonts w:ascii="Arial" w:hAnsi="Arial" w:cs="Arial"/>
          <w:sz w:val="24"/>
          <w:szCs w:val="24"/>
          <w:shd w:val="clear" w:color="auto" w:fill="FFFFFF"/>
        </w:rPr>
        <w:t>up:</w:t>
      </w:r>
      <w:r w:rsidR="00C66A23" w:rsidRPr="00CC6DFF">
        <w:rPr>
          <w:rFonts w:ascii="Arial" w:hAnsi="Arial" w:cs="Arial"/>
          <w:sz w:val="24"/>
          <w:szCs w:val="24"/>
          <w:shd w:val="clear" w:color="auto" w:fill="FFFFFF"/>
        </w:rPr>
        <w:t xml:space="preserve"> </w:t>
      </w:r>
      <w:r w:rsidR="00913FB7" w:rsidRPr="00CC6DFF">
        <w:rPr>
          <w:rFonts w:ascii="Arial" w:hAnsi="Arial" w:cs="Arial"/>
          <w:sz w:val="24"/>
          <w:szCs w:val="24"/>
          <w:shd w:val="clear" w:color="auto" w:fill="FFFFFF"/>
        </w:rPr>
        <w:t xml:space="preserve">(a) the provisions of the National Land Transport Act 5 of 2009 (the Act); and (b) government resolutions on the implementation of the integrated </w:t>
      </w:r>
      <w:r w:rsidR="001E0284" w:rsidRPr="00CC6DFF">
        <w:rPr>
          <w:rFonts w:ascii="Arial" w:hAnsi="Arial" w:cs="Arial"/>
          <w:sz w:val="24"/>
          <w:szCs w:val="24"/>
          <w:shd w:val="clear" w:color="auto" w:fill="FFFFFF"/>
        </w:rPr>
        <w:t xml:space="preserve">public </w:t>
      </w:r>
      <w:r w:rsidR="00913FB7" w:rsidRPr="00CC6DFF">
        <w:rPr>
          <w:rFonts w:ascii="Arial" w:hAnsi="Arial" w:cs="Arial"/>
          <w:sz w:val="24"/>
          <w:szCs w:val="24"/>
          <w:shd w:val="clear" w:color="auto" w:fill="FFFFFF"/>
        </w:rPr>
        <w:t>transport system</w:t>
      </w:r>
      <w:r w:rsidR="006B4AAE" w:rsidRPr="00CC6DFF">
        <w:rPr>
          <w:rFonts w:ascii="Arial" w:hAnsi="Arial" w:cs="Arial"/>
          <w:sz w:val="24"/>
          <w:szCs w:val="24"/>
          <w:shd w:val="clear" w:color="auto" w:fill="FFFFFF"/>
        </w:rPr>
        <w:t>,</w:t>
      </w:r>
      <w:r w:rsidR="006B4AAE" w:rsidRPr="00CC6DFF">
        <w:rPr>
          <w:rFonts w:ascii="Arial" w:hAnsi="Arial" w:cs="Arial"/>
          <w:sz w:val="24"/>
          <w:szCs w:val="24"/>
        </w:rPr>
        <w:t xml:space="preserve"> </w:t>
      </w:r>
      <w:r w:rsidR="006B4AAE" w:rsidRPr="00CC6DFF">
        <w:rPr>
          <w:rFonts w:ascii="Arial" w:hAnsi="Arial" w:cs="Arial"/>
          <w:sz w:val="24"/>
          <w:szCs w:val="24"/>
          <w:shd w:val="clear" w:color="auto" w:fill="FFFFFF"/>
        </w:rPr>
        <w:t>as the contextual setting within which the tripartite agreement was concluded, to press for a tacit term</w:t>
      </w:r>
      <w:r w:rsidR="001E0284" w:rsidRPr="00CC6DFF">
        <w:rPr>
          <w:rFonts w:ascii="Arial" w:hAnsi="Arial" w:cs="Arial"/>
          <w:sz w:val="24"/>
          <w:szCs w:val="24"/>
          <w:shd w:val="clear" w:color="auto" w:fill="FFFFFF"/>
        </w:rPr>
        <w:t xml:space="preserve"> to be read in thereto</w:t>
      </w:r>
      <w:r w:rsidR="006B4AAE" w:rsidRPr="00CC6DFF">
        <w:rPr>
          <w:rFonts w:ascii="Arial" w:hAnsi="Arial" w:cs="Arial"/>
          <w:sz w:val="24"/>
          <w:szCs w:val="24"/>
          <w:shd w:val="clear" w:color="auto" w:fill="FFFFFF"/>
        </w:rPr>
        <w:t>.</w:t>
      </w:r>
      <w:r w:rsidR="00913FB7" w:rsidRPr="00CC6DFF">
        <w:rPr>
          <w:rFonts w:ascii="Arial" w:hAnsi="Arial" w:cs="Arial"/>
          <w:sz w:val="24"/>
          <w:szCs w:val="24"/>
          <w:shd w:val="clear" w:color="auto" w:fill="FFFFFF"/>
        </w:rPr>
        <w:t xml:space="preserve"> </w:t>
      </w:r>
    </w:p>
    <w:p w14:paraId="267A96F8" w14:textId="349FA416"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[27]</w:t>
      </w:r>
      <w:r w:rsidRPr="00CC6DFF">
        <w:rPr>
          <w:rFonts w:ascii="Arial" w:hAnsi="Arial" w:cs="Arial"/>
          <w:snapToGrid w:val="0"/>
          <w:color w:val="000000"/>
          <w:w w:val="0"/>
          <w:sz w:val="24"/>
          <w:szCs w:val="24"/>
        </w:rPr>
        <w:tab/>
      </w:r>
      <w:r w:rsidR="00913FB7" w:rsidRPr="00CC6DFF">
        <w:rPr>
          <w:rFonts w:ascii="Arial" w:hAnsi="Arial" w:cs="Arial"/>
          <w:sz w:val="24"/>
          <w:szCs w:val="24"/>
        </w:rPr>
        <w:t>As to (a)</w:t>
      </w:r>
      <w:r w:rsidR="00AF720B" w:rsidRPr="00CC6DFF">
        <w:rPr>
          <w:rFonts w:ascii="Arial" w:hAnsi="Arial" w:cs="Arial"/>
          <w:sz w:val="24"/>
          <w:szCs w:val="24"/>
        </w:rPr>
        <w:t>,</w:t>
      </w:r>
      <w:r w:rsidR="00913FB7" w:rsidRPr="00CC6DFF">
        <w:rPr>
          <w:rFonts w:ascii="Arial" w:hAnsi="Arial" w:cs="Arial"/>
          <w:sz w:val="24"/>
          <w:szCs w:val="24"/>
        </w:rPr>
        <w:t xml:space="preserve"> Phadziri’s argument </w:t>
      </w:r>
      <w:r w:rsidR="006B4AAE" w:rsidRPr="00CC6DFF">
        <w:rPr>
          <w:rFonts w:ascii="Arial" w:hAnsi="Arial" w:cs="Arial"/>
          <w:sz w:val="24"/>
          <w:szCs w:val="24"/>
        </w:rPr>
        <w:t>wa</w:t>
      </w:r>
      <w:r w:rsidR="00913FB7" w:rsidRPr="00CC6DFF">
        <w:rPr>
          <w:rFonts w:ascii="Arial" w:hAnsi="Arial" w:cs="Arial"/>
          <w:sz w:val="24"/>
          <w:szCs w:val="24"/>
        </w:rPr>
        <w:t xml:space="preserve">s this. Sections 34 </w:t>
      </w:r>
      <w:r w:rsidR="001B4526" w:rsidRPr="00CC6DFF">
        <w:rPr>
          <w:rFonts w:ascii="Arial" w:hAnsi="Arial" w:cs="Arial"/>
          <w:sz w:val="24"/>
          <w:szCs w:val="24"/>
        </w:rPr>
        <w:t xml:space="preserve">and 35 </w:t>
      </w:r>
      <w:r w:rsidR="00913FB7" w:rsidRPr="00CC6DFF">
        <w:rPr>
          <w:rFonts w:ascii="Arial" w:hAnsi="Arial" w:cs="Arial"/>
          <w:sz w:val="24"/>
          <w:szCs w:val="24"/>
        </w:rPr>
        <w:t xml:space="preserve">of the Act provide for </w:t>
      </w:r>
      <w:r w:rsidR="001E0284" w:rsidRPr="00CC6DFF">
        <w:rPr>
          <w:rFonts w:ascii="Arial" w:hAnsi="Arial" w:cs="Arial"/>
          <w:sz w:val="24"/>
          <w:szCs w:val="24"/>
        </w:rPr>
        <w:t>five</w:t>
      </w:r>
      <w:r w:rsidR="00913FB7" w:rsidRPr="00CC6DFF">
        <w:rPr>
          <w:rFonts w:ascii="Arial" w:hAnsi="Arial" w:cs="Arial"/>
          <w:sz w:val="24"/>
          <w:szCs w:val="24"/>
        </w:rPr>
        <w:t>-year National Strategic Framework</w:t>
      </w:r>
      <w:r w:rsidR="001B4526" w:rsidRPr="00CC6DFF">
        <w:rPr>
          <w:rFonts w:ascii="Arial" w:hAnsi="Arial" w:cs="Arial"/>
          <w:sz w:val="24"/>
          <w:szCs w:val="24"/>
        </w:rPr>
        <w:t>s</w:t>
      </w:r>
      <w:r w:rsidR="00913FB7" w:rsidRPr="00CC6DFF">
        <w:rPr>
          <w:rFonts w:ascii="Arial" w:hAnsi="Arial" w:cs="Arial"/>
          <w:sz w:val="24"/>
          <w:szCs w:val="24"/>
        </w:rPr>
        <w:t xml:space="preserve"> </w:t>
      </w:r>
      <w:r w:rsidR="001E0284" w:rsidRPr="00CC6DFF">
        <w:rPr>
          <w:rFonts w:ascii="Arial" w:hAnsi="Arial" w:cs="Arial"/>
          <w:sz w:val="24"/>
          <w:szCs w:val="24"/>
        </w:rPr>
        <w:t>and five</w:t>
      </w:r>
      <w:r w:rsidR="001B4526" w:rsidRPr="00CC6DFF">
        <w:rPr>
          <w:rFonts w:ascii="Arial" w:hAnsi="Arial" w:cs="Arial"/>
          <w:sz w:val="24"/>
          <w:szCs w:val="24"/>
        </w:rPr>
        <w:t xml:space="preserve">-year Provincial Strategic Frameworks, respectively, </w:t>
      </w:r>
      <w:r w:rsidR="00913FB7" w:rsidRPr="00CC6DFF">
        <w:rPr>
          <w:rFonts w:ascii="Arial" w:hAnsi="Arial" w:cs="Arial"/>
          <w:sz w:val="24"/>
          <w:szCs w:val="24"/>
        </w:rPr>
        <w:t>to be put in place with a view to</w:t>
      </w:r>
      <w:r w:rsidR="001B4526" w:rsidRPr="00CC6DFF">
        <w:rPr>
          <w:rFonts w:ascii="Arial" w:hAnsi="Arial" w:cs="Arial"/>
          <w:sz w:val="24"/>
          <w:szCs w:val="24"/>
        </w:rPr>
        <w:t xml:space="preserve"> preparing</w:t>
      </w:r>
      <w:r w:rsidR="00913FB7" w:rsidRPr="00CC6DFF">
        <w:rPr>
          <w:rFonts w:ascii="Arial" w:hAnsi="Arial" w:cs="Arial"/>
          <w:sz w:val="24"/>
          <w:szCs w:val="24"/>
        </w:rPr>
        <w:t xml:space="preserve"> </w:t>
      </w:r>
      <w:r w:rsidR="001B4526" w:rsidRPr="00CC6DFF">
        <w:rPr>
          <w:rFonts w:ascii="Arial" w:hAnsi="Arial" w:cs="Arial"/>
          <w:sz w:val="24"/>
          <w:szCs w:val="24"/>
        </w:rPr>
        <w:t>i</w:t>
      </w:r>
      <w:r w:rsidR="00913FB7" w:rsidRPr="00CC6DFF">
        <w:rPr>
          <w:rFonts w:ascii="Arial" w:hAnsi="Arial" w:cs="Arial"/>
          <w:sz w:val="24"/>
          <w:szCs w:val="24"/>
        </w:rPr>
        <w:t xml:space="preserve">ntegrated </w:t>
      </w:r>
      <w:r w:rsidR="001E0284" w:rsidRPr="00CC6DFF">
        <w:rPr>
          <w:rFonts w:ascii="Arial" w:hAnsi="Arial" w:cs="Arial"/>
          <w:sz w:val="24"/>
          <w:szCs w:val="24"/>
        </w:rPr>
        <w:t xml:space="preserve">public </w:t>
      </w:r>
      <w:r w:rsidR="001B4526" w:rsidRPr="00CC6DFF">
        <w:rPr>
          <w:rFonts w:ascii="Arial" w:hAnsi="Arial" w:cs="Arial"/>
          <w:sz w:val="24"/>
          <w:szCs w:val="24"/>
        </w:rPr>
        <w:t>t</w:t>
      </w:r>
      <w:r w:rsidR="00913FB7" w:rsidRPr="00CC6DFF">
        <w:rPr>
          <w:rFonts w:ascii="Arial" w:hAnsi="Arial" w:cs="Arial"/>
          <w:sz w:val="24"/>
          <w:szCs w:val="24"/>
        </w:rPr>
        <w:t xml:space="preserve">ransport </w:t>
      </w:r>
      <w:r w:rsidR="001B4526" w:rsidRPr="00CC6DFF">
        <w:rPr>
          <w:rFonts w:ascii="Arial" w:hAnsi="Arial" w:cs="Arial"/>
          <w:sz w:val="24"/>
          <w:szCs w:val="24"/>
        </w:rPr>
        <w:t>p</w:t>
      </w:r>
      <w:r w:rsidR="00913FB7" w:rsidRPr="00CC6DFF">
        <w:rPr>
          <w:rFonts w:ascii="Arial" w:hAnsi="Arial" w:cs="Arial"/>
          <w:sz w:val="24"/>
          <w:szCs w:val="24"/>
        </w:rPr>
        <w:t xml:space="preserve">lans. The plans must be developed in terms of s 36 </w:t>
      </w:r>
      <w:r w:rsidR="001E0284" w:rsidRPr="00CC6DFF">
        <w:rPr>
          <w:rFonts w:ascii="Arial" w:hAnsi="Arial" w:cs="Arial"/>
          <w:sz w:val="24"/>
          <w:szCs w:val="24"/>
        </w:rPr>
        <w:t xml:space="preserve">of the Act </w:t>
      </w:r>
      <w:r w:rsidR="00913FB7" w:rsidRPr="00CC6DFF">
        <w:rPr>
          <w:rFonts w:ascii="Arial" w:hAnsi="Arial" w:cs="Arial"/>
          <w:sz w:val="24"/>
          <w:szCs w:val="24"/>
        </w:rPr>
        <w:t xml:space="preserve">with a view </w:t>
      </w:r>
      <w:r w:rsidR="001B4526" w:rsidRPr="00CC6DFF">
        <w:rPr>
          <w:rFonts w:ascii="Arial" w:hAnsi="Arial" w:cs="Arial"/>
          <w:sz w:val="24"/>
          <w:szCs w:val="24"/>
        </w:rPr>
        <w:t>to</w:t>
      </w:r>
      <w:r w:rsidR="00913FB7" w:rsidRPr="00CC6DFF">
        <w:rPr>
          <w:rFonts w:ascii="Arial" w:hAnsi="Arial" w:cs="Arial"/>
          <w:sz w:val="24"/>
          <w:szCs w:val="24"/>
        </w:rPr>
        <w:t xml:space="preserve"> establish a </w:t>
      </w:r>
      <w:r w:rsidR="001B4526" w:rsidRPr="00CC6DFF">
        <w:rPr>
          <w:rFonts w:ascii="Arial" w:hAnsi="Arial" w:cs="Arial"/>
          <w:sz w:val="24"/>
          <w:szCs w:val="24"/>
        </w:rPr>
        <w:t xml:space="preserve">public </w:t>
      </w:r>
      <w:r w:rsidR="00913FB7" w:rsidRPr="00CC6DFF">
        <w:rPr>
          <w:rFonts w:ascii="Arial" w:hAnsi="Arial" w:cs="Arial"/>
          <w:sz w:val="24"/>
          <w:szCs w:val="24"/>
        </w:rPr>
        <w:t xml:space="preserve">transport system. Section 40 of the Act obliges provinces to take steps as soon as possible after the commencement of the Act to integrate contracted </w:t>
      </w:r>
      <w:r w:rsidR="001B4526" w:rsidRPr="00CC6DFF">
        <w:rPr>
          <w:rFonts w:ascii="Arial" w:hAnsi="Arial" w:cs="Arial"/>
          <w:sz w:val="24"/>
          <w:szCs w:val="24"/>
        </w:rPr>
        <w:t xml:space="preserve">bus </w:t>
      </w:r>
      <w:r w:rsidR="00913FB7" w:rsidRPr="00CC6DFF">
        <w:rPr>
          <w:rFonts w:ascii="Arial" w:hAnsi="Arial" w:cs="Arial"/>
          <w:sz w:val="24"/>
          <w:szCs w:val="24"/>
        </w:rPr>
        <w:t xml:space="preserve">services in their areas into the larger </w:t>
      </w:r>
      <w:r w:rsidR="001B4526" w:rsidRPr="00CC6DFF">
        <w:rPr>
          <w:rFonts w:ascii="Arial" w:hAnsi="Arial" w:cs="Arial"/>
          <w:sz w:val="24"/>
          <w:szCs w:val="24"/>
        </w:rPr>
        <w:t xml:space="preserve">public </w:t>
      </w:r>
      <w:r w:rsidR="00913FB7" w:rsidRPr="00CC6DFF">
        <w:rPr>
          <w:rFonts w:ascii="Arial" w:hAnsi="Arial" w:cs="Arial"/>
          <w:sz w:val="24"/>
          <w:szCs w:val="24"/>
        </w:rPr>
        <w:t>transport system.</w:t>
      </w:r>
    </w:p>
    <w:p w14:paraId="47FE5F04" w14:textId="77777777" w:rsidR="00913FB7" w:rsidRPr="00CC6DFF" w:rsidRDefault="00913FB7" w:rsidP="00867989">
      <w:pPr>
        <w:shd w:val="clear" w:color="auto" w:fill="FFFFFF"/>
        <w:spacing w:after="0"/>
        <w:contextualSpacing/>
        <w:rPr>
          <w:rFonts w:ascii="Arial" w:hAnsi="Arial" w:cs="Arial"/>
          <w:sz w:val="24"/>
          <w:szCs w:val="24"/>
        </w:rPr>
      </w:pPr>
      <w:r w:rsidRPr="00CC6DFF">
        <w:rPr>
          <w:rFonts w:ascii="Arial" w:hAnsi="Arial" w:cs="Arial"/>
          <w:sz w:val="24"/>
          <w:szCs w:val="24"/>
        </w:rPr>
        <w:t xml:space="preserve">  </w:t>
      </w:r>
    </w:p>
    <w:p w14:paraId="048FFBC4" w14:textId="0EA39534"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[28]</w:t>
      </w:r>
      <w:r w:rsidRPr="00CC6DFF">
        <w:rPr>
          <w:rFonts w:ascii="Arial" w:hAnsi="Arial" w:cs="Arial"/>
          <w:snapToGrid w:val="0"/>
          <w:color w:val="000000"/>
          <w:w w:val="0"/>
          <w:sz w:val="24"/>
          <w:szCs w:val="24"/>
        </w:rPr>
        <w:tab/>
      </w:r>
      <w:r w:rsidR="00913FB7" w:rsidRPr="00CC6DFF">
        <w:rPr>
          <w:rFonts w:ascii="Arial" w:hAnsi="Arial" w:cs="Arial"/>
          <w:sz w:val="24"/>
          <w:szCs w:val="24"/>
        </w:rPr>
        <w:t>According to Phadziri, these provisions envisaged that an integrated public transport system could be put in place not long after the coming into force</w:t>
      </w:r>
      <w:r w:rsidR="006B4AAE" w:rsidRPr="00CC6DFF">
        <w:rPr>
          <w:rFonts w:ascii="Arial" w:hAnsi="Arial" w:cs="Arial"/>
          <w:sz w:val="24"/>
          <w:szCs w:val="24"/>
        </w:rPr>
        <w:t xml:space="preserve"> of the Act in</w:t>
      </w:r>
      <w:r w:rsidR="00913FB7" w:rsidRPr="00CC6DFF">
        <w:rPr>
          <w:rFonts w:ascii="Arial" w:hAnsi="Arial" w:cs="Arial"/>
          <w:sz w:val="24"/>
          <w:szCs w:val="24"/>
        </w:rPr>
        <w:t xml:space="preserve"> 2009</w:t>
      </w:r>
      <w:r w:rsidR="006B4AAE" w:rsidRPr="00CC6DFF">
        <w:rPr>
          <w:rFonts w:ascii="Arial" w:hAnsi="Arial" w:cs="Arial"/>
          <w:sz w:val="24"/>
          <w:szCs w:val="24"/>
        </w:rPr>
        <w:t>. This would be</w:t>
      </w:r>
      <w:r w:rsidR="00913FB7" w:rsidRPr="00CC6DFF">
        <w:rPr>
          <w:rFonts w:ascii="Arial" w:hAnsi="Arial" w:cs="Arial"/>
          <w:sz w:val="24"/>
          <w:szCs w:val="24"/>
        </w:rPr>
        <w:t xml:space="preserve"> relatively shortly before the tripartite agreement was concluded </w:t>
      </w:r>
      <w:r w:rsidR="00EA1841" w:rsidRPr="00CC6DFF">
        <w:rPr>
          <w:rFonts w:ascii="Arial" w:hAnsi="Arial" w:cs="Arial"/>
          <w:sz w:val="24"/>
          <w:szCs w:val="24"/>
        </w:rPr>
        <w:t xml:space="preserve">in </w:t>
      </w:r>
      <w:r w:rsidR="00913FB7" w:rsidRPr="00CC6DFF">
        <w:rPr>
          <w:rFonts w:ascii="Arial" w:hAnsi="Arial" w:cs="Arial"/>
          <w:sz w:val="24"/>
          <w:szCs w:val="24"/>
        </w:rPr>
        <w:t>September 2010. This, it submit</w:t>
      </w:r>
      <w:r w:rsidR="006B4AAE" w:rsidRPr="00CC6DFF">
        <w:rPr>
          <w:rFonts w:ascii="Arial" w:hAnsi="Arial" w:cs="Arial"/>
          <w:sz w:val="24"/>
          <w:szCs w:val="24"/>
        </w:rPr>
        <w:t>ted</w:t>
      </w:r>
      <w:r w:rsidR="00913FB7" w:rsidRPr="00CC6DFF">
        <w:rPr>
          <w:rFonts w:ascii="Arial" w:hAnsi="Arial" w:cs="Arial"/>
          <w:sz w:val="24"/>
          <w:szCs w:val="24"/>
        </w:rPr>
        <w:t xml:space="preserve">, </w:t>
      </w:r>
      <w:r w:rsidR="00EA1841" w:rsidRPr="00CC6DFF">
        <w:rPr>
          <w:rFonts w:ascii="Arial" w:hAnsi="Arial" w:cs="Arial"/>
          <w:sz w:val="24"/>
          <w:szCs w:val="24"/>
        </w:rPr>
        <w:t>‘</w:t>
      </w:r>
      <w:r w:rsidR="00913FB7" w:rsidRPr="00CC6DFF">
        <w:rPr>
          <w:rFonts w:ascii="Arial" w:hAnsi="Arial" w:cs="Arial"/>
          <w:sz w:val="24"/>
          <w:szCs w:val="24"/>
        </w:rPr>
        <w:t>created an impression which all the persons in the position of the three parties would have been aware of that the integrated transport services might be implemented not long after a period of five years</w:t>
      </w:r>
      <w:r w:rsidR="00EA1841" w:rsidRPr="00CC6DFF">
        <w:rPr>
          <w:rFonts w:ascii="Arial" w:hAnsi="Arial" w:cs="Arial"/>
          <w:sz w:val="24"/>
          <w:szCs w:val="24"/>
        </w:rPr>
        <w:t>’</w:t>
      </w:r>
      <w:r w:rsidR="00913FB7" w:rsidRPr="00CC6DFF">
        <w:rPr>
          <w:rFonts w:ascii="Arial" w:hAnsi="Arial" w:cs="Arial"/>
          <w:sz w:val="24"/>
          <w:szCs w:val="24"/>
        </w:rPr>
        <w:t xml:space="preserve"> if all went smoothly, with three additional years, with delays. </w:t>
      </w:r>
    </w:p>
    <w:p w14:paraId="22BA437B" w14:textId="77777777" w:rsidR="00913FB7" w:rsidRPr="00CC6DFF" w:rsidRDefault="00913FB7" w:rsidP="00867989">
      <w:pPr>
        <w:shd w:val="clear" w:color="auto" w:fill="FFFFFF"/>
        <w:spacing w:after="0"/>
        <w:contextualSpacing/>
        <w:rPr>
          <w:rFonts w:ascii="Arial" w:hAnsi="Arial" w:cs="Arial"/>
          <w:sz w:val="24"/>
          <w:szCs w:val="24"/>
        </w:rPr>
      </w:pPr>
    </w:p>
    <w:p w14:paraId="5EBB7EC7" w14:textId="5F099B9C"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[29]</w:t>
      </w:r>
      <w:r w:rsidRPr="00CC6DFF">
        <w:rPr>
          <w:rFonts w:ascii="Arial" w:hAnsi="Arial" w:cs="Arial"/>
          <w:snapToGrid w:val="0"/>
          <w:color w:val="000000"/>
          <w:w w:val="0"/>
          <w:sz w:val="24"/>
          <w:szCs w:val="24"/>
        </w:rPr>
        <w:tab/>
      </w:r>
      <w:r w:rsidR="00913FB7" w:rsidRPr="00CC6DFF">
        <w:rPr>
          <w:rFonts w:ascii="Arial" w:hAnsi="Arial" w:cs="Arial"/>
          <w:sz w:val="24"/>
          <w:szCs w:val="24"/>
        </w:rPr>
        <w:t xml:space="preserve">It </w:t>
      </w:r>
      <w:r w:rsidR="006B4AAE" w:rsidRPr="00CC6DFF">
        <w:rPr>
          <w:rFonts w:ascii="Arial" w:hAnsi="Arial" w:cs="Arial"/>
          <w:sz w:val="24"/>
          <w:szCs w:val="24"/>
        </w:rPr>
        <w:t>wa</w:t>
      </w:r>
      <w:r w:rsidR="00913FB7" w:rsidRPr="00CC6DFF">
        <w:rPr>
          <w:rFonts w:ascii="Arial" w:hAnsi="Arial" w:cs="Arial"/>
          <w:sz w:val="24"/>
          <w:szCs w:val="24"/>
        </w:rPr>
        <w:t>s then submitted that the officious bystander</w:t>
      </w:r>
      <w:r w:rsidR="00913FB7" w:rsidRPr="00CC6DFF">
        <w:rPr>
          <w:rStyle w:val="FootnoteReference"/>
          <w:rFonts w:ascii="Arial" w:hAnsi="Arial" w:cs="Arial"/>
          <w:sz w:val="24"/>
          <w:szCs w:val="24"/>
        </w:rPr>
        <w:footnoteReference w:id="20"/>
      </w:r>
      <w:r w:rsidR="00913FB7" w:rsidRPr="00CC6DFF">
        <w:rPr>
          <w:rFonts w:ascii="Arial" w:hAnsi="Arial" w:cs="Arial"/>
          <w:sz w:val="24"/>
          <w:szCs w:val="24"/>
        </w:rPr>
        <w:t xml:space="preserve"> would have detected that when the parties opted for the duration linked to the implementation of the integrated public transport system, they had failed to discuss the possibility of long and repeated delays, as the implementation required co-operation of all three tiers of government. According</w:t>
      </w:r>
      <w:r w:rsidR="006B4AAE" w:rsidRPr="00CC6DFF">
        <w:rPr>
          <w:rFonts w:ascii="Arial" w:hAnsi="Arial" w:cs="Arial"/>
          <w:sz w:val="24"/>
          <w:szCs w:val="24"/>
        </w:rPr>
        <w:t xml:space="preserve"> to</w:t>
      </w:r>
      <w:r w:rsidR="00913FB7" w:rsidRPr="00CC6DFF">
        <w:rPr>
          <w:rFonts w:ascii="Arial" w:hAnsi="Arial" w:cs="Arial"/>
          <w:sz w:val="24"/>
          <w:szCs w:val="24"/>
        </w:rPr>
        <w:t xml:space="preserve"> Phadziri, it is not unrealistic that the officious bystander would have foreseen delays, and suggested a tacit clause to the effect that the duration of the tripartite agreement would be terminable on reasonable notice by any of the parties after eight years.</w:t>
      </w:r>
    </w:p>
    <w:p w14:paraId="59FB81DE" w14:textId="77777777" w:rsidR="00913FB7" w:rsidRPr="00CC6DFF" w:rsidRDefault="00913FB7" w:rsidP="00867989">
      <w:pPr>
        <w:shd w:val="clear" w:color="auto" w:fill="FFFFFF"/>
        <w:spacing w:after="0"/>
        <w:contextualSpacing/>
        <w:rPr>
          <w:rFonts w:ascii="Arial" w:hAnsi="Arial" w:cs="Arial"/>
          <w:sz w:val="24"/>
          <w:szCs w:val="24"/>
        </w:rPr>
      </w:pPr>
    </w:p>
    <w:p w14:paraId="20B1F8DE" w14:textId="42932D2F" w:rsidR="004861BC"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[30]</w:t>
      </w:r>
      <w:r w:rsidRPr="00CC6DFF">
        <w:rPr>
          <w:rFonts w:ascii="Arial" w:hAnsi="Arial" w:cs="Arial"/>
          <w:snapToGrid w:val="0"/>
          <w:color w:val="000000"/>
          <w:w w:val="0"/>
          <w:sz w:val="24"/>
          <w:szCs w:val="24"/>
        </w:rPr>
        <w:tab/>
      </w:r>
      <w:r w:rsidR="00913FB7" w:rsidRPr="00CC6DFF">
        <w:rPr>
          <w:rFonts w:ascii="Arial" w:hAnsi="Arial" w:cs="Arial"/>
          <w:sz w:val="24"/>
          <w:szCs w:val="24"/>
        </w:rPr>
        <w:t xml:space="preserve">I do not think that these provisions support the tacit term agitated for by Phadziri. </w:t>
      </w:r>
      <w:r w:rsidR="006B4AAE" w:rsidRPr="00CC6DFF">
        <w:rPr>
          <w:rFonts w:ascii="Arial" w:hAnsi="Arial" w:cs="Arial"/>
          <w:sz w:val="24"/>
          <w:szCs w:val="24"/>
        </w:rPr>
        <w:t xml:space="preserve">It has simply failed to furnish evidence that the </w:t>
      </w:r>
      <w:r w:rsidR="00913FB7" w:rsidRPr="00CC6DFF">
        <w:rPr>
          <w:rFonts w:ascii="Arial" w:hAnsi="Arial" w:cs="Arial"/>
          <w:sz w:val="24"/>
          <w:szCs w:val="24"/>
        </w:rPr>
        <w:t>minds</w:t>
      </w:r>
      <w:r w:rsidR="006B4AAE" w:rsidRPr="00CC6DFF">
        <w:rPr>
          <w:rFonts w:ascii="Arial" w:hAnsi="Arial" w:cs="Arial"/>
          <w:sz w:val="24"/>
          <w:szCs w:val="24"/>
        </w:rPr>
        <w:t xml:space="preserve"> of those who represented the parties at the conclusion of the agreement </w:t>
      </w:r>
      <w:r w:rsidR="00913FB7" w:rsidRPr="00CC6DFF">
        <w:rPr>
          <w:rFonts w:ascii="Arial" w:hAnsi="Arial" w:cs="Arial"/>
          <w:sz w:val="24"/>
          <w:szCs w:val="24"/>
        </w:rPr>
        <w:t>were directed to these provisions</w:t>
      </w:r>
      <w:r w:rsidR="006B4AAE" w:rsidRPr="00CC6DFF">
        <w:rPr>
          <w:rFonts w:ascii="Arial" w:hAnsi="Arial" w:cs="Arial"/>
          <w:sz w:val="24"/>
          <w:szCs w:val="24"/>
        </w:rPr>
        <w:t>.</w:t>
      </w:r>
      <w:r w:rsidR="00913FB7" w:rsidRPr="00CC6DFF">
        <w:rPr>
          <w:rFonts w:ascii="Arial" w:hAnsi="Arial" w:cs="Arial"/>
          <w:sz w:val="24"/>
          <w:szCs w:val="24"/>
        </w:rPr>
        <w:t xml:space="preserve"> </w:t>
      </w:r>
      <w:r w:rsidR="00EA1841" w:rsidRPr="00CC6DFF">
        <w:rPr>
          <w:rFonts w:ascii="Arial" w:hAnsi="Arial" w:cs="Arial"/>
          <w:sz w:val="24"/>
          <w:szCs w:val="24"/>
        </w:rPr>
        <w:t xml:space="preserve">In the negotiations leading to the conclusion of the agreement, </w:t>
      </w:r>
      <w:r w:rsidR="00913FB7" w:rsidRPr="00CC6DFF">
        <w:rPr>
          <w:rFonts w:ascii="Arial" w:hAnsi="Arial" w:cs="Arial"/>
          <w:sz w:val="24"/>
          <w:szCs w:val="24"/>
        </w:rPr>
        <w:t xml:space="preserve">Phadziri was represented by Mr Tshikume Phadziri. But he did not depose to any affidavit </w:t>
      </w:r>
      <w:r w:rsidR="00EA1841" w:rsidRPr="00CC6DFF">
        <w:rPr>
          <w:rFonts w:ascii="Arial" w:hAnsi="Arial" w:cs="Arial"/>
          <w:sz w:val="24"/>
          <w:szCs w:val="24"/>
        </w:rPr>
        <w:t>to support Phadziri’s submissions</w:t>
      </w:r>
      <w:r w:rsidR="00913FB7" w:rsidRPr="00CC6DFF">
        <w:rPr>
          <w:rFonts w:ascii="Arial" w:hAnsi="Arial" w:cs="Arial"/>
          <w:sz w:val="24"/>
          <w:szCs w:val="24"/>
        </w:rPr>
        <w:t xml:space="preserve">. Instead, the answering affidavit, which is silent on the tacit term, was deposed to by Mr Khangweni Patrick Phadziri. When the issue was first raised in Phadziri’s supplementary answering affidavit, the deponent was its attorney, Mr </w:t>
      </w:r>
      <w:r w:rsidR="00501922" w:rsidRPr="00CC6DFF">
        <w:rPr>
          <w:rFonts w:ascii="Arial" w:hAnsi="Arial" w:cs="Arial"/>
          <w:sz w:val="24"/>
          <w:szCs w:val="24"/>
        </w:rPr>
        <w:t xml:space="preserve">André </w:t>
      </w:r>
      <w:r w:rsidR="00913FB7" w:rsidRPr="00CC6DFF">
        <w:rPr>
          <w:rFonts w:ascii="Arial" w:hAnsi="Arial" w:cs="Arial"/>
          <w:sz w:val="24"/>
          <w:szCs w:val="24"/>
        </w:rPr>
        <w:t>Naud</w:t>
      </w:r>
      <w:r w:rsidR="00501922" w:rsidRPr="00CC6DFF">
        <w:rPr>
          <w:rFonts w:ascii="Arial" w:hAnsi="Arial" w:cs="Arial"/>
          <w:sz w:val="24"/>
          <w:szCs w:val="24"/>
        </w:rPr>
        <w:t>é</w:t>
      </w:r>
      <w:r w:rsidR="00EA1841" w:rsidRPr="00CC6DFF">
        <w:rPr>
          <w:rFonts w:ascii="Arial" w:hAnsi="Arial" w:cs="Arial"/>
          <w:sz w:val="24"/>
          <w:szCs w:val="24"/>
        </w:rPr>
        <w:t>. None of the deponents</w:t>
      </w:r>
      <w:r w:rsidR="00913FB7" w:rsidRPr="00CC6DFF">
        <w:rPr>
          <w:rFonts w:ascii="Arial" w:hAnsi="Arial" w:cs="Arial"/>
          <w:sz w:val="24"/>
          <w:szCs w:val="24"/>
        </w:rPr>
        <w:t xml:space="preserve"> was part of th</w:t>
      </w:r>
      <w:r w:rsidR="00EA1841" w:rsidRPr="00CC6DFF">
        <w:rPr>
          <w:rFonts w:ascii="Arial" w:hAnsi="Arial" w:cs="Arial"/>
          <w:sz w:val="24"/>
          <w:szCs w:val="24"/>
        </w:rPr>
        <w:t>os</w:t>
      </w:r>
      <w:r w:rsidR="00913FB7" w:rsidRPr="00CC6DFF">
        <w:rPr>
          <w:rFonts w:ascii="Arial" w:hAnsi="Arial" w:cs="Arial"/>
          <w:sz w:val="24"/>
          <w:szCs w:val="24"/>
        </w:rPr>
        <w:t>e negotiations</w:t>
      </w:r>
      <w:r w:rsidR="00EA1841" w:rsidRPr="00CC6DFF">
        <w:rPr>
          <w:rFonts w:ascii="Arial" w:hAnsi="Arial" w:cs="Arial"/>
          <w:sz w:val="24"/>
          <w:szCs w:val="24"/>
        </w:rPr>
        <w:t>.</w:t>
      </w:r>
      <w:r w:rsidR="00913FB7" w:rsidRPr="00CC6DFF">
        <w:rPr>
          <w:rFonts w:ascii="Arial" w:hAnsi="Arial" w:cs="Arial"/>
          <w:sz w:val="24"/>
          <w:szCs w:val="24"/>
        </w:rPr>
        <w:t xml:space="preserve"> The result is that </w:t>
      </w:r>
      <w:r w:rsidR="004861BC" w:rsidRPr="00CC6DFF">
        <w:rPr>
          <w:rFonts w:ascii="Arial" w:hAnsi="Arial" w:cs="Arial"/>
          <w:sz w:val="24"/>
          <w:szCs w:val="24"/>
        </w:rPr>
        <w:t xml:space="preserve">there is no evidence that the parties had meant </w:t>
      </w:r>
      <w:r w:rsidR="00DD42BF" w:rsidRPr="00CC6DFF">
        <w:rPr>
          <w:rFonts w:ascii="Arial" w:hAnsi="Arial" w:cs="Arial"/>
          <w:sz w:val="24"/>
          <w:szCs w:val="24"/>
        </w:rPr>
        <w:t xml:space="preserve">for </w:t>
      </w:r>
      <w:r w:rsidR="00501922" w:rsidRPr="00CC6DFF">
        <w:rPr>
          <w:rFonts w:ascii="Arial" w:hAnsi="Arial" w:cs="Arial"/>
          <w:sz w:val="24"/>
          <w:szCs w:val="24"/>
        </w:rPr>
        <w:t xml:space="preserve">the </w:t>
      </w:r>
      <w:r w:rsidR="004861BC" w:rsidRPr="00CC6DFF">
        <w:rPr>
          <w:rFonts w:ascii="Arial" w:hAnsi="Arial" w:cs="Arial"/>
          <w:sz w:val="24"/>
          <w:szCs w:val="24"/>
        </w:rPr>
        <w:t xml:space="preserve">duration of the tripartite agreement to be anything </w:t>
      </w:r>
      <w:r w:rsidR="00501922" w:rsidRPr="00CC6DFF">
        <w:rPr>
          <w:rFonts w:ascii="Arial" w:hAnsi="Arial" w:cs="Arial"/>
          <w:sz w:val="24"/>
          <w:szCs w:val="24"/>
        </w:rPr>
        <w:t>other</w:t>
      </w:r>
      <w:r w:rsidR="004861BC" w:rsidRPr="00CC6DFF">
        <w:rPr>
          <w:rFonts w:ascii="Arial" w:hAnsi="Arial" w:cs="Arial"/>
          <w:sz w:val="24"/>
          <w:szCs w:val="24"/>
        </w:rPr>
        <w:t xml:space="preserve"> than what </w:t>
      </w:r>
      <w:r w:rsidR="00501922" w:rsidRPr="00CC6DFF">
        <w:rPr>
          <w:rFonts w:ascii="Arial" w:hAnsi="Arial" w:cs="Arial"/>
          <w:sz w:val="24"/>
          <w:szCs w:val="24"/>
        </w:rPr>
        <w:t>it</w:t>
      </w:r>
      <w:r w:rsidR="004861BC" w:rsidRPr="00CC6DFF">
        <w:rPr>
          <w:rFonts w:ascii="Arial" w:hAnsi="Arial" w:cs="Arial"/>
          <w:sz w:val="24"/>
          <w:szCs w:val="24"/>
        </w:rPr>
        <w:t xml:space="preserve"> </w:t>
      </w:r>
      <w:r w:rsidR="00DD42BF" w:rsidRPr="00CC6DFF">
        <w:rPr>
          <w:rFonts w:ascii="Arial" w:hAnsi="Arial" w:cs="Arial"/>
          <w:sz w:val="24"/>
          <w:szCs w:val="24"/>
        </w:rPr>
        <w:t xml:space="preserve">expressly </w:t>
      </w:r>
      <w:r w:rsidR="004861BC" w:rsidRPr="00CC6DFF">
        <w:rPr>
          <w:rFonts w:ascii="Arial" w:hAnsi="Arial" w:cs="Arial"/>
          <w:sz w:val="24"/>
          <w:szCs w:val="24"/>
        </w:rPr>
        <w:t xml:space="preserve">says. </w:t>
      </w:r>
    </w:p>
    <w:p w14:paraId="66A5209B" w14:textId="77777777" w:rsidR="00913FB7" w:rsidRPr="00CC6DFF" w:rsidRDefault="00913FB7" w:rsidP="00867989">
      <w:pPr>
        <w:shd w:val="clear" w:color="auto" w:fill="FFFFFF"/>
        <w:spacing w:after="0"/>
        <w:contextualSpacing/>
        <w:rPr>
          <w:rFonts w:ascii="Arial" w:hAnsi="Arial" w:cs="Arial"/>
          <w:sz w:val="24"/>
          <w:szCs w:val="24"/>
        </w:rPr>
      </w:pPr>
    </w:p>
    <w:p w14:paraId="67E0D0D8" w14:textId="5C0EE5CF" w:rsidR="002A0A5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[31]</w:t>
      </w:r>
      <w:r w:rsidRPr="00CC6DFF">
        <w:rPr>
          <w:rFonts w:ascii="Arial" w:hAnsi="Arial" w:cs="Arial"/>
          <w:snapToGrid w:val="0"/>
          <w:color w:val="000000"/>
          <w:w w:val="0"/>
          <w:sz w:val="24"/>
          <w:szCs w:val="24"/>
        </w:rPr>
        <w:tab/>
      </w:r>
      <w:r w:rsidR="00913FB7" w:rsidRPr="00CC6DFF">
        <w:rPr>
          <w:rFonts w:ascii="Arial" w:hAnsi="Arial" w:cs="Arial"/>
          <w:sz w:val="24"/>
          <w:szCs w:val="24"/>
        </w:rPr>
        <w:t>As to (b)</w:t>
      </w:r>
      <w:r w:rsidR="00501922" w:rsidRPr="00CC6DFF">
        <w:rPr>
          <w:rFonts w:ascii="Arial" w:hAnsi="Arial" w:cs="Arial"/>
          <w:sz w:val="24"/>
          <w:szCs w:val="24"/>
        </w:rPr>
        <w:t>,</w:t>
      </w:r>
      <w:r w:rsidR="00913FB7" w:rsidRPr="00CC6DFF">
        <w:rPr>
          <w:rFonts w:ascii="Arial" w:hAnsi="Arial" w:cs="Arial"/>
          <w:sz w:val="24"/>
          <w:szCs w:val="24"/>
        </w:rPr>
        <w:t xml:space="preserve"> Phadziri referred to the resolutions taken at a meeting on 6 May 2015, </w:t>
      </w:r>
      <w:r w:rsidR="004861BC" w:rsidRPr="00CC6DFF">
        <w:rPr>
          <w:rFonts w:ascii="Arial" w:hAnsi="Arial" w:cs="Arial"/>
          <w:sz w:val="24"/>
          <w:szCs w:val="24"/>
        </w:rPr>
        <w:t xml:space="preserve">held </w:t>
      </w:r>
      <w:r w:rsidR="00913FB7" w:rsidRPr="00CC6DFF">
        <w:rPr>
          <w:rFonts w:ascii="Arial" w:hAnsi="Arial" w:cs="Arial"/>
          <w:sz w:val="24"/>
          <w:szCs w:val="24"/>
        </w:rPr>
        <w:t>between the Minister of Transport (the Minister) and provincial members of the executive committee (ME</w:t>
      </w:r>
      <w:r w:rsidR="00EA240F" w:rsidRPr="00CC6DFF">
        <w:rPr>
          <w:rFonts w:ascii="Arial" w:hAnsi="Arial" w:cs="Arial"/>
          <w:sz w:val="24"/>
          <w:szCs w:val="24"/>
        </w:rPr>
        <w:t xml:space="preserve">Cs) responsible for transport. </w:t>
      </w:r>
      <w:r w:rsidR="00913FB7" w:rsidRPr="00CC6DFF">
        <w:rPr>
          <w:rFonts w:ascii="Arial" w:hAnsi="Arial" w:cs="Arial"/>
          <w:sz w:val="24"/>
          <w:szCs w:val="24"/>
        </w:rPr>
        <w:t>The resolution</w:t>
      </w:r>
      <w:r w:rsidR="00EA240F" w:rsidRPr="00CC6DFF">
        <w:rPr>
          <w:rFonts w:ascii="Arial" w:hAnsi="Arial" w:cs="Arial"/>
          <w:sz w:val="24"/>
          <w:szCs w:val="24"/>
        </w:rPr>
        <w:t>s</w:t>
      </w:r>
      <w:r w:rsidR="00913FB7" w:rsidRPr="00CC6DFF">
        <w:rPr>
          <w:rFonts w:ascii="Arial" w:hAnsi="Arial" w:cs="Arial"/>
          <w:sz w:val="24"/>
          <w:szCs w:val="24"/>
        </w:rPr>
        <w:t xml:space="preserve"> are summarised in a letter dated 1 June 2015 from the Minister to the relevant MEC in Limpopo. </w:t>
      </w:r>
      <w:r w:rsidR="00BC75D0" w:rsidRPr="00CC6DFF">
        <w:rPr>
          <w:rFonts w:ascii="Arial" w:hAnsi="Arial" w:cs="Arial"/>
          <w:sz w:val="24"/>
          <w:szCs w:val="24"/>
        </w:rPr>
        <w:t>However, a</w:t>
      </w:r>
      <w:r w:rsidR="00EA240F" w:rsidRPr="00CC6DFF">
        <w:rPr>
          <w:rFonts w:ascii="Arial" w:hAnsi="Arial" w:cs="Arial"/>
          <w:sz w:val="24"/>
          <w:szCs w:val="24"/>
        </w:rPr>
        <w:t xml:space="preserve"> simple regard to tho</w:t>
      </w:r>
      <w:r w:rsidR="00BC75D0" w:rsidRPr="00CC6DFF">
        <w:rPr>
          <w:rFonts w:ascii="Arial" w:hAnsi="Arial" w:cs="Arial"/>
          <w:sz w:val="24"/>
          <w:szCs w:val="24"/>
        </w:rPr>
        <w:t>se resolutions shows</w:t>
      </w:r>
      <w:r w:rsidR="00913FB7" w:rsidRPr="00CC6DFF">
        <w:rPr>
          <w:rFonts w:ascii="Arial" w:hAnsi="Arial" w:cs="Arial"/>
          <w:sz w:val="24"/>
          <w:szCs w:val="24"/>
        </w:rPr>
        <w:t xml:space="preserve"> that they </w:t>
      </w:r>
      <w:r w:rsidR="00EA240F" w:rsidRPr="00CC6DFF">
        <w:rPr>
          <w:rFonts w:ascii="Arial" w:hAnsi="Arial" w:cs="Arial"/>
          <w:sz w:val="24"/>
          <w:szCs w:val="24"/>
        </w:rPr>
        <w:t xml:space="preserve">have no bearing whatsoever </w:t>
      </w:r>
      <w:r w:rsidR="00913FB7" w:rsidRPr="00CC6DFF">
        <w:rPr>
          <w:rFonts w:ascii="Arial" w:hAnsi="Arial" w:cs="Arial"/>
          <w:sz w:val="24"/>
          <w:szCs w:val="24"/>
        </w:rPr>
        <w:t>on the negotiations which preceded the conclusion of the tripartite agreement</w:t>
      </w:r>
      <w:r w:rsidR="004861BC" w:rsidRPr="00CC6DFF">
        <w:rPr>
          <w:rFonts w:ascii="Arial" w:hAnsi="Arial" w:cs="Arial"/>
          <w:sz w:val="24"/>
          <w:szCs w:val="24"/>
        </w:rPr>
        <w:t>.</w:t>
      </w:r>
      <w:r w:rsidR="00913FB7" w:rsidRPr="00CC6DFF">
        <w:rPr>
          <w:rFonts w:ascii="Arial" w:hAnsi="Arial" w:cs="Arial"/>
          <w:sz w:val="24"/>
          <w:szCs w:val="24"/>
        </w:rPr>
        <w:t xml:space="preserve"> The resolutions refer in general terms to </w:t>
      </w:r>
      <w:r w:rsidR="00835706" w:rsidRPr="00CC6DFF">
        <w:rPr>
          <w:rFonts w:ascii="Arial" w:hAnsi="Arial" w:cs="Arial"/>
          <w:sz w:val="24"/>
          <w:szCs w:val="24"/>
        </w:rPr>
        <w:t xml:space="preserve">the </w:t>
      </w:r>
      <w:r w:rsidR="00913FB7" w:rsidRPr="00CC6DFF">
        <w:rPr>
          <w:rFonts w:ascii="Arial" w:hAnsi="Arial" w:cs="Arial"/>
          <w:sz w:val="24"/>
          <w:szCs w:val="24"/>
        </w:rPr>
        <w:t xml:space="preserve">government’s policy of introducing </w:t>
      </w:r>
      <w:r w:rsidR="00835706" w:rsidRPr="00CC6DFF">
        <w:rPr>
          <w:rFonts w:ascii="Arial" w:hAnsi="Arial" w:cs="Arial"/>
          <w:sz w:val="24"/>
          <w:szCs w:val="24"/>
        </w:rPr>
        <w:t xml:space="preserve">an </w:t>
      </w:r>
      <w:r w:rsidR="00913FB7" w:rsidRPr="00CC6DFF">
        <w:rPr>
          <w:rFonts w:ascii="Arial" w:hAnsi="Arial" w:cs="Arial"/>
          <w:sz w:val="24"/>
          <w:szCs w:val="24"/>
        </w:rPr>
        <w:t>integrated public transport system throughout the country and the provinces’ role in it. They do not speci</w:t>
      </w:r>
      <w:r w:rsidR="004861BC" w:rsidRPr="00CC6DFF">
        <w:rPr>
          <w:rFonts w:ascii="Arial" w:hAnsi="Arial" w:cs="Arial"/>
          <w:sz w:val="24"/>
          <w:szCs w:val="24"/>
        </w:rPr>
        <w:t xml:space="preserve">fically refer to any </w:t>
      </w:r>
      <w:r w:rsidR="00913FB7" w:rsidRPr="00CC6DFF">
        <w:rPr>
          <w:rFonts w:ascii="Arial" w:hAnsi="Arial" w:cs="Arial"/>
          <w:sz w:val="24"/>
          <w:szCs w:val="24"/>
        </w:rPr>
        <w:t>area</w:t>
      </w:r>
      <w:r w:rsidR="00876770" w:rsidRPr="00CC6DFF">
        <w:rPr>
          <w:rFonts w:ascii="Arial" w:hAnsi="Arial" w:cs="Arial"/>
          <w:sz w:val="24"/>
          <w:szCs w:val="24"/>
        </w:rPr>
        <w:t>,</w:t>
      </w:r>
      <w:r w:rsidR="00913FB7" w:rsidRPr="00CC6DFF">
        <w:rPr>
          <w:rFonts w:ascii="Arial" w:hAnsi="Arial" w:cs="Arial"/>
          <w:sz w:val="24"/>
          <w:szCs w:val="24"/>
        </w:rPr>
        <w:t xml:space="preserve"> like the Vhembe district, </w:t>
      </w:r>
      <w:r w:rsidR="004861BC" w:rsidRPr="00CC6DFF">
        <w:rPr>
          <w:rFonts w:ascii="Arial" w:hAnsi="Arial" w:cs="Arial"/>
          <w:sz w:val="24"/>
          <w:szCs w:val="24"/>
        </w:rPr>
        <w:t xml:space="preserve">where </w:t>
      </w:r>
      <w:r w:rsidR="00913FB7" w:rsidRPr="00CC6DFF">
        <w:rPr>
          <w:rFonts w:ascii="Arial" w:hAnsi="Arial" w:cs="Arial"/>
          <w:sz w:val="24"/>
          <w:szCs w:val="24"/>
        </w:rPr>
        <w:t xml:space="preserve">the </w:t>
      </w:r>
      <w:r w:rsidR="004861BC" w:rsidRPr="00CC6DFF">
        <w:rPr>
          <w:rFonts w:ascii="Arial" w:hAnsi="Arial" w:cs="Arial"/>
          <w:sz w:val="24"/>
          <w:szCs w:val="24"/>
        </w:rPr>
        <w:t xml:space="preserve">affected routes are. </w:t>
      </w:r>
      <w:r w:rsidR="00913FB7" w:rsidRPr="00CC6DFF">
        <w:rPr>
          <w:rFonts w:ascii="Arial" w:hAnsi="Arial" w:cs="Arial"/>
          <w:sz w:val="24"/>
          <w:szCs w:val="24"/>
        </w:rPr>
        <w:t xml:space="preserve">There is also </w:t>
      </w:r>
      <w:r w:rsidR="00EA240F" w:rsidRPr="00CC6DFF">
        <w:rPr>
          <w:rFonts w:ascii="Arial" w:hAnsi="Arial" w:cs="Arial"/>
          <w:sz w:val="24"/>
          <w:szCs w:val="24"/>
        </w:rPr>
        <w:t xml:space="preserve">no </w:t>
      </w:r>
      <w:r w:rsidR="00913FB7" w:rsidRPr="00CC6DFF">
        <w:rPr>
          <w:rFonts w:ascii="Arial" w:hAnsi="Arial" w:cs="Arial"/>
          <w:sz w:val="24"/>
          <w:szCs w:val="24"/>
        </w:rPr>
        <w:t xml:space="preserve">suggestion in any of the resolutions that the integrated </w:t>
      </w:r>
      <w:r w:rsidR="00876770" w:rsidRPr="00CC6DFF">
        <w:rPr>
          <w:rFonts w:ascii="Arial" w:hAnsi="Arial" w:cs="Arial"/>
          <w:sz w:val="24"/>
          <w:szCs w:val="24"/>
        </w:rPr>
        <w:t xml:space="preserve">public </w:t>
      </w:r>
      <w:r w:rsidR="00913FB7" w:rsidRPr="00CC6DFF">
        <w:rPr>
          <w:rFonts w:ascii="Arial" w:hAnsi="Arial" w:cs="Arial"/>
          <w:sz w:val="24"/>
          <w:szCs w:val="24"/>
        </w:rPr>
        <w:t>transport system in any given province or district would be implemented within five years after the Act had come into force.</w:t>
      </w:r>
      <w:r w:rsidR="00EA1841" w:rsidRPr="00CC6DFF">
        <w:rPr>
          <w:rFonts w:ascii="Arial" w:hAnsi="Arial" w:cs="Arial"/>
          <w:sz w:val="24"/>
          <w:szCs w:val="24"/>
        </w:rPr>
        <w:t xml:space="preserve"> They therefore shed no light on the intention of the parties.</w:t>
      </w:r>
      <w:r w:rsidR="00913FB7" w:rsidRPr="00CC6DFF">
        <w:rPr>
          <w:rFonts w:ascii="Arial" w:hAnsi="Arial" w:cs="Arial"/>
          <w:sz w:val="24"/>
          <w:szCs w:val="24"/>
        </w:rPr>
        <w:t xml:space="preserve"> </w:t>
      </w:r>
    </w:p>
    <w:p w14:paraId="36B8D5F2" w14:textId="77777777" w:rsidR="00913FB7" w:rsidRPr="00CC6DFF" w:rsidRDefault="00913FB7" w:rsidP="00867989">
      <w:pPr>
        <w:shd w:val="clear" w:color="auto" w:fill="FFFFFF"/>
        <w:spacing w:after="0"/>
        <w:contextualSpacing/>
        <w:rPr>
          <w:rFonts w:ascii="Arial" w:hAnsi="Arial" w:cs="Arial"/>
          <w:sz w:val="24"/>
          <w:szCs w:val="24"/>
        </w:rPr>
      </w:pPr>
      <w:r w:rsidRPr="00CC6DFF">
        <w:rPr>
          <w:rFonts w:ascii="Arial" w:hAnsi="Arial" w:cs="Arial"/>
          <w:sz w:val="24"/>
          <w:szCs w:val="24"/>
        </w:rPr>
        <w:t xml:space="preserve"> </w:t>
      </w:r>
    </w:p>
    <w:p w14:paraId="1CCC6E01" w14:textId="1532FEBB" w:rsidR="000805F8" w:rsidRPr="00CC6DFF" w:rsidRDefault="00311C8E" w:rsidP="00311C8E">
      <w:pPr>
        <w:shd w:val="clear" w:color="auto" w:fill="FFFFFF"/>
        <w:spacing w:after="0"/>
        <w:contextualSpacing/>
        <w:rPr>
          <w:rFonts w:ascii="Arial" w:hAnsi="Arial" w:cs="Arial"/>
          <w:sz w:val="24"/>
          <w:szCs w:val="24"/>
        </w:rPr>
      </w:pPr>
      <w:bookmarkStart w:id="8" w:name="LPTOC3"/>
      <w:bookmarkEnd w:id="8"/>
      <w:r w:rsidRPr="00CC6DFF">
        <w:rPr>
          <w:rFonts w:ascii="Arial" w:hAnsi="Arial" w:cs="Arial"/>
          <w:snapToGrid w:val="0"/>
          <w:color w:val="000000"/>
          <w:w w:val="0"/>
          <w:sz w:val="24"/>
          <w:szCs w:val="24"/>
        </w:rPr>
        <w:t>[32]</w:t>
      </w:r>
      <w:r w:rsidRPr="00CC6DFF">
        <w:rPr>
          <w:rFonts w:ascii="Arial" w:hAnsi="Arial" w:cs="Arial"/>
          <w:snapToGrid w:val="0"/>
          <w:color w:val="000000"/>
          <w:w w:val="0"/>
          <w:sz w:val="24"/>
          <w:szCs w:val="24"/>
        </w:rPr>
        <w:tab/>
      </w:r>
      <w:r w:rsidR="00913FB7" w:rsidRPr="00CC6DFF">
        <w:rPr>
          <w:rFonts w:ascii="Arial" w:hAnsi="Arial" w:cs="Arial"/>
          <w:sz w:val="24"/>
          <w:szCs w:val="24"/>
        </w:rPr>
        <w:t xml:space="preserve">Thus, as </w:t>
      </w:r>
      <w:r w:rsidR="004861BC" w:rsidRPr="00CC6DFF">
        <w:rPr>
          <w:rFonts w:ascii="Arial" w:hAnsi="Arial" w:cs="Arial"/>
          <w:sz w:val="24"/>
          <w:szCs w:val="24"/>
        </w:rPr>
        <w:t xml:space="preserve">was the case </w:t>
      </w:r>
      <w:r w:rsidR="00913FB7" w:rsidRPr="00CC6DFF">
        <w:rPr>
          <w:rFonts w:ascii="Arial" w:hAnsi="Arial" w:cs="Arial"/>
          <w:sz w:val="24"/>
          <w:szCs w:val="24"/>
        </w:rPr>
        <w:t xml:space="preserve">in </w:t>
      </w:r>
      <w:r w:rsidR="00913FB7" w:rsidRPr="00CC6DFF">
        <w:rPr>
          <w:rFonts w:ascii="Arial" w:hAnsi="Arial" w:cs="Arial"/>
          <w:i/>
          <w:sz w:val="24"/>
          <w:szCs w:val="24"/>
        </w:rPr>
        <w:t>Rubenstein</w:t>
      </w:r>
      <w:r w:rsidR="00913FB7" w:rsidRPr="00CC6DFF">
        <w:rPr>
          <w:rFonts w:ascii="Arial" w:hAnsi="Arial" w:cs="Arial"/>
          <w:sz w:val="24"/>
          <w:szCs w:val="24"/>
        </w:rPr>
        <w:t xml:space="preserve">, in the absence of evidence as to what the parties intended, </w:t>
      </w:r>
      <w:r w:rsidR="004861BC" w:rsidRPr="00CC6DFF">
        <w:rPr>
          <w:rFonts w:ascii="Arial" w:hAnsi="Arial" w:cs="Arial"/>
          <w:sz w:val="24"/>
          <w:szCs w:val="24"/>
        </w:rPr>
        <w:t xml:space="preserve">the express duration term of the tripartite agreement should be preserved and honoured. The term which Phadziri seeks to </w:t>
      </w:r>
      <w:r w:rsidR="004A5F72" w:rsidRPr="00CC6DFF">
        <w:rPr>
          <w:rFonts w:ascii="Arial" w:hAnsi="Arial" w:cs="Arial"/>
          <w:sz w:val="24"/>
          <w:szCs w:val="24"/>
        </w:rPr>
        <w:t>impute into the agreement is in</w:t>
      </w:r>
      <w:r w:rsidR="00913FB7" w:rsidRPr="00CC6DFF">
        <w:rPr>
          <w:rFonts w:ascii="Arial" w:hAnsi="Arial" w:cs="Arial"/>
          <w:sz w:val="24"/>
          <w:szCs w:val="24"/>
        </w:rPr>
        <w:t xml:space="preserve"> conflict with </w:t>
      </w:r>
      <w:r w:rsidR="004A5F72" w:rsidRPr="00CC6DFF">
        <w:rPr>
          <w:rFonts w:ascii="Arial" w:hAnsi="Arial" w:cs="Arial"/>
          <w:sz w:val="24"/>
          <w:szCs w:val="24"/>
        </w:rPr>
        <w:t xml:space="preserve">its </w:t>
      </w:r>
      <w:r w:rsidR="00913FB7" w:rsidRPr="00CC6DFF">
        <w:rPr>
          <w:rFonts w:ascii="Arial" w:hAnsi="Arial" w:cs="Arial"/>
          <w:sz w:val="24"/>
          <w:szCs w:val="24"/>
        </w:rPr>
        <w:t>express</w:t>
      </w:r>
      <w:r w:rsidR="004A5F72" w:rsidRPr="00CC6DFF">
        <w:rPr>
          <w:rFonts w:ascii="Arial" w:hAnsi="Arial" w:cs="Arial"/>
          <w:sz w:val="24"/>
          <w:szCs w:val="24"/>
        </w:rPr>
        <w:t xml:space="preserve"> term</w:t>
      </w:r>
      <w:r w:rsidR="00913FB7" w:rsidRPr="00CC6DFF">
        <w:rPr>
          <w:rFonts w:ascii="Arial" w:hAnsi="Arial" w:cs="Arial"/>
          <w:sz w:val="24"/>
          <w:szCs w:val="24"/>
        </w:rPr>
        <w:t xml:space="preserve"> as to its duration. </w:t>
      </w:r>
      <w:r w:rsidR="004A5F72" w:rsidRPr="00CC6DFF">
        <w:rPr>
          <w:rFonts w:ascii="Arial" w:hAnsi="Arial" w:cs="Arial"/>
          <w:sz w:val="24"/>
          <w:szCs w:val="24"/>
        </w:rPr>
        <w:t>It follows that t</w:t>
      </w:r>
      <w:r w:rsidR="00913FB7" w:rsidRPr="00CC6DFF">
        <w:rPr>
          <w:rFonts w:ascii="Arial" w:hAnsi="Arial" w:cs="Arial"/>
          <w:sz w:val="24"/>
          <w:szCs w:val="24"/>
        </w:rPr>
        <w:t xml:space="preserve">he tripartite agreement is enforceable until the implementation of the integrated </w:t>
      </w:r>
      <w:r w:rsidR="00876770" w:rsidRPr="00CC6DFF">
        <w:rPr>
          <w:rFonts w:ascii="Arial" w:hAnsi="Arial" w:cs="Arial"/>
          <w:sz w:val="24"/>
          <w:szCs w:val="24"/>
        </w:rPr>
        <w:t xml:space="preserve">public </w:t>
      </w:r>
      <w:r w:rsidR="00913FB7" w:rsidRPr="00CC6DFF">
        <w:rPr>
          <w:rFonts w:ascii="Arial" w:hAnsi="Arial" w:cs="Arial"/>
          <w:sz w:val="24"/>
          <w:szCs w:val="24"/>
        </w:rPr>
        <w:t>transport services by the Department. Although there has been a delay</w:t>
      </w:r>
      <w:r w:rsidR="00876770" w:rsidRPr="00CC6DFF">
        <w:rPr>
          <w:rFonts w:ascii="Arial" w:hAnsi="Arial" w:cs="Arial"/>
          <w:sz w:val="24"/>
          <w:szCs w:val="24"/>
        </w:rPr>
        <w:t xml:space="preserve"> in implementation</w:t>
      </w:r>
      <w:r w:rsidR="00913FB7" w:rsidRPr="00CC6DFF">
        <w:rPr>
          <w:rFonts w:ascii="Arial" w:hAnsi="Arial" w:cs="Arial"/>
          <w:sz w:val="24"/>
          <w:szCs w:val="24"/>
        </w:rPr>
        <w:t xml:space="preserve">, unlike in </w:t>
      </w:r>
      <w:r w:rsidR="00913FB7" w:rsidRPr="00CC6DFF">
        <w:rPr>
          <w:rFonts w:ascii="Arial" w:hAnsi="Arial" w:cs="Arial"/>
          <w:i/>
          <w:sz w:val="24"/>
          <w:szCs w:val="24"/>
        </w:rPr>
        <w:t>Rubenstein</w:t>
      </w:r>
      <w:r w:rsidR="00913FB7" w:rsidRPr="00CC6DFF">
        <w:rPr>
          <w:rFonts w:ascii="Arial" w:hAnsi="Arial" w:cs="Arial"/>
          <w:sz w:val="24"/>
          <w:szCs w:val="24"/>
        </w:rPr>
        <w:t xml:space="preserve">, there is no evidence that the Department has abandoned the project. </w:t>
      </w:r>
    </w:p>
    <w:p w14:paraId="6CF349F7" w14:textId="77777777" w:rsidR="00C663DC" w:rsidRPr="00CC6DFF" w:rsidRDefault="00C663DC" w:rsidP="00C663DC">
      <w:pPr>
        <w:shd w:val="clear" w:color="auto" w:fill="FFFFFF"/>
        <w:spacing w:after="0"/>
        <w:contextualSpacing/>
        <w:rPr>
          <w:rFonts w:ascii="Arial" w:hAnsi="Arial" w:cs="Arial"/>
          <w:sz w:val="24"/>
          <w:szCs w:val="24"/>
        </w:rPr>
      </w:pPr>
    </w:p>
    <w:p w14:paraId="69A4E21F" w14:textId="7ED38F72" w:rsidR="00BC75D0"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[33]</w:t>
      </w:r>
      <w:r w:rsidRPr="00CC6DFF">
        <w:rPr>
          <w:rFonts w:ascii="Arial" w:hAnsi="Arial" w:cs="Arial"/>
          <w:snapToGrid w:val="0"/>
          <w:color w:val="000000"/>
          <w:w w:val="0"/>
          <w:sz w:val="24"/>
          <w:szCs w:val="24"/>
        </w:rPr>
        <w:tab/>
      </w:r>
      <w:r w:rsidR="00913FB7" w:rsidRPr="00CC6DFF">
        <w:rPr>
          <w:rFonts w:ascii="Arial" w:hAnsi="Arial" w:cs="Arial"/>
          <w:sz w:val="24"/>
          <w:szCs w:val="24"/>
        </w:rPr>
        <w:t>In all the circumstances</w:t>
      </w:r>
      <w:r w:rsidR="00835706" w:rsidRPr="00CC6DFF">
        <w:rPr>
          <w:rFonts w:ascii="Arial" w:hAnsi="Arial" w:cs="Arial"/>
          <w:sz w:val="24"/>
          <w:szCs w:val="24"/>
        </w:rPr>
        <w:t>,</w:t>
      </w:r>
      <w:r w:rsidR="00913FB7" w:rsidRPr="00CC6DFF">
        <w:rPr>
          <w:rFonts w:ascii="Arial" w:hAnsi="Arial" w:cs="Arial"/>
          <w:sz w:val="24"/>
          <w:szCs w:val="24"/>
        </w:rPr>
        <w:t xml:space="preserve"> the appeal must fail.</w:t>
      </w:r>
      <w:r w:rsidR="00876770" w:rsidRPr="00CC6DFF">
        <w:rPr>
          <w:rFonts w:ascii="Arial" w:hAnsi="Arial" w:cs="Arial"/>
          <w:sz w:val="24"/>
          <w:szCs w:val="24"/>
        </w:rPr>
        <w:t xml:space="preserve"> As to costs,</w:t>
      </w:r>
      <w:r w:rsidR="00BC75D0" w:rsidRPr="00CC6DFF">
        <w:rPr>
          <w:rFonts w:ascii="Arial" w:hAnsi="Arial" w:cs="Arial"/>
          <w:sz w:val="24"/>
          <w:szCs w:val="24"/>
        </w:rPr>
        <w:t xml:space="preserve"> Do Light employed</w:t>
      </w:r>
      <w:r w:rsidR="004A5F72" w:rsidRPr="00CC6DFF">
        <w:rPr>
          <w:rFonts w:ascii="Arial" w:hAnsi="Arial" w:cs="Arial"/>
          <w:sz w:val="24"/>
          <w:szCs w:val="24"/>
        </w:rPr>
        <w:t>, and sought costs of,</w:t>
      </w:r>
      <w:r w:rsidR="00BC75D0" w:rsidRPr="00CC6DFF">
        <w:rPr>
          <w:rFonts w:ascii="Arial" w:hAnsi="Arial" w:cs="Arial"/>
          <w:sz w:val="24"/>
          <w:szCs w:val="24"/>
        </w:rPr>
        <w:t xml:space="preserve"> </w:t>
      </w:r>
      <w:r w:rsidR="00A631D7" w:rsidRPr="00CC6DFF">
        <w:rPr>
          <w:rFonts w:ascii="Arial" w:hAnsi="Arial" w:cs="Arial"/>
          <w:sz w:val="24"/>
          <w:szCs w:val="24"/>
        </w:rPr>
        <w:t>three</w:t>
      </w:r>
      <w:r w:rsidR="004A5F72" w:rsidRPr="00CC6DFF">
        <w:rPr>
          <w:rFonts w:ascii="Arial" w:hAnsi="Arial" w:cs="Arial"/>
          <w:sz w:val="24"/>
          <w:szCs w:val="24"/>
        </w:rPr>
        <w:t xml:space="preserve"> </w:t>
      </w:r>
      <w:r w:rsidR="00BC75D0" w:rsidRPr="00CC6DFF">
        <w:rPr>
          <w:rFonts w:ascii="Arial" w:hAnsi="Arial" w:cs="Arial"/>
          <w:sz w:val="24"/>
          <w:szCs w:val="24"/>
        </w:rPr>
        <w:t>counsel</w:t>
      </w:r>
      <w:r w:rsidR="00167020" w:rsidRPr="00CC6DFF">
        <w:rPr>
          <w:rFonts w:ascii="Arial" w:hAnsi="Arial" w:cs="Arial"/>
          <w:sz w:val="24"/>
          <w:szCs w:val="24"/>
        </w:rPr>
        <w:t>.</w:t>
      </w:r>
      <w:r w:rsidR="00876770" w:rsidRPr="00CC6DFF">
        <w:rPr>
          <w:rFonts w:ascii="Arial" w:hAnsi="Arial" w:cs="Arial"/>
          <w:sz w:val="24"/>
          <w:szCs w:val="24"/>
        </w:rPr>
        <w:t xml:space="preserve"> </w:t>
      </w:r>
      <w:r w:rsidR="00167020" w:rsidRPr="00CC6DFF">
        <w:rPr>
          <w:rFonts w:ascii="Arial" w:hAnsi="Arial" w:cs="Arial"/>
          <w:sz w:val="24"/>
          <w:szCs w:val="24"/>
        </w:rPr>
        <w:t>H</w:t>
      </w:r>
      <w:r w:rsidR="00876770" w:rsidRPr="00CC6DFF">
        <w:rPr>
          <w:rFonts w:ascii="Arial" w:hAnsi="Arial" w:cs="Arial"/>
          <w:sz w:val="24"/>
          <w:szCs w:val="24"/>
        </w:rPr>
        <w:t xml:space="preserve">owever, </w:t>
      </w:r>
      <w:r w:rsidR="00BC75D0" w:rsidRPr="00CC6DFF">
        <w:rPr>
          <w:rFonts w:ascii="Arial" w:hAnsi="Arial" w:cs="Arial"/>
          <w:sz w:val="24"/>
          <w:szCs w:val="24"/>
        </w:rPr>
        <w:t>I do not think that th</w:t>
      </w:r>
      <w:r w:rsidR="004A5F72" w:rsidRPr="00CC6DFF">
        <w:rPr>
          <w:rFonts w:ascii="Arial" w:hAnsi="Arial" w:cs="Arial"/>
          <w:sz w:val="24"/>
          <w:szCs w:val="24"/>
        </w:rPr>
        <w:t>is</w:t>
      </w:r>
      <w:r w:rsidR="00BC75D0" w:rsidRPr="00CC6DFF">
        <w:rPr>
          <w:rFonts w:ascii="Arial" w:hAnsi="Arial" w:cs="Arial"/>
          <w:sz w:val="24"/>
          <w:szCs w:val="24"/>
        </w:rPr>
        <w:t xml:space="preserve"> matter </w:t>
      </w:r>
      <w:r w:rsidR="00A631D7" w:rsidRPr="00CC6DFF">
        <w:rPr>
          <w:rFonts w:ascii="Arial" w:hAnsi="Arial" w:cs="Arial"/>
          <w:sz w:val="24"/>
          <w:szCs w:val="24"/>
        </w:rPr>
        <w:t>warranted</w:t>
      </w:r>
      <w:r w:rsidR="004A5F72" w:rsidRPr="00CC6DFF">
        <w:rPr>
          <w:rFonts w:ascii="Arial" w:hAnsi="Arial" w:cs="Arial"/>
          <w:sz w:val="24"/>
          <w:szCs w:val="24"/>
        </w:rPr>
        <w:t xml:space="preserve"> the employment of</w:t>
      </w:r>
      <w:r w:rsidR="00BC75D0" w:rsidRPr="00CC6DFF">
        <w:rPr>
          <w:rFonts w:ascii="Arial" w:hAnsi="Arial" w:cs="Arial"/>
          <w:sz w:val="24"/>
          <w:szCs w:val="24"/>
        </w:rPr>
        <w:t xml:space="preserve"> </w:t>
      </w:r>
      <w:r w:rsidR="00A631D7" w:rsidRPr="00CC6DFF">
        <w:rPr>
          <w:rFonts w:ascii="Arial" w:hAnsi="Arial" w:cs="Arial"/>
          <w:sz w:val="24"/>
          <w:szCs w:val="24"/>
        </w:rPr>
        <w:t>more than one counsel</w:t>
      </w:r>
      <w:r w:rsidR="00BC75D0" w:rsidRPr="00CC6DFF">
        <w:rPr>
          <w:rFonts w:ascii="Arial" w:hAnsi="Arial" w:cs="Arial"/>
          <w:sz w:val="24"/>
          <w:szCs w:val="24"/>
        </w:rPr>
        <w:t>.</w:t>
      </w:r>
      <w:r w:rsidR="00913FB7" w:rsidRPr="00CC6DFF">
        <w:rPr>
          <w:rFonts w:ascii="Arial" w:hAnsi="Arial" w:cs="Arial"/>
          <w:sz w:val="24"/>
          <w:szCs w:val="24"/>
        </w:rPr>
        <w:t xml:space="preserve"> </w:t>
      </w:r>
    </w:p>
    <w:p w14:paraId="7570E828" w14:textId="77777777" w:rsidR="00C663DC" w:rsidRPr="00CC6DFF" w:rsidRDefault="00C663DC" w:rsidP="00C663DC">
      <w:pPr>
        <w:pStyle w:val="ListParagraph"/>
        <w:rPr>
          <w:rFonts w:ascii="Arial" w:hAnsi="Arial" w:cs="Arial"/>
          <w:sz w:val="24"/>
          <w:szCs w:val="24"/>
        </w:rPr>
      </w:pPr>
    </w:p>
    <w:p w14:paraId="55336501" w14:textId="6E20E3E4" w:rsidR="00913FB7" w:rsidRPr="00CC6DFF" w:rsidRDefault="00311C8E" w:rsidP="00311C8E">
      <w:pPr>
        <w:shd w:val="clear" w:color="auto" w:fill="FFFFFF"/>
        <w:spacing w:after="0"/>
        <w:contextualSpacing/>
        <w:rPr>
          <w:rFonts w:ascii="Arial" w:hAnsi="Arial" w:cs="Arial"/>
          <w:sz w:val="24"/>
          <w:szCs w:val="24"/>
        </w:rPr>
      </w:pPr>
      <w:r w:rsidRPr="00CC6DFF">
        <w:rPr>
          <w:rFonts w:ascii="Arial" w:hAnsi="Arial" w:cs="Arial"/>
          <w:snapToGrid w:val="0"/>
          <w:color w:val="000000"/>
          <w:w w:val="0"/>
          <w:sz w:val="24"/>
          <w:szCs w:val="24"/>
        </w:rPr>
        <w:t>[34]</w:t>
      </w:r>
      <w:r w:rsidRPr="00CC6DFF">
        <w:rPr>
          <w:rFonts w:ascii="Arial" w:hAnsi="Arial" w:cs="Arial"/>
          <w:snapToGrid w:val="0"/>
          <w:color w:val="000000"/>
          <w:w w:val="0"/>
          <w:sz w:val="24"/>
          <w:szCs w:val="24"/>
        </w:rPr>
        <w:tab/>
      </w:r>
      <w:r w:rsidR="00913FB7" w:rsidRPr="00CC6DFF">
        <w:rPr>
          <w:rFonts w:ascii="Arial" w:hAnsi="Arial" w:cs="Arial"/>
          <w:sz w:val="24"/>
          <w:szCs w:val="24"/>
        </w:rPr>
        <w:t>In the result, the following order is made:</w:t>
      </w:r>
    </w:p>
    <w:p w14:paraId="2FB6B45A" w14:textId="77777777" w:rsidR="00913FB7" w:rsidRPr="00CC6DFF" w:rsidRDefault="00913FB7" w:rsidP="00867989">
      <w:pPr>
        <w:spacing w:after="0"/>
        <w:rPr>
          <w:rFonts w:ascii="Arial" w:hAnsi="Arial" w:cs="Arial"/>
          <w:sz w:val="24"/>
          <w:szCs w:val="24"/>
        </w:rPr>
      </w:pPr>
      <w:r w:rsidRPr="00CC6DFF">
        <w:rPr>
          <w:rFonts w:ascii="Arial" w:hAnsi="Arial" w:cs="Arial"/>
          <w:sz w:val="24"/>
          <w:szCs w:val="24"/>
        </w:rPr>
        <w:t>The</w:t>
      </w:r>
      <w:r w:rsidR="008A7743" w:rsidRPr="00CC6DFF">
        <w:rPr>
          <w:rFonts w:ascii="Arial" w:hAnsi="Arial" w:cs="Arial"/>
          <w:sz w:val="24"/>
          <w:szCs w:val="24"/>
        </w:rPr>
        <w:t xml:space="preserve"> appeal is dismissed with costs</w:t>
      </w:r>
      <w:r w:rsidRPr="00CC6DFF">
        <w:rPr>
          <w:rFonts w:ascii="Arial" w:hAnsi="Arial" w:cs="Arial"/>
          <w:sz w:val="24"/>
          <w:szCs w:val="24"/>
        </w:rPr>
        <w:t>.</w:t>
      </w:r>
    </w:p>
    <w:p w14:paraId="7D3450B2" w14:textId="77777777" w:rsidR="00CC4CE2" w:rsidRPr="00CC6DFF" w:rsidRDefault="00CC4CE2" w:rsidP="00867989">
      <w:pPr>
        <w:spacing w:after="0"/>
        <w:rPr>
          <w:rFonts w:ascii="Arial" w:hAnsi="Arial" w:cs="Arial"/>
          <w:sz w:val="24"/>
          <w:szCs w:val="24"/>
        </w:rPr>
      </w:pPr>
    </w:p>
    <w:p w14:paraId="5B08AE1B" w14:textId="77777777" w:rsidR="00CC4CE2" w:rsidRPr="00CC6DFF" w:rsidRDefault="00CC4CE2" w:rsidP="00867989">
      <w:pPr>
        <w:spacing w:after="0"/>
        <w:rPr>
          <w:rFonts w:ascii="Arial" w:hAnsi="Arial" w:cs="Arial"/>
          <w:sz w:val="24"/>
          <w:szCs w:val="24"/>
        </w:rPr>
      </w:pPr>
    </w:p>
    <w:p w14:paraId="770C1BF2" w14:textId="77777777" w:rsidR="00CC4CE2" w:rsidRPr="00CC6DFF" w:rsidRDefault="00CC4CE2" w:rsidP="00867989">
      <w:pPr>
        <w:spacing w:after="0"/>
        <w:rPr>
          <w:rFonts w:ascii="Arial" w:hAnsi="Arial" w:cs="Arial"/>
          <w:sz w:val="24"/>
          <w:szCs w:val="24"/>
        </w:rPr>
      </w:pPr>
    </w:p>
    <w:p w14:paraId="7E72721B" w14:textId="7E7DDBED" w:rsidR="000805F8" w:rsidRPr="00CC6DFF" w:rsidRDefault="00C0224C" w:rsidP="00867989">
      <w:pPr>
        <w:spacing w:after="0"/>
        <w:rPr>
          <w:rFonts w:ascii="Arial" w:hAnsi="Arial" w:cs="Arial"/>
          <w:sz w:val="24"/>
          <w:szCs w:val="24"/>
          <w:lang w:val="en-GB"/>
        </w:rPr>
      </w:pPr>
      <w:r w:rsidRPr="00CC6DFF">
        <w:rPr>
          <w:rFonts w:ascii="Arial" w:hAnsi="Arial" w:cs="Arial"/>
          <w:sz w:val="24"/>
          <w:szCs w:val="24"/>
          <w:lang w:val="en-GB"/>
        </w:rPr>
        <w:t xml:space="preserve">   </w:t>
      </w:r>
      <w:r w:rsidR="00913FB7" w:rsidRPr="00CC6DFF">
        <w:rPr>
          <w:rFonts w:ascii="Arial" w:hAnsi="Arial" w:cs="Arial"/>
          <w:sz w:val="24"/>
          <w:szCs w:val="24"/>
          <w:lang w:val="en-GB"/>
        </w:rPr>
        <w:t xml:space="preserve">                                                                                      </w:t>
      </w:r>
      <w:r w:rsidR="000805F8" w:rsidRPr="00CC6DFF">
        <w:rPr>
          <w:rFonts w:ascii="Arial" w:hAnsi="Arial" w:cs="Arial"/>
          <w:sz w:val="24"/>
          <w:szCs w:val="24"/>
          <w:lang w:val="en-GB"/>
        </w:rPr>
        <w:t xml:space="preserve">             </w:t>
      </w:r>
    </w:p>
    <w:p w14:paraId="07907A23" w14:textId="77777777" w:rsidR="00913FB7" w:rsidRPr="00CC6DFF" w:rsidRDefault="000805F8" w:rsidP="00CC4CE2">
      <w:pPr>
        <w:spacing w:after="0"/>
        <w:jc w:val="right"/>
        <w:rPr>
          <w:rFonts w:ascii="Arial" w:hAnsi="Arial" w:cs="Arial"/>
          <w:bCs/>
          <w:sz w:val="24"/>
          <w:szCs w:val="24"/>
        </w:rPr>
      </w:pPr>
      <w:r w:rsidRPr="00CC6DFF">
        <w:rPr>
          <w:rFonts w:ascii="Arial" w:hAnsi="Arial" w:cs="Arial"/>
          <w:sz w:val="24"/>
          <w:szCs w:val="24"/>
          <w:lang w:val="en-GB"/>
        </w:rPr>
        <w:t xml:space="preserve">                                                                                                   </w:t>
      </w:r>
      <w:r w:rsidR="00913FB7" w:rsidRPr="00CC6DFF">
        <w:rPr>
          <w:rFonts w:ascii="Arial" w:hAnsi="Arial" w:cs="Arial"/>
          <w:bCs/>
          <w:sz w:val="24"/>
          <w:szCs w:val="24"/>
        </w:rPr>
        <w:t>__________________</w:t>
      </w:r>
    </w:p>
    <w:p w14:paraId="4CAA3BCC" w14:textId="77777777" w:rsidR="00913FB7" w:rsidRPr="00CC6DFF" w:rsidRDefault="00913FB7" w:rsidP="00212F37">
      <w:pPr>
        <w:spacing w:after="0"/>
        <w:jc w:val="right"/>
        <w:rPr>
          <w:rFonts w:ascii="Arial" w:hAnsi="Arial" w:cs="Arial"/>
          <w:b/>
          <w:sz w:val="24"/>
          <w:szCs w:val="24"/>
        </w:rPr>
      </w:pPr>
      <w:r w:rsidRPr="00CC6DFF">
        <w:rPr>
          <w:rFonts w:ascii="Arial" w:hAnsi="Arial" w:cs="Arial"/>
          <w:b/>
          <w:sz w:val="24"/>
          <w:szCs w:val="24"/>
        </w:rPr>
        <w:t>T</w:t>
      </w:r>
      <w:r w:rsidR="00867989" w:rsidRPr="00CC6DFF">
        <w:rPr>
          <w:rFonts w:ascii="Arial" w:hAnsi="Arial" w:cs="Arial"/>
          <w:b/>
          <w:sz w:val="24"/>
          <w:szCs w:val="24"/>
        </w:rPr>
        <w:t xml:space="preserve"> </w:t>
      </w:r>
      <w:r w:rsidR="00BC75D0" w:rsidRPr="00CC6DFF">
        <w:rPr>
          <w:rFonts w:ascii="Arial" w:hAnsi="Arial" w:cs="Arial"/>
          <w:b/>
          <w:sz w:val="24"/>
          <w:szCs w:val="24"/>
        </w:rPr>
        <w:t>M</w:t>
      </w:r>
      <w:r w:rsidRPr="00CC6DFF">
        <w:rPr>
          <w:rFonts w:ascii="Arial" w:hAnsi="Arial" w:cs="Arial"/>
          <w:b/>
          <w:sz w:val="24"/>
          <w:szCs w:val="24"/>
        </w:rPr>
        <w:t xml:space="preserve"> MAKGOKA</w:t>
      </w:r>
    </w:p>
    <w:p w14:paraId="529CF097" w14:textId="33241DAB" w:rsidR="00913FB7" w:rsidRPr="00CC6DFF" w:rsidRDefault="00913FB7" w:rsidP="00FD0CD9">
      <w:pPr>
        <w:spacing w:after="0"/>
        <w:jc w:val="right"/>
        <w:rPr>
          <w:rFonts w:ascii="Arial" w:hAnsi="Arial" w:cs="Arial"/>
          <w:sz w:val="24"/>
          <w:szCs w:val="24"/>
        </w:rPr>
      </w:pPr>
      <w:r w:rsidRPr="00CC6DFF">
        <w:rPr>
          <w:rFonts w:ascii="Arial" w:hAnsi="Arial" w:cs="Arial"/>
          <w:b/>
          <w:sz w:val="24"/>
          <w:szCs w:val="24"/>
        </w:rPr>
        <w:t>JUDGE OF APPEAL</w:t>
      </w:r>
      <w:r w:rsidRPr="00CC6DFF">
        <w:rPr>
          <w:rFonts w:ascii="Arial" w:hAnsi="Arial" w:cs="Arial"/>
          <w:bCs/>
          <w:sz w:val="28"/>
          <w:szCs w:val="28"/>
        </w:rPr>
        <w:br w:type="page"/>
      </w:r>
    </w:p>
    <w:p w14:paraId="69C6C1D8" w14:textId="77777777" w:rsidR="00867989" w:rsidRPr="00CC6DFF" w:rsidRDefault="00867989" w:rsidP="00867989">
      <w:pPr>
        <w:spacing w:after="0"/>
        <w:rPr>
          <w:rFonts w:ascii="Arial" w:eastAsia="Calibri" w:hAnsi="Arial" w:cs="Arial"/>
          <w:sz w:val="24"/>
          <w:szCs w:val="24"/>
        </w:rPr>
      </w:pPr>
      <w:r w:rsidRPr="00CC6DFF">
        <w:rPr>
          <w:rFonts w:ascii="Arial" w:eastAsia="Calibri" w:hAnsi="Arial" w:cs="Arial"/>
          <w:sz w:val="24"/>
          <w:szCs w:val="24"/>
        </w:rPr>
        <w:t>Appearances</w:t>
      </w:r>
    </w:p>
    <w:p w14:paraId="09077861" w14:textId="59F2691D" w:rsidR="00913FB7" w:rsidRPr="00CC6DFF" w:rsidRDefault="00913FB7" w:rsidP="00867989">
      <w:pPr>
        <w:spacing w:after="0"/>
        <w:rPr>
          <w:rFonts w:ascii="Arial" w:hAnsi="Arial" w:cs="Arial"/>
          <w:b/>
          <w:bCs/>
          <w:sz w:val="24"/>
          <w:szCs w:val="24"/>
        </w:rPr>
      </w:pPr>
    </w:p>
    <w:p w14:paraId="7EA1CCD8" w14:textId="43B76BAE" w:rsidR="00913FB7" w:rsidRPr="00CC6DFF" w:rsidRDefault="00913FB7" w:rsidP="00867989">
      <w:pPr>
        <w:spacing w:after="0"/>
        <w:rPr>
          <w:rFonts w:ascii="Arial" w:eastAsia="Calibri" w:hAnsi="Arial" w:cs="Arial"/>
          <w:sz w:val="24"/>
          <w:szCs w:val="24"/>
        </w:rPr>
      </w:pPr>
      <w:r w:rsidRPr="00CC6DFF">
        <w:rPr>
          <w:rFonts w:ascii="Arial" w:eastAsia="Calibri" w:hAnsi="Arial" w:cs="Arial"/>
          <w:sz w:val="24"/>
          <w:szCs w:val="24"/>
        </w:rPr>
        <w:t>For appellant:</w:t>
      </w:r>
      <w:r w:rsidRPr="00CC6DFF">
        <w:rPr>
          <w:rFonts w:ascii="Arial" w:eastAsia="Calibri" w:hAnsi="Arial" w:cs="Arial"/>
          <w:sz w:val="24"/>
          <w:szCs w:val="24"/>
        </w:rPr>
        <w:tab/>
      </w:r>
      <w:r w:rsidRPr="00CC6DFF">
        <w:rPr>
          <w:rFonts w:ascii="Arial" w:eastAsia="Calibri" w:hAnsi="Arial" w:cs="Arial"/>
          <w:sz w:val="24"/>
          <w:szCs w:val="24"/>
        </w:rPr>
        <w:tab/>
        <w:t>J</w:t>
      </w:r>
      <w:r w:rsidR="00867989" w:rsidRPr="00CC6DFF">
        <w:rPr>
          <w:rFonts w:ascii="Arial" w:eastAsia="Calibri" w:hAnsi="Arial" w:cs="Arial"/>
          <w:sz w:val="24"/>
          <w:szCs w:val="24"/>
        </w:rPr>
        <w:t xml:space="preserve"> </w:t>
      </w:r>
      <w:r w:rsidRPr="00CC6DFF">
        <w:rPr>
          <w:rFonts w:ascii="Arial" w:eastAsia="Calibri" w:hAnsi="Arial" w:cs="Arial"/>
          <w:sz w:val="24"/>
          <w:szCs w:val="24"/>
        </w:rPr>
        <w:t xml:space="preserve">L </w:t>
      </w:r>
      <w:r w:rsidR="00867989" w:rsidRPr="00CC6DFF">
        <w:rPr>
          <w:rFonts w:ascii="Arial" w:eastAsia="Calibri" w:hAnsi="Arial" w:cs="Arial"/>
          <w:sz w:val="24"/>
          <w:szCs w:val="24"/>
        </w:rPr>
        <w:t>v</w:t>
      </w:r>
      <w:r w:rsidRPr="00CC6DFF">
        <w:rPr>
          <w:rFonts w:ascii="Arial" w:eastAsia="Calibri" w:hAnsi="Arial" w:cs="Arial"/>
          <w:sz w:val="24"/>
          <w:szCs w:val="24"/>
        </w:rPr>
        <w:t xml:space="preserve">an der Merwe SC </w:t>
      </w:r>
      <w:r w:rsidR="00A631D7" w:rsidRPr="00CC6DFF">
        <w:rPr>
          <w:rFonts w:ascii="Arial" w:eastAsia="Calibri" w:hAnsi="Arial" w:cs="Arial"/>
          <w:sz w:val="24"/>
          <w:szCs w:val="24"/>
        </w:rPr>
        <w:t>(with him I</w:t>
      </w:r>
      <w:r w:rsidR="00867989" w:rsidRPr="00CC6DFF">
        <w:rPr>
          <w:rFonts w:ascii="Arial" w:eastAsia="Calibri" w:hAnsi="Arial" w:cs="Arial"/>
          <w:sz w:val="24"/>
          <w:szCs w:val="24"/>
        </w:rPr>
        <w:t xml:space="preserve"> </w:t>
      </w:r>
      <w:r w:rsidR="00A631D7" w:rsidRPr="00CC6DFF">
        <w:rPr>
          <w:rFonts w:ascii="Arial" w:eastAsia="Calibri" w:hAnsi="Arial" w:cs="Arial"/>
          <w:sz w:val="24"/>
          <w:szCs w:val="24"/>
        </w:rPr>
        <w:t>M Hlalethoa)</w:t>
      </w:r>
    </w:p>
    <w:p w14:paraId="203C6FBC" w14:textId="6EAACC7F" w:rsidR="00913FB7" w:rsidRPr="00CC6DFF" w:rsidRDefault="00913FB7" w:rsidP="00867989">
      <w:pPr>
        <w:spacing w:after="0"/>
        <w:rPr>
          <w:rFonts w:ascii="Arial" w:eastAsia="Calibri" w:hAnsi="Arial" w:cs="Arial"/>
          <w:sz w:val="24"/>
          <w:szCs w:val="24"/>
        </w:rPr>
      </w:pPr>
      <w:r w:rsidRPr="00CC6DFF">
        <w:rPr>
          <w:rFonts w:ascii="Arial" w:eastAsia="Calibri" w:hAnsi="Arial" w:cs="Arial"/>
          <w:sz w:val="24"/>
          <w:szCs w:val="24"/>
        </w:rPr>
        <w:t>Instructed by:</w:t>
      </w:r>
      <w:r w:rsidRPr="00CC6DFF">
        <w:rPr>
          <w:rFonts w:ascii="Arial" w:hAnsi="Arial" w:cs="Arial"/>
          <w:bCs/>
          <w:sz w:val="24"/>
          <w:szCs w:val="24"/>
        </w:rPr>
        <w:tab/>
      </w:r>
      <w:r w:rsidRPr="00CC6DFF">
        <w:rPr>
          <w:rFonts w:ascii="Arial" w:hAnsi="Arial" w:cs="Arial"/>
          <w:bCs/>
          <w:sz w:val="24"/>
          <w:szCs w:val="24"/>
        </w:rPr>
        <w:tab/>
      </w:r>
      <w:r w:rsidRPr="00CC6DFF">
        <w:rPr>
          <w:rFonts w:ascii="Arial" w:eastAsia="Calibri" w:hAnsi="Arial" w:cs="Arial"/>
          <w:sz w:val="24"/>
          <w:szCs w:val="24"/>
        </w:rPr>
        <w:t>Coxwell, Steyn</w:t>
      </w:r>
      <w:r w:rsidRPr="00CC6DFF">
        <w:rPr>
          <w:rFonts w:ascii="Arial" w:hAnsi="Arial" w:cs="Arial"/>
          <w:bCs/>
          <w:sz w:val="24"/>
          <w:szCs w:val="24"/>
        </w:rPr>
        <w:t>, Vise and Naud</w:t>
      </w:r>
      <w:r w:rsidR="00867989" w:rsidRPr="00CC6DFF">
        <w:rPr>
          <w:rFonts w:ascii="Arial" w:hAnsi="Arial" w:cs="Arial"/>
          <w:bCs/>
          <w:sz w:val="24"/>
          <w:szCs w:val="24"/>
        </w:rPr>
        <w:t>é</w:t>
      </w:r>
      <w:r w:rsidRPr="00CC6DFF">
        <w:rPr>
          <w:rFonts w:ascii="Arial" w:hAnsi="Arial" w:cs="Arial"/>
          <w:bCs/>
          <w:sz w:val="24"/>
          <w:szCs w:val="24"/>
        </w:rPr>
        <w:t xml:space="preserve">, </w:t>
      </w:r>
      <w:r w:rsidRPr="00CC6DFF">
        <w:rPr>
          <w:rFonts w:ascii="Arial" w:eastAsia="Calibri" w:hAnsi="Arial" w:cs="Arial"/>
          <w:sz w:val="24"/>
          <w:szCs w:val="24"/>
        </w:rPr>
        <w:t>Thohoyandou</w:t>
      </w:r>
      <w:r w:rsidRPr="00CC6DFF">
        <w:rPr>
          <w:rFonts w:ascii="Arial" w:hAnsi="Arial" w:cs="Arial"/>
          <w:sz w:val="24"/>
          <w:szCs w:val="24"/>
        </w:rPr>
        <w:t xml:space="preserve"> </w:t>
      </w:r>
    </w:p>
    <w:p w14:paraId="49973D1D" w14:textId="77777777" w:rsidR="00913FB7" w:rsidRPr="00CC6DFF" w:rsidRDefault="00913FB7" w:rsidP="00867989">
      <w:pPr>
        <w:spacing w:after="0"/>
        <w:ind w:left="2160" w:firstLine="720"/>
        <w:rPr>
          <w:rFonts w:ascii="Arial" w:hAnsi="Arial" w:cs="Arial"/>
          <w:sz w:val="24"/>
          <w:szCs w:val="24"/>
        </w:rPr>
      </w:pPr>
      <w:r w:rsidRPr="00CC6DFF">
        <w:rPr>
          <w:rFonts w:ascii="Arial" w:eastAsia="Calibri" w:hAnsi="Arial" w:cs="Arial"/>
          <w:sz w:val="24"/>
          <w:szCs w:val="24"/>
        </w:rPr>
        <w:t xml:space="preserve">Horn &amp; Van Rensburg Attorneys, </w:t>
      </w:r>
      <w:r w:rsidRPr="00CC6DFF">
        <w:rPr>
          <w:rFonts w:ascii="Arial" w:hAnsi="Arial" w:cs="Arial"/>
          <w:sz w:val="24"/>
          <w:szCs w:val="24"/>
        </w:rPr>
        <w:t>Bloemfontein</w:t>
      </w:r>
    </w:p>
    <w:p w14:paraId="4A1055C1" w14:textId="77777777" w:rsidR="00913FB7" w:rsidRPr="00CC6DFF" w:rsidRDefault="00913FB7" w:rsidP="00867989">
      <w:pPr>
        <w:spacing w:after="0"/>
        <w:rPr>
          <w:rFonts w:ascii="Arial" w:hAnsi="Arial" w:cs="Arial"/>
          <w:sz w:val="24"/>
          <w:szCs w:val="24"/>
        </w:rPr>
      </w:pPr>
    </w:p>
    <w:p w14:paraId="76DACE34" w14:textId="77777777" w:rsidR="003F1BD6" w:rsidRPr="00CC6DFF" w:rsidRDefault="00913FB7" w:rsidP="00867989">
      <w:pPr>
        <w:spacing w:after="0"/>
        <w:rPr>
          <w:rFonts w:ascii="Arial" w:hAnsi="Arial" w:cs="Arial"/>
          <w:sz w:val="24"/>
          <w:szCs w:val="24"/>
        </w:rPr>
      </w:pPr>
      <w:r w:rsidRPr="00CC6DFF">
        <w:rPr>
          <w:rFonts w:ascii="Arial" w:hAnsi="Arial" w:cs="Arial"/>
          <w:sz w:val="24"/>
          <w:szCs w:val="24"/>
        </w:rPr>
        <w:t>For first respondent:</w:t>
      </w:r>
      <w:r w:rsidRPr="00CC6DFF">
        <w:rPr>
          <w:rFonts w:ascii="Arial" w:hAnsi="Arial" w:cs="Arial"/>
          <w:sz w:val="24"/>
          <w:szCs w:val="24"/>
        </w:rPr>
        <w:tab/>
      </w:r>
      <w:r w:rsidR="00396635" w:rsidRPr="00CC6DFF">
        <w:rPr>
          <w:rFonts w:ascii="Arial" w:hAnsi="Arial" w:cs="Arial"/>
          <w:sz w:val="24"/>
          <w:szCs w:val="24"/>
        </w:rPr>
        <w:tab/>
      </w:r>
      <w:r w:rsidRPr="00CC6DFF">
        <w:rPr>
          <w:rFonts w:ascii="Arial" w:hAnsi="Arial" w:cs="Arial"/>
          <w:sz w:val="24"/>
          <w:szCs w:val="24"/>
        </w:rPr>
        <w:t>U</w:t>
      </w:r>
      <w:r w:rsidR="00867989" w:rsidRPr="00CC6DFF">
        <w:rPr>
          <w:rFonts w:ascii="Arial" w:hAnsi="Arial" w:cs="Arial"/>
          <w:sz w:val="24"/>
          <w:szCs w:val="24"/>
        </w:rPr>
        <w:t xml:space="preserve"> </w:t>
      </w:r>
      <w:r w:rsidRPr="00CC6DFF">
        <w:rPr>
          <w:rFonts w:ascii="Arial" w:hAnsi="Arial" w:cs="Arial"/>
          <w:sz w:val="24"/>
          <w:szCs w:val="24"/>
        </w:rPr>
        <w:t>B Makuya (with him M</w:t>
      </w:r>
      <w:r w:rsidR="00867989" w:rsidRPr="00CC6DFF">
        <w:rPr>
          <w:rFonts w:ascii="Arial" w:hAnsi="Arial" w:cs="Arial"/>
          <w:sz w:val="24"/>
          <w:szCs w:val="24"/>
        </w:rPr>
        <w:t xml:space="preserve"> </w:t>
      </w:r>
      <w:r w:rsidRPr="00CC6DFF">
        <w:rPr>
          <w:rFonts w:ascii="Arial" w:hAnsi="Arial" w:cs="Arial"/>
          <w:sz w:val="24"/>
          <w:szCs w:val="24"/>
        </w:rPr>
        <w:t>C Netshiendeulu</w:t>
      </w:r>
      <w:r w:rsidR="00A631D7" w:rsidRPr="00CC6DFF">
        <w:rPr>
          <w:rFonts w:ascii="Arial" w:hAnsi="Arial" w:cs="Arial"/>
          <w:sz w:val="24"/>
          <w:szCs w:val="24"/>
        </w:rPr>
        <w:t xml:space="preserve"> and </w:t>
      </w:r>
    </w:p>
    <w:p w14:paraId="6FB6AD3E" w14:textId="43259B66" w:rsidR="00913FB7" w:rsidRPr="00CC6DFF" w:rsidRDefault="00A631D7" w:rsidP="003F1BD6">
      <w:pPr>
        <w:spacing w:after="0"/>
        <w:ind w:left="2160" w:firstLine="720"/>
        <w:rPr>
          <w:rFonts w:ascii="Arial" w:hAnsi="Arial" w:cs="Arial"/>
          <w:sz w:val="24"/>
          <w:szCs w:val="24"/>
        </w:rPr>
      </w:pPr>
      <w:r w:rsidRPr="00CC6DFF">
        <w:rPr>
          <w:rFonts w:ascii="Arial" w:hAnsi="Arial" w:cs="Arial"/>
          <w:sz w:val="24"/>
          <w:szCs w:val="24"/>
        </w:rPr>
        <w:t>L</w:t>
      </w:r>
      <w:r w:rsidR="00867989" w:rsidRPr="00CC6DFF">
        <w:rPr>
          <w:rFonts w:ascii="Arial" w:hAnsi="Arial" w:cs="Arial"/>
          <w:sz w:val="24"/>
          <w:szCs w:val="24"/>
        </w:rPr>
        <w:t xml:space="preserve"> </w:t>
      </w:r>
      <w:r w:rsidRPr="00CC6DFF">
        <w:rPr>
          <w:rFonts w:ascii="Arial" w:hAnsi="Arial" w:cs="Arial"/>
          <w:sz w:val="24"/>
          <w:szCs w:val="24"/>
        </w:rPr>
        <w:t>M Magau</w:t>
      </w:r>
      <w:r w:rsidR="00913FB7" w:rsidRPr="00CC6DFF">
        <w:rPr>
          <w:rFonts w:ascii="Arial" w:hAnsi="Arial" w:cs="Arial"/>
          <w:sz w:val="24"/>
          <w:szCs w:val="24"/>
        </w:rPr>
        <w:t xml:space="preserve">)                                      </w:t>
      </w:r>
    </w:p>
    <w:p w14:paraId="4E212573" w14:textId="29741F9F" w:rsidR="00913FB7" w:rsidRPr="00CC6DFF" w:rsidRDefault="00913FB7" w:rsidP="00867989">
      <w:pPr>
        <w:spacing w:after="0"/>
        <w:rPr>
          <w:rFonts w:ascii="Arial" w:eastAsia="Calibri" w:hAnsi="Arial" w:cs="Arial"/>
          <w:sz w:val="24"/>
          <w:szCs w:val="24"/>
        </w:rPr>
      </w:pPr>
      <w:r w:rsidRPr="00CC6DFF">
        <w:rPr>
          <w:rFonts w:ascii="Arial" w:eastAsia="Calibri" w:hAnsi="Arial" w:cs="Arial"/>
          <w:sz w:val="24"/>
          <w:szCs w:val="24"/>
        </w:rPr>
        <w:t>Instructed by:</w:t>
      </w:r>
      <w:r w:rsidRPr="00CC6DFF">
        <w:rPr>
          <w:rFonts w:ascii="Arial" w:eastAsia="Calibri" w:hAnsi="Arial" w:cs="Arial"/>
          <w:sz w:val="24"/>
          <w:szCs w:val="24"/>
        </w:rPr>
        <w:tab/>
      </w:r>
      <w:r w:rsidRPr="00CC6DFF">
        <w:rPr>
          <w:rFonts w:ascii="Arial" w:eastAsia="Calibri" w:hAnsi="Arial" w:cs="Arial"/>
          <w:sz w:val="24"/>
          <w:szCs w:val="24"/>
        </w:rPr>
        <w:tab/>
        <w:t>Erasmus Motaung Inc</w:t>
      </w:r>
      <w:r w:rsidR="00867989" w:rsidRPr="00CC6DFF">
        <w:rPr>
          <w:rFonts w:ascii="Arial" w:eastAsia="Calibri" w:hAnsi="Arial" w:cs="Arial"/>
          <w:sz w:val="24"/>
          <w:szCs w:val="24"/>
        </w:rPr>
        <w:t>orporated</w:t>
      </w:r>
      <w:r w:rsidRPr="00CC6DFF">
        <w:rPr>
          <w:rFonts w:ascii="Arial" w:eastAsia="Calibri" w:hAnsi="Arial" w:cs="Arial"/>
          <w:sz w:val="24"/>
          <w:szCs w:val="24"/>
        </w:rPr>
        <w:t>, Roodepoort</w:t>
      </w:r>
    </w:p>
    <w:p w14:paraId="68A6856A" w14:textId="77777777" w:rsidR="00913FB7" w:rsidRPr="00913FB7" w:rsidRDefault="00913FB7" w:rsidP="00867989">
      <w:pPr>
        <w:spacing w:after="0"/>
        <w:rPr>
          <w:rFonts w:ascii="Arial" w:eastAsia="Calibri" w:hAnsi="Arial" w:cs="Arial"/>
          <w:sz w:val="24"/>
          <w:szCs w:val="24"/>
        </w:rPr>
      </w:pPr>
      <w:r w:rsidRPr="00CC6DFF">
        <w:rPr>
          <w:rFonts w:ascii="Arial" w:eastAsia="Calibri" w:hAnsi="Arial" w:cs="Arial"/>
          <w:sz w:val="24"/>
          <w:szCs w:val="24"/>
        </w:rPr>
        <w:tab/>
      </w:r>
      <w:r w:rsidRPr="00CC6DFF">
        <w:rPr>
          <w:rFonts w:ascii="Arial" w:eastAsia="Calibri" w:hAnsi="Arial" w:cs="Arial"/>
          <w:sz w:val="24"/>
          <w:szCs w:val="24"/>
        </w:rPr>
        <w:tab/>
      </w:r>
      <w:r w:rsidRPr="00CC6DFF">
        <w:rPr>
          <w:rFonts w:ascii="Arial" w:eastAsia="Calibri" w:hAnsi="Arial" w:cs="Arial"/>
          <w:sz w:val="24"/>
          <w:szCs w:val="24"/>
        </w:rPr>
        <w:tab/>
      </w:r>
      <w:r w:rsidRPr="00CC6DFF">
        <w:rPr>
          <w:rFonts w:ascii="Arial" w:eastAsia="Calibri" w:hAnsi="Arial" w:cs="Arial"/>
          <w:sz w:val="24"/>
          <w:szCs w:val="24"/>
        </w:rPr>
        <w:tab/>
        <w:t>Phatshoane Henney Attorneys, Bloemfontein</w:t>
      </w:r>
    </w:p>
    <w:p w14:paraId="57592F23" w14:textId="77777777" w:rsidR="00913FB7" w:rsidRPr="00913FB7" w:rsidRDefault="00913FB7" w:rsidP="00867989">
      <w:pPr>
        <w:spacing w:after="0"/>
        <w:rPr>
          <w:rFonts w:ascii="Arial" w:hAnsi="Arial" w:cs="Arial"/>
          <w:lang w:val="en-GB"/>
        </w:rPr>
      </w:pPr>
      <w:r w:rsidRPr="00913FB7">
        <w:rPr>
          <w:rFonts w:ascii="Arial" w:hAnsi="Arial" w:cs="Arial"/>
          <w:lang w:val="en-GB"/>
        </w:rPr>
        <w:t xml:space="preserve"> </w:t>
      </w:r>
    </w:p>
    <w:p w14:paraId="137246AE" w14:textId="77777777" w:rsidR="001776A6" w:rsidRPr="00913FB7" w:rsidRDefault="001776A6">
      <w:pPr>
        <w:rPr>
          <w:rFonts w:ascii="Arial" w:hAnsi="Arial" w:cs="Arial"/>
        </w:rPr>
      </w:pPr>
    </w:p>
    <w:sectPr w:rsidR="001776A6" w:rsidRPr="00913FB7" w:rsidSect="00BC75D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EB1F" w14:textId="77777777" w:rsidR="00B7279F" w:rsidRDefault="00B7279F" w:rsidP="00913FB7">
      <w:pPr>
        <w:spacing w:after="0" w:line="240" w:lineRule="auto"/>
      </w:pPr>
      <w:r>
        <w:separator/>
      </w:r>
    </w:p>
  </w:endnote>
  <w:endnote w:type="continuationSeparator" w:id="0">
    <w:p w14:paraId="53FA7D30" w14:textId="77777777" w:rsidR="00B7279F" w:rsidRDefault="00B7279F" w:rsidP="0091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2342F" w14:textId="77777777" w:rsidR="00B7279F" w:rsidRDefault="00B7279F" w:rsidP="00913FB7">
      <w:pPr>
        <w:spacing w:after="0" w:line="240" w:lineRule="auto"/>
      </w:pPr>
      <w:r>
        <w:separator/>
      </w:r>
    </w:p>
  </w:footnote>
  <w:footnote w:type="continuationSeparator" w:id="0">
    <w:p w14:paraId="627C3BD2" w14:textId="77777777" w:rsidR="00B7279F" w:rsidRDefault="00B7279F" w:rsidP="00913FB7">
      <w:pPr>
        <w:spacing w:after="0" w:line="240" w:lineRule="auto"/>
      </w:pPr>
      <w:r>
        <w:continuationSeparator/>
      </w:r>
    </w:p>
  </w:footnote>
  <w:footnote w:id="1">
    <w:p w14:paraId="43862DD9" w14:textId="77777777" w:rsidR="00644C8F" w:rsidRPr="00CC4CE2" w:rsidRDefault="00644C8F" w:rsidP="00D015B0">
      <w:pPr>
        <w:pStyle w:val="FootnoteText"/>
        <w:rPr>
          <w:rFonts w:ascii="Arial" w:hAnsi="Arial" w:cs="Arial"/>
          <w:lang w:val="en-US"/>
        </w:rPr>
      </w:pPr>
      <w:r w:rsidRPr="00CC4CE2">
        <w:rPr>
          <w:rStyle w:val="FootnoteReference"/>
          <w:rFonts w:ascii="Arial" w:hAnsi="Arial" w:cs="Arial"/>
        </w:rPr>
        <w:footnoteRef/>
      </w:r>
      <w:r w:rsidRPr="00CC4CE2">
        <w:rPr>
          <w:rFonts w:ascii="Arial" w:hAnsi="Arial" w:cs="Arial"/>
        </w:rPr>
        <w:t xml:space="preserve"> </w:t>
      </w:r>
      <w:r w:rsidRPr="00DC40B1">
        <w:rPr>
          <w:rFonts w:ascii="Arial" w:hAnsi="Arial" w:cs="Arial"/>
        </w:rPr>
        <w:t>Clause 4.5 refers to annexure 2, which in turn deals with the rates at which passengers would purchase tickets from Do Light. There does not seem to be any dispute around this.</w:t>
      </w:r>
    </w:p>
  </w:footnote>
  <w:footnote w:id="2">
    <w:p w14:paraId="5E2AC784" w14:textId="4D6E4112" w:rsidR="001776A6" w:rsidRPr="00DC40B1" w:rsidRDefault="001776A6" w:rsidP="00CC4CE2">
      <w:pPr>
        <w:pStyle w:val="Heading2"/>
        <w:shd w:val="clear" w:color="auto" w:fill="FFFFFF"/>
        <w:spacing w:before="0" w:line="240" w:lineRule="auto"/>
        <w:rPr>
          <w:rFonts w:ascii="Arial" w:hAnsi="Arial" w:cs="Arial"/>
          <w:color w:val="auto"/>
          <w:sz w:val="20"/>
          <w:szCs w:val="20"/>
          <w:lang w:eastAsia="en-ZA"/>
        </w:rPr>
      </w:pPr>
      <w:r w:rsidRPr="00DC40B1">
        <w:rPr>
          <w:rStyle w:val="FootnoteReference"/>
          <w:rFonts w:ascii="Arial" w:hAnsi="Arial" w:cs="Arial"/>
          <w:color w:val="auto"/>
          <w:sz w:val="20"/>
          <w:szCs w:val="20"/>
        </w:rPr>
        <w:footnoteRef/>
      </w:r>
      <w:r w:rsidRPr="00DC40B1">
        <w:rPr>
          <w:rFonts w:ascii="Arial" w:hAnsi="Arial" w:cs="Arial"/>
          <w:color w:val="auto"/>
          <w:sz w:val="20"/>
          <w:szCs w:val="20"/>
        </w:rPr>
        <w:t xml:space="preserve"> </w:t>
      </w:r>
      <w:r w:rsidRPr="00DC40B1">
        <w:rPr>
          <w:rFonts w:ascii="Arial" w:eastAsia="Times New Roman" w:hAnsi="Arial" w:cs="Arial"/>
          <w:i/>
          <w:color w:val="auto"/>
          <w:sz w:val="20"/>
          <w:szCs w:val="20"/>
          <w:lang w:eastAsia="en-ZA"/>
        </w:rPr>
        <w:t>Ekurhuleni Metropolitan Municipality v Germiston Municipal Retirement Fund</w:t>
      </w:r>
      <w:r w:rsidRPr="00DC40B1">
        <w:rPr>
          <w:rFonts w:ascii="Arial" w:eastAsia="Times New Roman" w:hAnsi="Arial" w:cs="Arial"/>
          <w:color w:val="auto"/>
          <w:sz w:val="20"/>
          <w:szCs w:val="20"/>
          <w:lang w:eastAsia="en-ZA"/>
        </w:rPr>
        <w:t xml:space="preserve"> [2009] ZASCA 154; 2010 (2) SA 498 (SCA); [2010] 2 All SA 195 (SCA) (</w:t>
      </w:r>
      <w:r w:rsidRPr="00DC40B1">
        <w:rPr>
          <w:rFonts w:ascii="Arial" w:eastAsia="Times New Roman" w:hAnsi="Arial" w:cs="Arial"/>
          <w:i/>
          <w:color w:val="auto"/>
          <w:sz w:val="20"/>
          <w:szCs w:val="20"/>
          <w:lang w:eastAsia="en-ZA"/>
        </w:rPr>
        <w:t>Germiston Municipal Retirement Fund</w:t>
      </w:r>
      <w:r w:rsidRPr="00DC40B1">
        <w:rPr>
          <w:rFonts w:ascii="Arial" w:eastAsia="Times New Roman" w:hAnsi="Arial" w:cs="Arial"/>
          <w:color w:val="auto"/>
          <w:sz w:val="20"/>
          <w:szCs w:val="20"/>
          <w:lang w:eastAsia="en-ZA"/>
        </w:rPr>
        <w:t>) para 13.</w:t>
      </w:r>
    </w:p>
  </w:footnote>
  <w:footnote w:id="3">
    <w:p w14:paraId="2A34F915" w14:textId="77777777" w:rsidR="001776A6" w:rsidRPr="00DC40B1" w:rsidRDefault="001776A6" w:rsidP="00212F3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Ibid.</w:t>
      </w:r>
    </w:p>
  </w:footnote>
  <w:footnote w:id="4">
    <w:p w14:paraId="4D446435" w14:textId="77777777" w:rsidR="001776A6" w:rsidRPr="00DC40B1" w:rsidRDefault="001776A6" w:rsidP="00212F3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w:t>
      </w:r>
      <w:r w:rsidRPr="00DC40B1">
        <w:rPr>
          <w:rFonts w:ascii="Arial" w:hAnsi="Arial" w:cs="Arial"/>
          <w:i/>
          <w:lang w:eastAsia="en-ZA"/>
        </w:rPr>
        <w:t>University of Johannesburg v Auckland Park Theological Seminary and Another</w:t>
      </w:r>
      <w:r w:rsidRPr="00DC40B1">
        <w:rPr>
          <w:rFonts w:ascii="Arial" w:hAnsi="Arial" w:cs="Arial"/>
          <w:lang w:eastAsia="en-ZA"/>
        </w:rPr>
        <w:t xml:space="preserve"> [2021] ZACC 13; 2021 (8) BCLR 807 (CC); 2021 (6) SA 1 (CC) para 66.</w:t>
      </w:r>
    </w:p>
  </w:footnote>
  <w:footnote w:id="5">
    <w:p w14:paraId="53C52D54" w14:textId="77777777" w:rsidR="001776A6" w:rsidRPr="00DC40B1" w:rsidRDefault="001776A6" w:rsidP="00CC4CE2">
      <w:pPr>
        <w:shd w:val="clear" w:color="auto" w:fill="FFFFFF"/>
        <w:spacing w:after="0" w:line="240" w:lineRule="auto"/>
        <w:contextualSpacing/>
        <w:rPr>
          <w:rFonts w:ascii="Arial" w:hAnsi="Arial" w:cs="Arial"/>
          <w:sz w:val="20"/>
          <w:szCs w:val="20"/>
          <w:highlight w:val="cyan"/>
          <w:lang w:eastAsia="en-ZA"/>
        </w:rPr>
      </w:pPr>
      <w:r w:rsidRPr="00DC40B1">
        <w:rPr>
          <w:rStyle w:val="FootnoteReference"/>
          <w:rFonts w:ascii="Arial" w:hAnsi="Arial" w:cs="Arial"/>
          <w:sz w:val="20"/>
          <w:szCs w:val="20"/>
        </w:rPr>
        <w:footnoteRef/>
      </w:r>
      <w:r w:rsidRPr="00DC40B1">
        <w:rPr>
          <w:rFonts w:ascii="Arial" w:hAnsi="Arial" w:cs="Arial"/>
          <w:sz w:val="20"/>
          <w:szCs w:val="20"/>
        </w:rPr>
        <w:t xml:space="preserve"> Ibid.</w:t>
      </w:r>
    </w:p>
  </w:footnote>
  <w:footnote w:id="6">
    <w:p w14:paraId="4E68D4D1" w14:textId="19C32C87"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w:t>
      </w:r>
      <w:r w:rsidRPr="00DC40B1">
        <w:rPr>
          <w:rFonts w:ascii="Arial" w:hAnsi="Arial" w:cs="Arial"/>
          <w:i/>
          <w:shd w:val="clear" w:color="auto" w:fill="FFFFFF"/>
          <w:lang w:eastAsia="en-ZA"/>
        </w:rPr>
        <w:t>Genac Properties JHB (Pty) Ltd v NBC Administrators CC </w:t>
      </w:r>
      <w:r w:rsidRPr="00DC40B1">
        <w:rPr>
          <w:rFonts w:ascii="Arial" w:hAnsi="Arial" w:cs="Arial"/>
          <w:shd w:val="clear" w:color="auto" w:fill="FFFFFF"/>
          <w:lang w:eastAsia="en-ZA"/>
        </w:rPr>
        <w:t>1992 (1) SA 566 (A) at 579F-H.</w:t>
      </w:r>
    </w:p>
  </w:footnote>
  <w:footnote w:id="7">
    <w:p w14:paraId="26B945F2" w14:textId="27E54F9B"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w:t>
      </w:r>
      <w:r w:rsidRPr="00DC40B1">
        <w:rPr>
          <w:rFonts w:ascii="Arial" w:hAnsi="Arial" w:cs="Arial"/>
          <w:i/>
          <w:lang w:eastAsia="en-ZA"/>
        </w:rPr>
        <w:t>Hoffmann and Carvalho v Minister of Agriculture</w:t>
      </w:r>
      <w:r w:rsidRPr="00DC40B1">
        <w:rPr>
          <w:rFonts w:ascii="Arial" w:hAnsi="Arial" w:cs="Arial"/>
          <w:lang w:eastAsia="en-ZA"/>
        </w:rPr>
        <w:t xml:space="preserve"> 1947 (2) SA 855 (T) (</w:t>
      </w:r>
      <w:r w:rsidRPr="00DC40B1">
        <w:rPr>
          <w:rFonts w:ascii="Arial" w:hAnsi="Arial" w:cs="Arial"/>
          <w:i/>
          <w:lang w:eastAsia="en-ZA"/>
        </w:rPr>
        <w:t>Hoffmann</w:t>
      </w:r>
      <w:r w:rsidRPr="00DC40B1">
        <w:rPr>
          <w:rFonts w:ascii="Arial" w:hAnsi="Arial" w:cs="Arial"/>
          <w:lang w:eastAsia="en-ZA"/>
        </w:rPr>
        <w:t>).</w:t>
      </w:r>
    </w:p>
  </w:footnote>
  <w:footnote w:id="8">
    <w:p w14:paraId="2CBD1D99" w14:textId="77777777"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Ibid </w:t>
      </w:r>
      <w:r w:rsidRPr="00DC40B1">
        <w:rPr>
          <w:rFonts w:ascii="Arial" w:hAnsi="Arial" w:cs="Arial"/>
          <w:bCs/>
        </w:rPr>
        <w:t>at 860.</w:t>
      </w:r>
    </w:p>
  </w:footnote>
  <w:footnote w:id="9">
    <w:p w14:paraId="6E253166" w14:textId="522B13B3"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w:t>
      </w:r>
      <w:r w:rsidRPr="00DC40B1">
        <w:rPr>
          <w:rFonts w:ascii="Arial" w:hAnsi="Arial" w:cs="Arial"/>
          <w:i/>
          <w:iCs/>
          <w:lang w:eastAsia="en-ZA"/>
        </w:rPr>
        <w:t xml:space="preserve">Soteriou v Retco Poyntons (Pty) Ltd </w:t>
      </w:r>
      <w:r w:rsidRPr="00DC40B1">
        <w:rPr>
          <w:rFonts w:ascii="Arial" w:hAnsi="Arial" w:cs="Arial"/>
          <w:lang w:eastAsia="en-ZA"/>
        </w:rPr>
        <w:t xml:space="preserve">1985 (2) </w:t>
      </w:r>
      <w:r w:rsidR="006452F2" w:rsidRPr="00DC40B1">
        <w:rPr>
          <w:rFonts w:ascii="Arial" w:hAnsi="Arial" w:cs="Arial"/>
          <w:lang w:eastAsia="en-ZA"/>
        </w:rPr>
        <w:t xml:space="preserve">SA </w:t>
      </w:r>
      <w:r w:rsidRPr="00DC40B1">
        <w:rPr>
          <w:rFonts w:ascii="Arial" w:hAnsi="Arial" w:cs="Arial"/>
          <w:lang w:eastAsia="en-ZA"/>
        </w:rPr>
        <w:t>922 (A).</w:t>
      </w:r>
    </w:p>
  </w:footnote>
  <w:footnote w:id="10">
    <w:p w14:paraId="23E50673" w14:textId="77777777"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Ibid at </w:t>
      </w:r>
      <w:r w:rsidRPr="00DC40B1">
        <w:rPr>
          <w:rFonts w:ascii="Arial" w:hAnsi="Arial" w:cs="Arial"/>
          <w:lang w:eastAsia="en-ZA"/>
        </w:rPr>
        <w:t>931G-H.</w:t>
      </w:r>
    </w:p>
  </w:footnote>
  <w:footnote w:id="11">
    <w:p w14:paraId="24352EF0" w14:textId="77777777" w:rsidR="008017CE" w:rsidRPr="00DC40B1" w:rsidRDefault="008017CE" w:rsidP="008017CE">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w:t>
      </w:r>
      <w:r w:rsidRPr="00DC40B1">
        <w:rPr>
          <w:rFonts w:ascii="Arial" w:hAnsi="Arial" w:cs="Arial"/>
          <w:i/>
          <w:lang w:eastAsia="en-ZA"/>
        </w:rPr>
        <w:t xml:space="preserve">Comwezi Security Services (Pty) Ltd and Another v Cape Empowerment Trust Ltd </w:t>
      </w:r>
      <w:r w:rsidRPr="00DC40B1">
        <w:rPr>
          <w:rFonts w:ascii="Arial" w:hAnsi="Arial" w:cs="Arial"/>
          <w:lang w:eastAsia="en-ZA"/>
        </w:rPr>
        <w:t>[2012] ZASCA 126</w:t>
      </w:r>
      <w:r w:rsidR="008558CB" w:rsidRPr="00DC40B1">
        <w:rPr>
          <w:rFonts w:ascii="Arial" w:hAnsi="Arial" w:cs="Arial"/>
          <w:lang w:eastAsia="en-ZA"/>
        </w:rPr>
        <w:t xml:space="preserve"> (SCA)</w:t>
      </w:r>
      <w:r w:rsidRPr="00DC40B1">
        <w:rPr>
          <w:rFonts w:ascii="Arial" w:hAnsi="Arial" w:cs="Arial"/>
          <w:lang w:eastAsia="en-ZA"/>
        </w:rPr>
        <w:t>.</w:t>
      </w:r>
    </w:p>
  </w:footnote>
  <w:footnote w:id="12">
    <w:p w14:paraId="275679C4" w14:textId="77777777"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w:t>
      </w:r>
      <w:r w:rsidRPr="00DC40B1">
        <w:rPr>
          <w:rFonts w:ascii="Arial" w:hAnsi="Arial" w:cs="Arial"/>
          <w:lang w:val="en-US"/>
        </w:rPr>
        <w:t xml:space="preserve">Ibid </w:t>
      </w:r>
      <w:r w:rsidRPr="00DC40B1">
        <w:rPr>
          <w:rFonts w:ascii="Arial" w:hAnsi="Arial" w:cs="Arial"/>
          <w:lang w:eastAsia="en-ZA"/>
        </w:rPr>
        <w:t>para 15.</w:t>
      </w:r>
    </w:p>
  </w:footnote>
  <w:footnote w:id="13">
    <w:p w14:paraId="3B8A201B" w14:textId="77777777" w:rsidR="001776A6" w:rsidRPr="00DC40B1" w:rsidRDefault="001776A6" w:rsidP="00913FB7">
      <w:pPr>
        <w:pStyle w:val="FootnoteText"/>
        <w:rPr>
          <w:rFonts w:ascii="Arial" w:hAnsi="Arial" w:cs="Arial"/>
          <w:lang w:eastAsia="en-ZA"/>
        </w:rPr>
      </w:pPr>
      <w:r w:rsidRPr="00DC40B1">
        <w:rPr>
          <w:rStyle w:val="FootnoteReference"/>
          <w:rFonts w:ascii="Arial" w:hAnsi="Arial" w:cs="Arial"/>
        </w:rPr>
        <w:footnoteRef/>
      </w:r>
      <w:r w:rsidRPr="00DC40B1">
        <w:rPr>
          <w:rFonts w:ascii="Arial" w:hAnsi="Arial" w:cs="Arial"/>
        </w:rPr>
        <w:t xml:space="preserve"> </w:t>
      </w:r>
      <w:r w:rsidRPr="00DC40B1">
        <w:rPr>
          <w:rFonts w:ascii="Arial" w:hAnsi="Arial" w:cs="Arial"/>
          <w:i/>
          <w:lang w:eastAsia="en-ZA"/>
        </w:rPr>
        <w:t>Capitec Bank Holdings Limited and Another v Coral Lagoon Investments 194 (Pty) Ltd and Others</w:t>
      </w:r>
      <w:r w:rsidRPr="00DC40B1">
        <w:rPr>
          <w:rFonts w:ascii="Arial" w:hAnsi="Arial" w:cs="Arial"/>
          <w:lang w:eastAsia="en-ZA"/>
        </w:rPr>
        <w:t xml:space="preserve"> [2021] ZASCA 99; [2021] 3 All SA 647 (SCA); 2022 (1) SA 100 (SCA).</w:t>
      </w:r>
    </w:p>
  </w:footnote>
  <w:footnote w:id="14">
    <w:p w14:paraId="3CFE85B9" w14:textId="77777777"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w:t>
      </w:r>
      <w:r w:rsidRPr="00DC40B1">
        <w:rPr>
          <w:rFonts w:ascii="Arial" w:hAnsi="Arial" w:cs="Arial"/>
          <w:lang w:val="en-US"/>
        </w:rPr>
        <w:t>Ibid para 48.</w:t>
      </w:r>
    </w:p>
  </w:footnote>
  <w:footnote w:id="15">
    <w:p w14:paraId="0B5CE2DA" w14:textId="77777777"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w:t>
      </w:r>
      <w:r w:rsidRPr="00DC40B1">
        <w:rPr>
          <w:rFonts w:ascii="Arial" w:hAnsi="Arial" w:cs="Arial"/>
          <w:lang w:val="en-US"/>
        </w:rPr>
        <w:t>Ibid.</w:t>
      </w:r>
    </w:p>
  </w:footnote>
  <w:footnote w:id="16">
    <w:p w14:paraId="0577741B" w14:textId="77777777"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w:t>
      </w:r>
      <w:r w:rsidRPr="00DC40B1">
        <w:rPr>
          <w:rFonts w:ascii="Arial" w:hAnsi="Arial" w:cs="Arial"/>
          <w:i/>
          <w:lang w:val="en-US"/>
        </w:rPr>
        <w:t>Hoffmann</w:t>
      </w:r>
      <w:r w:rsidRPr="00DC40B1">
        <w:rPr>
          <w:rFonts w:ascii="Arial" w:hAnsi="Arial" w:cs="Arial"/>
          <w:lang w:val="en-US"/>
        </w:rPr>
        <w:t xml:space="preserve"> at 860.</w:t>
      </w:r>
    </w:p>
  </w:footnote>
  <w:footnote w:id="17">
    <w:p w14:paraId="52ADD80B" w14:textId="77777777"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w:t>
      </w:r>
      <w:r w:rsidRPr="00DC40B1">
        <w:rPr>
          <w:rFonts w:ascii="Arial" w:hAnsi="Arial" w:cs="Arial"/>
          <w:i/>
          <w:lang w:eastAsia="en-ZA"/>
        </w:rPr>
        <w:t xml:space="preserve">Germiston Municipality Retirement Fund </w:t>
      </w:r>
      <w:r w:rsidRPr="00DC40B1">
        <w:rPr>
          <w:rFonts w:ascii="Arial" w:hAnsi="Arial" w:cs="Arial"/>
          <w:lang w:eastAsia="en-ZA"/>
        </w:rPr>
        <w:t>fn 9 above, para 13.</w:t>
      </w:r>
    </w:p>
  </w:footnote>
  <w:footnote w:id="18">
    <w:p w14:paraId="72460C96" w14:textId="77777777"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w:t>
      </w:r>
      <w:r w:rsidRPr="00DC40B1">
        <w:rPr>
          <w:rFonts w:ascii="Arial" w:eastAsiaTheme="minorHAnsi" w:hAnsi="Arial" w:cs="Arial"/>
          <w:i/>
          <w:shd w:val="clear" w:color="auto" w:fill="FFFFFF"/>
        </w:rPr>
        <w:t>T</w:t>
      </w:r>
      <w:r w:rsidRPr="00DC40B1">
        <w:rPr>
          <w:rFonts w:ascii="Arial" w:eastAsiaTheme="minorHAnsi" w:hAnsi="Arial" w:cs="Arial"/>
          <w:i/>
        </w:rPr>
        <w:t>ra</w:t>
      </w:r>
      <w:r w:rsidRPr="00DC40B1">
        <w:rPr>
          <w:rFonts w:ascii="Arial" w:hAnsi="Arial" w:cs="Arial"/>
          <w:i/>
        </w:rPr>
        <w:t xml:space="preserve">nsnet Ltd v Rubenstein </w:t>
      </w:r>
      <w:r w:rsidRPr="00DC40B1">
        <w:rPr>
          <w:rFonts w:ascii="Arial" w:hAnsi="Arial" w:cs="Arial"/>
        </w:rPr>
        <w:t>2006 (1) SA 591 (SCA); [2005] 3 All SA 425 (SCA).</w:t>
      </w:r>
    </w:p>
  </w:footnote>
  <w:footnote w:id="19">
    <w:p w14:paraId="045DDA98" w14:textId="6F8FFA7A" w:rsidR="001776A6" w:rsidRPr="00DC40B1" w:rsidRDefault="001776A6" w:rsidP="00913FB7">
      <w:pPr>
        <w:pStyle w:val="FootnoteText"/>
        <w:rPr>
          <w:rFonts w:ascii="Arial" w:hAnsi="Arial" w:cs="Arial"/>
          <w:lang w:val="en-US"/>
        </w:rPr>
      </w:pPr>
      <w:r w:rsidRPr="00DC40B1">
        <w:rPr>
          <w:rStyle w:val="FootnoteReference"/>
          <w:rFonts w:ascii="Arial" w:hAnsi="Arial" w:cs="Arial"/>
        </w:rPr>
        <w:footnoteRef/>
      </w:r>
      <w:r w:rsidRPr="00DC40B1">
        <w:rPr>
          <w:rFonts w:ascii="Arial" w:hAnsi="Arial" w:cs="Arial"/>
        </w:rPr>
        <w:t xml:space="preserve"> Ibid para</w:t>
      </w:r>
      <w:r w:rsidR="004F5DD1" w:rsidRPr="00DC40B1">
        <w:rPr>
          <w:rFonts w:ascii="Arial" w:hAnsi="Arial" w:cs="Arial"/>
        </w:rPr>
        <w:t>s</w:t>
      </w:r>
      <w:r w:rsidRPr="00DC40B1">
        <w:rPr>
          <w:rFonts w:ascii="Arial" w:hAnsi="Arial" w:cs="Arial"/>
        </w:rPr>
        <w:t xml:space="preserve"> 13, 18 and 19.</w:t>
      </w:r>
    </w:p>
  </w:footnote>
  <w:footnote w:id="20">
    <w:p w14:paraId="1F97B5B0" w14:textId="01890672" w:rsidR="001776A6" w:rsidRPr="00DC40B1" w:rsidRDefault="001776A6" w:rsidP="00913FB7">
      <w:pPr>
        <w:pStyle w:val="JUDGMENTNUMBERED"/>
        <w:numPr>
          <w:ilvl w:val="0"/>
          <w:numId w:val="0"/>
        </w:numPr>
        <w:spacing w:line="240" w:lineRule="auto"/>
      </w:pPr>
      <w:r w:rsidRPr="00DC40B1">
        <w:rPr>
          <w:rStyle w:val="FootnoteReference"/>
          <w:rFonts w:ascii="Arial" w:hAnsi="Arial" w:cs="Arial"/>
          <w:sz w:val="20"/>
          <w:szCs w:val="20"/>
        </w:rPr>
        <w:footnoteRef/>
      </w:r>
      <w:r w:rsidRPr="00DC40B1">
        <w:rPr>
          <w:rFonts w:ascii="Arial" w:hAnsi="Arial" w:cs="Arial"/>
          <w:sz w:val="20"/>
          <w:szCs w:val="20"/>
        </w:rPr>
        <w:t xml:space="preserve"> The so-called ‘officious bystander’ test is often applied, which originates from English law and has found application in our law</w:t>
      </w:r>
      <w:r w:rsidR="001E0284">
        <w:rPr>
          <w:rFonts w:ascii="Arial" w:hAnsi="Arial" w:cs="Arial"/>
          <w:sz w:val="20"/>
          <w:szCs w:val="20"/>
        </w:rPr>
        <w:t>. T</w:t>
      </w:r>
      <w:r w:rsidRPr="00DC40B1">
        <w:rPr>
          <w:rFonts w:ascii="Arial" w:hAnsi="Arial" w:cs="Arial"/>
          <w:sz w:val="20"/>
          <w:szCs w:val="20"/>
        </w:rPr>
        <w:t>he essence of which is that were an officious bystander to suggest some express provision for a term in their agreement, it would be one which the parties would readily agree was their intention.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34678"/>
      <w:docPartObj>
        <w:docPartGallery w:val="Page Numbers (Top of Page)"/>
        <w:docPartUnique/>
      </w:docPartObj>
    </w:sdtPr>
    <w:sdtEndPr>
      <w:rPr>
        <w:noProof/>
      </w:rPr>
    </w:sdtEndPr>
    <w:sdtContent>
      <w:p w14:paraId="76EC950D" w14:textId="1A5910B4" w:rsidR="001776A6" w:rsidRDefault="001776A6">
        <w:pPr>
          <w:pStyle w:val="Header"/>
          <w:jc w:val="right"/>
        </w:pPr>
        <w:r w:rsidRPr="00A631D7">
          <w:rPr>
            <w:rFonts w:ascii="Arial" w:hAnsi="Arial" w:cs="Arial"/>
          </w:rPr>
          <w:fldChar w:fldCharType="begin"/>
        </w:r>
        <w:r w:rsidRPr="00A631D7">
          <w:rPr>
            <w:rFonts w:ascii="Arial" w:hAnsi="Arial" w:cs="Arial"/>
          </w:rPr>
          <w:instrText xml:space="preserve"> PAGE   \* MERGEFORMAT </w:instrText>
        </w:r>
        <w:r w:rsidRPr="00A631D7">
          <w:rPr>
            <w:rFonts w:ascii="Arial" w:hAnsi="Arial" w:cs="Arial"/>
          </w:rPr>
          <w:fldChar w:fldCharType="separate"/>
        </w:r>
        <w:r w:rsidR="00311C8E">
          <w:rPr>
            <w:rFonts w:ascii="Arial" w:hAnsi="Arial" w:cs="Arial"/>
            <w:noProof/>
          </w:rPr>
          <w:t>5</w:t>
        </w:r>
        <w:r w:rsidRPr="00A631D7">
          <w:rPr>
            <w:rFonts w:ascii="Arial" w:hAnsi="Arial" w:cs="Arial"/>
            <w:noProof/>
          </w:rPr>
          <w:fldChar w:fldCharType="end"/>
        </w:r>
      </w:p>
    </w:sdtContent>
  </w:sdt>
  <w:p w14:paraId="6D1EFD5E" w14:textId="77777777" w:rsidR="001776A6" w:rsidRDefault="001776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0F1E4556"/>
    <w:lvl w:ilvl="0" w:tplc="5840E93A">
      <w:start w:val="1"/>
      <w:numFmt w:val="decimal"/>
      <w:pStyle w:val="JUDGMENTNUMBERED"/>
      <w:lvlText w:val="[%1]"/>
      <w:lvlJc w:val="left"/>
      <w:pPr>
        <w:ind w:left="3338"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1537" w:hanging="360"/>
      </w:pPr>
      <w:rPr>
        <w:rFonts w:cs="Times New Roman" w:hint="default"/>
      </w:rPr>
    </w:lvl>
    <w:lvl w:ilvl="2" w:tplc="E2880030">
      <w:start w:val="1"/>
      <w:numFmt w:val="decimal"/>
      <w:lvlText w:val="%3."/>
      <w:lvlJc w:val="left"/>
      <w:pPr>
        <w:ind w:left="-637" w:hanging="360"/>
      </w:pPr>
      <w:rPr>
        <w:rFonts w:ascii="Times New Roman" w:hAnsi="Times New Roman" w:cs="Times New Roman" w:hint="default"/>
        <w:i w:val="0"/>
        <w:sz w:val="28"/>
        <w:szCs w:val="28"/>
      </w:rPr>
    </w:lvl>
    <w:lvl w:ilvl="3" w:tplc="51F0B930">
      <w:start w:val="1"/>
      <w:numFmt w:val="lowerLetter"/>
      <w:lvlText w:val="(%4)"/>
      <w:lvlJc w:val="left"/>
      <w:pPr>
        <w:ind w:left="-727" w:hanging="720"/>
      </w:pPr>
      <w:rPr>
        <w:rFonts w:ascii="Times New Roman" w:eastAsia="Times New Roman" w:hAnsi="Times New Roman" w:cs="Times New Roman" w:hint="default"/>
        <w:b w:val="0"/>
        <w:bCs w:val="0"/>
        <w:i/>
        <w:iCs/>
      </w:rPr>
    </w:lvl>
    <w:lvl w:ilvl="4" w:tplc="AC666328">
      <w:start w:val="1"/>
      <w:numFmt w:val="lowerLetter"/>
      <w:lvlText w:val="(%5)"/>
      <w:lvlJc w:val="left"/>
      <w:pPr>
        <w:ind w:left="623" w:hanging="360"/>
      </w:pPr>
      <w:rPr>
        <w:rFonts w:hint="default"/>
      </w:rPr>
    </w:lvl>
    <w:lvl w:ilvl="5" w:tplc="0409001B">
      <w:start w:val="1"/>
      <w:numFmt w:val="lowerRoman"/>
      <w:lvlText w:val="%6."/>
      <w:lvlJc w:val="right"/>
      <w:pPr>
        <w:ind w:left="1343" w:hanging="180"/>
      </w:pPr>
      <w:rPr>
        <w:rFonts w:cs="Times New Roman"/>
      </w:rPr>
    </w:lvl>
    <w:lvl w:ilvl="6" w:tplc="0409000F" w:tentative="1">
      <w:start w:val="1"/>
      <w:numFmt w:val="decimal"/>
      <w:lvlText w:val="%7."/>
      <w:lvlJc w:val="left"/>
      <w:pPr>
        <w:ind w:left="2063" w:hanging="360"/>
      </w:pPr>
      <w:rPr>
        <w:rFonts w:cs="Times New Roman"/>
      </w:rPr>
    </w:lvl>
    <w:lvl w:ilvl="7" w:tplc="04090019" w:tentative="1">
      <w:start w:val="1"/>
      <w:numFmt w:val="lowerLetter"/>
      <w:lvlText w:val="%8."/>
      <w:lvlJc w:val="left"/>
      <w:pPr>
        <w:ind w:left="2783" w:hanging="360"/>
      </w:pPr>
      <w:rPr>
        <w:rFonts w:cs="Times New Roman"/>
      </w:rPr>
    </w:lvl>
    <w:lvl w:ilvl="8" w:tplc="0409001B" w:tentative="1">
      <w:start w:val="1"/>
      <w:numFmt w:val="lowerRoman"/>
      <w:lvlText w:val="%9."/>
      <w:lvlJc w:val="right"/>
      <w:pPr>
        <w:ind w:left="3503" w:hanging="180"/>
      </w:pPr>
      <w:rPr>
        <w:rFonts w:cs="Times New Roman"/>
      </w:rPr>
    </w:lvl>
  </w:abstractNum>
  <w:abstractNum w:abstractNumId="1" w15:restartNumberingAfterBreak="0">
    <w:nsid w:val="2E69261A"/>
    <w:multiLevelType w:val="hybridMultilevel"/>
    <w:tmpl w:val="FFFFFFFF"/>
    <w:lvl w:ilvl="0" w:tplc="33666086">
      <w:start w:val="25"/>
      <w:numFmt w:val="decimal"/>
      <w:lvlText w:val="[%1]"/>
      <w:lvlJc w:val="left"/>
      <w:pPr>
        <w:ind w:left="928"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B7"/>
    <w:rsid w:val="000151F2"/>
    <w:rsid w:val="000177CF"/>
    <w:rsid w:val="000177F7"/>
    <w:rsid w:val="00057F67"/>
    <w:rsid w:val="00076CB0"/>
    <w:rsid w:val="000805F8"/>
    <w:rsid w:val="000F1240"/>
    <w:rsid w:val="00112AF3"/>
    <w:rsid w:val="00117062"/>
    <w:rsid w:val="00167020"/>
    <w:rsid w:val="001732BE"/>
    <w:rsid w:val="001776A6"/>
    <w:rsid w:val="001B4526"/>
    <w:rsid w:val="001D5172"/>
    <w:rsid w:val="001E0284"/>
    <w:rsid w:val="00202BBA"/>
    <w:rsid w:val="00212F37"/>
    <w:rsid w:val="002145E0"/>
    <w:rsid w:val="002375B2"/>
    <w:rsid w:val="00262EA2"/>
    <w:rsid w:val="002A0A57"/>
    <w:rsid w:val="002A686C"/>
    <w:rsid w:val="002D6C26"/>
    <w:rsid w:val="002E4B9A"/>
    <w:rsid w:val="003002E6"/>
    <w:rsid w:val="00311C8E"/>
    <w:rsid w:val="00316F7E"/>
    <w:rsid w:val="003949ED"/>
    <w:rsid w:val="00396635"/>
    <w:rsid w:val="003B24E5"/>
    <w:rsid w:val="003C7DCC"/>
    <w:rsid w:val="003F1BD6"/>
    <w:rsid w:val="00412C39"/>
    <w:rsid w:val="00413127"/>
    <w:rsid w:val="004212CE"/>
    <w:rsid w:val="00424B79"/>
    <w:rsid w:val="00425657"/>
    <w:rsid w:val="004315FC"/>
    <w:rsid w:val="00443EBC"/>
    <w:rsid w:val="00457BFE"/>
    <w:rsid w:val="004720DD"/>
    <w:rsid w:val="00476F89"/>
    <w:rsid w:val="004861BC"/>
    <w:rsid w:val="004A5F72"/>
    <w:rsid w:val="004D7F85"/>
    <w:rsid w:val="004F15F0"/>
    <w:rsid w:val="004F5DD1"/>
    <w:rsid w:val="00501922"/>
    <w:rsid w:val="0053195E"/>
    <w:rsid w:val="005C5117"/>
    <w:rsid w:val="00605E7E"/>
    <w:rsid w:val="00644C8F"/>
    <w:rsid w:val="006452F2"/>
    <w:rsid w:val="006A55CD"/>
    <w:rsid w:val="006B4AAE"/>
    <w:rsid w:val="006E1DD6"/>
    <w:rsid w:val="006E6571"/>
    <w:rsid w:val="006F282D"/>
    <w:rsid w:val="00783105"/>
    <w:rsid w:val="00790416"/>
    <w:rsid w:val="007A0000"/>
    <w:rsid w:val="008017CE"/>
    <w:rsid w:val="00835706"/>
    <w:rsid w:val="008558CB"/>
    <w:rsid w:val="00867989"/>
    <w:rsid w:val="0087145D"/>
    <w:rsid w:val="00876770"/>
    <w:rsid w:val="008944FF"/>
    <w:rsid w:val="008A7743"/>
    <w:rsid w:val="008B2BB9"/>
    <w:rsid w:val="00913FB7"/>
    <w:rsid w:val="009658D6"/>
    <w:rsid w:val="009A2CF2"/>
    <w:rsid w:val="009D7B54"/>
    <w:rsid w:val="009E5948"/>
    <w:rsid w:val="00A17F52"/>
    <w:rsid w:val="00A631D7"/>
    <w:rsid w:val="00A77594"/>
    <w:rsid w:val="00A93AF3"/>
    <w:rsid w:val="00AA4016"/>
    <w:rsid w:val="00AB4556"/>
    <w:rsid w:val="00AF720B"/>
    <w:rsid w:val="00B37E2F"/>
    <w:rsid w:val="00B42419"/>
    <w:rsid w:val="00B447CF"/>
    <w:rsid w:val="00B46457"/>
    <w:rsid w:val="00B6564B"/>
    <w:rsid w:val="00B7279F"/>
    <w:rsid w:val="00BC75D0"/>
    <w:rsid w:val="00BF2A00"/>
    <w:rsid w:val="00C0224C"/>
    <w:rsid w:val="00C411DB"/>
    <w:rsid w:val="00C663DC"/>
    <w:rsid w:val="00C66A23"/>
    <w:rsid w:val="00C80596"/>
    <w:rsid w:val="00CC4CE2"/>
    <w:rsid w:val="00CC56B5"/>
    <w:rsid w:val="00CC6DFF"/>
    <w:rsid w:val="00CD23B8"/>
    <w:rsid w:val="00CF648E"/>
    <w:rsid w:val="00D015B0"/>
    <w:rsid w:val="00D10424"/>
    <w:rsid w:val="00D33F6B"/>
    <w:rsid w:val="00D64314"/>
    <w:rsid w:val="00DC40B1"/>
    <w:rsid w:val="00DD42BF"/>
    <w:rsid w:val="00E16D04"/>
    <w:rsid w:val="00E75EFB"/>
    <w:rsid w:val="00E80D91"/>
    <w:rsid w:val="00EA1841"/>
    <w:rsid w:val="00EA240F"/>
    <w:rsid w:val="00F3655F"/>
    <w:rsid w:val="00F80037"/>
    <w:rsid w:val="00F952BA"/>
    <w:rsid w:val="00FC00FF"/>
    <w:rsid w:val="00FD0C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B847"/>
  <w15:chartTrackingRefBased/>
  <w15:docId w15:val="{C4D5809C-BBD2-45F3-B6C2-D03CDFDE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B7"/>
  </w:style>
  <w:style w:type="paragraph" w:styleId="Heading2">
    <w:name w:val="heading 2"/>
    <w:basedOn w:val="Normal"/>
    <w:next w:val="Normal"/>
    <w:link w:val="Heading2Char"/>
    <w:uiPriority w:val="9"/>
    <w:unhideWhenUsed/>
    <w:qFormat/>
    <w:rsid w:val="00913F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FB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913FB7"/>
    <w:pPr>
      <w:spacing w:after="200" w:line="276" w:lineRule="auto"/>
      <w:ind w:left="720"/>
      <w:contextualSpacing/>
    </w:pPr>
    <w:rPr>
      <w:rFonts w:eastAsia="Times New Roman" w:cs="Times New Roman"/>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913FB7"/>
    <w:pPr>
      <w:spacing w:after="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913FB7"/>
    <w:rPr>
      <w:rFonts w:eastAsia="Times New Roman" w:cs="Times New Roman"/>
      <w:sz w:val="20"/>
      <w:szCs w:val="20"/>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
    <w:basedOn w:val="DefaultParagraphFont"/>
    <w:uiPriority w:val="99"/>
    <w:unhideWhenUsed/>
    <w:qFormat/>
    <w:rsid w:val="00913FB7"/>
    <w:rPr>
      <w:rFonts w:cs="Times New Roman"/>
      <w:vertAlign w:val="superscript"/>
    </w:rPr>
  </w:style>
  <w:style w:type="paragraph" w:customStyle="1" w:styleId="JUDGMENTNUMBERED">
    <w:name w:val="JUDGMENT NUMBERED"/>
    <w:basedOn w:val="Normal"/>
    <w:next w:val="Normal"/>
    <w:qFormat/>
    <w:rsid w:val="00913FB7"/>
    <w:pPr>
      <w:numPr>
        <w:numId w:val="2"/>
      </w:numPr>
      <w:spacing w:after="0"/>
    </w:pPr>
    <w:rPr>
      <w:rFonts w:ascii="Times New Roman" w:eastAsia="Times New Roman" w:hAnsi="Times New Roman" w:cs="Times New Roman"/>
      <w:sz w:val="26"/>
    </w:rPr>
  </w:style>
  <w:style w:type="paragraph" w:styleId="Header">
    <w:name w:val="header"/>
    <w:basedOn w:val="Normal"/>
    <w:link w:val="HeaderChar"/>
    <w:uiPriority w:val="99"/>
    <w:unhideWhenUsed/>
    <w:rsid w:val="00BC7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5D0"/>
  </w:style>
  <w:style w:type="paragraph" w:styleId="Footer">
    <w:name w:val="footer"/>
    <w:basedOn w:val="Normal"/>
    <w:link w:val="FooterChar"/>
    <w:uiPriority w:val="99"/>
    <w:unhideWhenUsed/>
    <w:rsid w:val="00BC7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5D0"/>
  </w:style>
  <w:style w:type="paragraph" w:styleId="BalloonText">
    <w:name w:val="Balloon Text"/>
    <w:basedOn w:val="Normal"/>
    <w:link w:val="BalloonTextChar"/>
    <w:uiPriority w:val="99"/>
    <w:semiHidden/>
    <w:unhideWhenUsed/>
    <w:rsid w:val="009E5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48"/>
    <w:rPr>
      <w:rFonts w:ascii="Segoe UI" w:hAnsi="Segoe UI" w:cs="Segoe UI"/>
      <w:sz w:val="18"/>
      <w:szCs w:val="18"/>
    </w:rPr>
  </w:style>
  <w:style w:type="paragraph" w:styleId="Revision">
    <w:name w:val="Revision"/>
    <w:hidden/>
    <w:uiPriority w:val="99"/>
    <w:semiHidden/>
    <w:rsid w:val="006E6571"/>
    <w:pPr>
      <w:spacing w:after="0" w:line="240" w:lineRule="auto"/>
    </w:pPr>
  </w:style>
  <w:style w:type="character" w:styleId="CommentReference">
    <w:name w:val="annotation reference"/>
    <w:basedOn w:val="DefaultParagraphFont"/>
    <w:uiPriority w:val="99"/>
    <w:semiHidden/>
    <w:unhideWhenUsed/>
    <w:rsid w:val="00F3655F"/>
    <w:rPr>
      <w:sz w:val="16"/>
      <w:szCs w:val="16"/>
    </w:rPr>
  </w:style>
  <w:style w:type="paragraph" w:styleId="CommentText">
    <w:name w:val="annotation text"/>
    <w:basedOn w:val="Normal"/>
    <w:link w:val="CommentTextChar"/>
    <w:uiPriority w:val="99"/>
    <w:semiHidden/>
    <w:unhideWhenUsed/>
    <w:rsid w:val="00F3655F"/>
    <w:pPr>
      <w:spacing w:line="240" w:lineRule="auto"/>
    </w:pPr>
    <w:rPr>
      <w:sz w:val="20"/>
      <w:szCs w:val="20"/>
    </w:rPr>
  </w:style>
  <w:style w:type="character" w:customStyle="1" w:styleId="CommentTextChar">
    <w:name w:val="Comment Text Char"/>
    <w:basedOn w:val="DefaultParagraphFont"/>
    <w:link w:val="CommentText"/>
    <w:uiPriority w:val="99"/>
    <w:semiHidden/>
    <w:rsid w:val="00F3655F"/>
    <w:rPr>
      <w:sz w:val="20"/>
      <w:szCs w:val="20"/>
    </w:rPr>
  </w:style>
  <w:style w:type="paragraph" w:styleId="CommentSubject">
    <w:name w:val="annotation subject"/>
    <w:basedOn w:val="CommentText"/>
    <w:next w:val="CommentText"/>
    <w:link w:val="CommentSubjectChar"/>
    <w:uiPriority w:val="99"/>
    <w:semiHidden/>
    <w:unhideWhenUsed/>
    <w:rsid w:val="00F3655F"/>
    <w:rPr>
      <w:b/>
      <w:bCs/>
    </w:rPr>
  </w:style>
  <w:style w:type="character" w:customStyle="1" w:styleId="CommentSubjectChar">
    <w:name w:val="Comment Subject Char"/>
    <w:basedOn w:val="CommentTextChar"/>
    <w:link w:val="CommentSubject"/>
    <w:uiPriority w:val="99"/>
    <w:semiHidden/>
    <w:rsid w:val="00F365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3CE6-75A0-4105-8840-D22D124B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T Makgoka</dc:creator>
  <cp:keywords/>
  <dc:description/>
  <cp:lastModifiedBy>Mary Bruce</cp:lastModifiedBy>
  <cp:revision>3</cp:revision>
  <cp:lastPrinted>2023-02-17T11:10:00Z</cp:lastPrinted>
  <dcterms:created xsi:type="dcterms:W3CDTF">2023-02-20T09:48:00Z</dcterms:created>
  <dcterms:modified xsi:type="dcterms:W3CDTF">2023-02-21T09:16:00Z</dcterms:modified>
</cp:coreProperties>
</file>