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3E3D" w14:textId="77777777" w:rsidR="006F696E" w:rsidRPr="008B5926" w:rsidRDefault="006F696E" w:rsidP="006F696E">
      <w:pPr>
        <w:rPr>
          <w:b/>
          <w:bCs/>
          <w:sz w:val="28"/>
          <w:szCs w:val="28"/>
        </w:rPr>
      </w:pPr>
      <w:bookmarkStart w:id="0" w:name="_GoBack"/>
      <w:bookmarkEnd w:id="0"/>
      <w:r w:rsidRPr="008B5926">
        <w:rPr>
          <w:noProof/>
          <w:sz w:val="28"/>
          <w:szCs w:val="28"/>
          <w:lang w:val="en-ZA" w:eastAsia="en-ZA"/>
        </w:rPr>
        <w:drawing>
          <wp:anchor distT="0" distB="0" distL="114300" distR="114300" simplePos="0" relativeHeight="251659264" behindDoc="0" locked="0" layoutInCell="1" allowOverlap="1" wp14:anchorId="22D30980" wp14:editId="15202747">
            <wp:simplePos x="0" y="0"/>
            <wp:positionH relativeFrom="page">
              <wp:align>center</wp:align>
            </wp:positionH>
            <wp:positionV relativeFrom="paragraph">
              <wp:posOffset>194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A79710C" w14:textId="77777777" w:rsidR="006F696E" w:rsidRPr="008B5926" w:rsidRDefault="006F696E" w:rsidP="006F696E">
      <w:pPr>
        <w:jc w:val="center"/>
        <w:rPr>
          <w:b/>
          <w:bCs/>
          <w:sz w:val="28"/>
          <w:szCs w:val="28"/>
        </w:rPr>
      </w:pPr>
    </w:p>
    <w:p w14:paraId="3FF28664" w14:textId="77777777" w:rsidR="006F696E" w:rsidRPr="008B5926" w:rsidRDefault="006F696E" w:rsidP="006F696E">
      <w:pPr>
        <w:jc w:val="center"/>
        <w:rPr>
          <w:b/>
          <w:bCs/>
          <w:sz w:val="28"/>
          <w:szCs w:val="28"/>
        </w:rPr>
      </w:pPr>
    </w:p>
    <w:p w14:paraId="561A8A89" w14:textId="77777777" w:rsidR="006F696E" w:rsidRPr="008B5926" w:rsidRDefault="006F696E" w:rsidP="006F696E">
      <w:pPr>
        <w:jc w:val="center"/>
        <w:rPr>
          <w:b/>
          <w:bCs/>
          <w:sz w:val="16"/>
          <w:szCs w:val="16"/>
        </w:rPr>
      </w:pPr>
    </w:p>
    <w:p w14:paraId="53418C4D" w14:textId="77777777" w:rsidR="006F696E" w:rsidRPr="008B5926" w:rsidRDefault="006F696E" w:rsidP="006F696E">
      <w:pPr>
        <w:jc w:val="center"/>
        <w:rPr>
          <w:b/>
          <w:bCs/>
          <w:sz w:val="28"/>
          <w:szCs w:val="28"/>
        </w:rPr>
      </w:pPr>
      <w:r w:rsidRPr="008B5926">
        <w:rPr>
          <w:b/>
          <w:bCs/>
          <w:sz w:val="28"/>
          <w:szCs w:val="28"/>
        </w:rPr>
        <w:t>THE SUPREME COURT OF APPEAL OF SOUTH AFRICA</w:t>
      </w:r>
    </w:p>
    <w:p w14:paraId="14B03A58" w14:textId="77777777" w:rsidR="006F696E" w:rsidRPr="008B5926" w:rsidRDefault="006F696E" w:rsidP="006F696E">
      <w:pPr>
        <w:pStyle w:val="Heading3"/>
        <w:jc w:val="center"/>
        <w:rPr>
          <w:rFonts w:ascii="Times New Roman" w:hAnsi="Times New Roman" w:cs="Times New Roman"/>
          <w:b/>
          <w:i w:val="0"/>
          <w:szCs w:val="28"/>
        </w:rPr>
      </w:pPr>
      <w:r w:rsidRPr="008B5926">
        <w:rPr>
          <w:rFonts w:ascii="Times New Roman" w:hAnsi="Times New Roman" w:cs="Times New Roman"/>
          <w:b/>
          <w:i w:val="0"/>
          <w:szCs w:val="28"/>
        </w:rPr>
        <w:t>JUDGMENT</w:t>
      </w:r>
    </w:p>
    <w:p w14:paraId="47BB09AD" w14:textId="77777777" w:rsidR="006F696E" w:rsidRPr="008B5926" w:rsidRDefault="006F696E" w:rsidP="006F696E">
      <w:pPr>
        <w:spacing w:before="120"/>
        <w:jc w:val="right"/>
        <w:rPr>
          <w:b/>
          <w:sz w:val="28"/>
          <w:szCs w:val="28"/>
        </w:rPr>
      </w:pPr>
      <w:r w:rsidRPr="00AD2050">
        <w:rPr>
          <w:b/>
          <w:sz w:val="28"/>
          <w:szCs w:val="28"/>
        </w:rPr>
        <w:t>Not Reportable</w:t>
      </w:r>
    </w:p>
    <w:p w14:paraId="6D6F052A" w14:textId="77777777" w:rsidR="006F696E" w:rsidRPr="00AD2050" w:rsidRDefault="006F696E" w:rsidP="00DD095D">
      <w:pPr>
        <w:jc w:val="right"/>
        <w:rPr>
          <w:sz w:val="16"/>
          <w:szCs w:val="16"/>
        </w:rPr>
      </w:pPr>
      <w:r w:rsidRPr="00AD2050">
        <w:rPr>
          <w:sz w:val="28"/>
          <w:szCs w:val="28"/>
        </w:rPr>
        <w:t>Case no</w:t>
      </w:r>
      <w:r w:rsidR="00D8011E" w:rsidRPr="00AD2050">
        <w:rPr>
          <w:sz w:val="28"/>
          <w:szCs w:val="28"/>
        </w:rPr>
        <w:t>: 1156/2022</w:t>
      </w:r>
    </w:p>
    <w:p w14:paraId="57261BDC" w14:textId="77777777" w:rsidR="006F696E" w:rsidRPr="00AD2050" w:rsidRDefault="006F696E" w:rsidP="00FF4B3B">
      <w:pPr>
        <w:spacing w:after="360"/>
        <w:rPr>
          <w:sz w:val="28"/>
          <w:szCs w:val="28"/>
        </w:rPr>
      </w:pPr>
      <w:r w:rsidRPr="00AD2050">
        <w:rPr>
          <w:sz w:val="28"/>
          <w:szCs w:val="28"/>
        </w:rPr>
        <w:t>In the matter between:</w:t>
      </w:r>
    </w:p>
    <w:p w14:paraId="6C07ADA5" w14:textId="77777777" w:rsidR="006F696E" w:rsidRPr="00AD2050" w:rsidRDefault="00D8011E" w:rsidP="00DD095D">
      <w:pPr>
        <w:tabs>
          <w:tab w:val="right" w:pos="9356"/>
        </w:tabs>
        <w:rPr>
          <w:b/>
          <w:sz w:val="28"/>
          <w:szCs w:val="28"/>
        </w:rPr>
      </w:pPr>
      <w:r w:rsidRPr="00AD2050">
        <w:rPr>
          <w:b/>
          <w:sz w:val="28"/>
          <w:szCs w:val="28"/>
        </w:rPr>
        <w:t>CIBA PACKAGING (PTY) LTD T/A CIBAPAC</w:t>
      </w:r>
      <w:r w:rsidR="006F696E" w:rsidRPr="00AD2050">
        <w:rPr>
          <w:b/>
          <w:sz w:val="28"/>
          <w:szCs w:val="28"/>
        </w:rPr>
        <w:tab/>
        <w:t>APPELLANT</w:t>
      </w:r>
    </w:p>
    <w:p w14:paraId="7D9D9444" w14:textId="77777777" w:rsidR="00D8011E" w:rsidRPr="00AD2050" w:rsidRDefault="00D8011E" w:rsidP="00DD095D">
      <w:pPr>
        <w:rPr>
          <w:sz w:val="28"/>
          <w:szCs w:val="28"/>
        </w:rPr>
      </w:pPr>
    </w:p>
    <w:p w14:paraId="214DE253" w14:textId="77777777" w:rsidR="00DD095D" w:rsidRPr="00AD2050" w:rsidRDefault="006F696E" w:rsidP="00DD095D">
      <w:pPr>
        <w:rPr>
          <w:sz w:val="28"/>
          <w:szCs w:val="28"/>
        </w:rPr>
      </w:pPr>
      <w:r w:rsidRPr="00AD2050">
        <w:rPr>
          <w:sz w:val="28"/>
          <w:szCs w:val="28"/>
        </w:rPr>
        <w:t xml:space="preserve">and </w:t>
      </w:r>
    </w:p>
    <w:p w14:paraId="43F05A1A" w14:textId="77777777" w:rsidR="00DD095D" w:rsidRPr="00AD2050" w:rsidRDefault="00DD095D" w:rsidP="00DD095D">
      <w:pPr>
        <w:rPr>
          <w:b/>
          <w:sz w:val="28"/>
          <w:szCs w:val="28"/>
        </w:rPr>
      </w:pPr>
    </w:p>
    <w:p w14:paraId="76BD6A03" w14:textId="77777777" w:rsidR="006F696E" w:rsidRPr="00AD2050" w:rsidRDefault="00D8011E" w:rsidP="00DD095D">
      <w:pPr>
        <w:tabs>
          <w:tab w:val="right" w:pos="9356"/>
        </w:tabs>
        <w:rPr>
          <w:b/>
          <w:sz w:val="28"/>
          <w:szCs w:val="28"/>
        </w:rPr>
      </w:pPr>
      <w:r w:rsidRPr="00AD2050">
        <w:rPr>
          <w:b/>
          <w:sz w:val="28"/>
          <w:szCs w:val="28"/>
        </w:rPr>
        <w:t xml:space="preserve">TIMELINK CARGO (PTY) LTD                                                   </w:t>
      </w:r>
      <w:r w:rsidR="006F696E" w:rsidRPr="00AD2050">
        <w:rPr>
          <w:b/>
          <w:sz w:val="28"/>
          <w:szCs w:val="28"/>
        </w:rPr>
        <w:t>RESPONDENT</w:t>
      </w:r>
    </w:p>
    <w:p w14:paraId="5B98FBBC" w14:textId="77777777" w:rsidR="006F696E" w:rsidRPr="00AD2050" w:rsidRDefault="006F696E" w:rsidP="00DD095D">
      <w:pPr>
        <w:tabs>
          <w:tab w:val="right" w:pos="9356"/>
        </w:tabs>
        <w:rPr>
          <w:b/>
          <w:sz w:val="28"/>
          <w:szCs w:val="28"/>
        </w:rPr>
      </w:pPr>
    </w:p>
    <w:p w14:paraId="16FE44E0" w14:textId="3DC407D1" w:rsidR="006F696E" w:rsidRPr="00AD2050" w:rsidRDefault="006F696E" w:rsidP="00D4788E">
      <w:pPr>
        <w:ind w:left="2160" w:hanging="2160"/>
        <w:contextualSpacing/>
        <w:rPr>
          <w:bCs/>
          <w:sz w:val="28"/>
          <w:szCs w:val="28"/>
        </w:rPr>
      </w:pPr>
      <w:r w:rsidRPr="00AD2050">
        <w:rPr>
          <w:b/>
          <w:bCs/>
          <w:sz w:val="28"/>
          <w:szCs w:val="28"/>
        </w:rPr>
        <w:t>Neutral citation:</w:t>
      </w:r>
      <w:r w:rsidRPr="00AD2050">
        <w:rPr>
          <w:bCs/>
          <w:i/>
          <w:sz w:val="28"/>
          <w:szCs w:val="28"/>
        </w:rPr>
        <w:tab/>
      </w:r>
      <w:r w:rsidR="008F39EC" w:rsidRPr="00AD2050">
        <w:rPr>
          <w:bCs/>
          <w:i/>
          <w:sz w:val="28"/>
          <w:szCs w:val="28"/>
        </w:rPr>
        <w:t>Ciba Packaging (Pty) Ltd t/a Cibapac</w:t>
      </w:r>
      <w:r w:rsidR="00DD7D88" w:rsidRPr="00AD2050">
        <w:rPr>
          <w:bCs/>
          <w:i/>
          <w:sz w:val="28"/>
          <w:szCs w:val="28"/>
        </w:rPr>
        <w:t xml:space="preserve"> v Timelink Cargo (Pty) Ltd</w:t>
      </w:r>
      <w:r w:rsidR="008F39EC" w:rsidRPr="00AD2050">
        <w:rPr>
          <w:bCs/>
          <w:i/>
          <w:sz w:val="28"/>
          <w:szCs w:val="28"/>
        </w:rPr>
        <w:t xml:space="preserve"> </w:t>
      </w:r>
      <w:r w:rsidRPr="00AD2050">
        <w:rPr>
          <w:bCs/>
          <w:sz w:val="28"/>
          <w:szCs w:val="28"/>
        </w:rPr>
        <w:t>(</w:t>
      </w:r>
      <w:r w:rsidR="008F39EC" w:rsidRPr="00AD2050">
        <w:rPr>
          <w:bCs/>
          <w:sz w:val="28"/>
          <w:szCs w:val="28"/>
        </w:rPr>
        <w:t>1156</w:t>
      </w:r>
      <w:r w:rsidRPr="00AD2050">
        <w:rPr>
          <w:bCs/>
          <w:sz w:val="28"/>
          <w:szCs w:val="28"/>
        </w:rPr>
        <w:t>/2022) [2023] ZASCA</w:t>
      </w:r>
      <w:r w:rsidR="00F6479C">
        <w:rPr>
          <w:bCs/>
          <w:sz w:val="28"/>
          <w:szCs w:val="28"/>
        </w:rPr>
        <w:t xml:space="preserve"> 161</w:t>
      </w:r>
      <w:r w:rsidRPr="00AD2050">
        <w:rPr>
          <w:bCs/>
          <w:sz w:val="28"/>
          <w:szCs w:val="28"/>
        </w:rPr>
        <w:t xml:space="preserve"> (</w:t>
      </w:r>
      <w:r w:rsidR="00F6479C">
        <w:rPr>
          <w:bCs/>
          <w:sz w:val="28"/>
          <w:szCs w:val="28"/>
        </w:rPr>
        <w:t>28 November 2023</w:t>
      </w:r>
      <w:r w:rsidRPr="00AD2050">
        <w:rPr>
          <w:bCs/>
          <w:sz w:val="28"/>
          <w:szCs w:val="28"/>
        </w:rPr>
        <w:t>)</w:t>
      </w:r>
    </w:p>
    <w:p w14:paraId="33A4F63B" w14:textId="77777777" w:rsidR="00D4788E" w:rsidRPr="00AD2050" w:rsidRDefault="00D4788E" w:rsidP="00D4788E">
      <w:pPr>
        <w:ind w:left="2160" w:hanging="2160"/>
        <w:contextualSpacing/>
        <w:rPr>
          <w:bCs/>
          <w:sz w:val="16"/>
          <w:szCs w:val="16"/>
        </w:rPr>
      </w:pPr>
    </w:p>
    <w:p w14:paraId="5A86F964" w14:textId="77777777" w:rsidR="006F696E" w:rsidRPr="00AD2050" w:rsidRDefault="006F696E" w:rsidP="00D4788E">
      <w:pPr>
        <w:ind w:left="1440" w:hanging="1440"/>
        <w:contextualSpacing/>
        <w:rPr>
          <w:sz w:val="28"/>
          <w:szCs w:val="28"/>
        </w:rPr>
      </w:pPr>
      <w:r w:rsidRPr="00AD2050">
        <w:rPr>
          <w:b/>
          <w:bCs/>
          <w:sz w:val="28"/>
          <w:szCs w:val="28"/>
        </w:rPr>
        <w:t>Coram:</w:t>
      </w:r>
      <w:r w:rsidRPr="00AD2050">
        <w:rPr>
          <w:sz w:val="28"/>
          <w:szCs w:val="28"/>
        </w:rPr>
        <w:tab/>
      </w:r>
      <w:r w:rsidR="008F39EC" w:rsidRPr="00AD2050">
        <w:rPr>
          <w:sz w:val="28"/>
          <w:szCs w:val="28"/>
        </w:rPr>
        <w:t xml:space="preserve">MAKGOKA, HUGHES </w:t>
      </w:r>
      <w:r w:rsidRPr="00AD2050">
        <w:rPr>
          <w:sz w:val="28"/>
          <w:szCs w:val="28"/>
        </w:rPr>
        <w:t>and MABINDLA-BOQWANA</w:t>
      </w:r>
      <w:r w:rsidR="008F39EC" w:rsidRPr="00AD2050">
        <w:rPr>
          <w:sz w:val="28"/>
          <w:szCs w:val="28"/>
        </w:rPr>
        <w:t xml:space="preserve"> JJA</w:t>
      </w:r>
      <w:r w:rsidRPr="00AD2050">
        <w:rPr>
          <w:sz w:val="28"/>
          <w:szCs w:val="28"/>
        </w:rPr>
        <w:t xml:space="preserve"> and </w:t>
      </w:r>
      <w:r w:rsidR="008F39EC" w:rsidRPr="00AD2050">
        <w:rPr>
          <w:sz w:val="28"/>
          <w:szCs w:val="28"/>
        </w:rPr>
        <w:t xml:space="preserve">BINNS-WARD </w:t>
      </w:r>
      <w:r w:rsidRPr="00AD2050">
        <w:rPr>
          <w:sz w:val="28"/>
          <w:szCs w:val="28"/>
        </w:rPr>
        <w:t xml:space="preserve">and </w:t>
      </w:r>
      <w:r w:rsidR="008F39EC" w:rsidRPr="00AD2050">
        <w:rPr>
          <w:sz w:val="28"/>
          <w:szCs w:val="28"/>
        </w:rPr>
        <w:t xml:space="preserve">TOKOTA </w:t>
      </w:r>
      <w:r w:rsidRPr="00AD2050">
        <w:rPr>
          <w:sz w:val="28"/>
          <w:szCs w:val="28"/>
        </w:rPr>
        <w:t xml:space="preserve">AJJA </w:t>
      </w:r>
    </w:p>
    <w:p w14:paraId="071A67DE" w14:textId="77777777" w:rsidR="00D4788E" w:rsidRPr="00AD2050" w:rsidRDefault="00D4788E" w:rsidP="00D4788E">
      <w:pPr>
        <w:ind w:left="1440" w:hanging="1440"/>
        <w:contextualSpacing/>
        <w:rPr>
          <w:bCs/>
          <w:iCs/>
          <w:sz w:val="16"/>
          <w:szCs w:val="16"/>
        </w:rPr>
      </w:pPr>
    </w:p>
    <w:p w14:paraId="1B0F70C4" w14:textId="77777777" w:rsidR="006F696E" w:rsidRPr="00AD2050" w:rsidRDefault="006F696E" w:rsidP="00D4788E">
      <w:pPr>
        <w:contextualSpacing/>
        <w:rPr>
          <w:sz w:val="28"/>
          <w:szCs w:val="28"/>
        </w:rPr>
      </w:pPr>
      <w:r w:rsidRPr="00AD2050">
        <w:rPr>
          <w:b/>
          <w:bCs/>
          <w:sz w:val="28"/>
          <w:szCs w:val="28"/>
        </w:rPr>
        <w:t>Heard</w:t>
      </w:r>
      <w:r w:rsidRPr="00AD2050">
        <w:rPr>
          <w:b/>
          <w:sz w:val="28"/>
          <w:szCs w:val="28"/>
        </w:rPr>
        <w:t>:</w:t>
      </w:r>
      <w:r w:rsidRPr="00AD2050">
        <w:rPr>
          <w:sz w:val="28"/>
          <w:szCs w:val="28"/>
        </w:rPr>
        <w:tab/>
      </w:r>
      <w:r w:rsidR="008F39EC" w:rsidRPr="00AD2050">
        <w:rPr>
          <w:sz w:val="28"/>
          <w:szCs w:val="28"/>
        </w:rPr>
        <w:t xml:space="preserve">7 November </w:t>
      </w:r>
      <w:r w:rsidRPr="00AD2050">
        <w:rPr>
          <w:sz w:val="28"/>
          <w:szCs w:val="28"/>
        </w:rPr>
        <w:t>2023</w:t>
      </w:r>
    </w:p>
    <w:p w14:paraId="3A65BCC3" w14:textId="77777777" w:rsidR="00D4788E" w:rsidRPr="00AD2050" w:rsidRDefault="00D4788E" w:rsidP="00D4788E">
      <w:pPr>
        <w:contextualSpacing/>
        <w:rPr>
          <w:sz w:val="16"/>
          <w:szCs w:val="16"/>
        </w:rPr>
      </w:pPr>
    </w:p>
    <w:p w14:paraId="6C074919" w14:textId="77777777" w:rsidR="006F696E" w:rsidRPr="008B5926" w:rsidRDefault="006F696E" w:rsidP="00D4788E">
      <w:pPr>
        <w:contextualSpacing/>
        <w:rPr>
          <w:sz w:val="28"/>
          <w:szCs w:val="28"/>
        </w:rPr>
      </w:pPr>
      <w:r w:rsidRPr="00AD2050">
        <w:rPr>
          <w:b/>
          <w:bCs/>
          <w:sz w:val="28"/>
          <w:szCs w:val="28"/>
        </w:rPr>
        <w:t>Delivered</w:t>
      </w:r>
      <w:r w:rsidRPr="00AD2050">
        <w:rPr>
          <w:b/>
          <w:sz w:val="28"/>
          <w:szCs w:val="28"/>
        </w:rPr>
        <w:t>:</w:t>
      </w:r>
      <w:r w:rsidRPr="00AD2050">
        <w:rPr>
          <w:sz w:val="28"/>
          <w:szCs w:val="28"/>
        </w:rPr>
        <w:tab/>
      </w:r>
      <w:r w:rsidR="008B5926">
        <w:rPr>
          <w:sz w:val="28"/>
          <w:szCs w:val="28"/>
        </w:rPr>
        <w:t xml:space="preserve">28 </w:t>
      </w:r>
      <w:r w:rsidR="00D4788E" w:rsidRPr="008B5926">
        <w:rPr>
          <w:sz w:val="28"/>
          <w:szCs w:val="28"/>
        </w:rPr>
        <w:t>November 2023</w:t>
      </w:r>
    </w:p>
    <w:p w14:paraId="6E8C3020" w14:textId="77777777" w:rsidR="00D4788E" w:rsidRPr="00AD2050" w:rsidRDefault="00D4788E" w:rsidP="00D4788E">
      <w:pPr>
        <w:contextualSpacing/>
        <w:rPr>
          <w:sz w:val="16"/>
          <w:szCs w:val="16"/>
        </w:rPr>
      </w:pPr>
    </w:p>
    <w:p w14:paraId="131F3922" w14:textId="77777777" w:rsidR="00DD095D" w:rsidRPr="00AD2050" w:rsidRDefault="006F696E" w:rsidP="00D4788E">
      <w:pPr>
        <w:contextualSpacing/>
        <w:rPr>
          <w:bCs/>
          <w:sz w:val="28"/>
          <w:szCs w:val="28"/>
        </w:rPr>
      </w:pPr>
      <w:r w:rsidRPr="00AD2050">
        <w:rPr>
          <w:b/>
          <w:bCs/>
          <w:sz w:val="28"/>
          <w:szCs w:val="28"/>
        </w:rPr>
        <w:t>Summary:</w:t>
      </w:r>
      <w:r w:rsidRPr="00AD2050">
        <w:rPr>
          <w:b/>
          <w:bCs/>
          <w:sz w:val="28"/>
          <w:szCs w:val="28"/>
        </w:rPr>
        <w:tab/>
      </w:r>
      <w:r w:rsidRPr="00AD2050">
        <w:rPr>
          <w:bCs/>
          <w:sz w:val="28"/>
          <w:szCs w:val="28"/>
        </w:rPr>
        <w:t xml:space="preserve"> </w:t>
      </w:r>
      <w:r w:rsidR="00484D15" w:rsidRPr="00AD2050">
        <w:rPr>
          <w:bCs/>
          <w:sz w:val="28"/>
          <w:szCs w:val="28"/>
        </w:rPr>
        <w:t>Civil procedure –</w:t>
      </w:r>
      <w:r w:rsidR="00F53C9C" w:rsidRPr="00AD2050">
        <w:rPr>
          <w:bCs/>
          <w:sz w:val="28"/>
          <w:szCs w:val="28"/>
        </w:rPr>
        <w:t xml:space="preserve"> appealability of </w:t>
      </w:r>
      <w:r w:rsidR="00484D15" w:rsidRPr="00AD2050">
        <w:rPr>
          <w:bCs/>
          <w:sz w:val="28"/>
          <w:szCs w:val="28"/>
        </w:rPr>
        <w:t>dismissal of an exception – restatement of principle</w:t>
      </w:r>
      <w:r w:rsidR="00F53C9C" w:rsidRPr="00AD2050">
        <w:rPr>
          <w:bCs/>
          <w:sz w:val="28"/>
          <w:szCs w:val="28"/>
        </w:rPr>
        <w:t>s</w:t>
      </w:r>
      <w:r w:rsidR="00484D15" w:rsidRPr="00AD2050">
        <w:rPr>
          <w:bCs/>
          <w:sz w:val="28"/>
          <w:szCs w:val="28"/>
        </w:rPr>
        <w:t xml:space="preserve">.   </w:t>
      </w:r>
    </w:p>
    <w:p w14:paraId="2FDF8A6B" w14:textId="77777777" w:rsidR="00DD095D" w:rsidRPr="00AD2050" w:rsidRDefault="00DD095D" w:rsidP="006F696E">
      <w:pPr>
        <w:contextualSpacing/>
        <w:rPr>
          <w:bCs/>
          <w:sz w:val="28"/>
          <w:szCs w:val="28"/>
        </w:rPr>
      </w:pPr>
    </w:p>
    <w:p w14:paraId="2DCE0623" w14:textId="77777777" w:rsidR="006F696E" w:rsidRPr="008B5926" w:rsidRDefault="006F696E" w:rsidP="006F696E">
      <w:pPr>
        <w:pBdr>
          <w:bottom w:val="single" w:sz="12" w:space="1" w:color="auto"/>
        </w:pBdr>
        <w:spacing w:line="240" w:lineRule="auto"/>
        <w:rPr>
          <w:sz w:val="28"/>
          <w:szCs w:val="28"/>
        </w:rPr>
      </w:pPr>
      <w:r w:rsidRPr="008B5926">
        <w:rPr>
          <w:noProof/>
          <w:lang w:val="en-ZA" w:eastAsia="en-ZA"/>
        </w:rPr>
        <w:lastRenderedPageBreak/>
        <mc:AlternateContent>
          <mc:Choice Requires="wps">
            <w:drawing>
              <wp:anchor distT="0" distB="0" distL="114300" distR="114300" simplePos="0" relativeHeight="251660288" behindDoc="0" locked="0" layoutInCell="1" allowOverlap="1" wp14:anchorId="0D8F95FA" wp14:editId="587960B9">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02ED1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53CE2955" w14:textId="77777777" w:rsidR="006F696E" w:rsidRPr="00AD2050" w:rsidRDefault="006F696E" w:rsidP="006F696E">
      <w:pPr>
        <w:pStyle w:val="Heading3"/>
        <w:pBdr>
          <w:bottom w:val="single" w:sz="12" w:space="12" w:color="auto"/>
        </w:pBdr>
        <w:jc w:val="center"/>
        <w:rPr>
          <w:rFonts w:ascii="Times New Roman" w:hAnsi="Times New Roman" w:cs="Times New Roman"/>
          <w:b/>
          <w:i w:val="0"/>
          <w:szCs w:val="28"/>
        </w:rPr>
      </w:pPr>
    </w:p>
    <w:p w14:paraId="271479B2" w14:textId="77777777" w:rsidR="006F696E" w:rsidRPr="00AD2050" w:rsidRDefault="006F696E" w:rsidP="006F696E">
      <w:pPr>
        <w:pStyle w:val="Heading3"/>
        <w:pBdr>
          <w:bottom w:val="single" w:sz="12" w:space="12" w:color="auto"/>
        </w:pBdr>
        <w:jc w:val="center"/>
        <w:rPr>
          <w:rFonts w:ascii="Times New Roman" w:hAnsi="Times New Roman" w:cs="Times New Roman"/>
          <w:b/>
          <w:i w:val="0"/>
          <w:szCs w:val="28"/>
        </w:rPr>
      </w:pPr>
      <w:r w:rsidRPr="00AD2050">
        <w:rPr>
          <w:rFonts w:ascii="Times New Roman" w:hAnsi="Times New Roman" w:cs="Times New Roman"/>
          <w:b/>
          <w:i w:val="0"/>
          <w:szCs w:val="28"/>
        </w:rPr>
        <w:t>ORDER</w:t>
      </w:r>
    </w:p>
    <w:p w14:paraId="578D7702" w14:textId="77777777" w:rsidR="006F696E" w:rsidRPr="00AD2050" w:rsidRDefault="006F696E" w:rsidP="006F696E">
      <w:pPr>
        <w:spacing w:line="240" w:lineRule="auto"/>
        <w:rPr>
          <w:sz w:val="28"/>
          <w:szCs w:val="28"/>
        </w:rPr>
      </w:pPr>
    </w:p>
    <w:p w14:paraId="691B5D4B" w14:textId="77777777" w:rsidR="006F696E" w:rsidRPr="00AD2050" w:rsidRDefault="006F696E" w:rsidP="006F696E">
      <w:pPr>
        <w:rPr>
          <w:bCs/>
          <w:sz w:val="28"/>
          <w:szCs w:val="28"/>
        </w:rPr>
      </w:pPr>
      <w:r w:rsidRPr="00AD2050">
        <w:rPr>
          <w:b/>
          <w:bCs/>
          <w:sz w:val="28"/>
          <w:szCs w:val="28"/>
        </w:rPr>
        <w:t>On appeal from:</w:t>
      </w:r>
      <w:r w:rsidR="008F39EC" w:rsidRPr="00AD2050">
        <w:rPr>
          <w:b/>
          <w:bCs/>
          <w:sz w:val="28"/>
          <w:szCs w:val="28"/>
        </w:rPr>
        <w:t xml:space="preserve"> </w:t>
      </w:r>
      <w:r w:rsidR="008F39EC" w:rsidRPr="00AD2050">
        <w:rPr>
          <w:bCs/>
          <w:sz w:val="28"/>
          <w:szCs w:val="28"/>
        </w:rPr>
        <w:t>Gauteng Division of the High Court</w:t>
      </w:r>
      <w:r w:rsidRPr="00AD2050">
        <w:rPr>
          <w:bCs/>
          <w:sz w:val="28"/>
          <w:szCs w:val="28"/>
        </w:rPr>
        <w:t xml:space="preserve">, </w:t>
      </w:r>
      <w:r w:rsidR="008F39EC" w:rsidRPr="00AD2050">
        <w:rPr>
          <w:bCs/>
          <w:sz w:val="28"/>
          <w:szCs w:val="28"/>
        </w:rPr>
        <w:t>Johannesburg (Matojane</w:t>
      </w:r>
      <w:r w:rsidRPr="00AD2050">
        <w:rPr>
          <w:bCs/>
          <w:sz w:val="28"/>
          <w:szCs w:val="28"/>
        </w:rPr>
        <w:t xml:space="preserve"> J, sitting as court of first instance): </w:t>
      </w:r>
    </w:p>
    <w:p w14:paraId="59D6F0B8" w14:textId="77777777" w:rsidR="00206E7C" w:rsidRPr="00AD2050" w:rsidRDefault="00206E7C" w:rsidP="00206E7C">
      <w:pPr>
        <w:pStyle w:val="ListParagraph"/>
        <w:ind w:hanging="720"/>
        <w:rPr>
          <w:sz w:val="28"/>
          <w:szCs w:val="28"/>
        </w:rPr>
      </w:pPr>
      <w:r w:rsidRPr="00AD2050">
        <w:rPr>
          <w:sz w:val="28"/>
          <w:szCs w:val="28"/>
        </w:rPr>
        <w:t>The appeal is struck from the roll, with costs.</w:t>
      </w:r>
    </w:p>
    <w:p w14:paraId="25DDA0F5" w14:textId="77777777" w:rsidR="006F696E" w:rsidRPr="008B5926" w:rsidRDefault="006F696E" w:rsidP="00206E7C">
      <w:pPr>
        <w:pBdr>
          <w:bottom w:val="single" w:sz="12" w:space="1" w:color="auto"/>
        </w:pBdr>
        <w:rPr>
          <w:sz w:val="28"/>
          <w:szCs w:val="28"/>
        </w:rPr>
      </w:pPr>
      <w:r w:rsidRPr="00AD2050">
        <w:rPr>
          <w:sz w:val="28"/>
          <w:szCs w:val="28"/>
        </w:rPr>
        <w:tab/>
        <w:t xml:space="preserve"> </w:t>
      </w:r>
      <w:r w:rsidRPr="008B5926">
        <w:rPr>
          <w:noProof/>
          <w:sz w:val="28"/>
          <w:szCs w:val="28"/>
          <w:lang w:val="en-ZA" w:eastAsia="en-ZA"/>
        </w:rPr>
        <mc:AlternateContent>
          <mc:Choice Requires="wps">
            <w:drawing>
              <wp:anchor distT="0" distB="0" distL="114300" distR="114300" simplePos="0" relativeHeight="251661312" behindDoc="0" locked="0" layoutInCell="1" allowOverlap="1" wp14:anchorId="43808F4B" wp14:editId="36061447">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96153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42748FE0" w14:textId="77777777" w:rsidR="006F696E" w:rsidRPr="00AD2050" w:rsidRDefault="006F696E" w:rsidP="006F696E">
      <w:pPr>
        <w:pStyle w:val="Heading3"/>
        <w:pBdr>
          <w:bottom w:val="single" w:sz="12" w:space="12" w:color="auto"/>
        </w:pBdr>
        <w:jc w:val="center"/>
        <w:rPr>
          <w:rFonts w:ascii="Times New Roman" w:hAnsi="Times New Roman" w:cs="Times New Roman"/>
          <w:b/>
          <w:i w:val="0"/>
          <w:szCs w:val="28"/>
        </w:rPr>
      </w:pPr>
    </w:p>
    <w:p w14:paraId="0CC0590C" w14:textId="77777777" w:rsidR="006F696E" w:rsidRPr="00AD2050" w:rsidRDefault="006F696E" w:rsidP="006F696E">
      <w:pPr>
        <w:pStyle w:val="Heading3"/>
        <w:pBdr>
          <w:bottom w:val="single" w:sz="12" w:space="12" w:color="auto"/>
        </w:pBdr>
        <w:jc w:val="center"/>
      </w:pPr>
      <w:r w:rsidRPr="00AD2050">
        <w:rPr>
          <w:rFonts w:ascii="Times New Roman" w:hAnsi="Times New Roman" w:cs="Times New Roman"/>
          <w:b/>
          <w:i w:val="0"/>
          <w:szCs w:val="28"/>
        </w:rPr>
        <w:t>JUDGMENT</w:t>
      </w:r>
    </w:p>
    <w:p w14:paraId="4A24DE93" w14:textId="77777777" w:rsidR="006F696E" w:rsidRPr="008B5926" w:rsidRDefault="006F696E" w:rsidP="006F696E">
      <w:pPr>
        <w:spacing w:before="240"/>
        <w:rPr>
          <w:b/>
          <w:sz w:val="28"/>
          <w:szCs w:val="28"/>
        </w:rPr>
      </w:pPr>
      <w:r w:rsidRPr="00AD2050">
        <w:rPr>
          <w:b/>
          <w:sz w:val="28"/>
          <w:szCs w:val="28"/>
        </w:rPr>
        <w:t>Mabindla-Boqwana JA (</w:t>
      </w:r>
      <w:r w:rsidR="00B60AF9" w:rsidRPr="00AD2050">
        <w:rPr>
          <w:b/>
          <w:sz w:val="28"/>
          <w:szCs w:val="28"/>
        </w:rPr>
        <w:t xml:space="preserve">Makgoka and Hughes JJA and Binns-Ward and Tokota AJJA </w:t>
      </w:r>
      <w:r w:rsidRPr="00AD2050">
        <w:rPr>
          <w:b/>
          <w:sz w:val="28"/>
          <w:szCs w:val="28"/>
        </w:rPr>
        <w:t>concurring):</w:t>
      </w:r>
    </w:p>
    <w:p w14:paraId="037B969B" w14:textId="77777777" w:rsidR="006F696E" w:rsidRPr="008B5926" w:rsidRDefault="006F696E" w:rsidP="00D4788E">
      <w:pPr>
        <w:rPr>
          <w:b/>
          <w:sz w:val="28"/>
          <w:szCs w:val="28"/>
        </w:rPr>
      </w:pPr>
    </w:p>
    <w:p w14:paraId="374D6CAF" w14:textId="2B7D96E5" w:rsidR="00B60AF9" w:rsidRPr="008B5926" w:rsidRDefault="00130098" w:rsidP="00130098">
      <w:pPr>
        <w:pStyle w:val="CommentText"/>
        <w:spacing w:line="360" w:lineRule="auto"/>
        <w:rPr>
          <w:sz w:val="28"/>
          <w:szCs w:val="28"/>
        </w:rPr>
      </w:pPr>
      <w:r w:rsidRPr="008B5926">
        <w:rPr>
          <w:sz w:val="28"/>
          <w:szCs w:val="28"/>
        </w:rPr>
        <w:t>[1]</w:t>
      </w:r>
      <w:r w:rsidRPr="008B5926">
        <w:rPr>
          <w:sz w:val="28"/>
          <w:szCs w:val="28"/>
        </w:rPr>
        <w:tab/>
      </w:r>
      <w:r w:rsidR="00233F07" w:rsidRPr="00AD2050">
        <w:rPr>
          <w:sz w:val="28"/>
          <w:szCs w:val="28"/>
        </w:rPr>
        <w:t xml:space="preserve">The appeal concerns </w:t>
      </w:r>
      <w:r w:rsidR="003A3DCE" w:rsidRPr="00AD2050">
        <w:rPr>
          <w:sz w:val="28"/>
          <w:szCs w:val="28"/>
        </w:rPr>
        <w:t xml:space="preserve">the much debated and </w:t>
      </w:r>
      <w:r w:rsidR="00233F07" w:rsidRPr="00AD2050">
        <w:rPr>
          <w:sz w:val="28"/>
          <w:szCs w:val="28"/>
        </w:rPr>
        <w:t>recurr</w:t>
      </w:r>
      <w:r w:rsidR="003A3DCE" w:rsidRPr="00AD2050">
        <w:rPr>
          <w:sz w:val="28"/>
          <w:szCs w:val="28"/>
        </w:rPr>
        <w:t>ing</w:t>
      </w:r>
      <w:r w:rsidR="00233F07" w:rsidRPr="00AD2050">
        <w:rPr>
          <w:sz w:val="28"/>
          <w:szCs w:val="28"/>
        </w:rPr>
        <w:t xml:space="preserve"> question of the appealability of a court order. The Gauteng Division of the High Court, Johannesburg (the high court) dismissed </w:t>
      </w:r>
      <w:r w:rsidR="003A3DCE" w:rsidRPr="00AD2050">
        <w:rPr>
          <w:sz w:val="28"/>
          <w:szCs w:val="28"/>
        </w:rPr>
        <w:t>an</w:t>
      </w:r>
      <w:r w:rsidR="00233F07" w:rsidRPr="00AD2050">
        <w:rPr>
          <w:sz w:val="28"/>
          <w:szCs w:val="28"/>
        </w:rPr>
        <w:t xml:space="preserve"> exception raised by the appellant, Ciba</w:t>
      </w:r>
      <w:r w:rsidR="003A1AFD" w:rsidRPr="00AD2050">
        <w:rPr>
          <w:sz w:val="28"/>
          <w:szCs w:val="28"/>
        </w:rPr>
        <w:t> </w:t>
      </w:r>
      <w:r w:rsidR="00233F07" w:rsidRPr="00AD2050">
        <w:rPr>
          <w:sz w:val="28"/>
          <w:szCs w:val="28"/>
        </w:rPr>
        <w:t>Packaging (Pty) Ltd t/a Cibapac (Cibapac)</w:t>
      </w:r>
      <w:r w:rsidR="008B5926">
        <w:rPr>
          <w:sz w:val="28"/>
          <w:szCs w:val="28"/>
        </w:rPr>
        <w:t>,</w:t>
      </w:r>
      <w:r w:rsidR="00233F07" w:rsidRPr="008B5926">
        <w:rPr>
          <w:sz w:val="28"/>
          <w:szCs w:val="28"/>
        </w:rPr>
        <w:t xml:space="preserve"> to the particulars of claim of</w:t>
      </w:r>
      <w:r w:rsidR="003A3DCE" w:rsidRPr="008B5926">
        <w:rPr>
          <w:sz w:val="28"/>
          <w:szCs w:val="28"/>
        </w:rPr>
        <w:t xml:space="preserve"> the respon</w:t>
      </w:r>
      <w:r w:rsidR="003A3DCE" w:rsidRPr="00AD2050">
        <w:rPr>
          <w:sz w:val="28"/>
          <w:szCs w:val="28"/>
        </w:rPr>
        <w:t>dent,</w:t>
      </w:r>
      <w:r w:rsidR="00233F07" w:rsidRPr="00AD2050">
        <w:rPr>
          <w:sz w:val="28"/>
          <w:szCs w:val="28"/>
        </w:rPr>
        <w:t xml:space="preserve"> Timelink Cargo (Pty) Ltd (Timelink). </w:t>
      </w:r>
      <w:r w:rsidR="00B60AF9" w:rsidRPr="008B5926">
        <w:rPr>
          <w:sz w:val="28"/>
          <w:szCs w:val="28"/>
        </w:rPr>
        <w:t xml:space="preserve">The appeal is with the leave of the high court. </w:t>
      </w:r>
    </w:p>
    <w:p w14:paraId="304F4E24" w14:textId="77777777" w:rsidR="00233F07" w:rsidRPr="008B5926" w:rsidRDefault="00233F07" w:rsidP="00233F07">
      <w:pPr>
        <w:pStyle w:val="CommentText"/>
        <w:spacing w:line="360" w:lineRule="auto"/>
        <w:rPr>
          <w:sz w:val="28"/>
          <w:szCs w:val="28"/>
        </w:rPr>
      </w:pPr>
    </w:p>
    <w:p w14:paraId="6D758960" w14:textId="46EDCA7A" w:rsidR="00AA3DF6" w:rsidRPr="00130098" w:rsidRDefault="00130098" w:rsidP="00130098">
      <w:pPr>
        <w:ind w:hanging="11"/>
        <w:rPr>
          <w:sz w:val="28"/>
          <w:szCs w:val="28"/>
        </w:rPr>
      </w:pPr>
      <w:r w:rsidRPr="00AD2050">
        <w:rPr>
          <w:sz w:val="28"/>
          <w:szCs w:val="28"/>
        </w:rPr>
        <w:t>[2]</w:t>
      </w:r>
      <w:r w:rsidRPr="00AD2050">
        <w:rPr>
          <w:sz w:val="28"/>
          <w:szCs w:val="28"/>
        </w:rPr>
        <w:tab/>
      </w:r>
      <w:r w:rsidR="00233F07" w:rsidRPr="00130098">
        <w:rPr>
          <w:sz w:val="28"/>
          <w:szCs w:val="28"/>
        </w:rPr>
        <w:t>T</w:t>
      </w:r>
      <w:r w:rsidR="00DD7D88" w:rsidRPr="00130098">
        <w:rPr>
          <w:sz w:val="28"/>
          <w:szCs w:val="28"/>
        </w:rPr>
        <w:t>imelink</w:t>
      </w:r>
      <w:r w:rsidR="007D2295" w:rsidRPr="00130098">
        <w:rPr>
          <w:sz w:val="28"/>
          <w:szCs w:val="28"/>
        </w:rPr>
        <w:t xml:space="preserve"> </w:t>
      </w:r>
      <w:r w:rsidR="00DD7D88" w:rsidRPr="00130098">
        <w:rPr>
          <w:sz w:val="28"/>
          <w:szCs w:val="28"/>
        </w:rPr>
        <w:t>instituted</w:t>
      </w:r>
      <w:r w:rsidR="00462972" w:rsidRPr="00130098">
        <w:rPr>
          <w:sz w:val="28"/>
          <w:szCs w:val="28"/>
        </w:rPr>
        <w:t xml:space="preserve"> an </w:t>
      </w:r>
      <w:r w:rsidR="00DD7D88" w:rsidRPr="00130098">
        <w:rPr>
          <w:sz w:val="28"/>
          <w:szCs w:val="28"/>
        </w:rPr>
        <w:t xml:space="preserve">action against </w:t>
      </w:r>
      <w:bookmarkStart w:id="1" w:name="_Hlk151039888"/>
      <w:r w:rsidR="00462972" w:rsidRPr="00130098">
        <w:rPr>
          <w:sz w:val="28"/>
          <w:szCs w:val="28"/>
        </w:rPr>
        <w:t>Cibapac</w:t>
      </w:r>
      <w:bookmarkEnd w:id="1"/>
      <w:r w:rsidR="008B5926" w:rsidRPr="00130098">
        <w:rPr>
          <w:sz w:val="28"/>
          <w:szCs w:val="28"/>
        </w:rPr>
        <w:t>,</w:t>
      </w:r>
      <w:r w:rsidR="00DD7D88" w:rsidRPr="00130098">
        <w:rPr>
          <w:sz w:val="28"/>
          <w:szCs w:val="28"/>
        </w:rPr>
        <w:t xml:space="preserve"> </w:t>
      </w:r>
      <w:r w:rsidR="00850555" w:rsidRPr="00130098">
        <w:rPr>
          <w:sz w:val="28"/>
          <w:szCs w:val="28"/>
        </w:rPr>
        <w:t xml:space="preserve">in </w:t>
      </w:r>
      <w:r w:rsidR="00DD7D88" w:rsidRPr="00130098">
        <w:rPr>
          <w:sz w:val="28"/>
          <w:szCs w:val="28"/>
        </w:rPr>
        <w:t>the high court</w:t>
      </w:r>
      <w:r w:rsidR="001616E7" w:rsidRPr="00130098">
        <w:rPr>
          <w:sz w:val="28"/>
          <w:szCs w:val="28"/>
        </w:rPr>
        <w:t xml:space="preserve">. It </w:t>
      </w:r>
      <w:r w:rsidR="00B60AF9" w:rsidRPr="00130098">
        <w:rPr>
          <w:sz w:val="28"/>
          <w:szCs w:val="28"/>
        </w:rPr>
        <w:t xml:space="preserve">alleged </w:t>
      </w:r>
      <w:r w:rsidR="003A3DCE" w:rsidRPr="00130098">
        <w:rPr>
          <w:sz w:val="28"/>
          <w:szCs w:val="28"/>
        </w:rPr>
        <w:t>in its particulars of claim that during</w:t>
      </w:r>
      <w:r w:rsidR="0048260C" w:rsidRPr="00130098">
        <w:rPr>
          <w:sz w:val="28"/>
          <w:szCs w:val="28"/>
        </w:rPr>
        <w:t xml:space="preserve"> December 2011</w:t>
      </w:r>
      <w:r w:rsidR="003A3DCE" w:rsidRPr="00130098">
        <w:rPr>
          <w:sz w:val="28"/>
          <w:szCs w:val="28"/>
        </w:rPr>
        <w:t>,</w:t>
      </w:r>
      <w:r w:rsidR="00850555" w:rsidRPr="00130098">
        <w:rPr>
          <w:sz w:val="28"/>
          <w:szCs w:val="28"/>
        </w:rPr>
        <w:t xml:space="preserve"> it concluded an agreement with Cibapac. In terms of the agreement</w:t>
      </w:r>
      <w:r w:rsidR="001616E7" w:rsidRPr="00130098">
        <w:rPr>
          <w:sz w:val="28"/>
          <w:szCs w:val="28"/>
        </w:rPr>
        <w:t xml:space="preserve">, it </w:t>
      </w:r>
      <w:r w:rsidR="0048260C" w:rsidRPr="00130098">
        <w:rPr>
          <w:sz w:val="28"/>
          <w:szCs w:val="28"/>
        </w:rPr>
        <w:t xml:space="preserve">would supply freight services </w:t>
      </w:r>
      <w:r w:rsidR="00F91E3E" w:rsidRPr="00130098">
        <w:rPr>
          <w:sz w:val="28"/>
          <w:szCs w:val="28"/>
        </w:rPr>
        <w:t xml:space="preserve">for </w:t>
      </w:r>
      <w:r w:rsidR="006827EB" w:rsidRPr="00130098">
        <w:rPr>
          <w:sz w:val="28"/>
          <w:szCs w:val="28"/>
        </w:rPr>
        <w:t>Cibapac</w:t>
      </w:r>
      <w:r w:rsidR="00F91E3E" w:rsidRPr="00130098">
        <w:rPr>
          <w:sz w:val="28"/>
          <w:szCs w:val="28"/>
        </w:rPr>
        <w:t xml:space="preserve"> </w:t>
      </w:r>
      <w:r w:rsidR="0048260C" w:rsidRPr="00130098">
        <w:rPr>
          <w:sz w:val="28"/>
          <w:szCs w:val="28"/>
        </w:rPr>
        <w:t>within three days of receipt of written purchase orders from</w:t>
      </w:r>
      <w:r w:rsidR="00850555" w:rsidRPr="00130098">
        <w:rPr>
          <w:sz w:val="28"/>
          <w:szCs w:val="28"/>
        </w:rPr>
        <w:t xml:space="preserve"> Cibapac</w:t>
      </w:r>
      <w:r w:rsidR="0048260C" w:rsidRPr="00130098">
        <w:rPr>
          <w:sz w:val="28"/>
          <w:szCs w:val="28"/>
        </w:rPr>
        <w:t xml:space="preserve">. The services would be rendered at </w:t>
      </w:r>
      <w:r w:rsidR="00850555" w:rsidRPr="00130098">
        <w:rPr>
          <w:sz w:val="28"/>
          <w:szCs w:val="28"/>
        </w:rPr>
        <w:t xml:space="preserve">Timelink’s </w:t>
      </w:r>
      <w:r w:rsidR="0048260C" w:rsidRPr="00130098">
        <w:rPr>
          <w:sz w:val="28"/>
          <w:szCs w:val="28"/>
        </w:rPr>
        <w:t>usual rate, alternatively at the reasonable rate</w:t>
      </w:r>
      <w:r w:rsidR="00EB30EC" w:rsidRPr="00130098">
        <w:rPr>
          <w:sz w:val="28"/>
          <w:szCs w:val="28"/>
        </w:rPr>
        <w:t xml:space="preserve"> </w:t>
      </w:r>
      <w:r w:rsidR="00EB30EC" w:rsidRPr="00130098">
        <w:rPr>
          <w:sz w:val="28"/>
          <w:szCs w:val="28"/>
        </w:rPr>
        <w:lastRenderedPageBreak/>
        <w:t xml:space="preserve">determined according to </w:t>
      </w:r>
      <w:r w:rsidR="001616E7" w:rsidRPr="00130098">
        <w:rPr>
          <w:sz w:val="28"/>
          <w:szCs w:val="28"/>
        </w:rPr>
        <w:t xml:space="preserve">the </w:t>
      </w:r>
      <w:r w:rsidR="00EB30EC" w:rsidRPr="00130098">
        <w:rPr>
          <w:sz w:val="28"/>
          <w:szCs w:val="28"/>
        </w:rPr>
        <w:t xml:space="preserve">industry standard. </w:t>
      </w:r>
      <w:r w:rsidR="002635D8" w:rsidRPr="00130098">
        <w:rPr>
          <w:sz w:val="28"/>
          <w:szCs w:val="28"/>
        </w:rPr>
        <w:t xml:space="preserve">In addition, </w:t>
      </w:r>
      <w:r w:rsidR="00850555" w:rsidRPr="00130098">
        <w:rPr>
          <w:sz w:val="28"/>
          <w:szCs w:val="28"/>
        </w:rPr>
        <w:t xml:space="preserve">Cibapac </w:t>
      </w:r>
      <w:r w:rsidR="00EB30EC" w:rsidRPr="00130098">
        <w:rPr>
          <w:sz w:val="28"/>
          <w:szCs w:val="28"/>
        </w:rPr>
        <w:t xml:space="preserve">would be liable for all necessary disbursements incurred in the rendering of services on its behalf. </w:t>
      </w:r>
    </w:p>
    <w:p w14:paraId="512420F5" w14:textId="77777777" w:rsidR="003342F1" w:rsidRPr="00AD2050" w:rsidRDefault="003342F1" w:rsidP="00D4788E">
      <w:pPr>
        <w:pStyle w:val="ListParagraph"/>
        <w:rPr>
          <w:sz w:val="28"/>
          <w:szCs w:val="28"/>
        </w:rPr>
      </w:pPr>
    </w:p>
    <w:p w14:paraId="72114538" w14:textId="3B1BE953" w:rsidR="006327E4" w:rsidRPr="00130098" w:rsidRDefault="00130098" w:rsidP="00130098">
      <w:pPr>
        <w:ind w:hanging="11"/>
        <w:rPr>
          <w:sz w:val="28"/>
          <w:szCs w:val="28"/>
        </w:rPr>
      </w:pPr>
      <w:r w:rsidRPr="00AD2050">
        <w:rPr>
          <w:sz w:val="28"/>
          <w:szCs w:val="28"/>
        </w:rPr>
        <w:t>[3]</w:t>
      </w:r>
      <w:r w:rsidRPr="00AD2050">
        <w:rPr>
          <w:sz w:val="28"/>
          <w:szCs w:val="28"/>
        </w:rPr>
        <w:tab/>
      </w:r>
      <w:r w:rsidR="001616E7" w:rsidRPr="00130098">
        <w:rPr>
          <w:sz w:val="28"/>
          <w:szCs w:val="28"/>
        </w:rPr>
        <w:t xml:space="preserve">Timelink </w:t>
      </w:r>
      <w:r w:rsidR="00850555" w:rsidRPr="00130098">
        <w:rPr>
          <w:sz w:val="28"/>
          <w:szCs w:val="28"/>
        </w:rPr>
        <w:t xml:space="preserve">further </w:t>
      </w:r>
      <w:r w:rsidR="00FE7CC9" w:rsidRPr="00130098">
        <w:rPr>
          <w:sz w:val="28"/>
          <w:szCs w:val="28"/>
        </w:rPr>
        <w:t xml:space="preserve">alleged </w:t>
      </w:r>
      <w:r w:rsidR="00FC47FA" w:rsidRPr="00130098">
        <w:rPr>
          <w:sz w:val="28"/>
          <w:szCs w:val="28"/>
        </w:rPr>
        <w:t>that d</w:t>
      </w:r>
      <w:r w:rsidR="00AA3DF6" w:rsidRPr="00130098">
        <w:rPr>
          <w:sz w:val="28"/>
          <w:szCs w:val="28"/>
        </w:rPr>
        <w:t xml:space="preserve">uring December 2019 to March 2020, </w:t>
      </w:r>
      <w:r w:rsidR="00FC47FA" w:rsidRPr="00130098">
        <w:rPr>
          <w:sz w:val="28"/>
          <w:szCs w:val="28"/>
        </w:rPr>
        <w:t xml:space="preserve">it </w:t>
      </w:r>
      <w:r w:rsidR="00AA3DF6" w:rsidRPr="00130098">
        <w:rPr>
          <w:sz w:val="28"/>
          <w:szCs w:val="28"/>
        </w:rPr>
        <w:t xml:space="preserve">rendered the services in terms of the agreement, as a result of which it became entitled to receive payment in the sum of R1 652 678.80. </w:t>
      </w:r>
      <w:r w:rsidR="00FC47FA" w:rsidRPr="00130098">
        <w:rPr>
          <w:sz w:val="28"/>
          <w:szCs w:val="28"/>
        </w:rPr>
        <w:t xml:space="preserve">On 3 April </w:t>
      </w:r>
      <w:r w:rsidR="001E630A" w:rsidRPr="00130098">
        <w:rPr>
          <w:sz w:val="28"/>
          <w:szCs w:val="28"/>
        </w:rPr>
        <w:t>2020,</w:t>
      </w:r>
      <w:r w:rsidR="00FC47FA" w:rsidRPr="00130098">
        <w:rPr>
          <w:sz w:val="28"/>
          <w:szCs w:val="28"/>
        </w:rPr>
        <w:t xml:space="preserve"> </w:t>
      </w:r>
      <w:r w:rsidR="001E630A" w:rsidRPr="00130098">
        <w:rPr>
          <w:sz w:val="28"/>
          <w:szCs w:val="28"/>
        </w:rPr>
        <w:t xml:space="preserve">it </w:t>
      </w:r>
      <w:r w:rsidR="00FC47FA" w:rsidRPr="00130098">
        <w:rPr>
          <w:sz w:val="28"/>
          <w:szCs w:val="28"/>
        </w:rPr>
        <w:t xml:space="preserve">sent a letter of demand to the </w:t>
      </w:r>
      <w:r w:rsidR="0084422E" w:rsidRPr="00130098">
        <w:rPr>
          <w:sz w:val="28"/>
          <w:szCs w:val="28"/>
        </w:rPr>
        <w:t>Cibapac</w:t>
      </w:r>
      <w:r w:rsidR="001E630A" w:rsidRPr="00130098">
        <w:rPr>
          <w:sz w:val="28"/>
          <w:szCs w:val="28"/>
        </w:rPr>
        <w:t xml:space="preserve"> c</w:t>
      </w:r>
      <w:r w:rsidR="00FC47FA" w:rsidRPr="00130098">
        <w:rPr>
          <w:sz w:val="28"/>
          <w:szCs w:val="28"/>
        </w:rPr>
        <w:t xml:space="preserve">laiming payment of the alleged debt. </w:t>
      </w:r>
    </w:p>
    <w:p w14:paraId="1B997CF7" w14:textId="77777777" w:rsidR="001E630A" w:rsidRPr="00AD2050" w:rsidRDefault="001E630A" w:rsidP="001E630A">
      <w:pPr>
        <w:pStyle w:val="ListParagraph"/>
        <w:rPr>
          <w:sz w:val="28"/>
          <w:szCs w:val="28"/>
        </w:rPr>
      </w:pPr>
    </w:p>
    <w:p w14:paraId="6A5BE0E0" w14:textId="43BCF9EB" w:rsidR="007022A5" w:rsidRPr="00130098" w:rsidRDefault="00130098" w:rsidP="00130098">
      <w:pPr>
        <w:ind w:hanging="11"/>
        <w:rPr>
          <w:sz w:val="28"/>
          <w:szCs w:val="28"/>
        </w:rPr>
      </w:pPr>
      <w:r w:rsidRPr="00AD2050">
        <w:rPr>
          <w:sz w:val="28"/>
          <w:szCs w:val="28"/>
        </w:rPr>
        <w:t>[4]</w:t>
      </w:r>
      <w:r w:rsidRPr="00AD2050">
        <w:rPr>
          <w:sz w:val="28"/>
          <w:szCs w:val="28"/>
        </w:rPr>
        <w:tab/>
      </w:r>
      <w:r w:rsidR="006827EB" w:rsidRPr="00130098">
        <w:rPr>
          <w:sz w:val="28"/>
          <w:szCs w:val="28"/>
        </w:rPr>
        <w:t>In addition</w:t>
      </w:r>
      <w:r w:rsidR="00A55071" w:rsidRPr="00130098">
        <w:rPr>
          <w:sz w:val="28"/>
          <w:szCs w:val="28"/>
        </w:rPr>
        <w:t>,</w:t>
      </w:r>
      <w:r w:rsidR="006827EB" w:rsidRPr="00130098">
        <w:rPr>
          <w:sz w:val="28"/>
          <w:szCs w:val="28"/>
        </w:rPr>
        <w:t xml:space="preserve"> </w:t>
      </w:r>
      <w:r w:rsidR="001616E7" w:rsidRPr="00130098">
        <w:rPr>
          <w:sz w:val="28"/>
          <w:szCs w:val="28"/>
        </w:rPr>
        <w:t>it made the following</w:t>
      </w:r>
      <w:r w:rsidR="00B60AF9" w:rsidRPr="00130098">
        <w:rPr>
          <w:sz w:val="28"/>
          <w:szCs w:val="28"/>
        </w:rPr>
        <w:t xml:space="preserve"> allegations</w:t>
      </w:r>
      <w:r w:rsidR="007022A5" w:rsidRPr="00130098">
        <w:rPr>
          <w:sz w:val="28"/>
          <w:szCs w:val="28"/>
        </w:rPr>
        <w:t xml:space="preserve">: (a) </w:t>
      </w:r>
      <w:r w:rsidR="001E630A" w:rsidRPr="00130098">
        <w:rPr>
          <w:sz w:val="28"/>
          <w:szCs w:val="28"/>
        </w:rPr>
        <w:t>on 14 May 2020</w:t>
      </w:r>
      <w:r w:rsidR="005F5947" w:rsidRPr="00130098">
        <w:rPr>
          <w:sz w:val="28"/>
          <w:szCs w:val="28"/>
        </w:rPr>
        <w:t>,</w:t>
      </w:r>
      <w:r w:rsidR="001E630A" w:rsidRPr="00130098">
        <w:rPr>
          <w:sz w:val="28"/>
          <w:szCs w:val="28"/>
        </w:rPr>
        <w:t xml:space="preserve"> </w:t>
      </w:r>
      <w:r w:rsidR="0084422E" w:rsidRPr="00130098">
        <w:rPr>
          <w:sz w:val="28"/>
          <w:szCs w:val="28"/>
        </w:rPr>
        <w:t>Cibapac</w:t>
      </w:r>
      <w:r w:rsidR="001E630A" w:rsidRPr="00130098">
        <w:rPr>
          <w:sz w:val="28"/>
          <w:szCs w:val="28"/>
        </w:rPr>
        <w:t xml:space="preserve"> </w:t>
      </w:r>
      <w:r w:rsidR="007022A5" w:rsidRPr="00130098">
        <w:rPr>
          <w:sz w:val="28"/>
          <w:szCs w:val="28"/>
        </w:rPr>
        <w:t xml:space="preserve">was placed under business rescue; (b) </w:t>
      </w:r>
      <w:r w:rsidR="003A1AFD" w:rsidRPr="00130098">
        <w:rPr>
          <w:sz w:val="28"/>
          <w:szCs w:val="28"/>
        </w:rPr>
        <w:t xml:space="preserve">Cibapac </w:t>
      </w:r>
      <w:r w:rsidR="007022A5" w:rsidRPr="00130098">
        <w:rPr>
          <w:sz w:val="28"/>
          <w:szCs w:val="28"/>
        </w:rPr>
        <w:t xml:space="preserve">admitted its indebtedness to it and recorded it as a creditor in its business rescue plan; </w:t>
      </w:r>
      <w:r w:rsidR="00B60AF9" w:rsidRPr="00130098">
        <w:rPr>
          <w:sz w:val="28"/>
          <w:szCs w:val="28"/>
        </w:rPr>
        <w:t xml:space="preserve">(c) </w:t>
      </w:r>
      <w:r w:rsidR="007022A5" w:rsidRPr="00130098">
        <w:rPr>
          <w:sz w:val="28"/>
          <w:szCs w:val="28"/>
        </w:rPr>
        <w:t>the business rescue plan was adopted in September 20</w:t>
      </w:r>
      <w:r w:rsidR="00DB4244" w:rsidRPr="00130098">
        <w:rPr>
          <w:sz w:val="28"/>
          <w:szCs w:val="28"/>
        </w:rPr>
        <w:t>20</w:t>
      </w:r>
      <w:r w:rsidR="007022A5" w:rsidRPr="00130098">
        <w:rPr>
          <w:sz w:val="28"/>
          <w:szCs w:val="28"/>
        </w:rPr>
        <w:t xml:space="preserve">; and </w:t>
      </w:r>
      <w:r w:rsidR="00DB4244" w:rsidRPr="00130098">
        <w:rPr>
          <w:sz w:val="28"/>
          <w:szCs w:val="28"/>
        </w:rPr>
        <w:t>(</w:t>
      </w:r>
      <w:r w:rsidR="00B60AF9" w:rsidRPr="00130098">
        <w:rPr>
          <w:sz w:val="28"/>
          <w:szCs w:val="28"/>
        </w:rPr>
        <w:t>d</w:t>
      </w:r>
      <w:r w:rsidR="00DB4244" w:rsidRPr="00130098">
        <w:rPr>
          <w:sz w:val="28"/>
          <w:szCs w:val="28"/>
        </w:rPr>
        <w:t>)</w:t>
      </w:r>
      <w:r w:rsidR="007022A5" w:rsidRPr="00130098">
        <w:rPr>
          <w:sz w:val="28"/>
          <w:szCs w:val="28"/>
        </w:rPr>
        <w:t xml:space="preserve"> the business rescue plan terminated </w:t>
      </w:r>
      <w:r w:rsidR="001E630A" w:rsidRPr="00130098">
        <w:rPr>
          <w:sz w:val="28"/>
          <w:szCs w:val="28"/>
        </w:rPr>
        <w:t xml:space="preserve">on </w:t>
      </w:r>
      <w:r w:rsidR="00977460" w:rsidRPr="00130098">
        <w:rPr>
          <w:sz w:val="28"/>
          <w:szCs w:val="28"/>
        </w:rPr>
        <w:t>18 </w:t>
      </w:r>
      <w:r w:rsidR="001E630A" w:rsidRPr="00130098">
        <w:rPr>
          <w:sz w:val="28"/>
          <w:szCs w:val="28"/>
        </w:rPr>
        <w:t xml:space="preserve">December 2020 </w:t>
      </w:r>
      <w:r w:rsidR="007022A5" w:rsidRPr="00130098">
        <w:rPr>
          <w:sz w:val="28"/>
          <w:szCs w:val="28"/>
        </w:rPr>
        <w:t xml:space="preserve">after the business rescue practitioner filed a notice of substantial implementation. Timelink </w:t>
      </w:r>
      <w:r w:rsidR="00977460" w:rsidRPr="00130098">
        <w:rPr>
          <w:sz w:val="28"/>
          <w:szCs w:val="28"/>
        </w:rPr>
        <w:t xml:space="preserve">pleaded </w:t>
      </w:r>
      <w:r w:rsidR="007022A5" w:rsidRPr="00130098">
        <w:rPr>
          <w:sz w:val="28"/>
          <w:szCs w:val="28"/>
        </w:rPr>
        <w:t>that it did not participate in the business rescue proceedings.</w:t>
      </w:r>
    </w:p>
    <w:p w14:paraId="61CEE6B6" w14:textId="77777777" w:rsidR="007022A5" w:rsidRPr="00AD2050" w:rsidRDefault="007022A5" w:rsidP="001E630A">
      <w:pPr>
        <w:pStyle w:val="ListParagraph"/>
        <w:ind w:left="0"/>
        <w:rPr>
          <w:sz w:val="28"/>
          <w:szCs w:val="28"/>
        </w:rPr>
      </w:pPr>
    </w:p>
    <w:p w14:paraId="5975BF30" w14:textId="02788205" w:rsidR="00097242" w:rsidRPr="00130098" w:rsidRDefault="00130098" w:rsidP="00130098">
      <w:pPr>
        <w:ind w:hanging="11"/>
        <w:rPr>
          <w:sz w:val="28"/>
          <w:szCs w:val="28"/>
        </w:rPr>
      </w:pPr>
      <w:r w:rsidRPr="00AD2050">
        <w:rPr>
          <w:sz w:val="28"/>
          <w:szCs w:val="28"/>
        </w:rPr>
        <w:t>[5]</w:t>
      </w:r>
      <w:r w:rsidRPr="00AD2050">
        <w:rPr>
          <w:sz w:val="28"/>
          <w:szCs w:val="28"/>
        </w:rPr>
        <w:tab/>
      </w:r>
      <w:r w:rsidR="0084422E" w:rsidRPr="00130098">
        <w:rPr>
          <w:sz w:val="28"/>
          <w:szCs w:val="28"/>
        </w:rPr>
        <w:t>Cibapac</w:t>
      </w:r>
      <w:r w:rsidR="00FC47FA" w:rsidRPr="00130098">
        <w:rPr>
          <w:sz w:val="28"/>
          <w:szCs w:val="28"/>
        </w:rPr>
        <w:t xml:space="preserve"> </w:t>
      </w:r>
      <w:r w:rsidR="00AA3DF6" w:rsidRPr="00130098">
        <w:rPr>
          <w:sz w:val="28"/>
          <w:szCs w:val="28"/>
        </w:rPr>
        <w:t xml:space="preserve">filed an exception </w:t>
      </w:r>
      <w:r w:rsidR="006339F8" w:rsidRPr="00130098">
        <w:rPr>
          <w:sz w:val="28"/>
          <w:szCs w:val="28"/>
        </w:rPr>
        <w:t xml:space="preserve">to </w:t>
      </w:r>
      <w:r w:rsidR="001E630A" w:rsidRPr="00130098">
        <w:rPr>
          <w:sz w:val="28"/>
          <w:szCs w:val="28"/>
        </w:rPr>
        <w:t xml:space="preserve">Timelink’s </w:t>
      </w:r>
      <w:r w:rsidR="006339F8" w:rsidRPr="00130098">
        <w:rPr>
          <w:sz w:val="28"/>
          <w:szCs w:val="28"/>
        </w:rPr>
        <w:t>particulars of claim</w:t>
      </w:r>
      <w:r w:rsidR="008D6A1A" w:rsidRPr="00130098">
        <w:rPr>
          <w:sz w:val="28"/>
          <w:szCs w:val="28"/>
        </w:rPr>
        <w:t xml:space="preserve"> on </w:t>
      </w:r>
      <w:r w:rsidR="00B059C3" w:rsidRPr="00130098">
        <w:rPr>
          <w:sz w:val="28"/>
          <w:szCs w:val="28"/>
        </w:rPr>
        <w:t xml:space="preserve">the </w:t>
      </w:r>
      <w:r w:rsidR="008D6A1A" w:rsidRPr="00130098">
        <w:rPr>
          <w:sz w:val="28"/>
          <w:szCs w:val="28"/>
        </w:rPr>
        <w:t>grounds that the</w:t>
      </w:r>
      <w:r w:rsidR="006327E4" w:rsidRPr="00130098">
        <w:rPr>
          <w:sz w:val="28"/>
          <w:szCs w:val="28"/>
        </w:rPr>
        <w:t xml:space="preserve"> particulars of claim</w:t>
      </w:r>
      <w:r w:rsidR="008D6A1A" w:rsidRPr="00130098">
        <w:rPr>
          <w:sz w:val="28"/>
          <w:szCs w:val="28"/>
        </w:rPr>
        <w:t xml:space="preserve"> did not disclose a cause of action. </w:t>
      </w:r>
      <w:r w:rsidR="00671709" w:rsidRPr="00130098">
        <w:rPr>
          <w:sz w:val="28"/>
          <w:szCs w:val="28"/>
        </w:rPr>
        <w:t>This</w:t>
      </w:r>
      <w:r w:rsidR="00097242" w:rsidRPr="00130098">
        <w:rPr>
          <w:sz w:val="28"/>
          <w:szCs w:val="28"/>
        </w:rPr>
        <w:t xml:space="preserve">, </w:t>
      </w:r>
      <w:r w:rsidR="0084422E" w:rsidRPr="00130098">
        <w:rPr>
          <w:sz w:val="28"/>
          <w:szCs w:val="28"/>
        </w:rPr>
        <w:t>Cibapac</w:t>
      </w:r>
      <w:r w:rsidR="00B60AF9" w:rsidRPr="00130098">
        <w:rPr>
          <w:sz w:val="28"/>
          <w:szCs w:val="28"/>
        </w:rPr>
        <w:t xml:space="preserve"> alleged</w:t>
      </w:r>
      <w:r w:rsidR="00097242" w:rsidRPr="00130098">
        <w:rPr>
          <w:sz w:val="28"/>
          <w:szCs w:val="28"/>
        </w:rPr>
        <w:t>,</w:t>
      </w:r>
      <w:r w:rsidR="00671709" w:rsidRPr="00130098">
        <w:rPr>
          <w:sz w:val="28"/>
          <w:szCs w:val="28"/>
        </w:rPr>
        <w:t xml:space="preserve"> was because </w:t>
      </w:r>
      <w:r w:rsidR="001E630A" w:rsidRPr="00130098">
        <w:rPr>
          <w:sz w:val="28"/>
          <w:szCs w:val="28"/>
        </w:rPr>
        <w:t>Timelink’</w:t>
      </w:r>
      <w:r w:rsidR="00097242" w:rsidRPr="00130098">
        <w:rPr>
          <w:sz w:val="28"/>
          <w:szCs w:val="28"/>
        </w:rPr>
        <w:t>s claim</w:t>
      </w:r>
      <w:r w:rsidR="008D6A1A" w:rsidRPr="00130098">
        <w:rPr>
          <w:sz w:val="28"/>
          <w:szCs w:val="28"/>
        </w:rPr>
        <w:t xml:space="preserve"> </w:t>
      </w:r>
      <w:r w:rsidR="00AA3DF6" w:rsidRPr="00130098">
        <w:rPr>
          <w:sz w:val="28"/>
          <w:szCs w:val="28"/>
        </w:rPr>
        <w:t>was</w:t>
      </w:r>
      <w:r w:rsidR="00097242" w:rsidRPr="00130098">
        <w:rPr>
          <w:sz w:val="28"/>
          <w:szCs w:val="28"/>
        </w:rPr>
        <w:t xml:space="preserve"> barred by the provisions of s 154(2) of the Companies Act 71 of 2008 (the Act)</w:t>
      </w:r>
      <w:r w:rsidR="005F5947" w:rsidRPr="00130098">
        <w:rPr>
          <w:sz w:val="28"/>
          <w:szCs w:val="28"/>
        </w:rPr>
        <w:t>,</w:t>
      </w:r>
      <w:r w:rsidR="00C6768A" w:rsidRPr="00130098">
        <w:rPr>
          <w:sz w:val="28"/>
          <w:szCs w:val="28"/>
        </w:rPr>
        <w:t xml:space="preserve"> which </w:t>
      </w:r>
      <w:r w:rsidR="00DB4244" w:rsidRPr="00130098">
        <w:rPr>
          <w:sz w:val="28"/>
          <w:szCs w:val="28"/>
        </w:rPr>
        <w:t>read</w:t>
      </w:r>
      <w:r w:rsidR="00977460" w:rsidRPr="00130098">
        <w:rPr>
          <w:sz w:val="28"/>
          <w:szCs w:val="28"/>
        </w:rPr>
        <w:t>s</w:t>
      </w:r>
      <w:r w:rsidR="001E630A" w:rsidRPr="00130098">
        <w:rPr>
          <w:sz w:val="28"/>
          <w:szCs w:val="28"/>
        </w:rPr>
        <w:t xml:space="preserve"> as follows: </w:t>
      </w:r>
      <w:r w:rsidR="00AA3DF6" w:rsidRPr="00130098">
        <w:rPr>
          <w:sz w:val="28"/>
          <w:szCs w:val="28"/>
        </w:rPr>
        <w:t xml:space="preserve"> </w:t>
      </w:r>
    </w:p>
    <w:p w14:paraId="153483EF" w14:textId="77777777" w:rsidR="00097242" w:rsidRPr="00AD2050" w:rsidRDefault="00097242" w:rsidP="001E630A">
      <w:pPr>
        <w:pStyle w:val="ListParagraph"/>
        <w:ind w:left="0"/>
      </w:pPr>
      <w:r w:rsidRPr="00AD2050">
        <w:t xml:space="preserve">‘(1) </w:t>
      </w:r>
      <w:r w:rsidRPr="00AD2050">
        <w:tab/>
        <w:t>A business rescue plan may provide that, if it is implemented in accordance with its terms and conditions, a creditor who has acceded to the discharge of the whole or part of a debt owing to that creditor will lose the right to enforce the relevant debt or part of it.</w:t>
      </w:r>
    </w:p>
    <w:p w14:paraId="1AB62618" w14:textId="77777777" w:rsidR="00097242" w:rsidRPr="00AD2050" w:rsidRDefault="00097242" w:rsidP="001E630A">
      <w:pPr>
        <w:pStyle w:val="ListParagraph"/>
        <w:ind w:left="0"/>
      </w:pPr>
      <w:r w:rsidRPr="00AD2050">
        <w:t xml:space="preserve">(2) </w:t>
      </w:r>
      <w:r w:rsidRPr="00AD2050">
        <w:tab/>
        <w:t>If a business rescue plan has been approved and implemented in accordance with this Chapter, a creditor is not entitled to enforce any debt owed by the company immediately before the beginning of the business rescue process, except to the extent provided for in the business rescue plan.’</w:t>
      </w:r>
    </w:p>
    <w:p w14:paraId="58E01805" w14:textId="174731F3" w:rsidR="00734ED1" w:rsidRPr="00130098" w:rsidRDefault="00130098" w:rsidP="00130098">
      <w:pPr>
        <w:ind w:hanging="11"/>
        <w:rPr>
          <w:sz w:val="28"/>
          <w:szCs w:val="28"/>
        </w:rPr>
      </w:pPr>
      <w:r w:rsidRPr="00AD2050">
        <w:rPr>
          <w:sz w:val="28"/>
          <w:szCs w:val="28"/>
        </w:rPr>
        <w:lastRenderedPageBreak/>
        <w:t>[6]</w:t>
      </w:r>
      <w:r w:rsidRPr="00AD2050">
        <w:rPr>
          <w:sz w:val="28"/>
          <w:szCs w:val="28"/>
        </w:rPr>
        <w:tab/>
      </w:r>
      <w:r w:rsidR="00097242" w:rsidRPr="00130098">
        <w:rPr>
          <w:sz w:val="28"/>
          <w:szCs w:val="28"/>
        </w:rPr>
        <w:t>The thrust of Ciba</w:t>
      </w:r>
      <w:r w:rsidR="009B1C32" w:rsidRPr="00130098">
        <w:rPr>
          <w:sz w:val="28"/>
          <w:szCs w:val="28"/>
        </w:rPr>
        <w:t>pac</w:t>
      </w:r>
      <w:r w:rsidR="00097242" w:rsidRPr="00130098">
        <w:rPr>
          <w:sz w:val="28"/>
          <w:szCs w:val="28"/>
        </w:rPr>
        <w:t xml:space="preserve">’s exception was therefore this. Timelink was </w:t>
      </w:r>
      <w:r w:rsidR="00AA3DF6" w:rsidRPr="00130098">
        <w:rPr>
          <w:sz w:val="28"/>
          <w:szCs w:val="28"/>
        </w:rPr>
        <w:t xml:space="preserve">seeking </w:t>
      </w:r>
      <w:r w:rsidR="008D6A1A" w:rsidRPr="00130098">
        <w:rPr>
          <w:sz w:val="28"/>
          <w:szCs w:val="28"/>
        </w:rPr>
        <w:t xml:space="preserve">to enforce </w:t>
      </w:r>
      <w:r w:rsidR="00410981" w:rsidRPr="00130098">
        <w:rPr>
          <w:sz w:val="28"/>
          <w:szCs w:val="28"/>
        </w:rPr>
        <w:t xml:space="preserve">a </w:t>
      </w:r>
      <w:r w:rsidR="00671709" w:rsidRPr="00130098">
        <w:rPr>
          <w:sz w:val="28"/>
          <w:szCs w:val="28"/>
        </w:rPr>
        <w:t xml:space="preserve">debt </w:t>
      </w:r>
      <w:r w:rsidR="00AA3DF6" w:rsidRPr="00130098">
        <w:rPr>
          <w:sz w:val="28"/>
          <w:szCs w:val="28"/>
        </w:rPr>
        <w:t xml:space="preserve">allegedly </w:t>
      </w:r>
      <w:r w:rsidR="00410981" w:rsidRPr="00130098">
        <w:rPr>
          <w:sz w:val="28"/>
          <w:szCs w:val="28"/>
        </w:rPr>
        <w:t>owed</w:t>
      </w:r>
      <w:r w:rsidR="00AA3DF6" w:rsidRPr="00130098">
        <w:rPr>
          <w:sz w:val="28"/>
          <w:szCs w:val="28"/>
        </w:rPr>
        <w:t xml:space="preserve"> by</w:t>
      </w:r>
      <w:r w:rsidR="009B1C32" w:rsidRPr="00130098">
        <w:rPr>
          <w:sz w:val="28"/>
          <w:szCs w:val="28"/>
        </w:rPr>
        <w:t xml:space="preserve"> Cibapac</w:t>
      </w:r>
      <w:r w:rsidR="00AA3DF6" w:rsidRPr="00130098">
        <w:rPr>
          <w:sz w:val="28"/>
          <w:szCs w:val="28"/>
        </w:rPr>
        <w:t xml:space="preserve"> </w:t>
      </w:r>
      <w:r w:rsidR="008D6A1A" w:rsidRPr="00130098">
        <w:rPr>
          <w:sz w:val="28"/>
          <w:szCs w:val="28"/>
        </w:rPr>
        <w:t>immediately before the beginning of the business rescue process</w:t>
      </w:r>
      <w:r w:rsidR="00021496" w:rsidRPr="00130098">
        <w:rPr>
          <w:sz w:val="28"/>
          <w:szCs w:val="28"/>
        </w:rPr>
        <w:t>. Since Timelink</w:t>
      </w:r>
      <w:r w:rsidR="008D6A1A" w:rsidRPr="00130098">
        <w:rPr>
          <w:sz w:val="28"/>
          <w:szCs w:val="28"/>
        </w:rPr>
        <w:t xml:space="preserve"> </w:t>
      </w:r>
      <w:r w:rsidR="00977460" w:rsidRPr="00130098">
        <w:rPr>
          <w:sz w:val="28"/>
          <w:szCs w:val="28"/>
        </w:rPr>
        <w:t>did not plead</w:t>
      </w:r>
      <w:r w:rsidR="004B6F4B" w:rsidRPr="00130098">
        <w:rPr>
          <w:sz w:val="28"/>
          <w:szCs w:val="28"/>
        </w:rPr>
        <w:t xml:space="preserve"> that the business rescue plan allowed for the enforcement of its alleged debt</w:t>
      </w:r>
      <w:r w:rsidR="00021496" w:rsidRPr="00130098">
        <w:rPr>
          <w:sz w:val="28"/>
          <w:szCs w:val="28"/>
        </w:rPr>
        <w:t xml:space="preserve">, </w:t>
      </w:r>
      <w:r w:rsidR="004618A8" w:rsidRPr="00130098">
        <w:rPr>
          <w:sz w:val="28"/>
          <w:szCs w:val="28"/>
        </w:rPr>
        <w:t xml:space="preserve">its </w:t>
      </w:r>
      <w:r w:rsidR="00021496" w:rsidRPr="00130098">
        <w:rPr>
          <w:sz w:val="28"/>
          <w:szCs w:val="28"/>
        </w:rPr>
        <w:t>particulars of claim did not disclose a cause of action</w:t>
      </w:r>
      <w:r w:rsidR="004B6F4B" w:rsidRPr="00130098">
        <w:rPr>
          <w:sz w:val="28"/>
          <w:szCs w:val="28"/>
        </w:rPr>
        <w:t xml:space="preserve">. </w:t>
      </w:r>
    </w:p>
    <w:p w14:paraId="28066597" w14:textId="77777777" w:rsidR="00612B9B" w:rsidRPr="00AD2050" w:rsidRDefault="00612B9B" w:rsidP="00612B9B">
      <w:pPr>
        <w:pStyle w:val="ListParagraph"/>
        <w:ind w:left="0"/>
        <w:rPr>
          <w:sz w:val="28"/>
          <w:szCs w:val="28"/>
        </w:rPr>
      </w:pPr>
    </w:p>
    <w:p w14:paraId="1874094E" w14:textId="64A87B1F" w:rsidR="00752985" w:rsidRPr="00130098" w:rsidRDefault="00130098" w:rsidP="00130098">
      <w:pPr>
        <w:ind w:hanging="11"/>
        <w:rPr>
          <w:sz w:val="28"/>
          <w:szCs w:val="28"/>
        </w:rPr>
      </w:pPr>
      <w:r w:rsidRPr="00AD2050">
        <w:rPr>
          <w:sz w:val="28"/>
          <w:szCs w:val="28"/>
        </w:rPr>
        <w:t>[7]</w:t>
      </w:r>
      <w:r w:rsidRPr="00AD2050">
        <w:rPr>
          <w:sz w:val="28"/>
          <w:szCs w:val="28"/>
        </w:rPr>
        <w:tab/>
      </w:r>
      <w:r w:rsidR="004B6F4B" w:rsidRPr="00130098">
        <w:rPr>
          <w:sz w:val="28"/>
          <w:szCs w:val="28"/>
        </w:rPr>
        <w:t>The high court dismissed the exception with costs</w:t>
      </w:r>
      <w:r w:rsidR="00977460" w:rsidRPr="00130098">
        <w:rPr>
          <w:sz w:val="28"/>
          <w:szCs w:val="28"/>
        </w:rPr>
        <w:t>.</w:t>
      </w:r>
      <w:r w:rsidR="006327E4" w:rsidRPr="00130098">
        <w:rPr>
          <w:sz w:val="28"/>
          <w:szCs w:val="28"/>
        </w:rPr>
        <w:t xml:space="preserve"> </w:t>
      </w:r>
      <w:r w:rsidR="00977460" w:rsidRPr="00130098">
        <w:rPr>
          <w:sz w:val="28"/>
          <w:szCs w:val="28"/>
        </w:rPr>
        <w:t>R</w:t>
      </w:r>
      <w:r w:rsidR="005F78D1" w:rsidRPr="00130098">
        <w:rPr>
          <w:sz w:val="28"/>
          <w:szCs w:val="28"/>
        </w:rPr>
        <w:t xml:space="preserve">elying on this Court’s </w:t>
      </w:r>
      <w:r w:rsidR="00203261" w:rsidRPr="00130098">
        <w:rPr>
          <w:sz w:val="28"/>
          <w:szCs w:val="28"/>
        </w:rPr>
        <w:t xml:space="preserve">interpretation </w:t>
      </w:r>
      <w:r w:rsidR="005F78D1" w:rsidRPr="00130098">
        <w:rPr>
          <w:sz w:val="28"/>
          <w:szCs w:val="28"/>
        </w:rPr>
        <w:t>of</w:t>
      </w:r>
      <w:r w:rsidR="00203261" w:rsidRPr="00130098">
        <w:rPr>
          <w:sz w:val="28"/>
          <w:szCs w:val="28"/>
        </w:rPr>
        <w:t xml:space="preserve"> s 154</w:t>
      </w:r>
      <w:r w:rsidR="00B60AF9" w:rsidRPr="00130098">
        <w:rPr>
          <w:sz w:val="28"/>
          <w:szCs w:val="28"/>
        </w:rPr>
        <w:t>(2)</w:t>
      </w:r>
      <w:r w:rsidR="00203261" w:rsidRPr="00130098">
        <w:rPr>
          <w:sz w:val="28"/>
          <w:szCs w:val="28"/>
        </w:rPr>
        <w:t xml:space="preserve"> in </w:t>
      </w:r>
      <w:r w:rsidR="005F78D1" w:rsidRPr="00130098">
        <w:rPr>
          <w:i/>
          <w:sz w:val="28"/>
          <w:szCs w:val="28"/>
        </w:rPr>
        <w:t>Van Zyl</w:t>
      </w:r>
      <w:r w:rsidR="00A7118B" w:rsidRPr="00130098">
        <w:rPr>
          <w:i/>
          <w:sz w:val="28"/>
          <w:szCs w:val="28"/>
        </w:rPr>
        <w:t xml:space="preserve"> v Auto Commodities (Pty) Ltd</w:t>
      </w:r>
      <w:r w:rsidR="00CA5768" w:rsidRPr="00130098">
        <w:rPr>
          <w:sz w:val="28"/>
          <w:szCs w:val="28"/>
        </w:rPr>
        <w:t>,</w:t>
      </w:r>
      <w:r w:rsidR="00B60AF9" w:rsidRPr="00130098">
        <w:rPr>
          <w:rStyle w:val="FootnoteReference"/>
          <w:sz w:val="28"/>
          <w:szCs w:val="28"/>
        </w:rPr>
        <w:t xml:space="preserve"> </w:t>
      </w:r>
      <w:r w:rsidR="00B60AF9" w:rsidRPr="00AD2050">
        <w:rPr>
          <w:rStyle w:val="FootnoteReference"/>
          <w:sz w:val="28"/>
          <w:szCs w:val="28"/>
        </w:rPr>
        <w:footnoteReference w:id="1"/>
      </w:r>
      <w:r w:rsidR="009F2EF1" w:rsidRPr="00130098">
        <w:rPr>
          <w:i/>
          <w:sz w:val="28"/>
          <w:szCs w:val="28"/>
        </w:rPr>
        <w:t xml:space="preserve"> </w:t>
      </w:r>
      <w:r w:rsidR="00CA5768" w:rsidRPr="00130098">
        <w:rPr>
          <w:sz w:val="28"/>
          <w:szCs w:val="28"/>
        </w:rPr>
        <w:t>i</w:t>
      </w:r>
      <w:r w:rsidR="008F0EFB" w:rsidRPr="00130098">
        <w:rPr>
          <w:sz w:val="28"/>
          <w:szCs w:val="28"/>
        </w:rPr>
        <w:t xml:space="preserve">t </w:t>
      </w:r>
      <w:r w:rsidR="00752985" w:rsidRPr="00130098">
        <w:rPr>
          <w:sz w:val="28"/>
          <w:szCs w:val="28"/>
        </w:rPr>
        <w:t>reasoned</w:t>
      </w:r>
      <w:r w:rsidR="006327E4" w:rsidRPr="00130098">
        <w:rPr>
          <w:sz w:val="28"/>
          <w:szCs w:val="28"/>
        </w:rPr>
        <w:t xml:space="preserve"> </w:t>
      </w:r>
      <w:r w:rsidR="004B6F4B" w:rsidRPr="00130098">
        <w:rPr>
          <w:sz w:val="28"/>
          <w:szCs w:val="28"/>
        </w:rPr>
        <w:t>as follows</w:t>
      </w:r>
      <w:r w:rsidR="00752985" w:rsidRPr="00130098">
        <w:rPr>
          <w:sz w:val="28"/>
          <w:szCs w:val="28"/>
        </w:rPr>
        <w:t>:</w:t>
      </w:r>
    </w:p>
    <w:p w14:paraId="3695B8B3" w14:textId="77777777" w:rsidR="00D83F04" w:rsidRPr="00AD2050" w:rsidRDefault="00D83F04" w:rsidP="00D4788E">
      <w:r w:rsidRPr="00AD2050">
        <w:t>‘. . .</w:t>
      </w:r>
      <w:r w:rsidRPr="00AD2050">
        <w:rPr>
          <w:sz w:val="28"/>
          <w:szCs w:val="28"/>
        </w:rPr>
        <w:t xml:space="preserve"> </w:t>
      </w:r>
      <w:r w:rsidRPr="00AD2050">
        <w:t>the approval and implementation of the business rescue plan do not necessarily discharge the debt. It cannot be said that the pleadings are excipiable on every interpretation that can reasonably be attached to it.</w:t>
      </w:r>
    </w:p>
    <w:p w14:paraId="28DB69D2" w14:textId="77777777" w:rsidR="00D83F04" w:rsidRPr="00AD2050" w:rsidRDefault="00D83F04" w:rsidP="00D4788E">
      <w:r w:rsidRPr="00AD2050">
        <w:t>On a reading of the particulars of claim, the claim in respect of the breach of oral contract has been set out to enable the excipient to respond to it. I find that the plaintiff’s cause of action is not dependent on the allegations relating to business rescue proceedings pleaded in paragraph 10 of the particulars of claim. I, therefore, find that the excipient can respond to the claim for breach of the oral agreement, and it follows that the exception must fa</w:t>
      </w:r>
      <w:r w:rsidR="004646C7" w:rsidRPr="00AD2050">
        <w:t>i</w:t>
      </w:r>
      <w:r w:rsidRPr="00AD2050">
        <w:t>l.’</w:t>
      </w:r>
    </w:p>
    <w:p w14:paraId="04775903" w14:textId="77777777" w:rsidR="008732F5" w:rsidRPr="00AD2050" w:rsidRDefault="008732F5" w:rsidP="00D4788E">
      <w:pPr>
        <w:rPr>
          <w:sz w:val="28"/>
          <w:szCs w:val="28"/>
        </w:rPr>
      </w:pPr>
    </w:p>
    <w:p w14:paraId="719E72A5" w14:textId="26489B46" w:rsidR="00D83F04" w:rsidRPr="00130098" w:rsidRDefault="00130098" w:rsidP="00130098">
      <w:pPr>
        <w:ind w:hanging="11"/>
        <w:rPr>
          <w:sz w:val="28"/>
          <w:szCs w:val="28"/>
        </w:rPr>
      </w:pPr>
      <w:r w:rsidRPr="00AD2050">
        <w:rPr>
          <w:sz w:val="28"/>
          <w:szCs w:val="28"/>
        </w:rPr>
        <w:t>[8]</w:t>
      </w:r>
      <w:r w:rsidRPr="00AD2050">
        <w:rPr>
          <w:sz w:val="28"/>
          <w:szCs w:val="28"/>
        </w:rPr>
        <w:tab/>
      </w:r>
      <w:r w:rsidR="00C864E4" w:rsidRPr="00130098">
        <w:rPr>
          <w:sz w:val="28"/>
          <w:szCs w:val="28"/>
        </w:rPr>
        <w:t>The</w:t>
      </w:r>
      <w:r w:rsidR="00B60AF9" w:rsidRPr="00130098">
        <w:rPr>
          <w:sz w:val="28"/>
          <w:szCs w:val="28"/>
        </w:rPr>
        <w:t xml:space="preserve"> </w:t>
      </w:r>
      <w:r w:rsidR="00B61618" w:rsidRPr="00130098">
        <w:rPr>
          <w:sz w:val="28"/>
          <w:szCs w:val="28"/>
        </w:rPr>
        <w:t xml:space="preserve">issue </w:t>
      </w:r>
      <w:r w:rsidR="00C864E4" w:rsidRPr="00130098">
        <w:rPr>
          <w:sz w:val="28"/>
          <w:szCs w:val="28"/>
        </w:rPr>
        <w:t>in th</w:t>
      </w:r>
      <w:r w:rsidR="006327E4" w:rsidRPr="00130098">
        <w:rPr>
          <w:sz w:val="28"/>
          <w:szCs w:val="28"/>
        </w:rPr>
        <w:t>e</w:t>
      </w:r>
      <w:r w:rsidR="00C864E4" w:rsidRPr="00130098">
        <w:rPr>
          <w:sz w:val="28"/>
          <w:szCs w:val="28"/>
        </w:rPr>
        <w:t xml:space="preserve"> appeal</w:t>
      </w:r>
      <w:r w:rsidR="00B61618" w:rsidRPr="00130098">
        <w:rPr>
          <w:sz w:val="28"/>
          <w:szCs w:val="28"/>
        </w:rPr>
        <w:t xml:space="preserve"> is </w:t>
      </w:r>
      <w:r w:rsidR="00C864E4" w:rsidRPr="00130098">
        <w:rPr>
          <w:sz w:val="28"/>
          <w:szCs w:val="28"/>
        </w:rPr>
        <w:t xml:space="preserve">whether </w:t>
      </w:r>
      <w:r w:rsidR="00B60AF9" w:rsidRPr="00130098">
        <w:rPr>
          <w:sz w:val="28"/>
          <w:szCs w:val="28"/>
        </w:rPr>
        <w:t>the high court’s</w:t>
      </w:r>
      <w:r w:rsidR="00C864E4" w:rsidRPr="00130098">
        <w:rPr>
          <w:sz w:val="28"/>
          <w:szCs w:val="28"/>
        </w:rPr>
        <w:t xml:space="preserve"> order dismissing </w:t>
      </w:r>
      <w:r w:rsidR="00B60AF9" w:rsidRPr="00130098">
        <w:rPr>
          <w:sz w:val="28"/>
          <w:szCs w:val="28"/>
        </w:rPr>
        <w:t>the</w:t>
      </w:r>
      <w:r w:rsidR="00C864E4" w:rsidRPr="00130098">
        <w:rPr>
          <w:sz w:val="28"/>
          <w:szCs w:val="28"/>
        </w:rPr>
        <w:t xml:space="preserve"> exception is appealable</w:t>
      </w:r>
      <w:r w:rsidR="002B1433" w:rsidRPr="00130098">
        <w:rPr>
          <w:sz w:val="28"/>
          <w:szCs w:val="28"/>
        </w:rPr>
        <w:t>;</w:t>
      </w:r>
      <w:r w:rsidR="00C864E4" w:rsidRPr="00130098">
        <w:rPr>
          <w:sz w:val="28"/>
          <w:szCs w:val="28"/>
        </w:rPr>
        <w:t xml:space="preserve"> and</w:t>
      </w:r>
      <w:r w:rsidR="00B60AF9" w:rsidRPr="00130098">
        <w:rPr>
          <w:sz w:val="28"/>
          <w:szCs w:val="28"/>
        </w:rPr>
        <w:t>,</w:t>
      </w:r>
      <w:r w:rsidR="00C864E4" w:rsidRPr="00130098">
        <w:rPr>
          <w:sz w:val="28"/>
          <w:szCs w:val="28"/>
        </w:rPr>
        <w:t xml:space="preserve"> if so, whether </w:t>
      </w:r>
      <w:r w:rsidR="001504E5" w:rsidRPr="00130098">
        <w:rPr>
          <w:sz w:val="28"/>
          <w:szCs w:val="28"/>
        </w:rPr>
        <w:t>Timelink</w:t>
      </w:r>
      <w:r w:rsidR="002B1433" w:rsidRPr="00130098">
        <w:rPr>
          <w:sz w:val="28"/>
          <w:szCs w:val="28"/>
        </w:rPr>
        <w:t xml:space="preserve">’s </w:t>
      </w:r>
      <w:r w:rsidR="00C864E4" w:rsidRPr="00130098">
        <w:rPr>
          <w:sz w:val="28"/>
          <w:szCs w:val="28"/>
        </w:rPr>
        <w:t>particulars of claim are excipiable on the basis that they do not disclose a cause of action.</w:t>
      </w:r>
    </w:p>
    <w:p w14:paraId="66A12ABC" w14:textId="77777777" w:rsidR="00256027" w:rsidRPr="00AD2050" w:rsidRDefault="00256027" w:rsidP="00D4788E">
      <w:pPr>
        <w:rPr>
          <w:sz w:val="28"/>
          <w:szCs w:val="28"/>
        </w:rPr>
      </w:pPr>
    </w:p>
    <w:p w14:paraId="4FF165CF" w14:textId="1DF28517" w:rsidR="00A00757" w:rsidRPr="00130098" w:rsidRDefault="00130098" w:rsidP="00130098">
      <w:pPr>
        <w:ind w:hanging="11"/>
        <w:rPr>
          <w:sz w:val="28"/>
          <w:szCs w:val="28"/>
        </w:rPr>
      </w:pPr>
      <w:r w:rsidRPr="00AD2050">
        <w:rPr>
          <w:sz w:val="28"/>
          <w:szCs w:val="28"/>
        </w:rPr>
        <w:t>[9]</w:t>
      </w:r>
      <w:r w:rsidRPr="00AD2050">
        <w:rPr>
          <w:sz w:val="28"/>
          <w:szCs w:val="28"/>
        </w:rPr>
        <w:tab/>
      </w:r>
      <w:r w:rsidR="00B60AF9" w:rsidRPr="00130098">
        <w:rPr>
          <w:sz w:val="28"/>
          <w:szCs w:val="28"/>
        </w:rPr>
        <w:t>The general principle is that the dismissal of an exception is not appealable, save where the exception challenges the jurisdiction of the court.</w:t>
      </w:r>
      <w:r w:rsidR="00B60AF9" w:rsidRPr="00AD2050">
        <w:rPr>
          <w:rStyle w:val="FootnoteReference"/>
          <w:sz w:val="28"/>
          <w:szCs w:val="28"/>
        </w:rPr>
        <w:footnoteReference w:id="2"/>
      </w:r>
      <w:r w:rsidR="00B60AF9" w:rsidRPr="00130098">
        <w:rPr>
          <w:sz w:val="28"/>
          <w:szCs w:val="28"/>
        </w:rPr>
        <w:t xml:space="preserve"> </w:t>
      </w:r>
      <w:r w:rsidR="000A3393" w:rsidRPr="00130098">
        <w:rPr>
          <w:sz w:val="28"/>
          <w:szCs w:val="28"/>
        </w:rPr>
        <w:t xml:space="preserve">This </w:t>
      </w:r>
      <w:r w:rsidR="00D41744" w:rsidRPr="00130098">
        <w:rPr>
          <w:sz w:val="28"/>
          <w:szCs w:val="28"/>
        </w:rPr>
        <w:t xml:space="preserve">Court, in </w:t>
      </w:r>
      <w:r w:rsidR="00D41744" w:rsidRPr="00130098">
        <w:rPr>
          <w:i/>
          <w:sz w:val="28"/>
          <w:szCs w:val="28"/>
        </w:rPr>
        <w:t xml:space="preserve">TWK Agriculture Holdings (Pty) Ltd v Hoogveld Boerderybeleggings (Pty) Ltd and </w:t>
      </w:r>
      <w:r w:rsidR="00D41744" w:rsidRPr="00130098">
        <w:rPr>
          <w:i/>
          <w:sz w:val="28"/>
          <w:szCs w:val="28"/>
        </w:rPr>
        <w:lastRenderedPageBreak/>
        <w:t>Others</w:t>
      </w:r>
      <w:r w:rsidR="001C2702" w:rsidRPr="00130098">
        <w:rPr>
          <w:sz w:val="28"/>
          <w:szCs w:val="28"/>
        </w:rPr>
        <w:t>,</w:t>
      </w:r>
      <w:r w:rsidR="00D41744" w:rsidRPr="00130098">
        <w:rPr>
          <w:sz w:val="28"/>
          <w:szCs w:val="28"/>
        </w:rPr>
        <w:t xml:space="preserve"> recently confirmed this</w:t>
      </w:r>
      <w:r w:rsidR="001C2702" w:rsidRPr="00130098">
        <w:rPr>
          <w:sz w:val="28"/>
          <w:szCs w:val="28"/>
        </w:rPr>
        <w:t>.</w:t>
      </w:r>
      <w:r w:rsidR="00B60AF9" w:rsidRPr="00AD2050">
        <w:rPr>
          <w:rStyle w:val="FootnoteReference"/>
          <w:sz w:val="28"/>
          <w:szCs w:val="28"/>
        </w:rPr>
        <w:footnoteReference w:id="3"/>
      </w:r>
      <w:r w:rsidR="0083768E" w:rsidRPr="00130098">
        <w:rPr>
          <w:sz w:val="28"/>
          <w:szCs w:val="28"/>
        </w:rPr>
        <w:t xml:space="preserve"> </w:t>
      </w:r>
      <w:r w:rsidR="004646C7" w:rsidRPr="00130098">
        <w:rPr>
          <w:sz w:val="28"/>
          <w:szCs w:val="28"/>
        </w:rPr>
        <w:t xml:space="preserve">One of the exceptions raised in </w:t>
      </w:r>
      <w:r w:rsidR="004646C7" w:rsidRPr="00130098">
        <w:rPr>
          <w:i/>
          <w:sz w:val="28"/>
          <w:szCs w:val="28"/>
        </w:rPr>
        <w:t>TWK</w:t>
      </w:r>
      <w:r w:rsidR="004646C7" w:rsidRPr="00130098">
        <w:rPr>
          <w:sz w:val="28"/>
          <w:szCs w:val="28"/>
        </w:rPr>
        <w:t xml:space="preserve"> was that the plaintiff had no cause of action to secure an appraisal remedy in terms of s 164 read with s 37(8) of the Act, unless the company had more than one class of shares. That was an alleged statutory prerequisite, which was</w:t>
      </w:r>
      <w:r w:rsidR="00C6768A" w:rsidRPr="00130098">
        <w:rPr>
          <w:sz w:val="28"/>
          <w:szCs w:val="28"/>
        </w:rPr>
        <w:t>, at best for the defendant, found</w:t>
      </w:r>
      <w:r w:rsidR="004646C7" w:rsidRPr="00130098">
        <w:rPr>
          <w:sz w:val="28"/>
          <w:szCs w:val="28"/>
        </w:rPr>
        <w:t xml:space="preserve"> to be no more than a question of law.</w:t>
      </w:r>
    </w:p>
    <w:p w14:paraId="7ADB852C" w14:textId="77777777" w:rsidR="009B1C32" w:rsidRPr="00AD2050" w:rsidRDefault="009B1C32" w:rsidP="009B1C32">
      <w:pPr>
        <w:pStyle w:val="ListParagraph"/>
        <w:rPr>
          <w:sz w:val="28"/>
          <w:szCs w:val="28"/>
        </w:rPr>
      </w:pPr>
    </w:p>
    <w:p w14:paraId="5290D40E" w14:textId="5568CA84" w:rsidR="00D83F04" w:rsidRPr="00130098" w:rsidRDefault="00130098" w:rsidP="00130098">
      <w:pPr>
        <w:ind w:hanging="11"/>
        <w:rPr>
          <w:sz w:val="28"/>
          <w:szCs w:val="28"/>
        </w:rPr>
      </w:pPr>
      <w:r w:rsidRPr="008B5926">
        <w:rPr>
          <w:sz w:val="28"/>
          <w:szCs w:val="28"/>
        </w:rPr>
        <w:t>[10]</w:t>
      </w:r>
      <w:r w:rsidRPr="008B5926">
        <w:rPr>
          <w:sz w:val="28"/>
          <w:szCs w:val="28"/>
        </w:rPr>
        <w:tab/>
      </w:r>
      <w:r w:rsidR="00021496" w:rsidRPr="00130098">
        <w:rPr>
          <w:sz w:val="28"/>
          <w:szCs w:val="28"/>
        </w:rPr>
        <w:t>Ciba</w:t>
      </w:r>
      <w:r w:rsidR="009B1C32" w:rsidRPr="00130098">
        <w:rPr>
          <w:sz w:val="28"/>
          <w:szCs w:val="28"/>
        </w:rPr>
        <w:t>pac</w:t>
      </w:r>
      <w:r w:rsidR="00021496" w:rsidRPr="00130098">
        <w:rPr>
          <w:sz w:val="28"/>
          <w:szCs w:val="28"/>
        </w:rPr>
        <w:t xml:space="preserve"> </w:t>
      </w:r>
      <w:r w:rsidR="001D4E97" w:rsidRPr="00130098">
        <w:rPr>
          <w:sz w:val="28"/>
          <w:szCs w:val="28"/>
        </w:rPr>
        <w:t>accept</w:t>
      </w:r>
      <w:r w:rsidR="00D41744" w:rsidRPr="00130098">
        <w:rPr>
          <w:sz w:val="28"/>
          <w:szCs w:val="28"/>
        </w:rPr>
        <w:t>ed</w:t>
      </w:r>
      <w:r w:rsidR="001D4E97" w:rsidRPr="00130098">
        <w:rPr>
          <w:sz w:val="28"/>
          <w:szCs w:val="28"/>
        </w:rPr>
        <w:t xml:space="preserve"> th</w:t>
      </w:r>
      <w:r w:rsidR="004646C7" w:rsidRPr="00130098">
        <w:rPr>
          <w:sz w:val="28"/>
          <w:szCs w:val="28"/>
        </w:rPr>
        <w:t>e</w:t>
      </w:r>
      <w:r w:rsidR="001D4E97" w:rsidRPr="00130098">
        <w:rPr>
          <w:sz w:val="28"/>
          <w:szCs w:val="28"/>
        </w:rPr>
        <w:t xml:space="preserve"> position</w:t>
      </w:r>
      <w:r w:rsidR="004646C7" w:rsidRPr="00130098">
        <w:rPr>
          <w:sz w:val="28"/>
          <w:szCs w:val="28"/>
        </w:rPr>
        <w:t xml:space="preserve"> </w:t>
      </w:r>
      <w:r w:rsidR="00C6768A" w:rsidRPr="00130098">
        <w:rPr>
          <w:sz w:val="28"/>
          <w:szCs w:val="28"/>
        </w:rPr>
        <w:t xml:space="preserve">as </w:t>
      </w:r>
      <w:r w:rsidR="004646C7" w:rsidRPr="00130098">
        <w:rPr>
          <w:sz w:val="28"/>
          <w:szCs w:val="28"/>
        </w:rPr>
        <w:t xml:space="preserve">set out in </w:t>
      </w:r>
      <w:r w:rsidR="004646C7" w:rsidRPr="00130098">
        <w:rPr>
          <w:i/>
          <w:iCs/>
          <w:sz w:val="28"/>
          <w:szCs w:val="28"/>
        </w:rPr>
        <w:t>TWK</w:t>
      </w:r>
      <w:r w:rsidR="00D41744" w:rsidRPr="00130098">
        <w:rPr>
          <w:iCs/>
          <w:sz w:val="28"/>
          <w:szCs w:val="28"/>
        </w:rPr>
        <w:t>. It</w:t>
      </w:r>
      <w:r w:rsidR="00D41744" w:rsidRPr="00130098">
        <w:rPr>
          <w:i/>
          <w:iCs/>
          <w:sz w:val="28"/>
          <w:szCs w:val="28"/>
        </w:rPr>
        <w:t xml:space="preserve"> </w:t>
      </w:r>
      <w:r w:rsidR="00D41744" w:rsidRPr="00130098">
        <w:rPr>
          <w:sz w:val="28"/>
          <w:szCs w:val="28"/>
        </w:rPr>
        <w:t xml:space="preserve">sought </w:t>
      </w:r>
      <w:r w:rsidR="004618A8" w:rsidRPr="00130098">
        <w:rPr>
          <w:sz w:val="28"/>
          <w:szCs w:val="28"/>
        </w:rPr>
        <w:t xml:space="preserve">to distinguish its case on the basis that </w:t>
      </w:r>
      <w:r w:rsidR="00C6768A" w:rsidRPr="00130098">
        <w:rPr>
          <w:sz w:val="28"/>
          <w:szCs w:val="28"/>
        </w:rPr>
        <w:t xml:space="preserve">its </w:t>
      </w:r>
      <w:r w:rsidR="001D4E97" w:rsidRPr="00130098">
        <w:rPr>
          <w:sz w:val="28"/>
          <w:szCs w:val="28"/>
        </w:rPr>
        <w:t>exception</w:t>
      </w:r>
      <w:r w:rsidR="00C6768A" w:rsidRPr="00130098">
        <w:rPr>
          <w:sz w:val="28"/>
          <w:szCs w:val="28"/>
        </w:rPr>
        <w:t xml:space="preserve"> </w:t>
      </w:r>
      <w:r w:rsidR="00D41744" w:rsidRPr="00130098">
        <w:rPr>
          <w:sz w:val="28"/>
          <w:szCs w:val="28"/>
        </w:rPr>
        <w:t xml:space="preserve">went </w:t>
      </w:r>
      <w:r w:rsidR="00C6768A" w:rsidRPr="00130098">
        <w:rPr>
          <w:sz w:val="28"/>
          <w:szCs w:val="28"/>
        </w:rPr>
        <w:t>to the</w:t>
      </w:r>
      <w:r w:rsidR="00256027" w:rsidRPr="00130098">
        <w:rPr>
          <w:sz w:val="28"/>
          <w:szCs w:val="28"/>
        </w:rPr>
        <w:t xml:space="preserve"> competence </w:t>
      </w:r>
      <w:r w:rsidR="00C6768A" w:rsidRPr="00130098">
        <w:rPr>
          <w:sz w:val="28"/>
          <w:szCs w:val="28"/>
        </w:rPr>
        <w:t xml:space="preserve">or the jurisdiction </w:t>
      </w:r>
      <w:r w:rsidR="00256027" w:rsidRPr="00130098">
        <w:rPr>
          <w:sz w:val="28"/>
          <w:szCs w:val="28"/>
        </w:rPr>
        <w:t>of the high court to determine the matter before it</w:t>
      </w:r>
      <w:r w:rsidR="009B1C32" w:rsidRPr="00130098">
        <w:rPr>
          <w:sz w:val="28"/>
          <w:szCs w:val="28"/>
        </w:rPr>
        <w:t>,</w:t>
      </w:r>
      <w:r w:rsidR="00C6768A" w:rsidRPr="00130098">
        <w:rPr>
          <w:sz w:val="28"/>
          <w:szCs w:val="28"/>
        </w:rPr>
        <w:t xml:space="preserve"> </w:t>
      </w:r>
      <w:r w:rsidR="009B1C32" w:rsidRPr="00130098">
        <w:rPr>
          <w:sz w:val="28"/>
          <w:szCs w:val="28"/>
        </w:rPr>
        <w:t xml:space="preserve">and </w:t>
      </w:r>
      <w:r w:rsidR="00256027" w:rsidRPr="00130098">
        <w:rPr>
          <w:sz w:val="28"/>
          <w:szCs w:val="28"/>
        </w:rPr>
        <w:t>as such is appealable</w:t>
      </w:r>
      <w:r w:rsidR="00306110" w:rsidRPr="00130098">
        <w:rPr>
          <w:sz w:val="28"/>
          <w:szCs w:val="28"/>
        </w:rPr>
        <w:t xml:space="preserve"> because</w:t>
      </w:r>
      <w:r w:rsidR="004618A8" w:rsidRPr="00130098">
        <w:rPr>
          <w:sz w:val="28"/>
          <w:szCs w:val="28"/>
        </w:rPr>
        <w:t xml:space="preserve"> it fell within the exception</w:t>
      </w:r>
      <w:r w:rsidR="00306110" w:rsidRPr="00130098">
        <w:rPr>
          <w:sz w:val="28"/>
          <w:szCs w:val="28"/>
        </w:rPr>
        <w:t xml:space="preserve"> to the rule in respect of the non-appealability of orders dismissing exceptions recognised</w:t>
      </w:r>
      <w:r w:rsidR="004618A8" w:rsidRPr="00130098">
        <w:rPr>
          <w:sz w:val="28"/>
          <w:szCs w:val="28"/>
        </w:rPr>
        <w:t xml:space="preserve"> in </w:t>
      </w:r>
      <w:r w:rsidR="004618A8" w:rsidRPr="00130098">
        <w:rPr>
          <w:i/>
          <w:sz w:val="28"/>
          <w:szCs w:val="28"/>
        </w:rPr>
        <w:t>TWK</w:t>
      </w:r>
      <w:r w:rsidR="004618A8" w:rsidRPr="00130098">
        <w:rPr>
          <w:sz w:val="28"/>
          <w:szCs w:val="28"/>
        </w:rPr>
        <w:t>.</w:t>
      </w:r>
      <w:r w:rsidR="00306110" w:rsidRPr="008B5926">
        <w:rPr>
          <w:rStyle w:val="FootnoteReference"/>
          <w:sz w:val="28"/>
          <w:szCs w:val="28"/>
        </w:rPr>
        <w:footnoteReference w:id="4"/>
      </w:r>
      <w:r w:rsidR="004618A8" w:rsidRPr="00130098">
        <w:rPr>
          <w:sz w:val="28"/>
          <w:szCs w:val="28"/>
        </w:rPr>
        <w:t xml:space="preserve"> </w:t>
      </w:r>
      <w:r w:rsidR="00021496" w:rsidRPr="00130098">
        <w:rPr>
          <w:sz w:val="28"/>
          <w:szCs w:val="28"/>
        </w:rPr>
        <w:t xml:space="preserve">Counsel for </w:t>
      </w:r>
      <w:r w:rsidR="0084422E" w:rsidRPr="00130098">
        <w:rPr>
          <w:sz w:val="28"/>
          <w:szCs w:val="28"/>
        </w:rPr>
        <w:t>Cibapac</w:t>
      </w:r>
      <w:r w:rsidR="009B1C32" w:rsidRPr="00130098">
        <w:rPr>
          <w:sz w:val="28"/>
          <w:szCs w:val="28"/>
        </w:rPr>
        <w:t xml:space="preserve"> </w:t>
      </w:r>
      <w:r w:rsidR="00AD500E" w:rsidRPr="00130098">
        <w:rPr>
          <w:sz w:val="28"/>
          <w:szCs w:val="28"/>
        </w:rPr>
        <w:t xml:space="preserve">argued </w:t>
      </w:r>
      <w:r w:rsidR="00E20906" w:rsidRPr="00130098">
        <w:rPr>
          <w:sz w:val="28"/>
          <w:szCs w:val="28"/>
        </w:rPr>
        <w:t>that it</w:t>
      </w:r>
      <w:r w:rsidR="00AD500E" w:rsidRPr="00130098">
        <w:rPr>
          <w:sz w:val="28"/>
          <w:szCs w:val="28"/>
        </w:rPr>
        <w:t xml:space="preserve"> </w:t>
      </w:r>
      <w:r w:rsidR="004235F1" w:rsidRPr="00130098">
        <w:rPr>
          <w:sz w:val="28"/>
          <w:szCs w:val="28"/>
        </w:rPr>
        <w:t xml:space="preserve">is not competent for the court to entertain a claim, such as the one advanced by </w:t>
      </w:r>
      <w:r w:rsidR="009B1C32" w:rsidRPr="00130098">
        <w:rPr>
          <w:sz w:val="28"/>
          <w:szCs w:val="28"/>
        </w:rPr>
        <w:t xml:space="preserve">Timelink </w:t>
      </w:r>
      <w:r w:rsidR="00AD500E" w:rsidRPr="00130098">
        <w:rPr>
          <w:sz w:val="28"/>
          <w:szCs w:val="28"/>
        </w:rPr>
        <w:t xml:space="preserve">in </w:t>
      </w:r>
      <w:r w:rsidR="004235F1" w:rsidRPr="00130098">
        <w:rPr>
          <w:sz w:val="28"/>
          <w:szCs w:val="28"/>
        </w:rPr>
        <w:t>its summons</w:t>
      </w:r>
      <w:r w:rsidR="00A00757" w:rsidRPr="00130098">
        <w:rPr>
          <w:sz w:val="28"/>
          <w:szCs w:val="28"/>
        </w:rPr>
        <w:t>,</w:t>
      </w:r>
      <w:r w:rsidR="00AD500E" w:rsidRPr="00130098">
        <w:rPr>
          <w:sz w:val="28"/>
          <w:szCs w:val="28"/>
        </w:rPr>
        <w:t xml:space="preserve"> </w:t>
      </w:r>
      <w:r w:rsidR="00021496" w:rsidRPr="00130098">
        <w:rPr>
          <w:sz w:val="28"/>
          <w:szCs w:val="28"/>
        </w:rPr>
        <w:t>because</w:t>
      </w:r>
      <w:r w:rsidR="005865AC" w:rsidRPr="00130098">
        <w:rPr>
          <w:sz w:val="28"/>
          <w:szCs w:val="28"/>
        </w:rPr>
        <w:t>, so he submitted,</w:t>
      </w:r>
      <w:r w:rsidR="00021496" w:rsidRPr="00130098">
        <w:rPr>
          <w:sz w:val="28"/>
          <w:szCs w:val="28"/>
        </w:rPr>
        <w:t xml:space="preserve"> the claim is </w:t>
      </w:r>
      <w:r w:rsidR="00AD500E" w:rsidRPr="00130098">
        <w:rPr>
          <w:sz w:val="28"/>
          <w:szCs w:val="28"/>
        </w:rPr>
        <w:t>express</w:t>
      </w:r>
      <w:r w:rsidR="00021496" w:rsidRPr="00130098">
        <w:rPr>
          <w:sz w:val="28"/>
          <w:szCs w:val="28"/>
        </w:rPr>
        <w:t>ly</w:t>
      </w:r>
      <w:r w:rsidR="00AD500E" w:rsidRPr="00130098">
        <w:rPr>
          <w:sz w:val="28"/>
          <w:szCs w:val="28"/>
        </w:rPr>
        <w:t xml:space="preserve"> prohibi</w:t>
      </w:r>
      <w:r w:rsidR="00021496" w:rsidRPr="00130098">
        <w:rPr>
          <w:sz w:val="28"/>
          <w:szCs w:val="28"/>
        </w:rPr>
        <w:t>ted</w:t>
      </w:r>
      <w:r w:rsidR="00AD500E" w:rsidRPr="00130098">
        <w:rPr>
          <w:sz w:val="28"/>
          <w:szCs w:val="28"/>
        </w:rPr>
        <w:t xml:space="preserve"> </w:t>
      </w:r>
      <w:r w:rsidR="00021496" w:rsidRPr="00130098">
        <w:rPr>
          <w:sz w:val="28"/>
          <w:szCs w:val="28"/>
        </w:rPr>
        <w:t xml:space="preserve">by </w:t>
      </w:r>
      <w:r w:rsidR="00AD500E" w:rsidRPr="00130098">
        <w:rPr>
          <w:sz w:val="28"/>
          <w:szCs w:val="28"/>
        </w:rPr>
        <w:t>s</w:t>
      </w:r>
      <w:r w:rsidR="00D41744" w:rsidRPr="00130098">
        <w:rPr>
          <w:sz w:val="28"/>
          <w:szCs w:val="28"/>
        </w:rPr>
        <w:t> </w:t>
      </w:r>
      <w:r w:rsidR="00AD500E" w:rsidRPr="00130098">
        <w:rPr>
          <w:sz w:val="28"/>
          <w:szCs w:val="28"/>
        </w:rPr>
        <w:t xml:space="preserve">154(2) of the Act. </w:t>
      </w:r>
    </w:p>
    <w:p w14:paraId="19240CA8" w14:textId="77777777" w:rsidR="00A00757" w:rsidRPr="00AD2050" w:rsidRDefault="00A00757" w:rsidP="00D4788E">
      <w:pPr>
        <w:rPr>
          <w:sz w:val="28"/>
          <w:szCs w:val="28"/>
        </w:rPr>
      </w:pPr>
    </w:p>
    <w:p w14:paraId="17064E45" w14:textId="31DDBA86" w:rsidR="00A00757" w:rsidRPr="00AD2050" w:rsidRDefault="00130098" w:rsidP="00130098">
      <w:r w:rsidRPr="00AD2050">
        <w:rPr>
          <w:sz w:val="28"/>
          <w:szCs w:val="28"/>
        </w:rPr>
        <w:t>[11]</w:t>
      </w:r>
      <w:r w:rsidRPr="00AD2050">
        <w:rPr>
          <w:sz w:val="28"/>
          <w:szCs w:val="28"/>
        </w:rPr>
        <w:tab/>
      </w:r>
      <w:r w:rsidR="00A00757" w:rsidRPr="00130098">
        <w:rPr>
          <w:sz w:val="28"/>
          <w:szCs w:val="28"/>
        </w:rPr>
        <w:t xml:space="preserve">As to the exception itself, counsel submitted that the cause of action as pleaded by </w:t>
      </w:r>
      <w:r w:rsidR="009B1C32" w:rsidRPr="00130098">
        <w:rPr>
          <w:sz w:val="28"/>
          <w:szCs w:val="28"/>
        </w:rPr>
        <w:t xml:space="preserve">Timelink </w:t>
      </w:r>
      <w:r w:rsidR="00A00757" w:rsidRPr="00130098">
        <w:rPr>
          <w:sz w:val="28"/>
          <w:szCs w:val="28"/>
        </w:rPr>
        <w:t xml:space="preserve">could not be divorced from the allegations relating to the placing of </w:t>
      </w:r>
      <w:r w:rsidR="006B54F6" w:rsidRPr="00130098">
        <w:rPr>
          <w:sz w:val="28"/>
          <w:szCs w:val="28"/>
        </w:rPr>
        <w:t xml:space="preserve">Cibapac </w:t>
      </w:r>
      <w:r w:rsidR="00A00757" w:rsidRPr="00130098">
        <w:rPr>
          <w:sz w:val="28"/>
          <w:szCs w:val="28"/>
        </w:rPr>
        <w:t xml:space="preserve">in business rescue and the existence and termination of the business rescue plan. Because of these allegations, so it was contended, </w:t>
      </w:r>
      <w:r w:rsidR="004646C7" w:rsidRPr="00130098">
        <w:rPr>
          <w:sz w:val="28"/>
          <w:szCs w:val="28"/>
        </w:rPr>
        <w:t>Timelink</w:t>
      </w:r>
      <w:r w:rsidR="00A00757" w:rsidRPr="00130098">
        <w:rPr>
          <w:sz w:val="28"/>
          <w:szCs w:val="28"/>
        </w:rPr>
        <w:t xml:space="preserve"> had the onus to plead why the prohibition in s 154(2) of the Act was not applicable.</w:t>
      </w:r>
    </w:p>
    <w:p w14:paraId="67F55A3F" w14:textId="77777777" w:rsidR="00A00757" w:rsidRPr="00AD2050" w:rsidRDefault="00A00757" w:rsidP="00D4788E">
      <w:pPr>
        <w:pStyle w:val="ListParagraph"/>
        <w:rPr>
          <w:sz w:val="28"/>
          <w:szCs w:val="28"/>
        </w:rPr>
      </w:pPr>
    </w:p>
    <w:p w14:paraId="4A941108" w14:textId="279FDCBE" w:rsidR="00A00757" w:rsidRPr="00130098" w:rsidRDefault="00130098" w:rsidP="00130098">
      <w:pPr>
        <w:rPr>
          <w:sz w:val="28"/>
          <w:szCs w:val="28"/>
        </w:rPr>
      </w:pPr>
      <w:r w:rsidRPr="008B5926">
        <w:rPr>
          <w:sz w:val="28"/>
          <w:szCs w:val="28"/>
        </w:rPr>
        <w:lastRenderedPageBreak/>
        <w:t>[12]</w:t>
      </w:r>
      <w:r w:rsidRPr="008B5926">
        <w:rPr>
          <w:sz w:val="28"/>
          <w:szCs w:val="28"/>
        </w:rPr>
        <w:tab/>
      </w:r>
      <w:r w:rsidR="00A00757" w:rsidRPr="00130098">
        <w:rPr>
          <w:sz w:val="28"/>
          <w:szCs w:val="28"/>
        </w:rPr>
        <w:t xml:space="preserve">The submission in relation to the </w:t>
      </w:r>
      <w:r w:rsidR="00D41744" w:rsidRPr="00130098">
        <w:rPr>
          <w:sz w:val="28"/>
          <w:szCs w:val="28"/>
        </w:rPr>
        <w:t xml:space="preserve">appealability </w:t>
      </w:r>
      <w:r w:rsidR="00A00757" w:rsidRPr="00130098">
        <w:rPr>
          <w:sz w:val="28"/>
          <w:szCs w:val="28"/>
        </w:rPr>
        <w:t xml:space="preserve">issue is unsustainable for reasons explained in </w:t>
      </w:r>
      <w:r w:rsidR="00A00757" w:rsidRPr="00130098">
        <w:rPr>
          <w:i/>
          <w:sz w:val="28"/>
          <w:szCs w:val="28"/>
        </w:rPr>
        <w:t>TWK</w:t>
      </w:r>
      <w:r w:rsidR="003342F1" w:rsidRPr="00130098">
        <w:rPr>
          <w:i/>
          <w:sz w:val="28"/>
          <w:szCs w:val="28"/>
        </w:rPr>
        <w:t xml:space="preserve"> </w:t>
      </w:r>
      <w:r w:rsidR="003342F1" w:rsidRPr="00130098">
        <w:rPr>
          <w:sz w:val="28"/>
          <w:szCs w:val="28"/>
        </w:rPr>
        <w:t>as follows</w:t>
      </w:r>
      <w:r w:rsidR="00A00757" w:rsidRPr="00130098">
        <w:rPr>
          <w:sz w:val="28"/>
          <w:szCs w:val="28"/>
        </w:rPr>
        <w:t>:</w:t>
      </w:r>
      <w:r w:rsidR="003459B1" w:rsidRPr="008B5926">
        <w:rPr>
          <w:rStyle w:val="FootnoteReference"/>
          <w:sz w:val="28"/>
          <w:szCs w:val="28"/>
        </w:rPr>
        <w:footnoteReference w:id="5"/>
      </w:r>
    </w:p>
    <w:p w14:paraId="2D5E3A32" w14:textId="77777777" w:rsidR="009A469E" w:rsidRPr="00AD2050" w:rsidRDefault="00AA5B0F" w:rsidP="00D4788E">
      <w:pPr>
        <w:pStyle w:val="ListParagraph"/>
        <w:ind w:left="0"/>
      </w:pPr>
      <w:r w:rsidRPr="00AD2050">
        <w:t>‘</w:t>
      </w:r>
      <w:r w:rsidR="00BC5FA3" w:rsidRPr="00AD2050">
        <w:rPr>
          <w:i/>
        </w:rPr>
        <w:t>Maize Board</w:t>
      </w:r>
      <w:r w:rsidR="00BC5FA3" w:rsidRPr="00AD2050">
        <w:t xml:space="preserve"> does recognise a carve</w:t>
      </w:r>
      <w:r w:rsidR="008E7FF8" w:rsidRPr="00AD2050">
        <w:t>-</w:t>
      </w:r>
      <w:r w:rsidR="00BC5FA3" w:rsidRPr="00AD2050">
        <w:t xml:space="preserve">out to the rule that the dismissal of an exception is not appealable. An order dismissing an exception will be appealable where the exception challenges the jurisdiction of the court. </w:t>
      </w:r>
      <w:r w:rsidR="00BC5FA3" w:rsidRPr="00AD2050">
        <w:rPr>
          <w:i/>
        </w:rPr>
        <w:t>That is so for reasons that were explained in Moch</w:t>
      </w:r>
      <w:r w:rsidR="00BC5FA3" w:rsidRPr="00AD2050">
        <w:t xml:space="preserve">. </w:t>
      </w:r>
      <w:r w:rsidR="009A469E" w:rsidRPr="00AD2050">
        <w:t xml:space="preserve">Where the challenge concerns the jurisdiction of a court, and hence the competence of a </w:t>
      </w:r>
      <w:r w:rsidR="00BC5FA3" w:rsidRPr="00AD2050">
        <w:t>judge to</w:t>
      </w:r>
      <w:r w:rsidR="009A469E" w:rsidRPr="00AD2050">
        <w:t xml:space="preserve"> hear the matter, the decision of the court is considered definitive, and appealable. This is consistent with the principles enunciated in</w:t>
      </w:r>
      <w:r w:rsidR="00BC5FA3" w:rsidRPr="00AD2050">
        <w:t xml:space="preserve"> </w:t>
      </w:r>
      <w:r w:rsidR="00BC5FA3" w:rsidRPr="00AD2050">
        <w:rPr>
          <w:i/>
        </w:rPr>
        <w:t>Zweni</w:t>
      </w:r>
      <w:r w:rsidR="00BC5FA3" w:rsidRPr="00AD2050">
        <w:t xml:space="preserve"> because the decision as to jurisdiction is considered final. </w:t>
      </w:r>
      <w:r w:rsidR="00BC5FA3" w:rsidRPr="00AD2050">
        <w:rPr>
          <w:i/>
        </w:rPr>
        <w:t xml:space="preserve">This position is entirely justified because an </w:t>
      </w:r>
      <w:r w:rsidR="008E7FF8" w:rsidRPr="00AD2050">
        <w:rPr>
          <w:i/>
        </w:rPr>
        <w:t>error as</w:t>
      </w:r>
      <w:r w:rsidR="00BC5FA3" w:rsidRPr="00AD2050">
        <w:rPr>
          <w:i/>
        </w:rPr>
        <w:t xml:space="preserve"> to jurisdiction, if not subject to appellate correction, would permit the court below to proceed </w:t>
      </w:r>
      <w:r w:rsidR="008E7FF8" w:rsidRPr="00AD2050">
        <w:rPr>
          <w:i/>
        </w:rPr>
        <w:t>with a</w:t>
      </w:r>
      <w:r w:rsidR="00BC5FA3" w:rsidRPr="00AD2050">
        <w:rPr>
          <w:i/>
        </w:rPr>
        <w:t xml:space="preserve"> matter when it had no competence to do so, rendering what it did a nullity. That is plainly an undesirable outcome. Furthermore, a challenge to jurisdiction is taken at the commencement of proceedings. Until this challenge is finally resolved, a court should not exercise coercive powers that compel compliance.</w:t>
      </w:r>
      <w:r w:rsidR="00BC5FA3" w:rsidRPr="00AD2050">
        <w:t xml:space="preserve">’ </w:t>
      </w:r>
      <w:r w:rsidR="007B6C6C" w:rsidRPr="00AD2050">
        <w:t>(My emphasis.)</w:t>
      </w:r>
    </w:p>
    <w:p w14:paraId="12EB6549" w14:textId="77777777" w:rsidR="009A469E" w:rsidRPr="00AD2050" w:rsidRDefault="009A469E" w:rsidP="00D4788E">
      <w:pPr>
        <w:pStyle w:val="ListParagraph"/>
        <w:ind w:left="0"/>
        <w:rPr>
          <w:sz w:val="28"/>
          <w:szCs w:val="28"/>
        </w:rPr>
      </w:pPr>
    </w:p>
    <w:p w14:paraId="6B99622E" w14:textId="72861E8A" w:rsidR="00AA5B0F" w:rsidRPr="00130098" w:rsidRDefault="00130098" w:rsidP="00130098">
      <w:pPr>
        <w:rPr>
          <w:sz w:val="28"/>
          <w:szCs w:val="28"/>
        </w:rPr>
      </w:pPr>
      <w:r w:rsidRPr="00AD2050">
        <w:rPr>
          <w:sz w:val="28"/>
          <w:szCs w:val="28"/>
        </w:rPr>
        <w:t>[13]</w:t>
      </w:r>
      <w:r w:rsidRPr="00AD2050">
        <w:rPr>
          <w:sz w:val="28"/>
          <w:szCs w:val="28"/>
        </w:rPr>
        <w:tab/>
      </w:r>
      <w:r w:rsidR="00EA0A76" w:rsidRPr="00130098">
        <w:rPr>
          <w:sz w:val="28"/>
          <w:szCs w:val="28"/>
        </w:rPr>
        <w:t xml:space="preserve">Counsel for </w:t>
      </w:r>
      <w:r w:rsidR="0084422E" w:rsidRPr="00130098">
        <w:rPr>
          <w:sz w:val="28"/>
          <w:szCs w:val="28"/>
        </w:rPr>
        <w:t>Cibapac</w:t>
      </w:r>
      <w:r w:rsidR="00217D0D" w:rsidRPr="00130098">
        <w:rPr>
          <w:sz w:val="28"/>
          <w:szCs w:val="28"/>
        </w:rPr>
        <w:t xml:space="preserve"> </w:t>
      </w:r>
      <w:r w:rsidR="00EA0A76" w:rsidRPr="00130098">
        <w:rPr>
          <w:sz w:val="28"/>
          <w:szCs w:val="28"/>
        </w:rPr>
        <w:t>submi</w:t>
      </w:r>
      <w:r w:rsidR="00525B71" w:rsidRPr="00130098">
        <w:rPr>
          <w:sz w:val="28"/>
          <w:szCs w:val="28"/>
        </w:rPr>
        <w:t>tted</w:t>
      </w:r>
      <w:r w:rsidR="00EA0A76" w:rsidRPr="00130098">
        <w:rPr>
          <w:sz w:val="28"/>
          <w:szCs w:val="28"/>
        </w:rPr>
        <w:t xml:space="preserve"> that </w:t>
      </w:r>
      <w:r w:rsidR="00FE7CC9" w:rsidRPr="00130098">
        <w:rPr>
          <w:sz w:val="28"/>
          <w:szCs w:val="28"/>
        </w:rPr>
        <w:t xml:space="preserve">Cibapac’s </w:t>
      </w:r>
      <w:r w:rsidR="00EA0A76" w:rsidRPr="00130098">
        <w:rPr>
          <w:sz w:val="28"/>
          <w:szCs w:val="28"/>
        </w:rPr>
        <w:t xml:space="preserve">exception is </w:t>
      </w:r>
      <w:r w:rsidR="00D72693" w:rsidRPr="00130098">
        <w:rPr>
          <w:sz w:val="28"/>
          <w:szCs w:val="28"/>
        </w:rPr>
        <w:t>similar</w:t>
      </w:r>
      <w:r w:rsidR="00217D0D" w:rsidRPr="00130098">
        <w:rPr>
          <w:sz w:val="28"/>
          <w:szCs w:val="28"/>
        </w:rPr>
        <w:t xml:space="preserve"> </w:t>
      </w:r>
      <w:r w:rsidR="00E20906" w:rsidRPr="00130098">
        <w:rPr>
          <w:sz w:val="28"/>
          <w:szCs w:val="28"/>
        </w:rPr>
        <w:t xml:space="preserve">to the situation </w:t>
      </w:r>
      <w:r w:rsidR="00B74ADD" w:rsidRPr="00130098">
        <w:rPr>
          <w:sz w:val="28"/>
          <w:szCs w:val="28"/>
        </w:rPr>
        <w:t xml:space="preserve">in </w:t>
      </w:r>
      <w:r w:rsidR="00B74ADD" w:rsidRPr="00130098">
        <w:rPr>
          <w:i/>
          <w:sz w:val="28"/>
          <w:szCs w:val="28"/>
        </w:rPr>
        <w:t>Moch</w:t>
      </w:r>
      <w:r w:rsidR="00EA0A76" w:rsidRPr="00130098">
        <w:rPr>
          <w:i/>
          <w:sz w:val="28"/>
          <w:szCs w:val="28"/>
        </w:rPr>
        <w:t xml:space="preserve"> v Nedtravel (Pty) Ltd t/a American Express Travel Service</w:t>
      </w:r>
      <w:r w:rsidR="008E7FF8" w:rsidRPr="00130098">
        <w:rPr>
          <w:sz w:val="28"/>
          <w:szCs w:val="28"/>
        </w:rPr>
        <w:t>,</w:t>
      </w:r>
      <w:r w:rsidR="00EA0A76" w:rsidRPr="008B5926">
        <w:rPr>
          <w:rStyle w:val="FootnoteReference"/>
          <w:sz w:val="28"/>
          <w:szCs w:val="28"/>
        </w:rPr>
        <w:footnoteReference w:id="6"/>
      </w:r>
      <w:r w:rsidR="00EA0A76" w:rsidRPr="00130098">
        <w:rPr>
          <w:sz w:val="28"/>
          <w:szCs w:val="28"/>
        </w:rPr>
        <w:t xml:space="preserve"> </w:t>
      </w:r>
      <w:r w:rsidR="00AE0CC4" w:rsidRPr="00130098">
        <w:rPr>
          <w:sz w:val="28"/>
          <w:szCs w:val="28"/>
        </w:rPr>
        <w:t>which had to do</w:t>
      </w:r>
      <w:r w:rsidR="00BF74C8" w:rsidRPr="00130098">
        <w:rPr>
          <w:sz w:val="28"/>
          <w:szCs w:val="28"/>
        </w:rPr>
        <w:t xml:space="preserve"> with the appealability of an order dismissing </w:t>
      </w:r>
      <w:r w:rsidR="008E7FF8" w:rsidRPr="00130098">
        <w:rPr>
          <w:sz w:val="28"/>
          <w:szCs w:val="28"/>
        </w:rPr>
        <w:t>an</w:t>
      </w:r>
      <w:r w:rsidR="00BF74C8" w:rsidRPr="00130098">
        <w:rPr>
          <w:sz w:val="28"/>
          <w:szCs w:val="28"/>
        </w:rPr>
        <w:t xml:space="preserve"> application for recusal. </w:t>
      </w:r>
      <w:r w:rsidR="00E20906" w:rsidRPr="00130098">
        <w:rPr>
          <w:sz w:val="28"/>
          <w:szCs w:val="28"/>
        </w:rPr>
        <w:t xml:space="preserve">This is not so. </w:t>
      </w:r>
      <w:r w:rsidR="00BF74C8" w:rsidRPr="00130098">
        <w:rPr>
          <w:sz w:val="28"/>
          <w:szCs w:val="28"/>
        </w:rPr>
        <w:t>In</w:t>
      </w:r>
      <w:r w:rsidR="00D72693" w:rsidRPr="00130098">
        <w:rPr>
          <w:sz w:val="28"/>
          <w:szCs w:val="28"/>
        </w:rPr>
        <w:t xml:space="preserve"> </w:t>
      </w:r>
      <w:r w:rsidR="00D72693" w:rsidRPr="00130098">
        <w:rPr>
          <w:i/>
          <w:sz w:val="28"/>
          <w:szCs w:val="28"/>
        </w:rPr>
        <w:t>Moch</w:t>
      </w:r>
      <w:r w:rsidR="00BF74C8" w:rsidRPr="00130098">
        <w:rPr>
          <w:sz w:val="28"/>
          <w:szCs w:val="28"/>
        </w:rPr>
        <w:t xml:space="preserve">, the </w:t>
      </w:r>
      <w:r w:rsidR="00B74ADD" w:rsidRPr="00130098">
        <w:rPr>
          <w:sz w:val="28"/>
          <w:szCs w:val="28"/>
        </w:rPr>
        <w:t>C</w:t>
      </w:r>
      <w:r w:rsidR="00BF74C8" w:rsidRPr="00130098">
        <w:rPr>
          <w:sz w:val="28"/>
          <w:szCs w:val="28"/>
        </w:rPr>
        <w:t>ourt</w:t>
      </w:r>
      <w:r w:rsidR="0097735B" w:rsidRPr="00130098">
        <w:rPr>
          <w:sz w:val="28"/>
          <w:szCs w:val="28"/>
        </w:rPr>
        <w:t xml:space="preserve"> underscored that</w:t>
      </w:r>
      <w:r w:rsidR="00BF74C8" w:rsidRPr="00130098">
        <w:rPr>
          <w:sz w:val="28"/>
          <w:szCs w:val="28"/>
        </w:rPr>
        <w:t>:</w:t>
      </w:r>
    </w:p>
    <w:p w14:paraId="7658758B" w14:textId="1946E11D" w:rsidR="007B6C6C" w:rsidRPr="008B5926" w:rsidRDefault="00BF74C8" w:rsidP="00D4788E">
      <w:r w:rsidRPr="00AD2050">
        <w:t>‘A decision dismissing an application for recusal</w:t>
      </w:r>
      <w:r w:rsidR="007365BF" w:rsidRPr="00AD2050">
        <w:t xml:space="preserve"> relates, as we have seen, to the competence of the presiding </w:t>
      </w:r>
      <w:r w:rsidR="00460C3C" w:rsidRPr="00AD2050">
        <w:t>j</w:t>
      </w:r>
      <w:r w:rsidR="007365BF" w:rsidRPr="00AD2050">
        <w:t>udge;</w:t>
      </w:r>
      <w:r w:rsidR="007B6C6C" w:rsidRPr="00AD2050">
        <w:t xml:space="preserve"> it goes to the core of the proceedings and, if incorrectly made, </w:t>
      </w:r>
      <w:r w:rsidR="007B6C6C" w:rsidRPr="00AD2050">
        <w:rPr>
          <w:i/>
        </w:rPr>
        <w:t>vitiates them entirely</w:t>
      </w:r>
      <w:r w:rsidR="007B6C6C" w:rsidRPr="00AD2050">
        <w:t>. . .</w:t>
      </w:r>
      <w:r w:rsidR="00460C3C" w:rsidRPr="00AD2050">
        <w:t xml:space="preserve"> </w:t>
      </w:r>
      <w:r w:rsidR="007B6C6C" w:rsidRPr="00AD2050">
        <w:t>That a decision dismissing an application for recusal has such a bearing stands to reason because it reflects on the competence of the presiding judge to define the parties</w:t>
      </w:r>
      <w:r w:rsidR="00460C3C" w:rsidRPr="00AD2050">
        <w:t>’</w:t>
      </w:r>
      <w:r w:rsidR="007B6C6C" w:rsidRPr="00AD2050">
        <w:t xml:space="preserve"> rights and </w:t>
      </w:r>
      <w:r w:rsidR="007B6C6C" w:rsidRPr="00AD2050">
        <w:rPr>
          <w:i/>
        </w:rPr>
        <w:t>to grant or refuse the relief claimed</w:t>
      </w:r>
      <w:r w:rsidR="007B6C6C" w:rsidRPr="00AD2050">
        <w:t xml:space="preserve">. For this very reason it is </w:t>
      </w:r>
      <w:r w:rsidR="007B6C6C" w:rsidRPr="00AD2050">
        <w:rPr>
          <w:i/>
        </w:rPr>
        <w:t xml:space="preserve">comparable with </w:t>
      </w:r>
      <w:r w:rsidR="00460C3C" w:rsidRPr="00AD2050">
        <w:rPr>
          <w:i/>
        </w:rPr>
        <w:t>a</w:t>
      </w:r>
      <w:r w:rsidR="007B6C6C" w:rsidRPr="00AD2050">
        <w:rPr>
          <w:i/>
        </w:rPr>
        <w:t xml:space="preserve"> decision on a plea to a court’s jurisdiction</w:t>
      </w:r>
      <w:r w:rsidR="00F6479C">
        <w:rPr>
          <w:i/>
        </w:rPr>
        <w:t xml:space="preserve"> </w:t>
      </w:r>
      <w:r w:rsidR="00F6479C" w:rsidRPr="00F6479C">
        <w:rPr>
          <w:iCs/>
        </w:rPr>
        <w:t>.</w:t>
      </w:r>
      <w:r w:rsidR="00F6479C">
        <w:rPr>
          <w:iCs/>
        </w:rPr>
        <w:t xml:space="preserve"> </w:t>
      </w:r>
      <w:r w:rsidR="00F6479C" w:rsidRPr="00F6479C">
        <w:rPr>
          <w:iCs/>
        </w:rPr>
        <w:t>.</w:t>
      </w:r>
      <w:r w:rsidR="00F6479C">
        <w:rPr>
          <w:iCs/>
        </w:rPr>
        <w:t xml:space="preserve"> </w:t>
      </w:r>
      <w:r w:rsidR="00F6479C" w:rsidRPr="00F6479C">
        <w:rPr>
          <w:iCs/>
        </w:rPr>
        <w:t>.</w:t>
      </w:r>
      <w:r w:rsidR="007B6C6C" w:rsidRPr="00AD2050">
        <w:t>’</w:t>
      </w:r>
      <w:r w:rsidR="004732AB" w:rsidRPr="008B5926">
        <w:rPr>
          <w:rStyle w:val="FootnoteReference"/>
        </w:rPr>
        <w:footnoteReference w:id="7"/>
      </w:r>
      <w:r w:rsidR="00460C3C" w:rsidRPr="008B5926">
        <w:t xml:space="preserve"> </w:t>
      </w:r>
      <w:r w:rsidR="007B6C6C" w:rsidRPr="008B5926">
        <w:t>(My emphasis.)</w:t>
      </w:r>
    </w:p>
    <w:p w14:paraId="3AA258FF" w14:textId="77777777" w:rsidR="007B6C6C" w:rsidRPr="00AD2050" w:rsidRDefault="007B6C6C" w:rsidP="00D4788E">
      <w:pPr>
        <w:rPr>
          <w:sz w:val="28"/>
          <w:szCs w:val="28"/>
        </w:rPr>
      </w:pPr>
    </w:p>
    <w:p w14:paraId="013D0017" w14:textId="606CB77A" w:rsidR="00BF74C8" w:rsidRPr="00130098" w:rsidRDefault="00130098" w:rsidP="00130098">
      <w:pPr>
        <w:rPr>
          <w:sz w:val="28"/>
          <w:szCs w:val="28"/>
        </w:rPr>
      </w:pPr>
      <w:r w:rsidRPr="00AD2050">
        <w:rPr>
          <w:sz w:val="28"/>
          <w:szCs w:val="28"/>
        </w:rPr>
        <w:t>[14]</w:t>
      </w:r>
      <w:r w:rsidRPr="00AD2050">
        <w:rPr>
          <w:sz w:val="28"/>
          <w:szCs w:val="28"/>
        </w:rPr>
        <w:tab/>
      </w:r>
      <w:r w:rsidR="00C25225" w:rsidRPr="00130098">
        <w:rPr>
          <w:sz w:val="28"/>
          <w:szCs w:val="28"/>
        </w:rPr>
        <w:t xml:space="preserve">The </w:t>
      </w:r>
      <w:r w:rsidR="00687D40" w:rsidRPr="00130098">
        <w:rPr>
          <w:sz w:val="28"/>
          <w:szCs w:val="28"/>
        </w:rPr>
        <w:t xml:space="preserve">objective </w:t>
      </w:r>
      <w:r w:rsidR="00C25225" w:rsidRPr="00130098">
        <w:rPr>
          <w:sz w:val="28"/>
          <w:szCs w:val="28"/>
        </w:rPr>
        <w:t>of limiting the appeal of a dismissal of an exception to challenges of jurisdiction</w:t>
      </w:r>
      <w:r w:rsidR="00687D40" w:rsidRPr="00130098">
        <w:rPr>
          <w:sz w:val="28"/>
          <w:szCs w:val="28"/>
        </w:rPr>
        <w:t>,</w:t>
      </w:r>
      <w:r w:rsidR="00C25225" w:rsidRPr="00130098">
        <w:rPr>
          <w:sz w:val="28"/>
          <w:szCs w:val="28"/>
        </w:rPr>
        <w:t xml:space="preserve"> is evident</w:t>
      </w:r>
      <w:r w:rsidR="00BB41C6" w:rsidRPr="00130098">
        <w:rPr>
          <w:sz w:val="28"/>
          <w:szCs w:val="28"/>
        </w:rPr>
        <w:t xml:space="preserve"> from these cases</w:t>
      </w:r>
      <w:r w:rsidR="00C25225" w:rsidRPr="00130098">
        <w:rPr>
          <w:sz w:val="28"/>
          <w:szCs w:val="28"/>
        </w:rPr>
        <w:t xml:space="preserve">. Proceeding with a matter in circumstances where a </w:t>
      </w:r>
      <w:r w:rsidR="00E13932" w:rsidRPr="00130098">
        <w:rPr>
          <w:sz w:val="28"/>
          <w:szCs w:val="28"/>
        </w:rPr>
        <w:t>judicial officer</w:t>
      </w:r>
      <w:r w:rsidR="00C25225" w:rsidRPr="00130098">
        <w:rPr>
          <w:sz w:val="28"/>
          <w:szCs w:val="28"/>
        </w:rPr>
        <w:t xml:space="preserve"> </w:t>
      </w:r>
      <w:r w:rsidR="00D41744" w:rsidRPr="00130098">
        <w:rPr>
          <w:sz w:val="28"/>
          <w:szCs w:val="28"/>
        </w:rPr>
        <w:t xml:space="preserve">is </w:t>
      </w:r>
      <w:r w:rsidR="00C25225" w:rsidRPr="00130098">
        <w:rPr>
          <w:sz w:val="28"/>
          <w:szCs w:val="28"/>
        </w:rPr>
        <w:t xml:space="preserve">not competent to grant or refuse the relief sought, goes to the heart of the proceedings. </w:t>
      </w:r>
      <w:r w:rsidR="00D15CE6" w:rsidRPr="00130098">
        <w:rPr>
          <w:sz w:val="28"/>
          <w:szCs w:val="28"/>
        </w:rPr>
        <w:t xml:space="preserve">An order issued by </w:t>
      </w:r>
      <w:r w:rsidR="00F55816" w:rsidRPr="00130098">
        <w:rPr>
          <w:sz w:val="28"/>
          <w:szCs w:val="28"/>
        </w:rPr>
        <w:t xml:space="preserve">a </w:t>
      </w:r>
      <w:r w:rsidR="00D15CE6" w:rsidRPr="00130098">
        <w:rPr>
          <w:sz w:val="28"/>
          <w:szCs w:val="28"/>
        </w:rPr>
        <w:t>court that</w:t>
      </w:r>
      <w:r w:rsidR="00377BE0" w:rsidRPr="00130098">
        <w:rPr>
          <w:sz w:val="28"/>
          <w:szCs w:val="28"/>
        </w:rPr>
        <w:t xml:space="preserve"> </w:t>
      </w:r>
      <w:r w:rsidR="00D41744" w:rsidRPr="00130098">
        <w:rPr>
          <w:sz w:val="28"/>
          <w:szCs w:val="28"/>
        </w:rPr>
        <w:t>lacks jurisdiction</w:t>
      </w:r>
      <w:r w:rsidR="00D15CE6" w:rsidRPr="00130098">
        <w:rPr>
          <w:sz w:val="28"/>
          <w:szCs w:val="28"/>
        </w:rPr>
        <w:t xml:space="preserve"> </w:t>
      </w:r>
      <w:r w:rsidR="00BB41C6" w:rsidRPr="00130098">
        <w:rPr>
          <w:sz w:val="28"/>
          <w:szCs w:val="28"/>
        </w:rPr>
        <w:t xml:space="preserve">will vitiate the entire proceedings and it </w:t>
      </w:r>
      <w:r w:rsidR="00D15CE6" w:rsidRPr="00130098">
        <w:rPr>
          <w:sz w:val="28"/>
          <w:szCs w:val="28"/>
        </w:rPr>
        <w:t>is final</w:t>
      </w:r>
      <w:r w:rsidR="00C25225" w:rsidRPr="00130098">
        <w:rPr>
          <w:sz w:val="28"/>
          <w:szCs w:val="28"/>
        </w:rPr>
        <w:t xml:space="preserve">. An error </w:t>
      </w:r>
      <w:r w:rsidR="00FF33FE" w:rsidRPr="00130098">
        <w:rPr>
          <w:sz w:val="28"/>
          <w:szCs w:val="28"/>
        </w:rPr>
        <w:t xml:space="preserve">committed </w:t>
      </w:r>
      <w:r w:rsidR="00C25225" w:rsidRPr="00130098">
        <w:rPr>
          <w:sz w:val="28"/>
          <w:szCs w:val="28"/>
        </w:rPr>
        <w:t xml:space="preserve">in those circumstances cannot be corrected </w:t>
      </w:r>
      <w:r w:rsidR="00FF33FE" w:rsidRPr="00130098">
        <w:rPr>
          <w:sz w:val="28"/>
          <w:szCs w:val="28"/>
        </w:rPr>
        <w:t xml:space="preserve">or revisited </w:t>
      </w:r>
      <w:r w:rsidR="00C25225" w:rsidRPr="00130098">
        <w:rPr>
          <w:sz w:val="28"/>
          <w:szCs w:val="28"/>
        </w:rPr>
        <w:t>by th</w:t>
      </w:r>
      <w:r w:rsidR="00BB41C6" w:rsidRPr="00130098">
        <w:rPr>
          <w:sz w:val="28"/>
          <w:szCs w:val="28"/>
        </w:rPr>
        <w:t>at</w:t>
      </w:r>
      <w:r w:rsidR="00C25225" w:rsidRPr="00130098">
        <w:rPr>
          <w:sz w:val="28"/>
          <w:szCs w:val="28"/>
        </w:rPr>
        <w:t xml:space="preserve"> court at a later stage.</w:t>
      </w:r>
      <w:r w:rsidR="00D15CE6" w:rsidRPr="00130098">
        <w:rPr>
          <w:sz w:val="28"/>
          <w:szCs w:val="28"/>
        </w:rPr>
        <w:t xml:space="preserve"> </w:t>
      </w:r>
    </w:p>
    <w:p w14:paraId="1C39107B" w14:textId="77777777" w:rsidR="00733D73" w:rsidRPr="00AD2050" w:rsidRDefault="00733D73" w:rsidP="00733D73">
      <w:pPr>
        <w:pStyle w:val="ListParagraph"/>
        <w:ind w:left="0"/>
        <w:rPr>
          <w:sz w:val="28"/>
          <w:szCs w:val="28"/>
        </w:rPr>
      </w:pPr>
    </w:p>
    <w:p w14:paraId="5439F2E9" w14:textId="14F9D5BC" w:rsidR="00173C50" w:rsidRPr="00130098" w:rsidRDefault="00130098" w:rsidP="00130098">
      <w:pPr>
        <w:rPr>
          <w:sz w:val="28"/>
          <w:szCs w:val="28"/>
        </w:rPr>
      </w:pPr>
      <w:r w:rsidRPr="00AD2050">
        <w:rPr>
          <w:sz w:val="28"/>
          <w:szCs w:val="28"/>
        </w:rPr>
        <w:t>[15]</w:t>
      </w:r>
      <w:r w:rsidRPr="00AD2050">
        <w:rPr>
          <w:sz w:val="28"/>
          <w:szCs w:val="28"/>
        </w:rPr>
        <w:tab/>
      </w:r>
      <w:r w:rsidR="00D15CE6" w:rsidRPr="00130098">
        <w:rPr>
          <w:sz w:val="28"/>
          <w:szCs w:val="28"/>
        </w:rPr>
        <w:t>That is</w:t>
      </w:r>
      <w:r w:rsidR="00EB1AC4" w:rsidRPr="00130098">
        <w:rPr>
          <w:sz w:val="28"/>
          <w:szCs w:val="28"/>
        </w:rPr>
        <w:t>, however,</w:t>
      </w:r>
      <w:r w:rsidR="00D15CE6" w:rsidRPr="00130098">
        <w:rPr>
          <w:sz w:val="28"/>
          <w:szCs w:val="28"/>
        </w:rPr>
        <w:t xml:space="preserve"> not what we are dealing with </w:t>
      </w:r>
      <w:r w:rsidR="00EB1AC4" w:rsidRPr="00130098">
        <w:rPr>
          <w:sz w:val="28"/>
          <w:szCs w:val="28"/>
        </w:rPr>
        <w:t xml:space="preserve">in </w:t>
      </w:r>
      <w:r w:rsidR="00D15CE6" w:rsidRPr="00130098">
        <w:rPr>
          <w:sz w:val="28"/>
          <w:szCs w:val="28"/>
        </w:rPr>
        <w:t xml:space="preserve">the </w:t>
      </w:r>
      <w:r w:rsidR="00EB1AC4" w:rsidRPr="00130098">
        <w:rPr>
          <w:sz w:val="28"/>
          <w:szCs w:val="28"/>
        </w:rPr>
        <w:t>present matter</w:t>
      </w:r>
      <w:r w:rsidR="00D15CE6" w:rsidRPr="00130098">
        <w:rPr>
          <w:sz w:val="28"/>
          <w:szCs w:val="28"/>
        </w:rPr>
        <w:t xml:space="preserve">. </w:t>
      </w:r>
      <w:r w:rsidR="008E2488" w:rsidRPr="00130098">
        <w:rPr>
          <w:sz w:val="28"/>
          <w:szCs w:val="28"/>
        </w:rPr>
        <w:t>Here, t</w:t>
      </w:r>
      <w:r w:rsidR="00D15CE6" w:rsidRPr="00130098">
        <w:rPr>
          <w:sz w:val="28"/>
          <w:szCs w:val="28"/>
        </w:rPr>
        <w:t xml:space="preserve">he </w:t>
      </w:r>
      <w:r w:rsidR="00A50B0B" w:rsidRPr="00130098">
        <w:rPr>
          <w:sz w:val="28"/>
          <w:szCs w:val="28"/>
        </w:rPr>
        <w:t>high</w:t>
      </w:r>
      <w:r w:rsidR="00D15CE6" w:rsidRPr="00130098">
        <w:rPr>
          <w:sz w:val="28"/>
          <w:szCs w:val="28"/>
        </w:rPr>
        <w:t xml:space="preserve"> court </w:t>
      </w:r>
      <w:r w:rsidR="00EB1AC4" w:rsidRPr="00130098">
        <w:rPr>
          <w:sz w:val="28"/>
          <w:szCs w:val="28"/>
        </w:rPr>
        <w:t xml:space="preserve">has </w:t>
      </w:r>
      <w:r w:rsidR="00D15CE6" w:rsidRPr="00130098">
        <w:rPr>
          <w:sz w:val="28"/>
          <w:szCs w:val="28"/>
        </w:rPr>
        <w:t>jurisdiction to determine the action brought by</w:t>
      </w:r>
      <w:r w:rsidR="009B1C32" w:rsidRPr="00130098">
        <w:rPr>
          <w:sz w:val="28"/>
          <w:szCs w:val="28"/>
        </w:rPr>
        <w:t xml:space="preserve"> Timelink</w:t>
      </w:r>
      <w:r w:rsidR="00D15CE6" w:rsidRPr="00130098">
        <w:rPr>
          <w:sz w:val="28"/>
          <w:szCs w:val="28"/>
        </w:rPr>
        <w:t xml:space="preserve">. </w:t>
      </w:r>
      <w:r w:rsidR="00833B6C" w:rsidRPr="00130098">
        <w:rPr>
          <w:sz w:val="28"/>
          <w:szCs w:val="28"/>
        </w:rPr>
        <w:t xml:space="preserve">It may grant or refuse the </w:t>
      </w:r>
      <w:r w:rsidR="00EB1AC4" w:rsidRPr="00130098">
        <w:rPr>
          <w:sz w:val="28"/>
          <w:szCs w:val="28"/>
        </w:rPr>
        <w:t>claim</w:t>
      </w:r>
      <w:r w:rsidR="00833B6C" w:rsidRPr="00130098">
        <w:rPr>
          <w:sz w:val="28"/>
          <w:szCs w:val="28"/>
        </w:rPr>
        <w:t xml:space="preserve">. </w:t>
      </w:r>
      <w:r w:rsidR="00EB1AC4" w:rsidRPr="00130098">
        <w:rPr>
          <w:sz w:val="28"/>
          <w:szCs w:val="28"/>
        </w:rPr>
        <w:t xml:space="preserve">It may </w:t>
      </w:r>
      <w:r w:rsidR="00833B6C" w:rsidRPr="00130098">
        <w:rPr>
          <w:sz w:val="28"/>
          <w:szCs w:val="28"/>
        </w:rPr>
        <w:t>base</w:t>
      </w:r>
      <w:r w:rsidR="00EB1AC4" w:rsidRPr="00130098">
        <w:rPr>
          <w:sz w:val="28"/>
          <w:szCs w:val="28"/>
        </w:rPr>
        <w:t xml:space="preserve"> its refusal of the claim</w:t>
      </w:r>
      <w:r w:rsidR="00833B6C" w:rsidRPr="00130098">
        <w:rPr>
          <w:sz w:val="28"/>
          <w:szCs w:val="28"/>
        </w:rPr>
        <w:t xml:space="preserve"> on the legal challenge posed by s 154(2)</w:t>
      </w:r>
      <w:r w:rsidR="00EB1AC4" w:rsidRPr="00130098">
        <w:rPr>
          <w:sz w:val="28"/>
          <w:szCs w:val="28"/>
        </w:rPr>
        <w:t xml:space="preserve"> of the Act or on other bases</w:t>
      </w:r>
      <w:r w:rsidR="00833B6C" w:rsidRPr="00130098">
        <w:rPr>
          <w:sz w:val="28"/>
          <w:szCs w:val="28"/>
        </w:rPr>
        <w:t xml:space="preserve">. </w:t>
      </w:r>
      <w:r w:rsidR="00EB1AC4" w:rsidRPr="00130098">
        <w:rPr>
          <w:sz w:val="28"/>
          <w:szCs w:val="28"/>
        </w:rPr>
        <w:t>Thus,</w:t>
      </w:r>
      <w:r w:rsidR="00833B6C" w:rsidRPr="00130098">
        <w:rPr>
          <w:sz w:val="28"/>
          <w:szCs w:val="28"/>
        </w:rPr>
        <w:t xml:space="preserve"> any view taken by the high court when dismissing the exception is capable of being altered by the court deciding the matter on trial. </w:t>
      </w:r>
      <w:r w:rsidR="00EB1AC4" w:rsidRPr="00130098">
        <w:rPr>
          <w:sz w:val="28"/>
          <w:szCs w:val="28"/>
        </w:rPr>
        <w:t xml:space="preserve">That order will be competent. </w:t>
      </w:r>
      <w:r w:rsidR="00173C50" w:rsidRPr="00130098">
        <w:rPr>
          <w:sz w:val="28"/>
          <w:szCs w:val="28"/>
        </w:rPr>
        <w:t xml:space="preserve">In </w:t>
      </w:r>
      <w:r w:rsidR="00AB51B7" w:rsidRPr="00130098">
        <w:rPr>
          <w:i/>
          <w:iCs/>
          <w:sz w:val="28"/>
          <w:szCs w:val="28"/>
          <w:lang w:val="en-US"/>
        </w:rPr>
        <w:t>Blaauwbosch Diamonds Ltd v Union Government (Minister of Finance)</w:t>
      </w:r>
      <w:r w:rsidR="00321042" w:rsidRPr="00130098">
        <w:rPr>
          <w:iCs/>
          <w:sz w:val="28"/>
          <w:szCs w:val="28"/>
          <w:lang w:val="en-US"/>
        </w:rPr>
        <w:t>,</w:t>
      </w:r>
      <w:r w:rsidR="00AB51B7" w:rsidRPr="008B5926">
        <w:rPr>
          <w:rStyle w:val="FootnoteReference"/>
          <w:iCs/>
          <w:sz w:val="28"/>
          <w:szCs w:val="28"/>
          <w:lang w:val="en-US"/>
        </w:rPr>
        <w:footnoteReference w:id="8"/>
      </w:r>
      <w:r w:rsidR="00AB51B7" w:rsidRPr="00130098">
        <w:rPr>
          <w:i/>
          <w:iCs/>
          <w:sz w:val="28"/>
          <w:szCs w:val="28"/>
          <w:lang w:val="en-US"/>
        </w:rPr>
        <w:t xml:space="preserve"> </w:t>
      </w:r>
      <w:r w:rsidR="00AB51B7" w:rsidRPr="00130098">
        <w:rPr>
          <w:iCs/>
          <w:sz w:val="28"/>
          <w:szCs w:val="28"/>
          <w:lang w:val="en-US"/>
        </w:rPr>
        <w:t>th</w:t>
      </w:r>
      <w:r w:rsidR="00EB1AC4" w:rsidRPr="00130098">
        <w:rPr>
          <w:iCs/>
          <w:sz w:val="28"/>
          <w:szCs w:val="28"/>
          <w:lang w:val="en-US"/>
        </w:rPr>
        <w:t xml:space="preserve">is </w:t>
      </w:r>
      <w:r w:rsidR="00AB51B7" w:rsidRPr="00130098">
        <w:rPr>
          <w:iCs/>
          <w:sz w:val="28"/>
          <w:szCs w:val="28"/>
          <w:lang w:val="en-US"/>
        </w:rPr>
        <w:t>Court</w:t>
      </w:r>
      <w:r w:rsidR="00EB1AC4" w:rsidRPr="00130098">
        <w:rPr>
          <w:iCs/>
          <w:sz w:val="28"/>
          <w:szCs w:val="28"/>
          <w:lang w:val="en-US"/>
        </w:rPr>
        <w:t xml:space="preserve"> had this to say</w:t>
      </w:r>
      <w:r w:rsidR="00AB51B7" w:rsidRPr="00130098">
        <w:rPr>
          <w:iCs/>
          <w:sz w:val="28"/>
          <w:szCs w:val="28"/>
          <w:lang w:val="en-US"/>
        </w:rPr>
        <w:t>:</w:t>
      </w:r>
      <w:r w:rsidR="00AB51B7" w:rsidRPr="00130098">
        <w:rPr>
          <w:i/>
          <w:iCs/>
          <w:lang w:val="en-US"/>
        </w:rPr>
        <w:t xml:space="preserve"> </w:t>
      </w:r>
    </w:p>
    <w:p w14:paraId="4E28AAC6" w14:textId="77777777" w:rsidR="00173C50" w:rsidRPr="00AD2050" w:rsidRDefault="00AB51B7" w:rsidP="00D4788E">
      <w:pPr>
        <w:shd w:val="clear" w:color="auto" w:fill="FFFFFF"/>
        <w:rPr>
          <w:lang w:val="en-US"/>
        </w:rPr>
      </w:pPr>
      <w:r w:rsidRPr="00AD2050">
        <w:rPr>
          <w:lang w:val="en-US"/>
        </w:rPr>
        <w:t>‘</w:t>
      </w:r>
      <w:r w:rsidR="00954EB4" w:rsidRPr="00AD2050">
        <w:rPr>
          <w:lang w:val="en-US"/>
        </w:rPr>
        <w:t xml:space="preserve">. . . </w:t>
      </w:r>
      <w:r w:rsidR="00526E12" w:rsidRPr="00AD2050">
        <w:rPr>
          <w:lang w:val="en-US"/>
        </w:rPr>
        <w:t>o</w:t>
      </w:r>
      <w:r w:rsidR="00173C50" w:rsidRPr="008B5926">
        <w:rPr>
          <w:lang w:val="en-US"/>
        </w:rPr>
        <w:t>ne would say that an order dismissing an exception is not the final word in the suit on that point that it may always be repaired at the final stage. All the Court does is to refuse to set aside the declaration; the case proceeds; there is nothing to prevent the same law points being re-argued at the trial; and though the Court is hardly like</w:t>
      </w:r>
      <w:r w:rsidR="00173C50" w:rsidRPr="00AD2050">
        <w:rPr>
          <w:lang w:val="en-US"/>
        </w:rPr>
        <w:t>ly to change its mind there is no legal obstacle to its doing so upon a consideration of fresh argument and further authority.</w:t>
      </w:r>
      <w:r w:rsidRPr="00AD2050">
        <w:rPr>
          <w:lang w:val="en-US"/>
        </w:rPr>
        <w:t>’</w:t>
      </w:r>
    </w:p>
    <w:p w14:paraId="092C5316" w14:textId="77777777" w:rsidR="00833B6C" w:rsidRPr="00AD2050" w:rsidRDefault="00833B6C" w:rsidP="00D4788E">
      <w:pPr>
        <w:rPr>
          <w:sz w:val="28"/>
          <w:szCs w:val="28"/>
        </w:rPr>
      </w:pPr>
      <w:r w:rsidRPr="00AD2050">
        <w:t xml:space="preserve">    </w:t>
      </w:r>
    </w:p>
    <w:p w14:paraId="047C2EB7" w14:textId="0DA8A8D5" w:rsidR="00EB1AC4" w:rsidRPr="00130098" w:rsidRDefault="00130098" w:rsidP="00130098">
      <w:pPr>
        <w:rPr>
          <w:sz w:val="28"/>
          <w:szCs w:val="28"/>
        </w:rPr>
      </w:pPr>
      <w:r w:rsidRPr="00AD2050">
        <w:rPr>
          <w:sz w:val="28"/>
          <w:szCs w:val="28"/>
        </w:rPr>
        <w:t>[16]</w:t>
      </w:r>
      <w:r w:rsidRPr="00AD2050">
        <w:rPr>
          <w:sz w:val="28"/>
          <w:szCs w:val="28"/>
        </w:rPr>
        <w:tab/>
      </w:r>
      <w:r w:rsidR="00833B6C" w:rsidRPr="00130098">
        <w:rPr>
          <w:sz w:val="28"/>
          <w:szCs w:val="28"/>
        </w:rPr>
        <w:t xml:space="preserve">Counsel </w:t>
      </w:r>
      <w:r w:rsidR="00FE7CC9" w:rsidRPr="00130098">
        <w:rPr>
          <w:sz w:val="28"/>
          <w:szCs w:val="28"/>
        </w:rPr>
        <w:t>further</w:t>
      </w:r>
      <w:r w:rsidR="00A15078" w:rsidRPr="00130098">
        <w:rPr>
          <w:sz w:val="28"/>
          <w:szCs w:val="28"/>
        </w:rPr>
        <w:t xml:space="preserve"> </w:t>
      </w:r>
      <w:r w:rsidR="008E2488" w:rsidRPr="00130098">
        <w:rPr>
          <w:sz w:val="28"/>
          <w:szCs w:val="28"/>
        </w:rPr>
        <w:t>place</w:t>
      </w:r>
      <w:r w:rsidR="00FF4B3B" w:rsidRPr="00130098">
        <w:rPr>
          <w:sz w:val="28"/>
          <w:szCs w:val="28"/>
        </w:rPr>
        <w:t>d</w:t>
      </w:r>
      <w:r w:rsidR="008E2488" w:rsidRPr="00130098">
        <w:rPr>
          <w:sz w:val="28"/>
          <w:szCs w:val="28"/>
        </w:rPr>
        <w:t xml:space="preserve"> reliance on </w:t>
      </w:r>
      <w:r w:rsidR="007F5BDB" w:rsidRPr="00130098">
        <w:rPr>
          <w:sz w:val="28"/>
          <w:szCs w:val="28"/>
        </w:rPr>
        <w:t xml:space="preserve">the minority judgment of the Constitutional Court in </w:t>
      </w:r>
      <w:r w:rsidR="007F5BDB" w:rsidRPr="00130098">
        <w:rPr>
          <w:i/>
          <w:sz w:val="28"/>
          <w:szCs w:val="28"/>
        </w:rPr>
        <w:t xml:space="preserve">Baliso </w:t>
      </w:r>
      <w:r w:rsidR="00614534" w:rsidRPr="00130098">
        <w:rPr>
          <w:i/>
          <w:sz w:val="28"/>
          <w:szCs w:val="28"/>
        </w:rPr>
        <w:t>v Firstrand Bank Limited t/a Wesbank</w:t>
      </w:r>
      <w:r w:rsidR="00954EB4" w:rsidRPr="00130098">
        <w:rPr>
          <w:sz w:val="28"/>
          <w:szCs w:val="28"/>
        </w:rPr>
        <w:t>,</w:t>
      </w:r>
      <w:r w:rsidR="00CB1B15" w:rsidRPr="008B5926">
        <w:rPr>
          <w:rStyle w:val="FootnoteReference"/>
          <w:sz w:val="28"/>
          <w:szCs w:val="28"/>
        </w:rPr>
        <w:footnoteReference w:id="9"/>
      </w:r>
      <w:r w:rsidR="00860781" w:rsidRPr="00130098">
        <w:rPr>
          <w:sz w:val="28"/>
          <w:szCs w:val="28"/>
        </w:rPr>
        <w:t xml:space="preserve"> which</w:t>
      </w:r>
      <w:r w:rsidR="00AB51B7" w:rsidRPr="00130098">
        <w:rPr>
          <w:sz w:val="28"/>
          <w:szCs w:val="28"/>
        </w:rPr>
        <w:t xml:space="preserve"> he contended characterised </w:t>
      </w:r>
      <w:r w:rsidR="00187434" w:rsidRPr="00130098">
        <w:rPr>
          <w:sz w:val="28"/>
          <w:szCs w:val="28"/>
        </w:rPr>
        <w:t xml:space="preserve">non-compliance with a provision of a statute as a matter going to the </w:t>
      </w:r>
      <w:r w:rsidR="00EB1AC4" w:rsidRPr="00130098">
        <w:rPr>
          <w:sz w:val="28"/>
          <w:szCs w:val="28"/>
        </w:rPr>
        <w:lastRenderedPageBreak/>
        <w:t xml:space="preserve">competence </w:t>
      </w:r>
      <w:r w:rsidR="00187434" w:rsidRPr="00130098">
        <w:rPr>
          <w:sz w:val="28"/>
          <w:szCs w:val="28"/>
        </w:rPr>
        <w:t>of the court</w:t>
      </w:r>
      <w:r w:rsidR="00EB1AC4" w:rsidRPr="00130098">
        <w:rPr>
          <w:sz w:val="28"/>
          <w:szCs w:val="28"/>
        </w:rPr>
        <w:t xml:space="preserve"> and hence its jurisdiction</w:t>
      </w:r>
      <w:r w:rsidR="00187434" w:rsidRPr="00130098">
        <w:rPr>
          <w:sz w:val="28"/>
          <w:szCs w:val="28"/>
        </w:rPr>
        <w:t>. This, he submitted</w:t>
      </w:r>
      <w:r w:rsidR="00954EB4" w:rsidRPr="00130098">
        <w:rPr>
          <w:sz w:val="28"/>
          <w:szCs w:val="28"/>
        </w:rPr>
        <w:t>,</w:t>
      </w:r>
      <w:r w:rsidR="00187434" w:rsidRPr="00130098">
        <w:rPr>
          <w:sz w:val="28"/>
          <w:szCs w:val="28"/>
        </w:rPr>
        <w:t xml:space="preserve"> the majority</w:t>
      </w:r>
      <w:r w:rsidR="00EB1AC4" w:rsidRPr="00130098">
        <w:rPr>
          <w:sz w:val="28"/>
          <w:szCs w:val="28"/>
        </w:rPr>
        <w:t xml:space="preserve"> judgment</w:t>
      </w:r>
      <w:r w:rsidR="008E2488" w:rsidRPr="00130098">
        <w:rPr>
          <w:sz w:val="28"/>
          <w:szCs w:val="28"/>
        </w:rPr>
        <w:t xml:space="preserve"> did not disagree with</w:t>
      </w:r>
      <w:r w:rsidR="00187434" w:rsidRPr="00130098">
        <w:rPr>
          <w:sz w:val="28"/>
          <w:szCs w:val="28"/>
        </w:rPr>
        <w:t xml:space="preserve">. </w:t>
      </w:r>
    </w:p>
    <w:p w14:paraId="2B18CD0B" w14:textId="77777777" w:rsidR="009B1C32" w:rsidRPr="00AD2050" w:rsidRDefault="009B1C32" w:rsidP="009B1C32">
      <w:pPr>
        <w:rPr>
          <w:sz w:val="28"/>
          <w:szCs w:val="28"/>
        </w:rPr>
      </w:pPr>
    </w:p>
    <w:p w14:paraId="717ED910" w14:textId="04C7D1EA" w:rsidR="009B1C32" w:rsidRPr="00130098" w:rsidRDefault="00130098" w:rsidP="00130098">
      <w:pPr>
        <w:rPr>
          <w:sz w:val="28"/>
          <w:szCs w:val="28"/>
        </w:rPr>
      </w:pPr>
      <w:r w:rsidRPr="00AD2050">
        <w:rPr>
          <w:sz w:val="28"/>
          <w:szCs w:val="28"/>
        </w:rPr>
        <w:t>[17]</w:t>
      </w:r>
      <w:r w:rsidRPr="00AD2050">
        <w:rPr>
          <w:sz w:val="28"/>
          <w:szCs w:val="28"/>
        </w:rPr>
        <w:tab/>
      </w:r>
      <w:r w:rsidR="009B1C32" w:rsidRPr="00130098">
        <w:rPr>
          <w:sz w:val="28"/>
          <w:szCs w:val="28"/>
        </w:rPr>
        <w:t xml:space="preserve">The exception in </w:t>
      </w:r>
      <w:r w:rsidR="009B1C32" w:rsidRPr="00130098">
        <w:rPr>
          <w:i/>
          <w:sz w:val="28"/>
          <w:szCs w:val="28"/>
        </w:rPr>
        <w:t>Baliso</w:t>
      </w:r>
      <w:r w:rsidR="009B1C32" w:rsidRPr="00130098">
        <w:rPr>
          <w:sz w:val="28"/>
          <w:szCs w:val="28"/>
        </w:rPr>
        <w:t xml:space="preserve"> concerned non-compliance with the notice required under s 127(2) of the National Credit Act 34 of 2005 (the NCA). Section 130(3)</w:t>
      </w:r>
      <w:r w:rsidR="009B1C32" w:rsidRPr="00130098">
        <w:rPr>
          <w:i/>
          <w:sz w:val="28"/>
          <w:szCs w:val="28"/>
        </w:rPr>
        <w:t>(a)</w:t>
      </w:r>
      <w:r w:rsidR="009B1C32" w:rsidRPr="00130098">
        <w:rPr>
          <w:sz w:val="28"/>
          <w:szCs w:val="28"/>
        </w:rPr>
        <w:t xml:space="preserve"> of the NCA permits a court to determine a matter in respect of a credit agreement, only after procedures required by ss 127, 129 or 131 have been complied with, where those sections apply. </w:t>
      </w:r>
    </w:p>
    <w:p w14:paraId="2A5A3240" w14:textId="77777777" w:rsidR="00EB1AC4" w:rsidRPr="00AD2050" w:rsidRDefault="00EB1AC4" w:rsidP="00D4788E">
      <w:pPr>
        <w:rPr>
          <w:sz w:val="28"/>
          <w:szCs w:val="28"/>
        </w:rPr>
      </w:pPr>
    </w:p>
    <w:p w14:paraId="61468967" w14:textId="25EB30C2" w:rsidR="00E7584B" w:rsidRPr="00130098" w:rsidRDefault="00130098" w:rsidP="00130098">
      <w:pPr>
        <w:rPr>
          <w:sz w:val="28"/>
          <w:szCs w:val="28"/>
        </w:rPr>
      </w:pPr>
      <w:r w:rsidRPr="008B5926">
        <w:rPr>
          <w:sz w:val="28"/>
          <w:szCs w:val="28"/>
        </w:rPr>
        <w:t>[18]</w:t>
      </w:r>
      <w:r w:rsidRPr="008B5926">
        <w:rPr>
          <w:sz w:val="28"/>
          <w:szCs w:val="28"/>
        </w:rPr>
        <w:tab/>
      </w:r>
      <w:r w:rsidR="00E7584B" w:rsidRPr="00130098">
        <w:rPr>
          <w:sz w:val="28"/>
          <w:szCs w:val="28"/>
        </w:rPr>
        <w:t xml:space="preserve">The majority </w:t>
      </w:r>
      <w:r w:rsidR="00CC1039" w:rsidRPr="00130098">
        <w:rPr>
          <w:sz w:val="28"/>
          <w:szCs w:val="28"/>
        </w:rPr>
        <w:t>judgment</w:t>
      </w:r>
      <w:r w:rsidR="00922502" w:rsidRPr="00130098">
        <w:rPr>
          <w:sz w:val="28"/>
          <w:szCs w:val="28"/>
        </w:rPr>
        <w:t xml:space="preserve"> observed that regardless of</w:t>
      </w:r>
      <w:r w:rsidR="00E7584B" w:rsidRPr="00130098">
        <w:rPr>
          <w:sz w:val="28"/>
          <w:szCs w:val="28"/>
        </w:rPr>
        <w:t xml:space="preserve"> the outcome of the exception, the </w:t>
      </w:r>
      <w:r w:rsidR="005A497E" w:rsidRPr="00130098">
        <w:rPr>
          <w:sz w:val="28"/>
          <w:szCs w:val="28"/>
        </w:rPr>
        <w:t>applicant was</w:t>
      </w:r>
      <w:r w:rsidR="00E7584B" w:rsidRPr="00130098">
        <w:rPr>
          <w:sz w:val="28"/>
          <w:szCs w:val="28"/>
        </w:rPr>
        <w:t xml:space="preserve"> in a position to provide evidence at the trial that he was not given proper notice in terms </w:t>
      </w:r>
      <w:r w:rsidR="005A497E" w:rsidRPr="00130098">
        <w:rPr>
          <w:sz w:val="28"/>
          <w:szCs w:val="28"/>
        </w:rPr>
        <w:t>of s</w:t>
      </w:r>
      <w:r w:rsidR="00E7584B" w:rsidRPr="00130098">
        <w:rPr>
          <w:sz w:val="28"/>
          <w:szCs w:val="28"/>
        </w:rPr>
        <w:t xml:space="preserve"> 127(2) of the NCA. </w:t>
      </w:r>
      <w:r w:rsidR="005A497E" w:rsidRPr="00130098">
        <w:rPr>
          <w:sz w:val="28"/>
          <w:szCs w:val="28"/>
        </w:rPr>
        <w:t>‘After hearing evidence from both parties, the presiding judicial officer would then have to assess this evidence in order to decide whether proper notice was given’</w:t>
      </w:r>
      <w:r w:rsidR="00CC1039" w:rsidRPr="00130098">
        <w:rPr>
          <w:sz w:val="28"/>
          <w:szCs w:val="28"/>
        </w:rPr>
        <w:t>.</w:t>
      </w:r>
      <w:r w:rsidR="00CC1039" w:rsidRPr="008B5926">
        <w:rPr>
          <w:rStyle w:val="FootnoteReference"/>
          <w:sz w:val="28"/>
          <w:szCs w:val="28"/>
        </w:rPr>
        <w:footnoteReference w:id="10"/>
      </w:r>
      <w:r w:rsidR="005A497E" w:rsidRPr="00130098">
        <w:rPr>
          <w:sz w:val="28"/>
          <w:szCs w:val="28"/>
        </w:rPr>
        <w:t xml:space="preserve"> It </w:t>
      </w:r>
      <w:r w:rsidR="00922502" w:rsidRPr="00130098">
        <w:rPr>
          <w:sz w:val="28"/>
          <w:szCs w:val="28"/>
        </w:rPr>
        <w:t xml:space="preserve">further </w:t>
      </w:r>
      <w:r w:rsidR="005A497E" w:rsidRPr="00130098">
        <w:rPr>
          <w:sz w:val="28"/>
          <w:szCs w:val="28"/>
        </w:rPr>
        <w:t>found that the dismissal of the exception was not fin</w:t>
      </w:r>
      <w:r w:rsidR="00922502" w:rsidRPr="00130098">
        <w:rPr>
          <w:sz w:val="28"/>
          <w:szCs w:val="28"/>
        </w:rPr>
        <w:t>al</w:t>
      </w:r>
      <w:r w:rsidR="005A497E" w:rsidRPr="00130098">
        <w:rPr>
          <w:sz w:val="28"/>
          <w:szCs w:val="28"/>
        </w:rPr>
        <w:t xml:space="preserve"> in its effect, neither was it definitive of the rights of the parties, no</w:t>
      </w:r>
      <w:r w:rsidR="00922502" w:rsidRPr="00130098">
        <w:rPr>
          <w:sz w:val="28"/>
          <w:szCs w:val="28"/>
        </w:rPr>
        <w:t>r</w:t>
      </w:r>
      <w:r w:rsidR="005A497E" w:rsidRPr="00130098">
        <w:rPr>
          <w:sz w:val="28"/>
          <w:szCs w:val="28"/>
        </w:rPr>
        <w:t xml:space="preserve"> dispositive of any substantial portion of the relief sought in the main proceedings</w:t>
      </w:r>
      <w:r w:rsidR="0097219D" w:rsidRPr="00130098">
        <w:rPr>
          <w:sz w:val="28"/>
          <w:szCs w:val="28"/>
        </w:rPr>
        <w:t>,</w:t>
      </w:r>
      <w:r w:rsidR="00922502" w:rsidRPr="00130098">
        <w:rPr>
          <w:sz w:val="28"/>
          <w:szCs w:val="28"/>
        </w:rPr>
        <w:t xml:space="preserve"> as required in </w:t>
      </w:r>
      <w:r w:rsidR="005A497E" w:rsidRPr="00130098">
        <w:rPr>
          <w:i/>
          <w:sz w:val="28"/>
          <w:szCs w:val="28"/>
        </w:rPr>
        <w:t>Zweni</w:t>
      </w:r>
      <w:r w:rsidR="0097219D" w:rsidRPr="00130098">
        <w:rPr>
          <w:sz w:val="28"/>
          <w:szCs w:val="28"/>
        </w:rPr>
        <w:t>.</w:t>
      </w:r>
      <w:r w:rsidR="005A497E" w:rsidRPr="008B5926">
        <w:rPr>
          <w:rStyle w:val="FootnoteReference"/>
          <w:sz w:val="28"/>
          <w:szCs w:val="28"/>
        </w:rPr>
        <w:footnoteReference w:id="11"/>
      </w:r>
      <w:r w:rsidR="00A15078" w:rsidRPr="00130098">
        <w:rPr>
          <w:sz w:val="28"/>
          <w:szCs w:val="28"/>
        </w:rPr>
        <w:t xml:space="preserve"> </w:t>
      </w:r>
      <w:r w:rsidR="00922502" w:rsidRPr="00130098">
        <w:rPr>
          <w:sz w:val="28"/>
          <w:szCs w:val="28"/>
        </w:rPr>
        <w:t>The appealability test was</w:t>
      </w:r>
      <w:r w:rsidR="0097219D" w:rsidRPr="00130098">
        <w:rPr>
          <w:sz w:val="28"/>
          <w:szCs w:val="28"/>
        </w:rPr>
        <w:t>,</w:t>
      </w:r>
      <w:r w:rsidR="00922502" w:rsidRPr="00130098">
        <w:rPr>
          <w:sz w:val="28"/>
          <w:szCs w:val="28"/>
        </w:rPr>
        <w:t xml:space="preserve"> therefore</w:t>
      </w:r>
      <w:r w:rsidR="0097219D" w:rsidRPr="00130098">
        <w:rPr>
          <w:sz w:val="28"/>
          <w:szCs w:val="28"/>
        </w:rPr>
        <w:t>,</w:t>
      </w:r>
      <w:r w:rsidR="00922502" w:rsidRPr="00130098">
        <w:rPr>
          <w:sz w:val="28"/>
          <w:szCs w:val="28"/>
        </w:rPr>
        <w:t xml:space="preserve"> </w:t>
      </w:r>
      <w:r w:rsidR="005A497E" w:rsidRPr="00130098">
        <w:rPr>
          <w:sz w:val="28"/>
          <w:szCs w:val="28"/>
        </w:rPr>
        <w:t>not met.</w:t>
      </w:r>
      <w:r w:rsidR="005A497E" w:rsidRPr="008B5926">
        <w:rPr>
          <w:rStyle w:val="FootnoteReference"/>
          <w:sz w:val="28"/>
          <w:szCs w:val="28"/>
        </w:rPr>
        <w:footnoteReference w:id="12"/>
      </w:r>
    </w:p>
    <w:p w14:paraId="6A12318C" w14:textId="77777777" w:rsidR="00231A2E" w:rsidRPr="00AD2050" w:rsidRDefault="00231A2E" w:rsidP="00D4788E">
      <w:pPr>
        <w:pStyle w:val="ListParagraph"/>
        <w:rPr>
          <w:sz w:val="28"/>
          <w:szCs w:val="28"/>
        </w:rPr>
      </w:pPr>
    </w:p>
    <w:p w14:paraId="5703AEBC" w14:textId="3F5D583B" w:rsidR="00231A2E" w:rsidRPr="00130098" w:rsidRDefault="00130098" w:rsidP="00130098">
      <w:pPr>
        <w:rPr>
          <w:sz w:val="28"/>
          <w:szCs w:val="28"/>
        </w:rPr>
      </w:pPr>
      <w:r w:rsidRPr="00AD2050">
        <w:rPr>
          <w:sz w:val="28"/>
          <w:szCs w:val="28"/>
        </w:rPr>
        <w:t>[19]</w:t>
      </w:r>
      <w:r w:rsidRPr="00AD2050">
        <w:rPr>
          <w:sz w:val="28"/>
          <w:szCs w:val="28"/>
        </w:rPr>
        <w:tab/>
      </w:r>
      <w:r w:rsidR="005A497E" w:rsidRPr="00130098">
        <w:rPr>
          <w:sz w:val="28"/>
          <w:szCs w:val="28"/>
        </w:rPr>
        <w:t>The minority</w:t>
      </w:r>
      <w:r w:rsidR="00922502" w:rsidRPr="00130098">
        <w:rPr>
          <w:sz w:val="28"/>
          <w:szCs w:val="28"/>
        </w:rPr>
        <w:t>, however,</w:t>
      </w:r>
      <w:r w:rsidR="005A497E" w:rsidRPr="00130098">
        <w:rPr>
          <w:sz w:val="28"/>
          <w:szCs w:val="28"/>
        </w:rPr>
        <w:t xml:space="preserve"> </w:t>
      </w:r>
      <w:r w:rsidR="00922502" w:rsidRPr="00130098">
        <w:rPr>
          <w:sz w:val="28"/>
          <w:szCs w:val="28"/>
        </w:rPr>
        <w:t xml:space="preserve">adopted </w:t>
      </w:r>
      <w:r w:rsidR="005A497E" w:rsidRPr="00130098">
        <w:rPr>
          <w:sz w:val="28"/>
          <w:szCs w:val="28"/>
        </w:rPr>
        <w:t>a different view</w:t>
      </w:r>
      <w:r w:rsidR="00922502" w:rsidRPr="00130098">
        <w:rPr>
          <w:sz w:val="28"/>
          <w:szCs w:val="28"/>
        </w:rPr>
        <w:t xml:space="preserve">. It held that </w:t>
      </w:r>
      <w:r w:rsidR="00771D42" w:rsidRPr="00130098">
        <w:rPr>
          <w:sz w:val="28"/>
          <w:szCs w:val="28"/>
        </w:rPr>
        <w:t xml:space="preserve">the decision sought to be appealed against related to the jurisdiction </w:t>
      </w:r>
      <w:r w:rsidR="00E265B1" w:rsidRPr="00130098">
        <w:rPr>
          <w:sz w:val="28"/>
          <w:szCs w:val="28"/>
        </w:rPr>
        <w:t>or</w:t>
      </w:r>
      <w:r w:rsidR="00771D42" w:rsidRPr="00130098">
        <w:rPr>
          <w:sz w:val="28"/>
          <w:szCs w:val="28"/>
        </w:rPr>
        <w:t xml:space="preserve"> competence of the </w:t>
      </w:r>
      <w:r w:rsidR="00BC60DF" w:rsidRPr="00130098">
        <w:rPr>
          <w:sz w:val="28"/>
          <w:szCs w:val="28"/>
        </w:rPr>
        <w:t>h</w:t>
      </w:r>
      <w:r w:rsidR="00771D42" w:rsidRPr="00130098">
        <w:rPr>
          <w:sz w:val="28"/>
          <w:szCs w:val="28"/>
        </w:rPr>
        <w:t xml:space="preserve">igh </w:t>
      </w:r>
      <w:r w:rsidR="00BC60DF" w:rsidRPr="00130098">
        <w:rPr>
          <w:sz w:val="28"/>
          <w:szCs w:val="28"/>
        </w:rPr>
        <w:t>c</w:t>
      </w:r>
      <w:r w:rsidR="00771D42" w:rsidRPr="00130098">
        <w:rPr>
          <w:sz w:val="28"/>
          <w:szCs w:val="28"/>
        </w:rPr>
        <w:t xml:space="preserve">ourt to determine the matter before it did, </w:t>
      </w:r>
      <w:r w:rsidR="00922502" w:rsidRPr="00130098">
        <w:rPr>
          <w:sz w:val="28"/>
          <w:szCs w:val="28"/>
        </w:rPr>
        <w:t>and</w:t>
      </w:r>
      <w:r w:rsidR="00011036" w:rsidRPr="00130098">
        <w:rPr>
          <w:sz w:val="28"/>
          <w:szCs w:val="28"/>
        </w:rPr>
        <w:t>,</w:t>
      </w:r>
      <w:r w:rsidR="00922502" w:rsidRPr="00130098">
        <w:rPr>
          <w:sz w:val="28"/>
          <w:szCs w:val="28"/>
        </w:rPr>
        <w:t xml:space="preserve"> </w:t>
      </w:r>
      <w:r w:rsidR="00771D42" w:rsidRPr="00130098">
        <w:rPr>
          <w:sz w:val="28"/>
          <w:szCs w:val="28"/>
        </w:rPr>
        <w:t xml:space="preserve">as such, </w:t>
      </w:r>
      <w:r w:rsidR="00011036" w:rsidRPr="00130098">
        <w:rPr>
          <w:sz w:val="28"/>
          <w:szCs w:val="28"/>
        </w:rPr>
        <w:t>the</w:t>
      </w:r>
      <w:r w:rsidR="00922502" w:rsidRPr="00130098">
        <w:rPr>
          <w:sz w:val="28"/>
          <w:szCs w:val="28"/>
        </w:rPr>
        <w:t xml:space="preserve"> decision </w:t>
      </w:r>
      <w:r w:rsidR="00011036" w:rsidRPr="00130098">
        <w:rPr>
          <w:sz w:val="28"/>
          <w:szCs w:val="28"/>
        </w:rPr>
        <w:t xml:space="preserve">(of the high court) </w:t>
      </w:r>
      <w:r w:rsidR="00922502" w:rsidRPr="00130098">
        <w:rPr>
          <w:sz w:val="28"/>
          <w:szCs w:val="28"/>
        </w:rPr>
        <w:t xml:space="preserve">was </w:t>
      </w:r>
      <w:r w:rsidR="00771D42" w:rsidRPr="00130098">
        <w:rPr>
          <w:sz w:val="28"/>
          <w:szCs w:val="28"/>
        </w:rPr>
        <w:t>appealable.</w:t>
      </w:r>
      <w:r w:rsidR="00D967EB" w:rsidRPr="00130098">
        <w:rPr>
          <w:sz w:val="28"/>
          <w:szCs w:val="28"/>
        </w:rPr>
        <w:t xml:space="preserve"> It</w:t>
      </w:r>
      <w:r w:rsidR="00922502" w:rsidRPr="00130098">
        <w:rPr>
          <w:sz w:val="28"/>
          <w:szCs w:val="28"/>
        </w:rPr>
        <w:t xml:space="preserve"> further</w:t>
      </w:r>
      <w:r w:rsidR="00D967EB" w:rsidRPr="00130098">
        <w:rPr>
          <w:sz w:val="28"/>
          <w:szCs w:val="28"/>
        </w:rPr>
        <w:t xml:space="preserve"> held that s 130(3) of the NCA introduced a </w:t>
      </w:r>
      <w:r w:rsidR="00D967EB" w:rsidRPr="00130098">
        <w:rPr>
          <w:sz w:val="28"/>
          <w:szCs w:val="28"/>
        </w:rPr>
        <w:lastRenderedPageBreak/>
        <w:t xml:space="preserve">precondition that must exist before the court may have the competence or jurisdiction to determine the matter. </w:t>
      </w:r>
    </w:p>
    <w:p w14:paraId="43534B32" w14:textId="77777777" w:rsidR="00A15078" w:rsidRPr="00AD2050" w:rsidRDefault="00A15078" w:rsidP="00A15078">
      <w:pPr>
        <w:pStyle w:val="ListParagraph"/>
        <w:rPr>
          <w:sz w:val="28"/>
          <w:szCs w:val="28"/>
        </w:rPr>
      </w:pPr>
    </w:p>
    <w:p w14:paraId="6D78A264" w14:textId="6374E5D5" w:rsidR="00A15078" w:rsidRPr="00130098" w:rsidRDefault="00130098" w:rsidP="00130098">
      <w:pPr>
        <w:rPr>
          <w:sz w:val="28"/>
          <w:szCs w:val="28"/>
        </w:rPr>
      </w:pPr>
      <w:r w:rsidRPr="00AD2050">
        <w:rPr>
          <w:sz w:val="28"/>
          <w:szCs w:val="28"/>
        </w:rPr>
        <w:t>[20]</w:t>
      </w:r>
      <w:r w:rsidRPr="00AD2050">
        <w:rPr>
          <w:sz w:val="28"/>
          <w:szCs w:val="28"/>
        </w:rPr>
        <w:tab/>
      </w:r>
      <w:r w:rsidR="00A15078" w:rsidRPr="00130098">
        <w:rPr>
          <w:sz w:val="28"/>
          <w:szCs w:val="28"/>
        </w:rPr>
        <w:t>One of the relevant passages referred to in</w:t>
      </w:r>
      <w:r w:rsidR="00A15078" w:rsidRPr="00130098">
        <w:rPr>
          <w:i/>
          <w:sz w:val="28"/>
          <w:szCs w:val="28"/>
        </w:rPr>
        <w:t xml:space="preserve"> Baliso</w:t>
      </w:r>
      <w:r w:rsidR="00A15078" w:rsidRPr="00130098">
        <w:rPr>
          <w:sz w:val="28"/>
          <w:szCs w:val="28"/>
        </w:rPr>
        <w:t xml:space="preserve"> reads as follows: </w:t>
      </w:r>
    </w:p>
    <w:p w14:paraId="47FABF61" w14:textId="77777777" w:rsidR="00A15078" w:rsidRPr="008B5926" w:rsidRDefault="00A15078" w:rsidP="00A15078">
      <w:pPr>
        <w:rPr>
          <w:shd w:val="clear" w:color="auto" w:fill="FFFFFF"/>
          <w:lang w:val="en-ZA"/>
        </w:rPr>
      </w:pPr>
      <w:r w:rsidRPr="00AD2050">
        <w:t>‘</w:t>
      </w:r>
      <w:r w:rsidRPr="00AD2050">
        <w:rPr>
          <w:shd w:val="clear" w:color="auto" w:fill="FFFFFF"/>
          <w:lang w:val="en-ZA"/>
        </w:rPr>
        <w:t>This Court made it clear that section 191(5) concerns jurisdiction. Given the use of “if” and “may” in section 191(5), and “may” and “only if” in section 130(3) of the Act, it seems to me that section 130(3) relates to the competence or jurisdiction of the court. Its effect is that, the court will have no jurisdiction in respect of a matter where the procedures prescribed by section 127(2) have not been complied with. </w:t>
      </w:r>
      <w:r w:rsidRPr="00AD2050">
        <w:rPr>
          <w:i/>
          <w:shd w:val="clear" w:color="auto" w:fill="FFFFFF"/>
          <w:lang w:val="en-ZA"/>
        </w:rPr>
        <w:t>Therefore, compliance with the procedure in section 127(2) goes to the competence or jurisdiction of the court. A decision that there has been compliance with section 127(2) is a decision on the competence or jurisdiction of the court. Once a court of first instance has made a decision on jurisdiction, it cannot alter that decision later.</w:t>
      </w:r>
      <w:r w:rsidRPr="00AD2050">
        <w:rPr>
          <w:shd w:val="clear" w:color="auto" w:fill="FFFFFF"/>
          <w:lang w:val="en-ZA"/>
        </w:rPr>
        <w:t>’</w:t>
      </w:r>
      <w:r w:rsidRPr="008B5926">
        <w:rPr>
          <w:rStyle w:val="FootnoteReference"/>
          <w:shd w:val="clear" w:color="auto" w:fill="FFFFFF"/>
          <w:lang w:val="en-ZA"/>
        </w:rPr>
        <w:footnoteReference w:id="13"/>
      </w:r>
      <w:r w:rsidRPr="008B5926">
        <w:rPr>
          <w:shd w:val="clear" w:color="auto" w:fill="FFFFFF"/>
          <w:lang w:val="en-ZA"/>
        </w:rPr>
        <w:t xml:space="preserve"> (My emphasis.)</w:t>
      </w:r>
    </w:p>
    <w:p w14:paraId="798CB930" w14:textId="77777777" w:rsidR="00F3199F" w:rsidRPr="00AD2050" w:rsidRDefault="00F3199F" w:rsidP="00F3199F">
      <w:pPr>
        <w:pStyle w:val="ListParagraph"/>
        <w:ind w:left="0"/>
        <w:rPr>
          <w:sz w:val="28"/>
          <w:szCs w:val="28"/>
        </w:rPr>
      </w:pPr>
    </w:p>
    <w:p w14:paraId="26A9552F" w14:textId="16647620" w:rsidR="00D967EB" w:rsidRPr="00130098" w:rsidRDefault="00130098" w:rsidP="00130098">
      <w:pPr>
        <w:rPr>
          <w:sz w:val="28"/>
          <w:szCs w:val="28"/>
        </w:rPr>
      </w:pPr>
      <w:r w:rsidRPr="008B5926">
        <w:rPr>
          <w:sz w:val="28"/>
          <w:szCs w:val="28"/>
        </w:rPr>
        <w:t>[21]</w:t>
      </w:r>
      <w:r w:rsidRPr="008B5926">
        <w:rPr>
          <w:sz w:val="28"/>
          <w:szCs w:val="28"/>
        </w:rPr>
        <w:tab/>
      </w:r>
      <w:r w:rsidR="00D967EB" w:rsidRPr="00130098">
        <w:rPr>
          <w:sz w:val="28"/>
          <w:szCs w:val="28"/>
        </w:rPr>
        <w:t xml:space="preserve">The majority </w:t>
      </w:r>
      <w:r w:rsidR="00EF24B4" w:rsidRPr="00130098">
        <w:rPr>
          <w:sz w:val="28"/>
          <w:szCs w:val="28"/>
        </w:rPr>
        <w:t xml:space="preserve">had </w:t>
      </w:r>
      <w:r w:rsidR="00D967EB" w:rsidRPr="00130098">
        <w:rPr>
          <w:sz w:val="28"/>
          <w:szCs w:val="28"/>
        </w:rPr>
        <w:t xml:space="preserve">recognised that compliance with the relevant sections </w:t>
      </w:r>
      <w:r w:rsidR="00011036" w:rsidRPr="00130098">
        <w:rPr>
          <w:sz w:val="28"/>
          <w:szCs w:val="28"/>
        </w:rPr>
        <w:t xml:space="preserve">of the NCA </w:t>
      </w:r>
      <w:r w:rsidR="00D967EB" w:rsidRPr="00130098">
        <w:rPr>
          <w:sz w:val="28"/>
          <w:szCs w:val="28"/>
        </w:rPr>
        <w:t>is a prerequisite for determining the matter</w:t>
      </w:r>
      <w:r w:rsidR="00E7584B" w:rsidRPr="00130098">
        <w:rPr>
          <w:sz w:val="28"/>
          <w:szCs w:val="28"/>
        </w:rPr>
        <w:t>.</w:t>
      </w:r>
      <w:r w:rsidR="00D967EB" w:rsidRPr="00130098">
        <w:rPr>
          <w:sz w:val="28"/>
          <w:szCs w:val="28"/>
        </w:rPr>
        <w:t xml:space="preserve"> Nevertheless, </w:t>
      </w:r>
      <w:r w:rsidR="003F5FD4" w:rsidRPr="00130098">
        <w:rPr>
          <w:sz w:val="28"/>
          <w:szCs w:val="28"/>
        </w:rPr>
        <w:t xml:space="preserve">it concluded that the </w:t>
      </w:r>
      <w:r w:rsidR="00D967EB" w:rsidRPr="00130098">
        <w:rPr>
          <w:sz w:val="28"/>
          <w:szCs w:val="28"/>
        </w:rPr>
        <w:t xml:space="preserve">question of whether proper notice was given </w:t>
      </w:r>
      <w:r w:rsidR="003F5FD4" w:rsidRPr="00130098">
        <w:rPr>
          <w:sz w:val="28"/>
          <w:szCs w:val="28"/>
        </w:rPr>
        <w:t>would</w:t>
      </w:r>
      <w:r w:rsidR="00D967EB" w:rsidRPr="00130098">
        <w:rPr>
          <w:sz w:val="28"/>
          <w:szCs w:val="28"/>
        </w:rPr>
        <w:t xml:space="preserve"> </w:t>
      </w:r>
      <w:r w:rsidR="003F5FD4" w:rsidRPr="00130098">
        <w:rPr>
          <w:sz w:val="28"/>
          <w:szCs w:val="28"/>
        </w:rPr>
        <w:t xml:space="preserve">be assessed when evidence </w:t>
      </w:r>
      <w:r w:rsidR="005A14CE" w:rsidRPr="00130098">
        <w:rPr>
          <w:sz w:val="28"/>
          <w:szCs w:val="28"/>
        </w:rPr>
        <w:t>was</w:t>
      </w:r>
      <w:r w:rsidR="003F5FD4" w:rsidRPr="00130098">
        <w:rPr>
          <w:sz w:val="28"/>
          <w:szCs w:val="28"/>
        </w:rPr>
        <w:t xml:space="preserve"> presented in the trial.</w:t>
      </w:r>
      <w:r w:rsidR="003F5FD4" w:rsidRPr="008B5926">
        <w:rPr>
          <w:rStyle w:val="FootnoteReference"/>
          <w:sz w:val="28"/>
          <w:szCs w:val="28"/>
        </w:rPr>
        <w:footnoteReference w:id="14"/>
      </w:r>
    </w:p>
    <w:p w14:paraId="4935B188" w14:textId="77777777" w:rsidR="00D967EB" w:rsidRPr="00AD2050" w:rsidRDefault="00D967EB" w:rsidP="00D4788E">
      <w:pPr>
        <w:pStyle w:val="ListParagraph"/>
        <w:rPr>
          <w:sz w:val="28"/>
          <w:szCs w:val="28"/>
        </w:rPr>
      </w:pPr>
    </w:p>
    <w:p w14:paraId="2BE896DC" w14:textId="0EB9F4E1" w:rsidR="00DB0570" w:rsidRPr="00130098" w:rsidRDefault="00130098" w:rsidP="00130098">
      <w:pPr>
        <w:rPr>
          <w:sz w:val="28"/>
          <w:szCs w:val="28"/>
        </w:rPr>
      </w:pPr>
      <w:r w:rsidRPr="008B5926">
        <w:rPr>
          <w:sz w:val="28"/>
          <w:szCs w:val="28"/>
        </w:rPr>
        <w:t>[22]</w:t>
      </w:r>
      <w:r w:rsidRPr="008B5926">
        <w:rPr>
          <w:sz w:val="28"/>
          <w:szCs w:val="28"/>
        </w:rPr>
        <w:tab/>
      </w:r>
      <w:r w:rsidR="00EF24B4" w:rsidRPr="00130098">
        <w:rPr>
          <w:sz w:val="28"/>
          <w:szCs w:val="28"/>
        </w:rPr>
        <w:t xml:space="preserve">Even if the approach adopted by the minority were to be accepted, it is not supportive of </w:t>
      </w:r>
      <w:r w:rsidR="00A15078" w:rsidRPr="00130098">
        <w:rPr>
          <w:sz w:val="28"/>
          <w:szCs w:val="28"/>
        </w:rPr>
        <w:t xml:space="preserve">Cibapac’s </w:t>
      </w:r>
      <w:r w:rsidR="00EF24B4" w:rsidRPr="00130098">
        <w:rPr>
          <w:sz w:val="28"/>
          <w:szCs w:val="28"/>
        </w:rPr>
        <w:t>contention</w:t>
      </w:r>
      <w:r w:rsidR="00D967EB" w:rsidRPr="00130098">
        <w:rPr>
          <w:sz w:val="28"/>
          <w:szCs w:val="28"/>
        </w:rPr>
        <w:t xml:space="preserve">. </w:t>
      </w:r>
      <w:r w:rsidR="0020238A" w:rsidRPr="00130098">
        <w:rPr>
          <w:sz w:val="28"/>
          <w:szCs w:val="28"/>
        </w:rPr>
        <w:t xml:space="preserve">There is no precondition required to be fulfilled in the current matter </w:t>
      </w:r>
      <w:r w:rsidR="00FD7C21" w:rsidRPr="00130098">
        <w:rPr>
          <w:sz w:val="28"/>
          <w:szCs w:val="28"/>
        </w:rPr>
        <w:t xml:space="preserve">before the </w:t>
      </w:r>
      <w:r w:rsidR="004F0901" w:rsidRPr="00130098">
        <w:rPr>
          <w:sz w:val="28"/>
          <w:szCs w:val="28"/>
        </w:rPr>
        <w:t>high</w:t>
      </w:r>
      <w:r w:rsidR="00FD7C21" w:rsidRPr="00130098">
        <w:rPr>
          <w:sz w:val="28"/>
          <w:szCs w:val="28"/>
        </w:rPr>
        <w:t xml:space="preserve"> court could </w:t>
      </w:r>
      <w:r w:rsidR="0020238A" w:rsidRPr="00130098">
        <w:rPr>
          <w:sz w:val="28"/>
          <w:szCs w:val="28"/>
        </w:rPr>
        <w:t>determin</w:t>
      </w:r>
      <w:r w:rsidR="00FD7C21" w:rsidRPr="00130098">
        <w:rPr>
          <w:sz w:val="28"/>
          <w:szCs w:val="28"/>
        </w:rPr>
        <w:t>e</w:t>
      </w:r>
      <w:r w:rsidR="0020238A" w:rsidRPr="00130098">
        <w:rPr>
          <w:sz w:val="28"/>
          <w:szCs w:val="28"/>
        </w:rPr>
        <w:t xml:space="preserve"> the </w:t>
      </w:r>
      <w:r w:rsidR="00FD7C21" w:rsidRPr="00130098">
        <w:rPr>
          <w:sz w:val="28"/>
          <w:szCs w:val="28"/>
        </w:rPr>
        <w:t>matter</w:t>
      </w:r>
      <w:r w:rsidR="0020238A" w:rsidRPr="00130098">
        <w:rPr>
          <w:sz w:val="28"/>
          <w:szCs w:val="28"/>
        </w:rPr>
        <w:t xml:space="preserve">. </w:t>
      </w:r>
      <w:r w:rsidR="00FD7C21" w:rsidRPr="00130098">
        <w:rPr>
          <w:sz w:val="28"/>
          <w:szCs w:val="28"/>
        </w:rPr>
        <w:t xml:space="preserve">It has jurisdiction. </w:t>
      </w:r>
      <w:r w:rsidR="0020238A" w:rsidRPr="00130098">
        <w:rPr>
          <w:i/>
          <w:sz w:val="28"/>
          <w:szCs w:val="28"/>
        </w:rPr>
        <w:t xml:space="preserve">Baliso </w:t>
      </w:r>
      <w:r w:rsidR="0020238A" w:rsidRPr="00130098">
        <w:rPr>
          <w:sz w:val="28"/>
          <w:szCs w:val="28"/>
        </w:rPr>
        <w:t xml:space="preserve">dealt with a completely different set of circumstances and </w:t>
      </w:r>
      <w:r w:rsidR="004F0901" w:rsidRPr="00130098">
        <w:rPr>
          <w:sz w:val="28"/>
          <w:szCs w:val="28"/>
        </w:rPr>
        <w:t xml:space="preserve">is </w:t>
      </w:r>
      <w:r w:rsidR="0020238A" w:rsidRPr="00130098">
        <w:rPr>
          <w:sz w:val="28"/>
          <w:szCs w:val="28"/>
        </w:rPr>
        <w:t xml:space="preserve">clearly distinguishable from the present case. The minority, in any event, characterised the court’s decision on the dismissal of the exception </w:t>
      </w:r>
      <w:r w:rsidR="00FD7C21" w:rsidRPr="00130098">
        <w:rPr>
          <w:sz w:val="28"/>
          <w:szCs w:val="28"/>
        </w:rPr>
        <w:t>as</w:t>
      </w:r>
      <w:r w:rsidR="0020238A" w:rsidRPr="00130098">
        <w:rPr>
          <w:sz w:val="28"/>
          <w:szCs w:val="28"/>
        </w:rPr>
        <w:t xml:space="preserve"> </w:t>
      </w:r>
      <w:r w:rsidR="00FD7C21" w:rsidRPr="00130098">
        <w:rPr>
          <w:sz w:val="28"/>
          <w:szCs w:val="28"/>
        </w:rPr>
        <w:t>one that</w:t>
      </w:r>
      <w:r w:rsidR="0020238A" w:rsidRPr="00130098">
        <w:rPr>
          <w:sz w:val="28"/>
          <w:szCs w:val="28"/>
        </w:rPr>
        <w:t xml:space="preserve"> could not be altered later.</w:t>
      </w:r>
      <w:r w:rsidR="0020238A" w:rsidRPr="008B5926">
        <w:rPr>
          <w:rStyle w:val="FootnoteReference"/>
          <w:sz w:val="28"/>
          <w:szCs w:val="28"/>
        </w:rPr>
        <w:footnoteReference w:id="15"/>
      </w:r>
      <w:r w:rsidR="0020238A" w:rsidRPr="00130098">
        <w:rPr>
          <w:sz w:val="28"/>
          <w:szCs w:val="28"/>
        </w:rPr>
        <w:t xml:space="preserve"> </w:t>
      </w:r>
    </w:p>
    <w:p w14:paraId="14F03158" w14:textId="77777777" w:rsidR="009B571C" w:rsidRPr="00AD2050" w:rsidRDefault="009B571C" w:rsidP="009B571C">
      <w:pPr>
        <w:pStyle w:val="ListParagraph"/>
        <w:rPr>
          <w:sz w:val="28"/>
          <w:szCs w:val="28"/>
        </w:rPr>
      </w:pPr>
    </w:p>
    <w:p w14:paraId="5DA1B204" w14:textId="30F12A0E" w:rsidR="009B571C" w:rsidRPr="00130098" w:rsidRDefault="00130098" w:rsidP="00130098">
      <w:pPr>
        <w:rPr>
          <w:sz w:val="28"/>
          <w:szCs w:val="28"/>
        </w:rPr>
      </w:pPr>
      <w:r w:rsidRPr="008B5926">
        <w:rPr>
          <w:sz w:val="28"/>
          <w:szCs w:val="28"/>
        </w:rPr>
        <w:t>[23]</w:t>
      </w:r>
      <w:r w:rsidRPr="008B5926">
        <w:rPr>
          <w:sz w:val="28"/>
          <w:szCs w:val="28"/>
        </w:rPr>
        <w:tab/>
      </w:r>
      <w:r w:rsidR="009B571C" w:rsidRPr="00130098">
        <w:rPr>
          <w:sz w:val="28"/>
          <w:szCs w:val="28"/>
        </w:rPr>
        <w:t xml:space="preserve">As in </w:t>
      </w:r>
      <w:r w:rsidR="009B571C" w:rsidRPr="00130098">
        <w:rPr>
          <w:i/>
          <w:sz w:val="28"/>
          <w:szCs w:val="28"/>
        </w:rPr>
        <w:t>TWK</w:t>
      </w:r>
      <w:r w:rsidR="009B571C" w:rsidRPr="00130098">
        <w:rPr>
          <w:sz w:val="28"/>
          <w:szCs w:val="28"/>
        </w:rPr>
        <w:t>,</w:t>
      </w:r>
      <w:r w:rsidR="009B571C" w:rsidRPr="00130098">
        <w:rPr>
          <w:i/>
          <w:sz w:val="28"/>
          <w:szCs w:val="28"/>
        </w:rPr>
        <w:t xml:space="preserve"> </w:t>
      </w:r>
      <w:r w:rsidR="009B571C" w:rsidRPr="00130098">
        <w:rPr>
          <w:sz w:val="28"/>
          <w:szCs w:val="28"/>
        </w:rPr>
        <w:t xml:space="preserve">the dismissal of the exception in this case has nothing to do with jurisdiction. At best, it turns on the question of law ‘that [has] nothing to do with the competence of the trial court to </w:t>
      </w:r>
      <w:r w:rsidR="005A14CE" w:rsidRPr="00130098">
        <w:rPr>
          <w:sz w:val="28"/>
          <w:szCs w:val="28"/>
        </w:rPr>
        <w:t>try the action</w:t>
      </w:r>
      <w:r w:rsidR="009B571C" w:rsidRPr="00130098">
        <w:rPr>
          <w:sz w:val="28"/>
          <w:szCs w:val="28"/>
        </w:rPr>
        <w:t>. Rather, the trial court can consider again whether the dismissal of the exception was correct’.</w:t>
      </w:r>
      <w:r w:rsidR="009B571C" w:rsidRPr="008B5926">
        <w:rPr>
          <w:rStyle w:val="FootnoteReference"/>
          <w:sz w:val="28"/>
          <w:szCs w:val="28"/>
        </w:rPr>
        <w:footnoteReference w:id="16"/>
      </w:r>
      <w:r w:rsidR="009B571C" w:rsidRPr="00130098">
        <w:rPr>
          <w:sz w:val="28"/>
          <w:szCs w:val="28"/>
        </w:rPr>
        <w:t xml:space="preserve"> </w:t>
      </w:r>
    </w:p>
    <w:p w14:paraId="1F37345F" w14:textId="77777777" w:rsidR="005A14CE" w:rsidRPr="00AD2050" w:rsidRDefault="005A14CE" w:rsidP="00CA5768">
      <w:pPr>
        <w:pStyle w:val="ListParagraph"/>
        <w:ind w:left="0"/>
        <w:rPr>
          <w:sz w:val="28"/>
          <w:szCs w:val="28"/>
        </w:rPr>
      </w:pPr>
    </w:p>
    <w:p w14:paraId="23E0F016" w14:textId="05961ACC" w:rsidR="00A245F4" w:rsidRPr="00130098" w:rsidRDefault="00130098" w:rsidP="00130098">
      <w:pPr>
        <w:rPr>
          <w:sz w:val="28"/>
          <w:szCs w:val="28"/>
        </w:rPr>
      </w:pPr>
      <w:r w:rsidRPr="008B5926">
        <w:rPr>
          <w:sz w:val="28"/>
          <w:szCs w:val="28"/>
        </w:rPr>
        <w:t>[24]</w:t>
      </w:r>
      <w:r w:rsidRPr="008B5926">
        <w:rPr>
          <w:sz w:val="28"/>
          <w:szCs w:val="28"/>
        </w:rPr>
        <w:tab/>
      </w:r>
      <w:r w:rsidR="0092340C" w:rsidRPr="00130098">
        <w:rPr>
          <w:sz w:val="28"/>
          <w:szCs w:val="28"/>
        </w:rPr>
        <w:t>Evidence may be required in relation</w:t>
      </w:r>
      <w:r w:rsidR="0069217D" w:rsidRPr="00130098">
        <w:rPr>
          <w:sz w:val="28"/>
          <w:szCs w:val="28"/>
        </w:rPr>
        <w:t xml:space="preserve"> to</w:t>
      </w:r>
      <w:r w:rsidR="0092340C" w:rsidRPr="00130098">
        <w:rPr>
          <w:sz w:val="28"/>
          <w:szCs w:val="28"/>
        </w:rPr>
        <w:t xml:space="preserve"> </w:t>
      </w:r>
      <w:r w:rsidR="00BE69B8" w:rsidRPr="00130098">
        <w:rPr>
          <w:sz w:val="28"/>
          <w:szCs w:val="28"/>
        </w:rPr>
        <w:t xml:space="preserve">what is provided for in the business rescue plan in relation to </w:t>
      </w:r>
      <w:r w:rsidR="001504E5" w:rsidRPr="00130098">
        <w:rPr>
          <w:sz w:val="28"/>
          <w:szCs w:val="28"/>
        </w:rPr>
        <w:t>Timelink</w:t>
      </w:r>
      <w:r w:rsidR="00BE69B8" w:rsidRPr="00130098">
        <w:rPr>
          <w:sz w:val="28"/>
          <w:szCs w:val="28"/>
        </w:rPr>
        <w:t>’s claim, taking into account the provisions of s</w:t>
      </w:r>
      <w:r w:rsidR="00FE7CC9" w:rsidRPr="00130098">
        <w:rPr>
          <w:sz w:val="28"/>
          <w:szCs w:val="28"/>
        </w:rPr>
        <w:t> </w:t>
      </w:r>
      <w:r w:rsidR="00BE69B8" w:rsidRPr="00130098">
        <w:rPr>
          <w:sz w:val="28"/>
          <w:szCs w:val="28"/>
        </w:rPr>
        <w:t>154(2) of the Act. Facts surrounding its alleged non-participation</w:t>
      </w:r>
      <w:r w:rsidR="00A245F4" w:rsidRPr="00130098">
        <w:rPr>
          <w:sz w:val="28"/>
          <w:szCs w:val="28"/>
        </w:rPr>
        <w:t xml:space="preserve"> in the business rescue proceedings</w:t>
      </w:r>
      <w:r w:rsidR="00BE69B8" w:rsidRPr="00130098">
        <w:rPr>
          <w:sz w:val="28"/>
          <w:szCs w:val="28"/>
        </w:rPr>
        <w:t xml:space="preserve"> may, among other issues</w:t>
      </w:r>
      <w:r w:rsidR="00300510" w:rsidRPr="00130098">
        <w:rPr>
          <w:sz w:val="28"/>
          <w:szCs w:val="28"/>
        </w:rPr>
        <w:t>,</w:t>
      </w:r>
      <w:r w:rsidR="00BE69B8" w:rsidRPr="00130098">
        <w:rPr>
          <w:sz w:val="28"/>
          <w:szCs w:val="28"/>
        </w:rPr>
        <w:t xml:space="preserve"> </w:t>
      </w:r>
      <w:r w:rsidR="00300510" w:rsidRPr="00130098">
        <w:rPr>
          <w:sz w:val="28"/>
          <w:szCs w:val="28"/>
        </w:rPr>
        <w:t xml:space="preserve">also </w:t>
      </w:r>
      <w:r w:rsidR="00BE69B8" w:rsidRPr="00130098">
        <w:rPr>
          <w:sz w:val="28"/>
          <w:szCs w:val="28"/>
        </w:rPr>
        <w:t>be relevant.</w:t>
      </w:r>
      <w:r w:rsidR="0092340C" w:rsidRPr="00130098">
        <w:rPr>
          <w:sz w:val="28"/>
          <w:szCs w:val="28"/>
        </w:rPr>
        <w:t xml:space="preserve"> All these matters should be decided with finality at the trial. </w:t>
      </w:r>
      <w:r w:rsidR="00A245F4" w:rsidRPr="00130098">
        <w:rPr>
          <w:sz w:val="28"/>
          <w:szCs w:val="28"/>
        </w:rPr>
        <w:t>Given the findings on appealability, it is not necessary to decide whether the exception is good in law or not.</w:t>
      </w:r>
    </w:p>
    <w:p w14:paraId="07675217" w14:textId="77777777" w:rsidR="00E37960" w:rsidRPr="00AD2050" w:rsidRDefault="00E37960" w:rsidP="00D4788E">
      <w:pPr>
        <w:pStyle w:val="ListParagraph"/>
        <w:rPr>
          <w:sz w:val="28"/>
          <w:szCs w:val="28"/>
        </w:rPr>
      </w:pPr>
    </w:p>
    <w:p w14:paraId="21C4E485" w14:textId="0A729FEA" w:rsidR="0092340C" w:rsidRPr="00130098" w:rsidRDefault="00130098" w:rsidP="00130098">
      <w:pPr>
        <w:rPr>
          <w:sz w:val="28"/>
          <w:szCs w:val="28"/>
        </w:rPr>
      </w:pPr>
      <w:r w:rsidRPr="008B5926">
        <w:rPr>
          <w:sz w:val="28"/>
          <w:szCs w:val="28"/>
        </w:rPr>
        <w:t>[25]</w:t>
      </w:r>
      <w:r w:rsidRPr="008B5926">
        <w:rPr>
          <w:sz w:val="28"/>
          <w:szCs w:val="28"/>
        </w:rPr>
        <w:tab/>
      </w:r>
      <w:r w:rsidR="00C42F50" w:rsidRPr="00130098">
        <w:rPr>
          <w:sz w:val="28"/>
          <w:szCs w:val="28"/>
        </w:rPr>
        <w:t xml:space="preserve">In the end, counsel for </w:t>
      </w:r>
      <w:bookmarkStart w:id="2" w:name="_Hlk151043846"/>
      <w:r w:rsidR="00FD4739" w:rsidRPr="00130098">
        <w:rPr>
          <w:sz w:val="28"/>
          <w:szCs w:val="28"/>
        </w:rPr>
        <w:t>Cibapac</w:t>
      </w:r>
      <w:bookmarkEnd w:id="2"/>
      <w:r w:rsidR="00FD4739" w:rsidRPr="00130098">
        <w:rPr>
          <w:sz w:val="28"/>
          <w:szCs w:val="28"/>
        </w:rPr>
        <w:t xml:space="preserve"> </w:t>
      </w:r>
      <w:r w:rsidR="00C42F50" w:rsidRPr="00130098">
        <w:rPr>
          <w:sz w:val="28"/>
          <w:szCs w:val="28"/>
        </w:rPr>
        <w:t xml:space="preserve">submitted that </w:t>
      </w:r>
      <w:r w:rsidR="0084422E" w:rsidRPr="00130098">
        <w:rPr>
          <w:sz w:val="28"/>
          <w:szCs w:val="28"/>
        </w:rPr>
        <w:t xml:space="preserve">Cibapac </w:t>
      </w:r>
      <w:r w:rsidR="00C42F50" w:rsidRPr="00130098">
        <w:rPr>
          <w:sz w:val="28"/>
          <w:szCs w:val="28"/>
        </w:rPr>
        <w:t xml:space="preserve">is </w:t>
      </w:r>
      <w:r w:rsidR="0092340C" w:rsidRPr="00130098">
        <w:rPr>
          <w:sz w:val="28"/>
          <w:szCs w:val="28"/>
        </w:rPr>
        <w:t xml:space="preserve">not seeking the dismissal of the action, but for </w:t>
      </w:r>
      <w:bookmarkStart w:id="3" w:name="_Hlk151045745"/>
      <w:r w:rsidR="0084422E" w:rsidRPr="00130098">
        <w:rPr>
          <w:sz w:val="28"/>
          <w:szCs w:val="28"/>
        </w:rPr>
        <w:t>Timelink</w:t>
      </w:r>
      <w:bookmarkEnd w:id="3"/>
      <w:r w:rsidR="0084422E" w:rsidRPr="00130098">
        <w:rPr>
          <w:sz w:val="28"/>
          <w:szCs w:val="28"/>
        </w:rPr>
        <w:t xml:space="preserve"> </w:t>
      </w:r>
      <w:r w:rsidR="0092340C" w:rsidRPr="00130098">
        <w:rPr>
          <w:sz w:val="28"/>
          <w:szCs w:val="28"/>
        </w:rPr>
        <w:t>to be afforded an opportunity to amend its particulars of claim. This is a further indication that the dismissal of the exception did not finally dispose of the issue between the parties</w:t>
      </w:r>
      <w:r w:rsidR="006D249F" w:rsidRPr="00130098">
        <w:rPr>
          <w:sz w:val="28"/>
          <w:szCs w:val="28"/>
        </w:rPr>
        <w:t xml:space="preserve"> and confirms the fact that the high court has jurisdiction over the matter</w:t>
      </w:r>
      <w:r w:rsidR="0092340C" w:rsidRPr="00130098">
        <w:rPr>
          <w:sz w:val="28"/>
          <w:szCs w:val="28"/>
        </w:rPr>
        <w:t>.</w:t>
      </w:r>
    </w:p>
    <w:p w14:paraId="197F8395" w14:textId="77777777" w:rsidR="007A7EAB" w:rsidRPr="00AD2050" w:rsidRDefault="007A7EAB" w:rsidP="00D4788E">
      <w:pPr>
        <w:pStyle w:val="ListParagraph"/>
        <w:rPr>
          <w:sz w:val="28"/>
          <w:szCs w:val="28"/>
        </w:rPr>
      </w:pPr>
    </w:p>
    <w:p w14:paraId="4BE7A69F" w14:textId="36AE4BC4" w:rsidR="00C91422" w:rsidRPr="00130098" w:rsidRDefault="00130098" w:rsidP="00130098">
      <w:pPr>
        <w:rPr>
          <w:sz w:val="28"/>
          <w:szCs w:val="28"/>
        </w:rPr>
      </w:pPr>
      <w:r w:rsidRPr="00AD2050">
        <w:rPr>
          <w:sz w:val="28"/>
          <w:szCs w:val="28"/>
        </w:rPr>
        <w:t>[26]</w:t>
      </w:r>
      <w:r w:rsidRPr="00AD2050">
        <w:rPr>
          <w:sz w:val="28"/>
          <w:szCs w:val="28"/>
        </w:rPr>
        <w:tab/>
      </w:r>
      <w:r w:rsidR="0092340C" w:rsidRPr="00130098">
        <w:rPr>
          <w:sz w:val="28"/>
          <w:szCs w:val="28"/>
        </w:rPr>
        <w:t xml:space="preserve">In light of </w:t>
      </w:r>
      <w:r w:rsidR="00904765" w:rsidRPr="00130098">
        <w:rPr>
          <w:sz w:val="28"/>
          <w:szCs w:val="28"/>
        </w:rPr>
        <w:t>the order of the high court not meet</w:t>
      </w:r>
      <w:r w:rsidR="0092340C" w:rsidRPr="00130098">
        <w:rPr>
          <w:sz w:val="28"/>
          <w:szCs w:val="28"/>
        </w:rPr>
        <w:t>ing</w:t>
      </w:r>
      <w:r w:rsidR="00904765" w:rsidRPr="00130098">
        <w:rPr>
          <w:sz w:val="28"/>
          <w:szCs w:val="28"/>
        </w:rPr>
        <w:t xml:space="preserve"> the requirements of appealability</w:t>
      </w:r>
      <w:r w:rsidR="0092340C" w:rsidRPr="00130098">
        <w:rPr>
          <w:sz w:val="28"/>
          <w:szCs w:val="28"/>
        </w:rPr>
        <w:t>,</w:t>
      </w:r>
      <w:r w:rsidR="00904765" w:rsidRPr="00130098">
        <w:rPr>
          <w:sz w:val="28"/>
          <w:szCs w:val="28"/>
        </w:rPr>
        <w:t xml:space="preserve"> the appeal </w:t>
      </w:r>
      <w:r w:rsidR="00300510" w:rsidRPr="00130098">
        <w:rPr>
          <w:sz w:val="28"/>
          <w:szCs w:val="28"/>
        </w:rPr>
        <w:t>must</w:t>
      </w:r>
      <w:r w:rsidR="0092340C" w:rsidRPr="00130098">
        <w:rPr>
          <w:sz w:val="28"/>
          <w:szCs w:val="28"/>
        </w:rPr>
        <w:t xml:space="preserve"> </w:t>
      </w:r>
      <w:r w:rsidR="00904765" w:rsidRPr="00130098">
        <w:rPr>
          <w:sz w:val="28"/>
          <w:szCs w:val="28"/>
        </w:rPr>
        <w:t>be struck from the roll, with cost</w:t>
      </w:r>
      <w:r w:rsidR="003960F0" w:rsidRPr="00130098">
        <w:rPr>
          <w:sz w:val="28"/>
          <w:szCs w:val="28"/>
        </w:rPr>
        <w:t xml:space="preserve">s following </w:t>
      </w:r>
      <w:r w:rsidR="00904765" w:rsidRPr="00130098">
        <w:rPr>
          <w:sz w:val="28"/>
          <w:szCs w:val="28"/>
        </w:rPr>
        <w:t>the result.</w:t>
      </w:r>
    </w:p>
    <w:p w14:paraId="10F00425" w14:textId="77777777" w:rsidR="001B17B6" w:rsidRPr="00AD2050" w:rsidRDefault="001B17B6" w:rsidP="00D4788E">
      <w:pPr>
        <w:pStyle w:val="ListParagraph"/>
        <w:rPr>
          <w:sz w:val="28"/>
          <w:szCs w:val="28"/>
        </w:rPr>
      </w:pPr>
    </w:p>
    <w:p w14:paraId="62DBC5DF" w14:textId="01CFF172" w:rsidR="001B17B6" w:rsidRPr="00130098" w:rsidRDefault="00130098" w:rsidP="00130098">
      <w:pPr>
        <w:ind w:left="360" w:hanging="360"/>
        <w:rPr>
          <w:sz w:val="28"/>
          <w:szCs w:val="28"/>
        </w:rPr>
      </w:pPr>
      <w:r w:rsidRPr="00AD2050">
        <w:rPr>
          <w:sz w:val="28"/>
          <w:szCs w:val="28"/>
        </w:rPr>
        <w:t>[27]</w:t>
      </w:r>
      <w:r w:rsidRPr="00AD2050">
        <w:rPr>
          <w:sz w:val="28"/>
          <w:szCs w:val="28"/>
        </w:rPr>
        <w:tab/>
      </w:r>
      <w:r w:rsidR="005A14CE" w:rsidRPr="00130098">
        <w:rPr>
          <w:sz w:val="28"/>
          <w:szCs w:val="28"/>
        </w:rPr>
        <w:t>The</w:t>
      </w:r>
      <w:r w:rsidR="00FF4B3B" w:rsidRPr="00130098">
        <w:rPr>
          <w:sz w:val="28"/>
          <w:szCs w:val="28"/>
        </w:rPr>
        <w:t xml:space="preserve"> </w:t>
      </w:r>
      <w:r w:rsidR="00904765" w:rsidRPr="00130098">
        <w:rPr>
          <w:sz w:val="28"/>
          <w:szCs w:val="28"/>
        </w:rPr>
        <w:t>following order</w:t>
      </w:r>
      <w:r w:rsidR="00FF4B3B" w:rsidRPr="00130098">
        <w:rPr>
          <w:sz w:val="28"/>
          <w:szCs w:val="28"/>
        </w:rPr>
        <w:t xml:space="preserve"> is made</w:t>
      </w:r>
      <w:r w:rsidR="00904765" w:rsidRPr="00130098">
        <w:rPr>
          <w:sz w:val="28"/>
          <w:szCs w:val="28"/>
        </w:rPr>
        <w:t>:</w:t>
      </w:r>
    </w:p>
    <w:p w14:paraId="2442F253" w14:textId="77777777" w:rsidR="008D7F8C" w:rsidRPr="00AD2050" w:rsidRDefault="00904765" w:rsidP="00D4788E">
      <w:pPr>
        <w:rPr>
          <w:sz w:val="28"/>
          <w:szCs w:val="28"/>
        </w:rPr>
      </w:pPr>
      <w:r w:rsidRPr="00AD2050">
        <w:rPr>
          <w:sz w:val="28"/>
          <w:szCs w:val="28"/>
        </w:rPr>
        <w:t xml:space="preserve">The appeal </w:t>
      </w:r>
      <w:r w:rsidR="005A6F03" w:rsidRPr="00AD2050">
        <w:rPr>
          <w:sz w:val="28"/>
          <w:szCs w:val="28"/>
        </w:rPr>
        <w:t xml:space="preserve">is </w:t>
      </w:r>
      <w:r w:rsidRPr="00AD2050">
        <w:rPr>
          <w:sz w:val="28"/>
          <w:szCs w:val="28"/>
        </w:rPr>
        <w:t>struck from the roll, with costs.</w:t>
      </w:r>
    </w:p>
    <w:p w14:paraId="37572CB9" w14:textId="77777777" w:rsidR="008D7F8C" w:rsidRPr="00AD2050" w:rsidRDefault="008D7F8C" w:rsidP="00D4788E">
      <w:pPr>
        <w:rPr>
          <w:sz w:val="28"/>
          <w:szCs w:val="28"/>
        </w:rPr>
      </w:pPr>
    </w:p>
    <w:p w14:paraId="265B957E" w14:textId="77777777" w:rsidR="002A0818" w:rsidRPr="00AD2050" w:rsidRDefault="008D7F8C" w:rsidP="00D4788E">
      <w:pPr>
        <w:rPr>
          <w:sz w:val="28"/>
          <w:szCs w:val="28"/>
        </w:rPr>
      </w:pPr>
      <w:r w:rsidRPr="00AD2050">
        <w:rPr>
          <w:sz w:val="28"/>
          <w:szCs w:val="28"/>
        </w:rPr>
        <w:lastRenderedPageBreak/>
        <w:t xml:space="preserve"> </w:t>
      </w:r>
    </w:p>
    <w:p w14:paraId="2282C5E9" w14:textId="77777777" w:rsidR="0020238A" w:rsidRPr="00AD2050" w:rsidRDefault="0020238A" w:rsidP="00D4788E">
      <w:pPr>
        <w:ind w:firstLine="4860"/>
        <w:rPr>
          <w:sz w:val="28"/>
          <w:szCs w:val="28"/>
        </w:rPr>
      </w:pPr>
    </w:p>
    <w:p w14:paraId="0DEF4BE5" w14:textId="77777777" w:rsidR="0020238A" w:rsidRPr="00AD2050" w:rsidRDefault="0020238A" w:rsidP="00D4788E">
      <w:pPr>
        <w:ind w:firstLine="4860"/>
        <w:rPr>
          <w:sz w:val="28"/>
          <w:szCs w:val="28"/>
        </w:rPr>
      </w:pPr>
    </w:p>
    <w:p w14:paraId="303F5846" w14:textId="77777777" w:rsidR="0020238A" w:rsidRPr="00AD2050" w:rsidRDefault="003960F0" w:rsidP="00D4788E">
      <w:pPr>
        <w:ind w:firstLine="4860"/>
        <w:jc w:val="right"/>
        <w:rPr>
          <w:sz w:val="28"/>
          <w:szCs w:val="28"/>
        </w:rPr>
      </w:pPr>
      <w:r w:rsidRPr="00AD2050">
        <w:rPr>
          <w:sz w:val="28"/>
          <w:szCs w:val="28"/>
        </w:rPr>
        <w:t>__________________________</w:t>
      </w:r>
    </w:p>
    <w:p w14:paraId="092A453B" w14:textId="77777777" w:rsidR="006F696E" w:rsidRPr="00AD2050" w:rsidRDefault="006F696E" w:rsidP="00D4788E">
      <w:pPr>
        <w:ind w:firstLine="4860"/>
        <w:jc w:val="right"/>
        <w:rPr>
          <w:sz w:val="28"/>
          <w:szCs w:val="28"/>
        </w:rPr>
      </w:pPr>
      <w:r w:rsidRPr="00AD2050">
        <w:rPr>
          <w:sz w:val="28"/>
          <w:szCs w:val="28"/>
        </w:rPr>
        <w:t>N P MABINDLA-BOQWANA</w:t>
      </w:r>
    </w:p>
    <w:p w14:paraId="35AEAD12" w14:textId="77777777" w:rsidR="006F696E" w:rsidRPr="00AD2050" w:rsidRDefault="006F696E" w:rsidP="00D4788E">
      <w:pPr>
        <w:ind w:firstLine="4860"/>
        <w:jc w:val="right"/>
        <w:rPr>
          <w:sz w:val="28"/>
          <w:szCs w:val="28"/>
        </w:rPr>
      </w:pPr>
      <w:r w:rsidRPr="00AD2050">
        <w:rPr>
          <w:sz w:val="28"/>
          <w:szCs w:val="28"/>
        </w:rPr>
        <w:t>JUDGE OF APPEAL</w:t>
      </w:r>
    </w:p>
    <w:p w14:paraId="09324DB4" w14:textId="77777777" w:rsidR="00E40624" w:rsidRPr="00AD2050" w:rsidRDefault="00E40624" w:rsidP="00D4788E">
      <w:pPr>
        <w:ind w:firstLine="4860"/>
        <w:rPr>
          <w:sz w:val="28"/>
          <w:szCs w:val="28"/>
        </w:rPr>
      </w:pPr>
    </w:p>
    <w:p w14:paraId="69DBB4C6" w14:textId="77777777" w:rsidR="00E40624" w:rsidRPr="00AD2050" w:rsidRDefault="00E40624" w:rsidP="00D4788E">
      <w:pPr>
        <w:ind w:firstLine="4860"/>
        <w:rPr>
          <w:sz w:val="28"/>
          <w:szCs w:val="28"/>
        </w:rPr>
      </w:pPr>
    </w:p>
    <w:p w14:paraId="2CB30D96" w14:textId="77777777" w:rsidR="006F696E" w:rsidRPr="00AD2050" w:rsidRDefault="006F696E" w:rsidP="00D4788E">
      <w:pPr>
        <w:rPr>
          <w:sz w:val="28"/>
          <w:szCs w:val="28"/>
        </w:rPr>
      </w:pPr>
      <w:r w:rsidRPr="00AD2050">
        <w:rPr>
          <w:sz w:val="28"/>
          <w:szCs w:val="28"/>
        </w:rPr>
        <w:br w:type="page"/>
      </w:r>
      <w:r w:rsidRPr="00AD2050">
        <w:rPr>
          <w:sz w:val="28"/>
          <w:szCs w:val="28"/>
        </w:rPr>
        <w:lastRenderedPageBreak/>
        <w:t>Appearances</w:t>
      </w:r>
    </w:p>
    <w:p w14:paraId="6C1CFE6B" w14:textId="77777777" w:rsidR="006F696E" w:rsidRPr="00AD2050" w:rsidRDefault="006F696E" w:rsidP="00D4788E">
      <w:pPr>
        <w:rPr>
          <w:sz w:val="28"/>
          <w:szCs w:val="28"/>
        </w:rPr>
      </w:pPr>
    </w:p>
    <w:p w14:paraId="2F59414A" w14:textId="77777777" w:rsidR="006F696E" w:rsidRPr="00AD2050" w:rsidRDefault="006F696E" w:rsidP="00D4788E">
      <w:pPr>
        <w:rPr>
          <w:sz w:val="28"/>
          <w:szCs w:val="28"/>
        </w:rPr>
      </w:pPr>
      <w:r w:rsidRPr="00AD2050">
        <w:rPr>
          <w:sz w:val="28"/>
          <w:szCs w:val="28"/>
        </w:rPr>
        <w:t xml:space="preserve">For the appellant: </w:t>
      </w:r>
      <w:r w:rsidRPr="00AD2050">
        <w:rPr>
          <w:sz w:val="28"/>
          <w:szCs w:val="28"/>
        </w:rPr>
        <w:tab/>
      </w:r>
      <w:r w:rsidRPr="00AD2050">
        <w:rPr>
          <w:sz w:val="28"/>
          <w:szCs w:val="28"/>
        </w:rPr>
        <w:tab/>
      </w:r>
      <w:r w:rsidR="00AA6926" w:rsidRPr="00AD2050">
        <w:rPr>
          <w:sz w:val="28"/>
          <w:szCs w:val="28"/>
        </w:rPr>
        <w:t>L</w:t>
      </w:r>
      <w:r w:rsidR="00D4788E" w:rsidRPr="00AD2050">
        <w:rPr>
          <w:sz w:val="28"/>
          <w:szCs w:val="28"/>
        </w:rPr>
        <w:t xml:space="preserve"> </w:t>
      </w:r>
      <w:r w:rsidR="00AA6926" w:rsidRPr="00AD2050">
        <w:rPr>
          <w:sz w:val="28"/>
          <w:szCs w:val="28"/>
        </w:rPr>
        <w:t>E Combrink</w:t>
      </w:r>
      <w:r w:rsidR="008562C5" w:rsidRPr="00AD2050">
        <w:rPr>
          <w:sz w:val="28"/>
          <w:szCs w:val="28"/>
        </w:rPr>
        <w:t xml:space="preserve"> SC </w:t>
      </w:r>
      <w:r w:rsidR="00A245F4" w:rsidRPr="00AD2050">
        <w:rPr>
          <w:sz w:val="28"/>
          <w:szCs w:val="28"/>
        </w:rPr>
        <w:t>with</w:t>
      </w:r>
      <w:r w:rsidR="00BF416D" w:rsidRPr="008B5926">
        <w:rPr>
          <w:sz w:val="28"/>
          <w:szCs w:val="28"/>
        </w:rPr>
        <w:t xml:space="preserve"> </w:t>
      </w:r>
      <w:r w:rsidR="008562C5" w:rsidRPr="008B5926">
        <w:rPr>
          <w:sz w:val="28"/>
          <w:szCs w:val="28"/>
        </w:rPr>
        <w:t>W</w:t>
      </w:r>
      <w:r w:rsidR="00BF416D" w:rsidRPr="008B5926">
        <w:rPr>
          <w:sz w:val="28"/>
          <w:szCs w:val="28"/>
        </w:rPr>
        <w:t xml:space="preserve"> </w:t>
      </w:r>
      <w:r w:rsidR="008562C5" w:rsidRPr="00AD2050">
        <w:rPr>
          <w:sz w:val="28"/>
          <w:szCs w:val="28"/>
        </w:rPr>
        <w:t xml:space="preserve">J Pietersen </w:t>
      </w:r>
      <w:r w:rsidRPr="00AD2050">
        <w:rPr>
          <w:sz w:val="28"/>
          <w:szCs w:val="28"/>
        </w:rPr>
        <w:tab/>
      </w:r>
      <w:r w:rsidRPr="00AD2050">
        <w:rPr>
          <w:sz w:val="28"/>
          <w:szCs w:val="28"/>
        </w:rPr>
        <w:tab/>
        <w:t xml:space="preserve"> </w:t>
      </w:r>
    </w:p>
    <w:p w14:paraId="0E2A7573" w14:textId="77777777" w:rsidR="006F696E" w:rsidRPr="00AD2050" w:rsidRDefault="006F696E" w:rsidP="00D4788E">
      <w:pPr>
        <w:rPr>
          <w:bCs/>
          <w:sz w:val="28"/>
          <w:szCs w:val="28"/>
        </w:rPr>
      </w:pPr>
      <w:r w:rsidRPr="00AD2050">
        <w:rPr>
          <w:bCs/>
          <w:sz w:val="28"/>
          <w:szCs w:val="28"/>
        </w:rPr>
        <w:t>Instructed by:</w:t>
      </w:r>
      <w:r w:rsidRPr="00AD2050">
        <w:rPr>
          <w:bCs/>
          <w:sz w:val="28"/>
          <w:szCs w:val="28"/>
        </w:rPr>
        <w:tab/>
      </w:r>
      <w:r w:rsidRPr="00AD2050">
        <w:rPr>
          <w:bCs/>
          <w:sz w:val="28"/>
          <w:szCs w:val="28"/>
        </w:rPr>
        <w:tab/>
      </w:r>
      <w:r w:rsidR="00DB562D" w:rsidRPr="00AD2050">
        <w:rPr>
          <w:bCs/>
          <w:sz w:val="28"/>
          <w:szCs w:val="28"/>
        </w:rPr>
        <w:t>Venns Attorneys, Pie</w:t>
      </w:r>
      <w:r w:rsidR="00BF416D" w:rsidRPr="00AD2050">
        <w:rPr>
          <w:bCs/>
          <w:sz w:val="28"/>
          <w:szCs w:val="28"/>
        </w:rPr>
        <w:t>te</w:t>
      </w:r>
      <w:r w:rsidR="00DB562D" w:rsidRPr="00AD2050">
        <w:rPr>
          <w:bCs/>
          <w:sz w:val="28"/>
          <w:szCs w:val="28"/>
        </w:rPr>
        <w:t>rmaritzburg</w:t>
      </w:r>
      <w:r w:rsidRPr="00AD2050">
        <w:rPr>
          <w:bCs/>
          <w:sz w:val="28"/>
          <w:szCs w:val="28"/>
        </w:rPr>
        <w:tab/>
      </w:r>
      <w:r w:rsidRPr="00AD2050">
        <w:rPr>
          <w:bCs/>
          <w:sz w:val="28"/>
          <w:szCs w:val="28"/>
        </w:rPr>
        <w:tab/>
      </w:r>
    </w:p>
    <w:p w14:paraId="0DE86DC9" w14:textId="77777777" w:rsidR="00D10772" w:rsidRPr="00AD2050" w:rsidRDefault="00DB562D" w:rsidP="00D4788E">
      <w:pPr>
        <w:rPr>
          <w:bCs/>
          <w:sz w:val="28"/>
          <w:szCs w:val="28"/>
        </w:rPr>
      </w:pPr>
      <w:r w:rsidRPr="00AD2050">
        <w:rPr>
          <w:bCs/>
          <w:sz w:val="28"/>
          <w:szCs w:val="28"/>
        </w:rPr>
        <w:t xml:space="preserve">                                          Honey Attor</w:t>
      </w:r>
      <w:r w:rsidR="00D10772" w:rsidRPr="00AD2050">
        <w:rPr>
          <w:bCs/>
          <w:sz w:val="28"/>
          <w:szCs w:val="28"/>
        </w:rPr>
        <w:t>neys, Bloemfontein</w:t>
      </w:r>
    </w:p>
    <w:p w14:paraId="28C8638E" w14:textId="77777777" w:rsidR="006F696E" w:rsidRPr="00AD2050" w:rsidRDefault="00DB562D" w:rsidP="00D4788E">
      <w:pPr>
        <w:rPr>
          <w:bCs/>
          <w:sz w:val="28"/>
          <w:szCs w:val="28"/>
        </w:rPr>
      </w:pPr>
      <w:r w:rsidRPr="00AD2050">
        <w:rPr>
          <w:bCs/>
          <w:sz w:val="28"/>
          <w:szCs w:val="28"/>
        </w:rPr>
        <w:t xml:space="preserve"> </w:t>
      </w:r>
    </w:p>
    <w:p w14:paraId="2AA00685" w14:textId="77777777" w:rsidR="006F696E" w:rsidRPr="00AD2050" w:rsidRDefault="006F696E" w:rsidP="00D4788E">
      <w:pPr>
        <w:rPr>
          <w:sz w:val="28"/>
          <w:szCs w:val="28"/>
        </w:rPr>
      </w:pPr>
      <w:r w:rsidRPr="00AD2050">
        <w:rPr>
          <w:sz w:val="28"/>
          <w:szCs w:val="28"/>
        </w:rPr>
        <w:t xml:space="preserve">For </w:t>
      </w:r>
      <w:r w:rsidR="00C97AF7" w:rsidRPr="00AD2050">
        <w:rPr>
          <w:sz w:val="28"/>
          <w:szCs w:val="28"/>
        </w:rPr>
        <w:t xml:space="preserve">the </w:t>
      </w:r>
      <w:r w:rsidRPr="00AD2050">
        <w:rPr>
          <w:sz w:val="28"/>
          <w:szCs w:val="28"/>
        </w:rPr>
        <w:t>responden</w:t>
      </w:r>
      <w:r w:rsidR="00B9418E" w:rsidRPr="00AD2050">
        <w:rPr>
          <w:sz w:val="28"/>
          <w:szCs w:val="28"/>
        </w:rPr>
        <w:t>t</w:t>
      </w:r>
      <w:r w:rsidRPr="00AD2050">
        <w:rPr>
          <w:sz w:val="28"/>
          <w:szCs w:val="28"/>
        </w:rPr>
        <w:t>:</w:t>
      </w:r>
      <w:r w:rsidRPr="00AD2050">
        <w:rPr>
          <w:sz w:val="28"/>
          <w:szCs w:val="28"/>
        </w:rPr>
        <w:tab/>
      </w:r>
      <w:r w:rsidR="003960F0" w:rsidRPr="00AD2050">
        <w:rPr>
          <w:sz w:val="28"/>
          <w:szCs w:val="28"/>
        </w:rPr>
        <w:t>K Gounden</w:t>
      </w:r>
    </w:p>
    <w:p w14:paraId="5826DE2D" w14:textId="77777777" w:rsidR="006F696E" w:rsidRPr="00AD2050" w:rsidRDefault="006F696E" w:rsidP="00D4788E">
      <w:pPr>
        <w:rPr>
          <w:sz w:val="28"/>
          <w:szCs w:val="28"/>
        </w:rPr>
      </w:pPr>
      <w:r w:rsidRPr="00AD2050">
        <w:rPr>
          <w:bCs/>
          <w:sz w:val="28"/>
          <w:szCs w:val="28"/>
        </w:rPr>
        <w:t>Instructed by:</w:t>
      </w:r>
      <w:r w:rsidRPr="00AD2050">
        <w:rPr>
          <w:bCs/>
          <w:sz w:val="28"/>
          <w:szCs w:val="28"/>
        </w:rPr>
        <w:tab/>
      </w:r>
      <w:r w:rsidRPr="00AD2050">
        <w:rPr>
          <w:bCs/>
          <w:sz w:val="28"/>
          <w:szCs w:val="28"/>
        </w:rPr>
        <w:tab/>
      </w:r>
      <w:r w:rsidR="003960F0" w:rsidRPr="00AD2050">
        <w:rPr>
          <w:bCs/>
          <w:sz w:val="28"/>
          <w:szCs w:val="28"/>
        </w:rPr>
        <w:t>La</w:t>
      </w:r>
      <w:r w:rsidR="00BF416D" w:rsidRPr="00AD2050">
        <w:rPr>
          <w:bCs/>
          <w:sz w:val="28"/>
          <w:szCs w:val="28"/>
        </w:rPr>
        <w:t>rson Falconer Hassan Parsee Inc</w:t>
      </w:r>
      <w:r w:rsidR="003960F0" w:rsidRPr="00AD2050">
        <w:rPr>
          <w:bCs/>
          <w:sz w:val="28"/>
          <w:szCs w:val="28"/>
        </w:rPr>
        <w:t>, Dur</w:t>
      </w:r>
      <w:r w:rsidR="0063081D" w:rsidRPr="00AD2050">
        <w:rPr>
          <w:bCs/>
          <w:sz w:val="28"/>
          <w:szCs w:val="28"/>
        </w:rPr>
        <w:t>ban</w:t>
      </w:r>
      <w:r w:rsidRPr="00AD2050">
        <w:rPr>
          <w:bCs/>
          <w:sz w:val="28"/>
          <w:szCs w:val="28"/>
        </w:rPr>
        <w:tab/>
      </w:r>
      <w:r w:rsidRPr="00AD2050">
        <w:rPr>
          <w:bCs/>
          <w:sz w:val="28"/>
          <w:szCs w:val="28"/>
        </w:rPr>
        <w:tab/>
      </w:r>
    </w:p>
    <w:p w14:paraId="66265796" w14:textId="77777777" w:rsidR="006F696E" w:rsidRPr="00D4788E" w:rsidRDefault="0063081D" w:rsidP="00D4788E">
      <w:pPr>
        <w:rPr>
          <w:sz w:val="28"/>
          <w:szCs w:val="28"/>
        </w:rPr>
      </w:pPr>
      <w:r w:rsidRPr="00AD2050">
        <w:rPr>
          <w:sz w:val="28"/>
          <w:szCs w:val="28"/>
        </w:rPr>
        <w:t xml:space="preserve">                                         H</w:t>
      </w:r>
      <w:r w:rsidR="00BF416D" w:rsidRPr="00AD2050">
        <w:rPr>
          <w:sz w:val="28"/>
          <w:szCs w:val="28"/>
        </w:rPr>
        <w:t>endre Conradie Inc, Bloemfontein</w:t>
      </w:r>
      <w:r w:rsidR="006D249F" w:rsidRPr="00AD2050">
        <w:rPr>
          <w:sz w:val="28"/>
          <w:szCs w:val="28"/>
        </w:rPr>
        <w:t>.</w:t>
      </w:r>
    </w:p>
    <w:p w14:paraId="67FAFD44" w14:textId="77777777" w:rsidR="006F696E" w:rsidRPr="00D4788E" w:rsidRDefault="006F696E" w:rsidP="00D4788E"/>
    <w:sectPr w:rsidR="006F696E" w:rsidRPr="00D4788E" w:rsidSect="00AD500E">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885B" w14:textId="77777777" w:rsidR="00426D55" w:rsidRDefault="00426D55" w:rsidP="006F696E">
      <w:pPr>
        <w:spacing w:line="240" w:lineRule="auto"/>
      </w:pPr>
      <w:r>
        <w:separator/>
      </w:r>
    </w:p>
  </w:endnote>
  <w:endnote w:type="continuationSeparator" w:id="0">
    <w:p w14:paraId="70E3CC4C" w14:textId="77777777" w:rsidR="00426D55" w:rsidRDefault="00426D55" w:rsidP="006F6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B8845" w14:textId="77777777" w:rsidR="00426D55" w:rsidRDefault="00426D55" w:rsidP="006F696E">
      <w:pPr>
        <w:spacing w:line="240" w:lineRule="auto"/>
      </w:pPr>
      <w:r>
        <w:separator/>
      </w:r>
    </w:p>
  </w:footnote>
  <w:footnote w:type="continuationSeparator" w:id="0">
    <w:p w14:paraId="4CF7C39B" w14:textId="77777777" w:rsidR="00426D55" w:rsidRDefault="00426D55" w:rsidP="006F696E">
      <w:pPr>
        <w:spacing w:line="240" w:lineRule="auto"/>
      </w:pPr>
      <w:r>
        <w:continuationSeparator/>
      </w:r>
    </w:p>
  </w:footnote>
  <w:footnote w:id="1">
    <w:p w14:paraId="60C748A9" w14:textId="77777777" w:rsidR="00B60AF9" w:rsidRPr="00231A2E" w:rsidRDefault="00B60AF9" w:rsidP="00B60AF9">
      <w:pPr>
        <w:pStyle w:val="FootnoteText"/>
        <w:spacing w:line="240" w:lineRule="auto"/>
        <w:rPr>
          <w:lang w:val="en-US"/>
        </w:rPr>
      </w:pPr>
      <w:r w:rsidRPr="00231A2E">
        <w:rPr>
          <w:rStyle w:val="FootnoteReference"/>
        </w:rPr>
        <w:footnoteRef/>
      </w:r>
      <w:r w:rsidRPr="00231A2E">
        <w:t xml:space="preserve"> </w:t>
      </w:r>
      <w:r w:rsidRPr="00231A2E">
        <w:rPr>
          <w:i/>
        </w:rPr>
        <w:t>Van Zyl v Auto Commodities (Pty) Ltd</w:t>
      </w:r>
      <w:r w:rsidRPr="00231A2E">
        <w:t xml:space="preserve"> </w:t>
      </w:r>
      <w:r w:rsidRPr="002B1433">
        <w:t>[2021] ZASCA 67; 2021 (5) SA 171 (SCA)</w:t>
      </w:r>
      <w:r>
        <w:t>;</w:t>
      </w:r>
      <w:r w:rsidRPr="002B1433">
        <w:t xml:space="preserve"> </w:t>
      </w:r>
      <w:r w:rsidRPr="00231A2E">
        <w:t xml:space="preserve">[2021] 3 All SA 395 (SCA).   </w:t>
      </w:r>
      <w:r w:rsidRPr="00231A2E">
        <w:rPr>
          <w:sz w:val="28"/>
          <w:szCs w:val="28"/>
        </w:rPr>
        <w:t xml:space="preserve"> </w:t>
      </w:r>
    </w:p>
  </w:footnote>
  <w:footnote w:id="2">
    <w:p w14:paraId="583B6CD6" w14:textId="77777777" w:rsidR="00B60AF9" w:rsidRPr="007F3FCD" w:rsidRDefault="00B60AF9" w:rsidP="00B60AF9">
      <w:pPr>
        <w:pStyle w:val="FootnoteText"/>
        <w:spacing w:line="240" w:lineRule="auto"/>
        <w:rPr>
          <w:lang w:val="en-US"/>
        </w:rPr>
      </w:pPr>
      <w:r w:rsidRPr="007F3FCD">
        <w:rPr>
          <w:rStyle w:val="FootnoteReference"/>
        </w:rPr>
        <w:footnoteRef/>
      </w:r>
      <w:r w:rsidRPr="007F3FCD">
        <w:t xml:space="preserve"> </w:t>
      </w:r>
      <w:r w:rsidRPr="007F3FCD">
        <w:rPr>
          <w:i/>
        </w:rPr>
        <w:t>Maize Board v Tiger Oats Limited and Others</w:t>
      </w:r>
      <w:r w:rsidRPr="007F3FCD">
        <w:t xml:space="preserve"> [2002] 3 All SA 593 (A); 2002 (5) SA 365 (SCA) para 14. </w:t>
      </w:r>
    </w:p>
  </w:footnote>
  <w:footnote w:id="3">
    <w:p w14:paraId="7ACB27BA" w14:textId="77777777" w:rsidR="00B60AF9" w:rsidRPr="008B5926" w:rsidRDefault="00B60AF9" w:rsidP="00B60AF9">
      <w:pPr>
        <w:pStyle w:val="FootnoteText"/>
        <w:spacing w:line="240" w:lineRule="auto"/>
        <w:rPr>
          <w:lang w:val="en-US"/>
        </w:rPr>
      </w:pPr>
      <w:r w:rsidRPr="00AD2050">
        <w:rPr>
          <w:rStyle w:val="FootnoteReference"/>
        </w:rPr>
        <w:footnoteRef/>
      </w:r>
      <w:r w:rsidRPr="00AD2050">
        <w:t xml:space="preserve"> </w:t>
      </w:r>
      <w:r w:rsidRPr="00AD2050">
        <w:rPr>
          <w:i/>
        </w:rPr>
        <w:t xml:space="preserve">TWK Agriculture Holdings (Pty) Ltd v Hoogveld Boerderybeleggings (Pty) Ltd and Others </w:t>
      </w:r>
      <w:r w:rsidRPr="00AD2050">
        <w:t>[2023] ZASCA 63; 2023 (5) SA 163 (SCA) paras 9 and 43.</w:t>
      </w:r>
      <w:r w:rsidRPr="008B5926">
        <w:t xml:space="preserve"> </w:t>
      </w:r>
    </w:p>
  </w:footnote>
  <w:footnote w:id="4">
    <w:p w14:paraId="5EC0108A" w14:textId="77777777" w:rsidR="00306110" w:rsidRDefault="00306110">
      <w:pPr>
        <w:pStyle w:val="FootnoteText"/>
      </w:pPr>
      <w:r w:rsidRPr="008B5926">
        <w:rPr>
          <w:rStyle w:val="FootnoteReference"/>
        </w:rPr>
        <w:footnoteRef/>
      </w:r>
      <w:r w:rsidRPr="008B5926">
        <w:t xml:space="preserve"> </w:t>
      </w:r>
      <w:r w:rsidR="005865AC" w:rsidRPr="008B5926">
        <w:rPr>
          <w:i/>
        </w:rPr>
        <w:t>TWK</w:t>
      </w:r>
      <w:r w:rsidR="005865AC" w:rsidRPr="008B5926">
        <w:t xml:space="preserve"> para</w:t>
      </w:r>
      <w:r w:rsidR="00CA5768" w:rsidRPr="008B5926">
        <w:t>s</w:t>
      </w:r>
      <w:r w:rsidR="005865AC" w:rsidRPr="008B5926">
        <w:t xml:space="preserve"> 10 and 43.</w:t>
      </w:r>
    </w:p>
  </w:footnote>
  <w:footnote w:id="5">
    <w:p w14:paraId="094775A6" w14:textId="77777777" w:rsidR="001A5245" w:rsidRPr="00AD2050" w:rsidRDefault="001A5245" w:rsidP="003459B1">
      <w:pPr>
        <w:pStyle w:val="FootnoteText"/>
        <w:spacing w:line="240" w:lineRule="auto"/>
        <w:rPr>
          <w:lang w:val="en-ZA"/>
        </w:rPr>
      </w:pPr>
      <w:r>
        <w:rPr>
          <w:rStyle w:val="FootnoteReference"/>
        </w:rPr>
        <w:footnoteRef/>
      </w:r>
      <w:r>
        <w:t xml:space="preserve"> </w:t>
      </w:r>
      <w:r w:rsidRPr="00D46856">
        <w:rPr>
          <w:i/>
          <w:lang w:val="en-ZA"/>
        </w:rPr>
        <w:t xml:space="preserve">TWK </w:t>
      </w:r>
      <w:r>
        <w:rPr>
          <w:lang w:val="en-ZA"/>
        </w:rPr>
        <w:t xml:space="preserve">para 43, referring to </w:t>
      </w:r>
      <w:r w:rsidRPr="00231A2E">
        <w:rPr>
          <w:i/>
        </w:rPr>
        <w:t>Maize Board v Tiger Oats Limited and Others</w:t>
      </w:r>
      <w:r w:rsidRPr="00231A2E">
        <w:t xml:space="preserve"> </w:t>
      </w:r>
      <w:r w:rsidRPr="003459B1">
        <w:t xml:space="preserve">[2002] 3 All SA 593 (A); </w:t>
      </w:r>
      <w:r w:rsidRPr="00231A2E">
        <w:t>2002 (5) SA 365 (</w:t>
      </w:r>
      <w:r w:rsidRPr="008B5926">
        <w:t>SCA)</w:t>
      </w:r>
      <w:r w:rsidR="00D41744" w:rsidRPr="00AD2050">
        <w:t>;</w:t>
      </w:r>
      <w:r w:rsidRPr="008B5926">
        <w:t xml:space="preserve"> </w:t>
      </w:r>
      <w:r w:rsidRPr="008B5926">
        <w:rPr>
          <w:i/>
        </w:rPr>
        <w:t>Moch v Nedtravel (Pty) Ltd t/a American Express Travel Service</w:t>
      </w:r>
      <w:r w:rsidRPr="00AD2050">
        <w:t xml:space="preserve"> 1996 (3) SA 1 (A) and </w:t>
      </w:r>
      <w:r w:rsidRPr="00AD2050">
        <w:rPr>
          <w:i/>
        </w:rPr>
        <w:t xml:space="preserve">Zweni v Minister of Law and Order </w:t>
      </w:r>
      <w:r w:rsidRPr="00AD2050">
        <w:t>[1993] 1 All SA 365 (A); 1993 (1) SA 523 (A).</w:t>
      </w:r>
    </w:p>
  </w:footnote>
  <w:footnote w:id="6">
    <w:p w14:paraId="157909EB" w14:textId="77777777" w:rsidR="001A5245" w:rsidRPr="00231A2E" w:rsidRDefault="001A5245" w:rsidP="003459B1">
      <w:pPr>
        <w:pStyle w:val="FootnoteText"/>
        <w:spacing w:line="240" w:lineRule="auto"/>
        <w:rPr>
          <w:lang w:val="en-US"/>
        </w:rPr>
      </w:pPr>
      <w:r w:rsidRPr="00AD2050">
        <w:rPr>
          <w:rStyle w:val="FootnoteReference"/>
        </w:rPr>
        <w:footnoteRef/>
      </w:r>
      <w:r w:rsidRPr="00AD2050">
        <w:t xml:space="preserve"> </w:t>
      </w:r>
      <w:r w:rsidR="00D41744" w:rsidRPr="00AD2050">
        <w:rPr>
          <w:i/>
        </w:rPr>
        <w:t>Moch v Nedtravel (Pty) Ltd t/a American Express Travel Service</w:t>
      </w:r>
      <w:r w:rsidR="00D41744" w:rsidRPr="00AD2050">
        <w:t xml:space="preserve"> 1996 (3) SA 1 (A)</w:t>
      </w:r>
      <w:r w:rsidR="008A393A" w:rsidRPr="00AD2050">
        <w:t>.</w:t>
      </w:r>
    </w:p>
  </w:footnote>
  <w:footnote w:id="7">
    <w:p w14:paraId="5F7E4114"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rPr>
        <w:t>Moch</w:t>
      </w:r>
      <w:r w:rsidRPr="00231A2E" w:rsidDel="00011036">
        <w:rPr>
          <w:lang w:val="en-US"/>
        </w:rPr>
        <w:t xml:space="preserve"> </w:t>
      </w:r>
      <w:r w:rsidRPr="00231A2E">
        <w:rPr>
          <w:lang w:val="en-US"/>
        </w:rPr>
        <w:t>at 10D-G.</w:t>
      </w:r>
    </w:p>
  </w:footnote>
  <w:footnote w:id="8">
    <w:p w14:paraId="09938BC3"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iCs/>
          <w:lang w:val="en-US"/>
        </w:rPr>
        <w:t>Blaauwbosch Diamonds Ltd v Union Government (Minister of Finance)</w:t>
      </w:r>
      <w:r w:rsidRPr="00231A2E">
        <w:rPr>
          <w:lang w:val="en-US"/>
        </w:rPr>
        <w:t xml:space="preserve"> </w:t>
      </w:r>
      <w:r w:rsidRPr="00231A2E">
        <w:rPr>
          <w:bCs/>
          <w:lang w:val="en-US"/>
        </w:rPr>
        <w:t>1915 AD 599</w:t>
      </w:r>
      <w:r w:rsidRPr="00231A2E">
        <w:rPr>
          <w:lang w:val="en-US"/>
        </w:rPr>
        <w:t> at 601.</w:t>
      </w:r>
    </w:p>
  </w:footnote>
  <w:footnote w:id="9">
    <w:p w14:paraId="7C65761A"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rPr>
        <w:t>Baliso v</w:t>
      </w:r>
      <w:r w:rsidRPr="00231A2E">
        <w:rPr>
          <w:i/>
          <w:sz w:val="28"/>
          <w:szCs w:val="28"/>
        </w:rPr>
        <w:t xml:space="preserve"> </w:t>
      </w:r>
      <w:r w:rsidRPr="00231A2E">
        <w:rPr>
          <w:i/>
        </w:rPr>
        <w:t xml:space="preserve">Firstrand Bank Limited t/a Wesbank </w:t>
      </w:r>
      <w:r w:rsidRPr="00231A2E">
        <w:rPr>
          <w:bCs/>
        </w:rPr>
        <w:t>[2016] ZACC 23; 2016 (10) BCLR 1253 (CC); 2017 (1) SA 292 (CC).</w:t>
      </w:r>
    </w:p>
  </w:footnote>
  <w:footnote w:id="10">
    <w:p w14:paraId="5B70C179" w14:textId="77777777" w:rsidR="001A5245" w:rsidRPr="00D46856" w:rsidRDefault="001A5245" w:rsidP="00D46856">
      <w:pPr>
        <w:pStyle w:val="FootnoteText"/>
        <w:spacing w:line="240" w:lineRule="auto"/>
        <w:rPr>
          <w:lang w:val="en-ZA"/>
        </w:rPr>
      </w:pPr>
      <w:r>
        <w:rPr>
          <w:rStyle w:val="FootnoteReference"/>
        </w:rPr>
        <w:footnoteRef/>
      </w:r>
      <w:r>
        <w:t xml:space="preserve"> </w:t>
      </w:r>
      <w:r w:rsidRPr="00231A2E">
        <w:rPr>
          <w:i/>
        </w:rPr>
        <w:t>Baliso</w:t>
      </w:r>
      <w:r>
        <w:rPr>
          <w:lang w:val="en-ZA"/>
        </w:rPr>
        <w:t xml:space="preserve"> para 19.</w:t>
      </w:r>
    </w:p>
  </w:footnote>
  <w:footnote w:id="11">
    <w:p w14:paraId="0FBB2CE1"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rPr>
        <w:t>Zweni v Minister of Law and Order</w:t>
      </w:r>
      <w:r w:rsidRPr="00231A2E">
        <w:t xml:space="preserve"> </w:t>
      </w:r>
      <w:r w:rsidRPr="0097219D">
        <w:t xml:space="preserve">[1993] 1 All SA 365 (A); </w:t>
      </w:r>
      <w:r w:rsidRPr="00231A2E">
        <w:t xml:space="preserve">1993 (1) SA 523 (A). </w:t>
      </w:r>
    </w:p>
  </w:footnote>
  <w:footnote w:id="12">
    <w:p w14:paraId="1AB57920"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rPr>
        <w:t>Baliso</w:t>
      </w:r>
      <w:r w:rsidRPr="00231A2E">
        <w:t xml:space="preserve"> para 20. </w:t>
      </w:r>
    </w:p>
  </w:footnote>
  <w:footnote w:id="13">
    <w:p w14:paraId="3EF47BBE" w14:textId="77777777" w:rsidR="00A15078" w:rsidRPr="00231A2E" w:rsidRDefault="00A15078" w:rsidP="00A15078">
      <w:pPr>
        <w:pStyle w:val="FootnoteText"/>
        <w:spacing w:line="240" w:lineRule="auto"/>
        <w:rPr>
          <w:lang w:val="en-US"/>
        </w:rPr>
      </w:pPr>
      <w:r w:rsidRPr="00231A2E">
        <w:rPr>
          <w:rStyle w:val="FootnoteReference"/>
        </w:rPr>
        <w:footnoteRef/>
      </w:r>
      <w:r w:rsidRPr="00231A2E">
        <w:t xml:space="preserve"> </w:t>
      </w:r>
      <w:r w:rsidRPr="00231A2E">
        <w:rPr>
          <w:i/>
        </w:rPr>
        <w:t>Baliso</w:t>
      </w:r>
      <w:r w:rsidRPr="00231A2E" w:rsidDel="00011036">
        <w:rPr>
          <w:lang w:val="en-US"/>
        </w:rPr>
        <w:t xml:space="preserve"> </w:t>
      </w:r>
      <w:r w:rsidRPr="00231A2E">
        <w:rPr>
          <w:lang w:val="en-US"/>
        </w:rPr>
        <w:t xml:space="preserve">para 68. </w:t>
      </w:r>
    </w:p>
  </w:footnote>
  <w:footnote w:id="14">
    <w:p w14:paraId="443C0DED"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lang w:val="en-US"/>
        </w:rPr>
        <w:t>Baliso</w:t>
      </w:r>
      <w:r w:rsidRPr="00231A2E">
        <w:rPr>
          <w:lang w:val="en-US"/>
        </w:rPr>
        <w:t xml:space="preserve"> </w:t>
      </w:r>
      <w:r w:rsidRPr="00231A2E">
        <w:t xml:space="preserve">para 19. </w:t>
      </w:r>
    </w:p>
  </w:footnote>
  <w:footnote w:id="15">
    <w:p w14:paraId="4EEF1823" w14:textId="77777777" w:rsidR="001A5245" w:rsidRPr="00231A2E" w:rsidRDefault="001A5245" w:rsidP="003459B1">
      <w:pPr>
        <w:pStyle w:val="FootnoteText"/>
        <w:spacing w:line="240" w:lineRule="auto"/>
        <w:rPr>
          <w:lang w:val="en-US"/>
        </w:rPr>
      </w:pPr>
      <w:r w:rsidRPr="00231A2E">
        <w:rPr>
          <w:rStyle w:val="FootnoteReference"/>
        </w:rPr>
        <w:footnoteRef/>
      </w:r>
      <w:r w:rsidRPr="00231A2E">
        <w:t xml:space="preserve"> </w:t>
      </w:r>
      <w:r w:rsidRPr="00231A2E">
        <w:rPr>
          <w:i/>
          <w:lang w:val="en-US"/>
        </w:rPr>
        <w:t>Baliso</w:t>
      </w:r>
      <w:r w:rsidRPr="00231A2E">
        <w:rPr>
          <w:lang w:val="en-US"/>
        </w:rPr>
        <w:t xml:space="preserve"> para 68.</w:t>
      </w:r>
    </w:p>
  </w:footnote>
  <w:footnote w:id="16">
    <w:p w14:paraId="457DC4CA" w14:textId="77777777" w:rsidR="009B571C" w:rsidRPr="00231A2E" w:rsidRDefault="009B571C" w:rsidP="009B571C">
      <w:pPr>
        <w:pStyle w:val="FootnoteText"/>
        <w:spacing w:line="240" w:lineRule="auto"/>
        <w:rPr>
          <w:lang w:val="en-US"/>
        </w:rPr>
      </w:pPr>
      <w:r w:rsidRPr="00231A2E">
        <w:rPr>
          <w:rStyle w:val="FootnoteReference"/>
        </w:rPr>
        <w:footnoteRef/>
      </w:r>
      <w:r w:rsidRPr="00231A2E">
        <w:t xml:space="preserve"> </w:t>
      </w:r>
      <w:r w:rsidRPr="00231A2E">
        <w:rPr>
          <w:i/>
          <w:lang w:val="en-US"/>
        </w:rPr>
        <w:t>TWK</w:t>
      </w:r>
      <w:r w:rsidRPr="00231A2E">
        <w:rPr>
          <w:lang w:val="en-US"/>
        </w:rPr>
        <w:t xml:space="preserve"> para 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0914" w14:textId="77777777" w:rsidR="001A5245" w:rsidRDefault="001A5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A10FE" w14:textId="77777777" w:rsidR="001A5245" w:rsidRDefault="001A524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320924425"/>
      <w:docPartObj>
        <w:docPartGallery w:val="Page Numbers (Top of Page)"/>
        <w:docPartUnique/>
      </w:docPartObj>
    </w:sdtPr>
    <w:sdtEndPr>
      <w:rPr>
        <w:noProof/>
      </w:rPr>
    </w:sdtEndPr>
    <w:sdtContent>
      <w:p w14:paraId="36F2BC35" w14:textId="2341BADA" w:rsidR="001A5245" w:rsidRPr="00CD12AF" w:rsidRDefault="001A5245">
        <w:pPr>
          <w:pStyle w:val="Header"/>
          <w:jc w:val="right"/>
          <w:rPr>
            <w:sz w:val="28"/>
            <w:szCs w:val="28"/>
          </w:rPr>
        </w:pPr>
        <w:r w:rsidRPr="00CD12AF">
          <w:rPr>
            <w:sz w:val="28"/>
            <w:szCs w:val="28"/>
          </w:rPr>
          <w:fldChar w:fldCharType="begin"/>
        </w:r>
        <w:r w:rsidRPr="00CD12AF">
          <w:rPr>
            <w:sz w:val="28"/>
            <w:szCs w:val="28"/>
          </w:rPr>
          <w:instrText xml:space="preserve"> PAGE   \* MERGEFORMAT </w:instrText>
        </w:r>
        <w:r w:rsidRPr="00CD12AF">
          <w:rPr>
            <w:sz w:val="28"/>
            <w:szCs w:val="28"/>
          </w:rPr>
          <w:fldChar w:fldCharType="separate"/>
        </w:r>
        <w:r w:rsidR="00130098">
          <w:rPr>
            <w:noProof/>
            <w:sz w:val="28"/>
            <w:szCs w:val="28"/>
          </w:rPr>
          <w:t>2</w:t>
        </w:r>
        <w:r w:rsidRPr="00CD12AF">
          <w:rPr>
            <w:noProof/>
            <w:sz w:val="28"/>
            <w:szCs w:val="28"/>
          </w:rPr>
          <w:fldChar w:fldCharType="end"/>
        </w:r>
      </w:p>
    </w:sdtContent>
  </w:sdt>
  <w:p w14:paraId="192B16A5" w14:textId="77777777" w:rsidR="001A5245" w:rsidRPr="00CD12AF" w:rsidRDefault="001A5245">
    <w:pPr>
      <w:pStyle w:val="Header"/>
      <w:ind w:right="360"/>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05F7EB61" w14:textId="77777777" w:rsidR="001A5245" w:rsidRDefault="00426D55">
        <w:pPr>
          <w:pStyle w:val="Header"/>
          <w:jc w:val="right"/>
        </w:pPr>
      </w:p>
    </w:sdtContent>
  </w:sdt>
  <w:p w14:paraId="130D8DDB" w14:textId="77777777" w:rsidR="001A5245" w:rsidRDefault="001A52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E6C6B"/>
    <w:multiLevelType w:val="hybridMultilevel"/>
    <w:tmpl w:val="231A217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15:restartNumberingAfterBreak="0">
    <w:nsid w:val="6F3C2221"/>
    <w:multiLevelType w:val="hybridMultilevel"/>
    <w:tmpl w:val="B372C0B8"/>
    <w:lvl w:ilvl="0" w:tplc="4A480734">
      <w:start w:val="1"/>
      <w:numFmt w:val="decimal"/>
      <w:lvlText w:val="[%1]"/>
      <w:lvlJc w:val="left"/>
      <w:pPr>
        <w:ind w:left="360" w:hanging="360"/>
      </w:pPr>
      <w:rPr>
        <w:rFonts w:ascii="Times New Roman" w:hAnsi="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21376"/>
    <w:multiLevelType w:val="hybridMultilevel"/>
    <w:tmpl w:val="FBD82380"/>
    <w:lvl w:ilvl="0" w:tplc="4A480734">
      <w:start w:val="1"/>
      <w:numFmt w:val="decimal"/>
      <w:lvlText w:val="[%1]"/>
      <w:lvlJc w:val="left"/>
      <w:pPr>
        <w:ind w:left="360" w:hanging="360"/>
      </w:pPr>
      <w:rPr>
        <w:rFonts w:ascii="Times New Roman" w:hAnsi="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8AB220-120D-497F-9751-6F57488AA993}"/>
    <w:docVar w:name="dgnword-eventsink" w:val="1463842720528"/>
  </w:docVars>
  <w:rsids>
    <w:rsidRoot w:val="006F696E"/>
    <w:rsid w:val="00011036"/>
    <w:rsid w:val="00014A7C"/>
    <w:rsid w:val="00021496"/>
    <w:rsid w:val="00025DA7"/>
    <w:rsid w:val="00041103"/>
    <w:rsid w:val="0007088E"/>
    <w:rsid w:val="00073C05"/>
    <w:rsid w:val="000854AA"/>
    <w:rsid w:val="0009469A"/>
    <w:rsid w:val="00094A86"/>
    <w:rsid w:val="00097242"/>
    <w:rsid w:val="000A2172"/>
    <w:rsid w:val="000A3393"/>
    <w:rsid w:val="000B088D"/>
    <w:rsid w:val="000B3BA3"/>
    <w:rsid w:val="000B6E84"/>
    <w:rsid w:val="00115EF3"/>
    <w:rsid w:val="00130098"/>
    <w:rsid w:val="001478B6"/>
    <w:rsid w:val="001504E5"/>
    <w:rsid w:val="00156924"/>
    <w:rsid w:val="001616E7"/>
    <w:rsid w:val="00172063"/>
    <w:rsid w:val="00173C50"/>
    <w:rsid w:val="00183033"/>
    <w:rsid w:val="001854F3"/>
    <w:rsid w:val="00187434"/>
    <w:rsid w:val="00193734"/>
    <w:rsid w:val="00195C41"/>
    <w:rsid w:val="001979DD"/>
    <w:rsid w:val="001A5245"/>
    <w:rsid w:val="001B17B6"/>
    <w:rsid w:val="001C2702"/>
    <w:rsid w:val="001C378C"/>
    <w:rsid w:val="001C6859"/>
    <w:rsid w:val="001D4E97"/>
    <w:rsid w:val="001E630A"/>
    <w:rsid w:val="0020238A"/>
    <w:rsid w:val="00203261"/>
    <w:rsid w:val="00206E7C"/>
    <w:rsid w:val="002137C5"/>
    <w:rsid w:val="00217D0D"/>
    <w:rsid w:val="00231A2E"/>
    <w:rsid w:val="00233F07"/>
    <w:rsid w:val="00256027"/>
    <w:rsid w:val="002635D8"/>
    <w:rsid w:val="002A0818"/>
    <w:rsid w:val="002A4DD1"/>
    <w:rsid w:val="002B1433"/>
    <w:rsid w:val="002B2F6A"/>
    <w:rsid w:val="002C3ED6"/>
    <w:rsid w:val="002C4736"/>
    <w:rsid w:val="002E78EF"/>
    <w:rsid w:val="00300510"/>
    <w:rsid w:val="00306110"/>
    <w:rsid w:val="00313E9D"/>
    <w:rsid w:val="00321042"/>
    <w:rsid w:val="003342F1"/>
    <w:rsid w:val="00337AA3"/>
    <w:rsid w:val="003421E5"/>
    <w:rsid w:val="003459B1"/>
    <w:rsid w:val="00345AB0"/>
    <w:rsid w:val="00347DB2"/>
    <w:rsid w:val="00365DF4"/>
    <w:rsid w:val="00373549"/>
    <w:rsid w:val="00377BE0"/>
    <w:rsid w:val="0038200E"/>
    <w:rsid w:val="0038201A"/>
    <w:rsid w:val="003960F0"/>
    <w:rsid w:val="003A1AFD"/>
    <w:rsid w:val="003A3DCE"/>
    <w:rsid w:val="003B4FEE"/>
    <w:rsid w:val="003E3AF6"/>
    <w:rsid w:val="003F5FD4"/>
    <w:rsid w:val="003F693F"/>
    <w:rsid w:val="00410981"/>
    <w:rsid w:val="004235F1"/>
    <w:rsid w:val="00426D55"/>
    <w:rsid w:val="00434DA4"/>
    <w:rsid w:val="00446AEF"/>
    <w:rsid w:val="00454F00"/>
    <w:rsid w:val="00460C3C"/>
    <w:rsid w:val="004618A8"/>
    <w:rsid w:val="00462972"/>
    <w:rsid w:val="004646C7"/>
    <w:rsid w:val="00467A4E"/>
    <w:rsid w:val="004732AB"/>
    <w:rsid w:val="00473378"/>
    <w:rsid w:val="00475302"/>
    <w:rsid w:val="0048260C"/>
    <w:rsid w:val="00484D15"/>
    <w:rsid w:val="00490023"/>
    <w:rsid w:val="004B1D55"/>
    <w:rsid w:val="004B6F4B"/>
    <w:rsid w:val="004B7762"/>
    <w:rsid w:val="004C170D"/>
    <w:rsid w:val="004C2C86"/>
    <w:rsid w:val="004E11D2"/>
    <w:rsid w:val="004F0901"/>
    <w:rsid w:val="005030DE"/>
    <w:rsid w:val="00524091"/>
    <w:rsid w:val="00525B71"/>
    <w:rsid w:val="00526E12"/>
    <w:rsid w:val="00527544"/>
    <w:rsid w:val="005350BC"/>
    <w:rsid w:val="00545C6B"/>
    <w:rsid w:val="00546EBE"/>
    <w:rsid w:val="00557DF3"/>
    <w:rsid w:val="005606C9"/>
    <w:rsid w:val="0056761F"/>
    <w:rsid w:val="005708A6"/>
    <w:rsid w:val="005865AC"/>
    <w:rsid w:val="005929D1"/>
    <w:rsid w:val="005A14CE"/>
    <w:rsid w:val="005A497E"/>
    <w:rsid w:val="005A6043"/>
    <w:rsid w:val="005A6F03"/>
    <w:rsid w:val="005F2F7F"/>
    <w:rsid w:val="005F5947"/>
    <w:rsid w:val="005F78D1"/>
    <w:rsid w:val="00612B9B"/>
    <w:rsid w:val="00614534"/>
    <w:rsid w:val="0063081D"/>
    <w:rsid w:val="006327E4"/>
    <w:rsid w:val="0063319B"/>
    <w:rsid w:val="006339F8"/>
    <w:rsid w:val="00640603"/>
    <w:rsid w:val="00643E75"/>
    <w:rsid w:val="006624DF"/>
    <w:rsid w:val="00671709"/>
    <w:rsid w:val="006827EB"/>
    <w:rsid w:val="00687D40"/>
    <w:rsid w:val="0069217D"/>
    <w:rsid w:val="006A108C"/>
    <w:rsid w:val="006A4104"/>
    <w:rsid w:val="006A5C17"/>
    <w:rsid w:val="006B54F6"/>
    <w:rsid w:val="006C37E0"/>
    <w:rsid w:val="006D249F"/>
    <w:rsid w:val="006D499B"/>
    <w:rsid w:val="006D646B"/>
    <w:rsid w:val="006E562A"/>
    <w:rsid w:val="006F696E"/>
    <w:rsid w:val="006F7FC2"/>
    <w:rsid w:val="007022A5"/>
    <w:rsid w:val="00707D84"/>
    <w:rsid w:val="00733D73"/>
    <w:rsid w:val="00734ED1"/>
    <w:rsid w:val="007365BF"/>
    <w:rsid w:val="0074150D"/>
    <w:rsid w:val="00742BEB"/>
    <w:rsid w:val="00752985"/>
    <w:rsid w:val="00757F29"/>
    <w:rsid w:val="00761A4A"/>
    <w:rsid w:val="007628F7"/>
    <w:rsid w:val="00764714"/>
    <w:rsid w:val="00770100"/>
    <w:rsid w:val="00771D42"/>
    <w:rsid w:val="0079356C"/>
    <w:rsid w:val="007A5F95"/>
    <w:rsid w:val="007A7EAB"/>
    <w:rsid w:val="007B6C6C"/>
    <w:rsid w:val="007D2295"/>
    <w:rsid w:val="007D31EF"/>
    <w:rsid w:val="007F1823"/>
    <w:rsid w:val="007F3FCD"/>
    <w:rsid w:val="007F5BDB"/>
    <w:rsid w:val="00833B6C"/>
    <w:rsid w:val="0083768E"/>
    <w:rsid w:val="00840432"/>
    <w:rsid w:val="0084422E"/>
    <w:rsid w:val="00850555"/>
    <w:rsid w:val="008562C5"/>
    <w:rsid w:val="00860781"/>
    <w:rsid w:val="008732F5"/>
    <w:rsid w:val="00884AC0"/>
    <w:rsid w:val="008A393A"/>
    <w:rsid w:val="008A6B41"/>
    <w:rsid w:val="008B5926"/>
    <w:rsid w:val="008D1FD6"/>
    <w:rsid w:val="008D6A1A"/>
    <w:rsid w:val="008D7F8C"/>
    <w:rsid w:val="008E2488"/>
    <w:rsid w:val="008E40A3"/>
    <w:rsid w:val="008E4719"/>
    <w:rsid w:val="008E7C3B"/>
    <w:rsid w:val="008E7FF8"/>
    <w:rsid w:val="008F0EFB"/>
    <w:rsid w:val="008F39EC"/>
    <w:rsid w:val="00901F80"/>
    <w:rsid w:val="00904765"/>
    <w:rsid w:val="00910AA2"/>
    <w:rsid w:val="009162DF"/>
    <w:rsid w:val="00916D81"/>
    <w:rsid w:val="00922502"/>
    <w:rsid w:val="0092340C"/>
    <w:rsid w:val="00931A29"/>
    <w:rsid w:val="00941A21"/>
    <w:rsid w:val="00950FE4"/>
    <w:rsid w:val="00954EB4"/>
    <w:rsid w:val="009573BD"/>
    <w:rsid w:val="0096114C"/>
    <w:rsid w:val="009618B4"/>
    <w:rsid w:val="00964DE0"/>
    <w:rsid w:val="0097219D"/>
    <w:rsid w:val="00976723"/>
    <w:rsid w:val="0097735B"/>
    <w:rsid w:val="00977460"/>
    <w:rsid w:val="00983DD5"/>
    <w:rsid w:val="009951AE"/>
    <w:rsid w:val="009A469E"/>
    <w:rsid w:val="009A4D51"/>
    <w:rsid w:val="009B1C32"/>
    <w:rsid w:val="009B571C"/>
    <w:rsid w:val="009C682D"/>
    <w:rsid w:val="009D4D24"/>
    <w:rsid w:val="009F0684"/>
    <w:rsid w:val="009F2B60"/>
    <w:rsid w:val="009F2EF1"/>
    <w:rsid w:val="009F5946"/>
    <w:rsid w:val="00A00757"/>
    <w:rsid w:val="00A11503"/>
    <w:rsid w:val="00A14EB5"/>
    <w:rsid w:val="00A15078"/>
    <w:rsid w:val="00A245F4"/>
    <w:rsid w:val="00A50B0B"/>
    <w:rsid w:val="00A55071"/>
    <w:rsid w:val="00A62995"/>
    <w:rsid w:val="00A7118B"/>
    <w:rsid w:val="00A75F55"/>
    <w:rsid w:val="00A90693"/>
    <w:rsid w:val="00A91A3C"/>
    <w:rsid w:val="00A92F34"/>
    <w:rsid w:val="00A96862"/>
    <w:rsid w:val="00AA3DF6"/>
    <w:rsid w:val="00AA5B0F"/>
    <w:rsid w:val="00AA6926"/>
    <w:rsid w:val="00AB441F"/>
    <w:rsid w:val="00AB51B7"/>
    <w:rsid w:val="00AC77D9"/>
    <w:rsid w:val="00AD2050"/>
    <w:rsid w:val="00AD3DAC"/>
    <w:rsid w:val="00AD500E"/>
    <w:rsid w:val="00AE0CC4"/>
    <w:rsid w:val="00AE336C"/>
    <w:rsid w:val="00AE4DAF"/>
    <w:rsid w:val="00AF1278"/>
    <w:rsid w:val="00B051C3"/>
    <w:rsid w:val="00B059C3"/>
    <w:rsid w:val="00B138BB"/>
    <w:rsid w:val="00B3332E"/>
    <w:rsid w:val="00B428BA"/>
    <w:rsid w:val="00B5099B"/>
    <w:rsid w:val="00B549B2"/>
    <w:rsid w:val="00B60AF9"/>
    <w:rsid w:val="00B61618"/>
    <w:rsid w:val="00B617E1"/>
    <w:rsid w:val="00B66706"/>
    <w:rsid w:val="00B74ADD"/>
    <w:rsid w:val="00B80CAC"/>
    <w:rsid w:val="00B83191"/>
    <w:rsid w:val="00B858A3"/>
    <w:rsid w:val="00B92319"/>
    <w:rsid w:val="00B9418E"/>
    <w:rsid w:val="00BA045C"/>
    <w:rsid w:val="00BA501A"/>
    <w:rsid w:val="00BB41C6"/>
    <w:rsid w:val="00BB42D9"/>
    <w:rsid w:val="00BC4000"/>
    <w:rsid w:val="00BC5FA3"/>
    <w:rsid w:val="00BC60DF"/>
    <w:rsid w:val="00BD4777"/>
    <w:rsid w:val="00BE69B8"/>
    <w:rsid w:val="00BF416D"/>
    <w:rsid w:val="00BF74C8"/>
    <w:rsid w:val="00C01AD0"/>
    <w:rsid w:val="00C023D1"/>
    <w:rsid w:val="00C035CF"/>
    <w:rsid w:val="00C05B49"/>
    <w:rsid w:val="00C25225"/>
    <w:rsid w:val="00C42F50"/>
    <w:rsid w:val="00C6768A"/>
    <w:rsid w:val="00C864E4"/>
    <w:rsid w:val="00C91422"/>
    <w:rsid w:val="00C92B1F"/>
    <w:rsid w:val="00C954A3"/>
    <w:rsid w:val="00C97AF7"/>
    <w:rsid w:val="00CA5768"/>
    <w:rsid w:val="00CB1B15"/>
    <w:rsid w:val="00CB639C"/>
    <w:rsid w:val="00CC1039"/>
    <w:rsid w:val="00CE603E"/>
    <w:rsid w:val="00CF7D46"/>
    <w:rsid w:val="00D10772"/>
    <w:rsid w:val="00D15CE6"/>
    <w:rsid w:val="00D326AB"/>
    <w:rsid w:val="00D41744"/>
    <w:rsid w:val="00D42255"/>
    <w:rsid w:val="00D46856"/>
    <w:rsid w:val="00D4788E"/>
    <w:rsid w:val="00D72693"/>
    <w:rsid w:val="00D8011E"/>
    <w:rsid w:val="00D81438"/>
    <w:rsid w:val="00D83F04"/>
    <w:rsid w:val="00D967EB"/>
    <w:rsid w:val="00DB0570"/>
    <w:rsid w:val="00DB4244"/>
    <w:rsid w:val="00DB562D"/>
    <w:rsid w:val="00DD095D"/>
    <w:rsid w:val="00DD7D88"/>
    <w:rsid w:val="00DF5762"/>
    <w:rsid w:val="00E00B24"/>
    <w:rsid w:val="00E13932"/>
    <w:rsid w:val="00E156E2"/>
    <w:rsid w:val="00E20208"/>
    <w:rsid w:val="00E20906"/>
    <w:rsid w:val="00E235A8"/>
    <w:rsid w:val="00E265B1"/>
    <w:rsid w:val="00E37960"/>
    <w:rsid w:val="00E40624"/>
    <w:rsid w:val="00E421DC"/>
    <w:rsid w:val="00E43FF3"/>
    <w:rsid w:val="00E7584B"/>
    <w:rsid w:val="00E76D4A"/>
    <w:rsid w:val="00E97697"/>
    <w:rsid w:val="00EA0A76"/>
    <w:rsid w:val="00EB123E"/>
    <w:rsid w:val="00EB1AC4"/>
    <w:rsid w:val="00EB30EC"/>
    <w:rsid w:val="00EB4023"/>
    <w:rsid w:val="00ED0320"/>
    <w:rsid w:val="00EF24B4"/>
    <w:rsid w:val="00F11D06"/>
    <w:rsid w:val="00F3199F"/>
    <w:rsid w:val="00F46E03"/>
    <w:rsid w:val="00F53C9C"/>
    <w:rsid w:val="00F55816"/>
    <w:rsid w:val="00F63B9D"/>
    <w:rsid w:val="00F6479C"/>
    <w:rsid w:val="00F91E3E"/>
    <w:rsid w:val="00FB4867"/>
    <w:rsid w:val="00FC3A17"/>
    <w:rsid w:val="00FC47FA"/>
    <w:rsid w:val="00FD2AA9"/>
    <w:rsid w:val="00FD4739"/>
    <w:rsid w:val="00FD58CE"/>
    <w:rsid w:val="00FD7C21"/>
    <w:rsid w:val="00FE2AF6"/>
    <w:rsid w:val="00FE7CC9"/>
    <w:rsid w:val="00FF33FE"/>
    <w:rsid w:val="00FF4B3B"/>
    <w:rsid w:val="00FF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0E8B"/>
  <w15:chartTrackingRefBased/>
  <w15:docId w15:val="{CBA5AB96-3656-423F-9D24-8F62E88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6E"/>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9F06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F696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696E"/>
    <w:rPr>
      <w:rFonts w:ascii="Arial" w:eastAsia="Times New Roman" w:hAnsi="Arial" w:cs="Arial"/>
      <w:i/>
      <w:iCs/>
      <w:sz w:val="28"/>
      <w:szCs w:val="24"/>
      <w:lang w:val="en-GB"/>
    </w:rPr>
  </w:style>
  <w:style w:type="paragraph" w:styleId="Header">
    <w:name w:val="header"/>
    <w:basedOn w:val="Normal"/>
    <w:link w:val="HeaderChar"/>
    <w:uiPriority w:val="99"/>
    <w:rsid w:val="006F696E"/>
    <w:pPr>
      <w:tabs>
        <w:tab w:val="center" w:pos="4153"/>
        <w:tab w:val="right" w:pos="8306"/>
      </w:tabs>
    </w:pPr>
  </w:style>
  <w:style w:type="character" w:customStyle="1" w:styleId="HeaderChar">
    <w:name w:val="Header Char"/>
    <w:basedOn w:val="DefaultParagraphFont"/>
    <w:link w:val="Header"/>
    <w:uiPriority w:val="99"/>
    <w:rsid w:val="006F696E"/>
    <w:rPr>
      <w:rFonts w:ascii="Times New Roman" w:eastAsia="Times New Roman" w:hAnsi="Times New Roman" w:cs="Times New Roman"/>
      <w:sz w:val="24"/>
      <w:szCs w:val="24"/>
      <w:lang w:val="en-GB"/>
    </w:rPr>
  </w:style>
  <w:style w:type="character" w:styleId="PageNumber">
    <w:name w:val="page number"/>
    <w:basedOn w:val="DefaultParagraphFont"/>
    <w:rsid w:val="006F696E"/>
    <w:rPr>
      <w:rFonts w:cs="Times New Roman"/>
    </w:rPr>
  </w:style>
  <w:style w:type="paragraph" w:styleId="FootnoteText">
    <w:name w:val="footnote text"/>
    <w:basedOn w:val="Normal"/>
    <w:link w:val="FootnoteTextChar"/>
    <w:uiPriority w:val="99"/>
    <w:rsid w:val="006F696E"/>
    <w:rPr>
      <w:sz w:val="20"/>
      <w:szCs w:val="20"/>
    </w:rPr>
  </w:style>
  <w:style w:type="character" w:customStyle="1" w:styleId="FootnoteTextChar">
    <w:name w:val="Footnote Text Char"/>
    <w:basedOn w:val="DefaultParagraphFont"/>
    <w:link w:val="FootnoteText"/>
    <w:uiPriority w:val="99"/>
    <w:rsid w:val="006F696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F696E"/>
    <w:pPr>
      <w:ind w:left="720"/>
      <w:contextualSpacing/>
    </w:pPr>
  </w:style>
  <w:style w:type="character" w:styleId="FootnoteReference">
    <w:name w:val="footnote reference"/>
    <w:basedOn w:val="DefaultParagraphFont"/>
    <w:uiPriority w:val="99"/>
    <w:semiHidden/>
    <w:unhideWhenUsed/>
    <w:rsid w:val="006F696E"/>
    <w:rPr>
      <w:vertAlign w:val="superscript"/>
    </w:rPr>
  </w:style>
  <w:style w:type="paragraph" w:styleId="NormalWeb">
    <w:name w:val="Normal (Web)"/>
    <w:basedOn w:val="Normal"/>
    <w:uiPriority w:val="99"/>
    <w:semiHidden/>
    <w:unhideWhenUsed/>
    <w:rsid w:val="00173C50"/>
    <w:pPr>
      <w:spacing w:before="100" w:beforeAutospacing="1" w:after="100" w:afterAutospacing="1" w:line="240" w:lineRule="auto"/>
      <w:jc w:val="left"/>
    </w:pPr>
    <w:rPr>
      <w:lang w:val="en-US"/>
    </w:rPr>
  </w:style>
  <w:style w:type="character" w:styleId="Hyperlink">
    <w:name w:val="Hyperlink"/>
    <w:basedOn w:val="DefaultParagraphFont"/>
    <w:uiPriority w:val="99"/>
    <w:semiHidden/>
    <w:unhideWhenUsed/>
    <w:rsid w:val="00173C50"/>
    <w:rPr>
      <w:color w:val="0000FF"/>
      <w:u w:val="single"/>
    </w:rPr>
  </w:style>
  <w:style w:type="character" w:customStyle="1" w:styleId="Heading2Char">
    <w:name w:val="Heading 2 Char"/>
    <w:basedOn w:val="DefaultParagraphFont"/>
    <w:link w:val="Heading2"/>
    <w:uiPriority w:val="9"/>
    <w:semiHidden/>
    <w:rsid w:val="009F0684"/>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337A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A3"/>
    <w:rPr>
      <w:rFonts w:ascii="Segoe UI" w:eastAsia="Times New Roman" w:hAnsi="Segoe UI" w:cs="Segoe UI"/>
      <w:sz w:val="18"/>
      <w:szCs w:val="18"/>
      <w:lang w:val="en-GB"/>
    </w:rPr>
  </w:style>
  <w:style w:type="paragraph" w:styleId="Revision">
    <w:name w:val="Revision"/>
    <w:hidden/>
    <w:uiPriority w:val="99"/>
    <w:semiHidden/>
    <w:rsid w:val="00F53C9C"/>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53C9C"/>
    <w:rPr>
      <w:sz w:val="16"/>
      <w:szCs w:val="16"/>
    </w:rPr>
  </w:style>
  <w:style w:type="paragraph" w:styleId="CommentText">
    <w:name w:val="annotation text"/>
    <w:basedOn w:val="Normal"/>
    <w:link w:val="CommentTextChar"/>
    <w:uiPriority w:val="99"/>
    <w:semiHidden/>
    <w:unhideWhenUsed/>
    <w:rsid w:val="00F53C9C"/>
    <w:pPr>
      <w:spacing w:line="240" w:lineRule="auto"/>
    </w:pPr>
    <w:rPr>
      <w:sz w:val="20"/>
      <w:szCs w:val="20"/>
    </w:rPr>
  </w:style>
  <w:style w:type="character" w:customStyle="1" w:styleId="CommentTextChar">
    <w:name w:val="Comment Text Char"/>
    <w:basedOn w:val="DefaultParagraphFont"/>
    <w:link w:val="CommentText"/>
    <w:uiPriority w:val="99"/>
    <w:semiHidden/>
    <w:rsid w:val="00F53C9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3C9C"/>
    <w:rPr>
      <w:b/>
      <w:bCs/>
    </w:rPr>
  </w:style>
  <w:style w:type="character" w:customStyle="1" w:styleId="CommentSubjectChar">
    <w:name w:val="Comment Subject Char"/>
    <w:basedOn w:val="CommentTextChar"/>
    <w:link w:val="CommentSubject"/>
    <w:uiPriority w:val="99"/>
    <w:semiHidden/>
    <w:rsid w:val="00F53C9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5630">
      <w:bodyDiv w:val="1"/>
      <w:marLeft w:val="0"/>
      <w:marRight w:val="0"/>
      <w:marTop w:val="0"/>
      <w:marBottom w:val="0"/>
      <w:divBdr>
        <w:top w:val="none" w:sz="0" w:space="0" w:color="auto"/>
        <w:left w:val="none" w:sz="0" w:space="0" w:color="auto"/>
        <w:bottom w:val="none" w:sz="0" w:space="0" w:color="auto"/>
        <w:right w:val="none" w:sz="0" w:space="0" w:color="auto"/>
      </w:divBdr>
    </w:div>
    <w:div w:id="1718040485">
      <w:bodyDiv w:val="1"/>
      <w:marLeft w:val="0"/>
      <w:marRight w:val="0"/>
      <w:marTop w:val="0"/>
      <w:marBottom w:val="0"/>
      <w:divBdr>
        <w:top w:val="none" w:sz="0" w:space="0" w:color="auto"/>
        <w:left w:val="none" w:sz="0" w:space="0" w:color="auto"/>
        <w:bottom w:val="none" w:sz="0" w:space="0" w:color="auto"/>
        <w:right w:val="none" w:sz="0" w:space="0" w:color="auto"/>
      </w:divBdr>
      <w:divsChild>
        <w:div w:id="51268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4DA8-2338-4C5C-91C4-3E67BA37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Mary Bruce</cp:lastModifiedBy>
  <cp:revision>4</cp:revision>
  <cp:lastPrinted>2023-11-27T13:36:00Z</cp:lastPrinted>
  <dcterms:created xsi:type="dcterms:W3CDTF">2023-11-27T13:17:00Z</dcterms:created>
  <dcterms:modified xsi:type="dcterms:W3CDTF">2023-11-28T11:59:00Z</dcterms:modified>
</cp:coreProperties>
</file>