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BC5D2" w14:textId="77777777" w:rsidR="00182054" w:rsidRDefault="00182054" w:rsidP="00093030">
      <w:pPr>
        <w:spacing w:line="360" w:lineRule="auto"/>
        <w:jc w:val="both"/>
      </w:pPr>
      <w:bookmarkStart w:id="0" w:name="_GoBack"/>
      <w:bookmarkEnd w:id="0"/>
    </w:p>
    <w:p w14:paraId="4CE0E5FA" w14:textId="77777777" w:rsidR="00182054" w:rsidRPr="00AC7DA3" w:rsidRDefault="00182054" w:rsidP="00093030">
      <w:pPr>
        <w:spacing w:line="360" w:lineRule="auto"/>
        <w:jc w:val="both"/>
      </w:pPr>
    </w:p>
    <w:p w14:paraId="6AE375BE" w14:textId="77777777" w:rsidR="00093030" w:rsidRPr="00AC7DA3" w:rsidRDefault="00093030" w:rsidP="00093030">
      <w:pPr>
        <w:rPr>
          <w:b/>
          <w:bCs/>
        </w:rPr>
      </w:pPr>
    </w:p>
    <w:p w14:paraId="3328F6A1" w14:textId="77777777" w:rsidR="00093030" w:rsidRPr="00AC7DA3" w:rsidRDefault="00093030" w:rsidP="007568A4">
      <w:pPr>
        <w:rPr>
          <w:b/>
          <w:bCs/>
        </w:rPr>
      </w:pPr>
    </w:p>
    <w:p w14:paraId="458A5B06" w14:textId="77777777" w:rsidR="00093030" w:rsidRPr="00AC7DA3" w:rsidRDefault="00093030" w:rsidP="007568A4">
      <w:pPr>
        <w:rPr>
          <w:b/>
          <w:bCs/>
        </w:rPr>
      </w:pPr>
    </w:p>
    <w:p w14:paraId="67D2DB88" w14:textId="77777777" w:rsidR="00093030" w:rsidRPr="008437F0" w:rsidRDefault="00093030" w:rsidP="007568A4">
      <w:pPr>
        <w:rPr>
          <w:b/>
          <w:bCs/>
        </w:rPr>
      </w:pPr>
      <w:r w:rsidRPr="008437F0">
        <w:rPr>
          <w:noProof/>
          <w:sz w:val="22"/>
          <w:lang w:eastAsia="en-ZA"/>
        </w:rPr>
        <w:drawing>
          <wp:anchor distT="0" distB="0" distL="114300" distR="114300" simplePos="0" relativeHeight="251659264" behindDoc="0" locked="0" layoutInCell="1" allowOverlap="1" wp14:anchorId="2CD4921A" wp14:editId="71F5A82A">
            <wp:simplePos x="0" y="0"/>
            <wp:positionH relativeFrom="column">
              <wp:align>center</wp:align>
            </wp:positionH>
            <wp:positionV relativeFrom="paragraph">
              <wp:posOffset>-683895</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1F3CCEE5" w14:textId="77777777" w:rsidR="007568A4" w:rsidRPr="008437F0" w:rsidRDefault="007568A4" w:rsidP="007568A4">
      <w:pPr>
        <w:rPr>
          <w:b/>
          <w:bCs/>
        </w:rPr>
      </w:pPr>
    </w:p>
    <w:p w14:paraId="7AD9DC89" w14:textId="77777777" w:rsidR="00093030" w:rsidRPr="008437F0" w:rsidRDefault="00093030" w:rsidP="00093030">
      <w:pPr>
        <w:spacing w:line="360" w:lineRule="auto"/>
        <w:jc w:val="center"/>
        <w:rPr>
          <w:b/>
          <w:bCs/>
        </w:rPr>
      </w:pPr>
      <w:r w:rsidRPr="008437F0">
        <w:rPr>
          <w:b/>
          <w:bCs/>
        </w:rPr>
        <w:t>THE SUPREME COURT OF APPEAL OF SOUTH AFRICA</w:t>
      </w:r>
    </w:p>
    <w:p w14:paraId="12EE8090" w14:textId="77777777" w:rsidR="00093030" w:rsidRPr="008437F0" w:rsidRDefault="00093030" w:rsidP="00BC66B4">
      <w:pPr>
        <w:pStyle w:val="Heading3"/>
        <w:jc w:val="center"/>
        <w:rPr>
          <w:b/>
          <w:i w:val="0"/>
          <w:sz w:val="24"/>
        </w:rPr>
      </w:pPr>
      <w:r w:rsidRPr="008437F0">
        <w:rPr>
          <w:b/>
          <w:i w:val="0"/>
          <w:sz w:val="24"/>
        </w:rPr>
        <w:t>JUDGMENT</w:t>
      </w:r>
    </w:p>
    <w:p w14:paraId="62C6D37A" w14:textId="77777777" w:rsidR="00093030" w:rsidRPr="008437F0" w:rsidRDefault="00093030" w:rsidP="00093030">
      <w:pPr>
        <w:spacing w:line="360" w:lineRule="auto"/>
        <w:jc w:val="center"/>
        <w:rPr>
          <w:b/>
          <w:bCs/>
        </w:rPr>
      </w:pPr>
      <w:r w:rsidRPr="008437F0">
        <w:tab/>
      </w:r>
    </w:p>
    <w:p w14:paraId="00ABCDE2" w14:textId="41357BD5" w:rsidR="00093030" w:rsidRPr="008437F0" w:rsidRDefault="00093030" w:rsidP="00093030">
      <w:pPr>
        <w:spacing w:line="360" w:lineRule="auto"/>
        <w:jc w:val="right"/>
        <w:rPr>
          <w:b/>
        </w:rPr>
      </w:pPr>
      <w:r w:rsidRPr="008437F0">
        <w:rPr>
          <w:b/>
        </w:rPr>
        <w:t>Reportable</w:t>
      </w:r>
    </w:p>
    <w:p w14:paraId="5A06136B" w14:textId="77777777" w:rsidR="00093030" w:rsidRPr="008437F0" w:rsidRDefault="00093030" w:rsidP="00093030">
      <w:pPr>
        <w:spacing w:line="360" w:lineRule="auto"/>
        <w:jc w:val="right"/>
      </w:pPr>
      <w:r w:rsidRPr="008437F0">
        <w:t xml:space="preserve">Case no: </w:t>
      </w:r>
      <w:r w:rsidR="00C0028C" w:rsidRPr="008437F0">
        <w:t xml:space="preserve">1272/2022 </w:t>
      </w:r>
    </w:p>
    <w:p w14:paraId="3623D22E" w14:textId="77777777" w:rsidR="00093030" w:rsidRPr="008437F0" w:rsidRDefault="00093030" w:rsidP="00093030">
      <w:pPr>
        <w:spacing w:line="360" w:lineRule="auto"/>
      </w:pPr>
    </w:p>
    <w:p w14:paraId="1742F9A4" w14:textId="77777777" w:rsidR="00093030" w:rsidRPr="008437F0" w:rsidRDefault="00093030" w:rsidP="00093030">
      <w:pPr>
        <w:spacing w:line="360" w:lineRule="auto"/>
      </w:pPr>
      <w:r w:rsidRPr="008437F0">
        <w:t>In the matter between:</w:t>
      </w:r>
    </w:p>
    <w:p w14:paraId="7F6FD4A0" w14:textId="77777777" w:rsidR="00907E46" w:rsidRPr="008437F0" w:rsidRDefault="00907E46" w:rsidP="00093030">
      <w:pPr>
        <w:spacing w:line="360" w:lineRule="auto"/>
      </w:pPr>
    </w:p>
    <w:p w14:paraId="003D0C58" w14:textId="77777777" w:rsidR="00093030" w:rsidRPr="008437F0" w:rsidRDefault="00C0028C" w:rsidP="00093030">
      <w:pPr>
        <w:spacing w:line="360" w:lineRule="auto"/>
        <w:rPr>
          <w:b/>
        </w:rPr>
      </w:pPr>
      <w:r w:rsidRPr="008437F0">
        <w:rPr>
          <w:b/>
          <w:bCs/>
        </w:rPr>
        <w:t>CITY OF CAPE TOWN</w:t>
      </w:r>
      <w:r w:rsidRPr="008437F0">
        <w:rPr>
          <w:b/>
          <w:bCs/>
        </w:rPr>
        <w:tab/>
        <w:t xml:space="preserve"> </w:t>
      </w:r>
      <w:r w:rsidR="00093030" w:rsidRPr="008437F0">
        <w:rPr>
          <w:b/>
          <w:bCs/>
        </w:rPr>
        <w:tab/>
      </w:r>
      <w:r w:rsidR="00093030" w:rsidRPr="008437F0">
        <w:rPr>
          <w:b/>
          <w:bCs/>
        </w:rPr>
        <w:tab/>
      </w:r>
      <w:r w:rsidR="00093030" w:rsidRPr="008437F0">
        <w:rPr>
          <w:b/>
          <w:bCs/>
        </w:rPr>
        <w:tab/>
      </w:r>
      <w:r w:rsidR="00093030" w:rsidRPr="008437F0">
        <w:rPr>
          <w:b/>
          <w:bCs/>
        </w:rPr>
        <w:tab/>
      </w:r>
      <w:r w:rsidR="00093030" w:rsidRPr="008437F0">
        <w:rPr>
          <w:b/>
          <w:bCs/>
        </w:rPr>
        <w:tab/>
      </w:r>
      <w:r w:rsidR="00093030" w:rsidRPr="008437F0">
        <w:rPr>
          <w:b/>
          <w:bCs/>
        </w:rPr>
        <w:tab/>
      </w:r>
      <w:r w:rsidR="00093030" w:rsidRPr="008437F0">
        <w:rPr>
          <w:b/>
        </w:rPr>
        <w:t>APPELLANT</w:t>
      </w:r>
    </w:p>
    <w:p w14:paraId="410F3627" w14:textId="77777777" w:rsidR="00CF6D01" w:rsidRPr="008437F0" w:rsidRDefault="00CF6D01" w:rsidP="00093030">
      <w:pPr>
        <w:spacing w:line="360" w:lineRule="auto"/>
      </w:pPr>
    </w:p>
    <w:p w14:paraId="7F9D5A1F" w14:textId="77777777" w:rsidR="00093030" w:rsidRPr="008437F0" w:rsidRDefault="00093030" w:rsidP="00093030">
      <w:pPr>
        <w:spacing w:line="360" w:lineRule="auto"/>
      </w:pPr>
      <w:r w:rsidRPr="008437F0">
        <w:t>and</w:t>
      </w:r>
    </w:p>
    <w:p w14:paraId="52974B53" w14:textId="77777777" w:rsidR="00CF6D01" w:rsidRPr="008437F0" w:rsidRDefault="00CF6D01" w:rsidP="00093030">
      <w:pPr>
        <w:spacing w:line="360" w:lineRule="auto"/>
        <w:rPr>
          <w:b/>
          <w:bCs/>
        </w:rPr>
      </w:pPr>
    </w:p>
    <w:p w14:paraId="113196EE" w14:textId="77777777" w:rsidR="00093030" w:rsidRPr="008437F0" w:rsidRDefault="00C0028C" w:rsidP="00093030">
      <w:pPr>
        <w:spacing w:line="360" w:lineRule="auto"/>
        <w:rPr>
          <w:b/>
        </w:rPr>
      </w:pPr>
      <w:r w:rsidRPr="008437F0">
        <w:rPr>
          <w:b/>
          <w:bCs/>
        </w:rPr>
        <w:t xml:space="preserve">NQULELWA MTYIDO </w:t>
      </w:r>
      <w:r w:rsidR="00093030" w:rsidRPr="008437F0">
        <w:rPr>
          <w:b/>
          <w:bCs/>
        </w:rPr>
        <w:tab/>
      </w:r>
      <w:r w:rsidR="00093030" w:rsidRPr="008437F0">
        <w:rPr>
          <w:b/>
          <w:bCs/>
        </w:rPr>
        <w:tab/>
      </w:r>
      <w:r w:rsidR="00093030" w:rsidRPr="008437F0">
        <w:rPr>
          <w:b/>
          <w:bCs/>
        </w:rPr>
        <w:tab/>
      </w:r>
      <w:r w:rsidR="00093030" w:rsidRPr="008437F0">
        <w:rPr>
          <w:b/>
          <w:bCs/>
        </w:rPr>
        <w:tab/>
      </w:r>
      <w:r w:rsidR="00093030" w:rsidRPr="008437F0">
        <w:rPr>
          <w:b/>
          <w:bCs/>
        </w:rPr>
        <w:tab/>
        <w:t xml:space="preserve"> </w:t>
      </w:r>
      <w:r w:rsidR="00AA5394" w:rsidRPr="008437F0">
        <w:rPr>
          <w:b/>
          <w:bCs/>
        </w:rPr>
        <w:tab/>
      </w:r>
      <w:r w:rsidR="00AA5394" w:rsidRPr="008437F0">
        <w:rPr>
          <w:b/>
          <w:bCs/>
        </w:rPr>
        <w:tab/>
      </w:r>
      <w:r w:rsidR="00093030" w:rsidRPr="008437F0">
        <w:rPr>
          <w:b/>
        </w:rPr>
        <w:t>RESPONDENT</w:t>
      </w:r>
    </w:p>
    <w:p w14:paraId="3677F1E4" w14:textId="77777777" w:rsidR="00C0028C" w:rsidRPr="008437F0" w:rsidRDefault="00C0028C" w:rsidP="003E7496">
      <w:pPr>
        <w:spacing w:line="360" w:lineRule="auto"/>
        <w:ind w:left="2127" w:hanging="2127"/>
        <w:rPr>
          <w:b/>
          <w:bCs/>
        </w:rPr>
      </w:pPr>
    </w:p>
    <w:p w14:paraId="328791F8" w14:textId="4B010706" w:rsidR="003E7496" w:rsidRPr="008437F0" w:rsidRDefault="003E7496" w:rsidP="003E7496">
      <w:pPr>
        <w:spacing w:line="360" w:lineRule="auto"/>
        <w:ind w:left="2127" w:hanging="2127"/>
        <w:rPr>
          <w:bCs/>
        </w:rPr>
      </w:pPr>
      <w:r w:rsidRPr="008437F0">
        <w:rPr>
          <w:b/>
          <w:bCs/>
        </w:rPr>
        <w:t>Neutral citation:</w:t>
      </w:r>
      <w:r w:rsidRPr="008437F0">
        <w:rPr>
          <w:b/>
          <w:bCs/>
        </w:rPr>
        <w:tab/>
      </w:r>
      <w:r w:rsidR="009A7084" w:rsidRPr="000235BB">
        <w:rPr>
          <w:i/>
          <w:iCs/>
        </w:rPr>
        <w:t>C</w:t>
      </w:r>
      <w:r w:rsidR="003E6D40" w:rsidRPr="000235BB">
        <w:rPr>
          <w:i/>
          <w:iCs/>
        </w:rPr>
        <w:t>ity of Cape Town v Mtyido</w:t>
      </w:r>
      <w:r w:rsidR="003E6D40" w:rsidRPr="008437F0">
        <w:t xml:space="preserve"> </w:t>
      </w:r>
      <w:r w:rsidRPr="008437F0">
        <w:rPr>
          <w:bCs/>
        </w:rPr>
        <w:t>(Case no 12</w:t>
      </w:r>
      <w:r w:rsidR="009A7084" w:rsidRPr="008437F0">
        <w:rPr>
          <w:bCs/>
        </w:rPr>
        <w:t>72/2022</w:t>
      </w:r>
      <w:r w:rsidRPr="008437F0">
        <w:rPr>
          <w:bCs/>
        </w:rPr>
        <w:t>) [202</w:t>
      </w:r>
      <w:r w:rsidR="009A7084" w:rsidRPr="008437F0">
        <w:rPr>
          <w:bCs/>
        </w:rPr>
        <w:t>3</w:t>
      </w:r>
      <w:r w:rsidR="0042319A">
        <w:rPr>
          <w:bCs/>
        </w:rPr>
        <w:t xml:space="preserve">] ZASCA 163 </w:t>
      </w:r>
      <w:r w:rsidR="00C56FB9">
        <w:rPr>
          <w:bCs/>
        </w:rPr>
        <w:t>(1 Decembe</w:t>
      </w:r>
      <w:r w:rsidR="00E46237" w:rsidRPr="008437F0">
        <w:rPr>
          <w:bCs/>
        </w:rPr>
        <w:t>r 2023</w:t>
      </w:r>
      <w:r w:rsidRPr="008437F0">
        <w:rPr>
          <w:bCs/>
        </w:rPr>
        <w:t>)</w:t>
      </w:r>
    </w:p>
    <w:p w14:paraId="15F79E47" w14:textId="77777777" w:rsidR="003E7496" w:rsidRPr="008437F0" w:rsidRDefault="00E46237" w:rsidP="00E46237">
      <w:pPr>
        <w:spacing w:before="120" w:line="360" w:lineRule="auto"/>
        <w:ind w:left="1418" w:hanging="1418"/>
        <w:rPr>
          <w:bCs/>
        </w:rPr>
      </w:pPr>
      <w:r w:rsidRPr="008437F0">
        <w:rPr>
          <w:b/>
          <w:bCs/>
        </w:rPr>
        <w:t>Coram:</w:t>
      </w:r>
      <w:r w:rsidRPr="008437F0">
        <w:rPr>
          <w:b/>
          <w:bCs/>
        </w:rPr>
        <w:tab/>
      </w:r>
      <w:r w:rsidR="00FE4784" w:rsidRPr="008437F0">
        <w:t>GORVEN, WEINER and GOOSEN JJA and KOEN and K</w:t>
      </w:r>
      <w:r w:rsidR="00FC4CC6" w:rsidRPr="008437F0">
        <w:t xml:space="preserve">ATHREE-SETILOANE </w:t>
      </w:r>
      <w:r w:rsidR="00FE4784" w:rsidRPr="008437F0">
        <w:t>AJJA</w:t>
      </w:r>
    </w:p>
    <w:p w14:paraId="577FD2B2" w14:textId="77777777" w:rsidR="001C4454" w:rsidRPr="008437F0" w:rsidRDefault="00093030" w:rsidP="00E46237">
      <w:pPr>
        <w:spacing w:before="120" w:line="360" w:lineRule="auto"/>
        <w:rPr>
          <w:b/>
          <w:bCs/>
        </w:rPr>
      </w:pPr>
      <w:r w:rsidRPr="008437F0">
        <w:rPr>
          <w:b/>
          <w:bCs/>
        </w:rPr>
        <w:t>Heard</w:t>
      </w:r>
      <w:r w:rsidRPr="008437F0">
        <w:t>:</w:t>
      </w:r>
      <w:r w:rsidRPr="008437F0">
        <w:tab/>
      </w:r>
      <w:r w:rsidR="00FE4784" w:rsidRPr="008437F0">
        <w:t>20 November 202</w:t>
      </w:r>
      <w:r w:rsidR="0081781A" w:rsidRPr="008437F0">
        <w:t>3</w:t>
      </w:r>
      <w:r w:rsidRPr="008437F0">
        <w:t xml:space="preserve"> </w:t>
      </w:r>
    </w:p>
    <w:p w14:paraId="5DC2ECC0" w14:textId="3A9D56DC" w:rsidR="00E46237" w:rsidRPr="008437F0" w:rsidRDefault="00093030" w:rsidP="00E46237">
      <w:pPr>
        <w:spacing w:before="120" w:line="360" w:lineRule="auto"/>
      </w:pPr>
      <w:r w:rsidRPr="008437F0">
        <w:rPr>
          <w:b/>
          <w:bCs/>
        </w:rPr>
        <w:t>Delivered</w:t>
      </w:r>
      <w:r w:rsidRPr="008437F0">
        <w:t>:</w:t>
      </w:r>
      <w:r w:rsidRPr="008437F0">
        <w:tab/>
      </w:r>
      <w:r w:rsidR="0042319A">
        <w:t>1 December</w:t>
      </w:r>
      <w:r w:rsidR="0081781A" w:rsidRPr="008437F0">
        <w:t xml:space="preserve"> </w:t>
      </w:r>
      <w:r w:rsidRPr="008437F0">
        <w:t>202</w:t>
      </w:r>
      <w:r w:rsidR="0081781A" w:rsidRPr="008437F0">
        <w:t>3</w:t>
      </w:r>
    </w:p>
    <w:p w14:paraId="1A0165C8" w14:textId="77777777" w:rsidR="00FE4784" w:rsidRPr="008437F0" w:rsidRDefault="00E46237" w:rsidP="00E46237">
      <w:pPr>
        <w:spacing w:before="120" w:line="360" w:lineRule="auto"/>
      </w:pPr>
      <w:r w:rsidRPr="008437F0">
        <w:rPr>
          <w:b/>
        </w:rPr>
        <w:t>Summary:</w:t>
      </w:r>
      <w:r w:rsidRPr="008437F0">
        <w:tab/>
      </w:r>
      <w:r w:rsidR="00FE4784" w:rsidRPr="008437F0">
        <w:t xml:space="preserve">Delict – </w:t>
      </w:r>
      <w:r w:rsidR="009A7084" w:rsidRPr="008437F0">
        <w:t xml:space="preserve">widening of pleadings – wrongfulness and negligence </w:t>
      </w:r>
      <w:r w:rsidR="00FE4784" w:rsidRPr="008437F0">
        <w:t xml:space="preserve">– </w:t>
      </w:r>
      <w:r w:rsidR="009A044B" w:rsidRPr="008437F0">
        <w:t>respondent injured as a result of open manhole under control of appellant</w:t>
      </w:r>
      <w:r w:rsidR="00DB013B" w:rsidRPr="008437F0">
        <w:t xml:space="preserve"> </w:t>
      </w:r>
      <w:r w:rsidR="00B64E28" w:rsidRPr="008437F0">
        <w:t xml:space="preserve">– open manhole </w:t>
      </w:r>
      <w:r w:rsidR="00DB013B" w:rsidRPr="008437F0">
        <w:t>previously reported to an employee</w:t>
      </w:r>
      <w:r w:rsidR="00CF468C" w:rsidRPr="008437F0">
        <w:t xml:space="preserve"> of the appellant</w:t>
      </w:r>
      <w:r w:rsidR="009A044B" w:rsidRPr="008437F0">
        <w:t>.</w:t>
      </w:r>
    </w:p>
    <w:p w14:paraId="42AA6FF0" w14:textId="77777777" w:rsidR="00093030" w:rsidRPr="008437F0" w:rsidRDefault="00093030" w:rsidP="00093030">
      <w:pPr>
        <w:spacing w:line="360" w:lineRule="auto"/>
        <w:rPr>
          <w:b/>
          <w:bCs/>
        </w:rPr>
      </w:pPr>
    </w:p>
    <w:p w14:paraId="1F953291" w14:textId="77777777" w:rsidR="00093030" w:rsidRPr="008437F0" w:rsidRDefault="00093030" w:rsidP="00093030">
      <w:pPr>
        <w:spacing w:line="360" w:lineRule="auto"/>
        <w:rPr>
          <w:b/>
          <w:bCs/>
        </w:rPr>
        <w:sectPr w:rsidR="00093030" w:rsidRPr="008437F0" w:rsidSect="00AC7DA3">
          <w:headerReference w:type="even" r:id="rId9"/>
          <w:headerReference w:type="default" r:id="rId10"/>
          <w:headerReference w:type="first" r:id="rId11"/>
          <w:pgSz w:w="12240" w:h="15840" w:code="1"/>
          <w:pgMar w:top="1440" w:right="1440" w:bottom="1440" w:left="1440" w:header="720" w:footer="720" w:gutter="0"/>
          <w:pgNumType w:start="1"/>
          <w:cols w:space="720"/>
          <w:titlePg/>
          <w:docGrid w:linePitch="360"/>
        </w:sectPr>
      </w:pPr>
    </w:p>
    <w:p w14:paraId="39C19920" w14:textId="77777777" w:rsidR="00AC7DA3" w:rsidRPr="008437F0" w:rsidRDefault="00AC7DA3" w:rsidP="00AC7DA3">
      <w:pPr>
        <w:spacing w:line="360" w:lineRule="auto"/>
        <w:rPr>
          <w:b/>
          <w:sz w:val="22"/>
        </w:rPr>
      </w:pPr>
      <w:r w:rsidRPr="008437F0">
        <w:rPr>
          <w:b/>
          <w:noProof/>
          <w:sz w:val="20"/>
          <w:lang w:eastAsia="en-ZA"/>
        </w:rPr>
        <w:lastRenderedPageBreak/>
        <mc:AlternateContent>
          <mc:Choice Requires="wps">
            <w:drawing>
              <wp:anchor distT="0" distB="0" distL="114300" distR="114300" simplePos="0" relativeHeight="251667456" behindDoc="0" locked="0" layoutInCell="1" allowOverlap="1" wp14:anchorId="7841405A" wp14:editId="7A4EA884">
                <wp:simplePos x="0" y="0"/>
                <wp:positionH relativeFrom="margin">
                  <wp:align>right</wp:align>
                </wp:positionH>
                <wp:positionV relativeFrom="paragraph">
                  <wp:posOffset>13336</wp:posOffset>
                </wp:positionV>
                <wp:extent cx="5915025" cy="0"/>
                <wp:effectExtent l="0" t="0" r="28575"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DA6B80F" id="Line 5" o:spid="_x0000_s1026" style="position:absolute;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1.05pt" to="88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">
                <o:lock v:ext="edit" shapetype="f"/>
                <w10:wrap anchorx="margin"/>
              </v:line>
            </w:pict>
          </mc:Fallback>
        </mc:AlternateContent>
      </w:r>
      <w:r w:rsidRPr="008437F0">
        <w:rPr>
          <w:b/>
          <w:noProof/>
          <w:sz w:val="20"/>
          <w:lang w:eastAsia="en-ZA"/>
        </w:rPr>
        <mc:AlternateContent>
          <mc:Choice Requires="wps">
            <w:drawing>
              <wp:anchor distT="0" distB="0" distL="114300" distR="114300" simplePos="0" relativeHeight="251666432" behindDoc="0" locked="0" layoutInCell="1" allowOverlap="1" wp14:anchorId="36A3B87B" wp14:editId="41E90925">
                <wp:simplePos x="0" y="0"/>
                <wp:positionH relativeFrom="column">
                  <wp:posOffset>0</wp:posOffset>
                </wp:positionH>
                <wp:positionV relativeFrom="paragraph">
                  <wp:posOffset>114300</wp:posOffset>
                </wp:positionV>
                <wp:extent cx="0" cy="0"/>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21D7022" id="Line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">
                <o:lock v:ext="edit" shapetype="f"/>
              </v:line>
            </w:pict>
          </mc:Fallback>
        </mc:AlternateContent>
      </w:r>
    </w:p>
    <w:p w14:paraId="531C4028" w14:textId="77777777" w:rsidR="00AC7DA3" w:rsidRPr="008437F0" w:rsidRDefault="00093030" w:rsidP="00E46237">
      <w:pPr>
        <w:pStyle w:val="Heading3"/>
        <w:jc w:val="center"/>
        <w:rPr>
          <w:b/>
          <w:i w:val="0"/>
          <w:sz w:val="24"/>
        </w:rPr>
      </w:pPr>
      <w:r w:rsidRPr="008437F0">
        <w:rPr>
          <w:b/>
          <w:i w:val="0"/>
          <w:sz w:val="24"/>
        </w:rPr>
        <w:t>ORDER</w:t>
      </w:r>
    </w:p>
    <w:p w14:paraId="7DD62F12" w14:textId="77777777" w:rsidR="00AC7DA3" w:rsidRPr="008437F0" w:rsidRDefault="00AC7DA3" w:rsidP="00AC7DA3">
      <w:pPr>
        <w:spacing w:line="360" w:lineRule="auto"/>
        <w:rPr>
          <w:b/>
          <w:sz w:val="22"/>
        </w:rPr>
      </w:pPr>
      <w:r w:rsidRPr="008437F0">
        <w:rPr>
          <w:b/>
          <w:noProof/>
          <w:sz w:val="20"/>
          <w:lang w:eastAsia="en-ZA"/>
        </w:rPr>
        <mc:AlternateContent>
          <mc:Choice Requires="wps">
            <w:drawing>
              <wp:anchor distT="0" distB="0" distL="114300" distR="114300" simplePos="0" relativeHeight="251670528" behindDoc="0" locked="0" layoutInCell="1" allowOverlap="1" wp14:anchorId="2410AEB4" wp14:editId="2F0AF633">
                <wp:simplePos x="0" y="0"/>
                <wp:positionH relativeFrom="margin">
                  <wp:align>right</wp:align>
                </wp:positionH>
                <wp:positionV relativeFrom="paragraph">
                  <wp:posOffset>13336</wp:posOffset>
                </wp:positionV>
                <wp:extent cx="5915025" cy="0"/>
                <wp:effectExtent l="0" t="0" r="28575" b="1905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E26D8B8" id="Line 5" o:spid="_x0000_s1026" style="position:absolute;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1.05pt" to="88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">
                <o:lock v:ext="edit" shapetype="f"/>
                <w10:wrap anchorx="margin"/>
              </v:line>
            </w:pict>
          </mc:Fallback>
        </mc:AlternateContent>
      </w:r>
      <w:r w:rsidRPr="008437F0">
        <w:rPr>
          <w:b/>
          <w:noProof/>
          <w:sz w:val="20"/>
          <w:lang w:eastAsia="en-ZA"/>
        </w:rPr>
        <mc:AlternateContent>
          <mc:Choice Requires="wps">
            <w:drawing>
              <wp:anchor distT="0" distB="0" distL="114300" distR="114300" simplePos="0" relativeHeight="251669504" behindDoc="0" locked="0" layoutInCell="1" allowOverlap="1" wp14:anchorId="5293CEF4" wp14:editId="0B774AF9">
                <wp:simplePos x="0" y="0"/>
                <wp:positionH relativeFrom="column">
                  <wp:posOffset>0</wp:posOffset>
                </wp:positionH>
                <wp:positionV relativeFrom="paragraph">
                  <wp:posOffset>114300</wp:posOffset>
                </wp:positionV>
                <wp:extent cx="0" cy="0"/>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0B38DF8" id="Line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">
                <o:lock v:ext="edit" shapetype="f"/>
              </v:line>
            </w:pict>
          </mc:Fallback>
        </mc:AlternateContent>
      </w:r>
    </w:p>
    <w:p w14:paraId="1CD8BF00" w14:textId="2864B009" w:rsidR="00C11D84" w:rsidRPr="008437F0" w:rsidRDefault="00093030" w:rsidP="00E46237">
      <w:pPr>
        <w:spacing w:line="360" w:lineRule="auto"/>
        <w:jc w:val="both"/>
        <w:rPr>
          <w:bCs/>
        </w:rPr>
      </w:pPr>
      <w:r w:rsidRPr="008437F0">
        <w:rPr>
          <w:b/>
          <w:bCs/>
        </w:rPr>
        <w:t xml:space="preserve">On appeal from:  </w:t>
      </w:r>
      <w:r w:rsidR="00FE4784" w:rsidRPr="008437F0">
        <w:t>W</w:t>
      </w:r>
      <w:r w:rsidR="00F91848" w:rsidRPr="008437F0">
        <w:t>estern Cape Division of the High Court</w:t>
      </w:r>
      <w:r w:rsidR="003E6D40" w:rsidRPr="008437F0">
        <w:t>,</w:t>
      </w:r>
      <w:r w:rsidR="00FE4784" w:rsidRPr="008437F0">
        <w:t xml:space="preserve"> </w:t>
      </w:r>
      <w:r w:rsidR="00597CFC" w:rsidRPr="008437F0">
        <w:t>(</w:t>
      </w:r>
      <w:r w:rsidR="00FE4784" w:rsidRPr="008437F0">
        <w:t>Erasmus J</w:t>
      </w:r>
      <w:r w:rsidR="00597CFC" w:rsidRPr="008437F0">
        <w:t>,</w:t>
      </w:r>
      <w:r w:rsidR="00FE4784" w:rsidRPr="008437F0">
        <w:t xml:space="preserve"> Salie-Hlophe and Papier JJ</w:t>
      </w:r>
      <w:r w:rsidR="00C11D84" w:rsidRPr="008437F0">
        <w:t xml:space="preserve"> </w:t>
      </w:r>
      <w:r w:rsidR="00FE4784" w:rsidRPr="008437F0">
        <w:t>concurring</w:t>
      </w:r>
      <w:r w:rsidR="00597CFC" w:rsidRPr="008437F0">
        <w:t>,</w:t>
      </w:r>
      <w:r w:rsidR="00FE4784" w:rsidRPr="008437F0">
        <w:t xml:space="preserve"> </w:t>
      </w:r>
      <w:r w:rsidRPr="008437F0">
        <w:rPr>
          <w:bCs/>
        </w:rPr>
        <w:t xml:space="preserve">sitting as </w:t>
      </w:r>
      <w:r w:rsidR="00FE4784" w:rsidRPr="008437F0">
        <w:rPr>
          <w:bCs/>
        </w:rPr>
        <w:t>a full court of appeal</w:t>
      </w:r>
      <w:r w:rsidR="00597CFC" w:rsidRPr="008437F0">
        <w:rPr>
          <w:bCs/>
        </w:rPr>
        <w:t>)</w:t>
      </w:r>
      <w:r w:rsidR="00CF468C" w:rsidRPr="008437F0">
        <w:rPr>
          <w:bCs/>
        </w:rPr>
        <w:t>.</w:t>
      </w:r>
    </w:p>
    <w:p w14:paraId="42242769" w14:textId="77777777" w:rsidR="00CF468C" w:rsidRPr="008437F0" w:rsidRDefault="00CF468C" w:rsidP="00E46237">
      <w:pPr>
        <w:spacing w:line="360" w:lineRule="auto"/>
        <w:jc w:val="both"/>
      </w:pPr>
    </w:p>
    <w:p w14:paraId="0008BAC5" w14:textId="77777777" w:rsidR="00093030" w:rsidRPr="008437F0" w:rsidRDefault="00093030" w:rsidP="00E46237">
      <w:pPr>
        <w:pStyle w:val="ListParagraph"/>
        <w:spacing w:line="360" w:lineRule="auto"/>
        <w:ind w:left="0"/>
        <w:jc w:val="both"/>
        <w:rPr>
          <w:bCs/>
        </w:rPr>
      </w:pPr>
      <w:r w:rsidRPr="008437F0">
        <w:rPr>
          <w:bCs/>
        </w:rPr>
        <w:t>The appea</w:t>
      </w:r>
      <w:r w:rsidR="00CF468C" w:rsidRPr="008437F0">
        <w:rPr>
          <w:bCs/>
        </w:rPr>
        <w:t>l i</w:t>
      </w:r>
      <w:r w:rsidRPr="008437F0">
        <w:rPr>
          <w:bCs/>
        </w:rPr>
        <w:t xml:space="preserve">s </w:t>
      </w:r>
      <w:r w:rsidR="003A71B4" w:rsidRPr="008437F0">
        <w:rPr>
          <w:bCs/>
        </w:rPr>
        <w:t xml:space="preserve">dismissed </w:t>
      </w:r>
      <w:r w:rsidRPr="008437F0">
        <w:rPr>
          <w:bCs/>
        </w:rPr>
        <w:t xml:space="preserve">with costs, such costs to include the </w:t>
      </w:r>
      <w:r w:rsidR="00A675BF" w:rsidRPr="008437F0">
        <w:rPr>
          <w:bCs/>
        </w:rPr>
        <w:t xml:space="preserve">costs of </w:t>
      </w:r>
      <w:r w:rsidRPr="008437F0">
        <w:rPr>
          <w:bCs/>
        </w:rPr>
        <w:t>two counsel</w:t>
      </w:r>
      <w:r w:rsidR="00A675BF" w:rsidRPr="008437F0">
        <w:rPr>
          <w:bCs/>
        </w:rPr>
        <w:t xml:space="preserve"> where </w:t>
      </w:r>
      <w:r w:rsidR="00841139" w:rsidRPr="008437F0">
        <w:rPr>
          <w:bCs/>
        </w:rPr>
        <w:t xml:space="preserve">so </w:t>
      </w:r>
      <w:r w:rsidR="00A675BF" w:rsidRPr="008437F0">
        <w:rPr>
          <w:bCs/>
        </w:rPr>
        <w:t>employed</w:t>
      </w:r>
      <w:r w:rsidRPr="008437F0">
        <w:rPr>
          <w:bCs/>
        </w:rPr>
        <w:t>.</w:t>
      </w:r>
    </w:p>
    <w:p w14:paraId="69F1BFF3" w14:textId="77777777" w:rsidR="00AC7DA3" w:rsidRPr="008437F0" w:rsidRDefault="00AC7DA3" w:rsidP="00AC7DA3">
      <w:pPr>
        <w:spacing w:line="360" w:lineRule="auto"/>
        <w:rPr>
          <w:b/>
          <w:bCs/>
          <w:sz w:val="22"/>
        </w:rPr>
      </w:pPr>
    </w:p>
    <w:p w14:paraId="7A5DC9CE" w14:textId="77777777" w:rsidR="00AC7DA3" w:rsidRPr="008437F0" w:rsidRDefault="00AC7DA3" w:rsidP="00AC7DA3">
      <w:pPr>
        <w:spacing w:line="360" w:lineRule="auto"/>
        <w:rPr>
          <w:b/>
          <w:sz w:val="22"/>
        </w:rPr>
      </w:pPr>
      <w:r w:rsidRPr="008437F0">
        <w:rPr>
          <w:b/>
          <w:noProof/>
          <w:sz w:val="20"/>
          <w:lang w:eastAsia="en-ZA"/>
        </w:rPr>
        <mc:AlternateContent>
          <mc:Choice Requires="wps">
            <w:drawing>
              <wp:anchor distT="0" distB="0" distL="114300" distR="114300" simplePos="0" relativeHeight="251673600" behindDoc="0" locked="0" layoutInCell="1" allowOverlap="1" wp14:anchorId="7A83EE3F" wp14:editId="3257E524">
                <wp:simplePos x="0" y="0"/>
                <wp:positionH relativeFrom="margin">
                  <wp:align>right</wp:align>
                </wp:positionH>
                <wp:positionV relativeFrom="paragraph">
                  <wp:posOffset>13336</wp:posOffset>
                </wp:positionV>
                <wp:extent cx="5915025" cy="0"/>
                <wp:effectExtent l="0" t="0" r="28575" b="1905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2E2DD56" id="Line 5"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1.05pt" to="88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">
                <o:lock v:ext="edit" shapetype="f"/>
                <w10:wrap anchorx="margin"/>
              </v:line>
            </w:pict>
          </mc:Fallback>
        </mc:AlternateContent>
      </w:r>
      <w:r w:rsidRPr="008437F0">
        <w:rPr>
          <w:b/>
          <w:noProof/>
          <w:sz w:val="20"/>
          <w:lang w:eastAsia="en-ZA"/>
        </w:rPr>
        <mc:AlternateContent>
          <mc:Choice Requires="wps">
            <w:drawing>
              <wp:anchor distT="0" distB="0" distL="114300" distR="114300" simplePos="0" relativeHeight="251672576" behindDoc="0" locked="0" layoutInCell="1" allowOverlap="1" wp14:anchorId="70FE7276" wp14:editId="6C7A17A5">
                <wp:simplePos x="0" y="0"/>
                <wp:positionH relativeFrom="column">
                  <wp:posOffset>0</wp:posOffset>
                </wp:positionH>
                <wp:positionV relativeFrom="paragraph">
                  <wp:posOffset>114300</wp:posOffset>
                </wp:positionV>
                <wp:extent cx="0" cy="0"/>
                <wp:effectExtent l="0" t="0" r="0" b="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BF5C008" id="Line 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">
                <o:lock v:ext="edit" shapetype="f"/>
              </v:line>
            </w:pict>
          </mc:Fallback>
        </mc:AlternateContent>
      </w:r>
    </w:p>
    <w:p w14:paraId="7B13ED53" w14:textId="77777777" w:rsidR="00093030" w:rsidRPr="008437F0" w:rsidRDefault="00093030" w:rsidP="00093030">
      <w:pPr>
        <w:pStyle w:val="Heading1"/>
        <w:jc w:val="center"/>
        <w:rPr>
          <w:sz w:val="24"/>
        </w:rPr>
      </w:pPr>
      <w:r w:rsidRPr="008437F0">
        <w:rPr>
          <w:sz w:val="24"/>
        </w:rPr>
        <w:t>JUDGMENT</w:t>
      </w:r>
    </w:p>
    <w:p w14:paraId="46849558" w14:textId="77777777" w:rsidR="00AC7DA3" w:rsidRPr="008437F0" w:rsidRDefault="00AC7DA3" w:rsidP="00E46237">
      <w:pPr>
        <w:spacing w:line="360" w:lineRule="auto"/>
        <w:jc w:val="both"/>
        <w:rPr>
          <w:b/>
          <w:sz w:val="22"/>
        </w:rPr>
      </w:pPr>
      <w:r w:rsidRPr="008437F0">
        <w:rPr>
          <w:b/>
          <w:noProof/>
          <w:sz w:val="20"/>
          <w:lang w:eastAsia="en-ZA"/>
        </w:rPr>
        <mc:AlternateContent>
          <mc:Choice Requires="wps">
            <w:drawing>
              <wp:anchor distT="0" distB="0" distL="114300" distR="114300" simplePos="0" relativeHeight="251676672" behindDoc="0" locked="0" layoutInCell="1" allowOverlap="1" wp14:anchorId="22E9FBAC" wp14:editId="0568AA2A">
                <wp:simplePos x="0" y="0"/>
                <wp:positionH relativeFrom="margin">
                  <wp:align>right</wp:align>
                </wp:positionH>
                <wp:positionV relativeFrom="paragraph">
                  <wp:posOffset>13336</wp:posOffset>
                </wp:positionV>
                <wp:extent cx="5915025" cy="0"/>
                <wp:effectExtent l="0" t="0" r="28575" b="1905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7213758" id="Line 5" o:spid="_x0000_s1026" style="position:absolute;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1.05pt" to="88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">
                <o:lock v:ext="edit" shapetype="f"/>
                <w10:wrap anchorx="margin"/>
              </v:line>
            </w:pict>
          </mc:Fallback>
        </mc:AlternateContent>
      </w:r>
      <w:r w:rsidRPr="008437F0">
        <w:rPr>
          <w:b/>
          <w:noProof/>
          <w:sz w:val="20"/>
          <w:lang w:eastAsia="en-ZA"/>
        </w:rPr>
        <mc:AlternateContent>
          <mc:Choice Requires="wps">
            <w:drawing>
              <wp:anchor distT="0" distB="0" distL="114300" distR="114300" simplePos="0" relativeHeight="251675648" behindDoc="0" locked="0" layoutInCell="1" allowOverlap="1" wp14:anchorId="1B54B4F9" wp14:editId="1BAF7247">
                <wp:simplePos x="0" y="0"/>
                <wp:positionH relativeFrom="column">
                  <wp:posOffset>0</wp:posOffset>
                </wp:positionH>
                <wp:positionV relativeFrom="paragraph">
                  <wp:posOffset>114300</wp:posOffset>
                </wp:positionV>
                <wp:extent cx="0" cy="0"/>
                <wp:effectExtent l="0" t="0" r="0" b="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E09FCDC" id="Line 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">
                <o:lock v:ext="edit" shapetype="f"/>
              </v:line>
            </w:pict>
          </mc:Fallback>
        </mc:AlternateContent>
      </w:r>
    </w:p>
    <w:p w14:paraId="6762251C" w14:textId="52DBD03A" w:rsidR="00093030" w:rsidRPr="008437F0" w:rsidRDefault="00FE4784" w:rsidP="000235BB">
      <w:pPr>
        <w:spacing w:before="120" w:line="360" w:lineRule="auto"/>
        <w:rPr>
          <w:b/>
        </w:rPr>
      </w:pPr>
      <w:r w:rsidRPr="008437F0">
        <w:rPr>
          <w:b/>
        </w:rPr>
        <w:t>Koen</w:t>
      </w:r>
      <w:r w:rsidR="00093030" w:rsidRPr="008437F0">
        <w:rPr>
          <w:b/>
        </w:rPr>
        <w:t xml:space="preserve"> </w:t>
      </w:r>
      <w:r w:rsidRPr="000235BB">
        <w:rPr>
          <w:b/>
        </w:rPr>
        <w:t>A</w:t>
      </w:r>
      <w:r w:rsidR="00093030" w:rsidRPr="000235BB">
        <w:rPr>
          <w:b/>
        </w:rPr>
        <w:t>JA (</w:t>
      </w:r>
      <w:r w:rsidR="000235BB" w:rsidRPr="000235BB">
        <w:rPr>
          <w:b/>
        </w:rPr>
        <w:t>G</w:t>
      </w:r>
      <w:r w:rsidR="000235BB">
        <w:rPr>
          <w:b/>
        </w:rPr>
        <w:t>orven</w:t>
      </w:r>
      <w:r w:rsidR="000235BB" w:rsidRPr="000235BB">
        <w:rPr>
          <w:b/>
        </w:rPr>
        <w:t>, W</w:t>
      </w:r>
      <w:r w:rsidR="000235BB">
        <w:rPr>
          <w:b/>
        </w:rPr>
        <w:t>einer</w:t>
      </w:r>
      <w:r w:rsidR="000235BB" w:rsidRPr="000235BB">
        <w:rPr>
          <w:b/>
        </w:rPr>
        <w:t xml:space="preserve"> and G</w:t>
      </w:r>
      <w:r w:rsidR="000235BB">
        <w:rPr>
          <w:b/>
        </w:rPr>
        <w:t xml:space="preserve">oosen </w:t>
      </w:r>
      <w:r w:rsidR="000235BB" w:rsidRPr="000235BB">
        <w:rPr>
          <w:b/>
        </w:rPr>
        <w:t>JJA and K</w:t>
      </w:r>
      <w:r w:rsidR="000235BB">
        <w:rPr>
          <w:b/>
        </w:rPr>
        <w:t>athree-Setiloane</w:t>
      </w:r>
      <w:r w:rsidR="000235BB" w:rsidRPr="000235BB">
        <w:rPr>
          <w:b/>
        </w:rPr>
        <w:t xml:space="preserve"> AJ</w:t>
      </w:r>
      <w:r w:rsidR="000235BB">
        <w:rPr>
          <w:b/>
        </w:rPr>
        <w:t xml:space="preserve">A </w:t>
      </w:r>
      <w:r w:rsidR="00C11D84" w:rsidRPr="008437F0">
        <w:rPr>
          <w:b/>
        </w:rPr>
        <w:t>concurring</w:t>
      </w:r>
      <w:r w:rsidR="00093030" w:rsidRPr="008437F0">
        <w:rPr>
          <w:b/>
        </w:rPr>
        <w:t>)</w:t>
      </w:r>
    </w:p>
    <w:p w14:paraId="3B36A2B3" w14:textId="77777777" w:rsidR="008F2112" w:rsidRPr="008437F0" w:rsidRDefault="008F2112" w:rsidP="00093030">
      <w:pPr>
        <w:spacing w:line="360" w:lineRule="auto"/>
        <w:rPr>
          <w:b/>
        </w:rPr>
      </w:pPr>
    </w:p>
    <w:p w14:paraId="3A0C8CB6" w14:textId="77777777" w:rsidR="0035226C" w:rsidRPr="008437F0" w:rsidRDefault="0035226C" w:rsidP="00093030">
      <w:pPr>
        <w:spacing w:line="360" w:lineRule="auto"/>
        <w:rPr>
          <w:b/>
        </w:rPr>
      </w:pPr>
      <w:r w:rsidRPr="008437F0">
        <w:rPr>
          <w:b/>
        </w:rPr>
        <w:t>Introduction</w:t>
      </w:r>
    </w:p>
    <w:p w14:paraId="0E7EFA3C" w14:textId="0472AB90" w:rsidR="009430C4" w:rsidRPr="008437F0" w:rsidRDefault="00C22E0E" w:rsidP="00C22E0E">
      <w:pPr>
        <w:spacing w:line="360" w:lineRule="auto"/>
        <w:jc w:val="both"/>
      </w:pPr>
      <w:r w:rsidRPr="008437F0">
        <w:rPr>
          <w:szCs w:val="24"/>
        </w:rPr>
        <w:t>[1]</w:t>
      </w:r>
      <w:r w:rsidRPr="008437F0">
        <w:rPr>
          <w:szCs w:val="24"/>
        </w:rPr>
        <w:tab/>
      </w:r>
      <w:r w:rsidR="002A5F6D" w:rsidRPr="008437F0">
        <w:t xml:space="preserve">The respondent, </w:t>
      </w:r>
      <w:r w:rsidR="00A77863" w:rsidRPr="008437F0">
        <w:t xml:space="preserve">Ms </w:t>
      </w:r>
      <w:r w:rsidR="002A5F6D" w:rsidRPr="008437F0">
        <w:t>Nqulelwa Mtyido</w:t>
      </w:r>
      <w:r w:rsidR="0081781A" w:rsidRPr="008437F0">
        <w:t>,</w:t>
      </w:r>
      <w:r w:rsidR="002A5F6D" w:rsidRPr="008437F0">
        <w:t xml:space="preserve"> alleges that on 17 October 2013 while </w:t>
      </w:r>
      <w:r w:rsidR="00FC4CC6" w:rsidRPr="008437F0">
        <w:t xml:space="preserve">walking along </w:t>
      </w:r>
      <w:r w:rsidR="00C16594" w:rsidRPr="008437F0">
        <w:t xml:space="preserve">Khwezi Street, </w:t>
      </w:r>
      <w:r w:rsidR="002A5F6D" w:rsidRPr="008437F0">
        <w:t xml:space="preserve">in </w:t>
      </w:r>
      <w:r w:rsidR="00B52447" w:rsidRPr="008437F0">
        <w:t xml:space="preserve">Bardale, </w:t>
      </w:r>
      <w:r w:rsidR="00FC4CC6" w:rsidRPr="008437F0">
        <w:t>Mfuleni,</w:t>
      </w:r>
      <w:r w:rsidR="00FE4784" w:rsidRPr="008437F0">
        <w:t xml:space="preserve"> </w:t>
      </w:r>
      <w:r w:rsidR="002A5F6D" w:rsidRPr="008437F0">
        <w:t xml:space="preserve">a public road </w:t>
      </w:r>
      <w:r w:rsidR="00142EF9" w:rsidRPr="008437F0">
        <w:t xml:space="preserve">within the municipal area of the appellant, the City of Cape Town, </w:t>
      </w:r>
      <w:r w:rsidR="002A5F6D" w:rsidRPr="008437F0">
        <w:t xml:space="preserve">she </w:t>
      </w:r>
      <w:r w:rsidR="007675C0" w:rsidRPr="008437F0">
        <w:t>fell</w:t>
      </w:r>
      <w:r w:rsidR="00B52447" w:rsidRPr="008437F0">
        <w:t xml:space="preserve"> </w:t>
      </w:r>
      <w:r w:rsidR="00FE4784" w:rsidRPr="008437F0">
        <w:t>into an open manhole</w:t>
      </w:r>
      <w:r w:rsidR="000F65C1" w:rsidRPr="008437F0">
        <w:t xml:space="preserve"> </w:t>
      </w:r>
      <w:r w:rsidR="002A5F6D" w:rsidRPr="008437F0">
        <w:t xml:space="preserve">which </w:t>
      </w:r>
      <w:r w:rsidR="0035226C" w:rsidRPr="008437F0">
        <w:t>result</w:t>
      </w:r>
      <w:r w:rsidR="002A5F6D" w:rsidRPr="008437F0">
        <w:t xml:space="preserve">ed </w:t>
      </w:r>
      <w:r w:rsidR="0035226C" w:rsidRPr="008437F0">
        <w:t xml:space="preserve">in her </w:t>
      </w:r>
      <w:r w:rsidR="00FE4784" w:rsidRPr="008437F0">
        <w:t>sustain</w:t>
      </w:r>
      <w:r w:rsidR="0035226C" w:rsidRPr="008437F0">
        <w:t xml:space="preserve">ing </w:t>
      </w:r>
      <w:r w:rsidR="00FE4784" w:rsidRPr="008437F0">
        <w:t>injuries</w:t>
      </w:r>
      <w:r w:rsidR="00B52447" w:rsidRPr="008437F0">
        <w:t xml:space="preserve"> to her right ankle</w:t>
      </w:r>
      <w:r w:rsidR="00FE4784" w:rsidRPr="008437F0">
        <w:t xml:space="preserve">. She sued the </w:t>
      </w:r>
      <w:r w:rsidR="009A7084" w:rsidRPr="008437F0">
        <w:t xml:space="preserve">appellant </w:t>
      </w:r>
      <w:r w:rsidR="00A675BF" w:rsidRPr="008437F0">
        <w:t>in the Western Cape Division of the High Court</w:t>
      </w:r>
      <w:r w:rsidR="00A675BF" w:rsidRPr="008437F0">
        <w:rPr>
          <w:rStyle w:val="FootnoteReference"/>
        </w:rPr>
        <w:footnoteReference w:id="1"/>
      </w:r>
      <w:r w:rsidR="00A675BF" w:rsidRPr="008437F0">
        <w:t xml:space="preserve"> (the trial court) </w:t>
      </w:r>
      <w:r w:rsidR="00FE4784" w:rsidRPr="008437F0">
        <w:t xml:space="preserve">for damages </w:t>
      </w:r>
      <w:r w:rsidR="00FF7521" w:rsidRPr="008437F0">
        <w:t>arising from her injuries</w:t>
      </w:r>
      <w:r w:rsidR="00FB65A5" w:rsidRPr="008437F0">
        <w:t xml:space="preserve">. The trial court </w:t>
      </w:r>
      <w:r w:rsidR="0035226C" w:rsidRPr="008437F0">
        <w:t>separated the issue of liability from damages</w:t>
      </w:r>
      <w:r w:rsidR="00F91848" w:rsidRPr="008437F0">
        <w:t xml:space="preserve">. It </w:t>
      </w:r>
      <w:r w:rsidR="0035226C" w:rsidRPr="008437F0">
        <w:t>found that e</w:t>
      </w:r>
      <w:r w:rsidR="00FE4784" w:rsidRPr="008437F0">
        <w:t xml:space="preserve">mployees of the </w:t>
      </w:r>
      <w:r w:rsidR="009A7084" w:rsidRPr="008437F0">
        <w:t xml:space="preserve">appellant wrongfully and </w:t>
      </w:r>
      <w:r w:rsidR="00FE4784" w:rsidRPr="008437F0">
        <w:t>negligent</w:t>
      </w:r>
      <w:r w:rsidR="009A7084" w:rsidRPr="008437F0">
        <w:t xml:space="preserve">ly </w:t>
      </w:r>
      <w:r w:rsidR="00CB18EE" w:rsidRPr="008437F0">
        <w:t xml:space="preserve">failed to </w:t>
      </w:r>
      <w:r w:rsidR="00DB013B" w:rsidRPr="008437F0">
        <w:t xml:space="preserve">take steps to </w:t>
      </w:r>
      <w:r w:rsidR="00CB18EE" w:rsidRPr="008437F0">
        <w:t xml:space="preserve">prevent </w:t>
      </w:r>
      <w:r w:rsidR="00F91848" w:rsidRPr="008437F0">
        <w:t>the respondent</w:t>
      </w:r>
      <w:r w:rsidR="00CB18EE" w:rsidRPr="008437F0">
        <w:t xml:space="preserve"> from being injured</w:t>
      </w:r>
      <w:r w:rsidR="00DB013B" w:rsidRPr="008437F0">
        <w:t xml:space="preserve"> by the open manhole</w:t>
      </w:r>
      <w:r w:rsidR="00CF468C" w:rsidRPr="008437F0">
        <w:t xml:space="preserve">. It </w:t>
      </w:r>
      <w:r w:rsidR="0081781A" w:rsidRPr="008437F0">
        <w:t xml:space="preserve">declared </w:t>
      </w:r>
      <w:r w:rsidR="00FF7521" w:rsidRPr="008437F0">
        <w:t>t</w:t>
      </w:r>
      <w:r w:rsidR="00F91848" w:rsidRPr="008437F0">
        <w:t>he appellant</w:t>
      </w:r>
      <w:r w:rsidR="00FF7521" w:rsidRPr="008437F0">
        <w:t xml:space="preserve"> </w:t>
      </w:r>
      <w:r w:rsidR="00F91848" w:rsidRPr="008437F0">
        <w:t>liable for the damages, if any, that the respondent ha</w:t>
      </w:r>
      <w:r w:rsidR="00CF468C" w:rsidRPr="008437F0">
        <w:t>d</w:t>
      </w:r>
      <w:r w:rsidR="00F91848" w:rsidRPr="008437F0">
        <w:t xml:space="preserve"> suffered in consequence of the </w:t>
      </w:r>
      <w:r w:rsidR="00FF7521" w:rsidRPr="008437F0">
        <w:t>incident</w:t>
      </w:r>
      <w:r w:rsidR="00CF468C" w:rsidRPr="008437F0">
        <w:t xml:space="preserve">, and also </w:t>
      </w:r>
      <w:r w:rsidR="002A5F6D" w:rsidRPr="008437F0">
        <w:t xml:space="preserve">directed that it must </w:t>
      </w:r>
      <w:r w:rsidR="00FF7521" w:rsidRPr="008437F0">
        <w:t xml:space="preserve">pay </w:t>
      </w:r>
      <w:r w:rsidR="002A5F6D" w:rsidRPr="008437F0">
        <w:t xml:space="preserve">her </w:t>
      </w:r>
      <w:r w:rsidR="00E46237" w:rsidRPr="008437F0">
        <w:t>costs.</w:t>
      </w:r>
    </w:p>
    <w:p w14:paraId="38529AA7" w14:textId="77777777" w:rsidR="009430C4" w:rsidRPr="008437F0" w:rsidRDefault="009430C4" w:rsidP="00FC4CC6">
      <w:pPr>
        <w:pStyle w:val="ListParagraph"/>
        <w:spacing w:line="360" w:lineRule="auto"/>
        <w:ind w:left="0"/>
      </w:pPr>
    </w:p>
    <w:p w14:paraId="5403BDC0" w14:textId="2C6F4BF2" w:rsidR="00C16594" w:rsidRPr="008437F0" w:rsidRDefault="00C22E0E" w:rsidP="00C22E0E">
      <w:pPr>
        <w:spacing w:line="360" w:lineRule="auto"/>
        <w:jc w:val="both"/>
      </w:pPr>
      <w:r w:rsidRPr="008437F0">
        <w:rPr>
          <w:szCs w:val="24"/>
        </w:rPr>
        <w:lastRenderedPageBreak/>
        <w:t>[2]</w:t>
      </w:r>
      <w:r w:rsidRPr="008437F0">
        <w:rPr>
          <w:szCs w:val="24"/>
        </w:rPr>
        <w:tab/>
      </w:r>
      <w:r w:rsidR="005530AA" w:rsidRPr="008437F0">
        <w:t xml:space="preserve">The </w:t>
      </w:r>
      <w:r w:rsidR="00142EF9" w:rsidRPr="008437F0">
        <w:t>appellant appealed</w:t>
      </w:r>
      <w:r w:rsidR="00FF7521" w:rsidRPr="008437F0">
        <w:rPr>
          <w:rStyle w:val="FootnoteReference"/>
        </w:rPr>
        <w:footnoteReference w:id="2"/>
      </w:r>
      <w:r w:rsidR="00142EF9" w:rsidRPr="008437F0">
        <w:t xml:space="preserve"> </w:t>
      </w:r>
      <w:r w:rsidR="005530AA" w:rsidRPr="008437F0">
        <w:t xml:space="preserve">against the </w:t>
      </w:r>
      <w:r w:rsidR="00FF7521" w:rsidRPr="008437F0">
        <w:t xml:space="preserve">whole of the judgment of </w:t>
      </w:r>
      <w:r w:rsidR="00142EF9" w:rsidRPr="008437F0">
        <w:t xml:space="preserve">the trial court </w:t>
      </w:r>
      <w:r w:rsidR="00B52447" w:rsidRPr="008437F0">
        <w:t xml:space="preserve">to </w:t>
      </w:r>
      <w:r w:rsidR="005530AA" w:rsidRPr="008437F0">
        <w:t>the full court</w:t>
      </w:r>
      <w:r w:rsidR="00CB18EE" w:rsidRPr="008437F0">
        <w:t xml:space="preserve"> </w:t>
      </w:r>
      <w:r w:rsidR="005530AA" w:rsidRPr="008437F0">
        <w:t>of the Western Cape Division of the High Court</w:t>
      </w:r>
      <w:r w:rsidR="002A5F6D" w:rsidRPr="008437F0">
        <w:t xml:space="preserve"> (the full court)</w:t>
      </w:r>
      <w:r w:rsidR="005530AA" w:rsidRPr="008437F0">
        <w:t>. The full court</w:t>
      </w:r>
      <w:r w:rsidR="00CB18EE" w:rsidRPr="008437F0">
        <w:rPr>
          <w:rStyle w:val="FootnoteReference"/>
        </w:rPr>
        <w:footnoteReference w:id="3"/>
      </w:r>
      <w:r w:rsidR="005530AA" w:rsidRPr="008437F0">
        <w:t xml:space="preserve"> dismissed the appeal with costs. This appeal is against th</w:t>
      </w:r>
      <w:r w:rsidR="006B3918" w:rsidRPr="008437F0">
        <w:t>e</w:t>
      </w:r>
      <w:r w:rsidR="005530AA" w:rsidRPr="008437F0">
        <w:t xml:space="preserve"> decision of the full court</w:t>
      </w:r>
      <w:r w:rsidR="00B64E28" w:rsidRPr="008437F0">
        <w:t>.</w:t>
      </w:r>
      <w:r w:rsidR="005530AA" w:rsidRPr="008437F0">
        <w:rPr>
          <w:rStyle w:val="FootnoteReference"/>
        </w:rPr>
        <w:footnoteReference w:id="4"/>
      </w:r>
      <w:r w:rsidR="00FB65A5" w:rsidRPr="00C22E0E">
        <w:rPr>
          <w:rStyle w:val="FootnoteReference"/>
          <w:vertAlign w:val="baseline"/>
        </w:rPr>
        <w:t xml:space="preserve"> </w:t>
      </w:r>
      <w:r w:rsidR="00C16594" w:rsidRPr="008437F0">
        <w:t xml:space="preserve">The appeal turns on an evaluation of the </w:t>
      </w:r>
      <w:r w:rsidR="00B52447" w:rsidRPr="008437F0">
        <w:t xml:space="preserve">pleadings, the </w:t>
      </w:r>
      <w:r w:rsidR="00C16594" w:rsidRPr="008437F0">
        <w:t xml:space="preserve">evidence and </w:t>
      </w:r>
      <w:r w:rsidR="00B52447" w:rsidRPr="008437F0">
        <w:t xml:space="preserve">the </w:t>
      </w:r>
      <w:r w:rsidR="00C16594" w:rsidRPr="008437F0">
        <w:t>probabilities</w:t>
      </w:r>
      <w:r w:rsidR="008246FF" w:rsidRPr="008437F0">
        <w:t xml:space="preserve"> in the light of the pleadings</w:t>
      </w:r>
      <w:r w:rsidR="00C16594" w:rsidRPr="008437F0">
        <w:t>.</w:t>
      </w:r>
    </w:p>
    <w:p w14:paraId="2E935AB9" w14:textId="77777777" w:rsidR="00C16594" w:rsidRPr="008437F0" w:rsidRDefault="00C16594" w:rsidP="00E46237">
      <w:pPr>
        <w:spacing w:line="360" w:lineRule="auto"/>
        <w:jc w:val="both"/>
        <w:rPr>
          <w:b/>
          <w:bCs/>
        </w:rPr>
      </w:pPr>
    </w:p>
    <w:p w14:paraId="660C3B3A" w14:textId="77777777" w:rsidR="00BB4E2F" w:rsidRPr="008437F0" w:rsidRDefault="00A77863" w:rsidP="00E46237">
      <w:pPr>
        <w:pStyle w:val="ListParagraph"/>
        <w:spacing w:line="360" w:lineRule="auto"/>
        <w:ind w:left="0"/>
        <w:jc w:val="both"/>
        <w:rPr>
          <w:b/>
          <w:bCs/>
        </w:rPr>
      </w:pPr>
      <w:r w:rsidRPr="008437F0">
        <w:rPr>
          <w:b/>
          <w:bCs/>
        </w:rPr>
        <w:t>Requirements for liability</w:t>
      </w:r>
    </w:p>
    <w:p w14:paraId="7E491FF8" w14:textId="73400204" w:rsidR="0081555E" w:rsidRPr="00C22E0E" w:rsidRDefault="00C22E0E" w:rsidP="00C22E0E">
      <w:pPr>
        <w:spacing w:line="360" w:lineRule="auto"/>
        <w:jc w:val="both"/>
        <w:rPr>
          <w:szCs w:val="24"/>
        </w:rPr>
      </w:pPr>
      <w:r w:rsidRPr="008437F0">
        <w:rPr>
          <w:szCs w:val="24"/>
        </w:rPr>
        <w:t>[3]</w:t>
      </w:r>
      <w:r w:rsidRPr="008437F0">
        <w:rPr>
          <w:szCs w:val="24"/>
        </w:rPr>
        <w:tab/>
      </w:r>
      <w:r w:rsidR="0081555E" w:rsidRPr="008437F0">
        <w:t xml:space="preserve">The respondent’s action is founded on the </w:t>
      </w:r>
      <w:r w:rsidR="0081555E" w:rsidRPr="00C22E0E">
        <w:rPr>
          <w:i/>
          <w:iCs/>
        </w:rPr>
        <w:t>actio legis Aquilia.</w:t>
      </w:r>
      <w:r w:rsidR="0081555E" w:rsidRPr="008437F0">
        <w:t xml:space="preserve"> </w:t>
      </w:r>
      <w:r w:rsidR="000F65C1" w:rsidRPr="008437F0">
        <w:t>The issue of liability</w:t>
      </w:r>
      <w:r w:rsidR="00C51D6E" w:rsidRPr="008437F0">
        <w:t xml:space="preserve"> required</w:t>
      </w:r>
      <w:r w:rsidR="000F65C1" w:rsidRPr="008437F0">
        <w:t xml:space="preserve"> the </w:t>
      </w:r>
      <w:r w:rsidR="0081555E" w:rsidRPr="008437F0">
        <w:t xml:space="preserve">respondent to establish </w:t>
      </w:r>
      <w:r w:rsidR="0081781A" w:rsidRPr="008437F0">
        <w:t xml:space="preserve">conduct which was </w:t>
      </w:r>
      <w:r w:rsidR="0081555E" w:rsidRPr="008437F0">
        <w:t>wrongful</w:t>
      </w:r>
      <w:r w:rsidR="00B162E4" w:rsidRPr="008437F0">
        <w:t xml:space="preserve"> </w:t>
      </w:r>
      <w:r w:rsidR="000F65C1" w:rsidRPr="008437F0">
        <w:t>and negligent</w:t>
      </w:r>
      <w:r w:rsidR="00811911" w:rsidRPr="008437F0">
        <w:t>,</w:t>
      </w:r>
      <w:r w:rsidR="0081555E" w:rsidRPr="00C22E0E">
        <w:rPr>
          <w:rStyle w:val="FootnoteReference"/>
          <w:sz w:val="22"/>
          <w:szCs w:val="22"/>
        </w:rPr>
        <w:t xml:space="preserve"> </w:t>
      </w:r>
      <w:r w:rsidR="000F65C1" w:rsidRPr="00C22E0E">
        <w:rPr>
          <w:szCs w:val="24"/>
        </w:rPr>
        <w:t>on the part of employees of the appellant</w:t>
      </w:r>
      <w:r w:rsidR="0081781A" w:rsidRPr="00C22E0E">
        <w:rPr>
          <w:szCs w:val="24"/>
        </w:rPr>
        <w:t>,</w:t>
      </w:r>
      <w:r w:rsidR="000F65C1" w:rsidRPr="00C22E0E">
        <w:rPr>
          <w:szCs w:val="24"/>
        </w:rPr>
        <w:t xml:space="preserve"> </w:t>
      </w:r>
      <w:r w:rsidR="0081555E" w:rsidRPr="00C22E0E">
        <w:rPr>
          <w:szCs w:val="24"/>
        </w:rPr>
        <w:t xml:space="preserve">which caused </w:t>
      </w:r>
      <w:r w:rsidR="000F65C1" w:rsidRPr="00C22E0E">
        <w:rPr>
          <w:szCs w:val="24"/>
        </w:rPr>
        <w:t xml:space="preserve">her to be injured. </w:t>
      </w:r>
      <w:r w:rsidR="00430867" w:rsidRPr="008437F0">
        <w:t xml:space="preserve">The respondent bore the onus of proving these requirements. </w:t>
      </w:r>
    </w:p>
    <w:p w14:paraId="565C6F9E" w14:textId="77777777" w:rsidR="0037793C" w:rsidRPr="008437F0" w:rsidRDefault="0037793C" w:rsidP="0037793C">
      <w:pPr>
        <w:pStyle w:val="ListParagraph"/>
        <w:spacing w:line="360" w:lineRule="auto"/>
        <w:ind w:left="0"/>
      </w:pPr>
    </w:p>
    <w:p w14:paraId="3332EA6C" w14:textId="77777777" w:rsidR="00C16594" w:rsidRPr="008437F0" w:rsidRDefault="00C16594" w:rsidP="00E46237">
      <w:pPr>
        <w:pStyle w:val="ListParagraph"/>
        <w:spacing w:line="360" w:lineRule="auto"/>
        <w:ind w:left="0"/>
        <w:jc w:val="both"/>
        <w:rPr>
          <w:b/>
          <w:bCs/>
        </w:rPr>
      </w:pPr>
      <w:r w:rsidRPr="008437F0">
        <w:rPr>
          <w:b/>
          <w:bCs/>
        </w:rPr>
        <w:t>The evidence</w:t>
      </w:r>
    </w:p>
    <w:p w14:paraId="1555D298" w14:textId="587FDF11" w:rsidR="005B305E" w:rsidRPr="008437F0" w:rsidRDefault="00C22E0E" w:rsidP="00C22E0E">
      <w:pPr>
        <w:spacing w:line="360" w:lineRule="auto"/>
        <w:jc w:val="both"/>
      </w:pPr>
      <w:r w:rsidRPr="008437F0">
        <w:rPr>
          <w:szCs w:val="24"/>
        </w:rPr>
        <w:t>[4]</w:t>
      </w:r>
      <w:r w:rsidRPr="008437F0">
        <w:rPr>
          <w:szCs w:val="24"/>
        </w:rPr>
        <w:tab/>
      </w:r>
      <w:r w:rsidR="00BB4E2F" w:rsidRPr="008437F0">
        <w:t xml:space="preserve">The respondent testified </w:t>
      </w:r>
      <w:r w:rsidR="00036903" w:rsidRPr="008437F0">
        <w:t xml:space="preserve">that </w:t>
      </w:r>
      <w:r w:rsidR="003D1581" w:rsidRPr="008437F0">
        <w:t xml:space="preserve">around 20h00 on 17 October 2013 she was walking along Khwezi Street, Mfuleni, a road perpendicular to </w:t>
      </w:r>
      <w:r w:rsidR="00AD4868" w:rsidRPr="008437F0">
        <w:t>Ukubetana Street</w:t>
      </w:r>
      <w:r w:rsidR="00DC0315" w:rsidRPr="008437F0">
        <w:t xml:space="preserve"> where </w:t>
      </w:r>
      <w:r w:rsidR="003D1581" w:rsidRPr="008437F0">
        <w:t xml:space="preserve">she had </w:t>
      </w:r>
      <w:r w:rsidR="00DC0315" w:rsidRPr="008437F0">
        <w:t>resided</w:t>
      </w:r>
      <w:r w:rsidR="003D1581" w:rsidRPr="008437F0">
        <w:t xml:space="preserve"> </w:t>
      </w:r>
      <w:r w:rsidR="00216C33" w:rsidRPr="008437F0">
        <w:t>from</w:t>
      </w:r>
      <w:r w:rsidR="00AD4868" w:rsidRPr="008437F0">
        <w:t xml:space="preserve"> December 2009</w:t>
      </w:r>
      <w:r w:rsidR="00DC0315" w:rsidRPr="008437F0">
        <w:t xml:space="preserve">, to fetch water from a </w:t>
      </w:r>
      <w:r w:rsidR="00036903" w:rsidRPr="008437F0">
        <w:t xml:space="preserve">tap </w:t>
      </w:r>
      <w:r w:rsidR="00CF468C" w:rsidRPr="008437F0">
        <w:t xml:space="preserve">at </w:t>
      </w:r>
      <w:r w:rsidR="00036903" w:rsidRPr="008437F0">
        <w:t xml:space="preserve">a </w:t>
      </w:r>
      <w:r w:rsidR="00DC0315" w:rsidRPr="008437F0">
        <w:t>nearby informal settlement</w:t>
      </w:r>
      <w:r w:rsidR="00181F81" w:rsidRPr="008437F0">
        <w:t>,</w:t>
      </w:r>
      <w:r w:rsidR="00DC0315" w:rsidRPr="008437F0">
        <w:t xml:space="preserve"> as she was without </w:t>
      </w:r>
      <w:r w:rsidR="00216C33" w:rsidRPr="008437F0">
        <w:t>water at her home</w:t>
      </w:r>
      <w:r w:rsidR="00C23795" w:rsidRPr="008437F0">
        <w:t>.  She had never been to that area before</w:t>
      </w:r>
      <w:r w:rsidR="00430867" w:rsidRPr="008437F0">
        <w:t xml:space="preserve"> and </w:t>
      </w:r>
      <w:r w:rsidR="00C51D6E" w:rsidRPr="008437F0">
        <w:t xml:space="preserve">was </w:t>
      </w:r>
      <w:r w:rsidR="007675C0" w:rsidRPr="008437F0">
        <w:t>un</w:t>
      </w:r>
      <w:r w:rsidR="00C51D6E" w:rsidRPr="008437F0">
        <w:t>aware</w:t>
      </w:r>
      <w:r w:rsidR="00430867" w:rsidRPr="008437F0">
        <w:t xml:space="preserve"> of any manhole in Khwezi Street</w:t>
      </w:r>
      <w:r w:rsidR="00C23795" w:rsidRPr="008437F0">
        <w:t xml:space="preserve">. It was becoming dark, but there was </w:t>
      </w:r>
      <w:r w:rsidR="00430867" w:rsidRPr="008437F0">
        <w:t>a</w:t>
      </w:r>
      <w:r w:rsidR="00C23795" w:rsidRPr="008437F0">
        <w:t xml:space="preserve"> </w:t>
      </w:r>
      <w:r w:rsidR="00BA5D6F" w:rsidRPr="008437F0">
        <w:t xml:space="preserve">floodlight on a high </w:t>
      </w:r>
      <w:r w:rsidR="00430867" w:rsidRPr="008437F0">
        <w:t xml:space="preserve">mast </w:t>
      </w:r>
      <w:r w:rsidR="00716234" w:rsidRPr="008437F0">
        <w:t xml:space="preserve">in an adjoining </w:t>
      </w:r>
      <w:r w:rsidR="00036903" w:rsidRPr="008437F0">
        <w:t>settlement</w:t>
      </w:r>
      <w:r w:rsidR="00716234" w:rsidRPr="008437F0">
        <w:t xml:space="preserve">, </w:t>
      </w:r>
      <w:r w:rsidR="00BA5D6F" w:rsidRPr="008437F0">
        <w:t xml:space="preserve">which provided some light. </w:t>
      </w:r>
      <w:r w:rsidR="00C23795" w:rsidRPr="008437F0">
        <w:t>She walked on the tar road as the pavement was covered with sand and plant growth and she feared she might step on some glass. S</w:t>
      </w:r>
      <w:r w:rsidR="00BA5D6F" w:rsidRPr="008437F0">
        <w:t>uddenly s</w:t>
      </w:r>
      <w:r w:rsidR="00C23795" w:rsidRPr="008437F0">
        <w:t xml:space="preserve">he </w:t>
      </w:r>
      <w:r w:rsidR="00DC0315" w:rsidRPr="008437F0">
        <w:t xml:space="preserve">felt that she was falling and realized her right leg had </w:t>
      </w:r>
      <w:r w:rsidR="00430867" w:rsidRPr="008437F0">
        <w:t xml:space="preserve">stepped </w:t>
      </w:r>
      <w:r w:rsidR="00DC0315" w:rsidRPr="008437F0">
        <w:t>into a ‘drain’</w:t>
      </w:r>
      <w:r w:rsidR="0081781A" w:rsidRPr="008437F0">
        <w:t>,</w:t>
      </w:r>
      <w:r w:rsidR="00430867" w:rsidRPr="008437F0">
        <w:t xml:space="preserve"> which turned out to be an open manhole</w:t>
      </w:r>
      <w:r w:rsidR="004D6B8C" w:rsidRPr="008437F0">
        <w:t xml:space="preserve"> without a cover</w:t>
      </w:r>
      <w:r w:rsidR="00430867" w:rsidRPr="008437F0">
        <w:t>.</w:t>
      </w:r>
      <w:r w:rsidR="00DC0315" w:rsidRPr="008437F0">
        <w:t xml:space="preserve"> She called for help, and two ladies </w:t>
      </w:r>
      <w:r w:rsidR="00BA5D6F" w:rsidRPr="008437F0">
        <w:t xml:space="preserve">who she had come across </w:t>
      </w:r>
      <w:r w:rsidR="008451D1" w:rsidRPr="008437F0">
        <w:t>earlier</w:t>
      </w:r>
      <w:r w:rsidR="00430867" w:rsidRPr="008437F0">
        <w:t>,</w:t>
      </w:r>
      <w:r w:rsidR="00BA5D6F" w:rsidRPr="008437F0">
        <w:t xml:space="preserve"> </w:t>
      </w:r>
      <w:r w:rsidR="00DC0315" w:rsidRPr="008437F0">
        <w:t>came to her assistance. The</w:t>
      </w:r>
      <w:r w:rsidR="00C51D6E" w:rsidRPr="008437F0">
        <w:t>y</w:t>
      </w:r>
      <w:r w:rsidR="00716234" w:rsidRPr="008437F0">
        <w:t xml:space="preserve"> alerted </w:t>
      </w:r>
      <w:r w:rsidR="00DC0315" w:rsidRPr="008437F0">
        <w:t>her husband, who brought his vehicle and took her to the Delft hospital</w:t>
      </w:r>
      <w:r w:rsidR="00430867" w:rsidRPr="008437F0">
        <w:t>.</w:t>
      </w:r>
      <w:r w:rsidR="00DC0315" w:rsidRPr="008437F0">
        <w:t xml:space="preserve"> </w:t>
      </w:r>
    </w:p>
    <w:p w14:paraId="187CBD34" w14:textId="77777777" w:rsidR="00181F81" w:rsidRPr="008437F0" w:rsidRDefault="00181F81" w:rsidP="00181F81">
      <w:pPr>
        <w:pStyle w:val="ListParagraph"/>
        <w:spacing w:line="360" w:lineRule="auto"/>
        <w:ind w:left="0"/>
      </w:pPr>
    </w:p>
    <w:p w14:paraId="04733F46" w14:textId="7B4D6138" w:rsidR="000740B1" w:rsidRPr="008437F0" w:rsidRDefault="00C22E0E" w:rsidP="00C22E0E">
      <w:pPr>
        <w:spacing w:line="360" w:lineRule="auto"/>
        <w:jc w:val="both"/>
      </w:pPr>
      <w:r w:rsidRPr="008437F0">
        <w:rPr>
          <w:szCs w:val="24"/>
        </w:rPr>
        <w:lastRenderedPageBreak/>
        <w:t>[5]</w:t>
      </w:r>
      <w:r w:rsidRPr="008437F0">
        <w:rPr>
          <w:szCs w:val="24"/>
        </w:rPr>
        <w:tab/>
      </w:r>
      <w:r w:rsidR="00C51D6E" w:rsidRPr="008437F0">
        <w:t>The respondent</w:t>
      </w:r>
      <w:r w:rsidR="00567174" w:rsidRPr="008437F0">
        <w:t xml:space="preserve"> pointed </w:t>
      </w:r>
      <w:r w:rsidR="00BA5D6F" w:rsidRPr="008437F0">
        <w:t xml:space="preserve">out the </w:t>
      </w:r>
      <w:r w:rsidR="005B305E" w:rsidRPr="008437F0">
        <w:t xml:space="preserve">location of the </w:t>
      </w:r>
      <w:r w:rsidR="00BA5D6F" w:rsidRPr="008437F0">
        <w:t xml:space="preserve">manhole </w:t>
      </w:r>
      <w:r w:rsidR="00B64E28" w:rsidRPr="008437F0">
        <w:t xml:space="preserve">in Khwezi Street </w:t>
      </w:r>
      <w:r w:rsidR="00837109" w:rsidRPr="008437F0">
        <w:t>to representatives of the appellant during an inspection during November 2019</w:t>
      </w:r>
      <w:r w:rsidR="00BC3646" w:rsidRPr="008437F0">
        <w:t xml:space="preserve">. She also identified the </w:t>
      </w:r>
      <w:r w:rsidR="004D6B8C" w:rsidRPr="008437F0">
        <w:t xml:space="preserve">location of the </w:t>
      </w:r>
      <w:r w:rsidR="00BC3646" w:rsidRPr="008437F0">
        <w:t xml:space="preserve">manhole on a series of </w:t>
      </w:r>
      <w:r w:rsidR="00BA5D6F" w:rsidRPr="008437F0">
        <w:t>p</w:t>
      </w:r>
      <w:r w:rsidR="00837109" w:rsidRPr="008437F0">
        <w:t xml:space="preserve">hotographs </w:t>
      </w:r>
      <w:r w:rsidR="00BC3646" w:rsidRPr="008437F0">
        <w:t xml:space="preserve">introduced by the appellant (the appellant’s photographs). </w:t>
      </w:r>
      <w:r w:rsidR="0033448C" w:rsidRPr="008437F0">
        <w:t xml:space="preserve">These </w:t>
      </w:r>
      <w:r w:rsidR="00BC3646" w:rsidRPr="008437F0">
        <w:t xml:space="preserve">photographs </w:t>
      </w:r>
      <w:r w:rsidR="0033448C" w:rsidRPr="008437F0">
        <w:t>show a manhole with a cover in place fitted</w:t>
      </w:r>
      <w:r w:rsidR="0081781A" w:rsidRPr="008437F0">
        <w:t>,</w:t>
      </w:r>
      <w:r w:rsidR="005B305E" w:rsidRPr="008437F0">
        <w:t xml:space="preserve"> </w:t>
      </w:r>
      <w:r w:rsidR="0033448C" w:rsidRPr="008437F0">
        <w:t>in the tar</w:t>
      </w:r>
      <w:r w:rsidR="005B305E" w:rsidRPr="008437F0">
        <w:t>red</w:t>
      </w:r>
      <w:r w:rsidR="0033448C" w:rsidRPr="008437F0">
        <w:t xml:space="preserve"> road</w:t>
      </w:r>
      <w:r w:rsidR="0081781A" w:rsidRPr="008437F0">
        <w:t>,</w:t>
      </w:r>
      <w:r w:rsidR="0033448C" w:rsidRPr="008437F0">
        <w:t xml:space="preserve"> flush with the tarred surface. </w:t>
      </w:r>
      <w:r w:rsidR="00BA5D6F" w:rsidRPr="008437F0">
        <w:t xml:space="preserve">She </w:t>
      </w:r>
      <w:r w:rsidR="009B78D3" w:rsidRPr="008437F0">
        <w:t>testified that ‘</w:t>
      </w:r>
      <w:r w:rsidR="00BA5D6F" w:rsidRPr="008437F0">
        <w:t xml:space="preserve">at </w:t>
      </w:r>
      <w:r w:rsidR="009B78D3" w:rsidRPr="008437F0">
        <w:t xml:space="preserve">that stage of the </w:t>
      </w:r>
      <w:r w:rsidR="00BA5D6F" w:rsidRPr="008437F0">
        <w:t xml:space="preserve">incident </w:t>
      </w:r>
      <w:r w:rsidR="009B78D3" w:rsidRPr="008437F0">
        <w:t xml:space="preserve">. . . this </w:t>
      </w:r>
      <w:r w:rsidR="00BA5D6F" w:rsidRPr="008437F0">
        <w:t>hole was not in th</w:t>
      </w:r>
      <w:r w:rsidR="009B78D3" w:rsidRPr="008437F0">
        <w:t>is</w:t>
      </w:r>
      <w:r w:rsidR="00BA5D6F" w:rsidRPr="008437F0">
        <w:t xml:space="preserve"> fashion </w:t>
      </w:r>
      <w:r w:rsidR="009B78D3" w:rsidRPr="008437F0">
        <w:t xml:space="preserve">it shows here today’ and ‘that there is a difference today . . </w:t>
      </w:r>
      <w:r w:rsidR="005B305E" w:rsidRPr="008437F0">
        <w:t>.</w:t>
      </w:r>
      <w:r w:rsidR="00BC3646" w:rsidRPr="008437F0">
        <w:t>’</w:t>
      </w:r>
      <w:r w:rsidR="00BA5D6F" w:rsidRPr="008437F0">
        <w:t xml:space="preserve"> She was </w:t>
      </w:r>
      <w:r w:rsidR="00BC3646" w:rsidRPr="008437F0">
        <w:t xml:space="preserve">also </w:t>
      </w:r>
      <w:r w:rsidR="00BA5D6F" w:rsidRPr="008437F0">
        <w:t xml:space="preserve">referred to </w:t>
      </w:r>
      <w:r w:rsidR="009B78D3" w:rsidRPr="008437F0">
        <w:t xml:space="preserve">three </w:t>
      </w:r>
      <w:r w:rsidR="00BA5D6F" w:rsidRPr="008437F0">
        <w:t>photographs</w:t>
      </w:r>
      <w:r w:rsidR="00BC3646" w:rsidRPr="008437F0">
        <w:t xml:space="preserve"> (the respondent’s photographs)</w:t>
      </w:r>
      <w:r w:rsidR="00BA5D6F" w:rsidRPr="008437F0">
        <w:t xml:space="preserve"> </w:t>
      </w:r>
      <w:r w:rsidR="00BC3646" w:rsidRPr="008437F0">
        <w:t xml:space="preserve">in respect of which </w:t>
      </w:r>
      <w:r w:rsidR="00BA5D6F" w:rsidRPr="008437F0">
        <w:t xml:space="preserve">her attorneys </w:t>
      </w:r>
      <w:r w:rsidR="00BC3646" w:rsidRPr="008437F0">
        <w:t xml:space="preserve">had provided written </w:t>
      </w:r>
      <w:r w:rsidR="00BA5D6F" w:rsidRPr="008437F0">
        <w:t xml:space="preserve">notice </w:t>
      </w:r>
      <w:r w:rsidR="00A35A38" w:rsidRPr="008437F0">
        <w:t>in terms of rule 36(10)</w:t>
      </w:r>
      <w:r w:rsidR="00036903" w:rsidRPr="008437F0">
        <w:rPr>
          <w:rStyle w:val="FootnoteReference"/>
        </w:rPr>
        <w:footnoteReference w:id="5"/>
      </w:r>
      <w:r w:rsidR="00BC3646" w:rsidRPr="008437F0">
        <w:t xml:space="preserve"> </w:t>
      </w:r>
      <w:r w:rsidR="0096460C" w:rsidRPr="008437F0">
        <w:t>as ‘depicting the scene of the incident</w:t>
      </w:r>
      <w:r w:rsidR="00A35A38" w:rsidRPr="008437F0">
        <w:t>.</w:t>
      </w:r>
      <w:r w:rsidR="0096460C" w:rsidRPr="008437F0">
        <w:t xml:space="preserve">’ </w:t>
      </w:r>
      <w:r w:rsidR="00A35A38" w:rsidRPr="008437F0">
        <w:t xml:space="preserve">No </w:t>
      </w:r>
      <w:r w:rsidR="0096460C" w:rsidRPr="008437F0">
        <w:t xml:space="preserve">objection was </w:t>
      </w:r>
      <w:r w:rsidR="00A35A38" w:rsidRPr="008437F0">
        <w:t xml:space="preserve">raised to this notice </w:t>
      </w:r>
      <w:r w:rsidR="0096460C" w:rsidRPr="008437F0">
        <w:t xml:space="preserve">thus entitling the respondent to produce </w:t>
      </w:r>
      <w:r w:rsidR="004D6B8C" w:rsidRPr="008437F0">
        <w:t xml:space="preserve">the </w:t>
      </w:r>
      <w:r w:rsidR="0096460C" w:rsidRPr="008437F0">
        <w:t>photographs without formal proof thereof</w:t>
      </w:r>
      <w:r w:rsidR="0033448C" w:rsidRPr="008437F0">
        <w:t xml:space="preserve">. </w:t>
      </w:r>
      <w:r w:rsidR="0096460C" w:rsidRPr="008437F0">
        <w:t xml:space="preserve">Although she </w:t>
      </w:r>
      <w:r w:rsidR="0033448C" w:rsidRPr="008437F0">
        <w:t xml:space="preserve">did not know who had </w:t>
      </w:r>
      <w:r w:rsidR="00BC3646" w:rsidRPr="008437F0">
        <w:t xml:space="preserve">captured </w:t>
      </w:r>
      <w:r w:rsidR="0033448C" w:rsidRPr="008437F0">
        <w:t>the</w:t>
      </w:r>
      <w:r w:rsidR="00BC3646" w:rsidRPr="008437F0">
        <w:t xml:space="preserve"> respondent’s</w:t>
      </w:r>
      <w:r w:rsidR="0033448C" w:rsidRPr="008437F0">
        <w:t xml:space="preserve"> photographs, she </w:t>
      </w:r>
      <w:r w:rsidR="000740B1" w:rsidRPr="008437F0">
        <w:t>was clear that</w:t>
      </w:r>
      <w:r w:rsidR="005B305E" w:rsidRPr="008437F0">
        <w:t xml:space="preserve"> ‘these photos depict the area and </w:t>
      </w:r>
      <w:r w:rsidR="005B305E" w:rsidRPr="00C22E0E">
        <w:rPr>
          <w:i/>
          <w:iCs/>
        </w:rPr>
        <w:t>how it was during that period of this incident’</w:t>
      </w:r>
      <w:r w:rsidR="005B305E" w:rsidRPr="008437F0">
        <w:t>.</w:t>
      </w:r>
      <w:r w:rsidR="00647884" w:rsidRPr="008437F0">
        <w:t>(Emphasis added)</w:t>
      </w:r>
      <w:r w:rsidR="005B305E" w:rsidRPr="008437F0">
        <w:t xml:space="preserve"> </w:t>
      </w:r>
    </w:p>
    <w:p w14:paraId="544F0990" w14:textId="77777777" w:rsidR="000740B1" w:rsidRPr="008437F0" w:rsidRDefault="000740B1" w:rsidP="00A35A38">
      <w:pPr>
        <w:pStyle w:val="ListParagraph"/>
        <w:spacing w:line="360" w:lineRule="auto"/>
        <w:ind w:left="0"/>
      </w:pPr>
    </w:p>
    <w:p w14:paraId="772ECECC" w14:textId="7C03710F" w:rsidR="00507423" w:rsidRPr="008437F0" w:rsidRDefault="00C22E0E" w:rsidP="00C22E0E">
      <w:pPr>
        <w:spacing w:line="360" w:lineRule="auto"/>
        <w:jc w:val="both"/>
      </w:pPr>
      <w:r w:rsidRPr="008437F0">
        <w:rPr>
          <w:szCs w:val="24"/>
        </w:rPr>
        <w:t>[6]</w:t>
      </w:r>
      <w:r w:rsidRPr="008437F0">
        <w:rPr>
          <w:szCs w:val="24"/>
        </w:rPr>
        <w:tab/>
      </w:r>
      <w:r w:rsidR="0096460C" w:rsidRPr="008437F0">
        <w:t>The respondent’s photographs show</w:t>
      </w:r>
      <w:r w:rsidR="00647884" w:rsidRPr="008437F0">
        <w:t xml:space="preserve"> </w:t>
      </w:r>
      <w:r w:rsidR="00A35A38" w:rsidRPr="008437F0">
        <w:t>‘</w:t>
      </w:r>
      <w:r w:rsidR="00647884" w:rsidRPr="008437F0">
        <w:t>an object</w:t>
      </w:r>
      <w:r w:rsidR="00A35A38" w:rsidRPr="008437F0">
        <w:t>’</w:t>
      </w:r>
      <w:r w:rsidR="00647884" w:rsidRPr="008437F0">
        <w:t xml:space="preserve"> a short distance from the intersection of Ukubetana and Khwezi Streets</w:t>
      </w:r>
      <w:r w:rsidR="00A35A38" w:rsidRPr="008437F0">
        <w:t xml:space="preserve">, </w:t>
      </w:r>
      <w:r w:rsidR="00647884" w:rsidRPr="008437F0">
        <w:t xml:space="preserve">which she </w:t>
      </w:r>
      <w:r w:rsidR="009B78D3" w:rsidRPr="008437F0">
        <w:t xml:space="preserve">said ‘is the same </w:t>
      </w:r>
      <w:r w:rsidR="00647884" w:rsidRPr="008437F0">
        <w:t>like this one</w:t>
      </w:r>
      <w:r w:rsidR="009B78D3" w:rsidRPr="008437F0">
        <w:t xml:space="preserve">’, referring to </w:t>
      </w:r>
      <w:r w:rsidR="00B64E28" w:rsidRPr="008437F0">
        <w:t>a</w:t>
      </w:r>
      <w:r w:rsidR="009B78D3" w:rsidRPr="008437F0">
        <w:t xml:space="preserve"> </w:t>
      </w:r>
      <w:r w:rsidR="00A35A38" w:rsidRPr="008437F0">
        <w:t xml:space="preserve">close up </w:t>
      </w:r>
      <w:r w:rsidR="009B78D3" w:rsidRPr="008437F0">
        <w:t>photograph of the open manhole</w:t>
      </w:r>
      <w:r w:rsidR="00A35A38" w:rsidRPr="008437F0">
        <w:t xml:space="preserve"> she said resulted in her injury</w:t>
      </w:r>
      <w:r w:rsidR="005E636B" w:rsidRPr="008437F0">
        <w:t>.</w:t>
      </w:r>
      <w:r w:rsidR="009B78D3" w:rsidRPr="008437F0">
        <w:t xml:space="preserve"> </w:t>
      </w:r>
      <w:r w:rsidR="002F7D58" w:rsidRPr="008437F0">
        <w:t xml:space="preserve">She </w:t>
      </w:r>
      <w:r w:rsidR="009B78D3" w:rsidRPr="008437F0">
        <w:t>conclud</w:t>
      </w:r>
      <w:r w:rsidR="002F7D58" w:rsidRPr="008437F0">
        <w:t>ed by stating</w:t>
      </w:r>
      <w:r w:rsidR="009B78D3" w:rsidRPr="008437F0">
        <w:t xml:space="preserve">, ‘So hence I say it’s the </w:t>
      </w:r>
      <w:r w:rsidR="00647884" w:rsidRPr="008437F0">
        <w:t>same manhole</w:t>
      </w:r>
      <w:r w:rsidR="009B78D3" w:rsidRPr="008437F0">
        <w:t>.</w:t>
      </w:r>
      <w:r w:rsidR="00647884" w:rsidRPr="008437F0">
        <w:t xml:space="preserve">’ The </w:t>
      </w:r>
      <w:r w:rsidR="009B78D3" w:rsidRPr="008437F0">
        <w:t>close</w:t>
      </w:r>
      <w:r w:rsidR="004D6B8C" w:rsidRPr="008437F0">
        <w:t>-</w:t>
      </w:r>
      <w:r w:rsidR="009B78D3" w:rsidRPr="008437F0">
        <w:t xml:space="preserve">up </w:t>
      </w:r>
      <w:r w:rsidR="00647884" w:rsidRPr="008437F0">
        <w:t>photo</w:t>
      </w:r>
      <w:r w:rsidR="009B78D3" w:rsidRPr="008437F0">
        <w:t xml:space="preserve">graph of the </w:t>
      </w:r>
      <w:r w:rsidR="00181F81" w:rsidRPr="008437F0">
        <w:t xml:space="preserve">‘object’ shows a </w:t>
      </w:r>
      <w:r w:rsidR="009B78D3" w:rsidRPr="008437F0">
        <w:t xml:space="preserve">manhole </w:t>
      </w:r>
      <w:r w:rsidR="0096460C" w:rsidRPr="008437F0">
        <w:t xml:space="preserve">partially covered by </w:t>
      </w:r>
      <w:r w:rsidR="00545805" w:rsidRPr="008437F0">
        <w:t xml:space="preserve">what appears to be </w:t>
      </w:r>
      <w:r w:rsidR="0096460C" w:rsidRPr="008437F0">
        <w:t xml:space="preserve">two </w:t>
      </w:r>
      <w:r w:rsidR="00B64E28" w:rsidRPr="008437F0">
        <w:t xml:space="preserve">concrete </w:t>
      </w:r>
      <w:r w:rsidR="0096460C" w:rsidRPr="008437F0">
        <w:t xml:space="preserve">kerbing </w:t>
      </w:r>
      <w:r w:rsidR="009B78D3" w:rsidRPr="008437F0">
        <w:t>stones</w:t>
      </w:r>
      <w:r w:rsidR="004D6B8C" w:rsidRPr="008437F0">
        <w:t>,</w:t>
      </w:r>
      <w:r w:rsidR="009B78D3" w:rsidRPr="008437F0">
        <w:t xml:space="preserve"> similar to those forming the border of the </w:t>
      </w:r>
      <w:r w:rsidR="0096460C" w:rsidRPr="008437F0">
        <w:t xml:space="preserve">pavement in that area, but still leaving about half of the </w:t>
      </w:r>
      <w:r w:rsidR="009B78D3" w:rsidRPr="008437F0">
        <w:t xml:space="preserve">open </w:t>
      </w:r>
      <w:r w:rsidR="0096460C" w:rsidRPr="008437F0">
        <w:t xml:space="preserve">manhole </w:t>
      </w:r>
      <w:r w:rsidR="00647884" w:rsidRPr="008437F0">
        <w:t>exposed</w:t>
      </w:r>
      <w:r w:rsidR="009B78D3" w:rsidRPr="008437F0">
        <w:t xml:space="preserve">. </w:t>
      </w:r>
      <w:r w:rsidR="00545805" w:rsidRPr="008437F0">
        <w:t xml:space="preserve">During the trial the </w:t>
      </w:r>
      <w:r w:rsidR="0033448C" w:rsidRPr="008437F0">
        <w:t>appellant conceded that the area shown on the</w:t>
      </w:r>
      <w:r w:rsidR="00545805" w:rsidRPr="008437F0">
        <w:t xml:space="preserve"> respondent’s</w:t>
      </w:r>
      <w:r w:rsidR="0033448C" w:rsidRPr="008437F0">
        <w:t xml:space="preserve"> photographs is the area concerned</w:t>
      </w:r>
      <w:r w:rsidR="00690611" w:rsidRPr="008437F0">
        <w:t>.</w:t>
      </w:r>
    </w:p>
    <w:p w14:paraId="59C0611E" w14:textId="77777777" w:rsidR="00507423" w:rsidRPr="008437F0" w:rsidRDefault="00507423" w:rsidP="00E46237">
      <w:pPr>
        <w:spacing w:line="360" w:lineRule="auto"/>
        <w:rPr>
          <w:szCs w:val="24"/>
        </w:rPr>
      </w:pPr>
    </w:p>
    <w:p w14:paraId="445AA33A" w14:textId="02181529" w:rsidR="003B4B3A" w:rsidRPr="00C22E0E" w:rsidRDefault="00C22E0E" w:rsidP="00C22E0E">
      <w:pPr>
        <w:spacing w:line="360" w:lineRule="auto"/>
        <w:jc w:val="both"/>
        <w:rPr>
          <w:szCs w:val="24"/>
        </w:rPr>
      </w:pPr>
      <w:r w:rsidRPr="008437F0">
        <w:rPr>
          <w:szCs w:val="24"/>
        </w:rPr>
        <w:t>[7]</w:t>
      </w:r>
      <w:r w:rsidRPr="008437F0">
        <w:rPr>
          <w:szCs w:val="24"/>
        </w:rPr>
        <w:tab/>
      </w:r>
      <w:r w:rsidR="0081781A" w:rsidRPr="00C22E0E">
        <w:rPr>
          <w:szCs w:val="24"/>
        </w:rPr>
        <w:t xml:space="preserve">The respondent </w:t>
      </w:r>
      <w:r w:rsidR="00507423" w:rsidRPr="00C22E0E">
        <w:rPr>
          <w:szCs w:val="24"/>
        </w:rPr>
        <w:t>testified that there were no people staying on the opposite side of Khwezi Street</w:t>
      </w:r>
      <w:r w:rsidR="0081781A" w:rsidRPr="00C22E0E">
        <w:rPr>
          <w:szCs w:val="24"/>
        </w:rPr>
        <w:t>,</w:t>
      </w:r>
      <w:r w:rsidR="00507423" w:rsidRPr="00C22E0E">
        <w:rPr>
          <w:szCs w:val="24"/>
        </w:rPr>
        <w:t xml:space="preserve"> where </w:t>
      </w:r>
      <w:r w:rsidR="00181F81" w:rsidRPr="00C22E0E">
        <w:rPr>
          <w:szCs w:val="24"/>
        </w:rPr>
        <w:t xml:space="preserve">the </w:t>
      </w:r>
      <w:r w:rsidR="00507423" w:rsidRPr="00C22E0E">
        <w:rPr>
          <w:szCs w:val="24"/>
        </w:rPr>
        <w:t xml:space="preserve">storm water pipes </w:t>
      </w:r>
      <w:r w:rsidR="0081781A" w:rsidRPr="00C22E0E">
        <w:rPr>
          <w:szCs w:val="24"/>
        </w:rPr>
        <w:t xml:space="preserve">are positioned </w:t>
      </w:r>
      <w:r w:rsidR="00181F81" w:rsidRPr="00C22E0E">
        <w:rPr>
          <w:szCs w:val="24"/>
        </w:rPr>
        <w:t>o</w:t>
      </w:r>
      <w:r w:rsidR="00507423" w:rsidRPr="00C22E0E">
        <w:rPr>
          <w:szCs w:val="24"/>
        </w:rPr>
        <w:t>n the respondent’s photographs</w:t>
      </w:r>
      <w:r w:rsidR="0081781A" w:rsidRPr="00C22E0E">
        <w:rPr>
          <w:szCs w:val="24"/>
        </w:rPr>
        <w:t xml:space="preserve">, </w:t>
      </w:r>
      <w:r w:rsidR="004D6B8C" w:rsidRPr="00C22E0E">
        <w:rPr>
          <w:szCs w:val="24"/>
        </w:rPr>
        <w:t xml:space="preserve">during </w:t>
      </w:r>
      <w:r w:rsidR="00507423" w:rsidRPr="00C22E0E">
        <w:rPr>
          <w:szCs w:val="24"/>
        </w:rPr>
        <w:t>October 2013</w:t>
      </w:r>
      <w:r w:rsidR="00181F81" w:rsidRPr="00C22E0E">
        <w:rPr>
          <w:szCs w:val="24"/>
        </w:rPr>
        <w:t>;</w:t>
      </w:r>
      <w:r w:rsidR="00507423" w:rsidRPr="00C22E0E">
        <w:rPr>
          <w:szCs w:val="24"/>
        </w:rPr>
        <w:t xml:space="preserve"> </w:t>
      </w:r>
      <w:r w:rsidR="004D6B8C" w:rsidRPr="00C22E0E">
        <w:rPr>
          <w:szCs w:val="24"/>
        </w:rPr>
        <w:t>that ‘nothing else happens further down’</w:t>
      </w:r>
      <w:r w:rsidR="0081781A" w:rsidRPr="00C22E0E">
        <w:rPr>
          <w:szCs w:val="24"/>
        </w:rPr>
        <w:t xml:space="preserve"> from the spot where she was injured</w:t>
      </w:r>
      <w:r w:rsidR="00181F81" w:rsidRPr="00C22E0E">
        <w:rPr>
          <w:szCs w:val="24"/>
        </w:rPr>
        <w:t>;</w:t>
      </w:r>
      <w:r w:rsidR="004D6B8C" w:rsidRPr="00C22E0E">
        <w:rPr>
          <w:szCs w:val="24"/>
        </w:rPr>
        <w:t xml:space="preserve"> </w:t>
      </w:r>
      <w:r w:rsidR="00507423" w:rsidRPr="00C22E0E">
        <w:rPr>
          <w:szCs w:val="24"/>
        </w:rPr>
        <w:t>that workers were busy preparing that area</w:t>
      </w:r>
      <w:r w:rsidR="00181F81" w:rsidRPr="00C22E0E">
        <w:rPr>
          <w:szCs w:val="24"/>
        </w:rPr>
        <w:t>;</w:t>
      </w:r>
      <w:r w:rsidR="00507423" w:rsidRPr="00C22E0E">
        <w:rPr>
          <w:szCs w:val="24"/>
        </w:rPr>
        <w:t xml:space="preserve"> </w:t>
      </w:r>
      <w:r w:rsidR="00181F81" w:rsidRPr="00C22E0E">
        <w:rPr>
          <w:szCs w:val="24"/>
        </w:rPr>
        <w:t xml:space="preserve">that people started staying there only from 2018; and </w:t>
      </w:r>
      <w:r w:rsidR="00507423" w:rsidRPr="00C22E0E">
        <w:rPr>
          <w:szCs w:val="24"/>
        </w:rPr>
        <w:t xml:space="preserve">that the tarred road (in Khwezi street) ended at a point somewhere between the manhole and the tap where she </w:t>
      </w:r>
      <w:r w:rsidR="007675C0" w:rsidRPr="00C22E0E">
        <w:rPr>
          <w:szCs w:val="24"/>
        </w:rPr>
        <w:t>was going</w:t>
      </w:r>
      <w:r w:rsidR="00507423" w:rsidRPr="00C22E0E">
        <w:rPr>
          <w:szCs w:val="24"/>
        </w:rPr>
        <w:t xml:space="preserve"> to fetch </w:t>
      </w:r>
      <w:r w:rsidR="00181F81" w:rsidRPr="00C22E0E">
        <w:rPr>
          <w:szCs w:val="24"/>
        </w:rPr>
        <w:t xml:space="preserve">the </w:t>
      </w:r>
      <w:r w:rsidR="00507423" w:rsidRPr="00C22E0E">
        <w:rPr>
          <w:szCs w:val="24"/>
        </w:rPr>
        <w:t>water</w:t>
      </w:r>
      <w:r w:rsidR="00181F81" w:rsidRPr="00C22E0E">
        <w:rPr>
          <w:szCs w:val="24"/>
        </w:rPr>
        <w:t>.</w:t>
      </w:r>
      <w:r w:rsidR="00393477" w:rsidRPr="00C22E0E">
        <w:rPr>
          <w:sz w:val="20"/>
          <w:szCs w:val="20"/>
        </w:rPr>
        <w:t xml:space="preserve"> </w:t>
      </w:r>
      <w:r w:rsidR="00393477" w:rsidRPr="00C22E0E">
        <w:rPr>
          <w:szCs w:val="24"/>
        </w:rPr>
        <w:t xml:space="preserve">A </w:t>
      </w:r>
      <w:r w:rsidR="00393477" w:rsidRPr="00C22E0E">
        <w:rPr>
          <w:szCs w:val="24"/>
        </w:rPr>
        <w:lastRenderedPageBreak/>
        <w:t xml:space="preserve">comparison of the appellant’s and respondent’s photographs also suggest that Khwezi Street was subsequently extended and tarred beyond the point indicated by the respondent. A witness called by the appellant, Mr Welman disputed this, and said the road was </w:t>
      </w:r>
      <w:r w:rsidR="00B64E28" w:rsidRPr="00C22E0E">
        <w:rPr>
          <w:szCs w:val="24"/>
        </w:rPr>
        <w:t xml:space="preserve">already </w:t>
      </w:r>
      <w:r w:rsidR="00393477" w:rsidRPr="00C22E0E">
        <w:rPr>
          <w:szCs w:val="24"/>
        </w:rPr>
        <w:t xml:space="preserve">complete </w:t>
      </w:r>
      <w:r w:rsidR="00B64E28" w:rsidRPr="00C22E0E">
        <w:rPr>
          <w:szCs w:val="24"/>
        </w:rPr>
        <w:t xml:space="preserve">in 2013, </w:t>
      </w:r>
      <w:r w:rsidR="00393477" w:rsidRPr="00C22E0E">
        <w:rPr>
          <w:szCs w:val="24"/>
        </w:rPr>
        <w:t>but simply obscured by sand covering it</w:t>
      </w:r>
      <w:r w:rsidR="002F7D58" w:rsidRPr="00C22E0E">
        <w:rPr>
          <w:szCs w:val="24"/>
        </w:rPr>
        <w:t xml:space="preserve">. However, </w:t>
      </w:r>
      <w:r w:rsidR="00393477" w:rsidRPr="00C22E0E">
        <w:rPr>
          <w:szCs w:val="24"/>
        </w:rPr>
        <w:t>this was n</w:t>
      </w:r>
      <w:r w:rsidR="00811911" w:rsidRPr="00C22E0E">
        <w:rPr>
          <w:szCs w:val="24"/>
        </w:rPr>
        <w:t>ot</w:t>
      </w:r>
      <w:r w:rsidR="00393477" w:rsidRPr="00C22E0E">
        <w:rPr>
          <w:szCs w:val="24"/>
        </w:rPr>
        <w:t xml:space="preserve"> put to the respondent</w:t>
      </w:r>
      <w:r w:rsidR="00B64E28" w:rsidRPr="00C22E0E">
        <w:rPr>
          <w:szCs w:val="24"/>
        </w:rPr>
        <w:t xml:space="preserve"> in cross examination</w:t>
      </w:r>
      <w:r w:rsidR="00E46237" w:rsidRPr="00C22E0E">
        <w:rPr>
          <w:szCs w:val="24"/>
        </w:rPr>
        <w:t>.</w:t>
      </w:r>
    </w:p>
    <w:p w14:paraId="6434AE0D" w14:textId="77777777" w:rsidR="0096460C" w:rsidRPr="008437F0" w:rsidRDefault="0096460C" w:rsidP="003B4B3A">
      <w:pPr>
        <w:pStyle w:val="ListParagraph"/>
        <w:spacing w:line="360" w:lineRule="auto"/>
        <w:ind w:left="0"/>
      </w:pPr>
    </w:p>
    <w:p w14:paraId="54061B96" w14:textId="0D2B23A6" w:rsidR="007F0E6B" w:rsidRPr="008437F0" w:rsidRDefault="00C22E0E" w:rsidP="00C22E0E">
      <w:pPr>
        <w:spacing w:line="360" w:lineRule="auto"/>
        <w:jc w:val="both"/>
      </w:pPr>
      <w:r w:rsidRPr="008437F0">
        <w:rPr>
          <w:szCs w:val="24"/>
        </w:rPr>
        <w:t>[8]</w:t>
      </w:r>
      <w:r w:rsidRPr="008437F0">
        <w:rPr>
          <w:szCs w:val="24"/>
        </w:rPr>
        <w:tab/>
      </w:r>
      <w:r w:rsidR="003E6D40" w:rsidRPr="008437F0">
        <w:t xml:space="preserve">The respondent also called the evidence of Mr Barnabas Zwehile Xwayi (Mr Xwayi). He </w:t>
      </w:r>
      <w:r w:rsidR="00C23795" w:rsidRPr="008437F0">
        <w:t xml:space="preserve">previously </w:t>
      </w:r>
      <w:r w:rsidR="0087258F" w:rsidRPr="008437F0">
        <w:t xml:space="preserve">lived across the </w:t>
      </w:r>
      <w:r w:rsidR="00690611" w:rsidRPr="008437F0">
        <w:t>road</w:t>
      </w:r>
      <w:r w:rsidR="0087258F" w:rsidRPr="008437F0">
        <w:t xml:space="preserve"> from the respondent in Ukubetana Street</w:t>
      </w:r>
      <w:r w:rsidR="00896FAF" w:rsidRPr="008437F0">
        <w:t xml:space="preserve">, but has </w:t>
      </w:r>
      <w:r w:rsidR="00C23795" w:rsidRPr="008437F0">
        <w:t>since retired to the Eastern Cape</w:t>
      </w:r>
      <w:r w:rsidR="0081781A" w:rsidRPr="008437F0">
        <w:t xml:space="preserve">. His </w:t>
      </w:r>
      <w:r w:rsidR="00AB38B8" w:rsidRPr="008437F0">
        <w:t>return for the trial was the first time he retu</w:t>
      </w:r>
      <w:r w:rsidR="003B4B3A" w:rsidRPr="008437F0">
        <w:t xml:space="preserve">rned </w:t>
      </w:r>
      <w:r w:rsidR="0081781A" w:rsidRPr="008437F0">
        <w:t xml:space="preserve">to the area </w:t>
      </w:r>
      <w:r w:rsidR="00AB38B8" w:rsidRPr="008437F0">
        <w:t>since 2018</w:t>
      </w:r>
      <w:r w:rsidR="00837109" w:rsidRPr="008437F0">
        <w:t xml:space="preserve">. He </w:t>
      </w:r>
      <w:r w:rsidR="00545805" w:rsidRPr="008437F0">
        <w:t xml:space="preserve">had become aware </w:t>
      </w:r>
      <w:r w:rsidR="00837109" w:rsidRPr="008437F0">
        <w:t xml:space="preserve">that the respondent </w:t>
      </w:r>
      <w:r w:rsidR="0096460C" w:rsidRPr="008437F0">
        <w:t xml:space="preserve">had </w:t>
      </w:r>
      <w:r w:rsidR="00837109" w:rsidRPr="008437F0">
        <w:t xml:space="preserve">suffered </w:t>
      </w:r>
      <w:r w:rsidR="00647884" w:rsidRPr="008437F0">
        <w:t xml:space="preserve">an </w:t>
      </w:r>
      <w:r w:rsidR="00837109" w:rsidRPr="008437F0">
        <w:t xml:space="preserve">injury </w:t>
      </w:r>
      <w:r w:rsidR="000740B1" w:rsidRPr="008437F0">
        <w:t xml:space="preserve">when </w:t>
      </w:r>
      <w:r w:rsidR="00690611" w:rsidRPr="008437F0">
        <w:t xml:space="preserve">he saw her after </w:t>
      </w:r>
      <w:r w:rsidR="000740B1" w:rsidRPr="008437F0">
        <w:t>she was discharged from hospital</w:t>
      </w:r>
      <w:r w:rsidR="00837109" w:rsidRPr="008437F0">
        <w:t xml:space="preserve">. He had </w:t>
      </w:r>
      <w:r w:rsidR="005E2F32" w:rsidRPr="008437F0">
        <w:t xml:space="preserve">previously </w:t>
      </w:r>
      <w:r w:rsidR="0043708A" w:rsidRPr="008437F0">
        <w:t xml:space="preserve">found an open manhole </w:t>
      </w:r>
      <w:r w:rsidR="00A35A38" w:rsidRPr="008437F0">
        <w:t xml:space="preserve">in Khwezi Street </w:t>
      </w:r>
      <w:r w:rsidR="0043708A" w:rsidRPr="008437F0">
        <w:t xml:space="preserve">which he </w:t>
      </w:r>
      <w:r w:rsidR="00837109" w:rsidRPr="008437F0">
        <w:t>reported to a</w:t>
      </w:r>
      <w:r w:rsidR="000740B1" w:rsidRPr="008437F0">
        <w:t>n employee of the appellant. As this evidence is significan</w:t>
      </w:r>
      <w:r w:rsidR="00545805" w:rsidRPr="008437F0">
        <w:t>t</w:t>
      </w:r>
      <w:r w:rsidR="000740B1" w:rsidRPr="008437F0">
        <w:t>, it is set out verbatim:</w:t>
      </w:r>
    </w:p>
    <w:p w14:paraId="095D34CB" w14:textId="394A4C02" w:rsidR="007F0E6B" w:rsidRPr="008437F0" w:rsidRDefault="009E01FF" w:rsidP="00E46237">
      <w:pPr>
        <w:spacing w:line="360" w:lineRule="auto"/>
        <w:jc w:val="both"/>
        <w:rPr>
          <w:sz w:val="22"/>
          <w:szCs w:val="22"/>
        </w:rPr>
      </w:pPr>
      <w:r w:rsidRPr="008437F0">
        <w:rPr>
          <w:sz w:val="22"/>
          <w:szCs w:val="22"/>
        </w:rPr>
        <w:t>‘The year was 2013, but unfortunately I cannot assist the court by giving the specific month because this was quite a while back. I saw these workers who were busy performing the duties on the road so I approached them and asked them how can I be assisted by having this hole closed. So one these gentlemen who were busy working pointed to somebody and said to me: there is the boss, go and put your complaint to him about this hole. And then I approached this one gentleman, I took him to the hole and showed him the hole. He promised me that the hole will be closed.</w:t>
      </w:r>
    </w:p>
    <w:p w14:paraId="57BF076B" w14:textId="77777777" w:rsidR="009E01FF" w:rsidRPr="008437F0" w:rsidRDefault="009E01FF" w:rsidP="000235BB">
      <w:pPr>
        <w:spacing w:line="360" w:lineRule="auto"/>
        <w:jc w:val="both"/>
        <w:rPr>
          <w:sz w:val="22"/>
          <w:szCs w:val="22"/>
        </w:rPr>
      </w:pPr>
      <w:r w:rsidRPr="008437F0">
        <w:rPr>
          <w:sz w:val="22"/>
          <w:szCs w:val="22"/>
        </w:rPr>
        <w:t>Now as time went by, like approximately two months now I got word that somebody had fallen into that whole.’</w:t>
      </w:r>
    </w:p>
    <w:p w14:paraId="568C6C23" w14:textId="29A6B9F2" w:rsidR="00856BC3" w:rsidRPr="008437F0" w:rsidRDefault="002F7D58" w:rsidP="00E46237">
      <w:pPr>
        <w:spacing w:line="360" w:lineRule="auto"/>
        <w:jc w:val="both"/>
        <w:rPr>
          <w:szCs w:val="24"/>
        </w:rPr>
      </w:pPr>
      <w:r w:rsidRPr="008437F0">
        <w:rPr>
          <w:szCs w:val="24"/>
        </w:rPr>
        <w:t>W</w:t>
      </w:r>
      <w:r w:rsidR="00690611" w:rsidRPr="008437F0">
        <w:rPr>
          <w:szCs w:val="24"/>
        </w:rPr>
        <w:t>hen questioned about the person he spoke to, h</w:t>
      </w:r>
      <w:r w:rsidR="00A35A38" w:rsidRPr="008437F0">
        <w:rPr>
          <w:szCs w:val="24"/>
        </w:rPr>
        <w:t>e said:</w:t>
      </w:r>
    </w:p>
    <w:p w14:paraId="641D5381" w14:textId="3A21543B" w:rsidR="00856BC3" w:rsidRPr="008437F0" w:rsidRDefault="009E01FF" w:rsidP="00E46237">
      <w:pPr>
        <w:spacing w:line="360" w:lineRule="auto"/>
        <w:jc w:val="both"/>
        <w:rPr>
          <w:sz w:val="22"/>
          <w:szCs w:val="22"/>
        </w:rPr>
      </w:pPr>
      <w:r w:rsidRPr="008437F0">
        <w:rPr>
          <w:sz w:val="22"/>
          <w:szCs w:val="22"/>
        </w:rPr>
        <w:t>‘When I looked at this gentleman I noticed they had the emblem of City of Cape Town on their chests, whatever they had on, on their tops, on their hard hats as well as on the bakkie.’</w:t>
      </w:r>
    </w:p>
    <w:p w14:paraId="54195F11" w14:textId="3822EB60" w:rsidR="00503FF1" w:rsidRPr="008437F0" w:rsidRDefault="00A35A38" w:rsidP="007568A4">
      <w:pPr>
        <w:pStyle w:val="ListParagraph"/>
        <w:spacing w:line="360" w:lineRule="auto"/>
        <w:ind w:left="0"/>
        <w:jc w:val="both"/>
        <w:rPr>
          <w:szCs w:val="24"/>
        </w:rPr>
      </w:pPr>
      <w:r w:rsidRPr="008437F0">
        <w:rPr>
          <w:szCs w:val="24"/>
        </w:rPr>
        <w:t xml:space="preserve">He also </w:t>
      </w:r>
      <w:r w:rsidR="002F7D58" w:rsidRPr="008437F0">
        <w:rPr>
          <w:szCs w:val="24"/>
        </w:rPr>
        <w:t xml:space="preserve">said that he </w:t>
      </w:r>
      <w:r w:rsidR="009E01FF" w:rsidRPr="008437F0">
        <w:rPr>
          <w:szCs w:val="24"/>
        </w:rPr>
        <w:t xml:space="preserve">took three poles with some </w:t>
      </w:r>
      <w:r w:rsidR="00503FF1" w:rsidRPr="008437F0">
        <w:rPr>
          <w:szCs w:val="24"/>
        </w:rPr>
        <w:t>‘</w:t>
      </w:r>
      <w:r w:rsidR="009E01FF" w:rsidRPr="008437F0">
        <w:rPr>
          <w:szCs w:val="24"/>
        </w:rPr>
        <w:t>pellets</w:t>
      </w:r>
      <w:r w:rsidR="00503FF1" w:rsidRPr="008437F0">
        <w:rPr>
          <w:szCs w:val="24"/>
        </w:rPr>
        <w:t>’</w:t>
      </w:r>
      <w:r w:rsidRPr="008437F0">
        <w:rPr>
          <w:szCs w:val="24"/>
        </w:rPr>
        <w:t>,</w:t>
      </w:r>
      <w:r w:rsidR="00393477" w:rsidRPr="008437F0">
        <w:rPr>
          <w:rStyle w:val="FootnoteReference"/>
          <w:szCs w:val="24"/>
        </w:rPr>
        <w:footnoteReference w:id="6"/>
      </w:r>
      <w:r w:rsidRPr="008437F0">
        <w:rPr>
          <w:szCs w:val="24"/>
        </w:rPr>
        <w:t xml:space="preserve"> </w:t>
      </w:r>
      <w:r w:rsidR="009E01FF" w:rsidRPr="008437F0">
        <w:rPr>
          <w:szCs w:val="24"/>
        </w:rPr>
        <w:t xml:space="preserve">placed the poles into the hole and the pellets around them or over the poles, and used a red-and-white tape in order to warn </w:t>
      </w:r>
      <w:r w:rsidRPr="008437F0">
        <w:rPr>
          <w:szCs w:val="24"/>
        </w:rPr>
        <w:t xml:space="preserve">people </w:t>
      </w:r>
      <w:r w:rsidR="009E01FF" w:rsidRPr="008437F0">
        <w:rPr>
          <w:szCs w:val="24"/>
        </w:rPr>
        <w:t>about the open hole</w:t>
      </w:r>
      <w:r w:rsidR="003B4B3A" w:rsidRPr="008437F0">
        <w:rPr>
          <w:szCs w:val="24"/>
        </w:rPr>
        <w:t>. However</w:t>
      </w:r>
      <w:r w:rsidR="008C10C0" w:rsidRPr="008437F0">
        <w:rPr>
          <w:szCs w:val="24"/>
        </w:rPr>
        <w:t xml:space="preserve">, </w:t>
      </w:r>
      <w:r w:rsidR="009E01FF" w:rsidRPr="008437F0">
        <w:rPr>
          <w:szCs w:val="24"/>
        </w:rPr>
        <w:t xml:space="preserve">the people living in the </w:t>
      </w:r>
      <w:r w:rsidR="008C10C0" w:rsidRPr="008437F0">
        <w:rPr>
          <w:szCs w:val="24"/>
        </w:rPr>
        <w:t xml:space="preserve">nearby </w:t>
      </w:r>
      <w:r w:rsidR="009E01FF" w:rsidRPr="008437F0">
        <w:rPr>
          <w:szCs w:val="24"/>
        </w:rPr>
        <w:t>shack</w:t>
      </w:r>
      <w:r w:rsidR="008C10C0" w:rsidRPr="008437F0">
        <w:rPr>
          <w:szCs w:val="24"/>
        </w:rPr>
        <w:t>s</w:t>
      </w:r>
      <w:r w:rsidR="009E01FF" w:rsidRPr="008437F0">
        <w:rPr>
          <w:szCs w:val="24"/>
        </w:rPr>
        <w:t xml:space="preserve"> remove</w:t>
      </w:r>
      <w:r w:rsidR="008C10C0" w:rsidRPr="008437F0">
        <w:rPr>
          <w:szCs w:val="24"/>
        </w:rPr>
        <w:t>d</w:t>
      </w:r>
      <w:r w:rsidR="009E01FF" w:rsidRPr="008437F0">
        <w:rPr>
          <w:szCs w:val="24"/>
        </w:rPr>
        <w:t xml:space="preserve"> the</w:t>
      </w:r>
      <w:r w:rsidR="00747CEE" w:rsidRPr="008437F0">
        <w:rPr>
          <w:szCs w:val="24"/>
        </w:rPr>
        <w:t>se</w:t>
      </w:r>
      <w:r w:rsidR="005E636B" w:rsidRPr="008437F0">
        <w:rPr>
          <w:szCs w:val="24"/>
        </w:rPr>
        <w:t>,</w:t>
      </w:r>
      <w:r w:rsidR="009E01FF" w:rsidRPr="008437F0">
        <w:rPr>
          <w:szCs w:val="24"/>
        </w:rPr>
        <w:t xml:space="preserve"> </w:t>
      </w:r>
      <w:r w:rsidR="007675C0" w:rsidRPr="008437F0">
        <w:rPr>
          <w:szCs w:val="24"/>
        </w:rPr>
        <w:t xml:space="preserve">probably </w:t>
      </w:r>
      <w:r w:rsidR="009E01FF" w:rsidRPr="008437F0">
        <w:rPr>
          <w:szCs w:val="24"/>
        </w:rPr>
        <w:t>to make fire</w:t>
      </w:r>
      <w:r w:rsidR="007675C0" w:rsidRPr="008437F0">
        <w:rPr>
          <w:szCs w:val="24"/>
        </w:rPr>
        <w:t xml:space="preserve"> or use them in some other way.</w:t>
      </w:r>
      <w:r w:rsidR="002F7D58" w:rsidRPr="008437F0">
        <w:rPr>
          <w:szCs w:val="24"/>
        </w:rPr>
        <w:t xml:space="preserve"> According to the respondent o</w:t>
      </w:r>
      <w:r w:rsidR="00503FF1" w:rsidRPr="008437F0">
        <w:rPr>
          <w:szCs w:val="24"/>
        </w:rPr>
        <w:t xml:space="preserve">n her return to the area after her hospitalisation, </w:t>
      </w:r>
      <w:r w:rsidR="002F7D58" w:rsidRPr="008437F0">
        <w:rPr>
          <w:szCs w:val="24"/>
        </w:rPr>
        <w:t xml:space="preserve">she </w:t>
      </w:r>
      <w:r w:rsidR="00503FF1" w:rsidRPr="008437F0">
        <w:rPr>
          <w:szCs w:val="24"/>
        </w:rPr>
        <w:t xml:space="preserve">inspected the area where she had been injured and saw the open manhole with some wood inside it. This </w:t>
      </w:r>
      <w:r w:rsidR="00503FF1" w:rsidRPr="008437F0">
        <w:rPr>
          <w:szCs w:val="24"/>
        </w:rPr>
        <w:lastRenderedPageBreak/>
        <w:t>observation confirms that Mr Xwayi’s report related to the same manhole as the one which caused the injury to the respondent</w:t>
      </w:r>
      <w:r w:rsidR="00E46237" w:rsidRPr="008437F0">
        <w:rPr>
          <w:szCs w:val="24"/>
        </w:rPr>
        <w:t>.</w:t>
      </w:r>
    </w:p>
    <w:p w14:paraId="6C60FBE5" w14:textId="77777777" w:rsidR="007568A4" w:rsidRPr="008437F0" w:rsidRDefault="007568A4" w:rsidP="007568A4">
      <w:pPr>
        <w:pStyle w:val="ListParagraph"/>
        <w:spacing w:line="360" w:lineRule="auto"/>
        <w:ind w:left="0"/>
        <w:jc w:val="both"/>
        <w:rPr>
          <w:szCs w:val="24"/>
        </w:rPr>
      </w:pPr>
    </w:p>
    <w:p w14:paraId="5FAC6F89" w14:textId="0AC60D69" w:rsidR="00C16594" w:rsidRPr="008437F0" w:rsidRDefault="00C22E0E" w:rsidP="00C22E0E">
      <w:pPr>
        <w:spacing w:line="360" w:lineRule="auto"/>
        <w:jc w:val="both"/>
      </w:pPr>
      <w:r w:rsidRPr="008437F0">
        <w:rPr>
          <w:szCs w:val="24"/>
        </w:rPr>
        <w:t>[9]</w:t>
      </w:r>
      <w:r w:rsidRPr="008437F0">
        <w:rPr>
          <w:szCs w:val="24"/>
        </w:rPr>
        <w:tab/>
      </w:r>
      <w:r w:rsidR="00F07B08" w:rsidRPr="008437F0">
        <w:t xml:space="preserve">Mr Xwayi </w:t>
      </w:r>
      <w:r w:rsidR="00837109" w:rsidRPr="008437F0">
        <w:t>could not name th</w:t>
      </w:r>
      <w:r w:rsidR="003B4B3A" w:rsidRPr="008437F0">
        <w:t>e</w:t>
      </w:r>
      <w:r w:rsidR="00837109" w:rsidRPr="008437F0">
        <w:t xml:space="preserve"> person</w:t>
      </w:r>
      <w:r w:rsidR="003B4B3A" w:rsidRPr="008437F0">
        <w:t xml:space="preserve"> he reported to</w:t>
      </w:r>
      <w:r w:rsidR="00F07B08" w:rsidRPr="008437F0">
        <w:t xml:space="preserve">. </w:t>
      </w:r>
      <w:r w:rsidR="0061410F" w:rsidRPr="008437F0">
        <w:t xml:space="preserve">He </w:t>
      </w:r>
      <w:r w:rsidR="00F07B08" w:rsidRPr="008437F0">
        <w:t xml:space="preserve">also </w:t>
      </w:r>
      <w:r w:rsidR="0061410F" w:rsidRPr="008437F0">
        <w:t xml:space="preserve">did not </w:t>
      </w:r>
      <w:r w:rsidR="00231894" w:rsidRPr="008437F0">
        <w:t>make a</w:t>
      </w:r>
      <w:r w:rsidR="003B4B3A" w:rsidRPr="008437F0">
        <w:t>ny further</w:t>
      </w:r>
      <w:r w:rsidR="00231894" w:rsidRPr="008437F0">
        <w:t xml:space="preserve"> </w:t>
      </w:r>
      <w:r w:rsidR="0061410F" w:rsidRPr="008437F0">
        <w:t>report</w:t>
      </w:r>
      <w:r w:rsidR="003B4B3A" w:rsidRPr="008437F0">
        <w:t>s</w:t>
      </w:r>
      <w:r w:rsidR="00B65E2C" w:rsidRPr="008437F0">
        <w:t>.</w:t>
      </w:r>
      <w:r w:rsidR="00231894" w:rsidRPr="008437F0">
        <w:t xml:space="preserve"> </w:t>
      </w:r>
      <w:r w:rsidR="00BB4E2F" w:rsidRPr="008437F0">
        <w:t xml:space="preserve">He </w:t>
      </w:r>
      <w:r w:rsidR="00690611" w:rsidRPr="008437F0">
        <w:t xml:space="preserve">initially </w:t>
      </w:r>
      <w:r w:rsidR="003B4B3A" w:rsidRPr="008437F0">
        <w:t>had some difficulty when testifying</w:t>
      </w:r>
      <w:r w:rsidR="00811911" w:rsidRPr="008437F0">
        <w:t>,</w:t>
      </w:r>
      <w:r w:rsidR="003B4B3A" w:rsidRPr="008437F0">
        <w:t xml:space="preserve"> to </w:t>
      </w:r>
      <w:r w:rsidR="00BB4E2F" w:rsidRPr="008437F0">
        <w:t xml:space="preserve">point to the </w:t>
      </w:r>
      <w:r w:rsidR="00545805" w:rsidRPr="008437F0">
        <w:t>location of the man</w:t>
      </w:r>
      <w:r w:rsidR="00BB4E2F" w:rsidRPr="008437F0">
        <w:t>hole on an aerial photograph of</w:t>
      </w:r>
      <w:r w:rsidR="00231894" w:rsidRPr="008437F0">
        <w:t xml:space="preserve"> the area, but a</w:t>
      </w:r>
      <w:r w:rsidR="00BB4E2F" w:rsidRPr="008437F0">
        <w:t>fter</w:t>
      </w:r>
      <w:r w:rsidR="001E2EC4" w:rsidRPr="008437F0">
        <w:t xml:space="preserve"> some</w:t>
      </w:r>
      <w:r w:rsidR="00BB4E2F" w:rsidRPr="008437F0">
        <w:t xml:space="preserve"> prompting and </w:t>
      </w:r>
      <w:r w:rsidR="00F07B08" w:rsidRPr="008437F0">
        <w:t xml:space="preserve">having </w:t>
      </w:r>
      <w:r w:rsidR="00231894" w:rsidRPr="008437F0">
        <w:t>orientat</w:t>
      </w:r>
      <w:r w:rsidR="00F07B08" w:rsidRPr="008437F0">
        <w:t xml:space="preserve">ed </w:t>
      </w:r>
      <w:r w:rsidR="00231894" w:rsidRPr="008437F0">
        <w:t xml:space="preserve">himself </w:t>
      </w:r>
      <w:r w:rsidR="00F07B08" w:rsidRPr="008437F0">
        <w:t>somewhat</w:t>
      </w:r>
      <w:r w:rsidR="00690611" w:rsidRPr="008437F0">
        <w:t xml:space="preserve">, </w:t>
      </w:r>
      <w:r w:rsidR="00545805" w:rsidRPr="008437F0">
        <w:t>pointed to the s</w:t>
      </w:r>
      <w:r w:rsidR="007F0E6B" w:rsidRPr="008437F0">
        <w:t xml:space="preserve">ame </w:t>
      </w:r>
      <w:r w:rsidR="00F07B08" w:rsidRPr="008437F0">
        <w:t xml:space="preserve">location </w:t>
      </w:r>
      <w:r w:rsidR="001E2EC4" w:rsidRPr="008437F0">
        <w:t xml:space="preserve">identified </w:t>
      </w:r>
      <w:r w:rsidR="00BB4E2F" w:rsidRPr="008437F0">
        <w:t>by the respondent</w:t>
      </w:r>
      <w:r w:rsidR="00547746" w:rsidRPr="008437F0">
        <w:t xml:space="preserve"> </w:t>
      </w:r>
      <w:r w:rsidR="002F7D58" w:rsidRPr="008437F0">
        <w:t>in h</w:t>
      </w:r>
      <w:r w:rsidR="00547746" w:rsidRPr="008437F0">
        <w:t>er evidence</w:t>
      </w:r>
      <w:r w:rsidR="00BB4E2F" w:rsidRPr="008437F0">
        <w:t xml:space="preserve">. </w:t>
      </w:r>
    </w:p>
    <w:p w14:paraId="753FB19C" w14:textId="77777777" w:rsidR="00045B60" w:rsidRPr="008437F0" w:rsidRDefault="00045B60" w:rsidP="00A77863">
      <w:pPr>
        <w:pStyle w:val="ListParagraph"/>
        <w:spacing w:line="360" w:lineRule="auto"/>
        <w:ind w:left="0"/>
      </w:pPr>
    </w:p>
    <w:p w14:paraId="278D9B85" w14:textId="339E368E" w:rsidR="00503FF1" w:rsidRPr="008437F0" w:rsidRDefault="00C22E0E" w:rsidP="00C22E0E">
      <w:pPr>
        <w:spacing w:line="360" w:lineRule="auto"/>
        <w:jc w:val="both"/>
      </w:pPr>
      <w:r w:rsidRPr="008437F0">
        <w:rPr>
          <w:szCs w:val="24"/>
        </w:rPr>
        <w:t>[10]</w:t>
      </w:r>
      <w:r w:rsidRPr="008437F0">
        <w:rPr>
          <w:szCs w:val="24"/>
        </w:rPr>
        <w:tab/>
      </w:r>
      <w:r w:rsidR="00036903" w:rsidRPr="008437F0">
        <w:t xml:space="preserve">The appellant adduced the evidence of three </w:t>
      </w:r>
      <w:r w:rsidR="00A77863" w:rsidRPr="008437F0">
        <w:t>of its</w:t>
      </w:r>
      <w:r w:rsidR="00036903" w:rsidRPr="008437F0">
        <w:t xml:space="preserve"> employees: Mr Ian Quintus Welman, a project manager in the Human Settlements Department of the appellant; Mr Pierre Maritz, the Manager of Reticulation, </w:t>
      </w:r>
      <w:r w:rsidR="008C0C35" w:rsidRPr="008437F0">
        <w:t xml:space="preserve">of </w:t>
      </w:r>
      <w:r w:rsidR="00036903" w:rsidRPr="008437F0">
        <w:t xml:space="preserve">the </w:t>
      </w:r>
      <w:r w:rsidR="008C0C35" w:rsidRPr="008437F0">
        <w:t>E</w:t>
      </w:r>
      <w:r w:rsidR="00036903" w:rsidRPr="008437F0">
        <w:t xml:space="preserve">ngineering </w:t>
      </w:r>
      <w:r w:rsidR="008C0C35" w:rsidRPr="008437F0">
        <w:t>D</w:t>
      </w:r>
      <w:r w:rsidR="00036903" w:rsidRPr="008437F0">
        <w:t>epartment of the appellant responsible for the maintenance of manholes; and Mr Shafodien Hussein Jaffer, an administrative assist</w:t>
      </w:r>
      <w:r w:rsidR="00E46237" w:rsidRPr="008437F0">
        <w:t>ant employed by the appellant.</w:t>
      </w:r>
    </w:p>
    <w:p w14:paraId="7E93FBE1" w14:textId="77777777" w:rsidR="00503FF1" w:rsidRPr="008437F0" w:rsidRDefault="00503FF1" w:rsidP="00E46237">
      <w:pPr>
        <w:spacing w:line="360" w:lineRule="auto"/>
      </w:pPr>
    </w:p>
    <w:p w14:paraId="0E32DA48" w14:textId="7A4076FE" w:rsidR="00503FF1" w:rsidRPr="008437F0" w:rsidRDefault="00C22E0E" w:rsidP="00C22E0E">
      <w:pPr>
        <w:spacing w:line="360" w:lineRule="auto"/>
        <w:jc w:val="both"/>
      </w:pPr>
      <w:r w:rsidRPr="008437F0">
        <w:rPr>
          <w:szCs w:val="24"/>
        </w:rPr>
        <w:t>[11]</w:t>
      </w:r>
      <w:r w:rsidRPr="008437F0">
        <w:rPr>
          <w:szCs w:val="24"/>
        </w:rPr>
        <w:tab/>
      </w:r>
      <w:r w:rsidR="00C23795" w:rsidRPr="008437F0">
        <w:t>Mr</w:t>
      </w:r>
      <w:r w:rsidR="005A6B6F" w:rsidRPr="008437F0">
        <w:t xml:space="preserve"> Welman’s evidence related to lighting in the area</w:t>
      </w:r>
      <w:r w:rsidR="00690611" w:rsidRPr="008437F0">
        <w:t xml:space="preserve"> from </w:t>
      </w:r>
      <w:r w:rsidR="003B4B3A" w:rsidRPr="008437F0">
        <w:t xml:space="preserve">the </w:t>
      </w:r>
      <w:r w:rsidR="00690611" w:rsidRPr="008437F0">
        <w:t xml:space="preserve">high mast in </w:t>
      </w:r>
      <w:r w:rsidR="003B4B3A" w:rsidRPr="008437F0">
        <w:t>the</w:t>
      </w:r>
      <w:r w:rsidR="00690611" w:rsidRPr="008437F0">
        <w:t xml:space="preserve"> adjoining </w:t>
      </w:r>
      <w:r w:rsidR="003B4B3A" w:rsidRPr="008437F0">
        <w:t>settlement known as</w:t>
      </w:r>
      <w:r w:rsidR="00690611" w:rsidRPr="008437F0">
        <w:t xml:space="preserve"> Garden City</w:t>
      </w:r>
      <w:r w:rsidR="003B4B3A" w:rsidRPr="008437F0">
        <w:t xml:space="preserve">. This </w:t>
      </w:r>
      <w:r w:rsidR="008C10C0" w:rsidRPr="008437F0">
        <w:t xml:space="preserve">evidence </w:t>
      </w:r>
      <w:r w:rsidR="00C24D64" w:rsidRPr="008437F0">
        <w:t>wa</w:t>
      </w:r>
      <w:r w:rsidR="005A6B6F" w:rsidRPr="008437F0">
        <w:t xml:space="preserve">s relevant mainly to the issue of contributory negligence on the part of the respondent, </w:t>
      </w:r>
      <w:r w:rsidR="008C10C0" w:rsidRPr="008437F0">
        <w:t xml:space="preserve">an issue </w:t>
      </w:r>
      <w:r w:rsidR="001E2EC4" w:rsidRPr="008437F0">
        <w:t xml:space="preserve">not </w:t>
      </w:r>
      <w:r w:rsidR="00BA6A0F" w:rsidRPr="008437F0">
        <w:t xml:space="preserve">persisted with </w:t>
      </w:r>
      <w:r w:rsidR="001E2EC4" w:rsidRPr="008437F0">
        <w:t>in this appeal.</w:t>
      </w:r>
      <w:r w:rsidR="00690611" w:rsidRPr="008437F0">
        <w:t xml:space="preserve"> </w:t>
      </w:r>
      <w:r w:rsidR="008C0C35" w:rsidRPr="008437F0">
        <w:t>As</w:t>
      </w:r>
      <w:r w:rsidR="00690611" w:rsidRPr="008437F0">
        <w:t xml:space="preserve"> a project manager in the Human Settlements Department of the appel</w:t>
      </w:r>
      <w:r w:rsidR="00F6150D" w:rsidRPr="008437F0">
        <w:t xml:space="preserve">lant he was involved with </w:t>
      </w:r>
      <w:r w:rsidR="008C10C0" w:rsidRPr="008437F0">
        <w:t xml:space="preserve">the </w:t>
      </w:r>
      <w:r w:rsidR="00F6150D" w:rsidRPr="008437F0">
        <w:t>housing development in that area</w:t>
      </w:r>
      <w:r w:rsidR="00896FAF" w:rsidRPr="008437F0">
        <w:t>:</w:t>
      </w:r>
      <w:r w:rsidR="008C0C35" w:rsidRPr="008437F0">
        <w:t xml:space="preserve"> he testified that </w:t>
      </w:r>
      <w:r w:rsidR="00A60CD7" w:rsidRPr="008437F0">
        <w:t xml:space="preserve">the location where </w:t>
      </w:r>
      <w:r w:rsidR="003B4B3A" w:rsidRPr="008437F0">
        <w:t>the r</w:t>
      </w:r>
      <w:r w:rsidR="00F6150D" w:rsidRPr="008437F0">
        <w:t xml:space="preserve">espondent and Mr Xwayi lived </w:t>
      </w:r>
      <w:r w:rsidR="00A60CD7" w:rsidRPr="008437F0">
        <w:t xml:space="preserve">in Ukubetana Street was </w:t>
      </w:r>
      <w:r w:rsidR="008C10C0" w:rsidRPr="008437F0">
        <w:t>in</w:t>
      </w:r>
      <w:r w:rsidR="00F6150D" w:rsidRPr="008437F0">
        <w:t xml:space="preserve"> phase 3B</w:t>
      </w:r>
      <w:r w:rsidR="007C6A7C" w:rsidRPr="008437F0">
        <w:t xml:space="preserve"> of the development</w:t>
      </w:r>
      <w:r w:rsidR="00747CEE" w:rsidRPr="008437F0">
        <w:t>;</w:t>
      </w:r>
      <w:r w:rsidR="00545805" w:rsidRPr="008437F0">
        <w:t xml:space="preserve"> </w:t>
      </w:r>
      <w:r w:rsidR="00F6150D" w:rsidRPr="008437F0">
        <w:t xml:space="preserve">Khwezi Street </w:t>
      </w:r>
      <w:r w:rsidR="003B4B3A" w:rsidRPr="008437F0">
        <w:t xml:space="preserve">marked </w:t>
      </w:r>
      <w:r w:rsidR="008C10C0" w:rsidRPr="008437F0">
        <w:t xml:space="preserve">the </w:t>
      </w:r>
      <w:r w:rsidR="00F6150D" w:rsidRPr="008437F0">
        <w:t xml:space="preserve">boundary </w:t>
      </w:r>
      <w:r w:rsidR="008C10C0" w:rsidRPr="008437F0">
        <w:t>of</w:t>
      </w:r>
      <w:r w:rsidR="003B4B3A" w:rsidRPr="008437F0">
        <w:t xml:space="preserve"> p</w:t>
      </w:r>
      <w:r w:rsidR="00545805" w:rsidRPr="008437F0">
        <w:t>hase 3B</w:t>
      </w:r>
      <w:r w:rsidR="00747CEE" w:rsidRPr="008437F0">
        <w:t>;</w:t>
      </w:r>
      <w:r w:rsidR="003B4B3A" w:rsidRPr="008437F0">
        <w:t xml:space="preserve"> </w:t>
      </w:r>
      <w:r w:rsidR="00A60CD7" w:rsidRPr="008437F0">
        <w:t xml:space="preserve">phase 3B </w:t>
      </w:r>
      <w:r w:rsidR="008C10C0" w:rsidRPr="008437F0">
        <w:t xml:space="preserve">was </w:t>
      </w:r>
      <w:r w:rsidR="00F6150D" w:rsidRPr="008437F0">
        <w:t xml:space="preserve">completed in 2009 </w:t>
      </w:r>
      <w:r w:rsidR="008C10C0" w:rsidRPr="008437F0">
        <w:t>with</w:t>
      </w:r>
      <w:r w:rsidR="003B4B3A" w:rsidRPr="008437F0">
        <w:t>,</w:t>
      </w:r>
      <w:r w:rsidR="008C10C0" w:rsidRPr="008437F0">
        <w:t xml:space="preserve"> </w:t>
      </w:r>
      <w:r w:rsidR="00F6150D" w:rsidRPr="008437F0">
        <w:t>to the best of his recollection</w:t>
      </w:r>
      <w:r w:rsidR="007C6A7C" w:rsidRPr="008437F0">
        <w:t>,</w:t>
      </w:r>
      <w:r w:rsidR="00F6150D" w:rsidRPr="008437F0">
        <w:t xml:space="preserve"> </w:t>
      </w:r>
      <w:r w:rsidR="008C10C0" w:rsidRPr="008437F0">
        <w:t xml:space="preserve">municipal </w:t>
      </w:r>
      <w:r w:rsidR="00F6150D" w:rsidRPr="008437F0">
        <w:t>services hav</w:t>
      </w:r>
      <w:r w:rsidR="008C10C0" w:rsidRPr="008437F0">
        <w:t xml:space="preserve">ing </w:t>
      </w:r>
      <w:r w:rsidR="00F6150D" w:rsidRPr="008437F0">
        <w:t>been installed shortly before completion</w:t>
      </w:r>
      <w:r w:rsidR="008C10C0" w:rsidRPr="008437F0">
        <w:t xml:space="preserve">; </w:t>
      </w:r>
      <w:r w:rsidR="003B4B3A" w:rsidRPr="008437F0">
        <w:t xml:space="preserve">and </w:t>
      </w:r>
      <w:r w:rsidR="008C10C0" w:rsidRPr="008437F0">
        <w:t xml:space="preserve">the area on the other side of Khwezi Street opposite to phase 3B was phase 5A, which had not been </w:t>
      </w:r>
      <w:r w:rsidR="00A60CD7" w:rsidRPr="008437F0">
        <w:t xml:space="preserve">fully </w:t>
      </w:r>
      <w:r w:rsidR="008C10C0" w:rsidRPr="008437F0">
        <w:t>developed at that stage</w:t>
      </w:r>
      <w:r w:rsidR="003B4B3A" w:rsidRPr="008437F0">
        <w:t xml:space="preserve">. </w:t>
      </w:r>
      <w:r w:rsidR="00503FF1" w:rsidRPr="008437F0">
        <w:t xml:space="preserve">This </w:t>
      </w:r>
      <w:r w:rsidR="00B8655C" w:rsidRPr="008437F0">
        <w:t xml:space="preserve">evidence </w:t>
      </w:r>
      <w:r w:rsidR="00503FF1" w:rsidRPr="008437F0">
        <w:t>is consistent with what appears from the respondent’s photographs showing some storm water pipes lying on th</w:t>
      </w:r>
      <w:r w:rsidR="00811911" w:rsidRPr="008437F0">
        <w:t xml:space="preserve">e far </w:t>
      </w:r>
      <w:r w:rsidR="00503FF1" w:rsidRPr="008437F0">
        <w:t xml:space="preserve">side of Khwezi Street, and </w:t>
      </w:r>
      <w:r w:rsidR="00B8655C" w:rsidRPr="008437F0">
        <w:t xml:space="preserve">an </w:t>
      </w:r>
      <w:r w:rsidR="00503FF1" w:rsidRPr="008437F0">
        <w:t xml:space="preserve">aerial photograph of the area </w:t>
      </w:r>
      <w:r w:rsidR="00B8655C" w:rsidRPr="008437F0">
        <w:t xml:space="preserve">dated </w:t>
      </w:r>
      <w:r w:rsidR="00503FF1" w:rsidRPr="008437F0">
        <w:t xml:space="preserve">19 October 2013 (two days after the respondent’s accident) included with the appellant’s photographs, showing the area </w:t>
      </w:r>
      <w:r w:rsidR="008C0C35" w:rsidRPr="008437F0">
        <w:t xml:space="preserve">of </w:t>
      </w:r>
      <w:r w:rsidR="00E76235" w:rsidRPr="008437F0">
        <w:t>phase 5A</w:t>
      </w:r>
      <w:r w:rsidR="008C0C35" w:rsidRPr="008437F0">
        <w:t xml:space="preserve"> </w:t>
      </w:r>
      <w:r w:rsidR="00503FF1" w:rsidRPr="008437F0">
        <w:t>as vacant.</w:t>
      </w:r>
    </w:p>
    <w:p w14:paraId="4FECB33A" w14:textId="77777777" w:rsidR="00503FF1" w:rsidRPr="008437F0" w:rsidRDefault="00503FF1" w:rsidP="00503FF1">
      <w:pPr>
        <w:pStyle w:val="ListParagraph"/>
        <w:spacing w:line="360" w:lineRule="auto"/>
        <w:ind w:left="0"/>
      </w:pPr>
    </w:p>
    <w:p w14:paraId="46A4A551" w14:textId="7E8E094D" w:rsidR="00503FF1" w:rsidRPr="008437F0" w:rsidRDefault="00C22E0E" w:rsidP="00C22E0E">
      <w:pPr>
        <w:spacing w:line="360" w:lineRule="auto"/>
        <w:jc w:val="both"/>
      </w:pPr>
      <w:r w:rsidRPr="008437F0">
        <w:rPr>
          <w:szCs w:val="24"/>
        </w:rPr>
        <w:lastRenderedPageBreak/>
        <w:t>[12]</w:t>
      </w:r>
      <w:r w:rsidRPr="008437F0">
        <w:rPr>
          <w:szCs w:val="24"/>
        </w:rPr>
        <w:tab/>
      </w:r>
      <w:r w:rsidR="008C0C35" w:rsidRPr="008437F0">
        <w:t xml:space="preserve">Mr Welman </w:t>
      </w:r>
      <w:r w:rsidR="00754E53" w:rsidRPr="008437F0">
        <w:t>could not provide exact details</w:t>
      </w:r>
      <w:r w:rsidR="004C4F13" w:rsidRPr="008437F0">
        <w:t xml:space="preserve"> </w:t>
      </w:r>
      <w:r w:rsidR="00BA6A0F" w:rsidRPr="008437F0">
        <w:t xml:space="preserve">of </w:t>
      </w:r>
      <w:r w:rsidR="00A60CD7" w:rsidRPr="008437F0">
        <w:t xml:space="preserve">the </w:t>
      </w:r>
      <w:r w:rsidR="00BA6A0F" w:rsidRPr="008437F0">
        <w:t xml:space="preserve">services installed </w:t>
      </w:r>
      <w:r w:rsidR="004C4F13" w:rsidRPr="008437F0">
        <w:t xml:space="preserve">as he had not brought </w:t>
      </w:r>
      <w:r w:rsidR="00754E53" w:rsidRPr="008437F0">
        <w:t xml:space="preserve">the relevant documents with him. Furthermore, much </w:t>
      </w:r>
      <w:r w:rsidR="007C6A7C" w:rsidRPr="008437F0">
        <w:t xml:space="preserve">of the development </w:t>
      </w:r>
      <w:r w:rsidR="00BA6A0F" w:rsidRPr="008437F0">
        <w:t xml:space="preserve">handover </w:t>
      </w:r>
      <w:r w:rsidR="007C6A7C" w:rsidRPr="008437F0">
        <w:t xml:space="preserve">was </w:t>
      </w:r>
      <w:r w:rsidR="00BA6A0F" w:rsidRPr="008437F0">
        <w:t>attended to by consultants on behalf of the appellant</w:t>
      </w:r>
      <w:r w:rsidR="007C6A7C" w:rsidRPr="008437F0">
        <w:t>.</w:t>
      </w:r>
      <w:r w:rsidR="00F6150D" w:rsidRPr="008437F0">
        <w:t xml:space="preserve"> </w:t>
      </w:r>
      <w:r w:rsidR="00754E53" w:rsidRPr="008437F0">
        <w:t xml:space="preserve">Mr Welman </w:t>
      </w:r>
      <w:r w:rsidR="004C4F13" w:rsidRPr="008437F0">
        <w:t xml:space="preserve">confirmed that car traffic in that area, especially Khwezi </w:t>
      </w:r>
      <w:r w:rsidR="00A60CD7" w:rsidRPr="008437F0">
        <w:t xml:space="preserve">Street </w:t>
      </w:r>
      <w:r w:rsidR="004C4F13" w:rsidRPr="008437F0">
        <w:t>‘would be minimal’ and not ‘congested at any point in time during a day.’</w:t>
      </w:r>
      <w:r w:rsidR="00503FF1" w:rsidRPr="008437F0">
        <w:t xml:space="preserve"> In contrast, Mr Maritz testified it was a ‘high travelled road’, but his observation might have related to the traffic position at the time of the trial and not October 2013.</w:t>
      </w:r>
    </w:p>
    <w:p w14:paraId="3566E7D2" w14:textId="77777777" w:rsidR="00503FF1" w:rsidRPr="008437F0" w:rsidRDefault="00503FF1" w:rsidP="00E46237">
      <w:pPr>
        <w:pStyle w:val="ListParagraph"/>
        <w:spacing w:line="360" w:lineRule="auto"/>
        <w:ind w:left="0"/>
        <w:jc w:val="both"/>
      </w:pPr>
    </w:p>
    <w:p w14:paraId="47D8437F" w14:textId="05181C48" w:rsidR="000F7CEF" w:rsidRPr="008437F0" w:rsidRDefault="00C22E0E" w:rsidP="00C22E0E">
      <w:pPr>
        <w:spacing w:line="360" w:lineRule="auto"/>
        <w:jc w:val="both"/>
      </w:pPr>
      <w:r w:rsidRPr="008437F0">
        <w:rPr>
          <w:szCs w:val="24"/>
        </w:rPr>
        <w:t>[13]</w:t>
      </w:r>
      <w:r w:rsidRPr="008437F0">
        <w:rPr>
          <w:szCs w:val="24"/>
        </w:rPr>
        <w:tab/>
      </w:r>
      <w:r w:rsidR="003F1C14" w:rsidRPr="008437F0">
        <w:t xml:space="preserve">Mr Martiz </w:t>
      </w:r>
      <w:r w:rsidR="00BA6A0F" w:rsidRPr="008437F0">
        <w:t xml:space="preserve">testified that </w:t>
      </w:r>
      <w:r w:rsidR="002F0E50" w:rsidRPr="008437F0">
        <w:t>t</w:t>
      </w:r>
      <w:r w:rsidR="00C23795" w:rsidRPr="008437F0">
        <w:t xml:space="preserve">here </w:t>
      </w:r>
      <w:r w:rsidR="00BB4E2F" w:rsidRPr="008437F0">
        <w:t xml:space="preserve">were roughly </w:t>
      </w:r>
      <w:r w:rsidR="00547746" w:rsidRPr="008437F0">
        <w:t>1</w:t>
      </w:r>
      <w:r w:rsidR="00BB4E2F" w:rsidRPr="008437F0">
        <w:t>92</w:t>
      </w:r>
      <w:r w:rsidR="00C23795" w:rsidRPr="008437F0">
        <w:t xml:space="preserve"> </w:t>
      </w:r>
      <w:r w:rsidR="00BB4E2F" w:rsidRPr="008437F0">
        <w:t>000</w:t>
      </w:r>
      <w:r w:rsidR="00547746" w:rsidRPr="008437F0">
        <w:t xml:space="preserve"> </w:t>
      </w:r>
      <w:r w:rsidR="00BB4E2F" w:rsidRPr="008437F0">
        <w:t>manholes under the appellant’s control</w:t>
      </w:r>
      <w:r w:rsidR="00470D6E" w:rsidRPr="008437F0">
        <w:t xml:space="preserve"> during 2013</w:t>
      </w:r>
      <w:r w:rsidR="00BB4E2F" w:rsidRPr="008437F0">
        <w:t xml:space="preserve">. </w:t>
      </w:r>
      <w:r w:rsidR="00BA6A0F" w:rsidRPr="008437F0">
        <w:t xml:space="preserve">The </w:t>
      </w:r>
      <w:r w:rsidR="0061410F" w:rsidRPr="008437F0">
        <w:t xml:space="preserve">appellant’s </w:t>
      </w:r>
      <w:r w:rsidR="00C23795" w:rsidRPr="008437F0">
        <w:t xml:space="preserve">C3 system </w:t>
      </w:r>
      <w:r w:rsidR="00747CEE" w:rsidRPr="008437F0">
        <w:t xml:space="preserve">is used to </w:t>
      </w:r>
      <w:r w:rsidR="00891EF0" w:rsidRPr="008437F0">
        <w:t xml:space="preserve">record </w:t>
      </w:r>
      <w:r w:rsidR="00507423" w:rsidRPr="008437F0">
        <w:t xml:space="preserve">reports of </w:t>
      </w:r>
      <w:r w:rsidR="00891EF0" w:rsidRPr="008437F0">
        <w:t xml:space="preserve">missing </w:t>
      </w:r>
      <w:r w:rsidR="00507423" w:rsidRPr="008437F0">
        <w:t>m</w:t>
      </w:r>
      <w:r w:rsidR="00891EF0" w:rsidRPr="008437F0">
        <w:t xml:space="preserve">anhole </w:t>
      </w:r>
      <w:r w:rsidR="002F0E50" w:rsidRPr="008437F0">
        <w:t>covers</w:t>
      </w:r>
      <w:r w:rsidR="00507423" w:rsidRPr="008437F0">
        <w:t xml:space="preserve">, </w:t>
      </w:r>
      <w:r w:rsidR="002F0E50" w:rsidRPr="008437F0">
        <w:t xml:space="preserve">whether </w:t>
      </w:r>
      <w:r w:rsidR="00507423" w:rsidRPr="008437F0">
        <w:t xml:space="preserve">reported </w:t>
      </w:r>
      <w:r w:rsidR="000740B1" w:rsidRPr="008437F0">
        <w:t xml:space="preserve">by the public or </w:t>
      </w:r>
      <w:r w:rsidR="00754E53" w:rsidRPr="008437F0">
        <w:t xml:space="preserve">when </w:t>
      </w:r>
      <w:r w:rsidR="000740B1" w:rsidRPr="008437F0">
        <w:t xml:space="preserve">discovered by </w:t>
      </w:r>
      <w:r w:rsidR="00754E53" w:rsidRPr="008437F0">
        <w:t xml:space="preserve">its </w:t>
      </w:r>
      <w:r w:rsidR="000740B1" w:rsidRPr="008437F0">
        <w:t>employees</w:t>
      </w:r>
      <w:r w:rsidR="00754E53" w:rsidRPr="008437F0">
        <w:t xml:space="preserve">. </w:t>
      </w:r>
      <w:r w:rsidR="007C6A7C" w:rsidRPr="008437F0">
        <w:t>Th</w:t>
      </w:r>
      <w:r w:rsidR="00507423" w:rsidRPr="008437F0">
        <w:t xml:space="preserve">is </w:t>
      </w:r>
      <w:r w:rsidR="007C6A7C" w:rsidRPr="008437F0">
        <w:t xml:space="preserve">system </w:t>
      </w:r>
      <w:r w:rsidR="00891EF0" w:rsidRPr="008437F0">
        <w:t>reflect</w:t>
      </w:r>
      <w:r w:rsidR="00507423" w:rsidRPr="008437F0">
        <w:t>ed</w:t>
      </w:r>
      <w:r w:rsidR="00891EF0" w:rsidRPr="008437F0">
        <w:t xml:space="preserve"> </w:t>
      </w:r>
      <w:r w:rsidR="00C23795" w:rsidRPr="008437F0">
        <w:t xml:space="preserve">that </w:t>
      </w:r>
      <w:r w:rsidR="00891EF0" w:rsidRPr="008437F0">
        <w:t>ni</w:t>
      </w:r>
      <w:r w:rsidR="00547746" w:rsidRPr="008437F0">
        <w:t xml:space="preserve">ne </w:t>
      </w:r>
      <w:r w:rsidR="00856BC3" w:rsidRPr="008437F0">
        <w:t xml:space="preserve">missing covers were recorded </w:t>
      </w:r>
      <w:r w:rsidR="00507423" w:rsidRPr="008437F0">
        <w:t xml:space="preserve">for the </w:t>
      </w:r>
      <w:r w:rsidR="003C3773" w:rsidRPr="008437F0">
        <w:t xml:space="preserve">Mfuleni </w:t>
      </w:r>
      <w:r w:rsidR="00507423" w:rsidRPr="008437F0">
        <w:t xml:space="preserve">area </w:t>
      </w:r>
      <w:r w:rsidR="003D24FE" w:rsidRPr="008437F0">
        <w:t>during the period from 1 August 2013 to 31 October 2013</w:t>
      </w:r>
      <w:r w:rsidR="00891EF0" w:rsidRPr="008437F0">
        <w:t>.</w:t>
      </w:r>
      <w:r w:rsidR="00C51CDC" w:rsidRPr="008437F0">
        <w:t xml:space="preserve"> </w:t>
      </w:r>
      <w:r w:rsidR="00891EF0" w:rsidRPr="008437F0">
        <w:t>A manhole cover</w:t>
      </w:r>
      <w:r w:rsidR="00754E53" w:rsidRPr="008437F0">
        <w:t xml:space="preserve"> </w:t>
      </w:r>
      <w:r w:rsidR="00891EF0" w:rsidRPr="008437F0">
        <w:t xml:space="preserve">cannot be replaced without </w:t>
      </w:r>
      <w:r w:rsidR="00BA16E1" w:rsidRPr="008437F0">
        <w:t xml:space="preserve">it being recorded </w:t>
      </w:r>
      <w:r w:rsidR="00856BC3" w:rsidRPr="008437F0">
        <w:t xml:space="preserve">on the system </w:t>
      </w:r>
      <w:r w:rsidR="00BA16E1" w:rsidRPr="008437F0">
        <w:t xml:space="preserve">with a </w:t>
      </w:r>
      <w:r w:rsidR="00891EF0" w:rsidRPr="008437F0">
        <w:t>reference number</w:t>
      </w:r>
      <w:r w:rsidR="00754E53" w:rsidRPr="008437F0">
        <w:t xml:space="preserve">. </w:t>
      </w:r>
      <w:r w:rsidR="00891EF0" w:rsidRPr="008437F0">
        <w:t>Where a complaint of a missing manhole cover is received</w:t>
      </w:r>
      <w:r w:rsidR="00747CEE" w:rsidRPr="008437F0">
        <w:t>,</w:t>
      </w:r>
      <w:r w:rsidR="00891EF0" w:rsidRPr="008437F0">
        <w:t xml:space="preserve"> the</w:t>
      </w:r>
      <w:r w:rsidR="00507423" w:rsidRPr="008437F0">
        <w:t xml:space="preserve"> appellant endeavours to </w:t>
      </w:r>
      <w:r w:rsidR="00891EF0" w:rsidRPr="008437F0">
        <w:t>replace</w:t>
      </w:r>
      <w:r w:rsidR="00507423" w:rsidRPr="008437F0">
        <w:t xml:space="preserve"> </w:t>
      </w:r>
      <w:r w:rsidR="004C0417" w:rsidRPr="008437F0">
        <w:t>the missing cover</w:t>
      </w:r>
      <w:r w:rsidR="00507423" w:rsidRPr="008437F0">
        <w:t xml:space="preserve"> </w:t>
      </w:r>
      <w:r w:rsidR="00891EF0" w:rsidRPr="008437F0">
        <w:t xml:space="preserve">within three hours. </w:t>
      </w:r>
      <w:r w:rsidR="003D24FE" w:rsidRPr="008437F0">
        <w:t xml:space="preserve">There was no record of a manhole cover missing </w:t>
      </w:r>
      <w:r w:rsidR="00507423" w:rsidRPr="008437F0">
        <w:t xml:space="preserve">in </w:t>
      </w:r>
      <w:r w:rsidR="003D24FE" w:rsidRPr="008437F0">
        <w:t>Khwezi Street during 2013</w:t>
      </w:r>
      <w:r w:rsidR="00B8655C" w:rsidRPr="008437F0">
        <w:t>, or thereafter</w:t>
      </w:r>
      <w:r w:rsidR="00E76235" w:rsidRPr="008437F0">
        <w:t xml:space="preserve"> on the system</w:t>
      </w:r>
      <w:r w:rsidR="003D24FE" w:rsidRPr="008437F0">
        <w:t>.</w:t>
      </w:r>
      <w:r w:rsidR="003C3773" w:rsidRPr="008437F0">
        <w:t xml:space="preserve"> </w:t>
      </w:r>
    </w:p>
    <w:p w14:paraId="4EA241AB" w14:textId="77777777" w:rsidR="000F7CEF" w:rsidRPr="008437F0" w:rsidRDefault="000F7CEF" w:rsidP="00E46237">
      <w:pPr>
        <w:spacing w:line="360" w:lineRule="auto"/>
      </w:pPr>
    </w:p>
    <w:p w14:paraId="41BE117E" w14:textId="586FD867" w:rsidR="00856BC3" w:rsidRPr="008437F0" w:rsidRDefault="00C22E0E" w:rsidP="00C22E0E">
      <w:pPr>
        <w:spacing w:line="360" w:lineRule="auto"/>
        <w:jc w:val="both"/>
      </w:pPr>
      <w:r w:rsidRPr="008437F0">
        <w:rPr>
          <w:szCs w:val="24"/>
        </w:rPr>
        <w:t>[14]</w:t>
      </w:r>
      <w:r w:rsidRPr="008437F0">
        <w:rPr>
          <w:szCs w:val="24"/>
        </w:rPr>
        <w:tab/>
      </w:r>
      <w:r w:rsidR="00891EF0" w:rsidRPr="008437F0">
        <w:t xml:space="preserve">Mr Maritz </w:t>
      </w:r>
      <w:r w:rsidR="00313947" w:rsidRPr="008437F0">
        <w:t xml:space="preserve">inspected </w:t>
      </w:r>
      <w:r w:rsidR="00891EF0" w:rsidRPr="008437F0">
        <w:t>the manhole in question</w:t>
      </w:r>
      <w:r w:rsidR="00747CEE" w:rsidRPr="008437F0">
        <w:t xml:space="preserve"> in Khwezi Street</w:t>
      </w:r>
      <w:r w:rsidR="004C0417" w:rsidRPr="008437F0">
        <w:t xml:space="preserve"> on 11 February 2020</w:t>
      </w:r>
      <w:r w:rsidR="00747CEE" w:rsidRPr="008437F0">
        <w:t xml:space="preserve">. </w:t>
      </w:r>
      <w:r w:rsidR="00B33309" w:rsidRPr="008437F0">
        <w:t>T</w:t>
      </w:r>
      <w:r w:rsidR="00856BC3" w:rsidRPr="008437F0">
        <w:t>he appellant’s photographs</w:t>
      </w:r>
      <w:r w:rsidR="00B33309" w:rsidRPr="008437F0">
        <w:t xml:space="preserve"> show th</w:t>
      </w:r>
      <w:r w:rsidR="004C0417" w:rsidRPr="008437F0">
        <w:t xml:space="preserve">e condition of the </w:t>
      </w:r>
      <w:r w:rsidR="00B33309" w:rsidRPr="008437F0">
        <w:t xml:space="preserve">manhole </w:t>
      </w:r>
      <w:r w:rsidR="004C0417" w:rsidRPr="008437F0">
        <w:t>around that time.</w:t>
      </w:r>
      <w:r w:rsidR="00747CEE" w:rsidRPr="008437F0">
        <w:t xml:space="preserve"> </w:t>
      </w:r>
      <w:r w:rsidR="00C24D64" w:rsidRPr="008437F0">
        <w:t xml:space="preserve">He identified </w:t>
      </w:r>
      <w:r w:rsidR="00CC5960" w:rsidRPr="008437F0">
        <w:t xml:space="preserve">the cover on the appellant’s photographs </w:t>
      </w:r>
      <w:r w:rsidR="00891EF0" w:rsidRPr="008437F0">
        <w:t xml:space="preserve">as </w:t>
      </w:r>
      <w:r w:rsidR="00BA13EC" w:rsidRPr="008437F0">
        <w:t xml:space="preserve">the </w:t>
      </w:r>
      <w:r w:rsidR="00891EF0" w:rsidRPr="008437F0">
        <w:t>heavier 2A</w:t>
      </w:r>
      <w:r w:rsidR="00313947" w:rsidRPr="008437F0">
        <w:t xml:space="preserve"> type</w:t>
      </w:r>
      <w:r w:rsidR="00B33309" w:rsidRPr="008437F0">
        <w:t xml:space="preserve"> </w:t>
      </w:r>
      <w:r w:rsidR="00891EF0" w:rsidRPr="008437F0">
        <w:t xml:space="preserve">installed on roads </w:t>
      </w:r>
      <w:r w:rsidR="00313947" w:rsidRPr="008437F0">
        <w:t>as the</w:t>
      </w:r>
      <w:r w:rsidR="00BA16E1" w:rsidRPr="008437F0">
        <w:t>y</w:t>
      </w:r>
      <w:r w:rsidR="00BA13EC" w:rsidRPr="008437F0">
        <w:t xml:space="preserve"> </w:t>
      </w:r>
      <w:r w:rsidR="00313947" w:rsidRPr="008437F0">
        <w:t xml:space="preserve">are able </w:t>
      </w:r>
      <w:r w:rsidR="00891EF0" w:rsidRPr="008437F0">
        <w:t>to carry the load of vehicles.</w:t>
      </w:r>
      <w:r w:rsidR="00E03F16" w:rsidRPr="008437F0">
        <w:t xml:space="preserve"> </w:t>
      </w:r>
      <w:r w:rsidR="007813EC" w:rsidRPr="008437F0">
        <w:t xml:space="preserve">It </w:t>
      </w:r>
      <w:r w:rsidR="00891EF0" w:rsidRPr="008437F0">
        <w:t>ha</w:t>
      </w:r>
      <w:r w:rsidR="00BA13EC" w:rsidRPr="008437F0">
        <w:t>s</w:t>
      </w:r>
      <w:r w:rsidR="00891EF0" w:rsidRPr="008437F0">
        <w:t xml:space="preserve"> </w:t>
      </w:r>
      <w:r w:rsidR="00313947" w:rsidRPr="008437F0">
        <w:t>an</w:t>
      </w:r>
      <w:r w:rsidR="00891EF0" w:rsidRPr="008437F0">
        <w:t xml:space="preserve"> additional </w:t>
      </w:r>
      <w:r w:rsidR="00313947" w:rsidRPr="008437F0">
        <w:t xml:space="preserve">hinge </w:t>
      </w:r>
      <w:r w:rsidR="00891EF0" w:rsidRPr="008437F0">
        <w:t>feature which would make it difficult to remove</w:t>
      </w:r>
      <w:r w:rsidR="00BA16E1" w:rsidRPr="008437F0">
        <w:t xml:space="preserve"> the lid</w:t>
      </w:r>
      <w:r w:rsidR="00A60CD7" w:rsidRPr="008437F0">
        <w:t>,</w:t>
      </w:r>
      <w:r w:rsidR="007813EC" w:rsidRPr="008437F0">
        <w:t xml:space="preserve"> as </w:t>
      </w:r>
      <w:r w:rsidR="00BA16E1" w:rsidRPr="008437F0">
        <w:t xml:space="preserve">it </w:t>
      </w:r>
      <w:r w:rsidR="00891EF0" w:rsidRPr="008437F0">
        <w:t>require</w:t>
      </w:r>
      <w:r w:rsidR="00E03F16" w:rsidRPr="008437F0">
        <w:t>s</w:t>
      </w:r>
      <w:r w:rsidR="00891EF0" w:rsidRPr="008437F0">
        <w:t xml:space="preserve"> speci</w:t>
      </w:r>
      <w:r w:rsidR="00B33309" w:rsidRPr="008437F0">
        <w:t xml:space="preserve">alised </w:t>
      </w:r>
      <w:r w:rsidR="00891EF0" w:rsidRPr="008437F0">
        <w:t xml:space="preserve">knowledge of the workings of the hinge mechanism. If this type of manhole cover </w:t>
      </w:r>
      <w:r w:rsidR="00E03F16" w:rsidRPr="008437F0">
        <w:t xml:space="preserve">is </w:t>
      </w:r>
      <w:r w:rsidR="00B8655C" w:rsidRPr="008437F0">
        <w:t>required to be replaced</w:t>
      </w:r>
      <w:r w:rsidR="00787AB7" w:rsidRPr="008437F0">
        <w:t>,</w:t>
      </w:r>
      <w:r w:rsidR="00E03F16" w:rsidRPr="008437F0">
        <w:t xml:space="preserve"> then</w:t>
      </w:r>
      <w:r w:rsidR="00891EF0" w:rsidRPr="008437F0">
        <w:t xml:space="preserve"> the frame of the manhole in which the cover s</w:t>
      </w:r>
      <w:r w:rsidR="00313947" w:rsidRPr="008437F0">
        <w:t>i</w:t>
      </w:r>
      <w:r w:rsidR="00891EF0" w:rsidRPr="008437F0">
        <w:t>ts would also need to be replaced</w:t>
      </w:r>
      <w:r w:rsidR="00B8655C" w:rsidRPr="008437F0">
        <w:t>.</w:t>
      </w:r>
      <w:r w:rsidR="00A60CD7" w:rsidRPr="008437F0">
        <w:t xml:space="preserve"> </w:t>
      </w:r>
      <w:r w:rsidR="00B8655C" w:rsidRPr="008437F0">
        <w:t>That w</w:t>
      </w:r>
      <w:r w:rsidR="007675C0" w:rsidRPr="008437F0">
        <w:t xml:space="preserve">ould </w:t>
      </w:r>
      <w:r w:rsidR="00B8655C" w:rsidRPr="008437F0">
        <w:t xml:space="preserve">result in the tarred </w:t>
      </w:r>
      <w:r w:rsidR="004C4F13" w:rsidRPr="008437F0">
        <w:t xml:space="preserve">surface around </w:t>
      </w:r>
      <w:r w:rsidR="00B8655C" w:rsidRPr="008437F0">
        <w:t xml:space="preserve">the manhole being </w:t>
      </w:r>
      <w:r w:rsidR="00E76235" w:rsidRPr="008437F0">
        <w:t>disturbed</w:t>
      </w:r>
      <w:r w:rsidR="00B8655C" w:rsidRPr="008437F0">
        <w:t xml:space="preserve"> as the new </w:t>
      </w:r>
      <w:r w:rsidR="004C4F13" w:rsidRPr="008437F0">
        <w:t>frame</w:t>
      </w:r>
      <w:r w:rsidR="00B8655C" w:rsidRPr="008437F0">
        <w:t xml:space="preserve"> has to be set </w:t>
      </w:r>
      <w:r w:rsidR="004C4F13" w:rsidRPr="008437F0">
        <w:t>in concrete</w:t>
      </w:r>
      <w:r w:rsidR="000F7CEF" w:rsidRPr="008437F0">
        <w:t>. Th</w:t>
      </w:r>
      <w:r w:rsidR="00B33309" w:rsidRPr="008437F0">
        <w:t xml:space="preserve">e concrete </w:t>
      </w:r>
      <w:r w:rsidR="00856BC3" w:rsidRPr="008437F0">
        <w:t>would be clearly visible if the</w:t>
      </w:r>
      <w:r w:rsidR="00B8655C" w:rsidRPr="008437F0">
        <w:t xml:space="preserve"> frame of the</w:t>
      </w:r>
      <w:r w:rsidR="00856BC3" w:rsidRPr="008437F0">
        <w:t xml:space="preserve"> manhole had been replaced</w:t>
      </w:r>
      <w:r w:rsidR="00891EF0" w:rsidRPr="008437F0">
        <w:t xml:space="preserve">. </w:t>
      </w:r>
      <w:r w:rsidR="0046261C" w:rsidRPr="008437F0">
        <w:t xml:space="preserve">He </w:t>
      </w:r>
      <w:r w:rsidR="00787AB7" w:rsidRPr="008437F0">
        <w:t xml:space="preserve">opined </w:t>
      </w:r>
      <w:r w:rsidR="0046261C" w:rsidRPr="008437F0">
        <w:t xml:space="preserve">that </w:t>
      </w:r>
      <w:r w:rsidR="00787AB7" w:rsidRPr="008437F0">
        <w:t xml:space="preserve">as </w:t>
      </w:r>
      <w:r w:rsidR="0046261C" w:rsidRPr="008437F0">
        <w:t>th</w:t>
      </w:r>
      <w:r w:rsidR="00787AB7" w:rsidRPr="008437F0">
        <w:t>is</w:t>
      </w:r>
      <w:r w:rsidR="0046261C" w:rsidRPr="008437F0">
        <w:t xml:space="preserve"> </w:t>
      </w:r>
      <w:r w:rsidR="004D6D95" w:rsidRPr="008437F0">
        <w:t xml:space="preserve">manhole </w:t>
      </w:r>
      <w:r w:rsidR="00787AB7" w:rsidRPr="008437F0">
        <w:t>as it exist</w:t>
      </w:r>
      <w:r w:rsidR="000F7CEF" w:rsidRPr="008437F0">
        <w:t>ed at the time of his inspection</w:t>
      </w:r>
      <w:r w:rsidR="008C0C35" w:rsidRPr="008437F0">
        <w:t>,</w:t>
      </w:r>
      <w:r w:rsidR="000F7CEF" w:rsidRPr="008437F0">
        <w:t xml:space="preserve"> </w:t>
      </w:r>
      <w:r w:rsidR="00787AB7" w:rsidRPr="008437F0">
        <w:t>ha</w:t>
      </w:r>
      <w:r w:rsidR="000F7CEF" w:rsidRPr="008437F0">
        <w:t>d</w:t>
      </w:r>
      <w:r w:rsidR="00787AB7" w:rsidRPr="008437F0">
        <w:t xml:space="preserve"> a fitted cover </w:t>
      </w:r>
      <w:r w:rsidR="00787AB7" w:rsidRPr="00C22E0E">
        <w:rPr>
          <w:i/>
          <w:iCs/>
        </w:rPr>
        <w:t>in situ</w:t>
      </w:r>
      <w:r w:rsidR="00787AB7" w:rsidRPr="008437F0">
        <w:t xml:space="preserve">, </w:t>
      </w:r>
      <w:r w:rsidR="00856BC3" w:rsidRPr="008437F0">
        <w:t xml:space="preserve">and the </w:t>
      </w:r>
      <w:r w:rsidR="004D6D95" w:rsidRPr="008437F0">
        <w:t xml:space="preserve">tar around </w:t>
      </w:r>
      <w:r w:rsidR="00CC5960" w:rsidRPr="008437F0">
        <w:t>the</w:t>
      </w:r>
      <w:r w:rsidR="00787AB7" w:rsidRPr="008437F0">
        <w:t xml:space="preserve"> </w:t>
      </w:r>
      <w:r w:rsidR="004D6D95" w:rsidRPr="008437F0">
        <w:t xml:space="preserve">manhole </w:t>
      </w:r>
      <w:r w:rsidR="00B33309" w:rsidRPr="008437F0">
        <w:t xml:space="preserve">appearing </w:t>
      </w:r>
      <w:r w:rsidR="00CC5960" w:rsidRPr="008437F0">
        <w:t xml:space="preserve">on the appellant’s photographs </w:t>
      </w:r>
      <w:r w:rsidR="004D6D95" w:rsidRPr="008437F0">
        <w:t>ha</w:t>
      </w:r>
      <w:r w:rsidR="000F7CEF" w:rsidRPr="008437F0">
        <w:t>d</w:t>
      </w:r>
      <w:r w:rsidR="00787AB7" w:rsidRPr="008437F0">
        <w:t xml:space="preserve"> seemingly</w:t>
      </w:r>
      <w:r w:rsidR="004D6D95" w:rsidRPr="008437F0">
        <w:t xml:space="preserve"> never been disturbe</w:t>
      </w:r>
      <w:r w:rsidR="007675C0" w:rsidRPr="008437F0">
        <w:t xml:space="preserve">d, that </w:t>
      </w:r>
      <w:r w:rsidR="008C0C35" w:rsidRPr="008437F0">
        <w:t xml:space="preserve">it </w:t>
      </w:r>
      <w:r w:rsidR="00CC5960" w:rsidRPr="008437F0">
        <w:t xml:space="preserve">could </w:t>
      </w:r>
      <w:r w:rsidR="00787AB7" w:rsidRPr="008437F0">
        <w:t>n</w:t>
      </w:r>
      <w:r w:rsidR="00B33309" w:rsidRPr="008437F0">
        <w:t xml:space="preserve">ot </w:t>
      </w:r>
      <w:r w:rsidR="00CC5960" w:rsidRPr="008437F0">
        <w:t xml:space="preserve">have </w:t>
      </w:r>
      <w:r w:rsidR="00787AB7" w:rsidRPr="008437F0">
        <w:t xml:space="preserve">been </w:t>
      </w:r>
      <w:r w:rsidR="00CC5960" w:rsidRPr="008437F0">
        <w:t xml:space="preserve">left </w:t>
      </w:r>
      <w:r w:rsidR="00787AB7" w:rsidRPr="008437F0">
        <w:t>open without a cover</w:t>
      </w:r>
      <w:r w:rsidR="00CC5960" w:rsidRPr="008437F0">
        <w:t xml:space="preserve"> since it was first </w:t>
      </w:r>
      <w:r w:rsidR="000F7CEF" w:rsidRPr="008437F0">
        <w:t>installed</w:t>
      </w:r>
      <w:r w:rsidR="00787AB7" w:rsidRPr="008437F0">
        <w:t>.</w:t>
      </w:r>
      <w:r w:rsidR="000F7CEF" w:rsidRPr="008437F0">
        <w:t xml:space="preserve"> </w:t>
      </w:r>
      <w:r w:rsidR="000F7CEF" w:rsidRPr="00C22E0E">
        <w:rPr>
          <w:szCs w:val="24"/>
        </w:rPr>
        <w:t>He did however state in re-</w:t>
      </w:r>
      <w:r w:rsidR="000F7CEF" w:rsidRPr="00C22E0E">
        <w:rPr>
          <w:szCs w:val="24"/>
        </w:rPr>
        <w:lastRenderedPageBreak/>
        <w:t xml:space="preserve">examination, in response to the question whether one can replace ‘that manhole without – with simply replacing a cover in a manner that you cannot see’, that ‘it is </w:t>
      </w:r>
      <w:r w:rsidR="000F7CEF" w:rsidRPr="00C22E0E">
        <w:rPr>
          <w:i/>
          <w:iCs/>
          <w:szCs w:val="24"/>
        </w:rPr>
        <w:t>highly unlikely</w:t>
      </w:r>
      <w:r w:rsidR="000F7CEF" w:rsidRPr="00C22E0E">
        <w:rPr>
          <w:szCs w:val="24"/>
        </w:rPr>
        <w:t xml:space="preserve"> that you will get the perfect fit .</w:t>
      </w:r>
      <w:r w:rsidR="00B33309" w:rsidRPr="00C22E0E">
        <w:rPr>
          <w:szCs w:val="24"/>
        </w:rPr>
        <w:t xml:space="preserve"> . .</w:t>
      </w:r>
      <w:r w:rsidR="000F7CEF" w:rsidRPr="00C22E0E">
        <w:rPr>
          <w:szCs w:val="24"/>
        </w:rPr>
        <w:t>’</w:t>
      </w:r>
      <w:r w:rsidR="00B33309" w:rsidRPr="00C22E0E">
        <w:rPr>
          <w:szCs w:val="24"/>
        </w:rPr>
        <w:t xml:space="preserve"> (Emphasis added).</w:t>
      </w:r>
    </w:p>
    <w:p w14:paraId="2A247F22" w14:textId="77777777" w:rsidR="00A31F0B" w:rsidRPr="008437F0" w:rsidRDefault="00A31F0B" w:rsidP="00A31F0B">
      <w:pPr>
        <w:pStyle w:val="ListParagraph"/>
        <w:spacing w:line="360" w:lineRule="auto"/>
        <w:ind w:left="0"/>
        <w:jc w:val="both"/>
      </w:pPr>
    </w:p>
    <w:p w14:paraId="33B1D67B" w14:textId="208392A4" w:rsidR="004D6D95" w:rsidRPr="008437F0" w:rsidRDefault="00C22E0E" w:rsidP="00C22E0E">
      <w:pPr>
        <w:spacing w:line="360" w:lineRule="auto"/>
        <w:jc w:val="both"/>
      </w:pPr>
      <w:r w:rsidRPr="008437F0">
        <w:rPr>
          <w:szCs w:val="24"/>
        </w:rPr>
        <w:t>[15]</w:t>
      </w:r>
      <w:r w:rsidRPr="008437F0">
        <w:rPr>
          <w:szCs w:val="24"/>
        </w:rPr>
        <w:tab/>
      </w:r>
      <w:r w:rsidR="004D6D95" w:rsidRPr="008437F0">
        <w:t>He testified</w:t>
      </w:r>
      <w:r w:rsidR="00A60CD7" w:rsidRPr="008437F0">
        <w:t xml:space="preserve">, </w:t>
      </w:r>
      <w:r w:rsidR="00787AB7" w:rsidRPr="008437F0">
        <w:t xml:space="preserve">with reference </w:t>
      </w:r>
      <w:r w:rsidR="004D6D95" w:rsidRPr="008437F0">
        <w:t>to an aerial photograph of Khwezi Street dated 22 February 2014</w:t>
      </w:r>
      <w:r w:rsidR="00A60CD7" w:rsidRPr="008437F0">
        <w:t>,</w:t>
      </w:r>
      <w:r w:rsidR="004D6D95" w:rsidRPr="008437F0">
        <w:t xml:space="preserve"> that an open manhole </w:t>
      </w:r>
      <w:r w:rsidR="00787AB7" w:rsidRPr="008437F0">
        <w:t xml:space="preserve">at the point </w:t>
      </w:r>
      <w:r w:rsidR="004D6D95" w:rsidRPr="008437F0">
        <w:t>indicated by the respondent and Mr Xwayi</w:t>
      </w:r>
      <w:r w:rsidR="0046261C" w:rsidRPr="008437F0">
        <w:t>,</w:t>
      </w:r>
      <w:r w:rsidR="004D6D95" w:rsidRPr="008437F0">
        <w:t xml:space="preserve"> would cause severe problems within hours due to the volume of sand in the area </w:t>
      </w:r>
      <w:r w:rsidR="0046261C" w:rsidRPr="008437F0">
        <w:t xml:space="preserve">which </w:t>
      </w:r>
      <w:r w:rsidR="004D6D95" w:rsidRPr="008437F0">
        <w:t>would fill up the manhole and block the sewerage flow. I</w:t>
      </w:r>
      <w:r w:rsidR="0046261C" w:rsidRPr="008437F0">
        <w:t>n his view i</w:t>
      </w:r>
      <w:r w:rsidR="004D6D95" w:rsidRPr="008437F0">
        <w:t>t was therefore unlikely that the manhole in Khwezi Street was uncovered for months.</w:t>
      </w:r>
      <w:r w:rsidR="000F7CEF" w:rsidRPr="008437F0">
        <w:rPr>
          <w:rStyle w:val="FootnoteReference"/>
        </w:rPr>
        <w:footnoteReference w:id="7"/>
      </w:r>
    </w:p>
    <w:p w14:paraId="487E0001" w14:textId="77777777" w:rsidR="000F7CEF" w:rsidRPr="008437F0" w:rsidRDefault="000F7CEF" w:rsidP="000F7CEF">
      <w:pPr>
        <w:pStyle w:val="ListParagraph"/>
        <w:spacing w:line="360" w:lineRule="auto"/>
        <w:ind w:left="0"/>
      </w:pPr>
    </w:p>
    <w:p w14:paraId="24D2FF9B" w14:textId="2EDEC9B6" w:rsidR="00C16594" w:rsidRPr="008437F0" w:rsidRDefault="00C22E0E" w:rsidP="00C22E0E">
      <w:pPr>
        <w:spacing w:line="360" w:lineRule="auto"/>
        <w:jc w:val="both"/>
      </w:pPr>
      <w:r w:rsidRPr="008437F0">
        <w:rPr>
          <w:szCs w:val="24"/>
        </w:rPr>
        <w:t>[16]</w:t>
      </w:r>
      <w:r w:rsidRPr="008437F0">
        <w:rPr>
          <w:szCs w:val="24"/>
        </w:rPr>
        <w:tab/>
      </w:r>
      <w:r w:rsidR="004D6D95" w:rsidRPr="008437F0">
        <w:t xml:space="preserve">Mr </w:t>
      </w:r>
      <w:r w:rsidR="0073456C" w:rsidRPr="008437F0">
        <w:t>Jaffer</w:t>
      </w:r>
      <w:r w:rsidR="00470D6E" w:rsidRPr="008437F0">
        <w:t xml:space="preserve"> </w:t>
      </w:r>
      <w:r w:rsidR="008C0C35" w:rsidRPr="008437F0">
        <w:t xml:space="preserve">testified that he had </w:t>
      </w:r>
      <w:r w:rsidR="004D6D95" w:rsidRPr="008437F0">
        <w:t>ex</w:t>
      </w:r>
      <w:r w:rsidR="00E03F16" w:rsidRPr="008437F0">
        <w:t xml:space="preserve">amined the </w:t>
      </w:r>
      <w:r w:rsidR="004D6D95" w:rsidRPr="008437F0">
        <w:t xml:space="preserve">C3 </w:t>
      </w:r>
      <w:r w:rsidR="0046261C" w:rsidRPr="008437F0">
        <w:t xml:space="preserve">system </w:t>
      </w:r>
      <w:r w:rsidR="004D6D95" w:rsidRPr="008437F0">
        <w:t xml:space="preserve">records </w:t>
      </w:r>
      <w:r w:rsidR="003D1581" w:rsidRPr="008437F0">
        <w:t xml:space="preserve">and could </w:t>
      </w:r>
      <w:r w:rsidR="000F7CEF" w:rsidRPr="008437F0">
        <w:t xml:space="preserve">not </w:t>
      </w:r>
      <w:r w:rsidR="003D1581" w:rsidRPr="008437F0">
        <w:t xml:space="preserve">find </w:t>
      </w:r>
      <w:r w:rsidR="000F7CEF" w:rsidRPr="008437F0">
        <w:t xml:space="preserve">a </w:t>
      </w:r>
      <w:r w:rsidR="004D6D95" w:rsidRPr="008437F0">
        <w:t xml:space="preserve">record of a missing manhole cover in Khwezi Street </w:t>
      </w:r>
      <w:r w:rsidR="00E03F16" w:rsidRPr="008437F0">
        <w:t>being reported</w:t>
      </w:r>
      <w:r w:rsidR="00C24D64" w:rsidRPr="008437F0">
        <w:t>,</w:t>
      </w:r>
      <w:r w:rsidR="00E03F16" w:rsidRPr="008437F0">
        <w:t xml:space="preserve"> or a missing cover being replaced</w:t>
      </w:r>
      <w:r w:rsidR="00C24D64" w:rsidRPr="008437F0">
        <w:t>,</w:t>
      </w:r>
      <w:r w:rsidR="00E03F16" w:rsidRPr="008437F0">
        <w:t xml:space="preserve"> </w:t>
      </w:r>
      <w:r w:rsidR="004D6D95" w:rsidRPr="008437F0">
        <w:t>during the whole of 2013</w:t>
      </w:r>
      <w:r w:rsidR="000D2E30" w:rsidRPr="008437F0">
        <w:t xml:space="preserve">, or </w:t>
      </w:r>
      <w:r w:rsidR="004C0417" w:rsidRPr="008437F0">
        <w:t>during the</w:t>
      </w:r>
      <w:r w:rsidR="004D6D95" w:rsidRPr="008437F0">
        <w:t xml:space="preserve"> period</w:t>
      </w:r>
      <w:r w:rsidR="00E03F16" w:rsidRPr="008437F0">
        <w:t xml:space="preserve"> from 2014 until 2020</w:t>
      </w:r>
      <w:r w:rsidR="004D6D95" w:rsidRPr="008437F0">
        <w:t>. The</w:t>
      </w:r>
      <w:r w:rsidR="00C24D64" w:rsidRPr="008437F0">
        <w:t xml:space="preserve">re was </w:t>
      </w:r>
      <w:r w:rsidR="004D6D95" w:rsidRPr="008437F0">
        <w:t xml:space="preserve">only </w:t>
      </w:r>
      <w:r w:rsidR="00B8655C" w:rsidRPr="008437F0">
        <w:t>one</w:t>
      </w:r>
      <w:r w:rsidR="000D2E30" w:rsidRPr="008437F0">
        <w:t xml:space="preserve"> </w:t>
      </w:r>
      <w:r w:rsidR="004D6D95" w:rsidRPr="008437F0">
        <w:t xml:space="preserve">report </w:t>
      </w:r>
      <w:r w:rsidR="00C24D64" w:rsidRPr="008437F0">
        <w:t>of</w:t>
      </w:r>
      <w:r w:rsidR="004D6D95" w:rsidRPr="008437F0">
        <w:t xml:space="preserve"> </w:t>
      </w:r>
      <w:r w:rsidR="00313947" w:rsidRPr="008437F0">
        <w:t>a</w:t>
      </w:r>
      <w:r w:rsidR="004D6D95" w:rsidRPr="008437F0">
        <w:t xml:space="preserve"> missing manhole cover in Ukubetana Street </w:t>
      </w:r>
      <w:r w:rsidR="003D1581" w:rsidRPr="008437F0">
        <w:t>during</w:t>
      </w:r>
      <w:r w:rsidR="004D6D95" w:rsidRPr="008437F0">
        <w:t xml:space="preserve"> September 2014.</w:t>
      </w:r>
    </w:p>
    <w:p w14:paraId="4DA49D99" w14:textId="77777777" w:rsidR="00C16594" w:rsidRPr="008437F0" w:rsidRDefault="00C16594" w:rsidP="004D6D95">
      <w:pPr>
        <w:pStyle w:val="ListParagraph"/>
        <w:spacing w:line="360" w:lineRule="auto"/>
        <w:ind w:left="0"/>
      </w:pPr>
    </w:p>
    <w:p w14:paraId="3F3ECA94" w14:textId="77777777" w:rsidR="004D6D95" w:rsidRPr="008437F0" w:rsidRDefault="004D6D95" w:rsidP="00EB3829">
      <w:pPr>
        <w:pStyle w:val="ListParagraph"/>
        <w:spacing w:line="360" w:lineRule="auto"/>
        <w:ind w:left="0"/>
        <w:jc w:val="both"/>
        <w:rPr>
          <w:b/>
          <w:bCs/>
        </w:rPr>
      </w:pPr>
      <w:r w:rsidRPr="008437F0">
        <w:rPr>
          <w:b/>
          <w:bCs/>
        </w:rPr>
        <w:t xml:space="preserve">The </w:t>
      </w:r>
      <w:r w:rsidR="00C24D64" w:rsidRPr="008437F0">
        <w:rPr>
          <w:b/>
          <w:bCs/>
        </w:rPr>
        <w:t xml:space="preserve">findings of the </w:t>
      </w:r>
      <w:r w:rsidR="00901097" w:rsidRPr="008437F0">
        <w:rPr>
          <w:b/>
          <w:bCs/>
        </w:rPr>
        <w:t>trial court</w:t>
      </w:r>
      <w:r w:rsidR="00AA04A8" w:rsidRPr="008437F0">
        <w:rPr>
          <w:b/>
          <w:bCs/>
        </w:rPr>
        <w:t xml:space="preserve"> </w:t>
      </w:r>
      <w:r w:rsidR="00CC5960" w:rsidRPr="008437F0">
        <w:rPr>
          <w:b/>
          <w:bCs/>
        </w:rPr>
        <w:t>and full court</w:t>
      </w:r>
    </w:p>
    <w:p w14:paraId="66EE5AFE" w14:textId="791C96C1" w:rsidR="006B2F11" w:rsidRPr="008437F0" w:rsidRDefault="00C22E0E" w:rsidP="00C22E0E">
      <w:pPr>
        <w:spacing w:line="360" w:lineRule="auto"/>
        <w:jc w:val="both"/>
      </w:pPr>
      <w:r w:rsidRPr="008437F0">
        <w:rPr>
          <w:szCs w:val="24"/>
        </w:rPr>
        <w:t>[17]</w:t>
      </w:r>
      <w:r w:rsidRPr="008437F0">
        <w:rPr>
          <w:szCs w:val="24"/>
        </w:rPr>
        <w:tab/>
      </w:r>
      <w:r w:rsidR="003513BF" w:rsidRPr="008437F0">
        <w:t xml:space="preserve">The </w:t>
      </w:r>
      <w:r w:rsidR="00901097" w:rsidRPr="008437F0">
        <w:t>trial court</w:t>
      </w:r>
      <w:r w:rsidR="006B2F11" w:rsidRPr="008437F0">
        <w:t xml:space="preserve"> </w:t>
      </w:r>
      <w:r w:rsidR="005E5F4F" w:rsidRPr="008437F0">
        <w:t>a</w:t>
      </w:r>
      <w:r w:rsidR="00EE5811" w:rsidRPr="008437F0">
        <w:t xml:space="preserve">ccepted the evidence of the respondent and </w:t>
      </w:r>
      <w:r w:rsidR="006B2F11" w:rsidRPr="008437F0">
        <w:t>t</w:t>
      </w:r>
      <w:r w:rsidR="002E515B" w:rsidRPr="008437F0">
        <w:t xml:space="preserve">hat of </w:t>
      </w:r>
      <w:r w:rsidR="00EE5811" w:rsidRPr="008437F0">
        <w:t>Mr Xwayi</w:t>
      </w:r>
      <w:r w:rsidR="00CC5960" w:rsidRPr="008437F0">
        <w:t xml:space="preserve"> as credible and probable. Mr Xwayi </w:t>
      </w:r>
      <w:r w:rsidR="00F82340" w:rsidRPr="008437F0">
        <w:t>was viewed as independent and not showing any bias</w:t>
      </w:r>
      <w:r w:rsidR="00CC5960" w:rsidRPr="008437F0">
        <w:t>.</w:t>
      </w:r>
    </w:p>
    <w:p w14:paraId="6125AA33" w14:textId="77777777" w:rsidR="005278DB" w:rsidRPr="008437F0" w:rsidRDefault="005278DB" w:rsidP="00EB3829">
      <w:pPr>
        <w:pStyle w:val="ListParagraph"/>
        <w:spacing w:line="360" w:lineRule="auto"/>
        <w:ind w:left="0"/>
        <w:jc w:val="both"/>
      </w:pPr>
    </w:p>
    <w:p w14:paraId="7CFF3DE4" w14:textId="4716AFAF" w:rsidR="00B33309" w:rsidRPr="008437F0" w:rsidRDefault="00C22E0E" w:rsidP="00C22E0E">
      <w:pPr>
        <w:spacing w:line="360" w:lineRule="auto"/>
        <w:jc w:val="both"/>
      </w:pPr>
      <w:r w:rsidRPr="008437F0">
        <w:rPr>
          <w:szCs w:val="24"/>
        </w:rPr>
        <w:t>[18]</w:t>
      </w:r>
      <w:r w:rsidRPr="008437F0">
        <w:rPr>
          <w:szCs w:val="24"/>
        </w:rPr>
        <w:tab/>
      </w:r>
      <w:r w:rsidR="00A31F0B" w:rsidRPr="008437F0">
        <w:t xml:space="preserve">With regards </w:t>
      </w:r>
      <w:r w:rsidR="00236BAC" w:rsidRPr="008437F0">
        <w:t>to the appellant’s witnesses</w:t>
      </w:r>
      <w:r w:rsidR="00A60CD7" w:rsidRPr="008437F0">
        <w:t>,</w:t>
      </w:r>
      <w:r w:rsidR="00236BAC" w:rsidRPr="008437F0">
        <w:t xml:space="preserve"> the trial court found that </w:t>
      </w:r>
      <w:r w:rsidR="008252D1" w:rsidRPr="008437F0">
        <w:t xml:space="preserve">Mr Maritz’s opinion that the manhole cover </w:t>
      </w:r>
      <w:r w:rsidR="007D3070" w:rsidRPr="008437F0">
        <w:t>had never been missing</w:t>
      </w:r>
      <w:r w:rsidR="00F54715" w:rsidRPr="008437F0">
        <w:t>,</w:t>
      </w:r>
      <w:r w:rsidR="007D3070" w:rsidRPr="008437F0">
        <w:t xml:space="preserve"> </w:t>
      </w:r>
      <w:r w:rsidR="00CC5960" w:rsidRPr="008437F0">
        <w:t xml:space="preserve">as </w:t>
      </w:r>
      <w:r w:rsidR="007D3070" w:rsidRPr="008437F0">
        <w:t xml:space="preserve">the </w:t>
      </w:r>
      <w:r w:rsidR="005E636B" w:rsidRPr="008437F0">
        <w:t xml:space="preserve">manhole </w:t>
      </w:r>
      <w:r w:rsidR="007D3070" w:rsidRPr="008437F0">
        <w:t xml:space="preserve">found there at the time of the trial </w:t>
      </w:r>
      <w:r w:rsidR="008252D1" w:rsidRPr="008437F0">
        <w:t>was the original one b</w:t>
      </w:r>
      <w:r w:rsidR="007D3070" w:rsidRPr="008437F0">
        <w:t xml:space="preserve">ecause </w:t>
      </w:r>
      <w:r w:rsidR="008252D1" w:rsidRPr="008437F0">
        <w:t>the tar around the manhole was homogenous with the rest of the surroundings</w:t>
      </w:r>
      <w:r w:rsidR="005278DB" w:rsidRPr="008437F0">
        <w:t>,</w:t>
      </w:r>
      <w:r w:rsidR="008252D1" w:rsidRPr="008437F0">
        <w:t xml:space="preserve"> was inadmissible</w:t>
      </w:r>
      <w:r w:rsidR="00F54715" w:rsidRPr="008437F0">
        <w:t xml:space="preserve">. This was because Mr Maritz </w:t>
      </w:r>
      <w:r w:rsidR="007675C0" w:rsidRPr="008437F0">
        <w:t xml:space="preserve">had </w:t>
      </w:r>
      <w:r w:rsidR="008252D1" w:rsidRPr="008437F0">
        <w:t xml:space="preserve">not </w:t>
      </w:r>
      <w:r w:rsidR="007675C0" w:rsidRPr="008437F0">
        <w:t xml:space="preserve">been </w:t>
      </w:r>
      <w:r w:rsidR="008252D1" w:rsidRPr="008437F0">
        <w:t>qualified as an expert</w:t>
      </w:r>
      <w:r w:rsidR="00B33309" w:rsidRPr="008437F0">
        <w:t>,</w:t>
      </w:r>
      <w:r w:rsidR="008252D1" w:rsidRPr="008437F0">
        <w:t xml:space="preserve"> and the provisions of </w:t>
      </w:r>
      <w:r w:rsidR="00A31F0B" w:rsidRPr="008437F0">
        <w:t>U</w:t>
      </w:r>
      <w:r w:rsidR="008252D1" w:rsidRPr="008437F0">
        <w:t>niform rule 36(9) had not been complied with</w:t>
      </w:r>
      <w:r w:rsidR="007D3070" w:rsidRPr="008437F0">
        <w:t xml:space="preserve">. In the alternative it found </w:t>
      </w:r>
      <w:r w:rsidR="008252D1" w:rsidRPr="008437F0">
        <w:t>that Mr Maritz’s evidence would in any event be irrelevant, because he was simply giving evidence on an issue the Court had to decide</w:t>
      </w:r>
      <w:r w:rsidR="007568A4" w:rsidRPr="008437F0">
        <w:t>.</w:t>
      </w:r>
    </w:p>
    <w:p w14:paraId="66F64C16" w14:textId="77777777" w:rsidR="00B33309" w:rsidRPr="008437F0" w:rsidRDefault="00B33309" w:rsidP="00EB3829">
      <w:pPr>
        <w:spacing w:line="360" w:lineRule="auto"/>
      </w:pPr>
    </w:p>
    <w:p w14:paraId="3A19769E" w14:textId="0D68F1CD" w:rsidR="00236BAC" w:rsidRPr="008437F0" w:rsidRDefault="00C22E0E" w:rsidP="00C22E0E">
      <w:pPr>
        <w:spacing w:line="360" w:lineRule="auto"/>
        <w:jc w:val="both"/>
      </w:pPr>
      <w:r w:rsidRPr="008437F0">
        <w:rPr>
          <w:szCs w:val="24"/>
        </w:rPr>
        <w:lastRenderedPageBreak/>
        <w:t>[19]</w:t>
      </w:r>
      <w:r w:rsidRPr="008437F0">
        <w:rPr>
          <w:szCs w:val="24"/>
        </w:rPr>
        <w:tab/>
      </w:r>
      <w:r w:rsidR="007D3070" w:rsidRPr="008437F0">
        <w:t xml:space="preserve">It further concluded that </w:t>
      </w:r>
      <w:r w:rsidR="008252D1" w:rsidRPr="008437F0">
        <w:t>Mr Maritz</w:t>
      </w:r>
      <w:r w:rsidR="008E1E25" w:rsidRPr="008437F0">
        <w:t xml:space="preserve">’s reliance </w:t>
      </w:r>
      <w:r w:rsidR="008252D1" w:rsidRPr="008437F0">
        <w:t xml:space="preserve">on the records drawn from the C3 system to substantiate the point that no cover was reported missing </w:t>
      </w:r>
      <w:r w:rsidR="00B8655C" w:rsidRPr="008437F0">
        <w:t xml:space="preserve">or was replaced </w:t>
      </w:r>
      <w:r w:rsidR="008252D1" w:rsidRPr="008437F0">
        <w:t>in Khwezi Street during 1 January 2013 to 31 December 2013, was dependent on human intervention</w:t>
      </w:r>
      <w:r w:rsidR="008E1E25" w:rsidRPr="008437F0">
        <w:t xml:space="preserve">. This implied </w:t>
      </w:r>
      <w:r w:rsidR="007D3070" w:rsidRPr="008437F0">
        <w:t xml:space="preserve">that it is fallible, </w:t>
      </w:r>
      <w:r w:rsidR="00236BAC" w:rsidRPr="008437F0">
        <w:t xml:space="preserve">and that whatever was sought to be inferred from the records on the C3 system did not negate the direct credible evidence of </w:t>
      </w:r>
      <w:r w:rsidR="008252D1" w:rsidRPr="008437F0">
        <w:t xml:space="preserve">Mr Xwayi </w:t>
      </w:r>
      <w:r w:rsidR="00236BAC" w:rsidRPr="008437F0">
        <w:t xml:space="preserve">that he </w:t>
      </w:r>
      <w:r w:rsidR="008252D1" w:rsidRPr="008437F0">
        <w:t xml:space="preserve">had reported </w:t>
      </w:r>
      <w:r w:rsidR="00236BAC" w:rsidRPr="008437F0">
        <w:t>the m</w:t>
      </w:r>
      <w:r w:rsidR="008252D1" w:rsidRPr="008437F0">
        <w:t xml:space="preserve">issing manhole cover to </w:t>
      </w:r>
      <w:r w:rsidR="00236BAC" w:rsidRPr="008437F0">
        <w:t xml:space="preserve">an </w:t>
      </w:r>
      <w:r w:rsidR="008252D1" w:rsidRPr="008437F0">
        <w:t>employee</w:t>
      </w:r>
      <w:r w:rsidR="00236BAC" w:rsidRPr="008437F0">
        <w:t xml:space="preserve"> of the appellant</w:t>
      </w:r>
      <w:r w:rsidR="007D3070" w:rsidRPr="008437F0">
        <w:t>.</w:t>
      </w:r>
      <w:r w:rsidR="008252D1" w:rsidRPr="008437F0">
        <w:t xml:space="preserve"> It concluded that the only reasonable explanation why there was no record of the missing manhole cover </w:t>
      </w:r>
      <w:r w:rsidR="00A60CD7" w:rsidRPr="008437F0">
        <w:t xml:space="preserve">on the C3 system </w:t>
      </w:r>
      <w:r w:rsidR="008252D1" w:rsidRPr="008437F0">
        <w:t xml:space="preserve">was either because the </w:t>
      </w:r>
      <w:r w:rsidR="00B33309" w:rsidRPr="008437F0">
        <w:t xml:space="preserve">appellant’s </w:t>
      </w:r>
      <w:r w:rsidR="008252D1" w:rsidRPr="008437F0">
        <w:t xml:space="preserve">employee </w:t>
      </w:r>
      <w:r w:rsidR="00B33309" w:rsidRPr="008437F0">
        <w:t xml:space="preserve">to whom Mr Xwayi made the report </w:t>
      </w:r>
      <w:r w:rsidR="008252D1" w:rsidRPr="008437F0">
        <w:t>never forwarded the complaint to the relevant department, or that it was possibly incorrectly recorded on the C3 system</w:t>
      </w:r>
      <w:r w:rsidR="008E1E25" w:rsidRPr="008437F0">
        <w:t xml:space="preserve">. </w:t>
      </w:r>
    </w:p>
    <w:p w14:paraId="55029DE5" w14:textId="77777777" w:rsidR="008E1E25" w:rsidRPr="008437F0" w:rsidRDefault="008E1E25" w:rsidP="008E1E25">
      <w:pPr>
        <w:pStyle w:val="ListParagraph"/>
        <w:spacing w:line="360" w:lineRule="auto"/>
        <w:ind w:left="0"/>
        <w:jc w:val="both"/>
      </w:pPr>
    </w:p>
    <w:p w14:paraId="7DE85426" w14:textId="125AECB4" w:rsidR="009B2367" w:rsidRPr="008437F0" w:rsidRDefault="00C22E0E" w:rsidP="00C22E0E">
      <w:pPr>
        <w:spacing w:line="360" w:lineRule="auto"/>
        <w:jc w:val="both"/>
      </w:pPr>
      <w:r w:rsidRPr="008437F0">
        <w:rPr>
          <w:szCs w:val="24"/>
        </w:rPr>
        <w:t>[20]</w:t>
      </w:r>
      <w:r w:rsidRPr="008437F0">
        <w:rPr>
          <w:szCs w:val="24"/>
        </w:rPr>
        <w:tab/>
      </w:r>
      <w:r w:rsidR="008252D1" w:rsidRPr="008437F0">
        <w:t xml:space="preserve">As to when the cover examined by Mr Maritz on 22 February 2020 was installed, </w:t>
      </w:r>
      <w:r w:rsidR="00236BAC" w:rsidRPr="008437F0">
        <w:t xml:space="preserve">the trial court concluded </w:t>
      </w:r>
      <w:r w:rsidR="008252D1" w:rsidRPr="008437F0">
        <w:t>that it was any</w:t>
      </w:r>
      <w:r w:rsidR="00B33309" w:rsidRPr="008437F0">
        <w:t xml:space="preserve"> </w:t>
      </w:r>
      <w:r w:rsidR="008252D1" w:rsidRPr="008437F0">
        <w:t>time after 31 December 2013</w:t>
      </w:r>
      <w:r w:rsidR="008E1E25" w:rsidRPr="008437F0">
        <w:t xml:space="preserve">. The </w:t>
      </w:r>
      <w:r w:rsidR="008252D1" w:rsidRPr="008437F0">
        <w:t xml:space="preserve">records of missing and replaced covers in Khwezi or Ukubhethana Streets after 31 December 2013 </w:t>
      </w:r>
      <w:r w:rsidR="007D3070" w:rsidRPr="008437F0">
        <w:t xml:space="preserve">were </w:t>
      </w:r>
      <w:r w:rsidR="008252D1" w:rsidRPr="008437F0">
        <w:t xml:space="preserve">not made available, </w:t>
      </w:r>
      <w:r w:rsidR="00CC5960" w:rsidRPr="008437F0">
        <w:t xml:space="preserve">and </w:t>
      </w:r>
      <w:r w:rsidR="008252D1" w:rsidRPr="008437F0">
        <w:t>Mr Jaf</w:t>
      </w:r>
      <w:r w:rsidR="00B33309" w:rsidRPr="008437F0">
        <w:t>fer</w:t>
      </w:r>
      <w:r w:rsidR="008252D1" w:rsidRPr="008437F0">
        <w:t xml:space="preserve"> was not</w:t>
      </w:r>
      <w:r w:rsidR="005308FA" w:rsidRPr="008437F0">
        <w:t xml:space="preserve"> </w:t>
      </w:r>
      <w:r w:rsidR="00F87130" w:rsidRPr="008437F0">
        <w:t xml:space="preserve">clear and </w:t>
      </w:r>
      <w:r w:rsidR="008252D1" w:rsidRPr="008437F0">
        <w:t xml:space="preserve">certain </w:t>
      </w:r>
      <w:r w:rsidR="005308FA" w:rsidRPr="008437F0">
        <w:t>in his evidence</w:t>
      </w:r>
      <w:r w:rsidR="00B8655C" w:rsidRPr="008437F0">
        <w:t>,</w:t>
      </w:r>
      <w:r w:rsidR="007D3070" w:rsidRPr="008437F0">
        <w:t xml:space="preserve"> as he said that </w:t>
      </w:r>
      <w:r w:rsidR="005308FA" w:rsidRPr="008437F0">
        <w:t xml:space="preserve">he </w:t>
      </w:r>
      <w:r w:rsidR="005308FA" w:rsidRPr="00C22E0E">
        <w:rPr>
          <w:i/>
          <w:iCs/>
        </w:rPr>
        <w:t>thought</w:t>
      </w:r>
      <w:r w:rsidR="005308FA" w:rsidRPr="008437F0">
        <w:t xml:space="preserve"> </w:t>
      </w:r>
      <w:r w:rsidR="007D3070" w:rsidRPr="008437F0">
        <w:t>that</w:t>
      </w:r>
      <w:r w:rsidR="00F7559C" w:rsidRPr="008437F0">
        <w:t xml:space="preserve"> he had looked </w:t>
      </w:r>
      <w:r w:rsidR="005308FA" w:rsidRPr="008437F0">
        <w:t xml:space="preserve">at the records </w:t>
      </w:r>
      <w:r w:rsidR="00F7559C" w:rsidRPr="008437F0">
        <w:t xml:space="preserve">‘from 2013 up until the current.’ </w:t>
      </w:r>
      <w:r w:rsidR="005308FA" w:rsidRPr="008437F0">
        <w:t>The trial court</w:t>
      </w:r>
      <w:r w:rsidR="007D3070" w:rsidRPr="008437F0">
        <w:t xml:space="preserve"> observed </w:t>
      </w:r>
      <w:r w:rsidR="008252D1" w:rsidRPr="008437F0">
        <w:t xml:space="preserve">that the appellant’s witnesses testified without having the facts ‘to back up their bald assertions’, </w:t>
      </w:r>
      <w:r w:rsidR="007D3070" w:rsidRPr="008437F0">
        <w:t xml:space="preserve">and that this </w:t>
      </w:r>
      <w:r w:rsidR="008252D1" w:rsidRPr="008437F0">
        <w:t>could have been avoided if, with all</w:t>
      </w:r>
      <w:r w:rsidR="007D3070" w:rsidRPr="008437F0">
        <w:t xml:space="preserve"> the resources </w:t>
      </w:r>
      <w:r w:rsidR="008252D1" w:rsidRPr="008437F0">
        <w:t xml:space="preserve">available </w:t>
      </w:r>
      <w:r w:rsidR="007D3070" w:rsidRPr="008437F0">
        <w:t>to it</w:t>
      </w:r>
      <w:r w:rsidR="008252D1" w:rsidRPr="008437F0">
        <w:t xml:space="preserve">, the relevant records were </w:t>
      </w:r>
      <w:r w:rsidR="007D3070" w:rsidRPr="008437F0">
        <w:t xml:space="preserve">available for </w:t>
      </w:r>
      <w:r w:rsidR="008252D1" w:rsidRPr="008437F0">
        <w:t xml:space="preserve">reference </w:t>
      </w:r>
      <w:r w:rsidR="007D3070" w:rsidRPr="008437F0">
        <w:t xml:space="preserve">to be made </w:t>
      </w:r>
      <w:r w:rsidR="008252D1" w:rsidRPr="008437F0">
        <w:t xml:space="preserve">thereto. </w:t>
      </w:r>
      <w:r w:rsidR="005308FA" w:rsidRPr="008437F0">
        <w:t xml:space="preserve">Finally, </w:t>
      </w:r>
      <w:r w:rsidR="009B2367" w:rsidRPr="008437F0">
        <w:t xml:space="preserve">it </w:t>
      </w:r>
      <w:r w:rsidR="005308FA" w:rsidRPr="008437F0">
        <w:t>concluded that the</w:t>
      </w:r>
      <w:r w:rsidR="008252D1" w:rsidRPr="008437F0">
        <w:t xml:space="preserve"> version of the respondent was not ‘equipoised’ with that of the appellant but </w:t>
      </w:r>
      <w:r w:rsidR="005308FA" w:rsidRPr="008437F0">
        <w:t xml:space="preserve">was </w:t>
      </w:r>
      <w:r w:rsidR="008252D1" w:rsidRPr="008437F0">
        <w:t>more probable than that of the appellant.</w:t>
      </w:r>
    </w:p>
    <w:p w14:paraId="54F14451" w14:textId="77777777" w:rsidR="005278DB" w:rsidRPr="008437F0" w:rsidRDefault="005278DB" w:rsidP="00EB3829">
      <w:pPr>
        <w:spacing w:line="360" w:lineRule="auto"/>
      </w:pPr>
    </w:p>
    <w:p w14:paraId="38242F4E" w14:textId="7DA6176D" w:rsidR="00745183" w:rsidRPr="00C22E0E" w:rsidRDefault="00C22E0E" w:rsidP="00C22E0E">
      <w:pPr>
        <w:spacing w:line="360" w:lineRule="auto"/>
        <w:jc w:val="both"/>
        <w:rPr>
          <w:b/>
          <w:bCs/>
        </w:rPr>
      </w:pPr>
      <w:r w:rsidRPr="008437F0">
        <w:rPr>
          <w:szCs w:val="24"/>
        </w:rPr>
        <w:t>[21]</w:t>
      </w:r>
      <w:r w:rsidRPr="008437F0">
        <w:rPr>
          <w:szCs w:val="24"/>
        </w:rPr>
        <w:tab/>
      </w:r>
      <w:r w:rsidR="005278DB" w:rsidRPr="008437F0">
        <w:t xml:space="preserve">The full court concluded that the trial court had not misdirected itself in any manner, including its findings on </w:t>
      </w:r>
      <w:r w:rsidR="008C0C35" w:rsidRPr="008437F0">
        <w:t xml:space="preserve">the </w:t>
      </w:r>
      <w:r w:rsidR="005278DB" w:rsidRPr="008437F0">
        <w:t>facts, credibility and the</w:t>
      </w:r>
      <w:r w:rsidR="00EB3829" w:rsidRPr="008437F0">
        <w:t xml:space="preserve"> reliability of the witnesses, </w:t>
      </w:r>
      <w:r w:rsidR="005278DB" w:rsidRPr="008437F0">
        <w:t xml:space="preserve">which would justify it interfering with </w:t>
      </w:r>
      <w:r w:rsidR="008C0C35" w:rsidRPr="008437F0">
        <w:t xml:space="preserve">its </w:t>
      </w:r>
      <w:r w:rsidR="005278DB" w:rsidRPr="008437F0">
        <w:t>findings</w:t>
      </w:r>
      <w:r w:rsidR="008C0C35" w:rsidRPr="008437F0">
        <w:t>.</w:t>
      </w:r>
      <w:r w:rsidR="005278DB" w:rsidRPr="008437F0">
        <w:t xml:space="preserve"> It concluded that the respondent’s version was materially corroborated, reliable and not characterized by contradictions and improbabilities. Whatever contradictions there were, were raised and considered by the trial court in a fully reasoned judgment and dismissed. It concluded that even if the ‘expert opinion evidence’ of Mr Maritz was not excluded,</w:t>
      </w:r>
      <w:r w:rsidR="00FC5458" w:rsidRPr="008437F0">
        <w:rPr>
          <w:rStyle w:val="FootnoteReference"/>
        </w:rPr>
        <w:footnoteReference w:id="8"/>
      </w:r>
      <w:r w:rsidR="005278DB" w:rsidRPr="008437F0">
        <w:t xml:space="preserve"> that this evidence would nevertheless ‘not trump’ the evidence of the respondent and Mr Xwayi.</w:t>
      </w:r>
      <w:r w:rsidR="002E50DD" w:rsidRPr="00C22E0E">
        <w:rPr>
          <w:b/>
          <w:bCs/>
        </w:rPr>
        <w:t xml:space="preserve"> </w:t>
      </w:r>
      <w:r w:rsidR="002E50DD" w:rsidRPr="008437F0">
        <w:t xml:space="preserve">Accordingly, </w:t>
      </w:r>
      <w:r w:rsidR="005278DB" w:rsidRPr="008437F0">
        <w:t>there was no basis to interfere with the trial court’s findings and its acceptance of the respondent’s version.</w:t>
      </w:r>
    </w:p>
    <w:p w14:paraId="18EBF9B1" w14:textId="77777777" w:rsidR="008C0C35" w:rsidRPr="008437F0" w:rsidRDefault="008C0C35" w:rsidP="008C0C35">
      <w:pPr>
        <w:pStyle w:val="ListParagraph"/>
        <w:spacing w:line="360" w:lineRule="auto"/>
        <w:ind w:left="0"/>
        <w:jc w:val="both"/>
        <w:rPr>
          <w:b/>
          <w:bCs/>
        </w:rPr>
      </w:pPr>
    </w:p>
    <w:p w14:paraId="5F378426" w14:textId="2155A2A7" w:rsidR="00AD2CEB" w:rsidRPr="008437F0" w:rsidRDefault="00C22E0E" w:rsidP="00C22E0E">
      <w:pPr>
        <w:spacing w:line="360" w:lineRule="auto"/>
        <w:jc w:val="both"/>
      </w:pPr>
      <w:r w:rsidRPr="008437F0">
        <w:rPr>
          <w:szCs w:val="24"/>
        </w:rPr>
        <w:t>[22]</w:t>
      </w:r>
      <w:r w:rsidRPr="008437F0">
        <w:rPr>
          <w:szCs w:val="24"/>
        </w:rPr>
        <w:tab/>
      </w:r>
      <w:r w:rsidR="00745183" w:rsidRPr="008437F0">
        <w:t xml:space="preserve">The appellant contends that the full court erred by not finding that the </w:t>
      </w:r>
      <w:r w:rsidR="00D57EEB" w:rsidRPr="008437F0">
        <w:t>t</w:t>
      </w:r>
      <w:r w:rsidR="002A5F6D" w:rsidRPr="008437F0">
        <w:t>rial court</w:t>
      </w:r>
      <w:r w:rsidR="00745183" w:rsidRPr="008437F0">
        <w:t>: failed to have regard to the evidence in its totality; failed to ensure that the conclusions reached accounted for all the evidence; failed to distinguish probabilities and inferences from conjecture and speculation; failed to properly consider the probabilities; failed to draw inferences only from objectively proven fact</w:t>
      </w:r>
      <w:r w:rsidR="000402C1" w:rsidRPr="008437F0">
        <w:t>s</w:t>
      </w:r>
      <w:r w:rsidR="00745183" w:rsidRPr="008437F0">
        <w:t xml:space="preserve">; and failed to follow the approach to factual disputes as stated in </w:t>
      </w:r>
      <w:r w:rsidR="00745183" w:rsidRPr="00C22E0E">
        <w:rPr>
          <w:i/>
          <w:iCs/>
        </w:rPr>
        <w:t>Stellenbosch Farmers Winery Group Ltd and Another v Martell Et Cie and Others</w:t>
      </w:r>
      <w:r w:rsidR="00481B7F" w:rsidRPr="008437F0">
        <w:rPr>
          <w:rStyle w:val="FootnoteReference"/>
          <w:i/>
          <w:iCs/>
        </w:rPr>
        <w:footnoteReference w:id="9"/>
      </w:r>
      <w:r w:rsidR="00745183" w:rsidRPr="00C22E0E">
        <w:rPr>
          <w:i/>
          <w:iCs/>
        </w:rPr>
        <w:t xml:space="preserve"> </w:t>
      </w:r>
      <w:r w:rsidR="00481B7F" w:rsidRPr="008437F0">
        <w:t>(</w:t>
      </w:r>
      <w:r w:rsidR="00745183" w:rsidRPr="00C22E0E">
        <w:rPr>
          <w:i/>
          <w:iCs/>
        </w:rPr>
        <w:t>Martell</w:t>
      </w:r>
      <w:r w:rsidR="00481B7F" w:rsidRPr="008437F0">
        <w:t>)</w:t>
      </w:r>
      <w:r w:rsidR="00745183" w:rsidRPr="00C22E0E">
        <w:rPr>
          <w:i/>
          <w:iCs/>
        </w:rPr>
        <w:t xml:space="preserve"> </w:t>
      </w:r>
      <w:r w:rsidR="001936EE" w:rsidRPr="008437F0">
        <w:t>in regard to irreconcilable versions.</w:t>
      </w:r>
    </w:p>
    <w:p w14:paraId="6FD58436" w14:textId="77777777" w:rsidR="00F87130" w:rsidRPr="008437F0" w:rsidRDefault="00F87130" w:rsidP="00EB3829">
      <w:pPr>
        <w:pStyle w:val="ListParagraph"/>
        <w:spacing w:line="360" w:lineRule="auto"/>
        <w:ind w:left="0"/>
        <w:jc w:val="both"/>
      </w:pPr>
    </w:p>
    <w:p w14:paraId="6D3E06B9" w14:textId="77777777" w:rsidR="00D57EEB" w:rsidRPr="008437F0" w:rsidRDefault="00F87130" w:rsidP="00EB3829">
      <w:pPr>
        <w:pStyle w:val="ListParagraph"/>
        <w:spacing w:line="360" w:lineRule="auto"/>
        <w:ind w:left="0"/>
        <w:jc w:val="both"/>
        <w:rPr>
          <w:b/>
          <w:bCs/>
        </w:rPr>
      </w:pPr>
      <w:r w:rsidRPr="008437F0">
        <w:rPr>
          <w:b/>
          <w:bCs/>
        </w:rPr>
        <w:t>Ana</w:t>
      </w:r>
      <w:r w:rsidR="00990E16" w:rsidRPr="008437F0">
        <w:rPr>
          <w:b/>
          <w:bCs/>
        </w:rPr>
        <w:t>l</w:t>
      </w:r>
      <w:r w:rsidRPr="008437F0">
        <w:rPr>
          <w:b/>
          <w:bCs/>
        </w:rPr>
        <w:t>ysis</w:t>
      </w:r>
    </w:p>
    <w:p w14:paraId="7F94D1D4" w14:textId="6D3524AF" w:rsidR="00D12F0A" w:rsidRPr="00C22E0E" w:rsidRDefault="00C22E0E" w:rsidP="00C22E0E">
      <w:pPr>
        <w:spacing w:line="360" w:lineRule="auto"/>
        <w:jc w:val="both"/>
        <w:rPr>
          <w:szCs w:val="24"/>
        </w:rPr>
      </w:pPr>
      <w:r w:rsidRPr="008437F0">
        <w:rPr>
          <w:szCs w:val="24"/>
        </w:rPr>
        <w:t>[23]</w:t>
      </w:r>
      <w:r w:rsidRPr="008437F0">
        <w:rPr>
          <w:szCs w:val="24"/>
        </w:rPr>
        <w:tab/>
      </w:r>
      <w:r w:rsidR="00D12F0A" w:rsidRPr="008437F0">
        <w:t xml:space="preserve">A court of appeal will generally not interfere with findings of credibility made by a trial court, </w:t>
      </w:r>
      <w:r w:rsidR="00A44F23" w:rsidRPr="008437F0">
        <w:t xml:space="preserve">because the trial court would have had the benefit of observing the witnesses when testifying, </w:t>
      </w:r>
      <w:r w:rsidR="00D12F0A" w:rsidRPr="008437F0">
        <w:t xml:space="preserve">unless </w:t>
      </w:r>
      <w:r w:rsidR="005B3900" w:rsidRPr="008437F0">
        <w:t xml:space="preserve">those finding are </w:t>
      </w:r>
      <w:r w:rsidR="00D12F0A" w:rsidRPr="008437F0">
        <w:t xml:space="preserve">clearly wrong. Similarly, an appeal court will not lightly interfere with the factual findings made by a trial court. As was said in </w:t>
      </w:r>
      <w:r w:rsidR="00D12F0A" w:rsidRPr="00C22E0E">
        <w:rPr>
          <w:i/>
          <w:iCs/>
        </w:rPr>
        <w:t>Mashongwa v Passenger Rail Agency of South Africa</w:t>
      </w:r>
      <w:r w:rsidR="002B784A" w:rsidRPr="00C22E0E">
        <w:rPr>
          <w:i/>
          <w:iCs/>
        </w:rPr>
        <w:t xml:space="preserve"> </w:t>
      </w:r>
      <w:r w:rsidR="002B784A" w:rsidRPr="008437F0">
        <w:t>(</w:t>
      </w:r>
      <w:r w:rsidR="002B784A" w:rsidRPr="00C22E0E">
        <w:rPr>
          <w:i/>
          <w:iCs/>
        </w:rPr>
        <w:t>Mashongwa</w:t>
      </w:r>
      <w:r w:rsidR="002B784A" w:rsidRPr="008437F0">
        <w:t>)</w:t>
      </w:r>
      <w:r w:rsidR="00D12F0A" w:rsidRPr="00C22E0E">
        <w:rPr>
          <w:i/>
          <w:iCs/>
        </w:rPr>
        <w:t>:</w:t>
      </w:r>
      <w:r w:rsidR="00D12F0A" w:rsidRPr="008437F0">
        <w:rPr>
          <w:rStyle w:val="FootnoteReference"/>
        </w:rPr>
        <w:footnoteReference w:id="10"/>
      </w:r>
      <w:r w:rsidR="00D12F0A" w:rsidRPr="008437F0">
        <w:t xml:space="preserve"> </w:t>
      </w:r>
    </w:p>
    <w:p w14:paraId="0B429E24" w14:textId="77777777" w:rsidR="00D12F0A" w:rsidRPr="008437F0" w:rsidRDefault="00D12F0A" w:rsidP="00EB3829">
      <w:pPr>
        <w:pStyle w:val="ListParagraph"/>
        <w:tabs>
          <w:tab w:val="left" w:pos="709"/>
        </w:tabs>
        <w:spacing w:line="360" w:lineRule="auto"/>
        <w:ind w:left="0"/>
        <w:jc w:val="both"/>
        <w:rPr>
          <w:sz w:val="22"/>
          <w:szCs w:val="22"/>
        </w:rPr>
      </w:pPr>
      <w:r w:rsidRPr="008437F0">
        <w:t>‘</w:t>
      </w:r>
      <w:r w:rsidRPr="008437F0">
        <w:rPr>
          <w:sz w:val="22"/>
          <w:szCs w:val="22"/>
        </w:rPr>
        <w:t>It is undesirable for this court to second-guess the well-reasoned factual findings of the trial court. Only under certain circumstances may an appellate court interfere with the factual findings of a trial court. What constitutes those circumstances are a demonstrable and material misdirection and a finding that is clearly wrong. Otherwise trial courts are best placed to make such findings.’</w:t>
      </w:r>
      <w:r w:rsidRPr="008437F0">
        <w:rPr>
          <w:rStyle w:val="FootnoteReference"/>
        </w:rPr>
        <w:footnoteReference w:id="11"/>
      </w:r>
      <w:r w:rsidRPr="008437F0">
        <w:t xml:space="preserve"> </w:t>
      </w:r>
    </w:p>
    <w:p w14:paraId="15B982C1" w14:textId="77777777" w:rsidR="00D12F0A" w:rsidRPr="008437F0" w:rsidRDefault="00D12F0A" w:rsidP="00D12F0A">
      <w:pPr>
        <w:pStyle w:val="ListParagraph"/>
        <w:spacing w:line="360" w:lineRule="auto"/>
        <w:ind w:left="0"/>
      </w:pPr>
    </w:p>
    <w:p w14:paraId="08D9D805" w14:textId="6209B45D" w:rsidR="00D12F0A" w:rsidRPr="008437F0" w:rsidRDefault="00C22E0E" w:rsidP="00C22E0E">
      <w:pPr>
        <w:spacing w:line="360" w:lineRule="auto"/>
        <w:jc w:val="both"/>
      </w:pPr>
      <w:r w:rsidRPr="008437F0">
        <w:rPr>
          <w:szCs w:val="24"/>
        </w:rPr>
        <w:t>[24]</w:t>
      </w:r>
      <w:r w:rsidRPr="008437F0">
        <w:rPr>
          <w:szCs w:val="24"/>
        </w:rPr>
        <w:tab/>
      </w:r>
      <w:r w:rsidR="00D12F0A" w:rsidRPr="008437F0">
        <w:t>The</w:t>
      </w:r>
      <w:r w:rsidR="00990E16" w:rsidRPr="008437F0">
        <w:t xml:space="preserve"> full court correctly concluded that there was </w:t>
      </w:r>
      <w:r w:rsidR="00A44F23" w:rsidRPr="008437F0">
        <w:t xml:space="preserve">no basis to interfere with the trial court’s findings on credibility. </w:t>
      </w:r>
      <w:r w:rsidR="00A44F23" w:rsidRPr="00C22E0E">
        <w:rPr>
          <w:sz w:val="22"/>
          <w:szCs w:val="22"/>
        </w:rPr>
        <w:t>D</w:t>
      </w:r>
      <w:r w:rsidR="00D12F0A" w:rsidRPr="008437F0">
        <w:t>uring argument before us the appellant’s counsel conceded that the credibility of the respondent and Mr Xwayi could not be impugned.</w:t>
      </w:r>
      <w:r w:rsidR="00D12F0A" w:rsidRPr="008437F0">
        <w:rPr>
          <w:rStyle w:val="FootnoteReference"/>
        </w:rPr>
        <w:footnoteReference w:id="12"/>
      </w:r>
      <w:r w:rsidR="00D12F0A" w:rsidRPr="008437F0">
        <w:t xml:space="preserve"> </w:t>
      </w:r>
      <w:r w:rsidR="00A44F23" w:rsidRPr="008437F0">
        <w:t xml:space="preserve">The concession was correctly made. </w:t>
      </w:r>
      <w:r w:rsidR="00D04D2B" w:rsidRPr="008437F0">
        <w:t>T</w:t>
      </w:r>
      <w:r w:rsidR="00A44F23" w:rsidRPr="008437F0">
        <w:t>he respondent and Mr Xwayi were both single witnesses in regard to the issues on which they testified,</w:t>
      </w:r>
      <w:r w:rsidR="00A44F23" w:rsidRPr="008437F0">
        <w:rPr>
          <w:rStyle w:val="FootnoteReference"/>
        </w:rPr>
        <w:footnoteReference w:id="13"/>
      </w:r>
      <w:r w:rsidR="00A44F23" w:rsidRPr="008437F0">
        <w:t xml:space="preserve"> </w:t>
      </w:r>
      <w:r w:rsidR="00D04D2B" w:rsidRPr="008437F0">
        <w:t xml:space="preserve">but </w:t>
      </w:r>
      <w:r w:rsidR="00A44F23" w:rsidRPr="008437F0">
        <w:t>they gave their evidence in a clear and satisfactory manner</w:t>
      </w:r>
      <w:r w:rsidR="00990E16" w:rsidRPr="008437F0">
        <w:t>,</w:t>
      </w:r>
      <w:r w:rsidR="00A44F23" w:rsidRPr="008437F0">
        <w:t xml:space="preserve"> without hesitation, </w:t>
      </w:r>
      <w:r w:rsidR="00990E16" w:rsidRPr="008437F0">
        <w:t xml:space="preserve">and </w:t>
      </w:r>
      <w:r w:rsidR="00A44F23" w:rsidRPr="008437F0">
        <w:t>without exaggeration</w:t>
      </w:r>
      <w:r w:rsidR="00990E16" w:rsidRPr="008437F0">
        <w:t xml:space="preserve">. </w:t>
      </w:r>
      <w:r w:rsidR="005B3900" w:rsidRPr="008437F0">
        <w:t xml:space="preserve">They </w:t>
      </w:r>
      <w:r w:rsidR="005B3900" w:rsidRPr="00C22E0E">
        <w:rPr>
          <w:szCs w:val="24"/>
        </w:rPr>
        <w:t>did not contradict themselves and there were no contradictions between their evidence and the established facts. Their evidence was reliable.</w:t>
      </w:r>
    </w:p>
    <w:p w14:paraId="2840EA3F" w14:textId="77777777" w:rsidR="005B3900" w:rsidRPr="008437F0" w:rsidRDefault="005B3900" w:rsidP="00EB3829">
      <w:pPr>
        <w:spacing w:line="360" w:lineRule="auto"/>
      </w:pPr>
    </w:p>
    <w:p w14:paraId="5D672FBA" w14:textId="6BC06259" w:rsidR="00EC53FC" w:rsidRPr="008437F0" w:rsidRDefault="00C22E0E" w:rsidP="00C22E0E">
      <w:pPr>
        <w:spacing w:line="360" w:lineRule="auto"/>
        <w:jc w:val="both"/>
      </w:pPr>
      <w:r w:rsidRPr="008437F0">
        <w:rPr>
          <w:szCs w:val="24"/>
        </w:rPr>
        <w:t>[25]</w:t>
      </w:r>
      <w:r w:rsidRPr="008437F0">
        <w:rPr>
          <w:szCs w:val="24"/>
        </w:rPr>
        <w:tab/>
      </w:r>
      <w:r w:rsidR="005B3900" w:rsidRPr="008437F0">
        <w:t xml:space="preserve">The appellant however argued, accepting that the respondent and Mr Xwayi were credible and </w:t>
      </w:r>
      <w:r w:rsidR="00241A97" w:rsidRPr="008437F0">
        <w:t xml:space="preserve">reliable </w:t>
      </w:r>
      <w:r w:rsidR="005B3900" w:rsidRPr="008437F0">
        <w:t xml:space="preserve">witnesses, </w:t>
      </w:r>
      <w:r w:rsidR="00A14EDC" w:rsidRPr="008437F0">
        <w:t xml:space="preserve">that </w:t>
      </w:r>
      <w:r w:rsidR="00241A97" w:rsidRPr="008437F0">
        <w:t xml:space="preserve">their evidence was </w:t>
      </w:r>
      <w:r w:rsidR="00D04D2B" w:rsidRPr="008437F0">
        <w:t xml:space="preserve">nevertheless </w:t>
      </w:r>
      <w:r w:rsidR="00241A97" w:rsidRPr="008437F0">
        <w:t>improbable, and that they might be mistaken.</w:t>
      </w:r>
      <w:r w:rsidR="00A14EDC" w:rsidRPr="008437F0">
        <w:t xml:space="preserve"> It argued that the more probable inference to be drawn from the evidence that the tar around the manhole as it existed at the time of the trial</w:t>
      </w:r>
      <w:r w:rsidR="00D04D2B" w:rsidRPr="008437F0">
        <w:t xml:space="preserve"> did</w:t>
      </w:r>
      <w:r w:rsidR="00A14EDC" w:rsidRPr="008437F0">
        <w:t xml:space="preserve"> not show any disruption or </w:t>
      </w:r>
      <w:r w:rsidR="00F54715" w:rsidRPr="008437F0">
        <w:t xml:space="preserve">a </w:t>
      </w:r>
      <w:r w:rsidR="00A14EDC" w:rsidRPr="008437F0">
        <w:t xml:space="preserve">concrete inlay, and that the C3 system did not contain any record of a manhole cover being reported missing and/or being replaced in Khwezi Street during October 2013, or thereafter, is that the manhole in Khwezi Street had not been </w:t>
      </w:r>
      <w:r w:rsidR="00EC53FC" w:rsidRPr="008437F0">
        <w:t xml:space="preserve">open and </w:t>
      </w:r>
      <w:r w:rsidR="00A14EDC" w:rsidRPr="008437F0">
        <w:t xml:space="preserve">without a cover in October 2013. </w:t>
      </w:r>
    </w:p>
    <w:p w14:paraId="5A9EDF4A" w14:textId="77777777" w:rsidR="00EC53FC" w:rsidRPr="008437F0" w:rsidRDefault="00EC53FC" w:rsidP="00EB3829">
      <w:pPr>
        <w:spacing w:line="360" w:lineRule="auto"/>
        <w:jc w:val="both"/>
      </w:pPr>
    </w:p>
    <w:p w14:paraId="1BE9093B" w14:textId="1C2B5713" w:rsidR="00F96DD9" w:rsidRPr="008437F0" w:rsidRDefault="00C22E0E" w:rsidP="00C22E0E">
      <w:pPr>
        <w:spacing w:line="360" w:lineRule="auto"/>
        <w:jc w:val="both"/>
      </w:pPr>
      <w:r w:rsidRPr="008437F0">
        <w:rPr>
          <w:szCs w:val="24"/>
        </w:rPr>
        <w:t>[26]</w:t>
      </w:r>
      <w:r w:rsidRPr="008437F0">
        <w:rPr>
          <w:szCs w:val="24"/>
        </w:rPr>
        <w:tab/>
      </w:r>
      <w:r w:rsidR="00EC53FC" w:rsidRPr="008437F0">
        <w:t xml:space="preserve">That conclusion firstly, would contradict the direct evidence of both the respondent and Mr Xwayi and reflect negatively on their credibility, which is not only beyond reproach, but has been </w:t>
      </w:r>
      <w:r w:rsidR="00D04D2B" w:rsidRPr="008437F0">
        <w:t xml:space="preserve">accepted </w:t>
      </w:r>
      <w:r w:rsidR="00EC53FC" w:rsidRPr="008437F0">
        <w:t>to be such</w:t>
      </w:r>
      <w:r w:rsidR="00D04D2B" w:rsidRPr="008437F0">
        <w:t xml:space="preserve"> by the appellant</w:t>
      </w:r>
      <w:r w:rsidR="00EC53FC" w:rsidRPr="008437F0">
        <w:t>. Second, it is depend</w:t>
      </w:r>
      <w:r w:rsidR="00BD1877" w:rsidRPr="008437F0">
        <w:t>e</w:t>
      </w:r>
      <w:r w:rsidR="00EC53FC" w:rsidRPr="008437F0">
        <w:t xml:space="preserve">nt on that inference being the </w:t>
      </w:r>
      <w:r w:rsidR="00F96DD9" w:rsidRPr="008437F0">
        <w:t xml:space="preserve">most </w:t>
      </w:r>
      <w:r w:rsidR="00EC53FC" w:rsidRPr="008437F0">
        <w:t>probable inference to be drawn from what is circumstantial evidence</w:t>
      </w:r>
      <w:r w:rsidR="0068776C" w:rsidRPr="008437F0">
        <w:t xml:space="preserve"> relating to the frame of the manhole not being set in concrete, and the </w:t>
      </w:r>
      <w:r w:rsidR="00D04D2B" w:rsidRPr="008437F0">
        <w:t>C3 system not containing a</w:t>
      </w:r>
      <w:r w:rsidR="0068776C" w:rsidRPr="008437F0">
        <w:t xml:space="preserve">ny reference to a missing manhole cover in Khwezi Street in 2013 </w:t>
      </w:r>
      <w:r w:rsidR="00D04D2B" w:rsidRPr="008437F0">
        <w:t xml:space="preserve">or </w:t>
      </w:r>
      <w:r w:rsidR="0068776C" w:rsidRPr="008437F0">
        <w:t>beyond</w:t>
      </w:r>
      <w:r w:rsidR="00A14EDC" w:rsidRPr="008437F0">
        <w:t>.</w:t>
      </w:r>
    </w:p>
    <w:p w14:paraId="5613CCC3" w14:textId="77777777" w:rsidR="00F96DD9" w:rsidRPr="008437F0" w:rsidRDefault="00F96DD9" w:rsidP="00EB3829">
      <w:pPr>
        <w:spacing w:line="360" w:lineRule="auto"/>
        <w:jc w:val="both"/>
      </w:pPr>
    </w:p>
    <w:p w14:paraId="50A334BF" w14:textId="49787A57" w:rsidR="005B3900" w:rsidRPr="008437F0" w:rsidRDefault="00C22E0E" w:rsidP="00C22E0E">
      <w:pPr>
        <w:spacing w:line="360" w:lineRule="auto"/>
        <w:jc w:val="both"/>
      </w:pPr>
      <w:r w:rsidRPr="008437F0">
        <w:rPr>
          <w:szCs w:val="24"/>
        </w:rPr>
        <w:t>[27]</w:t>
      </w:r>
      <w:r w:rsidRPr="008437F0">
        <w:rPr>
          <w:szCs w:val="24"/>
        </w:rPr>
        <w:tab/>
      </w:r>
      <w:r w:rsidR="00F96DD9" w:rsidRPr="008437F0">
        <w:t>Th</w:t>
      </w:r>
      <w:r w:rsidR="006D72CF" w:rsidRPr="008437F0">
        <w:t>e</w:t>
      </w:r>
      <w:r w:rsidR="00F96DD9" w:rsidRPr="008437F0">
        <w:t xml:space="preserve"> inference </w:t>
      </w:r>
      <w:r w:rsidR="006D72CF" w:rsidRPr="008437F0">
        <w:t xml:space="preserve">sought to be drawn </w:t>
      </w:r>
      <w:r w:rsidR="00D04D2B" w:rsidRPr="008437F0">
        <w:t xml:space="preserve">by the appellant </w:t>
      </w:r>
      <w:r w:rsidR="00A14EDC" w:rsidRPr="008437F0">
        <w:t xml:space="preserve">is not the </w:t>
      </w:r>
      <w:r w:rsidR="006D72CF" w:rsidRPr="008437F0">
        <w:t xml:space="preserve">most probable </w:t>
      </w:r>
      <w:r w:rsidR="00A14EDC" w:rsidRPr="008437F0">
        <w:t xml:space="preserve">inference that </w:t>
      </w:r>
      <w:r w:rsidR="00EC53FC" w:rsidRPr="008437F0">
        <w:t xml:space="preserve">could be drawn. </w:t>
      </w:r>
      <w:r w:rsidR="00A14EDC" w:rsidRPr="008437F0">
        <w:t xml:space="preserve">There are also other </w:t>
      </w:r>
      <w:r w:rsidR="006D72CF" w:rsidRPr="008437F0">
        <w:t xml:space="preserve">equally </w:t>
      </w:r>
      <w:r w:rsidR="00A14EDC" w:rsidRPr="008437F0">
        <w:t>probable inference</w:t>
      </w:r>
      <w:r w:rsidR="000402C1" w:rsidRPr="008437F0">
        <w:t>s</w:t>
      </w:r>
      <w:r w:rsidR="00A14EDC" w:rsidRPr="008437F0">
        <w:t xml:space="preserve"> that </w:t>
      </w:r>
      <w:r w:rsidR="00F96DD9" w:rsidRPr="008437F0">
        <w:t>c</w:t>
      </w:r>
      <w:r w:rsidR="006D72CF" w:rsidRPr="008437F0">
        <w:t xml:space="preserve">ould be </w:t>
      </w:r>
      <w:r w:rsidR="00F96DD9" w:rsidRPr="008437F0">
        <w:t>drawn</w:t>
      </w:r>
      <w:r w:rsidR="00D04D2B" w:rsidRPr="008437F0">
        <w:t xml:space="preserve">. The </w:t>
      </w:r>
      <w:r w:rsidR="00F96DD9" w:rsidRPr="008437F0">
        <w:t>probability of th</w:t>
      </w:r>
      <w:r w:rsidR="0068776C" w:rsidRPr="008437F0">
        <w:t>e</w:t>
      </w:r>
      <w:r w:rsidR="00F96DD9" w:rsidRPr="008437F0">
        <w:t xml:space="preserve"> inference </w:t>
      </w:r>
      <w:r w:rsidR="006D72CF" w:rsidRPr="008437F0">
        <w:t xml:space="preserve">which the appellant wishes to draw, </w:t>
      </w:r>
      <w:r w:rsidR="00F96DD9" w:rsidRPr="008437F0">
        <w:t xml:space="preserve">was </w:t>
      </w:r>
      <w:r w:rsidR="00D04D2B" w:rsidRPr="008437F0">
        <w:t xml:space="preserve">also </w:t>
      </w:r>
      <w:r w:rsidR="00F96DD9" w:rsidRPr="008437F0">
        <w:t xml:space="preserve">not established, </w:t>
      </w:r>
      <w:r w:rsidR="00A14EDC" w:rsidRPr="008437F0">
        <w:t xml:space="preserve">as the trial court </w:t>
      </w:r>
      <w:r w:rsidR="0068776C" w:rsidRPr="008437F0">
        <w:t>had found</w:t>
      </w:r>
      <w:r w:rsidR="00A14EDC" w:rsidRPr="008437F0">
        <w:t xml:space="preserve">. </w:t>
      </w:r>
      <w:r w:rsidR="00F96DD9" w:rsidRPr="008437F0">
        <w:t xml:space="preserve">Other inferences could include </w:t>
      </w:r>
      <w:r w:rsidR="00A14EDC" w:rsidRPr="008437F0">
        <w:t xml:space="preserve">that the manhole as it existed at the time of the trial, was fitted </w:t>
      </w:r>
      <w:r w:rsidR="00F96DD9" w:rsidRPr="008437F0">
        <w:t xml:space="preserve">after </w:t>
      </w:r>
      <w:r w:rsidR="0068776C" w:rsidRPr="008437F0">
        <w:t xml:space="preserve">December </w:t>
      </w:r>
      <w:r w:rsidR="00F96DD9" w:rsidRPr="008437F0">
        <w:t>2013</w:t>
      </w:r>
      <w:r w:rsidR="0068776C" w:rsidRPr="008437F0">
        <w:t xml:space="preserve">, as the trial court </w:t>
      </w:r>
      <w:r w:rsidR="00B61ED9" w:rsidRPr="008437F0">
        <w:t>concluded</w:t>
      </w:r>
      <w:r w:rsidR="0068776C" w:rsidRPr="008437F0">
        <w:t>,</w:t>
      </w:r>
      <w:r w:rsidR="00F96DD9" w:rsidRPr="008437F0">
        <w:t xml:space="preserve"> </w:t>
      </w:r>
      <w:r w:rsidR="00A14EDC" w:rsidRPr="008437F0">
        <w:t xml:space="preserve">when the roads for phase 5A were completed or </w:t>
      </w:r>
      <w:r w:rsidR="0068776C" w:rsidRPr="008437F0">
        <w:t>tarred/</w:t>
      </w:r>
      <w:r w:rsidR="00A14EDC" w:rsidRPr="008437F0">
        <w:t xml:space="preserve">retarred, </w:t>
      </w:r>
      <w:r w:rsidR="00F54715" w:rsidRPr="008437F0">
        <w:t xml:space="preserve">some of </w:t>
      </w:r>
      <w:r w:rsidR="00A14EDC" w:rsidRPr="008437F0">
        <w:t>which seemingly occurred in the five months subsequent to the respondent having sustained her injuries</w:t>
      </w:r>
      <w:r w:rsidR="00B61ED9" w:rsidRPr="008437F0">
        <w:t xml:space="preserve">. </w:t>
      </w:r>
      <w:r w:rsidR="00A14EDC" w:rsidRPr="008437F0">
        <w:t>The detail of whether the manhole</w:t>
      </w:r>
      <w:r w:rsidR="00F54715" w:rsidRPr="008437F0">
        <w:t>,</w:t>
      </w:r>
      <w:r w:rsidR="00A14EDC" w:rsidRPr="008437F0">
        <w:t xml:space="preserve"> </w:t>
      </w:r>
      <w:r w:rsidR="006D72CF" w:rsidRPr="008437F0">
        <w:t xml:space="preserve">which was </w:t>
      </w:r>
      <w:r w:rsidR="006D72CF" w:rsidRPr="00C22E0E">
        <w:rPr>
          <w:i/>
          <w:iCs/>
        </w:rPr>
        <w:t>in situ</w:t>
      </w:r>
      <w:r w:rsidR="006D72CF" w:rsidRPr="008437F0">
        <w:t xml:space="preserve"> at the time of the trial</w:t>
      </w:r>
      <w:r w:rsidR="00B61ED9" w:rsidRPr="008437F0">
        <w:t>,</w:t>
      </w:r>
      <w:r w:rsidR="006D72CF" w:rsidRPr="008437F0">
        <w:t xml:space="preserve"> i</w:t>
      </w:r>
      <w:r w:rsidR="00A14EDC" w:rsidRPr="008437F0">
        <w:t xml:space="preserve">s </w:t>
      </w:r>
      <w:r w:rsidR="006D72CF" w:rsidRPr="008437F0">
        <w:t xml:space="preserve">the </w:t>
      </w:r>
      <w:r w:rsidR="00A14EDC" w:rsidRPr="008437F0">
        <w:t xml:space="preserve">original manhole, or how it came to exist in the condition shown on the appellant’s photographs, is not within the knowledge of the respondent, but peculiarly within the knowledge of the appellant. As the trial court remarked, the appellant would have </w:t>
      </w:r>
      <w:r w:rsidR="00F96DD9" w:rsidRPr="008437F0">
        <w:t xml:space="preserve">the </w:t>
      </w:r>
      <w:r w:rsidR="00A14EDC" w:rsidRPr="008437F0">
        <w:t xml:space="preserve">records. This </w:t>
      </w:r>
      <w:r w:rsidR="00F96DD9" w:rsidRPr="008437F0">
        <w:t>sh</w:t>
      </w:r>
      <w:r w:rsidR="00A14EDC" w:rsidRPr="008437F0">
        <w:t xml:space="preserve">ould include when the road infrastructure was finally put in place as part of the civil construction work. The appellant had an evidentiary onus to place this evidence before the trial court if it wished it to infer, as the most probable inference, that the frame of the manhole cover in Khwezi Street had never been replaced, </w:t>
      </w:r>
      <w:r w:rsidR="00F96DD9" w:rsidRPr="008437F0">
        <w:t xml:space="preserve">and if it wished </w:t>
      </w:r>
      <w:r w:rsidR="00A14EDC" w:rsidRPr="008437F0">
        <w:t xml:space="preserve">to negate the respondent’s direct credible evidence that she </w:t>
      </w:r>
      <w:r w:rsidR="00F96DD9" w:rsidRPr="008437F0">
        <w:t xml:space="preserve">had </w:t>
      </w:r>
      <w:r w:rsidR="00A14EDC" w:rsidRPr="008437F0">
        <w:t>suffered her injuries at that manhole.</w:t>
      </w:r>
      <w:r w:rsidR="00A14EDC" w:rsidRPr="008437F0">
        <w:rPr>
          <w:rStyle w:val="FootnoteReference"/>
        </w:rPr>
        <w:footnoteReference w:id="14"/>
      </w:r>
    </w:p>
    <w:p w14:paraId="202B7069" w14:textId="77777777" w:rsidR="005B3900" w:rsidRPr="008437F0" w:rsidRDefault="005B3900" w:rsidP="00EB3829">
      <w:pPr>
        <w:pStyle w:val="ListParagraph"/>
        <w:spacing w:line="360" w:lineRule="auto"/>
        <w:ind w:left="0"/>
        <w:jc w:val="both"/>
        <w:rPr>
          <w:b/>
          <w:bCs/>
        </w:rPr>
      </w:pPr>
    </w:p>
    <w:p w14:paraId="3D842AA3" w14:textId="15F0D07F" w:rsidR="00B435BB" w:rsidRPr="008437F0" w:rsidRDefault="00C22E0E" w:rsidP="00C22E0E">
      <w:pPr>
        <w:spacing w:line="360" w:lineRule="auto"/>
        <w:jc w:val="both"/>
      </w:pPr>
      <w:r w:rsidRPr="008437F0">
        <w:rPr>
          <w:szCs w:val="24"/>
        </w:rPr>
        <w:t>[28]</w:t>
      </w:r>
      <w:r w:rsidRPr="008437F0">
        <w:rPr>
          <w:szCs w:val="24"/>
        </w:rPr>
        <w:tab/>
      </w:r>
      <w:r w:rsidR="00B435BB" w:rsidRPr="008437F0">
        <w:t>Much of the evidence was not seriously disputed.</w:t>
      </w:r>
      <w:r w:rsidR="00B435BB" w:rsidRPr="008437F0">
        <w:rPr>
          <w:rStyle w:val="FootnoteReference"/>
        </w:rPr>
        <w:footnoteReference w:id="15"/>
      </w:r>
      <w:r w:rsidR="00B435BB" w:rsidRPr="008437F0">
        <w:t xml:space="preserve"> What </w:t>
      </w:r>
      <w:r w:rsidR="0068776C" w:rsidRPr="008437F0">
        <w:t xml:space="preserve">ultimately </w:t>
      </w:r>
      <w:r w:rsidR="00B435BB" w:rsidRPr="008437F0">
        <w:t>remained in dispute for</w:t>
      </w:r>
      <w:r w:rsidR="00896FAF" w:rsidRPr="008437F0">
        <w:t xml:space="preserve"> resolution,</w:t>
      </w:r>
      <w:r w:rsidR="00B435BB" w:rsidRPr="008437F0">
        <w:t xml:space="preserve"> w</w:t>
      </w:r>
      <w:r w:rsidR="00596D24" w:rsidRPr="008437F0">
        <w:t xml:space="preserve">as which </w:t>
      </w:r>
      <w:r w:rsidR="0068776C" w:rsidRPr="008437F0">
        <w:t xml:space="preserve">one </w:t>
      </w:r>
      <w:r w:rsidR="00596D24" w:rsidRPr="008437F0">
        <w:t xml:space="preserve">of </w:t>
      </w:r>
      <w:r w:rsidR="0068776C" w:rsidRPr="008437F0">
        <w:t xml:space="preserve">two mutually conflicting versions should </w:t>
      </w:r>
      <w:r w:rsidR="00596D24" w:rsidRPr="008437F0">
        <w:t>prevail</w:t>
      </w:r>
      <w:r w:rsidR="00B435BB" w:rsidRPr="008437F0">
        <w:t xml:space="preserve">: the version of the respondent that her injuries were caused when she stepped into the open manhole in Khwezi Street, after the open manhole had previously been reported to the appellant; </w:t>
      </w:r>
      <w:r w:rsidR="0068776C" w:rsidRPr="008437F0">
        <w:t>or</w:t>
      </w:r>
      <w:r w:rsidR="00B435BB" w:rsidRPr="008437F0">
        <w:t xml:space="preserve"> the version of the appellant that it had no knowledge of an open manhole in Khwezi Street, and, that as a matter of probability, the manhole pointed out by the respondent in Khwezi Street did not have a mis</w:t>
      </w:r>
      <w:r w:rsidR="00EB3829" w:rsidRPr="008437F0">
        <w:t>sing cover during October 2013.</w:t>
      </w:r>
    </w:p>
    <w:p w14:paraId="1264756D" w14:textId="77777777" w:rsidR="00B435BB" w:rsidRPr="008437F0" w:rsidRDefault="00B435BB" w:rsidP="00EB3829">
      <w:pPr>
        <w:spacing w:line="360" w:lineRule="auto"/>
      </w:pPr>
    </w:p>
    <w:p w14:paraId="32F991A4" w14:textId="393EFC0D" w:rsidR="00B435BB" w:rsidRPr="008437F0" w:rsidRDefault="00C22E0E" w:rsidP="00C22E0E">
      <w:pPr>
        <w:spacing w:line="360" w:lineRule="auto"/>
        <w:jc w:val="both"/>
      </w:pPr>
      <w:r w:rsidRPr="008437F0">
        <w:rPr>
          <w:szCs w:val="24"/>
        </w:rPr>
        <w:t>[29]</w:t>
      </w:r>
      <w:r w:rsidRPr="008437F0">
        <w:rPr>
          <w:szCs w:val="24"/>
        </w:rPr>
        <w:tab/>
      </w:r>
      <w:r w:rsidR="00596D24" w:rsidRPr="008437F0">
        <w:t xml:space="preserve">The test to be applied in deciding between mutually destructive versions was stated, amongst others in </w:t>
      </w:r>
      <w:r w:rsidR="00B435BB" w:rsidRPr="00C22E0E">
        <w:rPr>
          <w:i/>
          <w:iCs/>
          <w:szCs w:val="24"/>
        </w:rPr>
        <w:t>National Employers’ General v Jagers</w:t>
      </w:r>
      <w:r w:rsidR="00481B7F" w:rsidRPr="008437F0">
        <w:rPr>
          <w:rStyle w:val="FootnoteReference"/>
          <w:szCs w:val="24"/>
        </w:rPr>
        <w:footnoteReference w:id="16"/>
      </w:r>
      <w:r w:rsidR="00B435BB" w:rsidRPr="00C22E0E">
        <w:rPr>
          <w:i/>
          <w:iCs/>
          <w:szCs w:val="24"/>
        </w:rPr>
        <w:t xml:space="preserve"> </w:t>
      </w:r>
      <w:r w:rsidR="00481B7F" w:rsidRPr="00C22E0E">
        <w:rPr>
          <w:szCs w:val="24"/>
        </w:rPr>
        <w:t>(</w:t>
      </w:r>
      <w:r w:rsidR="00B435BB" w:rsidRPr="00C22E0E">
        <w:rPr>
          <w:i/>
          <w:iCs/>
          <w:szCs w:val="24"/>
        </w:rPr>
        <w:t>Jagers</w:t>
      </w:r>
      <w:r w:rsidR="00481B7F" w:rsidRPr="00C22E0E">
        <w:rPr>
          <w:szCs w:val="24"/>
        </w:rPr>
        <w:t>)</w:t>
      </w:r>
      <w:r w:rsidR="00B435BB" w:rsidRPr="00C22E0E">
        <w:rPr>
          <w:i/>
          <w:iCs/>
          <w:szCs w:val="24"/>
        </w:rPr>
        <w:t xml:space="preserve"> </w:t>
      </w:r>
      <w:r w:rsidR="00596D24" w:rsidRPr="00C22E0E">
        <w:rPr>
          <w:szCs w:val="24"/>
        </w:rPr>
        <w:t>as follows</w:t>
      </w:r>
      <w:r w:rsidR="00B435BB" w:rsidRPr="00C22E0E">
        <w:rPr>
          <w:szCs w:val="24"/>
        </w:rPr>
        <w:t xml:space="preserve">: </w:t>
      </w:r>
    </w:p>
    <w:p w14:paraId="2B551F84" w14:textId="77777777" w:rsidR="00B435BB" w:rsidRPr="008437F0" w:rsidRDefault="00B435BB" w:rsidP="00EB3829">
      <w:pPr>
        <w:spacing w:line="360" w:lineRule="auto"/>
        <w:jc w:val="both"/>
        <w:rPr>
          <w:sz w:val="22"/>
          <w:szCs w:val="22"/>
        </w:rPr>
      </w:pPr>
      <w:r w:rsidRPr="008437F0">
        <w:rPr>
          <w:sz w:val="22"/>
          <w:szCs w:val="22"/>
        </w:rPr>
        <w:t xml:space="preserve">‘. . . in any civil case . . . the </w:t>
      </w:r>
      <w:r w:rsidRPr="008437F0">
        <w:rPr>
          <w:i/>
          <w:iCs/>
          <w:sz w:val="22"/>
          <w:szCs w:val="22"/>
        </w:rPr>
        <w:t xml:space="preserve">onus </w:t>
      </w:r>
      <w:r w:rsidRPr="008437F0">
        <w:rPr>
          <w:sz w:val="22"/>
          <w:szCs w:val="22"/>
        </w:rPr>
        <w:t xml:space="preserve">can ordinarily only be discharged by adducing credible evidence to support the case of the party on whom the </w:t>
      </w:r>
      <w:r w:rsidRPr="008437F0">
        <w:rPr>
          <w:i/>
          <w:iCs/>
          <w:sz w:val="22"/>
          <w:szCs w:val="22"/>
        </w:rPr>
        <w:t>onus</w:t>
      </w:r>
      <w:r w:rsidRPr="008437F0">
        <w:rPr>
          <w:sz w:val="22"/>
          <w:szCs w:val="22"/>
        </w:rPr>
        <w:t xml:space="preserve"> rests.  . . . [W]here there are two mutually destructive stories, he can only succeed if he satisfies the Court on a preponderance of probabilities that his version is true and accurate and therefore acceptable, and that the other version advanced by the defendant is therefore false or mistaken and falls to be rejected. In deciding whether that evidence is true or not the Court will weigh up and test the plaintiff’s allegations against the general probabilities. The estimate of the credibility of a witness will therefore be inextricably bound up with the consideration of the probabilities of the case and, if the balance of probabilities favours the plaintiff, then the Court will accept his version as being probably true. If however the probabilities are evenly balanced in the sense that they do not favour the plaintiff’s case any more than they do the defendant’s, the plaintiff can only succeed if the Court nevertheless believes and is satisfied that his evidence is true and that the defendant’s version is false. . .</w:t>
      </w:r>
      <w:r w:rsidRPr="008437F0">
        <w:rPr>
          <w:i/>
          <w:iCs/>
          <w:sz w:val="22"/>
          <w:szCs w:val="22"/>
        </w:rPr>
        <w:t xml:space="preserve"> </w:t>
      </w:r>
      <w:r w:rsidRPr="008437F0">
        <w:rPr>
          <w:sz w:val="22"/>
          <w:szCs w:val="22"/>
        </w:rPr>
        <w:t xml:space="preserve"> I would merely stress however that when in such circumstances one talks about the plaintiff having discharge the </w:t>
      </w:r>
      <w:r w:rsidRPr="008437F0">
        <w:rPr>
          <w:i/>
          <w:iCs/>
          <w:sz w:val="22"/>
          <w:szCs w:val="22"/>
        </w:rPr>
        <w:t>onus</w:t>
      </w:r>
      <w:r w:rsidRPr="008437F0">
        <w:rPr>
          <w:sz w:val="22"/>
          <w:szCs w:val="22"/>
        </w:rPr>
        <w:t xml:space="preserve"> which rested upon him on a balance of probabilities one really means that the Court is satisfied on the balance of probabilities that he was telling the truth and that his version was therefore acceptable. It does not seem to me to be desirable for a Court first to consider the question of the credibility of the witnesses as the trial Judge did in the present case, and then, having concluded that enquiry, to consider the probabilities of the case, as though the two aspects constitute separate fields of enquiry. In fact, as I have pointed out, it is only where a consideration of the probabilities fails to indicate where the truth probably lies, that recourse is had to an estimate of relative credibility apart from the probabilities.’ </w:t>
      </w:r>
    </w:p>
    <w:p w14:paraId="7BA6C3BF" w14:textId="77777777" w:rsidR="00B435BB" w:rsidRPr="008437F0" w:rsidRDefault="00B435BB" w:rsidP="00EB3829">
      <w:pPr>
        <w:pStyle w:val="ListParagraph"/>
        <w:spacing w:line="360" w:lineRule="auto"/>
        <w:ind w:left="0"/>
        <w:jc w:val="both"/>
      </w:pPr>
    </w:p>
    <w:p w14:paraId="2CFE087D" w14:textId="03198E69" w:rsidR="00344699" w:rsidRPr="008437F0" w:rsidRDefault="00C22E0E" w:rsidP="00C22E0E">
      <w:pPr>
        <w:spacing w:line="360" w:lineRule="auto"/>
        <w:jc w:val="both"/>
      </w:pPr>
      <w:r w:rsidRPr="008437F0">
        <w:rPr>
          <w:szCs w:val="24"/>
        </w:rPr>
        <w:t>[30]</w:t>
      </w:r>
      <w:r w:rsidRPr="008437F0">
        <w:rPr>
          <w:szCs w:val="24"/>
        </w:rPr>
        <w:tab/>
      </w:r>
      <w:r w:rsidR="00B435BB" w:rsidRPr="008437F0">
        <w:t>In reaching a conclusion</w:t>
      </w:r>
      <w:r w:rsidR="00B435BB" w:rsidRPr="00C22E0E">
        <w:rPr>
          <w:szCs w:val="24"/>
        </w:rPr>
        <w:t xml:space="preserve"> on the contradictory versions, the trial court, following </w:t>
      </w:r>
      <w:r w:rsidR="00B435BB" w:rsidRPr="00C22E0E">
        <w:rPr>
          <w:i/>
          <w:iCs/>
          <w:szCs w:val="24"/>
        </w:rPr>
        <w:t xml:space="preserve">Martell </w:t>
      </w:r>
      <w:r w:rsidR="00B435BB" w:rsidRPr="00C22E0E">
        <w:rPr>
          <w:szCs w:val="24"/>
        </w:rPr>
        <w:t xml:space="preserve">and </w:t>
      </w:r>
      <w:r w:rsidR="00B435BB" w:rsidRPr="00C22E0E">
        <w:rPr>
          <w:i/>
          <w:iCs/>
          <w:szCs w:val="24"/>
        </w:rPr>
        <w:t>Jagers</w:t>
      </w:r>
      <w:r w:rsidR="00B435BB" w:rsidRPr="00C22E0E">
        <w:rPr>
          <w:szCs w:val="24"/>
        </w:rPr>
        <w:t>, ma</w:t>
      </w:r>
      <w:r w:rsidR="00596D24" w:rsidRPr="00C22E0E">
        <w:rPr>
          <w:szCs w:val="24"/>
        </w:rPr>
        <w:t>de</w:t>
      </w:r>
      <w:r w:rsidR="00B435BB" w:rsidRPr="00C22E0E">
        <w:rPr>
          <w:szCs w:val="24"/>
        </w:rPr>
        <w:t xml:space="preserve"> findings on the credibility of the various factual witnesses</w:t>
      </w:r>
      <w:r w:rsidR="00596D24" w:rsidRPr="00C22E0E">
        <w:rPr>
          <w:szCs w:val="24"/>
        </w:rPr>
        <w:t xml:space="preserve">, </w:t>
      </w:r>
      <w:r w:rsidR="00B435BB" w:rsidRPr="00C22E0E">
        <w:rPr>
          <w:szCs w:val="24"/>
        </w:rPr>
        <w:t>their reliability</w:t>
      </w:r>
      <w:r w:rsidR="00596D24" w:rsidRPr="00C22E0E">
        <w:rPr>
          <w:szCs w:val="24"/>
        </w:rPr>
        <w:t>, an</w:t>
      </w:r>
      <w:r w:rsidR="00B435BB" w:rsidRPr="00C22E0E">
        <w:rPr>
          <w:szCs w:val="24"/>
        </w:rPr>
        <w:t>d the probabilities.</w:t>
      </w:r>
      <w:r w:rsidR="00596D24" w:rsidRPr="00C22E0E">
        <w:rPr>
          <w:szCs w:val="24"/>
        </w:rPr>
        <w:t xml:space="preserve"> Its approach cannot be faulted. It found that the probabilities </w:t>
      </w:r>
      <w:r w:rsidR="00B61ED9" w:rsidRPr="00C22E0E">
        <w:rPr>
          <w:szCs w:val="24"/>
        </w:rPr>
        <w:t xml:space="preserve">based on credible evidence, </w:t>
      </w:r>
      <w:r w:rsidR="00596D24" w:rsidRPr="00C22E0E">
        <w:rPr>
          <w:szCs w:val="24"/>
        </w:rPr>
        <w:t xml:space="preserve">favoured the respondent’s version. </w:t>
      </w:r>
      <w:r w:rsidR="00596D24" w:rsidRPr="008437F0">
        <w:t xml:space="preserve">Even if the </w:t>
      </w:r>
      <w:r w:rsidR="005B3900" w:rsidRPr="008437F0">
        <w:t xml:space="preserve">probabilities </w:t>
      </w:r>
      <w:r w:rsidR="00596D24" w:rsidRPr="008437F0">
        <w:t xml:space="preserve">could be said </w:t>
      </w:r>
      <w:r w:rsidR="005B3900" w:rsidRPr="008437F0">
        <w:t>to be evenly balanced, then based on the credibility of the respondent and Mr Xwayi</w:t>
      </w:r>
      <w:r w:rsidR="00596D24" w:rsidRPr="008437F0">
        <w:t>,</w:t>
      </w:r>
      <w:r w:rsidR="005B3900" w:rsidRPr="008437F0">
        <w:t xml:space="preserve"> the respondent </w:t>
      </w:r>
      <w:r w:rsidR="00411B21" w:rsidRPr="008437F0">
        <w:t xml:space="preserve">still </w:t>
      </w:r>
      <w:r w:rsidR="005B3900" w:rsidRPr="008437F0">
        <w:t>discharged the onus</w:t>
      </w:r>
      <w:r w:rsidR="005B3900" w:rsidRPr="008437F0">
        <w:rPr>
          <w:rStyle w:val="FootnoteReference"/>
        </w:rPr>
        <w:footnoteReference w:id="17"/>
      </w:r>
      <w:r w:rsidR="005B3900" w:rsidRPr="008437F0">
        <w:t xml:space="preserve"> of proving that her injuries resulted from her having stepped into the </w:t>
      </w:r>
      <w:r w:rsidR="00B61ED9" w:rsidRPr="008437F0">
        <w:t xml:space="preserve">open </w:t>
      </w:r>
      <w:r w:rsidR="005B3900" w:rsidRPr="008437F0">
        <w:t xml:space="preserve">manhole in Khwezi Street, </w:t>
      </w:r>
      <w:r w:rsidR="00F54715" w:rsidRPr="008437F0">
        <w:t xml:space="preserve">which </w:t>
      </w:r>
      <w:r w:rsidR="005B3900" w:rsidRPr="008437F0">
        <w:t>previously ha</w:t>
      </w:r>
      <w:r w:rsidR="00F54715" w:rsidRPr="008437F0">
        <w:t>d</w:t>
      </w:r>
      <w:r w:rsidR="005B3900" w:rsidRPr="008437F0">
        <w:t xml:space="preserve"> been reported to the appellant. </w:t>
      </w:r>
    </w:p>
    <w:p w14:paraId="79ED95BE" w14:textId="77777777" w:rsidR="00344699" w:rsidRPr="008437F0" w:rsidRDefault="00344699" w:rsidP="00344699">
      <w:pPr>
        <w:pStyle w:val="ListParagraph"/>
        <w:spacing w:line="360" w:lineRule="auto"/>
        <w:ind w:left="0"/>
        <w:jc w:val="both"/>
      </w:pPr>
    </w:p>
    <w:p w14:paraId="0C0C0205" w14:textId="5D7CA0D4" w:rsidR="00326A64" w:rsidRPr="008437F0" w:rsidRDefault="00C22E0E" w:rsidP="00C22E0E">
      <w:pPr>
        <w:spacing w:line="360" w:lineRule="auto"/>
        <w:jc w:val="both"/>
      </w:pPr>
      <w:r w:rsidRPr="008437F0">
        <w:rPr>
          <w:szCs w:val="24"/>
        </w:rPr>
        <w:t>[31]</w:t>
      </w:r>
      <w:r w:rsidRPr="008437F0">
        <w:rPr>
          <w:szCs w:val="24"/>
        </w:rPr>
        <w:tab/>
      </w:r>
      <w:r w:rsidR="005B3900" w:rsidRPr="008437F0">
        <w:t xml:space="preserve">There is no basis to find that the full court erred in accepting the trial court’s findings of fact, and in endorsing its conclusion. </w:t>
      </w:r>
    </w:p>
    <w:p w14:paraId="43B62D98" w14:textId="77777777" w:rsidR="006D14F8" w:rsidRPr="008437F0" w:rsidRDefault="006D14F8" w:rsidP="00EB3829">
      <w:pPr>
        <w:pStyle w:val="ListParagraph"/>
        <w:spacing w:line="360" w:lineRule="auto"/>
        <w:ind w:left="0"/>
        <w:jc w:val="both"/>
      </w:pPr>
    </w:p>
    <w:p w14:paraId="3EFFE767" w14:textId="77777777" w:rsidR="00430867" w:rsidRPr="008437F0" w:rsidRDefault="00114CFD" w:rsidP="00EB3829">
      <w:pPr>
        <w:pStyle w:val="ListParagraph"/>
        <w:spacing w:line="360" w:lineRule="auto"/>
        <w:ind w:left="0"/>
        <w:jc w:val="both"/>
        <w:rPr>
          <w:b/>
          <w:bCs/>
        </w:rPr>
      </w:pPr>
      <w:r w:rsidRPr="008437F0">
        <w:rPr>
          <w:b/>
          <w:bCs/>
        </w:rPr>
        <w:t>W</w:t>
      </w:r>
      <w:r w:rsidR="00D24449" w:rsidRPr="008437F0">
        <w:rPr>
          <w:b/>
          <w:bCs/>
        </w:rPr>
        <w:t>rongfulness</w:t>
      </w:r>
      <w:r w:rsidR="00430867" w:rsidRPr="008437F0">
        <w:t xml:space="preserve">  </w:t>
      </w:r>
    </w:p>
    <w:p w14:paraId="7A5D2352" w14:textId="4F5A3FAF" w:rsidR="008A2885" w:rsidRPr="008437F0" w:rsidRDefault="00C22E0E" w:rsidP="00C22E0E">
      <w:pPr>
        <w:spacing w:line="360" w:lineRule="auto"/>
        <w:jc w:val="both"/>
      </w:pPr>
      <w:r w:rsidRPr="008437F0">
        <w:rPr>
          <w:szCs w:val="24"/>
        </w:rPr>
        <w:t>[32]</w:t>
      </w:r>
      <w:r w:rsidRPr="008437F0">
        <w:rPr>
          <w:szCs w:val="24"/>
        </w:rPr>
        <w:tab/>
      </w:r>
      <w:r w:rsidR="006755E1" w:rsidRPr="008437F0">
        <w:t xml:space="preserve">Accepting the </w:t>
      </w:r>
      <w:r w:rsidR="00114CFD" w:rsidRPr="008437F0">
        <w:t xml:space="preserve">factual findings made by the trial and full court, </w:t>
      </w:r>
      <w:r w:rsidR="006755E1" w:rsidRPr="008437F0">
        <w:t>the appellant</w:t>
      </w:r>
      <w:r w:rsidR="00114CFD" w:rsidRPr="008437F0">
        <w:t xml:space="preserve"> then confined its </w:t>
      </w:r>
      <w:r w:rsidR="00CD2984" w:rsidRPr="008437F0">
        <w:t xml:space="preserve">argument </w:t>
      </w:r>
      <w:r w:rsidR="00114CFD" w:rsidRPr="008437F0">
        <w:t xml:space="preserve">to </w:t>
      </w:r>
      <w:r w:rsidR="00202346" w:rsidRPr="008437F0">
        <w:t xml:space="preserve">the </w:t>
      </w:r>
      <w:r w:rsidR="00114CFD" w:rsidRPr="008437F0">
        <w:t>legal</w:t>
      </w:r>
      <w:r w:rsidR="006755E1" w:rsidRPr="008437F0">
        <w:t xml:space="preserve"> </w:t>
      </w:r>
      <w:r w:rsidR="00CD2984" w:rsidRPr="008437F0">
        <w:t xml:space="preserve">issue </w:t>
      </w:r>
      <w:r w:rsidR="00202346" w:rsidRPr="008437F0">
        <w:t>whether the respondent had established wrongfulness</w:t>
      </w:r>
      <w:r w:rsidR="00CD2984" w:rsidRPr="008437F0">
        <w:t xml:space="preserve">. </w:t>
      </w:r>
    </w:p>
    <w:p w14:paraId="6220F6E0" w14:textId="77777777" w:rsidR="00C045E6" w:rsidRPr="008437F0" w:rsidRDefault="00C045E6" w:rsidP="00EB3829">
      <w:pPr>
        <w:pStyle w:val="ListParagraph"/>
        <w:spacing w:line="360" w:lineRule="auto"/>
        <w:ind w:left="0"/>
        <w:jc w:val="both"/>
      </w:pPr>
    </w:p>
    <w:p w14:paraId="25ABD368" w14:textId="163DF393" w:rsidR="00402032" w:rsidRPr="008437F0" w:rsidRDefault="00C22E0E" w:rsidP="00C22E0E">
      <w:pPr>
        <w:spacing w:line="360" w:lineRule="auto"/>
        <w:jc w:val="both"/>
      </w:pPr>
      <w:r w:rsidRPr="008437F0">
        <w:rPr>
          <w:szCs w:val="24"/>
        </w:rPr>
        <w:t>[33]</w:t>
      </w:r>
      <w:r w:rsidRPr="008437F0">
        <w:rPr>
          <w:szCs w:val="24"/>
        </w:rPr>
        <w:tab/>
      </w:r>
      <w:r w:rsidR="00C045E6" w:rsidRPr="008437F0">
        <w:t>T</w:t>
      </w:r>
      <w:r w:rsidR="00B910F2" w:rsidRPr="008437F0">
        <w:t xml:space="preserve">he appellant </w:t>
      </w:r>
      <w:r w:rsidR="00BF19AB" w:rsidRPr="008437F0">
        <w:t>argued that the finding</w:t>
      </w:r>
      <w:r w:rsidR="005C10C7" w:rsidRPr="008437F0">
        <w:t xml:space="preserve"> of the full court</w:t>
      </w:r>
      <w:r w:rsidR="00BF19AB" w:rsidRPr="008437F0">
        <w:t xml:space="preserve"> that the appellant owed ‘a legal duty to protect the public from suffering any physical harm by the infrastructure through which it provides services’, an</w:t>
      </w:r>
      <w:r w:rsidR="005C10C7" w:rsidRPr="008437F0">
        <w:t>d</w:t>
      </w:r>
      <w:r w:rsidR="00BF19AB" w:rsidRPr="008437F0">
        <w:t xml:space="preserve"> its reliance on </w:t>
      </w:r>
      <w:r w:rsidR="00BF19AB" w:rsidRPr="00C22E0E">
        <w:rPr>
          <w:i/>
          <w:iCs/>
        </w:rPr>
        <w:t>Democratic Alliance and Another v Masondo and Another</w:t>
      </w:r>
      <w:r w:rsidR="00BF19AB" w:rsidRPr="008437F0">
        <w:rPr>
          <w:rStyle w:val="FootnoteReference"/>
          <w:i/>
          <w:iCs/>
        </w:rPr>
        <w:footnoteReference w:id="18"/>
      </w:r>
      <w:r w:rsidR="00673AE3" w:rsidRPr="00C22E0E">
        <w:rPr>
          <w:i/>
          <w:iCs/>
        </w:rPr>
        <w:t xml:space="preserve"> </w:t>
      </w:r>
      <w:r w:rsidR="00673AE3" w:rsidRPr="008437F0">
        <w:t>as authority for that proposition,</w:t>
      </w:r>
      <w:r w:rsidR="00BF19AB" w:rsidRPr="008437F0">
        <w:t xml:space="preserve"> </w:t>
      </w:r>
      <w:r w:rsidR="005C10C7" w:rsidRPr="008437F0">
        <w:t>were incorrect</w:t>
      </w:r>
      <w:r w:rsidR="00673AE3" w:rsidRPr="008437F0">
        <w:t xml:space="preserve">. It pointed out that </w:t>
      </w:r>
      <w:r w:rsidR="00673AE3" w:rsidRPr="00C22E0E">
        <w:rPr>
          <w:i/>
          <w:iCs/>
        </w:rPr>
        <w:t>Mashon</w:t>
      </w:r>
      <w:r w:rsidR="00A24F5B" w:rsidRPr="00C22E0E">
        <w:rPr>
          <w:i/>
          <w:iCs/>
        </w:rPr>
        <w:t>g</w:t>
      </w:r>
      <w:r w:rsidR="00673AE3" w:rsidRPr="00C22E0E">
        <w:rPr>
          <w:i/>
          <w:iCs/>
        </w:rPr>
        <w:t>wa</w:t>
      </w:r>
      <w:r w:rsidR="00673AE3" w:rsidRPr="008437F0">
        <w:rPr>
          <w:rStyle w:val="FootnoteReference"/>
        </w:rPr>
        <w:footnoteReference w:id="19"/>
      </w:r>
      <w:r w:rsidR="00673AE3" w:rsidRPr="008437F0">
        <w:t xml:space="preserve"> held</w:t>
      </w:r>
      <w:r w:rsidR="00673AE3" w:rsidRPr="00C22E0E">
        <w:rPr>
          <w:i/>
          <w:iCs/>
        </w:rPr>
        <w:t xml:space="preserve"> </w:t>
      </w:r>
      <w:r w:rsidR="00673AE3" w:rsidRPr="008437F0">
        <w:t>tha</w:t>
      </w:r>
      <w:r w:rsidR="00402032" w:rsidRPr="008437F0">
        <w:t xml:space="preserve">t wrongfulness does not flow from a breach of </w:t>
      </w:r>
      <w:r w:rsidR="00673AE3" w:rsidRPr="008437F0">
        <w:t xml:space="preserve">a </w:t>
      </w:r>
      <w:r w:rsidR="00402032" w:rsidRPr="008437F0">
        <w:t xml:space="preserve">public duty alone, but that </w:t>
      </w:r>
      <w:r w:rsidR="00673AE3" w:rsidRPr="008437F0">
        <w:t xml:space="preserve">a </w:t>
      </w:r>
      <w:r w:rsidR="00402032" w:rsidRPr="008437F0">
        <w:t xml:space="preserve">breach </w:t>
      </w:r>
      <w:r w:rsidR="00673AE3" w:rsidRPr="008437F0">
        <w:t xml:space="preserve">of a public duty </w:t>
      </w:r>
      <w:r w:rsidR="00402032" w:rsidRPr="008437F0">
        <w:t>is simply one of the factors that a court must consider in order to ascertain wrongfulness.</w:t>
      </w:r>
      <w:r w:rsidR="00BF19AB" w:rsidRPr="008437F0">
        <w:t xml:space="preserve"> </w:t>
      </w:r>
      <w:r w:rsidR="00402032" w:rsidRPr="008437F0">
        <w:t xml:space="preserve">The appellant also drew attention to the caution expressed in </w:t>
      </w:r>
      <w:r w:rsidR="00402032" w:rsidRPr="00C22E0E">
        <w:rPr>
          <w:i/>
          <w:iCs/>
        </w:rPr>
        <w:t>Municipality of Cape Town v Bakkerud</w:t>
      </w:r>
      <w:r w:rsidR="00402032" w:rsidRPr="008437F0">
        <w:rPr>
          <w:rStyle w:val="FootnoteReference"/>
          <w:i/>
          <w:iCs/>
        </w:rPr>
        <w:footnoteReference w:id="20"/>
      </w:r>
      <w:r w:rsidR="00402032" w:rsidRPr="008437F0">
        <w:t xml:space="preserve"> that:</w:t>
      </w:r>
    </w:p>
    <w:p w14:paraId="4BDA0310" w14:textId="12647698" w:rsidR="00402032" w:rsidRPr="008437F0" w:rsidRDefault="00402032" w:rsidP="00EB3829">
      <w:pPr>
        <w:spacing w:line="360" w:lineRule="auto"/>
        <w:jc w:val="both"/>
        <w:rPr>
          <w:sz w:val="22"/>
          <w:szCs w:val="22"/>
        </w:rPr>
      </w:pPr>
      <w:r w:rsidRPr="008437F0">
        <w:rPr>
          <w:sz w:val="22"/>
          <w:szCs w:val="22"/>
        </w:rPr>
        <w:t>‘It is tempting to construct such a legal duty on the strength of a sense of security endangered by the mere provision of a street or pavement by a municipality but I do not think one can generalise in that regard. It is axiomatic that man-made streets and pavements will not always be in the pristine condition in which they were when first constructed and that it would be well – nigh impossible for even the largest and most well-funded municipalities to keep them all in that state at all times. A reasonable sense of proportion is called for. The public must be taken to realise that and to have a care for its</w:t>
      </w:r>
      <w:r w:rsidR="00896FAF" w:rsidRPr="008437F0">
        <w:rPr>
          <w:sz w:val="22"/>
          <w:szCs w:val="22"/>
        </w:rPr>
        <w:t>’</w:t>
      </w:r>
      <w:r w:rsidRPr="008437F0">
        <w:rPr>
          <w:sz w:val="22"/>
          <w:szCs w:val="22"/>
        </w:rPr>
        <w:t xml:space="preserve"> own safety when using the roads and pavements.’</w:t>
      </w:r>
    </w:p>
    <w:p w14:paraId="05B46531" w14:textId="59E91E10" w:rsidR="00C045E6" w:rsidRPr="008437F0" w:rsidRDefault="00411B21" w:rsidP="00EB3829">
      <w:pPr>
        <w:pStyle w:val="ListParagraph"/>
        <w:spacing w:line="360" w:lineRule="auto"/>
        <w:ind w:left="0"/>
        <w:jc w:val="both"/>
      </w:pPr>
      <w:r w:rsidRPr="008437F0">
        <w:t xml:space="preserve">The appellant </w:t>
      </w:r>
      <w:r w:rsidR="006D14F8" w:rsidRPr="008437F0">
        <w:t xml:space="preserve">also argued </w:t>
      </w:r>
      <w:r w:rsidR="00C045E6" w:rsidRPr="008437F0">
        <w:t>that the respondent had not ‘lead any evidence relevant to the discreet element of wrongfulness’ as pleaded, and that it would be unreasonable</w:t>
      </w:r>
      <w:r w:rsidR="00C045E6" w:rsidRPr="008437F0">
        <w:rPr>
          <w:rStyle w:val="FootnoteReference"/>
        </w:rPr>
        <w:footnoteReference w:id="21"/>
      </w:r>
      <w:r w:rsidR="00C045E6" w:rsidRPr="008437F0">
        <w:t xml:space="preserve"> to impose liability for the respondent’s injuries on the appellant</w:t>
      </w:r>
      <w:r w:rsidR="00E03960" w:rsidRPr="008437F0">
        <w:t>,</w:t>
      </w:r>
      <w:r w:rsidR="00C045E6" w:rsidRPr="008437F0">
        <w:t xml:space="preserve"> given the facts</w:t>
      </w:r>
      <w:r w:rsidR="00EB3829" w:rsidRPr="008437F0">
        <w:t xml:space="preserve"> and circumstances of the case.</w:t>
      </w:r>
    </w:p>
    <w:p w14:paraId="749ABD3F" w14:textId="77777777" w:rsidR="00C045E6" w:rsidRPr="008437F0" w:rsidRDefault="00C045E6" w:rsidP="00EB3829">
      <w:pPr>
        <w:pStyle w:val="ListParagraph"/>
        <w:spacing w:line="360" w:lineRule="auto"/>
        <w:ind w:left="0"/>
        <w:jc w:val="both"/>
      </w:pPr>
    </w:p>
    <w:p w14:paraId="6F5B1FC8" w14:textId="1057FEFC" w:rsidR="00B910F2" w:rsidRPr="008437F0" w:rsidRDefault="00C22E0E" w:rsidP="00C22E0E">
      <w:pPr>
        <w:spacing w:line="360" w:lineRule="auto"/>
        <w:jc w:val="both"/>
      </w:pPr>
      <w:r w:rsidRPr="008437F0">
        <w:rPr>
          <w:szCs w:val="24"/>
        </w:rPr>
        <w:t>[34]</w:t>
      </w:r>
      <w:r w:rsidRPr="008437F0">
        <w:rPr>
          <w:szCs w:val="24"/>
        </w:rPr>
        <w:tab/>
      </w:r>
      <w:r w:rsidR="008A2885" w:rsidRPr="008437F0">
        <w:t xml:space="preserve">It would be wrong </w:t>
      </w:r>
      <w:r w:rsidR="006D14F8" w:rsidRPr="008437F0">
        <w:t xml:space="preserve">however </w:t>
      </w:r>
      <w:r w:rsidR="008A2885" w:rsidRPr="008437F0">
        <w:t>to confine the respondent’s case as regards wrongfulness to what was pleaded. The allegations in the respondent’s particulars of claim</w:t>
      </w:r>
      <w:r w:rsidR="008A2885" w:rsidRPr="008437F0">
        <w:rPr>
          <w:rStyle w:val="FootnoteReference"/>
        </w:rPr>
        <w:footnoteReference w:id="22"/>
      </w:r>
      <w:r w:rsidR="008A2885" w:rsidRPr="008437F0">
        <w:t xml:space="preserve"> regarding wrongfulness, and also negligence, </w:t>
      </w:r>
      <w:r w:rsidR="006D14F8" w:rsidRPr="008437F0">
        <w:t>can rightly be criticised as being o</w:t>
      </w:r>
      <w:r w:rsidR="008A2885" w:rsidRPr="008437F0">
        <w:t xml:space="preserve">f a general nature, terse, not fact specific and unhelpful. </w:t>
      </w:r>
      <w:r w:rsidR="0089449A" w:rsidRPr="008437F0">
        <w:t xml:space="preserve">The respondent’s case, </w:t>
      </w:r>
      <w:r w:rsidR="008A2885" w:rsidRPr="008437F0">
        <w:t>both as regards wrongfulness and negligence,</w:t>
      </w:r>
      <w:r w:rsidR="006D14F8" w:rsidRPr="008437F0">
        <w:t xml:space="preserve"> </w:t>
      </w:r>
      <w:r w:rsidR="008A2885" w:rsidRPr="008437F0">
        <w:t>became more specific during the evidence</w:t>
      </w:r>
      <w:r w:rsidR="00B61ED9" w:rsidRPr="008437F0">
        <w:t>,</w:t>
      </w:r>
      <w:r w:rsidR="008A2885" w:rsidRPr="008437F0">
        <w:t xml:space="preserve"> when it emerged that she would contend that the open manhole had been reported, some two months prior to her being injured, to an unidentified employee of the appellant who promised to have it covered, but that nothing was done to do so</w:t>
      </w:r>
      <w:r w:rsidR="0089449A" w:rsidRPr="008437F0">
        <w:t>, resulting in her suffering injury</w:t>
      </w:r>
      <w:r w:rsidR="008A2885" w:rsidRPr="008437F0">
        <w:t>.</w:t>
      </w:r>
      <w:r w:rsidR="008A2885" w:rsidRPr="008437F0">
        <w:rPr>
          <w:rStyle w:val="FootnoteReference"/>
        </w:rPr>
        <w:footnoteReference w:id="23"/>
      </w:r>
      <w:r w:rsidR="008A2885" w:rsidRPr="008437F0">
        <w:t xml:space="preserve"> </w:t>
      </w:r>
    </w:p>
    <w:p w14:paraId="15DF2C47" w14:textId="77777777" w:rsidR="00B910F2" w:rsidRPr="008437F0" w:rsidRDefault="00B910F2" w:rsidP="00EB3829">
      <w:pPr>
        <w:pStyle w:val="ListParagraph"/>
        <w:spacing w:line="360" w:lineRule="auto"/>
        <w:ind w:left="0"/>
        <w:jc w:val="both"/>
      </w:pPr>
    </w:p>
    <w:p w14:paraId="2DB25392" w14:textId="19AE1DBE" w:rsidR="008A2885" w:rsidRPr="008437F0" w:rsidRDefault="00C22E0E" w:rsidP="00C22E0E">
      <w:pPr>
        <w:spacing w:line="360" w:lineRule="auto"/>
        <w:jc w:val="both"/>
      </w:pPr>
      <w:r w:rsidRPr="008437F0">
        <w:rPr>
          <w:szCs w:val="24"/>
        </w:rPr>
        <w:t>[35]</w:t>
      </w:r>
      <w:r w:rsidRPr="008437F0">
        <w:rPr>
          <w:szCs w:val="24"/>
        </w:rPr>
        <w:tab/>
      </w:r>
      <w:r w:rsidR="00411B21" w:rsidRPr="008437F0">
        <w:t xml:space="preserve">This evidence by </w:t>
      </w:r>
      <w:r w:rsidR="0089449A" w:rsidRPr="008437F0">
        <w:t xml:space="preserve">Mr Xwayi </w:t>
      </w:r>
      <w:r w:rsidR="008A2885" w:rsidRPr="008437F0">
        <w:t xml:space="preserve">was introduced without </w:t>
      </w:r>
      <w:r w:rsidR="00411B21" w:rsidRPr="008437F0">
        <w:t xml:space="preserve">any </w:t>
      </w:r>
      <w:r w:rsidR="008A2885" w:rsidRPr="008437F0">
        <w:t>objection from the appellant</w:t>
      </w:r>
      <w:r w:rsidR="00B910F2" w:rsidRPr="008437F0">
        <w:t>. Th</w:t>
      </w:r>
      <w:r w:rsidR="00411B21" w:rsidRPr="008437F0">
        <w:t>e</w:t>
      </w:r>
      <w:r w:rsidR="00B910F2" w:rsidRPr="008437F0">
        <w:t xml:space="preserve"> evidence </w:t>
      </w:r>
      <w:r w:rsidR="008A2885" w:rsidRPr="008437F0">
        <w:t>was fully canvassed during cross examination. The issues for adjudication accordingly came to be widened</w:t>
      </w:r>
      <w:r w:rsidR="008A2885" w:rsidRPr="008437F0">
        <w:rPr>
          <w:rStyle w:val="FootnoteReference"/>
        </w:rPr>
        <w:footnoteReference w:id="24"/>
      </w:r>
      <w:r w:rsidR="008A2885" w:rsidRPr="008437F0">
        <w:t xml:space="preserve"> beyond what was </w:t>
      </w:r>
      <w:r w:rsidR="00B61ED9" w:rsidRPr="008437F0">
        <w:t xml:space="preserve">contained </w:t>
      </w:r>
      <w:r w:rsidR="008A2885" w:rsidRPr="008437F0">
        <w:t>in the particulars of claim</w:t>
      </w:r>
      <w:r w:rsidR="00CD2984" w:rsidRPr="008437F0">
        <w:t>,</w:t>
      </w:r>
      <w:r w:rsidR="008A2885" w:rsidRPr="008437F0">
        <w:t xml:space="preserve"> to include</w:t>
      </w:r>
      <w:r w:rsidR="0089449A" w:rsidRPr="008437F0">
        <w:t xml:space="preserve"> inter alia</w:t>
      </w:r>
      <w:r w:rsidR="008A2885" w:rsidRPr="008437F0">
        <w:t>: whether the appellant had prior knowledge of the potentially dangerous situation posed by an open manhole in Khwezi Street; whether that knowledge g</w:t>
      </w:r>
      <w:r w:rsidR="0089449A" w:rsidRPr="008437F0">
        <w:t>ave</w:t>
      </w:r>
      <w:r w:rsidR="008A2885" w:rsidRPr="008437F0">
        <w:t xml:space="preserve"> rise to a duty of care owed to the respondent to prevent her from being injured; and whether the appellant negligently breached that duty by failing to close the manhole.</w:t>
      </w:r>
    </w:p>
    <w:p w14:paraId="2D3CCF39" w14:textId="77777777" w:rsidR="008A2885" w:rsidRPr="008437F0" w:rsidRDefault="008A2885" w:rsidP="00EB3829">
      <w:pPr>
        <w:pStyle w:val="ListParagraph"/>
        <w:spacing w:line="360" w:lineRule="auto"/>
        <w:ind w:left="0"/>
        <w:jc w:val="both"/>
      </w:pPr>
    </w:p>
    <w:p w14:paraId="10E6869E" w14:textId="5124CEBE" w:rsidR="0089449A" w:rsidRPr="008437F0" w:rsidRDefault="00C22E0E" w:rsidP="00C22E0E">
      <w:pPr>
        <w:spacing w:line="360" w:lineRule="auto"/>
        <w:jc w:val="both"/>
      </w:pPr>
      <w:r w:rsidRPr="008437F0">
        <w:rPr>
          <w:szCs w:val="24"/>
        </w:rPr>
        <w:t>[36]</w:t>
      </w:r>
      <w:r w:rsidRPr="008437F0">
        <w:rPr>
          <w:szCs w:val="24"/>
        </w:rPr>
        <w:tab/>
      </w:r>
      <w:r w:rsidR="0089449A" w:rsidRPr="008437F0">
        <w:t xml:space="preserve">It is trite law that a legal duty may arise </w:t>
      </w:r>
      <w:r w:rsidR="00CD2984" w:rsidRPr="008437F0">
        <w:t xml:space="preserve">where a defendant has </w:t>
      </w:r>
      <w:r w:rsidR="0089449A" w:rsidRPr="008437F0">
        <w:t xml:space="preserve">prior </w:t>
      </w:r>
      <w:r w:rsidR="00CD2984" w:rsidRPr="008437F0">
        <w:t>knowledge of a potentially dangerous situation</w:t>
      </w:r>
      <w:r w:rsidR="0089449A" w:rsidRPr="008437F0">
        <w:t>.</w:t>
      </w:r>
      <w:r w:rsidR="0089449A" w:rsidRPr="008437F0">
        <w:rPr>
          <w:rStyle w:val="FootnoteReference"/>
        </w:rPr>
        <w:footnoteReference w:id="25"/>
      </w:r>
      <w:r w:rsidR="0089449A" w:rsidRPr="008437F0">
        <w:t xml:space="preserve"> </w:t>
      </w:r>
      <w:r w:rsidR="0089449A" w:rsidRPr="00C22E0E">
        <w:rPr>
          <w:i/>
          <w:iCs/>
        </w:rPr>
        <w:t>In casu</w:t>
      </w:r>
      <w:r w:rsidR="0089449A" w:rsidRPr="008437F0">
        <w:t>, it is not suggested that a legal duty arose simply because the open manhole was under the control of the appellant</w:t>
      </w:r>
      <w:r w:rsidR="00B910F2" w:rsidRPr="008437F0">
        <w:t xml:space="preserve">. The respondent’s case was that a legal duty </w:t>
      </w:r>
      <w:r w:rsidR="00411B21" w:rsidRPr="008437F0">
        <w:t xml:space="preserve">of care </w:t>
      </w:r>
      <w:r w:rsidR="00B910F2" w:rsidRPr="008437F0">
        <w:t xml:space="preserve">arose </w:t>
      </w:r>
      <w:r w:rsidR="00411B21" w:rsidRPr="008437F0">
        <w:t xml:space="preserve">specifically </w:t>
      </w:r>
      <w:r w:rsidR="0089449A" w:rsidRPr="008437F0">
        <w:t>because the appellant had knowledge of the existence of</w:t>
      </w:r>
      <w:r w:rsidR="002B28C2" w:rsidRPr="008437F0">
        <w:t xml:space="preserve"> </w:t>
      </w:r>
      <w:r w:rsidR="00B910F2" w:rsidRPr="008437F0">
        <w:t xml:space="preserve">the open manhole which was </w:t>
      </w:r>
      <w:r w:rsidR="002B28C2" w:rsidRPr="008437F0">
        <w:t>reported to its employee</w:t>
      </w:r>
      <w:r w:rsidR="0089449A" w:rsidRPr="008437F0">
        <w:t>, and did nothing to cover the manhole.</w:t>
      </w:r>
    </w:p>
    <w:p w14:paraId="76C704C1" w14:textId="77777777" w:rsidR="0089449A" w:rsidRPr="008437F0" w:rsidRDefault="0089449A" w:rsidP="00EB3829">
      <w:pPr>
        <w:spacing w:line="360" w:lineRule="auto"/>
        <w:jc w:val="both"/>
      </w:pPr>
    </w:p>
    <w:p w14:paraId="4C0E6A81" w14:textId="7370402E" w:rsidR="002B28C2" w:rsidRPr="008437F0" w:rsidRDefault="00C22E0E" w:rsidP="00C22E0E">
      <w:pPr>
        <w:spacing w:line="360" w:lineRule="auto"/>
        <w:jc w:val="both"/>
      </w:pPr>
      <w:r w:rsidRPr="008437F0">
        <w:rPr>
          <w:szCs w:val="24"/>
        </w:rPr>
        <w:t>[37]</w:t>
      </w:r>
      <w:r w:rsidRPr="008437F0">
        <w:rPr>
          <w:szCs w:val="24"/>
        </w:rPr>
        <w:tab/>
      </w:r>
      <w:r w:rsidR="002B28C2" w:rsidRPr="008437F0">
        <w:t>Ultimately</w:t>
      </w:r>
      <w:r w:rsidR="00CD2984" w:rsidRPr="008437F0">
        <w:t>,</w:t>
      </w:r>
      <w:r w:rsidR="002B28C2" w:rsidRPr="008437F0">
        <w:t xml:space="preserve"> whether a duty of care </w:t>
      </w:r>
      <w:r w:rsidR="00B910F2" w:rsidRPr="008437F0">
        <w:t xml:space="preserve">arises, </w:t>
      </w:r>
      <w:r w:rsidR="002B28C2" w:rsidRPr="008437F0">
        <w:t xml:space="preserve">a breach of which would constitute wrongfulness, depends on the legal convictions of the community. As it was put in </w:t>
      </w:r>
      <w:r w:rsidR="002B28C2" w:rsidRPr="00C22E0E">
        <w:rPr>
          <w:i/>
          <w:iCs/>
        </w:rPr>
        <w:t>Le Roux v Dey:</w:t>
      </w:r>
      <w:r w:rsidR="002B28C2" w:rsidRPr="008437F0">
        <w:rPr>
          <w:rStyle w:val="FootnoteReference"/>
          <w:i/>
          <w:iCs/>
        </w:rPr>
        <w:footnoteReference w:id="26"/>
      </w:r>
    </w:p>
    <w:p w14:paraId="6018C395" w14:textId="77777777" w:rsidR="002B28C2" w:rsidRPr="008437F0" w:rsidRDefault="002B28C2" w:rsidP="00EB3829">
      <w:pPr>
        <w:pStyle w:val="ListParagraph"/>
        <w:spacing w:line="360" w:lineRule="auto"/>
        <w:ind w:left="0"/>
        <w:jc w:val="both"/>
        <w:rPr>
          <w:sz w:val="22"/>
          <w:szCs w:val="22"/>
        </w:rPr>
      </w:pPr>
      <w:r w:rsidRPr="008437F0">
        <w:rPr>
          <w:sz w:val="22"/>
          <w:szCs w:val="22"/>
        </w:rPr>
        <w:t>‘. . . what is meant by reasonableness . . . concerns the reasonableness of imposing liability on the defendant for the harm resulting from that conduct.’</w:t>
      </w:r>
    </w:p>
    <w:p w14:paraId="31141A79" w14:textId="77777777" w:rsidR="002B28C2" w:rsidRPr="008437F0" w:rsidRDefault="002B28C2" w:rsidP="00EB3829">
      <w:pPr>
        <w:spacing w:line="360" w:lineRule="auto"/>
        <w:jc w:val="both"/>
      </w:pPr>
    </w:p>
    <w:p w14:paraId="6B486AA6" w14:textId="2AC7D560" w:rsidR="00DD5254" w:rsidRPr="008437F0" w:rsidRDefault="00C22E0E" w:rsidP="00C22E0E">
      <w:pPr>
        <w:spacing w:line="360" w:lineRule="auto"/>
        <w:jc w:val="both"/>
      </w:pPr>
      <w:r w:rsidRPr="008437F0">
        <w:rPr>
          <w:szCs w:val="24"/>
        </w:rPr>
        <w:t>[38]</w:t>
      </w:r>
      <w:r w:rsidRPr="008437F0">
        <w:rPr>
          <w:szCs w:val="24"/>
        </w:rPr>
        <w:tab/>
      </w:r>
      <w:r w:rsidR="002B28C2" w:rsidRPr="008437F0">
        <w:t xml:space="preserve">The appellant relied on </w:t>
      </w:r>
      <w:r w:rsidR="00F5035D" w:rsidRPr="00C22E0E">
        <w:rPr>
          <w:i/>
          <w:iCs/>
        </w:rPr>
        <w:t>Du Plessis v Nelson Mandela Metropolitan Municipality</w:t>
      </w:r>
      <w:r w:rsidR="00F5035D" w:rsidRPr="008437F0">
        <w:rPr>
          <w:rStyle w:val="FootnoteReference"/>
          <w:i/>
          <w:iCs/>
        </w:rPr>
        <w:footnoteReference w:id="27"/>
      </w:r>
      <w:r w:rsidR="00F5035D" w:rsidRPr="008437F0">
        <w:t xml:space="preserve"> where numerous complaints</w:t>
      </w:r>
      <w:r w:rsidR="00402032" w:rsidRPr="008437F0">
        <w:t xml:space="preserve"> of a hole which posed a danger ha</w:t>
      </w:r>
      <w:r w:rsidR="00B910F2" w:rsidRPr="008437F0">
        <w:t>d</w:t>
      </w:r>
      <w:r w:rsidR="002B28C2" w:rsidRPr="008437F0">
        <w:t xml:space="preserve"> b</w:t>
      </w:r>
      <w:r w:rsidR="00402032" w:rsidRPr="008437F0">
        <w:t xml:space="preserve">een made </w:t>
      </w:r>
      <w:r w:rsidR="00F5035D" w:rsidRPr="008437F0">
        <w:t xml:space="preserve">to </w:t>
      </w:r>
      <w:r w:rsidR="00B910F2" w:rsidRPr="008437F0">
        <w:t xml:space="preserve">the </w:t>
      </w:r>
      <w:r w:rsidR="00F5035D" w:rsidRPr="008437F0">
        <w:t>municipality</w:t>
      </w:r>
      <w:r w:rsidR="00411B21" w:rsidRPr="008437F0">
        <w:t>,</w:t>
      </w:r>
      <w:r w:rsidR="002B28C2" w:rsidRPr="008437F0">
        <w:t xml:space="preserve"> and ignored. It argued </w:t>
      </w:r>
      <w:r w:rsidR="00C045E6" w:rsidRPr="008437F0">
        <w:t xml:space="preserve">by </w:t>
      </w:r>
      <w:r w:rsidR="00F44A01" w:rsidRPr="008437F0">
        <w:t xml:space="preserve">contrast, </w:t>
      </w:r>
      <w:r w:rsidR="002B28C2" w:rsidRPr="008437F0">
        <w:t xml:space="preserve">that in this </w:t>
      </w:r>
      <w:r w:rsidR="00F44A01" w:rsidRPr="008437F0">
        <w:t xml:space="preserve">appeal, </w:t>
      </w:r>
      <w:r w:rsidR="002B28C2" w:rsidRPr="008437F0">
        <w:t xml:space="preserve">the single report by Mr Xwayi of the open manhole to an unknown </w:t>
      </w:r>
      <w:r w:rsidR="00F44A01" w:rsidRPr="008437F0">
        <w:t xml:space="preserve">employee </w:t>
      </w:r>
      <w:r w:rsidR="002B28C2" w:rsidRPr="008437F0">
        <w:t xml:space="preserve">of unknown authority, on an unknown occasion, </w:t>
      </w:r>
      <w:r w:rsidR="00F5035D" w:rsidRPr="008437F0">
        <w:t xml:space="preserve">was insufficient for </w:t>
      </w:r>
      <w:r w:rsidR="006755E1" w:rsidRPr="008437F0">
        <w:t xml:space="preserve">prior knowledge of the dangerous situation posed by the exposed manhole </w:t>
      </w:r>
      <w:r w:rsidR="00F5035D" w:rsidRPr="008437F0">
        <w:t>to be ascribed to the appellant</w:t>
      </w:r>
      <w:r w:rsidR="00C244F7" w:rsidRPr="008437F0">
        <w:t>,</w:t>
      </w:r>
      <w:r w:rsidR="002B28C2" w:rsidRPr="008437F0">
        <w:t xml:space="preserve"> to give rise to a duty of care</w:t>
      </w:r>
      <w:r w:rsidR="00D24449" w:rsidRPr="008437F0">
        <w:t>.</w:t>
      </w:r>
      <w:r w:rsidR="00BF19AB" w:rsidRPr="008437F0">
        <w:t xml:space="preserve"> </w:t>
      </w:r>
      <w:r w:rsidR="00D24449" w:rsidRPr="008437F0">
        <w:t xml:space="preserve"> </w:t>
      </w:r>
    </w:p>
    <w:p w14:paraId="54304236" w14:textId="77777777" w:rsidR="00F5035D" w:rsidRPr="008437F0" w:rsidRDefault="00F5035D" w:rsidP="00EB3829">
      <w:pPr>
        <w:spacing w:line="360" w:lineRule="auto"/>
      </w:pPr>
    </w:p>
    <w:p w14:paraId="5A68FEA3" w14:textId="6AE854E4" w:rsidR="005654D7" w:rsidRPr="008437F0" w:rsidRDefault="00C22E0E" w:rsidP="00C22E0E">
      <w:pPr>
        <w:spacing w:line="360" w:lineRule="auto"/>
        <w:jc w:val="both"/>
      </w:pPr>
      <w:r w:rsidRPr="008437F0">
        <w:rPr>
          <w:szCs w:val="24"/>
        </w:rPr>
        <w:t>[39]</w:t>
      </w:r>
      <w:r w:rsidRPr="008437F0">
        <w:rPr>
          <w:szCs w:val="24"/>
        </w:rPr>
        <w:tab/>
      </w:r>
      <w:r w:rsidR="00402032" w:rsidRPr="008437F0">
        <w:t>E</w:t>
      </w:r>
      <w:r w:rsidR="00D524D8" w:rsidRPr="008437F0">
        <w:t xml:space="preserve">very case </w:t>
      </w:r>
      <w:r w:rsidR="00E70A0C" w:rsidRPr="008437F0">
        <w:t xml:space="preserve">will </w:t>
      </w:r>
      <w:r w:rsidR="00D524D8" w:rsidRPr="008437F0">
        <w:t>depend on its own facts</w:t>
      </w:r>
      <w:r w:rsidR="002B28C2" w:rsidRPr="008437F0">
        <w:t xml:space="preserve">. </w:t>
      </w:r>
      <w:r w:rsidR="00DD5254" w:rsidRPr="008437F0">
        <w:t xml:space="preserve">The </w:t>
      </w:r>
      <w:r w:rsidR="002B28C2" w:rsidRPr="008437F0">
        <w:t xml:space="preserve">date </w:t>
      </w:r>
      <w:r w:rsidR="00D24449" w:rsidRPr="008437F0">
        <w:t xml:space="preserve">when the report was made might not be </w:t>
      </w:r>
      <w:r w:rsidR="00E70A0C" w:rsidRPr="008437F0">
        <w:t xml:space="preserve">a </w:t>
      </w:r>
      <w:r w:rsidR="00D24449" w:rsidRPr="008437F0">
        <w:t xml:space="preserve">specific date, but it </w:t>
      </w:r>
      <w:r w:rsidR="00DD5254" w:rsidRPr="008437F0">
        <w:t xml:space="preserve">is not </w:t>
      </w:r>
      <w:r w:rsidR="00045B60" w:rsidRPr="008437F0">
        <w:t>indeterminate</w:t>
      </w:r>
      <w:r w:rsidR="00DD5254" w:rsidRPr="008437F0">
        <w:t xml:space="preserve">. Mr Xwayi </w:t>
      </w:r>
      <w:r w:rsidR="00D24449" w:rsidRPr="008437F0">
        <w:t xml:space="preserve">said </w:t>
      </w:r>
      <w:r w:rsidR="00DD5254" w:rsidRPr="008437F0">
        <w:t xml:space="preserve">it was just more than two months before the respondent returned home from hospital after </w:t>
      </w:r>
      <w:r w:rsidR="00D24449" w:rsidRPr="008437F0">
        <w:t xml:space="preserve">she had been treated for </w:t>
      </w:r>
      <w:r w:rsidR="00DD5254" w:rsidRPr="008437F0">
        <w:t>her injuries</w:t>
      </w:r>
      <w:r w:rsidR="00D24449" w:rsidRPr="008437F0">
        <w:t>.</w:t>
      </w:r>
      <w:r w:rsidR="00DD5254" w:rsidRPr="008437F0">
        <w:t xml:space="preserve"> The person </w:t>
      </w:r>
      <w:r w:rsidR="00D24449" w:rsidRPr="008437F0">
        <w:t xml:space="preserve">to whom </w:t>
      </w:r>
      <w:r w:rsidR="00D908C1" w:rsidRPr="008437F0">
        <w:t>h</w:t>
      </w:r>
      <w:r w:rsidR="00D24449" w:rsidRPr="008437F0">
        <w:t xml:space="preserve">e reported </w:t>
      </w:r>
      <w:r w:rsidR="00DD5254" w:rsidRPr="008437F0">
        <w:t>might not be identified</w:t>
      </w:r>
      <w:r w:rsidR="00D908C1" w:rsidRPr="008437F0">
        <w:t xml:space="preserve"> by name</w:t>
      </w:r>
      <w:r w:rsidR="00DD5254" w:rsidRPr="008437F0">
        <w:t xml:space="preserve">, but he was </w:t>
      </w:r>
      <w:r w:rsidR="00F25CAF" w:rsidRPr="008437F0">
        <w:t xml:space="preserve">clearly </w:t>
      </w:r>
      <w:r w:rsidR="00DD5254" w:rsidRPr="008437F0">
        <w:t xml:space="preserve">an employee of </w:t>
      </w:r>
      <w:r w:rsidR="00F44A01" w:rsidRPr="008437F0">
        <w:t xml:space="preserve">the appellant, of some seniority, </w:t>
      </w:r>
      <w:r w:rsidR="00045B60" w:rsidRPr="008437F0">
        <w:t xml:space="preserve">as he </w:t>
      </w:r>
      <w:r w:rsidR="00DD5254" w:rsidRPr="008437F0">
        <w:t>wor</w:t>
      </w:r>
      <w:r w:rsidR="00D24449" w:rsidRPr="008437F0">
        <w:t>e</w:t>
      </w:r>
      <w:r w:rsidR="00DD5254" w:rsidRPr="008437F0">
        <w:t xml:space="preserve"> a shirt and hat and drove a bakkie with the appellant’s </w:t>
      </w:r>
      <w:r w:rsidR="00747CEE" w:rsidRPr="008437F0">
        <w:t>emblem</w:t>
      </w:r>
      <w:r w:rsidR="00DD5254" w:rsidRPr="008437F0">
        <w:t xml:space="preserve"> displayed thereon</w:t>
      </w:r>
      <w:r w:rsidR="00F44A01" w:rsidRPr="008437F0">
        <w:t xml:space="preserve">, and was </w:t>
      </w:r>
      <w:r w:rsidR="00411B21" w:rsidRPr="008437F0">
        <w:t xml:space="preserve">acknowledged </w:t>
      </w:r>
      <w:r w:rsidR="00F44A01" w:rsidRPr="008437F0">
        <w:t xml:space="preserve">by </w:t>
      </w:r>
      <w:r w:rsidR="00411B21" w:rsidRPr="008437F0">
        <w:t xml:space="preserve">the team of </w:t>
      </w:r>
      <w:r w:rsidR="00F44A01" w:rsidRPr="008437F0">
        <w:t>workers as ‘the boss’</w:t>
      </w:r>
      <w:r w:rsidR="00DD5254" w:rsidRPr="008437F0">
        <w:t xml:space="preserve"> </w:t>
      </w:r>
      <w:r w:rsidR="002F7557" w:rsidRPr="008437F0">
        <w:t xml:space="preserve">and the one to whom </w:t>
      </w:r>
      <w:r w:rsidR="00411B21" w:rsidRPr="008437F0">
        <w:t xml:space="preserve">Mr Xwayi </w:t>
      </w:r>
      <w:r w:rsidR="002F7557" w:rsidRPr="008437F0">
        <w:t xml:space="preserve">should make such a report. </w:t>
      </w:r>
      <w:r w:rsidR="00DD5254" w:rsidRPr="008437F0">
        <w:t xml:space="preserve"> </w:t>
      </w:r>
      <w:r w:rsidR="00C244F7" w:rsidRPr="008437F0">
        <w:t>Mr Xwayi sp</w:t>
      </w:r>
      <w:r w:rsidR="00DD5254" w:rsidRPr="008437F0">
        <w:t>oke to this person</w:t>
      </w:r>
      <w:r w:rsidR="002F7557" w:rsidRPr="008437F0">
        <w:t xml:space="preserve">. This person did not refer him </w:t>
      </w:r>
      <w:r w:rsidR="00F25CAF" w:rsidRPr="008437F0">
        <w:t xml:space="preserve">to anyone else, </w:t>
      </w:r>
      <w:r w:rsidR="00D908C1" w:rsidRPr="008437F0">
        <w:t>n</w:t>
      </w:r>
      <w:r w:rsidR="00F25CAF" w:rsidRPr="008437F0">
        <w:t xml:space="preserve">or </w:t>
      </w:r>
      <w:r w:rsidR="00D908C1" w:rsidRPr="008437F0">
        <w:t xml:space="preserve">did he </w:t>
      </w:r>
      <w:r w:rsidR="00F25CAF" w:rsidRPr="008437F0">
        <w:t>decline to assist</w:t>
      </w:r>
      <w:r w:rsidR="002F7557" w:rsidRPr="008437F0">
        <w:t xml:space="preserve">. </w:t>
      </w:r>
      <w:r w:rsidR="00C244F7" w:rsidRPr="008437F0">
        <w:t>Instead</w:t>
      </w:r>
      <w:r w:rsidR="00411B21" w:rsidRPr="008437F0">
        <w:t>,</w:t>
      </w:r>
      <w:r w:rsidR="00C244F7" w:rsidRPr="008437F0">
        <w:t xml:space="preserve"> he</w:t>
      </w:r>
      <w:r w:rsidR="00F44A01" w:rsidRPr="008437F0">
        <w:t xml:space="preserve"> a</w:t>
      </w:r>
      <w:r w:rsidR="00DD5254" w:rsidRPr="008437F0">
        <w:t xml:space="preserve">ssumed responsibility for the situation </w:t>
      </w:r>
      <w:r w:rsidR="00D908C1" w:rsidRPr="008437F0">
        <w:t xml:space="preserve">and </w:t>
      </w:r>
      <w:r w:rsidR="00E70A0C" w:rsidRPr="008437F0">
        <w:t xml:space="preserve">undertook </w:t>
      </w:r>
      <w:r w:rsidR="00DD5254" w:rsidRPr="008437F0">
        <w:t xml:space="preserve">to </w:t>
      </w:r>
      <w:r w:rsidR="000572B8" w:rsidRPr="008437F0">
        <w:t>close the hole.</w:t>
      </w:r>
      <w:r w:rsidR="00045B60" w:rsidRPr="008437F0">
        <w:t xml:space="preserve"> </w:t>
      </w:r>
      <w:r w:rsidR="00F25CAF" w:rsidRPr="00C22E0E">
        <w:rPr>
          <w:b/>
          <w:bCs/>
        </w:rPr>
        <w:t xml:space="preserve"> </w:t>
      </w:r>
      <w:r w:rsidR="00DD5254" w:rsidRPr="008437F0">
        <w:t>As much as one has an appreciation for the difficult task the appellant has</w:t>
      </w:r>
      <w:r w:rsidR="00411B21" w:rsidRPr="008437F0">
        <w:t>,</w:t>
      </w:r>
      <w:r w:rsidR="00DD5254" w:rsidRPr="008437F0">
        <w:t xml:space="preserve"> to </w:t>
      </w:r>
      <w:r w:rsidR="005654D7" w:rsidRPr="008437F0">
        <w:t xml:space="preserve">manage </w:t>
      </w:r>
      <w:r w:rsidR="00DD5254" w:rsidRPr="008437F0">
        <w:t xml:space="preserve">processes </w:t>
      </w:r>
      <w:r w:rsidR="005654D7" w:rsidRPr="008437F0">
        <w:t xml:space="preserve">to </w:t>
      </w:r>
      <w:r w:rsidR="00C244F7" w:rsidRPr="008437F0">
        <w:t xml:space="preserve">replace </w:t>
      </w:r>
      <w:r w:rsidR="005654D7" w:rsidRPr="008437F0">
        <w:t xml:space="preserve">missing manhole covers, the process can only be improved by allowing members of the </w:t>
      </w:r>
      <w:r w:rsidR="00DD5254" w:rsidRPr="008437F0">
        <w:t xml:space="preserve">public </w:t>
      </w:r>
      <w:r w:rsidR="009B3B1E" w:rsidRPr="008437F0">
        <w:t xml:space="preserve">to </w:t>
      </w:r>
      <w:r w:rsidR="00DD5254" w:rsidRPr="008437F0">
        <w:t xml:space="preserve">report </w:t>
      </w:r>
      <w:r w:rsidR="009B3B1E" w:rsidRPr="008437F0">
        <w:t xml:space="preserve">missing covers </w:t>
      </w:r>
      <w:r w:rsidR="00DD5254" w:rsidRPr="008437F0">
        <w:t>to a responsible employee of the appellant</w:t>
      </w:r>
      <w:r w:rsidR="005654D7" w:rsidRPr="008437F0">
        <w:t xml:space="preserve">, for remedial steps to be initiated. </w:t>
      </w:r>
    </w:p>
    <w:p w14:paraId="08FD9812" w14:textId="77777777" w:rsidR="005654D7" w:rsidRPr="008437F0" w:rsidRDefault="005654D7" w:rsidP="00EB3829">
      <w:pPr>
        <w:spacing w:line="360" w:lineRule="auto"/>
        <w:jc w:val="both"/>
      </w:pPr>
    </w:p>
    <w:p w14:paraId="03BFB0C0" w14:textId="6542F2CC" w:rsidR="00F25CAF" w:rsidRPr="008437F0" w:rsidRDefault="00C22E0E" w:rsidP="00C22E0E">
      <w:pPr>
        <w:spacing w:line="360" w:lineRule="auto"/>
        <w:jc w:val="both"/>
      </w:pPr>
      <w:r w:rsidRPr="008437F0">
        <w:rPr>
          <w:szCs w:val="24"/>
        </w:rPr>
        <w:t>[40]</w:t>
      </w:r>
      <w:r w:rsidRPr="008437F0">
        <w:rPr>
          <w:szCs w:val="24"/>
        </w:rPr>
        <w:tab/>
      </w:r>
      <w:r w:rsidR="00593961" w:rsidRPr="008437F0">
        <w:t>The present is not a case</w:t>
      </w:r>
      <w:r w:rsidR="00C244F7" w:rsidRPr="008437F0">
        <w:t>, as the appellant suggested,</w:t>
      </w:r>
      <w:r w:rsidR="00593961" w:rsidRPr="008437F0">
        <w:t xml:space="preserve"> of unreasonably extending delictual liability </w:t>
      </w:r>
      <w:r w:rsidR="009B3B1E" w:rsidRPr="008437F0">
        <w:t xml:space="preserve">simply </w:t>
      </w:r>
      <w:r w:rsidR="00593961" w:rsidRPr="008437F0">
        <w:t xml:space="preserve">because the respondent </w:t>
      </w:r>
      <w:r w:rsidR="00D908C1" w:rsidRPr="008437F0">
        <w:t xml:space="preserve">might be </w:t>
      </w:r>
      <w:r w:rsidR="00593961" w:rsidRPr="008437F0">
        <w:t>deserving of some sympathy.</w:t>
      </w:r>
      <w:r w:rsidR="00593961" w:rsidRPr="008437F0">
        <w:rPr>
          <w:rStyle w:val="FootnoteReference"/>
        </w:rPr>
        <w:footnoteReference w:id="28"/>
      </w:r>
      <w:r w:rsidR="00593961" w:rsidRPr="008437F0">
        <w:t xml:space="preserve"> </w:t>
      </w:r>
      <w:r w:rsidR="005C10C7" w:rsidRPr="008437F0">
        <w:t>Ultimately, wrongfulness depends on considerations of public and legal policy in accordance with constitutional norms and the reasonableness of imposing liability on the appellant.</w:t>
      </w:r>
      <w:r w:rsidR="005C10C7" w:rsidRPr="008437F0">
        <w:rPr>
          <w:rStyle w:val="FootnoteReference"/>
        </w:rPr>
        <w:footnoteReference w:id="29"/>
      </w:r>
      <w:r w:rsidR="005C10C7" w:rsidRPr="008437F0">
        <w:t xml:space="preserve"> </w:t>
      </w:r>
      <w:r w:rsidR="005654D7" w:rsidRPr="008437F0">
        <w:t>The legal convictions of the community require that where the appellant had knowledge of an open manhole,</w:t>
      </w:r>
      <w:r w:rsidR="00D908C1" w:rsidRPr="008437F0">
        <w:t xml:space="preserve"> </w:t>
      </w:r>
      <w:r w:rsidR="005654D7" w:rsidRPr="008437F0">
        <w:t>th</w:t>
      </w:r>
      <w:r w:rsidR="00F25CAF" w:rsidRPr="008437F0">
        <w:t>e</w:t>
      </w:r>
      <w:r w:rsidR="005654D7" w:rsidRPr="008437F0">
        <w:t xml:space="preserve"> failure to c</w:t>
      </w:r>
      <w:r w:rsidR="00F25CAF" w:rsidRPr="008437F0">
        <w:t xml:space="preserve">over the hole </w:t>
      </w:r>
      <w:r w:rsidR="005654D7" w:rsidRPr="008437F0">
        <w:t>within a reasonable time</w:t>
      </w:r>
      <w:r w:rsidR="00D908C1" w:rsidRPr="008437F0">
        <w:t xml:space="preserve">, </w:t>
      </w:r>
      <w:r w:rsidR="005654D7" w:rsidRPr="008437F0">
        <w:t xml:space="preserve">resulting in </w:t>
      </w:r>
      <w:r w:rsidR="00C244F7" w:rsidRPr="008437F0">
        <w:t xml:space="preserve">possible </w:t>
      </w:r>
      <w:r w:rsidR="005654D7" w:rsidRPr="008437F0">
        <w:t>injury to a member of</w:t>
      </w:r>
      <w:r w:rsidR="00EB3829" w:rsidRPr="008437F0">
        <w:t xml:space="preserve"> the public, would be wrongful.</w:t>
      </w:r>
    </w:p>
    <w:p w14:paraId="6BEC70CB" w14:textId="77777777" w:rsidR="00F25CAF" w:rsidRPr="008437F0" w:rsidRDefault="00F25CAF" w:rsidP="00EB3829">
      <w:pPr>
        <w:spacing w:line="360" w:lineRule="auto"/>
      </w:pPr>
    </w:p>
    <w:p w14:paraId="68AFFAAE" w14:textId="34A6F705" w:rsidR="00AB38B8" w:rsidRPr="008437F0" w:rsidRDefault="00C22E0E" w:rsidP="00C22E0E">
      <w:pPr>
        <w:spacing w:line="360" w:lineRule="auto"/>
        <w:jc w:val="both"/>
      </w:pPr>
      <w:r w:rsidRPr="008437F0">
        <w:rPr>
          <w:szCs w:val="24"/>
        </w:rPr>
        <w:t>[41]</w:t>
      </w:r>
      <w:r w:rsidRPr="008437F0">
        <w:rPr>
          <w:szCs w:val="24"/>
        </w:rPr>
        <w:tab/>
      </w:r>
      <w:r w:rsidR="005654D7" w:rsidRPr="008437F0">
        <w:t>Whether the appellant had knowledge of</w:t>
      </w:r>
      <w:r w:rsidR="00F25CAF" w:rsidRPr="008437F0">
        <w:t xml:space="preserve"> the open manhole</w:t>
      </w:r>
      <w:r w:rsidR="005654D7" w:rsidRPr="008437F0">
        <w:t>, or not, is a question of fact. Obviously</w:t>
      </w:r>
      <w:r w:rsidR="00411B21" w:rsidRPr="008437F0">
        <w:t>,</w:t>
      </w:r>
      <w:r w:rsidR="005654D7" w:rsidRPr="008437F0">
        <w:t xml:space="preserve"> the po</w:t>
      </w:r>
      <w:r w:rsidR="00F25CAF" w:rsidRPr="008437F0">
        <w:t xml:space="preserve">ssibility </w:t>
      </w:r>
      <w:r w:rsidR="005654D7" w:rsidRPr="008437F0">
        <w:t>for fa</w:t>
      </w:r>
      <w:r w:rsidR="00F25CAF" w:rsidRPr="008437F0">
        <w:t xml:space="preserve">lse </w:t>
      </w:r>
      <w:r w:rsidR="005654D7" w:rsidRPr="008437F0">
        <w:t>claims always exist</w:t>
      </w:r>
      <w:r w:rsidR="00F25CAF" w:rsidRPr="008437F0">
        <w:t>s</w:t>
      </w:r>
      <w:r w:rsidR="005654D7" w:rsidRPr="008437F0">
        <w:t>, bu</w:t>
      </w:r>
      <w:r w:rsidR="00F25CAF" w:rsidRPr="008437F0">
        <w:t xml:space="preserve">t </w:t>
      </w:r>
      <w:r w:rsidR="00C244F7" w:rsidRPr="008437F0">
        <w:t xml:space="preserve">the </w:t>
      </w:r>
      <w:r w:rsidR="00F25CAF" w:rsidRPr="008437F0">
        <w:t>legal convictions of the community</w:t>
      </w:r>
      <w:r w:rsidR="005654D7" w:rsidRPr="008437F0">
        <w:t xml:space="preserve"> </w:t>
      </w:r>
      <w:r w:rsidR="00C244F7" w:rsidRPr="008437F0">
        <w:t xml:space="preserve">do not dictate </w:t>
      </w:r>
      <w:r w:rsidR="00F44A01" w:rsidRPr="008437F0">
        <w:t xml:space="preserve">that because </w:t>
      </w:r>
      <w:r w:rsidR="00C244F7" w:rsidRPr="008437F0">
        <w:t xml:space="preserve">some </w:t>
      </w:r>
      <w:r w:rsidR="00F44A01" w:rsidRPr="008437F0">
        <w:t>claim</w:t>
      </w:r>
      <w:r w:rsidR="00C244F7" w:rsidRPr="008437F0">
        <w:t>s</w:t>
      </w:r>
      <w:r w:rsidR="00F44A01" w:rsidRPr="008437F0">
        <w:t xml:space="preserve"> might be </w:t>
      </w:r>
      <w:r w:rsidR="005654D7" w:rsidRPr="008437F0">
        <w:t>fraudulent</w:t>
      </w:r>
      <w:r w:rsidR="00F44A01" w:rsidRPr="008437F0">
        <w:t>, t</w:t>
      </w:r>
      <w:r w:rsidR="00C244F7" w:rsidRPr="008437F0">
        <w:t xml:space="preserve">herefore </w:t>
      </w:r>
      <w:r w:rsidR="005654D7" w:rsidRPr="008437F0">
        <w:t>genuine claims</w:t>
      </w:r>
      <w:r w:rsidR="00AB38B8" w:rsidRPr="008437F0">
        <w:t xml:space="preserve"> should </w:t>
      </w:r>
      <w:r w:rsidR="009B3B1E" w:rsidRPr="008437F0">
        <w:t xml:space="preserve">for that reason </w:t>
      </w:r>
      <w:r w:rsidR="00C244F7" w:rsidRPr="008437F0">
        <w:t xml:space="preserve">alone </w:t>
      </w:r>
      <w:r w:rsidR="009B3B1E" w:rsidRPr="008437F0">
        <w:t>be d</w:t>
      </w:r>
      <w:r w:rsidR="00C244F7" w:rsidRPr="008437F0">
        <w:t>isallowed</w:t>
      </w:r>
      <w:r w:rsidR="009B3B1E" w:rsidRPr="008437F0">
        <w:t xml:space="preserve">. </w:t>
      </w:r>
      <w:r w:rsidR="00F25CAF" w:rsidRPr="008437F0">
        <w:t xml:space="preserve">In the present instance, where the credibility of the respondent is not impugned, difficulties </w:t>
      </w:r>
      <w:r w:rsidR="00E70A0C" w:rsidRPr="008437F0">
        <w:t xml:space="preserve">in deciding whether </w:t>
      </w:r>
      <w:r w:rsidR="00F25CAF" w:rsidRPr="008437F0">
        <w:t xml:space="preserve">the claim </w:t>
      </w:r>
      <w:r w:rsidR="00E70A0C" w:rsidRPr="008437F0">
        <w:t xml:space="preserve">might be </w:t>
      </w:r>
      <w:r w:rsidR="00F25CAF" w:rsidRPr="008437F0">
        <w:t xml:space="preserve">false </w:t>
      </w:r>
      <w:r w:rsidR="00E70A0C" w:rsidRPr="008437F0">
        <w:t xml:space="preserve">and </w:t>
      </w:r>
      <w:r w:rsidR="00F25CAF" w:rsidRPr="008437F0">
        <w:t>contrived do not arise.</w:t>
      </w:r>
      <w:r w:rsidR="005654D7" w:rsidRPr="008437F0">
        <w:t xml:space="preserve"> </w:t>
      </w:r>
    </w:p>
    <w:p w14:paraId="4230C472" w14:textId="77777777" w:rsidR="00AB38B8" w:rsidRPr="008437F0" w:rsidRDefault="00AB38B8" w:rsidP="00EB3829">
      <w:pPr>
        <w:spacing w:line="360" w:lineRule="auto"/>
        <w:jc w:val="both"/>
      </w:pPr>
    </w:p>
    <w:p w14:paraId="63ED1E15" w14:textId="382EBD2C" w:rsidR="001C5C24" w:rsidRPr="008437F0" w:rsidRDefault="00C22E0E" w:rsidP="00C22E0E">
      <w:pPr>
        <w:spacing w:line="360" w:lineRule="auto"/>
        <w:jc w:val="both"/>
      </w:pPr>
      <w:r w:rsidRPr="008437F0">
        <w:rPr>
          <w:szCs w:val="24"/>
        </w:rPr>
        <w:t>[42]</w:t>
      </w:r>
      <w:r w:rsidRPr="008437F0">
        <w:rPr>
          <w:szCs w:val="24"/>
        </w:rPr>
        <w:tab/>
      </w:r>
      <w:r w:rsidR="00AB38B8" w:rsidRPr="008437F0">
        <w:t xml:space="preserve">The appellant </w:t>
      </w:r>
      <w:r w:rsidR="00443503" w:rsidRPr="008437F0">
        <w:t>was</w:t>
      </w:r>
      <w:r w:rsidR="00071DBD" w:rsidRPr="008437F0">
        <w:t xml:space="preserve"> </w:t>
      </w:r>
      <w:r w:rsidR="00AB38B8" w:rsidRPr="008437F0">
        <w:t>critic</w:t>
      </w:r>
      <w:r w:rsidR="00071DBD" w:rsidRPr="008437F0">
        <w:t xml:space="preserve">al </w:t>
      </w:r>
      <w:r w:rsidR="00F44A01" w:rsidRPr="008437F0">
        <w:t xml:space="preserve">during argument </w:t>
      </w:r>
      <w:r w:rsidR="00071DBD" w:rsidRPr="008437F0">
        <w:t>of</w:t>
      </w:r>
      <w:r w:rsidR="00AB38B8" w:rsidRPr="008437F0">
        <w:t xml:space="preserve"> </w:t>
      </w:r>
      <w:r w:rsidR="00425DF8" w:rsidRPr="008437F0">
        <w:t>Mr Xwayi not follow</w:t>
      </w:r>
      <w:r w:rsidR="00071DBD" w:rsidRPr="008437F0">
        <w:t>ing</w:t>
      </w:r>
      <w:r w:rsidR="00425DF8" w:rsidRPr="008437F0">
        <w:t xml:space="preserve"> up on his </w:t>
      </w:r>
      <w:r w:rsidR="00AB38B8" w:rsidRPr="008437F0">
        <w:t xml:space="preserve">initial </w:t>
      </w:r>
      <w:r w:rsidR="00425DF8" w:rsidRPr="008437F0">
        <w:t>report,</w:t>
      </w:r>
      <w:r w:rsidR="00AB38B8" w:rsidRPr="008437F0">
        <w:t xml:space="preserve"> that he had not </w:t>
      </w:r>
      <w:r w:rsidR="00425DF8" w:rsidRPr="008437F0">
        <w:t>complain</w:t>
      </w:r>
      <w:r w:rsidR="00AB38B8" w:rsidRPr="008437F0">
        <w:t xml:space="preserve">ed </w:t>
      </w:r>
      <w:r w:rsidR="00425DF8" w:rsidRPr="008437F0">
        <w:t>more than the one time</w:t>
      </w:r>
      <w:r w:rsidR="00AD4CCB" w:rsidRPr="008437F0">
        <w:t xml:space="preserve"> </w:t>
      </w:r>
      <w:r w:rsidR="00AB38B8" w:rsidRPr="008437F0">
        <w:t xml:space="preserve">that </w:t>
      </w:r>
      <w:r w:rsidR="00AD4CCB" w:rsidRPr="008437F0">
        <w:t>he did</w:t>
      </w:r>
      <w:r w:rsidR="00425DF8" w:rsidRPr="008437F0">
        <w:t xml:space="preserve">, and </w:t>
      </w:r>
      <w:r w:rsidR="00AB38B8" w:rsidRPr="008437F0">
        <w:t xml:space="preserve">that he had </w:t>
      </w:r>
      <w:r w:rsidR="00425DF8" w:rsidRPr="008437F0">
        <w:t>not advis</w:t>
      </w:r>
      <w:r w:rsidR="00AB38B8" w:rsidRPr="008437F0">
        <w:t xml:space="preserve">ed </w:t>
      </w:r>
      <w:r w:rsidR="00425DF8" w:rsidRPr="008437F0">
        <w:t>his neighbours</w:t>
      </w:r>
      <w:r w:rsidR="00F44A01" w:rsidRPr="008437F0">
        <w:t>,</w:t>
      </w:r>
      <w:r w:rsidR="00071DBD" w:rsidRPr="008437F0">
        <w:t xml:space="preserve"> including the respondent</w:t>
      </w:r>
      <w:r w:rsidR="00F44A01" w:rsidRPr="008437F0">
        <w:t>,</w:t>
      </w:r>
      <w:r w:rsidR="00425DF8" w:rsidRPr="008437F0">
        <w:t xml:space="preserve"> of the danger </w:t>
      </w:r>
      <w:r w:rsidR="00AB38B8" w:rsidRPr="008437F0">
        <w:t xml:space="preserve">posed by </w:t>
      </w:r>
      <w:r w:rsidR="00425DF8" w:rsidRPr="008437F0">
        <w:t>the open manhole. But why should he</w:t>
      </w:r>
      <w:r w:rsidR="00071DBD" w:rsidRPr="008437F0">
        <w:t>?</w:t>
      </w:r>
      <w:r w:rsidR="00AB38B8" w:rsidRPr="008437F0">
        <w:t xml:space="preserve"> Mr Xwayi</w:t>
      </w:r>
      <w:r w:rsidR="00F25CAF" w:rsidRPr="008437F0">
        <w:t xml:space="preserve"> did not present </w:t>
      </w:r>
      <w:r w:rsidR="00071DBD" w:rsidRPr="008437F0">
        <w:t xml:space="preserve">as a </w:t>
      </w:r>
      <w:r w:rsidR="00425DF8" w:rsidRPr="008437F0">
        <w:t>sophisticated person</w:t>
      </w:r>
      <w:r w:rsidR="00F25CAF" w:rsidRPr="008437F0">
        <w:t xml:space="preserve"> well</w:t>
      </w:r>
      <w:r w:rsidR="00071DBD" w:rsidRPr="008437F0">
        <w:t xml:space="preserve"> versed in matters of municipal administration. He </w:t>
      </w:r>
      <w:r w:rsidR="00AB38B8" w:rsidRPr="008437F0">
        <w:t xml:space="preserve">completed </w:t>
      </w:r>
      <w:r w:rsidR="00F25CAF" w:rsidRPr="008437F0">
        <w:t xml:space="preserve">a </w:t>
      </w:r>
      <w:r w:rsidR="00AB38B8" w:rsidRPr="008437F0">
        <w:t>standard 4.</w:t>
      </w:r>
      <w:r w:rsidR="00425DF8" w:rsidRPr="008437F0">
        <w:t xml:space="preserve"> </w:t>
      </w:r>
      <w:r w:rsidR="00AD4CCB" w:rsidRPr="008437F0">
        <w:t xml:space="preserve">In the spirit of </w:t>
      </w:r>
      <w:r w:rsidR="009B3B1E" w:rsidRPr="008437F0">
        <w:t xml:space="preserve">discharging a self-imposed </w:t>
      </w:r>
      <w:r w:rsidR="00AD4CCB" w:rsidRPr="008437F0">
        <w:t>public duty</w:t>
      </w:r>
      <w:r w:rsidR="005A4058" w:rsidRPr="008437F0">
        <w:t>,</w:t>
      </w:r>
      <w:r w:rsidR="00AD4CCB" w:rsidRPr="008437F0">
        <w:t xml:space="preserve"> he took the trouble of reporting a dangerous situation</w:t>
      </w:r>
      <w:r w:rsidR="00071DBD" w:rsidRPr="008437F0">
        <w:t xml:space="preserve"> </w:t>
      </w:r>
      <w:r w:rsidR="00AD4CCB" w:rsidRPr="008437F0">
        <w:t>to a</w:t>
      </w:r>
      <w:r w:rsidR="00F25CAF" w:rsidRPr="008437F0">
        <w:t xml:space="preserve">n employee, </w:t>
      </w:r>
      <w:r w:rsidR="00071DBD" w:rsidRPr="008437F0">
        <w:t xml:space="preserve">designated </w:t>
      </w:r>
      <w:r w:rsidR="00AD4CCB" w:rsidRPr="008437F0">
        <w:t xml:space="preserve">by the workers working in the area as </w:t>
      </w:r>
      <w:r w:rsidR="00071DBD" w:rsidRPr="008437F0">
        <w:t xml:space="preserve">the </w:t>
      </w:r>
      <w:r w:rsidR="00AD4CCB" w:rsidRPr="008437F0">
        <w:t>‘boss</w:t>
      </w:r>
      <w:r w:rsidR="00A05F9F" w:rsidRPr="008437F0">
        <w:t>’</w:t>
      </w:r>
      <w:r w:rsidR="00443503" w:rsidRPr="008437F0">
        <w:t>.</w:t>
      </w:r>
      <w:r w:rsidR="00AD4CCB" w:rsidRPr="008437F0">
        <w:t xml:space="preserve"> Th</w:t>
      </w:r>
      <w:r w:rsidR="00071DBD" w:rsidRPr="008437F0">
        <w:t xml:space="preserve">is person </w:t>
      </w:r>
      <w:r w:rsidR="00AD4CCB" w:rsidRPr="008437F0">
        <w:t xml:space="preserve">did nothing to dispel the </w:t>
      </w:r>
      <w:r w:rsidR="00D908C1" w:rsidRPr="008437F0">
        <w:t xml:space="preserve">belief </w:t>
      </w:r>
      <w:r w:rsidR="00AD4CCB" w:rsidRPr="008437F0">
        <w:t xml:space="preserve">harboured by Mr Xwayi that he was a person </w:t>
      </w:r>
      <w:r w:rsidR="00F44A01" w:rsidRPr="008437F0">
        <w:t>to whom he could report</w:t>
      </w:r>
      <w:r w:rsidR="00AD4CCB" w:rsidRPr="008437F0">
        <w:t xml:space="preserve">. As a matter of </w:t>
      </w:r>
      <w:r w:rsidR="00F25CAF" w:rsidRPr="008437F0">
        <w:t xml:space="preserve">legal </w:t>
      </w:r>
      <w:r w:rsidR="00AD4CCB" w:rsidRPr="008437F0">
        <w:t>policy</w:t>
      </w:r>
      <w:r w:rsidR="00F25CAF" w:rsidRPr="008437F0">
        <w:t xml:space="preserve">, </w:t>
      </w:r>
      <w:r w:rsidR="00AD4CCB" w:rsidRPr="008437F0">
        <w:t xml:space="preserve">the legal convictions of the community would view what Mr Xwayi did as sufficient to bring the existence of this danger to the attention of the appellant. If </w:t>
      </w:r>
      <w:r w:rsidR="00E446D3" w:rsidRPr="008437F0">
        <w:t xml:space="preserve">an </w:t>
      </w:r>
      <w:r w:rsidR="00AD4CCB" w:rsidRPr="008437F0">
        <w:t>employee in authority choose</w:t>
      </w:r>
      <w:r w:rsidR="00E446D3" w:rsidRPr="008437F0">
        <w:t>s</w:t>
      </w:r>
      <w:r w:rsidR="00AD4CCB" w:rsidRPr="008437F0">
        <w:t xml:space="preserve"> not </w:t>
      </w:r>
      <w:r w:rsidR="00071DBD" w:rsidRPr="008437F0">
        <w:t xml:space="preserve">to </w:t>
      </w:r>
      <w:r w:rsidR="00AD4CCB" w:rsidRPr="008437F0">
        <w:t>give adequate attention to such reports</w:t>
      </w:r>
      <w:r w:rsidR="00071DBD" w:rsidRPr="008437F0">
        <w:t xml:space="preserve">, </w:t>
      </w:r>
      <w:r w:rsidR="00AD4CCB" w:rsidRPr="008437F0">
        <w:t>or fail</w:t>
      </w:r>
      <w:r w:rsidR="00D908C1" w:rsidRPr="008437F0">
        <w:t>s</w:t>
      </w:r>
      <w:r w:rsidR="00AD4CCB" w:rsidRPr="008437F0">
        <w:t xml:space="preserve"> to escalate such </w:t>
      </w:r>
      <w:r w:rsidR="00071DBD" w:rsidRPr="008437F0">
        <w:t xml:space="preserve">report </w:t>
      </w:r>
      <w:r w:rsidR="00AD4CCB" w:rsidRPr="008437F0">
        <w:t xml:space="preserve">to the appropriate persons through the correct channels, then the issue is one </w:t>
      </w:r>
      <w:r w:rsidR="00E446D3" w:rsidRPr="008437F0">
        <w:t>of better</w:t>
      </w:r>
      <w:r w:rsidR="00071DBD" w:rsidRPr="008437F0">
        <w:t xml:space="preserve"> </w:t>
      </w:r>
      <w:r w:rsidR="00AD4CCB" w:rsidRPr="008437F0">
        <w:t>education</w:t>
      </w:r>
      <w:r w:rsidR="00071DBD" w:rsidRPr="008437F0">
        <w:t xml:space="preserve"> </w:t>
      </w:r>
      <w:r w:rsidR="00E446D3" w:rsidRPr="008437F0">
        <w:t xml:space="preserve">and ongoing training </w:t>
      </w:r>
      <w:r w:rsidR="00071DBD" w:rsidRPr="008437F0">
        <w:t xml:space="preserve">of </w:t>
      </w:r>
      <w:r w:rsidR="00E446D3" w:rsidRPr="008437F0">
        <w:t xml:space="preserve">the appellant’s </w:t>
      </w:r>
      <w:r w:rsidR="00071DBD" w:rsidRPr="008437F0">
        <w:t>employees being required. That is</w:t>
      </w:r>
      <w:r w:rsidR="00D908C1" w:rsidRPr="008437F0">
        <w:t>,</w:t>
      </w:r>
      <w:r w:rsidR="00071DBD" w:rsidRPr="008437F0">
        <w:t xml:space="preserve"> </w:t>
      </w:r>
      <w:r w:rsidR="00AD4CCB" w:rsidRPr="008437F0">
        <w:t xml:space="preserve">if such education is </w:t>
      </w:r>
      <w:r w:rsidR="00E70A0C" w:rsidRPr="008437F0">
        <w:t xml:space="preserve">in fact </w:t>
      </w:r>
      <w:r w:rsidR="00AD4CCB" w:rsidRPr="008437F0">
        <w:t>required</w:t>
      </w:r>
      <w:r w:rsidR="00071DBD" w:rsidRPr="008437F0">
        <w:t xml:space="preserve">, because on </w:t>
      </w:r>
      <w:r w:rsidR="00AD4CCB" w:rsidRPr="008437F0">
        <w:t>the facts of this matter,</w:t>
      </w:r>
      <w:r w:rsidR="00071DBD" w:rsidRPr="008437F0">
        <w:t xml:space="preserve"> what happened cannot be ascribed to a lack of knowledge of procedures. </w:t>
      </w:r>
      <w:r w:rsidR="00AD4CCB" w:rsidRPr="008437F0">
        <w:t xml:space="preserve">The workers referred Mr Xwayi to their ‘boss’ and the ‘boss’ did not </w:t>
      </w:r>
      <w:r w:rsidR="000572B8" w:rsidRPr="008437F0">
        <w:t xml:space="preserve">try to avoid </w:t>
      </w:r>
      <w:r w:rsidR="001C5C24" w:rsidRPr="008437F0">
        <w:t>the complaint but promised to deal with it.</w:t>
      </w:r>
      <w:r w:rsidR="00E446D3" w:rsidRPr="008437F0">
        <w:t xml:space="preserve"> Either he </w:t>
      </w:r>
      <w:r w:rsidR="00F44A01" w:rsidRPr="008437F0">
        <w:t xml:space="preserve">simply neglected </w:t>
      </w:r>
      <w:r w:rsidR="00E446D3" w:rsidRPr="008437F0">
        <w:t>to do so, or having done so</w:t>
      </w:r>
      <w:r w:rsidR="00E70A0C" w:rsidRPr="008437F0">
        <w:t>,</w:t>
      </w:r>
      <w:r w:rsidR="00E446D3" w:rsidRPr="008437F0">
        <w:t xml:space="preserve"> there was a breakdown in communication elsewhere.</w:t>
      </w:r>
    </w:p>
    <w:p w14:paraId="172A3C5E" w14:textId="77777777" w:rsidR="00A05F9F" w:rsidRPr="008437F0" w:rsidRDefault="00A05F9F" w:rsidP="00A05F9F">
      <w:pPr>
        <w:pStyle w:val="ListParagraph"/>
        <w:spacing w:line="360" w:lineRule="auto"/>
        <w:ind w:left="0"/>
        <w:jc w:val="both"/>
      </w:pPr>
    </w:p>
    <w:p w14:paraId="1AA7EF36" w14:textId="0F79ED9E" w:rsidR="00907E46" w:rsidRPr="00C22E0E" w:rsidRDefault="00C22E0E" w:rsidP="00C22E0E">
      <w:pPr>
        <w:spacing w:line="360" w:lineRule="auto"/>
        <w:jc w:val="both"/>
        <w:rPr>
          <w:b/>
          <w:bCs/>
        </w:rPr>
      </w:pPr>
      <w:r w:rsidRPr="008437F0">
        <w:rPr>
          <w:szCs w:val="24"/>
        </w:rPr>
        <w:t>[43]</w:t>
      </w:r>
      <w:r w:rsidRPr="008437F0">
        <w:rPr>
          <w:szCs w:val="24"/>
        </w:rPr>
        <w:tab/>
      </w:r>
      <w:r w:rsidR="001C5C24" w:rsidRPr="008437F0">
        <w:t xml:space="preserve">Counsel </w:t>
      </w:r>
      <w:r w:rsidR="002F7557" w:rsidRPr="008437F0">
        <w:t xml:space="preserve">argued that if liability was imposed on the appellant that it would open the floodgates to open ended claims, and </w:t>
      </w:r>
      <w:r w:rsidR="001C5C24" w:rsidRPr="008437F0">
        <w:t xml:space="preserve">that </w:t>
      </w:r>
      <w:r w:rsidR="005C10C7" w:rsidRPr="008437F0">
        <w:t>th</w:t>
      </w:r>
      <w:r w:rsidR="00F44A01" w:rsidRPr="008437F0">
        <w:t xml:space="preserve">is court </w:t>
      </w:r>
      <w:r w:rsidR="002B1167" w:rsidRPr="008437F0">
        <w:t xml:space="preserve">should </w:t>
      </w:r>
      <w:r w:rsidR="00F44A01" w:rsidRPr="008437F0">
        <w:t xml:space="preserve">place a </w:t>
      </w:r>
      <w:r w:rsidR="005C10C7" w:rsidRPr="008437F0">
        <w:t>‘brake on liability</w:t>
      </w:r>
      <w:r w:rsidR="002F7557" w:rsidRPr="008437F0">
        <w:t>.</w:t>
      </w:r>
      <w:r w:rsidR="005C10C7" w:rsidRPr="008437F0">
        <w:t>’</w:t>
      </w:r>
      <w:r w:rsidR="005C10C7" w:rsidRPr="008437F0">
        <w:rPr>
          <w:rStyle w:val="FootnoteReference"/>
        </w:rPr>
        <w:footnoteReference w:id="30"/>
      </w:r>
      <w:r w:rsidR="005C10C7" w:rsidRPr="008437F0">
        <w:t xml:space="preserve"> </w:t>
      </w:r>
      <w:r w:rsidR="001C5C24" w:rsidRPr="008437F0">
        <w:t xml:space="preserve"> I disagree</w:t>
      </w:r>
      <w:r w:rsidR="00D908C1" w:rsidRPr="008437F0">
        <w:t xml:space="preserve"> </w:t>
      </w:r>
      <w:r w:rsidR="002F7557" w:rsidRPr="008437F0">
        <w:t xml:space="preserve">with that argument. </w:t>
      </w:r>
      <w:r w:rsidR="001C5C24" w:rsidRPr="008437F0">
        <w:t xml:space="preserve">Every claim must obviously be scrutinised </w:t>
      </w:r>
      <w:r w:rsidR="000572B8" w:rsidRPr="008437F0">
        <w:t>carefully</w:t>
      </w:r>
      <w:r w:rsidR="006D11D3" w:rsidRPr="008437F0">
        <w:t xml:space="preserve"> and dealt with on its own f</w:t>
      </w:r>
      <w:r w:rsidR="00306FF1" w:rsidRPr="008437F0">
        <w:t>acts</w:t>
      </w:r>
      <w:r w:rsidR="001C5C24" w:rsidRPr="008437F0">
        <w:t xml:space="preserve">. Mr </w:t>
      </w:r>
      <w:r w:rsidR="000572B8" w:rsidRPr="008437F0">
        <w:t>X</w:t>
      </w:r>
      <w:r w:rsidR="001C5C24" w:rsidRPr="008437F0">
        <w:t>wayi</w:t>
      </w:r>
      <w:r w:rsidR="00F44A01" w:rsidRPr="008437F0">
        <w:t xml:space="preserve">’s </w:t>
      </w:r>
      <w:r w:rsidR="001C5C24" w:rsidRPr="008437F0">
        <w:t>evidence that he reported the open manhole is either true or not</w:t>
      </w:r>
      <w:r w:rsidR="000572B8" w:rsidRPr="008437F0">
        <w:t xml:space="preserve"> – there </w:t>
      </w:r>
      <w:r w:rsidR="001C5C24" w:rsidRPr="008437F0">
        <w:t xml:space="preserve">is no scope for a mistake. The appellant has accepted that </w:t>
      </w:r>
      <w:r w:rsidR="000572B8" w:rsidRPr="008437F0">
        <w:t>Mr Xwayi w</w:t>
      </w:r>
      <w:r w:rsidR="001C5C24" w:rsidRPr="008437F0">
        <w:t xml:space="preserve">as a credible witness. </w:t>
      </w:r>
      <w:r w:rsidR="00443503" w:rsidRPr="008437F0">
        <w:t xml:space="preserve">That he made the report </w:t>
      </w:r>
      <w:r w:rsidR="00F44A01" w:rsidRPr="008437F0">
        <w:t xml:space="preserve">can </w:t>
      </w:r>
      <w:r w:rsidR="00443503" w:rsidRPr="008437F0">
        <w:t>therefore b</w:t>
      </w:r>
      <w:r w:rsidR="00F44A01" w:rsidRPr="008437F0">
        <w:t>e accepted as the truth.</w:t>
      </w:r>
    </w:p>
    <w:p w14:paraId="3790AD74" w14:textId="77777777" w:rsidR="00441CD3" w:rsidRPr="008437F0" w:rsidRDefault="00441CD3" w:rsidP="00EB3829">
      <w:pPr>
        <w:pStyle w:val="ListParagraph"/>
        <w:spacing w:line="360" w:lineRule="auto"/>
        <w:ind w:left="0"/>
        <w:jc w:val="both"/>
      </w:pPr>
    </w:p>
    <w:p w14:paraId="445B15E1" w14:textId="3F94813A" w:rsidR="00DD5254" w:rsidRPr="008437F0" w:rsidRDefault="00C22E0E" w:rsidP="00C22E0E">
      <w:pPr>
        <w:spacing w:line="360" w:lineRule="auto"/>
        <w:jc w:val="both"/>
      </w:pPr>
      <w:r w:rsidRPr="008437F0">
        <w:rPr>
          <w:szCs w:val="24"/>
        </w:rPr>
        <w:t>[44]</w:t>
      </w:r>
      <w:r w:rsidRPr="008437F0">
        <w:rPr>
          <w:szCs w:val="24"/>
        </w:rPr>
        <w:tab/>
      </w:r>
      <w:r w:rsidR="00441CD3" w:rsidRPr="008437F0">
        <w:t xml:space="preserve"> </w:t>
      </w:r>
      <w:r w:rsidR="00D908C1" w:rsidRPr="008437F0">
        <w:t xml:space="preserve">To summarise, the </w:t>
      </w:r>
      <w:r w:rsidR="00425DF8" w:rsidRPr="008437F0">
        <w:t>legal convictions of the community dictate that liability should be conferred on the appellant</w:t>
      </w:r>
      <w:r w:rsidR="00F459D4" w:rsidRPr="008437F0">
        <w:t>.</w:t>
      </w:r>
      <w:r w:rsidR="00425DF8" w:rsidRPr="008437F0">
        <w:t xml:space="preserve"> The fear </w:t>
      </w:r>
      <w:r w:rsidR="00441CD3" w:rsidRPr="008437F0">
        <w:t>of endless liability is misplaced. I</w:t>
      </w:r>
      <w:r w:rsidR="00E70A0C" w:rsidRPr="008437F0">
        <w:t>t has not been es</w:t>
      </w:r>
      <w:r w:rsidR="00A12785" w:rsidRPr="008437F0">
        <w:t xml:space="preserve">tablished </w:t>
      </w:r>
      <w:r w:rsidR="00441CD3" w:rsidRPr="008437F0">
        <w:t xml:space="preserve">that the full court </w:t>
      </w:r>
      <w:r w:rsidR="007C26DC" w:rsidRPr="008437F0">
        <w:t xml:space="preserve">was </w:t>
      </w:r>
      <w:r w:rsidR="00A12785" w:rsidRPr="008437F0">
        <w:t xml:space="preserve">misdirected </w:t>
      </w:r>
      <w:r w:rsidR="00441CD3" w:rsidRPr="008437F0">
        <w:t xml:space="preserve">in upholding the finding of the trial court that the omission to </w:t>
      </w:r>
      <w:r w:rsidR="00443503" w:rsidRPr="008437F0">
        <w:t xml:space="preserve">take steps to </w:t>
      </w:r>
      <w:r w:rsidR="00441CD3" w:rsidRPr="008437F0">
        <w:t xml:space="preserve">have prevented injury being occasioned </w:t>
      </w:r>
      <w:r w:rsidR="006D11D3" w:rsidRPr="008437F0">
        <w:t xml:space="preserve">to the respondent </w:t>
      </w:r>
      <w:r w:rsidR="00441CD3" w:rsidRPr="008437F0">
        <w:t xml:space="preserve">by her stepping into the </w:t>
      </w:r>
      <w:r w:rsidR="006D11D3" w:rsidRPr="008437F0">
        <w:t xml:space="preserve">open </w:t>
      </w:r>
      <w:r w:rsidR="00441CD3" w:rsidRPr="008437F0">
        <w:t>manhole</w:t>
      </w:r>
      <w:r w:rsidR="00D908C1" w:rsidRPr="008437F0">
        <w:t>,</w:t>
      </w:r>
      <w:r w:rsidR="00EB3829" w:rsidRPr="008437F0">
        <w:t xml:space="preserve"> was wrongful.</w:t>
      </w:r>
    </w:p>
    <w:p w14:paraId="7563314D" w14:textId="77777777" w:rsidR="00A12785" w:rsidRPr="008437F0" w:rsidRDefault="00A12785" w:rsidP="00EB3829">
      <w:pPr>
        <w:pStyle w:val="ListParagraph"/>
        <w:spacing w:line="360" w:lineRule="auto"/>
        <w:ind w:left="0"/>
        <w:jc w:val="both"/>
      </w:pPr>
    </w:p>
    <w:p w14:paraId="79674BA2" w14:textId="77777777" w:rsidR="00F459D4" w:rsidRPr="008437F0" w:rsidRDefault="00F459D4" w:rsidP="00EB3829">
      <w:pPr>
        <w:pStyle w:val="ListParagraph"/>
        <w:spacing w:line="360" w:lineRule="auto"/>
        <w:ind w:left="0"/>
        <w:jc w:val="both"/>
        <w:rPr>
          <w:b/>
          <w:bCs/>
        </w:rPr>
      </w:pPr>
      <w:r w:rsidRPr="008437F0">
        <w:rPr>
          <w:b/>
          <w:bCs/>
        </w:rPr>
        <w:t>Negligence</w:t>
      </w:r>
    </w:p>
    <w:p w14:paraId="0ACD7F04" w14:textId="289265A6" w:rsidR="006652B0" w:rsidRPr="008437F0" w:rsidRDefault="00C22E0E" w:rsidP="00C22E0E">
      <w:pPr>
        <w:spacing w:line="360" w:lineRule="auto"/>
        <w:jc w:val="both"/>
      </w:pPr>
      <w:r w:rsidRPr="008437F0">
        <w:rPr>
          <w:szCs w:val="24"/>
        </w:rPr>
        <w:t>[45]</w:t>
      </w:r>
      <w:r w:rsidRPr="008437F0">
        <w:rPr>
          <w:szCs w:val="24"/>
        </w:rPr>
        <w:tab/>
      </w:r>
      <w:r w:rsidR="00441CD3" w:rsidRPr="008437F0">
        <w:t>As regard</w:t>
      </w:r>
      <w:r w:rsidR="00E03960" w:rsidRPr="008437F0">
        <w:t>s</w:t>
      </w:r>
      <w:r w:rsidR="00441CD3" w:rsidRPr="008437F0">
        <w:t xml:space="preserve"> negligence, following on the finding that Mr Xwayi had reported the </w:t>
      </w:r>
      <w:r w:rsidR="00691381" w:rsidRPr="008437F0">
        <w:t xml:space="preserve">existence of the danger posed by the open manhole cover to an employee of the appellant who was obliged to act on such report, the fact that the employee apparently did not do so, or </w:t>
      </w:r>
      <w:r w:rsidR="000572B8" w:rsidRPr="008437F0">
        <w:t xml:space="preserve">alternatively </w:t>
      </w:r>
      <w:r w:rsidR="00691381" w:rsidRPr="008437F0">
        <w:t>having reported it</w:t>
      </w:r>
      <w:r w:rsidR="000572B8" w:rsidRPr="008437F0">
        <w:t>,</w:t>
      </w:r>
      <w:r w:rsidR="00691381" w:rsidRPr="008437F0">
        <w:t xml:space="preserve"> an unknown employee </w:t>
      </w:r>
      <w:r w:rsidR="000572B8" w:rsidRPr="008437F0">
        <w:t>fail</w:t>
      </w:r>
      <w:r w:rsidR="00A12785" w:rsidRPr="008437F0">
        <w:t xml:space="preserve">ed </w:t>
      </w:r>
      <w:r w:rsidR="000572B8" w:rsidRPr="008437F0">
        <w:t xml:space="preserve">to record it </w:t>
      </w:r>
      <w:r w:rsidR="00691381" w:rsidRPr="008437F0">
        <w:t xml:space="preserve">on the C3 system and </w:t>
      </w:r>
      <w:r w:rsidR="002B1167" w:rsidRPr="008437F0">
        <w:t xml:space="preserve">failed to </w:t>
      </w:r>
      <w:r w:rsidR="00691381" w:rsidRPr="008437F0">
        <w:t>re</w:t>
      </w:r>
      <w:r w:rsidR="002B1167" w:rsidRPr="008437F0">
        <w:t>act</w:t>
      </w:r>
      <w:r w:rsidR="00691381" w:rsidRPr="008437F0">
        <w:t xml:space="preserve"> thereto appropriately</w:t>
      </w:r>
      <w:r w:rsidR="000572B8" w:rsidRPr="008437F0">
        <w:t>,</w:t>
      </w:r>
      <w:r w:rsidR="00691381" w:rsidRPr="008437F0">
        <w:t xml:space="preserve"> constitutes negligence. The well know test for negligence in </w:t>
      </w:r>
      <w:r w:rsidR="00691381" w:rsidRPr="00C22E0E">
        <w:rPr>
          <w:i/>
          <w:iCs/>
        </w:rPr>
        <w:t>Kruger v Coetzee</w:t>
      </w:r>
      <w:r w:rsidR="00B162E4" w:rsidRPr="008437F0">
        <w:rPr>
          <w:rStyle w:val="FootnoteReference"/>
          <w:i/>
          <w:iCs/>
        </w:rPr>
        <w:footnoteReference w:id="31"/>
      </w:r>
      <w:r w:rsidR="00691381" w:rsidRPr="008437F0">
        <w:t xml:space="preserve"> is satisfied.</w:t>
      </w:r>
      <w:r w:rsidR="008B4EE6" w:rsidRPr="008437F0">
        <w:t xml:space="preserve"> The appellant’s </w:t>
      </w:r>
      <w:r w:rsidR="00691381" w:rsidRPr="008437F0">
        <w:t xml:space="preserve">employees </w:t>
      </w:r>
      <w:r w:rsidR="008B4EE6" w:rsidRPr="008437F0">
        <w:t xml:space="preserve">simply </w:t>
      </w:r>
      <w:r w:rsidR="00691381" w:rsidRPr="008437F0">
        <w:t xml:space="preserve">failed to do what </w:t>
      </w:r>
      <w:r w:rsidR="00D908C1" w:rsidRPr="008437F0">
        <w:t xml:space="preserve">objectively </w:t>
      </w:r>
      <w:r w:rsidR="00691381" w:rsidRPr="008437F0">
        <w:t>was reasonably required.</w:t>
      </w:r>
      <w:r w:rsidR="00D908C1" w:rsidRPr="008437F0">
        <w:t xml:space="preserve"> The </w:t>
      </w:r>
      <w:r w:rsidR="00691381" w:rsidRPr="008437F0">
        <w:t>appellant is directly alternatively vicariously liable for their negligence.</w:t>
      </w:r>
    </w:p>
    <w:p w14:paraId="088E64FE" w14:textId="77777777" w:rsidR="0030413F" w:rsidRPr="008437F0" w:rsidRDefault="0030413F" w:rsidP="00EB3829">
      <w:pPr>
        <w:pStyle w:val="ListParagraph"/>
        <w:spacing w:line="360" w:lineRule="auto"/>
        <w:ind w:left="0"/>
        <w:jc w:val="both"/>
      </w:pPr>
    </w:p>
    <w:p w14:paraId="59C52203" w14:textId="77777777" w:rsidR="00507CC6" w:rsidRPr="008437F0" w:rsidRDefault="00507CC6" w:rsidP="00EB3829">
      <w:pPr>
        <w:pStyle w:val="ListParagraph"/>
        <w:spacing w:line="360" w:lineRule="auto"/>
        <w:ind w:left="0"/>
        <w:jc w:val="both"/>
        <w:rPr>
          <w:b/>
          <w:bCs/>
        </w:rPr>
      </w:pPr>
      <w:r w:rsidRPr="008437F0">
        <w:rPr>
          <w:b/>
          <w:bCs/>
        </w:rPr>
        <w:t>Conclusion</w:t>
      </w:r>
    </w:p>
    <w:p w14:paraId="7AB6C0B3" w14:textId="660A47EE" w:rsidR="00D908C1" w:rsidRPr="008437F0" w:rsidRDefault="00C22E0E" w:rsidP="00C22E0E">
      <w:pPr>
        <w:spacing w:line="360" w:lineRule="auto"/>
        <w:jc w:val="both"/>
      </w:pPr>
      <w:r w:rsidRPr="008437F0">
        <w:rPr>
          <w:szCs w:val="24"/>
        </w:rPr>
        <w:t>[46]</w:t>
      </w:r>
      <w:r w:rsidRPr="008437F0">
        <w:rPr>
          <w:szCs w:val="24"/>
        </w:rPr>
        <w:tab/>
      </w:r>
      <w:r w:rsidR="00507CC6" w:rsidRPr="008437F0">
        <w:t>An appeal is not a fresh rehearing of the dispute</w:t>
      </w:r>
      <w:r w:rsidR="006652B0" w:rsidRPr="008437F0">
        <w:t xml:space="preserve">d issues. </w:t>
      </w:r>
      <w:r w:rsidR="00507CC6" w:rsidRPr="008437F0">
        <w:t xml:space="preserve">It is for the appellant to show that the </w:t>
      </w:r>
      <w:r w:rsidR="00F459D4" w:rsidRPr="008437F0">
        <w:t xml:space="preserve">full </w:t>
      </w:r>
      <w:r w:rsidR="00507CC6" w:rsidRPr="008437F0">
        <w:t>court had committed a material misdirection</w:t>
      </w:r>
      <w:r w:rsidR="00D530D3" w:rsidRPr="008437F0">
        <w:t xml:space="preserve"> affecting the outcome</w:t>
      </w:r>
      <w:r w:rsidR="00F459D4" w:rsidRPr="008437F0">
        <w:t xml:space="preserve"> </w:t>
      </w:r>
      <w:r w:rsidR="009B3B1E" w:rsidRPr="008437F0">
        <w:t xml:space="preserve">it reached </w:t>
      </w:r>
      <w:r w:rsidR="00F459D4" w:rsidRPr="008437F0">
        <w:t xml:space="preserve">- </w:t>
      </w:r>
      <w:r w:rsidR="00507CC6" w:rsidRPr="008437F0">
        <w:t>only then c</w:t>
      </w:r>
      <w:r w:rsidR="00D908C1" w:rsidRPr="008437F0">
        <w:t xml:space="preserve">ould this court </w:t>
      </w:r>
      <w:r w:rsidR="00507CC6" w:rsidRPr="008437F0">
        <w:t xml:space="preserve">interfere. </w:t>
      </w:r>
      <w:r w:rsidR="0037793C" w:rsidRPr="008437F0">
        <w:t xml:space="preserve">No basis has been advanced before the full court or this court to </w:t>
      </w:r>
      <w:r w:rsidR="000402C1" w:rsidRPr="008437F0">
        <w:t xml:space="preserve">support the conclusion </w:t>
      </w:r>
      <w:r w:rsidR="0037793C" w:rsidRPr="008437F0">
        <w:t>that the trial court had been guilty of a</w:t>
      </w:r>
      <w:r w:rsidR="00A12785" w:rsidRPr="008437F0">
        <w:t>ny</w:t>
      </w:r>
      <w:r w:rsidR="0037793C" w:rsidRPr="008437F0">
        <w:t xml:space="preserve"> misdirection which would affect the outcome of the trial.</w:t>
      </w:r>
    </w:p>
    <w:p w14:paraId="500B9DA5" w14:textId="77777777" w:rsidR="0037793C" w:rsidRPr="008437F0" w:rsidRDefault="0037793C" w:rsidP="00EB3829">
      <w:pPr>
        <w:pStyle w:val="ListParagraph"/>
        <w:spacing w:line="360" w:lineRule="auto"/>
        <w:ind w:left="0"/>
        <w:jc w:val="both"/>
      </w:pPr>
    </w:p>
    <w:p w14:paraId="68AB9E47" w14:textId="55064684" w:rsidR="0037793C" w:rsidRPr="008437F0" w:rsidRDefault="00C22E0E" w:rsidP="00C22E0E">
      <w:pPr>
        <w:spacing w:line="360" w:lineRule="auto"/>
        <w:jc w:val="both"/>
      </w:pPr>
      <w:r w:rsidRPr="008437F0">
        <w:rPr>
          <w:szCs w:val="24"/>
        </w:rPr>
        <w:t>[47]</w:t>
      </w:r>
      <w:r w:rsidRPr="008437F0">
        <w:rPr>
          <w:szCs w:val="24"/>
        </w:rPr>
        <w:tab/>
      </w:r>
      <w:r w:rsidR="0037793C" w:rsidRPr="008437F0">
        <w:t xml:space="preserve">The full court also confirmed the </w:t>
      </w:r>
      <w:r w:rsidR="00F459D4" w:rsidRPr="008437F0">
        <w:t xml:space="preserve">trial court’s judgment </w:t>
      </w:r>
      <w:r w:rsidR="0037793C" w:rsidRPr="008437F0">
        <w:t xml:space="preserve">that there was no basis for finding contributory negligence on the part of the respondent. Before us the appellant did not argue for a finding of contributory negligence. </w:t>
      </w:r>
      <w:r w:rsidR="00A12785" w:rsidRPr="008437F0">
        <w:t>A</w:t>
      </w:r>
      <w:r w:rsidR="0037793C" w:rsidRPr="008437F0">
        <w:t xml:space="preserve">ccording to its notice of appeal it </w:t>
      </w:r>
      <w:r w:rsidR="00C73005" w:rsidRPr="008437F0">
        <w:t xml:space="preserve">simply </w:t>
      </w:r>
      <w:r w:rsidR="0037793C" w:rsidRPr="008437F0">
        <w:t>sought an order replacing the order of the trial court with an order that the appellant is not liable for the damages that the respondent suffered in consequence of the accident which occurred on 17 October 2013, with no alternative of an order determining contributory negligence on the part of the respondent</w:t>
      </w:r>
      <w:r w:rsidR="002B1167" w:rsidRPr="008437F0">
        <w:t>, should it be unsuccessful</w:t>
      </w:r>
      <w:r w:rsidR="0037793C" w:rsidRPr="008437F0">
        <w:t xml:space="preserve">. The conclusion in the appellant’s heads of argument asked that the appeal against ‘the whole of the judgment (except the finding as to contributory negligence) of the Full Court’ be upheld. There was however no </w:t>
      </w:r>
      <w:r w:rsidR="00C73005" w:rsidRPr="008437F0">
        <w:t xml:space="preserve">such </w:t>
      </w:r>
      <w:r w:rsidR="0037793C" w:rsidRPr="008437F0">
        <w:t>finding of contributory negligence by the full court</w:t>
      </w:r>
      <w:r w:rsidR="00CB05E1" w:rsidRPr="008437F0">
        <w:t>, or the trial court</w:t>
      </w:r>
      <w:r w:rsidR="0037793C" w:rsidRPr="008437F0">
        <w:t>.</w:t>
      </w:r>
    </w:p>
    <w:p w14:paraId="1AE3F3BF" w14:textId="77777777" w:rsidR="0037793C" w:rsidRPr="008437F0" w:rsidRDefault="0037793C" w:rsidP="00EB3829">
      <w:pPr>
        <w:pStyle w:val="ListParagraph"/>
        <w:spacing w:line="360" w:lineRule="auto"/>
        <w:ind w:left="0"/>
        <w:jc w:val="both"/>
      </w:pPr>
    </w:p>
    <w:p w14:paraId="6214995B" w14:textId="5AAA9000" w:rsidR="00A675BF" w:rsidRPr="008437F0" w:rsidRDefault="00C22E0E" w:rsidP="00C22E0E">
      <w:pPr>
        <w:spacing w:line="360" w:lineRule="auto"/>
        <w:jc w:val="both"/>
      </w:pPr>
      <w:r w:rsidRPr="008437F0">
        <w:rPr>
          <w:szCs w:val="24"/>
        </w:rPr>
        <w:t>[48]</w:t>
      </w:r>
      <w:r w:rsidRPr="008437F0">
        <w:rPr>
          <w:szCs w:val="24"/>
        </w:rPr>
        <w:tab/>
      </w:r>
      <w:r w:rsidR="0037793C" w:rsidRPr="008437F0">
        <w:t xml:space="preserve">The appeal </w:t>
      </w:r>
      <w:r w:rsidR="00443503" w:rsidRPr="008437F0">
        <w:t xml:space="preserve">against the judgment of the full court </w:t>
      </w:r>
      <w:r w:rsidR="0037793C" w:rsidRPr="008437F0">
        <w:t>acc</w:t>
      </w:r>
      <w:r w:rsidR="00EB3829" w:rsidRPr="008437F0">
        <w:t>ordingly falls to be dismissed.</w:t>
      </w:r>
      <w:r w:rsidR="00E03960" w:rsidRPr="008437F0">
        <w:t xml:space="preserve"> </w:t>
      </w:r>
      <w:r w:rsidR="00507CC6" w:rsidRPr="008437F0">
        <w:t>There is no reason why the costs of the appeal should not follow the result</w:t>
      </w:r>
      <w:r w:rsidR="00A675BF" w:rsidRPr="008437F0">
        <w:t>. Both parties employed two counsel. It is appropriate that the costs should include the costs of two counsel where so employed.</w:t>
      </w:r>
    </w:p>
    <w:p w14:paraId="4B4C344A" w14:textId="77777777" w:rsidR="00507CC6" w:rsidRPr="008437F0" w:rsidRDefault="00507CC6" w:rsidP="00EB3829">
      <w:pPr>
        <w:pStyle w:val="ListParagraph"/>
        <w:spacing w:line="360" w:lineRule="auto"/>
        <w:ind w:left="0"/>
        <w:jc w:val="both"/>
      </w:pPr>
    </w:p>
    <w:p w14:paraId="457EDADE" w14:textId="77777777" w:rsidR="00F459D4" w:rsidRPr="008437F0" w:rsidRDefault="00F459D4" w:rsidP="00EB3829">
      <w:pPr>
        <w:pStyle w:val="ListParagraph"/>
        <w:spacing w:line="360" w:lineRule="auto"/>
        <w:ind w:left="0"/>
        <w:jc w:val="both"/>
        <w:rPr>
          <w:b/>
          <w:bCs/>
        </w:rPr>
      </w:pPr>
      <w:r w:rsidRPr="008437F0">
        <w:rPr>
          <w:b/>
          <w:bCs/>
        </w:rPr>
        <w:t>Order</w:t>
      </w:r>
    </w:p>
    <w:p w14:paraId="2E9F4447" w14:textId="0C68157B" w:rsidR="00507CC6" w:rsidRPr="008437F0" w:rsidRDefault="00C22E0E" w:rsidP="00C22E0E">
      <w:pPr>
        <w:spacing w:line="360" w:lineRule="auto"/>
        <w:jc w:val="both"/>
      </w:pPr>
      <w:r w:rsidRPr="008437F0">
        <w:rPr>
          <w:szCs w:val="24"/>
        </w:rPr>
        <w:t>[49]</w:t>
      </w:r>
      <w:r w:rsidRPr="008437F0">
        <w:rPr>
          <w:szCs w:val="24"/>
        </w:rPr>
        <w:tab/>
      </w:r>
      <w:r w:rsidR="00507CC6" w:rsidRPr="008437F0">
        <w:t>The appeal is dismissed with costs</w:t>
      </w:r>
      <w:r w:rsidR="00A675BF" w:rsidRPr="008437F0">
        <w:t xml:space="preserve">, such costs to include the costs of two counsel where </w:t>
      </w:r>
      <w:r w:rsidR="0037793C" w:rsidRPr="008437F0">
        <w:t xml:space="preserve">so </w:t>
      </w:r>
      <w:r w:rsidR="00A675BF" w:rsidRPr="008437F0">
        <w:t>employed</w:t>
      </w:r>
      <w:r w:rsidR="00507CC6" w:rsidRPr="008437F0">
        <w:t>.</w:t>
      </w:r>
    </w:p>
    <w:p w14:paraId="2F0B122A" w14:textId="77777777" w:rsidR="00093030" w:rsidRPr="008437F0" w:rsidRDefault="00093030" w:rsidP="00093030">
      <w:pPr>
        <w:spacing w:line="360" w:lineRule="auto"/>
      </w:pPr>
    </w:p>
    <w:p w14:paraId="56C49BD7" w14:textId="77777777" w:rsidR="007568A4" w:rsidRPr="008437F0" w:rsidRDefault="007568A4" w:rsidP="00093030">
      <w:pPr>
        <w:spacing w:line="360" w:lineRule="auto"/>
      </w:pPr>
    </w:p>
    <w:p w14:paraId="4F9B64FD" w14:textId="77777777" w:rsidR="00093030" w:rsidRPr="008437F0" w:rsidRDefault="00093030" w:rsidP="00093030">
      <w:pPr>
        <w:spacing w:line="360" w:lineRule="auto"/>
      </w:pPr>
    </w:p>
    <w:p w14:paraId="48495FDE" w14:textId="77777777" w:rsidR="005E636B" w:rsidRPr="008437F0" w:rsidRDefault="005E636B" w:rsidP="00093030">
      <w:pPr>
        <w:spacing w:line="360" w:lineRule="auto"/>
      </w:pPr>
    </w:p>
    <w:p w14:paraId="177E2E9B" w14:textId="77777777" w:rsidR="00093030" w:rsidRPr="008437F0" w:rsidRDefault="00093030" w:rsidP="00093030">
      <w:pPr>
        <w:spacing w:line="360" w:lineRule="auto"/>
        <w:jc w:val="right"/>
      </w:pPr>
      <w:r w:rsidRPr="008437F0">
        <w:t>________________________</w:t>
      </w:r>
    </w:p>
    <w:p w14:paraId="5ECEAAFA" w14:textId="77777777" w:rsidR="00093030" w:rsidRPr="00C56FB9" w:rsidRDefault="00FC4CC6" w:rsidP="00093030">
      <w:pPr>
        <w:spacing w:line="360" w:lineRule="auto"/>
        <w:jc w:val="right"/>
        <w:rPr>
          <w:b/>
        </w:rPr>
      </w:pPr>
      <w:r w:rsidRPr="00C56FB9">
        <w:rPr>
          <w:b/>
        </w:rPr>
        <w:t>P A KOEN</w:t>
      </w:r>
    </w:p>
    <w:p w14:paraId="39821B47" w14:textId="77777777" w:rsidR="00093030" w:rsidRPr="00C56FB9" w:rsidRDefault="00FC4CC6" w:rsidP="00093030">
      <w:pPr>
        <w:spacing w:line="360" w:lineRule="auto"/>
        <w:jc w:val="right"/>
        <w:rPr>
          <w:b/>
        </w:rPr>
      </w:pPr>
      <w:r w:rsidRPr="00C56FB9">
        <w:rPr>
          <w:b/>
        </w:rPr>
        <w:t xml:space="preserve">ACTING </w:t>
      </w:r>
      <w:r w:rsidR="00093030" w:rsidRPr="00C56FB9">
        <w:rPr>
          <w:b/>
        </w:rPr>
        <w:t>JUDGE OF APPEAL</w:t>
      </w:r>
    </w:p>
    <w:p w14:paraId="4F5D4031" w14:textId="77777777" w:rsidR="00093030" w:rsidRPr="008437F0" w:rsidRDefault="00093030" w:rsidP="00093030">
      <w:r w:rsidRPr="008437F0">
        <w:br w:type="page"/>
      </w:r>
    </w:p>
    <w:p w14:paraId="477489FE" w14:textId="77777777" w:rsidR="00093030" w:rsidRPr="008437F0" w:rsidRDefault="00093030" w:rsidP="00093030">
      <w:pPr>
        <w:spacing w:line="360" w:lineRule="auto"/>
        <w:jc w:val="right"/>
      </w:pPr>
    </w:p>
    <w:p w14:paraId="5CDEA838" w14:textId="77777777" w:rsidR="00093030" w:rsidRPr="008437F0" w:rsidRDefault="00093030" w:rsidP="00093030">
      <w:pPr>
        <w:spacing w:line="360" w:lineRule="auto"/>
      </w:pPr>
      <w:r w:rsidRPr="008437F0">
        <w:t xml:space="preserve">Appearances </w:t>
      </w:r>
    </w:p>
    <w:p w14:paraId="64E8491A" w14:textId="77777777" w:rsidR="00093030" w:rsidRPr="008437F0" w:rsidRDefault="00093030" w:rsidP="00093030">
      <w:pPr>
        <w:spacing w:line="360" w:lineRule="auto"/>
      </w:pPr>
    </w:p>
    <w:p w14:paraId="3E4965B4" w14:textId="15D77577" w:rsidR="00093030" w:rsidRPr="008437F0" w:rsidRDefault="00093030" w:rsidP="00093030">
      <w:pPr>
        <w:spacing w:line="360" w:lineRule="auto"/>
      </w:pPr>
      <w:r w:rsidRPr="008437F0">
        <w:t>For appellant:</w:t>
      </w:r>
      <w:r w:rsidR="007568A4" w:rsidRPr="008437F0">
        <w:tab/>
      </w:r>
      <w:r w:rsidR="007568A4" w:rsidRPr="008437F0">
        <w:tab/>
      </w:r>
      <w:r w:rsidR="007568A4" w:rsidRPr="008437F0">
        <w:tab/>
      </w:r>
      <w:r w:rsidR="00FE4784" w:rsidRPr="008437F0">
        <w:t xml:space="preserve">P Botha SC </w:t>
      </w:r>
      <w:r w:rsidR="000235BB">
        <w:t xml:space="preserve">with </w:t>
      </w:r>
      <w:r w:rsidR="00FE4784" w:rsidRPr="008437F0">
        <w:t xml:space="preserve">A du Toit </w:t>
      </w:r>
      <w:r w:rsidRPr="008437F0">
        <w:tab/>
      </w:r>
    </w:p>
    <w:p w14:paraId="20CF7C84" w14:textId="77777777" w:rsidR="00093030" w:rsidRPr="008437F0" w:rsidRDefault="00093030" w:rsidP="00093030">
      <w:pPr>
        <w:spacing w:line="360" w:lineRule="auto"/>
        <w:rPr>
          <w:bCs/>
        </w:rPr>
      </w:pPr>
      <w:r w:rsidRPr="008437F0">
        <w:rPr>
          <w:bCs/>
        </w:rPr>
        <w:t xml:space="preserve">Instructed by: </w:t>
      </w:r>
      <w:r w:rsidR="007568A4" w:rsidRPr="008437F0">
        <w:rPr>
          <w:bCs/>
        </w:rPr>
        <w:tab/>
      </w:r>
      <w:r w:rsidR="007568A4" w:rsidRPr="008437F0">
        <w:rPr>
          <w:bCs/>
        </w:rPr>
        <w:tab/>
      </w:r>
      <w:r w:rsidR="007568A4" w:rsidRPr="008437F0">
        <w:rPr>
          <w:bCs/>
        </w:rPr>
        <w:tab/>
      </w:r>
      <w:r w:rsidR="00FC4CC6" w:rsidRPr="008437F0">
        <w:rPr>
          <w:bCs/>
        </w:rPr>
        <w:t>MHI Attorneys</w:t>
      </w:r>
      <w:r w:rsidR="00A675BF" w:rsidRPr="008437F0">
        <w:rPr>
          <w:bCs/>
        </w:rPr>
        <w:t xml:space="preserve">, </w:t>
      </w:r>
      <w:r w:rsidR="006652B0" w:rsidRPr="008437F0">
        <w:rPr>
          <w:bCs/>
        </w:rPr>
        <w:t>Bellville</w:t>
      </w:r>
      <w:r w:rsidR="007568A4" w:rsidRPr="008437F0">
        <w:rPr>
          <w:bCs/>
        </w:rPr>
        <w:t>.</w:t>
      </w:r>
    </w:p>
    <w:p w14:paraId="52E88A6D" w14:textId="77777777" w:rsidR="00093030" w:rsidRPr="008437F0" w:rsidRDefault="00FC4CC6" w:rsidP="007568A4">
      <w:pPr>
        <w:spacing w:line="360" w:lineRule="auto"/>
        <w:ind w:left="2880" w:firstLine="720"/>
        <w:rPr>
          <w:bCs/>
        </w:rPr>
      </w:pPr>
      <w:r w:rsidRPr="008437F0">
        <w:rPr>
          <w:bCs/>
        </w:rPr>
        <w:t>Webbers</w:t>
      </w:r>
      <w:r w:rsidR="006652B0" w:rsidRPr="008437F0">
        <w:rPr>
          <w:bCs/>
        </w:rPr>
        <w:t xml:space="preserve"> Attorneys</w:t>
      </w:r>
      <w:r w:rsidR="007568A4" w:rsidRPr="008437F0">
        <w:rPr>
          <w:bCs/>
        </w:rPr>
        <w:t xml:space="preserve">, </w:t>
      </w:r>
      <w:r w:rsidR="00093030" w:rsidRPr="008437F0">
        <w:rPr>
          <w:bCs/>
        </w:rPr>
        <w:t>Bloemfontein</w:t>
      </w:r>
      <w:r w:rsidR="00A675BF" w:rsidRPr="008437F0">
        <w:rPr>
          <w:bCs/>
        </w:rPr>
        <w:t>.</w:t>
      </w:r>
      <w:r w:rsidR="00093030" w:rsidRPr="008437F0">
        <w:rPr>
          <w:bCs/>
        </w:rPr>
        <w:t xml:space="preserve"> </w:t>
      </w:r>
    </w:p>
    <w:p w14:paraId="3E135376" w14:textId="77777777" w:rsidR="00FC4CC6" w:rsidRPr="008437F0" w:rsidRDefault="00FC4CC6" w:rsidP="00093030">
      <w:pPr>
        <w:spacing w:line="360" w:lineRule="auto"/>
        <w:rPr>
          <w:bCs/>
        </w:rPr>
      </w:pPr>
    </w:p>
    <w:p w14:paraId="0675A3DF" w14:textId="22413F70" w:rsidR="00093030" w:rsidRPr="008437F0" w:rsidRDefault="00093030" w:rsidP="00093030">
      <w:pPr>
        <w:spacing w:line="360" w:lineRule="auto"/>
      </w:pPr>
      <w:r w:rsidRPr="008437F0">
        <w:t>For respondent</w:t>
      </w:r>
      <w:r w:rsidR="007568A4" w:rsidRPr="008437F0">
        <w:t>:</w:t>
      </w:r>
      <w:r w:rsidR="007568A4" w:rsidRPr="008437F0">
        <w:tab/>
      </w:r>
      <w:r w:rsidR="007568A4" w:rsidRPr="008437F0">
        <w:tab/>
      </w:r>
      <w:r w:rsidR="007568A4" w:rsidRPr="008437F0">
        <w:tab/>
      </w:r>
      <w:r w:rsidR="00FE4784" w:rsidRPr="008437F0">
        <w:t xml:space="preserve">H McLachlan </w:t>
      </w:r>
      <w:r w:rsidR="000235BB">
        <w:t>with</w:t>
      </w:r>
      <w:r w:rsidR="00FE4784" w:rsidRPr="008437F0">
        <w:t xml:space="preserve"> L Gabriel</w:t>
      </w:r>
    </w:p>
    <w:p w14:paraId="6A1C58DB" w14:textId="77777777" w:rsidR="00093030" w:rsidRPr="008437F0" w:rsidRDefault="00093030" w:rsidP="00093030">
      <w:pPr>
        <w:spacing w:line="360" w:lineRule="auto"/>
        <w:rPr>
          <w:bCs/>
        </w:rPr>
      </w:pPr>
      <w:r w:rsidRPr="008437F0">
        <w:rPr>
          <w:bCs/>
        </w:rPr>
        <w:t>Instructed by:</w:t>
      </w:r>
      <w:r w:rsidR="007568A4" w:rsidRPr="008437F0">
        <w:rPr>
          <w:bCs/>
        </w:rPr>
        <w:tab/>
      </w:r>
      <w:r w:rsidR="007568A4" w:rsidRPr="008437F0">
        <w:rPr>
          <w:bCs/>
        </w:rPr>
        <w:tab/>
      </w:r>
      <w:r w:rsidR="007568A4" w:rsidRPr="008437F0">
        <w:rPr>
          <w:bCs/>
        </w:rPr>
        <w:tab/>
      </w:r>
      <w:r w:rsidR="00FC4CC6" w:rsidRPr="008437F0">
        <w:rPr>
          <w:bCs/>
        </w:rPr>
        <w:t>Kruger &amp; Co</w:t>
      </w:r>
      <w:r w:rsidR="00A675BF" w:rsidRPr="008437F0">
        <w:rPr>
          <w:bCs/>
        </w:rPr>
        <w:t xml:space="preserve"> </w:t>
      </w:r>
      <w:r w:rsidR="006652B0" w:rsidRPr="008437F0">
        <w:rPr>
          <w:bCs/>
        </w:rPr>
        <w:t>Attorneys, Goodwood</w:t>
      </w:r>
      <w:r w:rsidR="007568A4" w:rsidRPr="008437F0">
        <w:rPr>
          <w:bCs/>
        </w:rPr>
        <w:t>.</w:t>
      </w:r>
    </w:p>
    <w:p w14:paraId="5C89C843" w14:textId="77777777" w:rsidR="00200F0D" w:rsidRPr="007568A4" w:rsidRDefault="007568A4" w:rsidP="007568A4">
      <w:pPr>
        <w:spacing w:line="360" w:lineRule="auto"/>
        <w:rPr>
          <w:bCs/>
        </w:rPr>
      </w:pPr>
      <w:r w:rsidRPr="008437F0">
        <w:rPr>
          <w:bCs/>
        </w:rPr>
        <w:tab/>
      </w:r>
      <w:r w:rsidRPr="008437F0">
        <w:rPr>
          <w:bCs/>
        </w:rPr>
        <w:tab/>
      </w:r>
      <w:r w:rsidRPr="008437F0">
        <w:rPr>
          <w:bCs/>
        </w:rPr>
        <w:tab/>
      </w:r>
      <w:r w:rsidRPr="008437F0">
        <w:rPr>
          <w:bCs/>
        </w:rPr>
        <w:tab/>
      </w:r>
      <w:r w:rsidRPr="008437F0">
        <w:rPr>
          <w:bCs/>
        </w:rPr>
        <w:tab/>
      </w:r>
      <w:r w:rsidR="00FC4CC6" w:rsidRPr="008437F0">
        <w:rPr>
          <w:bCs/>
        </w:rPr>
        <w:t>Phatshoane Henney</w:t>
      </w:r>
      <w:r w:rsidR="00A675BF" w:rsidRPr="008437F0">
        <w:rPr>
          <w:bCs/>
        </w:rPr>
        <w:t xml:space="preserve"> </w:t>
      </w:r>
      <w:r w:rsidR="006652B0" w:rsidRPr="008437F0">
        <w:rPr>
          <w:bCs/>
        </w:rPr>
        <w:t>Inc</w:t>
      </w:r>
      <w:r w:rsidRPr="008437F0">
        <w:rPr>
          <w:bCs/>
        </w:rPr>
        <w:t xml:space="preserve">, </w:t>
      </w:r>
      <w:r w:rsidR="00093030" w:rsidRPr="008437F0">
        <w:rPr>
          <w:bCs/>
          <w:lang w:val="de-DE"/>
        </w:rPr>
        <w:t>Bloemfontein.</w:t>
      </w:r>
    </w:p>
    <w:sectPr w:rsidR="00200F0D" w:rsidRPr="007568A4" w:rsidSect="00AC7DA3">
      <w:headerReference w:type="even" r:id="rId12"/>
      <w:headerReference w:type="default" r:id="rId13"/>
      <w:headerReference w:type="first" r:id="rId14"/>
      <w:pgSz w:w="12240" w:h="15840"/>
      <w:pgMar w:top="1440"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D1A83" w14:textId="77777777" w:rsidR="00B0647A" w:rsidRDefault="00B0647A">
      <w:r>
        <w:separator/>
      </w:r>
    </w:p>
  </w:endnote>
  <w:endnote w:type="continuationSeparator" w:id="0">
    <w:p w14:paraId="23A22F94" w14:textId="77777777" w:rsidR="00B0647A" w:rsidRDefault="00B06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ADAE4" w14:textId="77777777" w:rsidR="00B0647A" w:rsidRDefault="00B0647A">
      <w:r>
        <w:separator/>
      </w:r>
    </w:p>
  </w:footnote>
  <w:footnote w:type="continuationSeparator" w:id="0">
    <w:p w14:paraId="1B571938" w14:textId="77777777" w:rsidR="00B0647A" w:rsidRDefault="00B0647A">
      <w:r>
        <w:continuationSeparator/>
      </w:r>
    </w:p>
  </w:footnote>
  <w:footnote w:id="1">
    <w:p w14:paraId="0960C000" w14:textId="77777777" w:rsidR="00A675BF" w:rsidRPr="008437F0" w:rsidRDefault="00A675BF" w:rsidP="00E46237">
      <w:pPr>
        <w:pStyle w:val="FootnoteText"/>
        <w:jc w:val="both"/>
      </w:pPr>
      <w:r w:rsidRPr="008437F0">
        <w:rPr>
          <w:rStyle w:val="FootnoteReference"/>
        </w:rPr>
        <w:footnoteRef/>
      </w:r>
      <w:r w:rsidRPr="008437F0">
        <w:t xml:space="preserve"> Dolamo J.</w:t>
      </w:r>
    </w:p>
  </w:footnote>
  <w:footnote w:id="2">
    <w:p w14:paraId="5FB287E4" w14:textId="77777777" w:rsidR="00FF7521" w:rsidRPr="008437F0" w:rsidRDefault="00FF7521" w:rsidP="00E46237">
      <w:pPr>
        <w:pStyle w:val="FootnoteText"/>
        <w:jc w:val="both"/>
      </w:pPr>
      <w:r w:rsidRPr="008437F0">
        <w:rPr>
          <w:rStyle w:val="FootnoteReference"/>
        </w:rPr>
        <w:footnoteRef/>
      </w:r>
      <w:r w:rsidRPr="008437F0">
        <w:t xml:space="preserve"> Leave to appeal was dismissed by the trial court with costs. On petition leave to appeal was granted to the full court of the Western Cape Division of the High Court.  </w:t>
      </w:r>
    </w:p>
  </w:footnote>
  <w:footnote w:id="3">
    <w:p w14:paraId="5F142DC0" w14:textId="77777777" w:rsidR="00CB18EE" w:rsidRPr="008437F0" w:rsidRDefault="00CB18EE" w:rsidP="00E46237">
      <w:pPr>
        <w:pStyle w:val="FootnoteText"/>
        <w:jc w:val="both"/>
      </w:pPr>
      <w:r w:rsidRPr="008437F0">
        <w:rPr>
          <w:rStyle w:val="FootnoteReference"/>
        </w:rPr>
        <w:footnoteRef/>
      </w:r>
      <w:r w:rsidRPr="008437F0">
        <w:t xml:space="preserve"> Per Erasmus J, with Salie-Hlophe and Papier JJ concurring.</w:t>
      </w:r>
    </w:p>
  </w:footnote>
  <w:footnote w:id="4">
    <w:p w14:paraId="242C00E8" w14:textId="77777777" w:rsidR="005530AA" w:rsidRPr="008437F0" w:rsidRDefault="005530AA" w:rsidP="00E46237">
      <w:pPr>
        <w:pStyle w:val="FootnoteText"/>
        <w:jc w:val="both"/>
      </w:pPr>
      <w:r w:rsidRPr="008437F0">
        <w:rPr>
          <w:rStyle w:val="FootnoteReference"/>
        </w:rPr>
        <w:footnoteRef/>
      </w:r>
      <w:r w:rsidRPr="008437F0">
        <w:t xml:space="preserve"> Special leave to appeal </w:t>
      </w:r>
      <w:r w:rsidR="00606055" w:rsidRPr="008437F0">
        <w:t xml:space="preserve">was </w:t>
      </w:r>
      <w:r w:rsidRPr="008437F0">
        <w:t>granted by this court on 10 November 2022.</w:t>
      </w:r>
      <w:r w:rsidR="00FF7521" w:rsidRPr="008437F0">
        <w:t xml:space="preserve"> The costs of the application for leave to appeal to the SCA were directed to be costs in the appeal.</w:t>
      </w:r>
    </w:p>
  </w:footnote>
  <w:footnote w:id="5">
    <w:p w14:paraId="472B9C2C" w14:textId="77777777" w:rsidR="00036903" w:rsidRPr="008437F0" w:rsidRDefault="00036903" w:rsidP="00E46237">
      <w:pPr>
        <w:pStyle w:val="FootnoteText"/>
        <w:jc w:val="both"/>
      </w:pPr>
      <w:r w:rsidRPr="008437F0">
        <w:rPr>
          <w:rStyle w:val="FootnoteReference"/>
        </w:rPr>
        <w:footnoteRef/>
      </w:r>
      <w:r w:rsidRPr="008437F0">
        <w:t xml:space="preserve"> Th</w:t>
      </w:r>
      <w:r w:rsidR="00545805" w:rsidRPr="008437F0">
        <w:t xml:space="preserve">e notice in terms of rule 36(10) was served on 4 February 2019, that </w:t>
      </w:r>
      <w:r w:rsidRPr="008437F0">
        <w:t>is more than one year prior to the trial commencing.</w:t>
      </w:r>
    </w:p>
  </w:footnote>
  <w:footnote w:id="6">
    <w:p w14:paraId="6F13204B" w14:textId="77777777" w:rsidR="00393477" w:rsidRPr="008437F0" w:rsidRDefault="00393477" w:rsidP="00E46237">
      <w:pPr>
        <w:pStyle w:val="FootnoteText"/>
        <w:jc w:val="both"/>
      </w:pPr>
      <w:r w:rsidRPr="008437F0">
        <w:rPr>
          <w:rStyle w:val="FootnoteReference"/>
        </w:rPr>
        <w:footnoteRef/>
      </w:r>
      <w:r w:rsidRPr="008437F0">
        <w:t xml:space="preserve"> Presumably Mr Xwayi meant ‘pallets.’</w:t>
      </w:r>
    </w:p>
  </w:footnote>
  <w:footnote w:id="7">
    <w:p w14:paraId="4BCAD50E" w14:textId="77777777" w:rsidR="000F7CEF" w:rsidRPr="008437F0" w:rsidRDefault="000F7CEF" w:rsidP="00EB3829">
      <w:pPr>
        <w:pStyle w:val="ListParagraph"/>
        <w:ind w:left="0"/>
        <w:jc w:val="both"/>
        <w:rPr>
          <w:sz w:val="20"/>
          <w:szCs w:val="20"/>
        </w:rPr>
      </w:pPr>
      <w:r w:rsidRPr="008437F0">
        <w:rPr>
          <w:rStyle w:val="FootnoteReference"/>
          <w:sz w:val="20"/>
          <w:szCs w:val="20"/>
        </w:rPr>
        <w:footnoteRef/>
      </w:r>
      <w:r w:rsidRPr="008437F0">
        <w:rPr>
          <w:sz w:val="20"/>
          <w:szCs w:val="20"/>
        </w:rPr>
        <w:t xml:space="preserve"> There was however no evidence whether the sewerage flow had been blocked or not, or whether the sewerage service was indeed in place and used yet</w:t>
      </w:r>
      <w:r w:rsidR="00EB3829" w:rsidRPr="008437F0">
        <w:rPr>
          <w:sz w:val="20"/>
          <w:szCs w:val="20"/>
        </w:rPr>
        <w:t>.</w:t>
      </w:r>
    </w:p>
  </w:footnote>
  <w:footnote w:id="8">
    <w:p w14:paraId="3F5C6502" w14:textId="77777777" w:rsidR="00FC5458" w:rsidRPr="008437F0" w:rsidRDefault="00FC5458" w:rsidP="00EB3829">
      <w:pPr>
        <w:pStyle w:val="ListParagraph"/>
        <w:ind w:left="0"/>
        <w:jc w:val="both"/>
        <w:rPr>
          <w:sz w:val="20"/>
          <w:szCs w:val="20"/>
        </w:rPr>
      </w:pPr>
      <w:r w:rsidRPr="008437F0">
        <w:rPr>
          <w:rStyle w:val="FootnoteReference"/>
        </w:rPr>
        <w:footnoteRef/>
      </w:r>
      <w:r w:rsidRPr="008437F0">
        <w:t xml:space="preserve"> </w:t>
      </w:r>
      <w:r w:rsidRPr="008437F0">
        <w:rPr>
          <w:sz w:val="20"/>
          <w:szCs w:val="20"/>
        </w:rPr>
        <w:t>This issue can be disposed of briefly as follows: Rule 36(9) was not complied with. However, the evidence that a manhole</w:t>
      </w:r>
      <w:r w:rsidR="00D04D2B" w:rsidRPr="008437F0">
        <w:rPr>
          <w:sz w:val="20"/>
          <w:szCs w:val="20"/>
        </w:rPr>
        <w:t>,</w:t>
      </w:r>
      <w:r w:rsidRPr="008437F0">
        <w:rPr>
          <w:sz w:val="20"/>
          <w:szCs w:val="20"/>
        </w:rPr>
        <w:t xml:space="preserve"> if replaced</w:t>
      </w:r>
      <w:r w:rsidR="00D04D2B" w:rsidRPr="008437F0">
        <w:rPr>
          <w:sz w:val="20"/>
          <w:szCs w:val="20"/>
        </w:rPr>
        <w:t>,</w:t>
      </w:r>
      <w:r w:rsidRPr="008437F0">
        <w:rPr>
          <w:sz w:val="20"/>
          <w:szCs w:val="20"/>
        </w:rPr>
        <w:t xml:space="preserve"> would show the concrete surround was factual</w:t>
      </w:r>
      <w:r w:rsidR="00F87130" w:rsidRPr="008437F0">
        <w:rPr>
          <w:sz w:val="20"/>
          <w:szCs w:val="20"/>
        </w:rPr>
        <w:t>.</w:t>
      </w:r>
      <w:r w:rsidRPr="008437F0">
        <w:rPr>
          <w:sz w:val="20"/>
          <w:szCs w:val="20"/>
        </w:rPr>
        <w:t xml:space="preserve"> What inference was to be drawn from the manhole at the time of the trial not having such concrete surround was for the trial court to decide - not isolated to that fact, but in the light of all the circumstances of the case. The conclusion of both courts that it is irrelevant what inference Mr Martiz drew from the facts because that is what the trial cour</w:t>
      </w:r>
      <w:r w:rsidR="00EB3829" w:rsidRPr="008437F0">
        <w:rPr>
          <w:sz w:val="20"/>
          <w:szCs w:val="20"/>
        </w:rPr>
        <w:t>t had to decide, is correct.</w:t>
      </w:r>
    </w:p>
  </w:footnote>
  <w:footnote w:id="9">
    <w:p w14:paraId="022A7D47" w14:textId="77777777" w:rsidR="00481B7F" w:rsidRPr="008437F0" w:rsidRDefault="00481B7F" w:rsidP="00481B7F">
      <w:pPr>
        <w:pStyle w:val="FootnoteText"/>
        <w:jc w:val="both"/>
      </w:pPr>
      <w:r w:rsidRPr="008437F0">
        <w:rPr>
          <w:rStyle w:val="FootnoteReference"/>
        </w:rPr>
        <w:footnoteRef/>
      </w:r>
      <w:r w:rsidRPr="008437F0">
        <w:t xml:space="preserve"> </w:t>
      </w:r>
      <w:r w:rsidRPr="008437F0">
        <w:rPr>
          <w:i/>
          <w:iCs/>
        </w:rPr>
        <w:t>Stellenbosch Farmers Winery Group Ltd and Another v Martell Et Cie and Others 2</w:t>
      </w:r>
      <w:r w:rsidRPr="008437F0">
        <w:t>003 (1) SA 11 (SCA) para 5 held:</w:t>
      </w:r>
    </w:p>
    <w:p w14:paraId="3314D0C1" w14:textId="77777777" w:rsidR="00481B7F" w:rsidRPr="008437F0" w:rsidRDefault="00481B7F" w:rsidP="00481B7F">
      <w:pPr>
        <w:pStyle w:val="ListParagraph"/>
        <w:ind w:left="0"/>
        <w:jc w:val="both"/>
        <w:rPr>
          <w:sz w:val="20"/>
          <w:szCs w:val="20"/>
        </w:rPr>
      </w:pPr>
      <w:r w:rsidRPr="008437F0">
        <w:rPr>
          <w:sz w:val="20"/>
          <w:szCs w:val="20"/>
        </w:rPr>
        <w:t xml:space="preserve">‘On the central issue, . . .there are two irreconcilable versions. So, too, on a number of peripheral areas of dispute which may have a bearing on the probabilities. The technique generally employed by the courts in resolving factual disputes of this nature may conveniently be summarised as follows. To come to a conclusion on the disputed issues a court must make findings on (a) the credibility of the various factual witnesses; (b) their reliability; and (c) the probabilities. As to (a), the court’s findings on the credibility of a particular witness will depend on its impression about the veracity of the witness. That in turn will depend on a variety of subsidiary factors, not necessarily in order of importance, such as (i) the witness’ candour and demeanour in the witness – box, (ii) his bias, latent and blatant, (iii) the internal contradictions in his evidence, (iv) external contradictions with what was pleaded or put on his behalf, or with established fact or with his own extra-curial statements or actions, (v) the probability or improbability of particular aspects of his version, (vi) the calibre and cogency of his performance compared to that of other witnesses testifying about the same incident or events.   As to (b), a witness’ reliability will depend, apart from the factors mentioned under (a)(ii), (iv) and (v) above, on (i) the opportunities he had to experience or observe the event in question and (ii) the quality, integrity and independence of his recall thereof. As to (c), this necessitates an analysis and evaluation of the probability or improbability of each party’s version on each of the disputed issues. In the light of its assessment of (a), (b) and (c) the court will then, as a final step, determine whether the party burdened with the onus of proof has succeeded in discharging it. The hard case, which will doubtless be the rare one, occurs when a court’s credibility findings compel it in one direction and its evaluation of the general probabilities in another. The more convincing the former, the less convincing will be the latter. But when all factors are equipoised probabilities prevail.’ </w:t>
      </w:r>
    </w:p>
  </w:footnote>
  <w:footnote w:id="10">
    <w:p w14:paraId="6CDA7575" w14:textId="107A3C97" w:rsidR="00D12F0A" w:rsidRPr="008437F0" w:rsidRDefault="00D12F0A" w:rsidP="00EB3829">
      <w:pPr>
        <w:pStyle w:val="FootnoteText"/>
        <w:jc w:val="both"/>
      </w:pPr>
      <w:r w:rsidRPr="008437F0">
        <w:rPr>
          <w:rStyle w:val="FootnoteReference"/>
        </w:rPr>
        <w:footnoteRef/>
      </w:r>
      <w:r w:rsidRPr="008437F0">
        <w:t xml:space="preserve"> </w:t>
      </w:r>
      <w:r w:rsidR="00481B7F" w:rsidRPr="008437F0">
        <w:rPr>
          <w:i/>
          <w:iCs/>
        </w:rPr>
        <w:t>Mashongwa v Passenger Rail Agency of South Africa</w:t>
      </w:r>
      <w:r w:rsidR="00481B7F" w:rsidRPr="008437F0">
        <w:t xml:space="preserve"> [2015] ZACC 36; </w:t>
      </w:r>
      <w:r w:rsidRPr="008437F0">
        <w:t>2016 (3) SA 528 (CC).</w:t>
      </w:r>
    </w:p>
  </w:footnote>
  <w:footnote w:id="11">
    <w:p w14:paraId="13D8FE52" w14:textId="427E7AF8" w:rsidR="00D12F0A" w:rsidRPr="008437F0" w:rsidRDefault="00D12F0A" w:rsidP="00EB3829">
      <w:pPr>
        <w:pStyle w:val="ListParagraph"/>
        <w:ind w:left="0"/>
        <w:jc w:val="both"/>
        <w:rPr>
          <w:sz w:val="20"/>
          <w:szCs w:val="20"/>
        </w:rPr>
      </w:pPr>
      <w:r w:rsidRPr="008437F0">
        <w:rPr>
          <w:rStyle w:val="FootnoteReference"/>
          <w:sz w:val="20"/>
          <w:szCs w:val="20"/>
        </w:rPr>
        <w:footnoteRef/>
      </w:r>
      <w:r w:rsidRPr="008437F0">
        <w:rPr>
          <w:sz w:val="20"/>
          <w:szCs w:val="20"/>
        </w:rPr>
        <w:t xml:space="preserve"> </w:t>
      </w:r>
      <w:r w:rsidR="00481B7F" w:rsidRPr="008437F0">
        <w:rPr>
          <w:sz w:val="20"/>
          <w:szCs w:val="20"/>
        </w:rPr>
        <w:t xml:space="preserve">Ibid para 45. </w:t>
      </w:r>
      <w:r w:rsidRPr="008437F0">
        <w:rPr>
          <w:sz w:val="20"/>
          <w:szCs w:val="20"/>
        </w:rPr>
        <w:t xml:space="preserve">See also </w:t>
      </w:r>
      <w:r w:rsidRPr="008437F0">
        <w:rPr>
          <w:i/>
          <w:iCs/>
          <w:sz w:val="20"/>
          <w:szCs w:val="20"/>
        </w:rPr>
        <w:t>S v Hadebe and Others</w:t>
      </w:r>
      <w:r w:rsidRPr="008437F0">
        <w:rPr>
          <w:sz w:val="20"/>
          <w:szCs w:val="20"/>
        </w:rPr>
        <w:t xml:space="preserve"> 1997 (2) SACR 641 (SCA) 645E-F; </w:t>
      </w:r>
      <w:r w:rsidRPr="008437F0">
        <w:rPr>
          <w:i/>
          <w:iCs/>
          <w:sz w:val="20"/>
          <w:szCs w:val="20"/>
        </w:rPr>
        <w:t>Santam Bpk v Biddulph</w:t>
      </w:r>
      <w:r w:rsidRPr="008437F0">
        <w:rPr>
          <w:sz w:val="20"/>
          <w:szCs w:val="20"/>
        </w:rPr>
        <w:t xml:space="preserve"> 2004 (5) SA 589 (SCA) para 5; </w:t>
      </w:r>
      <w:r w:rsidRPr="008437F0">
        <w:rPr>
          <w:i/>
          <w:iCs/>
          <w:sz w:val="20"/>
          <w:szCs w:val="20"/>
        </w:rPr>
        <w:t>Minister of Safety and Security &amp; Others v Craig and Others NNO</w:t>
      </w:r>
      <w:r w:rsidRPr="008437F0">
        <w:rPr>
          <w:sz w:val="20"/>
          <w:szCs w:val="20"/>
        </w:rPr>
        <w:t xml:space="preserve"> </w:t>
      </w:r>
      <w:r w:rsidR="00481B7F" w:rsidRPr="008437F0">
        <w:rPr>
          <w:sz w:val="20"/>
          <w:szCs w:val="20"/>
        </w:rPr>
        <w:t xml:space="preserve">[2009] ZACC 97; </w:t>
      </w:r>
      <w:r w:rsidRPr="008437F0">
        <w:rPr>
          <w:sz w:val="20"/>
          <w:szCs w:val="20"/>
        </w:rPr>
        <w:t>2011 (1) SACR 469 (SCA) para 58.</w:t>
      </w:r>
    </w:p>
  </w:footnote>
  <w:footnote w:id="12">
    <w:p w14:paraId="06A14A29" w14:textId="77777777" w:rsidR="00D12F0A" w:rsidRPr="008437F0" w:rsidRDefault="00D12F0A" w:rsidP="00EB3829">
      <w:pPr>
        <w:pStyle w:val="FootnoteText"/>
        <w:jc w:val="both"/>
      </w:pPr>
      <w:r w:rsidRPr="008437F0">
        <w:rPr>
          <w:rStyle w:val="FootnoteReference"/>
        </w:rPr>
        <w:footnoteRef/>
      </w:r>
      <w:r w:rsidRPr="008437F0">
        <w:t xml:space="preserve"> This was part of a more general concession that no adverse credibility finding should be made against any of the witnesses.</w:t>
      </w:r>
    </w:p>
  </w:footnote>
  <w:footnote w:id="13">
    <w:p w14:paraId="74A6CD79" w14:textId="77777777" w:rsidR="00A44F23" w:rsidRPr="008437F0" w:rsidRDefault="00A44F23" w:rsidP="00EB3829">
      <w:pPr>
        <w:pStyle w:val="ListParagraph"/>
        <w:ind w:left="0"/>
        <w:jc w:val="both"/>
        <w:rPr>
          <w:b/>
          <w:bCs/>
          <w:sz w:val="20"/>
          <w:szCs w:val="20"/>
        </w:rPr>
      </w:pPr>
      <w:r w:rsidRPr="008437F0">
        <w:rPr>
          <w:rStyle w:val="FootnoteReference"/>
        </w:rPr>
        <w:footnoteRef/>
      </w:r>
      <w:r w:rsidRPr="008437F0">
        <w:t xml:space="preserve"> </w:t>
      </w:r>
      <w:r w:rsidRPr="008437F0">
        <w:rPr>
          <w:sz w:val="20"/>
          <w:szCs w:val="20"/>
        </w:rPr>
        <w:t xml:space="preserve">The respondent was criticised, because her evidence that she stepped into the manhole in Khwezi Street was disputed, for not calling the evidence of the two ladies who had come to her assistance, or her husband who came to collect her there, as she bore the onus of proving the incident, and there was no suggestion on the record that they were not available to testify. But, as has been held in </w:t>
      </w:r>
      <w:r w:rsidRPr="008437F0">
        <w:rPr>
          <w:i/>
          <w:iCs/>
          <w:sz w:val="20"/>
          <w:szCs w:val="20"/>
        </w:rPr>
        <w:t>Rand Cold Storage and Supply Co Ltd v Alligianes</w:t>
      </w:r>
      <w:r w:rsidRPr="008437F0">
        <w:rPr>
          <w:sz w:val="20"/>
          <w:szCs w:val="20"/>
        </w:rPr>
        <w:t xml:space="preserve"> [1968] 2 All SA 241 (T) at 243:</w:t>
      </w:r>
    </w:p>
    <w:p w14:paraId="3E259F35" w14:textId="77777777" w:rsidR="00A44F23" w:rsidRPr="008437F0" w:rsidRDefault="00A44F23" w:rsidP="00EB3829">
      <w:pPr>
        <w:pStyle w:val="ListParagraph"/>
        <w:ind w:left="0"/>
        <w:jc w:val="both"/>
        <w:rPr>
          <w:sz w:val="20"/>
          <w:szCs w:val="20"/>
        </w:rPr>
      </w:pPr>
      <w:r w:rsidRPr="008437F0">
        <w:rPr>
          <w:sz w:val="20"/>
          <w:szCs w:val="20"/>
        </w:rPr>
        <w:t>‘It is axiomatic that a party need not, and cannot be blamed if he does not, call all the witnesses who may give pertinent evidence; he is entitled to take the risk of offering less than all the evidence available to him if he is of the opinion that what he has offered would suffice to one. He may of course in the result be shown as having been too confident but that is something different from being found to have deliberately suppressed evidence unfavourable to him – which is the conclusion sought to be drawn here. In Brand v Minister of Justice and Another, 1959 (4) SA 712 (AD), it is said at p 715:</w:t>
      </w:r>
    </w:p>
    <w:p w14:paraId="44597EA8" w14:textId="7FD0B506" w:rsidR="00A44F23" w:rsidRPr="008437F0" w:rsidRDefault="00A44F23" w:rsidP="00EB3829">
      <w:pPr>
        <w:pStyle w:val="ListParagraph"/>
        <w:ind w:left="0"/>
        <w:jc w:val="both"/>
        <w:rPr>
          <w:sz w:val="20"/>
          <w:szCs w:val="20"/>
        </w:rPr>
      </w:pPr>
      <w:r w:rsidRPr="008437F0">
        <w:rPr>
          <w:sz w:val="20"/>
          <w:szCs w:val="20"/>
        </w:rPr>
        <w:t xml:space="preserve">“this statement does not, however, mean any more than that, if, in the absence of the testimony of the witness in question, the evidence is otherwise equally balance, the onus will come into effect of operation. The statement in question does not mean that any greater obligation to call the witness rests upon the onus – </w:t>
      </w:r>
      <w:r w:rsidR="000235BB">
        <w:rPr>
          <w:sz w:val="20"/>
          <w:szCs w:val="20"/>
        </w:rPr>
        <w:t>bearing</w:t>
      </w:r>
      <w:r w:rsidRPr="008437F0">
        <w:rPr>
          <w:sz w:val="20"/>
          <w:szCs w:val="20"/>
        </w:rPr>
        <w:t xml:space="preserve"> party: it merely means that, if he does not call the witness, he runs the risk of the onus of proving decisive against </w:t>
      </w:r>
      <w:r w:rsidR="00EB3829" w:rsidRPr="008437F0">
        <w:rPr>
          <w:sz w:val="20"/>
          <w:szCs w:val="20"/>
        </w:rPr>
        <w:t>him. “</w:t>
      </w:r>
      <w:r w:rsidRPr="008437F0">
        <w:rPr>
          <w:sz w:val="20"/>
          <w:szCs w:val="20"/>
        </w:rPr>
        <w:t>’</w:t>
      </w:r>
    </w:p>
    <w:p w14:paraId="385CDB08" w14:textId="4D3EF10E" w:rsidR="00A44F23" w:rsidRPr="008437F0" w:rsidRDefault="00D04D2B" w:rsidP="00EB3829">
      <w:pPr>
        <w:pStyle w:val="ListParagraph"/>
        <w:ind w:left="0"/>
        <w:jc w:val="both"/>
        <w:rPr>
          <w:sz w:val="20"/>
          <w:szCs w:val="20"/>
        </w:rPr>
      </w:pPr>
      <w:r w:rsidRPr="008437F0">
        <w:rPr>
          <w:sz w:val="20"/>
          <w:szCs w:val="20"/>
        </w:rPr>
        <w:t>I</w:t>
      </w:r>
      <w:r w:rsidR="00A44F23" w:rsidRPr="008437F0">
        <w:rPr>
          <w:sz w:val="20"/>
          <w:szCs w:val="20"/>
        </w:rPr>
        <w:t xml:space="preserve">n this matter, the evidence was not evenly balanced, but </w:t>
      </w:r>
      <w:r w:rsidR="008C0C35" w:rsidRPr="008437F0">
        <w:rPr>
          <w:sz w:val="20"/>
          <w:szCs w:val="20"/>
        </w:rPr>
        <w:t xml:space="preserve">it </w:t>
      </w:r>
      <w:r w:rsidR="00A44F23" w:rsidRPr="008437F0">
        <w:rPr>
          <w:sz w:val="20"/>
          <w:szCs w:val="20"/>
        </w:rPr>
        <w:t>favoured the respondent.</w:t>
      </w:r>
    </w:p>
  </w:footnote>
  <w:footnote w:id="14">
    <w:p w14:paraId="5D4BA03D" w14:textId="77777777" w:rsidR="00A14EDC" w:rsidRPr="008437F0" w:rsidRDefault="00A14EDC" w:rsidP="00EB3829">
      <w:pPr>
        <w:pStyle w:val="ListParagraph"/>
        <w:ind w:left="0"/>
        <w:jc w:val="both"/>
        <w:rPr>
          <w:sz w:val="20"/>
          <w:szCs w:val="20"/>
        </w:rPr>
      </w:pPr>
      <w:r w:rsidRPr="008437F0">
        <w:rPr>
          <w:rStyle w:val="FootnoteReference"/>
          <w:sz w:val="20"/>
          <w:szCs w:val="20"/>
        </w:rPr>
        <w:footnoteRef/>
      </w:r>
      <w:r w:rsidRPr="008437F0">
        <w:rPr>
          <w:sz w:val="20"/>
          <w:szCs w:val="20"/>
        </w:rPr>
        <w:t xml:space="preserve"> The evidence of Mr Jaffer suggested that a situation could arise where workers ‘reserved the stock from their store but it is not specific that it is – what will happen if say for instance they draw 10 drain covers or sorry 10 manhole covers it is not always specific to a specific job they would then ja replace those covers.’ As much as Mr Welman said it was the original manhole, he had no records with him and did not express any basis for coming to that conclusion.</w:t>
      </w:r>
    </w:p>
  </w:footnote>
  <w:footnote w:id="15">
    <w:p w14:paraId="394F384D" w14:textId="77777777" w:rsidR="00B435BB" w:rsidRPr="008437F0" w:rsidRDefault="00B435BB" w:rsidP="00EB3829">
      <w:pPr>
        <w:pStyle w:val="ListParagraph"/>
        <w:ind w:left="0"/>
        <w:jc w:val="both"/>
        <w:rPr>
          <w:sz w:val="20"/>
          <w:szCs w:val="20"/>
        </w:rPr>
      </w:pPr>
      <w:r w:rsidRPr="008437F0">
        <w:rPr>
          <w:rStyle w:val="FootnoteReference"/>
          <w:sz w:val="20"/>
          <w:szCs w:val="20"/>
        </w:rPr>
        <w:footnoteRef/>
      </w:r>
      <w:r w:rsidRPr="008437F0">
        <w:rPr>
          <w:sz w:val="20"/>
          <w:szCs w:val="20"/>
        </w:rPr>
        <w:t xml:space="preserve"> This included: that the respondent suffered an injury to her ankle when she stepped into an open manhole; that the manhole pointed out by the respondent, as corroborated by Mr Xwayi, is the one situated in Khwezi Street; that the respondent’s photographs of the manhole shows it as having been left open and still being open when photographed; that the manhole cover in the same area, depicted on the appellant’s photographs, shows a manhole with a cover as it existed more than six years after the incident, on an undisturbed tar surface in Khwezi Street; and that some further infrastructural work was carried out after October 2013 in the general area in respect of Khwezi Street in respect of phase 5A of the development.</w:t>
      </w:r>
    </w:p>
  </w:footnote>
  <w:footnote w:id="16">
    <w:p w14:paraId="4BB869F7" w14:textId="2CAE126C" w:rsidR="00481B7F" w:rsidRPr="008437F0" w:rsidRDefault="00481B7F" w:rsidP="00481B7F">
      <w:pPr>
        <w:pStyle w:val="FootnoteText"/>
        <w:jc w:val="both"/>
      </w:pPr>
      <w:r w:rsidRPr="008437F0">
        <w:rPr>
          <w:rStyle w:val="FootnoteReference"/>
        </w:rPr>
        <w:footnoteRef/>
      </w:r>
      <w:r w:rsidRPr="008437F0">
        <w:t xml:space="preserve"> </w:t>
      </w:r>
      <w:r w:rsidRPr="008437F0">
        <w:rPr>
          <w:i/>
          <w:iCs/>
          <w:szCs w:val="24"/>
        </w:rPr>
        <w:t>National Employers’ General v Jagers</w:t>
      </w:r>
      <w:r w:rsidRPr="008437F0">
        <w:t xml:space="preserve"> </w:t>
      </w:r>
      <w:r w:rsidRPr="008437F0">
        <w:rPr>
          <w:i/>
          <w:iCs/>
          <w:szCs w:val="24"/>
        </w:rPr>
        <w:t>National Employers’ General v Jagers</w:t>
      </w:r>
      <w:r w:rsidRPr="008437F0">
        <w:t xml:space="preserve"> </w:t>
      </w:r>
      <w:r w:rsidRPr="008437F0">
        <w:rPr>
          <w:i/>
          <w:iCs/>
          <w:szCs w:val="24"/>
        </w:rPr>
        <w:t>National Employers’ General v Jagers</w:t>
      </w:r>
      <w:r w:rsidRPr="008437F0">
        <w:t xml:space="preserve"> 1984 (4) SA 43</w:t>
      </w:r>
      <w:r w:rsidR="00344699" w:rsidRPr="008437F0">
        <w:t>7</w:t>
      </w:r>
      <w:r w:rsidRPr="008437F0">
        <w:t xml:space="preserve"> (E) </w:t>
      </w:r>
      <w:r w:rsidR="00344699" w:rsidRPr="008437F0">
        <w:t xml:space="preserve">at </w:t>
      </w:r>
      <w:r w:rsidRPr="008437F0">
        <w:t>440D – 441A.</w:t>
      </w:r>
    </w:p>
  </w:footnote>
  <w:footnote w:id="17">
    <w:p w14:paraId="52A44A7F" w14:textId="77777777" w:rsidR="005B3900" w:rsidRPr="008437F0" w:rsidRDefault="005B3900" w:rsidP="00EB3829">
      <w:pPr>
        <w:pStyle w:val="FootnoteText"/>
        <w:jc w:val="both"/>
        <w:rPr>
          <w:i/>
          <w:iCs/>
        </w:rPr>
      </w:pPr>
      <w:r w:rsidRPr="008437F0">
        <w:rPr>
          <w:rStyle w:val="FootnoteReference"/>
        </w:rPr>
        <w:footnoteRef/>
      </w:r>
      <w:r w:rsidRPr="008437F0">
        <w:t xml:space="preserve"> </w:t>
      </w:r>
      <w:r w:rsidRPr="008437F0">
        <w:rPr>
          <w:i/>
          <w:iCs/>
        </w:rPr>
        <w:t>National Employer General v Jagers (supra).</w:t>
      </w:r>
    </w:p>
  </w:footnote>
  <w:footnote w:id="18">
    <w:p w14:paraId="03CAC8C6" w14:textId="77777777" w:rsidR="00BF19AB" w:rsidRPr="008437F0" w:rsidRDefault="00BF19AB" w:rsidP="00EB3829">
      <w:pPr>
        <w:pStyle w:val="FootnoteText"/>
        <w:jc w:val="both"/>
        <w:rPr>
          <w:lang w:val="en-GB"/>
        </w:rPr>
      </w:pPr>
      <w:r w:rsidRPr="008437F0">
        <w:rPr>
          <w:rStyle w:val="FootnoteReference"/>
        </w:rPr>
        <w:footnoteRef/>
      </w:r>
      <w:r w:rsidRPr="008437F0">
        <w:t xml:space="preserve"> </w:t>
      </w:r>
      <w:r w:rsidRPr="008437F0">
        <w:rPr>
          <w:i/>
          <w:iCs/>
        </w:rPr>
        <w:t>Democratic Alliance and Another v Masondo and Another</w:t>
      </w:r>
      <w:r w:rsidRPr="008437F0">
        <w:t xml:space="preserve"> 2003 (2) SA 413 (CC) para 17</w:t>
      </w:r>
    </w:p>
  </w:footnote>
  <w:footnote w:id="19">
    <w:p w14:paraId="15851738" w14:textId="236D8B8A" w:rsidR="00673AE3" w:rsidRPr="008437F0" w:rsidRDefault="00673AE3" w:rsidP="00EB3829">
      <w:pPr>
        <w:pStyle w:val="FootnoteText"/>
        <w:jc w:val="both"/>
      </w:pPr>
      <w:r w:rsidRPr="008437F0">
        <w:rPr>
          <w:rStyle w:val="FootnoteReference"/>
        </w:rPr>
        <w:footnoteRef/>
      </w:r>
      <w:r w:rsidRPr="008437F0">
        <w:t xml:space="preserve"> </w:t>
      </w:r>
      <w:r w:rsidRPr="008437F0">
        <w:rPr>
          <w:i/>
          <w:iCs/>
        </w:rPr>
        <w:t xml:space="preserve">Mashongwa </w:t>
      </w:r>
      <w:r w:rsidRPr="008437F0">
        <w:t>para 28.</w:t>
      </w:r>
    </w:p>
  </w:footnote>
  <w:footnote w:id="20">
    <w:p w14:paraId="2DD8772B" w14:textId="6B78FC7A" w:rsidR="00402032" w:rsidRPr="008437F0" w:rsidRDefault="00402032" w:rsidP="00EB3829">
      <w:pPr>
        <w:pStyle w:val="FootnoteText"/>
        <w:jc w:val="both"/>
        <w:rPr>
          <w:lang w:val="en-GB"/>
        </w:rPr>
      </w:pPr>
      <w:r w:rsidRPr="008437F0">
        <w:rPr>
          <w:rStyle w:val="FootnoteReference"/>
        </w:rPr>
        <w:footnoteRef/>
      </w:r>
      <w:r w:rsidRPr="008437F0">
        <w:t xml:space="preserve"> </w:t>
      </w:r>
      <w:r w:rsidRPr="008437F0">
        <w:rPr>
          <w:i/>
          <w:iCs/>
        </w:rPr>
        <w:t>Municipality of Cape Town v Bakkerud</w:t>
      </w:r>
      <w:r w:rsidRPr="008437F0">
        <w:t xml:space="preserve"> </w:t>
      </w:r>
      <w:r w:rsidR="000235BB">
        <w:t>[</w:t>
      </w:r>
      <w:r w:rsidR="002B784A" w:rsidRPr="008437F0">
        <w:t xml:space="preserve">2000] ZASCA 174; </w:t>
      </w:r>
      <w:r w:rsidRPr="008437F0">
        <w:t>[2000] 3 All SA 171 (A) para</w:t>
      </w:r>
      <w:r w:rsidR="000235BB">
        <w:t>s</w:t>
      </w:r>
      <w:r w:rsidRPr="008437F0">
        <w:t xml:space="preserve"> 28 and 29.</w:t>
      </w:r>
    </w:p>
  </w:footnote>
  <w:footnote w:id="21">
    <w:p w14:paraId="64606C75" w14:textId="77777777" w:rsidR="00C045E6" w:rsidRPr="008437F0" w:rsidRDefault="00C045E6" w:rsidP="00EB3829">
      <w:pPr>
        <w:pStyle w:val="FootnoteText"/>
        <w:jc w:val="both"/>
      </w:pPr>
      <w:r w:rsidRPr="008437F0">
        <w:rPr>
          <w:rStyle w:val="FootnoteReference"/>
        </w:rPr>
        <w:footnoteRef/>
      </w:r>
      <w:r w:rsidRPr="008437F0">
        <w:t xml:space="preserve"> This was with reference inter alia to </w:t>
      </w:r>
      <w:r w:rsidRPr="008437F0">
        <w:rPr>
          <w:i/>
          <w:iCs/>
        </w:rPr>
        <w:t>Minister of Safety and Security v Van Duivenboden</w:t>
      </w:r>
      <w:r w:rsidRPr="008437F0">
        <w:t xml:space="preserve"> 2002 (6) SA 341 (SCA) para 12.</w:t>
      </w:r>
    </w:p>
  </w:footnote>
  <w:footnote w:id="22">
    <w:p w14:paraId="622DBB6A" w14:textId="77777777" w:rsidR="008A2885" w:rsidRPr="008437F0" w:rsidRDefault="008A2885" w:rsidP="00EB3829">
      <w:pPr>
        <w:pStyle w:val="FootnoteText"/>
        <w:jc w:val="both"/>
      </w:pPr>
      <w:r w:rsidRPr="008437F0">
        <w:rPr>
          <w:rStyle w:val="FootnoteReference"/>
        </w:rPr>
        <w:footnoteRef/>
      </w:r>
      <w:r w:rsidRPr="008437F0">
        <w:t xml:space="preserve"> As regards wrongfulness it was alleged that the appellant owed a legal duty to members of the public and to her in particular: to ensure that areas within its jurisdiction and/or under its control and to which members of the public had unrestricted access </w:t>
      </w:r>
      <w:r w:rsidRPr="008437F0">
        <w:rPr>
          <w:i/>
          <w:iCs/>
        </w:rPr>
        <w:t>were free of any dangers</w:t>
      </w:r>
      <w:r w:rsidRPr="008437F0">
        <w:t xml:space="preserve"> and/or potential dangers; to ensure that adequate measures were taken in all areas within its jurisdiction and/or under its control to which members of the public had unrestricted access </w:t>
      </w:r>
      <w:r w:rsidRPr="008437F0">
        <w:rPr>
          <w:i/>
          <w:iCs/>
        </w:rPr>
        <w:t>to safe guard members</w:t>
      </w:r>
      <w:r w:rsidRPr="008437F0">
        <w:t xml:space="preserve"> </w:t>
      </w:r>
      <w:r w:rsidRPr="008437F0">
        <w:rPr>
          <w:i/>
          <w:iCs/>
        </w:rPr>
        <w:t>of the public against any dangers</w:t>
      </w:r>
      <w:r w:rsidRPr="008437F0">
        <w:t xml:space="preserve"> and/or potential dangers; and to take reasonable precautions </w:t>
      </w:r>
      <w:r w:rsidRPr="008437F0">
        <w:rPr>
          <w:i/>
          <w:iCs/>
        </w:rPr>
        <w:t>to warn members of the public of any dangers</w:t>
      </w:r>
      <w:r w:rsidRPr="008437F0">
        <w:t xml:space="preserve"> and/or potential dangers in all areas within its jurisdiction and/or under its control to which the members of the public had unrestricted access. As regards negligence, the respondent alleged that the appellant bre</w:t>
      </w:r>
      <w:r w:rsidR="00EB3829" w:rsidRPr="008437F0">
        <w:t>ached the duty of care alleged.</w:t>
      </w:r>
    </w:p>
  </w:footnote>
  <w:footnote w:id="23">
    <w:p w14:paraId="0F7BB577" w14:textId="77777777" w:rsidR="008A2885" w:rsidRPr="008437F0" w:rsidRDefault="008A2885" w:rsidP="00EB3829">
      <w:pPr>
        <w:pStyle w:val="FootnoteText"/>
        <w:jc w:val="both"/>
      </w:pPr>
      <w:r w:rsidRPr="008437F0">
        <w:rPr>
          <w:rStyle w:val="FootnoteReference"/>
        </w:rPr>
        <w:footnoteRef/>
      </w:r>
      <w:r w:rsidRPr="008437F0">
        <w:t xml:space="preserve"> It was wrongly argued by the respondent before the trial court that these further grounds of wrongfulness and negligence, were not required to be pleaded because they constitute evidence and </w:t>
      </w:r>
      <w:r w:rsidR="0089449A" w:rsidRPr="008437F0">
        <w:t>‘</w:t>
      </w:r>
      <w:r w:rsidRPr="008437F0">
        <w:t>one does not plead evidence.</w:t>
      </w:r>
      <w:r w:rsidR="0089449A" w:rsidRPr="008437F0">
        <w:t>’</w:t>
      </w:r>
      <w:r w:rsidRPr="008437F0">
        <w:t xml:space="preserve"> It should have been pleaded. It is the how and when and to whom the open manhole was reported to result in the appellant having knowledge thereof</w:t>
      </w:r>
      <w:r w:rsidR="0089449A" w:rsidRPr="008437F0">
        <w:t xml:space="preserve"> and allegedly giving rise to a duty of care</w:t>
      </w:r>
      <w:r w:rsidRPr="008437F0">
        <w:t xml:space="preserve">, that would constitute evidence that </w:t>
      </w:r>
      <w:r w:rsidR="0089449A" w:rsidRPr="008437F0">
        <w:t xml:space="preserve">need not </w:t>
      </w:r>
      <w:r w:rsidRPr="008437F0">
        <w:t>be pleaded.</w:t>
      </w:r>
      <w:r w:rsidR="0089449A" w:rsidRPr="008437F0">
        <w:t xml:space="preserve"> But that it will be contended that such a duty existed and that the breach thereof would be relied upon as constituting wrongfulness, should be pleaded.  </w:t>
      </w:r>
    </w:p>
  </w:footnote>
  <w:footnote w:id="24">
    <w:p w14:paraId="17ED558C" w14:textId="77777777" w:rsidR="008A2885" w:rsidRPr="008437F0" w:rsidRDefault="008A2885" w:rsidP="00EB3829">
      <w:pPr>
        <w:pStyle w:val="FootnoteText"/>
        <w:jc w:val="both"/>
      </w:pPr>
      <w:r w:rsidRPr="008437F0">
        <w:rPr>
          <w:rStyle w:val="FootnoteReference"/>
        </w:rPr>
        <w:footnoteRef/>
      </w:r>
      <w:r w:rsidRPr="008437F0">
        <w:t xml:space="preserve"> </w:t>
      </w:r>
      <w:r w:rsidRPr="008437F0">
        <w:rPr>
          <w:i/>
          <w:iCs/>
        </w:rPr>
        <w:t>Shill v Milner</w:t>
      </w:r>
      <w:r w:rsidRPr="008437F0">
        <w:t xml:space="preserve"> 1937 AD 105.</w:t>
      </w:r>
    </w:p>
  </w:footnote>
  <w:footnote w:id="25">
    <w:p w14:paraId="06F7A1FF" w14:textId="77777777" w:rsidR="0089449A" w:rsidRPr="008437F0" w:rsidRDefault="0089449A" w:rsidP="00EB3829">
      <w:pPr>
        <w:pStyle w:val="FootnoteText"/>
        <w:jc w:val="both"/>
      </w:pPr>
      <w:r w:rsidRPr="008437F0">
        <w:rPr>
          <w:rStyle w:val="FootnoteReference"/>
        </w:rPr>
        <w:footnoteRef/>
      </w:r>
      <w:r w:rsidRPr="008437F0">
        <w:t xml:space="preserve"> </w:t>
      </w:r>
      <w:r w:rsidRPr="008437F0">
        <w:rPr>
          <w:i/>
          <w:iCs/>
        </w:rPr>
        <w:t>Van Vuuren v Ethekwini Municipality</w:t>
      </w:r>
      <w:r w:rsidRPr="008437F0">
        <w:t xml:space="preserve"> 2018 (1) SA 189 (SCA) para 21 and 24.</w:t>
      </w:r>
    </w:p>
  </w:footnote>
  <w:footnote w:id="26">
    <w:p w14:paraId="650E67B6" w14:textId="231949FD" w:rsidR="002B28C2" w:rsidRPr="008437F0" w:rsidRDefault="002B28C2" w:rsidP="00EB3829">
      <w:pPr>
        <w:pStyle w:val="FootnoteText"/>
        <w:jc w:val="both"/>
      </w:pPr>
      <w:r w:rsidRPr="008437F0">
        <w:rPr>
          <w:rStyle w:val="FootnoteReference"/>
        </w:rPr>
        <w:footnoteRef/>
      </w:r>
      <w:r w:rsidRPr="008437F0">
        <w:t xml:space="preserve"> </w:t>
      </w:r>
      <w:r w:rsidRPr="008437F0">
        <w:rPr>
          <w:i/>
          <w:iCs/>
        </w:rPr>
        <w:t>Le Roux v Dey</w:t>
      </w:r>
      <w:r w:rsidRPr="008437F0">
        <w:t xml:space="preserve"> </w:t>
      </w:r>
      <w:r w:rsidR="00A05F9F" w:rsidRPr="008437F0">
        <w:t xml:space="preserve">(Dey) [2011] ZACC 4; </w:t>
      </w:r>
      <w:r w:rsidRPr="008437F0">
        <w:t>2011 (3) SA 274 (CC) para 122.</w:t>
      </w:r>
    </w:p>
  </w:footnote>
  <w:footnote w:id="27">
    <w:p w14:paraId="74AD942B" w14:textId="01341472" w:rsidR="00F5035D" w:rsidRPr="008437F0" w:rsidRDefault="00F5035D" w:rsidP="00EB3829">
      <w:pPr>
        <w:pStyle w:val="FootnoteText"/>
        <w:jc w:val="both"/>
      </w:pPr>
      <w:r w:rsidRPr="008437F0">
        <w:rPr>
          <w:rStyle w:val="FootnoteReference"/>
        </w:rPr>
        <w:footnoteRef/>
      </w:r>
      <w:r w:rsidRPr="008437F0">
        <w:t xml:space="preserve"> </w:t>
      </w:r>
      <w:r w:rsidRPr="008437F0">
        <w:rPr>
          <w:i/>
          <w:iCs/>
        </w:rPr>
        <w:t>Du Plessis v Nelson Mandela Metropolitan Municipality</w:t>
      </w:r>
      <w:r w:rsidRPr="008437F0">
        <w:t xml:space="preserve"> [2009] ZAECGHC 54 para</w:t>
      </w:r>
      <w:r w:rsidR="00A05F9F" w:rsidRPr="008437F0">
        <w:t>s</w:t>
      </w:r>
      <w:r w:rsidRPr="008437F0">
        <w:t xml:space="preserve"> 11 and 12.</w:t>
      </w:r>
    </w:p>
  </w:footnote>
  <w:footnote w:id="28">
    <w:p w14:paraId="421A3AC5" w14:textId="34B4BC3B" w:rsidR="00593961" w:rsidRPr="008437F0" w:rsidRDefault="00593961" w:rsidP="00EB3829">
      <w:pPr>
        <w:pStyle w:val="FootnoteText"/>
        <w:jc w:val="both"/>
        <w:rPr>
          <w:lang w:val="en-GB"/>
        </w:rPr>
      </w:pPr>
      <w:r w:rsidRPr="008437F0">
        <w:rPr>
          <w:rStyle w:val="FootnoteReference"/>
        </w:rPr>
        <w:footnoteRef/>
      </w:r>
      <w:r w:rsidRPr="008437F0">
        <w:t xml:space="preserve"> </w:t>
      </w:r>
      <w:r w:rsidRPr="008437F0">
        <w:rPr>
          <w:i/>
          <w:iCs/>
          <w:lang w:val="en-GB"/>
        </w:rPr>
        <w:t>South African Hang and Paraglyding Association and Another v Bewick</w:t>
      </w:r>
      <w:r w:rsidRPr="008437F0">
        <w:rPr>
          <w:lang w:val="en-GB"/>
        </w:rPr>
        <w:t xml:space="preserve"> </w:t>
      </w:r>
      <w:r w:rsidR="00A05F9F" w:rsidRPr="008437F0">
        <w:rPr>
          <w:lang w:val="en-GB"/>
        </w:rPr>
        <w:t xml:space="preserve">[2015] ZASCA 34; </w:t>
      </w:r>
      <w:r w:rsidRPr="008437F0">
        <w:rPr>
          <w:lang w:val="en-GB"/>
        </w:rPr>
        <w:t>2015 (3) SA 544 (SCA) para 3.</w:t>
      </w:r>
    </w:p>
  </w:footnote>
  <w:footnote w:id="29">
    <w:p w14:paraId="034D68DE" w14:textId="6E3918AC" w:rsidR="005C10C7" w:rsidRPr="008437F0" w:rsidRDefault="005C10C7" w:rsidP="00EB3829">
      <w:pPr>
        <w:pStyle w:val="FootnoteText"/>
        <w:jc w:val="both"/>
        <w:rPr>
          <w:lang w:val="en-GB"/>
        </w:rPr>
      </w:pPr>
      <w:r w:rsidRPr="008437F0">
        <w:rPr>
          <w:rStyle w:val="FootnoteReference"/>
        </w:rPr>
        <w:footnoteRef/>
      </w:r>
      <w:r w:rsidRPr="008437F0">
        <w:t xml:space="preserve"> </w:t>
      </w:r>
      <w:r w:rsidRPr="008437F0">
        <w:rPr>
          <w:i/>
          <w:iCs/>
          <w:lang w:val="en-GB"/>
        </w:rPr>
        <w:t>Dey</w:t>
      </w:r>
      <w:r w:rsidRPr="008437F0">
        <w:rPr>
          <w:lang w:val="en-GB"/>
        </w:rPr>
        <w:t xml:space="preserve"> para 122.</w:t>
      </w:r>
    </w:p>
  </w:footnote>
  <w:footnote w:id="30">
    <w:p w14:paraId="4BBCC332" w14:textId="435A0B92" w:rsidR="005C10C7" w:rsidRPr="008437F0" w:rsidRDefault="005C10C7" w:rsidP="00EB3829">
      <w:pPr>
        <w:pStyle w:val="FootnoteText"/>
        <w:jc w:val="both"/>
        <w:rPr>
          <w:lang w:val="en-GB"/>
        </w:rPr>
      </w:pPr>
      <w:r w:rsidRPr="008437F0">
        <w:rPr>
          <w:rStyle w:val="FootnoteReference"/>
        </w:rPr>
        <w:footnoteRef/>
      </w:r>
      <w:r w:rsidRPr="008437F0">
        <w:t xml:space="preserve"> </w:t>
      </w:r>
      <w:r w:rsidRPr="008437F0">
        <w:rPr>
          <w:i/>
          <w:iCs/>
          <w:lang w:val="en-GB"/>
        </w:rPr>
        <w:t>Country Cloud Trading CC v MEC, Department of Infrastructure Development</w:t>
      </w:r>
      <w:r w:rsidRPr="008437F0">
        <w:rPr>
          <w:lang w:val="en-GB"/>
        </w:rPr>
        <w:t xml:space="preserve"> </w:t>
      </w:r>
      <w:r w:rsidR="005A4058" w:rsidRPr="008437F0">
        <w:rPr>
          <w:lang w:val="en-GB"/>
        </w:rPr>
        <w:t xml:space="preserve">[2014] ZACC 28; </w:t>
      </w:r>
      <w:r w:rsidRPr="008437F0">
        <w:rPr>
          <w:lang w:val="en-GB"/>
        </w:rPr>
        <w:t xml:space="preserve">2015 (1) SA 1 (CC) par 20. The facts in the present appeal are also distinguishable from what prevailed in </w:t>
      </w:r>
      <w:r w:rsidRPr="008437F0">
        <w:rPr>
          <w:i/>
          <w:iCs/>
          <w:lang w:val="en-GB"/>
        </w:rPr>
        <w:t xml:space="preserve">BE obo JE v Minister of the Executive Council </w:t>
      </w:r>
      <w:r w:rsidR="00306FF1" w:rsidRPr="008437F0">
        <w:rPr>
          <w:i/>
          <w:iCs/>
          <w:lang w:val="en-GB"/>
        </w:rPr>
        <w:t xml:space="preserve">for Social Development, Western Cape </w:t>
      </w:r>
      <w:r w:rsidR="005A4058" w:rsidRPr="008437F0">
        <w:rPr>
          <w:lang w:val="en-GB"/>
        </w:rPr>
        <w:t xml:space="preserve">[2021] ZACC 23; </w:t>
      </w:r>
      <w:r w:rsidR="00306FF1" w:rsidRPr="008437F0">
        <w:rPr>
          <w:lang w:val="en-GB"/>
        </w:rPr>
        <w:t>2021 (1) BCLR 1087 (CC) para</w:t>
      </w:r>
      <w:r w:rsidR="005A4058" w:rsidRPr="008437F0">
        <w:rPr>
          <w:lang w:val="en-GB"/>
        </w:rPr>
        <w:t>s</w:t>
      </w:r>
      <w:r w:rsidR="00306FF1" w:rsidRPr="008437F0">
        <w:rPr>
          <w:lang w:val="en-GB"/>
        </w:rPr>
        <w:t xml:space="preserve"> 1, 2, 10 and 25 as to whether there could be a legal duty to ensure the safety of each and every childcare facility. In the present appeal, the legal duty is confined to one manhole that was </w:t>
      </w:r>
      <w:r w:rsidR="00E446D3" w:rsidRPr="008437F0">
        <w:rPr>
          <w:lang w:val="en-GB"/>
        </w:rPr>
        <w:t xml:space="preserve">uncovered </w:t>
      </w:r>
      <w:r w:rsidR="00306FF1" w:rsidRPr="008437F0">
        <w:rPr>
          <w:lang w:val="en-GB"/>
        </w:rPr>
        <w:t xml:space="preserve">which had been reported to the appellant. </w:t>
      </w:r>
    </w:p>
  </w:footnote>
  <w:footnote w:id="31">
    <w:p w14:paraId="23993800" w14:textId="77777777" w:rsidR="00B162E4" w:rsidRPr="008437F0" w:rsidRDefault="00B162E4" w:rsidP="00EB3829">
      <w:pPr>
        <w:pStyle w:val="FootnoteText"/>
        <w:jc w:val="both"/>
      </w:pPr>
      <w:r w:rsidRPr="008437F0">
        <w:rPr>
          <w:rStyle w:val="FootnoteReference"/>
        </w:rPr>
        <w:footnoteRef/>
      </w:r>
      <w:r w:rsidRPr="008437F0">
        <w:t xml:space="preserve"> </w:t>
      </w:r>
      <w:r w:rsidRPr="008437F0">
        <w:rPr>
          <w:i/>
          <w:iCs/>
        </w:rPr>
        <w:t>Kruger v Coetzee</w:t>
      </w:r>
      <w:r w:rsidRPr="008437F0">
        <w:t xml:space="preserve"> 1966 (2) SA 428 (A) at 430E held that.</w:t>
      </w:r>
    </w:p>
    <w:p w14:paraId="48061285" w14:textId="77777777" w:rsidR="00B162E4" w:rsidRPr="008437F0" w:rsidRDefault="00B162E4" w:rsidP="00EB3829">
      <w:pPr>
        <w:pStyle w:val="ListParagraph"/>
        <w:ind w:left="0"/>
        <w:jc w:val="both"/>
        <w:rPr>
          <w:sz w:val="20"/>
          <w:szCs w:val="20"/>
        </w:rPr>
      </w:pPr>
      <w:r w:rsidRPr="008437F0">
        <w:rPr>
          <w:sz w:val="20"/>
          <w:szCs w:val="20"/>
        </w:rPr>
        <w:t xml:space="preserve">‘For the purpose of liability, </w:t>
      </w:r>
      <w:r w:rsidRPr="008437F0">
        <w:rPr>
          <w:i/>
          <w:iCs/>
          <w:sz w:val="20"/>
          <w:szCs w:val="20"/>
        </w:rPr>
        <w:t>culpa</w:t>
      </w:r>
      <w:r w:rsidRPr="008437F0">
        <w:rPr>
          <w:sz w:val="20"/>
          <w:szCs w:val="20"/>
        </w:rPr>
        <w:t xml:space="preserve"> arises if –</w:t>
      </w:r>
    </w:p>
    <w:p w14:paraId="2C014CD6" w14:textId="10A60FF3" w:rsidR="00B162E4" w:rsidRPr="00C22E0E" w:rsidRDefault="00C22E0E" w:rsidP="00C22E0E">
      <w:pPr>
        <w:ind w:left="720" w:hanging="360"/>
        <w:jc w:val="both"/>
        <w:rPr>
          <w:sz w:val="20"/>
          <w:szCs w:val="20"/>
        </w:rPr>
      </w:pPr>
      <w:r w:rsidRPr="008437F0">
        <w:rPr>
          <w:sz w:val="20"/>
          <w:szCs w:val="20"/>
        </w:rPr>
        <w:t>(a)</w:t>
      </w:r>
      <w:r w:rsidRPr="008437F0">
        <w:rPr>
          <w:sz w:val="20"/>
          <w:szCs w:val="20"/>
        </w:rPr>
        <w:tab/>
      </w:r>
      <w:r w:rsidR="00B162E4" w:rsidRPr="00C22E0E">
        <w:rPr>
          <w:sz w:val="20"/>
          <w:szCs w:val="20"/>
        </w:rPr>
        <w:t xml:space="preserve">A </w:t>
      </w:r>
      <w:r w:rsidR="00B162E4" w:rsidRPr="00C22E0E">
        <w:rPr>
          <w:i/>
          <w:iCs/>
          <w:sz w:val="20"/>
          <w:szCs w:val="20"/>
        </w:rPr>
        <w:t>diligens paterfamilias</w:t>
      </w:r>
      <w:r w:rsidR="00B162E4" w:rsidRPr="00C22E0E">
        <w:rPr>
          <w:sz w:val="20"/>
          <w:szCs w:val="20"/>
        </w:rPr>
        <w:t xml:space="preserve"> in the position of the defendant –</w:t>
      </w:r>
    </w:p>
    <w:p w14:paraId="48ED8363" w14:textId="4C15A659" w:rsidR="00B162E4" w:rsidRPr="00C22E0E" w:rsidRDefault="00C22E0E" w:rsidP="00C22E0E">
      <w:pPr>
        <w:ind w:left="1440" w:hanging="720"/>
        <w:jc w:val="both"/>
        <w:rPr>
          <w:sz w:val="20"/>
          <w:szCs w:val="20"/>
        </w:rPr>
      </w:pPr>
      <w:r w:rsidRPr="008437F0">
        <w:rPr>
          <w:sz w:val="20"/>
          <w:szCs w:val="20"/>
        </w:rPr>
        <w:t>(i)</w:t>
      </w:r>
      <w:r w:rsidRPr="008437F0">
        <w:rPr>
          <w:sz w:val="20"/>
          <w:szCs w:val="20"/>
        </w:rPr>
        <w:tab/>
      </w:r>
      <w:r w:rsidR="00B162E4" w:rsidRPr="00C22E0E">
        <w:rPr>
          <w:sz w:val="20"/>
          <w:szCs w:val="20"/>
        </w:rPr>
        <w:t xml:space="preserve">would foresee the reasonable possibility of his conduct injuring another in his person or property and causing him patrimonial loss; and </w:t>
      </w:r>
    </w:p>
    <w:p w14:paraId="5AD6380B" w14:textId="025F48FE" w:rsidR="00B162E4" w:rsidRPr="00C22E0E" w:rsidRDefault="00C22E0E" w:rsidP="00C22E0E">
      <w:pPr>
        <w:ind w:left="1440" w:hanging="720"/>
        <w:jc w:val="both"/>
        <w:rPr>
          <w:sz w:val="20"/>
          <w:szCs w:val="20"/>
        </w:rPr>
      </w:pPr>
      <w:r w:rsidRPr="008437F0">
        <w:rPr>
          <w:sz w:val="20"/>
          <w:szCs w:val="20"/>
        </w:rPr>
        <w:t>(ii)</w:t>
      </w:r>
      <w:r w:rsidRPr="008437F0">
        <w:rPr>
          <w:sz w:val="20"/>
          <w:szCs w:val="20"/>
        </w:rPr>
        <w:tab/>
      </w:r>
      <w:r w:rsidR="00B162E4" w:rsidRPr="00C22E0E">
        <w:rPr>
          <w:sz w:val="20"/>
          <w:szCs w:val="20"/>
        </w:rPr>
        <w:t xml:space="preserve">would take reasonable steps to guard against such occurrence; and </w:t>
      </w:r>
    </w:p>
    <w:p w14:paraId="6730D7FC" w14:textId="788DF971" w:rsidR="00B162E4" w:rsidRPr="00C22E0E" w:rsidRDefault="00C22E0E" w:rsidP="00C22E0E">
      <w:pPr>
        <w:ind w:left="720" w:hanging="360"/>
        <w:jc w:val="both"/>
        <w:rPr>
          <w:sz w:val="20"/>
          <w:szCs w:val="20"/>
        </w:rPr>
      </w:pPr>
      <w:r w:rsidRPr="008437F0">
        <w:rPr>
          <w:sz w:val="20"/>
          <w:szCs w:val="20"/>
        </w:rPr>
        <w:t>(b)</w:t>
      </w:r>
      <w:r w:rsidRPr="008437F0">
        <w:rPr>
          <w:sz w:val="20"/>
          <w:szCs w:val="20"/>
        </w:rPr>
        <w:tab/>
      </w:r>
      <w:r w:rsidR="00B162E4" w:rsidRPr="00C22E0E">
        <w:rPr>
          <w:sz w:val="20"/>
          <w:szCs w:val="20"/>
        </w:rPr>
        <w:t xml:space="preserve">the defendant failed to take such steps.’ </w:t>
      </w:r>
    </w:p>
    <w:p w14:paraId="57DABE27" w14:textId="77777777" w:rsidR="00B162E4" w:rsidRDefault="00B162E4" w:rsidP="00EB3829">
      <w:pPr>
        <w:pStyle w:val="FootnoteText"/>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5A394" w14:textId="77777777" w:rsidR="00200F0D" w:rsidRDefault="000930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F16592" w14:textId="77777777" w:rsidR="00200F0D" w:rsidRDefault="00200F0D">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33AB7" w14:textId="77777777" w:rsidR="00200F0D" w:rsidRDefault="000930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39DE">
      <w:rPr>
        <w:rStyle w:val="PageNumber"/>
        <w:noProof/>
      </w:rPr>
      <w:t>2</w:t>
    </w:r>
    <w:r>
      <w:rPr>
        <w:rStyle w:val="PageNumber"/>
      </w:rPr>
      <w:fldChar w:fldCharType="end"/>
    </w:r>
  </w:p>
  <w:p w14:paraId="11907612" w14:textId="77777777" w:rsidR="00200F0D" w:rsidRDefault="00200F0D">
    <w:pPr>
      <w:pStyle w:val="Header"/>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EA5DA" w14:textId="77777777" w:rsidR="00E57881" w:rsidRDefault="00E57881">
    <w:pPr>
      <w:pStyle w:val="Header"/>
      <w:jc w:val="right"/>
    </w:pPr>
  </w:p>
  <w:p w14:paraId="33ED65DA" w14:textId="77777777" w:rsidR="00E57881" w:rsidRDefault="00E57881">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8868F" w14:textId="77777777" w:rsidR="00200F0D" w:rsidRDefault="000930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0EE5FA" w14:textId="77777777" w:rsidR="00200F0D" w:rsidRDefault="00200F0D">
    <w:pPr>
      <w:pStyle w:val="Header"/>
      <w:ind w:right="36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6638C" w14:textId="590853BC" w:rsidR="00200F0D" w:rsidRPr="00AC7DA3" w:rsidRDefault="00093030">
    <w:pPr>
      <w:pStyle w:val="Header"/>
      <w:framePr w:wrap="around" w:vAnchor="text" w:hAnchor="margin" w:xAlign="right" w:y="1"/>
      <w:rPr>
        <w:rStyle w:val="PageNumber"/>
        <w:rFonts w:cs="Arial"/>
        <w:sz w:val="22"/>
      </w:rPr>
    </w:pPr>
    <w:r w:rsidRPr="00AC7DA3">
      <w:rPr>
        <w:rStyle w:val="PageNumber"/>
        <w:rFonts w:cs="Arial"/>
        <w:sz w:val="22"/>
      </w:rPr>
      <w:fldChar w:fldCharType="begin"/>
    </w:r>
    <w:r w:rsidRPr="00AC7DA3">
      <w:rPr>
        <w:rStyle w:val="PageNumber"/>
        <w:rFonts w:cs="Arial"/>
        <w:sz w:val="22"/>
      </w:rPr>
      <w:instrText xml:space="preserve">PAGE  </w:instrText>
    </w:r>
    <w:r w:rsidRPr="00AC7DA3">
      <w:rPr>
        <w:rStyle w:val="PageNumber"/>
        <w:rFonts w:cs="Arial"/>
        <w:sz w:val="22"/>
      </w:rPr>
      <w:fldChar w:fldCharType="separate"/>
    </w:r>
    <w:r w:rsidR="00C22E0E">
      <w:rPr>
        <w:rStyle w:val="PageNumber"/>
        <w:rFonts w:cs="Arial"/>
        <w:noProof/>
        <w:sz w:val="22"/>
      </w:rPr>
      <w:t>8</w:t>
    </w:r>
    <w:r w:rsidRPr="00AC7DA3">
      <w:rPr>
        <w:rStyle w:val="PageNumber"/>
        <w:rFonts w:cs="Arial"/>
        <w:sz w:val="22"/>
      </w:rPr>
      <w:fldChar w:fldCharType="end"/>
    </w:r>
  </w:p>
  <w:p w14:paraId="5315BDC3" w14:textId="77777777" w:rsidR="00200F0D" w:rsidRDefault="00200F0D">
    <w:pPr>
      <w:pStyle w:val="Header"/>
      <w:ind w:right="360"/>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8B3C2" w14:textId="77777777" w:rsidR="00E17576" w:rsidRPr="00AC7DA3" w:rsidRDefault="00E17576">
    <w:pPr>
      <w:pStyle w:val="Header"/>
      <w:jc w:val="right"/>
      <w:rPr>
        <w:sz w:val="22"/>
      </w:rPr>
    </w:pPr>
    <w:r w:rsidRPr="00AC7DA3">
      <w:rPr>
        <w:sz w:val="22"/>
      </w:rPr>
      <w:t>2</w:t>
    </w:r>
  </w:p>
  <w:p w14:paraId="5FD4C861" w14:textId="77777777" w:rsidR="00E17576" w:rsidRPr="00E17576" w:rsidRDefault="00E1757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38C7"/>
    <w:multiLevelType w:val="hybridMultilevel"/>
    <w:tmpl w:val="9768FBB2"/>
    <w:lvl w:ilvl="0" w:tplc="15801D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9FE7929"/>
    <w:multiLevelType w:val="hybridMultilevel"/>
    <w:tmpl w:val="7C80A148"/>
    <w:lvl w:ilvl="0" w:tplc="A5CCF2C8">
      <w:start w:val="1"/>
      <w:numFmt w:val="decimal"/>
      <w:lvlText w:val="[%1]"/>
      <w:lvlJc w:val="left"/>
      <w:pPr>
        <w:ind w:left="0" w:firstLine="0"/>
      </w:pPr>
      <w:rPr>
        <w:rFonts w:ascii="Arial" w:hAnsi="Arial" w:cs="Arial"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170B6"/>
    <w:multiLevelType w:val="hybridMultilevel"/>
    <w:tmpl w:val="67942C8C"/>
    <w:lvl w:ilvl="0" w:tplc="F54E4E4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9C22485"/>
    <w:multiLevelType w:val="hybridMultilevel"/>
    <w:tmpl w:val="9768FBB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048677C"/>
    <w:multiLevelType w:val="hybridMultilevel"/>
    <w:tmpl w:val="77B28B44"/>
    <w:lvl w:ilvl="0" w:tplc="4C04946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3841883"/>
    <w:multiLevelType w:val="hybridMultilevel"/>
    <w:tmpl w:val="43160C60"/>
    <w:lvl w:ilvl="0" w:tplc="86AE28E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3E8B19AC"/>
    <w:multiLevelType w:val="hybridMultilevel"/>
    <w:tmpl w:val="819CD5C0"/>
    <w:lvl w:ilvl="0" w:tplc="8E2A4EF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44023E58"/>
    <w:multiLevelType w:val="hybridMultilevel"/>
    <w:tmpl w:val="68945AEA"/>
    <w:lvl w:ilvl="0" w:tplc="9BB0240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7B76925"/>
    <w:multiLevelType w:val="hybridMultilevel"/>
    <w:tmpl w:val="E4985C04"/>
    <w:lvl w:ilvl="0" w:tplc="B8E6F0C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61071B19"/>
    <w:multiLevelType w:val="hybridMultilevel"/>
    <w:tmpl w:val="933497FA"/>
    <w:lvl w:ilvl="0" w:tplc="46E886E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C8D7FD7"/>
    <w:multiLevelType w:val="hybridMultilevel"/>
    <w:tmpl w:val="570E42F2"/>
    <w:lvl w:ilvl="0" w:tplc="C986BBAC">
      <w:start w:val="1"/>
      <w:numFmt w:val="decimal"/>
      <w:lvlText w:val="%1"/>
      <w:lvlJc w:val="left"/>
      <w:pPr>
        <w:ind w:left="1800" w:hanging="72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0"/>
  </w:num>
  <w:num w:numId="3">
    <w:abstractNumId w:val="4"/>
  </w:num>
  <w:num w:numId="4">
    <w:abstractNumId w:val="8"/>
  </w:num>
  <w:num w:numId="5">
    <w:abstractNumId w:val="9"/>
  </w:num>
  <w:num w:numId="6">
    <w:abstractNumId w:val="2"/>
  </w:num>
  <w:num w:numId="7">
    <w:abstractNumId w:val="6"/>
  </w:num>
  <w:num w:numId="8">
    <w:abstractNumId w:val="7"/>
  </w:num>
  <w:num w:numId="9">
    <w:abstractNumId w:val="5"/>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3500307-B008-4D71-BA2E-8E4179505FBB}"/>
    <w:docVar w:name="dgnword-eventsink" w:val="2656420392576"/>
  </w:docVars>
  <w:rsids>
    <w:rsidRoot w:val="00093030"/>
    <w:rsid w:val="00014EC0"/>
    <w:rsid w:val="000235BB"/>
    <w:rsid w:val="00033E3C"/>
    <w:rsid w:val="00036903"/>
    <w:rsid w:val="000402C1"/>
    <w:rsid w:val="000424B1"/>
    <w:rsid w:val="00045B60"/>
    <w:rsid w:val="00051FFE"/>
    <w:rsid w:val="00053760"/>
    <w:rsid w:val="000572B8"/>
    <w:rsid w:val="00071DBD"/>
    <w:rsid w:val="000740B1"/>
    <w:rsid w:val="000872E5"/>
    <w:rsid w:val="00091449"/>
    <w:rsid w:val="0009254D"/>
    <w:rsid w:val="00093030"/>
    <w:rsid w:val="00095214"/>
    <w:rsid w:val="00095D84"/>
    <w:rsid w:val="000A109A"/>
    <w:rsid w:val="000C7311"/>
    <w:rsid w:val="000C7CFF"/>
    <w:rsid w:val="000D2E30"/>
    <w:rsid w:val="000E16FA"/>
    <w:rsid w:val="000E530D"/>
    <w:rsid w:val="000F65C1"/>
    <w:rsid w:val="000F7CEF"/>
    <w:rsid w:val="00106965"/>
    <w:rsid w:val="00112AA2"/>
    <w:rsid w:val="00114CFD"/>
    <w:rsid w:val="001240DB"/>
    <w:rsid w:val="00130B5A"/>
    <w:rsid w:val="00137F13"/>
    <w:rsid w:val="001416D1"/>
    <w:rsid w:val="00142EF9"/>
    <w:rsid w:val="00181F81"/>
    <w:rsid w:val="00182054"/>
    <w:rsid w:val="00183294"/>
    <w:rsid w:val="00192B77"/>
    <w:rsid w:val="001933A5"/>
    <w:rsid w:val="001936EE"/>
    <w:rsid w:val="0019436E"/>
    <w:rsid w:val="00197477"/>
    <w:rsid w:val="001A02EA"/>
    <w:rsid w:val="001A041D"/>
    <w:rsid w:val="001A4082"/>
    <w:rsid w:val="001B6433"/>
    <w:rsid w:val="001C4454"/>
    <w:rsid w:val="001C5C24"/>
    <w:rsid w:val="001D1EA4"/>
    <w:rsid w:val="001E2EC4"/>
    <w:rsid w:val="002001EA"/>
    <w:rsid w:val="00200F0D"/>
    <w:rsid w:val="00202346"/>
    <w:rsid w:val="0020339D"/>
    <w:rsid w:val="00205844"/>
    <w:rsid w:val="00207A3D"/>
    <w:rsid w:val="00214E83"/>
    <w:rsid w:val="00216C33"/>
    <w:rsid w:val="00220041"/>
    <w:rsid w:val="00224FB1"/>
    <w:rsid w:val="00231894"/>
    <w:rsid w:val="00236BAC"/>
    <w:rsid w:val="00241A97"/>
    <w:rsid w:val="002467F5"/>
    <w:rsid w:val="00251099"/>
    <w:rsid w:val="002627F0"/>
    <w:rsid w:val="0026529F"/>
    <w:rsid w:val="00265A83"/>
    <w:rsid w:val="002771ED"/>
    <w:rsid w:val="00282FC5"/>
    <w:rsid w:val="002900FF"/>
    <w:rsid w:val="002A3B45"/>
    <w:rsid w:val="002A5F6D"/>
    <w:rsid w:val="002B1167"/>
    <w:rsid w:val="002B28C2"/>
    <w:rsid w:val="002B784A"/>
    <w:rsid w:val="002E38BA"/>
    <w:rsid w:val="002E50DD"/>
    <w:rsid w:val="002E515B"/>
    <w:rsid w:val="002E6A7C"/>
    <w:rsid w:val="002F0E50"/>
    <w:rsid w:val="002F7557"/>
    <w:rsid w:val="002F7D58"/>
    <w:rsid w:val="00303166"/>
    <w:rsid w:val="0030413F"/>
    <w:rsid w:val="00306FF1"/>
    <w:rsid w:val="00307C9E"/>
    <w:rsid w:val="00311CEE"/>
    <w:rsid w:val="00313947"/>
    <w:rsid w:val="00316F7E"/>
    <w:rsid w:val="00322DAA"/>
    <w:rsid w:val="00324B8C"/>
    <w:rsid w:val="00326A64"/>
    <w:rsid w:val="0033448C"/>
    <w:rsid w:val="00340CBA"/>
    <w:rsid w:val="00344699"/>
    <w:rsid w:val="003513BF"/>
    <w:rsid w:val="0035226C"/>
    <w:rsid w:val="00361429"/>
    <w:rsid w:val="00367442"/>
    <w:rsid w:val="00370544"/>
    <w:rsid w:val="0037793C"/>
    <w:rsid w:val="003856B5"/>
    <w:rsid w:val="00393477"/>
    <w:rsid w:val="003A33A6"/>
    <w:rsid w:val="003A71B4"/>
    <w:rsid w:val="003B4B3A"/>
    <w:rsid w:val="003C00AF"/>
    <w:rsid w:val="003C3773"/>
    <w:rsid w:val="003D0A2A"/>
    <w:rsid w:val="003D1581"/>
    <w:rsid w:val="003D24FE"/>
    <w:rsid w:val="003E6C5B"/>
    <w:rsid w:val="003E6D40"/>
    <w:rsid w:val="003E7496"/>
    <w:rsid w:val="003F1C14"/>
    <w:rsid w:val="00402032"/>
    <w:rsid w:val="004069F7"/>
    <w:rsid w:val="00411B21"/>
    <w:rsid w:val="00413A5F"/>
    <w:rsid w:val="0042319A"/>
    <w:rsid w:val="00425DF8"/>
    <w:rsid w:val="00430867"/>
    <w:rsid w:val="00431FB7"/>
    <w:rsid w:val="00436C50"/>
    <w:rsid w:val="0043708A"/>
    <w:rsid w:val="00441CD3"/>
    <w:rsid w:val="00443503"/>
    <w:rsid w:val="00443753"/>
    <w:rsid w:val="00453B66"/>
    <w:rsid w:val="0046261C"/>
    <w:rsid w:val="00465226"/>
    <w:rsid w:val="004667E3"/>
    <w:rsid w:val="00470D6E"/>
    <w:rsid w:val="00481B7F"/>
    <w:rsid w:val="00484BFC"/>
    <w:rsid w:val="00484C9E"/>
    <w:rsid w:val="00491BEC"/>
    <w:rsid w:val="004A389B"/>
    <w:rsid w:val="004A6396"/>
    <w:rsid w:val="004C0417"/>
    <w:rsid w:val="004C3667"/>
    <w:rsid w:val="004C4F13"/>
    <w:rsid w:val="004C76B2"/>
    <w:rsid w:val="004D16F3"/>
    <w:rsid w:val="004D6B8C"/>
    <w:rsid w:val="004D6D95"/>
    <w:rsid w:val="004E028E"/>
    <w:rsid w:val="004E265D"/>
    <w:rsid w:val="004E2A7A"/>
    <w:rsid w:val="004E439E"/>
    <w:rsid w:val="004E68CD"/>
    <w:rsid w:val="004E7520"/>
    <w:rsid w:val="00501B5A"/>
    <w:rsid w:val="00503FF1"/>
    <w:rsid w:val="00507423"/>
    <w:rsid w:val="00507CC6"/>
    <w:rsid w:val="005278DB"/>
    <w:rsid w:val="005308FA"/>
    <w:rsid w:val="00531048"/>
    <w:rsid w:val="00531C51"/>
    <w:rsid w:val="00532A2B"/>
    <w:rsid w:val="005368D9"/>
    <w:rsid w:val="00545805"/>
    <w:rsid w:val="00547746"/>
    <w:rsid w:val="005530AA"/>
    <w:rsid w:val="00553ECB"/>
    <w:rsid w:val="0055666B"/>
    <w:rsid w:val="00562719"/>
    <w:rsid w:val="005654D7"/>
    <w:rsid w:val="00567174"/>
    <w:rsid w:val="0057085D"/>
    <w:rsid w:val="00592206"/>
    <w:rsid w:val="00593961"/>
    <w:rsid w:val="00596D24"/>
    <w:rsid w:val="00597CFC"/>
    <w:rsid w:val="005A0BC9"/>
    <w:rsid w:val="005A4058"/>
    <w:rsid w:val="005A6B6F"/>
    <w:rsid w:val="005A7BE8"/>
    <w:rsid w:val="005B305E"/>
    <w:rsid w:val="005B3900"/>
    <w:rsid w:val="005B6288"/>
    <w:rsid w:val="005C038E"/>
    <w:rsid w:val="005C10C7"/>
    <w:rsid w:val="005C3AA5"/>
    <w:rsid w:val="005D729B"/>
    <w:rsid w:val="005E2F32"/>
    <w:rsid w:val="005E322D"/>
    <w:rsid w:val="005E5F4F"/>
    <w:rsid w:val="005E636B"/>
    <w:rsid w:val="005F4723"/>
    <w:rsid w:val="00606055"/>
    <w:rsid w:val="0061410F"/>
    <w:rsid w:val="00644279"/>
    <w:rsid w:val="00647884"/>
    <w:rsid w:val="006652B0"/>
    <w:rsid w:val="00673AE3"/>
    <w:rsid w:val="006755E1"/>
    <w:rsid w:val="0068776C"/>
    <w:rsid w:val="006905EE"/>
    <w:rsid w:val="00690611"/>
    <w:rsid w:val="00691381"/>
    <w:rsid w:val="006A6599"/>
    <w:rsid w:val="006B2F11"/>
    <w:rsid w:val="006B3918"/>
    <w:rsid w:val="006C70E7"/>
    <w:rsid w:val="006D11D3"/>
    <w:rsid w:val="006D14F8"/>
    <w:rsid w:val="006D72CF"/>
    <w:rsid w:val="006E27C5"/>
    <w:rsid w:val="006F559C"/>
    <w:rsid w:val="00701674"/>
    <w:rsid w:val="00710DFB"/>
    <w:rsid w:val="00716234"/>
    <w:rsid w:val="007167FD"/>
    <w:rsid w:val="00716F0E"/>
    <w:rsid w:val="00720476"/>
    <w:rsid w:val="0073456C"/>
    <w:rsid w:val="0073712D"/>
    <w:rsid w:val="0073797F"/>
    <w:rsid w:val="007405FB"/>
    <w:rsid w:val="00741C14"/>
    <w:rsid w:val="00745183"/>
    <w:rsid w:val="00747CEE"/>
    <w:rsid w:val="0075098D"/>
    <w:rsid w:val="0075282A"/>
    <w:rsid w:val="00754E53"/>
    <w:rsid w:val="007568A4"/>
    <w:rsid w:val="00756B50"/>
    <w:rsid w:val="00765F6D"/>
    <w:rsid w:val="007675C0"/>
    <w:rsid w:val="00780F5B"/>
    <w:rsid w:val="007813EC"/>
    <w:rsid w:val="007819AA"/>
    <w:rsid w:val="00787AB7"/>
    <w:rsid w:val="007A47B8"/>
    <w:rsid w:val="007C26DC"/>
    <w:rsid w:val="007C3081"/>
    <w:rsid w:val="007C4FD7"/>
    <w:rsid w:val="007C6A7C"/>
    <w:rsid w:val="007D3070"/>
    <w:rsid w:val="007F0E6B"/>
    <w:rsid w:val="007F2961"/>
    <w:rsid w:val="007F4BB7"/>
    <w:rsid w:val="00811911"/>
    <w:rsid w:val="0081555E"/>
    <w:rsid w:val="00816849"/>
    <w:rsid w:val="0081781A"/>
    <w:rsid w:val="00823313"/>
    <w:rsid w:val="008246FF"/>
    <w:rsid w:val="008252D1"/>
    <w:rsid w:val="008370AE"/>
    <w:rsid w:val="00837109"/>
    <w:rsid w:val="00841139"/>
    <w:rsid w:val="008437F0"/>
    <w:rsid w:val="008451D1"/>
    <w:rsid w:val="00851C02"/>
    <w:rsid w:val="00856BC3"/>
    <w:rsid w:val="008576BA"/>
    <w:rsid w:val="0087258F"/>
    <w:rsid w:val="00872A79"/>
    <w:rsid w:val="008741C2"/>
    <w:rsid w:val="00891EF0"/>
    <w:rsid w:val="00892A01"/>
    <w:rsid w:val="0089449A"/>
    <w:rsid w:val="00896FAF"/>
    <w:rsid w:val="008978DA"/>
    <w:rsid w:val="008A2885"/>
    <w:rsid w:val="008A7CE4"/>
    <w:rsid w:val="008B4EE6"/>
    <w:rsid w:val="008B58D7"/>
    <w:rsid w:val="008C0C35"/>
    <w:rsid w:val="008C10C0"/>
    <w:rsid w:val="008D39A5"/>
    <w:rsid w:val="008E1E25"/>
    <w:rsid w:val="008E5ABD"/>
    <w:rsid w:val="008F1B5C"/>
    <w:rsid w:val="008F2112"/>
    <w:rsid w:val="00901097"/>
    <w:rsid w:val="00907E46"/>
    <w:rsid w:val="00907ECE"/>
    <w:rsid w:val="009335EE"/>
    <w:rsid w:val="009426E0"/>
    <w:rsid w:val="009430C4"/>
    <w:rsid w:val="009507B5"/>
    <w:rsid w:val="009535E5"/>
    <w:rsid w:val="0096460C"/>
    <w:rsid w:val="00983DCC"/>
    <w:rsid w:val="00990CB5"/>
    <w:rsid w:val="00990E16"/>
    <w:rsid w:val="009946DD"/>
    <w:rsid w:val="009A044B"/>
    <w:rsid w:val="009A0A14"/>
    <w:rsid w:val="009A7084"/>
    <w:rsid w:val="009B1264"/>
    <w:rsid w:val="009B2367"/>
    <w:rsid w:val="009B3B1E"/>
    <w:rsid w:val="009B5F83"/>
    <w:rsid w:val="009B78D3"/>
    <w:rsid w:val="009C0059"/>
    <w:rsid w:val="009C25E2"/>
    <w:rsid w:val="009C6624"/>
    <w:rsid w:val="009C7E5B"/>
    <w:rsid w:val="009D5D45"/>
    <w:rsid w:val="009D66AA"/>
    <w:rsid w:val="009E01FF"/>
    <w:rsid w:val="009E6F4C"/>
    <w:rsid w:val="009E73E3"/>
    <w:rsid w:val="009F78F8"/>
    <w:rsid w:val="00A03389"/>
    <w:rsid w:val="00A046B8"/>
    <w:rsid w:val="00A0479B"/>
    <w:rsid w:val="00A05F9F"/>
    <w:rsid w:val="00A11656"/>
    <w:rsid w:val="00A12785"/>
    <w:rsid w:val="00A14EDC"/>
    <w:rsid w:val="00A24F5B"/>
    <w:rsid w:val="00A30A66"/>
    <w:rsid w:val="00A31F0B"/>
    <w:rsid w:val="00A35A38"/>
    <w:rsid w:val="00A44F23"/>
    <w:rsid w:val="00A464DD"/>
    <w:rsid w:val="00A60CD7"/>
    <w:rsid w:val="00A675BF"/>
    <w:rsid w:val="00A739DE"/>
    <w:rsid w:val="00A77863"/>
    <w:rsid w:val="00A80BC7"/>
    <w:rsid w:val="00A81AA1"/>
    <w:rsid w:val="00A82F93"/>
    <w:rsid w:val="00A94857"/>
    <w:rsid w:val="00AA04A8"/>
    <w:rsid w:val="00AA5394"/>
    <w:rsid w:val="00AA7D97"/>
    <w:rsid w:val="00AB38B8"/>
    <w:rsid w:val="00AB49DF"/>
    <w:rsid w:val="00AC5556"/>
    <w:rsid w:val="00AC7DA3"/>
    <w:rsid w:val="00AD2CEB"/>
    <w:rsid w:val="00AD4868"/>
    <w:rsid w:val="00AD4CCB"/>
    <w:rsid w:val="00AD56FF"/>
    <w:rsid w:val="00AE3BBC"/>
    <w:rsid w:val="00AF138E"/>
    <w:rsid w:val="00B0647A"/>
    <w:rsid w:val="00B13662"/>
    <w:rsid w:val="00B162E4"/>
    <w:rsid w:val="00B17B2E"/>
    <w:rsid w:val="00B24A76"/>
    <w:rsid w:val="00B25CE7"/>
    <w:rsid w:val="00B33309"/>
    <w:rsid w:val="00B359B6"/>
    <w:rsid w:val="00B411D4"/>
    <w:rsid w:val="00B41320"/>
    <w:rsid w:val="00B435BB"/>
    <w:rsid w:val="00B466B9"/>
    <w:rsid w:val="00B51E08"/>
    <w:rsid w:val="00B52447"/>
    <w:rsid w:val="00B61ED9"/>
    <w:rsid w:val="00B64E28"/>
    <w:rsid w:val="00B65E2C"/>
    <w:rsid w:val="00B75823"/>
    <w:rsid w:val="00B8065D"/>
    <w:rsid w:val="00B852CA"/>
    <w:rsid w:val="00B8655C"/>
    <w:rsid w:val="00B8744C"/>
    <w:rsid w:val="00B910F2"/>
    <w:rsid w:val="00BA13EC"/>
    <w:rsid w:val="00BA16E1"/>
    <w:rsid w:val="00BA5D6F"/>
    <w:rsid w:val="00BA6A0F"/>
    <w:rsid w:val="00BB4E2F"/>
    <w:rsid w:val="00BC103E"/>
    <w:rsid w:val="00BC3646"/>
    <w:rsid w:val="00BC66B4"/>
    <w:rsid w:val="00BD1877"/>
    <w:rsid w:val="00BD3410"/>
    <w:rsid w:val="00BD70A6"/>
    <w:rsid w:val="00BF19AB"/>
    <w:rsid w:val="00BF6807"/>
    <w:rsid w:val="00C0028C"/>
    <w:rsid w:val="00C045E6"/>
    <w:rsid w:val="00C11D84"/>
    <w:rsid w:val="00C16594"/>
    <w:rsid w:val="00C22E0E"/>
    <w:rsid w:val="00C23795"/>
    <w:rsid w:val="00C244F7"/>
    <w:rsid w:val="00C24D64"/>
    <w:rsid w:val="00C3403C"/>
    <w:rsid w:val="00C47CFE"/>
    <w:rsid w:val="00C51CDC"/>
    <w:rsid w:val="00C51D6E"/>
    <w:rsid w:val="00C528C0"/>
    <w:rsid w:val="00C53E72"/>
    <w:rsid w:val="00C56FB9"/>
    <w:rsid w:val="00C57C02"/>
    <w:rsid w:val="00C613EB"/>
    <w:rsid w:val="00C7144C"/>
    <w:rsid w:val="00C73005"/>
    <w:rsid w:val="00C918F1"/>
    <w:rsid w:val="00CB05E1"/>
    <w:rsid w:val="00CB18EE"/>
    <w:rsid w:val="00CB1DB7"/>
    <w:rsid w:val="00CC053F"/>
    <w:rsid w:val="00CC2D07"/>
    <w:rsid w:val="00CC5960"/>
    <w:rsid w:val="00CD0601"/>
    <w:rsid w:val="00CD2984"/>
    <w:rsid w:val="00CF3021"/>
    <w:rsid w:val="00CF468C"/>
    <w:rsid w:val="00CF6D01"/>
    <w:rsid w:val="00D04D2B"/>
    <w:rsid w:val="00D10C4C"/>
    <w:rsid w:val="00D12F0A"/>
    <w:rsid w:val="00D145DD"/>
    <w:rsid w:val="00D163A4"/>
    <w:rsid w:val="00D236BB"/>
    <w:rsid w:val="00D24449"/>
    <w:rsid w:val="00D329DC"/>
    <w:rsid w:val="00D41007"/>
    <w:rsid w:val="00D410EE"/>
    <w:rsid w:val="00D4597C"/>
    <w:rsid w:val="00D51BE1"/>
    <w:rsid w:val="00D524D8"/>
    <w:rsid w:val="00D530D3"/>
    <w:rsid w:val="00D57EEB"/>
    <w:rsid w:val="00D617EA"/>
    <w:rsid w:val="00D74939"/>
    <w:rsid w:val="00D74F8D"/>
    <w:rsid w:val="00D80238"/>
    <w:rsid w:val="00D908C1"/>
    <w:rsid w:val="00D949A4"/>
    <w:rsid w:val="00DA2973"/>
    <w:rsid w:val="00DA5F37"/>
    <w:rsid w:val="00DA76E7"/>
    <w:rsid w:val="00DB013B"/>
    <w:rsid w:val="00DC0315"/>
    <w:rsid w:val="00DD4C90"/>
    <w:rsid w:val="00DD5254"/>
    <w:rsid w:val="00DF0E2D"/>
    <w:rsid w:val="00DF5618"/>
    <w:rsid w:val="00DF665E"/>
    <w:rsid w:val="00E03960"/>
    <w:rsid w:val="00E03F16"/>
    <w:rsid w:val="00E07731"/>
    <w:rsid w:val="00E17576"/>
    <w:rsid w:val="00E21732"/>
    <w:rsid w:val="00E2401E"/>
    <w:rsid w:val="00E33732"/>
    <w:rsid w:val="00E43DC6"/>
    <w:rsid w:val="00E446D3"/>
    <w:rsid w:val="00E46237"/>
    <w:rsid w:val="00E54771"/>
    <w:rsid w:val="00E57881"/>
    <w:rsid w:val="00E66869"/>
    <w:rsid w:val="00E67018"/>
    <w:rsid w:val="00E70A0C"/>
    <w:rsid w:val="00E76235"/>
    <w:rsid w:val="00E8029E"/>
    <w:rsid w:val="00E833E3"/>
    <w:rsid w:val="00E847BB"/>
    <w:rsid w:val="00E90440"/>
    <w:rsid w:val="00EA69C9"/>
    <w:rsid w:val="00EA7726"/>
    <w:rsid w:val="00EB0058"/>
    <w:rsid w:val="00EB1F87"/>
    <w:rsid w:val="00EB3829"/>
    <w:rsid w:val="00EB784C"/>
    <w:rsid w:val="00EC53FC"/>
    <w:rsid w:val="00ED14CD"/>
    <w:rsid w:val="00ED3E9F"/>
    <w:rsid w:val="00ED5893"/>
    <w:rsid w:val="00EE5811"/>
    <w:rsid w:val="00EF0275"/>
    <w:rsid w:val="00EF3562"/>
    <w:rsid w:val="00F07B08"/>
    <w:rsid w:val="00F25CAF"/>
    <w:rsid w:val="00F26A98"/>
    <w:rsid w:val="00F4384C"/>
    <w:rsid w:val="00F44A01"/>
    <w:rsid w:val="00F459D4"/>
    <w:rsid w:val="00F5035D"/>
    <w:rsid w:val="00F537F2"/>
    <w:rsid w:val="00F54715"/>
    <w:rsid w:val="00F6150D"/>
    <w:rsid w:val="00F67397"/>
    <w:rsid w:val="00F7559C"/>
    <w:rsid w:val="00F772D4"/>
    <w:rsid w:val="00F82340"/>
    <w:rsid w:val="00F863EF"/>
    <w:rsid w:val="00F87130"/>
    <w:rsid w:val="00F91848"/>
    <w:rsid w:val="00F96DD9"/>
    <w:rsid w:val="00FB65A5"/>
    <w:rsid w:val="00FC0145"/>
    <w:rsid w:val="00FC0EB9"/>
    <w:rsid w:val="00FC4CC6"/>
    <w:rsid w:val="00FC5458"/>
    <w:rsid w:val="00FE4784"/>
    <w:rsid w:val="00FE5D5D"/>
    <w:rsid w:val="00FF3789"/>
    <w:rsid w:val="00FF6DD6"/>
    <w:rsid w:val="00FF75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D4D4D"/>
  <w15:chartTrackingRefBased/>
  <w15:docId w15:val="{60A34D2E-8BCE-9141-B33D-B4388785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8"/>
        <w:lang w:val="en-Z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030"/>
  </w:style>
  <w:style w:type="paragraph" w:styleId="Heading1">
    <w:name w:val="heading 1"/>
    <w:basedOn w:val="Normal"/>
    <w:next w:val="Normal"/>
    <w:link w:val="Heading1Char"/>
    <w:qFormat/>
    <w:rsid w:val="00093030"/>
    <w:pPr>
      <w:keepNext/>
      <w:spacing w:line="360" w:lineRule="auto"/>
      <w:outlineLvl w:val="0"/>
    </w:pPr>
    <w:rPr>
      <w:b/>
      <w:bCs/>
      <w:sz w:val="28"/>
    </w:rPr>
  </w:style>
  <w:style w:type="paragraph" w:styleId="Heading3">
    <w:name w:val="heading 3"/>
    <w:basedOn w:val="Normal"/>
    <w:next w:val="Normal"/>
    <w:link w:val="Heading3Char"/>
    <w:qFormat/>
    <w:rsid w:val="00093030"/>
    <w:pPr>
      <w:keepNext/>
      <w:spacing w:line="360" w:lineRule="auto"/>
      <w:jc w:val="both"/>
      <w:outlineLvl w:val="2"/>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030"/>
    <w:rPr>
      <w:rFonts w:ascii="Arial" w:eastAsia="Times New Roman" w:hAnsi="Arial" w:cs="Arial"/>
      <w:b/>
      <w:bCs/>
      <w:sz w:val="28"/>
      <w:lang w:val="en-GB"/>
    </w:rPr>
  </w:style>
  <w:style w:type="character" w:customStyle="1" w:styleId="Heading3Char">
    <w:name w:val="Heading 3 Char"/>
    <w:basedOn w:val="DefaultParagraphFont"/>
    <w:link w:val="Heading3"/>
    <w:rsid w:val="00093030"/>
    <w:rPr>
      <w:rFonts w:ascii="Arial" w:eastAsia="Times New Roman" w:hAnsi="Arial" w:cs="Arial"/>
      <w:i/>
      <w:iCs/>
      <w:sz w:val="28"/>
      <w:lang w:val="en-GB"/>
    </w:rPr>
  </w:style>
  <w:style w:type="paragraph" w:styleId="Header">
    <w:name w:val="header"/>
    <w:basedOn w:val="Normal"/>
    <w:link w:val="HeaderChar"/>
    <w:uiPriority w:val="99"/>
    <w:rsid w:val="00093030"/>
    <w:pPr>
      <w:tabs>
        <w:tab w:val="center" w:pos="4153"/>
        <w:tab w:val="right" w:pos="8306"/>
      </w:tabs>
    </w:pPr>
  </w:style>
  <w:style w:type="character" w:customStyle="1" w:styleId="HeaderChar">
    <w:name w:val="Header Char"/>
    <w:basedOn w:val="DefaultParagraphFont"/>
    <w:link w:val="Header"/>
    <w:uiPriority w:val="99"/>
    <w:rsid w:val="00093030"/>
    <w:rPr>
      <w:rFonts w:ascii="Times New Roman" w:eastAsia="Times New Roman" w:hAnsi="Times New Roman" w:cs="Times New Roman"/>
      <w:lang w:val="en-GB"/>
    </w:rPr>
  </w:style>
  <w:style w:type="character" w:styleId="PageNumber">
    <w:name w:val="page number"/>
    <w:basedOn w:val="DefaultParagraphFont"/>
    <w:rsid w:val="00093030"/>
    <w:rPr>
      <w:rFonts w:cs="Times New Roman"/>
    </w:rPr>
  </w:style>
  <w:style w:type="paragraph" w:styleId="FootnoteText">
    <w:name w:val="footnote text"/>
    <w:basedOn w:val="Normal"/>
    <w:link w:val="FootnoteTextChar"/>
    <w:uiPriority w:val="99"/>
    <w:rsid w:val="00093030"/>
    <w:rPr>
      <w:sz w:val="20"/>
      <w:szCs w:val="20"/>
    </w:rPr>
  </w:style>
  <w:style w:type="character" w:customStyle="1" w:styleId="FootnoteTextChar">
    <w:name w:val="Footnote Text Char"/>
    <w:basedOn w:val="DefaultParagraphFont"/>
    <w:link w:val="FootnoteText"/>
    <w:uiPriority w:val="99"/>
    <w:rsid w:val="00093030"/>
    <w:rPr>
      <w:rFonts w:ascii="Times New Roman" w:eastAsia="Times New Roman" w:hAnsi="Times New Roman" w:cs="Times New Roman"/>
      <w:sz w:val="20"/>
      <w:szCs w:val="20"/>
      <w:lang w:val="en-GB"/>
    </w:rPr>
  </w:style>
  <w:style w:type="paragraph" w:customStyle="1" w:styleId="Pa3">
    <w:name w:val="Pa3"/>
    <w:basedOn w:val="Normal"/>
    <w:next w:val="Normal"/>
    <w:uiPriority w:val="99"/>
    <w:rsid w:val="00093030"/>
    <w:pPr>
      <w:autoSpaceDE w:val="0"/>
      <w:autoSpaceDN w:val="0"/>
      <w:adjustRightInd w:val="0"/>
      <w:spacing w:line="241" w:lineRule="atLeast"/>
    </w:pPr>
  </w:style>
  <w:style w:type="paragraph" w:styleId="NormalIndent">
    <w:name w:val="Normal Indent"/>
    <w:basedOn w:val="Normal"/>
    <w:uiPriority w:val="99"/>
    <w:semiHidden/>
    <w:unhideWhenUsed/>
    <w:rsid w:val="00093030"/>
    <w:pPr>
      <w:spacing w:line="480" w:lineRule="auto"/>
      <w:ind w:left="720"/>
      <w:jc w:val="both"/>
    </w:pPr>
    <w:rPr>
      <w:sz w:val="28"/>
    </w:rPr>
  </w:style>
  <w:style w:type="paragraph" w:styleId="ListParagraph">
    <w:name w:val="List Paragraph"/>
    <w:basedOn w:val="Normal"/>
    <w:uiPriority w:val="34"/>
    <w:qFormat/>
    <w:rsid w:val="00093030"/>
    <w:pPr>
      <w:ind w:left="720"/>
      <w:contextualSpacing/>
    </w:pPr>
  </w:style>
  <w:style w:type="paragraph" w:styleId="Footer">
    <w:name w:val="footer"/>
    <w:basedOn w:val="Normal"/>
    <w:link w:val="FooterChar"/>
    <w:uiPriority w:val="99"/>
    <w:unhideWhenUsed/>
    <w:rsid w:val="00E57881"/>
    <w:pPr>
      <w:tabs>
        <w:tab w:val="center" w:pos="4680"/>
        <w:tab w:val="right" w:pos="9360"/>
      </w:tabs>
    </w:pPr>
  </w:style>
  <w:style w:type="character" w:customStyle="1" w:styleId="FooterChar">
    <w:name w:val="Footer Char"/>
    <w:basedOn w:val="DefaultParagraphFont"/>
    <w:link w:val="Footer"/>
    <w:uiPriority w:val="99"/>
    <w:rsid w:val="00E57881"/>
    <w:rPr>
      <w:rFonts w:ascii="Times New Roman" w:eastAsia="Times New Roman" w:hAnsi="Times New Roman" w:cs="Times New Roman"/>
      <w:lang w:val="en-GB"/>
    </w:rPr>
  </w:style>
  <w:style w:type="character" w:styleId="FootnoteReference">
    <w:name w:val="footnote reference"/>
    <w:basedOn w:val="DefaultParagraphFont"/>
    <w:uiPriority w:val="99"/>
    <w:semiHidden/>
    <w:unhideWhenUsed/>
    <w:rsid w:val="00AC7DA3"/>
    <w:rPr>
      <w:vertAlign w:val="superscript"/>
    </w:rPr>
  </w:style>
  <w:style w:type="paragraph" w:styleId="Revision">
    <w:name w:val="Revision"/>
    <w:hidden/>
    <w:uiPriority w:val="99"/>
    <w:semiHidden/>
    <w:rsid w:val="00597CFC"/>
  </w:style>
  <w:style w:type="character" w:styleId="CommentReference">
    <w:name w:val="annotation reference"/>
    <w:basedOn w:val="DefaultParagraphFont"/>
    <w:uiPriority w:val="99"/>
    <w:semiHidden/>
    <w:unhideWhenUsed/>
    <w:rsid w:val="005E322D"/>
    <w:rPr>
      <w:sz w:val="16"/>
      <w:szCs w:val="16"/>
    </w:rPr>
  </w:style>
  <w:style w:type="paragraph" w:styleId="CommentText">
    <w:name w:val="annotation text"/>
    <w:basedOn w:val="Normal"/>
    <w:link w:val="CommentTextChar"/>
    <w:uiPriority w:val="99"/>
    <w:unhideWhenUsed/>
    <w:rsid w:val="005E322D"/>
    <w:rPr>
      <w:sz w:val="20"/>
      <w:szCs w:val="20"/>
    </w:rPr>
  </w:style>
  <w:style w:type="character" w:customStyle="1" w:styleId="CommentTextChar">
    <w:name w:val="Comment Text Char"/>
    <w:basedOn w:val="DefaultParagraphFont"/>
    <w:link w:val="CommentText"/>
    <w:uiPriority w:val="99"/>
    <w:rsid w:val="005E322D"/>
    <w:rPr>
      <w:sz w:val="20"/>
      <w:szCs w:val="20"/>
    </w:rPr>
  </w:style>
  <w:style w:type="paragraph" w:styleId="CommentSubject">
    <w:name w:val="annotation subject"/>
    <w:basedOn w:val="CommentText"/>
    <w:next w:val="CommentText"/>
    <w:link w:val="CommentSubjectChar"/>
    <w:uiPriority w:val="99"/>
    <w:semiHidden/>
    <w:unhideWhenUsed/>
    <w:rsid w:val="005E322D"/>
    <w:rPr>
      <w:b/>
      <w:bCs/>
    </w:rPr>
  </w:style>
  <w:style w:type="character" w:customStyle="1" w:styleId="CommentSubjectChar">
    <w:name w:val="Comment Subject Char"/>
    <w:basedOn w:val="CommentTextChar"/>
    <w:link w:val="CommentSubject"/>
    <w:uiPriority w:val="99"/>
    <w:semiHidden/>
    <w:rsid w:val="005E32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FCAF3-AFAE-417F-89A2-301AB3AA7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5577</Words>
  <Characters>31794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Wallis</dc:creator>
  <cp:keywords/>
  <dc:description/>
  <cp:lastModifiedBy>Mary Bruce</cp:lastModifiedBy>
  <cp:revision>4</cp:revision>
  <dcterms:created xsi:type="dcterms:W3CDTF">2023-11-30T07:58:00Z</dcterms:created>
  <dcterms:modified xsi:type="dcterms:W3CDTF">2023-12-01T15:31:00Z</dcterms:modified>
</cp:coreProperties>
</file>