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6D" w:rsidRPr="00B355E5" w:rsidRDefault="006C196D" w:rsidP="006C196D">
      <w:pPr>
        <w:spacing w:before="240" w:after="240" w:line="360" w:lineRule="auto"/>
        <w:jc w:val="both"/>
        <w:rPr>
          <w:sz w:val="28"/>
          <w:szCs w:val="28"/>
        </w:rPr>
      </w:pPr>
      <w:bookmarkStart w:id="0" w:name="_GoBack"/>
      <w:bookmarkEnd w:id="0"/>
      <w:r w:rsidRPr="00B355E5">
        <w:rPr>
          <w:noProof/>
          <w:sz w:val="28"/>
          <w:szCs w:val="28"/>
          <w:lang w:val="en-ZA" w:eastAsia="en-ZA"/>
        </w:rPr>
        <w:drawing>
          <wp:anchor distT="0" distB="0" distL="114300" distR="114300" simplePos="0" relativeHeight="251665408" behindDoc="0" locked="0" layoutInCell="1" allowOverlap="1" wp14:anchorId="14A31657" wp14:editId="4F9CB277">
            <wp:simplePos x="0" y="0"/>
            <wp:positionH relativeFrom="margin">
              <wp:align>center</wp:align>
            </wp:positionH>
            <wp:positionV relativeFrom="paragraph">
              <wp:posOffset>0</wp:posOffset>
            </wp:positionV>
            <wp:extent cx="831215" cy="996950"/>
            <wp:effectExtent l="0" t="0" r="6985" b="0"/>
            <wp:wrapTopAndBottom/>
            <wp:docPr id="5" name="Picture 5"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tarm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996950"/>
                    </a:xfrm>
                    <a:prstGeom prst="rect">
                      <a:avLst/>
                    </a:prstGeom>
                    <a:noFill/>
                  </pic:spPr>
                </pic:pic>
              </a:graphicData>
            </a:graphic>
            <wp14:sizeRelH relativeFrom="page">
              <wp14:pctWidth>0</wp14:pctWidth>
            </wp14:sizeRelH>
            <wp14:sizeRelV relativeFrom="page">
              <wp14:pctHeight>0</wp14:pctHeight>
            </wp14:sizeRelV>
          </wp:anchor>
        </w:drawing>
      </w:r>
    </w:p>
    <w:p w:rsidR="006C196D" w:rsidRPr="00B355E5" w:rsidRDefault="006C196D" w:rsidP="006C196D">
      <w:pPr>
        <w:spacing w:before="240" w:after="240" w:line="240" w:lineRule="auto"/>
        <w:jc w:val="center"/>
        <w:rPr>
          <w:b/>
          <w:bCs/>
          <w:sz w:val="28"/>
          <w:szCs w:val="28"/>
        </w:rPr>
      </w:pPr>
      <w:r w:rsidRPr="00B355E5">
        <w:rPr>
          <w:b/>
          <w:bCs/>
          <w:sz w:val="28"/>
          <w:szCs w:val="28"/>
        </w:rPr>
        <w:t>THE SUPREME COURT OF APPEAL OF SOUTH AFRICA</w:t>
      </w:r>
    </w:p>
    <w:p w:rsidR="006C196D" w:rsidRPr="00B355E5" w:rsidRDefault="006C196D" w:rsidP="006C196D">
      <w:pPr>
        <w:spacing w:before="240" w:after="240" w:line="240" w:lineRule="auto"/>
        <w:jc w:val="center"/>
        <w:rPr>
          <w:b/>
          <w:sz w:val="28"/>
          <w:szCs w:val="28"/>
        </w:rPr>
      </w:pPr>
      <w:r w:rsidRPr="00B355E5">
        <w:rPr>
          <w:b/>
          <w:sz w:val="28"/>
          <w:szCs w:val="28"/>
        </w:rPr>
        <w:t>JUDGMENT</w:t>
      </w:r>
    </w:p>
    <w:p w:rsidR="006C196D" w:rsidRPr="00B355E5" w:rsidRDefault="006C196D" w:rsidP="006C196D">
      <w:pPr>
        <w:spacing w:before="240" w:after="240"/>
        <w:jc w:val="right"/>
        <w:rPr>
          <w:b/>
          <w:sz w:val="28"/>
          <w:szCs w:val="28"/>
        </w:rPr>
      </w:pPr>
      <w:r w:rsidRPr="00B355E5">
        <w:rPr>
          <w:b/>
          <w:sz w:val="28"/>
          <w:szCs w:val="28"/>
        </w:rPr>
        <w:t>Not Reportable</w:t>
      </w:r>
    </w:p>
    <w:p w:rsidR="006C196D" w:rsidRPr="00B355E5" w:rsidRDefault="006C196D" w:rsidP="006C196D">
      <w:pPr>
        <w:spacing w:before="240" w:after="240"/>
        <w:jc w:val="right"/>
        <w:rPr>
          <w:sz w:val="28"/>
          <w:szCs w:val="28"/>
        </w:rPr>
      </w:pPr>
      <w:r w:rsidRPr="00B355E5">
        <w:rPr>
          <w:sz w:val="28"/>
          <w:szCs w:val="28"/>
        </w:rPr>
        <w:t>Case no. 1004/2022</w:t>
      </w:r>
    </w:p>
    <w:p w:rsidR="006C196D" w:rsidRPr="00B355E5" w:rsidRDefault="006C196D" w:rsidP="006C196D">
      <w:pPr>
        <w:spacing w:before="240" w:after="240" w:line="360" w:lineRule="auto"/>
        <w:jc w:val="both"/>
        <w:rPr>
          <w:sz w:val="28"/>
          <w:szCs w:val="28"/>
        </w:rPr>
      </w:pPr>
      <w:r w:rsidRPr="00B355E5">
        <w:rPr>
          <w:sz w:val="28"/>
          <w:szCs w:val="28"/>
        </w:rPr>
        <w:t>In the matter between:</w:t>
      </w:r>
    </w:p>
    <w:p w:rsidR="006C196D" w:rsidRPr="00B355E5" w:rsidRDefault="006C196D" w:rsidP="006C196D">
      <w:pPr>
        <w:spacing w:before="240" w:after="240" w:line="360" w:lineRule="auto"/>
        <w:jc w:val="both"/>
        <w:rPr>
          <w:sz w:val="28"/>
          <w:szCs w:val="28"/>
        </w:rPr>
      </w:pPr>
      <w:r w:rsidRPr="00B355E5">
        <w:rPr>
          <w:b/>
          <w:bCs/>
          <w:iCs/>
          <w:sz w:val="28"/>
          <w:szCs w:val="28"/>
        </w:rPr>
        <w:t>LEGAL PRACTICE COUNCIL</w:t>
      </w:r>
      <w:r w:rsidRPr="00B355E5">
        <w:rPr>
          <w:b/>
          <w:bCs/>
          <w:iCs/>
          <w:sz w:val="28"/>
          <w:szCs w:val="28"/>
        </w:rPr>
        <w:tab/>
      </w:r>
      <w:r w:rsidRPr="00B355E5">
        <w:rPr>
          <w:b/>
          <w:bCs/>
          <w:iCs/>
          <w:sz w:val="28"/>
          <w:szCs w:val="28"/>
        </w:rPr>
        <w:tab/>
      </w:r>
      <w:r w:rsidRPr="00B355E5">
        <w:rPr>
          <w:b/>
          <w:bCs/>
          <w:iCs/>
          <w:sz w:val="28"/>
          <w:szCs w:val="28"/>
        </w:rPr>
        <w:tab/>
      </w:r>
      <w:r w:rsidRPr="00B355E5">
        <w:rPr>
          <w:b/>
          <w:bCs/>
          <w:iCs/>
          <w:sz w:val="28"/>
          <w:szCs w:val="28"/>
        </w:rPr>
        <w:tab/>
      </w:r>
      <w:r w:rsidRPr="00B355E5">
        <w:rPr>
          <w:b/>
          <w:bCs/>
          <w:iCs/>
          <w:sz w:val="28"/>
          <w:szCs w:val="28"/>
        </w:rPr>
        <w:tab/>
      </w:r>
      <w:r w:rsidR="00B355E5">
        <w:rPr>
          <w:b/>
          <w:bCs/>
          <w:iCs/>
          <w:sz w:val="28"/>
          <w:szCs w:val="28"/>
        </w:rPr>
        <w:t>          </w:t>
      </w:r>
      <w:r w:rsidR="00B355E5">
        <w:rPr>
          <w:iCs/>
          <w:sz w:val="28"/>
          <w:szCs w:val="28"/>
        </w:rPr>
        <w:t>Appellant</w:t>
      </w:r>
    </w:p>
    <w:p w:rsidR="006C196D" w:rsidRPr="00B355E5" w:rsidRDefault="006C196D" w:rsidP="006C196D">
      <w:pPr>
        <w:spacing w:before="240" w:after="240" w:line="360" w:lineRule="auto"/>
        <w:jc w:val="both"/>
        <w:rPr>
          <w:sz w:val="28"/>
          <w:szCs w:val="28"/>
        </w:rPr>
      </w:pPr>
      <w:r w:rsidRPr="00B355E5">
        <w:rPr>
          <w:sz w:val="28"/>
          <w:szCs w:val="28"/>
        </w:rPr>
        <w:t>and</w:t>
      </w:r>
    </w:p>
    <w:p w:rsidR="006C196D" w:rsidRPr="00B355E5" w:rsidRDefault="006C196D" w:rsidP="006C196D">
      <w:pPr>
        <w:spacing w:before="240" w:after="240" w:line="240" w:lineRule="auto"/>
        <w:jc w:val="both"/>
        <w:rPr>
          <w:bCs/>
          <w:sz w:val="28"/>
          <w:szCs w:val="28"/>
        </w:rPr>
      </w:pPr>
      <w:r w:rsidRPr="00B355E5">
        <w:rPr>
          <w:b/>
          <w:sz w:val="28"/>
          <w:szCs w:val="28"/>
        </w:rPr>
        <w:t>BULELANI RUBUSHE</w:t>
      </w:r>
      <w:r w:rsidR="00B355E5">
        <w:rPr>
          <w:bCs/>
          <w:sz w:val="28"/>
          <w:szCs w:val="28"/>
        </w:rPr>
        <w:tab/>
      </w:r>
      <w:r w:rsidR="00B355E5">
        <w:rPr>
          <w:bCs/>
          <w:sz w:val="28"/>
          <w:szCs w:val="28"/>
        </w:rPr>
        <w:tab/>
      </w:r>
      <w:r w:rsidR="00B355E5">
        <w:rPr>
          <w:bCs/>
          <w:sz w:val="28"/>
          <w:szCs w:val="28"/>
        </w:rPr>
        <w:tab/>
      </w:r>
      <w:r w:rsidR="00B355E5">
        <w:rPr>
          <w:bCs/>
          <w:sz w:val="28"/>
          <w:szCs w:val="28"/>
        </w:rPr>
        <w:tab/>
      </w:r>
      <w:r w:rsidR="00B355E5">
        <w:rPr>
          <w:bCs/>
          <w:sz w:val="28"/>
          <w:szCs w:val="28"/>
        </w:rPr>
        <w:tab/>
      </w:r>
      <w:r w:rsidR="00B355E5">
        <w:rPr>
          <w:bCs/>
          <w:sz w:val="28"/>
          <w:szCs w:val="28"/>
        </w:rPr>
        <w:tab/>
        <w:t>       Respondent</w:t>
      </w:r>
    </w:p>
    <w:p w:rsidR="006C196D" w:rsidRPr="00B355E5" w:rsidRDefault="006C196D" w:rsidP="006C196D">
      <w:pPr>
        <w:spacing w:before="240" w:after="240" w:line="240" w:lineRule="auto"/>
        <w:jc w:val="both"/>
        <w:rPr>
          <w:bCs/>
          <w:sz w:val="28"/>
          <w:szCs w:val="28"/>
        </w:rPr>
      </w:pPr>
    </w:p>
    <w:p w:rsidR="006C196D" w:rsidRPr="00B355E5" w:rsidRDefault="006C196D" w:rsidP="006C196D">
      <w:pPr>
        <w:spacing w:before="240" w:after="240" w:line="360" w:lineRule="auto"/>
        <w:jc w:val="both"/>
        <w:rPr>
          <w:bCs/>
          <w:sz w:val="28"/>
          <w:szCs w:val="28"/>
        </w:rPr>
      </w:pPr>
      <w:r w:rsidRPr="00B355E5">
        <w:rPr>
          <w:b/>
          <w:bCs/>
          <w:sz w:val="28"/>
          <w:szCs w:val="28"/>
        </w:rPr>
        <w:t>Neutral Citation:</w:t>
      </w:r>
      <w:r w:rsidRPr="00B355E5">
        <w:rPr>
          <w:bCs/>
          <w:sz w:val="28"/>
          <w:szCs w:val="28"/>
        </w:rPr>
        <w:t xml:space="preserve"> </w:t>
      </w:r>
      <w:r w:rsidRPr="00B355E5">
        <w:rPr>
          <w:bCs/>
          <w:i/>
          <w:sz w:val="28"/>
          <w:szCs w:val="28"/>
        </w:rPr>
        <w:t>Legal Practice Council v Bulelani Rubushe</w:t>
      </w:r>
      <w:r w:rsidRPr="00B355E5">
        <w:rPr>
          <w:bCs/>
          <w:sz w:val="28"/>
          <w:szCs w:val="28"/>
        </w:rPr>
        <w:t xml:space="preserve"> (Case no 1</w:t>
      </w:r>
      <w:r w:rsidR="003D1E3B">
        <w:rPr>
          <w:bCs/>
          <w:sz w:val="28"/>
          <w:szCs w:val="28"/>
        </w:rPr>
        <w:t>004/2022) [2023] ZASCA 167</w:t>
      </w:r>
      <w:r w:rsidR="00B72734">
        <w:rPr>
          <w:bCs/>
          <w:sz w:val="28"/>
          <w:szCs w:val="28"/>
        </w:rPr>
        <w:t xml:space="preserve"> (1 December 2023)</w:t>
      </w:r>
    </w:p>
    <w:p w:rsidR="006C196D" w:rsidRPr="00B355E5" w:rsidRDefault="006C196D" w:rsidP="006C196D">
      <w:pPr>
        <w:spacing w:before="240" w:after="240" w:line="360" w:lineRule="auto"/>
        <w:ind w:left="1440" w:hanging="1440"/>
        <w:jc w:val="both"/>
        <w:rPr>
          <w:bCs/>
          <w:sz w:val="28"/>
          <w:szCs w:val="28"/>
        </w:rPr>
      </w:pPr>
      <w:r w:rsidRPr="00B355E5">
        <w:rPr>
          <w:b/>
          <w:bCs/>
          <w:sz w:val="28"/>
          <w:szCs w:val="28"/>
        </w:rPr>
        <w:t>Coram:</w:t>
      </w:r>
      <w:r w:rsidRPr="00B355E5">
        <w:rPr>
          <w:b/>
          <w:bCs/>
          <w:sz w:val="28"/>
          <w:szCs w:val="28"/>
        </w:rPr>
        <w:tab/>
      </w:r>
      <w:r w:rsidRPr="00B355E5">
        <w:rPr>
          <w:bCs/>
          <w:sz w:val="28"/>
          <w:szCs w:val="28"/>
        </w:rPr>
        <w:t>PETSE DP and MBATHA JA and MUSI, BINNS-WARD and KATHREE-SETILOANE AJJA</w:t>
      </w:r>
    </w:p>
    <w:p w:rsidR="006C196D" w:rsidRPr="00B355E5" w:rsidRDefault="006C196D" w:rsidP="006C196D">
      <w:pPr>
        <w:spacing w:before="240" w:after="240" w:line="360" w:lineRule="auto"/>
        <w:ind w:left="1440" w:hanging="1440"/>
        <w:jc w:val="both"/>
        <w:rPr>
          <w:bCs/>
          <w:sz w:val="28"/>
          <w:szCs w:val="28"/>
        </w:rPr>
      </w:pPr>
      <w:r w:rsidRPr="00B355E5">
        <w:rPr>
          <w:b/>
          <w:bCs/>
          <w:sz w:val="28"/>
          <w:szCs w:val="28"/>
        </w:rPr>
        <w:t>Heard:</w:t>
      </w:r>
      <w:r w:rsidRPr="00B355E5">
        <w:rPr>
          <w:b/>
          <w:bCs/>
          <w:sz w:val="28"/>
          <w:szCs w:val="28"/>
        </w:rPr>
        <w:tab/>
      </w:r>
      <w:r w:rsidRPr="00B355E5">
        <w:rPr>
          <w:bCs/>
          <w:sz w:val="28"/>
          <w:szCs w:val="28"/>
        </w:rPr>
        <w:t>22 November 2023</w:t>
      </w:r>
    </w:p>
    <w:p w:rsidR="006C196D" w:rsidRPr="00B355E5" w:rsidRDefault="006C196D" w:rsidP="006C196D">
      <w:pPr>
        <w:spacing w:before="240" w:after="240" w:line="360" w:lineRule="auto"/>
        <w:ind w:left="1440" w:hanging="1440"/>
        <w:jc w:val="both"/>
        <w:rPr>
          <w:bCs/>
          <w:sz w:val="28"/>
          <w:szCs w:val="28"/>
        </w:rPr>
      </w:pPr>
      <w:r w:rsidRPr="00B355E5">
        <w:rPr>
          <w:b/>
          <w:bCs/>
          <w:sz w:val="28"/>
          <w:szCs w:val="28"/>
        </w:rPr>
        <w:t>Delivered:</w:t>
      </w:r>
      <w:r w:rsidR="00DC7318">
        <w:rPr>
          <w:bCs/>
          <w:sz w:val="28"/>
          <w:szCs w:val="28"/>
        </w:rPr>
        <w:tab/>
        <w:t>1</w:t>
      </w:r>
      <w:r w:rsidRPr="00B355E5">
        <w:rPr>
          <w:bCs/>
          <w:sz w:val="28"/>
          <w:szCs w:val="28"/>
        </w:rPr>
        <w:t xml:space="preserve"> </w:t>
      </w:r>
      <w:r w:rsidR="00D846A6" w:rsidRPr="00B355E5">
        <w:rPr>
          <w:bCs/>
          <w:sz w:val="28"/>
          <w:szCs w:val="28"/>
        </w:rPr>
        <w:t>December</w:t>
      </w:r>
      <w:r w:rsidRPr="00B355E5">
        <w:rPr>
          <w:bCs/>
          <w:sz w:val="28"/>
          <w:szCs w:val="28"/>
        </w:rPr>
        <w:t xml:space="preserve"> 2023</w:t>
      </w:r>
    </w:p>
    <w:p w:rsidR="006C196D" w:rsidRDefault="006C196D" w:rsidP="006C196D">
      <w:pPr>
        <w:spacing w:before="240" w:after="240" w:line="360" w:lineRule="auto"/>
        <w:rPr>
          <w:bCs/>
          <w:sz w:val="28"/>
          <w:szCs w:val="28"/>
        </w:rPr>
      </w:pPr>
      <w:r w:rsidRPr="00B355E5">
        <w:rPr>
          <w:b/>
          <w:bCs/>
          <w:sz w:val="28"/>
          <w:szCs w:val="28"/>
        </w:rPr>
        <w:t>Summary:</w:t>
      </w:r>
      <w:r w:rsidRPr="00B355E5">
        <w:rPr>
          <w:b/>
          <w:bCs/>
          <w:sz w:val="28"/>
          <w:szCs w:val="28"/>
        </w:rPr>
        <w:tab/>
      </w:r>
      <w:r w:rsidRPr="00B355E5">
        <w:rPr>
          <w:bCs/>
          <w:sz w:val="28"/>
          <w:szCs w:val="28"/>
        </w:rPr>
        <w:t>Legal Practitioner – misconduct involving dishonesty – striking from the roll appropriate remedy –</w:t>
      </w:r>
      <w:r w:rsidRPr="00B355E5">
        <w:rPr>
          <w:bCs/>
          <w:sz w:val="28"/>
          <w:szCs w:val="28"/>
          <w:vertAlign w:val="superscript"/>
        </w:rPr>
        <w:t xml:space="preserve"> </w:t>
      </w:r>
      <w:r w:rsidRPr="00B355E5">
        <w:rPr>
          <w:bCs/>
          <w:sz w:val="28"/>
          <w:szCs w:val="28"/>
        </w:rPr>
        <w:t xml:space="preserve">court a quo </w:t>
      </w:r>
      <w:r w:rsidR="00D846A6" w:rsidRPr="00B355E5">
        <w:rPr>
          <w:bCs/>
          <w:sz w:val="28"/>
          <w:szCs w:val="28"/>
        </w:rPr>
        <w:t>making material misdirection</w:t>
      </w:r>
      <w:r w:rsidRPr="00B355E5">
        <w:rPr>
          <w:bCs/>
          <w:sz w:val="28"/>
          <w:szCs w:val="28"/>
        </w:rPr>
        <w:t xml:space="preserve"> in </w:t>
      </w:r>
      <w:r w:rsidRPr="00B355E5">
        <w:rPr>
          <w:bCs/>
          <w:sz w:val="28"/>
          <w:szCs w:val="28"/>
        </w:rPr>
        <w:lastRenderedPageBreak/>
        <w:t xml:space="preserve">suspending the </w:t>
      </w:r>
      <w:r w:rsidR="001A16CB" w:rsidRPr="00B355E5">
        <w:rPr>
          <w:bCs/>
          <w:sz w:val="28"/>
          <w:szCs w:val="28"/>
        </w:rPr>
        <w:t>respondent from practising</w:t>
      </w:r>
      <w:r w:rsidRPr="00B355E5">
        <w:rPr>
          <w:bCs/>
          <w:sz w:val="28"/>
          <w:szCs w:val="28"/>
        </w:rPr>
        <w:t xml:space="preserve"> for two years –</w:t>
      </w:r>
      <w:r w:rsidRPr="00B355E5">
        <w:rPr>
          <w:bCs/>
          <w:sz w:val="28"/>
          <w:szCs w:val="28"/>
          <w:vertAlign w:val="superscript"/>
        </w:rPr>
        <w:t xml:space="preserve"> </w:t>
      </w:r>
      <w:r w:rsidRPr="00B355E5">
        <w:rPr>
          <w:bCs/>
          <w:sz w:val="28"/>
          <w:szCs w:val="28"/>
        </w:rPr>
        <w:t>suspension order set aside on appeal and replaced with striking order.</w:t>
      </w: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Default="003D1E3B" w:rsidP="006C196D">
      <w:pPr>
        <w:spacing w:before="240" w:after="240" w:line="360" w:lineRule="auto"/>
        <w:rPr>
          <w:bCs/>
          <w:sz w:val="28"/>
          <w:szCs w:val="28"/>
        </w:rPr>
      </w:pPr>
    </w:p>
    <w:p w:rsidR="003D1E3B" w:rsidRPr="00B355E5" w:rsidRDefault="003D1E3B" w:rsidP="006C196D">
      <w:pPr>
        <w:spacing w:before="240" w:after="240" w:line="360" w:lineRule="auto"/>
        <w:rPr>
          <w:bCs/>
          <w:sz w:val="28"/>
          <w:szCs w:val="28"/>
        </w:rPr>
      </w:pPr>
    </w:p>
    <w:p w:rsidR="006C196D" w:rsidRPr="00B355E5" w:rsidRDefault="006C196D" w:rsidP="006C196D">
      <w:pPr>
        <w:spacing w:before="240" w:after="240" w:line="240" w:lineRule="auto"/>
        <w:jc w:val="both"/>
        <w:rPr>
          <w:sz w:val="28"/>
          <w:szCs w:val="28"/>
        </w:rPr>
      </w:pPr>
      <w:r w:rsidRPr="00B355E5">
        <w:rPr>
          <w:sz w:val="28"/>
          <w:szCs w:val="28"/>
        </w:rPr>
        <w:lastRenderedPageBreak/>
        <w:t>________________________________________________________________</w:t>
      </w:r>
    </w:p>
    <w:p w:rsidR="006C196D" w:rsidRPr="00B355E5" w:rsidRDefault="006C196D" w:rsidP="006C196D">
      <w:pPr>
        <w:spacing w:before="0" w:after="0" w:line="240" w:lineRule="auto"/>
        <w:jc w:val="center"/>
        <w:rPr>
          <w:b/>
          <w:bCs/>
          <w:sz w:val="28"/>
          <w:szCs w:val="28"/>
        </w:rPr>
      </w:pPr>
    </w:p>
    <w:p w:rsidR="006C196D" w:rsidRPr="00B355E5" w:rsidRDefault="006C196D" w:rsidP="006C196D">
      <w:pPr>
        <w:spacing w:before="0" w:after="0" w:line="240" w:lineRule="auto"/>
        <w:jc w:val="center"/>
        <w:rPr>
          <w:b/>
          <w:bCs/>
          <w:sz w:val="28"/>
          <w:szCs w:val="28"/>
        </w:rPr>
      </w:pPr>
      <w:r w:rsidRPr="00B355E5">
        <w:rPr>
          <w:b/>
          <w:bCs/>
          <w:sz w:val="28"/>
          <w:szCs w:val="28"/>
        </w:rPr>
        <w:t>ORDER</w:t>
      </w:r>
    </w:p>
    <w:p w:rsidR="006C196D" w:rsidRPr="00B355E5" w:rsidRDefault="006C196D" w:rsidP="006C196D">
      <w:pPr>
        <w:spacing w:before="0" w:after="0" w:line="240" w:lineRule="auto"/>
        <w:jc w:val="center"/>
        <w:rPr>
          <w:b/>
          <w:bCs/>
          <w:sz w:val="28"/>
          <w:szCs w:val="28"/>
        </w:rPr>
      </w:pPr>
    </w:p>
    <w:p w:rsidR="006C196D" w:rsidRPr="00B355E5" w:rsidRDefault="006C196D" w:rsidP="006C196D">
      <w:pPr>
        <w:spacing w:before="240" w:after="240" w:line="240" w:lineRule="auto"/>
        <w:jc w:val="both"/>
        <w:rPr>
          <w:sz w:val="28"/>
          <w:szCs w:val="28"/>
        </w:rPr>
      </w:pPr>
      <w:r w:rsidRPr="00B355E5">
        <w:rPr>
          <w:noProof/>
          <w:sz w:val="28"/>
          <w:szCs w:val="28"/>
          <w:lang w:val="en-ZA" w:eastAsia="en-ZA"/>
        </w:rPr>
        <mc:AlternateContent>
          <mc:Choice Requires="wps">
            <w:drawing>
              <wp:anchor distT="0" distB="0" distL="114300" distR="114300" simplePos="0" relativeHeight="251667456" behindDoc="0" locked="0" layoutInCell="1" allowOverlap="1" wp14:anchorId="2AF3C71F" wp14:editId="652AC155">
                <wp:simplePos x="0" y="0"/>
                <wp:positionH relativeFrom="column">
                  <wp:posOffset>0</wp:posOffset>
                </wp:positionH>
                <wp:positionV relativeFrom="paragraph">
                  <wp:posOffset>99060</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lc="http://schemas.openxmlformats.org/drawingml/2006/lockedCanva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2930"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"/>
            </w:pict>
          </mc:Fallback>
        </mc:AlternateContent>
      </w:r>
    </w:p>
    <w:p w:rsidR="006C196D" w:rsidRPr="00B355E5" w:rsidRDefault="006C196D" w:rsidP="006C196D">
      <w:pPr>
        <w:spacing w:before="240" w:after="240" w:line="360" w:lineRule="auto"/>
        <w:rPr>
          <w:bCs/>
          <w:sz w:val="28"/>
          <w:szCs w:val="28"/>
        </w:rPr>
      </w:pPr>
      <w:r w:rsidRPr="00B355E5">
        <w:rPr>
          <w:b/>
          <w:bCs/>
          <w:sz w:val="28"/>
          <w:szCs w:val="28"/>
        </w:rPr>
        <w:t>On appeal from:</w:t>
      </w:r>
      <w:r w:rsidRPr="00B355E5">
        <w:rPr>
          <w:sz w:val="28"/>
          <w:szCs w:val="28"/>
        </w:rPr>
        <w:t xml:space="preserve"> </w:t>
      </w:r>
      <w:r w:rsidRPr="00B355E5">
        <w:rPr>
          <w:bCs/>
          <w:sz w:val="28"/>
          <w:szCs w:val="28"/>
        </w:rPr>
        <w:t>Eastern Cape Division of the High Court of South Africa</w:t>
      </w:r>
      <w:r w:rsidR="00D846A6" w:rsidRPr="00B355E5">
        <w:rPr>
          <w:bCs/>
          <w:sz w:val="28"/>
          <w:szCs w:val="28"/>
        </w:rPr>
        <w:t>, Makhanda</w:t>
      </w:r>
      <w:r w:rsidRPr="00B355E5">
        <w:rPr>
          <w:bCs/>
          <w:sz w:val="28"/>
          <w:szCs w:val="28"/>
        </w:rPr>
        <w:t xml:space="preserve"> (Jolwana J, Govindjee J concurring) sitting as a court of first instance: </w:t>
      </w:r>
    </w:p>
    <w:p w:rsidR="006C196D" w:rsidRPr="00223805" w:rsidRDefault="00223805" w:rsidP="00223805">
      <w:pPr>
        <w:spacing w:before="240" w:after="240" w:line="360" w:lineRule="auto"/>
        <w:ind w:left="720" w:hanging="578"/>
        <w:rPr>
          <w:bCs/>
          <w:sz w:val="28"/>
          <w:szCs w:val="28"/>
        </w:rPr>
      </w:pPr>
      <w:r w:rsidRPr="00B355E5">
        <w:rPr>
          <w:bCs/>
          <w:sz w:val="28"/>
          <w:szCs w:val="28"/>
        </w:rPr>
        <w:t>1.</w:t>
      </w:r>
      <w:r w:rsidRPr="00B355E5">
        <w:rPr>
          <w:bCs/>
          <w:sz w:val="28"/>
          <w:szCs w:val="28"/>
        </w:rPr>
        <w:tab/>
      </w:r>
      <w:r w:rsidR="006C196D" w:rsidRPr="00223805">
        <w:rPr>
          <w:bCs/>
          <w:sz w:val="28"/>
          <w:szCs w:val="28"/>
        </w:rPr>
        <w:t>The appeal is upheld with costs on the scale as between attorney and client.</w:t>
      </w:r>
    </w:p>
    <w:p w:rsidR="006C196D" w:rsidRPr="00223805" w:rsidRDefault="00223805" w:rsidP="00223805">
      <w:pPr>
        <w:spacing w:before="240" w:after="240" w:line="360" w:lineRule="auto"/>
        <w:ind w:left="720" w:hanging="578"/>
        <w:jc w:val="both"/>
        <w:rPr>
          <w:sz w:val="28"/>
          <w:szCs w:val="28"/>
        </w:rPr>
      </w:pPr>
      <w:r w:rsidRPr="00B355E5">
        <w:rPr>
          <w:sz w:val="28"/>
          <w:szCs w:val="28"/>
        </w:rPr>
        <w:t>2.</w:t>
      </w:r>
      <w:r w:rsidRPr="00B355E5">
        <w:rPr>
          <w:sz w:val="28"/>
          <w:szCs w:val="28"/>
        </w:rPr>
        <w:tab/>
      </w:r>
      <w:r w:rsidR="006C196D" w:rsidRPr="00223805">
        <w:rPr>
          <w:sz w:val="28"/>
          <w:szCs w:val="28"/>
        </w:rPr>
        <w:t xml:space="preserve">Paragraphs 1 and 11 of the revised order of the High Court </w:t>
      </w:r>
      <w:r w:rsidR="00D846A6" w:rsidRPr="00223805">
        <w:rPr>
          <w:sz w:val="28"/>
          <w:szCs w:val="28"/>
        </w:rPr>
        <w:t xml:space="preserve">issued </w:t>
      </w:r>
      <w:r w:rsidR="006C196D" w:rsidRPr="00223805">
        <w:rPr>
          <w:sz w:val="28"/>
          <w:szCs w:val="28"/>
        </w:rPr>
        <w:t>on 4 August 2022 are set aside.</w:t>
      </w:r>
    </w:p>
    <w:p w:rsidR="006C196D" w:rsidRPr="00223805" w:rsidRDefault="00223805" w:rsidP="00223805">
      <w:pPr>
        <w:spacing w:before="240" w:after="240" w:line="360" w:lineRule="auto"/>
        <w:ind w:left="720" w:hanging="578"/>
        <w:jc w:val="both"/>
        <w:rPr>
          <w:sz w:val="28"/>
          <w:szCs w:val="28"/>
        </w:rPr>
      </w:pPr>
      <w:r w:rsidRPr="00B355E5">
        <w:rPr>
          <w:sz w:val="28"/>
          <w:szCs w:val="28"/>
        </w:rPr>
        <w:t>3.</w:t>
      </w:r>
      <w:r w:rsidRPr="00B355E5">
        <w:rPr>
          <w:sz w:val="28"/>
          <w:szCs w:val="28"/>
        </w:rPr>
        <w:tab/>
      </w:r>
      <w:r w:rsidR="006C196D" w:rsidRPr="00223805">
        <w:rPr>
          <w:sz w:val="28"/>
          <w:szCs w:val="28"/>
        </w:rPr>
        <w:t xml:space="preserve">Paragraph 1 of the said order is substituted with an order directing that the </w:t>
      </w:r>
      <w:r w:rsidR="00C91DA2" w:rsidRPr="00223805">
        <w:rPr>
          <w:sz w:val="28"/>
          <w:szCs w:val="28"/>
        </w:rPr>
        <w:t>respondent’s</w:t>
      </w:r>
      <w:r w:rsidR="006C196D" w:rsidRPr="00223805">
        <w:rPr>
          <w:sz w:val="28"/>
          <w:szCs w:val="28"/>
        </w:rPr>
        <w:t xml:space="preserve"> name be struck off the roll of legal practitioners kept by the applicant in terms of s 30(3) of the Legal Practice Act 28 of 2014, and paragraph 12 of the said order is consequentially renumbered as paragraph 11.</w:t>
      </w:r>
    </w:p>
    <w:p w:rsidR="006C196D" w:rsidRPr="00223805" w:rsidRDefault="00223805" w:rsidP="00223805">
      <w:pPr>
        <w:spacing w:before="240" w:after="240" w:line="360" w:lineRule="auto"/>
        <w:ind w:left="720" w:hanging="578"/>
        <w:jc w:val="both"/>
        <w:rPr>
          <w:sz w:val="28"/>
          <w:szCs w:val="28"/>
        </w:rPr>
      </w:pPr>
      <w:r w:rsidRPr="00B355E5">
        <w:rPr>
          <w:sz w:val="28"/>
          <w:szCs w:val="28"/>
        </w:rPr>
        <w:t>4.</w:t>
      </w:r>
      <w:r w:rsidRPr="00B355E5">
        <w:rPr>
          <w:sz w:val="28"/>
          <w:szCs w:val="28"/>
        </w:rPr>
        <w:tab/>
      </w:r>
      <w:r w:rsidR="006C196D" w:rsidRPr="00223805">
        <w:rPr>
          <w:sz w:val="28"/>
          <w:szCs w:val="28"/>
        </w:rPr>
        <w:t>Save as provided in paragraphs 2 and 3 above, the revised order made by the High Court is otherwise confirmed.</w:t>
      </w:r>
    </w:p>
    <w:p w:rsidR="006C196D" w:rsidRPr="00B355E5" w:rsidRDefault="006C196D" w:rsidP="006C196D">
      <w:pPr>
        <w:keepNext/>
        <w:spacing w:before="0" w:after="0" w:line="360" w:lineRule="auto"/>
        <w:jc w:val="center"/>
        <w:rPr>
          <w:b/>
          <w:bCs/>
          <w:sz w:val="28"/>
          <w:szCs w:val="28"/>
        </w:rPr>
      </w:pPr>
      <w:r w:rsidRPr="00B355E5">
        <w:rPr>
          <w:sz w:val="28"/>
          <w:szCs w:val="28"/>
        </w:rPr>
        <w:lastRenderedPageBreak/>
        <w:t>________________________________________________________________</w:t>
      </w:r>
      <w:r w:rsidRPr="00B355E5">
        <w:rPr>
          <w:b/>
          <w:bCs/>
          <w:sz w:val="28"/>
          <w:szCs w:val="28"/>
        </w:rPr>
        <w:t>JUDGMENT</w:t>
      </w:r>
    </w:p>
    <w:p w:rsidR="006C196D" w:rsidRPr="00B355E5" w:rsidRDefault="006C196D" w:rsidP="006C196D">
      <w:pPr>
        <w:keepNext/>
        <w:spacing w:before="0" w:after="0" w:line="360" w:lineRule="auto"/>
        <w:jc w:val="both"/>
        <w:rPr>
          <w:b/>
          <w:bCs/>
          <w:sz w:val="28"/>
          <w:szCs w:val="28"/>
        </w:rPr>
      </w:pPr>
      <w:r w:rsidRPr="00B355E5">
        <w:rPr>
          <w:b/>
          <w:bCs/>
          <w:sz w:val="28"/>
          <w:szCs w:val="28"/>
        </w:rPr>
        <w:t>________________________________________________________________</w:t>
      </w:r>
    </w:p>
    <w:p w:rsidR="00EA5838" w:rsidRPr="00B355E5" w:rsidRDefault="00EA5838" w:rsidP="006C196D">
      <w:pPr>
        <w:keepNext/>
        <w:spacing w:before="240" w:after="240" w:line="360" w:lineRule="auto"/>
        <w:jc w:val="both"/>
        <w:rPr>
          <w:b/>
          <w:sz w:val="28"/>
          <w:szCs w:val="28"/>
        </w:rPr>
      </w:pPr>
      <w:r w:rsidRPr="00B355E5">
        <w:rPr>
          <w:b/>
          <w:sz w:val="28"/>
          <w:szCs w:val="28"/>
        </w:rPr>
        <w:t>BINNS-WARD AJA (</w:t>
      </w:r>
      <w:r w:rsidR="00530C56" w:rsidRPr="00B355E5">
        <w:rPr>
          <w:b/>
          <w:sz w:val="28"/>
          <w:szCs w:val="28"/>
        </w:rPr>
        <w:t xml:space="preserve">PETSE DP and MBATHA JA and MUSI and KATHREE-SETILOANE AJJA </w:t>
      </w:r>
      <w:r w:rsidRPr="00B355E5">
        <w:rPr>
          <w:b/>
          <w:sz w:val="28"/>
          <w:szCs w:val="28"/>
        </w:rPr>
        <w:t>concurring):</w:t>
      </w:r>
    </w:p>
    <w:p w:rsidR="004345AD" w:rsidRPr="00223805" w:rsidRDefault="00223805" w:rsidP="00223805">
      <w:pPr>
        <w:spacing w:before="240" w:after="240" w:line="360" w:lineRule="auto"/>
        <w:jc w:val="both"/>
        <w:rPr>
          <w:sz w:val="28"/>
          <w:szCs w:val="28"/>
        </w:rPr>
      </w:pPr>
      <w:r w:rsidRPr="00B355E5">
        <w:rPr>
          <w:sz w:val="28"/>
          <w:szCs w:val="28"/>
        </w:rPr>
        <w:t>[1]</w:t>
      </w:r>
      <w:r w:rsidRPr="00B355E5">
        <w:rPr>
          <w:sz w:val="28"/>
          <w:szCs w:val="28"/>
        </w:rPr>
        <w:tab/>
      </w:r>
      <w:r w:rsidR="005075FC" w:rsidRPr="00223805">
        <w:rPr>
          <w:sz w:val="28"/>
          <w:szCs w:val="28"/>
        </w:rPr>
        <w:t>The respondent, Mr Bulelani Rubushe, was an attorney practising for his own account under the name and style B.R. Rubushe Attorneys at Vincent, East London.</w:t>
      </w:r>
      <w:r w:rsidR="005D211D" w:rsidRPr="00223805">
        <w:rPr>
          <w:sz w:val="28"/>
          <w:szCs w:val="28"/>
        </w:rPr>
        <w:t xml:space="preserve">  Consequent upon proceedi</w:t>
      </w:r>
      <w:r w:rsidR="002160FD" w:rsidRPr="00223805">
        <w:rPr>
          <w:sz w:val="28"/>
          <w:szCs w:val="28"/>
        </w:rPr>
        <w:t xml:space="preserve">ngs instituted by the Legal Practice Council (the appellant) </w:t>
      </w:r>
      <w:r w:rsidR="005D211D" w:rsidRPr="00223805">
        <w:rPr>
          <w:sz w:val="28"/>
          <w:szCs w:val="28"/>
        </w:rPr>
        <w:t>arising from the respondent’s dishonest misconduct</w:t>
      </w:r>
      <w:r w:rsidR="00537AAC" w:rsidRPr="00223805">
        <w:rPr>
          <w:sz w:val="28"/>
          <w:szCs w:val="28"/>
        </w:rPr>
        <w:t>,</w:t>
      </w:r>
      <w:r w:rsidR="005D211D" w:rsidRPr="00223805">
        <w:rPr>
          <w:sz w:val="28"/>
          <w:szCs w:val="28"/>
        </w:rPr>
        <w:t xml:space="preserve"> </w:t>
      </w:r>
      <w:r w:rsidR="00CD2810" w:rsidRPr="00223805">
        <w:rPr>
          <w:sz w:val="28"/>
          <w:szCs w:val="28"/>
        </w:rPr>
        <w:t xml:space="preserve">the </w:t>
      </w:r>
      <w:r w:rsidR="00CB17B5" w:rsidRPr="00223805">
        <w:rPr>
          <w:bCs/>
          <w:sz w:val="28"/>
          <w:szCs w:val="28"/>
        </w:rPr>
        <w:t>Eastern Cape Division</w:t>
      </w:r>
      <w:r w:rsidR="00CB17B5" w:rsidRPr="00223805">
        <w:rPr>
          <w:sz w:val="28"/>
          <w:szCs w:val="28"/>
        </w:rPr>
        <w:t xml:space="preserve"> of </w:t>
      </w:r>
      <w:r w:rsidR="005D211D" w:rsidRPr="00223805">
        <w:rPr>
          <w:sz w:val="28"/>
          <w:szCs w:val="28"/>
        </w:rPr>
        <w:t xml:space="preserve">the </w:t>
      </w:r>
      <w:r w:rsidR="00CB17B5" w:rsidRPr="00223805">
        <w:rPr>
          <w:sz w:val="28"/>
          <w:szCs w:val="28"/>
        </w:rPr>
        <w:t>High Court</w:t>
      </w:r>
      <w:r w:rsidR="005D211D" w:rsidRPr="00223805">
        <w:rPr>
          <w:sz w:val="28"/>
          <w:szCs w:val="28"/>
        </w:rPr>
        <w:t xml:space="preserve"> (Jolwana J, Govindjee J concurring)</w:t>
      </w:r>
      <w:r w:rsidR="00E333F3" w:rsidRPr="00223805">
        <w:rPr>
          <w:sz w:val="28"/>
          <w:szCs w:val="28"/>
        </w:rPr>
        <w:t xml:space="preserve"> made an order that provided, in paragraph 1 thereof, that the respondent be suspended from practising as an attorney for a period of two years, and, in paragraph 11, that ‘[a]fter </w:t>
      </w:r>
      <w:r w:rsidR="00537AAC" w:rsidRPr="00223805">
        <w:rPr>
          <w:sz w:val="28"/>
          <w:szCs w:val="28"/>
        </w:rPr>
        <w:t xml:space="preserve">the expiry of the suspension period, and in the event that the Respondent is desirous of </w:t>
      </w:r>
      <w:r w:rsidR="00BE6467" w:rsidRPr="00223805">
        <w:rPr>
          <w:sz w:val="28"/>
          <w:szCs w:val="28"/>
        </w:rPr>
        <w:t>practising as an attorney</w:t>
      </w:r>
      <w:r w:rsidR="00537AAC" w:rsidRPr="00223805">
        <w:rPr>
          <w:sz w:val="28"/>
          <w:szCs w:val="28"/>
        </w:rPr>
        <w:t>, he shall make a substantive application to the High Court having jurisdiction to be permitted to practi</w:t>
      </w:r>
      <w:r w:rsidR="00BE6467" w:rsidRPr="00223805">
        <w:rPr>
          <w:sz w:val="28"/>
          <w:szCs w:val="28"/>
        </w:rPr>
        <w:t>se</w:t>
      </w:r>
      <w:r w:rsidR="00537AAC" w:rsidRPr="00223805">
        <w:rPr>
          <w:sz w:val="28"/>
          <w:szCs w:val="28"/>
        </w:rPr>
        <w:t xml:space="preserve"> as an attorney and shall serve such application upon the Legal Practice Council</w:t>
      </w:r>
      <w:r w:rsidR="00CB17B5" w:rsidRPr="00223805">
        <w:rPr>
          <w:sz w:val="28"/>
          <w:szCs w:val="28"/>
        </w:rPr>
        <w:t>’</w:t>
      </w:r>
      <w:r w:rsidR="00CD2810" w:rsidRPr="00223805">
        <w:rPr>
          <w:sz w:val="28"/>
          <w:szCs w:val="28"/>
        </w:rPr>
        <w:t>.</w:t>
      </w:r>
      <w:r w:rsidR="00404B07" w:rsidRPr="00B355E5">
        <w:rPr>
          <w:rStyle w:val="FootnoteReference"/>
          <w:sz w:val="28"/>
          <w:szCs w:val="28"/>
        </w:rPr>
        <w:footnoteReference w:id="1"/>
      </w:r>
      <w:r w:rsidR="00404B07" w:rsidRPr="00223805">
        <w:rPr>
          <w:sz w:val="28"/>
          <w:szCs w:val="28"/>
        </w:rPr>
        <w:t xml:space="preserve">  </w:t>
      </w:r>
      <w:r w:rsidR="00402946" w:rsidRPr="00223805">
        <w:rPr>
          <w:sz w:val="28"/>
          <w:szCs w:val="28"/>
        </w:rPr>
        <w:t>This appeal</w:t>
      </w:r>
      <w:r w:rsidR="00DD53AF" w:rsidRPr="00223805">
        <w:rPr>
          <w:sz w:val="28"/>
          <w:szCs w:val="28"/>
        </w:rPr>
        <w:t xml:space="preserve">, which is brought with leave granted by the </w:t>
      </w:r>
      <w:r w:rsidR="00A61A7B" w:rsidRPr="00223805">
        <w:rPr>
          <w:sz w:val="28"/>
          <w:szCs w:val="28"/>
        </w:rPr>
        <w:t>High Court</w:t>
      </w:r>
      <w:r w:rsidR="00DD53AF" w:rsidRPr="00223805">
        <w:rPr>
          <w:sz w:val="28"/>
          <w:szCs w:val="28"/>
        </w:rPr>
        <w:t>,</w:t>
      </w:r>
      <w:r w:rsidR="00A61A7B" w:rsidRPr="00223805">
        <w:rPr>
          <w:sz w:val="28"/>
          <w:szCs w:val="28"/>
        </w:rPr>
        <w:t xml:space="preserve"> </w:t>
      </w:r>
      <w:r w:rsidR="00402946" w:rsidRPr="00223805">
        <w:rPr>
          <w:sz w:val="28"/>
          <w:szCs w:val="28"/>
        </w:rPr>
        <w:t>concern</w:t>
      </w:r>
      <w:r w:rsidR="00DD53AF" w:rsidRPr="00223805">
        <w:rPr>
          <w:sz w:val="28"/>
          <w:szCs w:val="28"/>
        </w:rPr>
        <w:t xml:space="preserve">s </w:t>
      </w:r>
      <w:r w:rsidR="00FC3609" w:rsidRPr="00223805">
        <w:rPr>
          <w:sz w:val="28"/>
          <w:szCs w:val="28"/>
        </w:rPr>
        <w:t xml:space="preserve">only those </w:t>
      </w:r>
      <w:r w:rsidR="00DD53AF" w:rsidRPr="00223805">
        <w:rPr>
          <w:sz w:val="28"/>
          <w:szCs w:val="28"/>
        </w:rPr>
        <w:t>paragraphs of the order.</w:t>
      </w:r>
    </w:p>
    <w:p w:rsidR="00DD53AF" w:rsidRPr="00223805" w:rsidRDefault="00223805" w:rsidP="00223805">
      <w:pPr>
        <w:spacing w:before="240" w:after="240" w:line="360" w:lineRule="auto"/>
        <w:jc w:val="both"/>
        <w:rPr>
          <w:sz w:val="28"/>
          <w:szCs w:val="28"/>
        </w:rPr>
      </w:pPr>
      <w:r w:rsidRPr="00B355E5">
        <w:rPr>
          <w:sz w:val="28"/>
          <w:szCs w:val="28"/>
        </w:rPr>
        <w:t>[2]</w:t>
      </w:r>
      <w:r w:rsidRPr="00B355E5">
        <w:rPr>
          <w:sz w:val="28"/>
          <w:szCs w:val="28"/>
        </w:rPr>
        <w:tab/>
      </w:r>
      <w:r w:rsidR="00D3649D" w:rsidRPr="00223805">
        <w:rPr>
          <w:sz w:val="28"/>
          <w:szCs w:val="28"/>
        </w:rPr>
        <w:t>Mr Rubushe’s</w:t>
      </w:r>
      <w:r w:rsidR="00DD53AF" w:rsidRPr="00223805">
        <w:rPr>
          <w:sz w:val="28"/>
          <w:szCs w:val="28"/>
        </w:rPr>
        <w:t xml:space="preserve"> misconduct </w:t>
      </w:r>
      <w:r w:rsidR="005A55AF" w:rsidRPr="00223805">
        <w:rPr>
          <w:sz w:val="28"/>
          <w:szCs w:val="28"/>
        </w:rPr>
        <w:t xml:space="preserve">was </w:t>
      </w:r>
      <w:r w:rsidR="005A4CA7" w:rsidRPr="00223805">
        <w:rPr>
          <w:sz w:val="28"/>
          <w:szCs w:val="28"/>
        </w:rPr>
        <w:t>uncovered</w:t>
      </w:r>
      <w:r w:rsidR="00DD53AF" w:rsidRPr="00223805">
        <w:rPr>
          <w:sz w:val="28"/>
          <w:szCs w:val="28"/>
        </w:rPr>
        <w:t xml:space="preserve"> when </w:t>
      </w:r>
      <w:r w:rsidR="00A61A7B" w:rsidRPr="00223805">
        <w:rPr>
          <w:sz w:val="28"/>
          <w:szCs w:val="28"/>
        </w:rPr>
        <w:t xml:space="preserve">a </w:t>
      </w:r>
      <w:r w:rsidR="00CB1AA6" w:rsidRPr="00223805">
        <w:rPr>
          <w:sz w:val="28"/>
          <w:szCs w:val="28"/>
        </w:rPr>
        <w:t xml:space="preserve">settlement agreement in a motor </w:t>
      </w:r>
      <w:r w:rsidR="00A61A7B" w:rsidRPr="00223805">
        <w:rPr>
          <w:sz w:val="28"/>
          <w:szCs w:val="28"/>
        </w:rPr>
        <w:t xml:space="preserve">vehicle </w:t>
      </w:r>
      <w:r w:rsidR="00CB1AA6" w:rsidRPr="00223805">
        <w:rPr>
          <w:sz w:val="28"/>
          <w:szCs w:val="28"/>
        </w:rPr>
        <w:t>accident claim</w:t>
      </w:r>
      <w:r w:rsidR="00A61A7B" w:rsidRPr="00223805">
        <w:rPr>
          <w:sz w:val="28"/>
          <w:szCs w:val="28"/>
        </w:rPr>
        <w:t>,</w:t>
      </w:r>
      <w:r w:rsidR="00CB1AA6" w:rsidRPr="00223805">
        <w:rPr>
          <w:sz w:val="28"/>
          <w:szCs w:val="28"/>
        </w:rPr>
        <w:t xml:space="preserve"> in which </w:t>
      </w:r>
      <w:r w:rsidR="005A55AF" w:rsidRPr="00223805">
        <w:rPr>
          <w:sz w:val="28"/>
          <w:szCs w:val="28"/>
        </w:rPr>
        <w:t>he</w:t>
      </w:r>
      <w:r w:rsidR="00CB1AA6" w:rsidRPr="00223805">
        <w:rPr>
          <w:sz w:val="28"/>
          <w:szCs w:val="28"/>
        </w:rPr>
        <w:t xml:space="preserve"> represented a certain Mr Zama Mfengwana</w:t>
      </w:r>
      <w:r w:rsidR="00A61A7B" w:rsidRPr="00223805">
        <w:rPr>
          <w:sz w:val="28"/>
          <w:szCs w:val="28"/>
        </w:rPr>
        <w:t>,</w:t>
      </w:r>
      <w:r w:rsidR="00CB1AA6" w:rsidRPr="00223805">
        <w:rPr>
          <w:sz w:val="28"/>
          <w:szCs w:val="28"/>
        </w:rPr>
        <w:t xml:space="preserve"> </w:t>
      </w:r>
      <w:r w:rsidR="00A61A7B" w:rsidRPr="00223805">
        <w:rPr>
          <w:sz w:val="28"/>
          <w:szCs w:val="28"/>
        </w:rPr>
        <w:t>was</w:t>
      </w:r>
      <w:r w:rsidR="00CB1AA6" w:rsidRPr="00223805">
        <w:rPr>
          <w:sz w:val="28"/>
          <w:szCs w:val="28"/>
        </w:rPr>
        <w:t xml:space="preserve"> put before Plasket</w:t>
      </w:r>
      <w:r w:rsidR="00A61A7B" w:rsidRPr="00223805">
        <w:rPr>
          <w:sz w:val="28"/>
          <w:szCs w:val="28"/>
        </w:rPr>
        <w:t> </w:t>
      </w:r>
      <w:r w:rsidR="00CB1AA6" w:rsidRPr="00223805">
        <w:rPr>
          <w:sz w:val="28"/>
          <w:szCs w:val="28"/>
        </w:rPr>
        <w:t xml:space="preserve">J in the High Court to be made an order of court.  The learned judge’s </w:t>
      </w:r>
      <w:r w:rsidR="00A61A7B" w:rsidRPr="00223805">
        <w:rPr>
          <w:sz w:val="28"/>
          <w:szCs w:val="28"/>
        </w:rPr>
        <w:t>misgivings</w:t>
      </w:r>
      <w:r w:rsidR="005A55AF" w:rsidRPr="00223805">
        <w:rPr>
          <w:sz w:val="28"/>
          <w:szCs w:val="28"/>
        </w:rPr>
        <w:t>,</w:t>
      </w:r>
      <w:r w:rsidR="00CB1AA6" w:rsidRPr="00223805">
        <w:rPr>
          <w:sz w:val="28"/>
          <w:szCs w:val="28"/>
        </w:rPr>
        <w:t xml:space="preserve"> and the outcome of the enquiry he made </w:t>
      </w:r>
      <w:r w:rsidR="00A61A7B" w:rsidRPr="00223805">
        <w:rPr>
          <w:sz w:val="28"/>
          <w:szCs w:val="28"/>
        </w:rPr>
        <w:t>arising from them</w:t>
      </w:r>
      <w:r w:rsidR="005A55AF" w:rsidRPr="00223805">
        <w:rPr>
          <w:sz w:val="28"/>
          <w:szCs w:val="28"/>
        </w:rPr>
        <w:t>,</w:t>
      </w:r>
      <w:r w:rsidR="00CB1AA6" w:rsidRPr="00223805">
        <w:rPr>
          <w:sz w:val="28"/>
          <w:szCs w:val="28"/>
        </w:rPr>
        <w:t xml:space="preserve"> are related </w:t>
      </w:r>
      <w:r w:rsidR="00FC3609" w:rsidRPr="00223805">
        <w:rPr>
          <w:sz w:val="28"/>
          <w:szCs w:val="28"/>
        </w:rPr>
        <w:t xml:space="preserve">in detail </w:t>
      </w:r>
      <w:r w:rsidR="00CB1AA6" w:rsidRPr="00223805">
        <w:rPr>
          <w:sz w:val="28"/>
          <w:szCs w:val="28"/>
        </w:rPr>
        <w:t>in the judgmen</w:t>
      </w:r>
      <w:r w:rsidR="00AA7ED4" w:rsidRPr="00223805">
        <w:rPr>
          <w:sz w:val="28"/>
          <w:szCs w:val="28"/>
        </w:rPr>
        <w:t>t he</w:t>
      </w:r>
      <w:r w:rsidR="005A55AF" w:rsidRPr="00223805">
        <w:rPr>
          <w:sz w:val="28"/>
          <w:szCs w:val="28"/>
        </w:rPr>
        <w:t xml:space="preserve"> handed down</w:t>
      </w:r>
      <w:r w:rsidR="00AA7ED4" w:rsidRPr="00223805">
        <w:rPr>
          <w:sz w:val="28"/>
          <w:szCs w:val="28"/>
        </w:rPr>
        <w:t xml:space="preserve"> on </w:t>
      </w:r>
      <w:r w:rsidR="00AA7ED4" w:rsidRPr="00223805">
        <w:rPr>
          <w:sz w:val="28"/>
          <w:szCs w:val="28"/>
        </w:rPr>
        <w:lastRenderedPageBreak/>
        <w:t>15 December 2016</w:t>
      </w:r>
      <w:r w:rsidR="005A55AF" w:rsidRPr="00223805">
        <w:rPr>
          <w:sz w:val="28"/>
          <w:szCs w:val="28"/>
        </w:rPr>
        <w:t xml:space="preserve">. </w:t>
      </w:r>
      <w:r w:rsidR="00AA7ED4" w:rsidRPr="00223805">
        <w:rPr>
          <w:sz w:val="28"/>
          <w:szCs w:val="28"/>
        </w:rPr>
        <w:t xml:space="preserve"> </w:t>
      </w:r>
      <w:r w:rsidR="00CB1AA6" w:rsidRPr="00223805">
        <w:rPr>
          <w:sz w:val="28"/>
          <w:szCs w:val="28"/>
        </w:rPr>
        <w:t xml:space="preserve">The judgment </w:t>
      </w:r>
      <w:r w:rsidR="00A61A7B" w:rsidRPr="00223805">
        <w:rPr>
          <w:sz w:val="28"/>
          <w:szCs w:val="28"/>
        </w:rPr>
        <w:t>has been</w:t>
      </w:r>
      <w:r w:rsidR="00CB1AA6" w:rsidRPr="00223805">
        <w:rPr>
          <w:sz w:val="28"/>
          <w:szCs w:val="28"/>
        </w:rPr>
        <w:t xml:space="preserve"> reported</w:t>
      </w:r>
      <w:r w:rsidR="00BE6467" w:rsidRPr="00223805">
        <w:rPr>
          <w:sz w:val="28"/>
          <w:szCs w:val="28"/>
        </w:rPr>
        <w:t xml:space="preserve"> sub nom</w:t>
      </w:r>
      <w:r w:rsidR="005A55AF" w:rsidRPr="00223805">
        <w:rPr>
          <w:sz w:val="28"/>
          <w:szCs w:val="28"/>
        </w:rPr>
        <w:t xml:space="preserve"> </w:t>
      </w:r>
      <w:r w:rsidR="005A55AF" w:rsidRPr="00223805">
        <w:rPr>
          <w:i/>
          <w:sz w:val="28"/>
          <w:szCs w:val="28"/>
        </w:rPr>
        <w:t>Mfengwana v Road Accident Fund</w:t>
      </w:r>
      <w:r w:rsidR="005A55AF" w:rsidRPr="00223805">
        <w:rPr>
          <w:sz w:val="28"/>
          <w:szCs w:val="28"/>
        </w:rPr>
        <w:t>.</w:t>
      </w:r>
      <w:r w:rsidR="005A55AF" w:rsidRPr="00B355E5">
        <w:rPr>
          <w:rStyle w:val="FootnoteReference"/>
          <w:sz w:val="28"/>
          <w:szCs w:val="28"/>
        </w:rPr>
        <w:footnoteReference w:id="2"/>
      </w:r>
      <w:r w:rsidR="00CB1AA6" w:rsidRPr="00223805">
        <w:rPr>
          <w:sz w:val="28"/>
          <w:szCs w:val="28"/>
        </w:rPr>
        <w:t xml:space="preserve"> </w:t>
      </w:r>
      <w:r w:rsidR="005A55AF" w:rsidRPr="00223805">
        <w:rPr>
          <w:sz w:val="28"/>
          <w:szCs w:val="28"/>
        </w:rPr>
        <w:t xml:space="preserve"> A</w:t>
      </w:r>
      <w:r w:rsidR="00CB1AA6" w:rsidRPr="00223805">
        <w:rPr>
          <w:sz w:val="28"/>
          <w:szCs w:val="28"/>
        </w:rPr>
        <w:t xml:space="preserve"> brief </w:t>
      </w:r>
      <w:r w:rsidR="0011304B" w:rsidRPr="00223805">
        <w:rPr>
          <w:sz w:val="28"/>
          <w:szCs w:val="28"/>
        </w:rPr>
        <w:t xml:space="preserve">summary of the pertinent facts </w:t>
      </w:r>
      <w:r w:rsidR="005A55AF" w:rsidRPr="00223805">
        <w:rPr>
          <w:sz w:val="28"/>
          <w:szCs w:val="28"/>
        </w:rPr>
        <w:t>will therefore suffice for</w:t>
      </w:r>
      <w:r w:rsidR="0011304B" w:rsidRPr="00223805">
        <w:rPr>
          <w:sz w:val="28"/>
          <w:szCs w:val="28"/>
        </w:rPr>
        <w:t xml:space="preserve"> present purposes.</w:t>
      </w:r>
    </w:p>
    <w:p w:rsidR="00AB1D05" w:rsidRPr="00223805" w:rsidRDefault="00223805" w:rsidP="00223805">
      <w:pPr>
        <w:spacing w:before="240" w:after="240" w:line="360" w:lineRule="auto"/>
        <w:jc w:val="both"/>
        <w:rPr>
          <w:sz w:val="28"/>
          <w:szCs w:val="28"/>
        </w:rPr>
      </w:pPr>
      <w:r w:rsidRPr="00B355E5">
        <w:rPr>
          <w:sz w:val="28"/>
          <w:szCs w:val="28"/>
        </w:rPr>
        <w:t>[3]</w:t>
      </w:r>
      <w:r w:rsidRPr="00B355E5">
        <w:rPr>
          <w:sz w:val="28"/>
          <w:szCs w:val="28"/>
        </w:rPr>
        <w:tab/>
      </w:r>
      <w:r w:rsidR="002707FC" w:rsidRPr="00223805">
        <w:rPr>
          <w:sz w:val="28"/>
          <w:szCs w:val="28"/>
        </w:rPr>
        <w:t>The judge was informed that the matter was the subject of a contingency fee agreement.  The affidavits required by s 4(1) and s 4(2) of the Contingency Fees Act</w:t>
      </w:r>
      <w:r w:rsidR="00467B45" w:rsidRPr="00B355E5">
        <w:rPr>
          <w:rStyle w:val="FootnoteReference"/>
          <w:sz w:val="28"/>
          <w:szCs w:val="28"/>
        </w:rPr>
        <w:footnoteReference w:id="3"/>
      </w:r>
      <w:r w:rsidR="002707FC" w:rsidRPr="00223805">
        <w:rPr>
          <w:sz w:val="28"/>
          <w:szCs w:val="28"/>
        </w:rPr>
        <w:t xml:space="preserve"> were not in the court file</w:t>
      </w:r>
      <w:r w:rsidR="00AB1D05" w:rsidRPr="00223805">
        <w:rPr>
          <w:sz w:val="28"/>
          <w:szCs w:val="28"/>
        </w:rPr>
        <w:t xml:space="preserve"> put before him</w:t>
      </w:r>
      <w:r w:rsidR="00BE6467" w:rsidRPr="00223805">
        <w:rPr>
          <w:sz w:val="28"/>
          <w:szCs w:val="28"/>
        </w:rPr>
        <w:t>,</w:t>
      </w:r>
      <w:r w:rsidR="002707FC" w:rsidRPr="00223805">
        <w:rPr>
          <w:sz w:val="28"/>
          <w:szCs w:val="28"/>
        </w:rPr>
        <w:t xml:space="preserve"> and </w:t>
      </w:r>
      <w:r w:rsidR="00AB1D05" w:rsidRPr="00223805">
        <w:rPr>
          <w:sz w:val="28"/>
          <w:szCs w:val="28"/>
        </w:rPr>
        <w:t>he</w:t>
      </w:r>
      <w:r w:rsidR="002707FC" w:rsidRPr="00223805">
        <w:rPr>
          <w:sz w:val="28"/>
          <w:szCs w:val="28"/>
        </w:rPr>
        <w:t xml:space="preserve"> therefore directed that they be produced before he could</w:t>
      </w:r>
      <w:r w:rsidR="00AB7231" w:rsidRPr="00223805">
        <w:rPr>
          <w:sz w:val="28"/>
          <w:szCs w:val="28"/>
        </w:rPr>
        <w:t xml:space="preserve"> </w:t>
      </w:r>
      <w:r w:rsidR="00AA7ED4" w:rsidRPr="00223805">
        <w:rPr>
          <w:sz w:val="28"/>
          <w:szCs w:val="28"/>
        </w:rPr>
        <w:t>make</w:t>
      </w:r>
      <w:r w:rsidR="002707FC" w:rsidRPr="00223805">
        <w:rPr>
          <w:sz w:val="28"/>
          <w:szCs w:val="28"/>
        </w:rPr>
        <w:t xml:space="preserve"> the requested order.</w:t>
      </w:r>
      <w:r w:rsidR="00467B45" w:rsidRPr="00223805">
        <w:rPr>
          <w:sz w:val="28"/>
          <w:szCs w:val="28"/>
        </w:rPr>
        <w:t xml:space="preserve">  Only an affidavi</w:t>
      </w:r>
      <w:r w:rsidR="005A55AF" w:rsidRPr="00223805">
        <w:rPr>
          <w:sz w:val="28"/>
          <w:szCs w:val="28"/>
        </w:rPr>
        <w:t xml:space="preserve">t by </w:t>
      </w:r>
      <w:r w:rsidR="005C5E90" w:rsidRPr="00223805">
        <w:rPr>
          <w:sz w:val="28"/>
          <w:szCs w:val="28"/>
        </w:rPr>
        <w:t>Mr Rubushe</w:t>
      </w:r>
      <w:r w:rsidR="005A55AF" w:rsidRPr="00223805">
        <w:rPr>
          <w:sz w:val="28"/>
          <w:szCs w:val="28"/>
        </w:rPr>
        <w:t xml:space="preserve"> was forthcoming</w:t>
      </w:r>
      <w:r w:rsidR="00467B45" w:rsidRPr="00223805">
        <w:rPr>
          <w:sz w:val="28"/>
          <w:szCs w:val="28"/>
        </w:rPr>
        <w:t>.  There was</w:t>
      </w:r>
      <w:r w:rsidR="00AB1D05" w:rsidRPr="00223805">
        <w:rPr>
          <w:sz w:val="28"/>
          <w:szCs w:val="28"/>
        </w:rPr>
        <w:t xml:space="preserve"> no affidavit from the client.</w:t>
      </w:r>
    </w:p>
    <w:p w:rsidR="002707FC" w:rsidRPr="00223805" w:rsidRDefault="00223805" w:rsidP="00223805">
      <w:pPr>
        <w:spacing w:before="240" w:after="240" w:line="360" w:lineRule="auto"/>
        <w:jc w:val="both"/>
        <w:rPr>
          <w:sz w:val="28"/>
          <w:szCs w:val="28"/>
        </w:rPr>
      </w:pPr>
      <w:r w:rsidRPr="00B355E5">
        <w:rPr>
          <w:sz w:val="28"/>
          <w:szCs w:val="28"/>
        </w:rPr>
        <w:t>[4]</w:t>
      </w:r>
      <w:r w:rsidRPr="00B355E5">
        <w:rPr>
          <w:sz w:val="28"/>
          <w:szCs w:val="28"/>
        </w:rPr>
        <w:tab/>
      </w:r>
      <w:r w:rsidR="00467B45" w:rsidRPr="00223805">
        <w:rPr>
          <w:sz w:val="28"/>
          <w:szCs w:val="28"/>
        </w:rPr>
        <w:t xml:space="preserve">The judge found </w:t>
      </w:r>
      <w:r w:rsidR="005C5E90" w:rsidRPr="00223805">
        <w:rPr>
          <w:sz w:val="28"/>
          <w:szCs w:val="28"/>
        </w:rPr>
        <w:t>Mr Rubushe’s</w:t>
      </w:r>
      <w:r w:rsidR="00467B45" w:rsidRPr="00223805">
        <w:rPr>
          <w:sz w:val="28"/>
          <w:szCs w:val="28"/>
        </w:rPr>
        <w:t xml:space="preserve"> affidavit to be ‘wholly inadequate’.  There was no response by the respondent to the judge’s directions for the shortcomings to be rectified.</w:t>
      </w:r>
    </w:p>
    <w:p w:rsidR="00AB1D05" w:rsidRPr="00223805" w:rsidRDefault="00223805" w:rsidP="00223805">
      <w:pPr>
        <w:spacing w:before="240" w:after="240" w:line="360" w:lineRule="auto"/>
        <w:jc w:val="both"/>
        <w:rPr>
          <w:sz w:val="28"/>
          <w:szCs w:val="28"/>
        </w:rPr>
      </w:pPr>
      <w:r w:rsidRPr="00B355E5">
        <w:rPr>
          <w:sz w:val="28"/>
          <w:szCs w:val="28"/>
        </w:rPr>
        <w:t>[5]</w:t>
      </w:r>
      <w:r w:rsidRPr="00B355E5">
        <w:rPr>
          <w:sz w:val="28"/>
          <w:szCs w:val="28"/>
        </w:rPr>
        <w:tab/>
      </w:r>
      <w:r w:rsidR="00467B45" w:rsidRPr="00223805">
        <w:rPr>
          <w:sz w:val="28"/>
          <w:szCs w:val="28"/>
        </w:rPr>
        <w:t xml:space="preserve">Plasket J </w:t>
      </w:r>
      <w:r w:rsidR="006A1C3A" w:rsidRPr="00223805">
        <w:rPr>
          <w:sz w:val="28"/>
          <w:szCs w:val="28"/>
        </w:rPr>
        <w:t>summarised the</w:t>
      </w:r>
      <w:r w:rsidR="00467B45" w:rsidRPr="00223805">
        <w:rPr>
          <w:sz w:val="28"/>
          <w:szCs w:val="28"/>
        </w:rPr>
        <w:t xml:space="preserve"> </w:t>
      </w:r>
      <w:r w:rsidR="006A1C3A" w:rsidRPr="00223805">
        <w:rPr>
          <w:sz w:val="28"/>
          <w:szCs w:val="28"/>
        </w:rPr>
        <w:t>pertinent</w:t>
      </w:r>
      <w:r w:rsidR="00F14C7B" w:rsidRPr="00223805">
        <w:rPr>
          <w:sz w:val="28"/>
          <w:szCs w:val="28"/>
        </w:rPr>
        <w:t xml:space="preserve"> provisions of the Act</w:t>
      </w:r>
      <w:r w:rsidR="00665CBF" w:rsidRPr="00223805">
        <w:rPr>
          <w:sz w:val="28"/>
          <w:szCs w:val="28"/>
        </w:rPr>
        <w:t xml:space="preserve"> in his judgment</w:t>
      </w:r>
      <w:r w:rsidR="006A1C3A" w:rsidRPr="00223805">
        <w:rPr>
          <w:sz w:val="28"/>
          <w:szCs w:val="28"/>
        </w:rPr>
        <w:t>.  It</w:t>
      </w:r>
      <w:r w:rsidR="00F14C7B" w:rsidRPr="00223805">
        <w:rPr>
          <w:sz w:val="28"/>
          <w:szCs w:val="28"/>
        </w:rPr>
        <w:t xml:space="preserve"> permit</w:t>
      </w:r>
      <w:r w:rsidR="006A1C3A" w:rsidRPr="00223805">
        <w:rPr>
          <w:sz w:val="28"/>
          <w:szCs w:val="28"/>
        </w:rPr>
        <w:t>s</w:t>
      </w:r>
      <w:r w:rsidR="00F14C7B" w:rsidRPr="00223805">
        <w:rPr>
          <w:sz w:val="28"/>
          <w:szCs w:val="28"/>
        </w:rPr>
        <w:t xml:space="preserve"> legal practitioners to conclude contingency fee agreements with their clients </w:t>
      </w:r>
      <w:r w:rsidR="00AB7231" w:rsidRPr="00223805">
        <w:rPr>
          <w:sz w:val="28"/>
          <w:szCs w:val="28"/>
        </w:rPr>
        <w:t>on a no-win no-</w:t>
      </w:r>
      <w:r w:rsidR="00F14C7B" w:rsidRPr="00223805">
        <w:rPr>
          <w:sz w:val="28"/>
          <w:szCs w:val="28"/>
        </w:rPr>
        <w:t>fee basis.  Practitioners are entitled to stipulate for a success fee in such agreement</w:t>
      </w:r>
      <w:r w:rsidR="00AB7231" w:rsidRPr="00223805">
        <w:rPr>
          <w:sz w:val="28"/>
          <w:szCs w:val="28"/>
        </w:rPr>
        <w:t>s.  The statute limits the extent</w:t>
      </w:r>
      <w:r w:rsidR="00F14C7B" w:rsidRPr="00223805">
        <w:rPr>
          <w:sz w:val="28"/>
          <w:szCs w:val="28"/>
        </w:rPr>
        <w:t xml:space="preserve"> of a</w:t>
      </w:r>
      <w:r w:rsidR="00665CBF" w:rsidRPr="00223805">
        <w:rPr>
          <w:sz w:val="28"/>
          <w:szCs w:val="28"/>
        </w:rPr>
        <w:t>ny</w:t>
      </w:r>
      <w:r w:rsidR="00F14C7B" w:rsidRPr="00223805">
        <w:rPr>
          <w:sz w:val="28"/>
          <w:szCs w:val="28"/>
        </w:rPr>
        <w:t xml:space="preserve"> success fee</w:t>
      </w:r>
      <w:r w:rsidR="00665CBF" w:rsidRPr="00223805">
        <w:rPr>
          <w:sz w:val="28"/>
          <w:szCs w:val="28"/>
        </w:rPr>
        <w:t xml:space="preserve"> so stipulated</w:t>
      </w:r>
      <w:r w:rsidR="00F14C7B" w:rsidRPr="00223805">
        <w:rPr>
          <w:sz w:val="28"/>
          <w:szCs w:val="28"/>
        </w:rPr>
        <w:t xml:space="preserve"> to a maximum of double the normal fee that the practitioner would charge for the work concerned, provided </w:t>
      </w:r>
      <w:r w:rsidR="00665CBF" w:rsidRPr="00223805">
        <w:rPr>
          <w:sz w:val="28"/>
          <w:szCs w:val="28"/>
        </w:rPr>
        <w:t xml:space="preserve">that </w:t>
      </w:r>
      <w:r w:rsidR="00CD5688" w:rsidRPr="00223805">
        <w:rPr>
          <w:sz w:val="28"/>
          <w:szCs w:val="28"/>
        </w:rPr>
        <w:t>‘in the case of claims sounding in money, the total of any such success fee payable by the client to the legal practitioner, shall not exceed 25 per cent of the total amount awarded or any amount obtained by the client in consequence of the proceedings concerned, which amount shall not, for purposes of calculating such excess, include any costs’</w:t>
      </w:r>
      <w:r w:rsidR="00CC19F2" w:rsidRPr="00223805">
        <w:rPr>
          <w:sz w:val="28"/>
          <w:szCs w:val="28"/>
        </w:rPr>
        <w:t>.</w:t>
      </w:r>
      <w:r w:rsidR="00AB7231" w:rsidRPr="00B355E5">
        <w:rPr>
          <w:rStyle w:val="FootnoteReference"/>
          <w:sz w:val="28"/>
          <w:szCs w:val="28"/>
        </w:rPr>
        <w:footnoteReference w:id="4"/>
      </w:r>
    </w:p>
    <w:p w:rsidR="00CD5688" w:rsidRPr="00223805" w:rsidRDefault="00223805" w:rsidP="00223805">
      <w:pPr>
        <w:spacing w:before="240" w:after="240" w:line="360" w:lineRule="auto"/>
        <w:jc w:val="both"/>
        <w:rPr>
          <w:sz w:val="28"/>
          <w:szCs w:val="28"/>
        </w:rPr>
      </w:pPr>
      <w:r w:rsidRPr="00B355E5">
        <w:rPr>
          <w:sz w:val="28"/>
          <w:szCs w:val="28"/>
        </w:rPr>
        <w:t>[6]</w:t>
      </w:r>
      <w:r w:rsidRPr="00B355E5">
        <w:rPr>
          <w:sz w:val="28"/>
          <w:szCs w:val="28"/>
        </w:rPr>
        <w:tab/>
      </w:r>
      <w:r w:rsidR="00080FE9" w:rsidRPr="00223805">
        <w:rPr>
          <w:sz w:val="28"/>
          <w:szCs w:val="28"/>
        </w:rPr>
        <w:t xml:space="preserve">In the course of his discourse on the import of the Contingency Fees Act, the learned judge </w:t>
      </w:r>
      <w:r w:rsidR="00665CBF" w:rsidRPr="00223805">
        <w:rPr>
          <w:sz w:val="28"/>
          <w:szCs w:val="28"/>
        </w:rPr>
        <w:t xml:space="preserve">also </w:t>
      </w:r>
      <w:r w:rsidR="00080FE9" w:rsidRPr="00223805">
        <w:rPr>
          <w:sz w:val="28"/>
          <w:szCs w:val="28"/>
        </w:rPr>
        <w:t xml:space="preserve">referred to the judgment of Morrison AJ in </w:t>
      </w:r>
      <w:r w:rsidR="00080FE9" w:rsidRPr="00223805">
        <w:rPr>
          <w:i/>
          <w:sz w:val="28"/>
          <w:szCs w:val="28"/>
        </w:rPr>
        <w:t>T</w:t>
      </w:r>
      <w:r w:rsidR="00080FE9" w:rsidRPr="00223805">
        <w:rPr>
          <w:i/>
          <w:iCs/>
          <w:sz w:val="28"/>
          <w:szCs w:val="28"/>
        </w:rPr>
        <w:t xml:space="preserve">hulo v Road </w:t>
      </w:r>
      <w:r w:rsidR="00080FE9" w:rsidRPr="00223805">
        <w:rPr>
          <w:i/>
          <w:iCs/>
          <w:sz w:val="28"/>
          <w:szCs w:val="28"/>
        </w:rPr>
        <w:lastRenderedPageBreak/>
        <w:t>Accident Fund</w:t>
      </w:r>
      <w:r w:rsidR="00080FE9" w:rsidRPr="00223805">
        <w:rPr>
          <w:iCs/>
          <w:sz w:val="28"/>
          <w:szCs w:val="28"/>
        </w:rPr>
        <w:t>,</w:t>
      </w:r>
      <w:r w:rsidR="00080FE9" w:rsidRPr="00B355E5">
        <w:rPr>
          <w:rStyle w:val="FootnoteReference"/>
          <w:iCs/>
          <w:sz w:val="28"/>
          <w:szCs w:val="28"/>
        </w:rPr>
        <w:footnoteReference w:id="5"/>
      </w:r>
      <w:r w:rsidR="00080FE9" w:rsidRPr="00223805">
        <w:rPr>
          <w:iCs/>
          <w:sz w:val="28"/>
          <w:szCs w:val="28"/>
        </w:rPr>
        <w:t xml:space="preserve"> which</w:t>
      </w:r>
      <w:r w:rsidR="006A1C3A" w:rsidRPr="00223805">
        <w:rPr>
          <w:iCs/>
          <w:sz w:val="28"/>
          <w:szCs w:val="28"/>
        </w:rPr>
        <w:t>,</w:t>
      </w:r>
      <w:r w:rsidR="00080FE9" w:rsidRPr="00223805">
        <w:rPr>
          <w:iCs/>
          <w:sz w:val="28"/>
          <w:szCs w:val="28"/>
        </w:rPr>
        <w:t xml:space="preserve"> he said</w:t>
      </w:r>
      <w:r w:rsidR="006A1C3A" w:rsidRPr="00223805">
        <w:rPr>
          <w:iCs/>
          <w:sz w:val="28"/>
          <w:szCs w:val="28"/>
        </w:rPr>
        <w:t>,</w:t>
      </w:r>
      <w:r w:rsidR="00080FE9" w:rsidRPr="00223805">
        <w:rPr>
          <w:iCs/>
          <w:sz w:val="28"/>
          <w:szCs w:val="28"/>
        </w:rPr>
        <w:t xml:space="preserve"> sets out the position ‘in very clear terms</w:t>
      </w:r>
      <w:r w:rsidR="00CC19F2" w:rsidRPr="00223805">
        <w:rPr>
          <w:iCs/>
          <w:sz w:val="28"/>
          <w:szCs w:val="28"/>
        </w:rPr>
        <w:t>’</w:t>
      </w:r>
      <w:r w:rsidR="00080FE9" w:rsidRPr="00223805">
        <w:rPr>
          <w:iCs/>
          <w:sz w:val="28"/>
          <w:szCs w:val="28"/>
        </w:rPr>
        <w:t>.</w:t>
      </w:r>
      <w:r w:rsidR="00080FE9" w:rsidRPr="00B355E5">
        <w:rPr>
          <w:rStyle w:val="FootnoteReference"/>
          <w:iCs/>
          <w:sz w:val="28"/>
          <w:szCs w:val="28"/>
        </w:rPr>
        <w:footnoteReference w:id="6"/>
      </w:r>
      <w:r w:rsidR="0080736F" w:rsidRPr="00223805">
        <w:rPr>
          <w:iCs/>
          <w:sz w:val="28"/>
          <w:szCs w:val="28"/>
        </w:rPr>
        <w:t xml:space="preserve">  The reason for mentioning the judge’s reference to </w:t>
      </w:r>
      <w:r w:rsidR="0080736F" w:rsidRPr="00223805">
        <w:rPr>
          <w:i/>
          <w:iCs/>
          <w:sz w:val="28"/>
          <w:szCs w:val="28"/>
        </w:rPr>
        <w:t>Thulo</w:t>
      </w:r>
      <w:r w:rsidR="0080736F" w:rsidRPr="00223805">
        <w:rPr>
          <w:iCs/>
          <w:sz w:val="28"/>
          <w:szCs w:val="28"/>
        </w:rPr>
        <w:t xml:space="preserve"> will become apparent shortly.</w:t>
      </w:r>
    </w:p>
    <w:p w:rsidR="00467B45" w:rsidRPr="00223805" w:rsidRDefault="00223805" w:rsidP="00223805">
      <w:pPr>
        <w:spacing w:before="240" w:after="240" w:line="360" w:lineRule="auto"/>
        <w:jc w:val="both"/>
        <w:rPr>
          <w:sz w:val="28"/>
          <w:szCs w:val="28"/>
        </w:rPr>
      </w:pPr>
      <w:r w:rsidRPr="00B355E5">
        <w:rPr>
          <w:sz w:val="28"/>
          <w:szCs w:val="28"/>
        </w:rPr>
        <w:t>[7]</w:t>
      </w:r>
      <w:r w:rsidRPr="00B355E5">
        <w:rPr>
          <w:sz w:val="28"/>
          <w:szCs w:val="28"/>
        </w:rPr>
        <w:tab/>
      </w:r>
      <w:r w:rsidR="00CD5688" w:rsidRPr="00223805">
        <w:rPr>
          <w:sz w:val="28"/>
          <w:szCs w:val="28"/>
        </w:rPr>
        <w:t xml:space="preserve">The settlement agreement provided for an award </w:t>
      </w:r>
      <w:r w:rsidR="006A1C3A" w:rsidRPr="00223805">
        <w:rPr>
          <w:sz w:val="28"/>
          <w:szCs w:val="28"/>
        </w:rPr>
        <w:t xml:space="preserve">of damages </w:t>
      </w:r>
      <w:r w:rsidR="00CD5688" w:rsidRPr="00223805">
        <w:rPr>
          <w:sz w:val="28"/>
          <w:szCs w:val="28"/>
        </w:rPr>
        <w:t xml:space="preserve">in favour of Mr Mfengwana in the </w:t>
      </w:r>
      <w:r w:rsidR="006A1C3A" w:rsidRPr="00223805">
        <w:rPr>
          <w:sz w:val="28"/>
          <w:szCs w:val="28"/>
        </w:rPr>
        <w:t xml:space="preserve">sum </w:t>
      </w:r>
      <w:r w:rsidR="00CD5688" w:rsidRPr="00223805">
        <w:rPr>
          <w:sz w:val="28"/>
          <w:szCs w:val="28"/>
        </w:rPr>
        <w:t xml:space="preserve">of R904 889.17.  </w:t>
      </w:r>
      <w:r w:rsidR="00FE75AC" w:rsidRPr="00223805">
        <w:rPr>
          <w:sz w:val="28"/>
          <w:szCs w:val="28"/>
        </w:rPr>
        <w:t xml:space="preserve">The contingency fee agreement purported to allow </w:t>
      </w:r>
      <w:r w:rsidR="005C5E90" w:rsidRPr="00223805">
        <w:rPr>
          <w:sz w:val="28"/>
          <w:szCs w:val="28"/>
        </w:rPr>
        <w:t>Mr Rubushe</w:t>
      </w:r>
      <w:r w:rsidR="00FE75AC" w:rsidRPr="00223805">
        <w:rPr>
          <w:sz w:val="28"/>
          <w:szCs w:val="28"/>
        </w:rPr>
        <w:t xml:space="preserve"> a fee of 25 percent of the settlement amount.  </w:t>
      </w:r>
      <w:r w:rsidR="006A1C3A" w:rsidRPr="00223805">
        <w:rPr>
          <w:sz w:val="28"/>
          <w:szCs w:val="28"/>
        </w:rPr>
        <w:t>The salient</w:t>
      </w:r>
      <w:r w:rsidR="00CD5688" w:rsidRPr="00223805">
        <w:rPr>
          <w:sz w:val="28"/>
          <w:szCs w:val="28"/>
        </w:rPr>
        <w:t xml:space="preserve"> provisions of the agreement provided as follows</w:t>
      </w:r>
      <w:r w:rsidR="00FE75AC" w:rsidRPr="00223805">
        <w:rPr>
          <w:sz w:val="28"/>
          <w:szCs w:val="28"/>
        </w:rPr>
        <w:t xml:space="preserve"> (warts and all)</w:t>
      </w:r>
      <w:r w:rsidR="00CD5688" w:rsidRPr="00223805">
        <w:rPr>
          <w:sz w:val="28"/>
          <w:szCs w:val="28"/>
        </w:rPr>
        <w:t>:</w:t>
      </w:r>
    </w:p>
    <w:p w:rsidR="00CD5688" w:rsidRPr="00B355E5" w:rsidRDefault="00CD5688" w:rsidP="00B77C89">
      <w:pPr>
        <w:pStyle w:val="ListParagraph"/>
        <w:spacing w:line="360" w:lineRule="auto"/>
        <w:ind w:hanging="720"/>
        <w:contextualSpacing w:val="0"/>
        <w:jc w:val="both"/>
      </w:pPr>
      <w:r w:rsidRPr="00B355E5">
        <w:t>‘5.</w:t>
      </w:r>
      <w:r w:rsidRPr="00B355E5">
        <w:tab/>
      </w:r>
      <w:r w:rsidRPr="00B355E5">
        <w:rPr>
          <w:lang w:val="en-ZA"/>
        </w:rPr>
        <w:t xml:space="preserve">The Attorneys hereby warrants </w:t>
      </w:r>
      <w:r w:rsidR="006A1C3A" w:rsidRPr="00B355E5">
        <w:rPr>
          <w:lang w:val="en-ZA"/>
        </w:rPr>
        <w:t xml:space="preserve">(sic) </w:t>
      </w:r>
      <w:r w:rsidRPr="00B355E5">
        <w:rPr>
          <w:lang w:val="en-ZA"/>
        </w:rPr>
        <w:t xml:space="preserve">that the normal fees on an attorney and own client basis perform work </w:t>
      </w:r>
      <w:r w:rsidR="006A1C3A" w:rsidRPr="00B355E5">
        <w:rPr>
          <w:lang w:val="en-ZA"/>
        </w:rPr>
        <w:t xml:space="preserve">(sic) </w:t>
      </w:r>
      <w:r w:rsidRPr="00B355E5">
        <w:rPr>
          <w:lang w:val="en-ZA"/>
        </w:rPr>
        <w:t>in connection with the aforementioned proceedings are calculated on the following basis: 25% of the total of damages awarded,</w:t>
      </w:r>
    </w:p>
    <w:p w:rsidR="00CD5688" w:rsidRPr="00B355E5" w:rsidRDefault="00CD5688" w:rsidP="00B77C89">
      <w:pPr>
        <w:pStyle w:val="ListParagraph"/>
        <w:spacing w:line="360" w:lineRule="auto"/>
        <w:contextualSpacing w:val="0"/>
        <w:jc w:val="both"/>
        <w:rPr>
          <w:lang w:val="en-ZA"/>
        </w:rPr>
      </w:pPr>
      <w:r w:rsidRPr="00B355E5">
        <w:rPr>
          <w:lang w:val="en-ZA"/>
        </w:rPr>
        <w:t>(Set out hourly, daily, and or applicable rates) (sic)</w:t>
      </w:r>
    </w:p>
    <w:p w:rsidR="00E42157" w:rsidRPr="00B355E5" w:rsidRDefault="00CD5688" w:rsidP="00B77C89">
      <w:pPr>
        <w:pStyle w:val="ListParagraph"/>
        <w:spacing w:line="360" w:lineRule="auto"/>
        <w:ind w:hanging="720"/>
        <w:contextualSpacing w:val="0"/>
        <w:jc w:val="both"/>
      </w:pPr>
      <w:r w:rsidRPr="00B355E5">
        <w:rPr>
          <w:lang w:val="en-ZA"/>
        </w:rPr>
        <w:t xml:space="preserve"> 6.</w:t>
      </w:r>
      <w:r w:rsidRPr="00B355E5">
        <w:rPr>
          <w:lang w:val="en-ZA"/>
        </w:rPr>
        <w:tab/>
      </w:r>
      <w:r w:rsidR="00E42157" w:rsidRPr="00B355E5">
        <w:rPr>
          <w:lang w:val="en-ZA"/>
        </w:rPr>
        <w:t xml:space="preserve">The Parties agrees </w:t>
      </w:r>
      <w:r w:rsidR="00FE75AC" w:rsidRPr="00B355E5">
        <w:rPr>
          <w:lang w:val="en-ZA"/>
        </w:rPr>
        <w:t xml:space="preserve">(sic) </w:t>
      </w:r>
      <w:r w:rsidR="00E42157" w:rsidRPr="00B355E5">
        <w:rPr>
          <w:lang w:val="en-ZA"/>
        </w:rPr>
        <w:t>that if the Clients is (sic) successful in the aforementioned proceedings;</w:t>
      </w:r>
    </w:p>
    <w:p w:rsidR="00E42157" w:rsidRPr="00B355E5" w:rsidRDefault="00E42157" w:rsidP="00B77C89">
      <w:pPr>
        <w:pStyle w:val="ListParagraph"/>
        <w:spacing w:line="360" w:lineRule="auto"/>
        <w:contextualSpacing w:val="0"/>
        <w:jc w:val="both"/>
        <w:rPr>
          <w:lang w:val="en-ZA"/>
        </w:rPr>
      </w:pPr>
      <w:r w:rsidRPr="00B355E5">
        <w:rPr>
          <w:lang w:val="en-ZA"/>
        </w:rPr>
        <w:t>An amount shall be payable to the Attorney, calculated according to the following method;</w:t>
      </w:r>
    </w:p>
    <w:p w:rsidR="00E42157" w:rsidRPr="00B355E5" w:rsidRDefault="00E42157" w:rsidP="00B77C89">
      <w:pPr>
        <w:pStyle w:val="ListParagraph"/>
        <w:spacing w:line="360" w:lineRule="auto"/>
        <w:ind w:left="0" w:firstLine="720"/>
        <w:contextualSpacing w:val="0"/>
        <w:jc w:val="both"/>
        <w:rPr>
          <w:lang w:val="en-ZA"/>
        </w:rPr>
      </w:pPr>
      <w:r w:rsidRPr="00B355E5">
        <w:rPr>
          <w:lang w:val="en-ZA"/>
        </w:rPr>
        <w:t>see paragraph 5</w:t>
      </w:r>
    </w:p>
    <w:p w:rsidR="00CD5688" w:rsidRPr="00B355E5" w:rsidRDefault="00E42157" w:rsidP="00B77C89">
      <w:pPr>
        <w:pStyle w:val="ListParagraph"/>
        <w:spacing w:line="360" w:lineRule="auto"/>
        <w:ind w:left="0" w:firstLine="720"/>
        <w:contextualSpacing w:val="0"/>
        <w:jc w:val="both"/>
        <w:rPr>
          <w:lang w:val="en-ZA"/>
        </w:rPr>
      </w:pPr>
      <w:r w:rsidRPr="00B355E5">
        <w:rPr>
          <w:lang w:val="en-ZA"/>
        </w:rPr>
        <w:t>For purpose of calculating the higher fee, costs are not included,’</w:t>
      </w:r>
    </w:p>
    <w:p w:rsidR="000936D8" w:rsidRPr="00223805" w:rsidRDefault="00223805" w:rsidP="00223805">
      <w:pPr>
        <w:spacing w:before="240" w:after="240" w:line="360" w:lineRule="auto"/>
        <w:jc w:val="both"/>
        <w:rPr>
          <w:sz w:val="28"/>
          <w:szCs w:val="28"/>
        </w:rPr>
      </w:pPr>
      <w:r w:rsidRPr="00B355E5">
        <w:rPr>
          <w:sz w:val="28"/>
          <w:szCs w:val="28"/>
        </w:rPr>
        <w:t>[8]</w:t>
      </w:r>
      <w:r w:rsidRPr="00B355E5">
        <w:rPr>
          <w:sz w:val="28"/>
          <w:szCs w:val="28"/>
        </w:rPr>
        <w:tab/>
      </w:r>
      <w:r w:rsidR="000936D8" w:rsidRPr="00223805">
        <w:rPr>
          <w:sz w:val="28"/>
          <w:szCs w:val="28"/>
        </w:rPr>
        <w:t xml:space="preserve">Plasket J found </w:t>
      </w:r>
      <w:r w:rsidR="005C5E90" w:rsidRPr="00223805">
        <w:rPr>
          <w:sz w:val="28"/>
          <w:szCs w:val="28"/>
        </w:rPr>
        <w:t>Mr Rubushe’s</w:t>
      </w:r>
      <w:r w:rsidR="000936D8" w:rsidRPr="00223805">
        <w:rPr>
          <w:sz w:val="28"/>
          <w:szCs w:val="28"/>
        </w:rPr>
        <w:t xml:space="preserve"> </w:t>
      </w:r>
      <w:r w:rsidR="004C5C3C" w:rsidRPr="00223805">
        <w:rPr>
          <w:sz w:val="28"/>
          <w:szCs w:val="28"/>
        </w:rPr>
        <w:t xml:space="preserve">subsequent </w:t>
      </w:r>
      <w:r w:rsidR="000936D8" w:rsidRPr="00223805">
        <w:rPr>
          <w:sz w:val="28"/>
          <w:szCs w:val="28"/>
        </w:rPr>
        <w:t>attempt to</w:t>
      </w:r>
      <w:r w:rsidR="004C5C3C" w:rsidRPr="00223805">
        <w:rPr>
          <w:sz w:val="28"/>
          <w:szCs w:val="28"/>
        </w:rPr>
        <w:t xml:space="preserve"> get around the inconsistency between</w:t>
      </w:r>
      <w:r w:rsidR="000936D8" w:rsidRPr="00223805">
        <w:rPr>
          <w:sz w:val="28"/>
          <w:szCs w:val="28"/>
        </w:rPr>
        <w:t xml:space="preserve"> the agreement he had made with his client </w:t>
      </w:r>
      <w:r w:rsidR="004C5C3C" w:rsidRPr="00223805">
        <w:rPr>
          <w:sz w:val="28"/>
          <w:szCs w:val="28"/>
        </w:rPr>
        <w:t xml:space="preserve">and the provisions of the Act </w:t>
      </w:r>
      <w:r w:rsidR="000936D8" w:rsidRPr="00223805">
        <w:rPr>
          <w:sz w:val="28"/>
          <w:szCs w:val="28"/>
        </w:rPr>
        <w:t xml:space="preserve">to be disingenuous.  He </w:t>
      </w:r>
      <w:r w:rsidR="00FE75AC" w:rsidRPr="00223805">
        <w:rPr>
          <w:sz w:val="28"/>
          <w:szCs w:val="28"/>
        </w:rPr>
        <w:t>said</w:t>
      </w:r>
      <w:r w:rsidR="000936D8" w:rsidRPr="00223805">
        <w:rPr>
          <w:sz w:val="28"/>
          <w:szCs w:val="28"/>
        </w:rPr>
        <w:t>:</w:t>
      </w:r>
    </w:p>
    <w:p w:rsidR="000936D8" w:rsidRPr="00B355E5" w:rsidRDefault="000936D8" w:rsidP="004C5C3C">
      <w:pPr>
        <w:pStyle w:val="ListParagraph"/>
        <w:spacing w:before="240" w:after="240" w:line="360" w:lineRule="auto"/>
        <w:ind w:left="0"/>
        <w:contextualSpacing w:val="0"/>
        <w:jc w:val="both"/>
        <w:rPr>
          <w:lang w:val="en-ZA"/>
        </w:rPr>
      </w:pPr>
      <w:r w:rsidRPr="00B355E5">
        <w:t>‘[</w:t>
      </w:r>
      <w:r w:rsidRPr="00B355E5">
        <w:rPr>
          <w:lang w:val="en-ZA"/>
        </w:rPr>
        <w:t>22] Mr Rubushe has, in the affidavit he filed on 6 December 2016 (which I found to be inadequate), attempted to remedy the predicament he has found himself in. He stated that he wished to confirm that ‘I had complied with Contingency Fee Act 66 of 1977 (sic) in that I will charge fee of 25% from the client or (double my fees and take whichever is lesser which would not be more than 25% agreed fees)’. In the following paragraph he stated:</w:t>
      </w:r>
    </w:p>
    <w:p w:rsidR="000936D8" w:rsidRPr="00B355E5" w:rsidRDefault="00057585" w:rsidP="004C5C3C">
      <w:pPr>
        <w:pStyle w:val="ListParagraph"/>
        <w:spacing w:before="240" w:after="240" w:line="360" w:lineRule="auto"/>
        <w:ind w:left="0"/>
        <w:contextualSpacing w:val="0"/>
        <w:jc w:val="both"/>
      </w:pPr>
      <w:r w:rsidRPr="00B355E5">
        <w:lastRenderedPageBreak/>
        <w:t>“</w:t>
      </w:r>
      <w:r w:rsidR="000936D8" w:rsidRPr="00B355E5">
        <w:rPr>
          <w:lang w:val="en-ZA"/>
        </w:rPr>
        <w:t>Any fees referred to in paragraph 5 of the Contingency fee Agreement shall be calculated as follows; the client shall owe the Attorneys fee calculated in terms of Rule 70 of the Rules of the High Court plus 100% thereof. (hereafter referred to as the success fees) provided that in the case of claims sending (sic) in money, the total of any such success awarded, or any amount obtained by client in consequence of the proceedings concerned, which amount shall not, for purposes of calculating fee, include any costs. This was explained to client on 26</w:t>
      </w:r>
      <w:r w:rsidR="000936D8" w:rsidRPr="00B355E5">
        <w:rPr>
          <w:vertAlign w:val="superscript"/>
          <w:lang w:val="en-ZA"/>
        </w:rPr>
        <w:t>th</w:t>
      </w:r>
      <w:r w:rsidRPr="00B355E5">
        <w:rPr>
          <w:lang w:val="en-ZA"/>
        </w:rPr>
        <w:t> November 2014.”</w:t>
      </w:r>
    </w:p>
    <w:p w:rsidR="000936D8" w:rsidRPr="00B355E5" w:rsidRDefault="000936D8" w:rsidP="004C5C3C">
      <w:pPr>
        <w:pStyle w:val="ListParagraph"/>
        <w:spacing w:before="240" w:after="240" w:line="360" w:lineRule="auto"/>
        <w:ind w:left="0"/>
        <w:contextualSpacing w:val="0"/>
        <w:jc w:val="both"/>
      </w:pPr>
      <w:r w:rsidRPr="00B355E5">
        <w:rPr>
          <w:lang w:val="en-ZA"/>
        </w:rPr>
        <w:t>[23] 26 November 2014 is the date of signature of the contingency fee agreement. Two problems arise from the passages of the affidavit that I have quoted. First, what Mr Rubushe said about his fee and its computation is contrary to what is contained in the contingency fee agreement. He appears to accept that the contingency fee agreement is contrary to the Act and now seeks to tender to amend it unilaterally and retrospectively. That cannot avail him in his attempt to sidestep the difficulty posed by clauses 5 and 6 of the contingency fee agreement. Secondly, he could not have given the information he claims to have given to Mr M</w:t>
      </w:r>
      <w:r w:rsidRPr="00B355E5">
        <w:t>fengwana when the contingency fee agreement was signed for the simple reason that it did not contain that information. The affidavit is transparently disingenuous.</w:t>
      </w:r>
      <w:r w:rsidR="00057585" w:rsidRPr="00B355E5">
        <w:t>’</w:t>
      </w:r>
    </w:p>
    <w:p w:rsidR="00175EDC" w:rsidRPr="00223805" w:rsidRDefault="00223805" w:rsidP="00223805">
      <w:pPr>
        <w:spacing w:before="240" w:after="240" w:line="360" w:lineRule="auto"/>
        <w:jc w:val="both"/>
        <w:rPr>
          <w:sz w:val="28"/>
          <w:szCs w:val="28"/>
        </w:rPr>
      </w:pPr>
      <w:r w:rsidRPr="00B355E5">
        <w:rPr>
          <w:sz w:val="28"/>
          <w:szCs w:val="28"/>
        </w:rPr>
        <w:t>[9]</w:t>
      </w:r>
      <w:r w:rsidRPr="00B355E5">
        <w:rPr>
          <w:sz w:val="28"/>
          <w:szCs w:val="28"/>
        </w:rPr>
        <w:tab/>
      </w:r>
      <w:r w:rsidR="00E42157" w:rsidRPr="00223805">
        <w:rPr>
          <w:sz w:val="28"/>
          <w:szCs w:val="28"/>
        </w:rPr>
        <w:t xml:space="preserve">Plasket J identified that not only did the agreement not comply with the Contingency Fees Act, it also purported to permit </w:t>
      </w:r>
      <w:r w:rsidR="005C5E90" w:rsidRPr="00223805">
        <w:rPr>
          <w:sz w:val="28"/>
          <w:szCs w:val="28"/>
        </w:rPr>
        <w:t>Mr Rubushe</w:t>
      </w:r>
      <w:r w:rsidR="00E42157" w:rsidRPr="00223805">
        <w:rPr>
          <w:sz w:val="28"/>
          <w:szCs w:val="28"/>
        </w:rPr>
        <w:t xml:space="preserve"> to claim in fees (excluding disbursements) </w:t>
      </w:r>
      <w:r w:rsidR="00175EDC" w:rsidRPr="00223805">
        <w:rPr>
          <w:sz w:val="28"/>
          <w:szCs w:val="28"/>
        </w:rPr>
        <w:t>a sum that</w:t>
      </w:r>
      <w:r w:rsidR="00E42157" w:rsidRPr="00223805">
        <w:rPr>
          <w:sz w:val="28"/>
          <w:szCs w:val="28"/>
        </w:rPr>
        <w:t xml:space="preserve"> was grossly disproportionate</w:t>
      </w:r>
      <w:r w:rsidR="00175EDC" w:rsidRPr="00223805">
        <w:rPr>
          <w:sz w:val="28"/>
          <w:szCs w:val="28"/>
        </w:rPr>
        <w:t>,</w:t>
      </w:r>
      <w:r w:rsidR="00E42157" w:rsidRPr="00223805">
        <w:rPr>
          <w:sz w:val="28"/>
          <w:szCs w:val="28"/>
        </w:rPr>
        <w:t xml:space="preserve"> having regard to the </w:t>
      </w:r>
      <w:r w:rsidR="00510539" w:rsidRPr="00223805">
        <w:rPr>
          <w:sz w:val="28"/>
          <w:szCs w:val="28"/>
        </w:rPr>
        <w:t>modest amount of work involved in attaining the early settlement of the claim and the demonstrably poor quality of the professional service</w:t>
      </w:r>
      <w:r w:rsidR="00175EDC" w:rsidRPr="00223805">
        <w:rPr>
          <w:sz w:val="28"/>
          <w:szCs w:val="28"/>
        </w:rPr>
        <w:t>s</w:t>
      </w:r>
      <w:r w:rsidR="00510539" w:rsidRPr="00223805">
        <w:rPr>
          <w:sz w:val="28"/>
          <w:szCs w:val="28"/>
        </w:rPr>
        <w:t xml:space="preserve"> that </w:t>
      </w:r>
      <w:r w:rsidR="005C5E90" w:rsidRPr="00223805">
        <w:rPr>
          <w:sz w:val="28"/>
          <w:szCs w:val="28"/>
        </w:rPr>
        <w:t>he</w:t>
      </w:r>
      <w:r w:rsidR="00510539" w:rsidRPr="00223805">
        <w:rPr>
          <w:sz w:val="28"/>
          <w:szCs w:val="28"/>
        </w:rPr>
        <w:t xml:space="preserve"> had rendered.  </w:t>
      </w:r>
    </w:p>
    <w:p w:rsidR="00CD5688" w:rsidRPr="00223805" w:rsidRDefault="00223805" w:rsidP="00223805">
      <w:pPr>
        <w:spacing w:before="240" w:after="240" w:line="360" w:lineRule="auto"/>
        <w:jc w:val="both"/>
        <w:rPr>
          <w:sz w:val="28"/>
          <w:szCs w:val="28"/>
        </w:rPr>
      </w:pPr>
      <w:r w:rsidRPr="00B355E5">
        <w:rPr>
          <w:sz w:val="28"/>
          <w:szCs w:val="28"/>
        </w:rPr>
        <w:t>[10]</w:t>
      </w:r>
      <w:r w:rsidRPr="00B355E5">
        <w:rPr>
          <w:sz w:val="28"/>
          <w:szCs w:val="28"/>
        </w:rPr>
        <w:tab/>
      </w:r>
      <w:r w:rsidR="00510539" w:rsidRPr="00223805">
        <w:rPr>
          <w:sz w:val="28"/>
          <w:szCs w:val="28"/>
        </w:rPr>
        <w:t xml:space="preserve">The judge </w:t>
      </w:r>
      <w:r w:rsidR="00175EDC" w:rsidRPr="00223805">
        <w:rPr>
          <w:sz w:val="28"/>
          <w:szCs w:val="28"/>
        </w:rPr>
        <w:t>concluded</w:t>
      </w:r>
      <w:r w:rsidR="00A84430" w:rsidRPr="00223805">
        <w:rPr>
          <w:sz w:val="28"/>
          <w:szCs w:val="28"/>
        </w:rPr>
        <w:t xml:space="preserve"> that </w:t>
      </w:r>
      <w:r w:rsidR="005C5E90" w:rsidRPr="00223805">
        <w:rPr>
          <w:sz w:val="28"/>
          <w:szCs w:val="28"/>
        </w:rPr>
        <w:t>Mr Rubushe</w:t>
      </w:r>
      <w:r w:rsidR="00A84430" w:rsidRPr="00223805">
        <w:rPr>
          <w:sz w:val="28"/>
          <w:szCs w:val="28"/>
        </w:rPr>
        <w:t xml:space="preserve"> was ‘guilty of an attempt to grossly overreach his client, of rapacious and unconscionable conduct</w:t>
      </w:r>
      <w:r w:rsidR="004C5C3C" w:rsidRPr="00223805">
        <w:rPr>
          <w:sz w:val="28"/>
          <w:szCs w:val="28"/>
        </w:rPr>
        <w:t>’</w:t>
      </w:r>
      <w:r w:rsidR="00510539" w:rsidRPr="00223805">
        <w:rPr>
          <w:sz w:val="28"/>
          <w:szCs w:val="28"/>
        </w:rPr>
        <w:t>.</w:t>
      </w:r>
      <w:r w:rsidR="00A84430" w:rsidRPr="00B355E5">
        <w:rPr>
          <w:rStyle w:val="FootnoteReference"/>
          <w:sz w:val="28"/>
          <w:szCs w:val="28"/>
        </w:rPr>
        <w:footnoteReference w:id="7"/>
      </w:r>
      <w:r w:rsidR="00510539" w:rsidRPr="00223805">
        <w:rPr>
          <w:sz w:val="28"/>
          <w:szCs w:val="28"/>
        </w:rPr>
        <w:t xml:space="preserve">  </w:t>
      </w:r>
      <w:r w:rsidR="00550F25" w:rsidRPr="00223805">
        <w:rPr>
          <w:sz w:val="28"/>
          <w:szCs w:val="28"/>
        </w:rPr>
        <w:t xml:space="preserve">  </w:t>
      </w:r>
      <w:r w:rsidR="00510539" w:rsidRPr="00223805">
        <w:rPr>
          <w:sz w:val="28"/>
          <w:szCs w:val="28"/>
        </w:rPr>
        <w:t>He set the agreement</w:t>
      </w:r>
      <w:r w:rsidR="00612057" w:rsidRPr="00223805">
        <w:rPr>
          <w:sz w:val="28"/>
          <w:szCs w:val="28"/>
        </w:rPr>
        <w:t xml:space="preserve"> aside</w:t>
      </w:r>
      <w:r w:rsidR="00510539" w:rsidRPr="00223805">
        <w:rPr>
          <w:sz w:val="28"/>
          <w:szCs w:val="28"/>
        </w:rPr>
        <w:t xml:space="preserve"> and directed </w:t>
      </w:r>
      <w:r w:rsidR="00A84430" w:rsidRPr="00223805">
        <w:rPr>
          <w:sz w:val="28"/>
          <w:szCs w:val="28"/>
        </w:rPr>
        <w:t xml:space="preserve">that </w:t>
      </w:r>
      <w:r w:rsidR="00FA30D5" w:rsidRPr="00223805">
        <w:rPr>
          <w:sz w:val="28"/>
          <w:szCs w:val="28"/>
        </w:rPr>
        <w:t>‘</w:t>
      </w:r>
      <w:r w:rsidR="00A84430" w:rsidRPr="00223805">
        <w:rPr>
          <w:sz w:val="28"/>
          <w:szCs w:val="28"/>
        </w:rPr>
        <w:t xml:space="preserve">BR Rubushe Attorneys may only recover from </w:t>
      </w:r>
      <w:r w:rsidR="00FA30D5" w:rsidRPr="00223805">
        <w:rPr>
          <w:sz w:val="28"/>
          <w:szCs w:val="28"/>
        </w:rPr>
        <w:t>[Mr Mfengwana]</w:t>
      </w:r>
      <w:r w:rsidR="00A84430" w:rsidRPr="00223805">
        <w:rPr>
          <w:sz w:val="28"/>
          <w:szCs w:val="28"/>
        </w:rPr>
        <w:t xml:space="preserve"> their attorney and client costs on the High Court scale, such costs to be taxed by the Taxing Master prior to the presentation of the bill of costs to </w:t>
      </w:r>
      <w:r w:rsidR="00FA30D5" w:rsidRPr="00223805">
        <w:rPr>
          <w:sz w:val="28"/>
          <w:szCs w:val="28"/>
        </w:rPr>
        <w:t>[Mr Mfengwana]</w:t>
      </w:r>
      <w:r w:rsidR="00612057" w:rsidRPr="00223805">
        <w:rPr>
          <w:sz w:val="28"/>
          <w:szCs w:val="28"/>
        </w:rPr>
        <w:t>’</w:t>
      </w:r>
      <w:r w:rsidR="00FA30D5" w:rsidRPr="00223805">
        <w:rPr>
          <w:sz w:val="28"/>
          <w:szCs w:val="28"/>
        </w:rPr>
        <w:t xml:space="preserve">.  </w:t>
      </w:r>
      <w:r w:rsidR="001D55F8" w:rsidRPr="00223805">
        <w:rPr>
          <w:sz w:val="28"/>
          <w:szCs w:val="28"/>
        </w:rPr>
        <w:t>Plasket J</w:t>
      </w:r>
      <w:r w:rsidR="00FA30D5" w:rsidRPr="00223805">
        <w:rPr>
          <w:sz w:val="28"/>
          <w:szCs w:val="28"/>
        </w:rPr>
        <w:t xml:space="preserve"> requested the registrar of the court to forward a </w:t>
      </w:r>
      <w:r w:rsidR="00FA30D5" w:rsidRPr="00223805">
        <w:rPr>
          <w:sz w:val="28"/>
          <w:szCs w:val="28"/>
        </w:rPr>
        <w:lastRenderedPageBreak/>
        <w:t>copy of his judgment to the Cape Law Society (the appellant’s legal predecessor as the regulatory body for th</w:t>
      </w:r>
      <w:r w:rsidR="00175EDC" w:rsidRPr="00223805">
        <w:rPr>
          <w:sz w:val="28"/>
          <w:szCs w:val="28"/>
        </w:rPr>
        <w:t xml:space="preserve">e attorneys’ profession) and </w:t>
      </w:r>
      <w:r w:rsidR="00FA30D5" w:rsidRPr="00223805">
        <w:rPr>
          <w:sz w:val="28"/>
          <w:szCs w:val="28"/>
        </w:rPr>
        <w:t>‘to contact [Mr Mfengwana] and to explain to him the import of th[e] judgment and the rights that it accord[ed] him’.</w:t>
      </w:r>
      <w:r w:rsidR="00FA30D5" w:rsidRPr="00B355E5">
        <w:rPr>
          <w:rStyle w:val="FootnoteReference"/>
          <w:sz w:val="28"/>
          <w:szCs w:val="28"/>
        </w:rPr>
        <w:footnoteReference w:id="8"/>
      </w:r>
    </w:p>
    <w:p w:rsidR="00175EDC" w:rsidRPr="00223805" w:rsidRDefault="00223805" w:rsidP="00223805">
      <w:pPr>
        <w:spacing w:before="240" w:after="240" w:line="360" w:lineRule="auto"/>
        <w:jc w:val="both"/>
        <w:rPr>
          <w:sz w:val="28"/>
          <w:szCs w:val="28"/>
        </w:rPr>
      </w:pPr>
      <w:r w:rsidRPr="00B355E5">
        <w:rPr>
          <w:sz w:val="28"/>
          <w:szCs w:val="28"/>
        </w:rPr>
        <w:t>[11]</w:t>
      </w:r>
      <w:r w:rsidRPr="00B355E5">
        <w:rPr>
          <w:sz w:val="28"/>
          <w:szCs w:val="28"/>
        </w:rPr>
        <w:tab/>
      </w:r>
      <w:r w:rsidR="001603D9" w:rsidRPr="00223805">
        <w:rPr>
          <w:sz w:val="28"/>
          <w:szCs w:val="28"/>
        </w:rPr>
        <w:t xml:space="preserve">In two letters written to the Law Society in response to Plasket J’s complaint about his conduct, </w:t>
      </w:r>
      <w:r w:rsidR="005C5E90" w:rsidRPr="00223805">
        <w:rPr>
          <w:sz w:val="28"/>
          <w:szCs w:val="28"/>
        </w:rPr>
        <w:t>Mr Rubushe</w:t>
      </w:r>
      <w:r w:rsidR="001603D9" w:rsidRPr="00223805">
        <w:rPr>
          <w:sz w:val="28"/>
          <w:szCs w:val="28"/>
        </w:rPr>
        <w:t xml:space="preserve"> showed that he refused to accept the court’s analysis of the Contingency Fees Act and its determination that he had not complied with it.  He accused the learned judge of </w:t>
      </w:r>
      <w:r w:rsidR="006A58BE" w:rsidRPr="00223805">
        <w:rPr>
          <w:sz w:val="28"/>
          <w:szCs w:val="28"/>
        </w:rPr>
        <w:t>having ‘acted ultra vires in posing (sic) his nose of client contingency (sic)</w:t>
      </w:r>
      <w:r w:rsidR="0080736F" w:rsidRPr="00223805">
        <w:rPr>
          <w:sz w:val="28"/>
          <w:szCs w:val="28"/>
        </w:rPr>
        <w:t>,</w:t>
      </w:r>
      <w:r w:rsidR="006A58BE" w:rsidRPr="00223805">
        <w:rPr>
          <w:sz w:val="28"/>
          <w:szCs w:val="28"/>
        </w:rPr>
        <w:t xml:space="preserve"> as the matter was in Court for settlement to be made</w:t>
      </w:r>
      <w:r w:rsidR="003C6522" w:rsidRPr="00223805">
        <w:rPr>
          <w:sz w:val="28"/>
          <w:szCs w:val="28"/>
        </w:rPr>
        <w:t>.  In fact contract was signed by client’.  He proceeded ‘I am wondering why the judge close</w:t>
      </w:r>
      <w:r w:rsidR="001D55F8" w:rsidRPr="00223805">
        <w:rPr>
          <w:sz w:val="28"/>
          <w:szCs w:val="28"/>
        </w:rPr>
        <w:t xml:space="preserve"> (sic)</w:t>
      </w:r>
      <w:r w:rsidR="003C6522" w:rsidRPr="00223805">
        <w:rPr>
          <w:sz w:val="28"/>
          <w:szCs w:val="28"/>
        </w:rPr>
        <w:t xml:space="preserve"> one eye when he was reading </w:t>
      </w:r>
      <w:r w:rsidR="003C6522" w:rsidRPr="00223805">
        <w:rPr>
          <w:i/>
          <w:sz w:val="28"/>
          <w:szCs w:val="28"/>
        </w:rPr>
        <w:t>Thulo</w:t>
      </w:r>
      <w:r w:rsidR="003C6522" w:rsidRPr="00223805">
        <w:rPr>
          <w:sz w:val="28"/>
          <w:szCs w:val="28"/>
        </w:rPr>
        <w:t xml:space="preserve"> judgment, and I fail to understand why </w:t>
      </w:r>
      <w:r w:rsidR="003C6522" w:rsidRPr="00223805">
        <w:rPr>
          <w:i/>
          <w:sz w:val="28"/>
          <w:szCs w:val="28"/>
        </w:rPr>
        <w:t>Thulo</w:t>
      </w:r>
      <w:r w:rsidR="003C6522" w:rsidRPr="00223805">
        <w:rPr>
          <w:sz w:val="28"/>
          <w:szCs w:val="28"/>
        </w:rPr>
        <w:t xml:space="preserve"> at 451’ (sic).  He concluded</w:t>
      </w:r>
      <w:r w:rsidR="001D55F8" w:rsidRPr="00223805">
        <w:rPr>
          <w:sz w:val="28"/>
          <w:szCs w:val="28"/>
        </w:rPr>
        <w:t>,</w:t>
      </w:r>
      <w:r w:rsidR="003C6522" w:rsidRPr="00223805">
        <w:rPr>
          <w:sz w:val="28"/>
          <w:szCs w:val="28"/>
        </w:rPr>
        <w:t xml:space="preserve"> ‘I find that this actions (sic) [ie those of the judge] were malicious, contradictory and acted </w:t>
      </w:r>
      <w:r w:rsidR="00175EDC" w:rsidRPr="00223805">
        <w:rPr>
          <w:sz w:val="28"/>
          <w:szCs w:val="28"/>
        </w:rPr>
        <w:t xml:space="preserve">(sic) </w:t>
      </w:r>
      <w:r w:rsidR="003C6522" w:rsidRPr="00223805">
        <w:rPr>
          <w:sz w:val="28"/>
          <w:szCs w:val="28"/>
        </w:rPr>
        <w:t>contrary to the Act’.</w:t>
      </w:r>
      <w:r w:rsidR="00B06DC2" w:rsidRPr="00223805">
        <w:rPr>
          <w:sz w:val="28"/>
          <w:szCs w:val="28"/>
        </w:rPr>
        <w:t xml:space="preserve">  In a further letter to the Law Society, </w:t>
      </w:r>
      <w:r w:rsidR="005C5E90" w:rsidRPr="00223805">
        <w:rPr>
          <w:sz w:val="28"/>
          <w:szCs w:val="28"/>
        </w:rPr>
        <w:t>Mr Rubushe</w:t>
      </w:r>
      <w:r w:rsidR="00B06DC2" w:rsidRPr="00223805">
        <w:rPr>
          <w:sz w:val="28"/>
          <w:szCs w:val="28"/>
        </w:rPr>
        <w:t xml:space="preserve"> claimed that Mr Mfengwana had called him to ask ‘who gave instructions to the Judg</w:t>
      </w:r>
      <w:r w:rsidR="002E07F1" w:rsidRPr="00223805">
        <w:rPr>
          <w:sz w:val="28"/>
          <w:szCs w:val="28"/>
        </w:rPr>
        <w:t>e to challenge his agreement’.</w:t>
      </w:r>
    </w:p>
    <w:p w:rsidR="003C6522" w:rsidRPr="00223805" w:rsidRDefault="00223805" w:rsidP="00223805">
      <w:pPr>
        <w:spacing w:before="240" w:after="240" w:line="360" w:lineRule="auto"/>
        <w:jc w:val="both"/>
        <w:rPr>
          <w:sz w:val="28"/>
          <w:szCs w:val="28"/>
        </w:rPr>
      </w:pPr>
      <w:r w:rsidRPr="00B355E5">
        <w:rPr>
          <w:sz w:val="28"/>
          <w:szCs w:val="28"/>
        </w:rPr>
        <w:t>[12]</w:t>
      </w:r>
      <w:r w:rsidRPr="00B355E5">
        <w:rPr>
          <w:sz w:val="28"/>
          <w:szCs w:val="28"/>
        </w:rPr>
        <w:tab/>
      </w:r>
      <w:r w:rsidR="00B06DC2" w:rsidRPr="00223805">
        <w:rPr>
          <w:sz w:val="28"/>
          <w:szCs w:val="28"/>
        </w:rPr>
        <w:t xml:space="preserve">It goes without saying that the grossly disrespectful and contemptuous tone and content of </w:t>
      </w:r>
      <w:r w:rsidR="005C5E90" w:rsidRPr="00223805">
        <w:rPr>
          <w:sz w:val="28"/>
          <w:szCs w:val="28"/>
        </w:rPr>
        <w:t xml:space="preserve">Mr Rubushe’s </w:t>
      </w:r>
      <w:r w:rsidR="00B06DC2" w:rsidRPr="00223805">
        <w:rPr>
          <w:sz w:val="28"/>
          <w:szCs w:val="28"/>
        </w:rPr>
        <w:t>letters to the Law Society evinced further examples of conduct unbefitting a member of the legal profession.</w:t>
      </w:r>
      <w:r w:rsidR="00175EDC" w:rsidRPr="00223805">
        <w:rPr>
          <w:sz w:val="28"/>
          <w:szCs w:val="28"/>
        </w:rPr>
        <w:t xml:space="preserve">  The High Court was </w:t>
      </w:r>
      <w:r w:rsidR="00203AC5" w:rsidRPr="00223805">
        <w:rPr>
          <w:sz w:val="28"/>
          <w:szCs w:val="28"/>
        </w:rPr>
        <w:t xml:space="preserve">correctly </w:t>
      </w:r>
      <w:r w:rsidR="00175EDC" w:rsidRPr="00223805">
        <w:rPr>
          <w:sz w:val="28"/>
          <w:szCs w:val="28"/>
        </w:rPr>
        <w:t>conscious of this</w:t>
      </w:r>
      <w:r w:rsidR="00203AC5" w:rsidRPr="00223805">
        <w:rPr>
          <w:sz w:val="28"/>
          <w:szCs w:val="28"/>
        </w:rPr>
        <w:t>,</w:t>
      </w:r>
      <w:r w:rsidR="00175EDC" w:rsidRPr="00223805">
        <w:rPr>
          <w:sz w:val="28"/>
          <w:szCs w:val="28"/>
        </w:rPr>
        <w:t xml:space="preserve"> and professed to have taken it into account as an aggravating factor.</w:t>
      </w:r>
    </w:p>
    <w:p w:rsidR="00F00552" w:rsidRPr="00223805" w:rsidRDefault="00223805" w:rsidP="00223805">
      <w:pPr>
        <w:spacing w:before="240" w:after="240" w:line="360" w:lineRule="auto"/>
        <w:jc w:val="both"/>
        <w:rPr>
          <w:sz w:val="28"/>
          <w:szCs w:val="28"/>
        </w:rPr>
      </w:pPr>
      <w:r w:rsidRPr="00B355E5">
        <w:rPr>
          <w:sz w:val="28"/>
          <w:szCs w:val="28"/>
        </w:rPr>
        <w:t>[13]</w:t>
      </w:r>
      <w:r w:rsidRPr="00B355E5">
        <w:rPr>
          <w:sz w:val="28"/>
          <w:szCs w:val="28"/>
        </w:rPr>
        <w:tab/>
      </w:r>
      <w:r w:rsidR="005C5E90" w:rsidRPr="00223805">
        <w:rPr>
          <w:sz w:val="28"/>
          <w:szCs w:val="28"/>
        </w:rPr>
        <w:t>Mr Rubushe</w:t>
      </w:r>
      <w:r w:rsidR="00F00552" w:rsidRPr="00223805">
        <w:rPr>
          <w:sz w:val="28"/>
          <w:szCs w:val="28"/>
        </w:rPr>
        <w:t xml:space="preserve"> informed the Law Society that he intended to lodge an appeal from the judgment of Plasket J.  Unsurprisingly, he did not do so.</w:t>
      </w:r>
    </w:p>
    <w:p w:rsidR="00F00552" w:rsidRPr="00223805" w:rsidRDefault="00223805" w:rsidP="00223805">
      <w:pPr>
        <w:spacing w:before="240" w:after="240" w:line="360" w:lineRule="auto"/>
        <w:jc w:val="both"/>
        <w:rPr>
          <w:sz w:val="28"/>
          <w:szCs w:val="28"/>
        </w:rPr>
      </w:pPr>
      <w:r w:rsidRPr="00B355E5">
        <w:rPr>
          <w:sz w:val="28"/>
          <w:szCs w:val="28"/>
        </w:rPr>
        <w:t>[14]</w:t>
      </w:r>
      <w:r w:rsidRPr="00B355E5">
        <w:rPr>
          <w:sz w:val="28"/>
          <w:szCs w:val="28"/>
        </w:rPr>
        <w:tab/>
      </w:r>
      <w:r w:rsidR="00F00552" w:rsidRPr="00223805">
        <w:rPr>
          <w:sz w:val="28"/>
          <w:szCs w:val="28"/>
        </w:rPr>
        <w:t xml:space="preserve">Over the course of the following months, under pressure from the Law Society, </w:t>
      </w:r>
      <w:r w:rsidR="005C5E90" w:rsidRPr="00223805">
        <w:rPr>
          <w:sz w:val="28"/>
          <w:szCs w:val="28"/>
        </w:rPr>
        <w:t>Mr Rubushe</w:t>
      </w:r>
      <w:r w:rsidR="00F00552" w:rsidRPr="00223805">
        <w:rPr>
          <w:sz w:val="28"/>
          <w:szCs w:val="28"/>
        </w:rPr>
        <w:t xml:space="preserve"> </w:t>
      </w:r>
      <w:r w:rsidR="00FC7FE0" w:rsidRPr="00223805">
        <w:rPr>
          <w:sz w:val="28"/>
          <w:szCs w:val="28"/>
        </w:rPr>
        <w:t>had four</w:t>
      </w:r>
      <w:r w:rsidR="00F00552" w:rsidRPr="00223805">
        <w:rPr>
          <w:sz w:val="28"/>
          <w:szCs w:val="28"/>
        </w:rPr>
        <w:t xml:space="preserve"> different and mutually irreconcilable </w:t>
      </w:r>
      <w:r w:rsidR="00FC7FE0" w:rsidRPr="00223805">
        <w:rPr>
          <w:sz w:val="28"/>
          <w:szCs w:val="28"/>
        </w:rPr>
        <w:t xml:space="preserve">bills of costs </w:t>
      </w:r>
      <w:r w:rsidR="002E07F1" w:rsidRPr="00223805">
        <w:rPr>
          <w:sz w:val="28"/>
          <w:szCs w:val="28"/>
        </w:rPr>
        <w:lastRenderedPageBreak/>
        <w:t xml:space="preserve">in respect of his attendances in Mr Mfengwana’s matter </w:t>
      </w:r>
      <w:r w:rsidR="00FC7FE0" w:rsidRPr="00223805">
        <w:rPr>
          <w:sz w:val="28"/>
          <w:szCs w:val="28"/>
        </w:rPr>
        <w:t xml:space="preserve">drafted for taxation.  The Law Society engaged a costs consultant to review the bills prepared by the respondent.  The review exposed that </w:t>
      </w:r>
      <w:r w:rsidR="005C5E90" w:rsidRPr="00223805">
        <w:rPr>
          <w:sz w:val="28"/>
          <w:szCs w:val="28"/>
        </w:rPr>
        <w:t xml:space="preserve">Mr Rubushe </w:t>
      </w:r>
      <w:r w:rsidR="00FC7FE0" w:rsidRPr="00223805">
        <w:rPr>
          <w:sz w:val="28"/>
          <w:szCs w:val="28"/>
        </w:rPr>
        <w:t xml:space="preserve">had sought to charge exorbitant amounts for attendances for which he was not entitled to charge a fee.  </w:t>
      </w:r>
      <w:r w:rsidR="00706224" w:rsidRPr="00223805">
        <w:rPr>
          <w:sz w:val="28"/>
          <w:szCs w:val="28"/>
        </w:rPr>
        <w:t xml:space="preserve">An example was charging for drafting the summons and particulars of claim and then </w:t>
      </w:r>
      <w:r w:rsidR="002E07F1" w:rsidRPr="00223805">
        <w:rPr>
          <w:sz w:val="28"/>
          <w:szCs w:val="28"/>
        </w:rPr>
        <w:t xml:space="preserve">also </w:t>
      </w:r>
      <w:r w:rsidR="00706224" w:rsidRPr="00223805">
        <w:rPr>
          <w:sz w:val="28"/>
          <w:szCs w:val="28"/>
        </w:rPr>
        <w:t xml:space="preserve">for perusing those documents after the summons had been issued.  There were also a number of charges for work that had not been done, including consultations, inspections </w:t>
      </w:r>
      <w:r w:rsidR="00706224" w:rsidRPr="00223805">
        <w:rPr>
          <w:i/>
          <w:sz w:val="28"/>
          <w:szCs w:val="28"/>
        </w:rPr>
        <w:t>in loco</w:t>
      </w:r>
      <w:r w:rsidR="00706224" w:rsidRPr="00223805">
        <w:rPr>
          <w:sz w:val="28"/>
          <w:szCs w:val="28"/>
        </w:rPr>
        <w:t xml:space="preserve"> and telephone calls that did not take place.</w:t>
      </w:r>
      <w:r w:rsidR="00203AC5" w:rsidRPr="00223805">
        <w:rPr>
          <w:sz w:val="28"/>
          <w:szCs w:val="28"/>
        </w:rPr>
        <w:t xml:space="preserve">  It hardly needs stating that this afforded </w:t>
      </w:r>
      <w:r w:rsidR="002524E7" w:rsidRPr="00223805">
        <w:rPr>
          <w:sz w:val="28"/>
          <w:szCs w:val="28"/>
        </w:rPr>
        <w:t xml:space="preserve">yet </w:t>
      </w:r>
      <w:r w:rsidR="00203AC5" w:rsidRPr="00223805">
        <w:rPr>
          <w:sz w:val="28"/>
          <w:szCs w:val="28"/>
        </w:rPr>
        <w:t xml:space="preserve">further </w:t>
      </w:r>
      <w:r w:rsidR="002524E7" w:rsidRPr="00223805">
        <w:rPr>
          <w:sz w:val="28"/>
          <w:szCs w:val="28"/>
        </w:rPr>
        <w:t>evidence</w:t>
      </w:r>
      <w:r w:rsidR="00203AC5" w:rsidRPr="00223805">
        <w:rPr>
          <w:sz w:val="28"/>
          <w:szCs w:val="28"/>
        </w:rPr>
        <w:t xml:space="preserve"> of dishonest conduct by the respondent.</w:t>
      </w:r>
      <w:r w:rsidR="0080736F" w:rsidRPr="00223805">
        <w:rPr>
          <w:sz w:val="28"/>
          <w:szCs w:val="28"/>
        </w:rPr>
        <w:t xml:space="preserve">  He blamed others for the problems discovered with his bills of costs.  His explanation did not bear scrutiny.  It is inconceivable that anyone else would </w:t>
      </w:r>
      <w:r w:rsidR="003A6E74" w:rsidRPr="00223805">
        <w:rPr>
          <w:sz w:val="28"/>
          <w:szCs w:val="28"/>
        </w:rPr>
        <w:t xml:space="preserve">have dreamt up attendances by </w:t>
      </w:r>
      <w:r w:rsidR="00E9176D" w:rsidRPr="00223805">
        <w:rPr>
          <w:sz w:val="28"/>
          <w:szCs w:val="28"/>
        </w:rPr>
        <w:t>Mr Rubushe</w:t>
      </w:r>
      <w:r w:rsidR="003A6E74" w:rsidRPr="00223805">
        <w:rPr>
          <w:sz w:val="28"/>
          <w:szCs w:val="28"/>
        </w:rPr>
        <w:t xml:space="preserve"> which had not happened.  The overwhelming probability is that such attendances were included in the bills at the instance of the respondent.</w:t>
      </w:r>
    </w:p>
    <w:p w:rsidR="004123B0" w:rsidRPr="00223805" w:rsidRDefault="00223805" w:rsidP="00223805">
      <w:pPr>
        <w:spacing w:before="240" w:after="240" w:line="360" w:lineRule="auto"/>
        <w:jc w:val="both"/>
        <w:rPr>
          <w:sz w:val="28"/>
          <w:szCs w:val="28"/>
        </w:rPr>
      </w:pPr>
      <w:r w:rsidRPr="00B355E5">
        <w:rPr>
          <w:sz w:val="28"/>
          <w:szCs w:val="28"/>
        </w:rPr>
        <w:t>[15]</w:t>
      </w:r>
      <w:r w:rsidRPr="00B355E5">
        <w:rPr>
          <w:sz w:val="28"/>
          <w:szCs w:val="28"/>
        </w:rPr>
        <w:tab/>
      </w:r>
      <w:r w:rsidR="003A6E74" w:rsidRPr="00223805">
        <w:rPr>
          <w:sz w:val="28"/>
          <w:szCs w:val="28"/>
        </w:rPr>
        <w:t>I</w:t>
      </w:r>
      <w:r w:rsidR="005C5ADE" w:rsidRPr="00223805">
        <w:rPr>
          <w:sz w:val="28"/>
          <w:szCs w:val="28"/>
        </w:rPr>
        <w:t>f</w:t>
      </w:r>
      <w:r w:rsidR="003A6E74" w:rsidRPr="00223805">
        <w:rPr>
          <w:sz w:val="28"/>
          <w:szCs w:val="28"/>
        </w:rPr>
        <w:t xml:space="preserve"> that were not enough</w:t>
      </w:r>
      <w:r w:rsidR="002E07F1" w:rsidRPr="00223805">
        <w:rPr>
          <w:sz w:val="28"/>
          <w:szCs w:val="28"/>
        </w:rPr>
        <w:t xml:space="preserve">, </w:t>
      </w:r>
      <w:r w:rsidR="003A6E74" w:rsidRPr="00223805">
        <w:rPr>
          <w:sz w:val="28"/>
          <w:szCs w:val="28"/>
        </w:rPr>
        <w:t>in defiance of</w:t>
      </w:r>
      <w:r w:rsidR="00706224" w:rsidRPr="00223805">
        <w:rPr>
          <w:sz w:val="28"/>
          <w:szCs w:val="28"/>
        </w:rPr>
        <w:t xml:space="preserve"> the judgment of Plasket J</w:t>
      </w:r>
      <w:r w:rsidR="00203AC5" w:rsidRPr="00223805">
        <w:rPr>
          <w:sz w:val="28"/>
          <w:szCs w:val="28"/>
        </w:rPr>
        <w:t xml:space="preserve"> delivered four months earlier</w:t>
      </w:r>
      <w:r w:rsidR="00706224" w:rsidRPr="00223805">
        <w:rPr>
          <w:sz w:val="28"/>
          <w:szCs w:val="28"/>
        </w:rPr>
        <w:t xml:space="preserve">, </w:t>
      </w:r>
      <w:r w:rsidR="00E9176D" w:rsidRPr="00223805">
        <w:rPr>
          <w:sz w:val="28"/>
          <w:szCs w:val="28"/>
        </w:rPr>
        <w:t>Mr Rubushe</w:t>
      </w:r>
      <w:r w:rsidR="00706224" w:rsidRPr="00223805">
        <w:rPr>
          <w:sz w:val="28"/>
          <w:szCs w:val="28"/>
        </w:rPr>
        <w:t xml:space="preserve"> paid Mr</w:t>
      </w:r>
      <w:r w:rsidR="00203AC5" w:rsidRPr="00223805">
        <w:rPr>
          <w:sz w:val="28"/>
          <w:szCs w:val="28"/>
        </w:rPr>
        <w:t> </w:t>
      </w:r>
      <w:r w:rsidR="00706224" w:rsidRPr="00223805">
        <w:rPr>
          <w:sz w:val="28"/>
          <w:szCs w:val="28"/>
        </w:rPr>
        <w:t>M</w:t>
      </w:r>
      <w:r w:rsidR="00277B05" w:rsidRPr="00223805">
        <w:rPr>
          <w:sz w:val="28"/>
          <w:szCs w:val="28"/>
        </w:rPr>
        <w:t>f</w:t>
      </w:r>
      <w:r w:rsidR="00706224" w:rsidRPr="00223805">
        <w:rPr>
          <w:sz w:val="28"/>
          <w:szCs w:val="28"/>
        </w:rPr>
        <w:t xml:space="preserve">engwana only R700 000 of the </w:t>
      </w:r>
      <w:r w:rsidR="00277B05" w:rsidRPr="00223805">
        <w:rPr>
          <w:sz w:val="28"/>
          <w:szCs w:val="28"/>
        </w:rPr>
        <w:t xml:space="preserve">settlement </w:t>
      </w:r>
      <w:r w:rsidR="00AA0A45" w:rsidRPr="00223805">
        <w:rPr>
          <w:sz w:val="28"/>
          <w:szCs w:val="28"/>
        </w:rPr>
        <w:t xml:space="preserve">award that </w:t>
      </w:r>
      <w:r w:rsidR="00B31D1E" w:rsidRPr="00223805">
        <w:rPr>
          <w:sz w:val="28"/>
          <w:szCs w:val="28"/>
        </w:rPr>
        <w:t>he received from</w:t>
      </w:r>
      <w:r w:rsidR="00AA0A45" w:rsidRPr="00223805">
        <w:rPr>
          <w:sz w:val="28"/>
          <w:szCs w:val="28"/>
        </w:rPr>
        <w:t xml:space="preserve"> the Road Accident Fund on his client’s behalf</w:t>
      </w:r>
      <w:r w:rsidR="00A27E59" w:rsidRPr="00223805">
        <w:rPr>
          <w:sz w:val="28"/>
          <w:szCs w:val="28"/>
        </w:rPr>
        <w:t xml:space="preserve">.  </w:t>
      </w:r>
      <w:r w:rsidR="002524E7" w:rsidRPr="00223805">
        <w:rPr>
          <w:sz w:val="28"/>
          <w:szCs w:val="28"/>
        </w:rPr>
        <w:t xml:space="preserve">The payment </w:t>
      </w:r>
      <w:r w:rsidR="00B31D1E" w:rsidRPr="00223805">
        <w:rPr>
          <w:sz w:val="28"/>
          <w:szCs w:val="28"/>
        </w:rPr>
        <w:t xml:space="preserve">to client </w:t>
      </w:r>
      <w:r w:rsidR="002524E7" w:rsidRPr="00223805">
        <w:rPr>
          <w:sz w:val="28"/>
          <w:szCs w:val="28"/>
        </w:rPr>
        <w:t xml:space="preserve">was made on 10 March 2017.  </w:t>
      </w:r>
      <w:r w:rsidR="00B31D1E" w:rsidRPr="00223805">
        <w:rPr>
          <w:sz w:val="28"/>
          <w:szCs w:val="28"/>
        </w:rPr>
        <w:t>I</w:t>
      </w:r>
      <w:r w:rsidR="004123B0" w:rsidRPr="00223805">
        <w:rPr>
          <w:sz w:val="28"/>
          <w:szCs w:val="28"/>
        </w:rPr>
        <w:t xml:space="preserve">n the face of a judgment holding that he was not entitled to do so, </w:t>
      </w:r>
      <w:r w:rsidR="00E9176D" w:rsidRPr="00223805">
        <w:rPr>
          <w:sz w:val="28"/>
          <w:szCs w:val="28"/>
        </w:rPr>
        <w:t>Mr Rubushe</w:t>
      </w:r>
      <w:r w:rsidR="004123B0" w:rsidRPr="00223805">
        <w:rPr>
          <w:sz w:val="28"/>
          <w:szCs w:val="28"/>
        </w:rPr>
        <w:t xml:space="preserve"> sought to withhold from his client an amount approximating 25 percent of the award.  </w:t>
      </w:r>
      <w:r w:rsidR="002524E7" w:rsidRPr="00223805">
        <w:rPr>
          <w:sz w:val="28"/>
          <w:szCs w:val="28"/>
        </w:rPr>
        <w:t xml:space="preserve">He was seeking thereby to implement a contract that the court had found to be unlawful and overreaching.  </w:t>
      </w:r>
      <w:r w:rsidR="00E9176D" w:rsidRPr="00223805">
        <w:rPr>
          <w:sz w:val="28"/>
          <w:szCs w:val="28"/>
        </w:rPr>
        <w:t>His</w:t>
      </w:r>
      <w:r w:rsidR="004123B0" w:rsidRPr="00223805">
        <w:rPr>
          <w:sz w:val="28"/>
          <w:szCs w:val="28"/>
        </w:rPr>
        <w:t xml:space="preserve"> conduct in this regard, if not downright dishonest, was outrageously dishonourable for an officer of the court.</w:t>
      </w:r>
    </w:p>
    <w:p w:rsidR="00E9176D" w:rsidRPr="00223805" w:rsidRDefault="00223805" w:rsidP="00223805">
      <w:pPr>
        <w:spacing w:before="240" w:after="240" w:line="360" w:lineRule="auto"/>
        <w:jc w:val="both"/>
        <w:rPr>
          <w:sz w:val="28"/>
          <w:szCs w:val="28"/>
        </w:rPr>
      </w:pPr>
      <w:r w:rsidRPr="00B355E5">
        <w:rPr>
          <w:sz w:val="28"/>
          <w:szCs w:val="28"/>
        </w:rPr>
        <w:t>[16]</w:t>
      </w:r>
      <w:r w:rsidRPr="00B355E5">
        <w:rPr>
          <w:sz w:val="28"/>
          <w:szCs w:val="28"/>
        </w:rPr>
        <w:tab/>
      </w:r>
      <w:r w:rsidR="00E9176D" w:rsidRPr="00223805">
        <w:rPr>
          <w:sz w:val="28"/>
          <w:szCs w:val="28"/>
        </w:rPr>
        <w:t xml:space="preserve">The position was aggravated by the fact that Mr Rubushe exacted the payment of the settlement award to his offices at a time after he had given notice of his withdrawal as Mr Mfengwana’s attorney.  He therefore had no authority to receive payment of the award on Mr Mfengwana’s behalf.  It is obvious that he </w:t>
      </w:r>
      <w:r w:rsidR="00E9176D" w:rsidRPr="00223805">
        <w:rPr>
          <w:sz w:val="28"/>
          <w:szCs w:val="28"/>
        </w:rPr>
        <w:lastRenderedPageBreak/>
        <w:t xml:space="preserve">did so only so as to </w:t>
      </w:r>
      <w:r w:rsidR="00D632D5" w:rsidRPr="00223805">
        <w:rPr>
          <w:sz w:val="28"/>
          <w:szCs w:val="28"/>
        </w:rPr>
        <w:t>facilitate his ability to withhold from his erstwhile client a substantial portion of the award payment.</w:t>
      </w:r>
    </w:p>
    <w:p w:rsidR="003B26DD" w:rsidRPr="00223805" w:rsidRDefault="00223805" w:rsidP="00223805">
      <w:pPr>
        <w:spacing w:before="240" w:after="240" w:line="360" w:lineRule="auto"/>
        <w:jc w:val="both"/>
        <w:rPr>
          <w:sz w:val="28"/>
          <w:szCs w:val="28"/>
        </w:rPr>
      </w:pPr>
      <w:r w:rsidRPr="00B355E5">
        <w:rPr>
          <w:sz w:val="28"/>
          <w:szCs w:val="28"/>
        </w:rPr>
        <w:t>[17]</w:t>
      </w:r>
      <w:r w:rsidRPr="00B355E5">
        <w:rPr>
          <w:sz w:val="28"/>
          <w:szCs w:val="28"/>
        </w:rPr>
        <w:tab/>
      </w:r>
      <w:r w:rsidR="00A27E59" w:rsidRPr="00223805">
        <w:rPr>
          <w:sz w:val="28"/>
          <w:szCs w:val="28"/>
        </w:rPr>
        <w:t xml:space="preserve">In July 2017, Mr Mfengwana instituted proceedings against </w:t>
      </w:r>
      <w:r w:rsidR="00D632D5" w:rsidRPr="00223805">
        <w:rPr>
          <w:sz w:val="28"/>
          <w:szCs w:val="28"/>
        </w:rPr>
        <w:t>Mr Rubushe</w:t>
      </w:r>
      <w:r w:rsidR="00A27E59" w:rsidRPr="00223805">
        <w:rPr>
          <w:sz w:val="28"/>
          <w:szCs w:val="28"/>
        </w:rPr>
        <w:t xml:space="preserve"> for payment of the </w:t>
      </w:r>
      <w:r w:rsidR="004123B0" w:rsidRPr="00223805">
        <w:rPr>
          <w:sz w:val="28"/>
          <w:szCs w:val="28"/>
        </w:rPr>
        <w:t xml:space="preserve">monies </w:t>
      </w:r>
      <w:r w:rsidR="00D632D5" w:rsidRPr="00223805">
        <w:rPr>
          <w:sz w:val="28"/>
          <w:szCs w:val="28"/>
        </w:rPr>
        <w:t xml:space="preserve">that had been </w:t>
      </w:r>
      <w:r w:rsidR="004123B0" w:rsidRPr="00223805">
        <w:rPr>
          <w:sz w:val="28"/>
          <w:szCs w:val="28"/>
        </w:rPr>
        <w:t>withheld</w:t>
      </w:r>
      <w:r w:rsidR="00A27E59" w:rsidRPr="00223805">
        <w:rPr>
          <w:sz w:val="28"/>
          <w:szCs w:val="28"/>
        </w:rPr>
        <w:t xml:space="preserve">.  </w:t>
      </w:r>
      <w:r w:rsidR="00D632D5" w:rsidRPr="00223805">
        <w:rPr>
          <w:sz w:val="28"/>
          <w:szCs w:val="28"/>
        </w:rPr>
        <w:t>He</w:t>
      </w:r>
      <w:r w:rsidR="00A27E59" w:rsidRPr="00223805">
        <w:rPr>
          <w:sz w:val="28"/>
          <w:szCs w:val="28"/>
        </w:rPr>
        <w:t xml:space="preserve"> did not oppose the claim</w:t>
      </w:r>
      <w:r w:rsidR="00EA554E" w:rsidRPr="00223805">
        <w:rPr>
          <w:sz w:val="28"/>
          <w:szCs w:val="28"/>
        </w:rPr>
        <w:t>,</w:t>
      </w:r>
      <w:r w:rsidR="00A27E59" w:rsidRPr="00223805">
        <w:rPr>
          <w:sz w:val="28"/>
          <w:szCs w:val="28"/>
        </w:rPr>
        <w:t xml:space="preserve"> and judgment was granted in favour of Mr Mfengwana on 5</w:t>
      </w:r>
      <w:r w:rsidR="00B31D1E" w:rsidRPr="00223805">
        <w:rPr>
          <w:sz w:val="28"/>
          <w:szCs w:val="28"/>
        </w:rPr>
        <w:t> </w:t>
      </w:r>
      <w:r w:rsidR="00A27E59" w:rsidRPr="00223805">
        <w:rPr>
          <w:sz w:val="28"/>
          <w:szCs w:val="28"/>
        </w:rPr>
        <w:t>September 2017</w:t>
      </w:r>
      <w:r w:rsidR="00EA554E" w:rsidRPr="00223805">
        <w:rPr>
          <w:sz w:val="28"/>
          <w:szCs w:val="28"/>
        </w:rPr>
        <w:t xml:space="preserve"> by Robeson J.  He was ordered to pay the costs of those proceedings on a punitive scale.  </w:t>
      </w:r>
      <w:r w:rsidR="00D632D5" w:rsidRPr="00223805">
        <w:rPr>
          <w:sz w:val="28"/>
          <w:szCs w:val="28"/>
        </w:rPr>
        <w:t>Mr Rubushe</w:t>
      </w:r>
      <w:r w:rsidR="00A27E59" w:rsidRPr="00223805">
        <w:rPr>
          <w:sz w:val="28"/>
          <w:szCs w:val="28"/>
        </w:rPr>
        <w:t xml:space="preserve"> </w:t>
      </w:r>
      <w:r w:rsidR="004123B0" w:rsidRPr="00223805">
        <w:rPr>
          <w:sz w:val="28"/>
          <w:szCs w:val="28"/>
        </w:rPr>
        <w:t xml:space="preserve">made payment of the part of the settlement </w:t>
      </w:r>
      <w:r w:rsidR="00B31D1E" w:rsidRPr="00223805">
        <w:rPr>
          <w:sz w:val="28"/>
          <w:szCs w:val="28"/>
        </w:rPr>
        <w:t xml:space="preserve">award that he had wrongfully withheld </w:t>
      </w:r>
      <w:r w:rsidR="00D632D5" w:rsidRPr="00223805">
        <w:rPr>
          <w:sz w:val="28"/>
          <w:szCs w:val="28"/>
        </w:rPr>
        <w:t xml:space="preserve">only </w:t>
      </w:r>
      <w:r w:rsidR="004123B0" w:rsidRPr="00223805">
        <w:rPr>
          <w:sz w:val="28"/>
          <w:szCs w:val="28"/>
        </w:rPr>
        <w:t>aft</w:t>
      </w:r>
      <w:r w:rsidR="003B26DD" w:rsidRPr="00223805">
        <w:rPr>
          <w:sz w:val="28"/>
          <w:szCs w:val="28"/>
        </w:rPr>
        <w:t xml:space="preserve">er he </w:t>
      </w:r>
      <w:r w:rsidR="00B31D1E" w:rsidRPr="00223805">
        <w:rPr>
          <w:sz w:val="28"/>
          <w:szCs w:val="28"/>
        </w:rPr>
        <w:t>was</w:t>
      </w:r>
      <w:r w:rsidR="003B26DD" w:rsidRPr="00223805">
        <w:rPr>
          <w:sz w:val="28"/>
          <w:szCs w:val="28"/>
        </w:rPr>
        <w:t xml:space="preserve"> ordered to do so.</w:t>
      </w:r>
    </w:p>
    <w:p w:rsidR="00097078" w:rsidRPr="00223805" w:rsidRDefault="00223805" w:rsidP="00223805">
      <w:pPr>
        <w:spacing w:before="240" w:after="240" w:line="360" w:lineRule="auto"/>
        <w:jc w:val="both"/>
        <w:rPr>
          <w:sz w:val="28"/>
          <w:szCs w:val="28"/>
        </w:rPr>
      </w:pPr>
      <w:r w:rsidRPr="00B355E5">
        <w:rPr>
          <w:sz w:val="28"/>
          <w:szCs w:val="28"/>
        </w:rPr>
        <w:t>[18]</w:t>
      </w:r>
      <w:r w:rsidRPr="00B355E5">
        <w:rPr>
          <w:sz w:val="28"/>
          <w:szCs w:val="28"/>
        </w:rPr>
        <w:tab/>
      </w:r>
      <w:r w:rsidR="00A27E59" w:rsidRPr="00223805">
        <w:rPr>
          <w:sz w:val="28"/>
          <w:szCs w:val="28"/>
        </w:rPr>
        <w:t xml:space="preserve">The appellant thereafter </w:t>
      </w:r>
      <w:r w:rsidR="00097078" w:rsidRPr="00223805">
        <w:rPr>
          <w:sz w:val="28"/>
          <w:szCs w:val="28"/>
        </w:rPr>
        <w:t xml:space="preserve">resolved to bring proceedings to have the respondent’s name struck from the roll of attorneys.  </w:t>
      </w:r>
      <w:r w:rsidR="003B26DD" w:rsidRPr="00223805">
        <w:rPr>
          <w:sz w:val="28"/>
          <w:szCs w:val="28"/>
        </w:rPr>
        <w:t>In its judgment in those proceedings, t</w:t>
      </w:r>
      <w:r w:rsidR="00097078" w:rsidRPr="00223805">
        <w:rPr>
          <w:sz w:val="28"/>
          <w:szCs w:val="28"/>
        </w:rPr>
        <w:t xml:space="preserve">he court </w:t>
      </w:r>
      <w:r w:rsidR="00AA0A45" w:rsidRPr="00223805">
        <w:rPr>
          <w:sz w:val="28"/>
          <w:szCs w:val="28"/>
        </w:rPr>
        <w:t xml:space="preserve">a quo </w:t>
      </w:r>
      <w:r w:rsidR="00097078" w:rsidRPr="00223805">
        <w:rPr>
          <w:sz w:val="28"/>
          <w:szCs w:val="28"/>
        </w:rPr>
        <w:t xml:space="preserve">reviewed the evidence against </w:t>
      </w:r>
      <w:r w:rsidR="00D632D5" w:rsidRPr="00223805">
        <w:rPr>
          <w:sz w:val="28"/>
          <w:szCs w:val="28"/>
        </w:rPr>
        <w:t>Mr Rubushe</w:t>
      </w:r>
      <w:r w:rsidR="00097078" w:rsidRPr="00223805">
        <w:rPr>
          <w:sz w:val="28"/>
          <w:szCs w:val="28"/>
        </w:rPr>
        <w:t xml:space="preserve"> that I have summarised in this judgment and </w:t>
      </w:r>
      <w:r w:rsidR="00AA0A45" w:rsidRPr="00223805">
        <w:rPr>
          <w:sz w:val="28"/>
          <w:szCs w:val="28"/>
        </w:rPr>
        <w:t>reject</w:t>
      </w:r>
      <w:r w:rsidR="003B26DD" w:rsidRPr="00223805">
        <w:rPr>
          <w:sz w:val="28"/>
          <w:szCs w:val="28"/>
        </w:rPr>
        <w:t xml:space="preserve">ed his attempts at answering it.  </w:t>
      </w:r>
      <w:r w:rsidR="00EA554E" w:rsidRPr="00223805">
        <w:rPr>
          <w:sz w:val="28"/>
          <w:szCs w:val="28"/>
        </w:rPr>
        <w:t>It</w:t>
      </w:r>
      <w:r w:rsidR="00097078" w:rsidRPr="00223805">
        <w:rPr>
          <w:sz w:val="28"/>
          <w:szCs w:val="28"/>
        </w:rPr>
        <w:t xml:space="preserve"> </w:t>
      </w:r>
      <w:r w:rsidR="00B31D1E" w:rsidRPr="00223805">
        <w:rPr>
          <w:sz w:val="28"/>
          <w:szCs w:val="28"/>
        </w:rPr>
        <w:t xml:space="preserve">aptly </w:t>
      </w:r>
      <w:r w:rsidR="00097078" w:rsidRPr="00223805">
        <w:rPr>
          <w:sz w:val="28"/>
          <w:szCs w:val="28"/>
        </w:rPr>
        <w:t>describ</w:t>
      </w:r>
      <w:r w:rsidR="003B26DD" w:rsidRPr="00223805">
        <w:rPr>
          <w:sz w:val="28"/>
          <w:szCs w:val="28"/>
        </w:rPr>
        <w:t xml:space="preserve">ed </w:t>
      </w:r>
      <w:r w:rsidR="00D632D5" w:rsidRPr="00223805">
        <w:rPr>
          <w:sz w:val="28"/>
          <w:szCs w:val="28"/>
        </w:rPr>
        <w:t>his</w:t>
      </w:r>
      <w:r w:rsidR="00097078" w:rsidRPr="00223805">
        <w:rPr>
          <w:sz w:val="28"/>
          <w:szCs w:val="28"/>
        </w:rPr>
        <w:t xml:space="preserve"> answering affidavit as an ‘attempt at explaining the inexplicable’.  </w:t>
      </w:r>
      <w:r w:rsidR="003B26DD" w:rsidRPr="00223805">
        <w:rPr>
          <w:sz w:val="28"/>
          <w:szCs w:val="28"/>
        </w:rPr>
        <w:t>It rightly</w:t>
      </w:r>
      <w:r w:rsidR="00097078" w:rsidRPr="00223805">
        <w:rPr>
          <w:sz w:val="28"/>
          <w:szCs w:val="28"/>
        </w:rPr>
        <w:t xml:space="preserve"> pointed out that </w:t>
      </w:r>
      <w:r w:rsidR="00C22812" w:rsidRPr="00223805">
        <w:rPr>
          <w:sz w:val="28"/>
          <w:szCs w:val="28"/>
        </w:rPr>
        <w:t>he</w:t>
      </w:r>
      <w:r w:rsidR="00163F60" w:rsidRPr="00223805">
        <w:rPr>
          <w:sz w:val="28"/>
          <w:szCs w:val="28"/>
        </w:rPr>
        <w:t xml:space="preserve"> failed to ‘take responsibility for what he did’ and attempted ‘to blame everything on something else or someone else other than himself instead of taking responsibility for his actions’.</w:t>
      </w:r>
    </w:p>
    <w:p w:rsidR="00101563" w:rsidRPr="00223805" w:rsidRDefault="00223805" w:rsidP="00223805">
      <w:pPr>
        <w:spacing w:before="240" w:after="240" w:line="360" w:lineRule="auto"/>
        <w:jc w:val="both"/>
        <w:rPr>
          <w:sz w:val="28"/>
          <w:szCs w:val="28"/>
        </w:rPr>
      </w:pPr>
      <w:r w:rsidRPr="00B355E5">
        <w:rPr>
          <w:sz w:val="28"/>
          <w:szCs w:val="28"/>
        </w:rPr>
        <w:t>[19]</w:t>
      </w:r>
      <w:r w:rsidRPr="00B355E5">
        <w:rPr>
          <w:sz w:val="28"/>
          <w:szCs w:val="28"/>
        </w:rPr>
        <w:tab/>
      </w:r>
      <w:r w:rsidR="00163F60" w:rsidRPr="00223805">
        <w:rPr>
          <w:sz w:val="28"/>
          <w:szCs w:val="28"/>
        </w:rPr>
        <w:t>After referring to the</w:t>
      </w:r>
      <w:r w:rsidR="00EA554E" w:rsidRPr="00223805">
        <w:rPr>
          <w:sz w:val="28"/>
          <w:szCs w:val="28"/>
        </w:rPr>
        <w:t xml:space="preserve"> three-</w:t>
      </w:r>
      <w:r w:rsidR="00314B9D" w:rsidRPr="00223805">
        <w:rPr>
          <w:sz w:val="28"/>
          <w:szCs w:val="28"/>
        </w:rPr>
        <w:t xml:space="preserve">stage analysis described in </w:t>
      </w:r>
      <w:r w:rsidR="00314B9D" w:rsidRPr="00223805">
        <w:rPr>
          <w:i/>
          <w:sz w:val="28"/>
          <w:szCs w:val="28"/>
        </w:rPr>
        <w:t>Jasat v Natal Law Society</w:t>
      </w:r>
      <w:r w:rsidR="00314B9D" w:rsidRPr="00B355E5">
        <w:rPr>
          <w:rStyle w:val="FootnoteReference"/>
          <w:i/>
          <w:sz w:val="28"/>
          <w:szCs w:val="28"/>
        </w:rPr>
        <w:footnoteReference w:id="9"/>
      </w:r>
      <w:r w:rsidR="00314B9D" w:rsidRPr="00223805">
        <w:rPr>
          <w:sz w:val="28"/>
          <w:szCs w:val="28"/>
        </w:rPr>
        <w:t xml:space="preserve"> </w:t>
      </w:r>
      <w:r w:rsidR="00EA554E" w:rsidRPr="00223805">
        <w:rPr>
          <w:sz w:val="28"/>
          <w:szCs w:val="28"/>
        </w:rPr>
        <w:t xml:space="preserve">that is </w:t>
      </w:r>
      <w:r w:rsidR="00314B9D" w:rsidRPr="00223805">
        <w:rPr>
          <w:sz w:val="28"/>
          <w:szCs w:val="28"/>
        </w:rPr>
        <w:t>applied in applications for the striking of a legal practitioner from the roll</w:t>
      </w:r>
      <w:r w:rsidR="00163F60" w:rsidRPr="00223805">
        <w:rPr>
          <w:sz w:val="28"/>
          <w:szCs w:val="28"/>
        </w:rPr>
        <w:t xml:space="preserve"> </w:t>
      </w:r>
      <w:r w:rsidR="00101563" w:rsidRPr="00223805">
        <w:rPr>
          <w:sz w:val="28"/>
          <w:szCs w:val="28"/>
        </w:rPr>
        <w:t xml:space="preserve">and the elaboration thereon in </w:t>
      </w:r>
      <w:r w:rsidR="00101563" w:rsidRPr="00223805">
        <w:rPr>
          <w:i/>
          <w:sz w:val="28"/>
          <w:szCs w:val="28"/>
        </w:rPr>
        <w:t>Malan and Another v Law Society of the Northern Provinces</w:t>
      </w:r>
      <w:r w:rsidR="004F489C" w:rsidRPr="00223805">
        <w:rPr>
          <w:sz w:val="28"/>
          <w:szCs w:val="28"/>
        </w:rPr>
        <w:t>,</w:t>
      </w:r>
      <w:r w:rsidR="003B26DD" w:rsidRPr="00223805">
        <w:rPr>
          <w:rStyle w:val="FootnoteReference"/>
          <w:i/>
          <w:sz w:val="28"/>
          <w:szCs w:val="28"/>
        </w:rPr>
        <w:t xml:space="preserve"> </w:t>
      </w:r>
      <w:r w:rsidR="003B26DD" w:rsidRPr="00B355E5">
        <w:rPr>
          <w:rStyle w:val="FootnoteReference"/>
          <w:sz w:val="28"/>
          <w:szCs w:val="28"/>
        </w:rPr>
        <w:footnoteReference w:id="10"/>
      </w:r>
      <w:r w:rsidR="004F489C" w:rsidRPr="00223805">
        <w:rPr>
          <w:sz w:val="28"/>
          <w:szCs w:val="28"/>
        </w:rPr>
        <w:t xml:space="preserve"> the </w:t>
      </w:r>
      <w:r w:rsidR="003B26DD" w:rsidRPr="00223805">
        <w:rPr>
          <w:sz w:val="28"/>
          <w:szCs w:val="28"/>
        </w:rPr>
        <w:t>High Court</w:t>
      </w:r>
      <w:r w:rsidR="004F489C" w:rsidRPr="00223805">
        <w:rPr>
          <w:sz w:val="28"/>
          <w:szCs w:val="28"/>
        </w:rPr>
        <w:t xml:space="preserve"> determined that it would be inappropriate to strike </w:t>
      </w:r>
      <w:r w:rsidR="00C22812" w:rsidRPr="00223805">
        <w:rPr>
          <w:sz w:val="28"/>
          <w:szCs w:val="28"/>
        </w:rPr>
        <w:t>Mr Rubushe’s name</w:t>
      </w:r>
      <w:r w:rsidR="004F489C" w:rsidRPr="00223805">
        <w:rPr>
          <w:sz w:val="28"/>
          <w:szCs w:val="28"/>
        </w:rPr>
        <w:t xml:space="preserve"> from the roll.  It reasoned its concl</w:t>
      </w:r>
      <w:r w:rsidR="003B26DD" w:rsidRPr="00223805">
        <w:rPr>
          <w:sz w:val="28"/>
          <w:szCs w:val="28"/>
        </w:rPr>
        <w:t>usion as follows in para 30 of the</w:t>
      </w:r>
      <w:r w:rsidR="00364791" w:rsidRPr="00223805">
        <w:rPr>
          <w:sz w:val="28"/>
          <w:szCs w:val="28"/>
        </w:rPr>
        <w:t xml:space="preserve"> judgment:</w:t>
      </w:r>
    </w:p>
    <w:p w:rsidR="00364791" w:rsidRPr="00B355E5" w:rsidRDefault="00364791" w:rsidP="00367B68">
      <w:pPr>
        <w:pStyle w:val="ListParagraph"/>
        <w:spacing w:before="240" w:after="240" w:line="360" w:lineRule="auto"/>
        <w:ind w:left="0"/>
        <w:contextualSpacing w:val="0"/>
        <w:jc w:val="both"/>
      </w:pPr>
      <w:r w:rsidRPr="00B355E5">
        <w:t>‘The facts of this matter make it clear that the respondent is not a fit and proper person to continue to practice</w:t>
      </w:r>
      <w:r w:rsidR="001A16CB" w:rsidRPr="00B355E5">
        <w:t xml:space="preserve"> (sic)</w:t>
      </w:r>
      <w:r w:rsidRPr="00B355E5">
        <w:t xml:space="preserve">. While the conduct of the respondent is indisputably of a seriously egregious nature it is somehow ameliorated by the fact that when all is said and done the </w:t>
      </w:r>
      <w:r w:rsidRPr="00B355E5">
        <w:lastRenderedPageBreak/>
        <w:t>respondent did not succeed in overreaching his client, Mr Mfengwana. I must, however, point out that his lack of success cannot be accounted for by his lack of trying. It was foiled by Mr</w:t>
      </w:r>
      <w:r w:rsidR="00367B68" w:rsidRPr="00B355E5">
        <w:t> </w:t>
      </w:r>
      <w:r w:rsidRPr="00B355E5">
        <w:t>Mfengwana and his new attorneys who acted swiftly in recovering the amount of R204 889.17 before it was decimated which would most likely have happened had they tarried in moving the application under case no. 3469/2017. There must be a clear distinction between an attempt to commit an offence and actually committing the offending conduct. That distinction leads me to the conclusion that, while he is clearly not a fit and proper person to continue to practice, imposing what is essentially the most extreme punishment a court can give to a legal practitioner would not be appropriate.’</w:t>
      </w:r>
    </w:p>
    <w:p w:rsidR="006D467F" w:rsidRPr="00223805" w:rsidRDefault="00223805" w:rsidP="00223805">
      <w:pPr>
        <w:spacing w:before="240" w:after="240" w:line="360" w:lineRule="auto"/>
        <w:jc w:val="both"/>
        <w:rPr>
          <w:sz w:val="28"/>
          <w:szCs w:val="28"/>
        </w:rPr>
      </w:pPr>
      <w:r w:rsidRPr="00B355E5">
        <w:rPr>
          <w:sz w:val="28"/>
          <w:szCs w:val="28"/>
        </w:rPr>
        <w:t>[20]</w:t>
      </w:r>
      <w:r w:rsidRPr="00B355E5">
        <w:rPr>
          <w:sz w:val="28"/>
          <w:szCs w:val="28"/>
        </w:rPr>
        <w:tab/>
      </w:r>
      <w:r w:rsidR="00EA554E" w:rsidRPr="00223805">
        <w:rPr>
          <w:sz w:val="28"/>
          <w:szCs w:val="28"/>
        </w:rPr>
        <w:t>For the reasons that follow, the</w:t>
      </w:r>
      <w:r w:rsidR="00656386" w:rsidRPr="00223805">
        <w:rPr>
          <w:sz w:val="28"/>
          <w:szCs w:val="28"/>
        </w:rPr>
        <w:t xml:space="preserve"> </w:t>
      </w:r>
      <w:r w:rsidR="00DF0CF6" w:rsidRPr="00223805">
        <w:rPr>
          <w:sz w:val="28"/>
          <w:szCs w:val="28"/>
        </w:rPr>
        <w:t>High Court’s</w:t>
      </w:r>
      <w:r w:rsidR="00656386" w:rsidRPr="00223805">
        <w:rPr>
          <w:sz w:val="28"/>
          <w:szCs w:val="28"/>
        </w:rPr>
        <w:t xml:space="preserve"> reasoning was </w:t>
      </w:r>
      <w:r w:rsidR="0084654D" w:rsidRPr="00223805">
        <w:rPr>
          <w:sz w:val="28"/>
          <w:szCs w:val="28"/>
        </w:rPr>
        <w:t xml:space="preserve">materially </w:t>
      </w:r>
      <w:r w:rsidR="00656386" w:rsidRPr="00223805">
        <w:rPr>
          <w:sz w:val="28"/>
          <w:szCs w:val="28"/>
        </w:rPr>
        <w:t>misdirected</w:t>
      </w:r>
      <w:r w:rsidR="00DF0CF6" w:rsidRPr="00223805">
        <w:rPr>
          <w:sz w:val="28"/>
          <w:szCs w:val="28"/>
        </w:rPr>
        <w:t xml:space="preserve">, and this Court is consequently entitled to interfere with the order that was made, notwithstanding </w:t>
      </w:r>
      <w:r w:rsidR="00367B68" w:rsidRPr="00223805">
        <w:rPr>
          <w:sz w:val="28"/>
          <w:szCs w:val="28"/>
        </w:rPr>
        <w:t>its discretionary character</w:t>
      </w:r>
      <w:r w:rsidR="00DF0CF6" w:rsidRPr="00223805">
        <w:rPr>
          <w:sz w:val="28"/>
          <w:szCs w:val="28"/>
        </w:rPr>
        <w:t>.  The court</w:t>
      </w:r>
      <w:r w:rsidR="00ED2549" w:rsidRPr="00223805">
        <w:rPr>
          <w:sz w:val="28"/>
          <w:szCs w:val="28"/>
        </w:rPr>
        <w:t xml:space="preserve"> was not at large in the exercise of its discretion.  It was obliged to exercise it judicially, which included the obligation to have due regard to the principles and judicial policies </w:t>
      </w:r>
      <w:r w:rsidR="00367B68" w:rsidRPr="00223805">
        <w:rPr>
          <w:sz w:val="28"/>
          <w:szCs w:val="28"/>
        </w:rPr>
        <w:t>in point identified</w:t>
      </w:r>
      <w:r w:rsidR="00ED2549" w:rsidRPr="00223805">
        <w:rPr>
          <w:sz w:val="28"/>
          <w:szCs w:val="28"/>
        </w:rPr>
        <w:t xml:space="preserve"> in the judgments of this Court.</w:t>
      </w:r>
    </w:p>
    <w:p w:rsidR="009B52FF" w:rsidRPr="00223805" w:rsidRDefault="00223805" w:rsidP="00223805">
      <w:pPr>
        <w:spacing w:before="240" w:after="240" w:line="360" w:lineRule="auto"/>
        <w:jc w:val="both"/>
        <w:rPr>
          <w:sz w:val="28"/>
          <w:szCs w:val="28"/>
        </w:rPr>
      </w:pPr>
      <w:r w:rsidRPr="00B355E5">
        <w:rPr>
          <w:sz w:val="28"/>
          <w:szCs w:val="28"/>
        </w:rPr>
        <w:t>[21]</w:t>
      </w:r>
      <w:r w:rsidRPr="00B355E5">
        <w:rPr>
          <w:sz w:val="28"/>
          <w:szCs w:val="28"/>
        </w:rPr>
        <w:tab/>
      </w:r>
      <w:r w:rsidR="00656386" w:rsidRPr="00223805">
        <w:rPr>
          <w:sz w:val="28"/>
          <w:szCs w:val="28"/>
        </w:rPr>
        <w:t xml:space="preserve">The primary issue to be determined was whether </w:t>
      </w:r>
      <w:r w:rsidR="00C22812" w:rsidRPr="00223805">
        <w:rPr>
          <w:sz w:val="28"/>
          <w:szCs w:val="28"/>
        </w:rPr>
        <w:t>Mr Rubushe</w:t>
      </w:r>
      <w:r w:rsidR="00656386" w:rsidRPr="00223805">
        <w:rPr>
          <w:sz w:val="28"/>
          <w:szCs w:val="28"/>
        </w:rPr>
        <w:t xml:space="preserve"> was a fit and proper person to remain on the roll of legal practitioners.  Having </w:t>
      </w:r>
      <w:r w:rsidR="00ED2549" w:rsidRPr="00223805">
        <w:rPr>
          <w:sz w:val="28"/>
          <w:szCs w:val="28"/>
        </w:rPr>
        <w:t xml:space="preserve">correctly </w:t>
      </w:r>
      <w:r w:rsidR="00656386" w:rsidRPr="00223805">
        <w:rPr>
          <w:sz w:val="28"/>
          <w:szCs w:val="28"/>
        </w:rPr>
        <w:t>found that</w:t>
      </w:r>
      <w:r w:rsidR="00DF0CF6" w:rsidRPr="00223805">
        <w:rPr>
          <w:sz w:val="28"/>
          <w:szCs w:val="28"/>
        </w:rPr>
        <w:t>,</w:t>
      </w:r>
      <w:r w:rsidR="00656386" w:rsidRPr="00223805">
        <w:rPr>
          <w:sz w:val="28"/>
          <w:szCs w:val="28"/>
        </w:rPr>
        <w:t xml:space="preserve"> by reason of his dishonesty</w:t>
      </w:r>
      <w:r w:rsidR="00ED2549" w:rsidRPr="00223805">
        <w:rPr>
          <w:sz w:val="28"/>
          <w:szCs w:val="28"/>
        </w:rPr>
        <w:t>,</w:t>
      </w:r>
      <w:r w:rsidR="00656386" w:rsidRPr="00223805">
        <w:rPr>
          <w:sz w:val="28"/>
          <w:szCs w:val="28"/>
        </w:rPr>
        <w:t xml:space="preserve"> he was not, there would have to be exceptional</w:t>
      </w:r>
      <w:r w:rsidR="00C97A13" w:rsidRPr="00223805">
        <w:rPr>
          <w:sz w:val="28"/>
          <w:szCs w:val="28"/>
        </w:rPr>
        <w:t xml:space="preserve"> circumstances before a court will order a suspension instead of a removal.</w:t>
      </w:r>
      <w:r w:rsidR="001A7A5B" w:rsidRPr="00223805">
        <w:rPr>
          <w:sz w:val="28"/>
          <w:szCs w:val="28"/>
        </w:rPr>
        <w:t xml:space="preserve">  That much was </w:t>
      </w:r>
      <w:r w:rsidR="006D467F" w:rsidRPr="00223805">
        <w:rPr>
          <w:sz w:val="28"/>
          <w:szCs w:val="28"/>
        </w:rPr>
        <w:t>stated</w:t>
      </w:r>
      <w:r w:rsidR="001A7A5B" w:rsidRPr="00223805">
        <w:rPr>
          <w:sz w:val="28"/>
          <w:szCs w:val="28"/>
        </w:rPr>
        <w:t xml:space="preserve"> in the clearest of terms in </w:t>
      </w:r>
      <w:r w:rsidR="001A7A5B" w:rsidRPr="00223805">
        <w:rPr>
          <w:i/>
          <w:sz w:val="28"/>
          <w:szCs w:val="28"/>
        </w:rPr>
        <w:t>Malan</w:t>
      </w:r>
      <w:r w:rsidR="006D467F" w:rsidRPr="00223805">
        <w:rPr>
          <w:sz w:val="28"/>
          <w:szCs w:val="28"/>
        </w:rPr>
        <w:t>,</w:t>
      </w:r>
      <w:r w:rsidR="001A7A5B" w:rsidRPr="00B355E5">
        <w:rPr>
          <w:rStyle w:val="FootnoteReference"/>
          <w:sz w:val="28"/>
          <w:szCs w:val="28"/>
        </w:rPr>
        <w:footnoteReference w:id="11"/>
      </w:r>
      <w:r w:rsidR="001A7A5B" w:rsidRPr="00223805">
        <w:rPr>
          <w:sz w:val="28"/>
          <w:szCs w:val="28"/>
        </w:rPr>
        <w:t xml:space="preserve"> where Harms ADP, writing for a unanimous court, said ‘</w:t>
      </w:r>
      <w:r w:rsidR="00544734" w:rsidRPr="00223805">
        <w:rPr>
          <w:sz w:val="28"/>
          <w:szCs w:val="28"/>
        </w:rPr>
        <w:t>Obviously, if a court finds dishones</w:t>
      </w:r>
      <w:r w:rsidR="00250151" w:rsidRPr="00223805">
        <w:rPr>
          <w:sz w:val="28"/>
          <w:szCs w:val="28"/>
        </w:rPr>
        <w:t>ty, the circumstances must be</w:t>
      </w:r>
      <w:r w:rsidR="00544734" w:rsidRPr="00223805">
        <w:rPr>
          <w:sz w:val="28"/>
          <w:szCs w:val="28"/>
        </w:rPr>
        <w:t xml:space="preserve"> exceptional before a court will order a suspension instead of a</w:t>
      </w:r>
      <w:r w:rsidR="00A14F88" w:rsidRPr="00223805">
        <w:rPr>
          <w:sz w:val="28"/>
          <w:szCs w:val="28"/>
        </w:rPr>
        <w:t xml:space="preserve"> </w:t>
      </w:r>
      <w:r w:rsidR="00DD2076" w:rsidRPr="00223805">
        <w:rPr>
          <w:sz w:val="28"/>
          <w:szCs w:val="28"/>
        </w:rPr>
        <w:t xml:space="preserve">removal.  </w:t>
      </w:r>
      <w:r w:rsidR="00544734" w:rsidRPr="00223805">
        <w:rPr>
          <w:sz w:val="28"/>
          <w:szCs w:val="28"/>
        </w:rPr>
        <w:t xml:space="preserve">Where dishonesty has </w:t>
      </w:r>
      <w:r w:rsidR="00544734" w:rsidRPr="00223805">
        <w:rPr>
          <w:i/>
          <w:sz w:val="28"/>
          <w:szCs w:val="28"/>
        </w:rPr>
        <w:t>not</w:t>
      </w:r>
      <w:r w:rsidR="00544734" w:rsidRPr="00223805">
        <w:rPr>
          <w:sz w:val="28"/>
          <w:szCs w:val="28"/>
        </w:rPr>
        <w:t xml:space="preserve"> been established the position is . . . that a court has to exercise a discretion within the parameters of the facts of the case without any preordained limitations.</w:t>
      </w:r>
      <w:r w:rsidR="001A7A5B" w:rsidRPr="00223805">
        <w:rPr>
          <w:sz w:val="28"/>
          <w:szCs w:val="28"/>
        </w:rPr>
        <w:t>’</w:t>
      </w:r>
      <w:r w:rsidR="00250151" w:rsidRPr="00223805">
        <w:rPr>
          <w:sz w:val="28"/>
          <w:szCs w:val="28"/>
        </w:rPr>
        <w:t xml:space="preserve">  (Emphasis supplied.) </w:t>
      </w:r>
      <w:r w:rsidR="00CD1D18" w:rsidRPr="00223805">
        <w:rPr>
          <w:sz w:val="28"/>
          <w:szCs w:val="28"/>
        </w:rPr>
        <w:t xml:space="preserve"> </w:t>
      </w:r>
    </w:p>
    <w:p w:rsidR="00CD1D18" w:rsidRPr="00223805" w:rsidRDefault="00223805" w:rsidP="00223805">
      <w:pPr>
        <w:spacing w:before="240" w:after="240" w:line="360" w:lineRule="auto"/>
        <w:jc w:val="both"/>
        <w:rPr>
          <w:sz w:val="28"/>
          <w:szCs w:val="28"/>
        </w:rPr>
      </w:pPr>
      <w:r w:rsidRPr="00B355E5">
        <w:rPr>
          <w:sz w:val="28"/>
          <w:szCs w:val="28"/>
        </w:rPr>
        <w:t>[22]</w:t>
      </w:r>
      <w:r w:rsidRPr="00B355E5">
        <w:rPr>
          <w:sz w:val="28"/>
          <w:szCs w:val="28"/>
        </w:rPr>
        <w:tab/>
      </w:r>
      <w:r w:rsidR="00DD2076" w:rsidRPr="00223805">
        <w:rPr>
          <w:sz w:val="28"/>
          <w:szCs w:val="28"/>
        </w:rPr>
        <w:t xml:space="preserve">The principle was articulated in similar terms by Brand JA in </w:t>
      </w:r>
      <w:r w:rsidR="00DD2076" w:rsidRPr="00223805">
        <w:rPr>
          <w:i/>
          <w:iCs/>
          <w:sz w:val="28"/>
          <w:szCs w:val="28"/>
        </w:rPr>
        <w:t>Summerley v Law Society, Northern Provinces</w:t>
      </w:r>
      <w:r w:rsidR="00DD2076" w:rsidRPr="00223805">
        <w:rPr>
          <w:sz w:val="28"/>
          <w:szCs w:val="28"/>
        </w:rPr>
        <w:t>: ‘</w:t>
      </w:r>
      <w:r w:rsidR="00C0615F" w:rsidRPr="00223805">
        <w:rPr>
          <w:sz w:val="28"/>
          <w:szCs w:val="28"/>
        </w:rPr>
        <w:t xml:space="preserve">The attorney's profession is an honourable </w:t>
      </w:r>
      <w:r w:rsidR="00C0615F" w:rsidRPr="00223805">
        <w:rPr>
          <w:sz w:val="28"/>
          <w:szCs w:val="28"/>
        </w:rPr>
        <w:lastRenderedPageBreak/>
        <w:t>profession, which demands complete honesty and integrity from its members. In consequence dishonesty is generally regarded as excluding the lesser stricture of suspension from practice, …</w:t>
      </w:r>
      <w:r w:rsidR="006E0A9D" w:rsidRPr="00223805">
        <w:rPr>
          <w:sz w:val="28"/>
          <w:szCs w:val="28"/>
        </w:rPr>
        <w:t xml:space="preserve"> .</w:t>
      </w:r>
      <w:r w:rsidR="00B939F0" w:rsidRPr="00223805">
        <w:rPr>
          <w:sz w:val="28"/>
          <w:szCs w:val="28"/>
        </w:rPr>
        <w:t>’</w:t>
      </w:r>
      <w:r w:rsidR="00DD2076" w:rsidRPr="00B355E5">
        <w:rPr>
          <w:rStyle w:val="FootnoteReference"/>
          <w:sz w:val="28"/>
          <w:szCs w:val="28"/>
        </w:rPr>
        <w:footnoteReference w:id="12"/>
      </w:r>
    </w:p>
    <w:p w:rsidR="00097078" w:rsidRPr="00223805" w:rsidRDefault="00223805" w:rsidP="00223805">
      <w:pPr>
        <w:spacing w:before="240" w:after="240" w:line="360" w:lineRule="auto"/>
        <w:jc w:val="both"/>
        <w:rPr>
          <w:sz w:val="28"/>
          <w:szCs w:val="28"/>
        </w:rPr>
      </w:pPr>
      <w:r w:rsidRPr="00B355E5">
        <w:rPr>
          <w:sz w:val="28"/>
          <w:szCs w:val="28"/>
        </w:rPr>
        <w:t>[23]</w:t>
      </w:r>
      <w:r w:rsidRPr="00B355E5">
        <w:rPr>
          <w:sz w:val="28"/>
          <w:szCs w:val="28"/>
        </w:rPr>
        <w:tab/>
      </w:r>
      <w:r w:rsidR="00CD1D18" w:rsidRPr="00223805">
        <w:rPr>
          <w:sz w:val="28"/>
          <w:szCs w:val="28"/>
        </w:rPr>
        <w:t xml:space="preserve">This Court, also held in </w:t>
      </w:r>
      <w:r w:rsidR="00CD1D18" w:rsidRPr="00223805">
        <w:rPr>
          <w:i/>
          <w:sz w:val="28"/>
          <w:szCs w:val="28"/>
        </w:rPr>
        <w:t xml:space="preserve">Malan </w:t>
      </w:r>
      <w:r w:rsidR="00CD1D18" w:rsidRPr="00223805">
        <w:rPr>
          <w:sz w:val="28"/>
          <w:szCs w:val="28"/>
        </w:rPr>
        <w:t xml:space="preserve">that ‘[i]t is seldom, if ever, that a mere suspension from practice for a given period in itself will transform a person who is unfit to practise into one who is fit to practise. </w:t>
      </w:r>
      <w:r w:rsidR="00670150" w:rsidRPr="00223805">
        <w:rPr>
          <w:sz w:val="28"/>
          <w:szCs w:val="28"/>
        </w:rPr>
        <w:t xml:space="preserve">Accordingly, as was noted in </w:t>
      </w:r>
      <w:r w:rsidR="00CD1D18" w:rsidRPr="00223805">
        <w:rPr>
          <w:i/>
          <w:iCs/>
          <w:sz w:val="28"/>
          <w:szCs w:val="28"/>
        </w:rPr>
        <w:t>A v Law Society of the Cape of Good Hope</w:t>
      </w:r>
      <w:r w:rsidR="00CD1D18" w:rsidRPr="00223805">
        <w:rPr>
          <w:sz w:val="28"/>
          <w:szCs w:val="28"/>
        </w:rPr>
        <w:t> 1989 (1) SA 849 (A) at 852E - G, it is implicit … that any order of suspension must be conditional upon the cause of unfitness being removed.  For example, if an attorney is found to be unfit of continuing to practise because of an inability to keep proper books, the conditions of suspension must be such as to deal with the inability. Otherwise the unfit person will return to practice after the period of suspension with the same inability or disability.  In other words, the fact that a period of suspension of, say, five years would be a sufficient penalty for the misconduct does not mean that the orde</w:t>
      </w:r>
      <w:r w:rsidR="0092390A" w:rsidRPr="00223805">
        <w:rPr>
          <w:sz w:val="28"/>
          <w:szCs w:val="28"/>
        </w:rPr>
        <w:t xml:space="preserve">r of suspension should be five </w:t>
      </w:r>
      <w:r w:rsidR="00CD1D18" w:rsidRPr="00223805">
        <w:rPr>
          <w:sz w:val="28"/>
          <w:szCs w:val="28"/>
        </w:rPr>
        <w:t xml:space="preserve">years. It could be more to cater for rehabilitation </w:t>
      </w:r>
      <w:r w:rsidR="00CD1D18" w:rsidRPr="00223805">
        <w:rPr>
          <w:i/>
          <w:sz w:val="28"/>
          <w:szCs w:val="28"/>
        </w:rPr>
        <w:t>or, if the court is not satisfied that the suspension will rehabilitate the attorney, the court ought to strike him from the roll</w:t>
      </w:r>
      <w:r w:rsidR="00CD1D18" w:rsidRPr="00223805">
        <w:rPr>
          <w:sz w:val="28"/>
          <w:szCs w:val="28"/>
        </w:rPr>
        <w:t>. An attorney, who is the subject of a striking-off application and who wishes a court to consider this lesser option, ought to place the court in the posit</w:t>
      </w:r>
      <w:r w:rsidR="0092390A" w:rsidRPr="00223805">
        <w:rPr>
          <w:sz w:val="28"/>
          <w:szCs w:val="28"/>
        </w:rPr>
        <w:t xml:space="preserve">ion of formulating appropriate </w:t>
      </w:r>
      <w:r w:rsidR="00CD1D18" w:rsidRPr="00223805">
        <w:rPr>
          <w:sz w:val="28"/>
          <w:szCs w:val="28"/>
        </w:rPr>
        <w:t>conditions of suspension.</w:t>
      </w:r>
      <w:r w:rsidR="00835601" w:rsidRPr="00223805">
        <w:rPr>
          <w:sz w:val="28"/>
          <w:szCs w:val="28"/>
        </w:rPr>
        <w:t>’</w:t>
      </w:r>
      <w:r w:rsidR="0092390A" w:rsidRPr="00223805">
        <w:rPr>
          <w:sz w:val="28"/>
          <w:szCs w:val="28"/>
        </w:rPr>
        <w:t xml:space="preserve">  (Emphasis supplied.)</w:t>
      </w:r>
    </w:p>
    <w:p w:rsidR="00A55564" w:rsidRPr="00223805" w:rsidRDefault="00223805" w:rsidP="00223805">
      <w:pPr>
        <w:spacing w:before="240" w:after="240" w:line="360" w:lineRule="auto"/>
        <w:jc w:val="both"/>
        <w:rPr>
          <w:sz w:val="28"/>
          <w:szCs w:val="28"/>
        </w:rPr>
      </w:pPr>
      <w:r w:rsidRPr="00B355E5">
        <w:rPr>
          <w:sz w:val="28"/>
          <w:szCs w:val="28"/>
        </w:rPr>
        <w:t>[24]</w:t>
      </w:r>
      <w:r w:rsidRPr="00B355E5">
        <w:rPr>
          <w:sz w:val="28"/>
          <w:szCs w:val="28"/>
        </w:rPr>
        <w:tab/>
      </w:r>
      <w:r w:rsidR="0092390A" w:rsidRPr="00223805">
        <w:rPr>
          <w:sz w:val="28"/>
          <w:szCs w:val="28"/>
        </w:rPr>
        <w:t>In the current case,</w:t>
      </w:r>
      <w:r w:rsidR="006A58BE" w:rsidRPr="00223805">
        <w:rPr>
          <w:sz w:val="28"/>
          <w:szCs w:val="28"/>
        </w:rPr>
        <w:t xml:space="preserve"> </w:t>
      </w:r>
      <w:r w:rsidR="0092390A" w:rsidRPr="00223805">
        <w:rPr>
          <w:sz w:val="28"/>
          <w:szCs w:val="28"/>
        </w:rPr>
        <w:t xml:space="preserve">the respondent did not do anything to place the court in the position of formulating appropriate conditions of suspension and the order made by the court did not provide for any such conditions.  On the contrary, the requirement to which the sanction imposed was made subject, namely an application by the respondent at the end of the period to be permitted to resume practice as an attorney, clearly signals that the court was not satisfied that </w:t>
      </w:r>
      <w:r w:rsidR="00C22812" w:rsidRPr="00223805">
        <w:rPr>
          <w:sz w:val="28"/>
          <w:szCs w:val="28"/>
        </w:rPr>
        <w:lastRenderedPageBreak/>
        <w:t>Mr Rubushe</w:t>
      </w:r>
      <w:r w:rsidR="0092390A" w:rsidRPr="00223805">
        <w:rPr>
          <w:sz w:val="28"/>
          <w:szCs w:val="28"/>
        </w:rPr>
        <w:t xml:space="preserve"> </w:t>
      </w:r>
      <w:r w:rsidR="00A55564" w:rsidRPr="00223805">
        <w:rPr>
          <w:sz w:val="28"/>
          <w:szCs w:val="28"/>
        </w:rPr>
        <w:t>would be a fit and proper person to practise as an attorney at that time.  For all the reasons cited with reference to this Court’s judgment in</w:t>
      </w:r>
      <w:r w:rsidR="00835601" w:rsidRPr="00223805">
        <w:rPr>
          <w:i/>
          <w:sz w:val="28"/>
          <w:szCs w:val="28"/>
        </w:rPr>
        <w:t xml:space="preserve"> Malan</w:t>
      </w:r>
      <w:r w:rsidR="00A55564" w:rsidRPr="00223805">
        <w:rPr>
          <w:sz w:val="28"/>
          <w:szCs w:val="28"/>
        </w:rPr>
        <w:t>, the only appropriate order in the circumstances of this case was an</w:t>
      </w:r>
      <w:r w:rsidR="00C22812" w:rsidRPr="00223805">
        <w:rPr>
          <w:sz w:val="28"/>
          <w:szCs w:val="28"/>
        </w:rPr>
        <w:t xml:space="preserve"> order striking his name from the roll.</w:t>
      </w:r>
    </w:p>
    <w:p w:rsidR="008A0A6A" w:rsidRPr="00223805" w:rsidRDefault="00223805" w:rsidP="00223805">
      <w:pPr>
        <w:spacing w:before="240" w:after="240" w:line="360" w:lineRule="auto"/>
        <w:jc w:val="both"/>
        <w:rPr>
          <w:sz w:val="28"/>
          <w:szCs w:val="28"/>
        </w:rPr>
      </w:pPr>
      <w:r w:rsidRPr="00B355E5">
        <w:rPr>
          <w:sz w:val="28"/>
          <w:szCs w:val="28"/>
        </w:rPr>
        <w:t>[25]</w:t>
      </w:r>
      <w:r w:rsidRPr="00B355E5">
        <w:rPr>
          <w:sz w:val="28"/>
          <w:szCs w:val="28"/>
        </w:rPr>
        <w:tab/>
      </w:r>
      <w:r w:rsidR="00A55564" w:rsidRPr="00223805">
        <w:rPr>
          <w:sz w:val="28"/>
          <w:szCs w:val="28"/>
        </w:rPr>
        <w:t xml:space="preserve">The High Court was clearly misdirected in failing to adhere to the principles articulated in </w:t>
      </w:r>
      <w:r w:rsidR="00A55564" w:rsidRPr="00223805">
        <w:rPr>
          <w:i/>
          <w:sz w:val="28"/>
          <w:szCs w:val="28"/>
        </w:rPr>
        <w:t xml:space="preserve">Malan </w:t>
      </w:r>
      <w:r w:rsidR="009B52FF" w:rsidRPr="00223805">
        <w:rPr>
          <w:sz w:val="28"/>
          <w:szCs w:val="28"/>
        </w:rPr>
        <w:t>and other judgments of this Court to the same effect</w:t>
      </w:r>
      <w:r w:rsidR="00A55564" w:rsidRPr="00223805">
        <w:rPr>
          <w:sz w:val="28"/>
          <w:szCs w:val="28"/>
        </w:rPr>
        <w:t xml:space="preserve">.  </w:t>
      </w:r>
      <w:r w:rsidR="00C67280" w:rsidRPr="00223805">
        <w:rPr>
          <w:sz w:val="28"/>
          <w:szCs w:val="28"/>
        </w:rPr>
        <w:t xml:space="preserve">The fact that the respondent did not succeed in his dishonest endeavour to deprive his client of a substantial amount of his damages award only because of the intervention of a conscientious judge did not serve in any measure to mitigate his dishonesty.  The dishonest character of the respondent’s dishonesty was not affected by </w:t>
      </w:r>
      <w:r w:rsidR="003B6460" w:rsidRPr="00223805">
        <w:rPr>
          <w:sz w:val="28"/>
          <w:szCs w:val="28"/>
        </w:rPr>
        <w:t>his failure to succeed in his attempt to recover the extortionate fee for which he had stipulated</w:t>
      </w:r>
      <w:r w:rsidR="00C67280" w:rsidRPr="00223805">
        <w:rPr>
          <w:sz w:val="28"/>
          <w:szCs w:val="28"/>
        </w:rPr>
        <w:t>.  It was the character of his conduct, not its degree of success</w:t>
      </w:r>
      <w:r w:rsidR="00F45463" w:rsidRPr="00223805">
        <w:rPr>
          <w:sz w:val="28"/>
          <w:szCs w:val="28"/>
        </w:rPr>
        <w:t>,</w:t>
      </w:r>
      <w:r w:rsidR="00C67280" w:rsidRPr="00223805">
        <w:rPr>
          <w:sz w:val="28"/>
          <w:szCs w:val="28"/>
        </w:rPr>
        <w:t xml:space="preserve"> that was germane to the </w:t>
      </w:r>
      <w:r w:rsidR="00F45463" w:rsidRPr="00223805">
        <w:rPr>
          <w:sz w:val="28"/>
          <w:szCs w:val="28"/>
        </w:rPr>
        <w:t xml:space="preserve">court’s </w:t>
      </w:r>
      <w:r w:rsidR="00C67280" w:rsidRPr="00223805">
        <w:rPr>
          <w:sz w:val="28"/>
          <w:szCs w:val="28"/>
        </w:rPr>
        <w:t>determination</w:t>
      </w:r>
      <w:r w:rsidR="00F45463" w:rsidRPr="00223805">
        <w:rPr>
          <w:sz w:val="28"/>
          <w:szCs w:val="28"/>
        </w:rPr>
        <w:t xml:space="preserve"> of whether he was a fit and proper person to remain on the roll</w:t>
      </w:r>
      <w:r w:rsidR="008A0A6A" w:rsidRPr="00223805">
        <w:rPr>
          <w:sz w:val="28"/>
          <w:szCs w:val="28"/>
        </w:rPr>
        <w:t xml:space="preserve"> of legal practitioners.</w:t>
      </w:r>
    </w:p>
    <w:p w:rsidR="00F955C4" w:rsidRPr="00223805" w:rsidRDefault="00223805" w:rsidP="00223805">
      <w:pPr>
        <w:spacing w:before="240" w:after="240" w:line="360" w:lineRule="auto"/>
        <w:jc w:val="both"/>
        <w:rPr>
          <w:sz w:val="28"/>
          <w:szCs w:val="28"/>
        </w:rPr>
      </w:pPr>
      <w:r w:rsidRPr="00B355E5">
        <w:rPr>
          <w:sz w:val="28"/>
          <w:szCs w:val="28"/>
        </w:rPr>
        <w:t>[26]</w:t>
      </w:r>
      <w:r w:rsidRPr="00B355E5">
        <w:rPr>
          <w:sz w:val="28"/>
          <w:szCs w:val="28"/>
        </w:rPr>
        <w:tab/>
      </w:r>
      <w:r w:rsidR="008A0A6A" w:rsidRPr="00223805">
        <w:rPr>
          <w:sz w:val="28"/>
          <w:szCs w:val="28"/>
        </w:rPr>
        <w:t>As Nugent JA (Harms ADP concurring) explained in</w:t>
      </w:r>
      <w:r w:rsidR="00D43746" w:rsidRPr="00223805">
        <w:rPr>
          <w:bCs/>
          <w:sz w:val="28"/>
          <w:szCs w:val="28"/>
        </w:rPr>
        <w:t xml:space="preserve"> </w:t>
      </w:r>
      <w:r w:rsidR="00D43746" w:rsidRPr="00223805">
        <w:rPr>
          <w:bCs/>
          <w:i/>
          <w:sz w:val="28"/>
          <w:szCs w:val="28"/>
        </w:rPr>
        <w:t>Law Society of the Cape of Good Hope v Peter</w:t>
      </w:r>
      <w:r w:rsidR="00F955C4" w:rsidRPr="00223805">
        <w:rPr>
          <w:bCs/>
          <w:sz w:val="28"/>
          <w:szCs w:val="28"/>
        </w:rPr>
        <w:t>:</w:t>
      </w:r>
    </w:p>
    <w:p w:rsidR="00F955C4" w:rsidRPr="00B355E5" w:rsidRDefault="008A0A6A" w:rsidP="00F955C4">
      <w:pPr>
        <w:pStyle w:val="ListParagraph"/>
        <w:spacing w:before="240" w:after="240" w:line="360" w:lineRule="auto"/>
        <w:ind w:left="0"/>
        <w:contextualSpacing w:val="0"/>
        <w:jc w:val="both"/>
        <w:rPr>
          <w:sz w:val="28"/>
          <w:szCs w:val="28"/>
        </w:rPr>
      </w:pPr>
      <w:r w:rsidRPr="00B355E5">
        <w:rPr>
          <w:sz w:val="28"/>
          <w:szCs w:val="28"/>
        </w:rPr>
        <w:t>‘</w:t>
      </w:r>
      <w:r w:rsidRPr="00B355E5">
        <w:t>The enquiry before a court that is called upon to exercise that power</w:t>
      </w:r>
      <w:r w:rsidR="00D43746" w:rsidRPr="00B355E5">
        <w:t xml:space="preserve"> </w:t>
      </w:r>
      <w:r w:rsidR="00670150" w:rsidRPr="00B355E5">
        <w:t xml:space="preserve">[ie </w:t>
      </w:r>
      <w:r w:rsidR="00D43746" w:rsidRPr="00B355E5">
        <w:t>to strike a practitioner</w:t>
      </w:r>
      <w:r w:rsidR="00670150" w:rsidRPr="00B355E5">
        <w:t>’s name</w:t>
      </w:r>
      <w:r w:rsidR="00D43746" w:rsidRPr="00B355E5">
        <w:t xml:space="preserve"> from the roll or </w:t>
      </w:r>
      <w:r w:rsidR="001A16CB" w:rsidRPr="00B355E5">
        <w:t>suspend him or her from practising</w:t>
      </w:r>
      <w:r w:rsidR="00D43746" w:rsidRPr="00B355E5">
        <w:t>]</w:t>
      </w:r>
      <w:r w:rsidRPr="00B355E5">
        <w:t xml:space="preserve"> is not what constitutes an appropriate punishment for a past transgression but rather what is required for the protection of the public in the future. Some cases will require nothing less than the removal of the attorney from the roll forthwith. In other cases, where a court is satisfied that a period of suspension will be sufficiently corrective to avoid a recurrence of the offensive conduct, an order of suspension might suffice. But the proper approach in each case is not to weigh the various factors for the purpose of finding an appropriate punishment - as a criminal court would do when sentencing an offender - but to determine whether, or if appropriate when, an attorney should be permitted to continue in practice’</w:t>
      </w:r>
      <w:r w:rsidRPr="00B355E5">
        <w:rPr>
          <w:sz w:val="28"/>
          <w:szCs w:val="28"/>
        </w:rPr>
        <w:t>.</w:t>
      </w:r>
      <w:r w:rsidR="00D43746" w:rsidRPr="00B355E5">
        <w:rPr>
          <w:rStyle w:val="FootnoteReference"/>
          <w:sz w:val="28"/>
          <w:szCs w:val="28"/>
        </w:rPr>
        <w:footnoteReference w:id="13"/>
      </w:r>
    </w:p>
    <w:p w:rsidR="008A0A6A" w:rsidRPr="00B355E5" w:rsidRDefault="00D43746" w:rsidP="00F955C4">
      <w:pPr>
        <w:pStyle w:val="ListParagraph"/>
        <w:spacing w:before="240" w:after="240" w:line="360" w:lineRule="auto"/>
        <w:ind w:left="0"/>
        <w:contextualSpacing w:val="0"/>
        <w:jc w:val="both"/>
        <w:rPr>
          <w:sz w:val="28"/>
          <w:szCs w:val="28"/>
        </w:rPr>
      </w:pPr>
      <w:r w:rsidRPr="00B355E5">
        <w:rPr>
          <w:sz w:val="28"/>
          <w:szCs w:val="28"/>
        </w:rPr>
        <w:lastRenderedPageBreak/>
        <w:t>It is evident from the passage in the court a quo’s judgment quoted above</w:t>
      </w:r>
      <w:r w:rsidR="009B52FF" w:rsidRPr="00B355E5">
        <w:rPr>
          <w:rStyle w:val="FootnoteReference"/>
          <w:sz w:val="28"/>
          <w:szCs w:val="28"/>
        </w:rPr>
        <w:footnoteReference w:id="14"/>
      </w:r>
      <w:r w:rsidRPr="00B355E5">
        <w:rPr>
          <w:sz w:val="28"/>
          <w:szCs w:val="28"/>
        </w:rPr>
        <w:t xml:space="preserve"> that it adopted the wrong approach in the exercise of its powers.</w:t>
      </w:r>
    </w:p>
    <w:p w:rsidR="00670150" w:rsidRPr="00223805" w:rsidRDefault="00223805" w:rsidP="00223805">
      <w:pPr>
        <w:spacing w:before="240" w:after="240" w:line="360" w:lineRule="auto"/>
        <w:jc w:val="both"/>
        <w:rPr>
          <w:sz w:val="28"/>
          <w:szCs w:val="28"/>
        </w:rPr>
      </w:pPr>
      <w:r w:rsidRPr="00B355E5">
        <w:rPr>
          <w:sz w:val="28"/>
          <w:szCs w:val="28"/>
        </w:rPr>
        <w:t>[27]</w:t>
      </w:r>
      <w:r w:rsidRPr="00B355E5">
        <w:rPr>
          <w:sz w:val="28"/>
          <w:szCs w:val="28"/>
        </w:rPr>
        <w:tab/>
      </w:r>
      <w:r w:rsidR="00F45463" w:rsidRPr="00223805">
        <w:rPr>
          <w:sz w:val="28"/>
          <w:szCs w:val="28"/>
        </w:rPr>
        <w:t xml:space="preserve">It was in any event clear from the evidence summarised in the High Court’s judgment that the respondent’s dishonesty was not confined to </w:t>
      </w:r>
      <w:r w:rsidR="009B52FF" w:rsidRPr="00223805">
        <w:rPr>
          <w:sz w:val="28"/>
          <w:szCs w:val="28"/>
        </w:rPr>
        <w:t>attempting</w:t>
      </w:r>
      <w:r w:rsidR="00F45463" w:rsidRPr="00223805">
        <w:rPr>
          <w:sz w:val="28"/>
          <w:szCs w:val="28"/>
        </w:rPr>
        <w:t xml:space="preserve"> to overreach his client.  It also manifest</w:t>
      </w:r>
      <w:r w:rsidR="00F955C4" w:rsidRPr="00223805">
        <w:rPr>
          <w:sz w:val="28"/>
          <w:szCs w:val="28"/>
        </w:rPr>
        <w:t>ed</w:t>
      </w:r>
      <w:r w:rsidR="00F45463" w:rsidRPr="00223805">
        <w:rPr>
          <w:sz w:val="28"/>
          <w:szCs w:val="28"/>
        </w:rPr>
        <w:t xml:space="preserve"> in his further conduct after his initial misconduct was exposed.  Far from showing any insight into his wrongdoings, the respondent sought to make little of them, blame others for them, and</w:t>
      </w:r>
      <w:r w:rsidR="00670150" w:rsidRPr="00223805">
        <w:rPr>
          <w:sz w:val="28"/>
          <w:szCs w:val="28"/>
        </w:rPr>
        <w:t>,</w:t>
      </w:r>
      <w:r w:rsidR="00F45463" w:rsidRPr="00223805">
        <w:rPr>
          <w:sz w:val="28"/>
          <w:szCs w:val="28"/>
        </w:rPr>
        <w:t xml:space="preserve"> </w:t>
      </w:r>
      <w:r w:rsidR="00670150" w:rsidRPr="00223805">
        <w:rPr>
          <w:sz w:val="28"/>
          <w:szCs w:val="28"/>
        </w:rPr>
        <w:t>by</w:t>
      </w:r>
      <w:r w:rsidR="00F45463" w:rsidRPr="00223805">
        <w:rPr>
          <w:sz w:val="28"/>
          <w:szCs w:val="28"/>
        </w:rPr>
        <w:t xml:space="preserve"> his failure to pay Mr Mfengwana the full amount of his award and </w:t>
      </w:r>
      <w:r w:rsidR="00670150" w:rsidRPr="00223805">
        <w:rPr>
          <w:sz w:val="28"/>
          <w:szCs w:val="28"/>
        </w:rPr>
        <w:t>reliance</w:t>
      </w:r>
      <w:r w:rsidR="003F2548" w:rsidRPr="00223805">
        <w:rPr>
          <w:sz w:val="28"/>
          <w:szCs w:val="28"/>
        </w:rPr>
        <w:t xml:space="preserve"> on</w:t>
      </w:r>
      <w:r w:rsidR="00F45463" w:rsidRPr="00223805">
        <w:rPr>
          <w:sz w:val="28"/>
          <w:szCs w:val="28"/>
        </w:rPr>
        <w:t xml:space="preserve"> </w:t>
      </w:r>
      <w:r w:rsidR="003F2548" w:rsidRPr="00223805">
        <w:rPr>
          <w:sz w:val="28"/>
          <w:szCs w:val="28"/>
        </w:rPr>
        <w:t>fraudulent bills of costs</w:t>
      </w:r>
      <w:r w:rsidR="00670150" w:rsidRPr="00223805">
        <w:rPr>
          <w:sz w:val="28"/>
          <w:szCs w:val="28"/>
        </w:rPr>
        <w:t>,</w:t>
      </w:r>
      <w:r w:rsidR="003F2548" w:rsidRPr="00223805">
        <w:rPr>
          <w:sz w:val="28"/>
          <w:szCs w:val="28"/>
        </w:rPr>
        <w:t xml:space="preserve"> </w:t>
      </w:r>
      <w:r w:rsidR="00F955C4" w:rsidRPr="00223805">
        <w:rPr>
          <w:sz w:val="28"/>
          <w:szCs w:val="28"/>
        </w:rPr>
        <w:t xml:space="preserve">he </w:t>
      </w:r>
      <w:r w:rsidR="003F2548" w:rsidRPr="00223805">
        <w:rPr>
          <w:sz w:val="28"/>
          <w:szCs w:val="28"/>
        </w:rPr>
        <w:t>perpetuated and exacerbated them.  He showed no amenability to rehab</w:t>
      </w:r>
      <w:r w:rsidR="00670150" w:rsidRPr="00223805">
        <w:rPr>
          <w:sz w:val="28"/>
          <w:szCs w:val="28"/>
        </w:rPr>
        <w:t>ilitation; quite the opposite.</w:t>
      </w:r>
    </w:p>
    <w:p w:rsidR="00C21D01" w:rsidRPr="00223805" w:rsidRDefault="00223805" w:rsidP="00223805">
      <w:pPr>
        <w:spacing w:before="240" w:after="240" w:line="360" w:lineRule="auto"/>
        <w:jc w:val="both"/>
        <w:rPr>
          <w:sz w:val="28"/>
          <w:szCs w:val="28"/>
        </w:rPr>
      </w:pPr>
      <w:r w:rsidRPr="00B355E5">
        <w:rPr>
          <w:sz w:val="28"/>
          <w:szCs w:val="28"/>
        </w:rPr>
        <w:t>[28]</w:t>
      </w:r>
      <w:r w:rsidRPr="00B355E5">
        <w:rPr>
          <w:sz w:val="28"/>
          <w:szCs w:val="28"/>
        </w:rPr>
        <w:tab/>
      </w:r>
      <w:r w:rsidR="00514AC4" w:rsidRPr="00223805">
        <w:rPr>
          <w:sz w:val="28"/>
          <w:szCs w:val="28"/>
        </w:rPr>
        <w:t>In the circumstances, t</w:t>
      </w:r>
      <w:r w:rsidR="003F2548" w:rsidRPr="00223805">
        <w:rPr>
          <w:sz w:val="28"/>
          <w:szCs w:val="28"/>
        </w:rPr>
        <w:t>he High Court erred in not</w:t>
      </w:r>
      <w:r w:rsidR="009B52FF" w:rsidRPr="00223805">
        <w:rPr>
          <w:sz w:val="28"/>
          <w:szCs w:val="28"/>
        </w:rPr>
        <w:t xml:space="preserve"> </w:t>
      </w:r>
      <w:r w:rsidR="003F2548" w:rsidRPr="00223805">
        <w:rPr>
          <w:sz w:val="28"/>
          <w:szCs w:val="28"/>
        </w:rPr>
        <w:t xml:space="preserve">taking these considerations </w:t>
      </w:r>
      <w:r w:rsidR="006E0A9D" w:rsidRPr="00223805">
        <w:rPr>
          <w:sz w:val="28"/>
          <w:szCs w:val="28"/>
        </w:rPr>
        <w:t xml:space="preserve">properly </w:t>
      </w:r>
      <w:r w:rsidR="003F2548" w:rsidRPr="00223805">
        <w:rPr>
          <w:sz w:val="28"/>
          <w:szCs w:val="28"/>
        </w:rPr>
        <w:t>into account.  Making an order of suspension was misconceived.  It was predicated on misdirections in fact and principle.</w:t>
      </w:r>
    </w:p>
    <w:p w:rsidR="005A3EA1" w:rsidRPr="00223805" w:rsidRDefault="00223805" w:rsidP="00223805">
      <w:pPr>
        <w:spacing w:before="240" w:after="240" w:line="360" w:lineRule="auto"/>
        <w:jc w:val="both"/>
        <w:rPr>
          <w:sz w:val="28"/>
          <w:szCs w:val="28"/>
        </w:rPr>
      </w:pPr>
      <w:r w:rsidRPr="00B355E5">
        <w:rPr>
          <w:sz w:val="28"/>
          <w:szCs w:val="28"/>
        </w:rPr>
        <w:t>[29]</w:t>
      </w:r>
      <w:r w:rsidRPr="00B355E5">
        <w:rPr>
          <w:sz w:val="28"/>
          <w:szCs w:val="28"/>
        </w:rPr>
        <w:tab/>
      </w:r>
      <w:r w:rsidR="005A3EA1" w:rsidRPr="00223805">
        <w:rPr>
          <w:sz w:val="28"/>
          <w:szCs w:val="28"/>
        </w:rPr>
        <w:t>In the result, an order is made as follows:</w:t>
      </w:r>
    </w:p>
    <w:p w:rsidR="009C15F0" w:rsidRPr="00223805" w:rsidRDefault="00223805" w:rsidP="00223805">
      <w:pPr>
        <w:spacing w:before="240" w:after="240" w:line="360" w:lineRule="auto"/>
        <w:ind w:left="1080" w:hanging="360"/>
        <w:rPr>
          <w:bCs/>
          <w:sz w:val="28"/>
          <w:szCs w:val="28"/>
        </w:rPr>
      </w:pPr>
      <w:r w:rsidRPr="00B355E5">
        <w:rPr>
          <w:bCs/>
          <w:sz w:val="28"/>
          <w:szCs w:val="28"/>
        </w:rPr>
        <w:t>1.</w:t>
      </w:r>
      <w:r w:rsidRPr="00B355E5">
        <w:rPr>
          <w:bCs/>
          <w:sz w:val="28"/>
          <w:szCs w:val="28"/>
        </w:rPr>
        <w:tab/>
      </w:r>
      <w:r w:rsidR="009C15F0" w:rsidRPr="00223805">
        <w:rPr>
          <w:bCs/>
          <w:sz w:val="28"/>
          <w:szCs w:val="28"/>
        </w:rPr>
        <w:t>The appeal is upheld.</w:t>
      </w:r>
    </w:p>
    <w:p w:rsidR="009C15F0" w:rsidRPr="00223805" w:rsidRDefault="00223805" w:rsidP="00223805">
      <w:pPr>
        <w:spacing w:before="240" w:after="240" w:line="360" w:lineRule="auto"/>
        <w:ind w:left="1080" w:hanging="360"/>
        <w:jc w:val="both"/>
        <w:rPr>
          <w:sz w:val="28"/>
          <w:szCs w:val="28"/>
        </w:rPr>
      </w:pPr>
      <w:r w:rsidRPr="00B355E5">
        <w:rPr>
          <w:sz w:val="28"/>
          <w:szCs w:val="28"/>
        </w:rPr>
        <w:t>2.</w:t>
      </w:r>
      <w:r w:rsidRPr="00B355E5">
        <w:rPr>
          <w:sz w:val="28"/>
          <w:szCs w:val="28"/>
        </w:rPr>
        <w:tab/>
      </w:r>
      <w:r w:rsidR="00514AC4" w:rsidRPr="00223805">
        <w:rPr>
          <w:sz w:val="28"/>
          <w:szCs w:val="28"/>
        </w:rPr>
        <w:t>Paragraphs 1 and 11 of the revised order of the High Court issued on 4 August 2022 are set aside.</w:t>
      </w:r>
    </w:p>
    <w:p w:rsidR="009C15F0" w:rsidRPr="00223805" w:rsidRDefault="00223805" w:rsidP="00223805">
      <w:pPr>
        <w:spacing w:before="240" w:after="240" w:line="360" w:lineRule="auto"/>
        <w:ind w:left="1080" w:hanging="360"/>
        <w:jc w:val="both"/>
        <w:rPr>
          <w:sz w:val="28"/>
          <w:szCs w:val="28"/>
        </w:rPr>
      </w:pPr>
      <w:r w:rsidRPr="00B355E5">
        <w:rPr>
          <w:sz w:val="28"/>
          <w:szCs w:val="28"/>
        </w:rPr>
        <w:t>3.</w:t>
      </w:r>
      <w:r w:rsidRPr="00B355E5">
        <w:rPr>
          <w:sz w:val="28"/>
          <w:szCs w:val="28"/>
        </w:rPr>
        <w:tab/>
      </w:r>
      <w:r w:rsidR="009C15F0" w:rsidRPr="00223805">
        <w:rPr>
          <w:sz w:val="28"/>
          <w:szCs w:val="28"/>
        </w:rPr>
        <w:t>Paragraph 1 of the said order is substituted with an order directing that the respondent’s name be struck off the roll of legal practitioners kept by the applicant in terms of s 30(3) of the Legal Practice Act 28 of 2014, and paragraph 12 of the said order is consequentially renumbered as paragraph 11.</w:t>
      </w:r>
    </w:p>
    <w:p w:rsidR="005A3EA1" w:rsidRPr="00223805" w:rsidRDefault="00223805" w:rsidP="00223805">
      <w:pPr>
        <w:keepNext/>
        <w:spacing w:before="240" w:after="240" w:line="360" w:lineRule="auto"/>
        <w:ind w:left="1077" w:hanging="357"/>
        <w:jc w:val="both"/>
        <w:rPr>
          <w:sz w:val="28"/>
          <w:szCs w:val="28"/>
        </w:rPr>
      </w:pPr>
      <w:r w:rsidRPr="00B355E5">
        <w:rPr>
          <w:sz w:val="28"/>
          <w:szCs w:val="28"/>
        </w:rPr>
        <w:lastRenderedPageBreak/>
        <w:t>4.</w:t>
      </w:r>
      <w:r w:rsidRPr="00B355E5">
        <w:rPr>
          <w:sz w:val="28"/>
          <w:szCs w:val="28"/>
        </w:rPr>
        <w:tab/>
      </w:r>
      <w:r w:rsidR="009C15F0" w:rsidRPr="00223805">
        <w:rPr>
          <w:sz w:val="28"/>
          <w:szCs w:val="28"/>
        </w:rPr>
        <w:t>Save as provided in paragraphs 2 and 3 above, the revised order made by the High Court is otherwise confirmed.</w:t>
      </w:r>
    </w:p>
    <w:p w:rsidR="009C15F0" w:rsidRPr="00B355E5" w:rsidRDefault="009C15F0" w:rsidP="00330363">
      <w:pPr>
        <w:keepNext/>
        <w:spacing w:before="240" w:after="240" w:line="360" w:lineRule="auto"/>
        <w:jc w:val="both"/>
        <w:rPr>
          <w:sz w:val="28"/>
          <w:szCs w:val="28"/>
        </w:rPr>
      </w:pPr>
    </w:p>
    <w:p w:rsidR="009C15F0" w:rsidRPr="00B355E5" w:rsidRDefault="009C15F0" w:rsidP="00330363">
      <w:pPr>
        <w:keepNext/>
        <w:spacing w:before="240" w:after="240" w:line="360" w:lineRule="auto"/>
        <w:jc w:val="both"/>
        <w:rPr>
          <w:sz w:val="28"/>
          <w:szCs w:val="28"/>
        </w:rPr>
      </w:pPr>
    </w:p>
    <w:p w:rsidR="009C15F0" w:rsidRPr="00B355E5" w:rsidRDefault="009C15F0" w:rsidP="009C15F0">
      <w:pPr>
        <w:spacing w:before="240" w:after="240" w:line="360" w:lineRule="auto"/>
        <w:jc w:val="both"/>
        <w:rPr>
          <w:sz w:val="28"/>
          <w:szCs w:val="28"/>
        </w:rPr>
      </w:pPr>
    </w:p>
    <w:p w:rsidR="00514AC4" w:rsidRPr="00B355E5" w:rsidRDefault="00514AC4" w:rsidP="009C15F0">
      <w:pPr>
        <w:spacing w:before="0" w:after="0" w:line="360" w:lineRule="auto"/>
        <w:jc w:val="right"/>
        <w:rPr>
          <w:sz w:val="28"/>
          <w:szCs w:val="28"/>
        </w:rPr>
      </w:pPr>
      <w:r w:rsidRPr="00B355E5">
        <w:rPr>
          <w:sz w:val="28"/>
          <w:szCs w:val="28"/>
        </w:rPr>
        <w:t>_________________________</w:t>
      </w:r>
    </w:p>
    <w:p w:rsidR="009C15F0" w:rsidRPr="00B355E5" w:rsidRDefault="009C15F0" w:rsidP="009C15F0">
      <w:pPr>
        <w:spacing w:before="0" w:after="0" w:line="360" w:lineRule="auto"/>
        <w:jc w:val="right"/>
        <w:rPr>
          <w:sz w:val="28"/>
          <w:szCs w:val="28"/>
        </w:rPr>
      </w:pPr>
      <w:r w:rsidRPr="00B355E5">
        <w:rPr>
          <w:sz w:val="28"/>
          <w:szCs w:val="28"/>
        </w:rPr>
        <w:t>A</w:t>
      </w:r>
      <w:r w:rsidR="00514AC4" w:rsidRPr="00B355E5">
        <w:rPr>
          <w:sz w:val="28"/>
          <w:szCs w:val="28"/>
        </w:rPr>
        <w:t xml:space="preserve"> G</w:t>
      </w:r>
      <w:r w:rsidRPr="00B355E5">
        <w:rPr>
          <w:sz w:val="28"/>
          <w:szCs w:val="28"/>
        </w:rPr>
        <w:t xml:space="preserve"> BINNS-WARD</w:t>
      </w:r>
    </w:p>
    <w:p w:rsidR="009C15F0" w:rsidRPr="00B355E5" w:rsidRDefault="009C15F0" w:rsidP="009C15F0">
      <w:pPr>
        <w:spacing w:before="0" w:after="0" w:line="360" w:lineRule="auto"/>
        <w:jc w:val="right"/>
        <w:rPr>
          <w:sz w:val="28"/>
          <w:szCs w:val="28"/>
        </w:rPr>
      </w:pPr>
      <w:r w:rsidRPr="00B355E5">
        <w:rPr>
          <w:sz w:val="28"/>
          <w:szCs w:val="28"/>
        </w:rPr>
        <w:t>ACTING JUDGE OF APPEAL</w:t>
      </w:r>
    </w:p>
    <w:p w:rsidR="00514AC4" w:rsidRPr="00B355E5" w:rsidRDefault="00514AC4">
      <w:pPr>
        <w:jc w:val="both"/>
        <w:rPr>
          <w:sz w:val="28"/>
          <w:szCs w:val="28"/>
        </w:rPr>
      </w:pPr>
      <w:r w:rsidRPr="00B355E5">
        <w:rPr>
          <w:sz w:val="28"/>
          <w:szCs w:val="28"/>
        </w:rPr>
        <w:br w:type="page"/>
      </w:r>
    </w:p>
    <w:p w:rsidR="00330363" w:rsidRPr="00B355E5" w:rsidRDefault="00330363" w:rsidP="009C15F0">
      <w:pPr>
        <w:spacing w:before="0" w:after="0" w:line="360" w:lineRule="auto"/>
        <w:jc w:val="right"/>
        <w:rPr>
          <w:sz w:val="28"/>
          <w:szCs w:val="28"/>
        </w:rPr>
      </w:pPr>
    </w:p>
    <w:p w:rsidR="00330363" w:rsidRPr="00B355E5" w:rsidRDefault="00330363" w:rsidP="00330363">
      <w:pPr>
        <w:spacing w:before="0" w:after="0" w:line="360" w:lineRule="auto"/>
        <w:jc w:val="both"/>
        <w:rPr>
          <w:sz w:val="28"/>
          <w:szCs w:val="28"/>
        </w:rPr>
      </w:pPr>
      <w:r w:rsidRPr="00B355E5">
        <w:rPr>
          <w:sz w:val="28"/>
          <w:szCs w:val="28"/>
        </w:rPr>
        <w:t>Appearances</w:t>
      </w:r>
    </w:p>
    <w:p w:rsidR="00330363" w:rsidRPr="00B355E5" w:rsidRDefault="00330363" w:rsidP="00330363">
      <w:pPr>
        <w:spacing w:before="0" w:after="0" w:line="360" w:lineRule="auto"/>
        <w:jc w:val="both"/>
        <w:rPr>
          <w:sz w:val="28"/>
          <w:szCs w:val="28"/>
        </w:rPr>
      </w:pPr>
    </w:p>
    <w:p w:rsidR="00330363" w:rsidRPr="00B355E5" w:rsidRDefault="00514AC4" w:rsidP="00330363">
      <w:pPr>
        <w:spacing w:before="0" w:after="0" w:line="360" w:lineRule="auto"/>
        <w:jc w:val="both"/>
        <w:rPr>
          <w:sz w:val="28"/>
          <w:szCs w:val="28"/>
        </w:rPr>
      </w:pPr>
      <w:r w:rsidRPr="00B355E5">
        <w:rPr>
          <w:sz w:val="28"/>
          <w:szCs w:val="28"/>
        </w:rPr>
        <w:t>For the appellant:</w:t>
      </w:r>
      <w:r w:rsidRPr="00B355E5">
        <w:rPr>
          <w:sz w:val="28"/>
          <w:szCs w:val="28"/>
        </w:rPr>
        <w:tab/>
      </w:r>
      <w:r w:rsidRPr="00B355E5">
        <w:rPr>
          <w:sz w:val="28"/>
          <w:szCs w:val="28"/>
        </w:rPr>
        <w:tab/>
      </w:r>
      <w:r w:rsidR="00330363" w:rsidRPr="00B355E5">
        <w:rPr>
          <w:sz w:val="28"/>
          <w:szCs w:val="28"/>
        </w:rPr>
        <w:t>KL Watt</w:t>
      </w:r>
    </w:p>
    <w:p w:rsidR="00330363" w:rsidRPr="00B355E5" w:rsidRDefault="00330363" w:rsidP="00330363">
      <w:pPr>
        <w:spacing w:before="0" w:after="0" w:line="360" w:lineRule="auto"/>
        <w:jc w:val="both"/>
        <w:rPr>
          <w:sz w:val="28"/>
          <w:szCs w:val="28"/>
        </w:rPr>
      </w:pPr>
      <w:r w:rsidRPr="00B355E5">
        <w:rPr>
          <w:sz w:val="28"/>
          <w:szCs w:val="28"/>
        </w:rPr>
        <w:t>Instructed by:</w:t>
      </w:r>
      <w:r w:rsidRPr="00B355E5">
        <w:rPr>
          <w:sz w:val="28"/>
          <w:szCs w:val="28"/>
        </w:rPr>
        <w:tab/>
      </w:r>
      <w:r w:rsidRPr="00B355E5">
        <w:rPr>
          <w:sz w:val="28"/>
          <w:szCs w:val="28"/>
        </w:rPr>
        <w:tab/>
        <w:t>Wheeldon Rushmere &amp; Cole, Makhanda</w:t>
      </w:r>
    </w:p>
    <w:p w:rsidR="00330363" w:rsidRPr="00B355E5" w:rsidRDefault="00330363" w:rsidP="00330363">
      <w:pPr>
        <w:spacing w:before="0" w:after="0" w:line="360" w:lineRule="auto"/>
        <w:jc w:val="both"/>
        <w:rPr>
          <w:sz w:val="28"/>
          <w:szCs w:val="28"/>
        </w:rPr>
      </w:pPr>
      <w:r w:rsidRPr="00B355E5">
        <w:rPr>
          <w:sz w:val="28"/>
          <w:szCs w:val="28"/>
        </w:rPr>
        <w:tab/>
      </w:r>
      <w:r w:rsidRPr="00B355E5">
        <w:rPr>
          <w:sz w:val="28"/>
          <w:szCs w:val="28"/>
        </w:rPr>
        <w:tab/>
      </w:r>
      <w:r w:rsidRPr="00B355E5">
        <w:rPr>
          <w:sz w:val="28"/>
          <w:szCs w:val="28"/>
        </w:rPr>
        <w:tab/>
      </w:r>
      <w:r w:rsidRPr="00B355E5">
        <w:rPr>
          <w:sz w:val="28"/>
          <w:szCs w:val="28"/>
        </w:rPr>
        <w:tab/>
        <w:t>Symington De Kok Attorneys, Bloemfontein</w:t>
      </w:r>
    </w:p>
    <w:p w:rsidR="00330363" w:rsidRPr="00B355E5" w:rsidRDefault="00330363" w:rsidP="00330363">
      <w:pPr>
        <w:spacing w:before="0" w:after="0" w:line="360" w:lineRule="auto"/>
        <w:jc w:val="both"/>
        <w:rPr>
          <w:sz w:val="28"/>
          <w:szCs w:val="28"/>
        </w:rPr>
      </w:pPr>
    </w:p>
    <w:p w:rsidR="00330363" w:rsidRPr="008A2D1A" w:rsidRDefault="00330363" w:rsidP="00330363">
      <w:pPr>
        <w:spacing w:before="0" w:after="0" w:line="360" w:lineRule="auto"/>
        <w:jc w:val="both"/>
        <w:rPr>
          <w:sz w:val="28"/>
          <w:szCs w:val="28"/>
        </w:rPr>
      </w:pPr>
      <w:r w:rsidRPr="00B355E5">
        <w:rPr>
          <w:sz w:val="28"/>
          <w:szCs w:val="28"/>
        </w:rPr>
        <w:t>For the respondent:</w:t>
      </w:r>
      <w:r w:rsidRPr="00B355E5">
        <w:rPr>
          <w:sz w:val="28"/>
          <w:szCs w:val="28"/>
        </w:rPr>
        <w:tab/>
        <w:t>No appearance</w:t>
      </w:r>
    </w:p>
    <w:p w:rsidR="00330363" w:rsidRPr="009C15F0" w:rsidRDefault="00330363" w:rsidP="00330363">
      <w:pPr>
        <w:spacing w:before="0" w:after="0" w:line="360" w:lineRule="auto"/>
        <w:jc w:val="both"/>
        <w:rPr>
          <w:sz w:val="28"/>
          <w:szCs w:val="28"/>
        </w:rPr>
      </w:pPr>
    </w:p>
    <w:sectPr w:rsidR="00330363" w:rsidRPr="009C15F0" w:rsidSect="009D2C2F">
      <w:head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E1" w:rsidRDefault="008C00E1" w:rsidP="009D2C2F">
      <w:pPr>
        <w:spacing w:before="0" w:after="0" w:line="240" w:lineRule="auto"/>
      </w:pPr>
      <w:r>
        <w:separator/>
      </w:r>
    </w:p>
  </w:endnote>
  <w:endnote w:type="continuationSeparator" w:id="0">
    <w:p w:rsidR="008C00E1" w:rsidRDefault="008C00E1" w:rsidP="009D2C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E1" w:rsidRDefault="008C00E1" w:rsidP="009D2C2F">
      <w:pPr>
        <w:spacing w:before="0" w:after="0" w:line="240" w:lineRule="auto"/>
      </w:pPr>
      <w:r>
        <w:separator/>
      </w:r>
    </w:p>
  </w:footnote>
  <w:footnote w:type="continuationSeparator" w:id="0">
    <w:p w:rsidR="008C00E1" w:rsidRDefault="008C00E1" w:rsidP="009D2C2F">
      <w:pPr>
        <w:spacing w:before="0" w:after="0" w:line="240" w:lineRule="auto"/>
      </w:pPr>
      <w:r>
        <w:continuationSeparator/>
      </w:r>
    </w:p>
  </w:footnote>
  <w:footnote w:id="1">
    <w:p w:rsidR="00404B07" w:rsidRPr="00B355E5" w:rsidRDefault="00404B07" w:rsidP="00B355E5">
      <w:pPr>
        <w:pStyle w:val="FootnoteText"/>
        <w:jc w:val="both"/>
      </w:pPr>
      <w:r w:rsidRPr="00B355E5">
        <w:rPr>
          <w:rStyle w:val="FootnoteReference"/>
        </w:rPr>
        <w:footnoteRef/>
      </w:r>
      <w:r w:rsidRPr="00B355E5">
        <w:t xml:space="preserve"> The order, as originally framed, omitted to make provision for the detailed directions ordinarily included in such orders concerning the handing over of the delinquent practitioner’s practice to the executive officer of the Legal Practice Council for winding up.  The omission was rectified by way of a revised and amplified order issued on 4 August 2022. The judgment, incorporating the originally made order, is listed on SAFLII sub nom, </w:t>
      </w:r>
      <w:r w:rsidRPr="00B355E5">
        <w:rPr>
          <w:i/>
        </w:rPr>
        <w:t xml:space="preserve">Legal Practice Council v Rubushe </w:t>
      </w:r>
      <w:r w:rsidRPr="00B355E5">
        <w:t>[2022] ZAECMKHC 37.</w:t>
      </w:r>
      <w:r w:rsidR="005A4CA7" w:rsidRPr="00B355E5">
        <w:t xml:space="preserve">  The orders in issue on appeal were in paragraphs 1 and 4 of the originally made order.</w:t>
      </w:r>
    </w:p>
    <w:p w:rsidR="00404B07" w:rsidRPr="00B355E5" w:rsidRDefault="00404B07" w:rsidP="00B355E5">
      <w:pPr>
        <w:pStyle w:val="FootnoteText"/>
        <w:jc w:val="both"/>
      </w:pPr>
    </w:p>
  </w:footnote>
  <w:footnote w:id="2">
    <w:p w:rsidR="005A55AF" w:rsidRPr="00B355E5" w:rsidRDefault="005A55AF" w:rsidP="00B355E5">
      <w:pPr>
        <w:pStyle w:val="FootnoteText"/>
        <w:jc w:val="both"/>
      </w:pPr>
      <w:r w:rsidRPr="00B355E5">
        <w:rPr>
          <w:rStyle w:val="FootnoteReference"/>
        </w:rPr>
        <w:footnoteRef/>
      </w:r>
      <w:r w:rsidRPr="00B355E5">
        <w:t xml:space="preserve"> </w:t>
      </w:r>
      <w:r w:rsidRPr="00B355E5">
        <w:rPr>
          <w:i/>
        </w:rPr>
        <w:t>Mfengwana v Road Accident Fund</w:t>
      </w:r>
      <w:r w:rsidRPr="00B355E5">
        <w:t xml:space="preserve"> [2016] ZAECGHC 159; 2017 (5) SA 445 (ECG).</w:t>
      </w:r>
    </w:p>
  </w:footnote>
  <w:footnote w:id="3">
    <w:p w:rsidR="00467B45" w:rsidRPr="00B355E5" w:rsidRDefault="00467B45" w:rsidP="00B355E5">
      <w:pPr>
        <w:pStyle w:val="FootnoteText"/>
        <w:jc w:val="both"/>
      </w:pPr>
      <w:r w:rsidRPr="00B355E5">
        <w:rPr>
          <w:rStyle w:val="FootnoteReference"/>
        </w:rPr>
        <w:footnoteRef/>
      </w:r>
      <w:r w:rsidRPr="00B355E5">
        <w:t xml:space="preserve"> Contingency Fees Act 66 of 1997.</w:t>
      </w:r>
    </w:p>
  </w:footnote>
  <w:footnote w:id="4">
    <w:p w:rsidR="00AB7231" w:rsidRPr="00B355E5" w:rsidRDefault="00AB7231" w:rsidP="00B355E5">
      <w:pPr>
        <w:pStyle w:val="FootnoteText"/>
        <w:jc w:val="both"/>
      </w:pPr>
      <w:r w:rsidRPr="00B355E5">
        <w:rPr>
          <w:rStyle w:val="FootnoteReference"/>
        </w:rPr>
        <w:footnoteRef/>
      </w:r>
      <w:r w:rsidRPr="00B355E5">
        <w:t xml:space="preserve"> Section 2(2) of the Contingency Fees Act.</w:t>
      </w:r>
    </w:p>
  </w:footnote>
  <w:footnote w:id="5">
    <w:p w:rsidR="00080FE9" w:rsidRPr="00B355E5" w:rsidRDefault="00080FE9" w:rsidP="00B355E5">
      <w:pPr>
        <w:pStyle w:val="FootnoteText"/>
        <w:jc w:val="both"/>
      </w:pPr>
      <w:r w:rsidRPr="00B355E5">
        <w:rPr>
          <w:rStyle w:val="FootnoteReference"/>
        </w:rPr>
        <w:footnoteRef/>
      </w:r>
      <w:r w:rsidRPr="00B355E5">
        <w:t xml:space="preserve"> </w:t>
      </w:r>
      <w:r w:rsidRPr="00B355E5">
        <w:rPr>
          <w:i/>
          <w:iCs/>
          <w:lang w:val="en-ZA"/>
        </w:rPr>
        <w:t>Thulo v Road Accident Fund</w:t>
      </w:r>
      <w:r w:rsidRPr="00B355E5">
        <w:t> </w:t>
      </w:r>
      <w:r w:rsidRPr="00B355E5">
        <w:rPr>
          <w:bCs/>
          <w:lang w:val="en-ZA"/>
        </w:rPr>
        <w:t>2011 (5) SA 446</w:t>
      </w:r>
      <w:r w:rsidRPr="00B355E5">
        <w:rPr>
          <w:lang w:val="en-ZA"/>
        </w:rPr>
        <w:t> (GSJ) para 51-52</w:t>
      </w:r>
    </w:p>
  </w:footnote>
  <w:footnote w:id="6">
    <w:p w:rsidR="00080FE9" w:rsidRPr="00B355E5" w:rsidRDefault="00080FE9" w:rsidP="00B355E5">
      <w:pPr>
        <w:pStyle w:val="FootnoteText"/>
        <w:jc w:val="both"/>
      </w:pPr>
      <w:r w:rsidRPr="00B355E5">
        <w:rPr>
          <w:rStyle w:val="FootnoteReference"/>
        </w:rPr>
        <w:footnoteRef/>
      </w:r>
      <w:r w:rsidRPr="00B355E5">
        <w:t xml:space="preserve"> </w:t>
      </w:r>
      <w:r w:rsidRPr="00B355E5">
        <w:rPr>
          <w:i/>
        </w:rPr>
        <w:t xml:space="preserve">Mfengwana </w:t>
      </w:r>
      <w:r w:rsidRPr="00B355E5">
        <w:t>para 20.</w:t>
      </w:r>
    </w:p>
  </w:footnote>
  <w:footnote w:id="7">
    <w:p w:rsidR="00A84430" w:rsidRPr="00B355E5" w:rsidRDefault="00A84430" w:rsidP="00B355E5">
      <w:pPr>
        <w:pStyle w:val="FootnoteText"/>
        <w:jc w:val="both"/>
      </w:pPr>
      <w:r w:rsidRPr="00B355E5">
        <w:rPr>
          <w:rStyle w:val="FootnoteReference"/>
        </w:rPr>
        <w:footnoteRef/>
      </w:r>
      <w:r w:rsidRPr="00B355E5">
        <w:t xml:space="preserve"> </w:t>
      </w:r>
      <w:r w:rsidRPr="00B355E5">
        <w:rPr>
          <w:i/>
        </w:rPr>
        <w:t xml:space="preserve">Mfengwana </w:t>
      </w:r>
      <w:r w:rsidRPr="00B355E5">
        <w:t>para 27.</w:t>
      </w:r>
    </w:p>
  </w:footnote>
  <w:footnote w:id="8">
    <w:p w:rsidR="00FA30D5" w:rsidRPr="00B355E5" w:rsidRDefault="00FA30D5" w:rsidP="00B355E5">
      <w:pPr>
        <w:pStyle w:val="FootnoteText"/>
        <w:jc w:val="both"/>
      </w:pPr>
      <w:r w:rsidRPr="00B355E5">
        <w:rPr>
          <w:rStyle w:val="FootnoteReference"/>
        </w:rPr>
        <w:footnoteRef/>
      </w:r>
      <w:r w:rsidRPr="00B355E5">
        <w:t xml:space="preserve"> Ibid para 32B</w:t>
      </w:r>
      <w:r w:rsidR="00080FE9" w:rsidRPr="00B355E5">
        <w:t>.</w:t>
      </w:r>
    </w:p>
  </w:footnote>
  <w:footnote w:id="9">
    <w:p w:rsidR="00314B9D" w:rsidRPr="00B355E5" w:rsidRDefault="00314B9D" w:rsidP="00B355E5">
      <w:pPr>
        <w:pStyle w:val="FootnoteText"/>
        <w:jc w:val="both"/>
      </w:pPr>
      <w:r w:rsidRPr="00B355E5">
        <w:rPr>
          <w:rStyle w:val="FootnoteReference"/>
        </w:rPr>
        <w:footnoteRef/>
      </w:r>
      <w:r w:rsidRPr="00B355E5">
        <w:t xml:space="preserve"> </w:t>
      </w:r>
      <w:r w:rsidRPr="00B355E5">
        <w:rPr>
          <w:i/>
        </w:rPr>
        <w:t>Jasat v Natal Law Society</w:t>
      </w:r>
      <w:r w:rsidRPr="00B355E5">
        <w:t xml:space="preserve"> [2000] ZASCA 14; 2000 (3) SA 44 (SCA); [2000] 2 All SA 310 (A) para 10.</w:t>
      </w:r>
    </w:p>
  </w:footnote>
  <w:footnote w:id="10">
    <w:p w:rsidR="003B26DD" w:rsidRPr="00B355E5" w:rsidRDefault="003B26DD" w:rsidP="00B355E5">
      <w:pPr>
        <w:pStyle w:val="FootnoteText"/>
        <w:jc w:val="both"/>
      </w:pPr>
      <w:r w:rsidRPr="00B355E5">
        <w:rPr>
          <w:rStyle w:val="FootnoteReference"/>
        </w:rPr>
        <w:footnoteRef/>
      </w:r>
      <w:r w:rsidRPr="00B355E5">
        <w:t xml:space="preserve"> </w:t>
      </w:r>
      <w:r w:rsidRPr="00B355E5">
        <w:rPr>
          <w:i/>
        </w:rPr>
        <w:t>Malan and Another v Law Society of the Northern Provinces</w:t>
      </w:r>
      <w:r w:rsidRPr="00B355E5">
        <w:t xml:space="preserve"> [2008] ZASCA 90; 2009 (1) SA 216 (SCA) ; [2009] 1 All SA 133 (SCA)</w:t>
      </w:r>
      <w:r w:rsidR="0020678C" w:rsidRPr="00B355E5">
        <w:t xml:space="preserve"> (</w:t>
      </w:r>
      <w:r w:rsidR="0020678C" w:rsidRPr="00B355E5">
        <w:rPr>
          <w:i/>
        </w:rPr>
        <w:t>Malan</w:t>
      </w:r>
      <w:r w:rsidR="0020678C" w:rsidRPr="00B355E5">
        <w:t>)</w:t>
      </w:r>
      <w:r w:rsidRPr="00B355E5">
        <w:t>.</w:t>
      </w:r>
    </w:p>
  </w:footnote>
  <w:footnote w:id="11">
    <w:p w:rsidR="001A7A5B" w:rsidRPr="00B355E5" w:rsidRDefault="001A7A5B" w:rsidP="00B355E5">
      <w:pPr>
        <w:pStyle w:val="FootnoteText"/>
        <w:jc w:val="both"/>
      </w:pPr>
      <w:r w:rsidRPr="00B355E5">
        <w:rPr>
          <w:rStyle w:val="FootnoteReference"/>
        </w:rPr>
        <w:footnoteRef/>
      </w:r>
      <w:r w:rsidRPr="00B355E5">
        <w:t xml:space="preserve"> </w:t>
      </w:r>
      <w:r w:rsidRPr="00B355E5">
        <w:rPr>
          <w:i/>
        </w:rPr>
        <w:t xml:space="preserve">Malan </w:t>
      </w:r>
      <w:r w:rsidRPr="00B355E5">
        <w:t>para 10.</w:t>
      </w:r>
    </w:p>
  </w:footnote>
  <w:footnote w:id="12">
    <w:p w:rsidR="00DD2076" w:rsidRPr="00B355E5" w:rsidRDefault="00DD2076" w:rsidP="00B355E5">
      <w:pPr>
        <w:pStyle w:val="FootnoteText"/>
        <w:jc w:val="both"/>
      </w:pPr>
      <w:r w:rsidRPr="00B355E5">
        <w:rPr>
          <w:rStyle w:val="FootnoteReference"/>
        </w:rPr>
        <w:footnoteRef/>
      </w:r>
      <w:r w:rsidRPr="00B355E5">
        <w:t xml:space="preserve"> </w:t>
      </w:r>
      <w:r w:rsidRPr="00B355E5">
        <w:rPr>
          <w:i/>
        </w:rPr>
        <w:t>Summerley v Law Society of the Northern Provinces</w:t>
      </w:r>
      <w:r w:rsidRPr="00B355E5">
        <w:t xml:space="preserve"> [2006] ZASCA 59; 2006 (5) SA 613 (SCA) para 21.</w:t>
      </w:r>
    </w:p>
  </w:footnote>
  <w:footnote w:id="13">
    <w:p w:rsidR="00D43746" w:rsidRPr="00B355E5" w:rsidRDefault="00D43746" w:rsidP="00B355E5">
      <w:pPr>
        <w:pStyle w:val="FootnoteText"/>
        <w:jc w:val="both"/>
        <w:rPr>
          <w:bCs/>
        </w:rPr>
      </w:pPr>
      <w:r w:rsidRPr="00B355E5">
        <w:rPr>
          <w:rStyle w:val="FootnoteReference"/>
        </w:rPr>
        <w:footnoteRef/>
      </w:r>
      <w:r w:rsidRPr="00B355E5">
        <w:t xml:space="preserve"> </w:t>
      </w:r>
      <w:r w:rsidRPr="00B355E5">
        <w:rPr>
          <w:bCs/>
          <w:i/>
        </w:rPr>
        <w:t>Law Society of the Cape of Good Hope v Peter</w:t>
      </w:r>
      <w:r w:rsidRPr="00B355E5">
        <w:rPr>
          <w:bCs/>
        </w:rPr>
        <w:t xml:space="preserve"> </w:t>
      </w:r>
      <w:r w:rsidR="005A3EA1" w:rsidRPr="00B355E5">
        <w:rPr>
          <w:bCs/>
        </w:rPr>
        <w:t xml:space="preserve"> [2006] ZASCA 37; </w:t>
      </w:r>
      <w:r w:rsidRPr="00B355E5">
        <w:rPr>
          <w:bCs/>
        </w:rPr>
        <w:t>2009 (2) SA 18 (SCA) para 28</w:t>
      </w:r>
      <w:r w:rsidR="00670150" w:rsidRPr="00B355E5">
        <w:rPr>
          <w:bCs/>
        </w:rPr>
        <w:t xml:space="preserve"> (referred to with approval by a unanimous bench in </w:t>
      </w:r>
      <w:r w:rsidR="009A57F0" w:rsidRPr="00B355E5">
        <w:rPr>
          <w:bCs/>
          <w:i/>
        </w:rPr>
        <w:t>Law Society of the Northern Provinces v Sonntag</w:t>
      </w:r>
      <w:r w:rsidR="009A57F0" w:rsidRPr="00B355E5">
        <w:rPr>
          <w:bCs/>
        </w:rPr>
        <w:t xml:space="preserve"> </w:t>
      </w:r>
      <w:r w:rsidR="005A3EA1" w:rsidRPr="00B355E5">
        <w:rPr>
          <w:bCs/>
        </w:rPr>
        <w:t xml:space="preserve">[2011] ZASCA 204; </w:t>
      </w:r>
      <w:r w:rsidR="009A57F0" w:rsidRPr="00B355E5">
        <w:rPr>
          <w:bCs/>
        </w:rPr>
        <w:t>2012 (1) SA 372 (SCA</w:t>
      </w:r>
      <w:r w:rsidR="009A57F0" w:rsidRPr="00B355E5">
        <w:rPr>
          <w:b/>
          <w:bCs/>
        </w:rPr>
        <w:t>)</w:t>
      </w:r>
      <w:r w:rsidR="009A57F0" w:rsidRPr="00B355E5">
        <w:rPr>
          <w:bCs/>
        </w:rPr>
        <w:t xml:space="preserve"> para 16, note 7</w:t>
      </w:r>
      <w:r w:rsidR="005A3EA1" w:rsidRPr="00B355E5">
        <w:rPr>
          <w:bCs/>
        </w:rPr>
        <w:t>)</w:t>
      </w:r>
      <w:r w:rsidRPr="00B355E5">
        <w:rPr>
          <w:bCs/>
        </w:rPr>
        <w:t>.</w:t>
      </w:r>
    </w:p>
  </w:footnote>
  <w:footnote w:id="14">
    <w:p w:rsidR="009B52FF" w:rsidRDefault="009B52FF" w:rsidP="00B355E5">
      <w:pPr>
        <w:pStyle w:val="FootnoteText"/>
        <w:jc w:val="both"/>
      </w:pPr>
      <w:r w:rsidRPr="00B355E5">
        <w:rPr>
          <w:rStyle w:val="FootnoteReference"/>
        </w:rPr>
        <w:footnoteRef/>
      </w:r>
      <w:r w:rsidRPr="00B355E5">
        <w:t xml:space="preserve"> Para 1</w:t>
      </w:r>
      <w:r w:rsidR="00514AC4" w:rsidRPr="00B355E5">
        <w:t>8</w:t>
      </w:r>
      <w:r w:rsidRPr="00B355E5">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790705"/>
      <w:docPartObj>
        <w:docPartGallery w:val="Page Numbers (Top of Page)"/>
        <w:docPartUnique/>
      </w:docPartObj>
    </w:sdtPr>
    <w:sdtEndPr>
      <w:rPr>
        <w:noProof/>
      </w:rPr>
    </w:sdtEndPr>
    <w:sdtContent>
      <w:p w:rsidR="009D2C2F" w:rsidRDefault="009D2C2F">
        <w:pPr>
          <w:pStyle w:val="Header"/>
          <w:jc w:val="right"/>
        </w:pPr>
        <w:r>
          <w:fldChar w:fldCharType="begin"/>
        </w:r>
        <w:r>
          <w:instrText xml:space="preserve"> PAGE   \* MERGEFORMAT </w:instrText>
        </w:r>
        <w:r>
          <w:fldChar w:fldCharType="separate"/>
        </w:r>
        <w:r w:rsidR="00223805">
          <w:rPr>
            <w:noProof/>
          </w:rPr>
          <w:t>16</w:t>
        </w:r>
        <w:r>
          <w:rPr>
            <w:noProof/>
          </w:rPr>
          <w:fldChar w:fldCharType="end"/>
        </w:r>
      </w:p>
    </w:sdtContent>
  </w:sdt>
  <w:p w:rsidR="009D2C2F" w:rsidRDefault="009D2C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515"/>
    <w:multiLevelType w:val="hybridMultilevel"/>
    <w:tmpl w:val="65CCE37E"/>
    <w:lvl w:ilvl="0" w:tplc="5DA62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3402D"/>
    <w:multiLevelType w:val="hybridMultilevel"/>
    <w:tmpl w:val="50CC307C"/>
    <w:lvl w:ilvl="0" w:tplc="727EE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7C752C4"/>
    <w:multiLevelType w:val="hybridMultilevel"/>
    <w:tmpl w:val="16F28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2731666"/>
    <w:multiLevelType w:val="hybridMultilevel"/>
    <w:tmpl w:val="D1B0DE1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38"/>
    <w:rsid w:val="00045EC1"/>
    <w:rsid w:val="00057585"/>
    <w:rsid w:val="00070AB6"/>
    <w:rsid w:val="00080FE9"/>
    <w:rsid w:val="000936D8"/>
    <w:rsid w:val="00097078"/>
    <w:rsid w:val="000C56B9"/>
    <w:rsid w:val="000D0AC7"/>
    <w:rsid w:val="00101563"/>
    <w:rsid w:val="001023BC"/>
    <w:rsid w:val="0011304B"/>
    <w:rsid w:val="001603D9"/>
    <w:rsid w:val="00163F60"/>
    <w:rsid w:val="00175EDC"/>
    <w:rsid w:val="001A16CB"/>
    <w:rsid w:val="001A7A5B"/>
    <w:rsid w:val="001B08DB"/>
    <w:rsid w:val="001D55F8"/>
    <w:rsid w:val="00203AC5"/>
    <w:rsid w:val="0020678C"/>
    <w:rsid w:val="002126C0"/>
    <w:rsid w:val="002160FD"/>
    <w:rsid w:val="00223805"/>
    <w:rsid w:val="00250151"/>
    <w:rsid w:val="002524E7"/>
    <w:rsid w:val="002529C3"/>
    <w:rsid w:val="00253979"/>
    <w:rsid w:val="00254944"/>
    <w:rsid w:val="002707FC"/>
    <w:rsid w:val="00277B05"/>
    <w:rsid w:val="002963C2"/>
    <w:rsid w:val="002E07F1"/>
    <w:rsid w:val="00306E26"/>
    <w:rsid w:val="00314B9D"/>
    <w:rsid w:val="00330363"/>
    <w:rsid w:val="00351C39"/>
    <w:rsid w:val="00354339"/>
    <w:rsid w:val="00364791"/>
    <w:rsid w:val="00367B68"/>
    <w:rsid w:val="003A6708"/>
    <w:rsid w:val="003A6E74"/>
    <w:rsid w:val="003B26DD"/>
    <w:rsid w:val="003B6460"/>
    <w:rsid w:val="003C6522"/>
    <w:rsid w:val="003D1E3B"/>
    <w:rsid w:val="003F2548"/>
    <w:rsid w:val="00402946"/>
    <w:rsid w:val="00404B07"/>
    <w:rsid w:val="004123B0"/>
    <w:rsid w:val="00467B45"/>
    <w:rsid w:val="00490048"/>
    <w:rsid w:val="00490C60"/>
    <w:rsid w:val="004B3434"/>
    <w:rsid w:val="004C5C3C"/>
    <w:rsid w:val="004F489C"/>
    <w:rsid w:val="00505F1F"/>
    <w:rsid w:val="005075FC"/>
    <w:rsid w:val="00510539"/>
    <w:rsid w:val="00514AC4"/>
    <w:rsid w:val="00530C56"/>
    <w:rsid w:val="00537AAC"/>
    <w:rsid w:val="00544734"/>
    <w:rsid w:val="00550F25"/>
    <w:rsid w:val="005609E5"/>
    <w:rsid w:val="005A3EA1"/>
    <w:rsid w:val="005A4CA7"/>
    <w:rsid w:val="005A55AF"/>
    <w:rsid w:val="005C2AB8"/>
    <w:rsid w:val="005C5ADE"/>
    <w:rsid w:val="005C5E90"/>
    <w:rsid w:val="005D211D"/>
    <w:rsid w:val="00612057"/>
    <w:rsid w:val="00655B1A"/>
    <w:rsid w:val="00656386"/>
    <w:rsid w:val="00665CBF"/>
    <w:rsid w:val="00670150"/>
    <w:rsid w:val="006A1C3A"/>
    <w:rsid w:val="006A4339"/>
    <w:rsid w:val="006A58BE"/>
    <w:rsid w:val="006B63DC"/>
    <w:rsid w:val="006C196D"/>
    <w:rsid w:val="006D467F"/>
    <w:rsid w:val="006E0A9D"/>
    <w:rsid w:val="00706224"/>
    <w:rsid w:val="007B4F5C"/>
    <w:rsid w:val="0080041A"/>
    <w:rsid w:val="0080736F"/>
    <w:rsid w:val="00811F9A"/>
    <w:rsid w:val="008122FD"/>
    <w:rsid w:val="00823783"/>
    <w:rsid w:val="0083436B"/>
    <w:rsid w:val="00835601"/>
    <w:rsid w:val="0084654D"/>
    <w:rsid w:val="00870334"/>
    <w:rsid w:val="008A0A6A"/>
    <w:rsid w:val="008C00E1"/>
    <w:rsid w:val="008E5278"/>
    <w:rsid w:val="0092390A"/>
    <w:rsid w:val="009A57F0"/>
    <w:rsid w:val="009B52FF"/>
    <w:rsid w:val="009C15F0"/>
    <w:rsid w:val="009D2C2F"/>
    <w:rsid w:val="009F0BC5"/>
    <w:rsid w:val="00A14F88"/>
    <w:rsid w:val="00A27E59"/>
    <w:rsid w:val="00A55564"/>
    <w:rsid w:val="00A61A7B"/>
    <w:rsid w:val="00A84430"/>
    <w:rsid w:val="00A96D76"/>
    <w:rsid w:val="00AA0A45"/>
    <w:rsid w:val="00AA7ED4"/>
    <w:rsid w:val="00AB1D05"/>
    <w:rsid w:val="00AB7231"/>
    <w:rsid w:val="00B06DC2"/>
    <w:rsid w:val="00B144AF"/>
    <w:rsid w:val="00B31D1E"/>
    <w:rsid w:val="00B355E5"/>
    <w:rsid w:val="00B72734"/>
    <w:rsid w:val="00B77C89"/>
    <w:rsid w:val="00B939F0"/>
    <w:rsid w:val="00BC5043"/>
    <w:rsid w:val="00BC7176"/>
    <w:rsid w:val="00BE6467"/>
    <w:rsid w:val="00BF0897"/>
    <w:rsid w:val="00C0485A"/>
    <w:rsid w:val="00C0615F"/>
    <w:rsid w:val="00C145B5"/>
    <w:rsid w:val="00C21D01"/>
    <w:rsid w:val="00C22812"/>
    <w:rsid w:val="00C67280"/>
    <w:rsid w:val="00C91DA2"/>
    <w:rsid w:val="00C97A13"/>
    <w:rsid w:val="00CB17B5"/>
    <w:rsid w:val="00CB1AA6"/>
    <w:rsid w:val="00CC19F2"/>
    <w:rsid w:val="00CD1D18"/>
    <w:rsid w:val="00CD2810"/>
    <w:rsid w:val="00CD3E02"/>
    <w:rsid w:val="00CD5688"/>
    <w:rsid w:val="00CE6B8A"/>
    <w:rsid w:val="00D20EA3"/>
    <w:rsid w:val="00D3649D"/>
    <w:rsid w:val="00D43746"/>
    <w:rsid w:val="00D4559D"/>
    <w:rsid w:val="00D632D5"/>
    <w:rsid w:val="00D846A6"/>
    <w:rsid w:val="00DC6BE7"/>
    <w:rsid w:val="00DC7318"/>
    <w:rsid w:val="00DD2076"/>
    <w:rsid w:val="00DD53AF"/>
    <w:rsid w:val="00DF0CF6"/>
    <w:rsid w:val="00E333F3"/>
    <w:rsid w:val="00E42157"/>
    <w:rsid w:val="00E814EA"/>
    <w:rsid w:val="00E9176D"/>
    <w:rsid w:val="00EA554E"/>
    <w:rsid w:val="00EA5838"/>
    <w:rsid w:val="00ED2549"/>
    <w:rsid w:val="00F00552"/>
    <w:rsid w:val="00F14C7B"/>
    <w:rsid w:val="00F45463"/>
    <w:rsid w:val="00F67044"/>
    <w:rsid w:val="00F955C4"/>
    <w:rsid w:val="00FA30D5"/>
    <w:rsid w:val="00FA790B"/>
    <w:rsid w:val="00FB25A3"/>
    <w:rsid w:val="00FC34FD"/>
    <w:rsid w:val="00FC3609"/>
    <w:rsid w:val="00FC7FE0"/>
    <w:rsid w:val="00FE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DB85-EBC5-49DC-85CE-FE6E01EB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en-GB" w:eastAsia="en-US" w:bidi="ar-SA"/>
      </w:rPr>
    </w:rPrDefault>
    <w:pPrDefault>
      <w:pPr>
        <w:spacing w:before="120" w:after="12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838"/>
    <w:pPr>
      <w:jc w:val="left"/>
    </w:pPr>
    <w:rPr>
      <w:bCs w:val="0"/>
    </w:rPr>
  </w:style>
  <w:style w:type="paragraph" w:styleId="Heading2">
    <w:name w:val="heading 2"/>
    <w:basedOn w:val="Normal"/>
    <w:next w:val="Normal"/>
    <w:link w:val="Heading2Char"/>
    <w:uiPriority w:val="9"/>
    <w:semiHidden/>
    <w:unhideWhenUsed/>
    <w:qFormat/>
    <w:rsid w:val="009D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38"/>
    <w:pPr>
      <w:ind w:left="720"/>
      <w:contextualSpacing/>
    </w:pPr>
  </w:style>
  <w:style w:type="paragraph" w:styleId="FootnoteText">
    <w:name w:val="footnote text"/>
    <w:basedOn w:val="Normal"/>
    <w:link w:val="FootnoteTextChar"/>
    <w:uiPriority w:val="99"/>
    <w:semiHidden/>
    <w:unhideWhenUsed/>
    <w:rsid w:val="009D2C2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D2C2F"/>
    <w:rPr>
      <w:bCs w:val="0"/>
      <w:sz w:val="20"/>
      <w:szCs w:val="20"/>
    </w:rPr>
  </w:style>
  <w:style w:type="character" w:styleId="FootnoteReference">
    <w:name w:val="footnote reference"/>
    <w:basedOn w:val="DefaultParagraphFont"/>
    <w:uiPriority w:val="99"/>
    <w:semiHidden/>
    <w:unhideWhenUsed/>
    <w:rsid w:val="009D2C2F"/>
    <w:rPr>
      <w:vertAlign w:val="superscript"/>
    </w:rPr>
  </w:style>
  <w:style w:type="character" w:customStyle="1" w:styleId="Heading2Char">
    <w:name w:val="Heading 2 Char"/>
    <w:basedOn w:val="DefaultParagraphFont"/>
    <w:link w:val="Heading2"/>
    <w:uiPriority w:val="9"/>
    <w:semiHidden/>
    <w:rsid w:val="009D2C2F"/>
    <w:rPr>
      <w:rFonts w:asciiTheme="majorHAnsi" w:eastAsiaTheme="majorEastAsia" w:hAnsiTheme="majorHAnsi" w:cstheme="majorBidi"/>
      <w:bCs w:val="0"/>
      <w:color w:val="2E74B5" w:themeColor="accent1" w:themeShade="BF"/>
      <w:sz w:val="26"/>
      <w:szCs w:val="26"/>
    </w:rPr>
  </w:style>
  <w:style w:type="paragraph" w:styleId="Header">
    <w:name w:val="header"/>
    <w:basedOn w:val="Normal"/>
    <w:link w:val="HeaderChar"/>
    <w:uiPriority w:val="99"/>
    <w:unhideWhenUsed/>
    <w:rsid w:val="009D2C2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D2C2F"/>
    <w:rPr>
      <w:bCs w:val="0"/>
    </w:rPr>
  </w:style>
  <w:style w:type="paragraph" w:styleId="Footer">
    <w:name w:val="footer"/>
    <w:basedOn w:val="Normal"/>
    <w:link w:val="FooterChar"/>
    <w:uiPriority w:val="99"/>
    <w:unhideWhenUsed/>
    <w:rsid w:val="009D2C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D2C2F"/>
    <w:rPr>
      <w:bCs w:val="0"/>
    </w:rPr>
  </w:style>
  <w:style w:type="paragraph" w:styleId="NormalWeb">
    <w:name w:val="Normal (Web)"/>
    <w:basedOn w:val="Normal"/>
    <w:uiPriority w:val="99"/>
    <w:semiHidden/>
    <w:unhideWhenUsed/>
    <w:rsid w:val="00CD5688"/>
  </w:style>
  <w:style w:type="character" w:styleId="Hyperlink">
    <w:name w:val="Hyperlink"/>
    <w:basedOn w:val="DefaultParagraphFont"/>
    <w:uiPriority w:val="99"/>
    <w:unhideWhenUsed/>
    <w:rsid w:val="00080FE9"/>
    <w:rPr>
      <w:color w:val="0563C1" w:themeColor="hyperlink"/>
      <w:u w:val="single"/>
    </w:rPr>
  </w:style>
  <w:style w:type="paragraph" w:styleId="BalloonText">
    <w:name w:val="Balloon Text"/>
    <w:basedOn w:val="Normal"/>
    <w:link w:val="BalloonTextChar"/>
    <w:uiPriority w:val="99"/>
    <w:semiHidden/>
    <w:unhideWhenUsed/>
    <w:rsid w:val="003D1E3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3B"/>
    <w:rPr>
      <w:rFonts w:ascii="Segoe UI"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87">
      <w:bodyDiv w:val="1"/>
      <w:marLeft w:val="0"/>
      <w:marRight w:val="0"/>
      <w:marTop w:val="0"/>
      <w:marBottom w:val="0"/>
      <w:divBdr>
        <w:top w:val="none" w:sz="0" w:space="0" w:color="auto"/>
        <w:left w:val="none" w:sz="0" w:space="0" w:color="auto"/>
        <w:bottom w:val="none" w:sz="0" w:space="0" w:color="auto"/>
        <w:right w:val="none" w:sz="0" w:space="0" w:color="auto"/>
      </w:divBdr>
    </w:div>
    <w:div w:id="62605635">
      <w:bodyDiv w:val="1"/>
      <w:marLeft w:val="0"/>
      <w:marRight w:val="0"/>
      <w:marTop w:val="0"/>
      <w:marBottom w:val="0"/>
      <w:divBdr>
        <w:top w:val="none" w:sz="0" w:space="0" w:color="auto"/>
        <w:left w:val="none" w:sz="0" w:space="0" w:color="auto"/>
        <w:bottom w:val="none" w:sz="0" w:space="0" w:color="auto"/>
        <w:right w:val="none" w:sz="0" w:space="0" w:color="auto"/>
      </w:divBdr>
    </w:div>
    <w:div w:id="230241955">
      <w:bodyDiv w:val="1"/>
      <w:marLeft w:val="0"/>
      <w:marRight w:val="0"/>
      <w:marTop w:val="0"/>
      <w:marBottom w:val="0"/>
      <w:divBdr>
        <w:top w:val="none" w:sz="0" w:space="0" w:color="auto"/>
        <w:left w:val="none" w:sz="0" w:space="0" w:color="auto"/>
        <w:bottom w:val="none" w:sz="0" w:space="0" w:color="auto"/>
        <w:right w:val="none" w:sz="0" w:space="0" w:color="auto"/>
      </w:divBdr>
      <w:divsChild>
        <w:div w:id="91318369">
          <w:marLeft w:val="567"/>
          <w:marRight w:val="0"/>
          <w:marTop w:val="60"/>
          <w:marBottom w:val="0"/>
          <w:divBdr>
            <w:top w:val="none" w:sz="0" w:space="0" w:color="auto"/>
            <w:left w:val="none" w:sz="0" w:space="0" w:color="auto"/>
            <w:bottom w:val="none" w:sz="0" w:space="0" w:color="auto"/>
            <w:right w:val="none" w:sz="0" w:space="0" w:color="auto"/>
          </w:divBdr>
        </w:div>
        <w:div w:id="1779763170">
          <w:marLeft w:val="0"/>
          <w:marRight w:val="0"/>
          <w:marTop w:val="240"/>
          <w:marBottom w:val="24"/>
          <w:divBdr>
            <w:top w:val="single" w:sz="8" w:space="2" w:color="808080"/>
            <w:left w:val="none" w:sz="0" w:space="0" w:color="auto"/>
            <w:bottom w:val="none" w:sz="0" w:space="0" w:color="auto"/>
            <w:right w:val="none" w:sz="0" w:space="0" w:color="auto"/>
          </w:divBdr>
        </w:div>
        <w:div w:id="1613317701">
          <w:marLeft w:val="0"/>
          <w:marRight w:val="0"/>
          <w:marTop w:val="120"/>
          <w:marBottom w:val="0"/>
          <w:divBdr>
            <w:top w:val="none" w:sz="0" w:space="0" w:color="auto"/>
            <w:left w:val="none" w:sz="0" w:space="0" w:color="auto"/>
            <w:bottom w:val="none" w:sz="0" w:space="0" w:color="auto"/>
            <w:right w:val="none" w:sz="0" w:space="0" w:color="auto"/>
          </w:divBdr>
        </w:div>
        <w:div w:id="1827745766">
          <w:marLeft w:val="567"/>
          <w:marRight w:val="0"/>
          <w:marTop w:val="60"/>
          <w:marBottom w:val="0"/>
          <w:divBdr>
            <w:top w:val="none" w:sz="0" w:space="0" w:color="auto"/>
            <w:left w:val="none" w:sz="0" w:space="0" w:color="auto"/>
            <w:bottom w:val="none" w:sz="0" w:space="0" w:color="auto"/>
            <w:right w:val="none" w:sz="0" w:space="0" w:color="auto"/>
          </w:divBdr>
        </w:div>
      </w:divsChild>
    </w:div>
    <w:div w:id="444468773">
      <w:bodyDiv w:val="1"/>
      <w:marLeft w:val="0"/>
      <w:marRight w:val="0"/>
      <w:marTop w:val="0"/>
      <w:marBottom w:val="0"/>
      <w:divBdr>
        <w:top w:val="none" w:sz="0" w:space="0" w:color="auto"/>
        <w:left w:val="none" w:sz="0" w:space="0" w:color="auto"/>
        <w:bottom w:val="none" w:sz="0" w:space="0" w:color="auto"/>
        <w:right w:val="none" w:sz="0" w:space="0" w:color="auto"/>
      </w:divBdr>
    </w:div>
    <w:div w:id="468548057">
      <w:bodyDiv w:val="1"/>
      <w:marLeft w:val="0"/>
      <w:marRight w:val="0"/>
      <w:marTop w:val="0"/>
      <w:marBottom w:val="0"/>
      <w:divBdr>
        <w:top w:val="none" w:sz="0" w:space="0" w:color="auto"/>
        <w:left w:val="none" w:sz="0" w:space="0" w:color="auto"/>
        <w:bottom w:val="none" w:sz="0" w:space="0" w:color="auto"/>
        <w:right w:val="none" w:sz="0" w:space="0" w:color="auto"/>
      </w:divBdr>
    </w:div>
    <w:div w:id="587273523">
      <w:bodyDiv w:val="1"/>
      <w:marLeft w:val="0"/>
      <w:marRight w:val="0"/>
      <w:marTop w:val="0"/>
      <w:marBottom w:val="0"/>
      <w:divBdr>
        <w:top w:val="none" w:sz="0" w:space="0" w:color="auto"/>
        <w:left w:val="none" w:sz="0" w:space="0" w:color="auto"/>
        <w:bottom w:val="none" w:sz="0" w:space="0" w:color="auto"/>
        <w:right w:val="none" w:sz="0" w:space="0" w:color="auto"/>
      </w:divBdr>
    </w:div>
    <w:div w:id="828400097">
      <w:bodyDiv w:val="1"/>
      <w:marLeft w:val="0"/>
      <w:marRight w:val="0"/>
      <w:marTop w:val="0"/>
      <w:marBottom w:val="0"/>
      <w:divBdr>
        <w:top w:val="none" w:sz="0" w:space="0" w:color="auto"/>
        <w:left w:val="none" w:sz="0" w:space="0" w:color="auto"/>
        <w:bottom w:val="none" w:sz="0" w:space="0" w:color="auto"/>
        <w:right w:val="none" w:sz="0" w:space="0" w:color="auto"/>
      </w:divBdr>
      <w:divsChild>
        <w:div w:id="835918856">
          <w:marLeft w:val="567"/>
          <w:marRight w:val="0"/>
          <w:marTop w:val="60"/>
          <w:marBottom w:val="0"/>
          <w:divBdr>
            <w:top w:val="none" w:sz="0" w:space="0" w:color="auto"/>
            <w:left w:val="none" w:sz="0" w:space="0" w:color="auto"/>
            <w:bottom w:val="none" w:sz="0" w:space="0" w:color="auto"/>
            <w:right w:val="none" w:sz="0" w:space="0" w:color="auto"/>
          </w:divBdr>
        </w:div>
        <w:div w:id="2022462453">
          <w:marLeft w:val="0"/>
          <w:marRight w:val="0"/>
          <w:marTop w:val="240"/>
          <w:marBottom w:val="24"/>
          <w:divBdr>
            <w:top w:val="single" w:sz="8" w:space="2" w:color="808080"/>
            <w:left w:val="none" w:sz="0" w:space="0" w:color="auto"/>
            <w:bottom w:val="none" w:sz="0" w:space="0" w:color="auto"/>
            <w:right w:val="none" w:sz="0" w:space="0" w:color="auto"/>
          </w:divBdr>
        </w:div>
        <w:div w:id="1941065314">
          <w:marLeft w:val="0"/>
          <w:marRight w:val="0"/>
          <w:marTop w:val="120"/>
          <w:marBottom w:val="0"/>
          <w:divBdr>
            <w:top w:val="none" w:sz="0" w:space="0" w:color="auto"/>
            <w:left w:val="none" w:sz="0" w:space="0" w:color="auto"/>
            <w:bottom w:val="none" w:sz="0" w:space="0" w:color="auto"/>
            <w:right w:val="none" w:sz="0" w:space="0" w:color="auto"/>
          </w:divBdr>
        </w:div>
        <w:div w:id="749816665">
          <w:marLeft w:val="567"/>
          <w:marRight w:val="0"/>
          <w:marTop w:val="60"/>
          <w:marBottom w:val="0"/>
          <w:divBdr>
            <w:top w:val="none" w:sz="0" w:space="0" w:color="auto"/>
            <w:left w:val="none" w:sz="0" w:space="0" w:color="auto"/>
            <w:bottom w:val="none" w:sz="0" w:space="0" w:color="auto"/>
            <w:right w:val="none" w:sz="0" w:space="0" w:color="auto"/>
          </w:divBdr>
        </w:div>
      </w:divsChild>
    </w:div>
    <w:div w:id="1029724631">
      <w:bodyDiv w:val="1"/>
      <w:marLeft w:val="0"/>
      <w:marRight w:val="0"/>
      <w:marTop w:val="0"/>
      <w:marBottom w:val="0"/>
      <w:divBdr>
        <w:top w:val="none" w:sz="0" w:space="0" w:color="auto"/>
        <w:left w:val="none" w:sz="0" w:space="0" w:color="auto"/>
        <w:bottom w:val="none" w:sz="0" w:space="0" w:color="auto"/>
        <w:right w:val="none" w:sz="0" w:space="0" w:color="auto"/>
      </w:divBdr>
    </w:div>
    <w:div w:id="1190294362">
      <w:bodyDiv w:val="1"/>
      <w:marLeft w:val="0"/>
      <w:marRight w:val="0"/>
      <w:marTop w:val="0"/>
      <w:marBottom w:val="0"/>
      <w:divBdr>
        <w:top w:val="none" w:sz="0" w:space="0" w:color="auto"/>
        <w:left w:val="none" w:sz="0" w:space="0" w:color="auto"/>
        <w:bottom w:val="none" w:sz="0" w:space="0" w:color="auto"/>
        <w:right w:val="none" w:sz="0" w:space="0" w:color="auto"/>
      </w:divBdr>
    </w:div>
    <w:div w:id="1332103106">
      <w:bodyDiv w:val="1"/>
      <w:marLeft w:val="0"/>
      <w:marRight w:val="0"/>
      <w:marTop w:val="0"/>
      <w:marBottom w:val="0"/>
      <w:divBdr>
        <w:top w:val="none" w:sz="0" w:space="0" w:color="auto"/>
        <w:left w:val="none" w:sz="0" w:space="0" w:color="auto"/>
        <w:bottom w:val="none" w:sz="0" w:space="0" w:color="auto"/>
        <w:right w:val="none" w:sz="0" w:space="0" w:color="auto"/>
      </w:divBdr>
    </w:div>
    <w:div w:id="1371226875">
      <w:bodyDiv w:val="1"/>
      <w:marLeft w:val="0"/>
      <w:marRight w:val="0"/>
      <w:marTop w:val="0"/>
      <w:marBottom w:val="0"/>
      <w:divBdr>
        <w:top w:val="none" w:sz="0" w:space="0" w:color="auto"/>
        <w:left w:val="none" w:sz="0" w:space="0" w:color="auto"/>
        <w:bottom w:val="none" w:sz="0" w:space="0" w:color="auto"/>
        <w:right w:val="none" w:sz="0" w:space="0" w:color="auto"/>
      </w:divBdr>
    </w:div>
    <w:div w:id="1672180897">
      <w:bodyDiv w:val="1"/>
      <w:marLeft w:val="0"/>
      <w:marRight w:val="0"/>
      <w:marTop w:val="0"/>
      <w:marBottom w:val="0"/>
      <w:divBdr>
        <w:top w:val="none" w:sz="0" w:space="0" w:color="auto"/>
        <w:left w:val="none" w:sz="0" w:space="0" w:color="auto"/>
        <w:bottom w:val="none" w:sz="0" w:space="0" w:color="auto"/>
        <w:right w:val="none" w:sz="0" w:space="0" w:color="auto"/>
      </w:divBdr>
    </w:div>
    <w:div w:id="1731491665">
      <w:bodyDiv w:val="1"/>
      <w:marLeft w:val="0"/>
      <w:marRight w:val="0"/>
      <w:marTop w:val="0"/>
      <w:marBottom w:val="0"/>
      <w:divBdr>
        <w:top w:val="none" w:sz="0" w:space="0" w:color="auto"/>
        <w:left w:val="none" w:sz="0" w:space="0" w:color="auto"/>
        <w:bottom w:val="none" w:sz="0" w:space="0" w:color="auto"/>
        <w:right w:val="none" w:sz="0" w:space="0" w:color="auto"/>
      </w:divBdr>
    </w:div>
    <w:div w:id="1828085494">
      <w:bodyDiv w:val="1"/>
      <w:marLeft w:val="0"/>
      <w:marRight w:val="0"/>
      <w:marTop w:val="0"/>
      <w:marBottom w:val="0"/>
      <w:divBdr>
        <w:top w:val="none" w:sz="0" w:space="0" w:color="auto"/>
        <w:left w:val="none" w:sz="0" w:space="0" w:color="auto"/>
        <w:bottom w:val="none" w:sz="0" w:space="0" w:color="auto"/>
        <w:right w:val="none" w:sz="0" w:space="0" w:color="auto"/>
      </w:divBdr>
    </w:div>
    <w:div w:id="1850216169">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1993484740">
      <w:bodyDiv w:val="1"/>
      <w:marLeft w:val="0"/>
      <w:marRight w:val="0"/>
      <w:marTop w:val="0"/>
      <w:marBottom w:val="0"/>
      <w:divBdr>
        <w:top w:val="none" w:sz="0" w:space="0" w:color="auto"/>
        <w:left w:val="none" w:sz="0" w:space="0" w:color="auto"/>
        <w:bottom w:val="none" w:sz="0" w:space="0" w:color="auto"/>
        <w:right w:val="none" w:sz="0" w:space="0" w:color="auto"/>
      </w:divBdr>
    </w:div>
    <w:div w:id="205836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Rural Development and Agrarian Reform</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 Binns-Ward</dc:creator>
  <cp:keywords/>
  <dc:description/>
  <cp:lastModifiedBy>Mary Bruce</cp:lastModifiedBy>
  <cp:revision>3</cp:revision>
  <cp:lastPrinted>2023-12-01T08:39:00Z</cp:lastPrinted>
  <dcterms:created xsi:type="dcterms:W3CDTF">2023-12-01T08:39:00Z</dcterms:created>
  <dcterms:modified xsi:type="dcterms:W3CDTF">2023-12-01T16:10:00Z</dcterms:modified>
</cp:coreProperties>
</file>