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6C6B" w14:textId="77777777" w:rsidR="00150FE3" w:rsidRDefault="00150FE3" w:rsidP="00150FE3">
      <w:pPr>
        <w:spacing w:before="240" w:after="240" w:line="360" w:lineRule="auto"/>
        <w:jc w:val="both"/>
      </w:pPr>
      <w:bookmarkStart w:id="0" w:name="_GoBack"/>
      <w:bookmarkEnd w:id="0"/>
    </w:p>
    <w:p w14:paraId="479D0BD4" w14:textId="77777777" w:rsidR="00150FE3" w:rsidRDefault="00150FE3" w:rsidP="00150FE3">
      <w:pPr>
        <w:jc w:val="center"/>
        <w:rPr>
          <w:b/>
          <w:bCs/>
          <w:iCs/>
        </w:rPr>
      </w:pPr>
      <w:r>
        <w:rPr>
          <w:noProof/>
          <w:lang w:val="en-ZA" w:eastAsia="en-ZA"/>
        </w:rPr>
        <w:drawing>
          <wp:anchor distT="0" distB="0" distL="114300" distR="114300" simplePos="0" relativeHeight="251659264" behindDoc="0" locked="0" layoutInCell="1" allowOverlap="1" wp14:anchorId="625E6A99" wp14:editId="5B2C5209">
            <wp:simplePos x="0" y="0"/>
            <wp:positionH relativeFrom="column">
              <wp:posOffset>2372360</wp:posOffset>
            </wp:positionH>
            <wp:positionV relativeFrom="paragraph">
              <wp:posOffset>635</wp:posOffset>
            </wp:positionV>
            <wp:extent cx="831215" cy="996950"/>
            <wp:effectExtent l="0" t="0" r="6985" b="0"/>
            <wp:wrapTopAndBottom/>
            <wp:docPr id="5" name="Picture 5"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996950"/>
                    </a:xfrm>
                    <a:prstGeom prst="rect">
                      <a:avLst/>
                    </a:prstGeom>
                    <a:noFill/>
                  </pic:spPr>
                </pic:pic>
              </a:graphicData>
            </a:graphic>
            <wp14:sizeRelH relativeFrom="page">
              <wp14:pctWidth>0</wp14:pctWidth>
            </wp14:sizeRelH>
            <wp14:sizeRelV relativeFrom="page">
              <wp14:pctHeight>0</wp14:pctHeight>
            </wp14:sizeRelV>
          </wp:anchor>
        </w:drawing>
      </w:r>
    </w:p>
    <w:p w14:paraId="6EDB9E60" w14:textId="77777777" w:rsidR="00150FE3" w:rsidRDefault="00150FE3" w:rsidP="00150FE3">
      <w:pPr>
        <w:spacing w:line="240" w:lineRule="auto"/>
        <w:jc w:val="center"/>
        <w:rPr>
          <w:b/>
          <w:bCs/>
          <w:sz w:val="28"/>
          <w:szCs w:val="28"/>
        </w:rPr>
      </w:pPr>
      <w:r>
        <w:rPr>
          <w:b/>
          <w:bCs/>
          <w:sz w:val="28"/>
          <w:szCs w:val="28"/>
        </w:rPr>
        <w:t>THE SUPREME COURT OF APPEAL OF SOUTH AFRICA</w:t>
      </w:r>
    </w:p>
    <w:p w14:paraId="7A57CB52" w14:textId="77777777" w:rsidR="00150FE3" w:rsidRDefault="00150FE3" w:rsidP="00150FE3">
      <w:pPr>
        <w:spacing w:line="240" w:lineRule="auto"/>
        <w:jc w:val="center"/>
        <w:rPr>
          <w:b/>
          <w:sz w:val="28"/>
          <w:szCs w:val="28"/>
        </w:rPr>
      </w:pPr>
      <w:r>
        <w:rPr>
          <w:b/>
          <w:sz w:val="28"/>
          <w:szCs w:val="28"/>
        </w:rPr>
        <w:t>JUDGMENT</w:t>
      </w:r>
    </w:p>
    <w:p w14:paraId="15201223" w14:textId="77777777" w:rsidR="00150FE3" w:rsidRDefault="00150FE3" w:rsidP="00150FE3">
      <w:pPr>
        <w:jc w:val="right"/>
        <w:rPr>
          <w:sz w:val="28"/>
          <w:szCs w:val="28"/>
        </w:rPr>
      </w:pPr>
    </w:p>
    <w:p w14:paraId="0A647A3F" w14:textId="5553E11D" w:rsidR="00150FE3" w:rsidRDefault="00150FE3" w:rsidP="00150FE3">
      <w:pPr>
        <w:jc w:val="right"/>
        <w:rPr>
          <w:b/>
          <w:sz w:val="28"/>
          <w:szCs w:val="28"/>
        </w:rPr>
      </w:pPr>
      <w:r>
        <w:rPr>
          <w:b/>
          <w:sz w:val="28"/>
          <w:szCs w:val="28"/>
        </w:rPr>
        <w:t>Reportable</w:t>
      </w:r>
    </w:p>
    <w:p w14:paraId="4BB278D6" w14:textId="77777777" w:rsidR="00150FE3" w:rsidRDefault="00150FE3" w:rsidP="00150FE3">
      <w:pPr>
        <w:jc w:val="right"/>
        <w:rPr>
          <w:sz w:val="28"/>
          <w:szCs w:val="28"/>
        </w:rPr>
      </w:pPr>
      <w:r>
        <w:rPr>
          <w:sz w:val="28"/>
          <w:szCs w:val="28"/>
        </w:rPr>
        <w:t>Case no. 1056/2022</w:t>
      </w:r>
    </w:p>
    <w:p w14:paraId="149F8A1C" w14:textId="77777777" w:rsidR="00150FE3" w:rsidRDefault="00150FE3" w:rsidP="00150FE3">
      <w:pPr>
        <w:spacing w:line="360" w:lineRule="auto"/>
        <w:jc w:val="both"/>
        <w:rPr>
          <w:sz w:val="28"/>
          <w:szCs w:val="28"/>
        </w:rPr>
      </w:pPr>
    </w:p>
    <w:p w14:paraId="47821ECD" w14:textId="77777777" w:rsidR="00150FE3" w:rsidRDefault="00150FE3" w:rsidP="00150FE3">
      <w:pPr>
        <w:spacing w:before="0" w:after="0" w:line="360" w:lineRule="auto"/>
        <w:contextualSpacing/>
        <w:jc w:val="both"/>
        <w:rPr>
          <w:sz w:val="28"/>
          <w:szCs w:val="28"/>
        </w:rPr>
      </w:pPr>
      <w:r>
        <w:rPr>
          <w:sz w:val="28"/>
          <w:szCs w:val="28"/>
        </w:rPr>
        <w:t>In the matter between:</w:t>
      </w:r>
    </w:p>
    <w:p w14:paraId="65E47503" w14:textId="77777777" w:rsidR="00150FE3" w:rsidRDefault="00150FE3" w:rsidP="00150FE3">
      <w:pPr>
        <w:spacing w:before="0" w:after="0" w:line="360" w:lineRule="auto"/>
        <w:contextualSpacing/>
        <w:jc w:val="both"/>
        <w:rPr>
          <w:sz w:val="28"/>
          <w:szCs w:val="28"/>
        </w:rPr>
      </w:pPr>
    </w:p>
    <w:p w14:paraId="629FE07F" w14:textId="45ABDEA2" w:rsidR="00150FE3" w:rsidRPr="00E17AC9" w:rsidRDefault="00150FE3" w:rsidP="00150FE3">
      <w:pPr>
        <w:spacing w:before="0" w:after="0" w:line="240" w:lineRule="auto"/>
        <w:contextualSpacing/>
        <w:jc w:val="both"/>
        <w:rPr>
          <w:iCs/>
          <w:sz w:val="28"/>
          <w:szCs w:val="28"/>
        </w:rPr>
      </w:pPr>
      <w:r>
        <w:rPr>
          <w:b/>
          <w:bCs/>
          <w:iCs/>
          <w:sz w:val="28"/>
          <w:szCs w:val="28"/>
        </w:rPr>
        <w:t>KOUGA LOCAL MUNICIPALITY</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iCs/>
          <w:sz w:val="28"/>
          <w:szCs w:val="28"/>
        </w:rPr>
        <w:t>Appellant</w:t>
      </w:r>
    </w:p>
    <w:p w14:paraId="2A744C3E" w14:textId="77777777" w:rsidR="00150FE3" w:rsidRDefault="00150FE3" w:rsidP="00150FE3">
      <w:pPr>
        <w:spacing w:before="0" w:after="0" w:line="240" w:lineRule="auto"/>
        <w:contextualSpacing/>
        <w:jc w:val="both"/>
        <w:rPr>
          <w:b/>
          <w:bCs/>
          <w:iCs/>
          <w:sz w:val="28"/>
          <w:szCs w:val="28"/>
        </w:rPr>
      </w:pPr>
    </w:p>
    <w:p w14:paraId="4A9DB3C6" w14:textId="77777777" w:rsidR="00150FE3" w:rsidRDefault="00150FE3" w:rsidP="00150FE3">
      <w:pPr>
        <w:spacing w:before="0" w:after="0" w:line="240" w:lineRule="auto"/>
        <w:contextualSpacing/>
        <w:jc w:val="both"/>
        <w:rPr>
          <w:sz w:val="28"/>
          <w:szCs w:val="28"/>
        </w:rPr>
      </w:pPr>
      <w:r>
        <w:rPr>
          <w:sz w:val="28"/>
          <w:szCs w:val="28"/>
        </w:rPr>
        <w:t>and</w:t>
      </w:r>
    </w:p>
    <w:p w14:paraId="1F069730" w14:textId="77777777" w:rsidR="00150FE3" w:rsidRDefault="00150FE3" w:rsidP="00150FE3">
      <w:pPr>
        <w:spacing w:before="0" w:after="0" w:line="240" w:lineRule="auto"/>
        <w:contextualSpacing/>
        <w:jc w:val="both"/>
        <w:rPr>
          <w:sz w:val="28"/>
          <w:szCs w:val="28"/>
        </w:rPr>
      </w:pPr>
    </w:p>
    <w:p w14:paraId="481D035A" w14:textId="77777777" w:rsidR="00150FE3" w:rsidRDefault="00150FE3" w:rsidP="00150FE3">
      <w:pPr>
        <w:spacing w:before="0" w:after="0" w:line="240" w:lineRule="auto"/>
        <w:contextualSpacing/>
        <w:jc w:val="both"/>
        <w:rPr>
          <w:b/>
          <w:sz w:val="28"/>
          <w:szCs w:val="28"/>
        </w:rPr>
      </w:pPr>
      <w:r>
        <w:rPr>
          <w:b/>
          <w:sz w:val="28"/>
          <w:szCs w:val="28"/>
        </w:rPr>
        <w:t>ST FRANCIS BAY (WARD 12)</w:t>
      </w:r>
    </w:p>
    <w:p w14:paraId="1C166FA3" w14:textId="77777777" w:rsidR="00150FE3" w:rsidRDefault="00150FE3" w:rsidP="00150FE3">
      <w:pPr>
        <w:spacing w:before="0" w:after="0" w:line="240" w:lineRule="auto"/>
        <w:contextualSpacing/>
        <w:jc w:val="both"/>
        <w:rPr>
          <w:bCs/>
          <w:sz w:val="28"/>
          <w:szCs w:val="28"/>
        </w:rPr>
      </w:pPr>
      <w:r>
        <w:rPr>
          <w:b/>
          <w:sz w:val="28"/>
          <w:szCs w:val="28"/>
        </w:rPr>
        <w:t>CONCERNED RESIDENTS</w:t>
      </w:r>
      <w:r w:rsidR="001569B4">
        <w:rPr>
          <w:b/>
          <w:sz w:val="28"/>
          <w:szCs w:val="28"/>
        </w:rPr>
        <w:t>’</w:t>
      </w:r>
      <w:r>
        <w:rPr>
          <w:b/>
          <w:sz w:val="28"/>
          <w:szCs w:val="28"/>
        </w:rPr>
        <w:t xml:space="preserve"> ASSOCIATION</w:t>
      </w:r>
      <w:r>
        <w:rPr>
          <w:bCs/>
          <w:sz w:val="28"/>
          <w:szCs w:val="28"/>
        </w:rPr>
        <w:tab/>
      </w:r>
      <w:r>
        <w:rPr>
          <w:bCs/>
          <w:sz w:val="28"/>
          <w:szCs w:val="28"/>
        </w:rPr>
        <w:tab/>
        <w:t>         First Respondent</w:t>
      </w:r>
    </w:p>
    <w:p w14:paraId="23C56ED3" w14:textId="77777777" w:rsidR="00150FE3" w:rsidRDefault="00150FE3" w:rsidP="00150FE3">
      <w:pPr>
        <w:spacing w:before="0" w:after="0" w:line="240" w:lineRule="auto"/>
        <w:contextualSpacing/>
        <w:jc w:val="both"/>
        <w:rPr>
          <w:bCs/>
          <w:sz w:val="28"/>
          <w:szCs w:val="28"/>
        </w:rPr>
      </w:pPr>
    </w:p>
    <w:p w14:paraId="68394760" w14:textId="77777777" w:rsidR="00150FE3" w:rsidRDefault="00150FE3" w:rsidP="00150FE3">
      <w:pPr>
        <w:spacing w:before="0" w:after="0" w:line="240" w:lineRule="auto"/>
        <w:contextualSpacing/>
        <w:jc w:val="both"/>
        <w:rPr>
          <w:b/>
          <w:bCs/>
          <w:sz w:val="28"/>
          <w:szCs w:val="28"/>
        </w:rPr>
      </w:pPr>
      <w:r>
        <w:rPr>
          <w:b/>
          <w:bCs/>
          <w:sz w:val="28"/>
          <w:szCs w:val="28"/>
        </w:rPr>
        <w:t>ST FRANCIS BAY PROPERTY OWNERS</w:t>
      </w:r>
    </w:p>
    <w:p w14:paraId="78742CF3" w14:textId="77777777" w:rsidR="00150FE3" w:rsidRDefault="00150FE3" w:rsidP="00150FE3">
      <w:pPr>
        <w:spacing w:before="0" w:after="0" w:line="240" w:lineRule="auto"/>
        <w:contextualSpacing/>
        <w:jc w:val="both"/>
        <w:rPr>
          <w:bCs/>
          <w:sz w:val="28"/>
          <w:szCs w:val="28"/>
        </w:rPr>
      </w:pPr>
      <w:r>
        <w:rPr>
          <w:b/>
          <w:bCs/>
          <w:sz w:val="28"/>
          <w:szCs w:val="28"/>
        </w:rPr>
        <w:t>ASSOCIATION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Second Respondent</w:t>
      </w:r>
    </w:p>
    <w:p w14:paraId="1BED68E1" w14:textId="77777777" w:rsidR="00150FE3" w:rsidRDefault="00150FE3" w:rsidP="00150FE3">
      <w:pPr>
        <w:spacing w:before="0" w:after="0" w:line="240" w:lineRule="auto"/>
        <w:contextualSpacing/>
        <w:jc w:val="both"/>
        <w:rPr>
          <w:bCs/>
          <w:sz w:val="28"/>
          <w:szCs w:val="28"/>
        </w:rPr>
      </w:pPr>
    </w:p>
    <w:p w14:paraId="7DDD4A4A" w14:textId="77777777" w:rsidR="00150FE3" w:rsidRPr="00150FE3" w:rsidRDefault="00150FE3" w:rsidP="00150FE3">
      <w:pPr>
        <w:spacing w:before="0" w:after="0" w:line="240" w:lineRule="auto"/>
        <w:contextualSpacing/>
        <w:jc w:val="both"/>
        <w:rPr>
          <w:bCs/>
          <w:sz w:val="28"/>
          <w:szCs w:val="28"/>
        </w:rPr>
      </w:pPr>
      <w:r>
        <w:rPr>
          <w:b/>
          <w:bCs/>
          <w:sz w:val="28"/>
          <w:szCs w:val="28"/>
        </w:rPr>
        <w:t>ST FRANCIS BAY PROPERTY OWNERS NPC</w:t>
      </w:r>
      <w:r>
        <w:rPr>
          <w:bCs/>
          <w:sz w:val="28"/>
          <w:szCs w:val="28"/>
        </w:rPr>
        <w:tab/>
        <w:t>       Third Respondent</w:t>
      </w:r>
    </w:p>
    <w:p w14:paraId="2D77EED2" w14:textId="77777777" w:rsidR="00150FE3" w:rsidRDefault="00150FE3" w:rsidP="00150FE3">
      <w:pPr>
        <w:spacing w:before="0" w:after="0" w:line="240" w:lineRule="auto"/>
        <w:contextualSpacing/>
        <w:jc w:val="both"/>
        <w:rPr>
          <w:bCs/>
          <w:sz w:val="28"/>
          <w:szCs w:val="28"/>
        </w:rPr>
      </w:pPr>
    </w:p>
    <w:p w14:paraId="6D11C461" w14:textId="5A4FB5DF" w:rsidR="00150FE3" w:rsidRDefault="00150FE3" w:rsidP="00150FE3">
      <w:pPr>
        <w:spacing w:before="0" w:after="0" w:line="360" w:lineRule="auto"/>
        <w:jc w:val="both"/>
        <w:rPr>
          <w:bCs/>
          <w:sz w:val="28"/>
          <w:szCs w:val="28"/>
        </w:rPr>
      </w:pPr>
      <w:r>
        <w:rPr>
          <w:bCs/>
          <w:sz w:val="28"/>
          <w:szCs w:val="28"/>
        </w:rPr>
        <w:t>Neutral Citation</w:t>
      </w:r>
      <w:r w:rsidR="009C3BB3">
        <w:rPr>
          <w:bCs/>
          <w:sz w:val="28"/>
          <w:szCs w:val="28"/>
        </w:rPr>
        <w:t>:</w:t>
      </w:r>
      <w:r>
        <w:rPr>
          <w:bCs/>
          <w:sz w:val="28"/>
          <w:szCs w:val="28"/>
        </w:rPr>
        <w:t xml:space="preserve"> </w:t>
      </w:r>
      <w:r w:rsidR="004747AB">
        <w:rPr>
          <w:bCs/>
          <w:i/>
          <w:sz w:val="28"/>
          <w:szCs w:val="28"/>
        </w:rPr>
        <w:t>Kouga Local Municipality v St Francis Bay (Ward 12) Concerned Residents’ Association and Others</w:t>
      </w:r>
      <w:r w:rsidR="004747AB">
        <w:rPr>
          <w:bCs/>
          <w:sz w:val="28"/>
          <w:szCs w:val="28"/>
        </w:rPr>
        <w:t xml:space="preserve"> (Case no. 1056/2022</w:t>
      </w:r>
      <w:r w:rsidR="00244511">
        <w:rPr>
          <w:bCs/>
          <w:sz w:val="28"/>
          <w:szCs w:val="28"/>
        </w:rPr>
        <w:t>)</w:t>
      </w:r>
      <w:r w:rsidR="005B43DE">
        <w:rPr>
          <w:bCs/>
          <w:sz w:val="28"/>
          <w:szCs w:val="28"/>
        </w:rPr>
        <w:t xml:space="preserve"> [2023] ZASCA 168</w:t>
      </w:r>
      <w:r w:rsidR="00FB700D">
        <w:rPr>
          <w:bCs/>
          <w:sz w:val="28"/>
          <w:szCs w:val="28"/>
        </w:rPr>
        <w:t xml:space="preserve"> (1 December 2023)</w:t>
      </w:r>
    </w:p>
    <w:p w14:paraId="5DA7B220" w14:textId="77777777" w:rsidR="00150FE3" w:rsidRDefault="00150FE3" w:rsidP="00150FE3">
      <w:pPr>
        <w:spacing w:before="0" w:after="0" w:line="360" w:lineRule="auto"/>
        <w:ind w:left="1440" w:hanging="1440"/>
        <w:jc w:val="both"/>
        <w:rPr>
          <w:b/>
          <w:bCs/>
          <w:sz w:val="28"/>
          <w:szCs w:val="28"/>
        </w:rPr>
      </w:pPr>
    </w:p>
    <w:p w14:paraId="05695D41" w14:textId="77777777" w:rsidR="004747AB" w:rsidRDefault="00150FE3" w:rsidP="00150FE3">
      <w:pPr>
        <w:spacing w:before="0" w:after="0" w:line="360" w:lineRule="auto"/>
        <w:ind w:left="1440" w:hanging="1440"/>
        <w:jc w:val="both"/>
        <w:rPr>
          <w:bCs/>
          <w:sz w:val="28"/>
          <w:szCs w:val="28"/>
        </w:rPr>
      </w:pPr>
      <w:r>
        <w:rPr>
          <w:b/>
          <w:bCs/>
          <w:sz w:val="28"/>
          <w:szCs w:val="28"/>
        </w:rPr>
        <w:lastRenderedPageBreak/>
        <w:t>Coram:</w:t>
      </w:r>
      <w:r>
        <w:rPr>
          <w:b/>
          <w:bCs/>
          <w:sz w:val="28"/>
          <w:szCs w:val="28"/>
        </w:rPr>
        <w:tab/>
      </w:r>
      <w:r w:rsidR="004747AB">
        <w:rPr>
          <w:bCs/>
          <w:sz w:val="28"/>
          <w:szCs w:val="28"/>
        </w:rPr>
        <w:t>NICHOLLS and MABINDLA-BOQWANA JJA and BINNS-WARD</w:t>
      </w:r>
      <w:r>
        <w:rPr>
          <w:bCs/>
          <w:sz w:val="28"/>
          <w:szCs w:val="28"/>
        </w:rPr>
        <w:t xml:space="preserve">, </w:t>
      </w:r>
      <w:r w:rsidR="004747AB">
        <w:rPr>
          <w:bCs/>
          <w:sz w:val="28"/>
          <w:szCs w:val="28"/>
        </w:rPr>
        <w:t>MASIPA and UNTERHALTER</w:t>
      </w:r>
      <w:r>
        <w:rPr>
          <w:bCs/>
          <w:sz w:val="28"/>
          <w:szCs w:val="28"/>
        </w:rPr>
        <w:t xml:space="preserve"> </w:t>
      </w:r>
      <w:r w:rsidR="004747AB">
        <w:rPr>
          <w:bCs/>
          <w:sz w:val="28"/>
          <w:szCs w:val="28"/>
        </w:rPr>
        <w:t>A</w:t>
      </w:r>
      <w:r>
        <w:rPr>
          <w:bCs/>
          <w:sz w:val="28"/>
          <w:szCs w:val="28"/>
        </w:rPr>
        <w:t xml:space="preserve">JJA </w:t>
      </w:r>
    </w:p>
    <w:p w14:paraId="362B421B" w14:textId="77777777" w:rsidR="00150FE3" w:rsidRDefault="00150FE3" w:rsidP="00150FE3">
      <w:pPr>
        <w:spacing w:before="0" w:after="0" w:line="360" w:lineRule="auto"/>
        <w:ind w:left="1440" w:hanging="1440"/>
        <w:jc w:val="both"/>
        <w:rPr>
          <w:bCs/>
          <w:sz w:val="28"/>
          <w:szCs w:val="28"/>
        </w:rPr>
      </w:pPr>
      <w:r>
        <w:rPr>
          <w:b/>
          <w:bCs/>
          <w:sz w:val="28"/>
          <w:szCs w:val="28"/>
        </w:rPr>
        <w:t>Heard:</w:t>
      </w:r>
      <w:r>
        <w:rPr>
          <w:b/>
          <w:bCs/>
          <w:sz w:val="28"/>
          <w:szCs w:val="28"/>
        </w:rPr>
        <w:tab/>
      </w:r>
      <w:r w:rsidR="004747AB">
        <w:rPr>
          <w:bCs/>
          <w:sz w:val="28"/>
          <w:szCs w:val="28"/>
        </w:rPr>
        <w:t>13</w:t>
      </w:r>
      <w:r>
        <w:rPr>
          <w:bCs/>
          <w:sz w:val="28"/>
          <w:szCs w:val="28"/>
        </w:rPr>
        <w:t xml:space="preserve"> November 2023</w:t>
      </w:r>
    </w:p>
    <w:p w14:paraId="3493E831" w14:textId="09FE9341" w:rsidR="00150FE3" w:rsidRDefault="00150FE3" w:rsidP="00150FE3">
      <w:pPr>
        <w:spacing w:before="0" w:after="0" w:line="360" w:lineRule="auto"/>
        <w:ind w:left="1440" w:hanging="1440"/>
        <w:jc w:val="both"/>
        <w:rPr>
          <w:bCs/>
          <w:sz w:val="28"/>
          <w:szCs w:val="28"/>
        </w:rPr>
      </w:pPr>
      <w:r>
        <w:rPr>
          <w:b/>
          <w:bCs/>
          <w:sz w:val="28"/>
          <w:szCs w:val="28"/>
        </w:rPr>
        <w:t>Delivered:</w:t>
      </w:r>
      <w:r>
        <w:rPr>
          <w:bCs/>
          <w:sz w:val="28"/>
          <w:szCs w:val="28"/>
        </w:rPr>
        <w:tab/>
      </w:r>
      <w:r w:rsidR="00E54288">
        <w:rPr>
          <w:bCs/>
          <w:sz w:val="28"/>
          <w:szCs w:val="28"/>
        </w:rPr>
        <w:t>1 December</w:t>
      </w:r>
      <w:r>
        <w:rPr>
          <w:bCs/>
          <w:sz w:val="28"/>
          <w:szCs w:val="28"/>
        </w:rPr>
        <w:t xml:space="preserve"> 2023</w:t>
      </w:r>
    </w:p>
    <w:p w14:paraId="16C6B88B" w14:textId="77777777" w:rsidR="00BF222F" w:rsidRDefault="00BF222F" w:rsidP="00BF222F">
      <w:pPr>
        <w:spacing w:before="0" w:after="0" w:line="360" w:lineRule="auto"/>
        <w:jc w:val="both"/>
        <w:rPr>
          <w:bCs/>
          <w:sz w:val="28"/>
          <w:szCs w:val="28"/>
        </w:rPr>
      </w:pPr>
      <w:r>
        <w:rPr>
          <w:b/>
          <w:bCs/>
          <w:sz w:val="28"/>
          <w:szCs w:val="28"/>
        </w:rPr>
        <w:t>Summary:</w:t>
      </w:r>
      <w:r>
        <w:rPr>
          <w:b/>
          <w:bCs/>
          <w:sz w:val="28"/>
          <w:szCs w:val="28"/>
        </w:rPr>
        <w:tab/>
      </w:r>
      <w:r w:rsidRPr="007D247C">
        <w:rPr>
          <w:bCs/>
          <w:sz w:val="28"/>
          <w:szCs w:val="28"/>
        </w:rPr>
        <w:t xml:space="preserve">Local </w:t>
      </w:r>
      <w:r>
        <w:rPr>
          <w:bCs/>
          <w:sz w:val="28"/>
          <w:szCs w:val="28"/>
        </w:rPr>
        <w:t>g</w:t>
      </w:r>
      <w:r w:rsidRPr="007D247C">
        <w:rPr>
          <w:bCs/>
          <w:sz w:val="28"/>
          <w:szCs w:val="28"/>
        </w:rPr>
        <w:t>overnment</w:t>
      </w:r>
      <w:r>
        <w:rPr>
          <w:bCs/>
          <w:sz w:val="28"/>
          <w:szCs w:val="28"/>
        </w:rPr>
        <w:t xml:space="preserve"> – section 22 of the Local Government: Municipal Property Rates Act 6 of 2004 (PRA) – establishment by municipalities of special rating area (SRAs) – attack on legal validity of the appellant’s rates policy and by-law concerning the establishment of SRAs on grounds of alleged inconsistency with s 22 of the PRA and allegation that the appellant unlawfully abrogated its powers and functions by delegating same to applicant ratepayers’ organisation and non-profit company (NPC) established to be management body of proposed SRA.</w:t>
      </w:r>
    </w:p>
    <w:p w14:paraId="60A25E19" w14:textId="3D5C66C4" w:rsidR="00BF222F" w:rsidRDefault="00BF222F" w:rsidP="00BF222F">
      <w:pPr>
        <w:spacing w:before="0" w:after="0" w:line="360" w:lineRule="auto"/>
        <w:jc w:val="both"/>
        <w:rPr>
          <w:bCs/>
          <w:sz w:val="28"/>
          <w:szCs w:val="28"/>
        </w:rPr>
      </w:pPr>
      <w:r>
        <w:rPr>
          <w:bCs/>
          <w:sz w:val="28"/>
          <w:szCs w:val="28"/>
        </w:rPr>
        <w:t>Civil practice and procedure – evidence and argument not cognisably related to relief sought in notice of motion, irrelevant – argument on grounds not properly founded in the papers disregarded for the purposes of determination of appeal.</w:t>
      </w:r>
    </w:p>
    <w:p w14:paraId="1CDF3211" w14:textId="4CA37E0A" w:rsidR="005B43DE" w:rsidRDefault="005B43DE" w:rsidP="00BF222F">
      <w:pPr>
        <w:spacing w:before="0" w:after="0" w:line="360" w:lineRule="auto"/>
        <w:jc w:val="both"/>
        <w:rPr>
          <w:bCs/>
          <w:sz w:val="28"/>
          <w:szCs w:val="28"/>
        </w:rPr>
      </w:pPr>
    </w:p>
    <w:p w14:paraId="37272C5C" w14:textId="08D16FAE" w:rsidR="005B43DE" w:rsidRDefault="005B43DE" w:rsidP="00BF222F">
      <w:pPr>
        <w:spacing w:before="0" w:after="0" w:line="360" w:lineRule="auto"/>
        <w:jc w:val="both"/>
        <w:rPr>
          <w:bCs/>
          <w:sz w:val="28"/>
          <w:szCs w:val="28"/>
        </w:rPr>
      </w:pPr>
    </w:p>
    <w:p w14:paraId="65B62706" w14:textId="4DED0021" w:rsidR="005B43DE" w:rsidRDefault="005B43DE" w:rsidP="00BF222F">
      <w:pPr>
        <w:spacing w:before="0" w:after="0" w:line="360" w:lineRule="auto"/>
        <w:jc w:val="both"/>
        <w:rPr>
          <w:bCs/>
          <w:sz w:val="28"/>
          <w:szCs w:val="28"/>
        </w:rPr>
      </w:pPr>
    </w:p>
    <w:p w14:paraId="182AD712" w14:textId="1FE9C1F4" w:rsidR="005B43DE" w:rsidRDefault="005B43DE" w:rsidP="00BF222F">
      <w:pPr>
        <w:spacing w:before="0" w:after="0" w:line="360" w:lineRule="auto"/>
        <w:jc w:val="both"/>
        <w:rPr>
          <w:bCs/>
          <w:sz w:val="28"/>
          <w:szCs w:val="28"/>
        </w:rPr>
      </w:pPr>
    </w:p>
    <w:p w14:paraId="65C26E4D" w14:textId="24FFFCCE" w:rsidR="005B43DE" w:rsidRDefault="005B43DE" w:rsidP="00BF222F">
      <w:pPr>
        <w:spacing w:before="0" w:after="0" w:line="360" w:lineRule="auto"/>
        <w:jc w:val="both"/>
        <w:rPr>
          <w:bCs/>
          <w:sz w:val="28"/>
          <w:szCs w:val="28"/>
        </w:rPr>
      </w:pPr>
    </w:p>
    <w:p w14:paraId="0B923B16" w14:textId="771B7CAA" w:rsidR="005B43DE" w:rsidRDefault="005B43DE" w:rsidP="00BF222F">
      <w:pPr>
        <w:spacing w:before="0" w:after="0" w:line="360" w:lineRule="auto"/>
        <w:jc w:val="both"/>
        <w:rPr>
          <w:bCs/>
          <w:sz w:val="28"/>
          <w:szCs w:val="28"/>
        </w:rPr>
      </w:pPr>
    </w:p>
    <w:p w14:paraId="748A78FF" w14:textId="712AB8D7" w:rsidR="005B43DE" w:rsidRDefault="005B43DE" w:rsidP="00BF222F">
      <w:pPr>
        <w:spacing w:before="0" w:after="0" w:line="360" w:lineRule="auto"/>
        <w:jc w:val="both"/>
        <w:rPr>
          <w:bCs/>
          <w:sz w:val="28"/>
          <w:szCs w:val="28"/>
        </w:rPr>
      </w:pPr>
    </w:p>
    <w:p w14:paraId="0F01F4D0" w14:textId="5AC13D76" w:rsidR="005B43DE" w:rsidRDefault="005B43DE" w:rsidP="00BF222F">
      <w:pPr>
        <w:spacing w:before="0" w:after="0" w:line="360" w:lineRule="auto"/>
        <w:jc w:val="both"/>
        <w:rPr>
          <w:bCs/>
          <w:sz w:val="28"/>
          <w:szCs w:val="28"/>
        </w:rPr>
      </w:pPr>
    </w:p>
    <w:p w14:paraId="425FCEA1" w14:textId="6CF49137" w:rsidR="005B43DE" w:rsidRDefault="005B43DE" w:rsidP="00BF222F">
      <w:pPr>
        <w:spacing w:before="0" w:after="0" w:line="360" w:lineRule="auto"/>
        <w:jc w:val="both"/>
        <w:rPr>
          <w:bCs/>
          <w:sz w:val="28"/>
          <w:szCs w:val="28"/>
        </w:rPr>
      </w:pPr>
    </w:p>
    <w:p w14:paraId="7D73E8A2" w14:textId="64D9748F" w:rsidR="005B43DE" w:rsidRDefault="005B43DE" w:rsidP="00BF222F">
      <w:pPr>
        <w:spacing w:before="0" w:after="0" w:line="360" w:lineRule="auto"/>
        <w:jc w:val="both"/>
        <w:rPr>
          <w:bCs/>
          <w:sz w:val="28"/>
          <w:szCs w:val="28"/>
        </w:rPr>
      </w:pPr>
    </w:p>
    <w:p w14:paraId="05598245" w14:textId="1167FF67" w:rsidR="005B43DE" w:rsidRDefault="005B43DE" w:rsidP="00BF222F">
      <w:pPr>
        <w:spacing w:before="0" w:after="0" w:line="360" w:lineRule="auto"/>
        <w:jc w:val="both"/>
        <w:rPr>
          <w:bCs/>
          <w:sz w:val="28"/>
          <w:szCs w:val="28"/>
        </w:rPr>
      </w:pPr>
    </w:p>
    <w:p w14:paraId="5DBDC631" w14:textId="69289004" w:rsidR="005B43DE" w:rsidRDefault="005B43DE" w:rsidP="00BF222F">
      <w:pPr>
        <w:spacing w:before="0" w:after="0" w:line="360" w:lineRule="auto"/>
        <w:jc w:val="both"/>
        <w:rPr>
          <w:bCs/>
          <w:sz w:val="28"/>
          <w:szCs w:val="28"/>
        </w:rPr>
      </w:pPr>
    </w:p>
    <w:p w14:paraId="5429E229" w14:textId="77777777" w:rsidR="005B43DE" w:rsidRPr="004747AB" w:rsidRDefault="005B43DE" w:rsidP="00BF222F">
      <w:pPr>
        <w:spacing w:before="0" w:after="0" w:line="360" w:lineRule="auto"/>
        <w:jc w:val="both"/>
        <w:rPr>
          <w:bCs/>
          <w:sz w:val="28"/>
          <w:szCs w:val="28"/>
        </w:rPr>
      </w:pPr>
    </w:p>
    <w:p w14:paraId="5769974A" w14:textId="77777777" w:rsidR="00150FE3" w:rsidRDefault="00150FE3" w:rsidP="00150FE3">
      <w:pPr>
        <w:spacing w:before="0" w:after="0" w:line="360" w:lineRule="auto"/>
        <w:jc w:val="both"/>
        <w:rPr>
          <w:bCs/>
          <w:sz w:val="28"/>
          <w:szCs w:val="28"/>
        </w:rPr>
      </w:pPr>
    </w:p>
    <w:p w14:paraId="08DDC355" w14:textId="77777777" w:rsidR="00150FE3" w:rsidRDefault="00150FE3" w:rsidP="00150FE3">
      <w:pPr>
        <w:spacing w:before="0" w:after="0" w:line="240" w:lineRule="auto"/>
        <w:contextualSpacing/>
        <w:jc w:val="both"/>
        <w:rPr>
          <w:sz w:val="28"/>
          <w:szCs w:val="28"/>
        </w:rPr>
      </w:pPr>
      <w:r>
        <w:rPr>
          <w:sz w:val="28"/>
          <w:szCs w:val="28"/>
        </w:rPr>
        <w:lastRenderedPageBreak/>
        <w:t>________________________________________________________________</w:t>
      </w:r>
    </w:p>
    <w:p w14:paraId="3E9B585D" w14:textId="77777777" w:rsidR="00150FE3" w:rsidRDefault="00150FE3" w:rsidP="00150FE3">
      <w:pPr>
        <w:spacing w:before="0" w:after="0" w:line="240" w:lineRule="auto"/>
        <w:contextualSpacing/>
        <w:jc w:val="center"/>
        <w:rPr>
          <w:b/>
          <w:bCs/>
          <w:sz w:val="28"/>
          <w:szCs w:val="28"/>
        </w:rPr>
      </w:pPr>
    </w:p>
    <w:p w14:paraId="6899C25F" w14:textId="77777777" w:rsidR="00150FE3" w:rsidRDefault="00150FE3" w:rsidP="00150FE3">
      <w:pPr>
        <w:spacing w:before="0" w:after="0" w:line="240" w:lineRule="auto"/>
        <w:contextualSpacing/>
        <w:jc w:val="center"/>
        <w:rPr>
          <w:b/>
          <w:bCs/>
          <w:sz w:val="28"/>
          <w:szCs w:val="28"/>
        </w:rPr>
      </w:pPr>
      <w:r>
        <w:rPr>
          <w:b/>
          <w:bCs/>
          <w:sz w:val="28"/>
          <w:szCs w:val="28"/>
        </w:rPr>
        <w:t>ORDER</w:t>
      </w:r>
    </w:p>
    <w:p w14:paraId="6DC2A780" w14:textId="77777777" w:rsidR="00150FE3" w:rsidRDefault="00150FE3" w:rsidP="00150FE3">
      <w:pPr>
        <w:spacing w:before="0" w:after="0" w:line="240" w:lineRule="auto"/>
        <w:contextualSpacing/>
        <w:jc w:val="center"/>
        <w:rPr>
          <w:b/>
          <w:bCs/>
          <w:sz w:val="28"/>
          <w:szCs w:val="28"/>
        </w:rPr>
      </w:pPr>
    </w:p>
    <w:p w14:paraId="5FA0D667" w14:textId="77777777" w:rsidR="00150FE3" w:rsidRDefault="00150FE3" w:rsidP="00150FE3">
      <w:pPr>
        <w:spacing w:before="0" w:after="0" w:line="240" w:lineRule="auto"/>
        <w:contextualSpacing/>
        <w:jc w:val="both"/>
        <w:rPr>
          <w:sz w:val="28"/>
          <w:szCs w:val="28"/>
        </w:rPr>
      </w:pPr>
      <w:r>
        <w:rPr>
          <w:noProof/>
          <w:lang w:val="en-ZA" w:eastAsia="en-ZA"/>
        </w:rPr>
        <mc:AlternateContent>
          <mc:Choice Requires="wps">
            <w:drawing>
              <wp:anchor distT="0" distB="0" distL="114300" distR="114300" simplePos="0" relativeHeight="251658240" behindDoc="0" locked="0" layoutInCell="1" allowOverlap="1" wp14:anchorId="4E541708" wp14:editId="0B04801A">
                <wp:simplePos x="0" y="0"/>
                <wp:positionH relativeFrom="column">
                  <wp:posOffset>0</wp:posOffset>
                </wp:positionH>
                <wp:positionV relativeFrom="paragraph">
                  <wp:posOffset>99060</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C46AB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PQ1R9/AEAAMEDAAAOAAAAAAAAAAAAAAAAAC4C&#10;AABkcnMvZTJvRG9jLnhtbFBLAQItABQABgAIAAAAIQCH08ey2gAAAAYBAAAPAAAAAAAAAAAAAAAA&#10;AFYEAABkcnMvZG93bnJldi54bWxQSwUGAAAAAAQABADzAAAAXQUAAAAA&#10;"/>
            </w:pict>
          </mc:Fallback>
        </mc:AlternateContent>
      </w:r>
    </w:p>
    <w:p w14:paraId="7D78616F" w14:textId="761237CD" w:rsidR="00126CCB" w:rsidRDefault="00126CCB" w:rsidP="00126CCB">
      <w:pPr>
        <w:spacing w:after="0" w:line="360" w:lineRule="auto"/>
        <w:jc w:val="both"/>
        <w:rPr>
          <w:bCs/>
          <w:sz w:val="28"/>
          <w:szCs w:val="28"/>
        </w:rPr>
      </w:pPr>
      <w:r>
        <w:rPr>
          <w:b/>
          <w:bCs/>
          <w:sz w:val="28"/>
          <w:szCs w:val="28"/>
        </w:rPr>
        <w:t>On appeal from:</w:t>
      </w:r>
      <w:r>
        <w:rPr>
          <w:sz w:val="28"/>
          <w:szCs w:val="28"/>
        </w:rPr>
        <w:t xml:space="preserve"> </w:t>
      </w:r>
      <w:r>
        <w:rPr>
          <w:bCs/>
          <w:sz w:val="28"/>
          <w:szCs w:val="28"/>
        </w:rPr>
        <w:t>Eastern Cape Division of the High Court, Port Elizabeth (Mjali</w:t>
      </w:r>
      <w:r w:rsidR="00244511">
        <w:rPr>
          <w:bCs/>
          <w:sz w:val="28"/>
          <w:szCs w:val="28"/>
        </w:rPr>
        <w:t> </w:t>
      </w:r>
      <w:r>
        <w:rPr>
          <w:bCs/>
          <w:sz w:val="28"/>
          <w:szCs w:val="28"/>
        </w:rPr>
        <w:t xml:space="preserve">J, sitting as a court of first instance): </w:t>
      </w:r>
    </w:p>
    <w:p w14:paraId="0E3ED890" w14:textId="20D4A152" w:rsidR="00126CCB" w:rsidRPr="009650FF" w:rsidRDefault="009650FF" w:rsidP="009650FF">
      <w:pPr>
        <w:spacing w:before="0" w:after="0" w:line="360" w:lineRule="auto"/>
        <w:jc w:val="both"/>
        <w:rPr>
          <w:bCs/>
          <w:sz w:val="28"/>
          <w:szCs w:val="28"/>
        </w:rPr>
      </w:pPr>
      <w:r w:rsidRPr="002902A2">
        <w:rPr>
          <w:bCs/>
          <w:sz w:val="28"/>
          <w:szCs w:val="28"/>
        </w:rPr>
        <w:t>1.</w:t>
      </w:r>
      <w:r w:rsidRPr="002902A2">
        <w:rPr>
          <w:bCs/>
          <w:sz w:val="28"/>
          <w:szCs w:val="28"/>
        </w:rPr>
        <w:tab/>
      </w:r>
      <w:r w:rsidR="00126CCB" w:rsidRPr="009650FF">
        <w:rPr>
          <w:bCs/>
          <w:sz w:val="28"/>
          <w:szCs w:val="28"/>
        </w:rPr>
        <w:t>The appeal is upheld.</w:t>
      </w:r>
    </w:p>
    <w:p w14:paraId="1C06C988" w14:textId="03FED13E" w:rsidR="00126CCB" w:rsidRPr="009650FF" w:rsidRDefault="009650FF" w:rsidP="009650FF">
      <w:pPr>
        <w:spacing w:before="0" w:after="0" w:line="360" w:lineRule="auto"/>
        <w:jc w:val="both"/>
        <w:rPr>
          <w:sz w:val="28"/>
          <w:szCs w:val="28"/>
        </w:rPr>
      </w:pPr>
      <w:r>
        <w:rPr>
          <w:sz w:val="28"/>
          <w:szCs w:val="28"/>
        </w:rPr>
        <w:t>2.</w:t>
      </w:r>
      <w:r>
        <w:rPr>
          <w:sz w:val="28"/>
          <w:szCs w:val="28"/>
        </w:rPr>
        <w:tab/>
      </w:r>
      <w:r w:rsidR="00126CCB" w:rsidRPr="009650FF">
        <w:rPr>
          <w:sz w:val="28"/>
          <w:szCs w:val="28"/>
        </w:rPr>
        <w:t>The order of the court a quo is set aside and substituted with the following:</w:t>
      </w:r>
    </w:p>
    <w:p w14:paraId="4B6E293E" w14:textId="77777777" w:rsidR="00126CCB" w:rsidRPr="003410B5" w:rsidRDefault="00126CCB" w:rsidP="00126CCB">
      <w:pPr>
        <w:pStyle w:val="ListParagraph"/>
        <w:spacing w:before="0" w:after="0" w:line="360" w:lineRule="auto"/>
        <w:ind w:left="426" w:firstLine="294"/>
        <w:jc w:val="both"/>
        <w:rPr>
          <w:sz w:val="28"/>
          <w:szCs w:val="28"/>
        </w:rPr>
      </w:pPr>
      <w:r>
        <w:rPr>
          <w:sz w:val="28"/>
          <w:szCs w:val="28"/>
        </w:rPr>
        <w:t>‘The application is dismissed with no order as to costs.’</w:t>
      </w:r>
    </w:p>
    <w:p w14:paraId="3A64C29E" w14:textId="000FE95E" w:rsidR="00150FE3" w:rsidRDefault="00150FE3" w:rsidP="001B1FB5">
      <w:pPr>
        <w:pStyle w:val="ListParagraph"/>
        <w:spacing w:after="240"/>
        <w:rPr>
          <w:bCs/>
          <w:sz w:val="28"/>
          <w:szCs w:val="28"/>
        </w:rPr>
      </w:pPr>
    </w:p>
    <w:p w14:paraId="468B0821" w14:textId="77777777" w:rsidR="00150FE3" w:rsidRDefault="00150FE3" w:rsidP="00150FE3">
      <w:pPr>
        <w:keepNext/>
        <w:spacing w:before="0" w:after="0" w:line="240" w:lineRule="auto"/>
        <w:contextualSpacing/>
        <w:jc w:val="center"/>
        <w:rPr>
          <w:sz w:val="28"/>
          <w:szCs w:val="28"/>
        </w:rPr>
      </w:pPr>
      <w:r>
        <w:rPr>
          <w:noProof/>
          <w:lang w:val="en-ZA" w:eastAsia="en-ZA"/>
        </w:rPr>
        <mc:AlternateContent>
          <mc:Choice Requires="wps">
            <w:drawing>
              <wp:anchor distT="0" distB="0" distL="114300" distR="114300" simplePos="0" relativeHeight="251660288" behindDoc="0" locked="0" layoutInCell="1" allowOverlap="1" wp14:anchorId="46B31207" wp14:editId="5EC7734D">
                <wp:simplePos x="0" y="0"/>
                <wp:positionH relativeFrom="column">
                  <wp:posOffset>0</wp:posOffset>
                </wp:positionH>
                <wp:positionV relativeFrom="paragraph">
                  <wp:posOffset>101600</wp:posOffset>
                </wp:positionV>
                <wp:extent cx="57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D5942D"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"/>
            </w:pict>
          </mc:Fallback>
        </mc:AlternateContent>
      </w:r>
      <w:r>
        <w:rPr>
          <w:noProof/>
          <w:lang w:val="en-ZA" w:eastAsia="en-ZA"/>
        </w:rPr>
        <mc:AlternateContent>
          <mc:Choice Requires="wps">
            <w:drawing>
              <wp:anchor distT="0" distB="0" distL="114300" distR="114300" simplePos="0" relativeHeight="251661312" behindDoc="0" locked="0" layoutInCell="1" allowOverlap="1" wp14:anchorId="249F4C3B" wp14:editId="0E3C458F">
                <wp:simplePos x="0" y="0"/>
                <wp:positionH relativeFrom="column">
                  <wp:posOffset>57150</wp:posOffset>
                </wp:positionH>
                <wp:positionV relativeFrom="paragraph">
                  <wp:posOffset>101600</wp:posOffset>
                </wp:positionV>
                <wp:extent cx="577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4828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q/AEAAME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"/>
            </w:pict>
          </mc:Fallback>
        </mc:AlternateContent>
      </w:r>
    </w:p>
    <w:p w14:paraId="5EC3C6EF" w14:textId="77777777" w:rsidR="00150FE3" w:rsidRDefault="00150FE3" w:rsidP="00150FE3">
      <w:pPr>
        <w:keepNext/>
        <w:spacing w:before="0" w:after="0" w:line="240" w:lineRule="auto"/>
        <w:contextualSpacing/>
        <w:jc w:val="center"/>
        <w:rPr>
          <w:b/>
          <w:bCs/>
          <w:sz w:val="28"/>
          <w:szCs w:val="28"/>
        </w:rPr>
      </w:pPr>
    </w:p>
    <w:p w14:paraId="17B39CB6" w14:textId="77777777" w:rsidR="00150FE3" w:rsidRDefault="00150FE3" w:rsidP="00150FE3">
      <w:pPr>
        <w:keepNext/>
        <w:spacing w:before="0" w:after="0" w:line="240" w:lineRule="auto"/>
        <w:contextualSpacing/>
        <w:jc w:val="center"/>
        <w:rPr>
          <w:b/>
          <w:bCs/>
          <w:sz w:val="28"/>
          <w:szCs w:val="28"/>
        </w:rPr>
      </w:pPr>
      <w:r>
        <w:rPr>
          <w:b/>
          <w:bCs/>
          <w:sz w:val="28"/>
          <w:szCs w:val="28"/>
        </w:rPr>
        <w:t>JUDGMENT</w:t>
      </w:r>
    </w:p>
    <w:p w14:paraId="608FBC72" w14:textId="77777777" w:rsidR="00150FE3" w:rsidRDefault="00150FE3" w:rsidP="00150FE3">
      <w:pPr>
        <w:keepNext/>
        <w:spacing w:before="0" w:after="0" w:line="240" w:lineRule="auto"/>
        <w:contextualSpacing/>
        <w:jc w:val="center"/>
        <w:rPr>
          <w:b/>
          <w:bCs/>
          <w:sz w:val="28"/>
          <w:szCs w:val="28"/>
        </w:rPr>
      </w:pPr>
    </w:p>
    <w:p w14:paraId="053D4273" w14:textId="77777777" w:rsidR="00150FE3" w:rsidRDefault="00150FE3" w:rsidP="00150FE3">
      <w:pPr>
        <w:keepNext/>
        <w:spacing w:before="0" w:after="0" w:line="240" w:lineRule="auto"/>
        <w:contextualSpacing/>
        <w:jc w:val="both"/>
        <w:rPr>
          <w:sz w:val="28"/>
          <w:szCs w:val="28"/>
        </w:rPr>
      </w:pPr>
      <w:r>
        <w:rPr>
          <w:noProof/>
          <w:lang w:val="en-ZA" w:eastAsia="en-ZA"/>
        </w:rPr>
        <mc:AlternateContent>
          <mc:Choice Requires="wps">
            <w:drawing>
              <wp:anchor distT="0" distB="0" distL="114300" distR="114300" simplePos="0" relativeHeight="251662336" behindDoc="0" locked="0" layoutInCell="1" allowOverlap="1" wp14:anchorId="3945356C" wp14:editId="2F1F4C19">
                <wp:simplePos x="0" y="0"/>
                <wp:positionH relativeFrom="column">
                  <wp:posOffset>0</wp:posOffset>
                </wp:positionH>
                <wp:positionV relativeFrom="paragraph">
                  <wp:posOffset>99060</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234BE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D/AEAAME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PZeP6QYwv5LZax4pZonQ+fJHQkbkqqlYm2sYIdn31A6Qi9&#10;QeK1gY3SOrVeG9KXdD4dT1OCB61EDEaYd82+0o4cWRye9EUfkOwNzMHBiETWSibW131gSl/2iNcm&#10;8mEpKOe6u0zH93k+X8/Ws8lgMn5cDya5EIOPm2oyeNyMPkxXD6uqWo1+XF+95Sdbo5OXnuxBnLcu&#10;CosO45wkideZjoP4+zmhfv15y58A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AHCCD/AEAAMEDAAAOAAAAAAAAAAAAAAAAAC4C&#10;AABkcnMvZTJvRG9jLnhtbFBLAQItABQABgAIAAAAIQCH08ey2gAAAAYBAAAPAAAAAAAAAAAAAAAA&#10;AFYEAABkcnMvZG93bnJldi54bWxQSwUGAAAAAAQABADzAAAAXQUAAAAA&#10;"/>
            </w:pict>
          </mc:Fallback>
        </mc:AlternateContent>
      </w:r>
    </w:p>
    <w:p w14:paraId="1A2AF1DF" w14:textId="2C495A5E" w:rsidR="00150FE3" w:rsidRDefault="00AB1F67" w:rsidP="00126CCB">
      <w:pPr>
        <w:keepNext/>
        <w:spacing w:line="360" w:lineRule="auto"/>
        <w:jc w:val="both"/>
        <w:rPr>
          <w:b/>
          <w:sz w:val="28"/>
          <w:szCs w:val="28"/>
        </w:rPr>
      </w:pPr>
      <w:r>
        <w:rPr>
          <w:b/>
          <w:sz w:val="28"/>
          <w:szCs w:val="28"/>
        </w:rPr>
        <w:t>BINNS-WARD AJA (NICHOLLS and MABINDLA-BOQWANA JJA and MASIPA and UNTERHALTER AJJA</w:t>
      </w:r>
      <w:r w:rsidR="00150FE3">
        <w:rPr>
          <w:b/>
          <w:sz w:val="28"/>
          <w:szCs w:val="28"/>
        </w:rPr>
        <w:t xml:space="preserve"> concurring):</w:t>
      </w:r>
    </w:p>
    <w:p w14:paraId="65DB3F55" w14:textId="7E18EBB4" w:rsidR="005648E9" w:rsidRPr="009650FF" w:rsidRDefault="009650FF" w:rsidP="009650FF">
      <w:pPr>
        <w:spacing w:line="360" w:lineRule="auto"/>
        <w:jc w:val="both"/>
        <w:rPr>
          <w:sz w:val="28"/>
          <w:szCs w:val="28"/>
        </w:rPr>
      </w:pPr>
      <w:r w:rsidRPr="00C12E8A">
        <w:rPr>
          <w:sz w:val="28"/>
          <w:szCs w:val="28"/>
        </w:rPr>
        <w:t>[1]</w:t>
      </w:r>
      <w:r w:rsidRPr="00C12E8A">
        <w:rPr>
          <w:sz w:val="28"/>
          <w:szCs w:val="28"/>
        </w:rPr>
        <w:tab/>
      </w:r>
      <w:r w:rsidR="00B8681B" w:rsidRPr="009650FF">
        <w:rPr>
          <w:sz w:val="28"/>
          <w:szCs w:val="28"/>
        </w:rPr>
        <w:t xml:space="preserve">It is notorious that most local authorities in South Africa struggle to deliver municipal services at </w:t>
      </w:r>
      <w:r w:rsidR="005415A5" w:rsidRPr="009650FF">
        <w:rPr>
          <w:sz w:val="28"/>
          <w:szCs w:val="28"/>
        </w:rPr>
        <w:t>anything approaching optimal levels.  The phenomenon is by no means uniqu</w:t>
      </w:r>
      <w:r w:rsidR="00F67A82" w:rsidRPr="009650FF">
        <w:rPr>
          <w:sz w:val="28"/>
          <w:szCs w:val="28"/>
        </w:rPr>
        <w:t>e to this country.  A way of alleviating</w:t>
      </w:r>
      <w:r w:rsidR="00477B33" w:rsidRPr="009650FF">
        <w:rPr>
          <w:sz w:val="28"/>
          <w:szCs w:val="28"/>
        </w:rPr>
        <w:t xml:space="preserve"> the problem </w:t>
      </w:r>
      <w:r w:rsidR="00F67A82" w:rsidRPr="009650FF">
        <w:rPr>
          <w:sz w:val="28"/>
          <w:szCs w:val="28"/>
        </w:rPr>
        <w:t xml:space="preserve">that has been adopted </w:t>
      </w:r>
      <w:r w:rsidR="003234A8" w:rsidRPr="009650FF">
        <w:rPr>
          <w:sz w:val="28"/>
          <w:szCs w:val="28"/>
        </w:rPr>
        <w:t>in many countries around the world</w:t>
      </w:r>
      <w:r w:rsidR="005415A5" w:rsidRPr="009650FF">
        <w:rPr>
          <w:sz w:val="28"/>
          <w:szCs w:val="28"/>
        </w:rPr>
        <w:t xml:space="preserve"> is the creation of improvement districts within local government areas</w:t>
      </w:r>
      <w:r w:rsidR="00477B33" w:rsidRPr="009650FF">
        <w:rPr>
          <w:sz w:val="28"/>
          <w:szCs w:val="28"/>
        </w:rPr>
        <w:t>.</w:t>
      </w:r>
      <w:r w:rsidR="00C12E8A">
        <w:rPr>
          <w:rStyle w:val="FootnoteReference"/>
          <w:sz w:val="28"/>
          <w:szCs w:val="28"/>
        </w:rPr>
        <w:footnoteReference w:id="1"/>
      </w:r>
      <w:r w:rsidR="005415A5" w:rsidRPr="009650FF">
        <w:rPr>
          <w:sz w:val="28"/>
          <w:szCs w:val="28"/>
        </w:rPr>
        <w:t xml:space="preserve"> </w:t>
      </w:r>
      <w:r w:rsidR="00477B33" w:rsidRPr="009650FF">
        <w:rPr>
          <w:sz w:val="28"/>
          <w:szCs w:val="28"/>
        </w:rPr>
        <w:t>The</w:t>
      </w:r>
      <w:r w:rsidR="005415A5" w:rsidRPr="009650FF">
        <w:rPr>
          <w:sz w:val="28"/>
          <w:szCs w:val="28"/>
        </w:rPr>
        <w:t xml:space="preserve"> owners or occupiers </w:t>
      </w:r>
      <w:r w:rsidR="00477B33" w:rsidRPr="009650FF">
        <w:rPr>
          <w:sz w:val="28"/>
          <w:szCs w:val="28"/>
        </w:rPr>
        <w:t xml:space="preserve">in such areas </w:t>
      </w:r>
      <w:r w:rsidR="005415A5" w:rsidRPr="009650FF">
        <w:rPr>
          <w:sz w:val="28"/>
          <w:szCs w:val="28"/>
        </w:rPr>
        <w:t>bind themselves to pay a premium on their property taxes</w:t>
      </w:r>
      <w:r w:rsidR="00477B33" w:rsidRPr="009650FF">
        <w:rPr>
          <w:sz w:val="28"/>
          <w:szCs w:val="28"/>
        </w:rPr>
        <w:t>.</w:t>
      </w:r>
      <w:r w:rsidR="00832915" w:rsidRPr="009650FF">
        <w:rPr>
          <w:sz w:val="28"/>
          <w:szCs w:val="28"/>
        </w:rPr>
        <w:t xml:space="preserve"> The extra tax </w:t>
      </w:r>
      <w:r w:rsidR="005415A5" w:rsidRPr="009650FF">
        <w:rPr>
          <w:sz w:val="28"/>
          <w:szCs w:val="28"/>
        </w:rPr>
        <w:t xml:space="preserve">is </w:t>
      </w:r>
      <w:r w:rsidR="00E17AC9" w:rsidRPr="009650FF">
        <w:rPr>
          <w:sz w:val="28"/>
          <w:szCs w:val="28"/>
        </w:rPr>
        <w:br/>
      </w:r>
      <w:r w:rsidR="00832915" w:rsidRPr="009650FF">
        <w:rPr>
          <w:sz w:val="28"/>
          <w:szCs w:val="28"/>
        </w:rPr>
        <w:t>ring-fenced in the local authority’s accounts,</w:t>
      </w:r>
      <w:r w:rsidR="005415A5" w:rsidRPr="009650FF">
        <w:rPr>
          <w:sz w:val="28"/>
          <w:szCs w:val="28"/>
        </w:rPr>
        <w:t xml:space="preserve"> and </w:t>
      </w:r>
      <w:r w:rsidR="00832915" w:rsidRPr="009650FF">
        <w:rPr>
          <w:sz w:val="28"/>
          <w:szCs w:val="28"/>
        </w:rPr>
        <w:t xml:space="preserve">the revenue is </w:t>
      </w:r>
      <w:r w:rsidR="005415A5" w:rsidRPr="009650FF">
        <w:rPr>
          <w:sz w:val="28"/>
          <w:szCs w:val="28"/>
        </w:rPr>
        <w:t xml:space="preserve">expended </w:t>
      </w:r>
      <w:r w:rsidR="003234A8" w:rsidRPr="009650FF">
        <w:rPr>
          <w:sz w:val="28"/>
          <w:szCs w:val="28"/>
        </w:rPr>
        <w:t xml:space="preserve">on </w:t>
      </w:r>
      <w:r w:rsidR="000F35E5" w:rsidRPr="009650FF">
        <w:rPr>
          <w:sz w:val="28"/>
          <w:szCs w:val="28"/>
        </w:rPr>
        <w:t xml:space="preserve">providing </w:t>
      </w:r>
      <w:r w:rsidR="003234A8" w:rsidRPr="009650FF">
        <w:rPr>
          <w:sz w:val="28"/>
          <w:szCs w:val="28"/>
        </w:rPr>
        <w:t xml:space="preserve">enhanced municipal services in the district </w:t>
      </w:r>
      <w:r w:rsidR="005415A5" w:rsidRPr="009650FF">
        <w:rPr>
          <w:sz w:val="28"/>
          <w:szCs w:val="28"/>
        </w:rPr>
        <w:t xml:space="preserve">in accordance with a </w:t>
      </w:r>
      <w:r w:rsidR="003234A8" w:rsidRPr="009650FF">
        <w:rPr>
          <w:sz w:val="28"/>
          <w:szCs w:val="28"/>
        </w:rPr>
        <w:t>contractual arrangement</w:t>
      </w:r>
      <w:r w:rsidR="00832915" w:rsidRPr="009650FF">
        <w:rPr>
          <w:sz w:val="28"/>
          <w:szCs w:val="28"/>
        </w:rPr>
        <w:t xml:space="preserve"> between the ratepayers</w:t>
      </w:r>
      <w:r w:rsidR="00AB1224" w:rsidRPr="009650FF">
        <w:rPr>
          <w:sz w:val="28"/>
          <w:szCs w:val="28"/>
        </w:rPr>
        <w:t>,</w:t>
      </w:r>
      <w:r w:rsidR="00832915" w:rsidRPr="009650FF">
        <w:rPr>
          <w:sz w:val="28"/>
          <w:szCs w:val="28"/>
        </w:rPr>
        <w:t xml:space="preserve"> or an entity representing them</w:t>
      </w:r>
      <w:r w:rsidR="00AB1224" w:rsidRPr="009650FF">
        <w:rPr>
          <w:sz w:val="28"/>
          <w:szCs w:val="28"/>
        </w:rPr>
        <w:t>,</w:t>
      </w:r>
      <w:r w:rsidR="003234A8" w:rsidRPr="009650FF">
        <w:rPr>
          <w:sz w:val="28"/>
          <w:szCs w:val="28"/>
        </w:rPr>
        <w:t xml:space="preserve"> </w:t>
      </w:r>
      <w:r w:rsidR="00832915" w:rsidRPr="009650FF">
        <w:rPr>
          <w:sz w:val="28"/>
          <w:szCs w:val="28"/>
        </w:rPr>
        <w:lastRenderedPageBreak/>
        <w:t>and</w:t>
      </w:r>
      <w:r w:rsidR="003234A8" w:rsidRPr="009650FF">
        <w:rPr>
          <w:sz w:val="28"/>
          <w:szCs w:val="28"/>
        </w:rPr>
        <w:t xml:space="preserve"> the local authority. </w:t>
      </w:r>
      <w:r w:rsidR="00C12E8A" w:rsidRPr="009650FF">
        <w:rPr>
          <w:sz w:val="28"/>
          <w:szCs w:val="28"/>
        </w:rPr>
        <w:t xml:space="preserve">In </w:t>
      </w:r>
      <w:r w:rsidR="004D4902" w:rsidRPr="009650FF">
        <w:rPr>
          <w:sz w:val="28"/>
          <w:szCs w:val="28"/>
        </w:rPr>
        <w:t>South Africa</w:t>
      </w:r>
      <w:r w:rsidR="003234A8" w:rsidRPr="009650FF">
        <w:rPr>
          <w:sz w:val="28"/>
          <w:szCs w:val="28"/>
        </w:rPr>
        <w:t xml:space="preserve"> </w:t>
      </w:r>
      <w:r w:rsidR="00C12E8A" w:rsidRPr="009650FF">
        <w:rPr>
          <w:sz w:val="28"/>
          <w:szCs w:val="28"/>
        </w:rPr>
        <w:t>these are called</w:t>
      </w:r>
      <w:r w:rsidR="007A62AB" w:rsidRPr="009650FF">
        <w:rPr>
          <w:sz w:val="28"/>
          <w:szCs w:val="28"/>
        </w:rPr>
        <w:t xml:space="preserve"> </w:t>
      </w:r>
      <w:r w:rsidR="00A276B3" w:rsidRPr="009650FF">
        <w:rPr>
          <w:sz w:val="28"/>
          <w:szCs w:val="28"/>
        </w:rPr>
        <w:t>‘</w:t>
      </w:r>
      <w:r w:rsidR="007A62AB" w:rsidRPr="009650FF">
        <w:rPr>
          <w:sz w:val="28"/>
          <w:szCs w:val="28"/>
        </w:rPr>
        <w:t>special rating areas</w:t>
      </w:r>
      <w:r w:rsidR="00A276B3" w:rsidRPr="009650FF">
        <w:rPr>
          <w:sz w:val="28"/>
          <w:szCs w:val="28"/>
        </w:rPr>
        <w:t>’</w:t>
      </w:r>
      <w:r w:rsidR="001D7885" w:rsidRPr="009650FF">
        <w:rPr>
          <w:sz w:val="28"/>
          <w:szCs w:val="28"/>
        </w:rPr>
        <w:t xml:space="preserve"> (SRAs)</w:t>
      </w:r>
      <w:r w:rsidR="005D2222" w:rsidRPr="009650FF">
        <w:rPr>
          <w:sz w:val="28"/>
          <w:szCs w:val="28"/>
        </w:rPr>
        <w:t>, although the term ‘city improvement district’ is also often used</w:t>
      </w:r>
      <w:r w:rsidR="00832915" w:rsidRPr="009650FF">
        <w:rPr>
          <w:sz w:val="28"/>
          <w:szCs w:val="28"/>
        </w:rPr>
        <w:t>.</w:t>
      </w:r>
    </w:p>
    <w:p w14:paraId="27199931" w14:textId="4730DA05" w:rsidR="005648E9" w:rsidRPr="009650FF" w:rsidRDefault="009650FF" w:rsidP="009650FF">
      <w:pPr>
        <w:spacing w:line="360" w:lineRule="auto"/>
        <w:jc w:val="both"/>
        <w:rPr>
          <w:sz w:val="28"/>
          <w:szCs w:val="28"/>
        </w:rPr>
      </w:pPr>
      <w:r w:rsidRPr="005648E9">
        <w:rPr>
          <w:sz w:val="28"/>
          <w:szCs w:val="28"/>
        </w:rPr>
        <w:t>[2]</w:t>
      </w:r>
      <w:r w:rsidRPr="005648E9">
        <w:rPr>
          <w:sz w:val="28"/>
          <w:szCs w:val="28"/>
        </w:rPr>
        <w:tab/>
      </w:r>
      <w:r w:rsidR="005648E9" w:rsidRPr="009650FF">
        <w:rPr>
          <w:sz w:val="28"/>
          <w:szCs w:val="28"/>
        </w:rPr>
        <w:t xml:space="preserve">The appellant is the Kouga Local Municipality, which has its seat in Jeffreys Bay, Eastern Cape.  The appeal concerns the legality of the establishment by </w:t>
      </w:r>
      <w:r w:rsidR="001D7885" w:rsidRPr="009650FF">
        <w:rPr>
          <w:sz w:val="28"/>
          <w:szCs w:val="28"/>
        </w:rPr>
        <w:t>the appellant, of an SRA</w:t>
      </w:r>
      <w:r w:rsidR="005648E9" w:rsidRPr="009650FF">
        <w:rPr>
          <w:sz w:val="28"/>
          <w:szCs w:val="28"/>
        </w:rPr>
        <w:t xml:space="preserve"> in St Francis Bay.  The area demarcated for the SRA is in part of Ward 12 of the appellant’s municipal area.  </w:t>
      </w:r>
    </w:p>
    <w:p w14:paraId="1C16A334" w14:textId="103AF9B5" w:rsidR="007A62AB" w:rsidRPr="009650FF" w:rsidRDefault="009650FF" w:rsidP="009650FF">
      <w:pPr>
        <w:spacing w:line="360" w:lineRule="auto"/>
        <w:jc w:val="both"/>
        <w:rPr>
          <w:sz w:val="28"/>
          <w:szCs w:val="28"/>
        </w:rPr>
      </w:pPr>
      <w:r w:rsidRPr="005648E9">
        <w:rPr>
          <w:sz w:val="28"/>
          <w:szCs w:val="28"/>
        </w:rPr>
        <w:t>[3]</w:t>
      </w:r>
      <w:r w:rsidRPr="005648E9">
        <w:rPr>
          <w:sz w:val="28"/>
          <w:szCs w:val="28"/>
        </w:rPr>
        <w:tab/>
      </w:r>
      <w:r w:rsidR="001D7885" w:rsidRPr="009650FF">
        <w:rPr>
          <w:sz w:val="28"/>
          <w:szCs w:val="28"/>
        </w:rPr>
        <w:t>The establishment of SRA</w:t>
      </w:r>
      <w:r w:rsidR="00196156" w:rsidRPr="009650FF">
        <w:rPr>
          <w:sz w:val="28"/>
          <w:szCs w:val="28"/>
        </w:rPr>
        <w:t>s</w:t>
      </w:r>
      <w:r w:rsidR="007A62AB" w:rsidRPr="009650FF">
        <w:rPr>
          <w:sz w:val="28"/>
          <w:szCs w:val="28"/>
        </w:rPr>
        <w:t xml:space="preserve"> is regulated </w:t>
      </w:r>
      <w:r w:rsidR="006B3462" w:rsidRPr="009650FF">
        <w:rPr>
          <w:sz w:val="28"/>
          <w:szCs w:val="28"/>
        </w:rPr>
        <w:t>by</w:t>
      </w:r>
      <w:r w:rsidR="007A62AB" w:rsidRPr="009650FF">
        <w:rPr>
          <w:sz w:val="28"/>
          <w:szCs w:val="28"/>
        </w:rPr>
        <w:t xml:space="preserve"> s 22 of the Local Government:</w:t>
      </w:r>
      <w:r w:rsidR="006B3462" w:rsidRPr="009650FF">
        <w:rPr>
          <w:sz w:val="28"/>
          <w:szCs w:val="28"/>
        </w:rPr>
        <w:t xml:space="preserve"> </w:t>
      </w:r>
      <w:r w:rsidR="001D7885" w:rsidRPr="009650FF">
        <w:rPr>
          <w:sz w:val="28"/>
          <w:szCs w:val="28"/>
        </w:rPr>
        <w:t xml:space="preserve">Municipal </w:t>
      </w:r>
      <w:r w:rsidR="006B3462" w:rsidRPr="009650FF">
        <w:rPr>
          <w:sz w:val="28"/>
          <w:szCs w:val="28"/>
        </w:rPr>
        <w:t>Property Rates Act 6 of 2004 (the PRA</w:t>
      </w:r>
      <w:r w:rsidR="007A62AB" w:rsidRPr="009650FF">
        <w:rPr>
          <w:sz w:val="28"/>
          <w:szCs w:val="28"/>
        </w:rPr>
        <w:t>).</w:t>
      </w:r>
      <w:r w:rsidR="00196156" w:rsidRPr="009650FF">
        <w:rPr>
          <w:sz w:val="28"/>
          <w:szCs w:val="28"/>
        </w:rPr>
        <w:t xml:space="preserve">  This appeal turns on the import of s 22, properly construed.</w:t>
      </w:r>
      <w:r w:rsidR="005648E9" w:rsidRPr="009650FF">
        <w:rPr>
          <w:sz w:val="28"/>
          <w:szCs w:val="28"/>
        </w:rPr>
        <w:t xml:space="preserve">  The text</w:t>
      </w:r>
      <w:r w:rsidR="007A62AB" w:rsidRPr="009650FF">
        <w:rPr>
          <w:sz w:val="28"/>
          <w:szCs w:val="28"/>
        </w:rPr>
        <w:t xml:space="preserve"> provides as follows:</w:t>
      </w:r>
    </w:p>
    <w:p w14:paraId="2B7FB06C" w14:textId="77777777" w:rsidR="007A62AB" w:rsidRPr="00466F8D" w:rsidRDefault="007A62AB" w:rsidP="004D4902">
      <w:pPr>
        <w:pStyle w:val="ListParagraph"/>
        <w:keepNext/>
        <w:spacing w:line="360" w:lineRule="auto"/>
        <w:contextualSpacing w:val="0"/>
        <w:jc w:val="both"/>
      </w:pPr>
      <w:r w:rsidRPr="00466F8D">
        <w:t>‘</w:t>
      </w:r>
      <w:r w:rsidRPr="00466F8D">
        <w:rPr>
          <w:b/>
        </w:rPr>
        <w:t>Special rating areas</w:t>
      </w:r>
    </w:p>
    <w:p w14:paraId="5C9FF15B" w14:textId="77777777" w:rsidR="007A62AB" w:rsidRPr="00466F8D" w:rsidRDefault="007A62AB" w:rsidP="00126CCB">
      <w:pPr>
        <w:pStyle w:val="ListParagraph"/>
        <w:spacing w:line="360" w:lineRule="auto"/>
        <w:contextualSpacing w:val="0"/>
        <w:jc w:val="both"/>
      </w:pPr>
      <w:r w:rsidRPr="00466F8D">
        <w:t>(1) A municipality may by resolution of its council-</w:t>
      </w:r>
    </w:p>
    <w:p w14:paraId="7EFB0CE4" w14:textId="77777777" w:rsidR="007A62AB" w:rsidRPr="00466F8D" w:rsidRDefault="007A62AB" w:rsidP="00126CCB">
      <w:pPr>
        <w:pStyle w:val="ListParagraph"/>
        <w:spacing w:line="360" w:lineRule="auto"/>
        <w:contextualSpacing w:val="0"/>
        <w:jc w:val="both"/>
      </w:pPr>
      <w:r w:rsidRPr="00466F8D">
        <w:t>(</w:t>
      </w:r>
      <w:r w:rsidRPr="0093514D">
        <w:rPr>
          <w:i/>
        </w:rPr>
        <w:t>a</w:t>
      </w:r>
      <w:r w:rsidRPr="00466F8D">
        <w:t>)</w:t>
      </w:r>
      <w:r w:rsidRPr="00466F8D">
        <w:tab/>
        <w:t>determine an area within that municipality as a special rating area;</w:t>
      </w:r>
    </w:p>
    <w:p w14:paraId="002A890F" w14:textId="77777777" w:rsidR="007A62AB" w:rsidRPr="00466F8D" w:rsidRDefault="007A62AB" w:rsidP="00126CCB">
      <w:pPr>
        <w:pStyle w:val="ListParagraph"/>
        <w:spacing w:line="360" w:lineRule="auto"/>
        <w:ind w:left="1440" w:hanging="720"/>
        <w:contextualSpacing w:val="0"/>
        <w:jc w:val="both"/>
      </w:pPr>
      <w:r w:rsidRPr="00466F8D">
        <w:t>(</w:t>
      </w:r>
      <w:r w:rsidRPr="0093514D">
        <w:rPr>
          <w:i/>
        </w:rPr>
        <w:t>b</w:t>
      </w:r>
      <w:r w:rsidRPr="00466F8D">
        <w:t>)</w:t>
      </w:r>
      <w:r w:rsidRPr="00466F8D">
        <w:tab/>
        <w:t>levy an additional rate on property in that area for the purpose of raising funds for improving or upgrading that area; and</w:t>
      </w:r>
    </w:p>
    <w:p w14:paraId="7AD8AC15" w14:textId="77777777" w:rsidR="007A62AB" w:rsidRPr="00466F8D" w:rsidRDefault="00776D45" w:rsidP="00126CCB">
      <w:pPr>
        <w:pStyle w:val="ListParagraph"/>
        <w:spacing w:line="360" w:lineRule="auto"/>
        <w:ind w:left="1440" w:hanging="720"/>
        <w:contextualSpacing w:val="0"/>
        <w:jc w:val="both"/>
      </w:pPr>
      <w:r w:rsidRPr="00466F8D">
        <w:t>(</w:t>
      </w:r>
      <w:r w:rsidRPr="0093514D">
        <w:rPr>
          <w:i/>
        </w:rPr>
        <w:t>c</w:t>
      </w:r>
      <w:r w:rsidRPr="00466F8D">
        <w:t>)</w:t>
      </w:r>
      <w:r w:rsidRPr="00466F8D">
        <w:tab/>
      </w:r>
      <w:r w:rsidR="007A62AB" w:rsidRPr="00466F8D">
        <w:t>differentiate between categories of properties when levying an additional rate referred to in paragraph (b).</w:t>
      </w:r>
    </w:p>
    <w:p w14:paraId="654EA534" w14:textId="77777777" w:rsidR="007A62AB" w:rsidRPr="00466F8D" w:rsidRDefault="007A62AB" w:rsidP="00126CCB">
      <w:pPr>
        <w:pStyle w:val="ListParagraph"/>
        <w:spacing w:line="360" w:lineRule="auto"/>
        <w:contextualSpacing w:val="0"/>
        <w:jc w:val="both"/>
      </w:pPr>
      <w:r w:rsidRPr="00466F8D">
        <w:t>(2) Before determining a special rating area, a municipality must-</w:t>
      </w:r>
    </w:p>
    <w:p w14:paraId="1524A29F" w14:textId="77777777" w:rsidR="007A62AB" w:rsidRPr="00466F8D" w:rsidRDefault="00776D45" w:rsidP="00126CCB">
      <w:pPr>
        <w:pStyle w:val="ListParagraph"/>
        <w:spacing w:line="360" w:lineRule="auto"/>
        <w:contextualSpacing w:val="0"/>
        <w:jc w:val="both"/>
      </w:pPr>
      <w:r w:rsidRPr="00466F8D">
        <w:t>(</w:t>
      </w:r>
      <w:r w:rsidRPr="0093514D">
        <w:rPr>
          <w:i/>
        </w:rPr>
        <w:t>a</w:t>
      </w:r>
      <w:r w:rsidRPr="00466F8D">
        <w:t>)</w:t>
      </w:r>
      <w:r w:rsidRPr="00466F8D">
        <w:tab/>
      </w:r>
      <w:r w:rsidR="007A62AB" w:rsidRPr="00466F8D">
        <w:t>consult the local community, including on the following matters;</w:t>
      </w:r>
    </w:p>
    <w:p w14:paraId="397F625D" w14:textId="77777777" w:rsidR="007A62AB" w:rsidRPr="00466F8D" w:rsidRDefault="00776D45" w:rsidP="00126CCB">
      <w:pPr>
        <w:pStyle w:val="ListParagraph"/>
        <w:spacing w:line="360" w:lineRule="auto"/>
        <w:ind w:left="1440"/>
        <w:contextualSpacing w:val="0"/>
        <w:jc w:val="both"/>
      </w:pPr>
      <w:r w:rsidRPr="00466F8D">
        <w:t>(i)</w:t>
      </w:r>
      <w:r w:rsidRPr="00466F8D">
        <w:tab/>
      </w:r>
      <w:r w:rsidR="007A62AB" w:rsidRPr="00466F8D">
        <w:t>the proposed boundaries of the area; and</w:t>
      </w:r>
    </w:p>
    <w:p w14:paraId="66ED50E4" w14:textId="77777777" w:rsidR="007A62AB" w:rsidRPr="00466F8D" w:rsidRDefault="00776D45" w:rsidP="00126CCB">
      <w:pPr>
        <w:pStyle w:val="ListParagraph"/>
        <w:spacing w:line="360" w:lineRule="auto"/>
        <w:ind w:left="1440"/>
        <w:contextualSpacing w:val="0"/>
        <w:jc w:val="both"/>
      </w:pPr>
      <w:r w:rsidRPr="00466F8D">
        <w:t>(ii)</w:t>
      </w:r>
      <w:r w:rsidRPr="00466F8D">
        <w:tab/>
      </w:r>
      <w:r w:rsidR="007A62AB" w:rsidRPr="00466F8D">
        <w:t>the proposed improvement or upgrading of the area; and</w:t>
      </w:r>
    </w:p>
    <w:p w14:paraId="39452321" w14:textId="77777777" w:rsidR="007A62AB" w:rsidRPr="00466F8D" w:rsidRDefault="00776D45" w:rsidP="00126CCB">
      <w:pPr>
        <w:pStyle w:val="ListParagraph"/>
        <w:spacing w:line="360" w:lineRule="auto"/>
        <w:ind w:left="1440" w:hanging="720"/>
        <w:contextualSpacing w:val="0"/>
        <w:jc w:val="both"/>
      </w:pPr>
      <w:r w:rsidRPr="00466F8D">
        <w:t>(</w:t>
      </w:r>
      <w:r w:rsidRPr="0093514D">
        <w:rPr>
          <w:i/>
        </w:rPr>
        <w:t>b</w:t>
      </w:r>
      <w:r w:rsidRPr="00466F8D">
        <w:t>)</w:t>
      </w:r>
      <w:r w:rsidRPr="00466F8D">
        <w:tab/>
      </w:r>
      <w:r w:rsidR="007A62AB" w:rsidRPr="00466F8D">
        <w:t>obtain the consent of the majority of the members of the local community in the proposed special rating area who will be liable for paying the additional rate.</w:t>
      </w:r>
    </w:p>
    <w:p w14:paraId="2C617CD6" w14:textId="77777777" w:rsidR="007A62AB" w:rsidRPr="00466F8D" w:rsidRDefault="007A62AB" w:rsidP="00126CCB">
      <w:pPr>
        <w:pStyle w:val="ListParagraph"/>
        <w:spacing w:line="360" w:lineRule="auto"/>
        <w:contextualSpacing w:val="0"/>
        <w:jc w:val="both"/>
      </w:pPr>
      <w:r w:rsidRPr="00466F8D">
        <w:t>(3) When a municipality determines a special rating area, the municipality-</w:t>
      </w:r>
    </w:p>
    <w:p w14:paraId="32FEDB09" w14:textId="77777777" w:rsidR="007A62AB" w:rsidRPr="00466F8D" w:rsidRDefault="00776D45" w:rsidP="00126CCB">
      <w:pPr>
        <w:pStyle w:val="ListParagraph"/>
        <w:spacing w:line="360" w:lineRule="auto"/>
        <w:contextualSpacing w:val="0"/>
        <w:jc w:val="both"/>
      </w:pPr>
      <w:r w:rsidRPr="00466F8D">
        <w:t>(</w:t>
      </w:r>
      <w:r w:rsidRPr="0093514D">
        <w:rPr>
          <w:i/>
        </w:rPr>
        <w:t>a</w:t>
      </w:r>
      <w:r w:rsidRPr="00466F8D">
        <w:t>)</w:t>
      </w:r>
      <w:r w:rsidRPr="00466F8D">
        <w:tab/>
      </w:r>
      <w:r w:rsidR="007A62AB" w:rsidRPr="00466F8D">
        <w:t>must determine the boundaries of the area;</w:t>
      </w:r>
    </w:p>
    <w:p w14:paraId="7625B212" w14:textId="77777777" w:rsidR="007A62AB" w:rsidRPr="00466F8D" w:rsidRDefault="00776D45" w:rsidP="00126CCB">
      <w:pPr>
        <w:pStyle w:val="ListParagraph"/>
        <w:spacing w:line="360" w:lineRule="auto"/>
        <w:ind w:left="1440" w:hanging="720"/>
        <w:contextualSpacing w:val="0"/>
        <w:jc w:val="both"/>
      </w:pPr>
      <w:r w:rsidRPr="00466F8D">
        <w:t>(</w:t>
      </w:r>
      <w:r w:rsidRPr="0093514D">
        <w:rPr>
          <w:i/>
        </w:rPr>
        <w:t>b</w:t>
      </w:r>
      <w:r w:rsidRPr="00466F8D">
        <w:t>)</w:t>
      </w:r>
      <w:r w:rsidRPr="00466F8D">
        <w:tab/>
      </w:r>
      <w:r w:rsidR="007A62AB" w:rsidRPr="00466F8D">
        <w:t>must indicate how the area is to be improved or upgraded by funds derived from the additional rate;</w:t>
      </w:r>
    </w:p>
    <w:p w14:paraId="1F2D5986" w14:textId="77777777" w:rsidR="007A62AB" w:rsidRPr="00466F8D" w:rsidRDefault="00776D45" w:rsidP="00126CCB">
      <w:pPr>
        <w:pStyle w:val="ListParagraph"/>
        <w:spacing w:line="360" w:lineRule="auto"/>
        <w:contextualSpacing w:val="0"/>
        <w:jc w:val="both"/>
      </w:pPr>
      <w:r w:rsidRPr="00466F8D">
        <w:t>(</w:t>
      </w:r>
      <w:r w:rsidRPr="0093514D">
        <w:rPr>
          <w:i/>
        </w:rPr>
        <w:t>c</w:t>
      </w:r>
      <w:r w:rsidRPr="00466F8D">
        <w:t>)</w:t>
      </w:r>
      <w:r w:rsidRPr="00466F8D">
        <w:tab/>
      </w:r>
      <w:r w:rsidR="007A62AB" w:rsidRPr="00466F8D">
        <w:t>must establish separate accounting and other record-keeping systems regarding-</w:t>
      </w:r>
    </w:p>
    <w:p w14:paraId="29D01C42" w14:textId="77777777" w:rsidR="007A62AB" w:rsidRPr="00466F8D" w:rsidRDefault="00776D45" w:rsidP="00126CCB">
      <w:pPr>
        <w:pStyle w:val="ListParagraph"/>
        <w:spacing w:line="360" w:lineRule="auto"/>
        <w:ind w:left="1440"/>
        <w:contextualSpacing w:val="0"/>
        <w:jc w:val="both"/>
      </w:pPr>
      <w:r w:rsidRPr="00466F8D">
        <w:lastRenderedPageBreak/>
        <w:t>(i)</w:t>
      </w:r>
      <w:r w:rsidRPr="00466F8D">
        <w:tab/>
      </w:r>
      <w:r w:rsidR="007A62AB" w:rsidRPr="00466F8D">
        <w:t>the revenue generated by the additional rate; and</w:t>
      </w:r>
    </w:p>
    <w:p w14:paraId="2FD8DAC2" w14:textId="77777777" w:rsidR="007A62AB" w:rsidRPr="00466F8D" w:rsidRDefault="00776D45" w:rsidP="00126CCB">
      <w:pPr>
        <w:pStyle w:val="ListParagraph"/>
        <w:spacing w:line="360" w:lineRule="auto"/>
        <w:ind w:left="1440"/>
        <w:contextualSpacing w:val="0"/>
        <w:jc w:val="both"/>
      </w:pPr>
      <w:r w:rsidRPr="00466F8D">
        <w:t>(ii)</w:t>
      </w:r>
      <w:r w:rsidRPr="00466F8D">
        <w:tab/>
      </w:r>
      <w:r w:rsidR="007A62AB" w:rsidRPr="00466F8D">
        <w:t>the improvement and upgrading of the area; and</w:t>
      </w:r>
    </w:p>
    <w:p w14:paraId="2D4D0298" w14:textId="77777777" w:rsidR="007A62AB" w:rsidRPr="00466F8D" w:rsidRDefault="00776D45" w:rsidP="00126CCB">
      <w:pPr>
        <w:pStyle w:val="ListParagraph"/>
        <w:spacing w:line="360" w:lineRule="auto"/>
        <w:ind w:left="1440" w:hanging="720"/>
        <w:contextualSpacing w:val="0"/>
        <w:jc w:val="both"/>
      </w:pPr>
      <w:r w:rsidRPr="00466F8D">
        <w:t>(</w:t>
      </w:r>
      <w:r w:rsidRPr="0093514D">
        <w:rPr>
          <w:i/>
        </w:rPr>
        <w:t>d</w:t>
      </w:r>
      <w:r w:rsidRPr="00466F8D">
        <w:t>)</w:t>
      </w:r>
      <w:r w:rsidRPr="00466F8D">
        <w:tab/>
      </w:r>
      <w:r w:rsidR="007A62AB" w:rsidRPr="00466F8D">
        <w:t>may establish a committee composed of persons representing the community in the area to act as a consultative and advisory forum for the municipality on the improvement and upgrading of the area, provided representivity, including gender representivity, is taken into account when such a committee is established. Such a committee must be a subcommittee of the ward committee or committees in the area, if the municipality has a ward committee or committees in the area.</w:t>
      </w:r>
    </w:p>
    <w:p w14:paraId="7E694AF2" w14:textId="77777777" w:rsidR="007A62AB" w:rsidRPr="00466F8D" w:rsidRDefault="007A62AB" w:rsidP="00126CCB">
      <w:pPr>
        <w:pStyle w:val="ListParagraph"/>
        <w:spacing w:line="360" w:lineRule="auto"/>
        <w:contextualSpacing w:val="0"/>
        <w:jc w:val="both"/>
      </w:pPr>
      <w:r w:rsidRPr="00466F8D">
        <w:t>(4) This section may not be used to reinforce existing inequities in the development of the municipality, and any determination of a special rating area must be consistent with the objectives of the municipality's integrated development plan.</w:t>
      </w:r>
    </w:p>
    <w:p w14:paraId="286D1BEE" w14:textId="77777777" w:rsidR="007A62AB" w:rsidRPr="00466F8D" w:rsidRDefault="007A62AB" w:rsidP="00126CCB">
      <w:pPr>
        <w:pStyle w:val="ListParagraph"/>
        <w:spacing w:line="360" w:lineRule="auto"/>
        <w:contextualSpacing w:val="0"/>
        <w:jc w:val="both"/>
      </w:pPr>
      <w:r w:rsidRPr="00466F8D">
        <w:t>(5) This section must be read with section 85 of the Municipal Systems Act if this section is applied to provide funding for an internal municipal service district established in terms of that section of the Municipal Systems Act.</w:t>
      </w:r>
      <w:r w:rsidR="00776D45" w:rsidRPr="00466F8D">
        <w:t>’</w:t>
      </w:r>
    </w:p>
    <w:p w14:paraId="19A83F2C" w14:textId="28952B08" w:rsidR="007A62AB" w:rsidRPr="009650FF" w:rsidRDefault="009650FF" w:rsidP="009650FF">
      <w:pPr>
        <w:spacing w:line="360" w:lineRule="auto"/>
        <w:jc w:val="both"/>
        <w:rPr>
          <w:sz w:val="28"/>
          <w:szCs w:val="28"/>
        </w:rPr>
      </w:pPr>
      <w:r w:rsidRPr="00196156">
        <w:rPr>
          <w:sz w:val="28"/>
          <w:szCs w:val="28"/>
        </w:rPr>
        <w:t>[4]</w:t>
      </w:r>
      <w:r w:rsidRPr="00196156">
        <w:rPr>
          <w:sz w:val="28"/>
          <w:szCs w:val="28"/>
        </w:rPr>
        <w:tab/>
      </w:r>
      <w:r w:rsidR="00AE1064" w:rsidRPr="009650FF">
        <w:rPr>
          <w:sz w:val="28"/>
          <w:szCs w:val="28"/>
        </w:rPr>
        <w:t>Section</w:t>
      </w:r>
      <w:r w:rsidR="00863A93" w:rsidRPr="009650FF">
        <w:rPr>
          <w:sz w:val="28"/>
          <w:szCs w:val="28"/>
        </w:rPr>
        <w:t xml:space="preserve"> 22 falls to be </w:t>
      </w:r>
      <w:r w:rsidR="001B1F97" w:rsidRPr="009650FF">
        <w:rPr>
          <w:sz w:val="28"/>
          <w:szCs w:val="28"/>
        </w:rPr>
        <w:t>construed</w:t>
      </w:r>
      <w:r w:rsidR="00AE1064" w:rsidRPr="009650FF">
        <w:rPr>
          <w:sz w:val="28"/>
          <w:szCs w:val="28"/>
        </w:rPr>
        <w:t xml:space="preserve"> with due regard</w:t>
      </w:r>
      <w:r w:rsidR="009843AF" w:rsidRPr="009650FF">
        <w:rPr>
          <w:sz w:val="28"/>
          <w:szCs w:val="28"/>
        </w:rPr>
        <w:t xml:space="preserve"> to its context </w:t>
      </w:r>
      <w:r w:rsidR="00863A93" w:rsidRPr="009650FF">
        <w:rPr>
          <w:sz w:val="28"/>
          <w:szCs w:val="28"/>
        </w:rPr>
        <w:t>in the constitutional</w:t>
      </w:r>
      <w:r w:rsidR="009843AF" w:rsidRPr="009650FF">
        <w:rPr>
          <w:sz w:val="28"/>
          <w:szCs w:val="28"/>
        </w:rPr>
        <w:t xml:space="preserve"> </w:t>
      </w:r>
      <w:r w:rsidR="00863A93" w:rsidRPr="009650FF">
        <w:rPr>
          <w:sz w:val="28"/>
          <w:szCs w:val="28"/>
        </w:rPr>
        <w:t>scheme</w:t>
      </w:r>
      <w:r w:rsidR="00573072" w:rsidRPr="009650FF">
        <w:rPr>
          <w:sz w:val="28"/>
          <w:szCs w:val="28"/>
        </w:rPr>
        <w:t xml:space="preserve"> </w:t>
      </w:r>
      <w:r w:rsidR="00196156" w:rsidRPr="009650FF">
        <w:rPr>
          <w:sz w:val="28"/>
          <w:szCs w:val="28"/>
        </w:rPr>
        <w:t>for local government</w:t>
      </w:r>
      <w:r w:rsidR="00863A93" w:rsidRPr="009650FF">
        <w:rPr>
          <w:sz w:val="28"/>
          <w:szCs w:val="28"/>
        </w:rPr>
        <w:t xml:space="preserve">.  </w:t>
      </w:r>
      <w:r w:rsidR="00AA6830" w:rsidRPr="009650FF">
        <w:rPr>
          <w:sz w:val="28"/>
          <w:szCs w:val="28"/>
        </w:rPr>
        <w:t xml:space="preserve">A </w:t>
      </w:r>
      <w:r w:rsidR="000F35E5" w:rsidRPr="009650FF">
        <w:rPr>
          <w:sz w:val="28"/>
          <w:szCs w:val="28"/>
        </w:rPr>
        <w:t>municipality</w:t>
      </w:r>
      <w:r w:rsidR="00AA6830" w:rsidRPr="009650FF">
        <w:rPr>
          <w:sz w:val="28"/>
          <w:szCs w:val="28"/>
        </w:rPr>
        <w:t xml:space="preserve"> derives its power to levy rates on property from s 229(1</w:t>
      </w:r>
      <w:r w:rsidR="009A5A51" w:rsidRPr="009650FF">
        <w:rPr>
          <w:sz w:val="28"/>
          <w:szCs w:val="28"/>
        </w:rPr>
        <w:t>) of the Constitution</w:t>
      </w:r>
      <w:r w:rsidR="00753AD5" w:rsidRPr="009650FF">
        <w:rPr>
          <w:sz w:val="28"/>
          <w:szCs w:val="28"/>
        </w:rPr>
        <w:t>, which makes that power subject to regulation by national legislation</w:t>
      </w:r>
      <w:r w:rsidR="008B38E6" w:rsidRPr="009650FF">
        <w:rPr>
          <w:sz w:val="28"/>
          <w:szCs w:val="28"/>
        </w:rPr>
        <w:t>,</w:t>
      </w:r>
      <w:r w:rsidR="009A5A51" w:rsidRPr="009650FF">
        <w:rPr>
          <w:sz w:val="28"/>
          <w:szCs w:val="28"/>
        </w:rPr>
        <w:t xml:space="preserve"> </w:t>
      </w:r>
      <w:r w:rsidR="008B38E6" w:rsidRPr="009650FF">
        <w:rPr>
          <w:sz w:val="28"/>
          <w:szCs w:val="28"/>
        </w:rPr>
        <w:t>t</w:t>
      </w:r>
      <w:r w:rsidR="00196156" w:rsidRPr="009650FF">
        <w:rPr>
          <w:sz w:val="28"/>
          <w:szCs w:val="28"/>
        </w:rPr>
        <w:t>he PRA</w:t>
      </w:r>
      <w:r w:rsidR="008B38E6" w:rsidRPr="009650FF">
        <w:rPr>
          <w:sz w:val="28"/>
          <w:szCs w:val="28"/>
        </w:rPr>
        <w:t>.</w:t>
      </w:r>
      <w:r w:rsidR="00753AD5" w:rsidRPr="009650FF">
        <w:rPr>
          <w:sz w:val="28"/>
          <w:szCs w:val="28"/>
        </w:rPr>
        <w:t xml:space="preserve">  </w:t>
      </w:r>
      <w:r w:rsidR="009A5A51" w:rsidRPr="009650FF">
        <w:rPr>
          <w:sz w:val="28"/>
          <w:szCs w:val="28"/>
        </w:rPr>
        <w:t>Section</w:t>
      </w:r>
      <w:r w:rsidR="00AA6830" w:rsidRPr="009650FF">
        <w:rPr>
          <w:sz w:val="28"/>
          <w:szCs w:val="28"/>
        </w:rPr>
        <w:t> 2(3) of the PRA obliges municipalities to exercise their rating powers subject to the Act</w:t>
      </w:r>
      <w:r w:rsidR="009A5A51" w:rsidRPr="009650FF">
        <w:rPr>
          <w:sz w:val="28"/>
          <w:szCs w:val="28"/>
        </w:rPr>
        <w:t xml:space="preserve"> and the rates policy that every municipality is obliged</w:t>
      </w:r>
      <w:r w:rsidR="001037F7" w:rsidRPr="009650FF">
        <w:rPr>
          <w:sz w:val="28"/>
          <w:szCs w:val="28"/>
        </w:rPr>
        <w:t xml:space="preserve"> by s 3 of the Act</w:t>
      </w:r>
      <w:r w:rsidR="009A5A51" w:rsidRPr="009650FF">
        <w:rPr>
          <w:sz w:val="28"/>
          <w:szCs w:val="28"/>
        </w:rPr>
        <w:t xml:space="preserve"> to </w:t>
      </w:r>
      <w:r w:rsidR="001037F7" w:rsidRPr="009650FF">
        <w:rPr>
          <w:sz w:val="28"/>
          <w:szCs w:val="28"/>
        </w:rPr>
        <w:t>adopt</w:t>
      </w:r>
      <w:r w:rsidR="009A5A51" w:rsidRPr="009650FF">
        <w:rPr>
          <w:sz w:val="28"/>
          <w:szCs w:val="28"/>
        </w:rPr>
        <w:t>.</w:t>
      </w:r>
      <w:r w:rsidR="001037F7" w:rsidRPr="009650FF">
        <w:rPr>
          <w:sz w:val="28"/>
          <w:szCs w:val="28"/>
        </w:rPr>
        <w:t xml:space="preserve">  </w:t>
      </w:r>
      <w:r w:rsidR="005F2D2B" w:rsidRPr="009650FF">
        <w:rPr>
          <w:sz w:val="28"/>
          <w:szCs w:val="28"/>
        </w:rPr>
        <w:t>A</w:t>
      </w:r>
      <w:r w:rsidR="001037F7" w:rsidRPr="009650FF">
        <w:rPr>
          <w:sz w:val="28"/>
          <w:szCs w:val="28"/>
        </w:rPr>
        <w:t> </w:t>
      </w:r>
      <w:r w:rsidR="005F2D2B" w:rsidRPr="009650FF">
        <w:rPr>
          <w:sz w:val="28"/>
          <w:szCs w:val="28"/>
        </w:rPr>
        <w:t xml:space="preserve">municipality is required by s 6(1) of the PRA to adopt and publish by-laws, in </w:t>
      </w:r>
      <w:r w:rsidR="001037F7" w:rsidRPr="009650FF">
        <w:rPr>
          <w:sz w:val="28"/>
          <w:szCs w:val="28"/>
        </w:rPr>
        <w:t>the manner prescribed by ss </w:t>
      </w:r>
      <w:r w:rsidR="005F2D2B" w:rsidRPr="009650FF">
        <w:rPr>
          <w:sz w:val="28"/>
          <w:szCs w:val="28"/>
        </w:rPr>
        <w:t>12 and 13 of the Local Government: Mun</w:t>
      </w:r>
      <w:r w:rsidR="00BA3BDB" w:rsidRPr="009650FF">
        <w:rPr>
          <w:sz w:val="28"/>
          <w:szCs w:val="28"/>
        </w:rPr>
        <w:t>icipal Systems Act 32 of 2000 (the Systems Act</w:t>
      </w:r>
      <w:r w:rsidR="005F2D2B" w:rsidRPr="009650FF">
        <w:rPr>
          <w:sz w:val="28"/>
          <w:szCs w:val="28"/>
        </w:rPr>
        <w:t>), to give effect to its rates policy.</w:t>
      </w:r>
      <w:r w:rsidR="001B1F97" w:rsidRPr="009650FF">
        <w:rPr>
          <w:sz w:val="28"/>
          <w:szCs w:val="28"/>
        </w:rPr>
        <w:t xml:space="preserve">  Section 22 should also be understood with reference to the pertinent provisions </w:t>
      </w:r>
      <w:r w:rsidR="001B1F97" w:rsidRPr="009650FF">
        <w:rPr>
          <w:sz w:val="28"/>
          <w:szCs w:val="28"/>
        </w:rPr>
        <w:lastRenderedPageBreak/>
        <w:t>of Chapter 7 of the Constitution, especially ss 152</w:t>
      </w:r>
      <w:r w:rsidR="001B1F97" w:rsidRPr="00196156">
        <w:rPr>
          <w:rStyle w:val="FootnoteReference"/>
          <w:sz w:val="28"/>
          <w:szCs w:val="28"/>
        </w:rPr>
        <w:footnoteReference w:id="2"/>
      </w:r>
      <w:r w:rsidR="009605E0" w:rsidRPr="009650FF">
        <w:rPr>
          <w:sz w:val="28"/>
          <w:szCs w:val="28"/>
        </w:rPr>
        <w:t xml:space="preserve"> and 153</w:t>
      </w:r>
      <w:r w:rsidR="008004C2" w:rsidRPr="00196156">
        <w:rPr>
          <w:rStyle w:val="FootnoteReference"/>
          <w:sz w:val="28"/>
          <w:szCs w:val="28"/>
        </w:rPr>
        <w:footnoteReference w:id="3"/>
      </w:r>
      <w:r w:rsidR="009605E0" w:rsidRPr="009650FF">
        <w:rPr>
          <w:sz w:val="28"/>
          <w:szCs w:val="28"/>
        </w:rPr>
        <w:t xml:space="preserve"> concerning the objects of local government and the developmental duties of municipalities.</w:t>
      </w:r>
    </w:p>
    <w:p w14:paraId="668C3880" w14:textId="7B2D889A" w:rsidR="00B06FD6" w:rsidRPr="009650FF" w:rsidRDefault="009650FF" w:rsidP="009650FF">
      <w:pPr>
        <w:spacing w:line="360" w:lineRule="auto"/>
        <w:jc w:val="both"/>
        <w:rPr>
          <w:sz w:val="28"/>
          <w:szCs w:val="28"/>
        </w:rPr>
      </w:pPr>
      <w:r w:rsidRPr="00196156">
        <w:rPr>
          <w:sz w:val="28"/>
          <w:szCs w:val="28"/>
        </w:rPr>
        <w:t>[5]</w:t>
      </w:r>
      <w:r w:rsidRPr="00196156">
        <w:rPr>
          <w:sz w:val="28"/>
          <w:szCs w:val="28"/>
        </w:rPr>
        <w:tab/>
      </w:r>
      <w:r w:rsidR="005F2D2B" w:rsidRPr="009650FF">
        <w:rPr>
          <w:sz w:val="28"/>
          <w:szCs w:val="28"/>
        </w:rPr>
        <w:t xml:space="preserve">On 19 </w:t>
      </w:r>
      <w:r w:rsidR="005040F1" w:rsidRPr="009650FF">
        <w:rPr>
          <w:sz w:val="28"/>
          <w:szCs w:val="28"/>
        </w:rPr>
        <w:t>December 2017, the appellant’s municipal council adopted an amendment to its rates policy</w:t>
      </w:r>
      <w:r w:rsidR="00A276B3" w:rsidRPr="009650FF">
        <w:rPr>
          <w:sz w:val="28"/>
          <w:szCs w:val="28"/>
        </w:rPr>
        <w:t xml:space="preserve"> and passed a new by</w:t>
      </w:r>
      <w:r w:rsidR="001037F7" w:rsidRPr="009650FF">
        <w:rPr>
          <w:sz w:val="28"/>
          <w:szCs w:val="28"/>
        </w:rPr>
        <w:t>-</w:t>
      </w:r>
      <w:r w:rsidR="00A276B3" w:rsidRPr="009650FF">
        <w:rPr>
          <w:sz w:val="28"/>
          <w:szCs w:val="28"/>
        </w:rPr>
        <w:t>law</w:t>
      </w:r>
      <w:r w:rsidR="00D24409" w:rsidRPr="009650FF">
        <w:rPr>
          <w:sz w:val="28"/>
          <w:szCs w:val="28"/>
        </w:rPr>
        <w:t xml:space="preserve"> to give</w:t>
      </w:r>
      <w:r w:rsidR="00B93F64" w:rsidRPr="009650FF">
        <w:rPr>
          <w:sz w:val="28"/>
          <w:szCs w:val="28"/>
        </w:rPr>
        <w:t xml:space="preserve"> effect</w:t>
      </w:r>
      <w:r w:rsidR="00D24409" w:rsidRPr="009650FF">
        <w:rPr>
          <w:sz w:val="28"/>
          <w:szCs w:val="28"/>
        </w:rPr>
        <w:t xml:space="preserve"> to it</w:t>
      </w:r>
      <w:r w:rsidR="00B93F64" w:rsidRPr="009650FF">
        <w:rPr>
          <w:sz w:val="28"/>
          <w:szCs w:val="28"/>
        </w:rPr>
        <w:t>.</w:t>
      </w:r>
      <w:r w:rsidR="005040F1" w:rsidRPr="009650FF">
        <w:rPr>
          <w:sz w:val="28"/>
          <w:szCs w:val="28"/>
        </w:rPr>
        <w:t xml:space="preserve"> </w:t>
      </w:r>
      <w:r w:rsidR="00B93F64" w:rsidRPr="009650FF">
        <w:rPr>
          <w:sz w:val="28"/>
          <w:szCs w:val="28"/>
        </w:rPr>
        <w:t xml:space="preserve"> </w:t>
      </w:r>
      <w:r w:rsidR="005040F1" w:rsidRPr="009650FF">
        <w:rPr>
          <w:sz w:val="28"/>
          <w:szCs w:val="28"/>
        </w:rPr>
        <w:t>The amendment to the policy introduced</w:t>
      </w:r>
      <w:r w:rsidR="001037F7" w:rsidRPr="009650FF">
        <w:rPr>
          <w:sz w:val="28"/>
          <w:szCs w:val="28"/>
        </w:rPr>
        <w:t>, in paragraph 23,</w:t>
      </w:r>
      <w:r w:rsidR="005040F1" w:rsidRPr="009650FF">
        <w:rPr>
          <w:sz w:val="28"/>
          <w:szCs w:val="28"/>
        </w:rPr>
        <w:t xml:space="preserve"> a provision that Part A of the policy would ‘apply to Special Rating Areas as envisaged in Section 22 of the [PRA]’</w:t>
      </w:r>
      <w:r w:rsidR="00D503CC" w:rsidRPr="009650FF">
        <w:rPr>
          <w:sz w:val="28"/>
          <w:szCs w:val="28"/>
        </w:rPr>
        <w:t xml:space="preserve">.  </w:t>
      </w:r>
      <w:r w:rsidR="00F8438A" w:rsidRPr="009650FF">
        <w:rPr>
          <w:sz w:val="28"/>
          <w:szCs w:val="28"/>
        </w:rPr>
        <w:t>The new by</w:t>
      </w:r>
      <w:r w:rsidR="001037F7" w:rsidRPr="009650FF">
        <w:rPr>
          <w:sz w:val="28"/>
          <w:szCs w:val="28"/>
        </w:rPr>
        <w:t>-</w:t>
      </w:r>
      <w:r w:rsidR="00F8438A" w:rsidRPr="009650FF">
        <w:rPr>
          <w:sz w:val="28"/>
          <w:szCs w:val="28"/>
        </w:rPr>
        <w:t>law was gazetted on 29 December 2017.</w:t>
      </w:r>
    </w:p>
    <w:p w14:paraId="2C606536" w14:textId="00183F23" w:rsidR="00B06FD6" w:rsidRPr="009650FF" w:rsidRDefault="009650FF" w:rsidP="009650FF">
      <w:pPr>
        <w:spacing w:line="360" w:lineRule="auto"/>
        <w:jc w:val="both"/>
        <w:rPr>
          <w:sz w:val="28"/>
          <w:szCs w:val="28"/>
        </w:rPr>
      </w:pPr>
      <w:r w:rsidRPr="00196156">
        <w:rPr>
          <w:sz w:val="28"/>
          <w:szCs w:val="28"/>
        </w:rPr>
        <w:t>[6]</w:t>
      </w:r>
      <w:r w:rsidRPr="00196156">
        <w:rPr>
          <w:sz w:val="28"/>
          <w:szCs w:val="28"/>
        </w:rPr>
        <w:tab/>
      </w:r>
      <w:r w:rsidR="00D503CC" w:rsidRPr="009650FF">
        <w:rPr>
          <w:sz w:val="28"/>
          <w:szCs w:val="28"/>
        </w:rPr>
        <w:t xml:space="preserve">The declared object of Part A </w:t>
      </w:r>
      <w:r w:rsidR="00B93F64" w:rsidRPr="009650FF">
        <w:rPr>
          <w:sz w:val="28"/>
          <w:szCs w:val="28"/>
        </w:rPr>
        <w:t xml:space="preserve">of the rates policy </w:t>
      </w:r>
      <w:r w:rsidR="00466F8D" w:rsidRPr="009650FF">
        <w:rPr>
          <w:sz w:val="28"/>
          <w:szCs w:val="28"/>
        </w:rPr>
        <w:t>i</w:t>
      </w:r>
      <w:r w:rsidR="00D503CC" w:rsidRPr="009650FF">
        <w:rPr>
          <w:sz w:val="28"/>
          <w:szCs w:val="28"/>
        </w:rPr>
        <w:t xml:space="preserve">s ‘to provide a framework and procedure under which </w:t>
      </w:r>
      <w:r w:rsidR="00C12E8A" w:rsidRPr="009650FF">
        <w:rPr>
          <w:sz w:val="28"/>
          <w:szCs w:val="28"/>
        </w:rPr>
        <w:t>o</w:t>
      </w:r>
      <w:r w:rsidR="00D503CC" w:rsidRPr="009650FF">
        <w:rPr>
          <w:sz w:val="28"/>
          <w:szCs w:val="28"/>
        </w:rPr>
        <w:t xml:space="preserve">wners of </w:t>
      </w:r>
      <w:r w:rsidR="00C12E8A" w:rsidRPr="009650FF">
        <w:rPr>
          <w:sz w:val="28"/>
          <w:szCs w:val="28"/>
        </w:rPr>
        <w:t>p</w:t>
      </w:r>
      <w:r w:rsidR="00D503CC" w:rsidRPr="009650FF">
        <w:rPr>
          <w:sz w:val="28"/>
          <w:szCs w:val="28"/>
        </w:rPr>
        <w:t xml:space="preserve">roperties within the jurisdiction of the Municipality can initiate the establishment of </w:t>
      </w:r>
      <w:r w:rsidR="00BA3BDB" w:rsidRPr="009650FF">
        <w:rPr>
          <w:sz w:val="28"/>
          <w:szCs w:val="28"/>
        </w:rPr>
        <w:t>[</w:t>
      </w:r>
      <w:r w:rsidR="00D503CC" w:rsidRPr="009650FF">
        <w:rPr>
          <w:sz w:val="28"/>
          <w:szCs w:val="28"/>
        </w:rPr>
        <w:t>an</w:t>
      </w:r>
      <w:r w:rsidR="00BA3BDB" w:rsidRPr="009650FF">
        <w:rPr>
          <w:sz w:val="28"/>
          <w:szCs w:val="28"/>
        </w:rPr>
        <w:t>]</w:t>
      </w:r>
      <w:r w:rsidR="00D503CC" w:rsidRPr="009650FF">
        <w:rPr>
          <w:sz w:val="28"/>
          <w:szCs w:val="28"/>
        </w:rPr>
        <w:t xml:space="preserve"> SRA and undertake the improvement or upgrading </w:t>
      </w:r>
      <w:r w:rsidR="00CB06B7" w:rsidRPr="009650FF">
        <w:rPr>
          <w:sz w:val="28"/>
          <w:szCs w:val="28"/>
        </w:rPr>
        <w:t xml:space="preserve">of the SRA funded by additional rates to be levied on the SRA Properties by the Municipality, subject to an acceptable </w:t>
      </w:r>
      <w:r w:rsidR="005D1AA2" w:rsidRPr="009650FF">
        <w:rPr>
          <w:sz w:val="28"/>
          <w:szCs w:val="28"/>
        </w:rPr>
        <w:t>a</w:t>
      </w:r>
      <w:r w:rsidR="00CB06B7" w:rsidRPr="009650FF">
        <w:rPr>
          <w:sz w:val="28"/>
          <w:szCs w:val="28"/>
        </w:rPr>
        <w:t xml:space="preserve">greement being concluded between the Municipality and a </w:t>
      </w:r>
      <w:r w:rsidR="00C12E8A" w:rsidRPr="009650FF">
        <w:rPr>
          <w:sz w:val="28"/>
          <w:szCs w:val="28"/>
        </w:rPr>
        <w:t>m</w:t>
      </w:r>
      <w:r w:rsidR="00CB06B7" w:rsidRPr="009650FF">
        <w:rPr>
          <w:sz w:val="28"/>
          <w:szCs w:val="28"/>
        </w:rPr>
        <w:t xml:space="preserve">anagement </w:t>
      </w:r>
      <w:r w:rsidR="00C12E8A" w:rsidRPr="009650FF">
        <w:rPr>
          <w:sz w:val="28"/>
          <w:szCs w:val="28"/>
        </w:rPr>
        <w:t>b</w:t>
      </w:r>
      <w:r w:rsidR="00CB06B7" w:rsidRPr="009650FF">
        <w:rPr>
          <w:sz w:val="28"/>
          <w:szCs w:val="28"/>
        </w:rPr>
        <w:t xml:space="preserve">ody to be established by the </w:t>
      </w:r>
      <w:r w:rsidR="00C12E8A" w:rsidRPr="009650FF">
        <w:rPr>
          <w:sz w:val="28"/>
          <w:szCs w:val="28"/>
        </w:rPr>
        <w:t>o</w:t>
      </w:r>
      <w:r w:rsidR="00CB06B7" w:rsidRPr="009650FF">
        <w:rPr>
          <w:sz w:val="28"/>
          <w:szCs w:val="28"/>
        </w:rPr>
        <w:t xml:space="preserve">wners of the SRA Properties’.  </w:t>
      </w:r>
      <w:r w:rsidR="00CE35CA" w:rsidRPr="009650FF">
        <w:rPr>
          <w:sz w:val="28"/>
          <w:szCs w:val="28"/>
        </w:rPr>
        <w:t>‘Management Body’</w:t>
      </w:r>
      <w:r w:rsidR="00466F8D" w:rsidRPr="009650FF">
        <w:rPr>
          <w:sz w:val="28"/>
          <w:szCs w:val="28"/>
        </w:rPr>
        <w:t xml:space="preserve"> i</w:t>
      </w:r>
      <w:r w:rsidR="00CE35CA" w:rsidRPr="009650FF">
        <w:rPr>
          <w:sz w:val="28"/>
          <w:szCs w:val="28"/>
        </w:rPr>
        <w:t xml:space="preserve">s specially defined to mean ‘the management body of </w:t>
      </w:r>
      <w:r w:rsidR="00F65282" w:rsidRPr="009650FF">
        <w:rPr>
          <w:sz w:val="28"/>
          <w:szCs w:val="28"/>
        </w:rPr>
        <w:t>[</w:t>
      </w:r>
      <w:r w:rsidR="00CE35CA" w:rsidRPr="009650FF">
        <w:rPr>
          <w:sz w:val="28"/>
          <w:szCs w:val="28"/>
        </w:rPr>
        <w:t>an</w:t>
      </w:r>
      <w:r w:rsidR="00F65282" w:rsidRPr="009650FF">
        <w:rPr>
          <w:sz w:val="28"/>
          <w:szCs w:val="28"/>
        </w:rPr>
        <w:t>]</w:t>
      </w:r>
      <w:r w:rsidR="00CE35CA" w:rsidRPr="009650FF">
        <w:rPr>
          <w:sz w:val="28"/>
          <w:szCs w:val="28"/>
        </w:rPr>
        <w:t xml:space="preserve"> SRA which shall only be a Non-Profit Company established in terms of the </w:t>
      </w:r>
      <w:r w:rsidR="00437DAD" w:rsidRPr="009650FF">
        <w:rPr>
          <w:sz w:val="28"/>
          <w:szCs w:val="28"/>
        </w:rPr>
        <w:t>Companies Act 71 of 2008’.</w:t>
      </w:r>
    </w:p>
    <w:p w14:paraId="686A4F13" w14:textId="689B9BA9" w:rsidR="00AE1064" w:rsidRPr="009650FF" w:rsidRDefault="009650FF" w:rsidP="009650FF">
      <w:pPr>
        <w:spacing w:line="360" w:lineRule="auto"/>
        <w:jc w:val="both"/>
        <w:rPr>
          <w:sz w:val="28"/>
          <w:szCs w:val="28"/>
        </w:rPr>
      </w:pPr>
      <w:r w:rsidRPr="005D1AA2">
        <w:rPr>
          <w:sz w:val="28"/>
          <w:szCs w:val="28"/>
        </w:rPr>
        <w:t>[7]</w:t>
      </w:r>
      <w:r w:rsidRPr="005D1AA2">
        <w:rPr>
          <w:sz w:val="28"/>
          <w:szCs w:val="28"/>
        </w:rPr>
        <w:tab/>
      </w:r>
      <w:r w:rsidR="00AE1064" w:rsidRPr="009650FF">
        <w:rPr>
          <w:sz w:val="28"/>
          <w:szCs w:val="28"/>
        </w:rPr>
        <w:t xml:space="preserve">The St Francis Property Owners Association, which is the second respondent in the appeal, submitted an application to the appellant on 23 February 2018 for the establishment of an SRA in a demarcated area </w:t>
      </w:r>
      <w:r w:rsidR="009605E0" w:rsidRPr="009650FF">
        <w:rPr>
          <w:sz w:val="28"/>
          <w:szCs w:val="28"/>
        </w:rPr>
        <w:t>of St Francis Bay</w:t>
      </w:r>
      <w:r w:rsidR="00AE1064" w:rsidRPr="009650FF">
        <w:rPr>
          <w:sz w:val="28"/>
          <w:szCs w:val="28"/>
        </w:rPr>
        <w:t>.</w:t>
      </w:r>
      <w:r w:rsidR="00AE1064" w:rsidRPr="00196156">
        <w:rPr>
          <w:rStyle w:val="FootnoteReference"/>
          <w:sz w:val="28"/>
          <w:szCs w:val="28"/>
        </w:rPr>
        <w:footnoteReference w:id="4"/>
      </w:r>
      <w:r w:rsidR="00AE1064" w:rsidRPr="009650FF">
        <w:rPr>
          <w:sz w:val="28"/>
          <w:szCs w:val="28"/>
        </w:rPr>
        <w:t xml:space="preserve">  The application was supported by a majority of the affected ratepayers. </w:t>
      </w:r>
      <w:r w:rsidR="00466F8D" w:rsidRPr="009650FF">
        <w:rPr>
          <w:sz w:val="28"/>
          <w:szCs w:val="28"/>
        </w:rPr>
        <w:t xml:space="preserve">The demarcated area, </w:t>
      </w:r>
      <w:r w:rsidR="005D1AA2" w:rsidRPr="009650FF">
        <w:rPr>
          <w:sz w:val="28"/>
          <w:szCs w:val="28"/>
        </w:rPr>
        <w:t>which include</w:t>
      </w:r>
      <w:r w:rsidR="00013DAC" w:rsidRPr="009650FF">
        <w:rPr>
          <w:sz w:val="28"/>
          <w:szCs w:val="28"/>
        </w:rPr>
        <w:t>s</w:t>
      </w:r>
      <w:r w:rsidR="005D1AA2" w:rsidRPr="009650FF">
        <w:rPr>
          <w:sz w:val="28"/>
          <w:szCs w:val="28"/>
        </w:rPr>
        <w:t xml:space="preserve"> </w:t>
      </w:r>
      <w:r w:rsidR="00514893" w:rsidRPr="009650FF">
        <w:rPr>
          <w:sz w:val="28"/>
          <w:szCs w:val="28"/>
        </w:rPr>
        <w:t xml:space="preserve">a system of </w:t>
      </w:r>
      <w:r w:rsidR="005D1AA2" w:rsidRPr="009650FF">
        <w:rPr>
          <w:sz w:val="28"/>
          <w:szCs w:val="28"/>
        </w:rPr>
        <w:t>artificially created</w:t>
      </w:r>
      <w:r w:rsidR="00AE1064" w:rsidRPr="009650FF">
        <w:rPr>
          <w:sz w:val="28"/>
          <w:szCs w:val="28"/>
        </w:rPr>
        <w:t xml:space="preserve"> </w:t>
      </w:r>
      <w:r w:rsidR="00E64B23" w:rsidRPr="009650FF">
        <w:rPr>
          <w:sz w:val="28"/>
          <w:szCs w:val="28"/>
        </w:rPr>
        <w:t>c</w:t>
      </w:r>
      <w:r w:rsidR="00AE1064" w:rsidRPr="009650FF">
        <w:rPr>
          <w:sz w:val="28"/>
          <w:szCs w:val="28"/>
        </w:rPr>
        <w:t>anals</w:t>
      </w:r>
      <w:r w:rsidR="00514893" w:rsidRPr="009650FF">
        <w:rPr>
          <w:sz w:val="28"/>
          <w:szCs w:val="28"/>
        </w:rPr>
        <w:t xml:space="preserve"> between the properties</w:t>
      </w:r>
      <w:r w:rsidR="00AE1064" w:rsidRPr="009650FF">
        <w:rPr>
          <w:sz w:val="28"/>
          <w:szCs w:val="28"/>
        </w:rPr>
        <w:t xml:space="preserve">, is protected from the erosive and potentially flooding effects </w:t>
      </w:r>
      <w:r w:rsidR="007C77D8" w:rsidRPr="009650FF">
        <w:rPr>
          <w:sz w:val="28"/>
          <w:szCs w:val="28"/>
        </w:rPr>
        <w:t xml:space="preserve">of </w:t>
      </w:r>
      <w:r w:rsidR="00AE1064" w:rsidRPr="009650FF">
        <w:rPr>
          <w:sz w:val="28"/>
          <w:szCs w:val="28"/>
        </w:rPr>
        <w:t xml:space="preserve">the adjoining Indian Ocean by a spit of beach sand.  </w:t>
      </w:r>
      <w:r w:rsidR="00E64B23" w:rsidRPr="009650FF">
        <w:rPr>
          <w:sz w:val="28"/>
          <w:szCs w:val="28"/>
        </w:rPr>
        <w:t>T</w:t>
      </w:r>
      <w:r w:rsidR="00AE1064" w:rsidRPr="009650FF">
        <w:rPr>
          <w:sz w:val="28"/>
          <w:szCs w:val="28"/>
        </w:rPr>
        <w:t>he spit had</w:t>
      </w:r>
      <w:r w:rsidR="007C77D8" w:rsidRPr="009650FF">
        <w:rPr>
          <w:sz w:val="28"/>
          <w:szCs w:val="28"/>
        </w:rPr>
        <w:t>,</w:t>
      </w:r>
      <w:r w:rsidR="009F1A51" w:rsidRPr="009650FF">
        <w:rPr>
          <w:sz w:val="28"/>
          <w:szCs w:val="28"/>
        </w:rPr>
        <w:t xml:space="preserve"> </w:t>
      </w:r>
      <w:r w:rsidR="00E64B23" w:rsidRPr="009650FF">
        <w:rPr>
          <w:sz w:val="28"/>
          <w:szCs w:val="28"/>
        </w:rPr>
        <w:t>f</w:t>
      </w:r>
      <w:r w:rsidR="009F1A51" w:rsidRPr="009650FF">
        <w:rPr>
          <w:sz w:val="28"/>
          <w:szCs w:val="28"/>
        </w:rPr>
        <w:t>or several years</w:t>
      </w:r>
      <w:r w:rsidR="007C77D8" w:rsidRPr="009650FF">
        <w:rPr>
          <w:sz w:val="28"/>
          <w:szCs w:val="28"/>
        </w:rPr>
        <w:t>,</w:t>
      </w:r>
      <w:r w:rsidR="00526629" w:rsidRPr="009650FF">
        <w:rPr>
          <w:sz w:val="28"/>
          <w:szCs w:val="28"/>
        </w:rPr>
        <w:t xml:space="preserve"> been diminishing</w:t>
      </w:r>
      <w:r w:rsidR="00AE1064" w:rsidRPr="009650FF">
        <w:rPr>
          <w:sz w:val="28"/>
          <w:szCs w:val="28"/>
        </w:rPr>
        <w:t xml:space="preserve"> in extent</w:t>
      </w:r>
      <w:r w:rsidR="009F1A51" w:rsidRPr="009650FF">
        <w:rPr>
          <w:sz w:val="28"/>
          <w:szCs w:val="28"/>
        </w:rPr>
        <w:t xml:space="preserve"> due to the forces of nature</w:t>
      </w:r>
      <w:r w:rsidR="00AE1064" w:rsidRPr="009650FF">
        <w:rPr>
          <w:sz w:val="28"/>
          <w:szCs w:val="28"/>
        </w:rPr>
        <w:t xml:space="preserve">.  Many property owners in </w:t>
      </w:r>
      <w:r w:rsidR="009F1A51" w:rsidRPr="009650FF">
        <w:rPr>
          <w:sz w:val="28"/>
          <w:szCs w:val="28"/>
        </w:rPr>
        <w:t>the area were concerned</w:t>
      </w:r>
      <w:r w:rsidR="00E64B23" w:rsidRPr="009650FF">
        <w:rPr>
          <w:sz w:val="28"/>
          <w:szCs w:val="28"/>
        </w:rPr>
        <w:t xml:space="preserve"> </w:t>
      </w:r>
      <w:r w:rsidR="009F1A51" w:rsidRPr="009650FF">
        <w:rPr>
          <w:sz w:val="28"/>
          <w:szCs w:val="28"/>
        </w:rPr>
        <w:t>that the spit’s</w:t>
      </w:r>
      <w:r w:rsidR="00AE1064" w:rsidRPr="009650FF">
        <w:rPr>
          <w:sz w:val="28"/>
          <w:szCs w:val="28"/>
        </w:rPr>
        <w:t xml:space="preserve"> </w:t>
      </w:r>
      <w:r w:rsidR="00526629" w:rsidRPr="009650FF">
        <w:rPr>
          <w:sz w:val="28"/>
          <w:szCs w:val="28"/>
        </w:rPr>
        <w:t xml:space="preserve">likely eventual </w:t>
      </w:r>
      <w:r w:rsidR="00AE1064" w:rsidRPr="009650FF">
        <w:rPr>
          <w:sz w:val="28"/>
          <w:szCs w:val="28"/>
        </w:rPr>
        <w:t>disappearance</w:t>
      </w:r>
      <w:r w:rsidR="009F1A51" w:rsidRPr="009650FF">
        <w:rPr>
          <w:sz w:val="28"/>
          <w:szCs w:val="28"/>
        </w:rPr>
        <w:t xml:space="preserve"> </w:t>
      </w:r>
      <w:r w:rsidR="00AE1064" w:rsidRPr="009650FF">
        <w:rPr>
          <w:sz w:val="28"/>
          <w:szCs w:val="28"/>
        </w:rPr>
        <w:t>would expose their prope</w:t>
      </w:r>
      <w:r w:rsidR="007358A4" w:rsidRPr="009650FF">
        <w:rPr>
          <w:sz w:val="28"/>
          <w:szCs w:val="28"/>
        </w:rPr>
        <w:t xml:space="preserve">rties to </w:t>
      </w:r>
      <w:r w:rsidR="00C249E7" w:rsidRPr="009650FF">
        <w:rPr>
          <w:sz w:val="28"/>
          <w:szCs w:val="28"/>
        </w:rPr>
        <w:t>flooding</w:t>
      </w:r>
      <w:r w:rsidR="00BD7C79" w:rsidRPr="009650FF">
        <w:rPr>
          <w:sz w:val="28"/>
          <w:szCs w:val="28"/>
        </w:rPr>
        <w:t xml:space="preserve"> and other damage</w:t>
      </w:r>
      <w:r w:rsidR="00AE1064" w:rsidRPr="009650FF">
        <w:rPr>
          <w:sz w:val="28"/>
          <w:szCs w:val="28"/>
        </w:rPr>
        <w:t>.  The municipality acknowledged the p</w:t>
      </w:r>
      <w:r w:rsidR="0016662E" w:rsidRPr="009650FF">
        <w:rPr>
          <w:sz w:val="28"/>
          <w:szCs w:val="28"/>
        </w:rPr>
        <w:t>roblem</w:t>
      </w:r>
      <w:r w:rsidR="00AE1064" w:rsidRPr="009650FF">
        <w:rPr>
          <w:sz w:val="28"/>
          <w:szCs w:val="28"/>
        </w:rPr>
        <w:t xml:space="preserve"> but was constrained to confess that i</w:t>
      </w:r>
      <w:r w:rsidR="00343869" w:rsidRPr="009650FF">
        <w:rPr>
          <w:sz w:val="28"/>
          <w:szCs w:val="28"/>
        </w:rPr>
        <w:t>t lacked the financial wherewithal</w:t>
      </w:r>
      <w:r w:rsidR="00AE1064" w:rsidRPr="009650FF">
        <w:rPr>
          <w:sz w:val="28"/>
          <w:szCs w:val="28"/>
        </w:rPr>
        <w:t xml:space="preserve"> </w:t>
      </w:r>
      <w:r w:rsidR="009F1A51" w:rsidRPr="009650FF">
        <w:rPr>
          <w:sz w:val="28"/>
          <w:szCs w:val="28"/>
        </w:rPr>
        <w:t xml:space="preserve">to </w:t>
      </w:r>
      <w:r w:rsidR="00AE1064" w:rsidRPr="009650FF">
        <w:rPr>
          <w:sz w:val="28"/>
          <w:szCs w:val="28"/>
        </w:rPr>
        <w:t>undertake effective measures to protect and restore the spit and the adjoining beach.</w:t>
      </w:r>
    </w:p>
    <w:p w14:paraId="5168727A" w14:textId="51A0DE75" w:rsidR="00AE1064" w:rsidRPr="009650FF" w:rsidRDefault="009650FF" w:rsidP="009650FF">
      <w:pPr>
        <w:spacing w:line="360" w:lineRule="auto"/>
        <w:jc w:val="both"/>
        <w:rPr>
          <w:sz w:val="28"/>
          <w:szCs w:val="28"/>
        </w:rPr>
      </w:pPr>
      <w:r w:rsidRPr="00196156">
        <w:rPr>
          <w:sz w:val="28"/>
          <w:szCs w:val="28"/>
        </w:rPr>
        <w:t>[8]</w:t>
      </w:r>
      <w:r w:rsidRPr="00196156">
        <w:rPr>
          <w:sz w:val="28"/>
          <w:szCs w:val="28"/>
        </w:rPr>
        <w:tab/>
      </w:r>
      <w:r w:rsidR="00AE1064" w:rsidRPr="009650FF">
        <w:rPr>
          <w:sz w:val="28"/>
          <w:szCs w:val="28"/>
        </w:rPr>
        <w:t>The second respondent’s primar</w:t>
      </w:r>
      <w:r w:rsidR="00343869" w:rsidRPr="009650FF">
        <w:rPr>
          <w:sz w:val="28"/>
          <w:szCs w:val="28"/>
        </w:rPr>
        <w:t>y object in seeking to have</w:t>
      </w:r>
      <w:r w:rsidR="00AE1064" w:rsidRPr="009650FF">
        <w:rPr>
          <w:sz w:val="28"/>
          <w:szCs w:val="28"/>
        </w:rPr>
        <w:t xml:space="preserve"> an SRA</w:t>
      </w:r>
      <w:r w:rsidR="00343869" w:rsidRPr="009650FF">
        <w:rPr>
          <w:sz w:val="28"/>
          <w:szCs w:val="28"/>
        </w:rPr>
        <w:t xml:space="preserve"> established by the municipality</w:t>
      </w:r>
      <w:r w:rsidR="00AE1064" w:rsidRPr="009650FF">
        <w:rPr>
          <w:sz w:val="28"/>
          <w:szCs w:val="28"/>
        </w:rPr>
        <w:t xml:space="preserve"> was to raise the necessary funding to address the perceived danger and create the mechanism through which </w:t>
      </w:r>
      <w:r w:rsidR="00343869" w:rsidRPr="009650FF">
        <w:rPr>
          <w:sz w:val="28"/>
          <w:szCs w:val="28"/>
        </w:rPr>
        <w:t>that might be achiev</w:t>
      </w:r>
      <w:r w:rsidR="00AE1064" w:rsidRPr="009650FF">
        <w:rPr>
          <w:sz w:val="28"/>
          <w:szCs w:val="28"/>
        </w:rPr>
        <w:t xml:space="preserve">ed.  The other objects of the intended SRA were the improved maintenance of the </w:t>
      </w:r>
      <w:r w:rsidR="007358A4" w:rsidRPr="009650FF">
        <w:rPr>
          <w:sz w:val="28"/>
          <w:szCs w:val="28"/>
        </w:rPr>
        <w:t xml:space="preserve">municipal </w:t>
      </w:r>
      <w:r w:rsidR="00AE1064" w:rsidRPr="009650FF">
        <w:rPr>
          <w:sz w:val="28"/>
          <w:szCs w:val="28"/>
        </w:rPr>
        <w:t>road network and the installation and maintenance of a CCTV security camera network in the demarcated area.</w:t>
      </w:r>
    </w:p>
    <w:p w14:paraId="2EFCA5B6" w14:textId="58CB0770" w:rsidR="00AE1064" w:rsidRPr="009650FF" w:rsidRDefault="009650FF" w:rsidP="009650FF">
      <w:pPr>
        <w:spacing w:line="360" w:lineRule="auto"/>
        <w:jc w:val="both"/>
        <w:rPr>
          <w:sz w:val="28"/>
          <w:szCs w:val="28"/>
        </w:rPr>
      </w:pPr>
      <w:r w:rsidRPr="00196156">
        <w:rPr>
          <w:sz w:val="28"/>
          <w:szCs w:val="28"/>
        </w:rPr>
        <w:t>[9]</w:t>
      </w:r>
      <w:r w:rsidRPr="00196156">
        <w:rPr>
          <w:sz w:val="28"/>
          <w:szCs w:val="28"/>
        </w:rPr>
        <w:tab/>
      </w:r>
      <w:r w:rsidR="00AE1064" w:rsidRPr="009650FF">
        <w:rPr>
          <w:sz w:val="28"/>
          <w:szCs w:val="28"/>
        </w:rPr>
        <w:t>The third respondent i</w:t>
      </w:r>
      <w:r w:rsidR="00343869" w:rsidRPr="009650FF">
        <w:rPr>
          <w:sz w:val="28"/>
          <w:szCs w:val="28"/>
        </w:rPr>
        <w:t>s St Francis Property Owners NPC</w:t>
      </w:r>
      <w:r w:rsidR="00AE1064" w:rsidRPr="009650FF">
        <w:rPr>
          <w:sz w:val="28"/>
          <w:szCs w:val="28"/>
        </w:rPr>
        <w:t>, a non-profit company established in terms of the Companies Act, 2008.  The company was set up at the instance of the second respondent during 2016, when it was initially sought to establish an SRA in the area</w:t>
      </w:r>
      <w:r w:rsidR="0016662E" w:rsidRPr="009650FF">
        <w:rPr>
          <w:sz w:val="28"/>
          <w:szCs w:val="28"/>
        </w:rPr>
        <w:t>,</w:t>
      </w:r>
      <w:r w:rsidR="00AE1064" w:rsidRPr="009650FF">
        <w:rPr>
          <w:sz w:val="28"/>
          <w:szCs w:val="28"/>
        </w:rPr>
        <w:t xml:space="preserve"> </w:t>
      </w:r>
      <w:r w:rsidR="0016662E" w:rsidRPr="009650FF">
        <w:rPr>
          <w:sz w:val="28"/>
          <w:szCs w:val="28"/>
        </w:rPr>
        <w:t>as</w:t>
      </w:r>
      <w:r w:rsidR="00AE1064" w:rsidRPr="009650FF">
        <w:rPr>
          <w:sz w:val="28"/>
          <w:szCs w:val="28"/>
        </w:rPr>
        <w:t xml:space="preserve"> the management body of the</w:t>
      </w:r>
      <w:r w:rsidR="00526629" w:rsidRPr="009650FF">
        <w:rPr>
          <w:sz w:val="28"/>
          <w:szCs w:val="28"/>
        </w:rPr>
        <w:t xml:space="preserve"> proposed</w:t>
      </w:r>
      <w:r w:rsidR="00AE1064" w:rsidRPr="009650FF">
        <w:rPr>
          <w:sz w:val="28"/>
          <w:szCs w:val="28"/>
        </w:rPr>
        <w:t xml:space="preserve"> SRA.  The initial endeavour was frustrated because it became apparent that majority support from </w:t>
      </w:r>
      <w:r w:rsidR="007358A4" w:rsidRPr="009650FF">
        <w:rPr>
          <w:sz w:val="28"/>
          <w:szCs w:val="28"/>
        </w:rPr>
        <w:t xml:space="preserve">the </w:t>
      </w:r>
      <w:r w:rsidR="00AE1064" w:rsidRPr="009650FF">
        <w:rPr>
          <w:sz w:val="28"/>
          <w:szCs w:val="28"/>
        </w:rPr>
        <w:t xml:space="preserve">owners in the larger area of Ward </w:t>
      </w:r>
      <w:r w:rsidR="00526629" w:rsidRPr="009650FF">
        <w:rPr>
          <w:sz w:val="28"/>
          <w:szCs w:val="28"/>
        </w:rPr>
        <w:t>would not be ob</w:t>
      </w:r>
      <w:r w:rsidR="00AE1064" w:rsidRPr="009650FF">
        <w:rPr>
          <w:sz w:val="28"/>
          <w:szCs w:val="28"/>
        </w:rPr>
        <w:t>tainable</w:t>
      </w:r>
      <w:r w:rsidR="00514893" w:rsidRPr="009650FF">
        <w:rPr>
          <w:sz w:val="28"/>
          <w:szCs w:val="28"/>
        </w:rPr>
        <w:t xml:space="preserve"> and</w:t>
      </w:r>
      <w:r w:rsidR="00AE1064" w:rsidRPr="009650FF">
        <w:rPr>
          <w:sz w:val="28"/>
          <w:szCs w:val="28"/>
        </w:rPr>
        <w:t xml:space="preserve"> that the appell</w:t>
      </w:r>
      <w:r w:rsidR="00343869" w:rsidRPr="009650FF">
        <w:rPr>
          <w:sz w:val="28"/>
          <w:szCs w:val="28"/>
        </w:rPr>
        <w:t>ant’s rates policy did not make</w:t>
      </w:r>
      <w:r w:rsidR="00AE1064" w:rsidRPr="009650FF">
        <w:rPr>
          <w:sz w:val="28"/>
          <w:szCs w:val="28"/>
        </w:rPr>
        <w:t xml:space="preserve"> pro</w:t>
      </w:r>
      <w:r w:rsidR="00C55CAB" w:rsidRPr="009650FF">
        <w:rPr>
          <w:sz w:val="28"/>
          <w:szCs w:val="28"/>
        </w:rPr>
        <w:t xml:space="preserve">vision for SRAs.  </w:t>
      </w:r>
      <w:r w:rsidR="00AE1064" w:rsidRPr="009650FF">
        <w:rPr>
          <w:sz w:val="28"/>
          <w:szCs w:val="28"/>
        </w:rPr>
        <w:t xml:space="preserve">The third respondent was again utilised as the proposed management body for the purpose of the application submitted by the second respondent to the municipality in February 2018.  </w:t>
      </w:r>
      <w:r w:rsidR="00343869" w:rsidRPr="009650FF">
        <w:rPr>
          <w:sz w:val="28"/>
          <w:szCs w:val="28"/>
        </w:rPr>
        <w:t>T</w:t>
      </w:r>
      <w:r w:rsidR="00AE1064" w:rsidRPr="009650FF">
        <w:rPr>
          <w:sz w:val="28"/>
          <w:szCs w:val="28"/>
        </w:rPr>
        <w:t>he in</w:t>
      </w:r>
      <w:r w:rsidR="009F1A51" w:rsidRPr="009650FF">
        <w:rPr>
          <w:sz w:val="28"/>
          <w:szCs w:val="28"/>
        </w:rPr>
        <w:t>sertion</w:t>
      </w:r>
      <w:r w:rsidR="00AE1064" w:rsidRPr="009650FF">
        <w:rPr>
          <w:sz w:val="28"/>
          <w:szCs w:val="28"/>
        </w:rPr>
        <w:t xml:space="preserve"> of Part A </w:t>
      </w:r>
      <w:r w:rsidR="009F1A51" w:rsidRPr="009650FF">
        <w:rPr>
          <w:sz w:val="28"/>
          <w:szCs w:val="28"/>
        </w:rPr>
        <w:t>into</w:t>
      </w:r>
      <w:r w:rsidR="00AE1064" w:rsidRPr="009650FF">
        <w:rPr>
          <w:sz w:val="28"/>
          <w:szCs w:val="28"/>
        </w:rPr>
        <w:t xml:space="preserve"> </w:t>
      </w:r>
      <w:r w:rsidR="00343869" w:rsidRPr="009650FF">
        <w:rPr>
          <w:sz w:val="28"/>
          <w:szCs w:val="28"/>
        </w:rPr>
        <w:t>the appellant’s rates policy appears to have been</w:t>
      </w:r>
      <w:r w:rsidR="00AE1064" w:rsidRPr="009650FF">
        <w:rPr>
          <w:sz w:val="28"/>
          <w:szCs w:val="28"/>
        </w:rPr>
        <w:t xml:space="preserve"> precipitated by the appreciation that a framework was required for the municipality to be able to process and determine the second respondent’s application.</w:t>
      </w:r>
    </w:p>
    <w:p w14:paraId="2D6E0678" w14:textId="547A3CA4" w:rsidR="0080174C" w:rsidRPr="009650FF" w:rsidRDefault="009650FF" w:rsidP="009650FF">
      <w:pPr>
        <w:spacing w:line="360" w:lineRule="auto"/>
        <w:jc w:val="both"/>
        <w:rPr>
          <w:sz w:val="28"/>
          <w:szCs w:val="28"/>
        </w:rPr>
      </w:pPr>
      <w:r w:rsidRPr="00196156">
        <w:rPr>
          <w:sz w:val="28"/>
          <w:szCs w:val="28"/>
        </w:rPr>
        <w:t>[10]</w:t>
      </w:r>
      <w:r w:rsidRPr="00196156">
        <w:rPr>
          <w:sz w:val="28"/>
          <w:szCs w:val="28"/>
        </w:rPr>
        <w:tab/>
      </w:r>
      <w:r w:rsidR="0080174C" w:rsidRPr="009650FF">
        <w:rPr>
          <w:sz w:val="28"/>
          <w:szCs w:val="28"/>
        </w:rPr>
        <w:t xml:space="preserve">After the completion of a process, which the </w:t>
      </w:r>
      <w:r w:rsidR="00343869" w:rsidRPr="009650FF">
        <w:rPr>
          <w:sz w:val="28"/>
          <w:szCs w:val="28"/>
        </w:rPr>
        <w:t xml:space="preserve">appellant’s </w:t>
      </w:r>
      <w:r w:rsidR="0080174C" w:rsidRPr="009650FF">
        <w:rPr>
          <w:sz w:val="28"/>
          <w:szCs w:val="28"/>
        </w:rPr>
        <w:t>municipal council was satisfied complied with the prescribed requirements in Part A of the rates policy, the council acceded to the application for the establishment of the SRA, with the third respondent being confirmed as the area’s management body.  The council decision to approve the establishment of the SRA was made at a special sitting on 23 May 2018</w:t>
      </w:r>
      <w:r w:rsidR="00CD4664" w:rsidRPr="009650FF">
        <w:rPr>
          <w:sz w:val="28"/>
          <w:szCs w:val="28"/>
        </w:rPr>
        <w:t xml:space="preserve">, </w:t>
      </w:r>
      <w:r w:rsidR="0080174C" w:rsidRPr="009650FF">
        <w:rPr>
          <w:sz w:val="28"/>
          <w:szCs w:val="28"/>
        </w:rPr>
        <w:t xml:space="preserve">convened so that </w:t>
      </w:r>
      <w:r w:rsidR="00B10D62" w:rsidRPr="009650FF">
        <w:rPr>
          <w:sz w:val="28"/>
          <w:szCs w:val="28"/>
        </w:rPr>
        <w:t xml:space="preserve">the establishment of the SRA could be accommodated in the municipality’s budget for the financial year commencing on 1 July 2018.  As a result of the decision, a special rate </w:t>
      </w:r>
      <w:r w:rsidR="00836EAA" w:rsidRPr="009650FF">
        <w:rPr>
          <w:sz w:val="28"/>
          <w:szCs w:val="28"/>
        </w:rPr>
        <w:t>amounting to a surcharge of 25 percent on</w:t>
      </w:r>
      <w:r w:rsidR="00B10D62" w:rsidRPr="009650FF">
        <w:rPr>
          <w:sz w:val="28"/>
          <w:szCs w:val="28"/>
        </w:rPr>
        <w:t xml:space="preserve"> the normal rate has been levied by the appellant on the owners of property in the demarcated area</w:t>
      </w:r>
      <w:r w:rsidR="00C73641" w:rsidRPr="009650FF">
        <w:rPr>
          <w:sz w:val="28"/>
          <w:szCs w:val="28"/>
        </w:rPr>
        <w:t xml:space="preserve"> with effect from 1</w:t>
      </w:r>
      <w:r w:rsidR="009F1A51" w:rsidRPr="009650FF">
        <w:rPr>
          <w:sz w:val="28"/>
          <w:szCs w:val="28"/>
        </w:rPr>
        <w:t> </w:t>
      </w:r>
      <w:r w:rsidR="00C73641" w:rsidRPr="009650FF">
        <w:rPr>
          <w:sz w:val="28"/>
          <w:szCs w:val="28"/>
        </w:rPr>
        <w:t>July 2018</w:t>
      </w:r>
      <w:r w:rsidR="00B10D62" w:rsidRPr="009650FF">
        <w:rPr>
          <w:sz w:val="28"/>
          <w:szCs w:val="28"/>
        </w:rPr>
        <w:t>.</w:t>
      </w:r>
    </w:p>
    <w:p w14:paraId="70FAEAC7" w14:textId="34D56ED3" w:rsidR="00C73641" w:rsidRPr="009650FF" w:rsidRDefault="009650FF" w:rsidP="009650FF">
      <w:pPr>
        <w:spacing w:line="360" w:lineRule="auto"/>
        <w:jc w:val="both"/>
        <w:rPr>
          <w:sz w:val="28"/>
          <w:szCs w:val="28"/>
        </w:rPr>
      </w:pPr>
      <w:r w:rsidRPr="00196156">
        <w:rPr>
          <w:sz w:val="28"/>
          <w:szCs w:val="28"/>
        </w:rPr>
        <w:t>[11]</w:t>
      </w:r>
      <w:r w:rsidRPr="00196156">
        <w:rPr>
          <w:sz w:val="28"/>
          <w:szCs w:val="28"/>
        </w:rPr>
        <w:tab/>
      </w:r>
      <w:r w:rsidR="00C73641" w:rsidRPr="009650FF">
        <w:rPr>
          <w:sz w:val="28"/>
          <w:szCs w:val="28"/>
        </w:rPr>
        <w:t>On 26 September 2018, a newly constituted body called the St Francis Bay (Ward 12) Concerned Residents’ Association</w:t>
      </w:r>
      <w:r w:rsidR="00C73641" w:rsidRPr="00196156">
        <w:rPr>
          <w:rStyle w:val="FootnoteReference"/>
          <w:sz w:val="28"/>
          <w:szCs w:val="28"/>
        </w:rPr>
        <w:footnoteReference w:id="5"/>
      </w:r>
      <w:r w:rsidR="00C73641" w:rsidRPr="009650FF">
        <w:rPr>
          <w:sz w:val="28"/>
          <w:szCs w:val="28"/>
        </w:rPr>
        <w:t xml:space="preserve"> </w:t>
      </w:r>
      <w:r w:rsidR="00BE749E" w:rsidRPr="009650FF">
        <w:rPr>
          <w:sz w:val="28"/>
          <w:szCs w:val="28"/>
        </w:rPr>
        <w:t xml:space="preserve">(the first respondent) </w:t>
      </w:r>
      <w:r w:rsidR="00C73641" w:rsidRPr="009650FF">
        <w:rPr>
          <w:sz w:val="28"/>
          <w:szCs w:val="28"/>
        </w:rPr>
        <w:t xml:space="preserve">instituted an application in the High Court to set aside the decision by the appellant’s municipal council to establish the SRA.  Ward 12 extends well beyond the </w:t>
      </w:r>
      <w:r w:rsidR="006874EF" w:rsidRPr="009650FF">
        <w:rPr>
          <w:sz w:val="28"/>
          <w:szCs w:val="28"/>
        </w:rPr>
        <w:t>pr</w:t>
      </w:r>
      <w:r w:rsidR="00175D51" w:rsidRPr="009650FF">
        <w:rPr>
          <w:sz w:val="28"/>
          <w:szCs w:val="28"/>
        </w:rPr>
        <w:t>edominantly</w:t>
      </w:r>
      <w:r w:rsidR="006874EF" w:rsidRPr="009650FF">
        <w:rPr>
          <w:sz w:val="28"/>
          <w:szCs w:val="28"/>
        </w:rPr>
        <w:t xml:space="preserve"> affluent </w:t>
      </w:r>
      <w:r w:rsidR="00C73641" w:rsidRPr="009650FF">
        <w:rPr>
          <w:sz w:val="28"/>
          <w:szCs w:val="28"/>
        </w:rPr>
        <w:t>area demarcated for the SRA. The first respondent’s papers did not disclose what proportion of its membership is comprised of owners or residents within that part of Ward 12 demarcated for the SRA</w:t>
      </w:r>
      <w:r w:rsidR="009068B6" w:rsidRPr="009650FF">
        <w:rPr>
          <w:sz w:val="28"/>
          <w:szCs w:val="28"/>
        </w:rPr>
        <w:t>,</w:t>
      </w:r>
      <w:r w:rsidR="00C73641" w:rsidRPr="009650FF">
        <w:rPr>
          <w:sz w:val="28"/>
          <w:szCs w:val="28"/>
        </w:rPr>
        <w:t xml:space="preserve"> as distinct from those owning property or living in the part</w:t>
      </w:r>
      <w:r w:rsidR="009068B6" w:rsidRPr="009650FF">
        <w:rPr>
          <w:sz w:val="28"/>
          <w:szCs w:val="28"/>
        </w:rPr>
        <w:t>s of the ward outside the SRA.</w:t>
      </w:r>
    </w:p>
    <w:p w14:paraId="650DD58B" w14:textId="1D9588A3" w:rsidR="00C73641" w:rsidRPr="009650FF" w:rsidRDefault="009650FF" w:rsidP="009650FF">
      <w:pPr>
        <w:keepNext/>
        <w:spacing w:line="360" w:lineRule="auto"/>
        <w:jc w:val="both"/>
        <w:rPr>
          <w:sz w:val="28"/>
          <w:szCs w:val="28"/>
        </w:rPr>
      </w:pPr>
      <w:r w:rsidRPr="00196156">
        <w:rPr>
          <w:sz w:val="28"/>
          <w:szCs w:val="28"/>
        </w:rPr>
        <w:t>[12]</w:t>
      </w:r>
      <w:r w:rsidRPr="00196156">
        <w:rPr>
          <w:sz w:val="28"/>
          <w:szCs w:val="28"/>
        </w:rPr>
        <w:tab/>
      </w:r>
      <w:r w:rsidR="00C73641" w:rsidRPr="009650FF">
        <w:rPr>
          <w:sz w:val="28"/>
          <w:szCs w:val="28"/>
        </w:rPr>
        <w:t>The first respondent sought the following substantive relief from the court:</w:t>
      </w:r>
    </w:p>
    <w:p w14:paraId="5EC61C12" w14:textId="0F3C56D7" w:rsidR="00C73641" w:rsidRPr="009650FF" w:rsidRDefault="009650FF" w:rsidP="009650FF">
      <w:pPr>
        <w:spacing w:line="360" w:lineRule="auto"/>
        <w:ind w:left="720" w:hanging="360"/>
        <w:jc w:val="both"/>
        <w:rPr>
          <w:sz w:val="28"/>
          <w:szCs w:val="28"/>
        </w:rPr>
      </w:pPr>
      <w:r w:rsidRPr="00196156">
        <w:rPr>
          <w:sz w:val="28"/>
          <w:szCs w:val="28"/>
        </w:rPr>
        <w:t>1.</w:t>
      </w:r>
      <w:r w:rsidRPr="00196156">
        <w:rPr>
          <w:sz w:val="28"/>
          <w:szCs w:val="28"/>
        </w:rPr>
        <w:tab/>
      </w:r>
      <w:r w:rsidR="00836EAA" w:rsidRPr="009650FF">
        <w:rPr>
          <w:sz w:val="28"/>
          <w:szCs w:val="28"/>
        </w:rPr>
        <w:t>An order t</w:t>
      </w:r>
      <w:r w:rsidR="00C73641" w:rsidRPr="009650FF">
        <w:rPr>
          <w:sz w:val="28"/>
          <w:szCs w:val="28"/>
        </w:rPr>
        <w:t xml:space="preserve">hat Part A of the municipality’s rates policy be declared ‘unconstitutional </w:t>
      </w:r>
      <w:r w:rsidR="00C73641" w:rsidRPr="009650FF">
        <w:rPr>
          <w:i/>
          <w:sz w:val="28"/>
          <w:szCs w:val="28"/>
        </w:rPr>
        <w:t>as being in conflict with section 22</w:t>
      </w:r>
      <w:r w:rsidR="00C73641" w:rsidRPr="009650FF">
        <w:rPr>
          <w:sz w:val="28"/>
          <w:szCs w:val="28"/>
        </w:rPr>
        <w:t xml:space="preserve"> of the [PRA]’.  (</w:t>
      </w:r>
      <w:r w:rsidR="00BE749E" w:rsidRPr="009650FF">
        <w:rPr>
          <w:sz w:val="28"/>
          <w:szCs w:val="28"/>
        </w:rPr>
        <w:t>Emphasis</w:t>
      </w:r>
      <w:r w:rsidR="00C73641" w:rsidRPr="009650FF">
        <w:rPr>
          <w:sz w:val="28"/>
          <w:szCs w:val="28"/>
        </w:rPr>
        <w:t xml:space="preserve"> supplied.)</w:t>
      </w:r>
    </w:p>
    <w:p w14:paraId="712FD1ED" w14:textId="336A5B74" w:rsidR="00C73641" w:rsidRPr="009650FF" w:rsidRDefault="009650FF" w:rsidP="009650FF">
      <w:pPr>
        <w:spacing w:line="360" w:lineRule="auto"/>
        <w:ind w:left="720" w:hanging="360"/>
        <w:jc w:val="both"/>
        <w:rPr>
          <w:sz w:val="28"/>
          <w:szCs w:val="28"/>
        </w:rPr>
      </w:pPr>
      <w:r w:rsidRPr="00196156">
        <w:rPr>
          <w:sz w:val="28"/>
          <w:szCs w:val="28"/>
        </w:rPr>
        <w:t>2.</w:t>
      </w:r>
      <w:r w:rsidRPr="00196156">
        <w:rPr>
          <w:sz w:val="28"/>
          <w:szCs w:val="28"/>
        </w:rPr>
        <w:tab/>
      </w:r>
      <w:r w:rsidR="00C73641" w:rsidRPr="009650FF">
        <w:rPr>
          <w:sz w:val="28"/>
          <w:szCs w:val="28"/>
        </w:rPr>
        <w:t>An order that the decision of the municipal manager or other municipal officials to permit the second and/or third respondents to conduct and manage the process in respect of which the decision to declare the special rating area was made be reviewed and set aside; alternatively, that the failure of the municipality’s officials to conduct and manage the process be reviewed and set aside.</w:t>
      </w:r>
    </w:p>
    <w:p w14:paraId="529566CF" w14:textId="7B807563" w:rsidR="00C73641" w:rsidRPr="009650FF" w:rsidRDefault="009650FF" w:rsidP="009650FF">
      <w:pPr>
        <w:spacing w:line="360" w:lineRule="auto"/>
        <w:ind w:left="720" w:hanging="360"/>
        <w:jc w:val="both"/>
        <w:rPr>
          <w:sz w:val="28"/>
          <w:szCs w:val="28"/>
        </w:rPr>
      </w:pPr>
      <w:r w:rsidRPr="00196156">
        <w:rPr>
          <w:sz w:val="28"/>
          <w:szCs w:val="28"/>
        </w:rPr>
        <w:t>3.</w:t>
      </w:r>
      <w:r w:rsidRPr="00196156">
        <w:rPr>
          <w:sz w:val="28"/>
          <w:szCs w:val="28"/>
        </w:rPr>
        <w:tab/>
      </w:r>
      <w:r w:rsidR="00C73641" w:rsidRPr="009650FF">
        <w:rPr>
          <w:sz w:val="28"/>
          <w:szCs w:val="28"/>
        </w:rPr>
        <w:t>An order that the decision of the municipal council on 23 May 2018 to declare the special rates area be reviewed and set aside, alternatively be declared to have been unlawful and void.</w:t>
      </w:r>
      <w:r w:rsidR="00836EAA">
        <w:rPr>
          <w:rStyle w:val="FootnoteReference"/>
          <w:sz w:val="28"/>
          <w:szCs w:val="28"/>
        </w:rPr>
        <w:footnoteReference w:id="6"/>
      </w:r>
    </w:p>
    <w:p w14:paraId="4895FAD3" w14:textId="77777777" w:rsidR="00C73641" w:rsidRPr="00196156" w:rsidRDefault="00C73641" w:rsidP="00126CCB">
      <w:pPr>
        <w:pStyle w:val="ListParagraph"/>
        <w:spacing w:line="360" w:lineRule="auto"/>
        <w:ind w:left="0"/>
        <w:contextualSpacing w:val="0"/>
        <w:jc w:val="both"/>
        <w:rPr>
          <w:sz w:val="28"/>
          <w:szCs w:val="28"/>
        </w:rPr>
      </w:pPr>
      <w:r w:rsidRPr="00196156">
        <w:rPr>
          <w:sz w:val="28"/>
          <w:szCs w:val="28"/>
        </w:rPr>
        <w:t xml:space="preserve">The appellant opposed the application.  The matter was argued before Mjali J, who granted an order against the municipality in the terms sought in the notice of motion.  The appeal comes to this Court with leave granted by the </w:t>
      </w:r>
      <w:r w:rsidR="00836EAA">
        <w:rPr>
          <w:sz w:val="28"/>
          <w:szCs w:val="28"/>
        </w:rPr>
        <w:t>court</w:t>
      </w:r>
      <w:r w:rsidRPr="00196156">
        <w:rPr>
          <w:sz w:val="28"/>
          <w:szCs w:val="28"/>
        </w:rPr>
        <w:t xml:space="preserve"> a quo.</w:t>
      </w:r>
    </w:p>
    <w:p w14:paraId="259D89D6" w14:textId="74FF5D4F" w:rsidR="00A15D41" w:rsidRPr="009650FF" w:rsidRDefault="009650FF" w:rsidP="009650FF">
      <w:pPr>
        <w:spacing w:line="360" w:lineRule="auto"/>
        <w:jc w:val="both"/>
        <w:rPr>
          <w:sz w:val="28"/>
          <w:szCs w:val="28"/>
        </w:rPr>
      </w:pPr>
      <w:r>
        <w:rPr>
          <w:sz w:val="28"/>
          <w:szCs w:val="28"/>
        </w:rPr>
        <w:t>[13]</w:t>
      </w:r>
      <w:r>
        <w:rPr>
          <w:sz w:val="28"/>
          <w:szCs w:val="28"/>
        </w:rPr>
        <w:tab/>
      </w:r>
      <w:r w:rsidR="00450D87" w:rsidRPr="009650FF">
        <w:rPr>
          <w:sz w:val="28"/>
          <w:szCs w:val="28"/>
        </w:rPr>
        <w:t xml:space="preserve">The conceptual premise upon which the relief was sought by </w:t>
      </w:r>
      <w:r w:rsidR="00514893" w:rsidRPr="009650FF">
        <w:rPr>
          <w:sz w:val="28"/>
          <w:szCs w:val="28"/>
        </w:rPr>
        <w:t xml:space="preserve">the </w:t>
      </w:r>
      <w:r w:rsidR="00450D87" w:rsidRPr="009650FF">
        <w:rPr>
          <w:sz w:val="28"/>
          <w:szCs w:val="28"/>
        </w:rPr>
        <w:t>first respondent was what it contends to be</w:t>
      </w:r>
      <w:r w:rsidR="007C77D8" w:rsidRPr="009650FF">
        <w:rPr>
          <w:sz w:val="28"/>
          <w:szCs w:val="28"/>
        </w:rPr>
        <w:t xml:space="preserve"> the</w:t>
      </w:r>
      <w:r w:rsidR="00450D87" w:rsidRPr="009650FF">
        <w:rPr>
          <w:sz w:val="28"/>
          <w:szCs w:val="28"/>
        </w:rPr>
        <w:t xml:space="preserve"> import of s 22 of the PRA, properly interpreted.  </w:t>
      </w:r>
      <w:r w:rsidR="00836EAA" w:rsidRPr="009650FF">
        <w:rPr>
          <w:sz w:val="28"/>
          <w:szCs w:val="28"/>
        </w:rPr>
        <w:t>The first respondent</w:t>
      </w:r>
      <w:r w:rsidR="00450D87" w:rsidRPr="009650FF">
        <w:rPr>
          <w:sz w:val="28"/>
          <w:szCs w:val="28"/>
        </w:rPr>
        <w:t xml:space="preserve"> contended that as s 22 of the PRA empowered </w:t>
      </w:r>
      <w:r w:rsidR="00450D87" w:rsidRPr="009650FF">
        <w:rPr>
          <w:i/>
          <w:sz w:val="28"/>
          <w:szCs w:val="28"/>
        </w:rPr>
        <w:t>the municipality</w:t>
      </w:r>
      <w:r w:rsidR="00450D87" w:rsidRPr="009650FF">
        <w:rPr>
          <w:sz w:val="28"/>
          <w:szCs w:val="28"/>
        </w:rPr>
        <w:t xml:space="preserve"> to establish special rating areas, it was therefore only </w:t>
      </w:r>
      <w:r w:rsidR="00450D87" w:rsidRPr="009650FF">
        <w:rPr>
          <w:i/>
          <w:sz w:val="28"/>
          <w:szCs w:val="28"/>
        </w:rPr>
        <w:t>the</w:t>
      </w:r>
      <w:r w:rsidR="00450D87" w:rsidRPr="009650FF">
        <w:rPr>
          <w:sz w:val="28"/>
          <w:szCs w:val="28"/>
        </w:rPr>
        <w:t xml:space="preserve"> </w:t>
      </w:r>
      <w:r w:rsidR="00450D87" w:rsidRPr="009650FF">
        <w:rPr>
          <w:i/>
          <w:sz w:val="28"/>
          <w:szCs w:val="28"/>
        </w:rPr>
        <w:t>municipality</w:t>
      </w:r>
      <w:r w:rsidR="00450D87" w:rsidRPr="009650FF">
        <w:rPr>
          <w:sz w:val="28"/>
          <w:szCs w:val="28"/>
        </w:rPr>
        <w:t>,</w:t>
      </w:r>
      <w:r w:rsidR="00450D87" w:rsidRPr="009650FF">
        <w:rPr>
          <w:i/>
          <w:sz w:val="28"/>
          <w:szCs w:val="28"/>
        </w:rPr>
        <w:t xml:space="preserve"> </w:t>
      </w:r>
      <w:r w:rsidR="00450D87" w:rsidRPr="009650FF">
        <w:rPr>
          <w:sz w:val="28"/>
          <w:szCs w:val="28"/>
        </w:rPr>
        <w:t xml:space="preserve">and nobody else, that could initiate and run the process leading up to the establishment of such areas. </w:t>
      </w:r>
    </w:p>
    <w:p w14:paraId="1862521B" w14:textId="77E4A8A7" w:rsidR="00450D87" w:rsidRPr="009650FF" w:rsidRDefault="009650FF" w:rsidP="009650FF">
      <w:pPr>
        <w:spacing w:line="360" w:lineRule="auto"/>
        <w:jc w:val="both"/>
        <w:rPr>
          <w:sz w:val="28"/>
          <w:szCs w:val="28"/>
        </w:rPr>
      </w:pPr>
      <w:r w:rsidRPr="0006256C">
        <w:rPr>
          <w:sz w:val="28"/>
          <w:szCs w:val="28"/>
        </w:rPr>
        <w:t>[14]</w:t>
      </w:r>
      <w:r w:rsidRPr="0006256C">
        <w:rPr>
          <w:sz w:val="28"/>
          <w:szCs w:val="28"/>
        </w:rPr>
        <w:tab/>
      </w:r>
      <w:r w:rsidR="00450D87" w:rsidRPr="009650FF">
        <w:rPr>
          <w:sz w:val="28"/>
          <w:szCs w:val="28"/>
        </w:rPr>
        <w:t>If the argument were sound, it would have to follow that Part A</w:t>
      </w:r>
      <w:r w:rsidR="004D4902" w:rsidRPr="009650FF">
        <w:rPr>
          <w:sz w:val="28"/>
          <w:szCs w:val="28"/>
        </w:rPr>
        <w:t xml:space="preserve"> of the appellant’s rates policy</w:t>
      </w:r>
      <w:r w:rsidR="007C77D8" w:rsidRPr="009650FF">
        <w:rPr>
          <w:sz w:val="28"/>
          <w:szCs w:val="28"/>
        </w:rPr>
        <w:t xml:space="preserve"> was void by reason of its</w:t>
      </w:r>
      <w:r w:rsidR="00450D87" w:rsidRPr="009650FF">
        <w:rPr>
          <w:sz w:val="28"/>
          <w:szCs w:val="28"/>
        </w:rPr>
        <w:t xml:space="preserve"> inconsiste</w:t>
      </w:r>
      <w:r w:rsidR="007C77D8" w:rsidRPr="009650FF">
        <w:rPr>
          <w:sz w:val="28"/>
          <w:szCs w:val="28"/>
        </w:rPr>
        <w:t>ncy with the enabling provision.</w:t>
      </w:r>
      <w:r w:rsidR="00450D87" w:rsidRPr="009650FF">
        <w:rPr>
          <w:sz w:val="28"/>
          <w:szCs w:val="28"/>
        </w:rPr>
        <w:t xml:space="preserve"> </w:t>
      </w:r>
      <w:r w:rsidR="007C77D8" w:rsidRPr="009650FF">
        <w:rPr>
          <w:sz w:val="28"/>
          <w:szCs w:val="28"/>
        </w:rPr>
        <w:t>A</w:t>
      </w:r>
      <w:r w:rsidR="00450D87" w:rsidRPr="009650FF">
        <w:rPr>
          <w:sz w:val="28"/>
          <w:szCs w:val="28"/>
        </w:rPr>
        <w:t xml:space="preserve">ny decision of the municipal council following upon the process conducted by the second respondent in accordance with the framework provided by Part A would </w:t>
      </w:r>
      <w:r w:rsidR="00A05365" w:rsidRPr="009650FF">
        <w:rPr>
          <w:sz w:val="28"/>
          <w:szCs w:val="28"/>
        </w:rPr>
        <w:t xml:space="preserve">then </w:t>
      </w:r>
      <w:r w:rsidR="00450D87" w:rsidRPr="009650FF">
        <w:rPr>
          <w:sz w:val="28"/>
          <w:szCs w:val="28"/>
        </w:rPr>
        <w:t xml:space="preserve">fall to be vitiated because it was taken in terms of a </w:t>
      </w:r>
      <w:r w:rsidR="0081084C" w:rsidRPr="009650FF">
        <w:rPr>
          <w:sz w:val="28"/>
          <w:szCs w:val="28"/>
        </w:rPr>
        <w:t xml:space="preserve">legally </w:t>
      </w:r>
      <w:r w:rsidR="00A05365" w:rsidRPr="009650FF">
        <w:rPr>
          <w:sz w:val="28"/>
          <w:szCs w:val="28"/>
        </w:rPr>
        <w:t>invalid</w:t>
      </w:r>
      <w:r w:rsidR="00450D87" w:rsidRPr="009650FF">
        <w:rPr>
          <w:sz w:val="28"/>
          <w:szCs w:val="28"/>
        </w:rPr>
        <w:t xml:space="preserve"> policy.  The municipality would be unable to lawfully levy special rates</w:t>
      </w:r>
      <w:r w:rsidR="00A05365" w:rsidRPr="009650FF">
        <w:rPr>
          <w:sz w:val="28"/>
          <w:szCs w:val="28"/>
        </w:rPr>
        <w:t>,</w:t>
      </w:r>
      <w:r w:rsidR="00450D87" w:rsidRPr="009650FF">
        <w:rPr>
          <w:sz w:val="28"/>
          <w:szCs w:val="28"/>
        </w:rPr>
        <w:t xml:space="preserve"> if that were done in terms of a rates policy that was void in relevant part.</w:t>
      </w:r>
      <w:r w:rsidR="00762069" w:rsidRPr="009650FF">
        <w:rPr>
          <w:sz w:val="28"/>
          <w:szCs w:val="28"/>
        </w:rPr>
        <w:t xml:space="preserve">  </w:t>
      </w:r>
      <w:r w:rsidR="00494881" w:rsidRPr="009650FF">
        <w:rPr>
          <w:sz w:val="28"/>
          <w:szCs w:val="28"/>
        </w:rPr>
        <w:t>Were the first respondent to have made out a case that Part A was void, t</w:t>
      </w:r>
      <w:r w:rsidR="00762069" w:rsidRPr="009650FF">
        <w:rPr>
          <w:sz w:val="28"/>
          <w:szCs w:val="28"/>
        </w:rPr>
        <w:t>he second and third of the aforementioned heads of relief would accordingly fall to be granted consequentially</w:t>
      </w:r>
      <w:r w:rsidR="00494881" w:rsidRPr="009650FF">
        <w:rPr>
          <w:sz w:val="28"/>
          <w:szCs w:val="28"/>
        </w:rPr>
        <w:t>;</w:t>
      </w:r>
      <w:r w:rsidR="00762069" w:rsidRPr="009650FF">
        <w:rPr>
          <w:sz w:val="28"/>
          <w:szCs w:val="28"/>
        </w:rPr>
        <w:t xml:space="preserve"> </w:t>
      </w:r>
      <w:r w:rsidR="00803860" w:rsidRPr="009650FF">
        <w:rPr>
          <w:i/>
          <w:sz w:val="28"/>
          <w:szCs w:val="28"/>
        </w:rPr>
        <w:t>aliter</w:t>
      </w:r>
      <w:r w:rsidR="00494881" w:rsidRPr="009650FF">
        <w:rPr>
          <w:sz w:val="28"/>
          <w:szCs w:val="28"/>
        </w:rPr>
        <w:t>,</w:t>
      </w:r>
      <w:r w:rsidR="00803860" w:rsidRPr="009650FF">
        <w:rPr>
          <w:sz w:val="28"/>
          <w:szCs w:val="28"/>
        </w:rPr>
        <w:t xml:space="preserve"> if it had not.</w:t>
      </w:r>
    </w:p>
    <w:p w14:paraId="0EF4A5C3" w14:textId="51F3FF04" w:rsidR="00450D87" w:rsidRPr="009650FF" w:rsidRDefault="009650FF" w:rsidP="009650FF">
      <w:pPr>
        <w:spacing w:line="360" w:lineRule="auto"/>
        <w:jc w:val="both"/>
        <w:rPr>
          <w:sz w:val="28"/>
          <w:szCs w:val="28"/>
        </w:rPr>
      </w:pPr>
      <w:r w:rsidRPr="00196156">
        <w:rPr>
          <w:sz w:val="28"/>
          <w:szCs w:val="28"/>
        </w:rPr>
        <w:t>[15]</w:t>
      </w:r>
      <w:r w:rsidRPr="00196156">
        <w:rPr>
          <w:sz w:val="28"/>
          <w:szCs w:val="28"/>
        </w:rPr>
        <w:tab/>
      </w:r>
      <w:r w:rsidR="00450D87" w:rsidRPr="009650FF">
        <w:rPr>
          <w:sz w:val="28"/>
          <w:szCs w:val="28"/>
        </w:rPr>
        <w:t>Ironically, the first respondent adduced evidence in its replying papers attacking the council’s decision to establish the SRA on the bas</w:t>
      </w:r>
      <w:r w:rsidR="0006256C" w:rsidRPr="009650FF">
        <w:rPr>
          <w:sz w:val="28"/>
          <w:szCs w:val="28"/>
        </w:rPr>
        <w:t>i</w:t>
      </w:r>
      <w:r w:rsidR="00450D87" w:rsidRPr="009650FF">
        <w:rPr>
          <w:sz w:val="28"/>
          <w:szCs w:val="28"/>
        </w:rPr>
        <w:t>s that the process had not been compliant with Part A of the appellant’s rates policy and</w:t>
      </w:r>
      <w:r w:rsidR="00803860" w:rsidRPr="009650FF">
        <w:rPr>
          <w:sz w:val="28"/>
          <w:szCs w:val="28"/>
        </w:rPr>
        <w:t xml:space="preserve"> that</w:t>
      </w:r>
      <w:r w:rsidR="00450D87" w:rsidRPr="009650FF">
        <w:rPr>
          <w:sz w:val="28"/>
          <w:szCs w:val="28"/>
        </w:rPr>
        <w:t xml:space="preserve"> the public consultation process in that connection had fallen short of the relevant prescripts in the Systems Act.</w:t>
      </w:r>
      <w:r w:rsidR="00450D87" w:rsidRPr="00196156">
        <w:rPr>
          <w:rStyle w:val="FootnoteReference"/>
          <w:sz w:val="28"/>
          <w:szCs w:val="28"/>
        </w:rPr>
        <w:footnoteReference w:id="7"/>
      </w:r>
      <w:r w:rsidR="00450D87" w:rsidRPr="009650FF">
        <w:rPr>
          <w:sz w:val="28"/>
          <w:szCs w:val="28"/>
        </w:rPr>
        <w:t xml:space="preserve">  That evidence was irrelevant, however.  It is trite that in motion proceedings the papers stand </w:t>
      </w:r>
      <w:r w:rsidR="00440DBB" w:rsidRPr="009650FF">
        <w:rPr>
          <w:sz w:val="28"/>
          <w:szCs w:val="28"/>
        </w:rPr>
        <w:t>as</w:t>
      </w:r>
      <w:r w:rsidR="00450D87" w:rsidRPr="009650FF">
        <w:rPr>
          <w:sz w:val="28"/>
          <w:szCs w:val="28"/>
        </w:rPr>
        <w:t xml:space="preserve"> the pleadings and e</w:t>
      </w:r>
      <w:r w:rsidR="004B0919" w:rsidRPr="009650FF">
        <w:rPr>
          <w:sz w:val="28"/>
          <w:szCs w:val="28"/>
        </w:rPr>
        <w:t xml:space="preserve">vidence </w:t>
      </w:r>
      <w:r w:rsidR="00A05365" w:rsidRPr="009650FF">
        <w:rPr>
          <w:sz w:val="28"/>
          <w:szCs w:val="28"/>
        </w:rPr>
        <w:t xml:space="preserve">do </w:t>
      </w:r>
      <w:r w:rsidR="004B0919" w:rsidRPr="009650FF">
        <w:rPr>
          <w:sz w:val="28"/>
          <w:szCs w:val="28"/>
        </w:rPr>
        <w:t>in action proceedings.</w:t>
      </w:r>
      <w:r w:rsidR="00450D87" w:rsidRPr="009650FF">
        <w:rPr>
          <w:sz w:val="28"/>
          <w:szCs w:val="28"/>
        </w:rPr>
        <w:t xml:space="preserve">  The relevance of the evidence offered is depend</w:t>
      </w:r>
      <w:r w:rsidR="0006256C" w:rsidRPr="009650FF">
        <w:rPr>
          <w:sz w:val="28"/>
          <w:szCs w:val="28"/>
        </w:rPr>
        <w:t>e</w:t>
      </w:r>
      <w:r w:rsidR="00450D87" w:rsidRPr="009650FF">
        <w:rPr>
          <w:sz w:val="28"/>
          <w:szCs w:val="28"/>
        </w:rPr>
        <w:t>nt on its cogent connection with the relief being sought which, in an application, is defined in the not</w:t>
      </w:r>
      <w:r w:rsidR="004B0919" w:rsidRPr="009650FF">
        <w:rPr>
          <w:sz w:val="28"/>
          <w:szCs w:val="28"/>
        </w:rPr>
        <w:t>ice of motion.</w:t>
      </w:r>
    </w:p>
    <w:p w14:paraId="5A87D60C" w14:textId="1B178526" w:rsidR="00450D87" w:rsidRPr="009650FF" w:rsidRDefault="009650FF" w:rsidP="009650FF">
      <w:pPr>
        <w:spacing w:line="360" w:lineRule="auto"/>
        <w:jc w:val="both"/>
        <w:rPr>
          <w:sz w:val="28"/>
          <w:szCs w:val="28"/>
        </w:rPr>
      </w:pPr>
      <w:r w:rsidRPr="00196156">
        <w:rPr>
          <w:sz w:val="28"/>
          <w:szCs w:val="28"/>
        </w:rPr>
        <w:t>[16]</w:t>
      </w:r>
      <w:r w:rsidRPr="00196156">
        <w:rPr>
          <w:sz w:val="28"/>
          <w:szCs w:val="28"/>
        </w:rPr>
        <w:tab/>
      </w:r>
      <w:r w:rsidR="00450D87" w:rsidRPr="009650FF">
        <w:rPr>
          <w:sz w:val="28"/>
          <w:szCs w:val="28"/>
        </w:rPr>
        <w:t>In their argument in this Court</w:t>
      </w:r>
      <w:r w:rsidR="004B0919" w:rsidRPr="009650FF">
        <w:rPr>
          <w:sz w:val="28"/>
          <w:szCs w:val="28"/>
        </w:rPr>
        <w:t>,</w:t>
      </w:r>
      <w:r w:rsidR="00450D87" w:rsidRPr="009650FF">
        <w:rPr>
          <w:sz w:val="28"/>
          <w:szCs w:val="28"/>
        </w:rPr>
        <w:t xml:space="preserve"> the </w:t>
      </w:r>
      <w:r w:rsidR="00DB70E8" w:rsidRPr="009650FF">
        <w:rPr>
          <w:sz w:val="28"/>
          <w:szCs w:val="28"/>
        </w:rPr>
        <w:t xml:space="preserve">first </w:t>
      </w:r>
      <w:r w:rsidR="00450D87" w:rsidRPr="009650FF">
        <w:rPr>
          <w:sz w:val="28"/>
          <w:szCs w:val="28"/>
        </w:rPr>
        <w:t>respondent’s counsel</w:t>
      </w:r>
      <w:r w:rsidR="00506B8E" w:rsidRPr="009650FF">
        <w:rPr>
          <w:sz w:val="28"/>
          <w:szCs w:val="28"/>
        </w:rPr>
        <w:t xml:space="preserve"> </w:t>
      </w:r>
      <w:r w:rsidR="0006256C" w:rsidRPr="009650FF">
        <w:rPr>
          <w:sz w:val="28"/>
          <w:szCs w:val="28"/>
        </w:rPr>
        <w:t>attacked</w:t>
      </w:r>
      <w:r w:rsidR="00450D87" w:rsidRPr="009650FF">
        <w:rPr>
          <w:sz w:val="28"/>
          <w:szCs w:val="28"/>
        </w:rPr>
        <w:t xml:space="preserve"> the municipal council’s decision on </w:t>
      </w:r>
      <w:r w:rsidR="00DB70E8" w:rsidRPr="009650FF">
        <w:rPr>
          <w:sz w:val="28"/>
          <w:szCs w:val="28"/>
        </w:rPr>
        <w:t>a number of</w:t>
      </w:r>
      <w:r w:rsidR="00450D87" w:rsidRPr="009650FF">
        <w:rPr>
          <w:sz w:val="28"/>
          <w:szCs w:val="28"/>
        </w:rPr>
        <w:t xml:space="preserve"> </w:t>
      </w:r>
      <w:r w:rsidR="00494881" w:rsidRPr="009650FF">
        <w:rPr>
          <w:sz w:val="28"/>
          <w:szCs w:val="28"/>
        </w:rPr>
        <w:t>grounds</w:t>
      </w:r>
      <w:r w:rsidR="00DB70E8" w:rsidRPr="009650FF">
        <w:rPr>
          <w:sz w:val="28"/>
          <w:szCs w:val="28"/>
        </w:rPr>
        <w:t xml:space="preserve"> unrelated to the case made out in the founding papers</w:t>
      </w:r>
      <w:r w:rsidR="00450D87" w:rsidRPr="009650FF">
        <w:rPr>
          <w:sz w:val="28"/>
          <w:szCs w:val="28"/>
        </w:rPr>
        <w:t xml:space="preserve">, including the alleged failure by </w:t>
      </w:r>
      <w:r w:rsidR="00BD5B29" w:rsidRPr="009650FF">
        <w:rPr>
          <w:sz w:val="28"/>
          <w:szCs w:val="28"/>
        </w:rPr>
        <w:t>the council</w:t>
      </w:r>
      <w:r w:rsidR="00450D87" w:rsidRPr="009650FF">
        <w:rPr>
          <w:sz w:val="28"/>
          <w:szCs w:val="28"/>
        </w:rPr>
        <w:t xml:space="preserve"> and the second respondent to comply with the impugned </w:t>
      </w:r>
      <w:r w:rsidR="00BD5B29" w:rsidRPr="009650FF">
        <w:rPr>
          <w:sz w:val="28"/>
          <w:szCs w:val="28"/>
        </w:rPr>
        <w:t xml:space="preserve">part </w:t>
      </w:r>
      <w:r w:rsidR="00450D87" w:rsidRPr="009650FF">
        <w:rPr>
          <w:sz w:val="28"/>
          <w:szCs w:val="28"/>
        </w:rPr>
        <w:t xml:space="preserve">of the </w:t>
      </w:r>
      <w:r w:rsidR="00DC2EC9" w:rsidRPr="009650FF">
        <w:rPr>
          <w:sz w:val="28"/>
          <w:szCs w:val="28"/>
        </w:rPr>
        <w:t xml:space="preserve">rates </w:t>
      </w:r>
      <w:r w:rsidR="00450D87" w:rsidRPr="009650FF">
        <w:rPr>
          <w:sz w:val="28"/>
          <w:szCs w:val="28"/>
        </w:rPr>
        <w:t>poli</w:t>
      </w:r>
      <w:r w:rsidR="00383D2D" w:rsidRPr="009650FF">
        <w:rPr>
          <w:sz w:val="28"/>
          <w:szCs w:val="28"/>
        </w:rPr>
        <w:t xml:space="preserve">cy. </w:t>
      </w:r>
      <w:r w:rsidR="00494881" w:rsidRPr="009650FF">
        <w:rPr>
          <w:sz w:val="28"/>
          <w:szCs w:val="28"/>
        </w:rPr>
        <w:t xml:space="preserve"> </w:t>
      </w:r>
      <w:r w:rsidR="00D44F02" w:rsidRPr="009650FF">
        <w:rPr>
          <w:sz w:val="28"/>
          <w:szCs w:val="28"/>
        </w:rPr>
        <w:t>T</w:t>
      </w:r>
      <w:r w:rsidR="00494881" w:rsidRPr="009650FF">
        <w:rPr>
          <w:sz w:val="28"/>
          <w:szCs w:val="28"/>
        </w:rPr>
        <w:t xml:space="preserve">he appellant’s counsel, </w:t>
      </w:r>
      <w:r w:rsidR="00A572E7" w:rsidRPr="009650FF">
        <w:rPr>
          <w:sz w:val="28"/>
          <w:szCs w:val="28"/>
        </w:rPr>
        <w:t>understandably</w:t>
      </w:r>
      <w:r w:rsidR="00BD5B29" w:rsidRPr="009650FF">
        <w:rPr>
          <w:sz w:val="28"/>
          <w:szCs w:val="28"/>
        </w:rPr>
        <w:t>, objected to those arguments</w:t>
      </w:r>
      <w:r w:rsidR="00494881" w:rsidRPr="009650FF">
        <w:rPr>
          <w:sz w:val="28"/>
          <w:szCs w:val="28"/>
        </w:rPr>
        <w:t xml:space="preserve"> being entertained</w:t>
      </w:r>
      <w:r w:rsidR="00A77E3C" w:rsidRPr="009650FF">
        <w:rPr>
          <w:sz w:val="28"/>
          <w:szCs w:val="28"/>
        </w:rPr>
        <w:t xml:space="preserve"> </w:t>
      </w:r>
      <w:r w:rsidR="00450D87" w:rsidRPr="009650FF">
        <w:rPr>
          <w:sz w:val="28"/>
          <w:szCs w:val="28"/>
        </w:rPr>
        <w:t>because they were unrelated to the proper interpretation of s 22 of the PRA and the legal validity of Part A</w:t>
      </w:r>
      <w:r w:rsidR="007C77D8" w:rsidRPr="009650FF">
        <w:rPr>
          <w:sz w:val="28"/>
          <w:szCs w:val="28"/>
        </w:rPr>
        <w:t xml:space="preserve"> of the rates policy.</w:t>
      </w:r>
    </w:p>
    <w:p w14:paraId="282B6AA5" w14:textId="2F56871F" w:rsidR="00450D87" w:rsidRPr="009650FF" w:rsidRDefault="009650FF" w:rsidP="009650FF">
      <w:pPr>
        <w:spacing w:line="360" w:lineRule="auto"/>
        <w:jc w:val="both"/>
        <w:rPr>
          <w:sz w:val="28"/>
          <w:szCs w:val="28"/>
        </w:rPr>
      </w:pPr>
      <w:r w:rsidRPr="00196156">
        <w:rPr>
          <w:sz w:val="28"/>
          <w:szCs w:val="28"/>
        </w:rPr>
        <w:t>[17]</w:t>
      </w:r>
      <w:r w:rsidRPr="00196156">
        <w:rPr>
          <w:sz w:val="28"/>
          <w:szCs w:val="28"/>
        </w:rPr>
        <w:tab/>
      </w:r>
      <w:r w:rsidR="00A77E3C" w:rsidRPr="009650FF">
        <w:rPr>
          <w:sz w:val="28"/>
          <w:szCs w:val="28"/>
        </w:rPr>
        <w:t>Insofar as t</w:t>
      </w:r>
      <w:r w:rsidR="00450D87" w:rsidRPr="009650FF">
        <w:rPr>
          <w:sz w:val="28"/>
          <w:szCs w:val="28"/>
        </w:rPr>
        <w:t xml:space="preserve">he </w:t>
      </w:r>
      <w:r w:rsidR="00440DBB" w:rsidRPr="009650FF">
        <w:rPr>
          <w:sz w:val="28"/>
          <w:szCs w:val="28"/>
        </w:rPr>
        <w:t>first respondent’s</w:t>
      </w:r>
      <w:r w:rsidR="00450D87" w:rsidRPr="009650FF">
        <w:rPr>
          <w:sz w:val="28"/>
          <w:szCs w:val="28"/>
        </w:rPr>
        <w:t xml:space="preserve"> counsel sought to </w:t>
      </w:r>
      <w:r w:rsidR="00A77E3C" w:rsidRPr="009650FF">
        <w:rPr>
          <w:sz w:val="28"/>
          <w:szCs w:val="28"/>
        </w:rPr>
        <w:t xml:space="preserve">rely on </w:t>
      </w:r>
      <w:r w:rsidR="00450D87" w:rsidRPr="009650FF">
        <w:rPr>
          <w:i/>
          <w:sz w:val="28"/>
          <w:szCs w:val="28"/>
        </w:rPr>
        <w:t>CUSA v Tao Ying Metal Industries and Others</w:t>
      </w:r>
      <w:r w:rsidR="00450D87" w:rsidRPr="009650FF">
        <w:rPr>
          <w:sz w:val="28"/>
          <w:szCs w:val="28"/>
        </w:rPr>
        <w:t>,</w:t>
      </w:r>
      <w:r w:rsidR="00D44F02">
        <w:rPr>
          <w:rStyle w:val="FootnoteReference"/>
          <w:sz w:val="28"/>
          <w:szCs w:val="28"/>
        </w:rPr>
        <w:footnoteReference w:id="8"/>
      </w:r>
      <w:r w:rsidR="00450D87" w:rsidRPr="009650FF">
        <w:rPr>
          <w:sz w:val="28"/>
          <w:szCs w:val="28"/>
        </w:rPr>
        <w:t xml:space="preserve"> </w:t>
      </w:r>
      <w:r w:rsidR="009E58E9" w:rsidRPr="009650FF">
        <w:rPr>
          <w:sz w:val="28"/>
          <w:szCs w:val="28"/>
        </w:rPr>
        <w:t xml:space="preserve">to argue issues outside the papers, this was misplaced. In </w:t>
      </w:r>
      <w:r w:rsidR="009E58E9" w:rsidRPr="009650FF">
        <w:rPr>
          <w:i/>
          <w:iCs/>
          <w:sz w:val="28"/>
          <w:szCs w:val="28"/>
        </w:rPr>
        <w:t>C</w:t>
      </w:r>
      <w:r w:rsidR="00A05365" w:rsidRPr="009650FF">
        <w:rPr>
          <w:i/>
          <w:iCs/>
          <w:sz w:val="28"/>
          <w:szCs w:val="28"/>
        </w:rPr>
        <w:t>USA</w:t>
      </w:r>
      <w:r w:rsidR="009E58E9" w:rsidRPr="009650FF">
        <w:rPr>
          <w:sz w:val="28"/>
          <w:szCs w:val="28"/>
        </w:rPr>
        <w:t xml:space="preserve"> </w:t>
      </w:r>
      <w:r w:rsidR="00175D51" w:rsidRPr="009650FF">
        <w:rPr>
          <w:sz w:val="28"/>
          <w:szCs w:val="28"/>
        </w:rPr>
        <w:t xml:space="preserve">it was held </w:t>
      </w:r>
      <w:r w:rsidR="00EE318B" w:rsidRPr="009650FF">
        <w:rPr>
          <w:sz w:val="28"/>
          <w:szCs w:val="28"/>
        </w:rPr>
        <w:t xml:space="preserve">that </w:t>
      </w:r>
      <w:r w:rsidR="00A05365" w:rsidRPr="009650FF">
        <w:rPr>
          <w:sz w:val="28"/>
          <w:szCs w:val="28"/>
        </w:rPr>
        <w:t xml:space="preserve">‘where a point of law is apparent on the papers but the common approach of the parties proceeds on a wrong perception of what the law is, a court is not only entitled, but is in fact also obliged, </w:t>
      </w:r>
      <w:r w:rsidR="00A05365" w:rsidRPr="009650FF">
        <w:rPr>
          <w:i/>
          <w:sz w:val="28"/>
          <w:szCs w:val="28"/>
        </w:rPr>
        <w:t>mero motu</w:t>
      </w:r>
      <w:r w:rsidR="00A05365" w:rsidRPr="009650FF">
        <w:rPr>
          <w:sz w:val="28"/>
          <w:szCs w:val="28"/>
        </w:rPr>
        <w:t>, to raise the point of law and require the parties to deal therewith.’</w:t>
      </w:r>
      <w:r w:rsidR="00450D87" w:rsidRPr="009650FF">
        <w:rPr>
          <w:sz w:val="28"/>
          <w:szCs w:val="28"/>
        </w:rPr>
        <w:t xml:space="preserve">  </w:t>
      </w:r>
      <w:r w:rsidR="00BD5B29" w:rsidRPr="009650FF">
        <w:rPr>
          <w:sz w:val="28"/>
          <w:szCs w:val="28"/>
        </w:rPr>
        <w:t xml:space="preserve">That was not the position here.  </w:t>
      </w:r>
      <w:r w:rsidR="009E58E9" w:rsidRPr="009650FF">
        <w:rPr>
          <w:sz w:val="28"/>
          <w:szCs w:val="28"/>
        </w:rPr>
        <w:t>I</w:t>
      </w:r>
      <w:r w:rsidR="00450D87" w:rsidRPr="009650FF">
        <w:rPr>
          <w:sz w:val="28"/>
          <w:szCs w:val="28"/>
        </w:rPr>
        <w:t xml:space="preserve">n the current </w:t>
      </w:r>
      <w:r w:rsidR="00357279" w:rsidRPr="009650FF">
        <w:rPr>
          <w:sz w:val="28"/>
          <w:szCs w:val="28"/>
        </w:rPr>
        <w:t>matter</w:t>
      </w:r>
      <w:r w:rsidR="009E58E9" w:rsidRPr="009650FF">
        <w:rPr>
          <w:sz w:val="28"/>
          <w:szCs w:val="28"/>
        </w:rPr>
        <w:t>, t</w:t>
      </w:r>
      <w:r w:rsidR="00450D87" w:rsidRPr="009650FF">
        <w:rPr>
          <w:sz w:val="28"/>
          <w:szCs w:val="28"/>
        </w:rPr>
        <w:t xml:space="preserve">he extraneous legal issues </w:t>
      </w:r>
      <w:r w:rsidR="00D8430C" w:rsidRPr="009650FF">
        <w:rPr>
          <w:sz w:val="28"/>
          <w:szCs w:val="28"/>
        </w:rPr>
        <w:t xml:space="preserve">that </w:t>
      </w:r>
      <w:r w:rsidR="00450D87" w:rsidRPr="009650FF">
        <w:rPr>
          <w:sz w:val="28"/>
          <w:szCs w:val="28"/>
        </w:rPr>
        <w:t>the responden</w:t>
      </w:r>
      <w:r w:rsidR="00202BD0" w:rsidRPr="009650FF">
        <w:rPr>
          <w:sz w:val="28"/>
          <w:szCs w:val="28"/>
        </w:rPr>
        <w:t>t</w:t>
      </w:r>
      <w:r w:rsidR="00D8430C" w:rsidRPr="009650FF">
        <w:rPr>
          <w:sz w:val="28"/>
          <w:szCs w:val="28"/>
        </w:rPr>
        <w:t>’s counsel</w:t>
      </w:r>
      <w:r w:rsidR="00202BD0" w:rsidRPr="009650FF">
        <w:rPr>
          <w:sz w:val="28"/>
          <w:szCs w:val="28"/>
        </w:rPr>
        <w:t xml:space="preserve"> sought to argue were dependent on fact-</w:t>
      </w:r>
      <w:r w:rsidR="00450D87" w:rsidRPr="009650FF">
        <w:rPr>
          <w:sz w:val="28"/>
          <w:szCs w:val="28"/>
        </w:rPr>
        <w:t>based determination</w:t>
      </w:r>
      <w:r w:rsidR="00202BD0" w:rsidRPr="009650FF">
        <w:rPr>
          <w:sz w:val="28"/>
          <w:szCs w:val="28"/>
        </w:rPr>
        <w:t>s</w:t>
      </w:r>
      <w:r w:rsidR="00175D51" w:rsidRPr="009650FF">
        <w:rPr>
          <w:sz w:val="28"/>
          <w:szCs w:val="28"/>
        </w:rPr>
        <w:t xml:space="preserve"> for which a case had not been made out in the founding papers.</w:t>
      </w:r>
    </w:p>
    <w:p w14:paraId="35947284" w14:textId="159AD53A" w:rsidR="00450D87" w:rsidRPr="009650FF" w:rsidRDefault="009650FF" w:rsidP="009650FF">
      <w:pPr>
        <w:spacing w:line="360" w:lineRule="auto"/>
        <w:jc w:val="both"/>
        <w:rPr>
          <w:sz w:val="28"/>
          <w:szCs w:val="28"/>
        </w:rPr>
      </w:pPr>
      <w:r w:rsidRPr="002B2AE6">
        <w:rPr>
          <w:sz w:val="28"/>
          <w:szCs w:val="28"/>
        </w:rPr>
        <w:t>[18]</w:t>
      </w:r>
      <w:r w:rsidRPr="002B2AE6">
        <w:rPr>
          <w:sz w:val="28"/>
          <w:szCs w:val="28"/>
        </w:rPr>
        <w:tab/>
      </w:r>
      <w:r w:rsidR="00175D51" w:rsidRPr="009650FF">
        <w:rPr>
          <w:sz w:val="28"/>
          <w:szCs w:val="28"/>
        </w:rPr>
        <w:t>T</w:t>
      </w:r>
      <w:r w:rsidR="00450D87" w:rsidRPr="009650FF">
        <w:rPr>
          <w:sz w:val="28"/>
          <w:szCs w:val="28"/>
        </w:rPr>
        <w:t xml:space="preserve">he appeal </w:t>
      </w:r>
      <w:r w:rsidR="00EE318B" w:rsidRPr="009650FF">
        <w:rPr>
          <w:sz w:val="28"/>
          <w:szCs w:val="28"/>
        </w:rPr>
        <w:t xml:space="preserve">will </w:t>
      </w:r>
      <w:r w:rsidR="00175D51" w:rsidRPr="009650FF">
        <w:rPr>
          <w:sz w:val="28"/>
          <w:szCs w:val="28"/>
        </w:rPr>
        <w:t xml:space="preserve">therefore </w:t>
      </w:r>
      <w:r w:rsidR="00EE318B" w:rsidRPr="009650FF">
        <w:rPr>
          <w:sz w:val="28"/>
          <w:szCs w:val="28"/>
        </w:rPr>
        <w:t xml:space="preserve">be determined </w:t>
      </w:r>
      <w:r w:rsidR="00450D87" w:rsidRPr="009650FF">
        <w:rPr>
          <w:sz w:val="28"/>
          <w:szCs w:val="28"/>
        </w:rPr>
        <w:t xml:space="preserve">strictly with reference to the case advanced by the </w:t>
      </w:r>
      <w:r w:rsidR="00D8430C" w:rsidRPr="009650FF">
        <w:rPr>
          <w:sz w:val="28"/>
          <w:szCs w:val="28"/>
        </w:rPr>
        <w:t xml:space="preserve">first </w:t>
      </w:r>
      <w:r w:rsidR="00450D87" w:rsidRPr="009650FF">
        <w:rPr>
          <w:sz w:val="28"/>
          <w:szCs w:val="28"/>
        </w:rPr>
        <w:t>respondent in its founding papers.</w:t>
      </w:r>
      <w:r w:rsidR="004B0919" w:rsidRPr="009650FF">
        <w:rPr>
          <w:sz w:val="28"/>
          <w:szCs w:val="28"/>
        </w:rPr>
        <w:t xml:space="preserve">  The essence of </w:t>
      </w:r>
      <w:r w:rsidR="00175D51" w:rsidRPr="009650FF">
        <w:rPr>
          <w:sz w:val="28"/>
          <w:szCs w:val="28"/>
        </w:rPr>
        <w:t>it</w:t>
      </w:r>
      <w:r w:rsidR="004B0919" w:rsidRPr="009650FF">
        <w:rPr>
          <w:sz w:val="28"/>
          <w:szCs w:val="28"/>
        </w:rPr>
        <w:t xml:space="preserve"> was the contention that the appellant had unlawfully delegated its role in terms of s 22 of the PRA to the second and third respondents.  It a</w:t>
      </w:r>
      <w:r w:rsidR="001F3937" w:rsidRPr="009650FF">
        <w:rPr>
          <w:sz w:val="28"/>
          <w:szCs w:val="28"/>
        </w:rPr>
        <w:t>rgued that Part</w:t>
      </w:r>
      <w:r w:rsidR="00175D51" w:rsidRPr="009650FF">
        <w:rPr>
          <w:sz w:val="28"/>
          <w:szCs w:val="28"/>
        </w:rPr>
        <w:t> </w:t>
      </w:r>
      <w:r w:rsidR="001F3937" w:rsidRPr="009650FF">
        <w:rPr>
          <w:sz w:val="28"/>
          <w:szCs w:val="28"/>
        </w:rPr>
        <w:t xml:space="preserve">A of the appellant’s rates policy was unconstitutional because its provisions were directed at facilitating or enabling the allegedly unlawful delegation of </w:t>
      </w:r>
      <w:r w:rsidR="00A572E7" w:rsidRPr="009650FF">
        <w:rPr>
          <w:sz w:val="28"/>
          <w:szCs w:val="28"/>
        </w:rPr>
        <w:t>the appellant’s governmental</w:t>
      </w:r>
      <w:r w:rsidR="00BF193C" w:rsidRPr="009650FF">
        <w:rPr>
          <w:sz w:val="28"/>
          <w:szCs w:val="28"/>
        </w:rPr>
        <w:t xml:space="preserve"> </w:t>
      </w:r>
      <w:r w:rsidR="001F3937" w:rsidRPr="009650FF">
        <w:rPr>
          <w:sz w:val="28"/>
          <w:szCs w:val="28"/>
        </w:rPr>
        <w:t>functions</w:t>
      </w:r>
      <w:r w:rsidR="00BF193C" w:rsidRPr="009650FF">
        <w:rPr>
          <w:sz w:val="28"/>
          <w:szCs w:val="28"/>
        </w:rPr>
        <w:t xml:space="preserve"> </w:t>
      </w:r>
      <w:r w:rsidR="00A572E7" w:rsidRPr="009650FF">
        <w:rPr>
          <w:sz w:val="28"/>
          <w:szCs w:val="28"/>
        </w:rPr>
        <w:t xml:space="preserve">and responsibilities </w:t>
      </w:r>
      <w:r w:rsidR="00BF193C" w:rsidRPr="009650FF">
        <w:rPr>
          <w:sz w:val="28"/>
          <w:szCs w:val="28"/>
        </w:rPr>
        <w:t>to persons or bodies outside government</w:t>
      </w:r>
      <w:r w:rsidR="001F3937" w:rsidRPr="009650FF">
        <w:rPr>
          <w:sz w:val="28"/>
          <w:szCs w:val="28"/>
        </w:rPr>
        <w:t>.</w:t>
      </w:r>
    </w:p>
    <w:p w14:paraId="1AF9FA09" w14:textId="571585ED" w:rsidR="00FF797D" w:rsidRPr="009650FF" w:rsidRDefault="009650FF" w:rsidP="009650FF">
      <w:pPr>
        <w:spacing w:line="360" w:lineRule="auto"/>
        <w:jc w:val="both"/>
        <w:rPr>
          <w:sz w:val="28"/>
          <w:szCs w:val="28"/>
        </w:rPr>
      </w:pPr>
      <w:r w:rsidRPr="00196156">
        <w:rPr>
          <w:sz w:val="28"/>
          <w:szCs w:val="28"/>
        </w:rPr>
        <w:t>[19]</w:t>
      </w:r>
      <w:r w:rsidRPr="00196156">
        <w:rPr>
          <w:sz w:val="28"/>
          <w:szCs w:val="28"/>
        </w:rPr>
        <w:tab/>
      </w:r>
      <w:r w:rsidR="00BF193C" w:rsidRPr="009650FF">
        <w:rPr>
          <w:sz w:val="28"/>
          <w:szCs w:val="28"/>
        </w:rPr>
        <w:t xml:space="preserve">I turn then to examine </w:t>
      </w:r>
      <w:r w:rsidR="00FF797D" w:rsidRPr="009650FF">
        <w:rPr>
          <w:sz w:val="28"/>
          <w:szCs w:val="28"/>
        </w:rPr>
        <w:t>Part A of the appellant’s rates policy</w:t>
      </w:r>
      <w:r w:rsidR="00BF193C" w:rsidRPr="009650FF">
        <w:rPr>
          <w:sz w:val="28"/>
          <w:szCs w:val="28"/>
        </w:rPr>
        <w:t>.  It</w:t>
      </w:r>
      <w:r w:rsidR="00FF797D" w:rsidRPr="009650FF">
        <w:rPr>
          <w:sz w:val="28"/>
          <w:szCs w:val="28"/>
        </w:rPr>
        <w:t xml:space="preserve"> provides that any owner of rateable property or </w:t>
      </w:r>
      <w:r w:rsidR="00EE318B" w:rsidRPr="009650FF">
        <w:rPr>
          <w:sz w:val="28"/>
          <w:szCs w:val="28"/>
        </w:rPr>
        <w:t xml:space="preserve">a </w:t>
      </w:r>
      <w:r w:rsidR="00FF797D" w:rsidRPr="009650FF">
        <w:rPr>
          <w:sz w:val="28"/>
          <w:szCs w:val="28"/>
        </w:rPr>
        <w:t xml:space="preserve">non-profit company established for the purpose of administering an SRA may apply to the municipal council for </w:t>
      </w:r>
      <w:r w:rsidR="002A6311" w:rsidRPr="009650FF">
        <w:rPr>
          <w:sz w:val="28"/>
          <w:szCs w:val="28"/>
        </w:rPr>
        <w:t>the establishment</w:t>
      </w:r>
      <w:r w:rsidR="00FF797D" w:rsidRPr="009650FF">
        <w:rPr>
          <w:sz w:val="28"/>
          <w:szCs w:val="28"/>
        </w:rPr>
        <w:t xml:space="preserve"> of an SRA.  The requirements with which such an application must comply are set forth in paragraphs 4 – 6</w:t>
      </w:r>
      <w:r w:rsidR="00BF193C" w:rsidRPr="009650FF">
        <w:rPr>
          <w:sz w:val="28"/>
          <w:szCs w:val="28"/>
        </w:rPr>
        <w:t xml:space="preserve"> of Part A</w:t>
      </w:r>
      <w:r w:rsidR="006D3031" w:rsidRPr="009650FF">
        <w:rPr>
          <w:sz w:val="28"/>
          <w:szCs w:val="28"/>
        </w:rPr>
        <w:t>.  In summary</w:t>
      </w:r>
      <w:r w:rsidR="00FF797D" w:rsidRPr="009650FF">
        <w:rPr>
          <w:sz w:val="28"/>
          <w:szCs w:val="28"/>
        </w:rPr>
        <w:t>:</w:t>
      </w:r>
    </w:p>
    <w:p w14:paraId="02F9FB12" w14:textId="35928366" w:rsidR="00FF797D" w:rsidRPr="009650FF" w:rsidRDefault="009650FF" w:rsidP="009650FF">
      <w:pPr>
        <w:spacing w:line="360" w:lineRule="auto"/>
        <w:ind w:left="1276" w:hanging="567"/>
        <w:jc w:val="both"/>
        <w:rPr>
          <w:sz w:val="28"/>
          <w:szCs w:val="28"/>
        </w:rPr>
      </w:pPr>
      <w:r w:rsidRPr="00196156">
        <w:rPr>
          <w:sz w:val="28"/>
          <w:szCs w:val="28"/>
        </w:rPr>
        <w:t>1.</w:t>
      </w:r>
      <w:r w:rsidRPr="00196156">
        <w:rPr>
          <w:sz w:val="28"/>
          <w:szCs w:val="28"/>
        </w:rPr>
        <w:tab/>
      </w:r>
      <w:r w:rsidR="00FF797D" w:rsidRPr="009650FF">
        <w:rPr>
          <w:sz w:val="28"/>
          <w:szCs w:val="28"/>
        </w:rPr>
        <w:t>The application must be in writing in such form as t</w:t>
      </w:r>
      <w:r w:rsidR="00165924" w:rsidRPr="009650FF">
        <w:rPr>
          <w:sz w:val="28"/>
          <w:szCs w:val="28"/>
        </w:rPr>
        <w:t>he municipality might prescribe.</w:t>
      </w:r>
    </w:p>
    <w:p w14:paraId="4B21A62C" w14:textId="26D5BF96" w:rsidR="00FF797D" w:rsidRPr="009650FF" w:rsidRDefault="009650FF" w:rsidP="009650FF">
      <w:pPr>
        <w:spacing w:line="360" w:lineRule="auto"/>
        <w:ind w:left="1276" w:hanging="567"/>
        <w:jc w:val="both"/>
        <w:rPr>
          <w:sz w:val="28"/>
          <w:szCs w:val="28"/>
        </w:rPr>
      </w:pPr>
      <w:r w:rsidRPr="00196156">
        <w:rPr>
          <w:sz w:val="28"/>
          <w:szCs w:val="28"/>
        </w:rPr>
        <w:t>2.</w:t>
      </w:r>
      <w:r w:rsidRPr="00196156">
        <w:rPr>
          <w:sz w:val="28"/>
          <w:szCs w:val="28"/>
        </w:rPr>
        <w:tab/>
      </w:r>
      <w:r w:rsidR="00FF797D" w:rsidRPr="009650FF">
        <w:rPr>
          <w:sz w:val="28"/>
          <w:szCs w:val="28"/>
        </w:rPr>
        <w:t>It must be submitted within nine months after the date of the holding of a public meeting that the applicant is required to c</w:t>
      </w:r>
      <w:r w:rsidR="00165924" w:rsidRPr="009650FF">
        <w:rPr>
          <w:sz w:val="28"/>
          <w:szCs w:val="28"/>
        </w:rPr>
        <w:t>onvene to consider the proposal.</w:t>
      </w:r>
    </w:p>
    <w:p w14:paraId="64F0CE82" w14:textId="4FBFFA97" w:rsidR="00B86264" w:rsidRPr="009650FF" w:rsidRDefault="009650FF" w:rsidP="009650FF">
      <w:pPr>
        <w:spacing w:line="360" w:lineRule="auto"/>
        <w:ind w:left="1276" w:hanging="567"/>
        <w:jc w:val="both"/>
        <w:rPr>
          <w:sz w:val="28"/>
          <w:szCs w:val="28"/>
        </w:rPr>
      </w:pPr>
      <w:r>
        <w:rPr>
          <w:sz w:val="28"/>
          <w:szCs w:val="28"/>
        </w:rPr>
        <w:t>3.</w:t>
      </w:r>
      <w:r>
        <w:rPr>
          <w:sz w:val="28"/>
          <w:szCs w:val="28"/>
        </w:rPr>
        <w:tab/>
      </w:r>
      <w:r w:rsidR="00FF797D" w:rsidRPr="009650FF">
        <w:rPr>
          <w:sz w:val="28"/>
          <w:szCs w:val="28"/>
        </w:rPr>
        <w:t xml:space="preserve">The applicant is required </w:t>
      </w:r>
    </w:p>
    <w:p w14:paraId="052F50FC" w14:textId="70C3F3F0" w:rsidR="00FF797D" w:rsidRPr="00196156" w:rsidRDefault="00FF797D" w:rsidP="00126CCB">
      <w:pPr>
        <w:pStyle w:val="ListParagraph"/>
        <w:spacing w:line="360" w:lineRule="auto"/>
        <w:ind w:left="1276"/>
        <w:contextualSpacing w:val="0"/>
        <w:jc w:val="both"/>
        <w:rPr>
          <w:sz w:val="28"/>
          <w:szCs w:val="28"/>
        </w:rPr>
      </w:pPr>
      <w:r w:rsidRPr="00196156">
        <w:rPr>
          <w:sz w:val="28"/>
          <w:szCs w:val="28"/>
        </w:rPr>
        <w:t xml:space="preserve">(i) to publish notice of the forementioned meeting in at least two daily newspapers circulating in the area of the proposed SRA, </w:t>
      </w:r>
      <w:r w:rsidR="00192C24" w:rsidRPr="00196156">
        <w:rPr>
          <w:sz w:val="28"/>
          <w:szCs w:val="28"/>
        </w:rPr>
        <w:t>prominently place</w:t>
      </w:r>
      <w:r w:rsidRPr="00196156">
        <w:rPr>
          <w:sz w:val="28"/>
          <w:szCs w:val="28"/>
        </w:rPr>
        <w:t xml:space="preserve"> posters within the area of the SRA</w:t>
      </w:r>
      <w:r w:rsidR="00192C24" w:rsidRPr="00196156">
        <w:rPr>
          <w:sz w:val="28"/>
          <w:szCs w:val="28"/>
        </w:rPr>
        <w:t xml:space="preserve"> advertising the meeting</w:t>
      </w:r>
      <w:r w:rsidRPr="00196156">
        <w:rPr>
          <w:sz w:val="28"/>
          <w:szCs w:val="28"/>
        </w:rPr>
        <w:t xml:space="preserve"> and (ii) give written notice </w:t>
      </w:r>
      <w:r w:rsidR="00192C24" w:rsidRPr="00196156">
        <w:rPr>
          <w:sz w:val="28"/>
          <w:szCs w:val="28"/>
        </w:rPr>
        <w:t xml:space="preserve">of it </w:t>
      </w:r>
      <w:r w:rsidRPr="00196156">
        <w:rPr>
          <w:sz w:val="28"/>
          <w:szCs w:val="28"/>
        </w:rPr>
        <w:t>individually to all of the owners of rateable p</w:t>
      </w:r>
      <w:r w:rsidR="00165924">
        <w:rPr>
          <w:sz w:val="28"/>
          <w:szCs w:val="28"/>
        </w:rPr>
        <w:t>roperty within the proposed SRA.</w:t>
      </w:r>
    </w:p>
    <w:p w14:paraId="03427B6A" w14:textId="4D5BA309" w:rsidR="00B86264" w:rsidRPr="009650FF" w:rsidRDefault="009650FF" w:rsidP="009650FF">
      <w:pPr>
        <w:spacing w:line="360" w:lineRule="auto"/>
        <w:ind w:left="1276" w:hanging="567"/>
        <w:jc w:val="both"/>
        <w:rPr>
          <w:sz w:val="28"/>
          <w:szCs w:val="28"/>
        </w:rPr>
      </w:pPr>
      <w:r>
        <w:rPr>
          <w:sz w:val="28"/>
          <w:szCs w:val="28"/>
        </w:rPr>
        <w:t>4.</w:t>
      </w:r>
      <w:r>
        <w:rPr>
          <w:sz w:val="28"/>
          <w:szCs w:val="28"/>
        </w:rPr>
        <w:tab/>
      </w:r>
      <w:r w:rsidR="00FF797D" w:rsidRPr="009650FF">
        <w:rPr>
          <w:sz w:val="28"/>
          <w:szCs w:val="28"/>
        </w:rPr>
        <w:t>The forementioned notice must state the purpose of the meeting and provide details of the place, date and time of the meeting, it must also state where</w:t>
      </w:r>
      <w:r w:rsidR="002A6311" w:rsidRPr="009650FF">
        <w:rPr>
          <w:sz w:val="28"/>
          <w:szCs w:val="28"/>
        </w:rPr>
        <w:t xml:space="preserve"> </w:t>
      </w:r>
      <w:r w:rsidR="002A6311" w:rsidRPr="009650FF">
        <w:rPr>
          <w:sz w:val="28"/>
          <w:szCs w:val="28"/>
          <w:vertAlign w:val="superscript"/>
        </w:rPr>
        <w:t>_</w:t>
      </w:r>
    </w:p>
    <w:p w14:paraId="288536E6" w14:textId="237E7F2C" w:rsidR="00B86264" w:rsidRPr="009650FF" w:rsidRDefault="009650FF" w:rsidP="009650FF">
      <w:pPr>
        <w:spacing w:line="360" w:lineRule="auto"/>
        <w:ind w:left="1996" w:hanging="720"/>
        <w:jc w:val="both"/>
        <w:rPr>
          <w:sz w:val="28"/>
          <w:szCs w:val="28"/>
        </w:rPr>
      </w:pPr>
      <w:r>
        <w:rPr>
          <w:sz w:val="28"/>
          <w:szCs w:val="28"/>
        </w:rPr>
        <w:t>(i)</w:t>
      </w:r>
      <w:r>
        <w:rPr>
          <w:sz w:val="28"/>
          <w:szCs w:val="28"/>
        </w:rPr>
        <w:tab/>
      </w:r>
      <w:r w:rsidR="00FF797D" w:rsidRPr="009650FF">
        <w:rPr>
          <w:sz w:val="28"/>
          <w:szCs w:val="28"/>
        </w:rPr>
        <w:t xml:space="preserve">the proposed 5-year SRA business plan, </w:t>
      </w:r>
    </w:p>
    <w:p w14:paraId="1997E189" w14:textId="7521F29D" w:rsidR="00B86264" w:rsidRPr="009650FF" w:rsidRDefault="009650FF" w:rsidP="009650FF">
      <w:pPr>
        <w:spacing w:line="360" w:lineRule="auto"/>
        <w:ind w:left="1996" w:hanging="720"/>
        <w:jc w:val="both"/>
        <w:rPr>
          <w:sz w:val="28"/>
          <w:szCs w:val="28"/>
        </w:rPr>
      </w:pPr>
      <w:r>
        <w:rPr>
          <w:sz w:val="28"/>
          <w:szCs w:val="28"/>
        </w:rPr>
        <w:t>(ii)</w:t>
      </w:r>
      <w:r>
        <w:rPr>
          <w:sz w:val="28"/>
          <w:szCs w:val="28"/>
        </w:rPr>
        <w:tab/>
      </w:r>
      <w:r w:rsidR="00192C24" w:rsidRPr="009650FF">
        <w:rPr>
          <w:sz w:val="28"/>
          <w:szCs w:val="28"/>
        </w:rPr>
        <w:t xml:space="preserve">the </w:t>
      </w:r>
      <w:r w:rsidR="00FF797D" w:rsidRPr="009650FF">
        <w:rPr>
          <w:sz w:val="28"/>
          <w:szCs w:val="28"/>
        </w:rPr>
        <w:t xml:space="preserve">memorandum (or draft memorandum) of incorporation of the proposed management body, and </w:t>
      </w:r>
    </w:p>
    <w:p w14:paraId="72B4164A" w14:textId="41B63EAE" w:rsidR="00B86264" w:rsidRPr="009650FF" w:rsidRDefault="009650FF" w:rsidP="009650FF">
      <w:pPr>
        <w:spacing w:line="360" w:lineRule="auto"/>
        <w:ind w:left="1996" w:hanging="720"/>
        <w:jc w:val="both"/>
        <w:rPr>
          <w:sz w:val="28"/>
          <w:szCs w:val="28"/>
        </w:rPr>
      </w:pPr>
      <w:r>
        <w:rPr>
          <w:sz w:val="28"/>
          <w:szCs w:val="28"/>
        </w:rPr>
        <w:t>(iii)</w:t>
      </w:r>
      <w:r>
        <w:rPr>
          <w:sz w:val="28"/>
          <w:szCs w:val="28"/>
        </w:rPr>
        <w:tab/>
      </w:r>
      <w:r w:rsidR="00192C24" w:rsidRPr="009650FF">
        <w:rPr>
          <w:sz w:val="28"/>
          <w:szCs w:val="28"/>
        </w:rPr>
        <w:t xml:space="preserve">the </w:t>
      </w:r>
      <w:r w:rsidR="00FF797D" w:rsidRPr="009650FF">
        <w:rPr>
          <w:sz w:val="28"/>
          <w:szCs w:val="28"/>
        </w:rPr>
        <w:t xml:space="preserve">motivational report compiled in compliance with paragraph 4.3.6 </w:t>
      </w:r>
    </w:p>
    <w:p w14:paraId="01C806B4" w14:textId="77777777" w:rsidR="00FF797D" w:rsidRPr="00B86264" w:rsidRDefault="00FF797D" w:rsidP="00126CCB">
      <w:pPr>
        <w:spacing w:line="360" w:lineRule="auto"/>
        <w:ind w:left="1276"/>
        <w:jc w:val="both"/>
        <w:rPr>
          <w:sz w:val="28"/>
          <w:szCs w:val="28"/>
        </w:rPr>
      </w:pPr>
      <w:r w:rsidRPr="00B86264">
        <w:rPr>
          <w:sz w:val="28"/>
          <w:szCs w:val="28"/>
        </w:rPr>
        <w:t>will be available for inspection.  It must also identify the municipal offices at which objections to the SRA business plan may be lodged</w:t>
      </w:r>
      <w:r w:rsidR="00B86264">
        <w:rPr>
          <w:sz w:val="28"/>
          <w:szCs w:val="28"/>
        </w:rPr>
        <w:t>,</w:t>
      </w:r>
      <w:r w:rsidRPr="00B86264">
        <w:rPr>
          <w:sz w:val="28"/>
          <w:szCs w:val="28"/>
        </w:rPr>
        <w:t xml:space="preserve"> and state by when </w:t>
      </w:r>
      <w:r w:rsidR="00192C24" w:rsidRPr="00B86264">
        <w:rPr>
          <w:sz w:val="28"/>
          <w:szCs w:val="28"/>
        </w:rPr>
        <w:t>that must be done</w:t>
      </w:r>
      <w:r w:rsidRPr="00B86264">
        <w:rPr>
          <w:sz w:val="28"/>
          <w:szCs w:val="28"/>
        </w:rPr>
        <w:t>.</w:t>
      </w:r>
    </w:p>
    <w:p w14:paraId="71B5D791" w14:textId="779CE9DF" w:rsidR="00FF797D" w:rsidRPr="009650FF" w:rsidRDefault="009650FF" w:rsidP="009650FF">
      <w:pPr>
        <w:spacing w:line="360" w:lineRule="auto"/>
        <w:ind w:left="1276" w:hanging="567"/>
        <w:jc w:val="both"/>
        <w:rPr>
          <w:sz w:val="28"/>
          <w:szCs w:val="28"/>
        </w:rPr>
      </w:pPr>
      <w:r w:rsidRPr="00196156">
        <w:rPr>
          <w:sz w:val="28"/>
          <w:szCs w:val="28"/>
        </w:rPr>
        <w:t>5.</w:t>
      </w:r>
      <w:r w:rsidRPr="00196156">
        <w:rPr>
          <w:sz w:val="28"/>
          <w:szCs w:val="28"/>
        </w:rPr>
        <w:tab/>
      </w:r>
      <w:r w:rsidR="00FF797D" w:rsidRPr="009650FF">
        <w:rPr>
          <w:sz w:val="28"/>
          <w:szCs w:val="28"/>
        </w:rPr>
        <w:t>The proposed SRA business plan is required to address the following</w:t>
      </w:r>
      <w:r w:rsidR="00B86264" w:rsidRPr="009650FF">
        <w:rPr>
          <w:sz w:val="28"/>
          <w:szCs w:val="28"/>
        </w:rPr>
        <w:t xml:space="preserve"> matters</w:t>
      </w:r>
      <w:r w:rsidR="00FF797D" w:rsidRPr="009650FF">
        <w:rPr>
          <w:sz w:val="28"/>
          <w:szCs w:val="28"/>
        </w:rPr>
        <w:t>:</w:t>
      </w:r>
    </w:p>
    <w:p w14:paraId="681BCE03" w14:textId="651D502E" w:rsidR="00FF797D" w:rsidRPr="009650FF" w:rsidRDefault="009650FF" w:rsidP="009650FF">
      <w:pPr>
        <w:spacing w:line="360" w:lineRule="auto"/>
        <w:ind w:left="1843" w:hanging="567"/>
        <w:jc w:val="both"/>
        <w:rPr>
          <w:sz w:val="28"/>
          <w:szCs w:val="28"/>
        </w:rPr>
      </w:pPr>
      <w:r w:rsidRPr="00196156">
        <w:rPr>
          <w:sz w:val="28"/>
          <w:szCs w:val="28"/>
        </w:rPr>
        <w:t>5.1</w:t>
      </w:r>
      <w:r w:rsidRPr="00196156">
        <w:rPr>
          <w:sz w:val="28"/>
          <w:szCs w:val="28"/>
        </w:rPr>
        <w:tab/>
      </w:r>
      <w:r w:rsidR="00FF797D" w:rsidRPr="009650FF">
        <w:rPr>
          <w:sz w:val="28"/>
          <w:szCs w:val="28"/>
        </w:rPr>
        <w:t xml:space="preserve">the services </w:t>
      </w:r>
      <w:r w:rsidR="00192C24" w:rsidRPr="009650FF">
        <w:rPr>
          <w:sz w:val="28"/>
          <w:szCs w:val="28"/>
        </w:rPr>
        <w:t xml:space="preserve">to be provided to </w:t>
      </w:r>
      <w:r w:rsidR="00FF797D" w:rsidRPr="009650FF">
        <w:rPr>
          <w:sz w:val="28"/>
          <w:szCs w:val="28"/>
        </w:rPr>
        <w:t>improve or upgrade the SRA;</w:t>
      </w:r>
    </w:p>
    <w:p w14:paraId="0DBB2EEC" w14:textId="719D79A2" w:rsidR="00FF797D" w:rsidRPr="009650FF" w:rsidRDefault="009650FF" w:rsidP="009650FF">
      <w:pPr>
        <w:spacing w:line="360" w:lineRule="auto"/>
        <w:ind w:left="1843" w:hanging="567"/>
        <w:jc w:val="both"/>
        <w:rPr>
          <w:sz w:val="28"/>
          <w:szCs w:val="28"/>
        </w:rPr>
      </w:pPr>
      <w:r w:rsidRPr="00196156">
        <w:rPr>
          <w:sz w:val="28"/>
          <w:szCs w:val="28"/>
        </w:rPr>
        <w:t>5.2</w:t>
      </w:r>
      <w:r w:rsidRPr="00196156">
        <w:rPr>
          <w:sz w:val="28"/>
          <w:szCs w:val="28"/>
        </w:rPr>
        <w:tab/>
      </w:r>
      <w:r w:rsidR="00FF797D" w:rsidRPr="009650FF">
        <w:rPr>
          <w:sz w:val="28"/>
          <w:szCs w:val="28"/>
        </w:rPr>
        <w:t>the manner in which the proposed improvements or upgrades will be implemented;</w:t>
      </w:r>
    </w:p>
    <w:p w14:paraId="6103C170" w14:textId="1BB7E9D5" w:rsidR="00FF797D" w:rsidRPr="009650FF" w:rsidRDefault="009650FF" w:rsidP="009650FF">
      <w:pPr>
        <w:spacing w:line="360" w:lineRule="auto"/>
        <w:ind w:left="1843" w:hanging="567"/>
        <w:jc w:val="both"/>
        <w:rPr>
          <w:sz w:val="28"/>
          <w:szCs w:val="28"/>
        </w:rPr>
      </w:pPr>
      <w:r w:rsidRPr="00196156">
        <w:rPr>
          <w:sz w:val="28"/>
          <w:szCs w:val="28"/>
        </w:rPr>
        <w:t>5.3</w:t>
      </w:r>
      <w:r w:rsidRPr="00196156">
        <w:rPr>
          <w:sz w:val="28"/>
          <w:szCs w:val="28"/>
        </w:rPr>
        <w:tab/>
      </w:r>
      <w:r w:rsidR="00FF797D" w:rsidRPr="009650FF">
        <w:rPr>
          <w:sz w:val="28"/>
          <w:szCs w:val="28"/>
        </w:rPr>
        <w:t>the timescale for achievement of the improvements or upgrades</w:t>
      </w:r>
      <w:r w:rsidR="00165924" w:rsidRPr="009650FF">
        <w:rPr>
          <w:sz w:val="28"/>
          <w:szCs w:val="28"/>
        </w:rPr>
        <w:t>;</w:t>
      </w:r>
    </w:p>
    <w:p w14:paraId="6820DE3F" w14:textId="73E49D4E" w:rsidR="00FF797D" w:rsidRPr="009650FF" w:rsidRDefault="009650FF" w:rsidP="009650FF">
      <w:pPr>
        <w:spacing w:line="360" w:lineRule="auto"/>
        <w:ind w:left="1843" w:hanging="567"/>
        <w:jc w:val="both"/>
        <w:rPr>
          <w:sz w:val="28"/>
          <w:szCs w:val="28"/>
        </w:rPr>
      </w:pPr>
      <w:r w:rsidRPr="00196156">
        <w:rPr>
          <w:sz w:val="28"/>
          <w:szCs w:val="28"/>
        </w:rPr>
        <w:t>5.4</w:t>
      </w:r>
      <w:r w:rsidRPr="00196156">
        <w:rPr>
          <w:sz w:val="28"/>
          <w:szCs w:val="28"/>
        </w:rPr>
        <w:tab/>
      </w:r>
      <w:r w:rsidR="00FF797D" w:rsidRPr="009650FF">
        <w:rPr>
          <w:sz w:val="28"/>
          <w:szCs w:val="28"/>
        </w:rPr>
        <w:t>‘an implementation program’ setting out ‘the implementation milestones, dates and responsibilities’</w:t>
      </w:r>
      <w:r w:rsidR="00165924" w:rsidRPr="009650FF">
        <w:rPr>
          <w:sz w:val="28"/>
          <w:szCs w:val="28"/>
        </w:rPr>
        <w:t>;</w:t>
      </w:r>
    </w:p>
    <w:p w14:paraId="4FFAFAB1" w14:textId="109D46B9" w:rsidR="00FF797D" w:rsidRPr="009650FF" w:rsidRDefault="009650FF" w:rsidP="009650FF">
      <w:pPr>
        <w:spacing w:line="360" w:lineRule="auto"/>
        <w:ind w:left="1843" w:hanging="567"/>
        <w:jc w:val="both"/>
        <w:rPr>
          <w:sz w:val="28"/>
          <w:szCs w:val="28"/>
        </w:rPr>
      </w:pPr>
      <w:r w:rsidRPr="00196156">
        <w:rPr>
          <w:sz w:val="28"/>
          <w:szCs w:val="28"/>
        </w:rPr>
        <w:t>5.5</w:t>
      </w:r>
      <w:r w:rsidRPr="00196156">
        <w:rPr>
          <w:sz w:val="28"/>
          <w:szCs w:val="28"/>
        </w:rPr>
        <w:tab/>
      </w:r>
      <w:r w:rsidR="00FF797D" w:rsidRPr="009650FF">
        <w:rPr>
          <w:sz w:val="28"/>
          <w:szCs w:val="28"/>
        </w:rPr>
        <w:t>‘the aggregate SRA rates that ar</w:t>
      </w:r>
      <w:r w:rsidR="002A6311" w:rsidRPr="009650FF">
        <w:rPr>
          <w:sz w:val="28"/>
          <w:szCs w:val="28"/>
        </w:rPr>
        <w:t>e proposed to be levied by the m</w:t>
      </w:r>
      <w:r w:rsidR="00FF797D" w:rsidRPr="009650FF">
        <w:rPr>
          <w:sz w:val="28"/>
          <w:szCs w:val="28"/>
        </w:rPr>
        <w:t>unicipality’</w:t>
      </w:r>
      <w:r w:rsidR="00165924" w:rsidRPr="009650FF">
        <w:rPr>
          <w:sz w:val="28"/>
          <w:szCs w:val="28"/>
        </w:rPr>
        <w:t>;</w:t>
      </w:r>
    </w:p>
    <w:p w14:paraId="6A70300A" w14:textId="05524EC8" w:rsidR="00FF797D" w:rsidRPr="009650FF" w:rsidRDefault="009650FF" w:rsidP="009650FF">
      <w:pPr>
        <w:spacing w:line="360" w:lineRule="auto"/>
        <w:ind w:left="1843" w:hanging="567"/>
        <w:jc w:val="both"/>
        <w:rPr>
          <w:sz w:val="28"/>
          <w:szCs w:val="28"/>
        </w:rPr>
      </w:pPr>
      <w:r w:rsidRPr="00196156">
        <w:rPr>
          <w:sz w:val="28"/>
          <w:szCs w:val="28"/>
        </w:rPr>
        <w:t>5.6</w:t>
      </w:r>
      <w:r w:rsidRPr="00196156">
        <w:rPr>
          <w:sz w:val="28"/>
          <w:szCs w:val="28"/>
        </w:rPr>
        <w:tab/>
      </w:r>
      <w:r w:rsidR="00FF797D" w:rsidRPr="009650FF">
        <w:rPr>
          <w:sz w:val="28"/>
          <w:szCs w:val="28"/>
        </w:rPr>
        <w:t xml:space="preserve">payment of any administration fee </w:t>
      </w:r>
      <w:r w:rsidR="006D3031" w:rsidRPr="009650FF">
        <w:rPr>
          <w:sz w:val="28"/>
          <w:szCs w:val="28"/>
        </w:rPr>
        <w:t>that</w:t>
      </w:r>
      <w:r w:rsidR="002A6311" w:rsidRPr="009650FF">
        <w:rPr>
          <w:sz w:val="28"/>
          <w:szCs w:val="28"/>
        </w:rPr>
        <w:t xml:space="preserve"> the m</w:t>
      </w:r>
      <w:r w:rsidR="00FF797D" w:rsidRPr="009650FF">
        <w:rPr>
          <w:sz w:val="28"/>
          <w:szCs w:val="28"/>
        </w:rPr>
        <w:t>unicipality may from time to time determine’.</w:t>
      </w:r>
    </w:p>
    <w:p w14:paraId="6CEFE45E" w14:textId="71B88B68" w:rsidR="00543204" w:rsidRPr="009650FF" w:rsidRDefault="009650FF" w:rsidP="009650FF">
      <w:pPr>
        <w:spacing w:line="360" w:lineRule="auto"/>
        <w:ind w:left="1276" w:hanging="567"/>
        <w:jc w:val="both"/>
        <w:rPr>
          <w:sz w:val="28"/>
          <w:szCs w:val="28"/>
        </w:rPr>
      </w:pPr>
      <w:r w:rsidRPr="00196156">
        <w:rPr>
          <w:sz w:val="28"/>
          <w:szCs w:val="28"/>
        </w:rPr>
        <w:t>6.</w:t>
      </w:r>
      <w:r w:rsidRPr="00196156">
        <w:rPr>
          <w:sz w:val="28"/>
          <w:szCs w:val="28"/>
        </w:rPr>
        <w:tab/>
      </w:r>
      <w:r w:rsidR="00543204" w:rsidRPr="009650FF">
        <w:rPr>
          <w:sz w:val="28"/>
          <w:szCs w:val="28"/>
        </w:rPr>
        <w:t>The memorandum of incorporation of the proposed management body must provide –</w:t>
      </w:r>
    </w:p>
    <w:p w14:paraId="4A18EA33" w14:textId="0AF20122" w:rsidR="00543204" w:rsidRPr="009650FF" w:rsidRDefault="009650FF" w:rsidP="009650FF">
      <w:pPr>
        <w:spacing w:line="360" w:lineRule="auto"/>
        <w:ind w:left="1843" w:hanging="567"/>
        <w:jc w:val="both"/>
        <w:rPr>
          <w:sz w:val="28"/>
          <w:szCs w:val="28"/>
        </w:rPr>
      </w:pPr>
      <w:r>
        <w:rPr>
          <w:sz w:val="28"/>
          <w:szCs w:val="28"/>
        </w:rPr>
        <w:t>6.1</w:t>
      </w:r>
      <w:r>
        <w:rPr>
          <w:sz w:val="28"/>
          <w:szCs w:val="28"/>
        </w:rPr>
        <w:tab/>
      </w:r>
      <w:r w:rsidR="00543204" w:rsidRPr="009650FF">
        <w:rPr>
          <w:sz w:val="28"/>
          <w:szCs w:val="28"/>
        </w:rPr>
        <w:t>that only owners of property within the proposed SRA may be members of the company</w:t>
      </w:r>
      <w:r w:rsidR="00165924" w:rsidRPr="009650FF">
        <w:rPr>
          <w:sz w:val="28"/>
          <w:szCs w:val="28"/>
        </w:rPr>
        <w:t>, and</w:t>
      </w:r>
    </w:p>
    <w:p w14:paraId="38DD90B4" w14:textId="28664BB7" w:rsidR="00543204" w:rsidRPr="009650FF" w:rsidRDefault="009650FF" w:rsidP="009650FF">
      <w:pPr>
        <w:spacing w:line="360" w:lineRule="auto"/>
        <w:ind w:left="1843" w:hanging="567"/>
        <w:jc w:val="both"/>
        <w:rPr>
          <w:sz w:val="28"/>
          <w:szCs w:val="28"/>
        </w:rPr>
      </w:pPr>
      <w:r>
        <w:rPr>
          <w:sz w:val="28"/>
          <w:szCs w:val="28"/>
        </w:rPr>
        <w:t>6.2</w:t>
      </w:r>
      <w:r>
        <w:rPr>
          <w:sz w:val="28"/>
          <w:szCs w:val="28"/>
        </w:rPr>
        <w:tab/>
      </w:r>
      <w:r w:rsidR="00543204" w:rsidRPr="009650FF">
        <w:rPr>
          <w:sz w:val="28"/>
          <w:szCs w:val="28"/>
        </w:rPr>
        <w:t>that each owner of each rateable property within the proposed SRA shall have one vote.</w:t>
      </w:r>
    </w:p>
    <w:p w14:paraId="27050BA1" w14:textId="39211A61" w:rsidR="006D3031" w:rsidRPr="00543204" w:rsidRDefault="006D3031" w:rsidP="00126CCB">
      <w:pPr>
        <w:pStyle w:val="ListParagraph"/>
        <w:spacing w:line="360" w:lineRule="auto"/>
        <w:ind w:left="0"/>
        <w:contextualSpacing w:val="0"/>
        <w:jc w:val="both"/>
        <w:rPr>
          <w:sz w:val="28"/>
          <w:szCs w:val="28"/>
        </w:rPr>
      </w:pPr>
      <w:r>
        <w:rPr>
          <w:sz w:val="28"/>
          <w:szCs w:val="28"/>
        </w:rPr>
        <w:t>(If an application is approved, the municipality is entitled</w:t>
      </w:r>
      <w:r w:rsidR="002A6311">
        <w:rPr>
          <w:sz w:val="28"/>
          <w:szCs w:val="28"/>
        </w:rPr>
        <w:t>,</w:t>
      </w:r>
      <w:r>
        <w:rPr>
          <w:sz w:val="28"/>
          <w:szCs w:val="28"/>
        </w:rPr>
        <w:t xml:space="preserve"> in terms of paragraph 11 of Part A, to nominate a political representative to attend and participate, but not </w:t>
      </w:r>
      <w:r w:rsidR="008D2428">
        <w:rPr>
          <w:sz w:val="28"/>
          <w:szCs w:val="28"/>
        </w:rPr>
        <w:t>vote, at meetings of the management body.)</w:t>
      </w:r>
    </w:p>
    <w:p w14:paraId="079BE8D9" w14:textId="36971F8C" w:rsidR="00FF797D" w:rsidRPr="009650FF" w:rsidRDefault="009650FF" w:rsidP="009650FF">
      <w:pPr>
        <w:spacing w:line="360" w:lineRule="auto"/>
        <w:ind w:left="1276" w:hanging="567"/>
        <w:jc w:val="both"/>
        <w:rPr>
          <w:sz w:val="28"/>
          <w:szCs w:val="28"/>
        </w:rPr>
      </w:pPr>
      <w:r w:rsidRPr="00196156">
        <w:rPr>
          <w:sz w:val="28"/>
          <w:szCs w:val="28"/>
        </w:rPr>
        <w:t>7.</w:t>
      </w:r>
      <w:r w:rsidRPr="00196156">
        <w:rPr>
          <w:sz w:val="28"/>
          <w:szCs w:val="28"/>
        </w:rPr>
        <w:tab/>
      </w:r>
      <w:r w:rsidR="00FF797D" w:rsidRPr="009650FF">
        <w:rPr>
          <w:sz w:val="28"/>
          <w:szCs w:val="28"/>
        </w:rPr>
        <w:t>The prescribed motivation report is required to contain:</w:t>
      </w:r>
    </w:p>
    <w:p w14:paraId="034079A5" w14:textId="4B17C0B2" w:rsidR="00FF797D" w:rsidRPr="009650FF" w:rsidRDefault="009650FF" w:rsidP="009650FF">
      <w:pPr>
        <w:spacing w:line="360" w:lineRule="auto"/>
        <w:ind w:left="1843" w:hanging="567"/>
        <w:jc w:val="both"/>
        <w:rPr>
          <w:sz w:val="28"/>
          <w:szCs w:val="28"/>
        </w:rPr>
      </w:pPr>
      <w:r w:rsidRPr="00196156">
        <w:rPr>
          <w:sz w:val="28"/>
          <w:szCs w:val="28"/>
        </w:rPr>
        <w:t>7.1</w:t>
      </w:r>
      <w:r w:rsidRPr="00196156">
        <w:rPr>
          <w:sz w:val="28"/>
          <w:szCs w:val="28"/>
        </w:rPr>
        <w:tab/>
      </w:r>
      <w:r w:rsidR="00FF797D" w:rsidRPr="009650FF">
        <w:rPr>
          <w:sz w:val="28"/>
          <w:szCs w:val="28"/>
        </w:rPr>
        <w:t>a list of all rateable properties in the proposed SRA, differentiated by category in accordance with s 8(2) of the PRA, with particulars of their owners and municipal valuation roll values;</w:t>
      </w:r>
    </w:p>
    <w:p w14:paraId="5B8753E1" w14:textId="67AF365E" w:rsidR="00FF797D" w:rsidRPr="009650FF" w:rsidRDefault="009650FF" w:rsidP="009650FF">
      <w:pPr>
        <w:spacing w:line="360" w:lineRule="auto"/>
        <w:ind w:left="1843" w:hanging="567"/>
        <w:jc w:val="both"/>
        <w:rPr>
          <w:sz w:val="28"/>
          <w:szCs w:val="28"/>
        </w:rPr>
      </w:pPr>
      <w:r w:rsidRPr="00196156">
        <w:rPr>
          <w:sz w:val="28"/>
          <w:szCs w:val="28"/>
        </w:rPr>
        <w:t>7.2</w:t>
      </w:r>
      <w:r w:rsidRPr="00196156">
        <w:rPr>
          <w:sz w:val="28"/>
          <w:szCs w:val="28"/>
        </w:rPr>
        <w:tab/>
      </w:r>
      <w:r w:rsidR="00FF797D" w:rsidRPr="009650FF">
        <w:rPr>
          <w:sz w:val="28"/>
          <w:szCs w:val="28"/>
        </w:rPr>
        <w:t>a diagram clearly indicating the boundaries of the proposed SRA;</w:t>
      </w:r>
    </w:p>
    <w:p w14:paraId="71A9CDA2" w14:textId="7842AD73" w:rsidR="00FF797D" w:rsidRPr="009650FF" w:rsidRDefault="009650FF" w:rsidP="009650FF">
      <w:pPr>
        <w:spacing w:line="360" w:lineRule="auto"/>
        <w:ind w:left="1843" w:hanging="567"/>
        <w:jc w:val="both"/>
        <w:rPr>
          <w:sz w:val="28"/>
          <w:szCs w:val="28"/>
        </w:rPr>
      </w:pPr>
      <w:r w:rsidRPr="00196156">
        <w:rPr>
          <w:sz w:val="28"/>
          <w:szCs w:val="28"/>
        </w:rPr>
        <w:t>7.3</w:t>
      </w:r>
      <w:r w:rsidRPr="00196156">
        <w:rPr>
          <w:sz w:val="28"/>
          <w:szCs w:val="28"/>
        </w:rPr>
        <w:tab/>
      </w:r>
      <w:r w:rsidR="00FF797D" w:rsidRPr="009650FF">
        <w:rPr>
          <w:sz w:val="28"/>
          <w:szCs w:val="28"/>
        </w:rPr>
        <w:t>an executive summary of the improvement or upgrade proposed for the SRA as set out in the SRA business plan;</w:t>
      </w:r>
    </w:p>
    <w:p w14:paraId="1A42AA1A" w14:textId="2075A59F" w:rsidR="00FF797D" w:rsidRPr="009650FF" w:rsidRDefault="009650FF" w:rsidP="009650FF">
      <w:pPr>
        <w:spacing w:line="360" w:lineRule="auto"/>
        <w:ind w:left="1843" w:hanging="567"/>
        <w:jc w:val="both"/>
        <w:rPr>
          <w:sz w:val="28"/>
          <w:szCs w:val="28"/>
        </w:rPr>
      </w:pPr>
      <w:r w:rsidRPr="00196156">
        <w:rPr>
          <w:sz w:val="28"/>
          <w:szCs w:val="28"/>
        </w:rPr>
        <w:t>7.4</w:t>
      </w:r>
      <w:r w:rsidRPr="00196156">
        <w:rPr>
          <w:sz w:val="28"/>
          <w:szCs w:val="28"/>
        </w:rPr>
        <w:tab/>
      </w:r>
      <w:r w:rsidR="00FF797D" w:rsidRPr="009650FF">
        <w:rPr>
          <w:sz w:val="28"/>
          <w:szCs w:val="28"/>
        </w:rPr>
        <w:t>an explanation of how the proposed improvement or upgrade is linked to the geographical area of the SRA;</w:t>
      </w:r>
    </w:p>
    <w:p w14:paraId="0A8470A7" w14:textId="3EA56B60" w:rsidR="00FF797D" w:rsidRPr="009650FF" w:rsidRDefault="009650FF" w:rsidP="009650FF">
      <w:pPr>
        <w:spacing w:line="360" w:lineRule="auto"/>
        <w:ind w:left="1843" w:hanging="567"/>
        <w:jc w:val="both"/>
        <w:rPr>
          <w:sz w:val="28"/>
          <w:szCs w:val="28"/>
        </w:rPr>
      </w:pPr>
      <w:r w:rsidRPr="00196156">
        <w:rPr>
          <w:sz w:val="28"/>
          <w:szCs w:val="28"/>
        </w:rPr>
        <w:t>7.5</w:t>
      </w:r>
      <w:r w:rsidRPr="00196156">
        <w:rPr>
          <w:sz w:val="28"/>
          <w:szCs w:val="28"/>
        </w:rPr>
        <w:tab/>
      </w:r>
      <w:r w:rsidR="00FF797D" w:rsidRPr="009650FF">
        <w:rPr>
          <w:sz w:val="28"/>
          <w:szCs w:val="28"/>
        </w:rPr>
        <w:t xml:space="preserve">an explanation of why the proposed SRA will not reinforce existing inequities in the development of the municipal area; and </w:t>
      </w:r>
    </w:p>
    <w:p w14:paraId="15E27BE8" w14:textId="7A1847E7" w:rsidR="00FF797D" w:rsidRPr="009650FF" w:rsidRDefault="009650FF" w:rsidP="009650FF">
      <w:pPr>
        <w:spacing w:line="360" w:lineRule="auto"/>
        <w:ind w:left="1843" w:hanging="567"/>
        <w:jc w:val="both"/>
        <w:rPr>
          <w:sz w:val="28"/>
          <w:szCs w:val="28"/>
        </w:rPr>
      </w:pPr>
      <w:r w:rsidRPr="00196156">
        <w:rPr>
          <w:sz w:val="28"/>
          <w:szCs w:val="28"/>
        </w:rPr>
        <w:t>7.6</w:t>
      </w:r>
      <w:r w:rsidRPr="00196156">
        <w:rPr>
          <w:sz w:val="28"/>
          <w:szCs w:val="28"/>
        </w:rPr>
        <w:tab/>
      </w:r>
      <w:r w:rsidR="00FF797D" w:rsidRPr="009650FF">
        <w:rPr>
          <w:sz w:val="28"/>
          <w:szCs w:val="28"/>
        </w:rPr>
        <w:t xml:space="preserve">an explanation of how the SRA, if it were established, would be consistent with the municipality’s integrated development plan. </w:t>
      </w:r>
    </w:p>
    <w:p w14:paraId="2CB82077" w14:textId="334FFC38" w:rsidR="001F3937" w:rsidRPr="009650FF" w:rsidRDefault="009650FF" w:rsidP="009650FF">
      <w:pPr>
        <w:spacing w:line="360" w:lineRule="auto"/>
        <w:ind w:left="1276" w:hanging="567"/>
        <w:jc w:val="both"/>
        <w:rPr>
          <w:sz w:val="28"/>
          <w:szCs w:val="28"/>
        </w:rPr>
      </w:pPr>
      <w:r w:rsidRPr="00196156">
        <w:rPr>
          <w:sz w:val="28"/>
          <w:szCs w:val="28"/>
        </w:rPr>
        <w:t>8.</w:t>
      </w:r>
      <w:r w:rsidRPr="00196156">
        <w:rPr>
          <w:sz w:val="28"/>
          <w:szCs w:val="28"/>
        </w:rPr>
        <w:tab/>
      </w:r>
      <w:r w:rsidR="00FF797D" w:rsidRPr="009650FF">
        <w:rPr>
          <w:sz w:val="28"/>
          <w:szCs w:val="28"/>
        </w:rPr>
        <w:t>The advertised meeting must be held, ‘chaired by a suitably qualified and experienced person’ and attended by a rep</w:t>
      </w:r>
      <w:r w:rsidR="00523580" w:rsidRPr="009650FF">
        <w:rPr>
          <w:sz w:val="28"/>
          <w:szCs w:val="28"/>
        </w:rPr>
        <w:t xml:space="preserve">resentative of the municipality. </w:t>
      </w:r>
      <w:r w:rsidR="00FF797D" w:rsidRPr="009650FF">
        <w:rPr>
          <w:sz w:val="28"/>
          <w:szCs w:val="28"/>
        </w:rPr>
        <w:t xml:space="preserve"> </w:t>
      </w:r>
      <w:r w:rsidR="00523580" w:rsidRPr="009650FF">
        <w:rPr>
          <w:sz w:val="28"/>
          <w:szCs w:val="28"/>
        </w:rPr>
        <w:t>Minutes</w:t>
      </w:r>
      <w:r w:rsidR="00FF797D" w:rsidRPr="009650FF">
        <w:rPr>
          <w:sz w:val="28"/>
          <w:szCs w:val="28"/>
        </w:rPr>
        <w:t xml:space="preserve"> must be kept of the proceedings which must be available for inspection by members of the local community.</w:t>
      </w:r>
    </w:p>
    <w:p w14:paraId="2EC23D03" w14:textId="42D1A9D5" w:rsidR="00044045" w:rsidRPr="009650FF" w:rsidRDefault="009650FF" w:rsidP="009650FF">
      <w:pPr>
        <w:spacing w:line="360" w:lineRule="auto"/>
        <w:jc w:val="both"/>
        <w:rPr>
          <w:sz w:val="28"/>
          <w:szCs w:val="28"/>
        </w:rPr>
      </w:pPr>
      <w:r w:rsidRPr="00196156">
        <w:rPr>
          <w:sz w:val="28"/>
          <w:szCs w:val="28"/>
        </w:rPr>
        <w:t>[20]</w:t>
      </w:r>
      <w:r w:rsidRPr="00196156">
        <w:rPr>
          <w:sz w:val="28"/>
          <w:szCs w:val="28"/>
        </w:rPr>
        <w:tab/>
      </w:r>
      <w:r w:rsidR="00044045" w:rsidRPr="009650FF">
        <w:rPr>
          <w:sz w:val="28"/>
          <w:szCs w:val="28"/>
        </w:rPr>
        <w:t xml:space="preserve">An application </w:t>
      </w:r>
      <w:r w:rsidR="000F7A18" w:rsidRPr="009650FF">
        <w:rPr>
          <w:sz w:val="28"/>
          <w:szCs w:val="28"/>
        </w:rPr>
        <w:t xml:space="preserve">to the appellant’s municipal council </w:t>
      </w:r>
      <w:r w:rsidR="00044045" w:rsidRPr="009650FF">
        <w:rPr>
          <w:sz w:val="28"/>
          <w:szCs w:val="28"/>
        </w:rPr>
        <w:t xml:space="preserve">for </w:t>
      </w:r>
      <w:r w:rsidR="000F7A18" w:rsidRPr="009650FF">
        <w:rPr>
          <w:sz w:val="28"/>
          <w:szCs w:val="28"/>
        </w:rPr>
        <w:t xml:space="preserve">the </w:t>
      </w:r>
      <w:r w:rsidR="00044045" w:rsidRPr="009650FF">
        <w:rPr>
          <w:sz w:val="28"/>
          <w:szCs w:val="28"/>
        </w:rPr>
        <w:t>establishment of an SRA</w:t>
      </w:r>
      <w:r w:rsidR="005B1DD9" w:rsidRPr="009650FF">
        <w:rPr>
          <w:sz w:val="28"/>
          <w:szCs w:val="28"/>
        </w:rPr>
        <w:t xml:space="preserve"> must evidence that all of the forementioned requirements have been complied with.  It must also be accompanied by copies of the </w:t>
      </w:r>
      <w:r w:rsidR="00165924" w:rsidRPr="009650FF">
        <w:rPr>
          <w:sz w:val="28"/>
          <w:szCs w:val="28"/>
        </w:rPr>
        <w:t xml:space="preserve">draft </w:t>
      </w:r>
      <w:r w:rsidR="005B1DD9" w:rsidRPr="009650FF">
        <w:rPr>
          <w:sz w:val="28"/>
          <w:szCs w:val="28"/>
        </w:rPr>
        <w:t>agreements (if any) that the applicant considers necessary</w:t>
      </w:r>
      <w:r w:rsidR="00557A42" w:rsidRPr="009650FF">
        <w:rPr>
          <w:sz w:val="28"/>
          <w:szCs w:val="28"/>
        </w:rPr>
        <w:t xml:space="preserve"> for</w:t>
      </w:r>
      <w:r w:rsidR="00634C25" w:rsidRPr="009650FF">
        <w:rPr>
          <w:sz w:val="28"/>
          <w:szCs w:val="28"/>
        </w:rPr>
        <w:t xml:space="preserve"> </w:t>
      </w:r>
      <w:r w:rsidR="005B1DD9" w:rsidRPr="009650FF">
        <w:rPr>
          <w:sz w:val="28"/>
          <w:szCs w:val="28"/>
        </w:rPr>
        <w:t>the proposed management body and the municipality to enter into in order for the submitted SRA business plan</w:t>
      </w:r>
      <w:r w:rsidR="000F7A18" w:rsidRPr="009650FF">
        <w:rPr>
          <w:sz w:val="28"/>
          <w:szCs w:val="28"/>
        </w:rPr>
        <w:t xml:space="preserve"> to be successfully implemented</w:t>
      </w:r>
      <w:r w:rsidR="005B1DD9" w:rsidRPr="009650FF">
        <w:rPr>
          <w:sz w:val="28"/>
          <w:szCs w:val="28"/>
        </w:rPr>
        <w:t>.  The applicant is required to provide proof</w:t>
      </w:r>
      <w:r w:rsidR="000F7A18" w:rsidRPr="009650FF">
        <w:rPr>
          <w:sz w:val="28"/>
          <w:szCs w:val="28"/>
        </w:rPr>
        <w:t>,</w:t>
      </w:r>
      <w:r w:rsidR="005B1DD9" w:rsidRPr="009650FF">
        <w:rPr>
          <w:sz w:val="28"/>
          <w:szCs w:val="28"/>
        </w:rPr>
        <w:t xml:space="preserve"> to the satisfaction of the municipality</w:t>
      </w:r>
      <w:r w:rsidR="000F7A18" w:rsidRPr="009650FF">
        <w:rPr>
          <w:sz w:val="28"/>
          <w:szCs w:val="28"/>
        </w:rPr>
        <w:t>,</w:t>
      </w:r>
      <w:r w:rsidR="005B1DD9" w:rsidRPr="009650FF">
        <w:rPr>
          <w:sz w:val="28"/>
          <w:szCs w:val="28"/>
        </w:rPr>
        <w:t xml:space="preserve"> that a majority of owners of rateable property within the proposed SRA</w:t>
      </w:r>
      <w:r w:rsidR="00A15A41" w:rsidRPr="009650FF">
        <w:rPr>
          <w:sz w:val="28"/>
          <w:szCs w:val="28"/>
        </w:rPr>
        <w:t xml:space="preserve"> have approved the proposed business plan and consented to the establishment of the proposed SRA.</w:t>
      </w:r>
    </w:p>
    <w:p w14:paraId="6CAB7660" w14:textId="0955B35B" w:rsidR="00C73641" w:rsidRPr="009650FF" w:rsidRDefault="009650FF" w:rsidP="009650FF">
      <w:pPr>
        <w:spacing w:line="360" w:lineRule="auto"/>
        <w:jc w:val="both"/>
        <w:rPr>
          <w:sz w:val="28"/>
          <w:szCs w:val="28"/>
        </w:rPr>
      </w:pPr>
      <w:r>
        <w:rPr>
          <w:sz w:val="28"/>
          <w:szCs w:val="28"/>
        </w:rPr>
        <w:t>[21]</w:t>
      </w:r>
      <w:r>
        <w:rPr>
          <w:sz w:val="28"/>
          <w:szCs w:val="28"/>
        </w:rPr>
        <w:tab/>
      </w:r>
      <w:r w:rsidR="00044045" w:rsidRPr="009650FF">
        <w:rPr>
          <w:sz w:val="28"/>
          <w:szCs w:val="28"/>
        </w:rPr>
        <w:t xml:space="preserve">Part A of the appellant’s rates policy further </w:t>
      </w:r>
      <w:r w:rsidR="001B09DC" w:rsidRPr="009650FF">
        <w:rPr>
          <w:sz w:val="28"/>
          <w:szCs w:val="28"/>
        </w:rPr>
        <w:t xml:space="preserve">provides </w:t>
      </w:r>
      <w:r w:rsidR="00044045" w:rsidRPr="009650FF">
        <w:rPr>
          <w:sz w:val="28"/>
          <w:szCs w:val="28"/>
        </w:rPr>
        <w:t>that any owner of property within the proposed SRA and any member of the ‘local community’</w:t>
      </w:r>
      <w:r w:rsidR="00165924">
        <w:rPr>
          <w:rStyle w:val="FootnoteReference"/>
          <w:sz w:val="28"/>
          <w:szCs w:val="28"/>
        </w:rPr>
        <w:footnoteReference w:id="9"/>
      </w:r>
      <w:r w:rsidR="00165924" w:rsidRPr="009650FF">
        <w:rPr>
          <w:sz w:val="28"/>
          <w:szCs w:val="28"/>
        </w:rPr>
        <w:t xml:space="preserve"> </w:t>
      </w:r>
      <w:r w:rsidR="00044045" w:rsidRPr="009650FF">
        <w:rPr>
          <w:sz w:val="28"/>
          <w:szCs w:val="28"/>
        </w:rPr>
        <w:t xml:space="preserve">may submit written objections to </w:t>
      </w:r>
      <w:r w:rsidR="004B341D" w:rsidRPr="009650FF">
        <w:rPr>
          <w:sz w:val="28"/>
          <w:szCs w:val="28"/>
        </w:rPr>
        <w:t xml:space="preserve">the </w:t>
      </w:r>
      <w:r w:rsidR="00044045" w:rsidRPr="009650FF">
        <w:rPr>
          <w:sz w:val="28"/>
          <w:szCs w:val="28"/>
        </w:rPr>
        <w:t>establishment of the SRA and provides for a four-week window of opportunity after the application has been lodged in which they can do so.</w:t>
      </w:r>
    </w:p>
    <w:p w14:paraId="08E93C5C" w14:textId="33151D94" w:rsidR="001569B4" w:rsidRPr="009650FF" w:rsidRDefault="009650FF" w:rsidP="009650FF">
      <w:pPr>
        <w:spacing w:line="360" w:lineRule="auto"/>
        <w:jc w:val="both"/>
        <w:rPr>
          <w:sz w:val="28"/>
          <w:szCs w:val="28"/>
        </w:rPr>
      </w:pPr>
      <w:r w:rsidRPr="00196156">
        <w:rPr>
          <w:sz w:val="28"/>
          <w:szCs w:val="28"/>
        </w:rPr>
        <w:t>[22]</w:t>
      </w:r>
      <w:r w:rsidRPr="00196156">
        <w:rPr>
          <w:sz w:val="28"/>
          <w:szCs w:val="28"/>
        </w:rPr>
        <w:tab/>
      </w:r>
      <w:r w:rsidR="001569B4" w:rsidRPr="009650FF">
        <w:rPr>
          <w:sz w:val="28"/>
          <w:szCs w:val="28"/>
        </w:rPr>
        <w:t>It is clear that all of the forementioned requirements of the appellant’s rates policy were directed at achieving compliance with the prescripts of s 22 of the PRA.</w:t>
      </w:r>
      <w:r w:rsidR="00603C32" w:rsidRPr="009650FF">
        <w:rPr>
          <w:sz w:val="28"/>
          <w:szCs w:val="28"/>
        </w:rPr>
        <w:t xml:space="preserve"> </w:t>
      </w:r>
    </w:p>
    <w:p w14:paraId="01476438" w14:textId="7C7C8764" w:rsidR="00A56B25" w:rsidRPr="009650FF" w:rsidRDefault="009650FF" w:rsidP="009650FF">
      <w:pPr>
        <w:spacing w:line="360" w:lineRule="auto"/>
        <w:jc w:val="both"/>
        <w:rPr>
          <w:sz w:val="28"/>
          <w:szCs w:val="28"/>
        </w:rPr>
      </w:pPr>
      <w:r>
        <w:rPr>
          <w:sz w:val="28"/>
          <w:szCs w:val="28"/>
        </w:rPr>
        <w:t>[23]</w:t>
      </w:r>
      <w:r>
        <w:rPr>
          <w:sz w:val="28"/>
          <w:szCs w:val="28"/>
        </w:rPr>
        <w:tab/>
      </w:r>
      <w:r w:rsidR="00557A42" w:rsidRPr="009650FF">
        <w:rPr>
          <w:sz w:val="28"/>
          <w:szCs w:val="28"/>
        </w:rPr>
        <w:t>Section</w:t>
      </w:r>
      <w:r w:rsidR="00E01D9B" w:rsidRPr="009650FF">
        <w:rPr>
          <w:sz w:val="28"/>
          <w:szCs w:val="28"/>
        </w:rPr>
        <w:t xml:space="preserve"> 22 does not </w:t>
      </w:r>
      <w:r w:rsidR="00523580" w:rsidRPr="009650FF">
        <w:rPr>
          <w:sz w:val="28"/>
          <w:szCs w:val="28"/>
        </w:rPr>
        <w:t>contain any prescription</w:t>
      </w:r>
      <w:r w:rsidR="00E01D9B" w:rsidRPr="009650FF">
        <w:rPr>
          <w:sz w:val="28"/>
          <w:szCs w:val="28"/>
        </w:rPr>
        <w:t xml:space="preserve"> concerning the initiation of the </w:t>
      </w:r>
      <w:r w:rsidR="008D2428" w:rsidRPr="009650FF">
        <w:rPr>
          <w:sz w:val="28"/>
          <w:szCs w:val="28"/>
        </w:rPr>
        <w:t>process to establish</w:t>
      </w:r>
      <w:r w:rsidR="00E01D9B" w:rsidRPr="009650FF">
        <w:rPr>
          <w:sz w:val="28"/>
          <w:szCs w:val="28"/>
        </w:rPr>
        <w:t xml:space="preserve"> an SRA.  All that it does is prescribe</w:t>
      </w:r>
      <w:r w:rsidR="008D2428" w:rsidRPr="009650FF">
        <w:rPr>
          <w:sz w:val="28"/>
          <w:szCs w:val="28"/>
        </w:rPr>
        <w:t>,</w:t>
      </w:r>
      <w:r w:rsidR="00E01D9B" w:rsidRPr="009650FF">
        <w:rPr>
          <w:sz w:val="28"/>
          <w:szCs w:val="28"/>
        </w:rPr>
        <w:t xml:space="preserve"> in broad terms</w:t>
      </w:r>
      <w:r w:rsidR="008D2428" w:rsidRPr="009650FF">
        <w:rPr>
          <w:sz w:val="28"/>
          <w:szCs w:val="28"/>
        </w:rPr>
        <w:t>,</w:t>
      </w:r>
      <w:r w:rsidR="00E01D9B" w:rsidRPr="009650FF">
        <w:rPr>
          <w:sz w:val="28"/>
          <w:szCs w:val="28"/>
        </w:rPr>
        <w:t xml:space="preserve"> the nature of consultation that must precede any decision by a municipal council to establish an SRA</w:t>
      </w:r>
      <w:r w:rsidR="00523580">
        <w:rPr>
          <w:rStyle w:val="FootnoteReference"/>
          <w:sz w:val="28"/>
          <w:szCs w:val="28"/>
        </w:rPr>
        <w:footnoteReference w:id="10"/>
      </w:r>
      <w:r w:rsidR="00E01D9B" w:rsidRPr="009650FF">
        <w:rPr>
          <w:sz w:val="28"/>
          <w:szCs w:val="28"/>
        </w:rPr>
        <w:t xml:space="preserve">  and the considerations that a council must </w:t>
      </w:r>
      <w:r w:rsidR="00A27FEE" w:rsidRPr="009650FF">
        <w:rPr>
          <w:sz w:val="28"/>
          <w:szCs w:val="28"/>
        </w:rPr>
        <w:t>weigh in making the decision.</w:t>
      </w:r>
      <w:r w:rsidR="00A56B25">
        <w:rPr>
          <w:rStyle w:val="FootnoteReference"/>
          <w:sz w:val="28"/>
          <w:szCs w:val="28"/>
        </w:rPr>
        <w:footnoteReference w:id="11"/>
      </w:r>
      <w:r w:rsidR="00E01D9B" w:rsidRPr="009650FF">
        <w:rPr>
          <w:sz w:val="28"/>
          <w:szCs w:val="28"/>
        </w:rPr>
        <w:t xml:space="preserve"> </w:t>
      </w:r>
      <w:r w:rsidR="00A27FEE" w:rsidRPr="009650FF">
        <w:rPr>
          <w:sz w:val="28"/>
          <w:szCs w:val="28"/>
        </w:rPr>
        <w:t xml:space="preserve"> </w:t>
      </w:r>
    </w:p>
    <w:p w14:paraId="2ADC7BC8" w14:textId="6FBF24F6" w:rsidR="00D60E04" w:rsidRPr="009650FF" w:rsidRDefault="009650FF" w:rsidP="009650FF">
      <w:pPr>
        <w:spacing w:line="360" w:lineRule="auto"/>
        <w:jc w:val="both"/>
        <w:rPr>
          <w:sz w:val="28"/>
          <w:szCs w:val="28"/>
        </w:rPr>
      </w:pPr>
      <w:r w:rsidRPr="00196156">
        <w:rPr>
          <w:sz w:val="28"/>
          <w:szCs w:val="28"/>
        </w:rPr>
        <w:t>[24]</w:t>
      </w:r>
      <w:r w:rsidRPr="00196156">
        <w:rPr>
          <w:sz w:val="28"/>
          <w:szCs w:val="28"/>
        </w:rPr>
        <w:tab/>
      </w:r>
      <w:r w:rsidR="00557A42" w:rsidRPr="009650FF">
        <w:rPr>
          <w:sz w:val="28"/>
          <w:szCs w:val="28"/>
        </w:rPr>
        <w:t xml:space="preserve">The provision, in relevant part, </w:t>
      </w:r>
      <w:r w:rsidR="00A27FEE" w:rsidRPr="009650FF">
        <w:rPr>
          <w:sz w:val="28"/>
          <w:szCs w:val="28"/>
        </w:rPr>
        <w:t>is conceptually, rather than procedurally, prescriptive.  It gives municipalities a relatively free hand in how to go about establishing SRAs.</w:t>
      </w:r>
      <w:r w:rsidR="00C47B9C" w:rsidRPr="009650FF">
        <w:rPr>
          <w:sz w:val="28"/>
          <w:szCs w:val="28"/>
        </w:rPr>
        <w:t xml:space="preserve"> </w:t>
      </w:r>
      <w:r w:rsidR="00B14C99" w:rsidRPr="009650FF">
        <w:rPr>
          <w:sz w:val="28"/>
          <w:szCs w:val="28"/>
        </w:rPr>
        <w:t>Obviously, municipalities are obliged, in relation to s 22(2)(</w:t>
      </w:r>
      <w:r w:rsidR="00B14C99" w:rsidRPr="009650FF">
        <w:rPr>
          <w:i/>
          <w:sz w:val="28"/>
          <w:szCs w:val="28"/>
        </w:rPr>
        <w:t>a</w:t>
      </w:r>
      <w:r w:rsidR="00B14C99" w:rsidRPr="009650FF">
        <w:rPr>
          <w:sz w:val="28"/>
          <w:szCs w:val="28"/>
        </w:rPr>
        <w:t>)</w:t>
      </w:r>
      <w:r w:rsidR="00D05525" w:rsidRPr="009650FF">
        <w:rPr>
          <w:sz w:val="28"/>
          <w:szCs w:val="28"/>
        </w:rPr>
        <w:t>,</w:t>
      </w:r>
      <w:r w:rsidR="00B14C99" w:rsidRPr="009650FF">
        <w:rPr>
          <w:sz w:val="28"/>
          <w:szCs w:val="28"/>
        </w:rPr>
        <w:t xml:space="preserve"> t</w:t>
      </w:r>
      <w:r w:rsidR="008D2428" w:rsidRPr="009650FF">
        <w:rPr>
          <w:sz w:val="28"/>
          <w:szCs w:val="28"/>
        </w:rPr>
        <w:t>o comply with the Systems Act concerning</w:t>
      </w:r>
      <w:r w:rsidR="00B14C99" w:rsidRPr="009650FF">
        <w:rPr>
          <w:sz w:val="28"/>
          <w:szCs w:val="28"/>
        </w:rPr>
        <w:t xml:space="preserve"> public participation</w:t>
      </w:r>
      <w:r w:rsidR="00621C0D" w:rsidRPr="009650FF">
        <w:rPr>
          <w:sz w:val="28"/>
          <w:szCs w:val="28"/>
        </w:rPr>
        <w:t xml:space="preserve"> and notice</w:t>
      </w:r>
      <w:r w:rsidR="001E5A56" w:rsidRPr="009650FF">
        <w:rPr>
          <w:sz w:val="28"/>
          <w:szCs w:val="28"/>
        </w:rPr>
        <w:t>.  The detail of what is required in this regard in given cases will necessarily vary depending on the circumstances.</w:t>
      </w:r>
    </w:p>
    <w:p w14:paraId="67856D6A" w14:textId="0BAB5997" w:rsidR="00A56B25" w:rsidRPr="009650FF" w:rsidRDefault="009650FF" w:rsidP="009650FF">
      <w:pPr>
        <w:spacing w:line="360" w:lineRule="auto"/>
        <w:jc w:val="both"/>
        <w:rPr>
          <w:sz w:val="28"/>
          <w:szCs w:val="28"/>
        </w:rPr>
      </w:pPr>
      <w:r>
        <w:rPr>
          <w:sz w:val="28"/>
          <w:szCs w:val="28"/>
        </w:rPr>
        <w:t>[25]</w:t>
      </w:r>
      <w:r>
        <w:rPr>
          <w:sz w:val="28"/>
          <w:szCs w:val="28"/>
        </w:rPr>
        <w:tab/>
      </w:r>
      <w:r w:rsidR="00CB06B7" w:rsidRPr="009650FF">
        <w:rPr>
          <w:sz w:val="28"/>
          <w:szCs w:val="28"/>
        </w:rPr>
        <w:t>Part A of the appellant</w:t>
      </w:r>
      <w:r w:rsidR="00B93F64" w:rsidRPr="009650FF">
        <w:rPr>
          <w:sz w:val="28"/>
          <w:szCs w:val="28"/>
        </w:rPr>
        <w:t>’</w:t>
      </w:r>
      <w:r w:rsidR="00573072" w:rsidRPr="009650FF">
        <w:rPr>
          <w:sz w:val="28"/>
          <w:szCs w:val="28"/>
        </w:rPr>
        <w:t>s rate</w:t>
      </w:r>
      <w:r w:rsidR="006675BB" w:rsidRPr="009650FF">
        <w:rPr>
          <w:sz w:val="28"/>
          <w:szCs w:val="28"/>
        </w:rPr>
        <w:t>s policy plainly</w:t>
      </w:r>
      <w:r w:rsidR="00CB06B7" w:rsidRPr="009650FF">
        <w:rPr>
          <w:sz w:val="28"/>
          <w:szCs w:val="28"/>
        </w:rPr>
        <w:t xml:space="preserve"> contemplates that the initiating steps for the establishment of an SRA would </w:t>
      </w:r>
      <w:r w:rsidR="006675BB" w:rsidRPr="009650FF">
        <w:rPr>
          <w:sz w:val="28"/>
          <w:szCs w:val="28"/>
        </w:rPr>
        <w:t xml:space="preserve">ordinarily </w:t>
      </w:r>
      <w:r w:rsidR="00CB06B7" w:rsidRPr="009650FF">
        <w:rPr>
          <w:sz w:val="28"/>
          <w:szCs w:val="28"/>
        </w:rPr>
        <w:t>be undertaken by the affected ratepayers</w:t>
      </w:r>
      <w:r w:rsidR="00A276B3" w:rsidRPr="009650FF">
        <w:rPr>
          <w:sz w:val="28"/>
          <w:szCs w:val="28"/>
        </w:rPr>
        <w:t>,</w:t>
      </w:r>
      <w:r w:rsidR="00CE35CA" w:rsidRPr="009650FF">
        <w:rPr>
          <w:sz w:val="28"/>
          <w:szCs w:val="28"/>
        </w:rPr>
        <w:t xml:space="preserve"> culminating in an application by those ratepayers to the municipality</w:t>
      </w:r>
      <w:r w:rsidR="00C47B9C" w:rsidRPr="009650FF">
        <w:rPr>
          <w:sz w:val="28"/>
          <w:szCs w:val="28"/>
        </w:rPr>
        <w:t>. I</w:t>
      </w:r>
      <w:r w:rsidR="00CB06B7" w:rsidRPr="009650FF">
        <w:rPr>
          <w:sz w:val="28"/>
          <w:szCs w:val="28"/>
        </w:rPr>
        <w:t xml:space="preserve">t does nevertheless </w:t>
      </w:r>
      <w:r w:rsidR="00B93F64" w:rsidRPr="009650FF">
        <w:rPr>
          <w:sz w:val="28"/>
          <w:szCs w:val="28"/>
        </w:rPr>
        <w:t xml:space="preserve">also </w:t>
      </w:r>
      <w:r w:rsidR="00CB06B7" w:rsidRPr="009650FF">
        <w:rPr>
          <w:sz w:val="28"/>
          <w:szCs w:val="28"/>
        </w:rPr>
        <w:t xml:space="preserve">record that its provisions </w:t>
      </w:r>
      <w:r w:rsidR="00B93F64" w:rsidRPr="009650FF">
        <w:rPr>
          <w:sz w:val="28"/>
          <w:szCs w:val="28"/>
        </w:rPr>
        <w:t>do not</w:t>
      </w:r>
      <w:r w:rsidR="00B06FD6" w:rsidRPr="009650FF">
        <w:rPr>
          <w:sz w:val="28"/>
          <w:szCs w:val="28"/>
        </w:rPr>
        <w:t xml:space="preserve"> detract from the entitlement of the municipality itself to initiate the establ</w:t>
      </w:r>
      <w:r w:rsidR="00D05525" w:rsidRPr="009650FF">
        <w:rPr>
          <w:sz w:val="28"/>
          <w:szCs w:val="28"/>
        </w:rPr>
        <w:t>ishment of such a rating area.</w:t>
      </w:r>
    </w:p>
    <w:p w14:paraId="04C364F9" w14:textId="3D4377E5" w:rsidR="00E55BEC" w:rsidRPr="009650FF" w:rsidRDefault="009650FF" w:rsidP="009650FF">
      <w:pPr>
        <w:spacing w:line="360" w:lineRule="auto"/>
        <w:jc w:val="both"/>
        <w:rPr>
          <w:sz w:val="28"/>
          <w:szCs w:val="28"/>
        </w:rPr>
      </w:pPr>
      <w:r w:rsidRPr="00196156">
        <w:rPr>
          <w:sz w:val="28"/>
          <w:szCs w:val="28"/>
        </w:rPr>
        <w:t>[26]</w:t>
      </w:r>
      <w:r w:rsidRPr="00196156">
        <w:rPr>
          <w:sz w:val="28"/>
          <w:szCs w:val="28"/>
        </w:rPr>
        <w:tab/>
      </w:r>
      <w:r w:rsidR="00B94573" w:rsidRPr="009650FF">
        <w:rPr>
          <w:sz w:val="28"/>
          <w:szCs w:val="28"/>
        </w:rPr>
        <w:t>It is evident</w:t>
      </w:r>
      <w:r w:rsidR="00B06FD6" w:rsidRPr="009650FF">
        <w:rPr>
          <w:sz w:val="28"/>
          <w:szCs w:val="28"/>
        </w:rPr>
        <w:t xml:space="preserve"> from s 22</w:t>
      </w:r>
      <w:r w:rsidR="00B94573" w:rsidRPr="009650FF">
        <w:rPr>
          <w:sz w:val="28"/>
          <w:szCs w:val="28"/>
        </w:rPr>
        <w:t>(2)(</w:t>
      </w:r>
      <w:r w:rsidR="00B94573" w:rsidRPr="009650FF">
        <w:rPr>
          <w:i/>
          <w:sz w:val="28"/>
          <w:szCs w:val="28"/>
        </w:rPr>
        <w:t>b</w:t>
      </w:r>
      <w:r w:rsidR="00B94573" w:rsidRPr="009650FF">
        <w:rPr>
          <w:sz w:val="28"/>
          <w:szCs w:val="28"/>
        </w:rPr>
        <w:t>)</w:t>
      </w:r>
      <w:r w:rsidR="00B06FD6" w:rsidRPr="009650FF">
        <w:rPr>
          <w:sz w:val="28"/>
          <w:szCs w:val="28"/>
        </w:rPr>
        <w:t xml:space="preserve"> o</w:t>
      </w:r>
      <w:r w:rsidR="00CE35CA" w:rsidRPr="009650FF">
        <w:rPr>
          <w:sz w:val="28"/>
          <w:szCs w:val="28"/>
        </w:rPr>
        <w:t>f</w:t>
      </w:r>
      <w:r w:rsidR="00B06FD6" w:rsidRPr="009650FF">
        <w:rPr>
          <w:sz w:val="28"/>
          <w:szCs w:val="28"/>
        </w:rPr>
        <w:t xml:space="preserve"> the PRA that</w:t>
      </w:r>
      <w:r w:rsidR="006675BB" w:rsidRPr="009650FF">
        <w:rPr>
          <w:sz w:val="28"/>
          <w:szCs w:val="28"/>
        </w:rPr>
        <w:t>,</w:t>
      </w:r>
      <w:r w:rsidR="00B06FD6" w:rsidRPr="009650FF">
        <w:rPr>
          <w:sz w:val="28"/>
          <w:szCs w:val="28"/>
        </w:rPr>
        <w:t xml:space="preserve"> irrespective of the identity of the initiating party, an SRA can only be established with the support of more than half of the ratepayers who will be liable to pay the additional rate.</w:t>
      </w:r>
      <w:r w:rsidR="0021136D" w:rsidRPr="00196156">
        <w:rPr>
          <w:rStyle w:val="FootnoteReference"/>
          <w:sz w:val="28"/>
          <w:szCs w:val="28"/>
        </w:rPr>
        <w:footnoteReference w:id="12"/>
      </w:r>
      <w:r w:rsidR="00C47B9C" w:rsidRPr="009650FF">
        <w:rPr>
          <w:sz w:val="28"/>
          <w:szCs w:val="28"/>
        </w:rPr>
        <w:t xml:space="preserve"> </w:t>
      </w:r>
      <w:r w:rsidR="00B94573" w:rsidRPr="009650FF">
        <w:rPr>
          <w:sz w:val="28"/>
          <w:szCs w:val="28"/>
        </w:rPr>
        <w:t>Th</w:t>
      </w:r>
      <w:r w:rsidR="00CD16D0" w:rsidRPr="009650FF">
        <w:rPr>
          <w:sz w:val="28"/>
          <w:szCs w:val="28"/>
        </w:rPr>
        <w:t xml:space="preserve">is </w:t>
      </w:r>
      <w:r w:rsidR="008A4533" w:rsidRPr="009650FF">
        <w:rPr>
          <w:sz w:val="28"/>
          <w:szCs w:val="28"/>
        </w:rPr>
        <w:t>highlight</w:t>
      </w:r>
      <w:r w:rsidR="00634C25" w:rsidRPr="009650FF">
        <w:rPr>
          <w:sz w:val="28"/>
          <w:szCs w:val="28"/>
        </w:rPr>
        <w:t xml:space="preserve">s </w:t>
      </w:r>
      <w:r w:rsidR="00B94573" w:rsidRPr="009650FF">
        <w:rPr>
          <w:sz w:val="28"/>
          <w:szCs w:val="28"/>
        </w:rPr>
        <w:t>that</w:t>
      </w:r>
      <w:r w:rsidR="000832D1" w:rsidRPr="009650FF">
        <w:rPr>
          <w:sz w:val="28"/>
          <w:szCs w:val="28"/>
        </w:rPr>
        <w:t xml:space="preserve"> the establishment of an SRA </w:t>
      </w:r>
      <w:r w:rsidR="0021136D" w:rsidRPr="009650FF">
        <w:rPr>
          <w:sz w:val="28"/>
          <w:szCs w:val="28"/>
        </w:rPr>
        <w:t xml:space="preserve">will always entail </w:t>
      </w:r>
      <w:r w:rsidR="000832D1" w:rsidRPr="009650FF">
        <w:rPr>
          <w:sz w:val="28"/>
          <w:szCs w:val="28"/>
        </w:rPr>
        <w:t xml:space="preserve">a cooperative effort between </w:t>
      </w:r>
      <w:r w:rsidR="008A4533" w:rsidRPr="009650FF">
        <w:rPr>
          <w:sz w:val="28"/>
          <w:szCs w:val="28"/>
        </w:rPr>
        <w:t xml:space="preserve">the legislative and executive branches of </w:t>
      </w:r>
      <w:r w:rsidR="000832D1" w:rsidRPr="009650FF">
        <w:rPr>
          <w:sz w:val="28"/>
          <w:szCs w:val="28"/>
        </w:rPr>
        <w:t>a municipality</w:t>
      </w:r>
      <w:r w:rsidR="00220AE8" w:rsidRPr="009650FF">
        <w:rPr>
          <w:sz w:val="28"/>
          <w:szCs w:val="28"/>
        </w:rPr>
        <w:t>,</w:t>
      </w:r>
      <w:r w:rsidR="00E55BEC" w:rsidRPr="009650FF">
        <w:rPr>
          <w:sz w:val="28"/>
          <w:szCs w:val="28"/>
        </w:rPr>
        <w:t xml:space="preserve"> of the one part</w:t>
      </w:r>
      <w:r w:rsidR="00220AE8" w:rsidRPr="009650FF">
        <w:rPr>
          <w:sz w:val="28"/>
          <w:szCs w:val="28"/>
        </w:rPr>
        <w:t>,</w:t>
      </w:r>
      <w:r w:rsidR="000832D1" w:rsidRPr="009650FF">
        <w:rPr>
          <w:sz w:val="28"/>
          <w:szCs w:val="28"/>
        </w:rPr>
        <w:t xml:space="preserve"> and the affected ratepayers</w:t>
      </w:r>
      <w:r w:rsidR="00220AE8" w:rsidRPr="009650FF">
        <w:rPr>
          <w:sz w:val="28"/>
          <w:szCs w:val="28"/>
        </w:rPr>
        <w:t>,</w:t>
      </w:r>
      <w:r w:rsidR="00E55BEC" w:rsidRPr="009650FF">
        <w:rPr>
          <w:sz w:val="28"/>
          <w:szCs w:val="28"/>
        </w:rPr>
        <w:t xml:space="preserve"> of the other</w:t>
      </w:r>
      <w:r w:rsidR="000832D1" w:rsidRPr="009650FF">
        <w:rPr>
          <w:sz w:val="28"/>
          <w:szCs w:val="28"/>
        </w:rPr>
        <w:t>.  A municipality is not empowered to unilaterally foist an SRA on a community of ratepayers, the majority of whom are opposed to its establishment.</w:t>
      </w:r>
      <w:r w:rsidR="008A4533" w:rsidRPr="009650FF">
        <w:rPr>
          <w:sz w:val="28"/>
          <w:szCs w:val="28"/>
        </w:rPr>
        <w:t xml:space="preserve">  </w:t>
      </w:r>
    </w:p>
    <w:p w14:paraId="17F6D997" w14:textId="6E8F6748" w:rsidR="00D05525" w:rsidRPr="009650FF" w:rsidRDefault="009650FF" w:rsidP="009650FF">
      <w:pPr>
        <w:spacing w:line="360" w:lineRule="auto"/>
        <w:jc w:val="both"/>
        <w:rPr>
          <w:sz w:val="28"/>
          <w:szCs w:val="28"/>
        </w:rPr>
      </w:pPr>
      <w:r>
        <w:rPr>
          <w:sz w:val="28"/>
          <w:szCs w:val="28"/>
        </w:rPr>
        <w:t>[27]</w:t>
      </w:r>
      <w:r>
        <w:rPr>
          <w:sz w:val="28"/>
          <w:szCs w:val="28"/>
        </w:rPr>
        <w:tab/>
      </w:r>
      <w:r w:rsidR="000C3F28" w:rsidRPr="009650FF">
        <w:rPr>
          <w:sz w:val="28"/>
          <w:szCs w:val="28"/>
        </w:rPr>
        <w:t>T</w:t>
      </w:r>
      <w:r w:rsidR="00F81A37" w:rsidRPr="009650FF">
        <w:rPr>
          <w:sz w:val="28"/>
          <w:szCs w:val="28"/>
        </w:rPr>
        <w:t>he construction of s 22 for which the first respondent contends is fundamentally dependent on giving the word ‘municipality’ wherever it appears in the provision a limited</w:t>
      </w:r>
      <w:r w:rsidR="007A0374" w:rsidRPr="009650FF">
        <w:rPr>
          <w:sz w:val="28"/>
          <w:szCs w:val="28"/>
        </w:rPr>
        <w:t xml:space="preserve"> meaning, restricted only to the legislative and executive manifestations of the concept.  The word, however, has a wider import; not only in ordinary English, but also in the special</w:t>
      </w:r>
      <w:r w:rsidR="0048763A" w:rsidRPr="009650FF">
        <w:rPr>
          <w:sz w:val="28"/>
          <w:szCs w:val="28"/>
        </w:rPr>
        <w:t>ly</w:t>
      </w:r>
      <w:r w:rsidR="007A0374" w:rsidRPr="009650FF">
        <w:rPr>
          <w:sz w:val="28"/>
          <w:szCs w:val="28"/>
        </w:rPr>
        <w:t xml:space="preserve"> defined language used in the suite of local government legislation enacted between the years 1998 and 2004</w:t>
      </w:r>
      <w:r w:rsidR="006E49A5" w:rsidRPr="009650FF">
        <w:rPr>
          <w:sz w:val="28"/>
          <w:szCs w:val="28"/>
        </w:rPr>
        <w:t>,</w:t>
      </w:r>
      <w:r w:rsidR="007A0374" w:rsidRPr="009650FF">
        <w:rPr>
          <w:sz w:val="28"/>
          <w:szCs w:val="28"/>
        </w:rPr>
        <w:t xml:space="preserve"> of which the </w:t>
      </w:r>
      <w:r w:rsidR="00220AE8" w:rsidRPr="009650FF">
        <w:rPr>
          <w:sz w:val="28"/>
          <w:szCs w:val="28"/>
        </w:rPr>
        <w:t xml:space="preserve">PRA </w:t>
      </w:r>
      <w:r w:rsidR="007A0374" w:rsidRPr="009650FF">
        <w:rPr>
          <w:sz w:val="28"/>
          <w:szCs w:val="28"/>
        </w:rPr>
        <w:t>is an integral component</w:t>
      </w:r>
      <w:r w:rsidR="004F7C74" w:rsidRPr="009650FF">
        <w:rPr>
          <w:sz w:val="28"/>
          <w:szCs w:val="28"/>
        </w:rPr>
        <w:t xml:space="preserve">.  The suite comprises </w:t>
      </w:r>
      <w:r w:rsidR="001776AA" w:rsidRPr="009650FF">
        <w:rPr>
          <w:sz w:val="28"/>
          <w:szCs w:val="28"/>
        </w:rPr>
        <w:t>the Local Government: Municipal Structures Act 117 of 1998, the Systems Act, the Local Government: Municipal Fina</w:t>
      </w:r>
      <w:r w:rsidR="001E43B2" w:rsidRPr="009650FF">
        <w:rPr>
          <w:sz w:val="28"/>
          <w:szCs w:val="28"/>
        </w:rPr>
        <w:t>nce Management Act 56 of 2003 (the MFMA</w:t>
      </w:r>
      <w:r w:rsidR="001776AA" w:rsidRPr="009650FF">
        <w:rPr>
          <w:sz w:val="28"/>
          <w:szCs w:val="28"/>
        </w:rPr>
        <w:t>) and the PRA</w:t>
      </w:r>
      <w:r w:rsidR="007A0374" w:rsidRPr="009650FF">
        <w:rPr>
          <w:sz w:val="28"/>
          <w:szCs w:val="28"/>
        </w:rPr>
        <w:t>.</w:t>
      </w:r>
      <w:r w:rsidR="001776AA" w:rsidRPr="009650FF">
        <w:rPr>
          <w:sz w:val="28"/>
          <w:szCs w:val="28"/>
        </w:rPr>
        <w:t xml:space="preserve">  </w:t>
      </w:r>
    </w:p>
    <w:p w14:paraId="03F6F2E5" w14:textId="5C888772" w:rsidR="004F7C74" w:rsidRPr="009650FF" w:rsidRDefault="009650FF" w:rsidP="009650FF">
      <w:pPr>
        <w:spacing w:line="360" w:lineRule="auto"/>
        <w:jc w:val="both"/>
        <w:rPr>
          <w:sz w:val="28"/>
          <w:szCs w:val="28"/>
        </w:rPr>
      </w:pPr>
      <w:r w:rsidRPr="000C3F28">
        <w:rPr>
          <w:sz w:val="28"/>
          <w:szCs w:val="28"/>
        </w:rPr>
        <w:t>[28]</w:t>
      </w:r>
      <w:r w:rsidRPr="000C3F28">
        <w:rPr>
          <w:sz w:val="28"/>
          <w:szCs w:val="28"/>
        </w:rPr>
        <w:tab/>
      </w:r>
      <w:r w:rsidR="00100CB5" w:rsidRPr="009650FF">
        <w:rPr>
          <w:sz w:val="28"/>
          <w:szCs w:val="28"/>
        </w:rPr>
        <w:t>T</w:t>
      </w:r>
      <w:r w:rsidR="001776AA" w:rsidRPr="009650FF">
        <w:rPr>
          <w:sz w:val="28"/>
          <w:szCs w:val="28"/>
        </w:rPr>
        <w:t xml:space="preserve">his Court </w:t>
      </w:r>
      <w:r w:rsidR="00100CB5" w:rsidRPr="009650FF">
        <w:rPr>
          <w:sz w:val="28"/>
          <w:szCs w:val="28"/>
        </w:rPr>
        <w:t>held</w:t>
      </w:r>
      <w:r w:rsidR="001776AA" w:rsidRPr="009650FF">
        <w:rPr>
          <w:sz w:val="28"/>
          <w:szCs w:val="28"/>
        </w:rPr>
        <w:t xml:space="preserve"> in </w:t>
      </w:r>
      <w:r w:rsidR="001776AA" w:rsidRPr="009650FF">
        <w:rPr>
          <w:i/>
          <w:sz w:val="28"/>
          <w:szCs w:val="28"/>
        </w:rPr>
        <w:t xml:space="preserve">South African Property Owners Association v </w:t>
      </w:r>
      <w:r w:rsidR="007C1E61" w:rsidRPr="009650FF">
        <w:rPr>
          <w:i/>
          <w:sz w:val="28"/>
          <w:szCs w:val="28"/>
        </w:rPr>
        <w:t xml:space="preserve">Council of the City of </w:t>
      </w:r>
      <w:r w:rsidR="001776AA" w:rsidRPr="009650FF">
        <w:rPr>
          <w:i/>
          <w:sz w:val="28"/>
          <w:szCs w:val="28"/>
        </w:rPr>
        <w:t>Johannesburg Metropolitan Municipality and Others</w:t>
      </w:r>
      <w:r w:rsidR="001776AA" w:rsidRPr="009650FF">
        <w:rPr>
          <w:sz w:val="28"/>
          <w:szCs w:val="28"/>
        </w:rPr>
        <w:t>,</w:t>
      </w:r>
      <w:r w:rsidR="00220AE8">
        <w:rPr>
          <w:rStyle w:val="FootnoteReference"/>
          <w:sz w:val="28"/>
          <w:szCs w:val="28"/>
        </w:rPr>
        <w:footnoteReference w:id="13"/>
      </w:r>
      <w:r w:rsidR="001776AA" w:rsidRPr="009650FF">
        <w:rPr>
          <w:sz w:val="28"/>
          <w:szCs w:val="28"/>
        </w:rPr>
        <w:t xml:space="preserve"> </w:t>
      </w:r>
      <w:r w:rsidR="00100CB5" w:rsidRPr="009650FF">
        <w:rPr>
          <w:sz w:val="28"/>
          <w:szCs w:val="28"/>
        </w:rPr>
        <w:t xml:space="preserve">that </w:t>
      </w:r>
      <w:r w:rsidR="0048763A" w:rsidRPr="009650FF">
        <w:rPr>
          <w:sz w:val="28"/>
          <w:szCs w:val="28"/>
        </w:rPr>
        <w:t>‘</w:t>
      </w:r>
      <w:r w:rsidR="00100CB5" w:rsidRPr="009650FF">
        <w:rPr>
          <w:sz w:val="28"/>
          <w:szCs w:val="28"/>
        </w:rPr>
        <w:t>[t]</w:t>
      </w:r>
      <w:r w:rsidR="0048763A" w:rsidRPr="009650FF">
        <w:rPr>
          <w:sz w:val="28"/>
          <w:szCs w:val="28"/>
        </w:rPr>
        <w:t>he three Acts [the judgment omitted Act 117 of 1998] must be read together as they form part of the</w:t>
      </w:r>
      <w:bookmarkStart w:id="7" w:name="LPHit1"/>
      <w:bookmarkEnd w:id="7"/>
      <w:r w:rsidR="001C7233" w:rsidRPr="009650FF">
        <w:rPr>
          <w:sz w:val="28"/>
          <w:szCs w:val="28"/>
        </w:rPr>
        <w:t xml:space="preserve"> </w:t>
      </w:r>
      <w:r w:rsidR="0048763A" w:rsidRPr="009650FF">
        <w:rPr>
          <w:sz w:val="28"/>
          <w:szCs w:val="28"/>
        </w:rPr>
        <w:t>suite of legislation</w:t>
      </w:r>
      <w:r w:rsidR="001C7233" w:rsidRPr="009650FF">
        <w:rPr>
          <w:sz w:val="28"/>
          <w:szCs w:val="28"/>
        </w:rPr>
        <w:t xml:space="preserve"> </w:t>
      </w:r>
      <w:r w:rsidR="0048763A" w:rsidRPr="009650FF">
        <w:rPr>
          <w:sz w:val="28"/>
          <w:szCs w:val="28"/>
        </w:rPr>
        <w:t>that gives effect to the new system of local government’.</w:t>
      </w:r>
      <w:r w:rsidR="001C7233" w:rsidRPr="00196156">
        <w:rPr>
          <w:rStyle w:val="FootnoteReference"/>
          <w:sz w:val="28"/>
          <w:szCs w:val="28"/>
        </w:rPr>
        <w:footnoteReference w:id="14"/>
      </w:r>
      <w:r w:rsidR="0048763A" w:rsidRPr="009650FF">
        <w:rPr>
          <w:sz w:val="28"/>
          <w:szCs w:val="28"/>
        </w:rPr>
        <w:t xml:space="preserve">  </w:t>
      </w:r>
    </w:p>
    <w:p w14:paraId="59ED7C04" w14:textId="1AE3C2A8" w:rsidR="00E56772" w:rsidRPr="009650FF" w:rsidRDefault="009650FF" w:rsidP="009650FF">
      <w:pPr>
        <w:spacing w:line="360" w:lineRule="auto"/>
        <w:jc w:val="both"/>
        <w:rPr>
          <w:sz w:val="28"/>
          <w:szCs w:val="28"/>
        </w:rPr>
      </w:pPr>
      <w:r>
        <w:rPr>
          <w:sz w:val="28"/>
          <w:szCs w:val="28"/>
        </w:rPr>
        <w:t>[29]</w:t>
      </w:r>
      <w:r>
        <w:rPr>
          <w:sz w:val="28"/>
          <w:szCs w:val="28"/>
        </w:rPr>
        <w:tab/>
      </w:r>
      <w:r w:rsidR="00F53040" w:rsidRPr="009650FF">
        <w:rPr>
          <w:sz w:val="28"/>
          <w:szCs w:val="28"/>
        </w:rPr>
        <w:t>Section 2(</w:t>
      </w:r>
      <w:r w:rsidR="00F53040" w:rsidRPr="009650FF">
        <w:rPr>
          <w:i/>
          <w:sz w:val="28"/>
          <w:szCs w:val="28"/>
        </w:rPr>
        <w:t>b</w:t>
      </w:r>
      <w:r w:rsidR="00F53040" w:rsidRPr="009650FF">
        <w:rPr>
          <w:sz w:val="28"/>
          <w:szCs w:val="28"/>
        </w:rPr>
        <w:t xml:space="preserve">) of the Systems Act provides that a municipality </w:t>
      </w:r>
      <w:r w:rsidR="007C1E61" w:rsidRPr="009650FF">
        <w:rPr>
          <w:sz w:val="28"/>
          <w:szCs w:val="28"/>
        </w:rPr>
        <w:t xml:space="preserve">consists of </w:t>
      </w:r>
      <w:r w:rsidR="00F53040" w:rsidRPr="009650FF">
        <w:rPr>
          <w:sz w:val="28"/>
          <w:szCs w:val="28"/>
        </w:rPr>
        <w:t>(i) </w:t>
      </w:r>
      <w:r w:rsidR="002367FB" w:rsidRPr="009650FF">
        <w:rPr>
          <w:sz w:val="28"/>
          <w:szCs w:val="28"/>
        </w:rPr>
        <w:t>the political structures and administration of the municipality; and</w:t>
      </w:r>
      <w:r w:rsidR="00F53040" w:rsidRPr="009650FF">
        <w:rPr>
          <w:sz w:val="28"/>
          <w:szCs w:val="28"/>
        </w:rPr>
        <w:t xml:space="preserve"> (ii) </w:t>
      </w:r>
      <w:r w:rsidR="002367FB" w:rsidRPr="009650FF">
        <w:rPr>
          <w:sz w:val="28"/>
          <w:szCs w:val="28"/>
        </w:rPr>
        <w:t>the community of the municipality</w:t>
      </w:r>
      <w:r w:rsidR="00F53040" w:rsidRPr="009650FF">
        <w:rPr>
          <w:sz w:val="28"/>
          <w:szCs w:val="28"/>
        </w:rPr>
        <w:t xml:space="preserve">.  The conceptualisation of ‘municipality’ in the Systems Act is consistent with the import of the word in ordinary English usage.  </w:t>
      </w:r>
      <w:r w:rsidR="009D2BFE" w:rsidRPr="009650FF">
        <w:rPr>
          <w:sz w:val="28"/>
          <w:szCs w:val="28"/>
        </w:rPr>
        <w:t xml:space="preserve">The primary definition of ‘municipality’ given in </w:t>
      </w:r>
      <w:r w:rsidR="009D2BFE" w:rsidRPr="009650FF">
        <w:rPr>
          <w:i/>
          <w:sz w:val="28"/>
          <w:szCs w:val="28"/>
        </w:rPr>
        <w:t>The Shorter Oxford English Dictionary</w:t>
      </w:r>
      <w:r w:rsidR="009D2BFE" w:rsidRPr="009650FF">
        <w:rPr>
          <w:sz w:val="28"/>
          <w:szCs w:val="28"/>
        </w:rPr>
        <w:t xml:space="preserve"> 3ed is ‘A town, city, or district possessed of privileges of local self-government, also applied to its inhabitants collectively’.</w:t>
      </w:r>
      <w:r w:rsidR="000E61A8" w:rsidRPr="009650FF">
        <w:rPr>
          <w:sz w:val="28"/>
          <w:szCs w:val="28"/>
        </w:rPr>
        <w:t xml:space="preserve">  </w:t>
      </w:r>
    </w:p>
    <w:p w14:paraId="33D0F590" w14:textId="2F7C14E1" w:rsidR="004136BE" w:rsidRPr="009650FF" w:rsidRDefault="009650FF" w:rsidP="009650FF">
      <w:pPr>
        <w:spacing w:line="360" w:lineRule="auto"/>
        <w:jc w:val="both"/>
        <w:rPr>
          <w:sz w:val="28"/>
          <w:szCs w:val="28"/>
        </w:rPr>
      </w:pPr>
      <w:r w:rsidRPr="00196156">
        <w:rPr>
          <w:sz w:val="28"/>
          <w:szCs w:val="28"/>
        </w:rPr>
        <w:t>[30]</w:t>
      </w:r>
      <w:r w:rsidRPr="00196156">
        <w:rPr>
          <w:sz w:val="28"/>
          <w:szCs w:val="28"/>
        </w:rPr>
        <w:tab/>
      </w:r>
      <w:r w:rsidR="000E61A8" w:rsidRPr="009650FF">
        <w:rPr>
          <w:sz w:val="28"/>
          <w:szCs w:val="28"/>
        </w:rPr>
        <w:t xml:space="preserve">The definition of ‘municipality’ originally contained in s 1 of the PRA applied the definition in s 2 of the Systems Act.  </w:t>
      </w:r>
      <w:r w:rsidR="00100CB5" w:rsidRPr="009650FF">
        <w:rPr>
          <w:sz w:val="28"/>
          <w:szCs w:val="28"/>
        </w:rPr>
        <w:t>It was deleted by s 1(</w:t>
      </w:r>
      <w:r w:rsidR="00100CB5" w:rsidRPr="009650FF">
        <w:rPr>
          <w:i/>
          <w:sz w:val="28"/>
          <w:szCs w:val="28"/>
        </w:rPr>
        <w:t>g</w:t>
      </w:r>
      <w:r w:rsidR="00100CB5" w:rsidRPr="009650FF">
        <w:rPr>
          <w:sz w:val="28"/>
          <w:szCs w:val="28"/>
        </w:rPr>
        <w:t xml:space="preserve">) of the Local Government: Municipal Property Rates Amendment Act 29 </w:t>
      </w:r>
      <w:r w:rsidR="006444EA" w:rsidRPr="009650FF">
        <w:rPr>
          <w:sz w:val="28"/>
          <w:szCs w:val="28"/>
        </w:rPr>
        <w:t>of 2014</w:t>
      </w:r>
      <w:r w:rsidR="00F36937" w:rsidRPr="009650FF">
        <w:rPr>
          <w:sz w:val="28"/>
          <w:szCs w:val="28"/>
        </w:rPr>
        <w:t>, without substitution</w:t>
      </w:r>
      <w:r w:rsidR="006444EA" w:rsidRPr="009650FF">
        <w:rPr>
          <w:sz w:val="28"/>
          <w:szCs w:val="28"/>
        </w:rPr>
        <w:t xml:space="preserve">. </w:t>
      </w:r>
      <w:r w:rsidR="00940B16" w:rsidRPr="009650FF">
        <w:rPr>
          <w:sz w:val="28"/>
          <w:szCs w:val="28"/>
        </w:rPr>
        <w:t xml:space="preserve">Bearing in </w:t>
      </w:r>
      <w:r w:rsidR="003A5C46" w:rsidRPr="009650FF">
        <w:rPr>
          <w:sz w:val="28"/>
          <w:szCs w:val="28"/>
        </w:rPr>
        <w:t>mind the integral relationship of the respective statutes, there is every reason to interpret the language used in them consistently unless the context requires otherwise.</w:t>
      </w:r>
    </w:p>
    <w:p w14:paraId="72695BE4" w14:textId="5D31405F" w:rsidR="00B83F68" w:rsidRPr="009650FF" w:rsidRDefault="009650FF" w:rsidP="009650FF">
      <w:pPr>
        <w:spacing w:line="360" w:lineRule="auto"/>
        <w:jc w:val="both"/>
        <w:rPr>
          <w:sz w:val="28"/>
          <w:szCs w:val="28"/>
        </w:rPr>
      </w:pPr>
      <w:r w:rsidRPr="00196156">
        <w:rPr>
          <w:sz w:val="28"/>
          <w:szCs w:val="28"/>
        </w:rPr>
        <w:t>[31]</w:t>
      </w:r>
      <w:r w:rsidRPr="00196156">
        <w:rPr>
          <w:sz w:val="28"/>
          <w:szCs w:val="28"/>
        </w:rPr>
        <w:tab/>
      </w:r>
      <w:r w:rsidR="00637FEC" w:rsidRPr="009650FF">
        <w:rPr>
          <w:sz w:val="28"/>
          <w:szCs w:val="28"/>
        </w:rPr>
        <w:t xml:space="preserve">Section 22 of the PRA contains nothing that would prevent the legislative or executive organs of a municipality of their own initiative establishing an SRA.  </w:t>
      </w:r>
      <w:r w:rsidR="001378BE" w:rsidRPr="009650FF">
        <w:rPr>
          <w:sz w:val="28"/>
          <w:szCs w:val="28"/>
        </w:rPr>
        <w:t>I</w:t>
      </w:r>
      <w:r w:rsidR="008A4533" w:rsidRPr="009650FF">
        <w:rPr>
          <w:sz w:val="28"/>
          <w:szCs w:val="28"/>
        </w:rPr>
        <w:t>n the ordinary case</w:t>
      </w:r>
      <w:r w:rsidR="00637FEC" w:rsidRPr="009650FF">
        <w:rPr>
          <w:sz w:val="28"/>
          <w:szCs w:val="28"/>
        </w:rPr>
        <w:t>, however,</w:t>
      </w:r>
      <w:r w:rsidR="008A4533" w:rsidRPr="009650FF">
        <w:rPr>
          <w:sz w:val="28"/>
          <w:szCs w:val="28"/>
        </w:rPr>
        <w:t xml:space="preserve"> it would </w:t>
      </w:r>
      <w:r w:rsidR="006444EA" w:rsidRPr="009650FF">
        <w:rPr>
          <w:sz w:val="28"/>
          <w:szCs w:val="28"/>
        </w:rPr>
        <w:t xml:space="preserve">only </w:t>
      </w:r>
      <w:r w:rsidR="008A4533" w:rsidRPr="009650FF">
        <w:rPr>
          <w:sz w:val="28"/>
          <w:szCs w:val="28"/>
        </w:rPr>
        <w:t>be ratepayers dissatisfied with the level of municipal services being delivered</w:t>
      </w:r>
      <w:r w:rsidR="006562AA" w:rsidRPr="009650FF">
        <w:rPr>
          <w:sz w:val="28"/>
          <w:szCs w:val="28"/>
        </w:rPr>
        <w:t>,</w:t>
      </w:r>
      <w:r w:rsidR="008A4533" w:rsidRPr="009650FF">
        <w:rPr>
          <w:sz w:val="28"/>
          <w:szCs w:val="28"/>
        </w:rPr>
        <w:t xml:space="preserve"> and willing to pay a premium on their rates to improve the position</w:t>
      </w:r>
      <w:r w:rsidR="006562AA" w:rsidRPr="009650FF">
        <w:rPr>
          <w:sz w:val="28"/>
          <w:szCs w:val="28"/>
        </w:rPr>
        <w:t>,</w:t>
      </w:r>
      <w:r w:rsidR="008A4533" w:rsidRPr="009650FF">
        <w:rPr>
          <w:sz w:val="28"/>
          <w:szCs w:val="28"/>
        </w:rPr>
        <w:t xml:space="preserve"> who would agitate for the creation of an SRA in their local area.</w:t>
      </w:r>
      <w:r w:rsidR="00637FEC" w:rsidRPr="009650FF">
        <w:rPr>
          <w:sz w:val="28"/>
          <w:szCs w:val="28"/>
        </w:rPr>
        <w:t xml:space="preserve"> </w:t>
      </w:r>
      <w:r w:rsidR="006444EA" w:rsidRPr="009650FF">
        <w:rPr>
          <w:sz w:val="28"/>
          <w:szCs w:val="28"/>
        </w:rPr>
        <w:t>Those</w:t>
      </w:r>
      <w:r w:rsidR="00A600AB" w:rsidRPr="009650FF">
        <w:rPr>
          <w:sz w:val="28"/>
          <w:szCs w:val="28"/>
        </w:rPr>
        <w:t xml:space="preserve"> ratepayers</w:t>
      </w:r>
      <w:r w:rsidR="00E56772" w:rsidRPr="009650FF">
        <w:rPr>
          <w:sz w:val="28"/>
          <w:szCs w:val="28"/>
        </w:rPr>
        <w:t>, collectively,</w:t>
      </w:r>
      <w:r w:rsidR="00A600AB" w:rsidRPr="009650FF">
        <w:rPr>
          <w:sz w:val="28"/>
          <w:szCs w:val="28"/>
        </w:rPr>
        <w:t xml:space="preserve"> would be the obvious persons to </w:t>
      </w:r>
      <w:r w:rsidR="006562AA" w:rsidRPr="009650FF">
        <w:rPr>
          <w:sz w:val="28"/>
          <w:szCs w:val="28"/>
        </w:rPr>
        <w:t>(i) </w:t>
      </w:r>
      <w:r w:rsidR="00637FEC" w:rsidRPr="009650FF">
        <w:rPr>
          <w:sz w:val="28"/>
          <w:szCs w:val="28"/>
        </w:rPr>
        <w:t xml:space="preserve">decide how their interests </w:t>
      </w:r>
      <w:r w:rsidR="00A600AB" w:rsidRPr="009650FF">
        <w:rPr>
          <w:sz w:val="28"/>
          <w:szCs w:val="28"/>
        </w:rPr>
        <w:t>would be best served by the establi</w:t>
      </w:r>
      <w:r w:rsidR="006444EA" w:rsidRPr="009650FF">
        <w:rPr>
          <w:sz w:val="28"/>
          <w:szCs w:val="28"/>
        </w:rPr>
        <w:t xml:space="preserve">shment of an SRA, </w:t>
      </w:r>
      <w:r w:rsidR="006562AA" w:rsidRPr="009650FF">
        <w:rPr>
          <w:sz w:val="28"/>
          <w:szCs w:val="28"/>
        </w:rPr>
        <w:t>(ii) </w:t>
      </w:r>
      <w:r w:rsidR="006444EA" w:rsidRPr="009650FF">
        <w:rPr>
          <w:sz w:val="28"/>
          <w:szCs w:val="28"/>
        </w:rPr>
        <w:t>identify the</w:t>
      </w:r>
      <w:r w:rsidR="00A600AB" w:rsidRPr="009650FF">
        <w:rPr>
          <w:sz w:val="28"/>
          <w:szCs w:val="28"/>
        </w:rPr>
        <w:t xml:space="preserve"> issues it should address and </w:t>
      </w:r>
      <w:r w:rsidR="006562AA" w:rsidRPr="009650FF">
        <w:rPr>
          <w:sz w:val="28"/>
          <w:szCs w:val="28"/>
        </w:rPr>
        <w:t>(iii) </w:t>
      </w:r>
      <w:r w:rsidR="00A600AB" w:rsidRPr="009650FF">
        <w:rPr>
          <w:sz w:val="28"/>
          <w:szCs w:val="28"/>
        </w:rPr>
        <w:t xml:space="preserve">devise a business plan directed at achieving the desired improvements within a budget that they were willing to finance.  </w:t>
      </w:r>
      <w:r w:rsidR="006A74BA" w:rsidRPr="009650FF">
        <w:rPr>
          <w:sz w:val="28"/>
          <w:szCs w:val="28"/>
        </w:rPr>
        <w:t xml:space="preserve">Giving the potentially affected ratepayers an initiating role in the process of establishing SRAs would </w:t>
      </w:r>
      <w:r w:rsidR="00E56772" w:rsidRPr="009650FF">
        <w:rPr>
          <w:sz w:val="28"/>
          <w:szCs w:val="28"/>
        </w:rPr>
        <w:t xml:space="preserve">therefore </w:t>
      </w:r>
      <w:r w:rsidR="006A74BA" w:rsidRPr="009650FF">
        <w:rPr>
          <w:sz w:val="28"/>
          <w:szCs w:val="28"/>
        </w:rPr>
        <w:t xml:space="preserve">not only be pragmatic, it would also be a way of fulfilling a municipality’s </w:t>
      </w:r>
      <w:r w:rsidR="004A6085" w:rsidRPr="009650FF">
        <w:rPr>
          <w:sz w:val="28"/>
          <w:szCs w:val="28"/>
        </w:rPr>
        <w:t>obligation</w:t>
      </w:r>
      <w:r w:rsidR="006562AA" w:rsidRPr="009650FF">
        <w:rPr>
          <w:sz w:val="28"/>
          <w:szCs w:val="28"/>
        </w:rPr>
        <w:t>,</w:t>
      </w:r>
      <w:r w:rsidR="004A6085" w:rsidRPr="009650FF">
        <w:rPr>
          <w:sz w:val="28"/>
          <w:szCs w:val="28"/>
        </w:rPr>
        <w:t xml:space="preserve"> in terms of s 152(2) of the Constitution</w:t>
      </w:r>
      <w:r w:rsidR="006562AA" w:rsidRPr="009650FF">
        <w:rPr>
          <w:sz w:val="28"/>
          <w:szCs w:val="28"/>
        </w:rPr>
        <w:t>,</w:t>
      </w:r>
      <w:r w:rsidR="004A6085" w:rsidRPr="009650FF">
        <w:rPr>
          <w:sz w:val="28"/>
          <w:szCs w:val="28"/>
        </w:rPr>
        <w:t xml:space="preserve"> to strive to achieve one of the important objects of local government, viz</w:t>
      </w:r>
      <w:bookmarkStart w:id="8" w:name="0-0-0-119599"/>
      <w:bookmarkEnd w:id="8"/>
      <w:r w:rsidR="004A6085" w:rsidRPr="009650FF">
        <w:rPr>
          <w:sz w:val="28"/>
          <w:szCs w:val="28"/>
        </w:rPr>
        <w:t> ‘to encourage the involvement of communities and community organisations in the matters of local government’.</w:t>
      </w:r>
      <w:r w:rsidR="004A6085" w:rsidRPr="00196156">
        <w:rPr>
          <w:rStyle w:val="FootnoteReference"/>
          <w:sz w:val="28"/>
          <w:szCs w:val="28"/>
        </w:rPr>
        <w:footnoteReference w:id="15"/>
      </w:r>
      <w:r w:rsidR="004A6085" w:rsidRPr="009650FF">
        <w:rPr>
          <w:sz w:val="28"/>
          <w:szCs w:val="28"/>
        </w:rPr>
        <w:t xml:space="preserve"> </w:t>
      </w:r>
    </w:p>
    <w:p w14:paraId="4EF73E13" w14:textId="160A38E3" w:rsidR="00FC5363" w:rsidRPr="009650FF" w:rsidRDefault="009650FF" w:rsidP="009650FF">
      <w:pPr>
        <w:spacing w:line="360" w:lineRule="auto"/>
        <w:jc w:val="both"/>
        <w:rPr>
          <w:sz w:val="28"/>
          <w:szCs w:val="28"/>
        </w:rPr>
      </w:pPr>
      <w:r w:rsidRPr="00196156">
        <w:rPr>
          <w:sz w:val="28"/>
          <w:szCs w:val="28"/>
        </w:rPr>
        <w:t>[32]</w:t>
      </w:r>
      <w:r w:rsidRPr="00196156">
        <w:rPr>
          <w:sz w:val="28"/>
          <w:szCs w:val="28"/>
        </w:rPr>
        <w:tab/>
      </w:r>
      <w:r w:rsidR="006562AA" w:rsidRPr="009650FF">
        <w:rPr>
          <w:sz w:val="28"/>
          <w:szCs w:val="28"/>
        </w:rPr>
        <w:t>In contrast, c</w:t>
      </w:r>
      <w:r w:rsidR="006444EA" w:rsidRPr="009650FF">
        <w:rPr>
          <w:sz w:val="28"/>
          <w:szCs w:val="28"/>
        </w:rPr>
        <w:t>onstruing</w:t>
      </w:r>
      <w:r w:rsidR="00292C7C" w:rsidRPr="009650FF">
        <w:rPr>
          <w:sz w:val="28"/>
          <w:szCs w:val="28"/>
        </w:rPr>
        <w:t xml:space="preserve"> </w:t>
      </w:r>
      <w:r w:rsidR="00E37454" w:rsidRPr="009650FF">
        <w:rPr>
          <w:sz w:val="28"/>
          <w:szCs w:val="28"/>
        </w:rPr>
        <w:t xml:space="preserve">s 22 in the manner contended for by the </w:t>
      </w:r>
      <w:r w:rsidR="000434D4" w:rsidRPr="009650FF">
        <w:rPr>
          <w:sz w:val="28"/>
          <w:szCs w:val="28"/>
        </w:rPr>
        <w:t xml:space="preserve">first </w:t>
      </w:r>
      <w:r w:rsidR="00E37454" w:rsidRPr="009650FF">
        <w:rPr>
          <w:sz w:val="28"/>
          <w:szCs w:val="28"/>
        </w:rPr>
        <w:t xml:space="preserve">respondent would be to place </w:t>
      </w:r>
      <w:r w:rsidR="006444EA" w:rsidRPr="009650FF">
        <w:rPr>
          <w:sz w:val="28"/>
          <w:szCs w:val="28"/>
        </w:rPr>
        <w:t xml:space="preserve">already </w:t>
      </w:r>
      <w:r w:rsidR="00FD57FA" w:rsidRPr="009650FF">
        <w:rPr>
          <w:sz w:val="28"/>
          <w:szCs w:val="28"/>
        </w:rPr>
        <w:t>resource-challenged</w:t>
      </w:r>
      <w:r w:rsidR="00E37454" w:rsidRPr="009650FF">
        <w:rPr>
          <w:sz w:val="28"/>
          <w:szCs w:val="28"/>
        </w:rPr>
        <w:t xml:space="preserve"> local authorities under an additional administrative burden of </w:t>
      </w:r>
      <w:r w:rsidR="006562AA" w:rsidRPr="009650FF">
        <w:rPr>
          <w:sz w:val="28"/>
          <w:szCs w:val="28"/>
        </w:rPr>
        <w:t xml:space="preserve">having to </w:t>
      </w:r>
      <w:r w:rsidR="00E37454" w:rsidRPr="009650FF">
        <w:rPr>
          <w:sz w:val="28"/>
          <w:szCs w:val="28"/>
        </w:rPr>
        <w:t xml:space="preserve">identify areas that might benefit from the establishment of an SRA, canvassing the potentially affected ratepayers and running some form of electoral process to determine whether the statutorily required level of support for </w:t>
      </w:r>
      <w:r w:rsidR="00FD57FA" w:rsidRPr="009650FF">
        <w:rPr>
          <w:sz w:val="28"/>
          <w:szCs w:val="28"/>
        </w:rPr>
        <w:t>its</w:t>
      </w:r>
      <w:r w:rsidR="00E37454" w:rsidRPr="009650FF">
        <w:rPr>
          <w:sz w:val="28"/>
          <w:szCs w:val="28"/>
        </w:rPr>
        <w:t xml:space="preserve"> </w:t>
      </w:r>
      <w:r w:rsidR="00FD57FA" w:rsidRPr="009650FF">
        <w:rPr>
          <w:sz w:val="28"/>
          <w:szCs w:val="28"/>
        </w:rPr>
        <w:t xml:space="preserve">establishment </w:t>
      </w:r>
      <w:r w:rsidR="00E37454" w:rsidRPr="009650FF">
        <w:rPr>
          <w:sz w:val="28"/>
          <w:szCs w:val="28"/>
        </w:rPr>
        <w:t>could be achieved.  The exercise, which</w:t>
      </w:r>
      <w:r w:rsidR="001733D2" w:rsidRPr="009650FF">
        <w:rPr>
          <w:sz w:val="28"/>
          <w:szCs w:val="28"/>
        </w:rPr>
        <w:t xml:space="preserve"> </w:t>
      </w:r>
      <w:r w:rsidR="001733D2" w:rsidRPr="009650FF">
        <w:rPr>
          <w:sz w:val="28"/>
          <w:szCs w:val="28"/>
          <w:vertAlign w:val="superscript"/>
        </w:rPr>
        <w:t>_</w:t>
      </w:r>
      <w:r w:rsidR="00E37454" w:rsidRPr="009650FF">
        <w:rPr>
          <w:sz w:val="28"/>
          <w:szCs w:val="28"/>
          <w:vertAlign w:val="superscript"/>
        </w:rPr>
        <w:t xml:space="preserve"> </w:t>
      </w:r>
      <w:r w:rsidR="00E37454" w:rsidRPr="009650FF">
        <w:rPr>
          <w:sz w:val="28"/>
          <w:szCs w:val="28"/>
        </w:rPr>
        <w:t>as the initial attempt at establishing an SRA in a larger area in thi</w:t>
      </w:r>
      <w:r w:rsidR="001733D2" w:rsidRPr="009650FF">
        <w:rPr>
          <w:sz w:val="28"/>
          <w:szCs w:val="28"/>
        </w:rPr>
        <w:t>s case illustrated</w:t>
      </w:r>
      <w:r w:rsidR="008804D1" w:rsidRPr="009650FF">
        <w:rPr>
          <w:sz w:val="28"/>
          <w:szCs w:val="28"/>
        </w:rPr>
        <w:t xml:space="preserve"> </w:t>
      </w:r>
      <w:r w:rsidR="001733D2" w:rsidRPr="009650FF">
        <w:rPr>
          <w:sz w:val="28"/>
          <w:szCs w:val="28"/>
          <w:vertAlign w:val="superscript"/>
        </w:rPr>
        <w:t xml:space="preserve">_ </w:t>
      </w:r>
      <w:r w:rsidR="00E37454" w:rsidRPr="009650FF">
        <w:rPr>
          <w:sz w:val="28"/>
          <w:szCs w:val="28"/>
        </w:rPr>
        <w:t xml:space="preserve"> </w:t>
      </w:r>
      <w:r w:rsidR="0065388E" w:rsidRPr="009650FF">
        <w:rPr>
          <w:sz w:val="28"/>
          <w:szCs w:val="28"/>
        </w:rPr>
        <w:t>could be abortive</w:t>
      </w:r>
      <w:r w:rsidR="00E56772" w:rsidRPr="009650FF">
        <w:rPr>
          <w:sz w:val="28"/>
          <w:szCs w:val="28"/>
        </w:rPr>
        <w:t>,</w:t>
      </w:r>
      <w:r w:rsidR="0065388E" w:rsidRPr="009650FF">
        <w:rPr>
          <w:sz w:val="28"/>
          <w:szCs w:val="28"/>
        </w:rPr>
        <w:t xml:space="preserve"> and </w:t>
      </w:r>
      <w:r w:rsidR="00E56772" w:rsidRPr="009650FF">
        <w:rPr>
          <w:sz w:val="28"/>
          <w:szCs w:val="28"/>
        </w:rPr>
        <w:t xml:space="preserve">it </w:t>
      </w:r>
      <w:r w:rsidR="006444EA" w:rsidRPr="009650FF">
        <w:rPr>
          <w:sz w:val="28"/>
          <w:szCs w:val="28"/>
        </w:rPr>
        <w:t>would inevitably come at a cost to the general body of ratepayers</w:t>
      </w:r>
      <w:r w:rsidR="006562AA" w:rsidRPr="009650FF">
        <w:rPr>
          <w:sz w:val="28"/>
          <w:szCs w:val="28"/>
        </w:rPr>
        <w:t xml:space="preserve"> and members of the local community</w:t>
      </w:r>
      <w:r w:rsidR="002448EB" w:rsidRPr="009650FF">
        <w:rPr>
          <w:sz w:val="28"/>
          <w:szCs w:val="28"/>
        </w:rPr>
        <w:t xml:space="preserve">, most of whom would have little interest in the establishment of SRAs </w:t>
      </w:r>
      <w:r w:rsidR="00762CD5" w:rsidRPr="009650FF">
        <w:rPr>
          <w:sz w:val="28"/>
          <w:szCs w:val="28"/>
        </w:rPr>
        <w:t>where</w:t>
      </w:r>
      <w:r w:rsidR="002448EB" w:rsidRPr="009650FF">
        <w:rPr>
          <w:sz w:val="28"/>
          <w:szCs w:val="28"/>
        </w:rPr>
        <w:t xml:space="preserve"> their properties were not situated.</w:t>
      </w:r>
    </w:p>
    <w:p w14:paraId="7E154FAA" w14:textId="3A312178" w:rsidR="00EE2360" w:rsidRPr="009650FF" w:rsidRDefault="009650FF" w:rsidP="009650FF">
      <w:pPr>
        <w:spacing w:line="360" w:lineRule="auto"/>
        <w:jc w:val="both"/>
        <w:rPr>
          <w:sz w:val="28"/>
          <w:szCs w:val="28"/>
        </w:rPr>
      </w:pPr>
      <w:r w:rsidRPr="00196156">
        <w:rPr>
          <w:sz w:val="28"/>
          <w:szCs w:val="28"/>
        </w:rPr>
        <w:t>[33]</w:t>
      </w:r>
      <w:r w:rsidRPr="00196156">
        <w:rPr>
          <w:sz w:val="28"/>
          <w:szCs w:val="28"/>
        </w:rPr>
        <w:tab/>
      </w:r>
      <w:r w:rsidR="00C15858" w:rsidRPr="009650FF">
        <w:rPr>
          <w:sz w:val="28"/>
          <w:szCs w:val="28"/>
        </w:rPr>
        <w:t xml:space="preserve">The </w:t>
      </w:r>
      <w:r w:rsidR="00FC5363" w:rsidRPr="009650FF">
        <w:rPr>
          <w:sz w:val="28"/>
          <w:szCs w:val="28"/>
        </w:rPr>
        <w:t>respondent appear</w:t>
      </w:r>
      <w:r w:rsidR="000D29A4" w:rsidRPr="009650FF">
        <w:rPr>
          <w:sz w:val="28"/>
          <w:szCs w:val="28"/>
        </w:rPr>
        <w:t>s</w:t>
      </w:r>
      <w:r w:rsidR="00FC5363" w:rsidRPr="009650FF">
        <w:rPr>
          <w:sz w:val="28"/>
          <w:szCs w:val="28"/>
        </w:rPr>
        <w:t xml:space="preserve"> not to have considered </w:t>
      </w:r>
      <w:r w:rsidR="000F36A5" w:rsidRPr="009650FF">
        <w:rPr>
          <w:sz w:val="28"/>
          <w:szCs w:val="28"/>
        </w:rPr>
        <w:t xml:space="preserve">that </w:t>
      </w:r>
      <w:r w:rsidR="00FC5363" w:rsidRPr="009650FF">
        <w:rPr>
          <w:sz w:val="28"/>
          <w:szCs w:val="28"/>
        </w:rPr>
        <w:t xml:space="preserve">the </w:t>
      </w:r>
      <w:r w:rsidR="00C15858" w:rsidRPr="009650FF">
        <w:rPr>
          <w:sz w:val="28"/>
          <w:szCs w:val="28"/>
        </w:rPr>
        <w:t xml:space="preserve">administrative </w:t>
      </w:r>
      <w:r w:rsidR="00A25744" w:rsidRPr="009650FF">
        <w:rPr>
          <w:sz w:val="28"/>
          <w:szCs w:val="28"/>
        </w:rPr>
        <w:t xml:space="preserve">burden that </w:t>
      </w:r>
      <w:r w:rsidR="00FC5363" w:rsidRPr="009650FF">
        <w:rPr>
          <w:sz w:val="28"/>
          <w:szCs w:val="28"/>
        </w:rPr>
        <w:t>its</w:t>
      </w:r>
      <w:r w:rsidR="00C15858" w:rsidRPr="009650FF">
        <w:rPr>
          <w:sz w:val="28"/>
          <w:szCs w:val="28"/>
        </w:rPr>
        <w:t xml:space="preserve"> construction of s 22 would place on municipalities would come at </w:t>
      </w:r>
      <w:r w:rsidR="00FC5363" w:rsidRPr="009650FF">
        <w:rPr>
          <w:sz w:val="28"/>
          <w:szCs w:val="28"/>
        </w:rPr>
        <w:t xml:space="preserve">a </w:t>
      </w:r>
      <w:r w:rsidR="00C15858" w:rsidRPr="009650FF">
        <w:rPr>
          <w:sz w:val="28"/>
          <w:szCs w:val="28"/>
        </w:rPr>
        <w:t>cost</w:t>
      </w:r>
      <w:r w:rsidR="00A25744" w:rsidRPr="009650FF">
        <w:rPr>
          <w:sz w:val="28"/>
          <w:szCs w:val="28"/>
        </w:rPr>
        <w:t>,</w:t>
      </w:r>
      <w:r w:rsidR="00C15858" w:rsidRPr="009650FF">
        <w:rPr>
          <w:sz w:val="28"/>
          <w:szCs w:val="28"/>
        </w:rPr>
        <w:t xml:space="preserve"> which municipalities that are finding it impossible to deliver services at </w:t>
      </w:r>
      <w:r w:rsidR="000F36A5" w:rsidRPr="009650FF">
        <w:rPr>
          <w:sz w:val="28"/>
          <w:szCs w:val="28"/>
        </w:rPr>
        <w:t>the desired</w:t>
      </w:r>
      <w:r w:rsidR="00C15858" w:rsidRPr="009650FF">
        <w:rPr>
          <w:sz w:val="28"/>
          <w:szCs w:val="28"/>
        </w:rPr>
        <w:t xml:space="preserve"> levels are unlikely to be able to afford.  It is a construction </w:t>
      </w:r>
      <w:r w:rsidR="000D29A4" w:rsidRPr="009650FF">
        <w:rPr>
          <w:sz w:val="28"/>
          <w:szCs w:val="28"/>
        </w:rPr>
        <w:t>that would</w:t>
      </w:r>
      <w:r w:rsidR="00C15858" w:rsidRPr="009650FF">
        <w:rPr>
          <w:sz w:val="28"/>
          <w:szCs w:val="28"/>
        </w:rPr>
        <w:t xml:space="preserve"> thwart the object</w:t>
      </w:r>
      <w:r w:rsidR="000D29A4" w:rsidRPr="009650FF">
        <w:rPr>
          <w:sz w:val="28"/>
          <w:szCs w:val="28"/>
        </w:rPr>
        <w:t xml:space="preserve">ive </w:t>
      </w:r>
      <w:r w:rsidR="00C15858" w:rsidRPr="009650FF">
        <w:rPr>
          <w:sz w:val="28"/>
          <w:szCs w:val="28"/>
        </w:rPr>
        <w:t xml:space="preserve">that the legislature clearly </w:t>
      </w:r>
      <w:r w:rsidR="000D7254" w:rsidRPr="009650FF">
        <w:rPr>
          <w:sz w:val="28"/>
          <w:szCs w:val="28"/>
        </w:rPr>
        <w:t>had in mind and</w:t>
      </w:r>
      <w:r w:rsidR="00962A69" w:rsidRPr="009650FF">
        <w:rPr>
          <w:sz w:val="28"/>
          <w:szCs w:val="28"/>
        </w:rPr>
        <w:t>, would be antagonistic to</w:t>
      </w:r>
      <w:r w:rsidR="00CA5B20" w:rsidRPr="009650FF">
        <w:rPr>
          <w:sz w:val="28"/>
          <w:szCs w:val="28"/>
        </w:rPr>
        <w:t xml:space="preserve"> the purposive approach enjoined by modern principles of statutory construction</w:t>
      </w:r>
      <w:r w:rsidR="008C757D" w:rsidRPr="009650FF">
        <w:rPr>
          <w:sz w:val="28"/>
          <w:szCs w:val="28"/>
        </w:rPr>
        <w:t>.</w:t>
      </w:r>
      <w:r w:rsidR="008804D1">
        <w:rPr>
          <w:rStyle w:val="FootnoteReference"/>
          <w:sz w:val="28"/>
          <w:szCs w:val="28"/>
        </w:rPr>
        <w:footnoteReference w:id="16"/>
      </w:r>
    </w:p>
    <w:p w14:paraId="129E3B20" w14:textId="661A2ADD" w:rsidR="00183204" w:rsidRPr="009650FF" w:rsidRDefault="009650FF" w:rsidP="009650FF">
      <w:pPr>
        <w:spacing w:line="360" w:lineRule="auto"/>
        <w:jc w:val="both"/>
        <w:rPr>
          <w:sz w:val="28"/>
          <w:szCs w:val="28"/>
        </w:rPr>
      </w:pPr>
      <w:r w:rsidRPr="0065388E">
        <w:rPr>
          <w:sz w:val="28"/>
          <w:szCs w:val="28"/>
        </w:rPr>
        <w:t>[34]</w:t>
      </w:r>
      <w:r w:rsidRPr="0065388E">
        <w:rPr>
          <w:sz w:val="28"/>
          <w:szCs w:val="28"/>
        </w:rPr>
        <w:tab/>
      </w:r>
      <w:r w:rsidR="00962A69" w:rsidRPr="009650FF">
        <w:rPr>
          <w:sz w:val="28"/>
          <w:szCs w:val="28"/>
        </w:rPr>
        <w:t xml:space="preserve">The appellant’s rates policy on the establishment of SRAs does not abrogate the municipality’s function.  It provides for the municipality to play a participatory and supervisory </w:t>
      </w:r>
      <w:r w:rsidR="001733D2" w:rsidRPr="009650FF">
        <w:rPr>
          <w:sz w:val="28"/>
          <w:szCs w:val="28"/>
        </w:rPr>
        <w:t>role at every step of the way.</w:t>
      </w:r>
    </w:p>
    <w:p w14:paraId="0F36803B" w14:textId="7AD5E500" w:rsidR="001A6BAA" w:rsidRPr="009650FF" w:rsidRDefault="009650FF" w:rsidP="009650FF">
      <w:pPr>
        <w:spacing w:line="360" w:lineRule="auto"/>
        <w:jc w:val="both"/>
        <w:rPr>
          <w:sz w:val="28"/>
          <w:szCs w:val="28"/>
        </w:rPr>
      </w:pPr>
      <w:r>
        <w:rPr>
          <w:sz w:val="28"/>
          <w:szCs w:val="28"/>
        </w:rPr>
        <w:t>[35]</w:t>
      </w:r>
      <w:r>
        <w:rPr>
          <w:sz w:val="28"/>
          <w:szCs w:val="28"/>
        </w:rPr>
        <w:tab/>
      </w:r>
      <w:r w:rsidR="005B2435" w:rsidRPr="009650FF">
        <w:rPr>
          <w:sz w:val="28"/>
          <w:szCs w:val="28"/>
        </w:rPr>
        <w:t>In its founding papers, t</w:t>
      </w:r>
      <w:r w:rsidR="00983EC4" w:rsidRPr="009650FF">
        <w:rPr>
          <w:sz w:val="28"/>
          <w:szCs w:val="28"/>
        </w:rPr>
        <w:t xml:space="preserve">he first respondent also attacked the decision by the appellant’s municipal council to establish the SRA because it was made subject </w:t>
      </w:r>
      <w:r w:rsidR="00682CE7" w:rsidRPr="009650FF">
        <w:rPr>
          <w:sz w:val="28"/>
          <w:szCs w:val="28"/>
        </w:rPr>
        <w:t>to certain</w:t>
      </w:r>
      <w:r w:rsidR="00614ECA" w:rsidRPr="009650FF">
        <w:rPr>
          <w:sz w:val="28"/>
          <w:szCs w:val="28"/>
        </w:rPr>
        <w:t xml:space="preserve"> amendments to the business plan that was submitted in support of the application.  It contended that the </w:t>
      </w:r>
      <w:r w:rsidR="002D1E1B" w:rsidRPr="009650FF">
        <w:rPr>
          <w:sz w:val="28"/>
          <w:szCs w:val="28"/>
        </w:rPr>
        <w:t>municipality’s</w:t>
      </w:r>
      <w:r w:rsidR="00614ECA" w:rsidRPr="009650FF">
        <w:rPr>
          <w:sz w:val="28"/>
          <w:szCs w:val="28"/>
        </w:rPr>
        <w:t xml:space="preserve"> determination should</w:t>
      </w:r>
      <w:r w:rsidR="00762CD5" w:rsidRPr="009650FF">
        <w:rPr>
          <w:sz w:val="28"/>
          <w:szCs w:val="28"/>
        </w:rPr>
        <w:t>, in the circumstances,</w:t>
      </w:r>
      <w:r w:rsidR="00614ECA" w:rsidRPr="009650FF">
        <w:rPr>
          <w:sz w:val="28"/>
          <w:szCs w:val="28"/>
        </w:rPr>
        <w:t xml:space="preserve"> have been deferred </w:t>
      </w:r>
      <w:r w:rsidR="002D1E1B" w:rsidRPr="009650FF">
        <w:rPr>
          <w:sz w:val="28"/>
          <w:szCs w:val="28"/>
        </w:rPr>
        <w:t>to enable further public consultation i</w:t>
      </w:r>
      <w:r w:rsidR="001A6BAA" w:rsidRPr="009650FF">
        <w:rPr>
          <w:sz w:val="28"/>
          <w:szCs w:val="28"/>
        </w:rPr>
        <w:t>n terms of s 22(2) of the PRA.</w:t>
      </w:r>
    </w:p>
    <w:p w14:paraId="5B4EF298" w14:textId="6194CF7C" w:rsidR="00983EC4" w:rsidRPr="009650FF" w:rsidRDefault="009650FF" w:rsidP="009650FF">
      <w:pPr>
        <w:spacing w:line="360" w:lineRule="auto"/>
        <w:jc w:val="both"/>
        <w:rPr>
          <w:sz w:val="28"/>
          <w:szCs w:val="28"/>
        </w:rPr>
      </w:pPr>
      <w:r>
        <w:rPr>
          <w:sz w:val="28"/>
          <w:szCs w:val="28"/>
        </w:rPr>
        <w:t>[36]</w:t>
      </w:r>
      <w:r>
        <w:rPr>
          <w:sz w:val="28"/>
          <w:szCs w:val="28"/>
        </w:rPr>
        <w:tab/>
      </w:r>
      <w:r w:rsidR="002D1E1B" w:rsidRPr="009650FF">
        <w:rPr>
          <w:sz w:val="28"/>
          <w:szCs w:val="28"/>
        </w:rPr>
        <w:t xml:space="preserve">There </w:t>
      </w:r>
      <w:r w:rsidR="00762CD5" w:rsidRPr="009650FF">
        <w:rPr>
          <w:sz w:val="28"/>
          <w:szCs w:val="28"/>
        </w:rPr>
        <w:t>i</w:t>
      </w:r>
      <w:r w:rsidR="002D1E1B" w:rsidRPr="009650FF">
        <w:rPr>
          <w:sz w:val="28"/>
          <w:szCs w:val="28"/>
        </w:rPr>
        <w:t xml:space="preserve">s no merit in the point.  </w:t>
      </w:r>
      <w:r w:rsidR="005B2435" w:rsidRPr="009650FF">
        <w:rPr>
          <w:sz w:val="28"/>
          <w:szCs w:val="28"/>
        </w:rPr>
        <w:t xml:space="preserve">Firstly, it assumes the validity of Part A of the appellant’s rates policy and is consequently at odds with the essence of the first respondent’s case, which was predicated on a contention to the contrary.  </w:t>
      </w:r>
      <w:r w:rsidR="003E63D1" w:rsidRPr="009650FF">
        <w:rPr>
          <w:sz w:val="28"/>
          <w:szCs w:val="28"/>
        </w:rPr>
        <w:t>Secondly, and in any event, t</w:t>
      </w:r>
      <w:r w:rsidR="002D1E1B" w:rsidRPr="009650FF">
        <w:rPr>
          <w:sz w:val="28"/>
          <w:szCs w:val="28"/>
        </w:rPr>
        <w:t>he amendments were not material.  They did not affect the amount of the extra levy that the affected ratepayers would have to pay</w:t>
      </w:r>
      <w:r w:rsidR="001A6BAA" w:rsidRPr="009650FF">
        <w:rPr>
          <w:sz w:val="28"/>
          <w:szCs w:val="28"/>
        </w:rPr>
        <w:t>,</w:t>
      </w:r>
      <w:r w:rsidR="002D1E1B" w:rsidRPr="009650FF">
        <w:rPr>
          <w:sz w:val="28"/>
          <w:szCs w:val="28"/>
        </w:rPr>
        <w:t xml:space="preserve"> or the </w:t>
      </w:r>
      <w:r w:rsidR="005018A4" w:rsidRPr="009650FF">
        <w:rPr>
          <w:sz w:val="28"/>
          <w:szCs w:val="28"/>
        </w:rPr>
        <w:t xml:space="preserve">nature of the upliftment </w:t>
      </w:r>
      <w:r w:rsidR="002D1E1B" w:rsidRPr="009650FF">
        <w:rPr>
          <w:sz w:val="28"/>
          <w:szCs w:val="28"/>
        </w:rPr>
        <w:t>projects</w:t>
      </w:r>
      <w:r w:rsidR="005018A4" w:rsidRPr="009650FF">
        <w:rPr>
          <w:sz w:val="28"/>
          <w:szCs w:val="28"/>
        </w:rPr>
        <w:t xml:space="preserve"> that the SRA was established to tackle.  As pointed out by this Court in </w:t>
      </w:r>
      <w:r w:rsidR="00682CE7" w:rsidRPr="009650FF">
        <w:rPr>
          <w:i/>
          <w:sz w:val="28"/>
          <w:szCs w:val="28"/>
        </w:rPr>
        <w:t>Kouga Municipality v Bellingan and Others</w:t>
      </w:r>
      <w:r w:rsidR="00D620D6" w:rsidRPr="009650FF">
        <w:rPr>
          <w:sz w:val="28"/>
          <w:szCs w:val="28"/>
        </w:rPr>
        <w:t>,</w:t>
      </w:r>
      <w:r w:rsidR="000434D4" w:rsidRPr="00682CE7">
        <w:rPr>
          <w:rStyle w:val="FootnoteReference"/>
          <w:sz w:val="28"/>
          <w:szCs w:val="28"/>
        </w:rPr>
        <w:footnoteReference w:id="17"/>
      </w:r>
      <w:r w:rsidR="005018A4" w:rsidRPr="009650FF">
        <w:rPr>
          <w:sz w:val="28"/>
          <w:szCs w:val="28"/>
        </w:rPr>
        <w:t xml:space="preserve"> ‘…</w:t>
      </w:r>
      <w:r w:rsidR="00077E36" w:rsidRPr="009650FF">
        <w:rPr>
          <w:sz w:val="28"/>
          <w:szCs w:val="28"/>
        </w:rPr>
        <w:t> </w:t>
      </w:r>
      <w:r w:rsidR="005018A4" w:rsidRPr="009650FF">
        <w:rPr>
          <w:sz w:val="28"/>
          <w:szCs w:val="28"/>
        </w:rPr>
        <w:t>not every change has to be advertised otherwise the legislative process would become difficult to implement’.</w:t>
      </w:r>
      <w:r w:rsidR="00682CE7" w:rsidRPr="009650FF">
        <w:rPr>
          <w:rStyle w:val="FootnoteReference"/>
          <w:sz w:val="28"/>
          <w:szCs w:val="28"/>
        </w:rPr>
        <w:t xml:space="preserve"> </w:t>
      </w:r>
    </w:p>
    <w:p w14:paraId="4C7D82BA" w14:textId="38764EC0" w:rsidR="004B6F16" w:rsidRPr="009650FF" w:rsidRDefault="009650FF" w:rsidP="009650FF">
      <w:pPr>
        <w:spacing w:line="360" w:lineRule="auto"/>
        <w:jc w:val="both"/>
        <w:rPr>
          <w:sz w:val="28"/>
          <w:szCs w:val="28"/>
        </w:rPr>
      </w:pPr>
      <w:r w:rsidRPr="006873E1">
        <w:rPr>
          <w:sz w:val="28"/>
          <w:szCs w:val="28"/>
        </w:rPr>
        <w:t>[37]</w:t>
      </w:r>
      <w:r w:rsidRPr="006873E1">
        <w:rPr>
          <w:sz w:val="28"/>
          <w:szCs w:val="28"/>
        </w:rPr>
        <w:tab/>
      </w:r>
      <w:r w:rsidR="00EE2AFA" w:rsidRPr="009650FF">
        <w:rPr>
          <w:sz w:val="28"/>
          <w:szCs w:val="28"/>
        </w:rPr>
        <w:t xml:space="preserve">Finally, the first respondent attacked the legality of the provisions in the appellant’s rates </w:t>
      </w:r>
      <w:r w:rsidR="008D7911" w:rsidRPr="009650FF">
        <w:rPr>
          <w:sz w:val="28"/>
          <w:szCs w:val="28"/>
        </w:rPr>
        <w:t xml:space="preserve">policy </w:t>
      </w:r>
      <w:r w:rsidR="00D620D6" w:rsidRPr="009650FF">
        <w:rPr>
          <w:sz w:val="28"/>
          <w:szCs w:val="28"/>
        </w:rPr>
        <w:t>providing for</w:t>
      </w:r>
      <w:r w:rsidR="00EE2AFA" w:rsidRPr="009650FF">
        <w:rPr>
          <w:sz w:val="28"/>
          <w:szCs w:val="28"/>
        </w:rPr>
        <w:t xml:space="preserve"> the establishment of a management body for an SRA</w:t>
      </w:r>
      <w:r w:rsidR="00916537" w:rsidRPr="009650FF">
        <w:rPr>
          <w:sz w:val="28"/>
          <w:szCs w:val="28"/>
        </w:rPr>
        <w:t>,</w:t>
      </w:r>
      <w:r w:rsidR="00EE2AFA" w:rsidRPr="009650FF">
        <w:rPr>
          <w:sz w:val="28"/>
          <w:szCs w:val="28"/>
        </w:rPr>
        <w:t xml:space="preserve"> and the municipality’s contractual relationship with it. </w:t>
      </w:r>
      <w:r w:rsidR="001512E7" w:rsidRPr="009650FF">
        <w:rPr>
          <w:sz w:val="28"/>
          <w:szCs w:val="28"/>
        </w:rPr>
        <w:t>I</w:t>
      </w:r>
      <w:r w:rsidR="00EE2AFA" w:rsidRPr="009650FF">
        <w:rPr>
          <w:sz w:val="28"/>
          <w:szCs w:val="28"/>
        </w:rPr>
        <w:t xml:space="preserve">ts </w:t>
      </w:r>
      <w:r w:rsidR="001512E7" w:rsidRPr="009650FF">
        <w:rPr>
          <w:sz w:val="28"/>
          <w:szCs w:val="28"/>
        </w:rPr>
        <w:t xml:space="preserve">primary </w:t>
      </w:r>
      <w:r w:rsidR="00EE2AFA" w:rsidRPr="009650FF">
        <w:rPr>
          <w:sz w:val="28"/>
          <w:szCs w:val="28"/>
        </w:rPr>
        <w:t>contentions were that the concept of a management body was irreconcilable with s 22(</w:t>
      </w:r>
      <w:r w:rsidR="00694252" w:rsidRPr="009650FF">
        <w:rPr>
          <w:sz w:val="28"/>
          <w:szCs w:val="28"/>
        </w:rPr>
        <w:t>3</w:t>
      </w:r>
      <w:r w:rsidR="00EE2AFA" w:rsidRPr="009650FF">
        <w:rPr>
          <w:sz w:val="28"/>
          <w:szCs w:val="28"/>
        </w:rPr>
        <w:t>)</w:t>
      </w:r>
      <w:r w:rsidR="00694252" w:rsidRPr="009650FF">
        <w:rPr>
          <w:sz w:val="28"/>
          <w:szCs w:val="28"/>
        </w:rPr>
        <w:t>(</w:t>
      </w:r>
      <w:r w:rsidR="00694252" w:rsidRPr="009650FF">
        <w:rPr>
          <w:i/>
          <w:sz w:val="28"/>
          <w:szCs w:val="28"/>
        </w:rPr>
        <w:t>d</w:t>
      </w:r>
      <w:r w:rsidR="00694252" w:rsidRPr="009650FF">
        <w:rPr>
          <w:sz w:val="28"/>
          <w:szCs w:val="28"/>
        </w:rPr>
        <w:t>)</w:t>
      </w:r>
      <w:r w:rsidR="00EE2AFA" w:rsidRPr="009650FF">
        <w:rPr>
          <w:sz w:val="28"/>
          <w:szCs w:val="28"/>
        </w:rPr>
        <w:t xml:space="preserve"> </w:t>
      </w:r>
      <w:r w:rsidR="008D7911" w:rsidRPr="009650FF">
        <w:rPr>
          <w:sz w:val="28"/>
          <w:szCs w:val="28"/>
        </w:rPr>
        <w:t xml:space="preserve">of the PRA </w:t>
      </w:r>
      <w:r w:rsidR="000D7254" w:rsidRPr="009650FF">
        <w:rPr>
          <w:sz w:val="28"/>
          <w:szCs w:val="28"/>
        </w:rPr>
        <w:t>which provides that a municipality may establish a consultative and advisory forum for the improvement and upgrading of an area that has been established as an SRA.</w:t>
      </w:r>
      <w:r w:rsidR="00EE2AFA" w:rsidRPr="009650FF">
        <w:rPr>
          <w:sz w:val="28"/>
          <w:szCs w:val="28"/>
        </w:rPr>
        <w:t xml:space="preserve"> </w:t>
      </w:r>
      <w:r w:rsidR="0065388E" w:rsidRPr="009650FF">
        <w:rPr>
          <w:sz w:val="28"/>
          <w:szCs w:val="28"/>
        </w:rPr>
        <w:t>However, a</w:t>
      </w:r>
      <w:r w:rsidR="001512E7" w:rsidRPr="009650FF">
        <w:rPr>
          <w:sz w:val="28"/>
          <w:szCs w:val="28"/>
        </w:rPr>
        <w:t xml:space="preserve"> municipality is under no obligation to do so. </w:t>
      </w:r>
      <w:r w:rsidR="001A6BAA" w:rsidRPr="009650FF">
        <w:rPr>
          <w:sz w:val="28"/>
          <w:szCs w:val="28"/>
        </w:rPr>
        <w:t xml:space="preserve"> </w:t>
      </w:r>
      <w:r w:rsidR="00EC005A" w:rsidRPr="009650FF">
        <w:rPr>
          <w:sz w:val="28"/>
          <w:szCs w:val="28"/>
        </w:rPr>
        <w:t>A management body functions as an implementation agency of the municipality</w:t>
      </w:r>
      <w:r w:rsidR="007E6913" w:rsidRPr="009650FF">
        <w:rPr>
          <w:sz w:val="28"/>
          <w:szCs w:val="28"/>
        </w:rPr>
        <w:t xml:space="preserve"> in respect of the business plan approved by the council for the purposes of satisfying the requirements of s 22(3)(</w:t>
      </w:r>
      <w:r w:rsidR="007E6913" w:rsidRPr="009650FF">
        <w:rPr>
          <w:i/>
          <w:sz w:val="28"/>
          <w:szCs w:val="28"/>
        </w:rPr>
        <w:t>b</w:t>
      </w:r>
      <w:r w:rsidR="007E6913" w:rsidRPr="009650FF">
        <w:rPr>
          <w:sz w:val="28"/>
          <w:szCs w:val="28"/>
        </w:rPr>
        <w:t>) and (</w:t>
      </w:r>
      <w:r w:rsidR="007E6913" w:rsidRPr="009650FF">
        <w:rPr>
          <w:i/>
          <w:sz w:val="28"/>
          <w:szCs w:val="28"/>
        </w:rPr>
        <w:t>c</w:t>
      </w:r>
      <w:r w:rsidR="007E6913" w:rsidRPr="009650FF">
        <w:rPr>
          <w:sz w:val="28"/>
          <w:szCs w:val="28"/>
        </w:rPr>
        <w:t xml:space="preserve">) of the PRA.  </w:t>
      </w:r>
      <w:r w:rsidR="004B6F16" w:rsidRPr="009650FF">
        <w:rPr>
          <w:sz w:val="28"/>
          <w:szCs w:val="28"/>
        </w:rPr>
        <w:t>It is not a consultative and advisory body of the character contemplated by s 22(3)(</w:t>
      </w:r>
      <w:r w:rsidR="004B6F16" w:rsidRPr="009650FF">
        <w:rPr>
          <w:i/>
          <w:sz w:val="28"/>
          <w:szCs w:val="28"/>
        </w:rPr>
        <w:t>d</w:t>
      </w:r>
      <w:r w:rsidR="004B6F16" w:rsidRPr="009650FF">
        <w:rPr>
          <w:sz w:val="28"/>
          <w:szCs w:val="28"/>
        </w:rPr>
        <w:t>).</w:t>
      </w:r>
    </w:p>
    <w:p w14:paraId="1E0F200F" w14:textId="1154DCF8" w:rsidR="001A6BAA" w:rsidRPr="009650FF" w:rsidRDefault="009650FF" w:rsidP="009650FF">
      <w:pPr>
        <w:spacing w:line="360" w:lineRule="auto"/>
        <w:jc w:val="both"/>
        <w:rPr>
          <w:sz w:val="28"/>
          <w:szCs w:val="28"/>
        </w:rPr>
      </w:pPr>
      <w:r>
        <w:rPr>
          <w:sz w:val="28"/>
          <w:szCs w:val="28"/>
        </w:rPr>
        <w:t>[38]</w:t>
      </w:r>
      <w:r>
        <w:rPr>
          <w:sz w:val="28"/>
          <w:szCs w:val="28"/>
        </w:rPr>
        <w:tab/>
      </w:r>
      <w:r w:rsidR="006873E1" w:rsidRPr="009650FF">
        <w:rPr>
          <w:sz w:val="28"/>
          <w:szCs w:val="28"/>
        </w:rPr>
        <w:t>Secondly</w:t>
      </w:r>
      <w:r w:rsidR="001A6BAA" w:rsidRPr="009650FF">
        <w:rPr>
          <w:sz w:val="28"/>
          <w:szCs w:val="28"/>
        </w:rPr>
        <w:t>,</w:t>
      </w:r>
      <w:r w:rsidR="006873E1" w:rsidRPr="009650FF">
        <w:rPr>
          <w:sz w:val="28"/>
          <w:szCs w:val="28"/>
        </w:rPr>
        <w:t xml:space="preserve"> it was argued that the </w:t>
      </w:r>
      <w:r w:rsidR="003E63D1" w:rsidRPr="009650FF">
        <w:rPr>
          <w:sz w:val="28"/>
          <w:szCs w:val="28"/>
        </w:rPr>
        <w:t>financial</w:t>
      </w:r>
      <w:r w:rsidR="006873E1" w:rsidRPr="009650FF">
        <w:rPr>
          <w:sz w:val="28"/>
          <w:szCs w:val="28"/>
        </w:rPr>
        <w:t xml:space="preserve"> agreement between the municipality, represented by its accounting officer, and the management body</w:t>
      </w:r>
      <w:r w:rsidR="003E63D1" w:rsidRPr="009650FF">
        <w:rPr>
          <w:sz w:val="28"/>
          <w:szCs w:val="28"/>
        </w:rPr>
        <w:t xml:space="preserve"> </w:t>
      </w:r>
      <w:r w:rsidR="003E63D1" w:rsidRPr="009650FF">
        <w:rPr>
          <w:sz w:val="28"/>
          <w:szCs w:val="28"/>
          <w:vertAlign w:val="superscript"/>
        </w:rPr>
        <w:t>_</w:t>
      </w:r>
      <w:r w:rsidR="006873E1" w:rsidRPr="009650FF">
        <w:rPr>
          <w:sz w:val="28"/>
          <w:szCs w:val="28"/>
        </w:rPr>
        <w:t xml:space="preserve"> </w:t>
      </w:r>
      <w:r w:rsidR="003E63D1" w:rsidRPr="009650FF">
        <w:rPr>
          <w:sz w:val="28"/>
          <w:szCs w:val="28"/>
        </w:rPr>
        <w:t xml:space="preserve">an arrangement of the sort contemplated by </w:t>
      </w:r>
      <w:r w:rsidR="00E54558" w:rsidRPr="009650FF">
        <w:rPr>
          <w:sz w:val="28"/>
          <w:szCs w:val="28"/>
        </w:rPr>
        <w:t xml:space="preserve">paragraph 13 of Part A of the appellant’s rates policy </w:t>
      </w:r>
      <w:r w:rsidR="00E54558" w:rsidRPr="009650FF">
        <w:rPr>
          <w:sz w:val="28"/>
          <w:szCs w:val="28"/>
          <w:vertAlign w:val="superscript"/>
        </w:rPr>
        <w:t>_</w:t>
      </w:r>
      <w:r w:rsidR="00E54558" w:rsidRPr="009650FF">
        <w:rPr>
          <w:sz w:val="28"/>
          <w:szCs w:val="28"/>
        </w:rPr>
        <w:t xml:space="preserve"> </w:t>
      </w:r>
      <w:r w:rsidR="006873E1" w:rsidRPr="009650FF">
        <w:rPr>
          <w:sz w:val="28"/>
          <w:szCs w:val="28"/>
        </w:rPr>
        <w:t xml:space="preserve">was at odds with the MFMA, which made no provision for the ‘delegation of the accounting officer’s functions to a private body such as the SRA Management Body’. </w:t>
      </w:r>
      <w:r w:rsidR="001A6BAA" w:rsidRPr="009650FF">
        <w:rPr>
          <w:sz w:val="28"/>
          <w:szCs w:val="28"/>
        </w:rPr>
        <w:t xml:space="preserve"> </w:t>
      </w:r>
      <w:r w:rsidR="006873E1" w:rsidRPr="009650FF">
        <w:rPr>
          <w:sz w:val="28"/>
          <w:szCs w:val="28"/>
        </w:rPr>
        <w:t>In other words</w:t>
      </w:r>
      <w:r w:rsidR="001A6BAA" w:rsidRPr="009650FF">
        <w:rPr>
          <w:sz w:val="28"/>
          <w:szCs w:val="28"/>
        </w:rPr>
        <w:t>,</w:t>
      </w:r>
      <w:r w:rsidR="006873E1" w:rsidRPr="009650FF">
        <w:rPr>
          <w:sz w:val="28"/>
          <w:szCs w:val="28"/>
        </w:rPr>
        <w:t xml:space="preserve"> </w:t>
      </w:r>
      <w:r w:rsidR="004B6F16" w:rsidRPr="009650FF">
        <w:rPr>
          <w:sz w:val="28"/>
          <w:szCs w:val="28"/>
        </w:rPr>
        <w:t>the payment by the municipality of the special rates to the management body for use in terms of the approved business plan constituted an impermissible delegation of the appellant’s accounting o</w:t>
      </w:r>
      <w:r w:rsidR="001A6BAA" w:rsidRPr="009650FF">
        <w:rPr>
          <w:sz w:val="28"/>
          <w:szCs w:val="28"/>
        </w:rPr>
        <w:t>fficer’s powers and functions.</w:t>
      </w:r>
    </w:p>
    <w:p w14:paraId="060CFE5A" w14:textId="69BECF8A" w:rsidR="00C912A3" w:rsidRPr="009650FF" w:rsidRDefault="009650FF" w:rsidP="009650FF">
      <w:pPr>
        <w:spacing w:line="360" w:lineRule="auto"/>
        <w:jc w:val="both"/>
        <w:rPr>
          <w:sz w:val="28"/>
          <w:szCs w:val="28"/>
        </w:rPr>
      </w:pPr>
      <w:r>
        <w:rPr>
          <w:sz w:val="28"/>
          <w:szCs w:val="28"/>
        </w:rPr>
        <w:t>[39]</w:t>
      </w:r>
      <w:r>
        <w:rPr>
          <w:sz w:val="28"/>
          <w:szCs w:val="28"/>
        </w:rPr>
        <w:tab/>
      </w:r>
      <w:r w:rsidR="004B6F16" w:rsidRPr="009650FF">
        <w:rPr>
          <w:sz w:val="28"/>
          <w:szCs w:val="28"/>
        </w:rPr>
        <w:t xml:space="preserve">The responsibilities of the accounting officer of a municipality are regulated by Chapter 8 </w:t>
      </w:r>
      <w:r w:rsidR="006827C4" w:rsidRPr="009650FF">
        <w:rPr>
          <w:sz w:val="28"/>
          <w:szCs w:val="28"/>
        </w:rPr>
        <w:t xml:space="preserve">(ss 60-79) </w:t>
      </w:r>
      <w:r w:rsidR="004B6F16" w:rsidRPr="009650FF">
        <w:rPr>
          <w:sz w:val="28"/>
          <w:szCs w:val="28"/>
        </w:rPr>
        <w:t>of the MFMA.  They include</w:t>
      </w:r>
      <w:r w:rsidR="006827C4" w:rsidRPr="009650FF">
        <w:rPr>
          <w:sz w:val="28"/>
          <w:szCs w:val="28"/>
        </w:rPr>
        <w:t xml:space="preserve"> revenue management,</w:t>
      </w:r>
      <w:r w:rsidR="006827C4">
        <w:rPr>
          <w:rStyle w:val="FootnoteReference"/>
          <w:sz w:val="28"/>
          <w:szCs w:val="28"/>
        </w:rPr>
        <w:footnoteReference w:id="18"/>
      </w:r>
      <w:r w:rsidR="006827C4" w:rsidRPr="009650FF">
        <w:rPr>
          <w:sz w:val="28"/>
          <w:szCs w:val="28"/>
        </w:rPr>
        <w:t xml:space="preserve"> expenditure management</w:t>
      </w:r>
      <w:r w:rsidR="006827C4">
        <w:rPr>
          <w:rStyle w:val="FootnoteReference"/>
          <w:sz w:val="28"/>
          <w:szCs w:val="28"/>
        </w:rPr>
        <w:footnoteReference w:id="19"/>
      </w:r>
      <w:r w:rsidR="004B6F16" w:rsidRPr="009650FF">
        <w:rPr>
          <w:sz w:val="28"/>
          <w:szCs w:val="28"/>
        </w:rPr>
        <w:t xml:space="preserve"> </w:t>
      </w:r>
      <w:r w:rsidR="006827C4" w:rsidRPr="009650FF">
        <w:rPr>
          <w:sz w:val="28"/>
          <w:szCs w:val="28"/>
        </w:rPr>
        <w:t>and budget implementation.</w:t>
      </w:r>
      <w:r w:rsidR="006827C4">
        <w:rPr>
          <w:rStyle w:val="FootnoteReference"/>
          <w:sz w:val="28"/>
          <w:szCs w:val="28"/>
        </w:rPr>
        <w:footnoteReference w:id="20"/>
      </w:r>
      <w:r w:rsidR="006827C4" w:rsidRPr="009650FF">
        <w:rPr>
          <w:sz w:val="28"/>
          <w:szCs w:val="28"/>
        </w:rPr>
        <w:t xml:space="preserve">  An accounting officer is not, however, precluded by </w:t>
      </w:r>
      <w:r w:rsidR="00C912A3" w:rsidRPr="009650FF">
        <w:rPr>
          <w:sz w:val="28"/>
          <w:szCs w:val="28"/>
        </w:rPr>
        <w:t>the definition of</w:t>
      </w:r>
      <w:r w:rsidR="0093514D" w:rsidRPr="009650FF">
        <w:rPr>
          <w:sz w:val="28"/>
          <w:szCs w:val="28"/>
        </w:rPr>
        <w:t xml:space="preserve"> his or her responsibilities, or</w:t>
      </w:r>
      <w:r w:rsidR="00C912A3" w:rsidRPr="009650FF">
        <w:rPr>
          <w:sz w:val="28"/>
          <w:szCs w:val="28"/>
        </w:rPr>
        <w:t xml:space="preserve"> the limitati</w:t>
      </w:r>
      <w:r w:rsidR="00D620D6" w:rsidRPr="009650FF">
        <w:rPr>
          <w:sz w:val="28"/>
          <w:szCs w:val="28"/>
        </w:rPr>
        <w:t>ons on his powers of delegation</w:t>
      </w:r>
      <w:r w:rsidR="0093514D" w:rsidRPr="009650FF">
        <w:rPr>
          <w:sz w:val="28"/>
          <w:szCs w:val="28"/>
        </w:rPr>
        <w:t>,</w:t>
      </w:r>
      <w:r w:rsidR="00C912A3">
        <w:rPr>
          <w:rStyle w:val="FootnoteReference"/>
          <w:sz w:val="28"/>
          <w:szCs w:val="28"/>
        </w:rPr>
        <w:footnoteReference w:id="21"/>
      </w:r>
      <w:r w:rsidR="00C912A3" w:rsidRPr="009650FF">
        <w:rPr>
          <w:sz w:val="28"/>
          <w:szCs w:val="28"/>
        </w:rPr>
        <w:t xml:space="preserve"> from transferring funds to organisations and bodies outside government</w:t>
      </w:r>
      <w:r w:rsidR="007A29C4" w:rsidRPr="009650FF">
        <w:rPr>
          <w:sz w:val="28"/>
          <w:szCs w:val="28"/>
        </w:rPr>
        <w:t xml:space="preserve"> for municipal purposes</w:t>
      </w:r>
      <w:r w:rsidR="00C912A3" w:rsidRPr="009650FF">
        <w:rPr>
          <w:sz w:val="28"/>
          <w:szCs w:val="28"/>
        </w:rPr>
        <w:t xml:space="preserve">.  </w:t>
      </w:r>
      <w:r w:rsidR="007E6913" w:rsidRPr="009650FF">
        <w:rPr>
          <w:sz w:val="28"/>
          <w:szCs w:val="28"/>
        </w:rPr>
        <w:t>The transfer of funds by the appellant</w:t>
      </w:r>
      <w:r w:rsidR="00C912A3" w:rsidRPr="009650FF">
        <w:rPr>
          <w:sz w:val="28"/>
          <w:szCs w:val="28"/>
        </w:rPr>
        <w:t>’s accounting officer</w:t>
      </w:r>
      <w:r w:rsidR="007E6913" w:rsidRPr="009650FF">
        <w:rPr>
          <w:sz w:val="28"/>
          <w:szCs w:val="28"/>
        </w:rPr>
        <w:t xml:space="preserve"> to the management body</w:t>
      </w:r>
      <w:r w:rsidR="00C912A3" w:rsidRPr="009650FF">
        <w:rPr>
          <w:sz w:val="28"/>
          <w:szCs w:val="28"/>
        </w:rPr>
        <w:t xml:space="preserve"> of the SRA</w:t>
      </w:r>
      <w:r w:rsidR="007E6913" w:rsidRPr="009650FF">
        <w:rPr>
          <w:sz w:val="28"/>
          <w:szCs w:val="28"/>
        </w:rPr>
        <w:t xml:space="preserve"> is permitted by s 67 of the MFMA</w:t>
      </w:r>
      <w:r w:rsidR="00761260" w:rsidRPr="009650FF">
        <w:rPr>
          <w:sz w:val="28"/>
          <w:szCs w:val="28"/>
        </w:rPr>
        <w:t>, subject to the prescripts</w:t>
      </w:r>
      <w:r w:rsidR="007E6913" w:rsidRPr="009650FF">
        <w:rPr>
          <w:sz w:val="28"/>
          <w:szCs w:val="28"/>
        </w:rPr>
        <w:t xml:space="preserve"> of </w:t>
      </w:r>
      <w:r w:rsidR="004B3ED5" w:rsidRPr="009650FF">
        <w:rPr>
          <w:sz w:val="28"/>
          <w:szCs w:val="28"/>
        </w:rPr>
        <w:t>that provision.</w:t>
      </w:r>
      <w:r w:rsidR="004B3ED5">
        <w:rPr>
          <w:rStyle w:val="FootnoteReference"/>
          <w:sz w:val="28"/>
          <w:szCs w:val="28"/>
        </w:rPr>
        <w:footnoteReference w:id="22"/>
      </w:r>
    </w:p>
    <w:p w14:paraId="3233935A" w14:textId="0F4D81A7" w:rsidR="00DE01AA" w:rsidRPr="009650FF" w:rsidRDefault="009650FF" w:rsidP="009650FF">
      <w:pPr>
        <w:spacing w:line="360" w:lineRule="auto"/>
        <w:jc w:val="both"/>
        <w:rPr>
          <w:sz w:val="28"/>
          <w:szCs w:val="28"/>
        </w:rPr>
      </w:pPr>
      <w:r>
        <w:rPr>
          <w:sz w:val="28"/>
          <w:szCs w:val="28"/>
        </w:rPr>
        <w:t>[40]</w:t>
      </w:r>
      <w:r>
        <w:rPr>
          <w:sz w:val="28"/>
          <w:szCs w:val="28"/>
        </w:rPr>
        <w:tab/>
      </w:r>
      <w:r w:rsidR="00DE01AA" w:rsidRPr="009650FF">
        <w:rPr>
          <w:sz w:val="28"/>
          <w:szCs w:val="28"/>
        </w:rPr>
        <w:t xml:space="preserve">It follows that the first respondent failed to make a case for the relief that it sought in the court </w:t>
      </w:r>
      <w:r w:rsidR="00681274" w:rsidRPr="009650FF">
        <w:rPr>
          <w:sz w:val="28"/>
          <w:szCs w:val="28"/>
        </w:rPr>
        <w:t xml:space="preserve">below, </w:t>
      </w:r>
      <w:r w:rsidR="00DE01AA" w:rsidRPr="009650FF">
        <w:rPr>
          <w:sz w:val="28"/>
          <w:szCs w:val="28"/>
        </w:rPr>
        <w:t xml:space="preserve">and the judge </w:t>
      </w:r>
      <w:r w:rsidR="00E62F2F" w:rsidRPr="009650FF">
        <w:rPr>
          <w:sz w:val="28"/>
          <w:szCs w:val="28"/>
        </w:rPr>
        <w:t xml:space="preserve">at first instance </w:t>
      </w:r>
      <w:r w:rsidR="00681274" w:rsidRPr="009650FF">
        <w:rPr>
          <w:sz w:val="28"/>
          <w:szCs w:val="28"/>
        </w:rPr>
        <w:t>therefore erred by</w:t>
      </w:r>
      <w:r w:rsidR="00DE01AA" w:rsidRPr="009650FF">
        <w:rPr>
          <w:sz w:val="28"/>
          <w:szCs w:val="28"/>
        </w:rPr>
        <w:t xml:space="preserve"> granting </w:t>
      </w:r>
      <w:r w:rsidR="00681274" w:rsidRPr="009650FF">
        <w:rPr>
          <w:sz w:val="28"/>
          <w:szCs w:val="28"/>
        </w:rPr>
        <w:t>it</w:t>
      </w:r>
      <w:r w:rsidR="00DE01AA" w:rsidRPr="009650FF">
        <w:rPr>
          <w:sz w:val="28"/>
          <w:szCs w:val="28"/>
        </w:rPr>
        <w:t>.</w:t>
      </w:r>
      <w:r w:rsidR="00FA249F" w:rsidRPr="009650FF">
        <w:rPr>
          <w:sz w:val="28"/>
          <w:szCs w:val="28"/>
        </w:rPr>
        <w:t xml:space="preserve">  The appeal will accordingly be upheld.  </w:t>
      </w:r>
      <w:r w:rsidR="001B7C91" w:rsidRPr="009650FF">
        <w:rPr>
          <w:sz w:val="28"/>
          <w:szCs w:val="28"/>
        </w:rPr>
        <w:t>The parties accepted that in that event there should be no order as to costs.</w:t>
      </w:r>
      <w:r w:rsidR="001B7C91">
        <w:rPr>
          <w:rStyle w:val="FootnoteReference"/>
          <w:sz w:val="28"/>
          <w:szCs w:val="28"/>
        </w:rPr>
        <w:footnoteReference w:id="23"/>
      </w:r>
    </w:p>
    <w:p w14:paraId="7FA8C240" w14:textId="14FF686E" w:rsidR="00DE01AA" w:rsidRPr="009650FF" w:rsidRDefault="009650FF" w:rsidP="009650FF">
      <w:pPr>
        <w:keepNext/>
        <w:spacing w:line="360" w:lineRule="auto"/>
        <w:jc w:val="both"/>
        <w:rPr>
          <w:sz w:val="28"/>
          <w:szCs w:val="28"/>
        </w:rPr>
      </w:pPr>
      <w:r>
        <w:rPr>
          <w:sz w:val="28"/>
          <w:szCs w:val="28"/>
        </w:rPr>
        <w:t>[41]</w:t>
      </w:r>
      <w:r>
        <w:rPr>
          <w:sz w:val="28"/>
          <w:szCs w:val="28"/>
        </w:rPr>
        <w:tab/>
      </w:r>
      <w:r w:rsidR="00DE01AA" w:rsidRPr="009650FF">
        <w:rPr>
          <w:sz w:val="28"/>
          <w:szCs w:val="28"/>
        </w:rPr>
        <w:t>An order will issue in the following terms:</w:t>
      </w:r>
    </w:p>
    <w:p w14:paraId="08311A4C" w14:textId="036D94B8" w:rsidR="00DE01AA" w:rsidRPr="009650FF" w:rsidRDefault="009650FF" w:rsidP="009650FF">
      <w:pPr>
        <w:spacing w:line="360" w:lineRule="auto"/>
        <w:ind w:left="720" w:hanging="360"/>
        <w:jc w:val="both"/>
        <w:rPr>
          <w:sz w:val="28"/>
          <w:szCs w:val="28"/>
        </w:rPr>
      </w:pPr>
      <w:r>
        <w:rPr>
          <w:sz w:val="28"/>
          <w:szCs w:val="28"/>
        </w:rPr>
        <w:t>1.</w:t>
      </w:r>
      <w:r>
        <w:rPr>
          <w:sz w:val="28"/>
          <w:szCs w:val="28"/>
        </w:rPr>
        <w:tab/>
      </w:r>
      <w:r w:rsidR="00DE01AA" w:rsidRPr="009650FF">
        <w:rPr>
          <w:sz w:val="28"/>
          <w:szCs w:val="28"/>
        </w:rPr>
        <w:t>The appeal is upheld.</w:t>
      </w:r>
    </w:p>
    <w:p w14:paraId="5ECA91A0" w14:textId="734C5D2E" w:rsidR="00DE01AA" w:rsidRPr="009650FF" w:rsidRDefault="009650FF" w:rsidP="009650FF">
      <w:pPr>
        <w:spacing w:line="360" w:lineRule="auto"/>
        <w:ind w:left="720" w:hanging="360"/>
        <w:jc w:val="both"/>
        <w:rPr>
          <w:sz w:val="28"/>
          <w:szCs w:val="28"/>
        </w:rPr>
      </w:pPr>
      <w:r>
        <w:rPr>
          <w:sz w:val="28"/>
          <w:szCs w:val="28"/>
        </w:rPr>
        <w:t>2.</w:t>
      </w:r>
      <w:r>
        <w:rPr>
          <w:sz w:val="28"/>
          <w:szCs w:val="28"/>
        </w:rPr>
        <w:tab/>
      </w:r>
      <w:r w:rsidR="00DE01AA" w:rsidRPr="009650FF">
        <w:rPr>
          <w:sz w:val="28"/>
          <w:szCs w:val="28"/>
        </w:rPr>
        <w:t xml:space="preserve">The order </w:t>
      </w:r>
      <w:r w:rsidR="00142E5D" w:rsidRPr="009650FF">
        <w:rPr>
          <w:sz w:val="28"/>
          <w:szCs w:val="28"/>
        </w:rPr>
        <w:t>of</w:t>
      </w:r>
      <w:r w:rsidR="00DE01AA" w:rsidRPr="009650FF">
        <w:rPr>
          <w:sz w:val="28"/>
          <w:szCs w:val="28"/>
        </w:rPr>
        <w:t xml:space="preserve"> the court a quo is set aside and substituted with </w:t>
      </w:r>
      <w:r w:rsidR="00142E5D" w:rsidRPr="009650FF">
        <w:rPr>
          <w:sz w:val="28"/>
          <w:szCs w:val="28"/>
        </w:rPr>
        <w:t>the following:</w:t>
      </w:r>
    </w:p>
    <w:p w14:paraId="1C4193EC" w14:textId="77777777" w:rsidR="0014709D" w:rsidRDefault="00FA249F" w:rsidP="00CC79D7">
      <w:pPr>
        <w:pStyle w:val="ListParagraph"/>
        <w:keepNext/>
        <w:spacing w:line="360" w:lineRule="auto"/>
        <w:contextualSpacing w:val="0"/>
        <w:jc w:val="both"/>
        <w:rPr>
          <w:sz w:val="28"/>
          <w:szCs w:val="28"/>
        </w:rPr>
      </w:pPr>
      <w:r>
        <w:rPr>
          <w:sz w:val="28"/>
          <w:szCs w:val="28"/>
        </w:rPr>
        <w:t xml:space="preserve">‘The application is dismissed with </w:t>
      </w:r>
      <w:r w:rsidR="001B7C91">
        <w:rPr>
          <w:sz w:val="28"/>
          <w:szCs w:val="28"/>
        </w:rPr>
        <w:t>no order as to costs’</w:t>
      </w:r>
      <w:r w:rsidR="0014709D">
        <w:rPr>
          <w:sz w:val="28"/>
          <w:szCs w:val="28"/>
        </w:rPr>
        <w:t>.</w:t>
      </w:r>
    </w:p>
    <w:p w14:paraId="1AD494AF" w14:textId="77777777" w:rsidR="0014709D" w:rsidRDefault="0014709D" w:rsidP="00126CCB">
      <w:pPr>
        <w:pStyle w:val="ListParagraph"/>
        <w:spacing w:line="360" w:lineRule="auto"/>
        <w:contextualSpacing w:val="0"/>
        <w:jc w:val="both"/>
        <w:rPr>
          <w:sz w:val="28"/>
          <w:szCs w:val="28"/>
        </w:rPr>
      </w:pPr>
    </w:p>
    <w:p w14:paraId="6858D025" w14:textId="77777777" w:rsidR="0014709D" w:rsidRDefault="0014709D" w:rsidP="00126CCB">
      <w:pPr>
        <w:pStyle w:val="ListParagraph"/>
        <w:spacing w:line="360" w:lineRule="auto"/>
        <w:contextualSpacing w:val="0"/>
        <w:jc w:val="both"/>
        <w:rPr>
          <w:sz w:val="28"/>
          <w:szCs w:val="28"/>
        </w:rPr>
      </w:pPr>
    </w:p>
    <w:p w14:paraId="3235FBBA" w14:textId="77777777" w:rsidR="00E62F2F" w:rsidRDefault="00E62F2F" w:rsidP="00126CCB">
      <w:pPr>
        <w:pStyle w:val="ListParagraph"/>
        <w:spacing w:line="360" w:lineRule="auto"/>
        <w:contextualSpacing w:val="0"/>
        <w:jc w:val="both"/>
        <w:rPr>
          <w:sz w:val="28"/>
          <w:szCs w:val="28"/>
        </w:rPr>
      </w:pPr>
    </w:p>
    <w:p w14:paraId="4050156C" w14:textId="77777777" w:rsidR="00E54558" w:rsidRDefault="00E54558" w:rsidP="00126CCB">
      <w:pPr>
        <w:pStyle w:val="ListParagraph"/>
        <w:spacing w:line="360" w:lineRule="auto"/>
        <w:contextualSpacing w:val="0"/>
        <w:jc w:val="both"/>
        <w:rPr>
          <w:sz w:val="28"/>
          <w:szCs w:val="28"/>
        </w:rPr>
      </w:pPr>
    </w:p>
    <w:p w14:paraId="01EFA59A" w14:textId="52B9E341" w:rsidR="00E54558" w:rsidRDefault="00E54558" w:rsidP="0014709D">
      <w:pPr>
        <w:pStyle w:val="ListParagraph"/>
        <w:keepNext/>
        <w:spacing w:before="240" w:after="240"/>
        <w:jc w:val="right"/>
        <w:rPr>
          <w:b/>
          <w:sz w:val="28"/>
          <w:szCs w:val="28"/>
        </w:rPr>
      </w:pPr>
      <w:r>
        <w:rPr>
          <w:b/>
          <w:sz w:val="28"/>
          <w:szCs w:val="28"/>
        </w:rPr>
        <w:t>___________________</w:t>
      </w:r>
    </w:p>
    <w:p w14:paraId="5C06D1B4" w14:textId="5725BBB3" w:rsidR="0014709D" w:rsidRDefault="00E54558" w:rsidP="0014709D">
      <w:pPr>
        <w:pStyle w:val="ListParagraph"/>
        <w:keepNext/>
        <w:spacing w:before="240" w:after="240"/>
        <w:jc w:val="right"/>
        <w:rPr>
          <w:b/>
          <w:sz w:val="28"/>
          <w:szCs w:val="28"/>
        </w:rPr>
      </w:pPr>
      <w:r>
        <w:rPr>
          <w:b/>
          <w:sz w:val="28"/>
          <w:szCs w:val="28"/>
        </w:rPr>
        <w:t>A G</w:t>
      </w:r>
      <w:r w:rsidR="0014709D">
        <w:rPr>
          <w:b/>
          <w:sz w:val="28"/>
          <w:szCs w:val="28"/>
        </w:rPr>
        <w:t xml:space="preserve"> BINNS-WARD</w:t>
      </w:r>
    </w:p>
    <w:p w14:paraId="0CA7DD01" w14:textId="77777777" w:rsidR="00FA249F" w:rsidRDefault="0014709D" w:rsidP="0014709D">
      <w:pPr>
        <w:pStyle w:val="ListParagraph"/>
        <w:spacing w:before="240" w:after="240"/>
        <w:jc w:val="right"/>
        <w:rPr>
          <w:sz w:val="28"/>
          <w:szCs w:val="28"/>
        </w:rPr>
      </w:pPr>
      <w:r>
        <w:rPr>
          <w:b/>
          <w:sz w:val="28"/>
          <w:szCs w:val="28"/>
        </w:rPr>
        <w:t>ACTING JUDGE OF APPEAL</w:t>
      </w:r>
      <w:r w:rsidR="00FA249F">
        <w:rPr>
          <w:sz w:val="28"/>
          <w:szCs w:val="28"/>
        </w:rPr>
        <w:t xml:space="preserve"> </w:t>
      </w:r>
    </w:p>
    <w:p w14:paraId="1B6E40B5" w14:textId="69C475CB" w:rsidR="00E54558" w:rsidRDefault="00E54558" w:rsidP="00CC79D7">
      <w:pPr>
        <w:jc w:val="both"/>
        <w:rPr>
          <w:sz w:val="28"/>
          <w:szCs w:val="28"/>
        </w:rPr>
      </w:pPr>
      <w:r>
        <w:rPr>
          <w:sz w:val="28"/>
          <w:szCs w:val="28"/>
        </w:rPr>
        <w:br w:type="page"/>
      </w:r>
    </w:p>
    <w:p w14:paraId="4ABB629D" w14:textId="5D9EAB4D" w:rsidR="00867D5C" w:rsidRDefault="00867D5C" w:rsidP="00CC79D7">
      <w:pPr>
        <w:jc w:val="both"/>
        <w:rPr>
          <w:sz w:val="28"/>
          <w:szCs w:val="28"/>
        </w:rPr>
      </w:pPr>
      <w:r>
        <w:rPr>
          <w:sz w:val="28"/>
          <w:szCs w:val="28"/>
        </w:rPr>
        <w:t>Appearances:</w:t>
      </w:r>
    </w:p>
    <w:p w14:paraId="02529BB4" w14:textId="5DA99EC6" w:rsidR="00E03F8E" w:rsidRDefault="00867D5C" w:rsidP="00867D5C">
      <w:pPr>
        <w:pStyle w:val="ListParagraph"/>
        <w:spacing w:before="240" w:after="240"/>
        <w:ind w:left="0"/>
        <w:rPr>
          <w:sz w:val="28"/>
          <w:szCs w:val="28"/>
        </w:rPr>
      </w:pPr>
      <w:r>
        <w:rPr>
          <w:sz w:val="28"/>
          <w:szCs w:val="28"/>
        </w:rPr>
        <w:t>Appellant’s counsel:</w:t>
      </w:r>
      <w:r>
        <w:rPr>
          <w:sz w:val="28"/>
          <w:szCs w:val="28"/>
        </w:rPr>
        <w:tab/>
      </w:r>
      <w:r>
        <w:rPr>
          <w:sz w:val="28"/>
          <w:szCs w:val="28"/>
        </w:rPr>
        <w:tab/>
      </w:r>
      <w:r w:rsidR="00E54558">
        <w:rPr>
          <w:sz w:val="28"/>
          <w:szCs w:val="28"/>
        </w:rPr>
        <w:t>A</w:t>
      </w:r>
      <w:r w:rsidR="00E03F8E">
        <w:rPr>
          <w:sz w:val="28"/>
          <w:szCs w:val="28"/>
        </w:rPr>
        <w:t xml:space="preserve"> Byleveld SC</w:t>
      </w:r>
      <w:r w:rsidR="00142E5D">
        <w:rPr>
          <w:sz w:val="28"/>
          <w:szCs w:val="28"/>
        </w:rPr>
        <w:t xml:space="preserve"> and </w:t>
      </w:r>
      <w:r w:rsidR="00E54558">
        <w:rPr>
          <w:sz w:val="28"/>
          <w:szCs w:val="28"/>
        </w:rPr>
        <w:t>T</w:t>
      </w:r>
      <w:r w:rsidR="00E03F8E">
        <w:rPr>
          <w:sz w:val="28"/>
          <w:szCs w:val="28"/>
        </w:rPr>
        <w:t xml:space="preserve"> Rossi</w:t>
      </w:r>
    </w:p>
    <w:p w14:paraId="362BF952" w14:textId="654FBBD2" w:rsidR="00E03F8E" w:rsidRDefault="00142E5D" w:rsidP="00867D5C">
      <w:pPr>
        <w:pStyle w:val="ListParagraph"/>
        <w:spacing w:before="240" w:after="240"/>
        <w:ind w:left="0"/>
        <w:rPr>
          <w:sz w:val="28"/>
          <w:szCs w:val="28"/>
        </w:rPr>
      </w:pPr>
      <w:r>
        <w:rPr>
          <w:sz w:val="28"/>
          <w:szCs w:val="28"/>
        </w:rPr>
        <w:t>Instructed by</w:t>
      </w:r>
      <w:r w:rsidR="00E03F8E">
        <w:rPr>
          <w:sz w:val="28"/>
          <w:szCs w:val="28"/>
        </w:rPr>
        <w:t>:</w:t>
      </w:r>
      <w:r w:rsidR="00E03F8E">
        <w:rPr>
          <w:sz w:val="28"/>
          <w:szCs w:val="28"/>
        </w:rPr>
        <w:tab/>
      </w:r>
      <w:r w:rsidR="00E03F8E">
        <w:rPr>
          <w:sz w:val="28"/>
          <w:szCs w:val="28"/>
        </w:rPr>
        <w:tab/>
      </w:r>
      <w:r>
        <w:rPr>
          <w:sz w:val="28"/>
          <w:szCs w:val="28"/>
        </w:rPr>
        <w:tab/>
      </w:r>
      <w:r w:rsidR="00E03F8E">
        <w:rPr>
          <w:sz w:val="28"/>
          <w:szCs w:val="28"/>
        </w:rPr>
        <w:t>McWilliams &amp; Elliot Inc</w:t>
      </w:r>
    </w:p>
    <w:p w14:paraId="500889B8" w14:textId="77777777" w:rsidR="00E03F8E" w:rsidRDefault="00E03F8E" w:rsidP="00867D5C">
      <w:pPr>
        <w:pStyle w:val="ListParagraph"/>
        <w:spacing w:before="240" w:after="240"/>
        <w:ind w:left="0"/>
        <w:rPr>
          <w:sz w:val="28"/>
          <w:szCs w:val="28"/>
        </w:rPr>
      </w:pPr>
      <w:r>
        <w:rPr>
          <w:sz w:val="28"/>
          <w:szCs w:val="28"/>
        </w:rPr>
        <w:tab/>
      </w:r>
      <w:r>
        <w:rPr>
          <w:sz w:val="28"/>
          <w:szCs w:val="28"/>
        </w:rPr>
        <w:tab/>
      </w:r>
      <w:r>
        <w:rPr>
          <w:sz w:val="28"/>
          <w:szCs w:val="28"/>
        </w:rPr>
        <w:tab/>
      </w:r>
      <w:r>
        <w:rPr>
          <w:sz w:val="28"/>
          <w:szCs w:val="28"/>
        </w:rPr>
        <w:tab/>
      </w:r>
      <w:r>
        <w:rPr>
          <w:sz w:val="28"/>
          <w:szCs w:val="28"/>
        </w:rPr>
        <w:tab/>
        <w:t>Gqeberha</w:t>
      </w:r>
    </w:p>
    <w:p w14:paraId="72983AE5" w14:textId="77777777" w:rsidR="00E03F8E" w:rsidRDefault="00E03F8E" w:rsidP="00867D5C">
      <w:pPr>
        <w:pStyle w:val="ListParagraph"/>
        <w:spacing w:before="240" w:after="240"/>
        <w:ind w:left="0"/>
        <w:rPr>
          <w:sz w:val="28"/>
          <w:szCs w:val="28"/>
        </w:rPr>
      </w:pPr>
      <w:r>
        <w:rPr>
          <w:sz w:val="28"/>
          <w:szCs w:val="28"/>
        </w:rPr>
        <w:tab/>
      </w:r>
      <w:r>
        <w:rPr>
          <w:sz w:val="28"/>
          <w:szCs w:val="28"/>
        </w:rPr>
        <w:tab/>
      </w:r>
      <w:r>
        <w:rPr>
          <w:sz w:val="28"/>
          <w:szCs w:val="28"/>
        </w:rPr>
        <w:tab/>
      </w:r>
      <w:r>
        <w:rPr>
          <w:sz w:val="28"/>
          <w:szCs w:val="28"/>
        </w:rPr>
        <w:tab/>
      </w:r>
      <w:r>
        <w:rPr>
          <w:sz w:val="28"/>
          <w:szCs w:val="28"/>
        </w:rPr>
        <w:tab/>
        <w:t>Webbers</w:t>
      </w:r>
    </w:p>
    <w:p w14:paraId="55186857" w14:textId="77777777" w:rsidR="00E03F8E" w:rsidRDefault="00E03F8E" w:rsidP="00867D5C">
      <w:pPr>
        <w:pStyle w:val="ListParagraph"/>
        <w:spacing w:before="240" w:after="240"/>
        <w:ind w:left="0"/>
        <w:rPr>
          <w:sz w:val="28"/>
          <w:szCs w:val="28"/>
        </w:rPr>
      </w:pPr>
      <w:r>
        <w:rPr>
          <w:sz w:val="28"/>
          <w:szCs w:val="28"/>
        </w:rPr>
        <w:tab/>
      </w:r>
      <w:r>
        <w:rPr>
          <w:sz w:val="28"/>
          <w:szCs w:val="28"/>
        </w:rPr>
        <w:tab/>
      </w:r>
      <w:r>
        <w:rPr>
          <w:sz w:val="28"/>
          <w:szCs w:val="28"/>
        </w:rPr>
        <w:tab/>
      </w:r>
      <w:r>
        <w:rPr>
          <w:sz w:val="28"/>
          <w:szCs w:val="28"/>
        </w:rPr>
        <w:tab/>
      </w:r>
      <w:r>
        <w:rPr>
          <w:sz w:val="28"/>
          <w:szCs w:val="28"/>
        </w:rPr>
        <w:tab/>
        <w:t>Bloemfontein</w:t>
      </w:r>
    </w:p>
    <w:p w14:paraId="2467A2E8" w14:textId="77777777" w:rsidR="00E03F8E" w:rsidRDefault="00E03F8E" w:rsidP="00867D5C">
      <w:pPr>
        <w:pStyle w:val="ListParagraph"/>
        <w:spacing w:before="240" w:after="240"/>
        <w:ind w:left="0"/>
        <w:rPr>
          <w:sz w:val="28"/>
          <w:szCs w:val="28"/>
        </w:rPr>
      </w:pPr>
    </w:p>
    <w:p w14:paraId="7D802BD8" w14:textId="71E1E3DE" w:rsidR="00E03F8E" w:rsidRDefault="00E54558" w:rsidP="00867D5C">
      <w:pPr>
        <w:pStyle w:val="ListParagraph"/>
        <w:spacing w:before="240" w:after="240"/>
        <w:ind w:left="0"/>
        <w:rPr>
          <w:sz w:val="28"/>
          <w:szCs w:val="28"/>
        </w:rPr>
      </w:pPr>
      <w:r>
        <w:rPr>
          <w:sz w:val="28"/>
          <w:szCs w:val="28"/>
        </w:rPr>
        <w:t>First Respondent’s counsel:</w:t>
      </w:r>
      <w:r>
        <w:rPr>
          <w:sz w:val="28"/>
          <w:szCs w:val="28"/>
        </w:rPr>
        <w:tab/>
        <w:t>N J</w:t>
      </w:r>
      <w:r w:rsidR="00E03F8E">
        <w:rPr>
          <w:sz w:val="28"/>
          <w:szCs w:val="28"/>
        </w:rPr>
        <w:t xml:space="preserve"> Mullins SC</w:t>
      </w:r>
      <w:r w:rsidR="002B22DB">
        <w:rPr>
          <w:sz w:val="28"/>
          <w:szCs w:val="28"/>
        </w:rPr>
        <w:t xml:space="preserve"> and G. Joubert</w:t>
      </w:r>
    </w:p>
    <w:p w14:paraId="391EEDB6" w14:textId="0CA9966F" w:rsidR="00E03F8E" w:rsidRDefault="002B22DB" w:rsidP="00867D5C">
      <w:pPr>
        <w:pStyle w:val="ListParagraph"/>
        <w:spacing w:before="240" w:after="240"/>
        <w:ind w:left="0"/>
        <w:rPr>
          <w:sz w:val="28"/>
          <w:szCs w:val="28"/>
        </w:rPr>
      </w:pPr>
      <w:r>
        <w:rPr>
          <w:sz w:val="28"/>
          <w:szCs w:val="28"/>
        </w:rPr>
        <w:t>Instructed by:</w:t>
      </w:r>
      <w:r>
        <w:rPr>
          <w:sz w:val="28"/>
          <w:szCs w:val="28"/>
        </w:rPr>
        <w:tab/>
      </w:r>
      <w:r>
        <w:rPr>
          <w:sz w:val="28"/>
          <w:szCs w:val="28"/>
        </w:rPr>
        <w:tab/>
      </w:r>
      <w:r w:rsidR="00E03F8E">
        <w:rPr>
          <w:sz w:val="28"/>
          <w:szCs w:val="28"/>
        </w:rPr>
        <w:tab/>
        <w:t xml:space="preserve">Richardt van Rensburg </w:t>
      </w:r>
      <w:r>
        <w:rPr>
          <w:sz w:val="28"/>
          <w:szCs w:val="28"/>
        </w:rPr>
        <w:t>Inc</w:t>
      </w:r>
    </w:p>
    <w:p w14:paraId="72923CB3" w14:textId="77777777" w:rsidR="00E03F8E" w:rsidRDefault="00E03F8E" w:rsidP="00867D5C">
      <w:pPr>
        <w:pStyle w:val="ListParagraph"/>
        <w:spacing w:before="240" w:after="240"/>
        <w:ind w:left="0"/>
        <w:rPr>
          <w:sz w:val="28"/>
          <w:szCs w:val="28"/>
        </w:rPr>
      </w:pPr>
      <w:r>
        <w:rPr>
          <w:sz w:val="28"/>
          <w:szCs w:val="28"/>
        </w:rPr>
        <w:tab/>
      </w:r>
      <w:r>
        <w:rPr>
          <w:sz w:val="28"/>
          <w:szCs w:val="28"/>
        </w:rPr>
        <w:tab/>
      </w:r>
      <w:r>
        <w:rPr>
          <w:sz w:val="28"/>
          <w:szCs w:val="28"/>
        </w:rPr>
        <w:tab/>
      </w:r>
      <w:r>
        <w:rPr>
          <w:sz w:val="28"/>
          <w:szCs w:val="28"/>
        </w:rPr>
        <w:tab/>
      </w:r>
      <w:r>
        <w:rPr>
          <w:sz w:val="28"/>
          <w:szCs w:val="28"/>
        </w:rPr>
        <w:tab/>
        <w:t>Graaff Reinet</w:t>
      </w:r>
    </w:p>
    <w:p w14:paraId="6F2F9A35" w14:textId="77777777" w:rsidR="00C719BB" w:rsidRDefault="00C719BB" w:rsidP="00867D5C">
      <w:pPr>
        <w:pStyle w:val="ListParagraph"/>
        <w:spacing w:before="240" w:after="240"/>
        <w:ind w:left="0"/>
        <w:rPr>
          <w:sz w:val="28"/>
          <w:szCs w:val="28"/>
        </w:rPr>
      </w:pPr>
      <w:r>
        <w:rPr>
          <w:sz w:val="28"/>
          <w:szCs w:val="28"/>
        </w:rPr>
        <w:tab/>
      </w:r>
      <w:r>
        <w:rPr>
          <w:sz w:val="28"/>
          <w:szCs w:val="28"/>
        </w:rPr>
        <w:tab/>
      </w:r>
      <w:r>
        <w:rPr>
          <w:sz w:val="28"/>
          <w:szCs w:val="28"/>
        </w:rPr>
        <w:tab/>
      </w:r>
      <w:r>
        <w:rPr>
          <w:sz w:val="28"/>
          <w:szCs w:val="28"/>
        </w:rPr>
        <w:tab/>
      </w:r>
      <w:r>
        <w:rPr>
          <w:sz w:val="28"/>
          <w:szCs w:val="28"/>
        </w:rPr>
        <w:tab/>
        <w:t>Honey Attorneys</w:t>
      </w:r>
    </w:p>
    <w:p w14:paraId="103BD4C6" w14:textId="77777777" w:rsidR="00C719BB" w:rsidRPr="00867D5C" w:rsidRDefault="00C719BB" w:rsidP="00867D5C">
      <w:pPr>
        <w:pStyle w:val="ListParagraph"/>
        <w:spacing w:before="240" w:after="240"/>
        <w:ind w:left="0"/>
        <w:rPr>
          <w:sz w:val="28"/>
          <w:szCs w:val="28"/>
        </w:rPr>
      </w:pPr>
      <w:r>
        <w:rPr>
          <w:sz w:val="28"/>
          <w:szCs w:val="28"/>
        </w:rPr>
        <w:tab/>
      </w:r>
      <w:r>
        <w:rPr>
          <w:sz w:val="28"/>
          <w:szCs w:val="28"/>
        </w:rPr>
        <w:tab/>
      </w:r>
      <w:r>
        <w:rPr>
          <w:sz w:val="28"/>
          <w:szCs w:val="28"/>
        </w:rPr>
        <w:tab/>
      </w:r>
      <w:r>
        <w:rPr>
          <w:sz w:val="28"/>
          <w:szCs w:val="28"/>
        </w:rPr>
        <w:tab/>
      </w:r>
      <w:r>
        <w:rPr>
          <w:sz w:val="28"/>
          <w:szCs w:val="28"/>
        </w:rPr>
        <w:tab/>
        <w:t>Bloemfontein</w:t>
      </w:r>
    </w:p>
    <w:sectPr w:rsidR="00C719BB" w:rsidRPr="00867D5C" w:rsidSect="00C92EBD">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63346" w14:textId="77777777" w:rsidR="00495501" w:rsidRDefault="00495501" w:rsidP="00027EBE">
      <w:pPr>
        <w:spacing w:before="0" w:after="0" w:line="240" w:lineRule="auto"/>
      </w:pPr>
      <w:r>
        <w:separator/>
      </w:r>
    </w:p>
  </w:endnote>
  <w:endnote w:type="continuationSeparator" w:id="0">
    <w:p w14:paraId="64E17079" w14:textId="77777777" w:rsidR="00495501" w:rsidRDefault="00495501" w:rsidP="00027E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7A14" w14:textId="77777777" w:rsidR="00495501" w:rsidRDefault="00495501" w:rsidP="00027EBE">
      <w:pPr>
        <w:spacing w:before="0" w:after="0" w:line="240" w:lineRule="auto"/>
      </w:pPr>
      <w:r>
        <w:separator/>
      </w:r>
    </w:p>
  </w:footnote>
  <w:footnote w:type="continuationSeparator" w:id="0">
    <w:p w14:paraId="25BFA2E0" w14:textId="77777777" w:rsidR="00495501" w:rsidRDefault="00495501" w:rsidP="00027EBE">
      <w:pPr>
        <w:spacing w:before="0" w:after="0" w:line="240" w:lineRule="auto"/>
      </w:pPr>
      <w:r>
        <w:continuationSeparator/>
      </w:r>
    </w:p>
  </w:footnote>
  <w:footnote w:id="1">
    <w:p w14:paraId="23271A0F" w14:textId="76084008" w:rsidR="00C12E8A" w:rsidRDefault="00C12E8A" w:rsidP="004D4902">
      <w:pPr>
        <w:pStyle w:val="FootnoteText"/>
        <w:contextualSpacing/>
        <w:jc w:val="both"/>
      </w:pPr>
      <w:r>
        <w:rPr>
          <w:rStyle w:val="FootnoteReference"/>
        </w:rPr>
        <w:footnoteRef/>
      </w:r>
      <w:r>
        <w:t xml:space="preserve"> </w:t>
      </w:r>
      <w:r w:rsidRPr="0080024E">
        <w:t>The nomenclature for such improvement districts varies country by country.  In the United Kingdom, for example, one encounters ‘business improvement districts’ and in parts of the United States ‘community improvement districts’.</w:t>
      </w:r>
      <w:r w:rsidR="001D7885">
        <w:t xml:space="preserve"> </w:t>
      </w:r>
      <w:r w:rsidRPr="0080024E">
        <w:t xml:space="preserve"> The establishment of business improvement districts in Britain is regulated by part 4 of chapter 2 of the Local Government Act 2003 (cap.26).  </w:t>
      </w:r>
    </w:p>
  </w:footnote>
  <w:footnote w:id="2">
    <w:p w14:paraId="4443C941" w14:textId="77777777" w:rsidR="004B3ED5" w:rsidRPr="00EE74D1" w:rsidRDefault="004B3ED5" w:rsidP="004D4902">
      <w:pPr>
        <w:pStyle w:val="FootnoteText"/>
        <w:contextualSpacing/>
        <w:jc w:val="both"/>
      </w:pPr>
      <w:r w:rsidRPr="00EE74D1">
        <w:rPr>
          <w:rStyle w:val="FootnoteReference"/>
        </w:rPr>
        <w:footnoteRef/>
      </w:r>
      <w:r w:rsidRPr="00EE74D1">
        <w:t xml:space="preserve"> Section 152 of the Constitution provides:</w:t>
      </w:r>
    </w:p>
    <w:p w14:paraId="778C951B" w14:textId="77777777" w:rsidR="004B3ED5" w:rsidRPr="00EE74D1" w:rsidRDefault="004B3ED5" w:rsidP="004D4902">
      <w:pPr>
        <w:pStyle w:val="FootnoteText"/>
        <w:contextualSpacing/>
        <w:jc w:val="both"/>
        <w:rPr>
          <w:b/>
          <w:bCs/>
        </w:rPr>
      </w:pPr>
      <w:r w:rsidRPr="00EE74D1">
        <w:t>‘</w:t>
      </w:r>
      <w:r w:rsidRPr="00EE74D1">
        <w:rPr>
          <w:b/>
          <w:bCs/>
        </w:rPr>
        <w:t>Objects of local government</w:t>
      </w:r>
    </w:p>
    <w:p w14:paraId="67412C7C" w14:textId="77777777" w:rsidR="004B3ED5" w:rsidRPr="00EE74D1" w:rsidRDefault="004B3ED5" w:rsidP="004D4902">
      <w:pPr>
        <w:pStyle w:val="FootnoteText"/>
        <w:contextualSpacing/>
        <w:jc w:val="both"/>
      </w:pPr>
      <w:bookmarkStart w:id="1" w:name="0-0-0-119585"/>
      <w:bookmarkEnd w:id="1"/>
      <w:r w:rsidRPr="00EE74D1">
        <w:t>(1) The objects of local government are</w:t>
      </w:r>
      <w:bookmarkStart w:id="2" w:name="0-0-0-119589"/>
      <w:bookmarkEnd w:id="2"/>
    </w:p>
    <w:p w14:paraId="4A547EAB" w14:textId="631EB9D8" w:rsidR="004B3ED5" w:rsidRPr="00196156" w:rsidRDefault="00D05525" w:rsidP="004D4902">
      <w:pPr>
        <w:pStyle w:val="FootnoteText"/>
        <w:contextualSpacing/>
        <w:jc w:val="both"/>
      </w:pPr>
      <w:r w:rsidRPr="00D05525">
        <w:rPr>
          <w:i/>
          <w:iCs/>
        </w:rPr>
        <w:t>(a)</w:t>
      </w:r>
      <w:r w:rsidR="004B3ED5" w:rsidRPr="00196156">
        <w:tab/>
        <w:t>to provide democratic and accountable government for local communities;</w:t>
      </w:r>
    </w:p>
    <w:p w14:paraId="268C35FF" w14:textId="379C57BC" w:rsidR="004B3ED5" w:rsidRPr="00196156" w:rsidRDefault="00D05525" w:rsidP="004D4902">
      <w:pPr>
        <w:pStyle w:val="FootnoteText"/>
        <w:contextualSpacing/>
        <w:jc w:val="both"/>
      </w:pPr>
      <w:bookmarkStart w:id="3" w:name="0-0-0-119593"/>
      <w:bookmarkEnd w:id="3"/>
      <w:r w:rsidRPr="00D05525">
        <w:rPr>
          <w:i/>
          <w:iCs/>
        </w:rPr>
        <w:t>(b)</w:t>
      </w:r>
      <w:r w:rsidR="004B3ED5" w:rsidRPr="00196156">
        <w:tab/>
        <w:t>to ensure the provision of services to communities in a sustainable manner;</w:t>
      </w:r>
    </w:p>
    <w:p w14:paraId="6C00433D" w14:textId="0120630A" w:rsidR="004B3ED5" w:rsidRPr="00196156" w:rsidRDefault="00D05525" w:rsidP="004D4902">
      <w:pPr>
        <w:pStyle w:val="FootnoteText"/>
        <w:contextualSpacing/>
        <w:jc w:val="both"/>
      </w:pPr>
      <w:bookmarkStart w:id="4" w:name="0-0-0-119595"/>
      <w:bookmarkEnd w:id="4"/>
      <w:r w:rsidRPr="00D05525">
        <w:rPr>
          <w:i/>
          <w:iCs/>
        </w:rPr>
        <w:t>(c)</w:t>
      </w:r>
      <w:r w:rsidR="004B3ED5" w:rsidRPr="00196156">
        <w:tab/>
        <w:t>to promote social and economic development;</w:t>
      </w:r>
    </w:p>
    <w:p w14:paraId="61205F90" w14:textId="34477AB9" w:rsidR="004B3ED5" w:rsidRPr="00196156" w:rsidRDefault="00D05525" w:rsidP="004D4902">
      <w:pPr>
        <w:pStyle w:val="FootnoteText"/>
        <w:contextualSpacing/>
        <w:jc w:val="both"/>
      </w:pPr>
      <w:bookmarkStart w:id="5" w:name="0-0-0-119597"/>
      <w:bookmarkEnd w:id="5"/>
      <w:r w:rsidRPr="00D05525">
        <w:rPr>
          <w:i/>
          <w:iCs/>
        </w:rPr>
        <w:t>(d)</w:t>
      </w:r>
      <w:r w:rsidR="004B3ED5" w:rsidRPr="00196156">
        <w:tab/>
        <w:t>to promote a safe and healthy environment; and</w:t>
      </w:r>
    </w:p>
    <w:p w14:paraId="31FF0070" w14:textId="56A1E9E7" w:rsidR="004B3ED5" w:rsidRPr="00196156" w:rsidRDefault="00D05525" w:rsidP="004D4902">
      <w:pPr>
        <w:pStyle w:val="FootnoteText"/>
        <w:ind w:left="720" w:hanging="720"/>
        <w:contextualSpacing/>
        <w:jc w:val="both"/>
      </w:pPr>
      <w:r w:rsidRPr="00D05525">
        <w:rPr>
          <w:i/>
          <w:iCs/>
        </w:rPr>
        <w:t>(e)</w:t>
      </w:r>
      <w:r w:rsidR="004B3ED5" w:rsidRPr="00196156">
        <w:tab/>
        <w:t>to encourage the involvement of communities and community organisations in the matters of local government.</w:t>
      </w:r>
    </w:p>
    <w:p w14:paraId="1EC09C76" w14:textId="77777777" w:rsidR="004B3ED5" w:rsidRDefault="004B3ED5" w:rsidP="004D4902">
      <w:pPr>
        <w:pStyle w:val="FootnoteText"/>
        <w:contextualSpacing/>
        <w:jc w:val="both"/>
      </w:pPr>
      <w:bookmarkStart w:id="6" w:name="0-0-0-119603"/>
      <w:bookmarkEnd w:id="6"/>
      <w:r w:rsidRPr="00196156">
        <w:t>(2) A municipality must strive, within its financial and administrative capacity, to achieve the objects set out in subsection (1).</w:t>
      </w:r>
      <w:r>
        <w:t>’</w:t>
      </w:r>
    </w:p>
  </w:footnote>
  <w:footnote w:id="3">
    <w:p w14:paraId="5E3F1130" w14:textId="77777777" w:rsidR="004B3ED5" w:rsidRDefault="004B3ED5" w:rsidP="004D4902">
      <w:pPr>
        <w:pStyle w:val="FootnoteText"/>
        <w:contextualSpacing/>
        <w:jc w:val="both"/>
      </w:pPr>
      <w:r>
        <w:rPr>
          <w:rStyle w:val="FootnoteReference"/>
        </w:rPr>
        <w:footnoteRef/>
      </w:r>
      <w:r>
        <w:t xml:space="preserve"> Section 153 of the Constitution provides:</w:t>
      </w:r>
    </w:p>
    <w:p w14:paraId="348352BA" w14:textId="77777777" w:rsidR="004B3ED5" w:rsidRPr="00196156" w:rsidRDefault="004B3ED5" w:rsidP="004D4902">
      <w:pPr>
        <w:pStyle w:val="FootnoteText"/>
        <w:contextualSpacing/>
        <w:jc w:val="both"/>
      </w:pPr>
      <w:r>
        <w:t>‘</w:t>
      </w:r>
      <w:r w:rsidRPr="00196156">
        <w:rPr>
          <w:b/>
        </w:rPr>
        <w:t>Developmental duties of municipalities</w:t>
      </w:r>
    </w:p>
    <w:p w14:paraId="2D097FD0" w14:textId="77777777" w:rsidR="004B3ED5" w:rsidRPr="00196156" w:rsidRDefault="004B3ED5" w:rsidP="004D4902">
      <w:pPr>
        <w:pStyle w:val="FootnoteText"/>
        <w:contextualSpacing/>
        <w:jc w:val="both"/>
      </w:pPr>
      <w:r w:rsidRPr="00196156">
        <w:t>A municipality must-</w:t>
      </w:r>
    </w:p>
    <w:p w14:paraId="60792B06" w14:textId="3C1C83C2" w:rsidR="004B3ED5" w:rsidRPr="00196156" w:rsidRDefault="00D05525" w:rsidP="004D4902">
      <w:pPr>
        <w:pStyle w:val="FootnoteText"/>
        <w:ind w:left="720" w:hanging="720"/>
        <w:contextualSpacing/>
        <w:jc w:val="both"/>
      </w:pPr>
      <w:r w:rsidRPr="00D05525">
        <w:rPr>
          <w:i/>
        </w:rPr>
        <w:t>(a)</w:t>
      </w:r>
      <w:r w:rsidR="004B3ED5" w:rsidRPr="00196156">
        <w:tab/>
        <w:t>structure and manage its administration and budgeting and planning processes to give priority to the basic needs of the community, and to promote the social and economic development of the community;</w:t>
      </w:r>
      <w:r w:rsidR="004B3ED5" w:rsidRPr="009605E0">
        <w:rPr>
          <w:i/>
        </w:rPr>
        <w:t xml:space="preserve"> </w:t>
      </w:r>
      <w:r w:rsidR="004B3ED5" w:rsidRPr="00196156">
        <w:t>and</w:t>
      </w:r>
    </w:p>
    <w:p w14:paraId="23746491" w14:textId="0E68726F" w:rsidR="004B3ED5" w:rsidRPr="009605E0" w:rsidRDefault="00D05525" w:rsidP="004D4902">
      <w:pPr>
        <w:pStyle w:val="FootnoteText"/>
        <w:contextualSpacing/>
        <w:jc w:val="both"/>
      </w:pPr>
      <w:r w:rsidRPr="00D05525">
        <w:rPr>
          <w:i/>
        </w:rPr>
        <w:t>(b)</w:t>
      </w:r>
      <w:r w:rsidR="004B3ED5" w:rsidRPr="00196156">
        <w:tab/>
        <w:t>participate in national and provincial development programmes</w:t>
      </w:r>
      <w:r w:rsidR="004B3ED5" w:rsidRPr="009605E0">
        <w:rPr>
          <w:i/>
        </w:rPr>
        <w:t>.</w:t>
      </w:r>
      <w:r w:rsidR="004B3ED5">
        <w:t>’</w:t>
      </w:r>
    </w:p>
  </w:footnote>
  <w:footnote w:id="4">
    <w:p w14:paraId="4342CAEB" w14:textId="17067F40" w:rsidR="004B3ED5" w:rsidRDefault="004B3ED5" w:rsidP="004D4902">
      <w:pPr>
        <w:pStyle w:val="FootnoteText"/>
        <w:contextualSpacing/>
        <w:jc w:val="both"/>
      </w:pPr>
      <w:r>
        <w:rPr>
          <w:rStyle w:val="FootnoteReference"/>
        </w:rPr>
        <w:footnoteRef/>
      </w:r>
      <w:r>
        <w:t xml:space="preserve"> </w:t>
      </w:r>
      <w:r w:rsidRPr="00466F8D">
        <w:t>It appears that the application was formally submitted in the name of the third respondent, a non-profit company established at the instance of the second respondent</w:t>
      </w:r>
      <w:r w:rsidR="007C77D8">
        <w:t>.</w:t>
      </w:r>
      <w:r>
        <w:t xml:space="preserve"> That was probably done by reason of the effect of the definition of ‘</w:t>
      </w:r>
      <w:r w:rsidRPr="00F65282">
        <w:t>Applicant</w:t>
      </w:r>
      <w:r>
        <w:t xml:space="preserve">’ in paragraph 1 of Part A of the appellant’s rates policy: </w:t>
      </w:r>
      <w:r w:rsidRPr="00466F8D">
        <w:t>‘“Applicant” means any Owner who makes an application for the establishment of a SRA in accordance with the provisions of this Part, or when a Management Body is established in terms hereof, any reference to the “Applicant” means the said “Management Body”’</w:t>
      </w:r>
      <w:r>
        <w:t>.</w:t>
      </w:r>
      <w:r w:rsidR="007C77D8">
        <w:t xml:space="preserve"> </w:t>
      </w:r>
      <w:r w:rsidR="007C77D8" w:rsidRPr="00466F8D">
        <w:t>I shall give a fuller description of the second respondent later in this judgment.</w:t>
      </w:r>
    </w:p>
  </w:footnote>
  <w:footnote w:id="5">
    <w:p w14:paraId="746F74B5" w14:textId="77777777" w:rsidR="004B3ED5" w:rsidRDefault="004B3ED5" w:rsidP="004D4902">
      <w:pPr>
        <w:pStyle w:val="FootnoteText"/>
        <w:contextualSpacing/>
        <w:jc w:val="both"/>
      </w:pPr>
      <w:r>
        <w:rPr>
          <w:rStyle w:val="FootnoteReference"/>
        </w:rPr>
        <w:footnoteRef/>
      </w:r>
      <w:r>
        <w:t xml:space="preserve"> An unsigned copy of the body’s constitution was annexed to the founding affidavit.  The unsigned document provided for signature thereof to be effected on an un</w:t>
      </w:r>
      <w:r w:rsidR="001B1FB5">
        <w:t>specified</w:t>
      </w:r>
      <w:r>
        <w:t xml:space="preserve"> date in 2018.</w:t>
      </w:r>
    </w:p>
  </w:footnote>
  <w:footnote w:id="6">
    <w:p w14:paraId="72DD2DB3" w14:textId="77777777" w:rsidR="004B3ED5" w:rsidRDefault="004B3ED5" w:rsidP="004D4902">
      <w:pPr>
        <w:pStyle w:val="FootnoteText"/>
        <w:contextualSpacing/>
        <w:jc w:val="both"/>
      </w:pPr>
      <w:r>
        <w:rPr>
          <w:rStyle w:val="FootnoteReference"/>
        </w:rPr>
        <w:footnoteRef/>
      </w:r>
      <w:r>
        <w:t xml:space="preserve"> J</w:t>
      </w:r>
      <w:r w:rsidRPr="00836EAA">
        <w:t xml:space="preserve">ust as the appellant’s counsel did in argument, I have rearranged the order in which the relief sought is described to create a more logical sequence than the arrangement in which it was </w:t>
      </w:r>
      <w:r>
        <w:t>set out in the notice of motion.</w:t>
      </w:r>
    </w:p>
  </w:footnote>
  <w:footnote w:id="7">
    <w:p w14:paraId="2A2F2616" w14:textId="77777777" w:rsidR="004B3ED5" w:rsidRDefault="004B3ED5" w:rsidP="004D4902">
      <w:pPr>
        <w:pStyle w:val="FootnoteText"/>
        <w:contextualSpacing/>
        <w:jc w:val="both"/>
      </w:pPr>
      <w:r>
        <w:rPr>
          <w:rStyle w:val="FootnoteReference"/>
        </w:rPr>
        <w:footnoteRef/>
      </w:r>
      <w:r>
        <w:t xml:space="preserve"> Notwithstanding an averment by the deponent to its replying papers that ‘</w:t>
      </w:r>
      <w:r w:rsidRPr="006A00E9">
        <w:rPr>
          <w:i/>
        </w:rPr>
        <w:t xml:space="preserve">the Applicant’s </w:t>
      </w:r>
      <w:r>
        <w:t xml:space="preserve">[ie first respondent’s] </w:t>
      </w:r>
      <w:r w:rsidRPr="006A00E9">
        <w:rPr>
          <w:i/>
        </w:rPr>
        <w:t>case is focussed on the content of the By-Law and the manner in which the SRA came into existence, not the public participation phase thereof</w:t>
      </w:r>
      <w:r>
        <w:t>’.</w:t>
      </w:r>
    </w:p>
  </w:footnote>
  <w:footnote w:id="8">
    <w:p w14:paraId="6DD4EFC8" w14:textId="30365FE1" w:rsidR="004B3ED5" w:rsidRDefault="004B3ED5" w:rsidP="004D4902">
      <w:pPr>
        <w:pStyle w:val="FootnoteText"/>
        <w:contextualSpacing/>
        <w:jc w:val="both"/>
      </w:pPr>
      <w:r>
        <w:rPr>
          <w:rStyle w:val="FootnoteReference"/>
        </w:rPr>
        <w:footnoteRef/>
      </w:r>
      <w:r>
        <w:t xml:space="preserve"> </w:t>
      </w:r>
      <w:r w:rsidR="00A572E7" w:rsidRPr="00A572E7">
        <w:rPr>
          <w:i/>
        </w:rPr>
        <w:t>CUSA v Tao Ying Metal Industries and Others</w:t>
      </w:r>
      <w:r w:rsidR="00A572E7" w:rsidRPr="00A572E7">
        <w:t xml:space="preserve"> </w:t>
      </w:r>
      <w:r w:rsidRPr="00D44F02">
        <w:t>[2008] ZACC 15 (18 September 2008); 2009 (2) SA 204 (CC); 2009 (1) BCLR 1 (CC) ; [2009] 1 BLLR 1</w:t>
      </w:r>
      <w:r>
        <w:t xml:space="preserve"> (CC) ; (2008) 29 ILJ 2461 (CC)</w:t>
      </w:r>
      <w:r w:rsidR="00BD5B29">
        <w:t xml:space="preserve"> para 68</w:t>
      </w:r>
      <w:r>
        <w:t>.</w:t>
      </w:r>
    </w:p>
  </w:footnote>
  <w:footnote w:id="9">
    <w:p w14:paraId="6F0BD28F" w14:textId="77777777" w:rsidR="00165924" w:rsidRDefault="00165924" w:rsidP="00165924">
      <w:pPr>
        <w:pStyle w:val="FootnoteText"/>
        <w:contextualSpacing/>
        <w:jc w:val="both"/>
      </w:pPr>
      <w:r>
        <w:rPr>
          <w:rStyle w:val="FootnoteReference"/>
        </w:rPr>
        <w:footnoteRef/>
      </w:r>
      <w:r>
        <w:t xml:space="preserve"> </w:t>
      </w:r>
      <w:r w:rsidRPr="00523580">
        <w:t xml:space="preserve">‘Local community’ bears the meaning defined in </w:t>
      </w:r>
      <w:r>
        <w:t xml:space="preserve">s 1 of </w:t>
      </w:r>
      <w:r w:rsidRPr="00523580">
        <w:t>the PRA, viz. ‘</w:t>
      </w:r>
      <w:r w:rsidRPr="00D05525">
        <w:rPr>
          <w:i/>
        </w:rPr>
        <w:t>(a)</w:t>
      </w:r>
      <w:r w:rsidRPr="00523580">
        <w:t xml:space="preserve"> … that body of persons comprising (i) the residents of the municipality; (ii) the ratepayers of the municipality; (iii) any civic organisations and non-governmental, private sector or labour organisations or bodies which are involved in local affairs within the municipality; and (iv)   visitors and other people residing outside the municipality who, because of their presence in the municipality, make use of services or facilities provided by the municipality; and </w:t>
      </w:r>
      <w:r w:rsidRPr="00D05525">
        <w:rPr>
          <w:i/>
        </w:rPr>
        <w:t>(b)</w:t>
      </w:r>
      <w:r w:rsidRPr="00523580">
        <w:t> includes, more specifically, the poor and other disadvantaged sections of such body of persons</w:t>
      </w:r>
      <w:r>
        <w:t>’.</w:t>
      </w:r>
    </w:p>
  </w:footnote>
  <w:footnote w:id="10">
    <w:p w14:paraId="707CA4AA" w14:textId="586440BD" w:rsidR="004B3ED5" w:rsidRDefault="004B3ED5" w:rsidP="004D4902">
      <w:pPr>
        <w:pStyle w:val="FootnoteText"/>
        <w:contextualSpacing/>
        <w:jc w:val="both"/>
      </w:pPr>
      <w:r>
        <w:rPr>
          <w:rStyle w:val="FootnoteReference"/>
        </w:rPr>
        <w:footnoteRef/>
      </w:r>
      <w:r>
        <w:t xml:space="preserve"> See s 22(2)</w:t>
      </w:r>
      <w:r w:rsidR="004B341D">
        <w:t xml:space="preserve"> of the PRA</w:t>
      </w:r>
      <w:r>
        <w:t>.</w:t>
      </w:r>
    </w:p>
  </w:footnote>
  <w:footnote w:id="11">
    <w:p w14:paraId="78C6003F" w14:textId="39E4512B" w:rsidR="004B3ED5" w:rsidRDefault="004B3ED5" w:rsidP="004D4902">
      <w:pPr>
        <w:pStyle w:val="FootnoteText"/>
        <w:contextualSpacing/>
        <w:jc w:val="both"/>
      </w:pPr>
      <w:r>
        <w:rPr>
          <w:rStyle w:val="FootnoteReference"/>
        </w:rPr>
        <w:footnoteRef/>
      </w:r>
      <w:r>
        <w:t xml:space="preserve"> See s 22(3) and (4)</w:t>
      </w:r>
      <w:r w:rsidR="004B341D">
        <w:t xml:space="preserve"> of the PRA</w:t>
      </w:r>
      <w:r>
        <w:t>.</w:t>
      </w:r>
    </w:p>
  </w:footnote>
  <w:footnote w:id="12">
    <w:p w14:paraId="5F045FB4" w14:textId="0848ECD9" w:rsidR="004B3ED5" w:rsidRDefault="004B3ED5" w:rsidP="004D4902">
      <w:pPr>
        <w:pStyle w:val="FootnoteText"/>
        <w:contextualSpacing/>
        <w:jc w:val="both"/>
      </w:pPr>
      <w:r>
        <w:rPr>
          <w:rStyle w:val="FootnoteReference"/>
        </w:rPr>
        <w:footnoteRef/>
      </w:r>
      <w:r>
        <w:t xml:space="preserve"> Section 22(2)</w:t>
      </w:r>
      <w:r w:rsidR="00D05525" w:rsidRPr="00D05525">
        <w:rPr>
          <w:i/>
        </w:rPr>
        <w:t>(b)</w:t>
      </w:r>
      <w:r>
        <w:t>.</w:t>
      </w:r>
      <w:r w:rsidR="00621C0D">
        <w:t xml:space="preserve">  </w:t>
      </w:r>
      <w:r w:rsidR="007C1E61">
        <w:t>I</w:t>
      </w:r>
      <w:r w:rsidR="00621C0D">
        <w:t>t may be gleaned from the rates policies of certain other municipalities that the measure of required support from affected ratepayers is sometimes fixed even higher than a simple majority.  The rates policies of other municipalities are published online as contemplated by s 21B of the Systems Act.</w:t>
      </w:r>
    </w:p>
  </w:footnote>
  <w:footnote w:id="13">
    <w:p w14:paraId="45D86F1B" w14:textId="23EEFAD5" w:rsidR="004B3ED5" w:rsidRDefault="004B3ED5" w:rsidP="004D4902">
      <w:pPr>
        <w:pStyle w:val="FootnoteText"/>
        <w:contextualSpacing/>
        <w:jc w:val="both"/>
      </w:pPr>
      <w:r>
        <w:rPr>
          <w:rStyle w:val="FootnoteReference"/>
        </w:rPr>
        <w:footnoteRef/>
      </w:r>
      <w:r>
        <w:t xml:space="preserve"> </w:t>
      </w:r>
      <w:r w:rsidR="006562AA" w:rsidRPr="006562AA">
        <w:rPr>
          <w:i/>
        </w:rPr>
        <w:t xml:space="preserve">South African Property Owners Association v </w:t>
      </w:r>
      <w:r w:rsidR="007C1E61" w:rsidRPr="007C1E61">
        <w:rPr>
          <w:i/>
        </w:rPr>
        <w:t xml:space="preserve">Council of the City of Johannesburg </w:t>
      </w:r>
      <w:r w:rsidR="006562AA" w:rsidRPr="006562AA">
        <w:rPr>
          <w:i/>
        </w:rPr>
        <w:t>Metropolitan Municipality and Others</w:t>
      </w:r>
      <w:r w:rsidRPr="00220AE8">
        <w:t xml:space="preserve"> [2012] ZASCA 157; 2013 (1) SA 420 (SCA); 2013 (1) BCLR 87 (SCA); [2013] 1 Al</w:t>
      </w:r>
      <w:r>
        <w:t>l SA 151 (SCA) para 8.</w:t>
      </w:r>
    </w:p>
  </w:footnote>
  <w:footnote w:id="14">
    <w:p w14:paraId="1B2B3C2C" w14:textId="33B09C95" w:rsidR="004B3ED5" w:rsidRDefault="004B3ED5" w:rsidP="004D4902">
      <w:pPr>
        <w:pStyle w:val="FootnoteText"/>
        <w:contextualSpacing/>
        <w:jc w:val="both"/>
      </w:pPr>
      <w:r>
        <w:rPr>
          <w:rStyle w:val="FootnoteReference"/>
        </w:rPr>
        <w:footnoteRef/>
      </w:r>
      <w:r>
        <w:t xml:space="preserve"> The judgment took the term ‘</w:t>
      </w:r>
      <w:r w:rsidRPr="008804D1">
        <w:t>suite of legislation’ from the preamble to the Systems Act, which describes that statute as ‘an integral part of a suite of legislation that gives effect to the new system of local government’</w:t>
      </w:r>
      <w:r>
        <w:t xml:space="preserve">.  See also </w:t>
      </w:r>
      <w:r w:rsidRPr="00DE6933">
        <w:rPr>
          <w:bCs/>
          <w:i/>
        </w:rPr>
        <w:t>Nelson Mandela Bay Municipality</w:t>
      </w:r>
      <w:r w:rsidRPr="00DE6933">
        <w:rPr>
          <w:bCs/>
        </w:rPr>
        <w:t xml:space="preserve"> </w:t>
      </w:r>
      <w:r w:rsidRPr="00DE6933">
        <w:rPr>
          <w:bCs/>
          <w:i/>
        </w:rPr>
        <w:t>v Amber Mountain Investments 3 (Pty) Ltd</w:t>
      </w:r>
      <w:r w:rsidRPr="00DE6933">
        <w:rPr>
          <w:bCs/>
        </w:rPr>
        <w:t xml:space="preserve"> 2017 (4) SA 272 (SCA)</w:t>
      </w:r>
      <w:r w:rsidR="00C47B9C">
        <w:rPr>
          <w:bCs/>
        </w:rPr>
        <w:t xml:space="preserve"> para 1.</w:t>
      </w:r>
    </w:p>
  </w:footnote>
  <w:footnote w:id="15">
    <w:p w14:paraId="64B023E5" w14:textId="5616ABCC" w:rsidR="004B3ED5" w:rsidRDefault="004B3ED5" w:rsidP="004D4902">
      <w:pPr>
        <w:pStyle w:val="FootnoteText"/>
        <w:contextualSpacing/>
        <w:jc w:val="both"/>
      </w:pPr>
      <w:r>
        <w:rPr>
          <w:rStyle w:val="FootnoteReference"/>
        </w:rPr>
        <w:footnoteRef/>
      </w:r>
      <w:r>
        <w:t xml:space="preserve"> Section 152(1)</w:t>
      </w:r>
      <w:r w:rsidR="00D05525" w:rsidRPr="00D05525">
        <w:rPr>
          <w:i/>
        </w:rPr>
        <w:t>(e)</w:t>
      </w:r>
      <w:r>
        <w:t xml:space="preserve"> of the Constitution.</w:t>
      </w:r>
    </w:p>
  </w:footnote>
  <w:footnote w:id="16">
    <w:p w14:paraId="545E0612" w14:textId="3D52A9A8" w:rsidR="008804D1" w:rsidRDefault="008804D1" w:rsidP="004D4902">
      <w:pPr>
        <w:pStyle w:val="FootnoteText"/>
        <w:contextualSpacing/>
        <w:jc w:val="both"/>
      </w:pPr>
      <w:r>
        <w:rPr>
          <w:rStyle w:val="FootnoteReference"/>
        </w:rPr>
        <w:footnoteRef/>
      </w:r>
      <w:r>
        <w:t xml:space="preserve"> </w:t>
      </w:r>
      <w:r w:rsidR="000434D4">
        <w:t>Cf</w:t>
      </w:r>
      <w:r>
        <w:t xml:space="preserve"> </w:t>
      </w:r>
      <w:r w:rsidRPr="008804D1">
        <w:rPr>
          <w:i/>
        </w:rPr>
        <w:t>Cool Ideas 1186 CC v Hubbard and Another</w:t>
      </w:r>
      <w:r w:rsidRPr="008804D1">
        <w:t xml:space="preserve"> [2014] </w:t>
      </w:r>
      <w:r>
        <w:t>ZACC 16</w:t>
      </w:r>
      <w:r w:rsidRPr="008804D1">
        <w:t>; 2014 (4) SA 4</w:t>
      </w:r>
      <w:r w:rsidR="003E63D1">
        <w:t>74 (CC); 2014 (8) BCLR 869 (CC)</w:t>
      </w:r>
      <w:r w:rsidRPr="008804D1">
        <w:t xml:space="preserve"> para 29</w:t>
      </w:r>
      <w:r>
        <w:t>.</w:t>
      </w:r>
    </w:p>
  </w:footnote>
  <w:footnote w:id="17">
    <w:p w14:paraId="4D6F146F" w14:textId="0AE9A7B7" w:rsidR="000434D4" w:rsidRDefault="000434D4" w:rsidP="004D4902">
      <w:pPr>
        <w:pStyle w:val="FootnoteText"/>
        <w:contextualSpacing/>
        <w:jc w:val="both"/>
      </w:pPr>
      <w:r>
        <w:rPr>
          <w:rStyle w:val="FootnoteReference"/>
        </w:rPr>
        <w:footnoteRef/>
      </w:r>
      <w:r>
        <w:t xml:space="preserve"> </w:t>
      </w:r>
      <w:r w:rsidR="00142E5D" w:rsidRPr="00387393">
        <w:rPr>
          <w:i/>
        </w:rPr>
        <w:t>Kouga Municipality v Bellingan and Others</w:t>
      </w:r>
      <w:r w:rsidR="00142E5D" w:rsidRPr="00387393">
        <w:t xml:space="preserve"> [2011] ZASCA 222; 2012 (2) SA 95 (SCA); [2012] 2 All</w:t>
      </w:r>
      <w:r w:rsidR="00142E5D">
        <w:t xml:space="preserve"> SA 391 (SCA)</w:t>
      </w:r>
      <w:r w:rsidR="00142E5D" w:rsidRPr="00387393">
        <w:t xml:space="preserve"> para 9.</w:t>
      </w:r>
    </w:p>
  </w:footnote>
  <w:footnote w:id="18">
    <w:p w14:paraId="61AFE290" w14:textId="7274DED7" w:rsidR="004B3ED5" w:rsidRDefault="004B3ED5" w:rsidP="004D4902">
      <w:pPr>
        <w:pStyle w:val="FootnoteText"/>
        <w:contextualSpacing/>
        <w:jc w:val="both"/>
      </w:pPr>
      <w:r>
        <w:rPr>
          <w:rStyle w:val="FootnoteReference"/>
        </w:rPr>
        <w:footnoteRef/>
      </w:r>
      <w:r>
        <w:t xml:space="preserve"> Section 64</w:t>
      </w:r>
      <w:r w:rsidR="00AB1F67">
        <w:t xml:space="preserve"> of the MFMA</w:t>
      </w:r>
      <w:r>
        <w:t>.</w:t>
      </w:r>
    </w:p>
  </w:footnote>
  <w:footnote w:id="19">
    <w:p w14:paraId="3393974A" w14:textId="75BB2E42" w:rsidR="004B3ED5" w:rsidRDefault="004B3ED5" w:rsidP="004D4902">
      <w:pPr>
        <w:pStyle w:val="FootnoteText"/>
        <w:contextualSpacing/>
        <w:jc w:val="both"/>
      </w:pPr>
      <w:r>
        <w:rPr>
          <w:rStyle w:val="FootnoteReference"/>
        </w:rPr>
        <w:footnoteRef/>
      </w:r>
      <w:r>
        <w:t xml:space="preserve"> Section 65</w:t>
      </w:r>
      <w:r w:rsidR="00AB1F67">
        <w:t xml:space="preserve"> of the MFMA</w:t>
      </w:r>
      <w:r>
        <w:t>.</w:t>
      </w:r>
    </w:p>
  </w:footnote>
  <w:footnote w:id="20">
    <w:p w14:paraId="401FB7B7" w14:textId="48D6A327" w:rsidR="004B3ED5" w:rsidRDefault="004B3ED5" w:rsidP="004D4902">
      <w:pPr>
        <w:pStyle w:val="FootnoteText"/>
        <w:contextualSpacing/>
        <w:jc w:val="both"/>
      </w:pPr>
      <w:r>
        <w:rPr>
          <w:rStyle w:val="FootnoteReference"/>
        </w:rPr>
        <w:footnoteRef/>
      </w:r>
      <w:r>
        <w:t xml:space="preserve"> Section 69</w:t>
      </w:r>
      <w:r w:rsidR="00AB1F67">
        <w:t xml:space="preserve"> of the MFMA</w:t>
      </w:r>
      <w:r>
        <w:t>.</w:t>
      </w:r>
    </w:p>
  </w:footnote>
  <w:footnote w:id="21">
    <w:p w14:paraId="1BD7CC69" w14:textId="7C6B5486" w:rsidR="004B3ED5" w:rsidRDefault="004B3ED5" w:rsidP="004D4902">
      <w:pPr>
        <w:pStyle w:val="FootnoteText"/>
        <w:contextualSpacing/>
        <w:jc w:val="both"/>
      </w:pPr>
      <w:r>
        <w:rPr>
          <w:rStyle w:val="FootnoteReference"/>
        </w:rPr>
        <w:footnoteRef/>
      </w:r>
      <w:r>
        <w:t xml:space="preserve"> Section 79</w:t>
      </w:r>
      <w:r w:rsidR="00AB1F67">
        <w:t xml:space="preserve"> of the MFMA</w:t>
      </w:r>
      <w:r>
        <w:t>.</w:t>
      </w:r>
    </w:p>
  </w:footnote>
  <w:footnote w:id="22">
    <w:p w14:paraId="40C9A552" w14:textId="77777777" w:rsidR="004B3ED5" w:rsidRDefault="004B3ED5" w:rsidP="004D4902">
      <w:pPr>
        <w:pStyle w:val="FootnoteText"/>
        <w:contextualSpacing/>
        <w:jc w:val="both"/>
      </w:pPr>
      <w:r>
        <w:rPr>
          <w:rStyle w:val="FootnoteReference"/>
        </w:rPr>
        <w:footnoteRef/>
      </w:r>
      <w:r>
        <w:t xml:space="preserve"> Section 67 provides:</w:t>
      </w:r>
    </w:p>
    <w:p w14:paraId="12D81814" w14:textId="77777777" w:rsidR="004B3ED5" w:rsidRDefault="004B3ED5" w:rsidP="004D4902">
      <w:pPr>
        <w:pStyle w:val="FootnoteText"/>
        <w:contextualSpacing/>
        <w:jc w:val="both"/>
      </w:pPr>
      <w:r>
        <w:t>‘</w:t>
      </w:r>
      <w:r w:rsidRPr="003E63D1">
        <w:rPr>
          <w:b/>
        </w:rPr>
        <w:t>Funds transferred to organisations and bodies outside government</w:t>
      </w:r>
    </w:p>
    <w:p w14:paraId="07207037" w14:textId="77777777" w:rsidR="004B3ED5" w:rsidRDefault="004B3ED5" w:rsidP="004D4902">
      <w:pPr>
        <w:pStyle w:val="FootnoteText"/>
        <w:contextualSpacing/>
        <w:jc w:val="both"/>
      </w:pPr>
      <w:r>
        <w:t>(1) Before transferring funds of the municipality to an organisation or body outside any sphere of government otherwise than in compliance with a commercial or other business transaction, the accounting officer must be satisfied that the organisation or body-</w:t>
      </w:r>
    </w:p>
    <w:p w14:paraId="027DA342" w14:textId="1C4526F4" w:rsidR="004B3ED5" w:rsidRDefault="00D05525" w:rsidP="004D4902">
      <w:pPr>
        <w:pStyle w:val="FootnoteText"/>
        <w:contextualSpacing/>
        <w:jc w:val="both"/>
      </w:pPr>
      <w:r w:rsidRPr="00D05525">
        <w:rPr>
          <w:i/>
        </w:rPr>
        <w:t>(a)</w:t>
      </w:r>
      <w:r w:rsidR="004B3ED5">
        <w:t> has the capacity and has agreed-</w:t>
      </w:r>
    </w:p>
    <w:p w14:paraId="28ECD413" w14:textId="77777777" w:rsidR="004B3ED5" w:rsidRDefault="004B3ED5" w:rsidP="004D4902">
      <w:pPr>
        <w:pStyle w:val="FootnoteText"/>
        <w:contextualSpacing/>
        <w:jc w:val="both"/>
      </w:pPr>
      <w:r>
        <w:t>(i)</w:t>
      </w:r>
      <w:r>
        <w:tab/>
        <w:t>to comply with any agreement with the municipality;</w:t>
      </w:r>
    </w:p>
    <w:p w14:paraId="2090A01E" w14:textId="77777777" w:rsidR="004B3ED5" w:rsidRDefault="004B3ED5" w:rsidP="004D4902">
      <w:pPr>
        <w:pStyle w:val="FootnoteText"/>
        <w:ind w:left="720" w:hanging="720"/>
        <w:contextualSpacing/>
        <w:jc w:val="both"/>
      </w:pPr>
      <w:r>
        <w:t>(ii)</w:t>
      </w:r>
      <w:r>
        <w:tab/>
        <w:t>for the period of the agreement to comply with all reporting, financial management and auditing requirements as may be stipulated in the agreement;</w:t>
      </w:r>
    </w:p>
    <w:p w14:paraId="675B66C1" w14:textId="77777777" w:rsidR="004B3ED5" w:rsidRDefault="004B3ED5" w:rsidP="004D4902">
      <w:pPr>
        <w:pStyle w:val="FootnoteText"/>
        <w:contextualSpacing/>
        <w:jc w:val="both"/>
      </w:pPr>
      <w:r>
        <w:t>(iii)</w:t>
      </w:r>
      <w:r>
        <w:tab/>
        <w:t>to report at least monthly to the accounting officer on actual expenditure against such transfer; and</w:t>
      </w:r>
    </w:p>
    <w:p w14:paraId="3881DB5F" w14:textId="77777777" w:rsidR="004B3ED5" w:rsidRDefault="004B3ED5" w:rsidP="004D4902">
      <w:pPr>
        <w:pStyle w:val="FootnoteText"/>
        <w:contextualSpacing/>
        <w:jc w:val="both"/>
      </w:pPr>
      <w:r>
        <w:t>(iv)</w:t>
      </w:r>
      <w:r>
        <w:tab/>
        <w:t>to submit its audited financial statements for its financial year to the accounting officer promptly;</w:t>
      </w:r>
    </w:p>
    <w:p w14:paraId="68C99C82" w14:textId="150F04B8" w:rsidR="004B3ED5" w:rsidRDefault="00D05525" w:rsidP="004D4902">
      <w:pPr>
        <w:pStyle w:val="FootnoteText"/>
        <w:contextualSpacing/>
        <w:jc w:val="both"/>
      </w:pPr>
      <w:r w:rsidRPr="00D05525">
        <w:rPr>
          <w:i/>
        </w:rPr>
        <w:t>(b)</w:t>
      </w:r>
      <w:r w:rsidR="004B3ED5">
        <w:t> implements effective, efficient and transparent financial management and internal control systems to guard against fraud, theft and financial mismanagement; and</w:t>
      </w:r>
    </w:p>
    <w:p w14:paraId="19860EA1" w14:textId="1C09DA47" w:rsidR="004B3ED5" w:rsidRDefault="00D05525" w:rsidP="004D4902">
      <w:pPr>
        <w:pStyle w:val="FootnoteText"/>
        <w:contextualSpacing/>
        <w:jc w:val="both"/>
      </w:pPr>
      <w:r w:rsidRPr="00D05525">
        <w:rPr>
          <w:i/>
        </w:rPr>
        <w:t>(c)</w:t>
      </w:r>
      <w:r w:rsidR="004B3ED5">
        <w:t> has in respect of previous similar transfers complied with all the requirements of this section.</w:t>
      </w:r>
    </w:p>
    <w:p w14:paraId="46EC0371" w14:textId="5CC4A439" w:rsidR="004B3ED5" w:rsidRDefault="004B3ED5" w:rsidP="004D4902">
      <w:pPr>
        <w:pStyle w:val="FootnoteText"/>
        <w:contextualSpacing/>
        <w:jc w:val="both"/>
      </w:pPr>
      <w:r>
        <w:t xml:space="preserve">(2) If there has been a failure by an organisation or body to comply with the requirements of subsection (1) in respect of a previous transfer, the municipality may despite subsection (1) </w:t>
      </w:r>
      <w:r w:rsidR="00D05525" w:rsidRPr="00D05525">
        <w:rPr>
          <w:i/>
        </w:rPr>
        <w:t>(c)</w:t>
      </w:r>
      <w:r>
        <w:t xml:space="preserve"> make a further transfer to that organisation or body provided that-</w:t>
      </w:r>
    </w:p>
    <w:p w14:paraId="674CCE6E" w14:textId="0FF63548" w:rsidR="004B3ED5" w:rsidRDefault="00D05525" w:rsidP="004D4902">
      <w:pPr>
        <w:pStyle w:val="FootnoteText"/>
        <w:contextualSpacing/>
        <w:jc w:val="both"/>
      </w:pPr>
      <w:r w:rsidRPr="00D05525">
        <w:rPr>
          <w:i/>
        </w:rPr>
        <w:t>(a)</w:t>
      </w:r>
      <w:r w:rsidR="004B3ED5">
        <w:t xml:space="preserve"> subsection (1) </w:t>
      </w:r>
      <w:r w:rsidRPr="00D05525">
        <w:rPr>
          <w:i/>
        </w:rPr>
        <w:t>(a)</w:t>
      </w:r>
      <w:r w:rsidR="004B3ED5">
        <w:t xml:space="preserve"> and </w:t>
      </w:r>
      <w:r w:rsidRPr="00D05525">
        <w:rPr>
          <w:i/>
        </w:rPr>
        <w:t>(b)</w:t>
      </w:r>
      <w:r w:rsidR="004B3ED5">
        <w:t xml:space="preserve"> is complied with; and</w:t>
      </w:r>
    </w:p>
    <w:p w14:paraId="08983DA3" w14:textId="471C64FD" w:rsidR="004B3ED5" w:rsidRDefault="00D05525" w:rsidP="004D4902">
      <w:pPr>
        <w:pStyle w:val="FootnoteText"/>
        <w:contextualSpacing/>
        <w:jc w:val="both"/>
      </w:pPr>
      <w:r w:rsidRPr="00D05525">
        <w:rPr>
          <w:i/>
        </w:rPr>
        <w:t>(b)</w:t>
      </w:r>
      <w:r w:rsidR="004B3ED5">
        <w:t> the relevant provincial treasury has approved the transfer.</w:t>
      </w:r>
    </w:p>
    <w:p w14:paraId="53814A5D" w14:textId="77777777" w:rsidR="004B3ED5" w:rsidRDefault="004B3ED5" w:rsidP="004D4902">
      <w:pPr>
        <w:pStyle w:val="FootnoteText"/>
        <w:contextualSpacing/>
        <w:jc w:val="both"/>
      </w:pPr>
      <w:r>
        <w:t>(3) The accounting officer must through contractual and other appropriate mechanisms enforce compliance with subsection (1).</w:t>
      </w:r>
    </w:p>
    <w:p w14:paraId="220EBBD0" w14:textId="700BC5DB" w:rsidR="004B3ED5" w:rsidRDefault="004B3ED5" w:rsidP="004D4902">
      <w:pPr>
        <w:pStyle w:val="FootnoteText"/>
        <w:contextualSpacing/>
        <w:jc w:val="both"/>
      </w:pPr>
      <w:r>
        <w:t xml:space="preserve">(4) Subsection (1) </w:t>
      </w:r>
      <w:r w:rsidR="00D05525" w:rsidRPr="00D05525">
        <w:rPr>
          <w:i/>
        </w:rPr>
        <w:t>(a)</w:t>
      </w:r>
      <w:r>
        <w:t xml:space="preserve"> does not apply to an organisation or body serving the poor or used by government as an agency to serve the poor, provided-</w:t>
      </w:r>
    </w:p>
    <w:p w14:paraId="2A47CEDD" w14:textId="6C9203DD" w:rsidR="004B3ED5" w:rsidRDefault="00D05525" w:rsidP="004D4902">
      <w:pPr>
        <w:pStyle w:val="FootnoteText"/>
        <w:contextualSpacing/>
        <w:jc w:val="both"/>
      </w:pPr>
      <w:r w:rsidRPr="00D05525">
        <w:rPr>
          <w:i/>
        </w:rPr>
        <w:t>(a)</w:t>
      </w:r>
      <w:r w:rsidR="00680B5F">
        <w:t> </w:t>
      </w:r>
      <w:r w:rsidR="004B3ED5">
        <w:t>that the transfer does not exceed a prescribed limit; and</w:t>
      </w:r>
    </w:p>
    <w:p w14:paraId="1FD7C5E2" w14:textId="6EBBDAA0" w:rsidR="004B3ED5" w:rsidRDefault="00D05525" w:rsidP="004D4902">
      <w:pPr>
        <w:pStyle w:val="FootnoteText"/>
        <w:contextualSpacing/>
        <w:jc w:val="both"/>
      </w:pPr>
      <w:r w:rsidRPr="00D05525">
        <w:rPr>
          <w:i/>
        </w:rPr>
        <w:t>(b)</w:t>
      </w:r>
      <w:r w:rsidR="00680B5F">
        <w:t> </w:t>
      </w:r>
      <w:r w:rsidR="004B3ED5">
        <w:t>that the accounting officer-</w:t>
      </w:r>
    </w:p>
    <w:p w14:paraId="33CF4186" w14:textId="77777777" w:rsidR="004B3ED5" w:rsidRDefault="00680B5F" w:rsidP="004D4902">
      <w:pPr>
        <w:pStyle w:val="FootnoteText"/>
        <w:ind w:left="720" w:hanging="720"/>
        <w:contextualSpacing/>
        <w:jc w:val="both"/>
      </w:pPr>
      <w:r>
        <w:t>(i)</w:t>
      </w:r>
      <w:r>
        <w:tab/>
      </w:r>
      <w:r w:rsidR="004B3ED5">
        <w:t>takes all reasonable steps to ensure that the targeted beneficiaries receive the benefit of the transferred funds; and</w:t>
      </w:r>
    </w:p>
    <w:p w14:paraId="31118407" w14:textId="18081293" w:rsidR="004B3ED5" w:rsidRDefault="00680B5F" w:rsidP="004D4902">
      <w:pPr>
        <w:pStyle w:val="FootnoteText"/>
        <w:ind w:left="720" w:hanging="720"/>
        <w:contextualSpacing/>
        <w:jc w:val="both"/>
      </w:pPr>
      <w:r>
        <w:t>(ii)</w:t>
      </w:r>
      <w:r>
        <w:tab/>
      </w:r>
      <w:r w:rsidR="004B3ED5">
        <w:t xml:space="preserve">certifies to the Auditor-General that compliance by that organisation or body with subsection (1) </w:t>
      </w:r>
      <w:r w:rsidR="00D05525" w:rsidRPr="00D05525">
        <w:rPr>
          <w:i/>
        </w:rPr>
        <w:t>(a)</w:t>
      </w:r>
      <w:r w:rsidR="004B3ED5">
        <w:t xml:space="preserve"> is uneconomical or unreasonable.</w:t>
      </w:r>
      <w:r>
        <w:t>’</w:t>
      </w:r>
    </w:p>
  </w:footnote>
  <w:footnote w:id="23">
    <w:p w14:paraId="0802CBED" w14:textId="77777777" w:rsidR="004B3ED5" w:rsidRDefault="004B3ED5" w:rsidP="004D4902">
      <w:pPr>
        <w:pStyle w:val="FootnoteText"/>
        <w:contextualSpacing/>
        <w:jc w:val="both"/>
      </w:pPr>
      <w:r>
        <w:rPr>
          <w:rStyle w:val="FootnoteReference"/>
        </w:rPr>
        <w:footnoteRef/>
      </w:r>
      <w:r>
        <w:t xml:space="preserve"> Cf. </w:t>
      </w:r>
      <w:r w:rsidRPr="001B7C91">
        <w:rPr>
          <w:i/>
        </w:rPr>
        <w:t>Biowatch Trust v Registrar, Genetic Resources, and Others</w:t>
      </w:r>
      <w:r w:rsidRPr="001B7C91">
        <w:t xml:space="preserve"> </w:t>
      </w:r>
      <w:r w:rsidR="00680B5F" w:rsidRPr="00680B5F">
        <w:t>[2009] ZACC 14; 2009 (6) SA 232 (CC) ; 2009 (</w:t>
      </w:r>
      <w:r w:rsidR="00680B5F">
        <w:t>10) BCLR 1014 (CC)</w:t>
      </w:r>
      <w:r w:rsidR="00680B5F" w:rsidRPr="00680B5F">
        <w:t xml:space="preserve"> </w:t>
      </w:r>
      <w:r>
        <w:t>para 21-25</w:t>
      </w:r>
      <w:r w:rsidR="00680B5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68986"/>
      <w:docPartObj>
        <w:docPartGallery w:val="Page Numbers (Top of Page)"/>
        <w:docPartUnique/>
      </w:docPartObj>
    </w:sdtPr>
    <w:sdtEndPr>
      <w:rPr>
        <w:noProof/>
      </w:rPr>
    </w:sdtEndPr>
    <w:sdtContent>
      <w:p w14:paraId="7BD70BFA" w14:textId="35F57C12" w:rsidR="004B3ED5" w:rsidRDefault="004B3ED5">
        <w:pPr>
          <w:pStyle w:val="Header"/>
          <w:jc w:val="right"/>
        </w:pPr>
        <w:r>
          <w:fldChar w:fldCharType="begin"/>
        </w:r>
        <w:r>
          <w:instrText xml:space="preserve"> PAGE   \* MERGEFORMAT </w:instrText>
        </w:r>
        <w:r>
          <w:fldChar w:fldCharType="separate"/>
        </w:r>
        <w:r w:rsidR="009650FF">
          <w:rPr>
            <w:noProof/>
          </w:rPr>
          <w:t>2</w:t>
        </w:r>
        <w:r>
          <w:rPr>
            <w:noProof/>
          </w:rPr>
          <w:fldChar w:fldCharType="end"/>
        </w:r>
      </w:p>
    </w:sdtContent>
  </w:sdt>
  <w:p w14:paraId="03F3737B" w14:textId="77777777" w:rsidR="004B3ED5" w:rsidRDefault="004B3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B78"/>
    <w:multiLevelType w:val="hybridMultilevel"/>
    <w:tmpl w:val="BE7410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02813"/>
    <w:multiLevelType w:val="multilevel"/>
    <w:tmpl w:val="CD8CEC56"/>
    <w:lvl w:ilvl="0">
      <w:start w:val="1"/>
      <w:numFmt w:val="decimal"/>
      <w:lvlText w:val="%1."/>
      <w:lvlJc w:val="left"/>
      <w:pPr>
        <w:ind w:left="1558" w:hanging="360"/>
      </w:pPr>
    </w:lvl>
    <w:lvl w:ilvl="1">
      <w:start w:val="1"/>
      <w:numFmt w:val="decimal"/>
      <w:isLgl/>
      <w:lvlText w:val="%1.%2"/>
      <w:lvlJc w:val="left"/>
      <w:pPr>
        <w:ind w:left="2158" w:hanging="600"/>
      </w:pPr>
      <w:rPr>
        <w:rFonts w:hint="default"/>
      </w:rPr>
    </w:lvl>
    <w:lvl w:ilvl="2">
      <w:start w:val="1"/>
      <w:numFmt w:val="decimal"/>
      <w:isLgl/>
      <w:lvlText w:val="%1.%2.%3"/>
      <w:lvlJc w:val="left"/>
      <w:pPr>
        <w:ind w:left="2638" w:hanging="720"/>
      </w:pPr>
      <w:rPr>
        <w:rFonts w:hint="default"/>
      </w:rPr>
    </w:lvl>
    <w:lvl w:ilvl="3">
      <w:start w:val="1"/>
      <w:numFmt w:val="decimal"/>
      <w:isLgl/>
      <w:lvlText w:val="%1.%2.%3.%4"/>
      <w:lvlJc w:val="left"/>
      <w:pPr>
        <w:ind w:left="2998" w:hanging="720"/>
      </w:pPr>
      <w:rPr>
        <w:rFonts w:hint="default"/>
      </w:rPr>
    </w:lvl>
    <w:lvl w:ilvl="4">
      <w:start w:val="1"/>
      <w:numFmt w:val="decimal"/>
      <w:isLgl/>
      <w:lvlText w:val="%1.%2.%3.%4.%5"/>
      <w:lvlJc w:val="left"/>
      <w:pPr>
        <w:ind w:left="3718" w:hanging="1080"/>
      </w:pPr>
      <w:rPr>
        <w:rFonts w:hint="default"/>
      </w:rPr>
    </w:lvl>
    <w:lvl w:ilvl="5">
      <w:start w:val="1"/>
      <w:numFmt w:val="decimal"/>
      <w:isLgl/>
      <w:lvlText w:val="%1.%2.%3.%4.%5.%6"/>
      <w:lvlJc w:val="left"/>
      <w:pPr>
        <w:ind w:left="4078" w:hanging="1080"/>
      </w:pPr>
      <w:rPr>
        <w:rFonts w:hint="default"/>
      </w:rPr>
    </w:lvl>
    <w:lvl w:ilvl="6">
      <w:start w:val="1"/>
      <w:numFmt w:val="decimal"/>
      <w:isLgl/>
      <w:lvlText w:val="%1.%2.%3.%4.%5.%6.%7"/>
      <w:lvlJc w:val="left"/>
      <w:pPr>
        <w:ind w:left="4798" w:hanging="1440"/>
      </w:pPr>
      <w:rPr>
        <w:rFonts w:hint="default"/>
      </w:rPr>
    </w:lvl>
    <w:lvl w:ilvl="7">
      <w:start w:val="1"/>
      <w:numFmt w:val="decimal"/>
      <w:isLgl/>
      <w:lvlText w:val="%1.%2.%3.%4.%5.%6.%7.%8"/>
      <w:lvlJc w:val="left"/>
      <w:pPr>
        <w:ind w:left="5158" w:hanging="1440"/>
      </w:pPr>
      <w:rPr>
        <w:rFonts w:hint="default"/>
      </w:rPr>
    </w:lvl>
    <w:lvl w:ilvl="8">
      <w:start w:val="1"/>
      <w:numFmt w:val="decimal"/>
      <w:isLgl/>
      <w:lvlText w:val="%1.%2.%3.%4.%5.%6.%7.%8.%9"/>
      <w:lvlJc w:val="left"/>
      <w:pPr>
        <w:ind w:left="5878" w:hanging="1800"/>
      </w:pPr>
      <w:rPr>
        <w:rFonts w:hint="default"/>
      </w:rPr>
    </w:lvl>
  </w:abstractNum>
  <w:abstractNum w:abstractNumId="2" w15:restartNumberingAfterBreak="0">
    <w:nsid w:val="47C752C4"/>
    <w:multiLevelType w:val="hybridMultilevel"/>
    <w:tmpl w:val="16F28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C359FC"/>
    <w:multiLevelType w:val="hybridMultilevel"/>
    <w:tmpl w:val="2A10F196"/>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E0974"/>
    <w:multiLevelType w:val="hybridMultilevel"/>
    <w:tmpl w:val="B5A865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935D0"/>
    <w:multiLevelType w:val="hybridMultilevel"/>
    <w:tmpl w:val="246C9572"/>
    <w:lvl w:ilvl="0" w:tplc="EE1435B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71940370"/>
    <w:multiLevelType w:val="hybridMultilevel"/>
    <w:tmpl w:val="20863726"/>
    <w:lvl w:ilvl="0" w:tplc="0409000F">
      <w:start w:val="1"/>
      <w:numFmt w:val="decimal"/>
      <w:lvlText w:val="%1."/>
      <w:lvlJc w:val="left"/>
      <w:pPr>
        <w:ind w:left="2278" w:hanging="360"/>
      </w:pPr>
    </w:lvl>
    <w:lvl w:ilvl="1" w:tplc="08090019" w:tentative="1">
      <w:start w:val="1"/>
      <w:numFmt w:val="lowerLetter"/>
      <w:lvlText w:val="%2."/>
      <w:lvlJc w:val="left"/>
      <w:pPr>
        <w:ind w:left="2998" w:hanging="360"/>
      </w:pPr>
    </w:lvl>
    <w:lvl w:ilvl="2" w:tplc="0809001B" w:tentative="1">
      <w:start w:val="1"/>
      <w:numFmt w:val="lowerRoman"/>
      <w:lvlText w:val="%3."/>
      <w:lvlJc w:val="right"/>
      <w:pPr>
        <w:ind w:left="3718" w:hanging="180"/>
      </w:pPr>
    </w:lvl>
    <w:lvl w:ilvl="3" w:tplc="0809000F" w:tentative="1">
      <w:start w:val="1"/>
      <w:numFmt w:val="decimal"/>
      <w:lvlText w:val="%4."/>
      <w:lvlJc w:val="left"/>
      <w:pPr>
        <w:ind w:left="4438" w:hanging="360"/>
      </w:pPr>
    </w:lvl>
    <w:lvl w:ilvl="4" w:tplc="08090019" w:tentative="1">
      <w:start w:val="1"/>
      <w:numFmt w:val="lowerLetter"/>
      <w:lvlText w:val="%5."/>
      <w:lvlJc w:val="left"/>
      <w:pPr>
        <w:ind w:left="5158" w:hanging="360"/>
      </w:pPr>
    </w:lvl>
    <w:lvl w:ilvl="5" w:tplc="0809001B" w:tentative="1">
      <w:start w:val="1"/>
      <w:numFmt w:val="lowerRoman"/>
      <w:lvlText w:val="%6."/>
      <w:lvlJc w:val="right"/>
      <w:pPr>
        <w:ind w:left="5878" w:hanging="180"/>
      </w:pPr>
    </w:lvl>
    <w:lvl w:ilvl="6" w:tplc="0809000F" w:tentative="1">
      <w:start w:val="1"/>
      <w:numFmt w:val="decimal"/>
      <w:lvlText w:val="%7."/>
      <w:lvlJc w:val="left"/>
      <w:pPr>
        <w:ind w:left="6598" w:hanging="360"/>
      </w:pPr>
    </w:lvl>
    <w:lvl w:ilvl="7" w:tplc="08090019" w:tentative="1">
      <w:start w:val="1"/>
      <w:numFmt w:val="lowerLetter"/>
      <w:lvlText w:val="%8."/>
      <w:lvlJc w:val="left"/>
      <w:pPr>
        <w:ind w:left="7318" w:hanging="360"/>
      </w:pPr>
    </w:lvl>
    <w:lvl w:ilvl="8" w:tplc="0809001B" w:tentative="1">
      <w:start w:val="1"/>
      <w:numFmt w:val="lowerRoman"/>
      <w:lvlText w:val="%9."/>
      <w:lvlJc w:val="right"/>
      <w:pPr>
        <w:ind w:left="8038"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B"/>
    <w:rsid w:val="00013DAC"/>
    <w:rsid w:val="00027EBE"/>
    <w:rsid w:val="00034624"/>
    <w:rsid w:val="000434D4"/>
    <w:rsid w:val="00044045"/>
    <w:rsid w:val="000466CA"/>
    <w:rsid w:val="0006256C"/>
    <w:rsid w:val="00077E36"/>
    <w:rsid w:val="000832D1"/>
    <w:rsid w:val="00085250"/>
    <w:rsid w:val="00086BEF"/>
    <w:rsid w:val="000974F1"/>
    <w:rsid w:val="000B2411"/>
    <w:rsid w:val="000B45FE"/>
    <w:rsid w:val="000C3F28"/>
    <w:rsid w:val="000D0AC7"/>
    <w:rsid w:val="000D29A4"/>
    <w:rsid w:val="000D7254"/>
    <w:rsid w:val="000E3490"/>
    <w:rsid w:val="000E3A9D"/>
    <w:rsid w:val="000E5019"/>
    <w:rsid w:val="000E61A8"/>
    <w:rsid w:val="000F12E2"/>
    <w:rsid w:val="000F35E5"/>
    <w:rsid w:val="000F36A5"/>
    <w:rsid w:val="000F7A18"/>
    <w:rsid w:val="00100CB5"/>
    <w:rsid w:val="001037F7"/>
    <w:rsid w:val="00125E99"/>
    <w:rsid w:val="00126CCB"/>
    <w:rsid w:val="00133484"/>
    <w:rsid w:val="001374C7"/>
    <w:rsid w:val="001378BE"/>
    <w:rsid w:val="00142E5D"/>
    <w:rsid w:val="0014709D"/>
    <w:rsid w:val="00150FE3"/>
    <w:rsid w:val="001512E7"/>
    <w:rsid w:val="00154EDF"/>
    <w:rsid w:val="001569B4"/>
    <w:rsid w:val="00160DF4"/>
    <w:rsid w:val="00161A86"/>
    <w:rsid w:val="00165924"/>
    <w:rsid w:val="0016662E"/>
    <w:rsid w:val="00167360"/>
    <w:rsid w:val="001733D2"/>
    <w:rsid w:val="00175D51"/>
    <w:rsid w:val="001776AA"/>
    <w:rsid w:val="00183204"/>
    <w:rsid w:val="00192C24"/>
    <w:rsid w:val="00196156"/>
    <w:rsid w:val="001A6BAA"/>
    <w:rsid w:val="001B09DC"/>
    <w:rsid w:val="001B1F97"/>
    <w:rsid w:val="001B1FB5"/>
    <w:rsid w:val="001B2316"/>
    <w:rsid w:val="001B398B"/>
    <w:rsid w:val="001B7C91"/>
    <w:rsid w:val="001C48DD"/>
    <w:rsid w:val="001C7233"/>
    <w:rsid w:val="001D7885"/>
    <w:rsid w:val="001E43B2"/>
    <w:rsid w:val="001E5A56"/>
    <w:rsid w:val="001F3937"/>
    <w:rsid w:val="00202BD0"/>
    <w:rsid w:val="0021136D"/>
    <w:rsid w:val="00213F73"/>
    <w:rsid w:val="00214601"/>
    <w:rsid w:val="00215E79"/>
    <w:rsid w:val="00220AE8"/>
    <w:rsid w:val="00221853"/>
    <w:rsid w:val="00226440"/>
    <w:rsid w:val="002367FB"/>
    <w:rsid w:val="00242460"/>
    <w:rsid w:val="00244511"/>
    <w:rsid w:val="002448EB"/>
    <w:rsid w:val="00292C7C"/>
    <w:rsid w:val="002A6311"/>
    <w:rsid w:val="002B0DB4"/>
    <w:rsid w:val="002B22DB"/>
    <w:rsid w:val="002B2AE6"/>
    <w:rsid w:val="002C0900"/>
    <w:rsid w:val="002D09F8"/>
    <w:rsid w:val="002D1E1B"/>
    <w:rsid w:val="002E0023"/>
    <w:rsid w:val="00306435"/>
    <w:rsid w:val="00306E26"/>
    <w:rsid w:val="003234A8"/>
    <w:rsid w:val="003363A0"/>
    <w:rsid w:val="003418EC"/>
    <w:rsid w:val="00343869"/>
    <w:rsid w:val="00343E37"/>
    <w:rsid w:val="003512E6"/>
    <w:rsid w:val="00354339"/>
    <w:rsid w:val="00356478"/>
    <w:rsid w:val="00357279"/>
    <w:rsid w:val="00383D2D"/>
    <w:rsid w:val="003A4968"/>
    <w:rsid w:val="003A5C46"/>
    <w:rsid w:val="003C028B"/>
    <w:rsid w:val="003D3A42"/>
    <w:rsid w:val="003E63D1"/>
    <w:rsid w:val="003E7B9C"/>
    <w:rsid w:val="004016A4"/>
    <w:rsid w:val="00402FAC"/>
    <w:rsid w:val="004136BE"/>
    <w:rsid w:val="004359AE"/>
    <w:rsid w:val="004374D6"/>
    <w:rsid w:val="00437DAD"/>
    <w:rsid w:val="00440DBB"/>
    <w:rsid w:val="00442818"/>
    <w:rsid w:val="00450D87"/>
    <w:rsid w:val="00452202"/>
    <w:rsid w:val="00454870"/>
    <w:rsid w:val="004567EB"/>
    <w:rsid w:val="00466F8D"/>
    <w:rsid w:val="004747AB"/>
    <w:rsid w:val="004748A4"/>
    <w:rsid w:val="00477B33"/>
    <w:rsid w:val="0048763A"/>
    <w:rsid w:val="00490C60"/>
    <w:rsid w:val="00494881"/>
    <w:rsid w:val="00495501"/>
    <w:rsid w:val="0049649F"/>
    <w:rsid w:val="004A5C01"/>
    <w:rsid w:val="004A6085"/>
    <w:rsid w:val="004B0919"/>
    <w:rsid w:val="004B341D"/>
    <w:rsid w:val="004B3ACB"/>
    <w:rsid w:val="004B3ED5"/>
    <w:rsid w:val="004B6F16"/>
    <w:rsid w:val="004B7A20"/>
    <w:rsid w:val="004D4902"/>
    <w:rsid w:val="004F7C74"/>
    <w:rsid w:val="005018A4"/>
    <w:rsid w:val="00502A80"/>
    <w:rsid w:val="005040F1"/>
    <w:rsid w:val="00505F1F"/>
    <w:rsid w:val="00506B8E"/>
    <w:rsid w:val="00514893"/>
    <w:rsid w:val="00523580"/>
    <w:rsid w:val="00526629"/>
    <w:rsid w:val="005415A5"/>
    <w:rsid w:val="00543204"/>
    <w:rsid w:val="005526C5"/>
    <w:rsid w:val="00557A42"/>
    <w:rsid w:val="005648E9"/>
    <w:rsid w:val="00573072"/>
    <w:rsid w:val="00583FE8"/>
    <w:rsid w:val="00586D0D"/>
    <w:rsid w:val="005A7C7B"/>
    <w:rsid w:val="005B1DD9"/>
    <w:rsid w:val="005B2435"/>
    <w:rsid w:val="005B43DE"/>
    <w:rsid w:val="005C2AB8"/>
    <w:rsid w:val="005D1AA2"/>
    <w:rsid w:val="005D2222"/>
    <w:rsid w:val="005D56E8"/>
    <w:rsid w:val="005F2B2A"/>
    <w:rsid w:val="005F2D2B"/>
    <w:rsid w:val="006012F5"/>
    <w:rsid w:val="00601DF7"/>
    <w:rsid w:val="006033CF"/>
    <w:rsid w:val="00603C0A"/>
    <w:rsid w:val="00603C32"/>
    <w:rsid w:val="00614ECA"/>
    <w:rsid w:val="00621C0D"/>
    <w:rsid w:val="00621C8E"/>
    <w:rsid w:val="00634925"/>
    <w:rsid w:val="00634C25"/>
    <w:rsid w:val="00637FEC"/>
    <w:rsid w:val="0064172A"/>
    <w:rsid w:val="006444EA"/>
    <w:rsid w:val="0065388E"/>
    <w:rsid w:val="006562AA"/>
    <w:rsid w:val="006675BB"/>
    <w:rsid w:val="00674B22"/>
    <w:rsid w:val="00680B5F"/>
    <w:rsid w:val="00681274"/>
    <w:rsid w:val="006827C4"/>
    <w:rsid w:val="00682CE7"/>
    <w:rsid w:val="006868CC"/>
    <w:rsid w:val="006873E1"/>
    <w:rsid w:val="006874EF"/>
    <w:rsid w:val="00694252"/>
    <w:rsid w:val="006A00E9"/>
    <w:rsid w:val="006A430F"/>
    <w:rsid w:val="006A74BA"/>
    <w:rsid w:val="006B3462"/>
    <w:rsid w:val="006C1204"/>
    <w:rsid w:val="006D3031"/>
    <w:rsid w:val="006E49A5"/>
    <w:rsid w:val="006F1E53"/>
    <w:rsid w:val="007013D5"/>
    <w:rsid w:val="00711701"/>
    <w:rsid w:val="007358A4"/>
    <w:rsid w:val="00753AD5"/>
    <w:rsid w:val="0075716C"/>
    <w:rsid w:val="00761260"/>
    <w:rsid w:val="00762069"/>
    <w:rsid w:val="007623F8"/>
    <w:rsid w:val="00762CD5"/>
    <w:rsid w:val="007665BA"/>
    <w:rsid w:val="00776D45"/>
    <w:rsid w:val="007A0042"/>
    <w:rsid w:val="007A0374"/>
    <w:rsid w:val="007A1697"/>
    <w:rsid w:val="007A1FDC"/>
    <w:rsid w:val="007A29C4"/>
    <w:rsid w:val="007A62AB"/>
    <w:rsid w:val="007B2D3D"/>
    <w:rsid w:val="007C0765"/>
    <w:rsid w:val="007C09AB"/>
    <w:rsid w:val="007C1E61"/>
    <w:rsid w:val="007C77D8"/>
    <w:rsid w:val="007D247C"/>
    <w:rsid w:val="007E6913"/>
    <w:rsid w:val="007F2593"/>
    <w:rsid w:val="008004C2"/>
    <w:rsid w:val="0080174C"/>
    <w:rsid w:val="00803860"/>
    <w:rsid w:val="0081084C"/>
    <w:rsid w:val="00811BEE"/>
    <w:rsid w:val="00817313"/>
    <w:rsid w:val="008211FE"/>
    <w:rsid w:val="00825DA7"/>
    <w:rsid w:val="00832915"/>
    <w:rsid w:val="00836EAA"/>
    <w:rsid w:val="00863A93"/>
    <w:rsid w:val="00867D5C"/>
    <w:rsid w:val="008804D1"/>
    <w:rsid w:val="00882029"/>
    <w:rsid w:val="008A1DE8"/>
    <w:rsid w:val="008A4533"/>
    <w:rsid w:val="008B38E6"/>
    <w:rsid w:val="008C757D"/>
    <w:rsid w:val="008D2428"/>
    <w:rsid w:val="008D7911"/>
    <w:rsid w:val="008D7CC8"/>
    <w:rsid w:val="00903CBB"/>
    <w:rsid w:val="009068B6"/>
    <w:rsid w:val="00916537"/>
    <w:rsid w:val="0092457B"/>
    <w:rsid w:val="009338F0"/>
    <w:rsid w:val="0093514D"/>
    <w:rsid w:val="00940B16"/>
    <w:rsid w:val="0096039F"/>
    <w:rsid w:val="009605E0"/>
    <w:rsid w:val="00962A69"/>
    <w:rsid w:val="009650FF"/>
    <w:rsid w:val="00967318"/>
    <w:rsid w:val="009733DB"/>
    <w:rsid w:val="00976353"/>
    <w:rsid w:val="00983EC4"/>
    <w:rsid w:val="009843AF"/>
    <w:rsid w:val="009855E7"/>
    <w:rsid w:val="009A5A51"/>
    <w:rsid w:val="009C3BB3"/>
    <w:rsid w:val="009D2BFE"/>
    <w:rsid w:val="009E58E9"/>
    <w:rsid w:val="009F1A51"/>
    <w:rsid w:val="009F2B35"/>
    <w:rsid w:val="00A05365"/>
    <w:rsid w:val="00A15A41"/>
    <w:rsid w:val="00A15D41"/>
    <w:rsid w:val="00A222E0"/>
    <w:rsid w:val="00A25744"/>
    <w:rsid w:val="00A276B3"/>
    <w:rsid w:val="00A27FEE"/>
    <w:rsid w:val="00A306C7"/>
    <w:rsid w:val="00A47435"/>
    <w:rsid w:val="00A56B25"/>
    <w:rsid w:val="00A572E7"/>
    <w:rsid w:val="00A600AB"/>
    <w:rsid w:val="00A6194F"/>
    <w:rsid w:val="00A61C6A"/>
    <w:rsid w:val="00A74DBA"/>
    <w:rsid w:val="00A77E3C"/>
    <w:rsid w:val="00A8439C"/>
    <w:rsid w:val="00AA6830"/>
    <w:rsid w:val="00AB1224"/>
    <w:rsid w:val="00AB1F67"/>
    <w:rsid w:val="00AB2E28"/>
    <w:rsid w:val="00AD5CAE"/>
    <w:rsid w:val="00AE1064"/>
    <w:rsid w:val="00B06FD6"/>
    <w:rsid w:val="00B10D62"/>
    <w:rsid w:val="00B14C99"/>
    <w:rsid w:val="00B74852"/>
    <w:rsid w:val="00B83F68"/>
    <w:rsid w:val="00B86264"/>
    <w:rsid w:val="00B8681B"/>
    <w:rsid w:val="00B9312B"/>
    <w:rsid w:val="00B93F64"/>
    <w:rsid w:val="00B94573"/>
    <w:rsid w:val="00BA3BDB"/>
    <w:rsid w:val="00BA618D"/>
    <w:rsid w:val="00BB048A"/>
    <w:rsid w:val="00BB3A58"/>
    <w:rsid w:val="00BC5043"/>
    <w:rsid w:val="00BD5B29"/>
    <w:rsid w:val="00BD7C79"/>
    <w:rsid w:val="00BE0263"/>
    <w:rsid w:val="00BE749E"/>
    <w:rsid w:val="00BF0897"/>
    <w:rsid w:val="00BF193C"/>
    <w:rsid w:val="00BF222F"/>
    <w:rsid w:val="00C12E8A"/>
    <w:rsid w:val="00C13F60"/>
    <w:rsid w:val="00C15858"/>
    <w:rsid w:val="00C174DD"/>
    <w:rsid w:val="00C249E7"/>
    <w:rsid w:val="00C30D6F"/>
    <w:rsid w:val="00C375DF"/>
    <w:rsid w:val="00C47690"/>
    <w:rsid w:val="00C47B9C"/>
    <w:rsid w:val="00C53FF3"/>
    <w:rsid w:val="00C55CAB"/>
    <w:rsid w:val="00C62788"/>
    <w:rsid w:val="00C719BB"/>
    <w:rsid w:val="00C73641"/>
    <w:rsid w:val="00C81180"/>
    <w:rsid w:val="00C912A3"/>
    <w:rsid w:val="00C92EBD"/>
    <w:rsid w:val="00C93C1F"/>
    <w:rsid w:val="00CA5B20"/>
    <w:rsid w:val="00CB06B7"/>
    <w:rsid w:val="00CB5984"/>
    <w:rsid w:val="00CC79D7"/>
    <w:rsid w:val="00CD16D0"/>
    <w:rsid w:val="00CD4664"/>
    <w:rsid w:val="00CE35CA"/>
    <w:rsid w:val="00CF0928"/>
    <w:rsid w:val="00D05525"/>
    <w:rsid w:val="00D17E1E"/>
    <w:rsid w:val="00D24409"/>
    <w:rsid w:val="00D309B9"/>
    <w:rsid w:val="00D44F02"/>
    <w:rsid w:val="00D503CC"/>
    <w:rsid w:val="00D60E04"/>
    <w:rsid w:val="00D620D6"/>
    <w:rsid w:val="00D8430C"/>
    <w:rsid w:val="00DB5EE0"/>
    <w:rsid w:val="00DB70E8"/>
    <w:rsid w:val="00DC2EC9"/>
    <w:rsid w:val="00DC3C4E"/>
    <w:rsid w:val="00DD725E"/>
    <w:rsid w:val="00DE01AA"/>
    <w:rsid w:val="00DE423D"/>
    <w:rsid w:val="00DE6933"/>
    <w:rsid w:val="00DF0ED2"/>
    <w:rsid w:val="00E01D9B"/>
    <w:rsid w:val="00E03F8E"/>
    <w:rsid w:val="00E17AC9"/>
    <w:rsid w:val="00E24341"/>
    <w:rsid w:val="00E37454"/>
    <w:rsid w:val="00E45396"/>
    <w:rsid w:val="00E54288"/>
    <w:rsid w:val="00E54558"/>
    <w:rsid w:val="00E55BEC"/>
    <w:rsid w:val="00E56772"/>
    <w:rsid w:val="00E62F2F"/>
    <w:rsid w:val="00E64B23"/>
    <w:rsid w:val="00EC005A"/>
    <w:rsid w:val="00EE2360"/>
    <w:rsid w:val="00EE2AFA"/>
    <w:rsid w:val="00EE318B"/>
    <w:rsid w:val="00EE74D1"/>
    <w:rsid w:val="00EF7535"/>
    <w:rsid w:val="00F017A8"/>
    <w:rsid w:val="00F06297"/>
    <w:rsid w:val="00F36937"/>
    <w:rsid w:val="00F4091F"/>
    <w:rsid w:val="00F50D8A"/>
    <w:rsid w:val="00F53040"/>
    <w:rsid w:val="00F6103F"/>
    <w:rsid w:val="00F65282"/>
    <w:rsid w:val="00F6699F"/>
    <w:rsid w:val="00F67A82"/>
    <w:rsid w:val="00F761AA"/>
    <w:rsid w:val="00F81A37"/>
    <w:rsid w:val="00F8438A"/>
    <w:rsid w:val="00F940B9"/>
    <w:rsid w:val="00F950EF"/>
    <w:rsid w:val="00FA249F"/>
    <w:rsid w:val="00FB25A3"/>
    <w:rsid w:val="00FB700D"/>
    <w:rsid w:val="00FC5363"/>
    <w:rsid w:val="00FD57FA"/>
    <w:rsid w:val="00FD78DA"/>
    <w:rsid w:val="00FF0F0B"/>
    <w:rsid w:val="00FF31AF"/>
    <w:rsid w:val="00FF7224"/>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861"/>
  <w15:chartTrackingRefBased/>
  <w15:docId w15:val="{B82B843F-E9E4-49CF-8D91-0C1774EA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before="120" w:after="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81B"/>
    <w:pPr>
      <w:ind w:left="720"/>
      <w:contextualSpacing/>
    </w:pPr>
  </w:style>
  <w:style w:type="paragraph" w:styleId="Header">
    <w:name w:val="header"/>
    <w:basedOn w:val="Normal"/>
    <w:link w:val="HeaderChar"/>
    <w:uiPriority w:val="99"/>
    <w:unhideWhenUsed/>
    <w:rsid w:val="00027EB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7EBE"/>
  </w:style>
  <w:style w:type="paragraph" w:styleId="Footer">
    <w:name w:val="footer"/>
    <w:basedOn w:val="Normal"/>
    <w:link w:val="FooterChar"/>
    <w:uiPriority w:val="99"/>
    <w:unhideWhenUsed/>
    <w:rsid w:val="00027EB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7EBE"/>
  </w:style>
  <w:style w:type="paragraph" w:styleId="FootnoteText">
    <w:name w:val="footnote text"/>
    <w:basedOn w:val="Normal"/>
    <w:link w:val="FootnoteTextChar"/>
    <w:uiPriority w:val="99"/>
    <w:semiHidden/>
    <w:unhideWhenUsed/>
    <w:rsid w:val="005526C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26C5"/>
    <w:rPr>
      <w:sz w:val="20"/>
      <w:szCs w:val="20"/>
    </w:rPr>
  </w:style>
  <w:style w:type="character" w:styleId="FootnoteReference">
    <w:name w:val="footnote reference"/>
    <w:basedOn w:val="DefaultParagraphFont"/>
    <w:uiPriority w:val="99"/>
    <w:semiHidden/>
    <w:unhideWhenUsed/>
    <w:rsid w:val="005526C5"/>
    <w:rPr>
      <w:vertAlign w:val="superscript"/>
    </w:rPr>
  </w:style>
  <w:style w:type="character" w:styleId="Hyperlink">
    <w:name w:val="Hyperlink"/>
    <w:basedOn w:val="DefaultParagraphFont"/>
    <w:uiPriority w:val="99"/>
    <w:unhideWhenUsed/>
    <w:rsid w:val="004A6085"/>
    <w:rPr>
      <w:color w:val="0563C1" w:themeColor="hyperlink"/>
      <w:u w:val="single"/>
    </w:rPr>
  </w:style>
  <w:style w:type="paragraph" w:styleId="Revision">
    <w:name w:val="Revision"/>
    <w:hidden/>
    <w:uiPriority w:val="99"/>
    <w:semiHidden/>
    <w:rsid w:val="005D1AA2"/>
    <w:pPr>
      <w:spacing w:before="0" w:after="0" w:line="240" w:lineRule="auto"/>
      <w:jc w:val="left"/>
    </w:pPr>
  </w:style>
  <w:style w:type="character" w:styleId="CommentReference">
    <w:name w:val="annotation reference"/>
    <w:basedOn w:val="DefaultParagraphFont"/>
    <w:uiPriority w:val="99"/>
    <w:semiHidden/>
    <w:unhideWhenUsed/>
    <w:rsid w:val="006874EF"/>
    <w:rPr>
      <w:sz w:val="16"/>
      <w:szCs w:val="16"/>
    </w:rPr>
  </w:style>
  <w:style w:type="paragraph" w:styleId="CommentText">
    <w:name w:val="annotation text"/>
    <w:basedOn w:val="Normal"/>
    <w:link w:val="CommentTextChar"/>
    <w:uiPriority w:val="99"/>
    <w:semiHidden/>
    <w:unhideWhenUsed/>
    <w:rsid w:val="006874EF"/>
    <w:pPr>
      <w:spacing w:line="240" w:lineRule="auto"/>
    </w:pPr>
    <w:rPr>
      <w:sz w:val="20"/>
      <w:szCs w:val="20"/>
    </w:rPr>
  </w:style>
  <w:style w:type="character" w:customStyle="1" w:styleId="CommentTextChar">
    <w:name w:val="Comment Text Char"/>
    <w:basedOn w:val="DefaultParagraphFont"/>
    <w:link w:val="CommentText"/>
    <w:uiPriority w:val="99"/>
    <w:semiHidden/>
    <w:rsid w:val="006874EF"/>
    <w:rPr>
      <w:sz w:val="20"/>
      <w:szCs w:val="20"/>
    </w:rPr>
  </w:style>
  <w:style w:type="paragraph" w:styleId="CommentSubject">
    <w:name w:val="annotation subject"/>
    <w:basedOn w:val="CommentText"/>
    <w:next w:val="CommentText"/>
    <w:link w:val="CommentSubjectChar"/>
    <w:uiPriority w:val="99"/>
    <w:semiHidden/>
    <w:unhideWhenUsed/>
    <w:rsid w:val="006874EF"/>
    <w:rPr>
      <w:b/>
      <w:bCs/>
    </w:rPr>
  </w:style>
  <w:style w:type="character" w:customStyle="1" w:styleId="CommentSubjectChar">
    <w:name w:val="Comment Subject Char"/>
    <w:basedOn w:val="CommentTextChar"/>
    <w:link w:val="CommentSubject"/>
    <w:uiPriority w:val="99"/>
    <w:semiHidden/>
    <w:rsid w:val="006874EF"/>
    <w:rPr>
      <w:b/>
      <w:bCs/>
      <w:sz w:val="20"/>
      <w:szCs w:val="20"/>
    </w:rPr>
  </w:style>
  <w:style w:type="paragraph" w:styleId="BalloonText">
    <w:name w:val="Balloon Text"/>
    <w:basedOn w:val="Normal"/>
    <w:link w:val="BalloonTextChar"/>
    <w:uiPriority w:val="99"/>
    <w:semiHidden/>
    <w:unhideWhenUsed/>
    <w:rsid w:val="005B43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626">
      <w:bodyDiv w:val="1"/>
      <w:marLeft w:val="0"/>
      <w:marRight w:val="0"/>
      <w:marTop w:val="0"/>
      <w:marBottom w:val="0"/>
      <w:divBdr>
        <w:top w:val="none" w:sz="0" w:space="0" w:color="auto"/>
        <w:left w:val="none" w:sz="0" w:space="0" w:color="auto"/>
        <w:bottom w:val="none" w:sz="0" w:space="0" w:color="auto"/>
        <w:right w:val="none" w:sz="0" w:space="0" w:color="auto"/>
      </w:divBdr>
    </w:div>
    <w:div w:id="260841187">
      <w:bodyDiv w:val="1"/>
      <w:marLeft w:val="0"/>
      <w:marRight w:val="0"/>
      <w:marTop w:val="0"/>
      <w:marBottom w:val="0"/>
      <w:divBdr>
        <w:top w:val="none" w:sz="0" w:space="0" w:color="auto"/>
        <w:left w:val="none" w:sz="0" w:space="0" w:color="auto"/>
        <w:bottom w:val="none" w:sz="0" w:space="0" w:color="auto"/>
        <w:right w:val="none" w:sz="0" w:space="0" w:color="auto"/>
      </w:divBdr>
      <w:divsChild>
        <w:div w:id="1838766822">
          <w:marLeft w:val="0"/>
          <w:marRight w:val="0"/>
          <w:marTop w:val="240"/>
          <w:marBottom w:val="0"/>
          <w:divBdr>
            <w:top w:val="none" w:sz="0" w:space="0" w:color="auto"/>
            <w:left w:val="none" w:sz="0" w:space="0" w:color="auto"/>
            <w:bottom w:val="none" w:sz="0" w:space="0" w:color="auto"/>
            <w:right w:val="none" w:sz="0" w:space="0" w:color="auto"/>
          </w:divBdr>
        </w:div>
        <w:div w:id="1421246193">
          <w:marLeft w:val="0"/>
          <w:marRight w:val="0"/>
          <w:marTop w:val="120"/>
          <w:marBottom w:val="0"/>
          <w:divBdr>
            <w:top w:val="none" w:sz="0" w:space="0" w:color="auto"/>
            <w:left w:val="none" w:sz="0" w:space="0" w:color="auto"/>
            <w:bottom w:val="none" w:sz="0" w:space="0" w:color="auto"/>
            <w:right w:val="none" w:sz="0" w:space="0" w:color="auto"/>
          </w:divBdr>
        </w:div>
        <w:div w:id="88895256">
          <w:marLeft w:val="1134"/>
          <w:marRight w:val="0"/>
          <w:marTop w:val="60"/>
          <w:marBottom w:val="0"/>
          <w:divBdr>
            <w:top w:val="none" w:sz="0" w:space="0" w:color="auto"/>
            <w:left w:val="none" w:sz="0" w:space="0" w:color="auto"/>
            <w:bottom w:val="none" w:sz="0" w:space="0" w:color="auto"/>
            <w:right w:val="none" w:sz="0" w:space="0" w:color="auto"/>
          </w:divBdr>
        </w:div>
        <w:div w:id="495149725">
          <w:marLeft w:val="1985"/>
          <w:marRight w:val="0"/>
          <w:marTop w:val="60"/>
          <w:marBottom w:val="0"/>
          <w:divBdr>
            <w:top w:val="none" w:sz="0" w:space="0" w:color="auto"/>
            <w:left w:val="none" w:sz="0" w:space="0" w:color="auto"/>
            <w:bottom w:val="none" w:sz="0" w:space="0" w:color="auto"/>
            <w:right w:val="none" w:sz="0" w:space="0" w:color="auto"/>
          </w:divBdr>
        </w:div>
        <w:div w:id="1290938103">
          <w:marLeft w:val="1985"/>
          <w:marRight w:val="0"/>
          <w:marTop w:val="60"/>
          <w:marBottom w:val="0"/>
          <w:divBdr>
            <w:top w:val="none" w:sz="0" w:space="0" w:color="auto"/>
            <w:left w:val="none" w:sz="0" w:space="0" w:color="auto"/>
            <w:bottom w:val="none" w:sz="0" w:space="0" w:color="auto"/>
            <w:right w:val="none" w:sz="0" w:space="0" w:color="auto"/>
          </w:divBdr>
        </w:div>
        <w:div w:id="1736507611">
          <w:marLeft w:val="1985"/>
          <w:marRight w:val="0"/>
          <w:marTop w:val="60"/>
          <w:marBottom w:val="0"/>
          <w:divBdr>
            <w:top w:val="none" w:sz="0" w:space="0" w:color="auto"/>
            <w:left w:val="none" w:sz="0" w:space="0" w:color="auto"/>
            <w:bottom w:val="none" w:sz="0" w:space="0" w:color="auto"/>
            <w:right w:val="none" w:sz="0" w:space="0" w:color="auto"/>
          </w:divBdr>
        </w:div>
        <w:div w:id="1243296258">
          <w:marLeft w:val="1985"/>
          <w:marRight w:val="0"/>
          <w:marTop w:val="60"/>
          <w:marBottom w:val="0"/>
          <w:divBdr>
            <w:top w:val="none" w:sz="0" w:space="0" w:color="auto"/>
            <w:left w:val="none" w:sz="0" w:space="0" w:color="auto"/>
            <w:bottom w:val="none" w:sz="0" w:space="0" w:color="auto"/>
            <w:right w:val="none" w:sz="0" w:space="0" w:color="auto"/>
          </w:divBdr>
        </w:div>
        <w:div w:id="42877281">
          <w:marLeft w:val="1134"/>
          <w:marRight w:val="0"/>
          <w:marTop w:val="60"/>
          <w:marBottom w:val="0"/>
          <w:divBdr>
            <w:top w:val="none" w:sz="0" w:space="0" w:color="auto"/>
            <w:left w:val="none" w:sz="0" w:space="0" w:color="auto"/>
            <w:bottom w:val="none" w:sz="0" w:space="0" w:color="auto"/>
            <w:right w:val="none" w:sz="0" w:space="0" w:color="auto"/>
          </w:divBdr>
        </w:div>
        <w:div w:id="1039672529">
          <w:marLeft w:val="1134"/>
          <w:marRight w:val="0"/>
          <w:marTop w:val="60"/>
          <w:marBottom w:val="0"/>
          <w:divBdr>
            <w:top w:val="none" w:sz="0" w:space="0" w:color="auto"/>
            <w:left w:val="none" w:sz="0" w:space="0" w:color="auto"/>
            <w:bottom w:val="none" w:sz="0" w:space="0" w:color="auto"/>
            <w:right w:val="none" w:sz="0" w:space="0" w:color="auto"/>
          </w:divBdr>
        </w:div>
        <w:div w:id="2060205295">
          <w:marLeft w:val="0"/>
          <w:marRight w:val="0"/>
          <w:marTop w:val="120"/>
          <w:marBottom w:val="0"/>
          <w:divBdr>
            <w:top w:val="none" w:sz="0" w:space="0" w:color="auto"/>
            <w:left w:val="none" w:sz="0" w:space="0" w:color="auto"/>
            <w:bottom w:val="none" w:sz="0" w:space="0" w:color="auto"/>
            <w:right w:val="none" w:sz="0" w:space="0" w:color="auto"/>
          </w:divBdr>
        </w:div>
        <w:div w:id="765731291">
          <w:marLeft w:val="1134"/>
          <w:marRight w:val="0"/>
          <w:marTop w:val="60"/>
          <w:marBottom w:val="0"/>
          <w:divBdr>
            <w:top w:val="none" w:sz="0" w:space="0" w:color="auto"/>
            <w:left w:val="none" w:sz="0" w:space="0" w:color="auto"/>
            <w:bottom w:val="none" w:sz="0" w:space="0" w:color="auto"/>
            <w:right w:val="none" w:sz="0" w:space="0" w:color="auto"/>
          </w:divBdr>
        </w:div>
        <w:div w:id="1476213437">
          <w:marLeft w:val="1134"/>
          <w:marRight w:val="0"/>
          <w:marTop w:val="60"/>
          <w:marBottom w:val="0"/>
          <w:divBdr>
            <w:top w:val="none" w:sz="0" w:space="0" w:color="auto"/>
            <w:left w:val="none" w:sz="0" w:space="0" w:color="auto"/>
            <w:bottom w:val="none" w:sz="0" w:space="0" w:color="auto"/>
            <w:right w:val="none" w:sz="0" w:space="0" w:color="auto"/>
          </w:divBdr>
        </w:div>
        <w:div w:id="74321406">
          <w:marLeft w:val="0"/>
          <w:marRight w:val="0"/>
          <w:marTop w:val="120"/>
          <w:marBottom w:val="0"/>
          <w:divBdr>
            <w:top w:val="none" w:sz="0" w:space="0" w:color="auto"/>
            <w:left w:val="none" w:sz="0" w:space="0" w:color="auto"/>
            <w:bottom w:val="none" w:sz="0" w:space="0" w:color="auto"/>
            <w:right w:val="none" w:sz="0" w:space="0" w:color="auto"/>
          </w:divBdr>
        </w:div>
        <w:div w:id="1667971918">
          <w:marLeft w:val="0"/>
          <w:marRight w:val="0"/>
          <w:marTop w:val="120"/>
          <w:marBottom w:val="0"/>
          <w:divBdr>
            <w:top w:val="none" w:sz="0" w:space="0" w:color="auto"/>
            <w:left w:val="none" w:sz="0" w:space="0" w:color="auto"/>
            <w:bottom w:val="none" w:sz="0" w:space="0" w:color="auto"/>
            <w:right w:val="none" w:sz="0" w:space="0" w:color="auto"/>
          </w:divBdr>
        </w:div>
        <w:div w:id="874543956">
          <w:marLeft w:val="1134"/>
          <w:marRight w:val="0"/>
          <w:marTop w:val="60"/>
          <w:marBottom w:val="0"/>
          <w:divBdr>
            <w:top w:val="none" w:sz="0" w:space="0" w:color="auto"/>
            <w:left w:val="none" w:sz="0" w:space="0" w:color="auto"/>
            <w:bottom w:val="none" w:sz="0" w:space="0" w:color="auto"/>
            <w:right w:val="none" w:sz="0" w:space="0" w:color="auto"/>
          </w:divBdr>
        </w:div>
        <w:div w:id="1745183084">
          <w:marLeft w:val="1134"/>
          <w:marRight w:val="0"/>
          <w:marTop w:val="60"/>
          <w:marBottom w:val="0"/>
          <w:divBdr>
            <w:top w:val="none" w:sz="0" w:space="0" w:color="auto"/>
            <w:left w:val="none" w:sz="0" w:space="0" w:color="auto"/>
            <w:bottom w:val="none" w:sz="0" w:space="0" w:color="auto"/>
            <w:right w:val="none" w:sz="0" w:space="0" w:color="auto"/>
          </w:divBdr>
        </w:div>
        <w:div w:id="347289757">
          <w:marLeft w:val="1985"/>
          <w:marRight w:val="0"/>
          <w:marTop w:val="60"/>
          <w:marBottom w:val="0"/>
          <w:divBdr>
            <w:top w:val="none" w:sz="0" w:space="0" w:color="auto"/>
            <w:left w:val="none" w:sz="0" w:space="0" w:color="auto"/>
            <w:bottom w:val="none" w:sz="0" w:space="0" w:color="auto"/>
            <w:right w:val="none" w:sz="0" w:space="0" w:color="auto"/>
          </w:divBdr>
        </w:div>
        <w:div w:id="2129203445">
          <w:marLeft w:val="1985"/>
          <w:marRight w:val="0"/>
          <w:marTop w:val="60"/>
          <w:marBottom w:val="0"/>
          <w:divBdr>
            <w:top w:val="none" w:sz="0" w:space="0" w:color="auto"/>
            <w:left w:val="none" w:sz="0" w:space="0" w:color="auto"/>
            <w:bottom w:val="none" w:sz="0" w:space="0" w:color="auto"/>
            <w:right w:val="none" w:sz="0" w:space="0" w:color="auto"/>
          </w:divBdr>
        </w:div>
      </w:divsChild>
    </w:div>
    <w:div w:id="277370162">
      <w:bodyDiv w:val="1"/>
      <w:marLeft w:val="0"/>
      <w:marRight w:val="0"/>
      <w:marTop w:val="0"/>
      <w:marBottom w:val="0"/>
      <w:divBdr>
        <w:top w:val="none" w:sz="0" w:space="0" w:color="auto"/>
        <w:left w:val="none" w:sz="0" w:space="0" w:color="auto"/>
        <w:bottom w:val="none" w:sz="0" w:space="0" w:color="auto"/>
        <w:right w:val="none" w:sz="0" w:space="0" w:color="auto"/>
      </w:divBdr>
    </w:div>
    <w:div w:id="492842765">
      <w:bodyDiv w:val="1"/>
      <w:marLeft w:val="0"/>
      <w:marRight w:val="0"/>
      <w:marTop w:val="0"/>
      <w:marBottom w:val="0"/>
      <w:divBdr>
        <w:top w:val="none" w:sz="0" w:space="0" w:color="auto"/>
        <w:left w:val="none" w:sz="0" w:space="0" w:color="auto"/>
        <w:bottom w:val="none" w:sz="0" w:space="0" w:color="auto"/>
        <w:right w:val="none" w:sz="0" w:space="0" w:color="auto"/>
      </w:divBdr>
      <w:divsChild>
        <w:div w:id="1748574760">
          <w:marLeft w:val="0"/>
          <w:marRight w:val="0"/>
          <w:marTop w:val="240"/>
          <w:marBottom w:val="0"/>
          <w:divBdr>
            <w:top w:val="none" w:sz="0" w:space="0" w:color="auto"/>
            <w:left w:val="none" w:sz="0" w:space="0" w:color="auto"/>
            <w:bottom w:val="none" w:sz="0" w:space="0" w:color="auto"/>
            <w:right w:val="none" w:sz="0" w:space="0" w:color="auto"/>
          </w:divBdr>
        </w:div>
        <w:div w:id="1739672451">
          <w:marLeft w:val="0"/>
          <w:marRight w:val="0"/>
          <w:marTop w:val="120"/>
          <w:marBottom w:val="0"/>
          <w:divBdr>
            <w:top w:val="none" w:sz="0" w:space="0" w:color="auto"/>
            <w:left w:val="none" w:sz="0" w:space="0" w:color="auto"/>
            <w:bottom w:val="none" w:sz="0" w:space="0" w:color="auto"/>
            <w:right w:val="none" w:sz="0" w:space="0" w:color="auto"/>
          </w:divBdr>
        </w:div>
        <w:div w:id="136648058">
          <w:marLeft w:val="1134"/>
          <w:marRight w:val="0"/>
          <w:marTop w:val="60"/>
          <w:marBottom w:val="0"/>
          <w:divBdr>
            <w:top w:val="none" w:sz="0" w:space="0" w:color="auto"/>
            <w:left w:val="none" w:sz="0" w:space="0" w:color="auto"/>
            <w:bottom w:val="none" w:sz="0" w:space="0" w:color="auto"/>
            <w:right w:val="none" w:sz="0" w:space="0" w:color="auto"/>
          </w:divBdr>
        </w:div>
        <w:div w:id="2067991487">
          <w:marLeft w:val="1134"/>
          <w:marRight w:val="0"/>
          <w:marTop w:val="60"/>
          <w:marBottom w:val="0"/>
          <w:divBdr>
            <w:top w:val="none" w:sz="0" w:space="0" w:color="auto"/>
            <w:left w:val="none" w:sz="0" w:space="0" w:color="auto"/>
            <w:bottom w:val="none" w:sz="0" w:space="0" w:color="auto"/>
            <w:right w:val="none" w:sz="0" w:space="0" w:color="auto"/>
          </w:divBdr>
        </w:div>
      </w:divsChild>
    </w:div>
    <w:div w:id="665286247">
      <w:bodyDiv w:val="1"/>
      <w:marLeft w:val="0"/>
      <w:marRight w:val="0"/>
      <w:marTop w:val="0"/>
      <w:marBottom w:val="0"/>
      <w:divBdr>
        <w:top w:val="none" w:sz="0" w:space="0" w:color="auto"/>
        <w:left w:val="none" w:sz="0" w:space="0" w:color="auto"/>
        <w:bottom w:val="none" w:sz="0" w:space="0" w:color="auto"/>
        <w:right w:val="none" w:sz="0" w:space="0" w:color="auto"/>
      </w:divBdr>
      <w:divsChild>
        <w:div w:id="1916620396">
          <w:marLeft w:val="1134"/>
          <w:marRight w:val="0"/>
          <w:marTop w:val="60"/>
          <w:marBottom w:val="0"/>
          <w:divBdr>
            <w:top w:val="none" w:sz="0" w:space="0" w:color="auto"/>
            <w:left w:val="none" w:sz="0" w:space="0" w:color="auto"/>
            <w:bottom w:val="none" w:sz="0" w:space="0" w:color="auto"/>
            <w:right w:val="none" w:sz="0" w:space="0" w:color="auto"/>
          </w:divBdr>
        </w:div>
        <w:div w:id="895579868">
          <w:marLeft w:val="1985"/>
          <w:marRight w:val="0"/>
          <w:marTop w:val="60"/>
          <w:marBottom w:val="0"/>
          <w:divBdr>
            <w:top w:val="none" w:sz="0" w:space="0" w:color="auto"/>
            <w:left w:val="none" w:sz="0" w:space="0" w:color="auto"/>
            <w:bottom w:val="none" w:sz="0" w:space="0" w:color="auto"/>
            <w:right w:val="none" w:sz="0" w:space="0" w:color="auto"/>
          </w:divBdr>
        </w:div>
        <w:div w:id="1861623895">
          <w:marLeft w:val="1985"/>
          <w:marRight w:val="0"/>
          <w:marTop w:val="60"/>
          <w:marBottom w:val="0"/>
          <w:divBdr>
            <w:top w:val="none" w:sz="0" w:space="0" w:color="auto"/>
            <w:left w:val="none" w:sz="0" w:space="0" w:color="auto"/>
            <w:bottom w:val="none" w:sz="0" w:space="0" w:color="auto"/>
            <w:right w:val="none" w:sz="0" w:space="0" w:color="auto"/>
          </w:divBdr>
        </w:div>
        <w:div w:id="833108827">
          <w:marLeft w:val="1985"/>
          <w:marRight w:val="0"/>
          <w:marTop w:val="60"/>
          <w:marBottom w:val="0"/>
          <w:divBdr>
            <w:top w:val="none" w:sz="0" w:space="0" w:color="auto"/>
            <w:left w:val="none" w:sz="0" w:space="0" w:color="auto"/>
            <w:bottom w:val="none" w:sz="0" w:space="0" w:color="auto"/>
            <w:right w:val="none" w:sz="0" w:space="0" w:color="auto"/>
          </w:divBdr>
        </w:div>
        <w:div w:id="1002732913">
          <w:marLeft w:val="1985"/>
          <w:marRight w:val="0"/>
          <w:marTop w:val="60"/>
          <w:marBottom w:val="0"/>
          <w:divBdr>
            <w:top w:val="none" w:sz="0" w:space="0" w:color="auto"/>
            <w:left w:val="none" w:sz="0" w:space="0" w:color="auto"/>
            <w:bottom w:val="none" w:sz="0" w:space="0" w:color="auto"/>
            <w:right w:val="none" w:sz="0" w:space="0" w:color="auto"/>
          </w:divBdr>
        </w:div>
        <w:div w:id="279192486">
          <w:marLeft w:val="1134"/>
          <w:marRight w:val="0"/>
          <w:marTop w:val="60"/>
          <w:marBottom w:val="0"/>
          <w:divBdr>
            <w:top w:val="none" w:sz="0" w:space="0" w:color="auto"/>
            <w:left w:val="none" w:sz="0" w:space="0" w:color="auto"/>
            <w:bottom w:val="none" w:sz="0" w:space="0" w:color="auto"/>
            <w:right w:val="none" w:sz="0" w:space="0" w:color="auto"/>
          </w:divBdr>
        </w:div>
      </w:divsChild>
    </w:div>
    <w:div w:id="817378407">
      <w:bodyDiv w:val="1"/>
      <w:marLeft w:val="0"/>
      <w:marRight w:val="0"/>
      <w:marTop w:val="0"/>
      <w:marBottom w:val="0"/>
      <w:divBdr>
        <w:top w:val="none" w:sz="0" w:space="0" w:color="auto"/>
        <w:left w:val="none" w:sz="0" w:space="0" w:color="auto"/>
        <w:bottom w:val="none" w:sz="0" w:space="0" w:color="auto"/>
        <w:right w:val="none" w:sz="0" w:space="0" w:color="auto"/>
      </w:divBdr>
      <w:divsChild>
        <w:div w:id="685523601">
          <w:marLeft w:val="1134"/>
          <w:marRight w:val="0"/>
          <w:marTop w:val="60"/>
          <w:marBottom w:val="0"/>
          <w:divBdr>
            <w:top w:val="none" w:sz="0" w:space="0" w:color="auto"/>
            <w:left w:val="none" w:sz="0" w:space="0" w:color="auto"/>
            <w:bottom w:val="none" w:sz="0" w:space="0" w:color="auto"/>
            <w:right w:val="none" w:sz="0" w:space="0" w:color="auto"/>
          </w:divBdr>
        </w:div>
        <w:div w:id="1576893022">
          <w:marLeft w:val="1985"/>
          <w:marRight w:val="0"/>
          <w:marTop w:val="60"/>
          <w:marBottom w:val="0"/>
          <w:divBdr>
            <w:top w:val="none" w:sz="0" w:space="0" w:color="auto"/>
            <w:left w:val="none" w:sz="0" w:space="0" w:color="auto"/>
            <w:bottom w:val="none" w:sz="0" w:space="0" w:color="auto"/>
            <w:right w:val="none" w:sz="0" w:space="0" w:color="auto"/>
          </w:divBdr>
        </w:div>
        <w:div w:id="57628849">
          <w:marLeft w:val="1985"/>
          <w:marRight w:val="0"/>
          <w:marTop w:val="60"/>
          <w:marBottom w:val="0"/>
          <w:divBdr>
            <w:top w:val="none" w:sz="0" w:space="0" w:color="auto"/>
            <w:left w:val="none" w:sz="0" w:space="0" w:color="auto"/>
            <w:bottom w:val="none" w:sz="0" w:space="0" w:color="auto"/>
            <w:right w:val="none" w:sz="0" w:space="0" w:color="auto"/>
          </w:divBdr>
        </w:div>
      </w:divsChild>
    </w:div>
    <w:div w:id="893933285">
      <w:bodyDiv w:val="1"/>
      <w:marLeft w:val="0"/>
      <w:marRight w:val="0"/>
      <w:marTop w:val="0"/>
      <w:marBottom w:val="0"/>
      <w:divBdr>
        <w:top w:val="none" w:sz="0" w:space="0" w:color="auto"/>
        <w:left w:val="none" w:sz="0" w:space="0" w:color="auto"/>
        <w:bottom w:val="none" w:sz="0" w:space="0" w:color="auto"/>
        <w:right w:val="none" w:sz="0" w:space="0" w:color="auto"/>
      </w:divBdr>
      <w:divsChild>
        <w:div w:id="1027632591">
          <w:marLeft w:val="1134"/>
          <w:marRight w:val="0"/>
          <w:marTop w:val="60"/>
          <w:marBottom w:val="0"/>
          <w:divBdr>
            <w:top w:val="none" w:sz="0" w:space="0" w:color="auto"/>
            <w:left w:val="none" w:sz="0" w:space="0" w:color="auto"/>
            <w:bottom w:val="none" w:sz="0" w:space="0" w:color="auto"/>
            <w:right w:val="none" w:sz="0" w:space="0" w:color="auto"/>
          </w:divBdr>
        </w:div>
        <w:div w:id="1062949845">
          <w:marLeft w:val="1985"/>
          <w:marRight w:val="0"/>
          <w:marTop w:val="60"/>
          <w:marBottom w:val="0"/>
          <w:divBdr>
            <w:top w:val="none" w:sz="0" w:space="0" w:color="auto"/>
            <w:left w:val="none" w:sz="0" w:space="0" w:color="auto"/>
            <w:bottom w:val="none" w:sz="0" w:space="0" w:color="auto"/>
            <w:right w:val="none" w:sz="0" w:space="0" w:color="auto"/>
          </w:divBdr>
        </w:div>
        <w:div w:id="746152821">
          <w:marLeft w:val="1985"/>
          <w:marRight w:val="0"/>
          <w:marTop w:val="60"/>
          <w:marBottom w:val="0"/>
          <w:divBdr>
            <w:top w:val="none" w:sz="0" w:space="0" w:color="auto"/>
            <w:left w:val="none" w:sz="0" w:space="0" w:color="auto"/>
            <w:bottom w:val="none" w:sz="0" w:space="0" w:color="auto"/>
            <w:right w:val="none" w:sz="0" w:space="0" w:color="auto"/>
          </w:divBdr>
        </w:div>
      </w:divsChild>
    </w:div>
    <w:div w:id="933587765">
      <w:bodyDiv w:val="1"/>
      <w:marLeft w:val="0"/>
      <w:marRight w:val="0"/>
      <w:marTop w:val="0"/>
      <w:marBottom w:val="0"/>
      <w:divBdr>
        <w:top w:val="none" w:sz="0" w:space="0" w:color="auto"/>
        <w:left w:val="none" w:sz="0" w:space="0" w:color="auto"/>
        <w:bottom w:val="none" w:sz="0" w:space="0" w:color="auto"/>
        <w:right w:val="none" w:sz="0" w:space="0" w:color="auto"/>
      </w:divBdr>
      <w:divsChild>
        <w:div w:id="1183665888">
          <w:marLeft w:val="1134"/>
          <w:marRight w:val="0"/>
          <w:marTop w:val="60"/>
          <w:marBottom w:val="0"/>
          <w:divBdr>
            <w:top w:val="none" w:sz="0" w:space="0" w:color="auto"/>
            <w:left w:val="none" w:sz="0" w:space="0" w:color="auto"/>
            <w:bottom w:val="none" w:sz="0" w:space="0" w:color="auto"/>
            <w:right w:val="none" w:sz="0" w:space="0" w:color="auto"/>
          </w:divBdr>
        </w:div>
        <w:div w:id="156071819">
          <w:marLeft w:val="1985"/>
          <w:marRight w:val="0"/>
          <w:marTop w:val="60"/>
          <w:marBottom w:val="0"/>
          <w:divBdr>
            <w:top w:val="none" w:sz="0" w:space="0" w:color="auto"/>
            <w:left w:val="none" w:sz="0" w:space="0" w:color="auto"/>
            <w:bottom w:val="none" w:sz="0" w:space="0" w:color="auto"/>
            <w:right w:val="none" w:sz="0" w:space="0" w:color="auto"/>
          </w:divBdr>
        </w:div>
        <w:div w:id="715593241">
          <w:marLeft w:val="1985"/>
          <w:marRight w:val="0"/>
          <w:marTop w:val="60"/>
          <w:marBottom w:val="0"/>
          <w:divBdr>
            <w:top w:val="none" w:sz="0" w:space="0" w:color="auto"/>
            <w:left w:val="none" w:sz="0" w:space="0" w:color="auto"/>
            <w:bottom w:val="none" w:sz="0" w:space="0" w:color="auto"/>
            <w:right w:val="none" w:sz="0" w:space="0" w:color="auto"/>
          </w:divBdr>
        </w:div>
        <w:div w:id="992562150">
          <w:marLeft w:val="1985"/>
          <w:marRight w:val="0"/>
          <w:marTop w:val="60"/>
          <w:marBottom w:val="0"/>
          <w:divBdr>
            <w:top w:val="none" w:sz="0" w:space="0" w:color="auto"/>
            <w:left w:val="none" w:sz="0" w:space="0" w:color="auto"/>
            <w:bottom w:val="none" w:sz="0" w:space="0" w:color="auto"/>
            <w:right w:val="none" w:sz="0" w:space="0" w:color="auto"/>
          </w:divBdr>
        </w:div>
        <w:div w:id="1139031936">
          <w:marLeft w:val="1985"/>
          <w:marRight w:val="0"/>
          <w:marTop w:val="60"/>
          <w:marBottom w:val="0"/>
          <w:divBdr>
            <w:top w:val="none" w:sz="0" w:space="0" w:color="auto"/>
            <w:left w:val="none" w:sz="0" w:space="0" w:color="auto"/>
            <w:bottom w:val="none" w:sz="0" w:space="0" w:color="auto"/>
            <w:right w:val="none" w:sz="0" w:space="0" w:color="auto"/>
          </w:divBdr>
        </w:div>
        <w:div w:id="1004669874">
          <w:marLeft w:val="1134"/>
          <w:marRight w:val="0"/>
          <w:marTop w:val="60"/>
          <w:marBottom w:val="0"/>
          <w:divBdr>
            <w:top w:val="none" w:sz="0" w:space="0" w:color="auto"/>
            <w:left w:val="none" w:sz="0" w:space="0" w:color="auto"/>
            <w:bottom w:val="none" w:sz="0" w:space="0" w:color="auto"/>
            <w:right w:val="none" w:sz="0" w:space="0" w:color="auto"/>
          </w:divBdr>
        </w:div>
      </w:divsChild>
    </w:div>
    <w:div w:id="1042485906">
      <w:bodyDiv w:val="1"/>
      <w:marLeft w:val="0"/>
      <w:marRight w:val="0"/>
      <w:marTop w:val="0"/>
      <w:marBottom w:val="0"/>
      <w:divBdr>
        <w:top w:val="none" w:sz="0" w:space="0" w:color="auto"/>
        <w:left w:val="none" w:sz="0" w:space="0" w:color="auto"/>
        <w:bottom w:val="none" w:sz="0" w:space="0" w:color="auto"/>
        <w:right w:val="none" w:sz="0" w:space="0" w:color="auto"/>
      </w:divBdr>
      <w:divsChild>
        <w:div w:id="1956594411">
          <w:marLeft w:val="0"/>
          <w:marRight w:val="0"/>
          <w:marTop w:val="240"/>
          <w:marBottom w:val="0"/>
          <w:divBdr>
            <w:top w:val="none" w:sz="0" w:space="0" w:color="auto"/>
            <w:left w:val="none" w:sz="0" w:space="0" w:color="auto"/>
            <w:bottom w:val="none" w:sz="0" w:space="0" w:color="auto"/>
            <w:right w:val="none" w:sz="0" w:space="0" w:color="auto"/>
          </w:divBdr>
        </w:div>
        <w:div w:id="1594700548">
          <w:marLeft w:val="0"/>
          <w:marRight w:val="0"/>
          <w:marTop w:val="120"/>
          <w:marBottom w:val="0"/>
          <w:divBdr>
            <w:top w:val="none" w:sz="0" w:space="0" w:color="auto"/>
            <w:left w:val="none" w:sz="0" w:space="0" w:color="auto"/>
            <w:bottom w:val="none" w:sz="0" w:space="0" w:color="auto"/>
            <w:right w:val="none" w:sz="0" w:space="0" w:color="auto"/>
          </w:divBdr>
        </w:div>
        <w:div w:id="1030841844">
          <w:marLeft w:val="1134"/>
          <w:marRight w:val="0"/>
          <w:marTop w:val="60"/>
          <w:marBottom w:val="0"/>
          <w:divBdr>
            <w:top w:val="none" w:sz="0" w:space="0" w:color="auto"/>
            <w:left w:val="none" w:sz="0" w:space="0" w:color="auto"/>
            <w:bottom w:val="none" w:sz="0" w:space="0" w:color="auto"/>
            <w:right w:val="none" w:sz="0" w:space="0" w:color="auto"/>
          </w:divBdr>
        </w:div>
        <w:div w:id="1703936069">
          <w:marLeft w:val="1134"/>
          <w:marRight w:val="0"/>
          <w:marTop w:val="60"/>
          <w:marBottom w:val="0"/>
          <w:divBdr>
            <w:top w:val="none" w:sz="0" w:space="0" w:color="auto"/>
            <w:left w:val="none" w:sz="0" w:space="0" w:color="auto"/>
            <w:bottom w:val="none" w:sz="0" w:space="0" w:color="auto"/>
            <w:right w:val="none" w:sz="0" w:space="0" w:color="auto"/>
          </w:divBdr>
        </w:div>
        <w:div w:id="1394548489">
          <w:marLeft w:val="1134"/>
          <w:marRight w:val="0"/>
          <w:marTop w:val="60"/>
          <w:marBottom w:val="0"/>
          <w:divBdr>
            <w:top w:val="none" w:sz="0" w:space="0" w:color="auto"/>
            <w:left w:val="none" w:sz="0" w:space="0" w:color="auto"/>
            <w:bottom w:val="none" w:sz="0" w:space="0" w:color="auto"/>
            <w:right w:val="none" w:sz="0" w:space="0" w:color="auto"/>
          </w:divBdr>
        </w:div>
        <w:div w:id="528297547">
          <w:marLeft w:val="1134"/>
          <w:marRight w:val="0"/>
          <w:marTop w:val="60"/>
          <w:marBottom w:val="0"/>
          <w:divBdr>
            <w:top w:val="none" w:sz="0" w:space="0" w:color="auto"/>
            <w:left w:val="none" w:sz="0" w:space="0" w:color="auto"/>
            <w:bottom w:val="none" w:sz="0" w:space="0" w:color="auto"/>
            <w:right w:val="none" w:sz="0" w:space="0" w:color="auto"/>
          </w:divBdr>
        </w:div>
        <w:div w:id="383406704">
          <w:marLeft w:val="1134"/>
          <w:marRight w:val="0"/>
          <w:marTop w:val="60"/>
          <w:marBottom w:val="0"/>
          <w:divBdr>
            <w:top w:val="none" w:sz="0" w:space="0" w:color="auto"/>
            <w:left w:val="none" w:sz="0" w:space="0" w:color="auto"/>
            <w:bottom w:val="none" w:sz="0" w:space="0" w:color="auto"/>
            <w:right w:val="none" w:sz="0" w:space="0" w:color="auto"/>
          </w:divBdr>
        </w:div>
        <w:div w:id="796066204">
          <w:marLeft w:val="0"/>
          <w:marRight w:val="0"/>
          <w:marTop w:val="120"/>
          <w:marBottom w:val="0"/>
          <w:divBdr>
            <w:top w:val="none" w:sz="0" w:space="0" w:color="auto"/>
            <w:left w:val="none" w:sz="0" w:space="0" w:color="auto"/>
            <w:bottom w:val="none" w:sz="0" w:space="0" w:color="auto"/>
            <w:right w:val="none" w:sz="0" w:space="0" w:color="auto"/>
          </w:divBdr>
        </w:div>
      </w:divsChild>
    </w:div>
    <w:div w:id="1193106793">
      <w:bodyDiv w:val="1"/>
      <w:marLeft w:val="0"/>
      <w:marRight w:val="0"/>
      <w:marTop w:val="0"/>
      <w:marBottom w:val="0"/>
      <w:divBdr>
        <w:top w:val="none" w:sz="0" w:space="0" w:color="auto"/>
        <w:left w:val="none" w:sz="0" w:space="0" w:color="auto"/>
        <w:bottom w:val="none" w:sz="0" w:space="0" w:color="auto"/>
        <w:right w:val="none" w:sz="0" w:space="0" w:color="auto"/>
      </w:divBdr>
      <w:divsChild>
        <w:div w:id="1057583833">
          <w:marLeft w:val="0"/>
          <w:marRight w:val="0"/>
          <w:marTop w:val="240"/>
          <w:marBottom w:val="0"/>
          <w:divBdr>
            <w:top w:val="none" w:sz="0" w:space="0" w:color="auto"/>
            <w:left w:val="none" w:sz="0" w:space="0" w:color="auto"/>
            <w:bottom w:val="none" w:sz="0" w:space="0" w:color="auto"/>
            <w:right w:val="none" w:sz="0" w:space="0" w:color="auto"/>
          </w:divBdr>
        </w:div>
        <w:div w:id="188763296">
          <w:marLeft w:val="0"/>
          <w:marRight w:val="0"/>
          <w:marTop w:val="120"/>
          <w:marBottom w:val="0"/>
          <w:divBdr>
            <w:top w:val="none" w:sz="0" w:space="0" w:color="auto"/>
            <w:left w:val="none" w:sz="0" w:space="0" w:color="auto"/>
            <w:bottom w:val="none" w:sz="0" w:space="0" w:color="auto"/>
            <w:right w:val="none" w:sz="0" w:space="0" w:color="auto"/>
          </w:divBdr>
        </w:div>
        <w:div w:id="928079823">
          <w:marLeft w:val="1134"/>
          <w:marRight w:val="0"/>
          <w:marTop w:val="60"/>
          <w:marBottom w:val="0"/>
          <w:divBdr>
            <w:top w:val="none" w:sz="0" w:space="0" w:color="auto"/>
            <w:left w:val="none" w:sz="0" w:space="0" w:color="auto"/>
            <w:bottom w:val="none" w:sz="0" w:space="0" w:color="auto"/>
            <w:right w:val="none" w:sz="0" w:space="0" w:color="auto"/>
          </w:divBdr>
        </w:div>
        <w:div w:id="751391366">
          <w:marLeft w:val="1134"/>
          <w:marRight w:val="0"/>
          <w:marTop w:val="60"/>
          <w:marBottom w:val="0"/>
          <w:divBdr>
            <w:top w:val="none" w:sz="0" w:space="0" w:color="auto"/>
            <w:left w:val="none" w:sz="0" w:space="0" w:color="auto"/>
            <w:bottom w:val="none" w:sz="0" w:space="0" w:color="auto"/>
            <w:right w:val="none" w:sz="0" w:space="0" w:color="auto"/>
          </w:divBdr>
        </w:div>
        <w:div w:id="250747814">
          <w:marLeft w:val="1134"/>
          <w:marRight w:val="0"/>
          <w:marTop w:val="60"/>
          <w:marBottom w:val="0"/>
          <w:divBdr>
            <w:top w:val="none" w:sz="0" w:space="0" w:color="auto"/>
            <w:left w:val="none" w:sz="0" w:space="0" w:color="auto"/>
            <w:bottom w:val="none" w:sz="0" w:space="0" w:color="auto"/>
            <w:right w:val="none" w:sz="0" w:space="0" w:color="auto"/>
          </w:divBdr>
        </w:div>
        <w:div w:id="1322659360">
          <w:marLeft w:val="1134"/>
          <w:marRight w:val="0"/>
          <w:marTop w:val="60"/>
          <w:marBottom w:val="0"/>
          <w:divBdr>
            <w:top w:val="none" w:sz="0" w:space="0" w:color="auto"/>
            <w:left w:val="none" w:sz="0" w:space="0" w:color="auto"/>
            <w:bottom w:val="none" w:sz="0" w:space="0" w:color="auto"/>
            <w:right w:val="none" w:sz="0" w:space="0" w:color="auto"/>
          </w:divBdr>
        </w:div>
        <w:div w:id="366370618">
          <w:marLeft w:val="1134"/>
          <w:marRight w:val="0"/>
          <w:marTop w:val="60"/>
          <w:marBottom w:val="0"/>
          <w:divBdr>
            <w:top w:val="none" w:sz="0" w:space="0" w:color="auto"/>
            <w:left w:val="none" w:sz="0" w:space="0" w:color="auto"/>
            <w:bottom w:val="none" w:sz="0" w:space="0" w:color="auto"/>
            <w:right w:val="none" w:sz="0" w:space="0" w:color="auto"/>
          </w:divBdr>
        </w:div>
        <w:div w:id="1759400297">
          <w:marLeft w:val="0"/>
          <w:marRight w:val="0"/>
          <w:marTop w:val="120"/>
          <w:marBottom w:val="0"/>
          <w:divBdr>
            <w:top w:val="none" w:sz="0" w:space="0" w:color="auto"/>
            <w:left w:val="none" w:sz="0" w:space="0" w:color="auto"/>
            <w:bottom w:val="none" w:sz="0" w:space="0" w:color="auto"/>
            <w:right w:val="none" w:sz="0" w:space="0" w:color="auto"/>
          </w:divBdr>
        </w:div>
      </w:divsChild>
    </w:div>
    <w:div w:id="1230311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085">
          <w:marLeft w:val="0"/>
          <w:marRight w:val="0"/>
          <w:marTop w:val="240"/>
          <w:marBottom w:val="0"/>
          <w:divBdr>
            <w:top w:val="none" w:sz="0" w:space="0" w:color="auto"/>
            <w:left w:val="none" w:sz="0" w:space="0" w:color="auto"/>
            <w:bottom w:val="none" w:sz="0" w:space="0" w:color="auto"/>
            <w:right w:val="none" w:sz="0" w:space="0" w:color="auto"/>
          </w:divBdr>
        </w:div>
        <w:div w:id="30348340">
          <w:marLeft w:val="0"/>
          <w:marRight w:val="0"/>
          <w:marTop w:val="120"/>
          <w:marBottom w:val="0"/>
          <w:divBdr>
            <w:top w:val="none" w:sz="0" w:space="0" w:color="auto"/>
            <w:left w:val="none" w:sz="0" w:space="0" w:color="auto"/>
            <w:bottom w:val="none" w:sz="0" w:space="0" w:color="auto"/>
            <w:right w:val="none" w:sz="0" w:space="0" w:color="auto"/>
          </w:divBdr>
        </w:div>
        <w:div w:id="410859438">
          <w:marLeft w:val="1134"/>
          <w:marRight w:val="0"/>
          <w:marTop w:val="60"/>
          <w:marBottom w:val="0"/>
          <w:divBdr>
            <w:top w:val="none" w:sz="0" w:space="0" w:color="auto"/>
            <w:left w:val="none" w:sz="0" w:space="0" w:color="auto"/>
            <w:bottom w:val="none" w:sz="0" w:space="0" w:color="auto"/>
            <w:right w:val="none" w:sz="0" w:space="0" w:color="auto"/>
          </w:divBdr>
        </w:div>
        <w:div w:id="914440278">
          <w:marLeft w:val="1985"/>
          <w:marRight w:val="0"/>
          <w:marTop w:val="60"/>
          <w:marBottom w:val="0"/>
          <w:divBdr>
            <w:top w:val="none" w:sz="0" w:space="0" w:color="auto"/>
            <w:left w:val="none" w:sz="0" w:space="0" w:color="auto"/>
            <w:bottom w:val="none" w:sz="0" w:space="0" w:color="auto"/>
            <w:right w:val="none" w:sz="0" w:space="0" w:color="auto"/>
          </w:divBdr>
        </w:div>
        <w:div w:id="945498270">
          <w:marLeft w:val="1985"/>
          <w:marRight w:val="0"/>
          <w:marTop w:val="60"/>
          <w:marBottom w:val="0"/>
          <w:divBdr>
            <w:top w:val="none" w:sz="0" w:space="0" w:color="auto"/>
            <w:left w:val="none" w:sz="0" w:space="0" w:color="auto"/>
            <w:bottom w:val="none" w:sz="0" w:space="0" w:color="auto"/>
            <w:right w:val="none" w:sz="0" w:space="0" w:color="auto"/>
          </w:divBdr>
        </w:div>
        <w:div w:id="1136067026">
          <w:marLeft w:val="1985"/>
          <w:marRight w:val="0"/>
          <w:marTop w:val="60"/>
          <w:marBottom w:val="0"/>
          <w:divBdr>
            <w:top w:val="none" w:sz="0" w:space="0" w:color="auto"/>
            <w:left w:val="none" w:sz="0" w:space="0" w:color="auto"/>
            <w:bottom w:val="none" w:sz="0" w:space="0" w:color="auto"/>
            <w:right w:val="none" w:sz="0" w:space="0" w:color="auto"/>
          </w:divBdr>
        </w:div>
        <w:div w:id="1817066801">
          <w:marLeft w:val="1985"/>
          <w:marRight w:val="0"/>
          <w:marTop w:val="60"/>
          <w:marBottom w:val="0"/>
          <w:divBdr>
            <w:top w:val="none" w:sz="0" w:space="0" w:color="auto"/>
            <w:left w:val="none" w:sz="0" w:space="0" w:color="auto"/>
            <w:bottom w:val="none" w:sz="0" w:space="0" w:color="auto"/>
            <w:right w:val="none" w:sz="0" w:space="0" w:color="auto"/>
          </w:divBdr>
        </w:div>
        <w:div w:id="480315019">
          <w:marLeft w:val="1134"/>
          <w:marRight w:val="0"/>
          <w:marTop w:val="60"/>
          <w:marBottom w:val="0"/>
          <w:divBdr>
            <w:top w:val="none" w:sz="0" w:space="0" w:color="auto"/>
            <w:left w:val="none" w:sz="0" w:space="0" w:color="auto"/>
            <w:bottom w:val="none" w:sz="0" w:space="0" w:color="auto"/>
            <w:right w:val="none" w:sz="0" w:space="0" w:color="auto"/>
          </w:divBdr>
        </w:div>
        <w:div w:id="492448557">
          <w:marLeft w:val="1134"/>
          <w:marRight w:val="0"/>
          <w:marTop w:val="60"/>
          <w:marBottom w:val="0"/>
          <w:divBdr>
            <w:top w:val="none" w:sz="0" w:space="0" w:color="auto"/>
            <w:left w:val="none" w:sz="0" w:space="0" w:color="auto"/>
            <w:bottom w:val="none" w:sz="0" w:space="0" w:color="auto"/>
            <w:right w:val="none" w:sz="0" w:space="0" w:color="auto"/>
          </w:divBdr>
        </w:div>
        <w:div w:id="1661762752">
          <w:marLeft w:val="0"/>
          <w:marRight w:val="0"/>
          <w:marTop w:val="120"/>
          <w:marBottom w:val="0"/>
          <w:divBdr>
            <w:top w:val="none" w:sz="0" w:space="0" w:color="auto"/>
            <w:left w:val="none" w:sz="0" w:space="0" w:color="auto"/>
            <w:bottom w:val="none" w:sz="0" w:space="0" w:color="auto"/>
            <w:right w:val="none" w:sz="0" w:space="0" w:color="auto"/>
          </w:divBdr>
        </w:div>
        <w:div w:id="2010792417">
          <w:marLeft w:val="1134"/>
          <w:marRight w:val="0"/>
          <w:marTop w:val="60"/>
          <w:marBottom w:val="0"/>
          <w:divBdr>
            <w:top w:val="none" w:sz="0" w:space="0" w:color="auto"/>
            <w:left w:val="none" w:sz="0" w:space="0" w:color="auto"/>
            <w:bottom w:val="none" w:sz="0" w:space="0" w:color="auto"/>
            <w:right w:val="none" w:sz="0" w:space="0" w:color="auto"/>
          </w:divBdr>
        </w:div>
        <w:div w:id="2110006055">
          <w:marLeft w:val="1134"/>
          <w:marRight w:val="0"/>
          <w:marTop w:val="60"/>
          <w:marBottom w:val="0"/>
          <w:divBdr>
            <w:top w:val="none" w:sz="0" w:space="0" w:color="auto"/>
            <w:left w:val="none" w:sz="0" w:space="0" w:color="auto"/>
            <w:bottom w:val="none" w:sz="0" w:space="0" w:color="auto"/>
            <w:right w:val="none" w:sz="0" w:space="0" w:color="auto"/>
          </w:divBdr>
        </w:div>
        <w:div w:id="468131101">
          <w:marLeft w:val="0"/>
          <w:marRight w:val="0"/>
          <w:marTop w:val="120"/>
          <w:marBottom w:val="0"/>
          <w:divBdr>
            <w:top w:val="none" w:sz="0" w:space="0" w:color="auto"/>
            <w:left w:val="none" w:sz="0" w:space="0" w:color="auto"/>
            <w:bottom w:val="none" w:sz="0" w:space="0" w:color="auto"/>
            <w:right w:val="none" w:sz="0" w:space="0" w:color="auto"/>
          </w:divBdr>
        </w:div>
        <w:div w:id="1726178118">
          <w:marLeft w:val="0"/>
          <w:marRight w:val="0"/>
          <w:marTop w:val="120"/>
          <w:marBottom w:val="0"/>
          <w:divBdr>
            <w:top w:val="none" w:sz="0" w:space="0" w:color="auto"/>
            <w:left w:val="none" w:sz="0" w:space="0" w:color="auto"/>
            <w:bottom w:val="none" w:sz="0" w:space="0" w:color="auto"/>
            <w:right w:val="none" w:sz="0" w:space="0" w:color="auto"/>
          </w:divBdr>
        </w:div>
        <w:div w:id="162084702">
          <w:marLeft w:val="1134"/>
          <w:marRight w:val="0"/>
          <w:marTop w:val="60"/>
          <w:marBottom w:val="0"/>
          <w:divBdr>
            <w:top w:val="none" w:sz="0" w:space="0" w:color="auto"/>
            <w:left w:val="none" w:sz="0" w:space="0" w:color="auto"/>
            <w:bottom w:val="none" w:sz="0" w:space="0" w:color="auto"/>
            <w:right w:val="none" w:sz="0" w:space="0" w:color="auto"/>
          </w:divBdr>
        </w:div>
        <w:div w:id="528833551">
          <w:marLeft w:val="1134"/>
          <w:marRight w:val="0"/>
          <w:marTop w:val="60"/>
          <w:marBottom w:val="0"/>
          <w:divBdr>
            <w:top w:val="none" w:sz="0" w:space="0" w:color="auto"/>
            <w:left w:val="none" w:sz="0" w:space="0" w:color="auto"/>
            <w:bottom w:val="none" w:sz="0" w:space="0" w:color="auto"/>
            <w:right w:val="none" w:sz="0" w:space="0" w:color="auto"/>
          </w:divBdr>
        </w:div>
        <w:div w:id="1013991276">
          <w:marLeft w:val="1985"/>
          <w:marRight w:val="0"/>
          <w:marTop w:val="60"/>
          <w:marBottom w:val="0"/>
          <w:divBdr>
            <w:top w:val="none" w:sz="0" w:space="0" w:color="auto"/>
            <w:left w:val="none" w:sz="0" w:space="0" w:color="auto"/>
            <w:bottom w:val="none" w:sz="0" w:space="0" w:color="auto"/>
            <w:right w:val="none" w:sz="0" w:space="0" w:color="auto"/>
          </w:divBdr>
        </w:div>
        <w:div w:id="171267503">
          <w:marLeft w:val="1985"/>
          <w:marRight w:val="0"/>
          <w:marTop w:val="60"/>
          <w:marBottom w:val="0"/>
          <w:divBdr>
            <w:top w:val="none" w:sz="0" w:space="0" w:color="auto"/>
            <w:left w:val="none" w:sz="0" w:space="0" w:color="auto"/>
            <w:bottom w:val="none" w:sz="0" w:space="0" w:color="auto"/>
            <w:right w:val="none" w:sz="0" w:space="0" w:color="auto"/>
          </w:divBdr>
        </w:div>
      </w:divsChild>
    </w:div>
    <w:div w:id="1348097132">
      <w:bodyDiv w:val="1"/>
      <w:marLeft w:val="0"/>
      <w:marRight w:val="0"/>
      <w:marTop w:val="0"/>
      <w:marBottom w:val="0"/>
      <w:divBdr>
        <w:top w:val="none" w:sz="0" w:space="0" w:color="auto"/>
        <w:left w:val="none" w:sz="0" w:space="0" w:color="auto"/>
        <w:bottom w:val="none" w:sz="0" w:space="0" w:color="auto"/>
        <w:right w:val="none" w:sz="0" w:space="0" w:color="auto"/>
      </w:divBdr>
      <w:divsChild>
        <w:div w:id="1378164411">
          <w:marLeft w:val="0"/>
          <w:marRight w:val="0"/>
          <w:marTop w:val="240"/>
          <w:marBottom w:val="0"/>
          <w:divBdr>
            <w:top w:val="none" w:sz="0" w:space="0" w:color="auto"/>
            <w:left w:val="none" w:sz="0" w:space="0" w:color="auto"/>
            <w:bottom w:val="none" w:sz="0" w:space="0" w:color="auto"/>
            <w:right w:val="none" w:sz="0" w:space="0" w:color="auto"/>
          </w:divBdr>
        </w:div>
        <w:div w:id="2119983093">
          <w:marLeft w:val="0"/>
          <w:marRight w:val="0"/>
          <w:marTop w:val="120"/>
          <w:marBottom w:val="0"/>
          <w:divBdr>
            <w:top w:val="none" w:sz="0" w:space="0" w:color="auto"/>
            <w:left w:val="none" w:sz="0" w:space="0" w:color="auto"/>
            <w:bottom w:val="none" w:sz="0" w:space="0" w:color="auto"/>
            <w:right w:val="none" w:sz="0" w:space="0" w:color="auto"/>
          </w:divBdr>
        </w:div>
        <w:div w:id="1317032595">
          <w:marLeft w:val="1134"/>
          <w:marRight w:val="0"/>
          <w:marTop w:val="60"/>
          <w:marBottom w:val="0"/>
          <w:divBdr>
            <w:top w:val="none" w:sz="0" w:space="0" w:color="auto"/>
            <w:left w:val="none" w:sz="0" w:space="0" w:color="auto"/>
            <w:bottom w:val="none" w:sz="0" w:space="0" w:color="auto"/>
            <w:right w:val="none" w:sz="0" w:space="0" w:color="auto"/>
          </w:divBdr>
        </w:div>
        <w:div w:id="1682732374">
          <w:marLeft w:val="1134"/>
          <w:marRight w:val="0"/>
          <w:marTop w:val="60"/>
          <w:marBottom w:val="0"/>
          <w:divBdr>
            <w:top w:val="none" w:sz="0" w:space="0" w:color="auto"/>
            <w:left w:val="none" w:sz="0" w:space="0" w:color="auto"/>
            <w:bottom w:val="none" w:sz="0" w:space="0" w:color="auto"/>
            <w:right w:val="none" w:sz="0" w:space="0" w:color="auto"/>
          </w:divBdr>
        </w:div>
        <w:div w:id="2091154358">
          <w:marLeft w:val="1134"/>
          <w:marRight w:val="0"/>
          <w:marTop w:val="60"/>
          <w:marBottom w:val="0"/>
          <w:divBdr>
            <w:top w:val="none" w:sz="0" w:space="0" w:color="auto"/>
            <w:left w:val="none" w:sz="0" w:space="0" w:color="auto"/>
            <w:bottom w:val="none" w:sz="0" w:space="0" w:color="auto"/>
            <w:right w:val="none" w:sz="0" w:space="0" w:color="auto"/>
          </w:divBdr>
        </w:div>
        <w:div w:id="519584276">
          <w:marLeft w:val="0"/>
          <w:marRight w:val="0"/>
          <w:marTop w:val="120"/>
          <w:marBottom w:val="0"/>
          <w:divBdr>
            <w:top w:val="none" w:sz="0" w:space="0" w:color="auto"/>
            <w:left w:val="none" w:sz="0" w:space="0" w:color="auto"/>
            <w:bottom w:val="none" w:sz="0" w:space="0" w:color="auto"/>
            <w:right w:val="none" w:sz="0" w:space="0" w:color="auto"/>
          </w:divBdr>
        </w:div>
        <w:div w:id="675958673">
          <w:marLeft w:val="1134"/>
          <w:marRight w:val="0"/>
          <w:marTop w:val="60"/>
          <w:marBottom w:val="0"/>
          <w:divBdr>
            <w:top w:val="none" w:sz="0" w:space="0" w:color="auto"/>
            <w:left w:val="none" w:sz="0" w:space="0" w:color="auto"/>
            <w:bottom w:val="none" w:sz="0" w:space="0" w:color="auto"/>
            <w:right w:val="none" w:sz="0" w:space="0" w:color="auto"/>
          </w:divBdr>
        </w:div>
        <w:div w:id="156507606">
          <w:marLeft w:val="1985"/>
          <w:marRight w:val="0"/>
          <w:marTop w:val="60"/>
          <w:marBottom w:val="0"/>
          <w:divBdr>
            <w:top w:val="none" w:sz="0" w:space="0" w:color="auto"/>
            <w:left w:val="none" w:sz="0" w:space="0" w:color="auto"/>
            <w:bottom w:val="none" w:sz="0" w:space="0" w:color="auto"/>
            <w:right w:val="none" w:sz="0" w:space="0" w:color="auto"/>
          </w:divBdr>
        </w:div>
        <w:div w:id="688719400">
          <w:marLeft w:val="1985"/>
          <w:marRight w:val="0"/>
          <w:marTop w:val="60"/>
          <w:marBottom w:val="0"/>
          <w:divBdr>
            <w:top w:val="none" w:sz="0" w:space="0" w:color="auto"/>
            <w:left w:val="none" w:sz="0" w:space="0" w:color="auto"/>
            <w:bottom w:val="none" w:sz="0" w:space="0" w:color="auto"/>
            <w:right w:val="none" w:sz="0" w:space="0" w:color="auto"/>
          </w:divBdr>
        </w:div>
        <w:div w:id="758525592">
          <w:marLeft w:val="1134"/>
          <w:marRight w:val="0"/>
          <w:marTop w:val="60"/>
          <w:marBottom w:val="0"/>
          <w:divBdr>
            <w:top w:val="none" w:sz="0" w:space="0" w:color="auto"/>
            <w:left w:val="none" w:sz="0" w:space="0" w:color="auto"/>
            <w:bottom w:val="none" w:sz="0" w:space="0" w:color="auto"/>
            <w:right w:val="none" w:sz="0" w:space="0" w:color="auto"/>
          </w:divBdr>
        </w:div>
        <w:div w:id="639387144">
          <w:marLeft w:val="0"/>
          <w:marRight w:val="0"/>
          <w:marTop w:val="120"/>
          <w:marBottom w:val="0"/>
          <w:divBdr>
            <w:top w:val="none" w:sz="0" w:space="0" w:color="auto"/>
            <w:left w:val="none" w:sz="0" w:space="0" w:color="auto"/>
            <w:bottom w:val="none" w:sz="0" w:space="0" w:color="auto"/>
            <w:right w:val="none" w:sz="0" w:space="0" w:color="auto"/>
          </w:divBdr>
        </w:div>
        <w:div w:id="1237858230">
          <w:marLeft w:val="1134"/>
          <w:marRight w:val="0"/>
          <w:marTop w:val="60"/>
          <w:marBottom w:val="0"/>
          <w:divBdr>
            <w:top w:val="none" w:sz="0" w:space="0" w:color="auto"/>
            <w:left w:val="none" w:sz="0" w:space="0" w:color="auto"/>
            <w:bottom w:val="none" w:sz="0" w:space="0" w:color="auto"/>
            <w:right w:val="none" w:sz="0" w:space="0" w:color="auto"/>
          </w:divBdr>
        </w:div>
        <w:div w:id="1253854394">
          <w:marLeft w:val="1134"/>
          <w:marRight w:val="0"/>
          <w:marTop w:val="60"/>
          <w:marBottom w:val="0"/>
          <w:divBdr>
            <w:top w:val="none" w:sz="0" w:space="0" w:color="auto"/>
            <w:left w:val="none" w:sz="0" w:space="0" w:color="auto"/>
            <w:bottom w:val="none" w:sz="0" w:space="0" w:color="auto"/>
            <w:right w:val="none" w:sz="0" w:space="0" w:color="auto"/>
          </w:divBdr>
        </w:div>
        <w:div w:id="709767024">
          <w:marLeft w:val="1134"/>
          <w:marRight w:val="0"/>
          <w:marTop w:val="60"/>
          <w:marBottom w:val="0"/>
          <w:divBdr>
            <w:top w:val="none" w:sz="0" w:space="0" w:color="auto"/>
            <w:left w:val="none" w:sz="0" w:space="0" w:color="auto"/>
            <w:bottom w:val="none" w:sz="0" w:space="0" w:color="auto"/>
            <w:right w:val="none" w:sz="0" w:space="0" w:color="auto"/>
          </w:divBdr>
        </w:div>
        <w:div w:id="1937669544">
          <w:marLeft w:val="1985"/>
          <w:marRight w:val="0"/>
          <w:marTop w:val="60"/>
          <w:marBottom w:val="0"/>
          <w:divBdr>
            <w:top w:val="none" w:sz="0" w:space="0" w:color="auto"/>
            <w:left w:val="none" w:sz="0" w:space="0" w:color="auto"/>
            <w:bottom w:val="none" w:sz="0" w:space="0" w:color="auto"/>
            <w:right w:val="none" w:sz="0" w:space="0" w:color="auto"/>
          </w:divBdr>
        </w:div>
        <w:div w:id="944460773">
          <w:marLeft w:val="1985"/>
          <w:marRight w:val="0"/>
          <w:marTop w:val="60"/>
          <w:marBottom w:val="0"/>
          <w:divBdr>
            <w:top w:val="none" w:sz="0" w:space="0" w:color="auto"/>
            <w:left w:val="none" w:sz="0" w:space="0" w:color="auto"/>
            <w:bottom w:val="none" w:sz="0" w:space="0" w:color="auto"/>
            <w:right w:val="none" w:sz="0" w:space="0" w:color="auto"/>
          </w:divBdr>
        </w:div>
        <w:div w:id="531460988">
          <w:marLeft w:val="1134"/>
          <w:marRight w:val="0"/>
          <w:marTop w:val="60"/>
          <w:marBottom w:val="0"/>
          <w:divBdr>
            <w:top w:val="none" w:sz="0" w:space="0" w:color="auto"/>
            <w:left w:val="none" w:sz="0" w:space="0" w:color="auto"/>
            <w:bottom w:val="none" w:sz="0" w:space="0" w:color="auto"/>
            <w:right w:val="none" w:sz="0" w:space="0" w:color="auto"/>
          </w:divBdr>
        </w:div>
        <w:div w:id="216666927">
          <w:marLeft w:val="0"/>
          <w:marRight w:val="0"/>
          <w:marTop w:val="120"/>
          <w:marBottom w:val="0"/>
          <w:divBdr>
            <w:top w:val="none" w:sz="0" w:space="0" w:color="auto"/>
            <w:left w:val="none" w:sz="0" w:space="0" w:color="auto"/>
            <w:bottom w:val="none" w:sz="0" w:space="0" w:color="auto"/>
            <w:right w:val="none" w:sz="0" w:space="0" w:color="auto"/>
          </w:divBdr>
        </w:div>
        <w:div w:id="93717990">
          <w:marLeft w:val="0"/>
          <w:marRight w:val="0"/>
          <w:marTop w:val="120"/>
          <w:marBottom w:val="0"/>
          <w:divBdr>
            <w:top w:val="none" w:sz="0" w:space="0" w:color="auto"/>
            <w:left w:val="none" w:sz="0" w:space="0" w:color="auto"/>
            <w:bottom w:val="none" w:sz="0" w:space="0" w:color="auto"/>
            <w:right w:val="none" w:sz="0" w:space="0" w:color="auto"/>
          </w:divBdr>
        </w:div>
      </w:divsChild>
    </w:div>
    <w:div w:id="1398823805">
      <w:bodyDiv w:val="1"/>
      <w:marLeft w:val="0"/>
      <w:marRight w:val="0"/>
      <w:marTop w:val="0"/>
      <w:marBottom w:val="0"/>
      <w:divBdr>
        <w:top w:val="none" w:sz="0" w:space="0" w:color="auto"/>
        <w:left w:val="none" w:sz="0" w:space="0" w:color="auto"/>
        <w:bottom w:val="none" w:sz="0" w:space="0" w:color="auto"/>
        <w:right w:val="none" w:sz="0" w:space="0" w:color="auto"/>
      </w:divBdr>
      <w:divsChild>
        <w:div w:id="2037848688">
          <w:marLeft w:val="0"/>
          <w:marRight w:val="0"/>
          <w:marTop w:val="240"/>
          <w:marBottom w:val="0"/>
          <w:divBdr>
            <w:top w:val="none" w:sz="0" w:space="0" w:color="auto"/>
            <w:left w:val="none" w:sz="0" w:space="0" w:color="auto"/>
            <w:bottom w:val="none" w:sz="0" w:space="0" w:color="auto"/>
            <w:right w:val="none" w:sz="0" w:space="0" w:color="auto"/>
          </w:divBdr>
        </w:div>
        <w:div w:id="1087078104">
          <w:marLeft w:val="0"/>
          <w:marRight w:val="0"/>
          <w:marTop w:val="120"/>
          <w:marBottom w:val="0"/>
          <w:divBdr>
            <w:top w:val="none" w:sz="0" w:space="0" w:color="auto"/>
            <w:left w:val="none" w:sz="0" w:space="0" w:color="auto"/>
            <w:bottom w:val="none" w:sz="0" w:space="0" w:color="auto"/>
            <w:right w:val="none" w:sz="0" w:space="0" w:color="auto"/>
          </w:divBdr>
        </w:div>
        <w:div w:id="1469860219">
          <w:marLeft w:val="1134"/>
          <w:marRight w:val="0"/>
          <w:marTop w:val="60"/>
          <w:marBottom w:val="0"/>
          <w:divBdr>
            <w:top w:val="none" w:sz="0" w:space="0" w:color="auto"/>
            <w:left w:val="none" w:sz="0" w:space="0" w:color="auto"/>
            <w:bottom w:val="none" w:sz="0" w:space="0" w:color="auto"/>
            <w:right w:val="none" w:sz="0" w:space="0" w:color="auto"/>
          </w:divBdr>
        </w:div>
        <w:div w:id="357734">
          <w:marLeft w:val="1134"/>
          <w:marRight w:val="0"/>
          <w:marTop w:val="60"/>
          <w:marBottom w:val="0"/>
          <w:divBdr>
            <w:top w:val="none" w:sz="0" w:space="0" w:color="auto"/>
            <w:left w:val="none" w:sz="0" w:space="0" w:color="auto"/>
            <w:bottom w:val="none" w:sz="0" w:space="0" w:color="auto"/>
            <w:right w:val="none" w:sz="0" w:space="0" w:color="auto"/>
          </w:divBdr>
        </w:div>
        <w:div w:id="107705496">
          <w:marLeft w:val="1134"/>
          <w:marRight w:val="0"/>
          <w:marTop w:val="60"/>
          <w:marBottom w:val="0"/>
          <w:divBdr>
            <w:top w:val="none" w:sz="0" w:space="0" w:color="auto"/>
            <w:left w:val="none" w:sz="0" w:space="0" w:color="auto"/>
            <w:bottom w:val="none" w:sz="0" w:space="0" w:color="auto"/>
            <w:right w:val="none" w:sz="0" w:space="0" w:color="auto"/>
          </w:divBdr>
        </w:div>
        <w:div w:id="230237186">
          <w:marLeft w:val="1134"/>
          <w:marRight w:val="0"/>
          <w:marTop w:val="60"/>
          <w:marBottom w:val="0"/>
          <w:divBdr>
            <w:top w:val="none" w:sz="0" w:space="0" w:color="auto"/>
            <w:left w:val="none" w:sz="0" w:space="0" w:color="auto"/>
            <w:bottom w:val="none" w:sz="0" w:space="0" w:color="auto"/>
            <w:right w:val="none" w:sz="0" w:space="0" w:color="auto"/>
          </w:divBdr>
        </w:div>
        <w:div w:id="99842840">
          <w:marLeft w:val="1134"/>
          <w:marRight w:val="0"/>
          <w:marTop w:val="60"/>
          <w:marBottom w:val="0"/>
          <w:divBdr>
            <w:top w:val="none" w:sz="0" w:space="0" w:color="auto"/>
            <w:left w:val="none" w:sz="0" w:space="0" w:color="auto"/>
            <w:bottom w:val="none" w:sz="0" w:space="0" w:color="auto"/>
            <w:right w:val="none" w:sz="0" w:space="0" w:color="auto"/>
          </w:divBdr>
        </w:div>
        <w:div w:id="1716195812">
          <w:marLeft w:val="0"/>
          <w:marRight w:val="0"/>
          <w:marTop w:val="120"/>
          <w:marBottom w:val="0"/>
          <w:divBdr>
            <w:top w:val="none" w:sz="0" w:space="0" w:color="auto"/>
            <w:left w:val="none" w:sz="0" w:space="0" w:color="auto"/>
            <w:bottom w:val="none" w:sz="0" w:space="0" w:color="auto"/>
            <w:right w:val="none" w:sz="0" w:space="0" w:color="auto"/>
          </w:divBdr>
        </w:div>
      </w:divsChild>
    </w:div>
    <w:div w:id="1493984459">
      <w:bodyDiv w:val="1"/>
      <w:marLeft w:val="0"/>
      <w:marRight w:val="0"/>
      <w:marTop w:val="0"/>
      <w:marBottom w:val="0"/>
      <w:divBdr>
        <w:top w:val="none" w:sz="0" w:space="0" w:color="auto"/>
        <w:left w:val="none" w:sz="0" w:space="0" w:color="auto"/>
        <w:bottom w:val="none" w:sz="0" w:space="0" w:color="auto"/>
        <w:right w:val="none" w:sz="0" w:space="0" w:color="auto"/>
      </w:divBdr>
      <w:divsChild>
        <w:div w:id="1675496994">
          <w:marLeft w:val="0"/>
          <w:marRight w:val="0"/>
          <w:marTop w:val="240"/>
          <w:marBottom w:val="0"/>
          <w:divBdr>
            <w:top w:val="none" w:sz="0" w:space="0" w:color="auto"/>
            <w:left w:val="none" w:sz="0" w:space="0" w:color="auto"/>
            <w:bottom w:val="none" w:sz="0" w:space="0" w:color="auto"/>
            <w:right w:val="none" w:sz="0" w:space="0" w:color="auto"/>
          </w:divBdr>
        </w:div>
        <w:div w:id="1095057210">
          <w:marLeft w:val="0"/>
          <w:marRight w:val="0"/>
          <w:marTop w:val="120"/>
          <w:marBottom w:val="0"/>
          <w:divBdr>
            <w:top w:val="none" w:sz="0" w:space="0" w:color="auto"/>
            <w:left w:val="none" w:sz="0" w:space="0" w:color="auto"/>
            <w:bottom w:val="none" w:sz="0" w:space="0" w:color="auto"/>
            <w:right w:val="none" w:sz="0" w:space="0" w:color="auto"/>
          </w:divBdr>
        </w:div>
        <w:div w:id="771631107">
          <w:marLeft w:val="1134"/>
          <w:marRight w:val="0"/>
          <w:marTop w:val="60"/>
          <w:marBottom w:val="0"/>
          <w:divBdr>
            <w:top w:val="none" w:sz="0" w:space="0" w:color="auto"/>
            <w:left w:val="none" w:sz="0" w:space="0" w:color="auto"/>
            <w:bottom w:val="none" w:sz="0" w:space="0" w:color="auto"/>
            <w:right w:val="none" w:sz="0" w:space="0" w:color="auto"/>
          </w:divBdr>
        </w:div>
        <w:div w:id="94644072">
          <w:marLeft w:val="1134"/>
          <w:marRight w:val="0"/>
          <w:marTop w:val="60"/>
          <w:marBottom w:val="0"/>
          <w:divBdr>
            <w:top w:val="none" w:sz="0" w:space="0" w:color="auto"/>
            <w:left w:val="none" w:sz="0" w:space="0" w:color="auto"/>
            <w:bottom w:val="none" w:sz="0" w:space="0" w:color="auto"/>
            <w:right w:val="none" w:sz="0" w:space="0" w:color="auto"/>
          </w:divBdr>
        </w:div>
      </w:divsChild>
    </w:div>
    <w:div w:id="1848475503">
      <w:bodyDiv w:val="1"/>
      <w:marLeft w:val="0"/>
      <w:marRight w:val="0"/>
      <w:marTop w:val="0"/>
      <w:marBottom w:val="0"/>
      <w:divBdr>
        <w:top w:val="none" w:sz="0" w:space="0" w:color="auto"/>
        <w:left w:val="none" w:sz="0" w:space="0" w:color="auto"/>
        <w:bottom w:val="none" w:sz="0" w:space="0" w:color="auto"/>
        <w:right w:val="none" w:sz="0" w:space="0" w:color="auto"/>
      </w:divBdr>
      <w:divsChild>
        <w:div w:id="2033727524">
          <w:marLeft w:val="0"/>
          <w:marRight w:val="0"/>
          <w:marTop w:val="240"/>
          <w:marBottom w:val="0"/>
          <w:divBdr>
            <w:top w:val="none" w:sz="0" w:space="0" w:color="auto"/>
            <w:left w:val="none" w:sz="0" w:space="0" w:color="auto"/>
            <w:bottom w:val="none" w:sz="0" w:space="0" w:color="auto"/>
            <w:right w:val="none" w:sz="0" w:space="0" w:color="auto"/>
          </w:divBdr>
        </w:div>
        <w:div w:id="1285577259">
          <w:marLeft w:val="0"/>
          <w:marRight w:val="0"/>
          <w:marTop w:val="120"/>
          <w:marBottom w:val="0"/>
          <w:divBdr>
            <w:top w:val="none" w:sz="0" w:space="0" w:color="auto"/>
            <w:left w:val="none" w:sz="0" w:space="0" w:color="auto"/>
            <w:bottom w:val="none" w:sz="0" w:space="0" w:color="auto"/>
            <w:right w:val="none" w:sz="0" w:space="0" w:color="auto"/>
          </w:divBdr>
        </w:div>
        <w:div w:id="938681496">
          <w:marLeft w:val="1134"/>
          <w:marRight w:val="0"/>
          <w:marTop w:val="60"/>
          <w:marBottom w:val="0"/>
          <w:divBdr>
            <w:top w:val="none" w:sz="0" w:space="0" w:color="auto"/>
            <w:left w:val="none" w:sz="0" w:space="0" w:color="auto"/>
            <w:bottom w:val="none" w:sz="0" w:space="0" w:color="auto"/>
            <w:right w:val="none" w:sz="0" w:space="0" w:color="auto"/>
          </w:divBdr>
        </w:div>
        <w:div w:id="2093043413">
          <w:marLeft w:val="1134"/>
          <w:marRight w:val="0"/>
          <w:marTop w:val="60"/>
          <w:marBottom w:val="0"/>
          <w:divBdr>
            <w:top w:val="none" w:sz="0" w:space="0" w:color="auto"/>
            <w:left w:val="none" w:sz="0" w:space="0" w:color="auto"/>
            <w:bottom w:val="none" w:sz="0" w:space="0" w:color="auto"/>
            <w:right w:val="none" w:sz="0" w:space="0" w:color="auto"/>
          </w:divBdr>
        </w:div>
        <w:div w:id="1728339990">
          <w:marLeft w:val="1134"/>
          <w:marRight w:val="0"/>
          <w:marTop w:val="60"/>
          <w:marBottom w:val="0"/>
          <w:divBdr>
            <w:top w:val="none" w:sz="0" w:space="0" w:color="auto"/>
            <w:left w:val="none" w:sz="0" w:space="0" w:color="auto"/>
            <w:bottom w:val="none" w:sz="0" w:space="0" w:color="auto"/>
            <w:right w:val="none" w:sz="0" w:space="0" w:color="auto"/>
          </w:divBdr>
        </w:div>
        <w:div w:id="1359158784">
          <w:marLeft w:val="0"/>
          <w:marRight w:val="0"/>
          <w:marTop w:val="120"/>
          <w:marBottom w:val="0"/>
          <w:divBdr>
            <w:top w:val="none" w:sz="0" w:space="0" w:color="auto"/>
            <w:left w:val="none" w:sz="0" w:space="0" w:color="auto"/>
            <w:bottom w:val="none" w:sz="0" w:space="0" w:color="auto"/>
            <w:right w:val="none" w:sz="0" w:space="0" w:color="auto"/>
          </w:divBdr>
        </w:div>
        <w:div w:id="52697962">
          <w:marLeft w:val="1134"/>
          <w:marRight w:val="0"/>
          <w:marTop w:val="60"/>
          <w:marBottom w:val="0"/>
          <w:divBdr>
            <w:top w:val="none" w:sz="0" w:space="0" w:color="auto"/>
            <w:left w:val="none" w:sz="0" w:space="0" w:color="auto"/>
            <w:bottom w:val="none" w:sz="0" w:space="0" w:color="auto"/>
            <w:right w:val="none" w:sz="0" w:space="0" w:color="auto"/>
          </w:divBdr>
        </w:div>
        <w:div w:id="970749070">
          <w:marLeft w:val="1985"/>
          <w:marRight w:val="0"/>
          <w:marTop w:val="60"/>
          <w:marBottom w:val="0"/>
          <w:divBdr>
            <w:top w:val="none" w:sz="0" w:space="0" w:color="auto"/>
            <w:left w:val="none" w:sz="0" w:space="0" w:color="auto"/>
            <w:bottom w:val="none" w:sz="0" w:space="0" w:color="auto"/>
            <w:right w:val="none" w:sz="0" w:space="0" w:color="auto"/>
          </w:divBdr>
        </w:div>
        <w:div w:id="295723562">
          <w:marLeft w:val="1985"/>
          <w:marRight w:val="0"/>
          <w:marTop w:val="60"/>
          <w:marBottom w:val="0"/>
          <w:divBdr>
            <w:top w:val="none" w:sz="0" w:space="0" w:color="auto"/>
            <w:left w:val="none" w:sz="0" w:space="0" w:color="auto"/>
            <w:bottom w:val="none" w:sz="0" w:space="0" w:color="auto"/>
            <w:right w:val="none" w:sz="0" w:space="0" w:color="auto"/>
          </w:divBdr>
        </w:div>
        <w:div w:id="53086503">
          <w:marLeft w:val="1134"/>
          <w:marRight w:val="0"/>
          <w:marTop w:val="60"/>
          <w:marBottom w:val="0"/>
          <w:divBdr>
            <w:top w:val="none" w:sz="0" w:space="0" w:color="auto"/>
            <w:left w:val="none" w:sz="0" w:space="0" w:color="auto"/>
            <w:bottom w:val="none" w:sz="0" w:space="0" w:color="auto"/>
            <w:right w:val="none" w:sz="0" w:space="0" w:color="auto"/>
          </w:divBdr>
        </w:div>
        <w:div w:id="944731524">
          <w:marLeft w:val="0"/>
          <w:marRight w:val="0"/>
          <w:marTop w:val="120"/>
          <w:marBottom w:val="0"/>
          <w:divBdr>
            <w:top w:val="none" w:sz="0" w:space="0" w:color="auto"/>
            <w:left w:val="none" w:sz="0" w:space="0" w:color="auto"/>
            <w:bottom w:val="none" w:sz="0" w:space="0" w:color="auto"/>
            <w:right w:val="none" w:sz="0" w:space="0" w:color="auto"/>
          </w:divBdr>
        </w:div>
        <w:div w:id="1942031421">
          <w:marLeft w:val="1134"/>
          <w:marRight w:val="0"/>
          <w:marTop w:val="60"/>
          <w:marBottom w:val="0"/>
          <w:divBdr>
            <w:top w:val="none" w:sz="0" w:space="0" w:color="auto"/>
            <w:left w:val="none" w:sz="0" w:space="0" w:color="auto"/>
            <w:bottom w:val="none" w:sz="0" w:space="0" w:color="auto"/>
            <w:right w:val="none" w:sz="0" w:space="0" w:color="auto"/>
          </w:divBdr>
        </w:div>
        <w:div w:id="42945007">
          <w:marLeft w:val="1134"/>
          <w:marRight w:val="0"/>
          <w:marTop w:val="60"/>
          <w:marBottom w:val="0"/>
          <w:divBdr>
            <w:top w:val="none" w:sz="0" w:space="0" w:color="auto"/>
            <w:left w:val="none" w:sz="0" w:space="0" w:color="auto"/>
            <w:bottom w:val="none" w:sz="0" w:space="0" w:color="auto"/>
            <w:right w:val="none" w:sz="0" w:space="0" w:color="auto"/>
          </w:divBdr>
        </w:div>
        <w:div w:id="1769697057">
          <w:marLeft w:val="1134"/>
          <w:marRight w:val="0"/>
          <w:marTop w:val="60"/>
          <w:marBottom w:val="0"/>
          <w:divBdr>
            <w:top w:val="none" w:sz="0" w:space="0" w:color="auto"/>
            <w:left w:val="none" w:sz="0" w:space="0" w:color="auto"/>
            <w:bottom w:val="none" w:sz="0" w:space="0" w:color="auto"/>
            <w:right w:val="none" w:sz="0" w:space="0" w:color="auto"/>
          </w:divBdr>
        </w:div>
        <w:div w:id="2006781384">
          <w:marLeft w:val="1985"/>
          <w:marRight w:val="0"/>
          <w:marTop w:val="60"/>
          <w:marBottom w:val="0"/>
          <w:divBdr>
            <w:top w:val="none" w:sz="0" w:space="0" w:color="auto"/>
            <w:left w:val="none" w:sz="0" w:space="0" w:color="auto"/>
            <w:bottom w:val="none" w:sz="0" w:space="0" w:color="auto"/>
            <w:right w:val="none" w:sz="0" w:space="0" w:color="auto"/>
          </w:divBdr>
        </w:div>
        <w:div w:id="910654978">
          <w:marLeft w:val="1985"/>
          <w:marRight w:val="0"/>
          <w:marTop w:val="60"/>
          <w:marBottom w:val="0"/>
          <w:divBdr>
            <w:top w:val="none" w:sz="0" w:space="0" w:color="auto"/>
            <w:left w:val="none" w:sz="0" w:space="0" w:color="auto"/>
            <w:bottom w:val="none" w:sz="0" w:space="0" w:color="auto"/>
            <w:right w:val="none" w:sz="0" w:space="0" w:color="auto"/>
          </w:divBdr>
        </w:div>
        <w:div w:id="1273708223">
          <w:marLeft w:val="1134"/>
          <w:marRight w:val="0"/>
          <w:marTop w:val="60"/>
          <w:marBottom w:val="0"/>
          <w:divBdr>
            <w:top w:val="none" w:sz="0" w:space="0" w:color="auto"/>
            <w:left w:val="none" w:sz="0" w:space="0" w:color="auto"/>
            <w:bottom w:val="none" w:sz="0" w:space="0" w:color="auto"/>
            <w:right w:val="none" w:sz="0" w:space="0" w:color="auto"/>
          </w:divBdr>
        </w:div>
        <w:div w:id="787701465">
          <w:marLeft w:val="0"/>
          <w:marRight w:val="0"/>
          <w:marTop w:val="120"/>
          <w:marBottom w:val="0"/>
          <w:divBdr>
            <w:top w:val="none" w:sz="0" w:space="0" w:color="auto"/>
            <w:left w:val="none" w:sz="0" w:space="0" w:color="auto"/>
            <w:bottom w:val="none" w:sz="0" w:space="0" w:color="auto"/>
            <w:right w:val="none" w:sz="0" w:space="0" w:color="auto"/>
          </w:divBdr>
        </w:div>
        <w:div w:id="1282374067">
          <w:marLeft w:val="0"/>
          <w:marRight w:val="0"/>
          <w:marTop w:val="120"/>
          <w:marBottom w:val="0"/>
          <w:divBdr>
            <w:top w:val="none" w:sz="0" w:space="0" w:color="auto"/>
            <w:left w:val="none" w:sz="0" w:space="0" w:color="auto"/>
            <w:bottom w:val="none" w:sz="0" w:space="0" w:color="auto"/>
            <w:right w:val="none" w:sz="0" w:space="0" w:color="auto"/>
          </w:divBdr>
        </w:div>
      </w:divsChild>
    </w:div>
    <w:div w:id="21305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3CF4-B9D4-40CD-87B6-18E709CE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Binns-Ward</dc:creator>
  <cp:keywords/>
  <dc:description/>
  <cp:lastModifiedBy>Mary Bruce</cp:lastModifiedBy>
  <cp:revision>3</cp:revision>
  <cp:lastPrinted>2023-11-30T14:01:00Z</cp:lastPrinted>
  <dcterms:created xsi:type="dcterms:W3CDTF">2023-12-01T06:52:00Z</dcterms:created>
  <dcterms:modified xsi:type="dcterms:W3CDTF">2023-12-01T16:15:00Z</dcterms:modified>
</cp:coreProperties>
</file>