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F803" w14:textId="77777777" w:rsidR="00140ED5" w:rsidRPr="002B4807" w:rsidRDefault="00284E8C" w:rsidP="00207DB4">
      <w:pPr>
        <w:spacing w:line="360" w:lineRule="auto"/>
        <w:jc w:val="both"/>
        <w:rPr>
          <w:b/>
          <w:bCs/>
          <w:sz w:val="28"/>
          <w:szCs w:val="28"/>
        </w:rPr>
      </w:pPr>
      <w:bookmarkStart w:id="0" w:name="_GoBack"/>
      <w:bookmarkEnd w:id="0"/>
      <w:r w:rsidRPr="002B4807">
        <w:rPr>
          <w:noProof/>
          <w:lang w:val="en-ZA" w:eastAsia="en-ZA"/>
        </w:rPr>
        <w:drawing>
          <wp:anchor distT="0" distB="0" distL="114300" distR="114300" simplePos="0" relativeHeight="251659264" behindDoc="0" locked="0" layoutInCell="1" allowOverlap="1" wp14:anchorId="4C266D68" wp14:editId="79401308">
            <wp:simplePos x="0" y="0"/>
            <wp:positionH relativeFrom="page">
              <wp:posOffset>3486150</wp:posOffset>
            </wp:positionH>
            <wp:positionV relativeFrom="paragraph">
              <wp:posOffset>147955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74EC5CE9" w14:textId="77777777" w:rsidR="00140ED5" w:rsidRPr="002B4807" w:rsidRDefault="00140ED5" w:rsidP="00207DB4">
      <w:pPr>
        <w:spacing w:line="360" w:lineRule="auto"/>
        <w:jc w:val="both"/>
        <w:rPr>
          <w:b/>
          <w:bCs/>
          <w:sz w:val="28"/>
          <w:szCs w:val="28"/>
        </w:rPr>
      </w:pPr>
    </w:p>
    <w:p w14:paraId="2AB53DF9" w14:textId="77777777" w:rsidR="0054476A" w:rsidRPr="002B4807" w:rsidRDefault="0054476A" w:rsidP="00207DB4">
      <w:pPr>
        <w:spacing w:line="360" w:lineRule="auto"/>
        <w:jc w:val="both"/>
        <w:rPr>
          <w:b/>
          <w:bCs/>
          <w:sz w:val="28"/>
          <w:szCs w:val="28"/>
        </w:rPr>
      </w:pPr>
    </w:p>
    <w:p w14:paraId="06173F85" w14:textId="77777777" w:rsidR="0054476A" w:rsidRPr="002B4807" w:rsidRDefault="0054476A" w:rsidP="00207DB4">
      <w:pPr>
        <w:spacing w:line="360" w:lineRule="auto"/>
        <w:jc w:val="both"/>
        <w:rPr>
          <w:b/>
          <w:bCs/>
          <w:sz w:val="28"/>
          <w:szCs w:val="28"/>
        </w:rPr>
      </w:pPr>
    </w:p>
    <w:p w14:paraId="44EC7E6C" w14:textId="77777777" w:rsidR="00140ED5" w:rsidRPr="002B4807" w:rsidRDefault="00140ED5" w:rsidP="00207DB4">
      <w:pPr>
        <w:spacing w:line="360" w:lineRule="auto"/>
        <w:jc w:val="both"/>
        <w:rPr>
          <w:b/>
          <w:bCs/>
          <w:sz w:val="28"/>
          <w:szCs w:val="28"/>
        </w:rPr>
      </w:pPr>
      <w:r w:rsidRPr="002B4807">
        <w:rPr>
          <w:b/>
          <w:bCs/>
          <w:sz w:val="28"/>
          <w:szCs w:val="28"/>
        </w:rPr>
        <w:t>THE SUPREME COURT OF APPEAL OF SOUTH AFRICA</w:t>
      </w:r>
    </w:p>
    <w:p w14:paraId="3FBADC69" w14:textId="77777777" w:rsidR="00140ED5" w:rsidRPr="002B4807" w:rsidRDefault="00140ED5" w:rsidP="003C4BE1">
      <w:pPr>
        <w:pStyle w:val="Heading3"/>
        <w:spacing w:after="240"/>
        <w:jc w:val="center"/>
        <w:rPr>
          <w:rFonts w:ascii="Times New Roman" w:hAnsi="Times New Roman" w:cs="Times New Roman"/>
          <w:b/>
          <w:i w:val="0"/>
          <w:szCs w:val="28"/>
        </w:rPr>
      </w:pPr>
      <w:r w:rsidRPr="002B4807">
        <w:rPr>
          <w:rFonts w:ascii="Times New Roman" w:hAnsi="Times New Roman" w:cs="Times New Roman"/>
          <w:b/>
          <w:i w:val="0"/>
          <w:szCs w:val="28"/>
        </w:rPr>
        <w:t>JUDGMENT</w:t>
      </w:r>
    </w:p>
    <w:p w14:paraId="7EA6868D" w14:textId="0353A2EC" w:rsidR="00284E8C" w:rsidRPr="002B4807" w:rsidRDefault="00140ED5" w:rsidP="002B4807">
      <w:pPr>
        <w:spacing w:line="360" w:lineRule="auto"/>
        <w:jc w:val="right"/>
        <w:rPr>
          <w:b/>
          <w:sz w:val="28"/>
          <w:szCs w:val="28"/>
        </w:rPr>
      </w:pPr>
      <w:r w:rsidRPr="002B4807">
        <w:rPr>
          <w:b/>
          <w:sz w:val="28"/>
          <w:szCs w:val="28"/>
        </w:rPr>
        <w:t>Reportable</w:t>
      </w:r>
    </w:p>
    <w:p w14:paraId="5584CA54" w14:textId="77777777" w:rsidR="00140ED5" w:rsidRPr="002B4807" w:rsidRDefault="00140ED5" w:rsidP="002B4807">
      <w:pPr>
        <w:spacing w:line="360" w:lineRule="auto"/>
        <w:jc w:val="right"/>
        <w:rPr>
          <w:b/>
          <w:sz w:val="28"/>
          <w:szCs w:val="28"/>
        </w:rPr>
      </w:pPr>
      <w:r w:rsidRPr="002B4807">
        <w:rPr>
          <w:sz w:val="28"/>
          <w:szCs w:val="28"/>
        </w:rPr>
        <w:t xml:space="preserve">Case no: </w:t>
      </w:r>
      <w:r w:rsidR="00D27C91" w:rsidRPr="002B4807">
        <w:rPr>
          <w:sz w:val="28"/>
          <w:szCs w:val="28"/>
        </w:rPr>
        <w:t>210</w:t>
      </w:r>
      <w:r w:rsidRPr="002B4807">
        <w:rPr>
          <w:sz w:val="28"/>
          <w:szCs w:val="28"/>
        </w:rPr>
        <w:t>/</w:t>
      </w:r>
      <w:r w:rsidR="00D27C91" w:rsidRPr="002B4807">
        <w:rPr>
          <w:sz w:val="28"/>
          <w:szCs w:val="28"/>
        </w:rPr>
        <w:t>2021</w:t>
      </w:r>
    </w:p>
    <w:p w14:paraId="6252E323" w14:textId="77777777" w:rsidR="00140ED5" w:rsidRPr="002B4807" w:rsidRDefault="00140ED5" w:rsidP="00207DB4">
      <w:pPr>
        <w:spacing w:after="240" w:line="360" w:lineRule="auto"/>
        <w:jc w:val="both"/>
        <w:rPr>
          <w:sz w:val="28"/>
          <w:szCs w:val="28"/>
        </w:rPr>
      </w:pPr>
      <w:r w:rsidRPr="002B4807">
        <w:rPr>
          <w:sz w:val="28"/>
          <w:szCs w:val="28"/>
        </w:rPr>
        <w:t>In the matter between:</w:t>
      </w:r>
    </w:p>
    <w:p w14:paraId="20E0A1C3" w14:textId="77777777" w:rsidR="00140ED5" w:rsidRPr="002B4807" w:rsidRDefault="00EE69DF" w:rsidP="00207DB4">
      <w:pPr>
        <w:tabs>
          <w:tab w:val="right" w:pos="8640"/>
        </w:tabs>
        <w:spacing w:after="240" w:line="360" w:lineRule="auto"/>
        <w:jc w:val="both"/>
        <w:rPr>
          <w:b/>
          <w:color w:val="000000" w:themeColor="text1"/>
          <w:sz w:val="28"/>
          <w:szCs w:val="28"/>
        </w:rPr>
      </w:pPr>
      <w:r w:rsidRPr="002B4807">
        <w:rPr>
          <w:b/>
          <w:bCs/>
          <w:sz w:val="28"/>
          <w:szCs w:val="28"/>
        </w:rPr>
        <w:t xml:space="preserve">MARGOT </w:t>
      </w:r>
      <w:r w:rsidR="00D27C91" w:rsidRPr="002B4807">
        <w:rPr>
          <w:b/>
          <w:bCs/>
          <w:sz w:val="28"/>
          <w:szCs w:val="28"/>
        </w:rPr>
        <w:t>BERZACK</w:t>
      </w:r>
      <w:r w:rsidRPr="002B4807">
        <w:rPr>
          <w:b/>
          <w:bCs/>
          <w:sz w:val="28"/>
          <w:szCs w:val="28"/>
        </w:rPr>
        <w:t xml:space="preserve"> </w:t>
      </w:r>
      <w:r w:rsidRPr="002B4807">
        <w:rPr>
          <w:b/>
          <w:bCs/>
          <w:sz w:val="28"/>
          <w:szCs w:val="28"/>
        </w:rPr>
        <w:tab/>
      </w:r>
      <w:r w:rsidR="00967D15" w:rsidRPr="002B4807">
        <w:rPr>
          <w:b/>
          <w:color w:val="000000" w:themeColor="text1"/>
          <w:sz w:val="28"/>
          <w:szCs w:val="28"/>
        </w:rPr>
        <w:t>APPLICANT</w:t>
      </w:r>
    </w:p>
    <w:p w14:paraId="64AA8CD4" w14:textId="77777777" w:rsidR="00140ED5" w:rsidRPr="002B4807" w:rsidRDefault="00140ED5" w:rsidP="00207DB4">
      <w:pPr>
        <w:spacing w:after="240" w:line="360" w:lineRule="auto"/>
        <w:jc w:val="both"/>
        <w:rPr>
          <w:sz w:val="28"/>
          <w:szCs w:val="28"/>
        </w:rPr>
      </w:pPr>
      <w:r w:rsidRPr="002B4807">
        <w:rPr>
          <w:sz w:val="28"/>
          <w:szCs w:val="28"/>
        </w:rPr>
        <w:t>and</w:t>
      </w:r>
    </w:p>
    <w:p w14:paraId="7DE99CCB" w14:textId="77777777" w:rsidR="00140ED5" w:rsidRPr="002B4807" w:rsidRDefault="00D27C91" w:rsidP="00207DB4">
      <w:pPr>
        <w:tabs>
          <w:tab w:val="right" w:pos="8640"/>
        </w:tabs>
        <w:spacing w:after="240" w:line="360" w:lineRule="auto"/>
        <w:jc w:val="both"/>
        <w:rPr>
          <w:b/>
          <w:bCs/>
          <w:sz w:val="28"/>
          <w:szCs w:val="28"/>
        </w:rPr>
      </w:pPr>
      <w:r w:rsidRPr="002B4807">
        <w:rPr>
          <w:b/>
          <w:bCs/>
          <w:sz w:val="28"/>
          <w:szCs w:val="28"/>
        </w:rPr>
        <w:t>HUNTREX 277 (PTY) LTD</w:t>
      </w:r>
      <w:r w:rsidR="00EE69DF" w:rsidRPr="002B4807">
        <w:rPr>
          <w:b/>
          <w:bCs/>
          <w:sz w:val="28"/>
          <w:szCs w:val="28"/>
        </w:rPr>
        <w:tab/>
      </w:r>
      <w:r w:rsidR="00140ED5" w:rsidRPr="002B4807">
        <w:rPr>
          <w:b/>
          <w:bCs/>
          <w:sz w:val="28"/>
          <w:szCs w:val="28"/>
        </w:rPr>
        <w:t xml:space="preserve">FIRST </w:t>
      </w:r>
      <w:r w:rsidR="00140ED5" w:rsidRPr="002B4807">
        <w:rPr>
          <w:b/>
          <w:sz w:val="28"/>
          <w:szCs w:val="28"/>
        </w:rPr>
        <w:t>RESPONDENT</w:t>
      </w:r>
    </w:p>
    <w:p w14:paraId="06311AA6" w14:textId="77777777" w:rsidR="00140ED5" w:rsidRPr="002B4807" w:rsidRDefault="00D27C91" w:rsidP="00207DB4">
      <w:pPr>
        <w:tabs>
          <w:tab w:val="right" w:pos="8640"/>
        </w:tabs>
        <w:spacing w:after="240" w:line="360" w:lineRule="auto"/>
        <w:jc w:val="both"/>
        <w:rPr>
          <w:b/>
          <w:sz w:val="28"/>
          <w:szCs w:val="28"/>
        </w:rPr>
      </w:pPr>
      <w:r w:rsidRPr="002B4807">
        <w:rPr>
          <w:b/>
          <w:sz w:val="28"/>
          <w:szCs w:val="28"/>
        </w:rPr>
        <w:t>REGISTRAR OF DEEDS</w:t>
      </w:r>
      <w:r w:rsidR="00EE69DF" w:rsidRPr="002B4807">
        <w:rPr>
          <w:b/>
          <w:sz w:val="28"/>
          <w:szCs w:val="28"/>
        </w:rPr>
        <w:tab/>
      </w:r>
      <w:r w:rsidR="00140ED5" w:rsidRPr="002B4807">
        <w:rPr>
          <w:b/>
          <w:sz w:val="28"/>
          <w:szCs w:val="28"/>
        </w:rPr>
        <w:t>SECOND RESPONDENT</w:t>
      </w:r>
    </w:p>
    <w:p w14:paraId="24D8125F" w14:textId="77777777" w:rsidR="00140ED5" w:rsidRPr="002B4807" w:rsidRDefault="00D27C91" w:rsidP="00207DB4">
      <w:pPr>
        <w:pStyle w:val="NormalIndent"/>
        <w:tabs>
          <w:tab w:val="right" w:pos="8640"/>
        </w:tabs>
        <w:spacing w:after="240" w:line="360" w:lineRule="auto"/>
        <w:ind w:left="0"/>
        <w:rPr>
          <w:b/>
        </w:rPr>
      </w:pPr>
      <w:r w:rsidRPr="002B4807">
        <w:rPr>
          <w:b/>
        </w:rPr>
        <w:t>CITY OF CAPE TOWN MUNICIPALITY</w:t>
      </w:r>
      <w:r w:rsidR="00EE69DF" w:rsidRPr="002B4807">
        <w:rPr>
          <w:b/>
        </w:rPr>
        <w:t xml:space="preserve"> </w:t>
      </w:r>
      <w:r w:rsidR="00EE69DF" w:rsidRPr="002B4807">
        <w:rPr>
          <w:b/>
        </w:rPr>
        <w:tab/>
      </w:r>
      <w:r w:rsidR="00140ED5" w:rsidRPr="002B4807">
        <w:rPr>
          <w:b/>
        </w:rPr>
        <w:t>THIRD RESPONDENT</w:t>
      </w:r>
    </w:p>
    <w:p w14:paraId="1045859B" w14:textId="77777777" w:rsidR="00284E8C" w:rsidRPr="002B4807" w:rsidRDefault="00284E8C" w:rsidP="00207DB4">
      <w:pPr>
        <w:spacing w:line="360" w:lineRule="auto"/>
        <w:ind w:left="2160" w:hanging="2160"/>
        <w:jc w:val="both"/>
        <w:rPr>
          <w:b/>
          <w:bCs/>
          <w:sz w:val="16"/>
          <w:szCs w:val="16"/>
        </w:rPr>
      </w:pPr>
    </w:p>
    <w:p w14:paraId="56233C89" w14:textId="1C3187E3" w:rsidR="00140ED5" w:rsidRPr="002B4807" w:rsidRDefault="00140ED5" w:rsidP="00207DB4">
      <w:pPr>
        <w:spacing w:after="240" w:line="360" w:lineRule="auto"/>
        <w:ind w:left="2268" w:hanging="2268"/>
        <w:jc w:val="both"/>
        <w:rPr>
          <w:sz w:val="28"/>
          <w:szCs w:val="28"/>
        </w:rPr>
      </w:pPr>
      <w:r w:rsidRPr="002B4807">
        <w:rPr>
          <w:b/>
          <w:bCs/>
          <w:sz w:val="28"/>
          <w:szCs w:val="28"/>
        </w:rPr>
        <w:t>Neutral citation:</w:t>
      </w:r>
      <w:r w:rsidRPr="002B4807">
        <w:rPr>
          <w:b/>
          <w:bCs/>
          <w:sz w:val="28"/>
          <w:szCs w:val="28"/>
        </w:rPr>
        <w:tab/>
      </w:r>
      <w:r w:rsidR="00D27C91" w:rsidRPr="002B4807">
        <w:rPr>
          <w:i/>
          <w:iCs/>
          <w:sz w:val="28"/>
          <w:szCs w:val="28"/>
        </w:rPr>
        <w:t>Berzack</w:t>
      </w:r>
      <w:r w:rsidR="00D27C91" w:rsidRPr="002B4807">
        <w:rPr>
          <w:sz w:val="28"/>
          <w:szCs w:val="28"/>
        </w:rPr>
        <w:t xml:space="preserve"> </w:t>
      </w:r>
      <w:r w:rsidRPr="002B4807">
        <w:rPr>
          <w:bCs/>
          <w:i/>
          <w:sz w:val="28"/>
          <w:szCs w:val="28"/>
        </w:rPr>
        <w:t xml:space="preserve">v </w:t>
      </w:r>
      <w:r w:rsidR="00D27C91" w:rsidRPr="002B4807">
        <w:rPr>
          <w:bCs/>
          <w:i/>
          <w:sz w:val="28"/>
          <w:szCs w:val="28"/>
        </w:rPr>
        <w:t xml:space="preserve">Huntrex 277 (Pty) Ltd </w:t>
      </w:r>
      <w:r w:rsidRPr="002B4807">
        <w:rPr>
          <w:bCs/>
          <w:i/>
          <w:sz w:val="28"/>
          <w:szCs w:val="28"/>
        </w:rPr>
        <w:t xml:space="preserve">and Others </w:t>
      </w:r>
      <w:r w:rsidRPr="002B4807">
        <w:rPr>
          <w:bCs/>
          <w:sz w:val="28"/>
          <w:szCs w:val="28"/>
        </w:rPr>
        <w:t>(</w:t>
      </w:r>
      <w:r w:rsidR="00CF6458" w:rsidRPr="002B4807">
        <w:rPr>
          <w:bCs/>
          <w:sz w:val="28"/>
          <w:szCs w:val="28"/>
        </w:rPr>
        <w:t xml:space="preserve">Case no </w:t>
      </w:r>
      <w:r w:rsidR="00D27C91" w:rsidRPr="002B4807">
        <w:rPr>
          <w:bCs/>
          <w:sz w:val="28"/>
          <w:szCs w:val="28"/>
        </w:rPr>
        <w:t>210</w:t>
      </w:r>
      <w:r w:rsidRPr="002B4807">
        <w:rPr>
          <w:bCs/>
          <w:sz w:val="28"/>
          <w:szCs w:val="28"/>
        </w:rPr>
        <w:t>/</w:t>
      </w:r>
      <w:r w:rsidR="00D27C91" w:rsidRPr="002B4807">
        <w:rPr>
          <w:bCs/>
          <w:sz w:val="28"/>
          <w:szCs w:val="28"/>
        </w:rPr>
        <w:t>2021</w:t>
      </w:r>
      <w:r w:rsidRPr="002B4807">
        <w:rPr>
          <w:bCs/>
          <w:sz w:val="28"/>
          <w:szCs w:val="28"/>
        </w:rPr>
        <w:t>) [202</w:t>
      </w:r>
      <w:r w:rsidR="00D27C91" w:rsidRPr="002B4807">
        <w:rPr>
          <w:bCs/>
          <w:sz w:val="28"/>
          <w:szCs w:val="28"/>
        </w:rPr>
        <w:t>2</w:t>
      </w:r>
      <w:r w:rsidRPr="002B4807">
        <w:rPr>
          <w:bCs/>
          <w:sz w:val="28"/>
          <w:szCs w:val="28"/>
        </w:rPr>
        <w:t xml:space="preserve">] ZASCA </w:t>
      </w:r>
      <w:r w:rsidR="003C78E4">
        <w:rPr>
          <w:bCs/>
          <w:sz w:val="28"/>
          <w:szCs w:val="28"/>
        </w:rPr>
        <w:t>17</w:t>
      </w:r>
      <w:r w:rsidRPr="002B4807">
        <w:rPr>
          <w:bCs/>
          <w:sz w:val="28"/>
          <w:szCs w:val="28"/>
        </w:rPr>
        <w:t xml:space="preserve"> (</w:t>
      </w:r>
      <w:r w:rsidR="00BB26F2">
        <w:rPr>
          <w:bCs/>
          <w:sz w:val="28"/>
          <w:szCs w:val="28"/>
        </w:rPr>
        <w:t>21</w:t>
      </w:r>
      <w:r w:rsidR="00967D15" w:rsidRPr="002B4807">
        <w:rPr>
          <w:bCs/>
          <w:sz w:val="28"/>
          <w:szCs w:val="28"/>
        </w:rPr>
        <w:t xml:space="preserve"> </w:t>
      </w:r>
      <w:r w:rsidR="00CF6458" w:rsidRPr="002B4807">
        <w:rPr>
          <w:bCs/>
          <w:sz w:val="28"/>
          <w:szCs w:val="28"/>
        </w:rPr>
        <w:t>February 2023</w:t>
      </w:r>
      <w:r w:rsidRPr="002B4807">
        <w:rPr>
          <w:bCs/>
          <w:sz w:val="28"/>
          <w:szCs w:val="28"/>
        </w:rPr>
        <w:t>)</w:t>
      </w:r>
    </w:p>
    <w:p w14:paraId="20D63A93" w14:textId="77777777" w:rsidR="00140ED5" w:rsidRPr="002B4807" w:rsidRDefault="00140ED5" w:rsidP="00207DB4">
      <w:pPr>
        <w:spacing w:after="240" w:line="360" w:lineRule="auto"/>
        <w:ind w:left="2268" w:hanging="2268"/>
        <w:jc w:val="both"/>
        <w:rPr>
          <w:b/>
          <w:bCs/>
          <w:i/>
          <w:iCs/>
          <w:sz w:val="28"/>
          <w:szCs w:val="28"/>
        </w:rPr>
      </w:pPr>
      <w:r w:rsidRPr="002B4807">
        <w:rPr>
          <w:b/>
          <w:bCs/>
          <w:sz w:val="28"/>
          <w:szCs w:val="28"/>
        </w:rPr>
        <w:t>Coram:</w:t>
      </w:r>
      <w:r w:rsidRPr="002B4807">
        <w:rPr>
          <w:sz w:val="28"/>
          <w:szCs w:val="28"/>
        </w:rPr>
        <w:tab/>
        <w:t xml:space="preserve">PETSE </w:t>
      </w:r>
      <w:r w:rsidR="007F4AF4" w:rsidRPr="002B4807">
        <w:rPr>
          <w:sz w:val="28"/>
          <w:szCs w:val="28"/>
        </w:rPr>
        <w:t>A</w:t>
      </w:r>
      <w:r w:rsidRPr="002B4807">
        <w:rPr>
          <w:sz w:val="28"/>
          <w:szCs w:val="28"/>
        </w:rPr>
        <w:t>P</w:t>
      </w:r>
      <w:r w:rsidR="00A70E46" w:rsidRPr="002B4807">
        <w:rPr>
          <w:sz w:val="28"/>
          <w:szCs w:val="28"/>
        </w:rPr>
        <w:t>, MOL</w:t>
      </w:r>
      <w:r w:rsidR="0054476A" w:rsidRPr="002B4807">
        <w:rPr>
          <w:sz w:val="28"/>
          <w:szCs w:val="28"/>
        </w:rPr>
        <w:t>E</w:t>
      </w:r>
      <w:r w:rsidR="00A70E46" w:rsidRPr="002B4807">
        <w:rPr>
          <w:sz w:val="28"/>
          <w:szCs w:val="28"/>
        </w:rPr>
        <w:t>MELA</w:t>
      </w:r>
      <w:r w:rsidR="00CD784D" w:rsidRPr="002B4807">
        <w:rPr>
          <w:sz w:val="28"/>
          <w:szCs w:val="28"/>
        </w:rPr>
        <w:t xml:space="preserve"> and</w:t>
      </w:r>
      <w:r w:rsidR="00A70E46" w:rsidRPr="002B4807">
        <w:rPr>
          <w:sz w:val="28"/>
          <w:szCs w:val="28"/>
        </w:rPr>
        <w:t xml:space="preserve"> PLASKET J</w:t>
      </w:r>
      <w:r w:rsidR="00CD4466" w:rsidRPr="002B4807">
        <w:rPr>
          <w:sz w:val="28"/>
          <w:szCs w:val="28"/>
        </w:rPr>
        <w:t>J</w:t>
      </w:r>
      <w:r w:rsidR="00A70E46" w:rsidRPr="002B4807">
        <w:rPr>
          <w:sz w:val="28"/>
          <w:szCs w:val="28"/>
        </w:rPr>
        <w:t>A</w:t>
      </w:r>
      <w:r w:rsidR="00CD4466" w:rsidRPr="002B4807">
        <w:rPr>
          <w:sz w:val="28"/>
          <w:szCs w:val="28"/>
        </w:rPr>
        <w:t xml:space="preserve"> and</w:t>
      </w:r>
      <w:r w:rsidR="00A70E46" w:rsidRPr="002B4807">
        <w:rPr>
          <w:sz w:val="28"/>
          <w:szCs w:val="28"/>
        </w:rPr>
        <w:t xml:space="preserve"> NHLANGULELA </w:t>
      </w:r>
      <w:r w:rsidRPr="002B4807">
        <w:rPr>
          <w:sz w:val="28"/>
          <w:szCs w:val="28"/>
        </w:rPr>
        <w:t xml:space="preserve">and </w:t>
      </w:r>
      <w:r w:rsidR="00A70E46" w:rsidRPr="002B4807">
        <w:rPr>
          <w:sz w:val="28"/>
          <w:szCs w:val="28"/>
        </w:rPr>
        <w:t>GOOSEN AJ</w:t>
      </w:r>
      <w:r w:rsidR="00CD4466" w:rsidRPr="002B4807">
        <w:rPr>
          <w:sz w:val="28"/>
          <w:szCs w:val="28"/>
        </w:rPr>
        <w:t>J</w:t>
      </w:r>
      <w:r w:rsidR="00A70E46" w:rsidRPr="002B4807">
        <w:rPr>
          <w:sz w:val="28"/>
          <w:szCs w:val="28"/>
        </w:rPr>
        <w:t>A</w:t>
      </w:r>
    </w:p>
    <w:p w14:paraId="5591D4F8" w14:textId="77777777" w:rsidR="00284E8C" w:rsidRPr="002B4807" w:rsidRDefault="00140ED5" w:rsidP="00207DB4">
      <w:pPr>
        <w:spacing w:after="240" w:line="360" w:lineRule="auto"/>
        <w:ind w:left="2268" w:hanging="2268"/>
        <w:jc w:val="both"/>
        <w:rPr>
          <w:b/>
          <w:bCs/>
          <w:sz w:val="28"/>
          <w:szCs w:val="28"/>
        </w:rPr>
      </w:pPr>
      <w:r w:rsidRPr="002B4807">
        <w:rPr>
          <w:b/>
          <w:bCs/>
          <w:sz w:val="28"/>
          <w:szCs w:val="28"/>
        </w:rPr>
        <w:t>Heard</w:t>
      </w:r>
      <w:r w:rsidRPr="002B4807">
        <w:rPr>
          <w:b/>
          <w:sz w:val="28"/>
          <w:szCs w:val="28"/>
        </w:rPr>
        <w:t>:</w:t>
      </w:r>
      <w:r w:rsidRPr="002B4807">
        <w:rPr>
          <w:sz w:val="28"/>
          <w:szCs w:val="28"/>
        </w:rPr>
        <w:tab/>
      </w:r>
      <w:r w:rsidR="00CD4466" w:rsidRPr="002B4807">
        <w:rPr>
          <w:sz w:val="28"/>
          <w:szCs w:val="28"/>
        </w:rPr>
        <w:t>3</w:t>
      </w:r>
      <w:r w:rsidR="00A70E46" w:rsidRPr="002B4807">
        <w:rPr>
          <w:sz w:val="28"/>
          <w:szCs w:val="28"/>
        </w:rPr>
        <w:t xml:space="preserve"> N</w:t>
      </w:r>
      <w:r w:rsidR="00C15EFF" w:rsidRPr="002B4807">
        <w:rPr>
          <w:sz w:val="28"/>
          <w:szCs w:val="28"/>
        </w:rPr>
        <w:t>ovember</w:t>
      </w:r>
      <w:r w:rsidR="00A70E46" w:rsidRPr="002B4807">
        <w:rPr>
          <w:sz w:val="28"/>
          <w:szCs w:val="28"/>
        </w:rPr>
        <w:t xml:space="preserve"> </w:t>
      </w:r>
      <w:r w:rsidRPr="002B4807">
        <w:rPr>
          <w:sz w:val="28"/>
          <w:szCs w:val="28"/>
        </w:rPr>
        <w:t>202</w:t>
      </w:r>
      <w:r w:rsidR="00A70E46" w:rsidRPr="002B4807">
        <w:rPr>
          <w:sz w:val="28"/>
          <w:szCs w:val="28"/>
        </w:rPr>
        <w:t>2</w:t>
      </w:r>
      <w:r w:rsidRPr="002B4807">
        <w:rPr>
          <w:sz w:val="28"/>
          <w:szCs w:val="28"/>
        </w:rPr>
        <w:t xml:space="preserve"> </w:t>
      </w:r>
    </w:p>
    <w:p w14:paraId="56A41771" w14:textId="3BBF4ADD" w:rsidR="00CD4466" w:rsidRPr="002B4807" w:rsidRDefault="00140ED5" w:rsidP="00207DB4">
      <w:pPr>
        <w:spacing w:after="240" w:line="360" w:lineRule="auto"/>
        <w:ind w:left="2268" w:hanging="2268"/>
        <w:jc w:val="both"/>
        <w:rPr>
          <w:sz w:val="28"/>
          <w:szCs w:val="28"/>
        </w:rPr>
      </w:pPr>
      <w:r w:rsidRPr="002B4807">
        <w:rPr>
          <w:b/>
          <w:bCs/>
          <w:sz w:val="28"/>
          <w:szCs w:val="28"/>
        </w:rPr>
        <w:t>Delivered</w:t>
      </w:r>
      <w:r w:rsidRPr="002B4807">
        <w:rPr>
          <w:b/>
          <w:sz w:val="28"/>
          <w:szCs w:val="28"/>
        </w:rPr>
        <w:t>:</w:t>
      </w:r>
      <w:r w:rsidRPr="002B4807">
        <w:rPr>
          <w:sz w:val="28"/>
          <w:szCs w:val="28"/>
        </w:rPr>
        <w:tab/>
      </w:r>
      <w:r w:rsidR="00BB26F2">
        <w:rPr>
          <w:sz w:val="28"/>
          <w:szCs w:val="28"/>
        </w:rPr>
        <w:t>21</w:t>
      </w:r>
      <w:r w:rsidR="00526BF6" w:rsidRPr="002B4807">
        <w:rPr>
          <w:sz w:val="28"/>
          <w:szCs w:val="28"/>
        </w:rPr>
        <w:t xml:space="preserve"> </w:t>
      </w:r>
      <w:r w:rsidR="00CF6458" w:rsidRPr="002B4807">
        <w:rPr>
          <w:sz w:val="28"/>
          <w:szCs w:val="28"/>
        </w:rPr>
        <w:t xml:space="preserve">February </w:t>
      </w:r>
      <w:r w:rsidRPr="002B4807">
        <w:rPr>
          <w:sz w:val="28"/>
          <w:szCs w:val="28"/>
        </w:rPr>
        <w:t>202</w:t>
      </w:r>
      <w:r w:rsidR="009F7332" w:rsidRPr="002B4807">
        <w:rPr>
          <w:sz w:val="28"/>
          <w:szCs w:val="28"/>
        </w:rPr>
        <w:t>3</w:t>
      </w:r>
    </w:p>
    <w:p w14:paraId="702432B9" w14:textId="77777777" w:rsidR="00EE69DF" w:rsidRPr="002B4807" w:rsidRDefault="00140ED5" w:rsidP="00207DB4">
      <w:pPr>
        <w:tabs>
          <w:tab w:val="left" w:pos="2268"/>
        </w:tabs>
        <w:spacing w:after="240" w:line="360" w:lineRule="auto"/>
        <w:contextualSpacing/>
        <w:jc w:val="both"/>
        <w:rPr>
          <w:bCs/>
          <w:sz w:val="28"/>
          <w:szCs w:val="28"/>
        </w:rPr>
      </w:pPr>
      <w:r w:rsidRPr="002B4807">
        <w:rPr>
          <w:b/>
          <w:bCs/>
          <w:sz w:val="28"/>
          <w:szCs w:val="28"/>
        </w:rPr>
        <w:lastRenderedPageBreak/>
        <w:t xml:space="preserve">Summary: </w:t>
      </w:r>
      <w:r w:rsidR="00EE69DF" w:rsidRPr="002B4807">
        <w:rPr>
          <w:b/>
          <w:bCs/>
          <w:sz w:val="28"/>
          <w:szCs w:val="28"/>
        </w:rPr>
        <w:tab/>
      </w:r>
      <w:r w:rsidR="00967D15" w:rsidRPr="002B4807">
        <w:rPr>
          <w:bCs/>
          <w:sz w:val="28"/>
          <w:szCs w:val="28"/>
        </w:rPr>
        <w:t>Appeal</w:t>
      </w:r>
      <w:r w:rsidR="00967D15" w:rsidRPr="002B4807">
        <w:rPr>
          <w:b/>
          <w:bCs/>
          <w:sz w:val="28"/>
          <w:szCs w:val="28"/>
        </w:rPr>
        <w:t xml:space="preserve"> – </w:t>
      </w:r>
      <w:r w:rsidR="00967D15" w:rsidRPr="002B4807">
        <w:rPr>
          <w:bCs/>
          <w:sz w:val="28"/>
          <w:szCs w:val="28"/>
        </w:rPr>
        <w:t>application for leave to appeal</w:t>
      </w:r>
      <w:r w:rsidR="00967D15" w:rsidRPr="002B4807">
        <w:rPr>
          <w:sz w:val="28"/>
          <w:szCs w:val="28"/>
        </w:rPr>
        <w:t xml:space="preserve"> referred for argument in terms of s 17(1)(</w:t>
      </w:r>
      <w:r w:rsidR="00967D15" w:rsidRPr="002B4807">
        <w:rPr>
          <w:i/>
          <w:sz w:val="28"/>
          <w:szCs w:val="28"/>
        </w:rPr>
        <w:t>d</w:t>
      </w:r>
      <w:r w:rsidR="00967D15" w:rsidRPr="002B4807">
        <w:rPr>
          <w:sz w:val="28"/>
          <w:szCs w:val="28"/>
        </w:rPr>
        <w:t>) of the Superior Courts Act 10 of 2013 – whether leave to appeal ought to be granted – p</w:t>
      </w:r>
      <w:r w:rsidR="00C31D44" w:rsidRPr="002B4807">
        <w:rPr>
          <w:sz w:val="28"/>
          <w:szCs w:val="28"/>
        </w:rPr>
        <w:t>roperty</w:t>
      </w:r>
      <w:r w:rsidR="00967D15" w:rsidRPr="002B4807">
        <w:rPr>
          <w:sz w:val="28"/>
          <w:szCs w:val="28"/>
        </w:rPr>
        <w:t xml:space="preserve"> </w:t>
      </w:r>
      <w:r w:rsidR="00C31D44" w:rsidRPr="002B4807">
        <w:rPr>
          <w:sz w:val="28"/>
          <w:szCs w:val="28"/>
        </w:rPr>
        <w:t xml:space="preserve">law – servitude </w:t>
      </w:r>
      <w:r w:rsidR="00C31D44" w:rsidRPr="002B4807">
        <w:rPr>
          <w:bCs/>
          <w:sz w:val="28"/>
          <w:szCs w:val="28"/>
        </w:rPr>
        <w:t xml:space="preserve">– </w:t>
      </w:r>
      <w:r w:rsidR="009855EA" w:rsidRPr="002B4807">
        <w:rPr>
          <w:bCs/>
          <w:sz w:val="28"/>
          <w:szCs w:val="28"/>
        </w:rPr>
        <w:t xml:space="preserve">whether a garden servitude registered </w:t>
      </w:r>
      <w:r w:rsidR="00526BF6" w:rsidRPr="002B4807">
        <w:rPr>
          <w:bCs/>
          <w:sz w:val="28"/>
          <w:szCs w:val="28"/>
        </w:rPr>
        <w:t>against</w:t>
      </w:r>
      <w:r w:rsidR="009855EA" w:rsidRPr="002B4807">
        <w:rPr>
          <w:bCs/>
          <w:sz w:val="28"/>
          <w:szCs w:val="28"/>
        </w:rPr>
        <w:t xml:space="preserve"> the </w:t>
      </w:r>
      <w:r w:rsidR="00526BF6" w:rsidRPr="002B4807">
        <w:rPr>
          <w:bCs/>
          <w:sz w:val="28"/>
          <w:szCs w:val="28"/>
        </w:rPr>
        <w:t>servient</w:t>
      </w:r>
      <w:r w:rsidR="009855EA" w:rsidRPr="002B4807">
        <w:rPr>
          <w:bCs/>
          <w:sz w:val="28"/>
          <w:szCs w:val="28"/>
        </w:rPr>
        <w:t xml:space="preserve"> tenement </w:t>
      </w:r>
      <w:r w:rsidR="00526BF6" w:rsidRPr="002B4807">
        <w:rPr>
          <w:bCs/>
          <w:sz w:val="28"/>
          <w:szCs w:val="28"/>
        </w:rPr>
        <w:t xml:space="preserve">for the benefit of the dominant tenement is a praedial or personal servitude of </w:t>
      </w:r>
      <w:r w:rsidR="00526BF6" w:rsidRPr="002B4807">
        <w:rPr>
          <w:bCs/>
          <w:i/>
          <w:iCs/>
          <w:sz w:val="28"/>
          <w:szCs w:val="28"/>
        </w:rPr>
        <w:t>usus</w:t>
      </w:r>
      <w:r w:rsidR="00C31D44" w:rsidRPr="002B4807">
        <w:rPr>
          <w:bCs/>
          <w:sz w:val="28"/>
          <w:szCs w:val="28"/>
        </w:rPr>
        <w:t xml:space="preserve"> </w:t>
      </w:r>
      <w:r w:rsidR="00C31D44" w:rsidRPr="002B4807">
        <w:rPr>
          <w:sz w:val="28"/>
          <w:szCs w:val="28"/>
        </w:rPr>
        <w:t xml:space="preserve">– </w:t>
      </w:r>
      <w:r w:rsidR="00526BF6" w:rsidRPr="002B4807">
        <w:rPr>
          <w:bCs/>
          <w:sz w:val="28"/>
          <w:szCs w:val="28"/>
        </w:rPr>
        <w:t>whether such servitude is capable of registration</w:t>
      </w:r>
      <w:r w:rsidR="00526BF6" w:rsidRPr="002B4807">
        <w:rPr>
          <w:sz w:val="28"/>
          <w:szCs w:val="28"/>
        </w:rPr>
        <w:t xml:space="preserve"> </w:t>
      </w:r>
      <w:r w:rsidR="00526BF6" w:rsidRPr="002B4807">
        <w:rPr>
          <w:bCs/>
          <w:sz w:val="28"/>
          <w:szCs w:val="28"/>
        </w:rPr>
        <w:t>in terms of s 66 of the Deeds Registries Act 47 of 1937</w:t>
      </w:r>
      <w:r w:rsidR="00586E4A" w:rsidRPr="002B4807">
        <w:rPr>
          <w:bCs/>
          <w:sz w:val="28"/>
          <w:szCs w:val="28"/>
        </w:rPr>
        <w:t>.</w:t>
      </w:r>
    </w:p>
    <w:p w14:paraId="37BAD9E5" w14:textId="77777777" w:rsidR="00556489" w:rsidRPr="002B4807" w:rsidRDefault="00556489" w:rsidP="00207DB4">
      <w:pPr>
        <w:tabs>
          <w:tab w:val="left" w:pos="2268"/>
        </w:tabs>
        <w:spacing w:after="240" w:line="360" w:lineRule="auto"/>
        <w:contextualSpacing/>
        <w:jc w:val="both"/>
        <w:rPr>
          <w:bCs/>
          <w:sz w:val="28"/>
          <w:szCs w:val="28"/>
        </w:rPr>
      </w:pPr>
    </w:p>
    <w:p w14:paraId="1645F53E" w14:textId="77777777" w:rsidR="00556489" w:rsidRPr="002B4807" w:rsidRDefault="00556489" w:rsidP="00207DB4">
      <w:pPr>
        <w:tabs>
          <w:tab w:val="left" w:pos="2268"/>
        </w:tabs>
        <w:spacing w:after="240" w:line="360" w:lineRule="auto"/>
        <w:contextualSpacing/>
        <w:jc w:val="both"/>
        <w:rPr>
          <w:bCs/>
          <w:sz w:val="28"/>
          <w:szCs w:val="28"/>
        </w:rPr>
      </w:pPr>
    </w:p>
    <w:p w14:paraId="14DE1734" w14:textId="77777777" w:rsidR="00556489" w:rsidRPr="002B4807" w:rsidRDefault="00556489" w:rsidP="00207DB4">
      <w:pPr>
        <w:tabs>
          <w:tab w:val="left" w:pos="2268"/>
        </w:tabs>
        <w:spacing w:after="240" w:line="360" w:lineRule="auto"/>
        <w:contextualSpacing/>
        <w:jc w:val="both"/>
        <w:rPr>
          <w:bCs/>
          <w:sz w:val="28"/>
          <w:szCs w:val="28"/>
        </w:rPr>
        <w:sectPr w:rsidR="00556489" w:rsidRPr="002B4807" w:rsidSect="00EE5E56">
          <w:headerReference w:type="even" r:id="rId9"/>
          <w:headerReference w:type="default" r:id="rId10"/>
          <w:pgSz w:w="12240" w:h="15840"/>
          <w:pgMar w:top="1440" w:right="1800" w:bottom="1440" w:left="1800" w:header="720" w:footer="720" w:gutter="0"/>
          <w:pgNumType w:start="1"/>
          <w:cols w:space="720"/>
          <w:titlePg/>
          <w:docGrid w:linePitch="360"/>
        </w:sectPr>
      </w:pPr>
    </w:p>
    <w:p w14:paraId="013C5E90" w14:textId="77777777" w:rsidR="0033683C" w:rsidRPr="002B4807" w:rsidRDefault="0033683C" w:rsidP="00207DB4">
      <w:pPr>
        <w:pStyle w:val="Heading3"/>
        <w:spacing w:after="240"/>
        <w:rPr>
          <w:rFonts w:ascii="Times New Roman" w:hAnsi="Times New Roman" w:cs="Times New Roman"/>
          <w:b/>
          <w:i w:val="0"/>
          <w:szCs w:val="28"/>
        </w:rPr>
      </w:pPr>
      <w:r w:rsidRPr="002B4807">
        <w:rPr>
          <w:rFonts w:ascii="Times New Roman" w:hAnsi="Times New Roman" w:cs="Times New Roman"/>
          <w:b/>
          <w:i w:val="0"/>
          <w:szCs w:val="28"/>
        </w:rPr>
        <w:lastRenderedPageBreak/>
        <w:t>_____________________________________________________________</w:t>
      </w:r>
    </w:p>
    <w:p w14:paraId="04046819" w14:textId="77777777" w:rsidR="0033683C" w:rsidRPr="002B4807" w:rsidRDefault="0033683C" w:rsidP="002B4807">
      <w:pPr>
        <w:pStyle w:val="Heading3"/>
        <w:jc w:val="center"/>
        <w:rPr>
          <w:rFonts w:ascii="Times New Roman" w:hAnsi="Times New Roman" w:cs="Times New Roman"/>
          <w:b/>
          <w:bCs/>
          <w:i w:val="0"/>
          <w:szCs w:val="28"/>
        </w:rPr>
      </w:pPr>
      <w:r w:rsidRPr="002B4807">
        <w:rPr>
          <w:rFonts w:ascii="Times New Roman" w:hAnsi="Times New Roman" w:cs="Times New Roman"/>
          <w:b/>
          <w:i w:val="0"/>
          <w:szCs w:val="28"/>
        </w:rPr>
        <w:t>ORDER</w:t>
      </w:r>
    </w:p>
    <w:p w14:paraId="381A39E3" w14:textId="77777777" w:rsidR="0033683C" w:rsidRPr="002B4807" w:rsidRDefault="0033683C" w:rsidP="00207DB4">
      <w:pPr>
        <w:pStyle w:val="ListParagraph"/>
        <w:spacing w:after="240"/>
        <w:ind w:left="0"/>
        <w:jc w:val="both"/>
        <w:rPr>
          <w:b/>
          <w:bCs/>
          <w:sz w:val="28"/>
          <w:szCs w:val="28"/>
        </w:rPr>
      </w:pPr>
      <w:r w:rsidRPr="002B4807">
        <w:rPr>
          <w:b/>
          <w:bCs/>
          <w:sz w:val="28"/>
          <w:szCs w:val="28"/>
        </w:rPr>
        <w:t>_____________________________________________________________</w:t>
      </w:r>
    </w:p>
    <w:p w14:paraId="612B7E48" w14:textId="77777777" w:rsidR="00140ED5" w:rsidRPr="002B4807" w:rsidRDefault="00140ED5" w:rsidP="00207DB4">
      <w:pPr>
        <w:spacing w:line="360" w:lineRule="auto"/>
        <w:jc w:val="both"/>
        <w:rPr>
          <w:bCs/>
          <w:sz w:val="28"/>
          <w:szCs w:val="28"/>
        </w:rPr>
      </w:pPr>
      <w:r w:rsidRPr="002B4807">
        <w:rPr>
          <w:b/>
          <w:bCs/>
          <w:sz w:val="28"/>
          <w:szCs w:val="28"/>
        </w:rPr>
        <w:t xml:space="preserve">On appeal from: </w:t>
      </w:r>
      <w:r w:rsidR="00A70E46" w:rsidRPr="002B4807">
        <w:rPr>
          <w:bCs/>
          <w:sz w:val="28"/>
          <w:szCs w:val="28"/>
        </w:rPr>
        <w:t>Western Cape</w:t>
      </w:r>
      <w:r w:rsidRPr="002B4807">
        <w:rPr>
          <w:bCs/>
          <w:sz w:val="28"/>
          <w:szCs w:val="28"/>
        </w:rPr>
        <w:t xml:space="preserve"> Division of the High Court</w:t>
      </w:r>
      <w:r w:rsidR="00B04607" w:rsidRPr="002B4807">
        <w:rPr>
          <w:bCs/>
          <w:sz w:val="28"/>
          <w:szCs w:val="28"/>
        </w:rPr>
        <w:t>, Cape Town</w:t>
      </w:r>
      <w:r w:rsidRPr="002B4807">
        <w:rPr>
          <w:bCs/>
          <w:sz w:val="28"/>
          <w:szCs w:val="28"/>
        </w:rPr>
        <w:t xml:space="preserve"> (</w:t>
      </w:r>
      <w:r w:rsidR="00A70E46" w:rsidRPr="002B4807">
        <w:rPr>
          <w:bCs/>
          <w:sz w:val="28"/>
          <w:szCs w:val="28"/>
        </w:rPr>
        <w:t>Meer J</w:t>
      </w:r>
      <w:r w:rsidRPr="002B4807">
        <w:rPr>
          <w:bCs/>
          <w:sz w:val="28"/>
          <w:szCs w:val="28"/>
        </w:rPr>
        <w:t xml:space="preserve">, sitting as court of first instance): </w:t>
      </w:r>
    </w:p>
    <w:p w14:paraId="5C986F50" w14:textId="77777777" w:rsidR="002F31E2" w:rsidRPr="002B4807" w:rsidRDefault="00B04607" w:rsidP="00207DB4">
      <w:pPr>
        <w:spacing w:line="360" w:lineRule="auto"/>
        <w:jc w:val="both"/>
        <w:rPr>
          <w:color w:val="000000" w:themeColor="text1"/>
          <w:sz w:val="28"/>
          <w:szCs w:val="28"/>
          <w:lang w:val="en-US"/>
        </w:rPr>
      </w:pPr>
      <w:r w:rsidRPr="002B4807">
        <w:rPr>
          <w:color w:val="000000" w:themeColor="text1"/>
          <w:sz w:val="28"/>
          <w:szCs w:val="28"/>
          <w:lang w:val="en-US"/>
        </w:rPr>
        <w:t>1</w:t>
      </w:r>
      <w:r w:rsidRPr="002B4807">
        <w:rPr>
          <w:color w:val="000000" w:themeColor="text1"/>
          <w:sz w:val="28"/>
          <w:szCs w:val="28"/>
          <w:lang w:val="en-US"/>
        </w:rPr>
        <w:tab/>
      </w:r>
      <w:r w:rsidR="002F31E2" w:rsidRPr="002B4807">
        <w:rPr>
          <w:color w:val="000000" w:themeColor="text1"/>
          <w:sz w:val="28"/>
          <w:szCs w:val="28"/>
          <w:lang w:val="en-US"/>
        </w:rPr>
        <w:t>The application for leave to appeal is granted.</w:t>
      </w:r>
    </w:p>
    <w:p w14:paraId="5EF34420" w14:textId="77777777" w:rsidR="00B04607" w:rsidRPr="002B4807" w:rsidRDefault="002F31E2" w:rsidP="00207DB4">
      <w:pPr>
        <w:spacing w:line="360" w:lineRule="auto"/>
        <w:jc w:val="both"/>
        <w:rPr>
          <w:sz w:val="28"/>
          <w:szCs w:val="28"/>
          <w:lang w:val="en-US"/>
        </w:rPr>
      </w:pPr>
      <w:r w:rsidRPr="002B4807">
        <w:rPr>
          <w:color w:val="000000" w:themeColor="text1"/>
          <w:sz w:val="28"/>
          <w:szCs w:val="28"/>
          <w:lang w:val="en-US"/>
        </w:rPr>
        <w:t>2</w:t>
      </w:r>
      <w:r w:rsidRPr="002B4807">
        <w:rPr>
          <w:color w:val="000000" w:themeColor="text1"/>
          <w:sz w:val="28"/>
          <w:szCs w:val="28"/>
          <w:lang w:val="en-US"/>
        </w:rPr>
        <w:tab/>
      </w:r>
      <w:r w:rsidR="00967D15" w:rsidRPr="002B4807">
        <w:rPr>
          <w:sz w:val="28"/>
          <w:szCs w:val="28"/>
          <w:lang w:val="en-US"/>
        </w:rPr>
        <w:t>The appeal is upheld with costs, including the costs of two counsel.</w:t>
      </w:r>
    </w:p>
    <w:p w14:paraId="35896754" w14:textId="77777777" w:rsidR="00B04607" w:rsidRPr="002B4807" w:rsidRDefault="002F31E2" w:rsidP="00207DB4">
      <w:pPr>
        <w:spacing w:line="360" w:lineRule="auto"/>
        <w:jc w:val="both"/>
        <w:rPr>
          <w:sz w:val="28"/>
          <w:szCs w:val="28"/>
          <w:lang w:val="en-US"/>
        </w:rPr>
      </w:pPr>
      <w:r w:rsidRPr="002B4807">
        <w:rPr>
          <w:sz w:val="28"/>
          <w:szCs w:val="28"/>
          <w:lang w:val="en-US"/>
        </w:rPr>
        <w:t>3</w:t>
      </w:r>
      <w:r w:rsidR="00B04607" w:rsidRPr="002B4807">
        <w:rPr>
          <w:sz w:val="28"/>
          <w:szCs w:val="28"/>
          <w:lang w:val="en-US"/>
        </w:rPr>
        <w:tab/>
        <w:t xml:space="preserve">The order of the </w:t>
      </w:r>
      <w:r w:rsidR="001D01BC" w:rsidRPr="002B4807">
        <w:rPr>
          <w:sz w:val="28"/>
          <w:szCs w:val="28"/>
          <w:lang w:val="en-US"/>
        </w:rPr>
        <w:t>h</w:t>
      </w:r>
      <w:r w:rsidR="00B04607" w:rsidRPr="002B4807">
        <w:rPr>
          <w:sz w:val="28"/>
          <w:szCs w:val="28"/>
          <w:lang w:val="en-US"/>
        </w:rPr>
        <w:t xml:space="preserve">igh </w:t>
      </w:r>
      <w:r w:rsidR="001D01BC" w:rsidRPr="002B4807">
        <w:rPr>
          <w:sz w:val="28"/>
          <w:szCs w:val="28"/>
          <w:lang w:val="en-US"/>
        </w:rPr>
        <w:t>c</w:t>
      </w:r>
      <w:r w:rsidR="00B04607" w:rsidRPr="002B4807">
        <w:rPr>
          <w:sz w:val="28"/>
          <w:szCs w:val="28"/>
          <w:lang w:val="en-US"/>
        </w:rPr>
        <w:t>ourt is set aside and replaced with the following order:</w:t>
      </w:r>
    </w:p>
    <w:p w14:paraId="734DC3F9" w14:textId="77777777" w:rsidR="00B04607" w:rsidRPr="002B4807" w:rsidRDefault="00B04607" w:rsidP="00207DB4">
      <w:pPr>
        <w:spacing w:line="360" w:lineRule="auto"/>
        <w:ind w:left="720"/>
        <w:jc w:val="both"/>
        <w:rPr>
          <w:sz w:val="28"/>
          <w:szCs w:val="28"/>
          <w:lang w:val="en-US"/>
        </w:rPr>
      </w:pPr>
      <w:r w:rsidRPr="002B4807">
        <w:rPr>
          <w:sz w:val="28"/>
          <w:szCs w:val="28"/>
          <w:lang w:val="en-US"/>
        </w:rPr>
        <w:t>‘</w:t>
      </w:r>
      <w:r w:rsidR="001D01BC" w:rsidRPr="002B4807">
        <w:rPr>
          <w:sz w:val="28"/>
          <w:szCs w:val="28"/>
          <w:lang w:val="en-US"/>
        </w:rPr>
        <w:t>T</w:t>
      </w:r>
      <w:r w:rsidRPr="002B4807">
        <w:rPr>
          <w:sz w:val="28"/>
          <w:szCs w:val="28"/>
          <w:lang w:val="en-US"/>
        </w:rPr>
        <w:t>he application is dismissed</w:t>
      </w:r>
      <w:r w:rsidR="00967D15" w:rsidRPr="002B4807">
        <w:rPr>
          <w:sz w:val="28"/>
          <w:szCs w:val="28"/>
          <w:lang w:val="en-US"/>
        </w:rPr>
        <w:t xml:space="preserve"> with costs including the costs of two counsel where so employed</w:t>
      </w:r>
      <w:r w:rsidRPr="002B4807">
        <w:rPr>
          <w:sz w:val="28"/>
          <w:szCs w:val="28"/>
          <w:lang w:val="en-US"/>
        </w:rPr>
        <w:t>.</w:t>
      </w:r>
      <w:r w:rsidR="00967D15" w:rsidRPr="002B4807">
        <w:rPr>
          <w:sz w:val="28"/>
          <w:szCs w:val="28"/>
          <w:lang w:val="en-US"/>
        </w:rPr>
        <w:t>’</w:t>
      </w:r>
    </w:p>
    <w:p w14:paraId="09642C15" w14:textId="77777777" w:rsidR="0033683C" w:rsidRPr="002B4807" w:rsidRDefault="0033683C" w:rsidP="00207DB4">
      <w:pPr>
        <w:pStyle w:val="Heading3"/>
        <w:spacing w:after="240"/>
        <w:rPr>
          <w:rFonts w:ascii="Times New Roman" w:hAnsi="Times New Roman" w:cs="Times New Roman"/>
          <w:b/>
          <w:i w:val="0"/>
          <w:szCs w:val="28"/>
        </w:rPr>
      </w:pPr>
      <w:r w:rsidRPr="002B4807">
        <w:rPr>
          <w:rFonts w:ascii="Times New Roman" w:hAnsi="Times New Roman" w:cs="Times New Roman"/>
          <w:b/>
          <w:i w:val="0"/>
          <w:szCs w:val="28"/>
        </w:rPr>
        <w:t>_____________________________________________________________</w:t>
      </w:r>
    </w:p>
    <w:p w14:paraId="62FBE896" w14:textId="77777777" w:rsidR="0033683C" w:rsidRPr="002B4807" w:rsidRDefault="0033683C" w:rsidP="002B4807">
      <w:pPr>
        <w:pStyle w:val="Heading3"/>
        <w:jc w:val="center"/>
        <w:rPr>
          <w:rFonts w:ascii="Times New Roman" w:hAnsi="Times New Roman" w:cs="Times New Roman"/>
          <w:b/>
          <w:bCs/>
          <w:i w:val="0"/>
          <w:szCs w:val="28"/>
        </w:rPr>
      </w:pPr>
      <w:r w:rsidRPr="002B4807">
        <w:rPr>
          <w:rFonts w:ascii="Times New Roman" w:hAnsi="Times New Roman" w:cs="Times New Roman"/>
          <w:b/>
          <w:i w:val="0"/>
          <w:szCs w:val="28"/>
        </w:rPr>
        <w:t>JUDGMENT</w:t>
      </w:r>
    </w:p>
    <w:p w14:paraId="75169CDA" w14:textId="77777777" w:rsidR="0033683C" w:rsidRPr="002B4807" w:rsidRDefault="0033683C" w:rsidP="00207DB4">
      <w:pPr>
        <w:pStyle w:val="ListParagraph"/>
        <w:spacing w:after="240"/>
        <w:ind w:left="0"/>
        <w:jc w:val="both"/>
        <w:rPr>
          <w:b/>
          <w:bCs/>
          <w:sz w:val="28"/>
          <w:szCs w:val="28"/>
        </w:rPr>
      </w:pPr>
      <w:r w:rsidRPr="002B4807">
        <w:rPr>
          <w:b/>
          <w:bCs/>
          <w:sz w:val="28"/>
          <w:szCs w:val="28"/>
        </w:rPr>
        <w:t>_____________________________________________________________</w:t>
      </w:r>
    </w:p>
    <w:p w14:paraId="7F8C59A4" w14:textId="59036674" w:rsidR="00B72506" w:rsidRPr="00BB26F2" w:rsidRDefault="000C42ED" w:rsidP="00207DB4">
      <w:pPr>
        <w:spacing w:before="240" w:after="240" w:line="360" w:lineRule="auto"/>
        <w:jc w:val="both"/>
        <w:rPr>
          <w:sz w:val="28"/>
          <w:szCs w:val="28"/>
        </w:rPr>
      </w:pPr>
      <w:r w:rsidRPr="002B4807">
        <w:rPr>
          <w:b/>
          <w:bCs/>
          <w:sz w:val="28"/>
          <w:szCs w:val="28"/>
        </w:rPr>
        <w:t xml:space="preserve">Nhlangulela </w:t>
      </w:r>
      <w:r w:rsidRPr="00BB26F2">
        <w:rPr>
          <w:b/>
          <w:bCs/>
          <w:sz w:val="28"/>
          <w:szCs w:val="28"/>
        </w:rPr>
        <w:t xml:space="preserve">AJA </w:t>
      </w:r>
      <w:r w:rsidR="002B4807" w:rsidRPr="00BB26F2">
        <w:rPr>
          <w:b/>
          <w:bCs/>
          <w:sz w:val="28"/>
          <w:szCs w:val="28"/>
        </w:rPr>
        <w:t>(Petse AP and Molemela JA c</w:t>
      </w:r>
      <w:r w:rsidR="00140ED5" w:rsidRPr="00BB26F2">
        <w:rPr>
          <w:b/>
          <w:sz w:val="28"/>
          <w:szCs w:val="28"/>
        </w:rPr>
        <w:t>oncurring)</w:t>
      </w:r>
      <w:r w:rsidR="001D01BC" w:rsidRPr="00BB26F2">
        <w:rPr>
          <w:b/>
          <w:sz w:val="28"/>
          <w:szCs w:val="28"/>
        </w:rPr>
        <w:t>:</w:t>
      </w:r>
    </w:p>
    <w:p w14:paraId="4657F1EC" w14:textId="3C88EF64" w:rsidR="00CD4466" w:rsidRPr="00C22FB5" w:rsidRDefault="00C22FB5" w:rsidP="00C22FB5">
      <w:pPr>
        <w:spacing w:line="360" w:lineRule="auto"/>
        <w:jc w:val="both"/>
        <w:rPr>
          <w:sz w:val="28"/>
          <w:szCs w:val="28"/>
          <w:lang w:val="en-US"/>
        </w:rPr>
      </w:pPr>
      <w:r w:rsidRPr="002B4807">
        <w:rPr>
          <w:sz w:val="28"/>
          <w:szCs w:val="28"/>
          <w:lang w:val="en-US"/>
        </w:rPr>
        <w:t>[1]</w:t>
      </w:r>
      <w:r w:rsidRPr="002B4807">
        <w:rPr>
          <w:sz w:val="28"/>
          <w:szCs w:val="28"/>
          <w:lang w:val="en-US"/>
        </w:rPr>
        <w:tab/>
      </w:r>
      <w:r w:rsidR="00D27C91" w:rsidRPr="00C22FB5">
        <w:rPr>
          <w:sz w:val="28"/>
          <w:szCs w:val="28"/>
          <w:lang w:val="en-US"/>
        </w:rPr>
        <w:t xml:space="preserve">This </w:t>
      </w:r>
      <w:r w:rsidR="00967D15" w:rsidRPr="00C22FB5">
        <w:rPr>
          <w:sz w:val="28"/>
          <w:szCs w:val="28"/>
          <w:lang w:val="en-US"/>
        </w:rPr>
        <w:t>is an</w:t>
      </w:r>
      <w:r w:rsidR="00D27C91" w:rsidRPr="00C22FB5">
        <w:rPr>
          <w:sz w:val="28"/>
          <w:szCs w:val="28"/>
          <w:lang w:val="en-US"/>
        </w:rPr>
        <w:t xml:space="preserve"> application for leave to appeal</w:t>
      </w:r>
      <w:r w:rsidR="00967D15" w:rsidRPr="00C22FB5">
        <w:rPr>
          <w:sz w:val="28"/>
          <w:szCs w:val="28"/>
          <w:lang w:val="en-US"/>
        </w:rPr>
        <w:t xml:space="preserve"> referred to court for argument</w:t>
      </w:r>
      <w:r w:rsidR="00BE2B58" w:rsidRPr="00BB26F2">
        <w:rPr>
          <w:rStyle w:val="FootnoteReference"/>
          <w:sz w:val="28"/>
          <w:szCs w:val="28"/>
          <w:lang w:val="en-US"/>
        </w:rPr>
        <w:footnoteReference w:id="1"/>
      </w:r>
      <w:r w:rsidR="00A02AC8" w:rsidRPr="00C22FB5">
        <w:rPr>
          <w:sz w:val="28"/>
          <w:szCs w:val="28"/>
          <w:lang w:val="en-US"/>
        </w:rPr>
        <w:t xml:space="preserve"> in terms of s 17(</w:t>
      </w:r>
      <w:r w:rsidR="001A56B0" w:rsidRPr="00C22FB5">
        <w:rPr>
          <w:sz w:val="28"/>
          <w:szCs w:val="28"/>
          <w:lang w:val="en-US"/>
        </w:rPr>
        <w:t>2</w:t>
      </w:r>
      <w:r w:rsidR="00A02AC8" w:rsidRPr="00C22FB5">
        <w:rPr>
          <w:sz w:val="28"/>
          <w:szCs w:val="28"/>
          <w:lang w:val="en-US"/>
        </w:rPr>
        <w:t>)</w:t>
      </w:r>
      <w:r w:rsidR="001A56B0" w:rsidRPr="00C22FB5">
        <w:rPr>
          <w:i/>
          <w:sz w:val="28"/>
          <w:szCs w:val="28"/>
          <w:lang w:val="en-US"/>
        </w:rPr>
        <w:t>(</w:t>
      </w:r>
      <w:r w:rsidR="00967D15" w:rsidRPr="00C22FB5">
        <w:rPr>
          <w:i/>
          <w:sz w:val="28"/>
          <w:szCs w:val="28"/>
          <w:lang w:val="en-US"/>
        </w:rPr>
        <w:t>d</w:t>
      </w:r>
      <w:r w:rsidR="001A56B0" w:rsidRPr="00C22FB5">
        <w:rPr>
          <w:i/>
          <w:sz w:val="28"/>
          <w:szCs w:val="28"/>
          <w:lang w:val="en-US"/>
        </w:rPr>
        <w:t>)</w:t>
      </w:r>
      <w:r w:rsidR="00A02AC8" w:rsidRPr="00C22FB5">
        <w:rPr>
          <w:sz w:val="28"/>
          <w:szCs w:val="28"/>
          <w:lang w:val="en-US"/>
        </w:rPr>
        <w:t xml:space="preserve"> of the Superior Court</w:t>
      </w:r>
      <w:r w:rsidR="002F31E2" w:rsidRPr="00C22FB5">
        <w:rPr>
          <w:sz w:val="28"/>
          <w:szCs w:val="28"/>
          <w:lang w:val="en-US"/>
        </w:rPr>
        <w:t>s</w:t>
      </w:r>
      <w:r w:rsidR="00A02AC8" w:rsidRPr="00C22FB5">
        <w:rPr>
          <w:sz w:val="28"/>
          <w:szCs w:val="28"/>
          <w:lang w:val="en-US"/>
        </w:rPr>
        <w:t xml:space="preserve"> Act 10</w:t>
      </w:r>
      <w:r w:rsidR="002F31E2" w:rsidRPr="00C22FB5">
        <w:rPr>
          <w:sz w:val="28"/>
          <w:szCs w:val="28"/>
          <w:lang w:val="en-US"/>
        </w:rPr>
        <w:t xml:space="preserve"> of</w:t>
      </w:r>
      <w:r w:rsidR="00A02AC8" w:rsidRPr="00C22FB5">
        <w:rPr>
          <w:sz w:val="28"/>
          <w:szCs w:val="28"/>
          <w:lang w:val="en-US"/>
        </w:rPr>
        <w:t xml:space="preserve"> 2013</w:t>
      </w:r>
      <w:r w:rsidR="00065EB7" w:rsidRPr="00BB26F2">
        <w:rPr>
          <w:rStyle w:val="FootnoteReference"/>
          <w:sz w:val="28"/>
          <w:szCs w:val="28"/>
          <w:lang w:val="en-US"/>
        </w:rPr>
        <w:footnoteReference w:id="2"/>
      </w:r>
      <w:r w:rsidR="00065EB7" w:rsidRPr="00C22FB5">
        <w:rPr>
          <w:sz w:val="28"/>
          <w:szCs w:val="28"/>
          <w:lang w:val="en-US"/>
        </w:rPr>
        <w:t xml:space="preserve"> (the Superior Courts Act)</w:t>
      </w:r>
      <w:r w:rsidR="00CD4466" w:rsidRPr="00C22FB5">
        <w:rPr>
          <w:sz w:val="28"/>
          <w:szCs w:val="28"/>
          <w:lang w:val="en-US"/>
        </w:rPr>
        <w:t>,</w:t>
      </w:r>
      <w:r w:rsidR="00316835" w:rsidRPr="00C22FB5">
        <w:rPr>
          <w:sz w:val="28"/>
          <w:szCs w:val="28"/>
          <w:lang w:val="en-US"/>
        </w:rPr>
        <w:t xml:space="preserve"> </w:t>
      </w:r>
      <w:r w:rsidR="00967D15" w:rsidRPr="00C22FB5">
        <w:rPr>
          <w:sz w:val="28"/>
          <w:szCs w:val="28"/>
          <w:lang w:val="en-US"/>
        </w:rPr>
        <w:t>and, if successful</w:t>
      </w:r>
      <w:r w:rsidR="00941883" w:rsidRPr="00C22FB5">
        <w:rPr>
          <w:sz w:val="28"/>
          <w:szCs w:val="28"/>
          <w:lang w:val="en-US"/>
        </w:rPr>
        <w:t>,</w:t>
      </w:r>
      <w:r w:rsidR="00967D15" w:rsidRPr="00C22FB5">
        <w:rPr>
          <w:sz w:val="28"/>
          <w:szCs w:val="28"/>
          <w:lang w:val="en-US"/>
        </w:rPr>
        <w:t xml:space="preserve"> for the determination of the appeal itself.</w:t>
      </w:r>
      <w:r w:rsidR="00683DA9" w:rsidRPr="00C22FB5">
        <w:rPr>
          <w:sz w:val="28"/>
          <w:szCs w:val="28"/>
          <w:lang w:val="en-US"/>
        </w:rPr>
        <w:t xml:space="preserve"> It is a sequel to the refusal of leave by a single judge, sitting in the Western Cape Division of the High Court, Cape Town (the high court)</w:t>
      </w:r>
      <w:r w:rsidR="00586E4A" w:rsidRPr="00C22FB5">
        <w:rPr>
          <w:sz w:val="28"/>
          <w:szCs w:val="28"/>
          <w:lang w:val="en-US"/>
        </w:rPr>
        <w:t>.</w:t>
      </w:r>
      <w:r w:rsidR="00683DA9" w:rsidRPr="00C22FB5">
        <w:rPr>
          <w:sz w:val="28"/>
          <w:szCs w:val="28"/>
          <w:lang w:val="en-US"/>
        </w:rPr>
        <w:t xml:space="preserve"> </w:t>
      </w:r>
      <w:r w:rsidR="00586E4A" w:rsidRPr="00C22FB5">
        <w:rPr>
          <w:sz w:val="28"/>
          <w:szCs w:val="28"/>
          <w:lang w:val="en-US"/>
        </w:rPr>
        <w:t>L</w:t>
      </w:r>
      <w:r w:rsidR="00967D15" w:rsidRPr="00C22FB5">
        <w:rPr>
          <w:sz w:val="28"/>
          <w:szCs w:val="28"/>
          <w:lang w:val="en-US"/>
        </w:rPr>
        <w:t xml:space="preserve">eave is sought </w:t>
      </w:r>
      <w:r w:rsidR="00967D15" w:rsidRPr="00C22FB5">
        <w:rPr>
          <w:sz w:val="28"/>
          <w:szCs w:val="28"/>
          <w:lang w:val="en-US"/>
        </w:rPr>
        <w:lastRenderedPageBreak/>
        <w:t xml:space="preserve">against the decision of the </w:t>
      </w:r>
      <w:r w:rsidR="00217D9E" w:rsidRPr="00C22FB5">
        <w:rPr>
          <w:sz w:val="28"/>
          <w:szCs w:val="28"/>
          <w:lang w:val="en-US"/>
        </w:rPr>
        <w:t xml:space="preserve">high court </w:t>
      </w:r>
      <w:r w:rsidR="005A0CCE" w:rsidRPr="00C22FB5">
        <w:rPr>
          <w:sz w:val="28"/>
          <w:szCs w:val="28"/>
          <w:lang w:val="en-US"/>
        </w:rPr>
        <w:t xml:space="preserve">delivered on 10 December 2020 in terms of which a praedial servitude registered against the immovable </w:t>
      </w:r>
      <w:r w:rsidR="00D27C91" w:rsidRPr="00C22FB5">
        <w:rPr>
          <w:sz w:val="28"/>
          <w:szCs w:val="28"/>
          <w:lang w:val="en-US"/>
        </w:rPr>
        <w:t>property of the first respondent</w:t>
      </w:r>
      <w:r w:rsidR="002F31E2" w:rsidRPr="00C22FB5">
        <w:rPr>
          <w:sz w:val="28"/>
          <w:szCs w:val="28"/>
          <w:lang w:val="en-US"/>
        </w:rPr>
        <w:t xml:space="preserve">, </w:t>
      </w:r>
      <w:r w:rsidR="002F31E2" w:rsidRPr="00C22FB5">
        <w:rPr>
          <w:bCs/>
          <w:sz w:val="28"/>
          <w:szCs w:val="28"/>
        </w:rPr>
        <w:t>Huntrex 277 (Pty) Ltd</w:t>
      </w:r>
      <w:r w:rsidR="005A0CCE" w:rsidRPr="00C22FB5">
        <w:rPr>
          <w:bCs/>
          <w:sz w:val="28"/>
          <w:szCs w:val="28"/>
        </w:rPr>
        <w:t xml:space="preserve"> (Huntrex 277)</w:t>
      </w:r>
      <w:r w:rsidR="009F7332" w:rsidRPr="00C22FB5">
        <w:rPr>
          <w:bCs/>
          <w:sz w:val="28"/>
          <w:szCs w:val="28"/>
        </w:rPr>
        <w:t>,</w:t>
      </w:r>
      <w:r w:rsidR="00D27C91" w:rsidRPr="00C22FB5">
        <w:rPr>
          <w:sz w:val="28"/>
          <w:szCs w:val="28"/>
          <w:lang w:val="en-US"/>
        </w:rPr>
        <w:t xml:space="preserve"> in favour of the </w:t>
      </w:r>
      <w:r w:rsidR="00217D9E" w:rsidRPr="00C22FB5">
        <w:rPr>
          <w:sz w:val="28"/>
          <w:szCs w:val="28"/>
          <w:lang w:val="en-US"/>
        </w:rPr>
        <w:t xml:space="preserve">immovable </w:t>
      </w:r>
      <w:r w:rsidR="00D27C91" w:rsidRPr="00C22FB5">
        <w:rPr>
          <w:sz w:val="28"/>
          <w:szCs w:val="28"/>
          <w:lang w:val="en-US"/>
        </w:rPr>
        <w:t xml:space="preserve">property of the </w:t>
      </w:r>
      <w:r w:rsidR="005A0CCE" w:rsidRPr="00C22FB5">
        <w:rPr>
          <w:sz w:val="28"/>
          <w:szCs w:val="28"/>
          <w:lang w:val="en-US"/>
        </w:rPr>
        <w:t>applicant</w:t>
      </w:r>
      <w:r w:rsidR="002F31E2" w:rsidRPr="00C22FB5">
        <w:rPr>
          <w:sz w:val="28"/>
          <w:szCs w:val="28"/>
          <w:lang w:val="en-US"/>
        </w:rPr>
        <w:t xml:space="preserve">, </w:t>
      </w:r>
      <w:r w:rsidR="004D5D5D" w:rsidRPr="00C22FB5">
        <w:rPr>
          <w:sz w:val="28"/>
          <w:szCs w:val="28"/>
          <w:lang w:val="en-US"/>
        </w:rPr>
        <w:t xml:space="preserve">Ms </w:t>
      </w:r>
      <w:r w:rsidR="002F31E2" w:rsidRPr="00C22FB5">
        <w:rPr>
          <w:sz w:val="28"/>
          <w:szCs w:val="28"/>
          <w:lang w:val="en-US"/>
        </w:rPr>
        <w:t>Margot Berzack,</w:t>
      </w:r>
      <w:r w:rsidR="00D27C91" w:rsidRPr="00C22FB5">
        <w:rPr>
          <w:sz w:val="28"/>
          <w:szCs w:val="28"/>
          <w:lang w:val="en-US"/>
        </w:rPr>
        <w:t xml:space="preserve"> was declared to be a personal servitude of </w:t>
      </w:r>
      <w:r w:rsidR="00D27C91" w:rsidRPr="00C22FB5">
        <w:rPr>
          <w:i/>
          <w:iCs/>
          <w:sz w:val="28"/>
          <w:szCs w:val="28"/>
          <w:lang w:val="en-US"/>
        </w:rPr>
        <w:t>usus</w:t>
      </w:r>
      <w:r w:rsidR="00FC0EEC" w:rsidRPr="00C22FB5">
        <w:rPr>
          <w:iCs/>
          <w:sz w:val="28"/>
          <w:szCs w:val="28"/>
          <w:lang w:val="en-US"/>
        </w:rPr>
        <w:t>. The order</w:t>
      </w:r>
      <w:r w:rsidR="00D27C91" w:rsidRPr="00C22FB5">
        <w:rPr>
          <w:sz w:val="28"/>
          <w:szCs w:val="28"/>
          <w:lang w:val="en-US"/>
        </w:rPr>
        <w:t xml:space="preserve"> entitl</w:t>
      </w:r>
      <w:r w:rsidR="00FC0EEC" w:rsidRPr="00C22FB5">
        <w:rPr>
          <w:sz w:val="28"/>
          <w:szCs w:val="28"/>
          <w:lang w:val="en-US"/>
        </w:rPr>
        <w:t>ed</w:t>
      </w:r>
      <w:r w:rsidR="00D27C91" w:rsidRPr="00C22FB5">
        <w:rPr>
          <w:sz w:val="28"/>
          <w:szCs w:val="28"/>
          <w:lang w:val="en-US"/>
        </w:rPr>
        <w:t xml:space="preserve"> </w:t>
      </w:r>
      <w:r w:rsidR="008D0D15" w:rsidRPr="00C22FB5">
        <w:rPr>
          <w:bCs/>
          <w:sz w:val="28"/>
          <w:szCs w:val="28"/>
        </w:rPr>
        <w:t xml:space="preserve">Huntrex 277 </w:t>
      </w:r>
      <w:r w:rsidR="00D27C91" w:rsidRPr="00C22FB5">
        <w:rPr>
          <w:sz w:val="28"/>
          <w:szCs w:val="28"/>
          <w:lang w:val="en-US"/>
        </w:rPr>
        <w:t>to demolish the wooden pole fence that exist</w:t>
      </w:r>
      <w:r w:rsidR="00C06EC5" w:rsidRPr="00C22FB5">
        <w:rPr>
          <w:sz w:val="28"/>
          <w:szCs w:val="28"/>
          <w:lang w:val="en-US"/>
        </w:rPr>
        <w:t>s</w:t>
      </w:r>
      <w:r w:rsidR="00D27C91" w:rsidRPr="00C22FB5">
        <w:rPr>
          <w:sz w:val="28"/>
          <w:szCs w:val="28"/>
          <w:lang w:val="en-US"/>
        </w:rPr>
        <w:t xml:space="preserve"> on the servitude area</w:t>
      </w:r>
      <w:r w:rsidR="00942B6A" w:rsidRPr="00C22FB5">
        <w:rPr>
          <w:sz w:val="28"/>
          <w:szCs w:val="28"/>
          <w:lang w:val="en-US"/>
        </w:rPr>
        <w:t>;</w:t>
      </w:r>
      <w:r w:rsidR="00D27C91" w:rsidRPr="00C22FB5">
        <w:rPr>
          <w:sz w:val="28"/>
          <w:szCs w:val="28"/>
          <w:lang w:val="en-US"/>
        </w:rPr>
        <w:t xml:space="preserve"> </w:t>
      </w:r>
      <w:r w:rsidR="00231839" w:rsidRPr="00C22FB5">
        <w:rPr>
          <w:sz w:val="28"/>
          <w:szCs w:val="28"/>
          <w:lang w:val="en-US"/>
        </w:rPr>
        <w:t xml:space="preserve">and to </w:t>
      </w:r>
      <w:r w:rsidR="00D27C91" w:rsidRPr="00C22FB5">
        <w:rPr>
          <w:sz w:val="28"/>
          <w:szCs w:val="28"/>
          <w:lang w:val="en-US"/>
        </w:rPr>
        <w:t>construct its own wooden pole fence</w:t>
      </w:r>
      <w:r w:rsidR="00C06EC5" w:rsidRPr="00C22FB5">
        <w:rPr>
          <w:sz w:val="28"/>
          <w:szCs w:val="28"/>
          <w:lang w:val="en-US"/>
        </w:rPr>
        <w:t>,</w:t>
      </w:r>
      <w:r w:rsidR="00D27C91" w:rsidRPr="00C22FB5">
        <w:rPr>
          <w:sz w:val="28"/>
          <w:szCs w:val="28"/>
          <w:lang w:val="en-US"/>
        </w:rPr>
        <w:t xml:space="preserve"> fitted with a gate</w:t>
      </w:r>
      <w:r w:rsidR="00C06EC5" w:rsidRPr="00C22FB5">
        <w:rPr>
          <w:sz w:val="28"/>
          <w:szCs w:val="28"/>
          <w:lang w:val="en-US"/>
        </w:rPr>
        <w:t xml:space="preserve">, </w:t>
      </w:r>
      <w:r w:rsidR="00D27C91" w:rsidRPr="00C22FB5">
        <w:rPr>
          <w:sz w:val="28"/>
          <w:szCs w:val="28"/>
          <w:lang w:val="en-US"/>
        </w:rPr>
        <w:t>on the eastern and western boundaries of the properties</w:t>
      </w:r>
      <w:r w:rsidR="00FC0EEC" w:rsidRPr="00C22FB5">
        <w:rPr>
          <w:sz w:val="28"/>
          <w:szCs w:val="28"/>
          <w:lang w:val="en-US"/>
        </w:rPr>
        <w:t>.</w:t>
      </w:r>
      <w:r w:rsidR="0055677B" w:rsidRPr="00C22FB5">
        <w:rPr>
          <w:sz w:val="28"/>
          <w:szCs w:val="28"/>
          <w:lang w:val="en-US"/>
        </w:rPr>
        <w:t xml:space="preserve"> </w:t>
      </w:r>
      <w:r w:rsidR="00FC0EEC" w:rsidRPr="00C22FB5">
        <w:rPr>
          <w:sz w:val="28"/>
          <w:szCs w:val="28"/>
          <w:lang w:val="en-US"/>
        </w:rPr>
        <w:t>F</w:t>
      </w:r>
      <w:r w:rsidR="00231839" w:rsidRPr="00C22FB5">
        <w:rPr>
          <w:sz w:val="28"/>
          <w:szCs w:val="28"/>
          <w:lang w:val="en-US"/>
        </w:rPr>
        <w:t xml:space="preserve">urther, </w:t>
      </w:r>
      <w:r w:rsidR="00C06EC5" w:rsidRPr="00C22FB5">
        <w:rPr>
          <w:sz w:val="28"/>
          <w:szCs w:val="28"/>
          <w:lang w:val="en-US"/>
        </w:rPr>
        <w:t>the second respondent</w:t>
      </w:r>
      <w:r w:rsidR="00EB1C29" w:rsidRPr="00C22FB5">
        <w:rPr>
          <w:sz w:val="28"/>
          <w:szCs w:val="28"/>
          <w:lang w:val="en-US"/>
        </w:rPr>
        <w:t>, the Registrar of Deeds,</w:t>
      </w:r>
      <w:r w:rsidR="00C06EC5" w:rsidRPr="00C22FB5">
        <w:rPr>
          <w:sz w:val="28"/>
          <w:szCs w:val="28"/>
          <w:lang w:val="en-US"/>
        </w:rPr>
        <w:t xml:space="preserve"> was directed to </w:t>
      </w:r>
      <w:r w:rsidR="005A0CCE" w:rsidRPr="00C22FB5">
        <w:rPr>
          <w:sz w:val="28"/>
          <w:szCs w:val="28"/>
          <w:lang w:val="en-US"/>
        </w:rPr>
        <w:t xml:space="preserve">rectify </w:t>
      </w:r>
      <w:r w:rsidR="004D5D5D" w:rsidRPr="00C22FB5">
        <w:rPr>
          <w:sz w:val="28"/>
          <w:szCs w:val="28"/>
          <w:lang w:val="en-US"/>
        </w:rPr>
        <w:t>Huntrex 277</w:t>
      </w:r>
      <w:r w:rsidR="005A0CCE" w:rsidRPr="00C22FB5">
        <w:rPr>
          <w:sz w:val="28"/>
          <w:szCs w:val="28"/>
          <w:lang w:val="en-US"/>
        </w:rPr>
        <w:t xml:space="preserve">’s title deed to reflect that the servitude in issue is not a praedial servitude but a </w:t>
      </w:r>
      <w:r w:rsidR="00C33CF3" w:rsidRPr="00C22FB5">
        <w:rPr>
          <w:sz w:val="28"/>
          <w:szCs w:val="28"/>
          <w:lang w:val="en-US"/>
        </w:rPr>
        <w:t xml:space="preserve">personal servitude of </w:t>
      </w:r>
      <w:r w:rsidR="00C33CF3" w:rsidRPr="00C22FB5">
        <w:rPr>
          <w:i/>
          <w:iCs/>
          <w:sz w:val="28"/>
          <w:szCs w:val="28"/>
          <w:lang w:val="en-US"/>
        </w:rPr>
        <w:t>usus</w:t>
      </w:r>
      <w:r w:rsidR="00942B6A" w:rsidRPr="00C22FB5">
        <w:rPr>
          <w:iCs/>
          <w:sz w:val="28"/>
          <w:szCs w:val="28"/>
          <w:lang w:val="en-US"/>
        </w:rPr>
        <w:t>.</w:t>
      </w:r>
      <w:r w:rsidR="00942B6A" w:rsidRPr="00C22FB5">
        <w:rPr>
          <w:i/>
          <w:iCs/>
          <w:sz w:val="28"/>
          <w:szCs w:val="28"/>
          <w:lang w:val="en-US"/>
        </w:rPr>
        <w:t xml:space="preserve"> </w:t>
      </w:r>
    </w:p>
    <w:p w14:paraId="36E8C2A0" w14:textId="77777777" w:rsidR="00CD4466" w:rsidRPr="002B4807" w:rsidRDefault="00CD4466" w:rsidP="00207DB4">
      <w:pPr>
        <w:pStyle w:val="ListParagraph"/>
        <w:spacing w:line="360" w:lineRule="auto"/>
        <w:ind w:left="0"/>
        <w:jc w:val="both"/>
        <w:rPr>
          <w:i/>
          <w:iCs/>
          <w:sz w:val="28"/>
          <w:szCs w:val="28"/>
          <w:lang w:val="en-US"/>
        </w:rPr>
      </w:pPr>
    </w:p>
    <w:p w14:paraId="1A7F5070" w14:textId="437BFCAA" w:rsidR="007F69A3" w:rsidRPr="00C22FB5" w:rsidRDefault="00C22FB5" w:rsidP="00C22FB5">
      <w:pPr>
        <w:spacing w:line="360" w:lineRule="auto"/>
        <w:jc w:val="both"/>
        <w:rPr>
          <w:sz w:val="28"/>
          <w:szCs w:val="28"/>
          <w:lang w:val="en-US"/>
        </w:rPr>
      </w:pPr>
      <w:r w:rsidRPr="002B4807">
        <w:rPr>
          <w:sz w:val="28"/>
          <w:szCs w:val="28"/>
          <w:lang w:val="en-US"/>
        </w:rPr>
        <w:t>[2]</w:t>
      </w:r>
      <w:r w:rsidRPr="002B4807">
        <w:rPr>
          <w:sz w:val="28"/>
          <w:szCs w:val="28"/>
          <w:lang w:val="en-US"/>
        </w:rPr>
        <w:tab/>
      </w:r>
      <w:r w:rsidR="00942B6A" w:rsidRPr="00C22FB5">
        <w:rPr>
          <w:sz w:val="28"/>
          <w:szCs w:val="28"/>
          <w:lang w:val="en-US"/>
        </w:rPr>
        <w:t>T</w:t>
      </w:r>
      <w:r w:rsidR="0055677B" w:rsidRPr="00C22FB5">
        <w:rPr>
          <w:sz w:val="28"/>
          <w:szCs w:val="28"/>
          <w:lang w:val="en-US"/>
        </w:rPr>
        <w:t>he counter</w:t>
      </w:r>
      <w:r w:rsidR="00EB1C29" w:rsidRPr="00C22FB5">
        <w:rPr>
          <w:sz w:val="28"/>
          <w:szCs w:val="28"/>
          <w:lang w:val="en-US"/>
        </w:rPr>
        <w:t>-</w:t>
      </w:r>
      <w:r w:rsidR="0055677B" w:rsidRPr="00C22FB5">
        <w:rPr>
          <w:sz w:val="28"/>
          <w:szCs w:val="28"/>
          <w:lang w:val="en-US"/>
        </w:rPr>
        <w:t>application</w:t>
      </w:r>
      <w:r w:rsidR="00290F7A" w:rsidRPr="00C22FB5">
        <w:rPr>
          <w:sz w:val="28"/>
          <w:szCs w:val="28"/>
          <w:lang w:val="en-US"/>
        </w:rPr>
        <w:t xml:space="preserve"> of </w:t>
      </w:r>
      <w:r w:rsidR="00C462EB" w:rsidRPr="00C22FB5">
        <w:rPr>
          <w:sz w:val="28"/>
          <w:szCs w:val="28"/>
          <w:lang w:val="en-US"/>
        </w:rPr>
        <w:t>Ms Berzack</w:t>
      </w:r>
      <w:r w:rsidR="00942B6A" w:rsidRPr="00C22FB5">
        <w:rPr>
          <w:sz w:val="28"/>
          <w:szCs w:val="28"/>
          <w:lang w:val="en-US"/>
        </w:rPr>
        <w:t>,</w:t>
      </w:r>
      <w:r w:rsidR="00290F7A" w:rsidRPr="00C22FB5">
        <w:rPr>
          <w:sz w:val="28"/>
          <w:szCs w:val="28"/>
          <w:lang w:val="en-US"/>
        </w:rPr>
        <w:t xml:space="preserve"> </w:t>
      </w:r>
      <w:r w:rsidR="00FE7A62" w:rsidRPr="00C22FB5">
        <w:rPr>
          <w:sz w:val="28"/>
          <w:szCs w:val="28"/>
          <w:lang w:val="en-US"/>
        </w:rPr>
        <w:t xml:space="preserve">in which </w:t>
      </w:r>
      <w:r w:rsidR="001B241E" w:rsidRPr="00C22FB5">
        <w:rPr>
          <w:sz w:val="28"/>
          <w:szCs w:val="28"/>
          <w:lang w:val="en-US"/>
        </w:rPr>
        <w:t>she</w:t>
      </w:r>
      <w:r w:rsidR="00FE7A62" w:rsidRPr="00C22FB5">
        <w:rPr>
          <w:sz w:val="28"/>
          <w:szCs w:val="28"/>
          <w:lang w:val="en-US"/>
        </w:rPr>
        <w:t xml:space="preserve"> sought the preservation of </w:t>
      </w:r>
      <w:r w:rsidR="005A0CCE" w:rsidRPr="00C22FB5">
        <w:rPr>
          <w:sz w:val="28"/>
          <w:szCs w:val="28"/>
          <w:lang w:val="en-US"/>
        </w:rPr>
        <w:t xml:space="preserve">her </w:t>
      </w:r>
      <w:r w:rsidR="00FE7A62" w:rsidRPr="00C22FB5">
        <w:rPr>
          <w:sz w:val="28"/>
          <w:szCs w:val="28"/>
          <w:lang w:val="en-US"/>
        </w:rPr>
        <w:t>praedial rights or the conferment of such rights by prescription in terms of</w:t>
      </w:r>
      <w:r w:rsidR="001B241E" w:rsidRPr="00C22FB5">
        <w:rPr>
          <w:sz w:val="28"/>
          <w:szCs w:val="28"/>
          <w:lang w:val="en-US"/>
        </w:rPr>
        <w:t xml:space="preserve"> s 6 of the Prescription Act 68 of 1969</w:t>
      </w:r>
      <w:r w:rsidR="00065EB7" w:rsidRPr="00C22FB5">
        <w:rPr>
          <w:sz w:val="28"/>
          <w:szCs w:val="28"/>
          <w:lang w:val="en-US"/>
        </w:rPr>
        <w:t xml:space="preserve"> (the Prescription Act)</w:t>
      </w:r>
      <w:r w:rsidR="00FC0EEC" w:rsidRPr="00C22FB5">
        <w:rPr>
          <w:sz w:val="28"/>
          <w:szCs w:val="28"/>
          <w:lang w:val="en-US"/>
        </w:rPr>
        <w:t>, was dismissed with costs</w:t>
      </w:r>
      <w:r w:rsidR="007F69A3" w:rsidRPr="00C22FB5">
        <w:rPr>
          <w:sz w:val="28"/>
          <w:szCs w:val="28"/>
          <w:lang w:val="en-US"/>
        </w:rPr>
        <w:t xml:space="preserve"> by the high court</w:t>
      </w:r>
      <w:r w:rsidR="00FC0EEC" w:rsidRPr="00C22FB5">
        <w:rPr>
          <w:sz w:val="28"/>
          <w:szCs w:val="28"/>
          <w:lang w:val="en-US"/>
        </w:rPr>
        <w:t>.</w:t>
      </w:r>
      <w:r w:rsidR="00D72879" w:rsidRPr="00C22FB5">
        <w:rPr>
          <w:sz w:val="28"/>
          <w:szCs w:val="28"/>
          <w:lang w:val="en-US"/>
        </w:rPr>
        <w:t xml:space="preserve"> </w:t>
      </w:r>
    </w:p>
    <w:p w14:paraId="213DAA23" w14:textId="77777777" w:rsidR="007F69A3" w:rsidRPr="002B4807" w:rsidRDefault="007F69A3" w:rsidP="00207DB4">
      <w:pPr>
        <w:pStyle w:val="ListParagraph"/>
        <w:spacing w:line="360" w:lineRule="auto"/>
        <w:ind w:left="0"/>
        <w:jc w:val="both"/>
        <w:rPr>
          <w:sz w:val="28"/>
          <w:szCs w:val="28"/>
          <w:lang w:val="en-US"/>
        </w:rPr>
      </w:pPr>
    </w:p>
    <w:p w14:paraId="55B4C533" w14:textId="58001A92" w:rsidR="007F69A3" w:rsidRPr="00C22FB5" w:rsidRDefault="00C22FB5" w:rsidP="00C22FB5">
      <w:pPr>
        <w:spacing w:line="360" w:lineRule="auto"/>
        <w:jc w:val="both"/>
        <w:rPr>
          <w:sz w:val="28"/>
          <w:szCs w:val="28"/>
          <w:lang w:val="en-US"/>
        </w:rPr>
      </w:pPr>
      <w:r w:rsidRPr="002B4807">
        <w:rPr>
          <w:sz w:val="28"/>
          <w:szCs w:val="28"/>
          <w:lang w:val="en-US"/>
        </w:rPr>
        <w:t>[3]</w:t>
      </w:r>
      <w:r w:rsidRPr="002B4807">
        <w:rPr>
          <w:sz w:val="28"/>
          <w:szCs w:val="28"/>
          <w:lang w:val="en-US"/>
        </w:rPr>
        <w:tab/>
      </w:r>
      <w:r w:rsidR="005A0CCE" w:rsidRPr="00C22FB5">
        <w:rPr>
          <w:sz w:val="28"/>
          <w:szCs w:val="28"/>
          <w:lang w:val="en-US"/>
        </w:rPr>
        <w:t xml:space="preserve">Only </w:t>
      </w:r>
      <w:r w:rsidR="00C462EB" w:rsidRPr="00C22FB5">
        <w:rPr>
          <w:sz w:val="28"/>
          <w:szCs w:val="28"/>
          <w:lang w:val="en-US"/>
        </w:rPr>
        <w:t>Huntrex 277</w:t>
      </w:r>
      <w:r w:rsidR="005A0CCE" w:rsidRPr="00C22FB5">
        <w:rPr>
          <w:sz w:val="28"/>
          <w:szCs w:val="28"/>
          <w:lang w:val="en-US"/>
        </w:rPr>
        <w:t xml:space="preserve"> took part in this litigation. The second</w:t>
      </w:r>
      <w:r w:rsidR="00C462EB" w:rsidRPr="00C22FB5">
        <w:rPr>
          <w:sz w:val="28"/>
          <w:szCs w:val="28"/>
          <w:lang w:val="en-US"/>
        </w:rPr>
        <w:t xml:space="preserve"> respondent</w:t>
      </w:r>
      <w:r w:rsidR="00586E4A" w:rsidRPr="00C22FB5">
        <w:rPr>
          <w:sz w:val="28"/>
          <w:szCs w:val="28"/>
          <w:lang w:val="en-US"/>
        </w:rPr>
        <w:t xml:space="preserve">, </w:t>
      </w:r>
      <w:r w:rsidR="009F7332" w:rsidRPr="00C22FB5">
        <w:rPr>
          <w:sz w:val="28"/>
          <w:szCs w:val="28"/>
          <w:lang w:val="en-US"/>
        </w:rPr>
        <w:t xml:space="preserve">the </w:t>
      </w:r>
      <w:r w:rsidR="00C462EB" w:rsidRPr="00C22FB5">
        <w:rPr>
          <w:sz w:val="28"/>
          <w:szCs w:val="28"/>
          <w:lang w:val="en-US"/>
        </w:rPr>
        <w:t>Registrar of Deeds</w:t>
      </w:r>
      <w:r w:rsidR="009F7332" w:rsidRPr="00C22FB5">
        <w:rPr>
          <w:sz w:val="28"/>
          <w:szCs w:val="28"/>
          <w:lang w:val="en-US"/>
        </w:rPr>
        <w:t>,</w:t>
      </w:r>
      <w:r w:rsidR="005A0CCE" w:rsidRPr="00C22FB5">
        <w:rPr>
          <w:sz w:val="28"/>
          <w:szCs w:val="28"/>
          <w:lang w:val="en-US"/>
        </w:rPr>
        <w:t xml:space="preserve"> and third</w:t>
      </w:r>
      <w:r w:rsidR="008D0D15" w:rsidRPr="00C22FB5">
        <w:rPr>
          <w:sz w:val="28"/>
          <w:szCs w:val="28"/>
          <w:lang w:val="en-US"/>
        </w:rPr>
        <w:t xml:space="preserve"> respondent</w:t>
      </w:r>
      <w:r w:rsidR="00586E4A" w:rsidRPr="00C22FB5">
        <w:rPr>
          <w:sz w:val="28"/>
          <w:szCs w:val="28"/>
          <w:lang w:val="en-US"/>
        </w:rPr>
        <w:t>,</w:t>
      </w:r>
      <w:r w:rsidR="008D0D15" w:rsidRPr="00C22FB5">
        <w:rPr>
          <w:sz w:val="28"/>
          <w:szCs w:val="28"/>
          <w:lang w:val="en-US"/>
        </w:rPr>
        <w:t xml:space="preserve"> </w:t>
      </w:r>
      <w:r w:rsidR="00C462EB" w:rsidRPr="00C22FB5">
        <w:rPr>
          <w:sz w:val="28"/>
          <w:szCs w:val="28"/>
          <w:lang w:val="en-US"/>
        </w:rPr>
        <w:t>City of Cape Town</w:t>
      </w:r>
      <w:r w:rsidR="00586E4A" w:rsidRPr="00C22FB5">
        <w:rPr>
          <w:sz w:val="28"/>
          <w:szCs w:val="28"/>
          <w:lang w:val="en-US"/>
        </w:rPr>
        <w:t>,</w:t>
      </w:r>
      <w:r w:rsidR="005A0CCE" w:rsidRPr="00C22FB5">
        <w:rPr>
          <w:sz w:val="28"/>
          <w:szCs w:val="28"/>
          <w:lang w:val="en-US"/>
        </w:rPr>
        <w:t xml:space="preserve"> did not take part</w:t>
      </w:r>
      <w:r w:rsidR="009F7332" w:rsidRPr="00C22FB5">
        <w:rPr>
          <w:sz w:val="28"/>
          <w:szCs w:val="28"/>
          <w:lang w:val="en-US"/>
        </w:rPr>
        <w:t xml:space="preserve"> </w:t>
      </w:r>
      <w:r w:rsidR="005A0CCE" w:rsidRPr="00C22FB5">
        <w:rPr>
          <w:sz w:val="28"/>
          <w:szCs w:val="28"/>
          <w:lang w:val="en-US"/>
        </w:rPr>
        <w:t xml:space="preserve">both in the high court and this Court. </w:t>
      </w:r>
    </w:p>
    <w:p w14:paraId="12FE101E" w14:textId="77777777" w:rsidR="007F69A3" w:rsidRPr="002B4807" w:rsidRDefault="007F69A3" w:rsidP="00207DB4">
      <w:pPr>
        <w:spacing w:line="360" w:lineRule="auto"/>
        <w:jc w:val="both"/>
        <w:rPr>
          <w:sz w:val="28"/>
          <w:szCs w:val="28"/>
          <w:lang w:val="en-US"/>
        </w:rPr>
      </w:pPr>
    </w:p>
    <w:p w14:paraId="37BD1987" w14:textId="77777777" w:rsidR="007F69A3" w:rsidRPr="002B4807" w:rsidRDefault="007F69A3" w:rsidP="00207DB4">
      <w:pPr>
        <w:spacing w:line="360" w:lineRule="auto"/>
        <w:jc w:val="both"/>
        <w:rPr>
          <w:b/>
          <w:sz w:val="28"/>
          <w:szCs w:val="28"/>
          <w:lang w:val="en-US"/>
        </w:rPr>
      </w:pPr>
      <w:r w:rsidRPr="002B4807">
        <w:rPr>
          <w:b/>
          <w:sz w:val="28"/>
          <w:szCs w:val="28"/>
          <w:lang w:val="en-US"/>
        </w:rPr>
        <w:t>Admission of further evidence</w:t>
      </w:r>
    </w:p>
    <w:p w14:paraId="6C892695" w14:textId="1A4780F0" w:rsidR="00B54297" w:rsidRPr="00C22FB5" w:rsidRDefault="00C22FB5" w:rsidP="00C22FB5">
      <w:pPr>
        <w:spacing w:line="360" w:lineRule="auto"/>
        <w:jc w:val="both"/>
        <w:rPr>
          <w:sz w:val="28"/>
          <w:szCs w:val="28"/>
          <w:lang w:val="en-US"/>
        </w:rPr>
      </w:pPr>
      <w:r w:rsidRPr="002B4807">
        <w:rPr>
          <w:sz w:val="28"/>
          <w:szCs w:val="28"/>
          <w:lang w:val="en-US"/>
        </w:rPr>
        <w:t>[4]</w:t>
      </w:r>
      <w:r w:rsidRPr="002B4807">
        <w:rPr>
          <w:sz w:val="28"/>
          <w:szCs w:val="28"/>
          <w:lang w:val="en-US"/>
        </w:rPr>
        <w:tab/>
      </w:r>
      <w:r w:rsidR="007F69A3" w:rsidRPr="00C22FB5">
        <w:rPr>
          <w:sz w:val="28"/>
          <w:szCs w:val="28"/>
          <w:lang w:val="en-US"/>
        </w:rPr>
        <w:t>In addition</w:t>
      </w:r>
      <w:r w:rsidR="00BB7A93" w:rsidRPr="00C22FB5">
        <w:rPr>
          <w:sz w:val="28"/>
          <w:szCs w:val="28"/>
          <w:lang w:val="en-US"/>
        </w:rPr>
        <w:t xml:space="preserve">, </w:t>
      </w:r>
      <w:r w:rsidR="008D0D15" w:rsidRPr="00C22FB5">
        <w:rPr>
          <w:sz w:val="28"/>
          <w:szCs w:val="28"/>
          <w:lang w:val="en-US"/>
        </w:rPr>
        <w:t xml:space="preserve">Ms Berzack </w:t>
      </w:r>
      <w:r w:rsidR="00BB7A93" w:rsidRPr="00C22FB5">
        <w:rPr>
          <w:sz w:val="28"/>
          <w:szCs w:val="28"/>
          <w:lang w:val="en-US"/>
        </w:rPr>
        <w:t xml:space="preserve">brought </w:t>
      </w:r>
      <w:r w:rsidR="007F69A3" w:rsidRPr="00C22FB5">
        <w:rPr>
          <w:sz w:val="28"/>
          <w:szCs w:val="28"/>
          <w:lang w:val="en-US"/>
        </w:rPr>
        <w:t xml:space="preserve">before us </w:t>
      </w:r>
      <w:r w:rsidR="00BB7A93" w:rsidRPr="00C22FB5">
        <w:rPr>
          <w:sz w:val="28"/>
          <w:szCs w:val="28"/>
          <w:lang w:val="en-US"/>
        </w:rPr>
        <w:t>an application in term</w:t>
      </w:r>
      <w:r w:rsidR="009F7332" w:rsidRPr="00C22FB5">
        <w:rPr>
          <w:sz w:val="28"/>
          <w:szCs w:val="28"/>
          <w:lang w:val="en-US"/>
        </w:rPr>
        <w:t>s</w:t>
      </w:r>
      <w:r w:rsidR="00BB7A93" w:rsidRPr="00C22FB5">
        <w:rPr>
          <w:sz w:val="28"/>
          <w:szCs w:val="28"/>
          <w:lang w:val="en-US"/>
        </w:rPr>
        <w:t xml:space="preserve"> of s</w:t>
      </w:r>
      <w:r w:rsidR="00975EEB" w:rsidRPr="00C22FB5">
        <w:rPr>
          <w:sz w:val="28"/>
          <w:szCs w:val="28"/>
          <w:lang w:val="en-US"/>
        </w:rPr>
        <w:t> </w:t>
      </w:r>
      <w:r w:rsidR="00BB7A93" w:rsidRPr="00C22FB5">
        <w:rPr>
          <w:sz w:val="28"/>
          <w:szCs w:val="28"/>
          <w:lang w:val="en-US"/>
        </w:rPr>
        <w:t>19</w:t>
      </w:r>
      <w:r w:rsidR="00BB7A93" w:rsidRPr="00C22FB5">
        <w:rPr>
          <w:i/>
          <w:sz w:val="28"/>
          <w:szCs w:val="28"/>
          <w:lang w:val="en-US"/>
        </w:rPr>
        <w:t>(b)</w:t>
      </w:r>
      <w:r w:rsidR="00BB7A93" w:rsidRPr="00C22FB5">
        <w:rPr>
          <w:sz w:val="28"/>
          <w:szCs w:val="28"/>
          <w:lang w:val="en-US"/>
        </w:rPr>
        <w:t xml:space="preserve"> of the Superior Court</w:t>
      </w:r>
      <w:r w:rsidR="00EB1C29" w:rsidRPr="00C22FB5">
        <w:rPr>
          <w:sz w:val="28"/>
          <w:szCs w:val="28"/>
          <w:lang w:val="en-US"/>
        </w:rPr>
        <w:t>s</w:t>
      </w:r>
      <w:r w:rsidR="00BB7A93" w:rsidRPr="00C22FB5">
        <w:rPr>
          <w:sz w:val="28"/>
          <w:szCs w:val="28"/>
          <w:lang w:val="en-US"/>
        </w:rPr>
        <w:t xml:space="preserve"> Act</w:t>
      </w:r>
      <w:r w:rsidR="00CD4466" w:rsidRPr="002B4807">
        <w:rPr>
          <w:rStyle w:val="FootnoteReference"/>
          <w:sz w:val="28"/>
          <w:szCs w:val="28"/>
          <w:lang w:val="en-US"/>
        </w:rPr>
        <w:footnoteReference w:id="3"/>
      </w:r>
      <w:r w:rsidR="00CD4466" w:rsidRPr="00C22FB5">
        <w:rPr>
          <w:sz w:val="28"/>
          <w:szCs w:val="28"/>
          <w:lang w:val="en-US"/>
        </w:rPr>
        <w:t xml:space="preserve"> </w:t>
      </w:r>
      <w:r w:rsidR="00BB7A93" w:rsidRPr="00C22FB5">
        <w:rPr>
          <w:sz w:val="28"/>
          <w:szCs w:val="28"/>
          <w:lang w:val="en-US"/>
        </w:rPr>
        <w:t>for the admission of</w:t>
      </w:r>
      <w:r w:rsidR="005A0CCE" w:rsidRPr="00C22FB5">
        <w:rPr>
          <w:sz w:val="28"/>
          <w:szCs w:val="28"/>
          <w:lang w:val="en-US"/>
        </w:rPr>
        <w:t xml:space="preserve"> the</w:t>
      </w:r>
      <w:r w:rsidR="00BB7A93" w:rsidRPr="00C22FB5">
        <w:rPr>
          <w:sz w:val="28"/>
          <w:szCs w:val="28"/>
          <w:lang w:val="en-US"/>
        </w:rPr>
        <w:t xml:space="preserve"> further evidence of</w:t>
      </w:r>
      <w:r w:rsidR="00BB7A93" w:rsidRPr="00C22FB5">
        <w:rPr>
          <w:b/>
          <w:bCs/>
          <w:sz w:val="28"/>
          <w:szCs w:val="28"/>
          <w:lang w:val="en-US"/>
        </w:rPr>
        <w:t xml:space="preserve"> </w:t>
      </w:r>
      <w:r w:rsidR="00BB7A93" w:rsidRPr="00C22FB5">
        <w:rPr>
          <w:sz w:val="28"/>
          <w:szCs w:val="28"/>
          <w:lang w:val="en-US"/>
        </w:rPr>
        <w:t xml:space="preserve">Mr </w:t>
      </w:r>
      <w:r w:rsidR="00483D9D" w:rsidRPr="00C22FB5">
        <w:rPr>
          <w:sz w:val="28"/>
          <w:szCs w:val="28"/>
          <w:lang w:val="en-US"/>
        </w:rPr>
        <w:t xml:space="preserve">Richard James Somerset </w:t>
      </w:r>
      <w:r w:rsidR="00BB7A93" w:rsidRPr="00C22FB5">
        <w:rPr>
          <w:sz w:val="28"/>
          <w:szCs w:val="28"/>
          <w:lang w:val="en-US"/>
        </w:rPr>
        <w:t>Moffat</w:t>
      </w:r>
      <w:r w:rsidR="00D72879" w:rsidRPr="00C22FB5">
        <w:rPr>
          <w:sz w:val="28"/>
          <w:szCs w:val="28"/>
          <w:lang w:val="en-US"/>
        </w:rPr>
        <w:t xml:space="preserve"> (Mr Moffat)</w:t>
      </w:r>
      <w:r w:rsidR="00BB7A93" w:rsidRPr="00C22FB5">
        <w:rPr>
          <w:sz w:val="28"/>
          <w:szCs w:val="28"/>
          <w:lang w:val="en-US"/>
        </w:rPr>
        <w:t xml:space="preserve"> and Mrs</w:t>
      </w:r>
      <w:r w:rsidR="00483D9D" w:rsidRPr="00C22FB5">
        <w:rPr>
          <w:sz w:val="28"/>
          <w:szCs w:val="28"/>
          <w:lang w:val="en-US"/>
        </w:rPr>
        <w:t xml:space="preserve"> Margaret Anne </w:t>
      </w:r>
      <w:r w:rsidR="00BB7A93" w:rsidRPr="00C22FB5">
        <w:rPr>
          <w:sz w:val="28"/>
          <w:szCs w:val="28"/>
          <w:lang w:val="en-US"/>
        </w:rPr>
        <w:lastRenderedPageBreak/>
        <w:t>Boag</w:t>
      </w:r>
      <w:r w:rsidR="00D72879" w:rsidRPr="00C22FB5">
        <w:rPr>
          <w:sz w:val="28"/>
          <w:szCs w:val="28"/>
          <w:lang w:val="en-US"/>
        </w:rPr>
        <w:t xml:space="preserve"> (Mrs Boag)</w:t>
      </w:r>
      <w:r w:rsidR="00BB7A93" w:rsidRPr="00C22FB5">
        <w:rPr>
          <w:sz w:val="28"/>
          <w:szCs w:val="28"/>
          <w:lang w:val="en-US"/>
        </w:rPr>
        <w:t xml:space="preserve"> </w:t>
      </w:r>
      <w:r w:rsidR="005A0CCE" w:rsidRPr="00C22FB5">
        <w:rPr>
          <w:sz w:val="28"/>
          <w:szCs w:val="28"/>
          <w:lang w:val="en-US"/>
        </w:rPr>
        <w:t xml:space="preserve">in amplification of her </w:t>
      </w:r>
      <w:r w:rsidR="00BB7A93" w:rsidRPr="00C22FB5">
        <w:rPr>
          <w:sz w:val="28"/>
          <w:szCs w:val="28"/>
          <w:lang w:val="en-US"/>
        </w:rPr>
        <w:t>a</w:t>
      </w:r>
      <w:r w:rsidR="00D72879" w:rsidRPr="00C22FB5">
        <w:rPr>
          <w:sz w:val="28"/>
          <w:szCs w:val="28"/>
          <w:lang w:val="en-US"/>
        </w:rPr>
        <w:t>pplication for leave to appeal.</w:t>
      </w:r>
      <w:r w:rsidR="005A0CCE" w:rsidRPr="00C22FB5">
        <w:rPr>
          <w:sz w:val="28"/>
          <w:szCs w:val="28"/>
          <w:lang w:val="en-US"/>
        </w:rPr>
        <w:t xml:space="preserve"> Although this application was initially </w:t>
      </w:r>
      <w:r w:rsidR="008D0D15" w:rsidRPr="00C22FB5">
        <w:rPr>
          <w:sz w:val="28"/>
          <w:szCs w:val="28"/>
          <w:lang w:val="en-US"/>
        </w:rPr>
        <w:t>opposed</w:t>
      </w:r>
      <w:r w:rsidR="005A0CCE" w:rsidRPr="00C22FB5">
        <w:rPr>
          <w:sz w:val="28"/>
          <w:szCs w:val="28"/>
          <w:lang w:val="en-US"/>
        </w:rPr>
        <w:t xml:space="preserve"> by </w:t>
      </w:r>
      <w:r w:rsidR="008D0D15" w:rsidRPr="00C22FB5">
        <w:rPr>
          <w:sz w:val="28"/>
          <w:szCs w:val="28"/>
          <w:lang w:val="en-US"/>
        </w:rPr>
        <w:t>Huntrex 277</w:t>
      </w:r>
      <w:r w:rsidR="005A0CCE" w:rsidRPr="00C22FB5">
        <w:rPr>
          <w:sz w:val="28"/>
          <w:szCs w:val="28"/>
          <w:lang w:val="en-US"/>
        </w:rPr>
        <w:t xml:space="preserve">, </w:t>
      </w:r>
      <w:r w:rsidR="008D0D15" w:rsidRPr="00C22FB5">
        <w:rPr>
          <w:sz w:val="28"/>
          <w:szCs w:val="28"/>
          <w:lang w:val="en-US"/>
        </w:rPr>
        <w:t>it</w:t>
      </w:r>
      <w:r w:rsidR="005A0CCE" w:rsidRPr="00C22FB5">
        <w:rPr>
          <w:sz w:val="28"/>
          <w:szCs w:val="28"/>
          <w:lang w:val="en-US"/>
        </w:rPr>
        <w:t xml:space="preserve"> did not </w:t>
      </w:r>
      <w:r w:rsidR="0040473B" w:rsidRPr="00C22FB5">
        <w:rPr>
          <w:sz w:val="28"/>
          <w:szCs w:val="28"/>
          <w:lang w:val="en-US"/>
        </w:rPr>
        <w:t xml:space="preserve">persist </w:t>
      </w:r>
      <w:r w:rsidR="005A0CCE" w:rsidRPr="00C22FB5">
        <w:rPr>
          <w:sz w:val="28"/>
          <w:szCs w:val="28"/>
          <w:lang w:val="en-US"/>
        </w:rPr>
        <w:t>with its opposition</w:t>
      </w:r>
      <w:r w:rsidR="008D0D15" w:rsidRPr="00C22FB5">
        <w:rPr>
          <w:sz w:val="28"/>
          <w:szCs w:val="28"/>
          <w:lang w:val="en-US"/>
        </w:rPr>
        <w:t xml:space="preserve"> before this Court</w:t>
      </w:r>
      <w:r w:rsidR="005A0CCE" w:rsidRPr="00C22FB5">
        <w:rPr>
          <w:sz w:val="28"/>
          <w:szCs w:val="28"/>
          <w:lang w:val="en-US"/>
        </w:rPr>
        <w:t>. Thus, nothing more needs to be said about this application</w:t>
      </w:r>
      <w:r w:rsidR="00586E4A" w:rsidRPr="00C22FB5">
        <w:rPr>
          <w:sz w:val="28"/>
          <w:szCs w:val="28"/>
          <w:lang w:val="en-US"/>
        </w:rPr>
        <w:t>, save to say that in truth</w:t>
      </w:r>
      <w:r w:rsidR="003819B5" w:rsidRPr="00C22FB5">
        <w:rPr>
          <w:sz w:val="28"/>
          <w:szCs w:val="28"/>
          <w:lang w:val="en-US"/>
        </w:rPr>
        <w:t>,</w:t>
      </w:r>
      <w:r w:rsidR="00586E4A" w:rsidRPr="00C22FB5">
        <w:rPr>
          <w:sz w:val="28"/>
          <w:szCs w:val="28"/>
          <w:lang w:val="en-US"/>
        </w:rPr>
        <w:t xml:space="preserve"> these two affidavits have no bearing on the merits of the envisaged appeal.</w:t>
      </w:r>
      <w:r w:rsidR="005A0CCE" w:rsidRPr="00C22FB5">
        <w:rPr>
          <w:sz w:val="28"/>
          <w:szCs w:val="28"/>
          <w:lang w:val="en-US"/>
        </w:rPr>
        <w:t xml:space="preserve"> </w:t>
      </w:r>
      <w:r w:rsidR="00586E4A" w:rsidRPr="00C22FB5">
        <w:rPr>
          <w:sz w:val="28"/>
          <w:szCs w:val="28"/>
          <w:lang w:val="en-US"/>
        </w:rPr>
        <w:t>Rather, they were filed in order to bolster Ms Berzack’s application for leave to appeal.</w:t>
      </w:r>
      <w:r w:rsidR="005A0CCE" w:rsidRPr="00C22FB5">
        <w:rPr>
          <w:sz w:val="28"/>
          <w:szCs w:val="28"/>
          <w:lang w:val="en-US"/>
        </w:rPr>
        <w:t xml:space="preserve"> </w:t>
      </w:r>
    </w:p>
    <w:p w14:paraId="649A1A76" w14:textId="77777777" w:rsidR="00D27C91" w:rsidRPr="002B4807" w:rsidRDefault="00D27C91" w:rsidP="00207DB4">
      <w:pPr>
        <w:spacing w:line="360" w:lineRule="auto"/>
        <w:jc w:val="both"/>
        <w:rPr>
          <w:sz w:val="28"/>
          <w:szCs w:val="28"/>
          <w:lang w:val="en-US"/>
        </w:rPr>
      </w:pPr>
    </w:p>
    <w:p w14:paraId="06F61649" w14:textId="77777777" w:rsidR="00991145" w:rsidRPr="002B4807" w:rsidRDefault="00991145" w:rsidP="00207DB4">
      <w:pPr>
        <w:pStyle w:val="ListParagraph"/>
        <w:spacing w:line="360" w:lineRule="auto"/>
        <w:ind w:left="0"/>
        <w:jc w:val="both"/>
        <w:rPr>
          <w:b/>
          <w:color w:val="000000" w:themeColor="text1"/>
          <w:sz w:val="28"/>
          <w:szCs w:val="28"/>
          <w:lang w:val="en-US"/>
        </w:rPr>
      </w:pPr>
      <w:r w:rsidRPr="002B4807">
        <w:rPr>
          <w:b/>
          <w:sz w:val="28"/>
          <w:szCs w:val="28"/>
          <w:lang w:val="en-US"/>
        </w:rPr>
        <w:t>Leave to appeal application</w:t>
      </w:r>
    </w:p>
    <w:p w14:paraId="29C193D6" w14:textId="376E1602" w:rsidR="00991145" w:rsidRPr="00C22FB5" w:rsidRDefault="00C22FB5" w:rsidP="00C22FB5">
      <w:pPr>
        <w:spacing w:line="360" w:lineRule="auto"/>
        <w:jc w:val="both"/>
        <w:rPr>
          <w:sz w:val="28"/>
          <w:szCs w:val="28"/>
          <w:lang w:val="en-US"/>
        </w:rPr>
      </w:pPr>
      <w:r w:rsidRPr="002B4807">
        <w:rPr>
          <w:sz w:val="28"/>
          <w:szCs w:val="28"/>
          <w:lang w:val="en-US"/>
        </w:rPr>
        <w:t>[5]</w:t>
      </w:r>
      <w:r w:rsidRPr="002B4807">
        <w:rPr>
          <w:sz w:val="28"/>
          <w:szCs w:val="28"/>
          <w:lang w:val="en-US"/>
        </w:rPr>
        <w:tab/>
      </w:r>
      <w:r w:rsidR="00BD5CB1" w:rsidRPr="00C22FB5">
        <w:rPr>
          <w:color w:val="000000" w:themeColor="text1"/>
          <w:sz w:val="28"/>
          <w:szCs w:val="28"/>
          <w:lang w:val="en-US"/>
        </w:rPr>
        <w:t xml:space="preserve">The </w:t>
      </w:r>
      <w:r w:rsidR="00975EEB" w:rsidRPr="00C22FB5">
        <w:rPr>
          <w:color w:val="000000" w:themeColor="text1"/>
          <w:sz w:val="28"/>
          <w:szCs w:val="28"/>
          <w:lang w:val="en-US"/>
        </w:rPr>
        <w:t>fate</w:t>
      </w:r>
      <w:r w:rsidR="00BD5CB1" w:rsidRPr="00C22FB5">
        <w:rPr>
          <w:color w:val="000000" w:themeColor="text1"/>
          <w:sz w:val="28"/>
          <w:szCs w:val="28"/>
          <w:lang w:val="en-US"/>
        </w:rPr>
        <w:t xml:space="preserve"> of the application for leave </w:t>
      </w:r>
      <w:r w:rsidR="00991145" w:rsidRPr="00C22FB5">
        <w:rPr>
          <w:color w:val="000000" w:themeColor="text1"/>
          <w:sz w:val="28"/>
          <w:szCs w:val="28"/>
          <w:lang w:val="en-US"/>
        </w:rPr>
        <w:t xml:space="preserve">is </w:t>
      </w:r>
      <w:r w:rsidR="00BD5CB1" w:rsidRPr="00C22FB5">
        <w:rPr>
          <w:color w:val="000000" w:themeColor="text1"/>
          <w:sz w:val="28"/>
          <w:szCs w:val="28"/>
          <w:lang w:val="en-US"/>
        </w:rPr>
        <w:t>depend</w:t>
      </w:r>
      <w:r w:rsidR="00991145" w:rsidRPr="00C22FB5">
        <w:rPr>
          <w:color w:val="000000" w:themeColor="text1"/>
          <w:sz w:val="28"/>
          <w:szCs w:val="28"/>
          <w:lang w:val="en-US"/>
        </w:rPr>
        <w:t>ent</w:t>
      </w:r>
      <w:r w:rsidR="00BD5CB1" w:rsidRPr="00C22FB5">
        <w:rPr>
          <w:color w:val="000000" w:themeColor="text1"/>
          <w:sz w:val="28"/>
          <w:szCs w:val="28"/>
          <w:lang w:val="en-US"/>
        </w:rPr>
        <w:t xml:space="preserve"> on proof to the satisfaction of this Court that</w:t>
      </w:r>
      <w:r w:rsidR="00975EEB" w:rsidRPr="00C22FB5">
        <w:rPr>
          <w:color w:val="000000" w:themeColor="text1"/>
          <w:sz w:val="28"/>
          <w:szCs w:val="28"/>
          <w:lang w:val="en-US"/>
        </w:rPr>
        <w:t xml:space="preserve"> the envisaged appeal would have a </w:t>
      </w:r>
      <w:r w:rsidR="00BD5CB1" w:rsidRPr="00C22FB5">
        <w:rPr>
          <w:color w:val="000000" w:themeColor="text1"/>
          <w:sz w:val="28"/>
          <w:szCs w:val="28"/>
          <w:lang w:val="en-US"/>
        </w:rPr>
        <w:t>reasonable prospect</w:t>
      </w:r>
      <w:r w:rsidR="001B088E" w:rsidRPr="00C22FB5">
        <w:rPr>
          <w:color w:val="000000" w:themeColor="text1"/>
          <w:sz w:val="28"/>
          <w:szCs w:val="28"/>
          <w:lang w:val="en-US"/>
        </w:rPr>
        <w:t xml:space="preserve"> </w:t>
      </w:r>
      <w:r w:rsidR="003819B5" w:rsidRPr="00C22FB5">
        <w:rPr>
          <w:color w:val="000000" w:themeColor="text1"/>
          <w:sz w:val="28"/>
          <w:szCs w:val="28"/>
          <w:lang w:val="en-US"/>
        </w:rPr>
        <w:t xml:space="preserve">of success </w:t>
      </w:r>
      <w:r w:rsidR="001B088E" w:rsidRPr="00C22FB5">
        <w:rPr>
          <w:color w:val="000000" w:themeColor="text1"/>
          <w:sz w:val="28"/>
          <w:szCs w:val="28"/>
          <w:lang w:val="en-US"/>
        </w:rPr>
        <w:t xml:space="preserve">or </w:t>
      </w:r>
      <w:r w:rsidR="003819B5" w:rsidRPr="00C22FB5">
        <w:rPr>
          <w:color w:val="000000" w:themeColor="text1"/>
          <w:sz w:val="28"/>
          <w:szCs w:val="28"/>
          <w:lang w:val="en-US"/>
        </w:rPr>
        <w:t xml:space="preserve">that </w:t>
      </w:r>
      <w:r w:rsidR="001B088E" w:rsidRPr="00C22FB5">
        <w:rPr>
          <w:color w:val="000000" w:themeColor="text1"/>
          <w:sz w:val="28"/>
          <w:szCs w:val="28"/>
          <w:lang w:val="en-US"/>
        </w:rPr>
        <w:t>there is some other compelling reason</w:t>
      </w:r>
      <w:r w:rsidR="001B088E" w:rsidRPr="00C22FB5">
        <w:rPr>
          <w:sz w:val="28"/>
          <w:szCs w:val="28"/>
          <w:lang w:val="en-US"/>
        </w:rPr>
        <w:t xml:space="preserve"> why the appeal should be heard as envisaged in s</w:t>
      </w:r>
      <w:r w:rsidR="00C125AA" w:rsidRPr="00C22FB5">
        <w:rPr>
          <w:sz w:val="28"/>
          <w:szCs w:val="28"/>
          <w:lang w:val="en-US"/>
        </w:rPr>
        <w:t>ubsections</w:t>
      </w:r>
      <w:r w:rsidR="001B088E" w:rsidRPr="00C22FB5">
        <w:rPr>
          <w:sz w:val="28"/>
          <w:szCs w:val="28"/>
          <w:lang w:val="en-US"/>
        </w:rPr>
        <w:t xml:space="preserve"> 17(1)(</w:t>
      </w:r>
      <w:r w:rsidR="001B088E" w:rsidRPr="00C22FB5">
        <w:rPr>
          <w:i/>
          <w:sz w:val="28"/>
          <w:szCs w:val="28"/>
          <w:lang w:val="en-US"/>
        </w:rPr>
        <w:t>a</w:t>
      </w:r>
      <w:r w:rsidR="001B088E" w:rsidRPr="00C22FB5">
        <w:rPr>
          <w:sz w:val="28"/>
          <w:szCs w:val="28"/>
          <w:lang w:val="en-US"/>
        </w:rPr>
        <w:t>)(i) and (ii) of the Superior Court Act,</w:t>
      </w:r>
      <w:r w:rsidR="001B088E" w:rsidRPr="002B4807">
        <w:rPr>
          <w:rStyle w:val="FootnoteReference"/>
          <w:sz w:val="28"/>
          <w:szCs w:val="28"/>
          <w:lang w:val="en-US"/>
        </w:rPr>
        <w:footnoteReference w:id="4"/>
      </w:r>
      <w:r w:rsidR="001B088E" w:rsidRPr="00C22FB5">
        <w:rPr>
          <w:sz w:val="28"/>
          <w:szCs w:val="28"/>
          <w:lang w:val="en-US"/>
        </w:rPr>
        <w:t xml:space="preserve"> </w:t>
      </w:r>
      <w:r w:rsidR="00BD5CB1" w:rsidRPr="00C22FB5">
        <w:rPr>
          <w:sz w:val="28"/>
          <w:szCs w:val="28"/>
          <w:lang w:val="en-US"/>
        </w:rPr>
        <w:t xml:space="preserve">respectively. </w:t>
      </w:r>
    </w:p>
    <w:p w14:paraId="02513DC1" w14:textId="77777777" w:rsidR="00494D17" w:rsidRPr="002B4807" w:rsidRDefault="00494D17" w:rsidP="00207DB4">
      <w:pPr>
        <w:pStyle w:val="ListParagraph"/>
        <w:spacing w:line="360" w:lineRule="auto"/>
        <w:ind w:left="0"/>
        <w:jc w:val="both"/>
        <w:rPr>
          <w:sz w:val="28"/>
          <w:szCs w:val="28"/>
          <w:lang w:val="en-US"/>
        </w:rPr>
      </w:pPr>
    </w:p>
    <w:p w14:paraId="01BAD3C2" w14:textId="653671DC" w:rsidR="00BD5CB1" w:rsidRPr="00C22FB5" w:rsidRDefault="00C22FB5" w:rsidP="00C22FB5">
      <w:pPr>
        <w:spacing w:line="360" w:lineRule="auto"/>
        <w:jc w:val="both"/>
        <w:rPr>
          <w:sz w:val="28"/>
          <w:szCs w:val="28"/>
          <w:lang w:val="en-US"/>
        </w:rPr>
      </w:pPr>
      <w:r w:rsidRPr="002B4807">
        <w:rPr>
          <w:sz w:val="28"/>
          <w:szCs w:val="28"/>
          <w:lang w:val="en-US"/>
        </w:rPr>
        <w:t>[6]</w:t>
      </w:r>
      <w:r w:rsidRPr="002B4807">
        <w:rPr>
          <w:sz w:val="28"/>
          <w:szCs w:val="28"/>
          <w:lang w:val="en-US"/>
        </w:rPr>
        <w:tab/>
      </w:r>
      <w:r w:rsidR="00BD5CB1" w:rsidRPr="00C22FB5">
        <w:rPr>
          <w:sz w:val="28"/>
          <w:szCs w:val="28"/>
          <w:lang w:val="en-US"/>
        </w:rPr>
        <w:t xml:space="preserve">Regard being had to the papers filed in support of the application for leave and hearing </w:t>
      </w:r>
      <w:r w:rsidR="00B327E2" w:rsidRPr="00C22FB5">
        <w:rPr>
          <w:sz w:val="28"/>
          <w:szCs w:val="28"/>
          <w:lang w:val="en-US"/>
        </w:rPr>
        <w:t xml:space="preserve">argument by </w:t>
      </w:r>
      <w:r w:rsidR="00BD5CB1" w:rsidRPr="00C22FB5">
        <w:rPr>
          <w:sz w:val="28"/>
          <w:szCs w:val="28"/>
          <w:lang w:val="en-US"/>
        </w:rPr>
        <w:t xml:space="preserve">counsel, </w:t>
      </w:r>
      <w:r w:rsidR="009F7332" w:rsidRPr="00C22FB5">
        <w:rPr>
          <w:sz w:val="28"/>
          <w:szCs w:val="28"/>
          <w:lang w:val="en-US"/>
        </w:rPr>
        <w:t>I am satisfied</w:t>
      </w:r>
      <w:r w:rsidR="00BD5CB1" w:rsidRPr="00C22FB5">
        <w:rPr>
          <w:sz w:val="28"/>
          <w:szCs w:val="28"/>
          <w:lang w:val="en-US"/>
        </w:rPr>
        <w:t xml:space="preserve"> that the application for leave pass</w:t>
      </w:r>
      <w:r w:rsidR="00B327E2" w:rsidRPr="00C22FB5">
        <w:rPr>
          <w:sz w:val="28"/>
          <w:szCs w:val="28"/>
          <w:lang w:val="en-US"/>
        </w:rPr>
        <w:t>es</w:t>
      </w:r>
      <w:r w:rsidR="00BD5CB1" w:rsidRPr="00C22FB5">
        <w:rPr>
          <w:sz w:val="28"/>
          <w:szCs w:val="28"/>
          <w:lang w:val="en-US"/>
        </w:rPr>
        <w:t xml:space="preserve"> muster. </w:t>
      </w:r>
      <w:r w:rsidR="001B088E" w:rsidRPr="00C22FB5">
        <w:rPr>
          <w:sz w:val="28"/>
          <w:szCs w:val="28"/>
          <w:lang w:val="en-US"/>
        </w:rPr>
        <w:t>T</w:t>
      </w:r>
      <w:r w:rsidR="00BD5CB1" w:rsidRPr="00C22FB5">
        <w:rPr>
          <w:sz w:val="28"/>
          <w:szCs w:val="28"/>
          <w:lang w:val="en-US"/>
        </w:rPr>
        <w:t xml:space="preserve">he appeal raises important questions of law, such as whether a servitude involving reservation of rights of access to use and enjoyment of a garden by </w:t>
      </w:r>
      <w:r w:rsidR="008D0D15" w:rsidRPr="00C22FB5">
        <w:rPr>
          <w:sz w:val="28"/>
          <w:szCs w:val="28"/>
          <w:lang w:val="en-US"/>
        </w:rPr>
        <w:t>Ms Berzack</w:t>
      </w:r>
      <w:r w:rsidR="009B06D7" w:rsidRPr="00C22FB5">
        <w:rPr>
          <w:sz w:val="28"/>
          <w:szCs w:val="28"/>
          <w:lang w:val="en-US"/>
        </w:rPr>
        <w:t>,</w:t>
      </w:r>
      <w:r w:rsidR="00BD5CB1" w:rsidRPr="00C22FB5">
        <w:rPr>
          <w:sz w:val="28"/>
          <w:szCs w:val="28"/>
          <w:lang w:val="en-US"/>
        </w:rPr>
        <w:t xml:space="preserve"> </w:t>
      </w:r>
      <w:r w:rsidR="001B088E" w:rsidRPr="00C22FB5">
        <w:rPr>
          <w:sz w:val="28"/>
          <w:szCs w:val="28"/>
          <w:lang w:val="en-US"/>
        </w:rPr>
        <w:t xml:space="preserve">registered against </w:t>
      </w:r>
      <w:r w:rsidR="00BD5CB1" w:rsidRPr="00C22FB5">
        <w:rPr>
          <w:sz w:val="28"/>
          <w:szCs w:val="28"/>
          <w:lang w:val="en-US"/>
        </w:rPr>
        <w:t xml:space="preserve">the property of </w:t>
      </w:r>
      <w:r w:rsidR="008D0D15" w:rsidRPr="00C22FB5">
        <w:rPr>
          <w:sz w:val="28"/>
          <w:szCs w:val="28"/>
          <w:lang w:val="en-US"/>
        </w:rPr>
        <w:t>Huntrex 277</w:t>
      </w:r>
      <w:r w:rsidR="009B06D7" w:rsidRPr="00C22FB5">
        <w:rPr>
          <w:sz w:val="28"/>
          <w:szCs w:val="28"/>
          <w:lang w:val="en-US"/>
        </w:rPr>
        <w:t>,</w:t>
      </w:r>
      <w:r w:rsidR="00BD5CB1" w:rsidRPr="00C22FB5">
        <w:rPr>
          <w:sz w:val="28"/>
          <w:szCs w:val="28"/>
          <w:lang w:val="en-US"/>
        </w:rPr>
        <w:t xml:space="preserve"> is a praedial </w:t>
      </w:r>
      <w:r w:rsidR="009B06D7" w:rsidRPr="00C22FB5">
        <w:rPr>
          <w:sz w:val="28"/>
          <w:szCs w:val="28"/>
          <w:lang w:val="en-US"/>
        </w:rPr>
        <w:t xml:space="preserve">servitude </w:t>
      </w:r>
      <w:r w:rsidR="00BD5CB1" w:rsidRPr="00C22FB5">
        <w:rPr>
          <w:sz w:val="28"/>
          <w:szCs w:val="28"/>
          <w:lang w:val="en-US"/>
        </w:rPr>
        <w:t xml:space="preserve">or </w:t>
      </w:r>
      <w:r w:rsidR="009B06D7" w:rsidRPr="00C22FB5">
        <w:rPr>
          <w:sz w:val="28"/>
          <w:szCs w:val="28"/>
          <w:lang w:val="en-US"/>
        </w:rPr>
        <w:t xml:space="preserve">a </w:t>
      </w:r>
      <w:r w:rsidR="00BD5CB1" w:rsidRPr="00C22FB5">
        <w:rPr>
          <w:sz w:val="28"/>
          <w:szCs w:val="28"/>
          <w:lang w:val="en-US"/>
        </w:rPr>
        <w:t xml:space="preserve">personal servitude of </w:t>
      </w:r>
      <w:r w:rsidR="00BD5CB1" w:rsidRPr="00C22FB5">
        <w:rPr>
          <w:i/>
          <w:iCs/>
          <w:sz w:val="28"/>
          <w:szCs w:val="28"/>
          <w:lang w:val="en-US"/>
        </w:rPr>
        <w:t>usus</w:t>
      </w:r>
      <w:r w:rsidR="00942B6A" w:rsidRPr="00C22FB5">
        <w:rPr>
          <w:i/>
          <w:iCs/>
          <w:sz w:val="28"/>
          <w:szCs w:val="28"/>
          <w:lang w:val="en-US"/>
        </w:rPr>
        <w:t xml:space="preserve"> </w:t>
      </w:r>
      <w:r w:rsidR="00942B6A" w:rsidRPr="00C22FB5">
        <w:rPr>
          <w:sz w:val="28"/>
          <w:szCs w:val="28"/>
          <w:lang w:val="en-US"/>
        </w:rPr>
        <w:t>and</w:t>
      </w:r>
      <w:r w:rsidR="00075D6A" w:rsidRPr="00C22FB5">
        <w:rPr>
          <w:sz w:val="28"/>
          <w:szCs w:val="28"/>
          <w:lang w:val="en-US"/>
        </w:rPr>
        <w:t>,</w:t>
      </w:r>
      <w:r w:rsidR="00BD5CB1" w:rsidRPr="00C22FB5">
        <w:rPr>
          <w:i/>
          <w:iCs/>
          <w:sz w:val="28"/>
          <w:szCs w:val="28"/>
          <w:lang w:val="en-US"/>
        </w:rPr>
        <w:t xml:space="preserve"> </w:t>
      </w:r>
      <w:r w:rsidR="001B088E" w:rsidRPr="00C22FB5">
        <w:rPr>
          <w:sz w:val="28"/>
          <w:szCs w:val="28"/>
          <w:lang w:val="en-US"/>
        </w:rPr>
        <w:t>therefore</w:t>
      </w:r>
      <w:r w:rsidR="00075D6A" w:rsidRPr="00C22FB5">
        <w:rPr>
          <w:sz w:val="28"/>
          <w:szCs w:val="28"/>
          <w:lang w:val="en-US"/>
        </w:rPr>
        <w:t>,</w:t>
      </w:r>
      <w:r w:rsidR="001B088E" w:rsidRPr="00C22FB5">
        <w:rPr>
          <w:sz w:val="28"/>
          <w:szCs w:val="28"/>
          <w:lang w:val="en-US"/>
        </w:rPr>
        <w:t xml:space="preserve"> hit by the prohibition located in</w:t>
      </w:r>
      <w:r w:rsidR="00BD5CB1" w:rsidRPr="00C22FB5">
        <w:rPr>
          <w:sz w:val="28"/>
          <w:szCs w:val="28"/>
          <w:lang w:val="en-US"/>
        </w:rPr>
        <w:t xml:space="preserve"> s 66 of the </w:t>
      </w:r>
      <w:r w:rsidR="00BD5CB1" w:rsidRPr="00C22FB5">
        <w:rPr>
          <w:color w:val="000000" w:themeColor="text1"/>
          <w:sz w:val="28"/>
          <w:szCs w:val="28"/>
          <w:lang w:val="en-US"/>
        </w:rPr>
        <w:t>Deeds</w:t>
      </w:r>
      <w:r w:rsidR="00C438F2" w:rsidRPr="00C22FB5">
        <w:rPr>
          <w:color w:val="000000" w:themeColor="text1"/>
          <w:sz w:val="28"/>
          <w:szCs w:val="28"/>
          <w:lang w:val="en-US"/>
        </w:rPr>
        <w:t xml:space="preserve"> Registries</w:t>
      </w:r>
      <w:r w:rsidR="00BD5CB1" w:rsidRPr="00C22FB5">
        <w:rPr>
          <w:color w:val="000000" w:themeColor="text1"/>
          <w:sz w:val="28"/>
          <w:szCs w:val="28"/>
          <w:lang w:val="en-US"/>
        </w:rPr>
        <w:t xml:space="preserve"> Act</w:t>
      </w:r>
      <w:r w:rsidR="00C438F2" w:rsidRPr="00C22FB5">
        <w:rPr>
          <w:color w:val="000000" w:themeColor="text1"/>
          <w:sz w:val="28"/>
          <w:szCs w:val="28"/>
          <w:lang w:val="en-US"/>
        </w:rPr>
        <w:t xml:space="preserve"> 47 of 1937 (Deeds Registries Act)</w:t>
      </w:r>
      <w:r w:rsidR="002E56FD" w:rsidRPr="00C22FB5">
        <w:rPr>
          <w:bCs/>
          <w:sz w:val="28"/>
          <w:szCs w:val="28"/>
          <w:lang w:val="en-US"/>
        </w:rPr>
        <w:t>.</w:t>
      </w:r>
      <w:r w:rsidR="002E56FD" w:rsidRPr="002B4807">
        <w:rPr>
          <w:rStyle w:val="FootnoteReference"/>
          <w:bCs/>
          <w:sz w:val="28"/>
          <w:szCs w:val="28"/>
          <w:lang w:val="en-US"/>
        </w:rPr>
        <w:footnoteReference w:id="5"/>
      </w:r>
      <w:r w:rsidR="002E56FD" w:rsidRPr="00C22FB5">
        <w:rPr>
          <w:b/>
          <w:bCs/>
          <w:sz w:val="28"/>
          <w:szCs w:val="28"/>
          <w:lang w:val="en-US"/>
        </w:rPr>
        <w:t xml:space="preserve"> </w:t>
      </w:r>
    </w:p>
    <w:p w14:paraId="62383F23" w14:textId="77777777" w:rsidR="00A95C49" w:rsidRPr="002B4807" w:rsidRDefault="00A95C49" w:rsidP="00207DB4">
      <w:pPr>
        <w:pStyle w:val="ListParagraph"/>
        <w:spacing w:line="360" w:lineRule="auto"/>
        <w:ind w:left="0"/>
        <w:jc w:val="both"/>
        <w:rPr>
          <w:b/>
          <w:sz w:val="28"/>
          <w:szCs w:val="28"/>
          <w:lang w:val="en-US"/>
        </w:rPr>
      </w:pPr>
      <w:r w:rsidRPr="002B4807">
        <w:rPr>
          <w:b/>
          <w:sz w:val="28"/>
          <w:szCs w:val="28"/>
          <w:lang w:val="en-US"/>
        </w:rPr>
        <w:lastRenderedPageBreak/>
        <w:t xml:space="preserve">Background </w:t>
      </w:r>
    </w:p>
    <w:p w14:paraId="22DB1721" w14:textId="213B4A44" w:rsidR="002E56FD" w:rsidRPr="00C22FB5" w:rsidRDefault="00C22FB5" w:rsidP="00C22FB5">
      <w:pPr>
        <w:spacing w:line="360" w:lineRule="auto"/>
        <w:jc w:val="both"/>
        <w:rPr>
          <w:sz w:val="28"/>
          <w:szCs w:val="28"/>
          <w:lang w:val="en-US"/>
        </w:rPr>
      </w:pPr>
      <w:r w:rsidRPr="002B4807">
        <w:rPr>
          <w:sz w:val="28"/>
          <w:szCs w:val="28"/>
          <w:lang w:val="en-US"/>
        </w:rPr>
        <w:t>[7]</w:t>
      </w:r>
      <w:r w:rsidRPr="002B4807">
        <w:rPr>
          <w:sz w:val="28"/>
          <w:szCs w:val="28"/>
          <w:lang w:val="en-US"/>
        </w:rPr>
        <w:tab/>
      </w:r>
      <w:r w:rsidR="00457323" w:rsidRPr="00C22FB5">
        <w:rPr>
          <w:sz w:val="28"/>
          <w:szCs w:val="28"/>
          <w:lang w:val="en-US"/>
        </w:rPr>
        <w:t>The facts</w:t>
      </w:r>
      <w:r w:rsidR="00370D22" w:rsidRPr="00C22FB5">
        <w:rPr>
          <w:sz w:val="28"/>
          <w:szCs w:val="28"/>
          <w:lang w:val="en-US"/>
        </w:rPr>
        <w:t xml:space="preserve"> of this matter</w:t>
      </w:r>
      <w:r w:rsidR="00942B6A" w:rsidRPr="00C22FB5">
        <w:rPr>
          <w:sz w:val="28"/>
          <w:szCs w:val="28"/>
          <w:lang w:val="en-US"/>
        </w:rPr>
        <w:t xml:space="preserve"> </w:t>
      </w:r>
      <w:r w:rsidR="00457323" w:rsidRPr="00C22FB5">
        <w:rPr>
          <w:sz w:val="28"/>
          <w:szCs w:val="28"/>
          <w:lang w:val="en-US"/>
        </w:rPr>
        <w:t xml:space="preserve">are not in dispute. </w:t>
      </w:r>
      <w:r w:rsidR="001B088E" w:rsidRPr="00C22FB5">
        <w:rPr>
          <w:sz w:val="28"/>
          <w:szCs w:val="28"/>
          <w:lang w:val="en-US"/>
        </w:rPr>
        <w:t>Ms Berzack</w:t>
      </w:r>
      <w:r w:rsidR="00457323" w:rsidRPr="00C22FB5">
        <w:rPr>
          <w:sz w:val="28"/>
          <w:szCs w:val="28"/>
          <w:lang w:val="en-US"/>
        </w:rPr>
        <w:t xml:space="preserve"> is the owner of a residential property which is described as the remainder of </w:t>
      </w:r>
      <w:r w:rsidR="001B088E" w:rsidRPr="00C22FB5">
        <w:rPr>
          <w:sz w:val="28"/>
          <w:szCs w:val="28"/>
          <w:lang w:val="en-US"/>
        </w:rPr>
        <w:t>e</w:t>
      </w:r>
      <w:r w:rsidR="00457323" w:rsidRPr="00C22FB5">
        <w:rPr>
          <w:sz w:val="28"/>
          <w:szCs w:val="28"/>
          <w:lang w:val="en-US"/>
        </w:rPr>
        <w:t xml:space="preserve">rf 380, Constantia. </w:t>
      </w:r>
      <w:r w:rsidR="001B088E" w:rsidRPr="00C22FB5">
        <w:rPr>
          <w:sz w:val="28"/>
          <w:szCs w:val="28"/>
          <w:lang w:val="en-US"/>
        </w:rPr>
        <w:t xml:space="preserve">Huntrex </w:t>
      </w:r>
      <w:r w:rsidR="009F7332" w:rsidRPr="00C22FB5">
        <w:rPr>
          <w:sz w:val="28"/>
          <w:szCs w:val="28"/>
          <w:lang w:val="en-US"/>
        </w:rPr>
        <w:t>277, too,</w:t>
      </w:r>
      <w:r w:rsidR="00457323" w:rsidRPr="00C22FB5">
        <w:rPr>
          <w:sz w:val="28"/>
          <w:szCs w:val="28"/>
          <w:lang w:val="en-US"/>
        </w:rPr>
        <w:t xml:space="preserve"> is the owner of </w:t>
      </w:r>
      <w:r w:rsidR="00C438F2" w:rsidRPr="00C22FB5">
        <w:rPr>
          <w:sz w:val="28"/>
          <w:szCs w:val="28"/>
          <w:lang w:val="en-US"/>
        </w:rPr>
        <w:t>the</w:t>
      </w:r>
      <w:r w:rsidR="00457323" w:rsidRPr="00C22FB5">
        <w:rPr>
          <w:sz w:val="28"/>
          <w:szCs w:val="28"/>
          <w:lang w:val="en-US"/>
        </w:rPr>
        <w:t xml:space="preserve"> residential property described as </w:t>
      </w:r>
      <w:r w:rsidR="001B088E" w:rsidRPr="00C22FB5">
        <w:rPr>
          <w:sz w:val="28"/>
          <w:szCs w:val="28"/>
          <w:lang w:val="en-US"/>
        </w:rPr>
        <w:t>e</w:t>
      </w:r>
      <w:r w:rsidR="00457323" w:rsidRPr="00C22FB5">
        <w:rPr>
          <w:sz w:val="28"/>
          <w:szCs w:val="28"/>
          <w:lang w:val="en-US"/>
        </w:rPr>
        <w:t>rf 8478, a portion of</w:t>
      </w:r>
      <w:r w:rsidR="004C0E2A" w:rsidRPr="00C22FB5">
        <w:rPr>
          <w:sz w:val="28"/>
          <w:szCs w:val="28"/>
          <w:lang w:val="en-US"/>
        </w:rPr>
        <w:t xml:space="preserve"> the original</w:t>
      </w:r>
      <w:r w:rsidR="00457323" w:rsidRPr="00C22FB5">
        <w:rPr>
          <w:sz w:val="28"/>
          <w:szCs w:val="28"/>
          <w:lang w:val="en-US"/>
        </w:rPr>
        <w:t xml:space="preserve"> </w:t>
      </w:r>
      <w:r w:rsidR="001B088E" w:rsidRPr="00C22FB5">
        <w:rPr>
          <w:sz w:val="28"/>
          <w:szCs w:val="28"/>
          <w:lang w:val="en-US"/>
        </w:rPr>
        <w:t>e</w:t>
      </w:r>
      <w:r w:rsidR="00457323" w:rsidRPr="00C22FB5">
        <w:rPr>
          <w:sz w:val="28"/>
          <w:szCs w:val="28"/>
          <w:lang w:val="en-US"/>
        </w:rPr>
        <w:t xml:space="preserve">rf 380, Constantia. </w:t>
      </w:r>
      <w:r w:rsidR="00686687" w:rsidRPr="00C22FB5">
        <w:rPr>
          <w:sz w:val="28"/>
          <w:szCs w:val="28"/>
          <w:lang w:val="en-US"/>
        </w:rPr>
        <w:t>For convenience, t</w:t>
      </w:r>
      <w:r w:rsidR="00457323" w:rsidRPr="00C22FB5">
        <w:rPr>
          <w:sz w:val="28"/>
          <w:szCs w:val="28"/>
          <w:lang w:val="en-US"/>
        </w:rPr>
        <w:t xml:space="preserve">hese residential properties will be referred to as the </w:t>
      </w:r>
      <w:r w:rsidR="002E56FD" w:rsidRPr="00C22FB5">
        <w:rPr>
          <w:sz w:val="28"/>
          <w:szCs w:val="28"/>
          <w:lang w:val="en-US"/>
        </w:rPr>
        <w:t>‘</w:t>
      </w:r>
      <w:r w:rsidR="00457323" w:rsidRPr="00C22FB5">
        <w:rPr>
          <w:sz w:val="28"/>
          <w:szCs w:val="28"/>
          <w:lang w:val="en-US"/>
        </w:rPr>
        <w:t>Berzack property</w:t>
      </w:r>
      <w:r w:rsidR="002E56FD" w:rsidRPr="00C22FB5">
        <w:rPr>
          <w:sz w:val="28"/>
          <w:szCs w:val="28"/>
          <w:lang w:val="en-US"/>
        </w:rPr>
        <w:t>’</w:t>
      </w:r>
      <w:r w:rsidR="00457323" w:rsidRPr="00C22FB5">
        <w:rPr>
          <w:sz w:val="28"/>
          <w:szCs w:val="28"/>
          <w:lang w:val="en-US"/>
        </w:rPr>
        <w:t xml:space="preserve"> and </w:t>
      </w:r>
      <w:r w:rsidR="002E56FD" w:rsidRPr="00C22FB5">
        <w:rPr>
          <w:sz w:val="28"/>
          <w:szCs w:val="28"/>
          <w:lang w:val="en-US"/>
        </w:rPr>
        <w:t>‘</w:t>
      </w:r>
      <w:r w:rsidR="00457323" w:rsidRPr="00C22FB5">
        <w:rPr>
          <w:sz w:val="28"/>
          <w:szCs w:val="28"/>
          <w:lang w:val="en-US"/>
        </w:rPr>
        <w:t>Huntrex</w:t>
      </w:r>
      <w:r w:rsidR="00686687" w:rsidRPr="00C22FB5">
        <w:rPr>
          <w:sz w:val="28"/>
          <w:szCs w:val="28"/>
          <w:lang w:val="en-US"/>
        </w:rPr>
        <w:t xml:space="preserve"> 277</w:t>
      </w:r>
      <w:r w:rsidR="00457323" w:rsidRPr="00C22FB5">
        <w:rPr>
          <w:sz w:val="28"/>
          <w:szCs w:val="28"/>
          <w:lang w:val="en-US"/>
        </w:rPr>
        <w:t xml:space="preserve"> property</w:t>
      </w:r>
      <w:r w:rsidR="002E56FD" w:rsidRPr="00C22FB5">
        <w:rPr>
          <w:sz w:val="28"/>
          <w:szCs w:val="28"/>
          <w:lang w:val="en-US"/>
        </w:rPr>
        <w:t>’</w:t>
      </w:r>
      <w:r w:rsidR="00760413" w:rsidRPr="00C22FB5">
        <w:rPr>
          <w:sz w:val="28"/>
          <w:szCs w:val="28"/>
          <w:lang w:val="en-US"/>
        </w:rPr>
        <w:t xml:space="preserve"> </w:t>
      </w:r>
      <w:r w:rsidR="00457323" w:rsidRPr="00C22FB5">
        <w:rPr>
          <w:sz w:val="28"/>
          <w:szCs w:val="28"/>
          <w:lang w:val="en-US"/>
        </w:rPr>
        <w:t>respectively</w:t>
      </w:r>
      <w:r w:rsidR="00686687" w:rsidRPr="00C22FB5">
        <w:rPr>
          <w:sz w:val="28"/>
          <w:szCs w:val="28"/>
          <w:lang w:val="en-US"/>
        </w:rPr>
        <w:t>.</w:t>
      </w:r>
      <w:r w:rsidR="00457323" w:rsidRPr="00C22FB5">
        <w:rPr>
          <w:sz w:val="28"/>
          <w:szCs w:val="28"/>
          <w:lang w:val="en-US"/>
        </w:rPr>
        <w:t xml:space="preserve"> </w:t>
      </w:r>
      <w:r w:rsidR="00C438F2" w:rsidRPr="00C22FB5">
        <w:rPr>
          <w:color w:val="000000" w:themeColor="text1"/>
          <w:sz w:val="28"/>
          <w:szCs w:val="28"/>
          <w:lang w:val="en-US"/>
        </w:rPr>
        <w:t>The Huntrex 277 property is the subdivision carved out of the original erf 380</w:t>
      </w:r>
      <w:r w:rsidR="00370D22" w:rsidRPr="00C22FB5">
        <w:rPr>
          <w:color w:val="000000" w:themeColor="text1"/>
          <w:sz w:val="28"/>
          <w:szCs w:val="28"/>
          <w:lang w:val="en-US"/>
        </w:rPr>
        <w:t xml:space="preserve">, which had been registered in the name of </w:t>
      </w:r>
      <w:r w:rsidR="00686687" w:rsidRPr="00C22FB5">
        <w:rPr>
          <w:color w:val="000000" w:themeColor="text1"/>
          <w:sz w:val="28"/>
          <w:szCs w:val="28"/>
          <w:lang w:val="en-US"/>
        </w:rPr>
        <w:t>Ms Berzack</w:t>
      </w:r>
      <w:r w:rsidR="002A65D8" w:rsidRPr="00C22FB5">
        <w:rPr>
          <w:color w:val="000000" w:themeColor="text1"/>
          <w:sz w:val="28"/>
          <w:szCs w:val="28"/>
          <w:lang w:val="en-US"/>
        </w:rPr>
        <w:t xml:space="preserve"> </w:t>
      </w:r>
      <w:r w:rsidR="00286129" w:rsidRPr="00C22FB5">
        <w:rPr>
          <w:color w:val="000000" w:themeColor="text1"/>
          <w:sz w:val="28"/>
          <w:szCs w:val="28"/>
          <w:lang w:val="en-US"/>
        </w:rPr>
        <w:t>o</w:t>
      </w:r>
      <w:r w:rsidR="00457323" w:rsidRPr="00C22FB5">
        <w:rPr>
          <w:color w:val="000000" w:themeColor="text1"/>
          <w:sz w:val="28"/>
          <w:szCs w:val="28"/>
          <w:lang w:val="en-US"/>
        </w:rPr>
        <w:t>n 31</w:t>
      </w:r>
      <w:r w:rsidR="00217D9E" w:rsidRPr="00C22FB5">
        <w:rPr>
          <w:color w:val="000000" w:themeColor="text1"/>
          <w:sz w:val="28"/>
          <w:szCs w:val="28"/>
          <w:lang w:val="en-US"/>
        </w:rPr>
        <w:t> </w:t>
      </w:r>
      <w:r w:rsidR="00457323" w:rsidRPr="00C22FB5">
        <w:rPr>
          <w:color w:val="000000" w:themeColor="text1"/>
          <w:sz w:val="28"/>
          <w:szCs w:val="28"/>
          <w:lang w:val="en-US"/>
        </w:rPr>
        <w:t>December 1970</w:t>
      </w:r>
      <w:r w:rsidR="00286129" w:rsidRPr="00C22FB5">
        <w:rPr>
          <w:color w:val="7030A0"/>
          <w:sz w:val="28"/>
          <w:szCs w:val="28"/>
          <w:lang w:val="en-US"/>
        </w:rPr>
        <w:t>.</w:t>
      </w:r>
      <w:r w:rsidR="00457323" w:rsidRPr="00C22FB5">
        <w:rPr>
          <w:sz w:val="28"/>
          <w:szCs w:val="28"/>
          <w:lang w:val="en-US"/>
        </w:rPr>
        <w:t xml:space="preserve"> At the time, </w:t>
      </w:r>
      <w:r w:rsidR="00686687" w:rsidRPr="00C22FB5">
        <w:rPr>
          <w:sz w:val="28"/>
          <w:szCs w:val="28"/>
          <w:lang w:val="en-US"/>
        </w:rPr>
        <w:t>e</w:t>
      </w:r>
      <w:r w:rsidR="00BB32A0" w:rsidRPr="00C22FB5">
        <w:rPr>
          <w:sz w:val="28"/>
          <w:szCs w:val="28"/>
          <w:lang w:val="en-US"/>
        </w:rPr>
        <w:t xml:space="preserve">rf </w:t>
      </w:r>
      <w:r w:rsidR="00457323" w:rsidRPr="00C22FB5">
        <w:rPr>
          <w:sz w:val="28"/>
          <w:szCs w:val="28"/>
          <w:lang w:val="en-US"/>
        </w:rPr>
        <w:t>380</w:t>
      </w:r>
      <w:r w:rsidR="00BB32A0" w:rsidRPr="00C22FB5">
        <w:rPr>
          <w:sz w:val="28"/>
          <w:szCs w:val="28"/>
          <w:lang w:val="en-US"/>
        </w:rPr>
        <w:t xml:space="preserve"> </w:t>
      </w:r>
      <w:r w:rsidR="00457323" w:rsidRPr="00C22FB5">
        <w:rPr>
          <w:sz w:val="28"/>
          <w:szCs w:val="28"/>
          <w:lang w:val="en-US"/>
        </w:rPr>
        <w:t>was an undivided residential property measuring 833</w:t>
      </w:r>
      <w:r w:rsidR="00AD5835" w:rsidRPr="00C22FB5">
        <w:rPr>
          <w:sz w:val="28"/>
          <w:szCs w:val="28"/>
          <w:lang w:val="en-US"/>
        </w:rPr>
        <w:t>1</w:t>
      </w:r>
      <w:r w:rsidR="00457323" w:rsidRPr="00C22FB5">
        <w:rPr>
          <w:sz w:val="28"/>
          <w:szCs w:val="28"/>
          <w:lang w:val="en-US"/>
        </w:rPr>
        <w:t>m² in extent</w:t>
      </w:r>
      <w:r w:rsidR="00286129" w:rsidRPr="00C22FB5">
        <w:rPr>
          <w:sz w:val="28"/>
          <w:szCs w:val="28"/>
          <w:lang w:val="en-US"/>
        </w:rPr>
        <w:t>. After taking occupation of the property</w:t>
      </w:r>
      <w:r w:rsidR="009F7332" w:rsidRPr="00C22FB5">
        <w:rPr>
          <w:color w:val="000000" w:themeColor="text1"/>
          <w:sz w:val="28"/>
          <w:szCs w:val="28"/>
          <w:lang w:val="en-US"/>
        </w:rPr>
        <w:t xml:space="preserve"> </w:t>
      </w:r>
      <w:r w:rsidR="009F7332" w:rsidRPr="00C22FB5">
        <w:rPr>
          <w:sz w:val="28"/>
          <w:szCs w:val="28"/>
          <w:lang w:val="en-US"/>
        </w:rPr>
        <w:t>from Mr M M Liebman</w:t>
      </w:r>
      <w:r w:rsidR="00286129" w:rsidRPr="00C22FB5">
        <w:rPr>
          <w:sz w:val="28"/>
          <w:szCs w:val="28"/>
          <w:lang w:val="en-US"/>
        </w:rPr>
        <w:t xml:space="preserve">, </w:t>
      </w:r>
      <w:r w:rsidR="009F7332" w:rsidRPr="00C22FB5">
        <w:rPr>
          <w:sz w:val="28"/>
          <w:szCs w:val="28"/>
          <w:lang w:val="en-US"/>
        </w:rPr>
        <w:t>Ms Berzack</w:t>
      </w:r>
      <w:r w:rsidR="00560A4C" w:rsidRPr="00C22FB5">
        <w:rPr>
          <w:sz w:val="28"/>
          <w:szCs w:val="28"/>
          <w:lang w:val="en-US"/>
        </w:rPr>
        <w:t xml:space="preserve"> </w:t>
      </w:r>
      <w:r w:rsidR="00286129" w:rsidRPr="00C22FB5">
        <w:rPr>
          <w:sz w:val="28"/>
          <w:szCs w:val="28"/>
          <w:lang w:val="en-US"/>
        </w:rPr>
        <w:t xml:space="preserve">created a </w:t>
      </w:r>
      <w:r w:rsidR="00560A4C" w:rsidRPr="00C22FB5">
        <w:rPr>
          <w:sz w:val="28"/>
          <w:szCs w:val="28"/>
          <w:lang w:val="en-US"/>
        </w:rPr>
        <w:t>garden westward of the house</w:t>
      </w:r>
      <w:r w:rsidR="00AA0679" w:rsidRPr="00C22FB5">
        <w:rPr>
          <w:sz w:val="28"/>
          <w:szCs w:val="28"/>
          <w:lang w:val="en-US"/>
        </w:rPr>
        <w:t xml:space="preserve"> and to a point</w:t>
      </w:r>
      <w:r w:rsidR="009A1373" w:rsidRPr="00C22FB5">
        <w:rPr>
          <w:sz w:val="28"/>
          <w:szCs w:val="28"/>
          <w:lang w:val="en-US"/>
        </w:rPr>
        <w:t xml:space="preserve"> beyond which the property was unused and left in its natural </w:t>
      </w:r>
      <w:r w:rsidR="002505B9" w:rsidRPr="00C22FB5">
        <w:rPr>
          <w:sz w:val="28"/>
          <w:szCs w:val="28"/>
          <w:lang w:val="en-US"/>
        </w:rPr>
        <w:t xml:space="preserve">vegetated </w:t>
      </w:r>
      <w:r w:rsidR="009A1373" w:rsidRPr="00C22FB5">
        <w:rPr>
          <w:sz w:val="28"/>
          <w:szCs w:val="28"/>
          <w:lang w:val="en-US"/>
        </w:rPr>
        <w:t xml:space="preserve">state. She went on to delineate that point with a wooden fence to cordon off the area of the property that was in use and to prevent vagrants from encroaching on it. She extended the wooden fence eastward to the poolside patio to </w:t>
      </w:r>
      <w:r w:rsidR="002505B9" w:rsidRPr="00C22FB5">
        <w:rPr>
          <w:sz w:val="28"/>
          <w:szCs w:val="28"/>
          <w:lang w:val="en-US"/>
        </w:rPr>
        <w:t xml:space="preserve">establish </w:t>
      </w:r>
      <w:r w:rsidR="009A1373" w:rsidRPr="00C22FB5">
        <w:rPr>
          <w:sz w:val="28"/>
          <w:szCs w:val="28"/>
          <w:lang w:val="en-US"/>
        </w:rPr>
        <w:t>a garden</w:t>
      </w:r>
      <w:r w:rsidR="00487ADD" w:rsidRPr="00C22FB5">
        <w:rPr>
          <w:sz w:val="28"/>
          <w:szCs w:val="28"/>
          <w:lang w:val="en-US"/>
        </w:rPr>
        <w:t xml:space="preserve">. </w:t>
      </w:r>
    </w:p>
    <w:p w14:paraId="4A1318AA" w14:textId="77777777" w:rsidR="002E56FD" w:rsidRPr="002B4807" w:rsidRDefault="002E56FD" w:rsidP="00207DB4">
      <w:pPr>
        <w:pStyle w:val="ListParagraph"/>
        <w:spacing w:line="360" w:lineRule="auto"/>
        <w:ind w:left="0"/>
        <w:jc w:val="both"/>
        <w:rPr>
          <w:sz w:val="28"/>
          <w:szCs w:val="28"/>
          <w:lang w:val="en-US"/>
        </w:rPr>
      </w:pPr>
    </w:p>
    <w:p w14:paraId="59A61D21" w14:textId="33159F35" w:rsidR="00457323" w:rsidRPr="00C22FB5" w:rsidRDefault="00C22FB5" w:rsidP="00C22FB5">
      <w:pPr>
        <w:spacing w:line="360" w:lineRule="auto"/>
        <w:jc w:val="both"/>
        <w:rPr>
          <w:sz w:val="28"/>
          <w:szCs w:val="28"/>
          <w:lang w:val="en-US"/>
        </w:rPr>
      </w:pPr>
      <w:r w:rsidRPr="002B4807">
        <w:rPr>
          <w:sz w:val="28"/>
          <w:szCs w:val="28"/>
          <w:lang w:val="en-US"/>
        </w:rPr>
        <w:t>[8]</w:t>
      </w:r>
      <w:r w:rsidRPr="002B4807">
        <w:rPr>
          <w:sz w:val="28"/>
          <w:szCs w:val="28"/>
          <w:lang w:val="en-US"/>
        </w:rPr>
        <w:tab/>
      </w:r>
      <w:r w:rsidR="00487ADD" w:rsidRPr="00C22FB5">
        <w:rPr>
          <w:sz w:val="28"/>
          <w:szCs w:val="28"/>
          <w:lang w:val="en-US"/>
        </w:rPr>
        <w:t xml:space="preserve">Troubled by issues of safety posed by the undeveloped western side of the property, </w:t>
      </w:r>
      <w:r w:rsidR="008D0D15" w:rsidRPr="00C22FB5">
        <w:rPr>
          <w:sz w:val="28"/>
          <w:szCs w:val="28"/>
          <w:lang w:val="en-US"/>
        </w:rPr>
        <w:t xml:space="preserve">Ms Berzack </w:t>
      </w:r>
      <w:r w:rsidR="00487ADD" w:rsidRPr="00C22FB5">
        <w:rPr>
          <w:sz w:val="28"/>
          <w:szCs w:val="28"/>
          <w:lang w:val="en-US"/>
        </w:rPr>
        <w:t>took a decision to subdivide the property and sell</w:t>
      </w:r>
      <w:r w:rsidR="00FB5AA7" w:rsidRPr="00C22FB5">
        <w:rPr>
          <w:sz w:val="28"/>
          <w:szCs w:val="28"/>
          <w:lang w:val="en-US"/>
        </w:rPr>
        <w:t xml:space="preserve"> </w:t>
      </w:r>
      <w:r w:rsidR="00686687" w:rsidRPr="00C22FB5">
        <w:rPr>
          <w:sz w:val="28"/>
          <w:szCs w:val="28"/>
          <w:lang w:val="en-US"/>
        </w:rPr>
        <w:t xml:space="preserve">the </w:t>
      </w:r>
      <w:r w:rsidR="00487ADD" w:rsidRPr="00C22FB5">
        <w:rPr>
          <w:sz w:val="28"/>
          <w:szCs w:val="28"/>
          <w:lang w:val="en-US"/>
        </w:rPr>
        <w:t xml:space="preserve">portion that lay unused. </w:t>
      </w:r>
      <w:r w:rsidR="00686687" w:rsidRPr="00C22FB5">
        <w:rPr>
          <w:sz w:val="28"/>
          <w:szCs w:val="28"/>
          <w:lang w:val="en-US"/>
        </w:rPr>
        <w:t>Ms Berzack</w:t>
      </w:r>
      <w:r w:rsidR="00217D9E" w:rsidRPr="00C22FB5">
        <w:rPr>
          <w:sz w:val="28"/>
          <w:szCs w:val="28"/>
          <w:lang w:val="en-US"/>
        </w:rPr>
        <w:t>’s</w:t>
      </w:r>
      <w:r w:rsidR="00686687" w:rsidRPr="00C22FB5">
        <w:rPr>
          <w:sz w:val="28"/>
          <w:szCs w:val="28"/>
          <w:lang w:val="en-US"/>
        </w:rPr>
        <w:t xml:space="preserve"> </w:t>
      </w:r>
      <w:r w:rsidR="00487ADD" w:rsidRPr="00C22FB5">
        <w:rPr>
          <w:sz w:val="28"/>
          <w:szCs w:val="28"/>
          <w:lang w:val="en-US"/>
        </w:rPr>
        <w:t xml:space="preserve">intention at the time was to align the subdivision </w:t>
      </w:r>
      <w:r w:rsidR="00883615" w:rsidRPr="00C22FB5">
        <w:rPr>
          <w:sz w:val="28"/>
          <w:szCs w:val="28"/>
          <w:lang w:val="en-US"/>
        </w:rPr>
        <w:t xml:space="preserve">with the western perimeter of the wooden fence. </w:t>
      </w:r>
      <w:r w:rsidR="00075D6A" w:rsidRPr="00C22FB5">
        <w:rPr>
          <w:sz w:val="28"/>
          <w:szCs w:val="28"/>
          <w:lang w:val="en-US"/>
        </w:rPr>
        <w:t>However,</w:t>
      </w:r>
      <w:r w:rsidR="00883615" w:rsidRPr="00C22FB5">
        <w:rPr>
          <w:sz w:val="28"/>
          <w:szCs w:val="28"/>
          <w:lang w:val="en-US"/>
        </w:rPr>
        <w:t xml:space="preserve"> she was prevented from doing so by </w:t>
      </w:r>
      <w:r w:rsidR="00075D6A" w:rsidRPr="00C22FB5">
        <w:rPr>
          <w:sz w:val="28"/>
          <w:szCs w:val="28"/>
          <w:lang w:val="en-US"/>
        </w:rPr>
        <w:t>a</w:t>
      </w:r>
      <w:r w:rsidR="00883615" w:rsidRPr="00C22FB5">
        <w:rPr>
          <w:sz w:val="28"/>
          <w:szCs w:val="28"/>
          <w:lang w:val="en-US"/>
        </w:rPr>
        <w:t xml:space="preserve"> local use ordinance which imposed a minimum erf size of 4000m².</w:t>
      </w:r>
      <w:r w:rsidR="00FB5AA7" w:rsidRPr="00C22FB5">
        <w:rPr>
          <w:sz w:val="28"/>
          <w:szCs w:val="28"/>
          <w:lang w:val="en-US"/>
        </w:rPr>
        <w:t xml:space="preserve"> </w:t>
      </w:r>
      <w:r w:rsidR="00457323" w:rsidRPr="00C22FB5">
        <w:rPr>
          <w:sz w:val="28"/>
          <w:szCs w:val="28"/>
          <w:lang w:val="en-US"/>
        </w:rPr>
        <w:t>In 1982</w:t>
      </w:r>
      <w:r w:rsidR="00AD5835" w:rsidRPr="00C22FB5">
        <w:rPr>
          <w:sz w:val="28"/>
          <w:szCs w:val="28"/>
          <w:lang w:val="en-US"/>
        </w:rPr>
        <w:t>,</w:t>
      </w:r>
      <w:r w:rsidR="00457323" w:rsidRPr="00C22FB5">
        <w:rPr>
          <w:sz w:val="28"/>
          <w:szCs w:val="28"/>
          <w:lang w:val="en-US"/>
        </w:rPr>
        <w:t xml:space="preserve"> </w:t>
      </w:r>
      <w:r w:rsidR="0023610E" w:rsidRPr="00C22FB5">
        <w:rPr>
          <w:sz w:val="28"/>
          <w:szCs w:val="28"/>
          <w:lang w:val="en-US"/>
        </w:rPr>
        <w:t xml:space="preserve">Ms Berzack </w:t>
      </w:r>
      <w:r w:rsidR="00457323" w:rsidRPr="00C22FB5">
        <w:rPr>
          <w:sz w:val="28"/>
          <w:szCs w:val="28"/>
          <w:lang w:val="en-US"/>
        </w:rPr>
        <w:t xml:space="preserve">subdivided </w:t>
      </w:r>
      <w:r w:rsidR="00686687" w:rsidRPr="00C22FB5">
        <w:rPr>
          <w:sz w:val="28"/>
          <w:szCs w:val="28"/>
          <w:lang w:val="en-US"/>
        </w:rPr>
        <w:t>e</w:t>
      </w:r>
      <w:r w:rsidR="00711D6B" w:rsidRPr="00C22FB5">
        <w:rPr>
          <w:sz w:val="28"/>
          <w:szCs w:val="28"/>
          <w:lang w:val="en-US"/>
        </w:rPr>
        <w:t xml:space="preserve">rf </w:t>
      </w:r>
      <w:r w:rsidR="00457323" w:rsidRPr="00C22FB5">
        <w:rPr>
          <w:sz w:val="28"/>
          <w:szCs w:val="28"/>
          <w:lang w:val="en-US"/>
        </w:rPr>
        <w:t>380 into two separate p</w:t>
      </w:r>
      <w:r w:rsidR="00BB32A0" w:rsidRPr="00C22FB5">
        <w:rPr>
          <w:sz w:val="28"/>
          <w:szCs w:val="28"/>
          <w:lang w:val="en-US"/>
        </w:rPr>
        <w:t>ortions resulting in the</w:t>
      </w:r>
      <w:r w:rsidR="00AF162C" w:rsidRPr="00C22FB5">
        <w:rPr>
          <w:sz w:val="28"/>
          <w:szCs w:val="28"/>
          <w:lang w:val="en-US"/>
        </w:rPr>
        <w:t xml:space="preserve"> Berzack</w:t>
      </w:r>
      <w:r w:rsidR="003D7583" w:rsidRPr="00C22FB5">
        <w:rPr>
          <w:sz w:val="28"/>
          <w:szCs w:val="28"/>
          <w:lang w:val="en-US"/>
        </w:rPr>
        <w:t xml:space="preserve"> property being reduced </w:t>
      </w:r>
      <w:r w:rsidR="00711D6B" w:rsidRPr="00C22FB5">
        <w:rPr>
          <w:sz w:val="28"/>
          <w:szCs w:val="28"/>
          <w:lang w:val="en-US"/>
        </w:rPr>
        <w:t xml:space="preserve">to </w:t>
      </w:r>
      <w:r w:rsidR="00AF162C" w:rsidRPr="00C22FB5">
        <w:rPr>
          <w:sz w:val="28"/>
          <w:szCs w:val="28"/>
          <w:lang w:val="en-US"/>
        </w:rPr>
        <w:lastRenderedPageBreak/>
        <w:t>4320m²</w:t>
      </w:r>
      <w:r w:rsidR="00581754" w:rsidRPr="00C22FB5">
        <w:rPr>
          <w:sz w:val="28"/>
          <w:szCs w:val="28"/>
          <w:lang w:val="en-US"/>
        </w:rPr>
        <w:t>. To keep the garden as part of her property without contravening the land use regulations</w:t>
      </w:r>
      <w:r w:rsidR="00075D6A" w:rsidRPr="00C22FB5">
        <w:rPr>
          <w:sz w:val="28"/>
          <w:szCs w:val="28"/>
          <w:lang w:val="en-US"/>
        </w:rPr>
        <w:t>,</w:t>
      </w:r>
      <w:r w:rsidR="00581754" w:rsidRPr="00C22FB5">
        <w:rPr>
          <w:sz w:val="28"/>
          <w:szCs w:val="28"/>
          <w:lang w:val="en-US"/>
        </w:rPr>
        <w:t xml:space="preserve"> </w:t>
      </w:r>
      <w:r w:rsidR="002505B9" w:rsidRPr="00C22FB5">
        <w:rPr>
          <w:sz w:val="28"/>
          <w:szCs w:val="28"/>
          <w:lang w:val="en-US"/>
        </w:rPr>
        <w:t>Ms Berzack</w:t>
      </w:r>
      <w:r w:rsidR="00581754" w:rsidRPr="00C22FB5">
        <w:rPr>
          <w:sz w:val="28"/>
          <w:szCs w:val="28"/>
          <w:lang w:val="en-US"/>
        </w:rPr>
        <w:t xml:space="preserve"> was co</w:t>
      </w:r>
      <w:r w:rsidR="006D60DF" w:rsidRPr="00C22FB5">
        <w:rPr>
          <w:sz w:val="28"/>
          <w:szCs w:val="28"/>
          <w:lang w:val="en-US"/>
        </w:rPr>
        <w:t>mpelled to reserve her rights to the garden,</w:t>
      </w:r>
      <w:r w:rsidR="004C0E2A" w:rsidRPr="00C22FB5">
        <w:rPr>
          <w:sz w:val="28"/>
          <w:szCs w:val="28"/>
          <w:lang w:val="en-US"/>
        </w:rPr>
        <w:t xml:space="preserve"> which</w:t>
      </w:r>
      <w:r w:rsidR="006D60DF" w:rsidRPr="00C22FB5">
        <w:rPr>
          <w:sz w:val="28"/>
          <w:szCs w:val="28"/>
          <w:lang w:val="en-US"/>
        </w:rPr>
        <w:t xml:space="preserve"> had fallen into the subdivided portion, by means of a servitude. Having identified a willing</w:t>
      </w:r>
      <w:r w:rsidR="00DE7D19" w:rsidRPr="00C22FB5">
        <w:rPr>
          <w:sz w:val="28"/>
          <w:szCs w:val="28"/>
          <w:lang w:val="en-US"/>
        </w:rPr>
        <w:t xml:space="preserve"> buyer</w:t>
      </w:r>
      <w:r w:rsidR="006D60DF" w:rsidRPr="00C22FB5">
        <w:rPr>
          <w:sz w:val="28"/>
          <w:szCs w:val="28"/>
          <w:lang w:val="en-US"/>
        </w:rPr>
        <w:t>, Mr A</w:t>
      </w:r>
      <w:r w:rsidR="00AD5835" w:rsidRPr="00C22FB5">
        <w:rPr>
          <w:sz w:val="28"/>
          <w:szCs w:val="28"/>
          <w:lang w:val="en-US"/>
        </w:rPr>
        <w:t xml:space="preserve"> </w:t>
      </w:r>
      <w:r w:rsidR="006D60DF" w:rsidRPr="00C22FB5">
        <w:rPr>
          <w:sz w:val="28"/>
          <w:szCs w:val="28"/>
          <w:lang w:val="en-US"/>
        </w:rPr>
        <w:t>G Wellens, o</w:t>
      </w:r>
      <w:r w:rsidR="00457323" w:rsidRPr="00C22FB5">
        <w:rPr>
          <w:sz w:val="28"/>
          <w:szCs w:val="28"/>
          <w:lang w:val="en-US"/>
        </w:rPr>
        <w:t>n 21 September</w:t>
      </w:r>
      <w:r w:rsidR="004B7B23" w:rsidRPr="00C22FB5">
        <w:rPr>
          <w:color w:val="7030A0"/>
          <w:sz w:val="28"/>
          <w:szCs w:val="28"/>
          <w:lang w:val="en-US"/>
        </w:rPr>
        <w:t xml:space="preserve"> </w:t>
      </w:r>
      <w:r w:rsidR="004B7B23" w:rsidRPr="00C22FB5">
        <w:rPr>
          <w:color w:val="000000" w:themeColor="text1"/>
          <w:sz w:val="28"/>
          <w:szCs w:val="28"/>
          <w:lang w:val="en-US"/>
        </w:rPr>
        <w:t>1983</w:t>
      </w:r>
      <w:r w:rsidR="0043698B" w:rsidRPr="00C22FB5">
        <w:rPr>
          <w:color w:val="000000" w:themeColor="text1"/>
          <w:sz w:val="28"/>
          <w:szCs w:val="28"/>
          <w:lang w:val="en-US"/>
        </w:rPr>
        <w:t>,</w:t>
      </w:r>
      <w:r w:rsidR="00457323" w:rsidRPr="00C22FB5">
        <w:rPr>
          <w:sz w:val="28"/>
          <w:szCs w:val="28"/>
          <w:lang w:val="en-US"/>
        </w:rPr>
        <w:t xml:space="preserve"> </w:t>
      </w:r>
      <w:r w:rsidR="00686687" w:rsidRPr="00C22FB5">
        <w:rPr>
          <w:sz w:val="28"/>
          <w:szCs w:val="28"/>
          <w:lang w:val="en-US"/>
        </w:rPr>
        <w:t>Ms Berzack</w:t>
      </w:r>
      <w:r w:rsidR="00457323" w:rsidRPr="00C22FB5">
        <w:rPr>
          <w:sz w:val="28"/>
          <w:szCs w:val="28"/>
          <w:lang w:val="en-US"/>
        </w:rPr>
        <w:t xml:space="preserve"> transferred </w:t>
      </w:r>
      <w:r w:rsidR="00686687" w:rsidRPr="00C22FB5">
        <w:rPr>
          <w:sz w:val="28"/>
          <w:szCs w:val="28"/>
          <w:lang w:val="en-US"/>
        </w:rPr>
        <w:t>e</w:t>
      </w:r>
      <w:r w:rsidR="00457323" w:rsidRPr="00C22FB5">
        <w:rPr>
          <w:sz w:val="28"/>
          <w:szCs w:val="28"/>
          <w:lang w:val="en-US"/>
        </w:rPr>
        <w:t>rf 8478</w:t>
      </w:r>
      <w:r w:rsidR="006D60DF" w:rsidRPr="00C22FB5">
        <w:rPr>
          <w:sz w:val="28"/>
          <w:szCs w:val="28"/>
          <w:lang w:val="en-US"/>
        </w:rPr>
        <w:t xml:space="preserve"> to him</w:t>
      </w:r>
      <w:r w:rsidR="00002013" w:rsidRPr="00C22FB5">
        <w:rPr>
          <w:sz w:val="28"/>
          <w:szCs w:val="28"/>
          <w:lang w:val="en-US"/>
        </w:rPr>
        <w:t>,</w:t>
      </w:r>
      <w:r w:rsidR="00457323" w:rsidRPr="00C22FB5">
        <w:rPr>
          <w:sz w:val="28"/>
          <w:szCs w:val="28"/>
          <w:lang w:val="en-US"/>
        </w:rPr>
        <w:t xml:space="preserve"> subject to a praedial servitude</w:t>
      </w:r>
      <w:r w:rsidR="006D60DF" w:rsidRPr="00C22FB5">
        <w:rPr>
          <w:sz w:val="28"/>
          <w:szCs w:val="28"/>
          <w:lang w:val="en-US"/>
        </w:rPr>
        <w:t xml:space="preserve"> which</w:t>
      </w:r>
      <w:r w:rsidR="00457323" w:rsidRPr="00C22FB5">
        <w:rPr>
          <w:sz w:val="28"/>
          <w:szCs w:val="28"/>
          <w:lang w:val="en-US"/>
        </w:rPr>
        <w:t xml:space="preserve"> was duly endorsed and registered </w:t>
      </w:r>
      <w:r w:rsidR="00686687" w:rsidRPr="00C22FB5">
        <w:rPr>
          <w:sz w:val="28"/>
          <w:szCs w:val="28"/>
          <w:lang w:val="en-US"/>
        </w:rPr>
        <w:t>against</w:t>
      </w:r>
      <w:r w:rsidR="00457323" w:rsidRPr="00C22FB5">
        <w:rPr>
          <w:sz w:val="28"/>
          <w:szCs w:val="28"/>
          <w:lang w:val="en-US"/>
        </w:rPr>
        <w:t xml:space="preserve"> the title deed</w:t>
      </w:r>
      <w:r w:rsidR="00686687" w:rsidRPr="00C22FB5">
        <w:rPr>
          <w:sz w:val="28"/>
          <w:szCs w:val="28"/>
          <w:lang w:val="en-US"/>
        </w:rPr>
        <w:t xml:space="preserve"> of </w:t>
      </w:r>
      <w:r w:rsidR="002505B9" w:rsidRPr="00C22FB5">
        <w:rPr>
          <w:sz w:val="28"/>
          <w:szCs w:val="28"/>
          <w:lang w:val="en-US"/>
        </w:rPr>
        <w:t>erf</w:t>
      </w:r>
      <w:r w:rsidR="0043698B" w:rsidRPr="00C22FB5">
        <w:rPr>
          <w:sz w:val="28"/>
          <w:szCs w:val="28"/>
          <w:lang w:val="en-US"/>
        </w:rPr>
        <w:t xml:space="preserve"> </w:t>
      </w:r>
      <w:r w:rsidR="002505B9" w:rsidRPr="00C22FB5">
        <w:rPr>
          <w:sz w:val="28"/>
          <w:szCs w:val="28"/>
          <w:lang w:val="en-US"/>
        </w:rPr>
        <w:t xml:space="preserve">8478 in accordance with </w:t>
      </w:r>
      <w:r w:rsidR="00686687" w:rsidRPr="00C22FB5">
        <w:rPr>
          <w:sz w:val="28"/>
          <w:szCs w:val="28"/>
          <w:lang w:val="en-US"/>
        </w:rPr>
        <w:t xml:space="preserve">the </w:t>
      </w:r>
      <w:r w:rsidR="00457323" w:rsidRPr="00C22FB5">
        <w:rPr>
          <w:sz w:val="28"/>
          <w:szCs w:val="28"/>
          <w:lang w:val="en-US"/>
        </w:rPr>
        <w:t xml:space="preserve">relevant provisions of the Deeds </w:t>
      </w:r>
      <w:r w:rsidR="002505B9" w:rsidRPr="00C22FB5">
        <w:rPr>
          <w:sz w:val="28"/>
          <w:szCs w:val="28"/>
          <w:lang w:val="en-US"/>
        </w:rPr>
        <w:t xml:space="preserve">Registries </w:t>
      </w:r>
      <w:r w:rsidR="00002013" w:rsidRPr="00C22FB5">
        <w:rPr>
          <w:sz w:val="28"/>
          <w:szCs w:val="28"/>
          <w:lang w:val="en-US"/>
        </w:rPr>
        <w:t>Act</w:t>
      </w:r>
      <w:r w:rsidR="00457323" w:rsidRPr="00C22FB5">
        <w:rPr>
          <w:sz w:val="28"/>
          <w:szCs w:val="28"/>
          <w:lang w:val="en-US"/>
        </w:rPr>
        <w:t xml:space="preserve">. The </w:t>
      </w:r>
      <w:r w:rsidR="0053690E" w:rsidRPr="00C22FB5">
        <w:rPr>
          <w:sz w:val="28"/>
          <w:szCs w:val="28"/>
          <w:lang w:val="en-US"/>
        </w:rPr>
        <w:t xml:space="preserve">terms of the </w:t>
      </w:r>
      <w:r w:rsidR="00457323" w:rsidRPr="00C22FB5">
        <w:rPr>
          <w:sz w:val="28"/>
          <w:szCs w:val="28"/>
          <w:lang w:val="en-US"/>
        </w:rPr>
        <w:t xml:space="preserve">servitude </w:t>
      </w:r>
      <w:r w:rsidR="00F16F77" w:rsidRPr="00C22FB5">
        <w:rPr>
          <w:sz w:val="28"/>
          <w:szCs w:val="28"/>
          <w:lang w:val="en-US"/>
        </w:rPr>
        <w:t>were</w:t>
      </w:r>
      <w:r w:rsidR="00457323" w:rsidRPr="00C22FB5">
        <w:rPr>
          <w:sz w:val="28"/>
          <w:szCs w:val="28"/>
          <w:lang w:val="en-US"/>
        </w:rPr>
        <w:t xml:space="preserve"> set out </w:t>
      </w:r>
      <w:r w:rsidR="002505B9" w:rsidRPr="00C22FB5">
        <w:rPr>
          <w:sz w:val="28"/>
          <w:szCs w:val="28"/>
          <w:lang w:val="en-US"/>
        </w:rPr>
        <w:t xml:space="preserve">and incorporated </w:t>
      </w:r>
      <w:r w:rsidR="00BB32A0" w:rsidRPr="00C22FB5">
        <w:rPr>
          <w:sz w:val="28"/>
          <w:szCs w:val="28"/>
          <w:lang w:val="en-US"/>
        </w:rPr>
        <w:t>i</w:t>
      </w:r>
      <w:r w:rsidR="00457323" w:rsidRPr="00C22FB5">
        <w:rPr>
          <w:sz w:val="28"/>
          <w:szCs w:val="28"/>
          <w:lang w:val="en-US"/>
        </w:rPr>
        <w:t xml:space="preserve">n the deed </w:t>
      </w:r>
      <w:r w:rsidR="00EB6BD1" w:rsidRPr="00C22FB5">
        <w:rPr>
          <w:sz w:val="28"/>
          <w:szCs w:val="28"/>
          <w:lang w:val="en-US"/>
        </w:rPr>
        <w:t xml:space="preserve">of transfer in favour of </w:t>
      </w:r>
      <w:r w:rsidR="00457323" w:rsidRPr="00C22FB5">
        <w:rPr>
          <w:sz w:val="28"/>
          <w:szCs w:val="28"/>
          <w:lang w:val="en-US"/>
        </w:rPr>
        <w:t>Mr Wellens</w:t>
      </w:r>
      <w:r w:rsidR="00F16F77" w:rsidRPr="00C22FB5">
        <w:rPr>
          <w:sz w:val="28"/>
          <w:szCs w:val="28"/>
          <w:lang w:val="en-US"/>
        </w:rPr>
        <w:t>.</w:t>
      </w:r>
    </w:p>
    <w:p w14:paraId="54B85FFE" w14:textId="77777777" w:rsidR="00F303C0" w:rsidRPr="002B4807" w:rsidRDefault="00F303C0" w:rsidP="00207DB4">
      <w:pPr>
        <w:pStyle w:val="ListParagraph"/>
        <w:spacing w:line="360" w:lineRule="auto"/>
        <w:ind w:left="0"/>
        <w:jc w:val="both"/>
        <w:rPr>
          <w:sz w:val="28"/>
          <w:szCs w:val="28"/>
          <w:lang w:val="en-US"/>
        </w:rPr>
      </w:pPr>
    </w:p>
    <w:p w14:paraId="4047676B" w14:textId="324DF737" w:rsidR="004F6C7D" w:rsidRPr="00C22FB5" w:rsidRDefault="00C22FB5" w:rsidP="00C22FB5">
      <w:pPr>
        <w:spacing w:line="360" w:lineRule="auto"/>
        <w:jc w:val="both"/>
        <w:rPr>
          <w:sz w:val="28"/>
          <w:szCs w:val="28"/>
          <w:lang w:val="en-US"/>
        </w:rPr>
      </w:pPr>
      <w:r w:rsidRPr="002B4807">
        <w:rPr>
          <w:sz w:val="28"/>
          <w:szCs w:val="28"/>
          <w:lang w:val="en-US"/>
        </w:rPr>
        <w:t>[9]</w:t>
      </w:r>
      <w:r w:rsidRPr="002B4807">
        <w:rPr>
          <w:sz w:val="28"/>
          <w:szCs w:val="28"/>
          <w:lang w:val="en-US"/>
        </w:rPr>
        <w:tab/>
      </w:r>
      <w:r w:rsidR="00CA2AF0" w:rsidRPr="00C22FB5">
        <w:rPr>
          <w:sz w:val="28"/>
          <w:szCs w:val="28"/>
          <w:lang w:val="en-US"/>
        </w:rPr>
        <w:t xml:space="preserve">Erf 8478 was later transferred to two </w:t>
      </w:r>
      <w:r w:rsidR="00EB6BD1" w:rsidRPr="00C22FB5">
        <w:rPr>
          <w:sz w:val="28"/>
          <w:szCs w:val="28"/>
          <w:lang w:val="en-US"/>
        </w:rPr>
        <w:t xml:space="preserve">successive </w:t>
      </w:r>
      <w:r w:rsidR="00CA2AF0" w:rsidRPr="00C22FB5">
        <w:rPr>
          <w:sz w:val="28"/>
          <w:szCs w:val="28"/>
          <w:lang w:val="en-US"/>
        </w:rPr>
        <w:t>other persons at different times. Ultimately, on 28 February 2017</w:t>
      </w:r>
      <w:r w:rsidR="002505B9" w:rsidRPr="00C22FB5">
        <w:rPr>
          <w:sz w:val="28"/>
          <w:szCs w:val="28"/>
          <w:lang w:val="en-US"/>
        </w:rPr>
        <w:t>,</w:t>
      </w:r>
      <w:r w:rsidR="00CA2AF0" w:rsidRPr="00C22FB5">
        <w:rPr>
          <w:sz w:val="28"/>
          <w:szCs w:val="28"/>
          <w:lang w:val="en-US"/>
        </w:rPr>
        <w:t xml:space="preserve"> the third owner,</w:t>
      </w:r>
      <w:r w:rsidR="00CC1D2C" w:rsidRPr="00C22FB5">
        <w:rPr>
          <w:sz w:val="28"/>
          <w:szCs w:val="28"/>
          <w:lang w:val="en-US"/>
        </w:rPr>
        <w:t xml:space="preserve"> </w:t>
      </w:r>
      <w:r w:rsidR="00CA2AF0" w:rsidRPr="00C22FB5">
        <w:rPr>
          <w:sz w:val="28"/>
          <w:szCs w:val="28"/>
          <w:lang w:val="en-US"/>
        </w:rPr>
        <w:t>Mr K</w:t>
      </w:r>
      <w:r w:rsidR="00002013" w:rsidRPr="00C22FB5">
        <w:rPr>
          <w:sz w:val="28"/>
          <w:szCs w:val="28"/>
          <w:lang w:val="en-US"/>
        </w:rPr>
        <w:t xml:space="preserve"> </w:t>
      </w:r>
      <w:r w:rsidR="00CA2AF0" w:rsidRPr="00C22FB5">
        <w:rPr>
          <w:sz w:val="28"/>
          <w:szCs w:val="28"/>
          <w:lang w:val="en-US"/>
        </w:rPr>
        <w:t xml:space="preserve">W Sander, transferred the property to </w:t>
      </w:r>
      <w:r w:rsidR="00EB6BD1" w:rsidRPr="00C22FB5">
        <w:rPr>
          <w:sz w:val="28"/>
          <w:szCs w:val="28"/>
          <w:lang w:val="en-US"/>
        </w:rPr>
        <w:t>Huntrex 277</w:t>
      </w:r>
      <w:r w:rsidR="00CA2AF0" w:rsidRPr="00C22FB5">
        <w:rPr>
          <w:sz w:val="28"/>
          <w:szCs w:val="28"/>
          <w:lang w:val="en-US"/>
        </w:rPr>
        <w:t>.</w:t>
      </w:r>
      <w:r w:rsidR="00082075" w:rsidRPr="00C22FB5">
        <w:rPr>
          <w:sz w:val="28"/>
          <w:szCs w:val="28"/>
          <w:lang w:val="en-US"/>
        </w:rPr>
        <w:t xml:space="preserve"> </w:t>
      </w:r>
      <w:r w:rsidR="00CA2AF0" w:rsidRPr="00C22FB5">
        <w:rPr>
          <w:sz w:val="28"/>
          <w:szCs w:val="28"/>
          <w:lang w:val="en-US"/>
        </w:rPr>
        <w:t xml:space="preserve"> At all material times relevant to the transfers of the Huntrex </w:t>
      </w:r>
      <w:r w:rsidR="002505B9" w:rsidRPr="00C22FB5">
        <w:rPr>
          <w:sz w:val="28"/>
          <w:szCs w:val="28"/>
          <w:lang w:val="en-US"/>
        </w:rPr>
        <w:t xml:space="preserve">277 </w:t>
      </w:r>
      <w:r w:rsidR="00CA2AF0" w:rsidRPr="00C22FB5">
        <w:rPr>
          <w:sz w:val="28"/>
          <w:szCs w:val="28"/>
          <w:lang w:val="en-US"/>
        </w:rPr>
        <w:t>property</w:t>
      </w:r>
      <w:r w:rsidR="002505B9" w:rsidRPr="00C22FB5">
        <w:rPr>
          <w:sz w:val="28"/>
          <w:szCs w:val="28"/>
          <w:lang w:val="en-US"/>
        </w:rPr>
        <w:t>,</w:t>
      </w:r>
      <w:r w:rsidR="00CA2AF0" w:rsidRPr="00C22FB5">
        <w:rPr>
          <w:sz w:val="28"/>
          <w:szCs w:val="28"/>
          <w:lang w:val="en-US"/>
        </w:rPr>
        <w:t xml:space="preserve"> the praedial servitude that was created by means of a contract concluded between </w:t>
      </w:r>
      <w:r w:rsidR="00EB6BD1" w:rsidRPr="00C22FB5">
        <w:rPr>
          <w:sz w:val="28"/>
          <w:szCs w:val="28"/>
          <w:lang w:val="en-US"/>
        </w:rPr>
        <w:t xml:space="preserve">Ms Berzack </w:t>
      </w:r>
      <w:r w:rsidR="00CA2AF0" w:rsidRPr="00C22FB5">
        <w:rPr>
          <w:sz w:val="28"/>
          <w:szCs w:val="28"/>
          <w:lang w:val="en-US"/>
        </w:rPr>
        <w:t xml:space="preserve">and Mr Wellens was endorsed on the successive title deeds. </w:t>
      </w:r>
      <w:r w:rsidR="004F6C7D" w:rsidRPr="00C22FB5">
        <w:rPr>
          <w:sz w:val="28"/>
          <w:szCs w:val="28"/>
          <w:lang w:val="en-US"/>
        </w:rPr>
        <w:t>I set out below</w:t>
      </w:r>
      <w:r w:rsidR="002505B9" w:rsidRPr="00C22FB5">
        <w:rPr>
          <w:sz w:val="28"/>
          <w:szCs w:val="28"/>
          <w:lang w:val="en-US"/>
        </w:rPr>
        <w:t xml:space="preserve"> the express terms of</w:t>
      </w:r>
      <w:r w:rsidR="004F6C7D" w:rsidRPr="00C22FB5">
        <w:rPr>
          <w:sz w:val="28"/>
          <w:szCs w:val="28"/>
          <w:lang w:val="en-US"/>
        </w:rPr>
        <w:t xml:space="preserve"> the servitude that is endorsed on the title deed of the </w:t>
      </w:r>
      <w:r w:rsidR="00AF4D90" w:rsidRPr="00C22FB5">
        <w:rPr>
          <w:sz w:val="28"/>
          <w:szCs w:val="28"/>
          <w:lang w:val="en-US"/>
        </w:rPr>
        <w:t xml:space="preserve">Huntrex </w:t>
      </w:r>
      <w:r w:rsidR="002505B9" w:rsidRPr="00C22FB5">
        <w:rPr>
          <w:sz w:val="28"/>
          <w:szCs w:val="28"/>
          <w:lang w:val="en-US"/>
        </w:rPr>
        <w:t xml:space="preserve">277 </w:t>
      </w:r>
      <w:r w:rsidR="00AF4D90" w:rsidRPr="00C22FB5">
        <w:rPr>
          <w:sz w:val="28"/>
          <w:szCs w:val="28"/>
          <w:lang w:val="en-US"/>
        </w:rPr>
        <w:t>property</w:t>
      </w:r>
      <w:r w:rsidR="004F6C7D" w:rsidRPr="00C22FB5">
        <w:rPr>
          <w:sz w:val="28"/>
          <w:szCs w:val="28"/>
          <w:lang w:val="en-US"/>
        </w:rPr>
        <w:t>:</w:t>
      </w:r>
    </w:p>
    <w:p w14:paraId="0E574D0A" w14:textId="77777777" w:rsidR="004F6C7D" w:rsidRPr="002B4807" w:rsidRDefault="009D4A46" w:rsidP="00207DB4">
      <w:pPr>
        <w:pStyle w:val="ListParagraph"/>
        <w:spacing w:line="360" w:lineRule="auto"/>
        <w:ind w:left="0"/>
        <w:jc w:val="both"/>
        <w:rPr>
          <w:lang w:val="en-US"/>
        </w:rPr>
      </w:pPr>
      <w:r w:rsidRPr="002B4807">
        <w:rPr>
          <w:lang w:val="en-US"/>
        </w:rPr>
        <w:t>‘</w:t>
      </w:r>
      <w:r w:rsidR="004F6C7D" w:rsidRPr="002B4807">
        <w:rPr>
          <w:lang w:val="en-US"/>
        </w:rPr>
        <w:t>P.</w:t>
      </w:r>
      <w:r w:rsidR="00002013" w:rsidRPr="002B4807">
        <w:rPr>
          <w:lang w:val="en-US"/>
        </w:rPr>
        <w:tab/>
      </w:r>
      <w:r w:rsidR="004F6C7D" w:rsidRPr="002B4807">
        <w:rPr>
          <w:u w:val="single"/>
          <w:lang w:val="en-US"/>
        </w:rPr>
        <w:t>SUBJECT FURTHER</w:t>
      </w:r>
      <w:r w:rsidR="004F6C7D" w:rsidRPr="002B4807">
        <w:rPr>
          <w:lang w:val="en-US"/>
        </w:rPr>
        <w:t xml:space="preserve"> to the following conditions contained in said </w:t>
      </w:r>
      <w:r w:rsidR="00362189" w:rsidRPr="002B4807">
        <w:rPr>
          <w:lang w:val="en-US"/>
        </w:rPr>
        <w:t xml:space="preserve">Deed of </w:t>
      </w:r>
      <w:r w:rsidR="004F6C7D" w:rsidRPr="002B4807">
        <w:rPr>
          <w:lang w:val="en-US"/>
        </w:rPr>
        <w:t>Transfer</w:t>
      </w:r>
      <w:r w:rsidR="00362189" w:rsidRPr="002B4807">
        <w:rPr>
          <w:lang w:val="en-US"/>
        </w:rPr>
        <w:t xml:space="preserve"> No. T. 39953/1983 imposed by </w:t>
      </w:r>
      <w:r w:rsidR="002E1769" w:rsidRPr="002B4807">
        <w:rPr>
          <w:lang w:val="en-US"/>
        </w:rPr>
        <w:t xml:space="preserve">MARGOT BERZACK </w:t>
      </w:r>
      <w:r w:rsidR="004F6C7D" w:rsidRPr="002B4807">
        <w:rPr>
          <w:lang w:val="en-US"/>
        </w:rPr>
        <w:t>in favour of h</w:t>
      </w:r>
      <w:r w:rsidR="00362189" w:rsidRPr="002B4807">
        <w:rPr>
          <w:lang w:val="en-US"/>
        </w:rPr>
        <w:t>erself</w:t>
      </w:r>
      <w:r w:rsidR="004F6C7D" w:rsidRPr="002B4807">
        <w:rPr>
          <w:lang w:val="en-US"/>
        </w:rPr>
        <w:t xml:space="preserve"> and h</w:t>
      </w:r>
      <w:r w:rsidR="00362189" w:rsidRPr="002B4807">
        <w:rPr>
          <w:lang w:val="en-US"/>
        </w:rPr>
        <w:t>er</w:t>
      </w:r>
      <w:r w:rsidR="004F6C7D" w:rsidRPr="002B4807">
        <w:rPr>
          <w:lang w:val="en-US"/>
        </w:rPr>
        <w:t xml:space="preserve"> successors in title as owner of the </w:t>
      </w:r>
      <w:r w:rsidR="002E1769" w:rsidRPr="002B4807">
        <w:rPr>
          <w:lang w:val="en-US"/>
        </w:rPr>
        <w:t xml:space="preserve">REMAINDER OF </w:t>
      </w:r>
      <w:r w:rsidR="004F6C7D" w:rsidRPr="002B4807">
        <w:rPr>
          <w:lang w:val="en-US"/>
        </w:rPr>
        <w:t xml:space="preserve">ERF 380 </w:t>
      </w:r>
      <w:r w:rsidR="002E1769" w:rsidRPr="002B4807">
        <w:rPr>
          <w:lang w:val="en-US"/>
        </w:rPr>
        <w:t>CONSTANTIA,</w:t>
      </w:r>
      <w:r w:rsidR="004F6C7D" w:rsidRPr="002B4807">
        <w:rPr>
          <w:lang w:val="en-US"/>
        </w:rPr>
        <w:t xml:space="preserve"> which conditions are as follows:</w:t>
      </w:r>
    </w:p>
    <w:p w14:paraId="463331F4" w14:textId="7EC02B69" w:rsidR="009D4A46" w:rsidRPr="002B4807" w:rsidRDefault="002E1769" w:rsidP="00207DB4">
      <w:pPr>
        <w:pStyle w:val="ListParagraph"/>
        <w:spacing w:line="360" w:lineRule="auto"/>
        <w:ind w:left="0"/>
        <w:jc w:val="both"/>
        <w:rPr>
          <w:lang w:val="en-US"/>
        </w:rPr>
      </w:pPr>
      <w:r w:rsidRPr="002B4807">
        <w:rPr>
          <w:lang w:val="en-US"/>
        </w:rPr>
        <w:t>(a)</w:t>
      </w:r>
      <w:r w:rsidRPr="002B4807">
        <w:rPr>
          <w:lang w:val="en-US"/>
        </w:rPr>
        <w:tab/>
      </w:r>
      <w:r w:rsidR="004F6C7D" w:rsidRPr="002B4807">
        <w:rPr>
          <w:lang w:val="en-US"/>
        </w:rPr>
        <w:t>The property hereby transferred is subject to a servitude area 20 (</w:t>
      </w:r>
      <w:r w:rsidRPr="002B4807">
        <w:rPr>
          <w:lang w:val="en-US"/>
        </w:rPr>
        <w:t>TWENTY</w:t>
      </w:r>
      <w:r w:rsidR="004F6C7D" w:rsidRPr="002B4807">
        <w:rPr>
          <w:lang w:val="en-US"/>
        </w:rPr>
        <w:t xml:space="preserve">) </w:t>
      </w:r>
      <w:r w:rsidR="00082075" w:rsidRPr="002B4807">
        <w:rPr>
          <w:lang w:val="en-US"/>
        </w:rPr>
        <w:t>meters</w:t>
      </w:r>
      <w:r w:rsidR="004F6C7D" w:rsidRPr="002B4807">
        <w:rPr>
          <w:lang w:val="en-US"/>
        </w:rPr>
        <w:t xml:space="preserve"> wide,</w:t>
      </w:r>
      <w:r w:rsidRPr="002B4807">
        <w:rPr>
          <w:lang w:val="en-US"/>
        </w:rPr>
        <w:t xml:space="preserve"> T</w:t>
      </w:r>
      <w:r w:rsidR="004F6C7D" w:rsidRPr="002B4807">
        <w:rPr>
          <w:lang w:val="en-US"/>
        </w:rPr>
        <w:t xml:space="preserve">he </w:t>
      </w:r>
      <w:r w:rsidR="00362189" w:rsidRPr="002B4807">
        <w:rPr>
          <w:lang w:val="en-US"/>
        </w:rPr>
        <w:t>W</w:t>
      </w:r>
      <w:r w:rsidR="004F6C7D" w:rsidRPr="002B4807">
        <w:rPr>
          <w:lang w:val="en-US"/>
        </w:rPr>
        <w:t xml:space="preserve">estern </w:t>
      </w:r>
      <w:r w:rsidR="00362189" w:rsidRPr="002B4807">
        <w:rPr>
          <w:lang w:val="en-US"/>
        </w:rPr>
        <w:t>B</w:t>
      </w:r>
      <w:r w:rsidR="004F6C7D" w:rsidRPr="002B4807">
        <w:rPr>
          <w:lang w:val="en-US"/>
        </w:rPr>
        <w:t xml:space="preserve">oundary of which shall be parallel to the boundary marked DE on </w:t>
      </w:r>
      <w:r w:rsidRPr="002B4807">
        <w:rPr>
          <w:lang w:val="en-US"/>
        </w:rPr>
        <w:t>D</w:t>
      </w:r>
      <w:r w:rsidR="004F6C7D" w:rsidRPr="002B4807">
        <w:rPr>
          <w:lang w:val="en-US"/>
        </w:rPr>
        <w:t xml:space="preserve">iagram N. 5253/1981 in favour of the </w:t>
      </w:r>
      <w:r w:rsidRPr="002B4807">
        <w:rPr>
          <w:lang w:val="en-US"/>
        </w:rPr>
        <w:t>REMAINDER OF ER</w:t>
      </w:r>
      <w:r w:rsidR="004F6C7D" w:rsidRPr="002B4807">
        <w:rPr>
          <w:lang w:val="en-US"/>
        </w:rPr>
        <w:t>F</w:t>
      </w:r>
      <w:r w:rsidRPr="002B4807">
        <w:rPr>
          <w:lang w:val="en-US"/>
        </w:rPr>
        <w:t xml:space="preserve"> </w:t>
      </w:r>
      <w:r w:rsidR="004F6C7D" w:rsidRPr="002B4807">
        <w:rPr>
          <w:lang w:val="en-US"/>
        </w:rPr>
        <w:t xml:space="preserve">380 </w:t>
      </w:r>
      <w:r w:rsidRPr="002B4807">
        <w:rPr>
          <w:lang w:val="en-US"/>
        </w:rPr>
        <w:t>CONSTANTIA</w:t>
      </w:r>
      <w:r w:rsidR="004F6C7D" w:rsidRPr="002B4807">
        <w:rPr>
          <w:lang w:val="en-US"/>
        </w:rPr>
        <w:t xml:space="preserve">, held by the said Transferor, </w:t>
      </w:r>
      <w:r w:rsidRPr="002B4807">
        <w:rPr>
          <w:lang w:val="en-US"/>
        </w:rPr>
        <w:t xml:space="preserve">MARGOT BERZACK </w:t>
      </w:r>
      <w:r w:rsidR="004F6C7D" w:rsidRPr="002B4807">
        <w:rPr>
          <w:lang w:val="en-US"/>
        </w:rPr>
        <w:t xml:space="preserve">(born </w:t>
      </w:r>
      <w:r w:rsidRPr="002B4807">
        <w:rPr>
          <w:lang w:val="en-US"/>
        </w:rPr>
        <w:t>ILLMAN</w:t>
      </w:r>
      <w:r w:rsidR="004F6C7D" w:rsidRPr="002B4807">
        <w:rPr>
          <w:lang w:val="en-US"/>
        </w:rPr>
        <w:t>) married out of community of property to Jeffrey Cyril Berzack</w:t>
      </w:r>
      <w:r w:rsidRPr="002B4807">
        <w:rPr>
          <w:lang w:val="en-US"/>
        </w:rPr>
        <w:t>,</w:t>
      </w:r>
      <w:r w:rsidR="004F6C7D" w:rsidRPr="002B4807">
        <w:rPr>
          <w:lang w:val="en-US"/>
        </w:rPr>
        <w:t xml:space="preserve"> under Deed of Transfer No. 38631 dated 31</w:t>
      </w:r>
      <w:r w:rsidR="004F6C7D" w:rsidRPr="002B4807">
        <w:rPr>
          <w:vertAlign w:val="superscript"/>
          <w:lang w:val="en-US"/>
        </w:rPr>
        <w:t>st</w:t>
      </w:r>
      <w:r w:rsidR="004F6C7D" w:rsidRPr="002B4807">
        <w:rPr>
          <w:lang w:val="en-US"/>
        </w:rPr>
        <w:t xml:space="preserve"> December 1970.</w:t>
      </w:r>
    </w:p>
    <w:p w14:paraId="351035C2" w14:textId="3B84C8F9" w:rsidR="004F6C7D" w:rsidRPr="002B4807" w:rsidRDefault="002E1769" w:rsidP="00207DB4">
      <w:pPr>
        <w:pStyle w:val="ListParagraph"/>
        <w:spacing w:line="360" w:lineRule="auto"/>
        <w:ind w:left="0"/>
        <w:jc w:val="both"/>
        <w:rPr>
          <w:lang w:val="en-US"/>
        </w:rPr>
      </w:pPr>
      <w:r w:rsidRPr="002B4807">
        <w:rPr>
          <w:lang w:val="en-US"/>
        </w:rPr>
        <w:lastRenderedPageBreak/>
        <w:t>(b)</w:t>
      </w:r>
      <w:r w:rsidRPr="002B4807">
        <w:rPr>
          <w:lang w:val="en-US"/>
        </w:rPr>
        <w:tab/>
      </w:r>
      <w:r w:rsidR="004F6C7D" w:rsidRPr="002B4807">
        <w:rPr>
          <w:lang w:val="en-US"/>
        </w:rPr>
        <w:t xml:space="preserve">The said servitude shall be subject to the </w:t>
      </w:r>
      <w:r w:rsidR="004F6C7D" w:rsidRPr="00BB26F2">
        <w:rPr>
          <w:lang w:val="en-US"/>
        </w:rPr>
        <w:t xml:space="preserve">follow </w:t>
      </w:r>
      <w:r w:rsidR="003C4BE1" w:rsidRPr="00BB26F2">
        <w:rPr>
          <w:lang w:val="en-US"/>
        </w:rPr>
        <w:t>[</w:t>
      </w:r>
      <w:r w:rsidR="004A33C4" w:rsidRPr="00BB26F2">
        <w:rPr>
          <w:lang w:val="en-US"/>
        </w:rPr>
        <w:t>ing]</w:t>
      </w:r>
      <w:r w:rsidR="003A15F7" w:rsidRPr="002B4807">
        <w:rPr>
          <w:lang w:val="en-US"/>
        </w:rPr>
        <w:t xml:space="preserve"> </w:t>
      </w:r>
      <w:r w:rsidR="004F6C7D" w:rsidRPr="002B4807">
        <w:rPr>
          <w:lang w:val="en-US"/>
        </w:rPr>
        <w:t>terms and conditions</w:t>
      </w:r>
      <w:r w:rsidRPr="002B4807">
        <w:rPr>
          <w:lang w:val="en-US"/>
        </w:rPr>
        <w:t>,</w:t>
      </w:r>
      <w:r w:rsidR="004F6C7D" w:rsidRPr="002B4807">
        <w:rPr>
          <w:lang w:val="en-US"/>
        </w:rPr>
        <w:t xml:space="preserve"> namely:</w:t>
      </w:r>
    </w:p>
    <w:p w14:paraId="49EB1E54" w14:textId="77777777" w:rsidR="004F6C7D" w:rsidRPr="002B4807" w:rsidRDefault="002E1769" w:rsidP="00207DB4">
      <w:pPr>
        <w:pStyle w:val="ListParagraph"/>
        <w:spacing w:line="360" w:lineRule="auto"/>
        <w:jc w:val="both"/>
        <w:rPr>
          <w:lang w:val="en-US"/>
        </w:rPr>
      </w:pPr>
      <w:r w:rsidRPr="002B4807">
        <w:rPr>
          <w:lang w:val="en-US"/>
        </w:rPr>
        <w:t>(i)</w:t>
      </w:r>
      <w:r w:rsidRPr="002B4807">
        <w:rPr>
          <w:lang w:val="en-US"/>
        </w:rPr>
        <w:tab/>
      </w:r>
      <w:r w:rsidR="00362189" w:rsidRPr="002B4807">
        <w:rPr>
          <w:lang w:val="en-US"/>
        </w:rPr>
        <w:t>N</w:t>
      </w:r>
      <w:r w:rsidR="004F6C7D" w:rsidRPr="002B4807">
        <w:rPr>
          <w:lang w:val="en-US"/>
        </w:rPr>
        <w:t>o wall or fence of any description shall be erected on the servitude boundary except extension of existing type of fencing (wooden pole fencing).</w:t>
      </w:r>
    </w:p>
    <w:p w14:paraId="5BF767F6" w14:textId="77777777" w:rsidR="009D4A46" w:rsidRPr="002B4807" w:rsidRDefault="002E1769" w:rsidP="00207DB4">
      <w:pPr>
        <w:pStyle w:val="ListParagraph"/>
        <w:spacing w:line="360" w:lineRule="auto"/>
        <w:ind w:left="0"/>
        <w:jc w:val="both"/>
        <w:rPr>
          <w:lang w:val="en-US"/>
        </w:rPr>
      </w:pPr>
      <w:r w:rsidRPr="002B4807">
        <w:rPr>
          <w:lang w:val="en-US"/>
        </w:rPr>
        <w:tab/>
        <w:t>(ii)</w:t>
      </w:r>
      <w:r w:rsidRPr="002B4807">
        <w:rPr>
          <w:lang w:val="en-US"/>
        </w:rPr>
        <w:tab/>
      </w:r>
      <w:r w:rsidR="004F6C7D" w:rsidRPr="002B4807">
        <w:rPr>
          <w:lang w:val="en-US"/>
        </w:rPr>
        <w:t xml:space="preserve">The </w:t>
      </w:r>
      <w:r w:rsidR="00F2069B" w:rsidRPr="002B4807">
        <w:rPr>
          <w:lang w:val="en-US"/>
        </w:rPr>
        <w:t>s</w:t>
      </w:r>
      <w:r w:rsidR="004F6C7D" w:rsidRPr="002B4807">
        <w:rPr>
          <w:lang w:val="en-US"/>
        </w:rPr>
        <w:t>eller shall have the right to plant, control, care for and renew the</w:t>
      </w:r>
    </w:p>
    <w:p w14:paraId="3D5C3457" w14:textId="77777777" w:rsidR="004F6C7D" w:rsidRPr="002B4807" w:rsidRDefault="004F6C7D" w:rsidP="00207DB4">
      <w:pPr>
        <w:pStyle w:val="ListParagraph"/>
        <w:spacing w:line="360" w:lineRule="auto"/>
        <w:ind w:left="0" w:firstLine="720"/>
        <w:jc w:val="both"/>
        <w:rPr>
          <w:lang w:val="en-US"/>
        </w:rPr>
      </w:pPr>
      <w:r w:rsidRPr="002B4807">
        <w:rPr>
          <w:lang w:val="en-US"/>
        </w:rPr>
        <w:t>existing garden situated within the servitude area more fully described above.</w:t>
      </w:r>
    </w:p>
    <w:p w14:paraId="1550BDA2" w14:textId="77777777" w:rsidR="002E1769" w:rsidRPr="002B4807" w:rsidRDefault="002E1769" w:rsidP="00207DB4">
      <w:pPr>
        <w:pStyle w:val="ListParagraph"/>
        <w:spacing w:line="360" w:lineRule="auto"/>
        <w:jc w:val="both"/>
        <w:rPr>
          <w:lang w:val="en-US"/>
        </w:rPr>
      </w:pPr>
      <w:r w:rsidRPr="002B4807">
        <w:rPr>
          <w:lang w:val="en-US"/>
        </w:rPr>
        <w:t>(iii)</w:t>
      </w:r>
      <w:r w:rsidRPr="002B4807">
        <w:rPr>
          <w:lang w:val="en-US"/>
        </w:rPr>
        <w:tab/>
      </w:r>
      <w:r w:rsidR="004F6C7D" w:rsidRPr="002B4807">
        <w:rPr>
          <w:lang w:val="en-US"/>
        </w:rPr>
        <w:t xml:space="preserve">The </w:t>
      </w:r>
      <w:r w:rsidR="00F2069B" w:rsidRPr="002B4807">
        <w:rPr>
          <w:lang w:val="en-US"/>
        </w:rPr>
        <w:t>s</w:t>
      </w:r>
      <w:r w:rsidR="004F6C7D" w:rsidRPr="002B4807">
        <w:rPr>
          <w:lang w:val="en-US"/>
        </w:rPr>
        <w:t>eller shall have full right</w:t>
      </w:r>
      <w:r w:rsidR="00F2069B" w:rsidRPr="002B4807">
        <w:rPr>
          <w:lang w:val="en-US"/>
        </w:rPr>
        <w:t>s</w:t>
      </w:r>
      <w:r w:rsidR="004F6C7D" w:rsidRPr="002B4807">
        <w:rPr>
          <w:lang w:val="en-US"/>
        </w:rPr>
        <w:t xml:space="preserve"> of access to such servitude area in fulfilment of the rights hereby granted.</w:t>
      </w:r>
      <w:r w:rsidR="005E3F36" w:rsidRPr="002B4807">
        <w:rPr>
          <w:lang w:val="en-US"/>
        </w:rPr>
        <w:t xml:space="preserve"> </w:t>
      </w:r>
    </w:p>
    <w:p w14:paraId="4F861FB4" w14:textId="310DA2C6" w:rsidR="004F6C7D" w:rsidRPr="002B4807" w:rsidRDefault="004F6C7D" w:rsidP="00207DB4">
      <w:pPr>
        <w:pStyle w:val="ListParagraph"/>
        <w:spacing w:line="360" w:lineRule="auto"/>
        <w:ind w:left="0"/>
        <w:jc w:val="both"/>
        <w:rPr>
          <w:sz w:val="28"/>
          <w:szCs w:val="28"/>
          <w:lang w:val="en-US"/>
        </w:rPr>
      </w:pPr>
      <w:r w:rsidRPr="002B4807">
        <w:rPr>
          <w:lang w:val="en-US"/>
        </w:rPr>
        <w:t>(</w:t>
      </w:r>
      <w:r w:rsidR="002E1769" w:rsidRPr="002B4807">
        <w:rPr>
          <w:lang w:val="en-US"/>
        </w:rPr>
        <w:t>T</w:t>
      </w:r>
      <w:r w:rsidRPr="002B4807">
        <w:rPr>
          <w:lang w:val="en-US"/>
        </w:rPr>
        <w:t xml:space="preserve">he term </w:t>
      </w:r>
      <w:r w:rsidR="002E1769" w:rsidRPr="002B4807">
        <w:rPr>
          <w:lang w:val="en-US"/>
        </w:rPr>
        <w:t xml:space="preserve">of </w:t>
      </w:r>
      <w:r w:rsidRPr="002B4807">
        <w:rPr>
          <w:lang w:val="en-US"/>
        </w:rPr>
        <w:t xml:space="preserve">Seller shall include </w:t>
      </w:r>
      <w:r w:rsidR="00F2069B" w:rsidRPr="002B4807">
        <w:rPr>
          <w:lang w:val="en-US"/>
        </w:rPr>
        <w:t xml:space="preserve">her </w:t>
      </w:r>
      <w:r w:rsidR="002E1769" w:rsidRPr="002B4807">
        <w:rPr>
          <w:lang w:val="en-US"/>
        </w:rPr>
        <w:t>S</w:t>
      </w:r>
      <w:r w:rsidRPr="002B4807">
        <w:rPr>
          <w:lang w:val="en-US"/>
        </w:rPr>
        <w:t>uccessors</w:t>
      </w:r>
      <w:r w:rsidR="00F2069B" w:rsidRPr="002B4807">
        <w:rPr>
          <w:lang w:val="en-US"/>
        </w:rPr>
        <w:t>-</w:t>
      </w:r>
      <w:r w:rsidRPr="002B4807">
        <w:rPr>
          <w:lang w:val="en-US"/>
        </w:rPr>
        <w:t>in</w:t>
      </w:r>
      <w:r w:rsidR="00F2069B" w:rsidRPr="002B4807">
        <w:rPr>
          <w:lang w:val="en-US"/>
        </w:rPr>
        <w:t>-</w:t>
      </w:r>
      <w:r w:rsidRPr="002B4807">
        <w:rPr>
          <w:lang w:val="en-US"/>
        </w:rPr>
        <w:t>Title).</w:t>
      </w:r>
      <w:r w:rsidR="009D4A46" w:rsidRPr="002B4807">
        <w:rPr>
          <w:lang w:val="en-US"/>
        </w:rPr>
        <w:t>’</w:t>
      </w:r>
    </w:p>
    <w:p w14:paraId="677B2643" w14:textId="732A56B3" w:rsidR="00DF49D4" w:rsidRPr="002B4807" w:rsidRDefault="00CA3982" w:rsidP="00207DB4">
      <w:pPr>
        <w:pStyle w:val="ListParagraph"/>
        <w:spacing w:line="360" w:lineRule="auto"/>
        <w:ind w:left="0"/>
        <w:jc w:val="both"/>
        <w:rPr>
          <w:color w:val="000000" w:themeColor="text1"/>
          <w:sz w:val="28"/>
          <w:szCs w:val="28"/>
          <w:lang w:val="en-US"/>
        </w:rPr>
      </w:pPr>
      <w:r w:rsidRPr="002B4807">
        <w:rPr>
          <w:color w:val="000000" w:themeColor="text1"/>
          <w:sz w:val="28"/>
          <w:szCs w:val="28"/>
          <w:lang w:val="en-US"/>
        </w:rPr>
        <w:t xml:space="preserve">I pause here to observe that these </w:t>
      </w:r>
      <w:r w:rsidR="00C438F2" w:rsidRPr="002B4807">
        <w:rPr>
          <w:color w:val="000000" w:themeColor="text1"/>
          <w:sz w:val="28"/>
          <w:szCs w:val="28"/>
          <w:lang w:val="en-US"/>
        </w:rPr>
        <w:t>conditions of title</w:t>
      </w:r>
      <w:r w:rsidR="00DF49D4" w:rsidRPr="002B4807">
        <w:rPr>
          <w:color w:val="000000" w:themeColor="text1"/>
          <w:sz w:val="28"/>
          <w:szCs w:val="28"/>
          <w:lang w:val="en-US"/>
        </w:rPr>
        <w:t xml:space="preserve"> had survived all three successive transfers from Mr Wellens without being contested. </w:t>
      </w:r>
    </w:p>
    <w:p w14:paraId="7A77CB6D" w14:textId="77777777" w:rsidR="00DF49D4" w:rsidRPr="002B4807" w:rsidRDefault="00DF49D4" w:rsidP="00207DB4">
      <w:pPr>
        <w:pStyle w:val="ListParagraph"/>
        <w:spacing w:line="360" w:lineRule="auto"/>
        <w:ind w:left="0"/>
        <w:jc w:val="both"/>
        <w:rPr>
          <w:sz w:val="28"/>
          <w:szCs w:val="28"/>
          <w:lang w:val="en-US"/>
        </w:rPr>
      </w:pPr>
    </w:p>
    <w:p w14:paraId="60C414CC" w14:textId="3A287104" w:rsidR="00B8094D" w:rsidRPr="002B4807" w:rsidRDefault="00DF49D4" w:rsidP="00207DB4">
      <w:pPr>
        <w:pStyle w:val="ListParagraph"/>
        <w:spacing w:line="360" w:lineRule="auto"/>
        <w:ind w:left="0"/>
        <w:jc w:val="both"/>
        <w:rPr>
          <w:sz w:val="28"/>
          <w:szCs w:val="28"/>
          <w:lang w:val="en-US"/>
        </w:rPr>
      </w:pPr>
      <w:r w:rsidRPr="002B4807">
        <w:rPr>
          <w:sz w:val="28"/>
          <w:szCs w:val="28"/>
          <w:lang w:val="en-US"/>
        </w:rPr>
        <w:t>[10]</w:t>
      </w:r>
      <w:r w:rsidR="00CF6458" w:rsidRPr="002B4807">
        <w:rPr>
          <w:sz w:val="28"/>
          <w:szCs w:val="28"/>
          <w:lang w:val="en-US"/>
        </w:rPr>
        <w:tab/>
      </w:r>
      <w:r w:rsidR="00B8094D" w:rsidRPr="002B4807">
        <w:rPr>
          <w:sz w:val="28"/>
          <w:szCs w:val="28"/>
          <w:lang w:val="en-US"/>
        </w:rPr>
        <w:t>Mr Welle</w:t>
      </w:r>
      <w:r w:rsidR="00D253BD" w:rsidRPr="002B4807">
        <w:rPr>
          <w:sz w:val="28"/>
          <w:szCs w:val="28"/>
          <w:lang w:val="en-US"/>
        </w:rPr>
        <w:t>n</w:t>
      </w:r>
      <w:r w:rsidR="00B8094D" w:rsidRPr="002B4807">
        <w:rPr>
          <w:sz w:val="28"/>
          <w:szCs w:val="28"/>
          <w:lang w:val="en-US"/>
        </w:rPr>
        <w:t xml:space="preserve">s filed an affidavit </w:t>
      </w:r>
      <w:r w:rsidR="00EB6BD1" w:rsidRPr="002B4807">
        <w:rPr>
          <w:sz w:val="28"/>
          <w:szCs w:val="28"/>
          <w:lang w:val="en-US"/>
        </w:rPr>
        <w:t xml:space="preserve">in support of Ms </w:t>
      </w:r>
      <w:r w:rsidR="00217D9E" w:rsidRPr="002B4807">
        <w:rPr>
          <w:sz w:val="28"/>
          <w:szCs w:val="28"/>
          <w:lang w:val="en-US"/>
        </w:rPr>
        <w:t>Berzack</w:t>
      </w:r>
      <w:r w:rsidR="003A15F7" w:rsidRPr="002B4807">
        <w:rPr>
          <w:sz w:val="28"/>
          <w:szCs w:val="28"/>
          <w:lang w:val="en-US"/>
        </w:rPr>
        <w:t>’</w:t>
      </w:r>
      <w:r w:rsidR="00217D9E" w:rsidRPr="002B4807">
        <w:rPr>
          <w:sz w:val="28"/>
          <w:szCs w:val="28"/>
          <w:lang w:val="en-US"/>
        </w:rPr>
        <w:t>s</w:t>
      </w:r>
      <w:r w:rsidR="00EB6BD1" w:rsidRPr="002B4807">
        <w:rPr>
          <w:sz w:val="28"/>
          <w:szCs w:val="28"/>
          <w:lang w:val="en-US"/>
        </w:rPr>
        <w:t xml:space="preserve"> opposition</w:t>
      </w:r>
      <w:r w:rsidR="00CA3982" w:rsidRPr="002B4807">
        <w:rPr>
          <w:sz w:val="28"/>
          <w:szCs w:val="28"/>
          <w:lang w:val="en-US"/>
        </w:rPr>
        <w:t xml:space="preserve"> </w:t>
      </w:r>
      <w:r w:rsidR="00B8094D" w:rsidRPr="002B4807">
        <w:rPr>
          <w:sz w:val="28"/>
          <w:szCs w:val="28"/>
          <w:lang w:val="en-US"/>
        </w:rPr>
        <w:t>confirming</w:t>
      </w:r>
      <w:r w:rsidR="003A15F7" w:rsidRPr="002B4807">
        <w:rPr>
          <w:sz w:val="28"/>
          <w:szCs w:val="28"/>
          <w:lang w:val="en-US"/>
        </w:rPr>
        <w:t>, in essence,</w:t>
      </w:r>
      <w:r w:rsidR="00B8094D" w:rsidRPr="002B4807">
        <w:rPr>
          <w:sz w:val="28"/>
          <w:szCs w:val="28"/>
          <w:lang w:val="en-US"/>
        </w:rPr>
        <w:t xml:space="preserve"> that the reservation of the garden as a praedial servitude upon the Huntrex </w:t>
      </w:r>
      <w:r w:rsidR="00CA3982" w:rsidRPr="002B4807">
        <w:rPr>
          <w:sz w:val="28"/>
          <w:szCs w:val="28"/>
          <w:lang w:val="en-US"/>
        </w:rPr>
        <w:t xml:space="preserve">277 </w:t>
      </w:r>
      <w:r w:rsidR="00B8094D" w:rsidRPr="002B4807">
        <w:rPr>
          <w:sz w:val="28"/>
          <w:szCs w:val="28"/>
          <w:lang w:val="en-US"/>
        </w:rPr>
        <w:t xml:space="preserve">property was agreed to between him and </w:t>
      </w:r>
      <w:r w:rsidR="0023610E" w:rsidRPr="002B4807">
        <w:rPr>
          <w:sz w:val="28"/>
          <w:szCs w:val="28"/>
          <w:lang w:val="en-US"/>
        </w:rPr>
        <w:t>Ms Berzack</w:t>
      </w:r>
      <w:r w:rsidR="00B8094D" w:rsidRPr="002B4807">
        <w:rPr>
          <w:sz w:val="28"/>
          <w:szCs w:val="28"/>
          <w:lang w:val="en-US"/>
        </w:rPr>
        <w:t xml:space="preserve">. He stated further that the agreement was informed by common intention that </w:t>
      </w:r>
      <w:r w:rsidR="0046242F" w:rsidRPr="002B4807">
        <w:rPr>
          <w:sz w:val="28"/>
          <w:szCs w:val="28"/>
          <w:lang w:val="en-US"/>
        </w:rPr>
        <w:t>the garden would remain on the Huntrex</w:t>
      </w:r>
      <w:r w:rsidR="00CA3982" w:rsidRPr="002B4807">
        <w:rPr>
          <w:sz w:val="28"/>
          <w:szCs w:val="28"/>
          <w:lang w:val="en-US"/>
        </w:rPr>
        <w:t xml:space="preserve"> 277 </w:t>
      </w:r>
      <w:r w:rsidR="0046242F" w:rsidRPr="002B4807">
        <w:rPr>
          <w:sz w:val="28"/>
          <w:szCs w:val="28"/>
          <w:lang w:val="en-US"/>
        </w:rPr>
        <w:t xml:space="preserve">property for the sole and unfettered use of </w:t>
      </w:r>
      <w:r w:rsidR="00EB6BD1" w:rsidRPr="002B4807">
        <w:rPr>
          <w:sz w:val="28"/>
          <w:szCs w:val="28"/>
          <w:lang w:val="en-US"/>
        </w:rPr>
        <w:t>Ms Berzack</w:t>
      </w:r>
      <w:r w:rsidR="0046242F" w:rsidRPr="002B4807">
        <w:rPr>
          <w:sz w:val="28"/>
          <w:szCs w:val="28"/>
          <w:lang w:val="en-US"/>
        </w:rPr>
        <w:t xml:space="preserve"> and any subsequent </w:t>
      </w:r>
      <w:r w:rsidR="00EB6BD1" w:rsidRPr="002B4807">
        <w:rPr>
          <w:sz w:val="28"/>
          <w:szCs w:val="28"/>
          <w:lang w:val="en-US"/>
        </w:rPr>
        <w:t>successors</w:t>
      </w:r>
      <w:r w:rsidR="003A15F7" w:rsidRPr="002B4807">
        <w:rPr>
          <w:sz w:val="28"/>
          <w:szCs w:val="28"/>
          <w:lang w:val="en-US"/>
        </w:rPr>
        <w:t>-</w:t>
      </w:r>
      <w:r w:rsidR="00EB6BD1" w:rsidRPr="002B4807">
        <w:rPr>
          <w:sz w:val="28"/>
          <w:szCs w:val="28"/>
          <w:lang w:val="en-US"/>
        </w:rPr>
        <w:t xml:space="preserve">in-title </w:t>
      </w:r>
      <w:r w:rsidR="0046242F" w:rsidRPr="002B4807">
        <w:rPr>
          <w:sz w:val="28"/>
          <w:szCs w:val="28"/>
          <w:lang w:val="en-US"/>
        </w:rPr>
        <w:t xml:space="preserve">of the </w:t>
      </w:r>
      <w:r w:rsidR="003A15F7" w:rsidRPr="002B4807">
        <w:rPr>
          <w:sz w:val="28"/>
          <w:szCs w:val="28"/>
          <w:lang w:val="en-US"/>
        </w:rPr>
        <w:t>r</w:t>
      </w:r>
      <w:r w:rsidR="0046242F" w:rsidRPr="002B4807">
        <w:rPr>
          <w:sz w:val="28"/>
          <w:szCs w:val="28"/>
          <w:lang w:val="en-US"/>
        </w:rPr>
        <w:t xml:space="preserve">emainder of </w:t>
      </w:r>
      <w:r w:rsidR="00EB6BD1" w:rsidRPr="002B4807">
        <w:rPr>
          <w:sz w:val="28"/>
          <w:szCs w:val="28"/>
          <w:lang w:val="en-US"/>
        </w:rPr>
        <w:t>e</w:t>
      </w:r>
      <w:r w:rsidR="0046242F" w:rsidRPr="002B4807">
        <w:rPr>
          <w:sz w:val="28"/>
          <w:szCs w:val="28"/>
          <w:lang w:val="en-US"/>
        </w:rPr>
        <w:t>rf 380</w:t>
      </w:r>
      <w:r w:rsidR="007F5E74" w:rsidRPr="002B4807">
        <w:rPr>
          <w:sz w:val="28"/>
          <w:szCs w:val="28"/>
          <w:lang w:val="en-US"/>
        </w:rPr>
        <w:t>,</w:t>
      </w:r>
      <w:r w:rsidR="0046242F" w:rsidRPr="002B4807">
        <w:rPr>
          <w:sz w:val="28"/>
          <w:szCs w:val="28"/>
          <w:lang w:val="en-US"/>
        </w:rPr>
        <w:t xml:space="preserve"> Constantia.</w:t>
      </w:r>
    </w:p>
    <w:p w14:paraId="5D5ECE38" w14:textId="77777777" w:rsidR="00D253BD" w:rsidRPr="002B4807" w:rsidRDefault="00D253BD" w:rsidP="00207DB4">
      <w:pPr>
        <w:pStyle w:val="ListParagraph"/>
        <w:spacing w:line="360" w:lineRule="auto"/>
        <w:ind w:left="0"/>
        <w:jc w:val="both"/>
        <w:rPr>
          <w:sz w:val="28"/>
          <w:szCs w:val="28"/>
          <w:lang w:val="en-US"/>
        </w:rPr>
      </w:pPr>
    </w:p>
    <w:p w14:paraId="191A1AB4" w14:textId="61FD8FAA" w:rsidR="00666991" w:rsidRPr="002B4807" w:rsidRDefault="00CF6458" w:rsidP="00207DB4">
      <w:pPr>
        <w:pStyle w:val="ListParagraph"/>
        <w:spacing w:line="360" w:lineRule="auto"/>
        <w:ind w:left="0"/>
        <w:jc w:val="both"/>
        <w:rPr>
          <w:sz w:val="28"/>
          <w:szCs w:val="28"/>
          <w:lang w:val="en-US"/>
        </w:rPr>
      </w:pPr>
      <w:r w:rsidRPr="002B4807">
        <w:rPr>
          <w:sz w:val="28"/>
          <w:szCs w:val="28"/>
          <w:lang w:val="en-US"/>
        </w:rPr>
        <w:t>[11]</w:t>
      </w:r>
      <w:r w:rsidRPr="002B4807">
        <w:rPr>
          <w:sz w:val="28"/>
          <w:szCs w:val="28"/>
          <w:lang w:val="en-US"/>
        </w:rPr>
        <w:tab/>
      </w:r>
      <w:r w:rsidR="00D253BD" w:rsidRPr="002B4807">
        <w:rPr>
          <w:sz w:val="28"/>
          <w:szCs w:val="28"/>
          <w:lang w:val="en-US"/>
        </w:rPr>
        <w:t>As regards the counter</w:t>
      </w:r>
      <w:r w:rsidR="007F5E74" w:rsidRPr="002B4807">
        <w:rPr>
          <w:sz w:val="28"/>
          <w:szCs w:val="28"/>
          <w:lang w:val="en-US"/>
        </w:rPr>
        <w:t>-</w:t>
      </w:r>
      <w:r w:rsidR="00D253BD" w:rsidRPr="002B4807">
        <w:rPr>
          <w:sz w:val="28"/>
          <w:szCs w:val="28"/>
          <w:lang w:val="en-US"/>
        </w:rPr>
        <w:t>application,</w:t>
      </w:r>
      <w:r w:rsidR="00D253BD" w:rsidRPr="002B4807">
        <w:rPr>
          <w:color w:val="7030A0"/>
          <w:sz w:val="28"/>
          <w:szCs w:val="28"/>
          <w:lang w:val="en-US"/>
        </w:rPr>
        <w:t xml:space="preserve"> </w:t>
      </w:r>
      <w:r w:rsidR="00DF49D4" w:rsidRPr="002B4807">
        <w:rPr>
          <w:color w:val="000000" w:themeColor="text1"/>
          <w:sz w:val="28"/>
          <w:szCs w:val="28"/>
          <w:lang w:val="en-US"/>
        </w:rPr>
        <w:t>Ms Berzack</w:t>
      </w:r>
      <w:r w:rsidR="00D253BD" w:rsidRPr="002B4807">
        <w:rPr>
          <w:sz w:val="28"/>
          <w:szCs w:val="28"/>
          <w:lang w:val="en-US"/>
        </w:rPr>
        <w:t xml:space="preserve"> contended that her intention and that of Mr Wellens </w:t>
      </w:r>
      <w:r w:rsidR="00D10593" w:rsidRPr="002B4807">
        <w:rPr>
          <w:sz w:val="28"/>
          <w:szCs w:val="28"/>
          <w:lang w:val="en-US"/>
        </w:rPr>
        <w:t xml:space="preserve">could </w:t>
      </w:r>
      <w:r w:rsidR="00D253BD" w:rsidRPr="002B4807">
        <w:rPr>
          <w:sz w:val="28"/>
          <w:szCs w:val="28"/>
          <w:lang w:val="en-US"/>
        </w:rPr>
        <w:t>still be realized by rectification</w:t>
      </w:r>
      <w:r w:rsidR="00DF49D4" w:rsidRPr="002B4807">
        <w:rPr>
          <w:color w:val="7030A0"/>
          <w:sz w:val="28"/>
          <w:szCs w:val="28"/>
          <w:lang w:val="en-US"/>
        </w:rPr>
        <w:t>,</w:t>
      </w:r>
      <w:r w:rsidR="00D253BD" w:rsidRPr="002B4807">
        <w:rPr>
          <w:sz w:val="28"/>
          <w:szCs w:val="28"/>
          <w:lang w:val="en-US"/>
        </w:rPr>
        <w:t xml:space="preserve"> </w:t>
      </w:r>
      <w:r w:rsidR="00EB6BD1" w:rsidRPr="002B4807">
        <w:rPr>
          <w:sz w:val="28"/>
          <w:szCs w:val="28"/>
          <w:lang w:val="en-US"/>
        </w:rPr>
        <w:t xml:space="preserve">if necessary, </w:t>
      </w:r>
      <w:r w:rsidR="00D253BD" w:rsidRPr="002B4807">
        <w:rPr>
          <w:sz w:val="28"/>
          <w:szCs w:val="28"/>
          <w:lang w:val="en-US"/>
        </w:rPr>
        <w:t xml:space="preserve">of </w:t>
      </w:r>
      <w:r w:rsidR="00666991" w:rsidRPr="002B4807">
        <w:rPr>
          <w:sz w:val="28"/>
          <w:szCs w:val="28"/>
          <w:lang w:val="en-US"/>
        </w:rPr>
        <w:t>clause P of the title deed</w:t>
      </w:r>
      <w:r w:rsidR="003C6E15" w:rsidRPr="002B4807">
        <w:rPr>
          <w:sz w:val="28"/>
          <w:szCs w:val="28"/>
          <w:lang w:val="en-US"/>
        </w:rPr>
        <w:t xml:space="preserve"> of </w:t>
      </w:r>
      <w:r w:rsidR="008D0D15" w:rsidRPr="002B4807">
        <w:rPr>
          <w:bCs/>
          <w:sz w:val="28"/>
          <w:szCs w:val="28"/>
        </w:rPr>
        <w:t>Huntrex 277</w:t>
      </w:r>
      <w:r w:rsidR="003A15F7" w:rsidRPr="002B4807">
        <w:rPr>
          <w:bCs/>
          <w:sz w:val="28"/>
          <w:szCs w:val="28"/>
        </w:rPr>
        <w:t>,</w:t>
      </w:r>
      <w:r w:rsidR="008D0D15" w:rsidRPr="002B4807">
        <w:rPr>
          <w:bCs/>
          <w:sz w:val="28"/>
          <w:szCs w:val="28"/>
        </w:rPr>
        <w:t xml:space="preserve"> </w:t>
      </w:r>
      <w:r w:rsidR="00666991" w:rsidRPr="002B4807">
        <w:rPr>
          <w:sz w:val="28"/>
          <w:szCs w:val="28"/>
          <w:lang w:val="en-US"/>
        </w:rPr>
        <w:t>by inserting appropriate terms as</w:t>
      </w:r>
      <w:r w:rsidR="00C05E60" w:rsidRPr="002B4807">
        <w:rPr>
          <w:sz w:val="28"/>
          <w:szCs w:val="28"/>
          <w:lang w:val="en-US"/>
        </w:rPr>
        <w:t xml:space="preserve"> shown in bold letters</w:t>
      </w:r>
      <w:r w:rsidR="00666991" w:rsidRPr="002B4807">
        <w:rPr>
          <w:sz w:val="28"/>
          <w:szCs w:val="28"/>
          <w:lang w:val="en-US"/>
        </w:rPr>
        <w:t xml:space="preserve"> </w:t>
      </w:r>
      <w:r w:rsidR="00C05E60" w:rsidRPr="002B4807">
        <w:rPr>
          <w:sz w:val="28"/>
          <w:szCs w:val="28"/>
          <w:lang w:val="en-US"/>
        </w:rPr>
        <w:t>below</w:t>
      </w:r>
      <w:r w:rsidR="00666991" w:rsidRPr="002B4807">
        <w:rPr>
          <w:sz w:val="28"/>
          <w:szCs w:val="28"/>
          <w:lang w:val="en-US"/>
        </w:rPr>
        <w:t>:</w:t>
      </w:r>
    </w:p>
    <w:p w14:paraId="197F357F" w14:textId="77777777" w:rsidR="00D3016B" w:rsidRPr="002B4807" w:rsidRDefault="00D3016B" w:rsidP="00207DB4">
      <w:pPr>
        <w:pStyle w:val="ListParagraph"/>
        <w:spacing w:line="360" w:lineRule="auto"/>
        <w:ind w:left="0"/>
        <w:jc w:val="both"/>
        <w:rPr>
          <w:lang w:val="en-US"/>
        </w:rPr>
      </w:pPr>
      <w:r w:rsidRPr="002B4807">
        <w:rPr>
          <w:lang w:val="en-US"/>
        </w:rPr>
        <w:t>‘P.</w:t>
      </w:r>
      <w:r w:rsidRPr="002B4807">
        <w:rPr>
          <w:lang w:val="en-US"/>
        </w:rPr>
        <w:tab/>
        <w:t>SUBJECT FURTHER to the following conditions contained in said Deed of Transfer No. T. 39953/1983 imposed by MARGOT BERZACK in favour of herself and her successors in title as owner of the REMAINDER OF ERF 380 CONSTANTIA, which conditions are as follows:</w:t>
      </w:r>
    </w:p>
    <w:p w14:paraId="40341544" w14:textId="3BA1EEFB" w:rsidR="00D3016B" w:rsidRPr="002B4807" w:rsidRDefault="00D3016B" w:rsidP="00207DB4">
      <w:pPr>
        <w:pStyle w:val="ListParagraph"/>
        <w:spacing w:line="360" w:lineRule="auto"/>
        <w:ind w:left="0"/>
        <w:jc w:val="both"/>
        <w:rPr>
          <w:lang w:val="en-US"/>
        </w:rPr>
      </w:pPr>
      <w:r w:rsidRPr="002B4807">
        <w:rPr>
          <w:lang w:val="en-US"/>
        </w:rPr>
        <w:t>(a)</w:t>
      </w:r>
      <w:r w:rsidRPr="002B4807">
        <w:rPr>
          <w:lang w:val="en-US"/>
        </w:rPr>
        <w:tab/>
        <w:t xml:space="preserve">The property hereby transferred is subject to a servitude area 20 (TWENTY) </w:t>
      </w:r>
      <w:r w:rsidR="00082075" w:rsidRPr="002B4807">
        <w:rPr>
          <w:lang w:val="en-US"/>
        </w:rPr>
        <w:t>meters</w:t>
      </w:r>
      <w:r w:rsidRPr="002B4807">
        <w:rPr>
          <w:lang w:val="en-US"/>
        </w:rPr>
        <w:t xml:space="preserve"> wide, The Western Boundary of which shall be parallel to the boundary marked DE on </w:t>
      </w:r>
      <w:r w:rsidRPr="002B4807">
        <w:rPr>
          <w:lang w:val="en-US"/>
        </w:rPr>
        <w:lastRenderedPageBreak/>
        <w:t>Diagram No. 5253/1981 in favour of the REMAINDER OF ERF 380 CONSTANTIA, held by the said Transferor, MARGOT BERZACK (born ILLMAN) married out of community of property to Jeffrey Cyril Berzack, under Deed of Transfer No. 38631 dated 31</w:t>
      </w:r>
      <w:r w:rsidRPr="002B4807">
        <w:rPr>
          <w:vertAlign w:val="superscript"/>
          <w:lang w:val="en-US"/>
        </w:rPr>
        <w:t>st</w:t>
      </w:r>
      <w:r w:rsidRPr="002B4807">
        <w:rPr>
          <w:lang w:val="en-US"/>
        </w:rPr>
        <w:t xml:space="preserve"> December 1970.</w:t>
      </w:r>
    </w:p>
    <w:p w14:paraId="29209A29" w14:textId="77777777" w:rsidR="00D3016B" w:rsidRPr="002B4807" w:rsidRDefault="00D3016B" w:rsidP="00207DB4">
      <w:pPr>
        <w:pStyle w:val="ListParagraph"/>
        <w:spacing w:line="360" w:lineRule="auto"/>
        <w:ind w:left="0"/>
        <w:jc w:val="both"/>
        <w:rPr>
          <w:lang w:val="en-US"/>
        </w:rPr>
      </w:pPr>
      <w:r w:rsidRPr="002B4807">
        <w:rPr>
          <w:lang w:val="en-US"/>
        </w:rPr>
        <w:t>(b)</w:t>
      </w:r>
      <w:r w:rsidRPr="002B4807">
        <w:rPr>
          <w:lang w:val="en-US"/>
        </w:rPr>
        <w:tab/>
        <w:t>The said servitude shall be subject to the following terms and conditions, namely:</w:t>
      </w:r>
    </w:p>
    <w:p w14:paraId="62C6E32B" w14:textId="77777777" w:rsidR="00D3016B" w:rsidRPr="002B4807" w:rsidRDefault="00D3016B" w:rsidP="00207DB4">
      <w:pPr>
        <w:pStyle w:val="ListParagraph"/>
        <w:spacing w:line="360" w:lineRule="auto"/>
        <w:jc w:val="both"/>
        <w:rPr>
          <w:lang w:val="en-US"/>
        </w:rPr>
      </w:pPr>
      <w:r w:rsidRPr="002B4807">
        <w:rPr>
          <w:lang w:val="en-US"/>
        </w:rPr>
        <w:t>(i)</w:t>
      </w:r>
      <w:r w:rsidRPr="002B4807">
        <w:rPr>
          <w:lang w:val="en-US"/>
        </w:rPr>
        <w:tab/>
        <w:t>No wall or fence of any description shall be erected on the servitude boundary</w:t>
      </w:r>
      <w:r w:rsidRPr="002B4807">
        <w:t xml:space="preserve"> </w:t>
      </w:r>
      <w:r w:rsidRPr="002B4807">
        <w:rPr>
          <w:b/>
          <w:lang w:val="en-US"/>
        </w:rPr>
        <w:t>to enclose it</w:t>
      </w:r>
      <w:r w:rsidRPr="002B4807">
        <w:rPr>
          <w:lang w:val="en-US"/>
        </w:rPr>
        <w:t xml:space="preserve"> except extension of existing type of fencing (wooden pole fencing)</w:t>
      </w:r>
      <w:r w:rsidRPr="002B4807">
        <w:rPr>
          <w:bCs/>
          <w:lang w:val="en-US"/>
        </w:rPr>
        <w:t xml:space="preserve"> </w:t>
      </w:r>
      <w:r w:rsidRPr="002B4807">
        <w:rPr>
          <w:b/>
          <w:bCs/>
          <w:lang w:val="en-US"/>
        </w:rPr>
        <w:t>on its western side</w:t>
      </w:r>
      <w:r w:rsidRPr="002B4807">
        <w:rPr>
          <w:lang w:val="en-US"/>
        </w:rPr>
        <w:t>.</w:t>
      </w:r>
    </w:p>
    <w:p w14:paraId="0305E561" w14:textId="77777777" w:rsidR="00D3016B" w:rsidRPr="002B4807" w:rsidRDefault="00D3016B" w:rsidP="00207DB4">
      <w:pPr>
        <w:pStyle w:val="ListParagraph"/>
        <w:spacing w:line="360" w:lineRule="auto"/>
        <w:jc w:val="both"/>
        <w:rPr>
          <w:lang w:val="en-US"/>
        </w:rPr>
      </w:pPr>
      <w:r w:rsidRPr="002B4807">
        <w:rPr>
          <w:lang w:val="en-US"/>
        </w:rPr>
        <w:t>(ii)</w:t>
      </w:r>
      <w:r w:rsidRPr="002B4807">
        <w:rPr>
          <w:lang w:val="en-US"/>
        </w:rPr>
        <w:tab/>
        <w:t xml:space="preserve">The seller shall have the </w:t>
      </w:r>
      <w:r w:rsidRPr="002B4807">
        <w:rPr>
          <w:b/>
          <w:lang w:val="en-US"/>
        </w:rPr>
        <w:t xml:space="preserve">exclusive </w:t>
      </w:r>
      <w:r w:rsidRPr="002B4807">
        <w:rPr>
          <w:lang w:val="en-US"/>
        </w:rPr>
        <w:t>right to plant, control, care for and renew the existing garden situated within the servitude area more fully described above.</w:t>
      </w:r>
    </w:p>
    <w:p w14:paraId="143D7E47" w14:textId="77777777" w:rsidR="00D3016B" w:rsidRPr="002B4807" w:rsidRDefault="00D3016B" w:rsidP="00207DB4">
      <w:pPr>
        <w:pStyle w:val="ListParagraph"/>
        <w:spacing w:line="360" w:lineRule="auto"/>
        <w:jc w:val="both"/>
        <w:rPr>
          <w:lang w:val="en-US"/>
        </w:rPr>
      </w:pPr>
      <w:r w:rsidRPr="002B4807">
        <w:rPr>
          <w:lang w:val="en-US"/>
        </w:rPr>
        <w:t>(iii)</w:t>
      </w:r>
      <w:r w:rsidRPr="002B4807">
        <w:rPr>
          <w:lang w:val="en-US"/>
        </w:rPr>
        <w:tab/>
        <w:t xml:space="preserve">The seller shall have full </w:t>
      </w:r>
      <w:r w:rsidRPr="002B4807">
        <w:rPr>
          <w:b/>
          <w:bCs/>
          <w:lang w:val="en-US"/>
        </w:rPr>
        <w:t>and exclusive</w:t>
      </w:r>
      <w:r w:rsidRPr="002B4807">
        <w:rPr>
          <w:bCs/>
          <w:lang w:val="en-US"/>
        </w:rPr>
        <w:t xml:space="preserve"> </w:t>
      </w:r>
      <w:r w:rsidRPr="002B4807">
        <w:rPr>
          <w:lang w:val="en-US"/>
        </w:rPr>
        <w:t xml:space="preserve">rights of access to such servitude area in fulfilment of the rights hereby granted. </w:t>
      </w:r>
    </w:p>
    <w:p w14:paraId="16221A94" w14:textId="77777777" w:rsidR="00D3016B" w:rsidRPr="002B4807" w:rsidRDefault="00D3016B" w:rsidP="00207DB4">
      <w:pPr>
        <w:pStyle w:val="ListParagraph"/>
        <w:spacing w:line="360" w:lineRule="auto"/>
        <w:ind w:left="0"/>
        <w:jc w:val="both"/>
        <w:rPr>
          <w:lang w:val="en-US"/>
        </w:rPr>
      </w:pPr>
      <w:r w:rsidRPr="002B4807">
        <w:rPr>
          <w:lang w:val="en-US"/>
        </w:rPr>
        <w:t>(The term of Seller shall include her Successors-in-Title).’</w:t>
      </w:r>
    </w:p>
    <w:p w14:paraId="35624D66" w14:textId="77777777" w:rsidR="00D3016B" w:rsidRPr="002B4807" w:rsidRDefault="00D3016B" w:rsidP="00207DB4">
      <w:pPr>
        <w:pStyle w:val="ListParagraph"/>
        <w:spacing w:line="360" w:lineRule="auto"/>
        <w:ind w:left="0"/>
        <w:jc w:val="both"/>
        <w:rPr>
          <w:sz w:val="28"/>
          <w:szCs w:val="28"/>
          <w:lang w:val="en-US"/>
        </w:rPr>
      </w:pPr>
    </w:p>
    <w:p w14:paraId="17400D49" w14:textId="77777777" w:rsidR="00666991" w:rsidRPr="002B4807" w:rsidRDefault="008C1764" w:rsidP="00207DB4">
      <w:pPr>
        <w:spacing w:line="360" w:lineRule="auto"/>
        <w:jc w:val="both"/>
        <w:rPr>
          <w:color w:val="000000" w:themeColor="text1"/>
          <w:sz w:val="28"/>
          <w:szCs w:val="28"/>
          <w:lang w:val="en-US"/>
        </w:rPr>
      </w:pPr>
      <w:r w:rsidRPr="002B4807">
        <w:rPr>
          <w:sz w:val="28"/>
          <w:szCs w:val="28"/>
          <w:lang w:val="en-US"/>
        </w:rPr>
        <w:t>[12]</w:t>
      </w:r>
      <w:r w:rsidRPr="002B4807">
        <w:rPr>
          <w:sz w:val="28"/>
          <w:szCs w:val="28"/>
          <w:lang w:val="en-US"/>
        </w:rPr>
        <w:tab/>
      </w:r>
      <w:r w:rsidR="00EB6BD1" w:rsidRPr="002B4807">
        <w:rPr>
          <w:sz w:val="28"/>
          <w:szCs w:val="28"/>
          <w:lang w:val="en-US"/>
        </w:rPr>
        <w:t>F</w:t>
      </w:r>
      <w:r w:rsidR="003C6E15" w:rsidRPr="002B4807">
        <w:rPr>
          <w:sz w:val="28"/>
          <w:szCs w:val="28"/>
          <w:lang w:val="en-US"/>
        </w:rPr>
        <w:t xml:space="preserve">urther alternative relief sought by </w:t>
      </w:r>
      <w:r w:rsidR="00EB6BD1" w:rsidRPr="002B4807">
        <w:rPr>
          <w:sz w:val="28"/>
          <w:szCs w:val="28"/>
          <w:lang w:val="en-US"/>
        </w:rPr>
        <w:t xml:space="preserve">Ms Berzack </w:t>
      </w:r>
      <w:r w:rsidR="003C6E15" w:rsidRPr="002B4807">
        <w:rPr>
          <w:sz w:val="28"/>
          <w:szCs w:val="28"/>
          <w:lang w:val="en-US"/>
        </w:rPr>
        <w:t xml:space="preserve">in the </w:t>
      </w:r>
      <w:r w:rsidR="00FF012A" w:rsidRPr="002B4807">
        <w:rPr>
          <w:sz w:val="28"/>
          <w:szCs w:val="28"/>
          <w:lang w:val="en-US"/>
        </w:rPr>
        <w:t>h</w:t>
      </w:r>
      <w:r w:rsidR="003C6E15" w:rsidRPr="002B4807">
        <w:rPr>
          <w:sz w:val="28"/>
          <w:szCs w:val="28"/>
          <w:lang w:val="en-US"/>
        </w:rPr>
        <w:t xml:space="preserve">igh </w:t>
      </w:r>
      <w:r w:rsidR="00FF012A" w:rsidRPr="002B4807">
        <w:rPr>
          <w:sz w:val="28"/>
          <w:szCs w:val="28"/>
          <w:lang w:val="en-US"/>
        </w:rPr>
        <w:t>c</w:t>
      </w:r>
      <w:r w:rsidR="003C6E15" w:rsidRPr="002B4807">
        <w:rPr>
          <w:sz w:val="28"/>
          <w:szCs w:val="28"/>
          <w:lang w:val="en-US"/>
        </w:rPr>
        <w:t xml:space="preserve">ourt, in the event of rectification not being </w:t>
      </w:r>
      <w:r w:rsidR="000D7C95" w:rsidRPr="002B4807">
        <w:rPr>
          <w:sz w:val="28"/>
          <w:szCs w:val="28"/>
          <w:lang w:val="en-US"/>
        </w:rPr>
        <w:t>suc</w:t>
      </w:r>
      <w:r w:rsidR="00E17BC7" w:rsidRPr="002B4807">
        <w:rPr>
          <w:sz w:val="28"/>
          <w:szCs w:val="28"/>
          <w:lang w:val="en-US"/>
        </w:rPr>
        <w:t>c</w:t>
      </w:r>
      <w:r w:rsidR="000D7C95" w:rsidRPr="002B4807">
        <w:rPr>
          <w:sz w:val="28"/>
          <w:szCs w:val="28"/>
          <w:lang w:val="en-US"/>
        </w:rPr>
        <w:t>essful</w:t>
      </w:r>
      <w:r w:rsidR="003C6E15" w:rsidRPr="002B4807">
        <w:rPr>
          <w:sz w:val="28"/>
          <w:szCs w:val="28"/>
          <w:lang w:val="en-US"/>
        </w:rPr>
        <w:t xml:space="preserve">, was that </w:t>
      </w:r>
      <w:r w:rsidR="00AF4D90" w:rsidRPr="002B4807">
        <w:rPr>
          <w:sz w:val="28"/>
          <w:szCs w:val="28"/>
          <w:lang w:val="en-US"/>
        </w:rPr>
        <w:t xml:space="preserve">a </w:t>
      </w:r>
      <w:r w:rsidR="00E17BC7" w:rsidRPr="002B4807">
        <w:rPr>
          <w:sz w:val="28"/>
          <w:szCs w:val="28"/>
          <w:lang w:val="en-US"/>
        </w:rPr>
        <w:t xml:space="preserve">praedial right that she had exercised and enjoyed for more than thirty years be conferred </w:t>
      </w:r>
      <w:r w:rsidR="00EB6BD1" w:rsidRPr="002B4807">
        <w:rPr>
          <w:sz w:val="28"/>
          <w:szCs w:val="28"/>
          <w:lang w:val="en-US"/>
        </w:rPr>
        <w:t>on</w:t>
      </w:r>
      <w:r w:rsidR="00E17BC7" w:rsidRPr="002B4807">
        <w:rPr>
          <w:sz w:val="28"/>
          <w:szCs w:val="28"/>
          <w:lang w:val="en-US"/>
        </w:rPr>
        <w:t xml:space="preserve"> her and the Berzack property in terms of s </w:t>
      </w:r>
      <w:r w:rsidR="00065EB7" w:rsidRPr="002B4807">
        <w:rPr>
          <w:sz w:val="28"/>
          <w:szCs w:val="28"/>
          <w:lang w:val="en-US"/>
        </w:rPr>
        <w:t>6</w:t>
      </w:r>
      <w:r w:rsidR="00E17BC7" w:rsidRPr="002B4807">
        <w:rPr>
          <w:sz w:val="28"/>
          <w:szCs w:val="28"/>
          <w:lang w:val="en-US"/>
        </w:rPr>
        <w:t xml:space="preserve"> of the Prescription Act</w:t>
      </w:r>
      <w:r w:rsidR="001D253B" w:rsidRPr="002B4807">
        <w:rPr>
          <w:rStyle w:val="FootnoteReference"/>
          <w:sz w:val="28"/>
          <w:szCs w:val="28"/>
          <w:lang w:val="en-US"/>
        </w:rPr>
        <w:footnoteReference w:id="6"/>
      </w:r>
      <w:r w:rsidR="00DF49D4" w:rsidRPr="002B4807">
        <w:rPr>
          <w:sz w:val="28"/>
          <w:szCs w:val="28"/>
          <w:lang w:val="en-US"/>
        </w:rPr>
        <w:t xml:space="preserve"> </w:t>
      </w:r>
      <w:r w:rsidR="00DF49D4" w:rsidRPr="002B4807">
        <w:rPr>
          <w:color w:val="000000" w:themeColor="text1"/>
          <w:sz w:val="28"/>
          <w:szCs w:val="28"/>
          <w:lang w:val="en-US"/>
        </w:rPr>
        <w:t>by virtue of acquisitive prescription.</w:t>
      </w:r>
      <w:r w:rsidR="003C6E15" w:rsidRPr="002B4807">
        <w:rPr>
          <w:color w:val="000000" w:themeColor="text1"/>
          <w:sz w:val="28"/>
          <w:szCs w:val="28"/>
          <w:lang w:val="en-US"/>
        </w:rPr>
        <w:t xml:space="preserve">  </w:t>
      </w:r>
    </w:p>
    <w:p w14:paraId="0F4A6B16" w14:textId="77777777" w:rsidR="001A10DB" w:rsidRPr="002B4807" w:rsidRDefault="001A10DB" w:rsidP="00207DB4">
      <w:pPr>
        <w:pStyle w:val="ListParagraph"/>
        <w:spacing w:line="360" w:lineRule="auto"/>
        <w:ind w:left="0"/>
        <w:jc w:val="both"/>
        <w:rPr>
          <w:sz w:val="28"/>
          <w:szCs w:val="28"/>
          <w:lang w:val="en-US"/>
        </w:rPr>
      </w:pPr>
    </w:p>
    <w:p w14:paraId="34FADBFF" w14:textId="77777777" w:rsidR="00487DB9" w:rsidRPr="002B4807" w:rsidRDefault="008C1764" w:rsidP="00207DB4">
      <w:pPr>
        <w:pStyle w:val="ListParagraph"/>
        <w:spacing w:line="360" w:lineRule="auto"/>
        <w:ind w:left="0"/>
        <w:jc w:val="both"/>
        <w:rPr>
          <w:sz w:val="28"/>
          <w:szCs w:val="28"/>
          <w:lang w:val="en-US"/>
        </w:rPr>
      </w:pPr>
      <w:r w:rsidRPr="002B4807">
        <w:rPr>
          <w:sz w:val="28"/>
          <w:szCs w:val="28"/>
          <w:lang w:val="en-US"/>
        </w:rPr>
        <w:t>[13]</w:t>
      </w:r>
      <w:r w:rsidRPr="002B4807">
        <w:rPr>
          <w:sz w:val="28"/>
          <w:szCs w:val="28"/>
          <w:lang w:val="en-US"/>
        </w:rPr>
        <w:tab/>
      </w:r>
      <w:r w:rsidR="00646CFE" w:rsidRPr="002B4807">
        <w:rPr>
          <w:sz w:val="28"/>
          <w:szCs w:val="28"/>
          <w:lang w:val="en-US"/>
        </w:rPr>
        <w:t xml:space="preserve">The </w:t>
      </w:r>
      <w:r w:rsidR="001D253B" w:rsidRPr="002B4807">
        <w:rPr>
          <w:sz w:val="28"/>
          <w:szCs w:val="28"/>
          <w:lang w:val="en-US"/>
        </w:rPr>
        <w:t>h</w:t>
      </w:r>
      <w:r w:rsidR="00646CFE" w:rsidRPr="002B4807">
        <w:rPr>
          <w:sz w:val="28"/>
          <w:szCs w:val="28"/>
          <w:lang w:val="en-US"/>
        </w:rPr>
        <w:t xml:space="preserve">igh </w:t>
      </w:r>
      <w:r w:rsidR="001D253B" w:rsidRPr="002B4807">
        <w:rPr>
          <w:sz w:val="28"/>
          <w:szCs w:val="28"/>
          <w:lang w:val="en-US"/>
        </w:rPr>
        <w:t>c</w:t>
      </w:r>
      <w:r w:rsidR="00646CFE" w:rsidRPr="002B4807">
        <w:rPr>
          <w:sz w:val="28"/>
          <w:szCs w:val="28"/>
          <w:lang w:val="en-US"/>
        </w:rPr>
        <w:t xml:space="preserve">ourt decided the main application on the issues </w:t>
      </w:r>
      <w:r w:rsidR="006B1E36" w:rsidRPr="002B4807">
        <w:rPr>
          <w:sz w:val="28"/>
          <w:szCs w:val="28"/>
          <w:lang w:val="en-US"/>
        </w:rPr>
        <w:t xml:space="preserve">of </w:t>
      </w:r>
      <w:r w:rsidR="00646CFE" w:rsidRPr="002B4807">
        <w:rPr>
          <w:sz w:val="28"/>
          <w:szCs w:val="28"/>
          <w:lang w:val="en-US"/>
        </w:rPr>
        <w:t xml:space="preserve">whether the </w:t>
      </w:r>
      <w:r w:rsidR="00EA3E6F" w:rsidRPr="002B4807">
        <w:rPr>
          <w:sz w:val="28"/>
          <w:szCs w:val="28"/>
          <w:lang w:val="en-US"/>
        </w:rPr>
        <w:t>servitude</w:t>
      </w:r>
      <w:r w:rsidR="00646CFE" w:rsidRPr="002B4807">
        <w:rPr>
          <w:sz w:val="28"/>
          <w:szCs w:val="28"/>
          <w:lang w:val="en-US"/>
        </w:rPr>
        <w:t xml:space="preserve"> </w:t>
      </w:r>
      <w:r w:rsidR="00EA3E6F" w:rsidRPr="002B4807">
        <w:rPr>
          <w:sz w:val="28"/>
          <w:szCs w:val="28"/>
          <w:lang w:val="en-US"/>
        </w:rPr>
        <w:t>articulated in clause P</w:t>
      </w:r>
      <w:r w:rsidR="006B1E36" w:rsidRPr="002B4807">
        <w:rPr>
          <w:sz w:val="28"/>
          <w:szCs w:val="28"/>
          <w:lang w:val="en-US"/>
        </w:rPr>
        <w:t xml:space="preserve"> of the title deed</w:t>
      </w:r>
      <w:r w:rsidR="00EA3E6F" w:rsidRPr="002B4807">
        <w:rPr>
          <w:sz w:val="28"/>
          <w:szCs w:val="28"/>
          <w:lang w:val="en-US"/>
        </w:rPr>
        <w:t xml:space="preserve"> is praedial or personal in nature and, if it is a personal servitude, whether the wording of clause P is capable of </w:t>
      </w:r>
      <w:r w:rsidR="00416B10" w:rsidRPr="002B4807">
        <w:rPr>
          <w:sz w:val="28"/>
          <w:szCs w:val="28"/>
          <w:lang w:val="en-US"/>
        </w:rPr>
        <w:t xml:space="preserve">being rectified so that it may be converted into a praedial servitude. </w:t>
      </w:r>
      <w:r w:rsidR="00416B10" w:rsidRPr="002B4807">
        <w:rPr>
          <w:sz w:val="28"/>
          <w:szCs w:val="28"/>
          <w:lang w:val="en-US"/>
        </w:rPr>
        <w:lastRenderedPageBreak/>
        <w:t>After considering the elements of a praedial servitude</w:t>
      </w:r>
      <w:r w:rsidR="006B1E36" w:rsidRPr="002B4807">
        <w:rPr>
          <w:rStyle w:val="FootnoteReference"/>
          <w:sz w:val="28"/>
          <w:szCs w:val="28"/>
          <w:lang w:val="en-US"/>
        </w:rPr>
        <w:footnoteReference w:id="7"/>
      </w:r>
      <w:r w:rsidR="00416B10" w:rsidRPr="002B4807">
        <w:rPr>
          <w:sz w:val="28"/>
          <w:szCs w:val="28"/>
          <w:lang w:val="en-US"/>
        </w:rPr>
        <w:t xml:space="preserve"> and finding that the element</w:t>
      </w:r>
      <w:r w:rsidR="001D253B" w:rsidRPr="002B4807">
        <w:rPr>
          <w:sz w:val="28"/>
          <w:szCs w:val="28"/>
          <w:lang w:val="en-US"/>
        </w:rPr>
        <w:t xml:space="preserve"> </w:t>
      </w:r>
      <w:r w:rsidR="00416B10" w:rsidRPr="002B4807">
        <w:rPr>
          <w:sz w:val="28"/>
          <w:szCs w:val="28"/>
          <w:lang w:val="en-US"/>
        </w:rPr>
        <w:t xml:space="preserve">of </w:t>
      </w:r>
      <w:r w:rsidR="00416B10" w:rsidRPr="002B4807">
        <w:rPr>
          <w:i/>
          <w:iCs/>
          <w:sz w:val="28"/>
          <w:szCs w:val="28"/>
          <w:lang w:val="en-US"/>
        </w:rPr>
        <w:t>utilitas</w:t>
      </w:r>
      <w:r w:rsidR="00334467" w:rsidRPr="002B4807">
        <w:rPr>
          <w:rStyle w:val="FootnoteReference"/>
          <w:iCs/>
          <w:sz w:val="28"/>
          <w:szCs w:val="28"/>
          <w:lang w:val="en-US"/>
        </w:rPr>
        <w:footnoteReference w:id="8"/>
      </w:r>
      <w:r w:rsidR="00416B10" w:rsidRPr="002B4807">
        <w:rPr>
          <w:sz w:val="28"/>
          <w:szCs w:val="28"/>
          <w:lang w:val="en-US"/>
        </w:rPr>
        <w:t xml:space="preserve"> was lacking</w:t>
      </w:r>
      <w:r w:rsidR="006B1E36" w:rsidRPr="002B4807">
        <w:rPr>
          <w:sz w:val="28"/>
          <w:szCs w:val="28"/>
          <w:lang w:val="en-US"/>
        </w:rPr>
        <w:t>,</w:t>
      </w:r>
      <w:r w:rsidR="00416B10" w:rsidRPr="002B4807">
        <w:rPr>
          <w:sz w:val="28"/>
          <w:szCs w:val="28"/>
          <w:lang w:val="en-US"/>
        </w:rPr>
        <w:t xml:space="preserve"> the </w:t>
      </w:r>
      <w:r w:rsidR="001D253B" w:rsidRPr="002B4807">
        <w:rPr>
          <w:sz w:val="28"/>
          <w:szCs w:val="28"/>
          <w:lang w:val="en-US"/>
        </w:rPr>
        <w:t>h</w:t>
      </w:r>
      <w:r w:rsidR="00416B10" w:rsidRPr="002B4807">
        <w:rPr>
          <w:sz w:val="28"/>
          <w:szCs w:val="28"/>
          <w:lang w:val="en-US"/>
        </w:rPr>
        <w:t xml:space="preserve">igh </w:t>
      </w:r>
      <w:r w:rsidR="001D253B" w:rsidRPr="002B4807">
        <w:rPr>
          <w:sz w:val="28"/>
          <w:szCs w:val="28"/>
          <w:lang w:val="en-US"/>
        </w:rPr>
        <w:t>c</w:t>
      </w:r>
      <w:r w:rsidR="00416B10" w:rsidRPr="002B4807">
        <w:rPr>
          <w:sz w:val="28"/>
          <w:szCs w:val="28"/>
          <w:lang w:val="en-US"/>
        </w:rPr>
        <w:t xml:space="preserve">ourt came to the conclusion that clause P established a personal servitude of </w:t>
      </w:r>
      <w:r w:rsidR="00416B10" w:rsidRPr="002B4807">
        <w:rPr>
          <w:i/>
          <w:iCs/>
          <w:sz w:val="28"/>
          <w:szCs w:val="28"/>
          <w:lang w:val="en-US"/>
        </w:rPr>
        <w:t xml:space="preserve">usus </w:t>
      </w:r>
      <w:r w:rsidR="00416B10" w:rsidRPr="002B4807">
        <w:rPr>
          <w:sz w:val="28"/>
          <w:szCs w:val="28"/>
          <w:lang w:val="en-US"/>
        </w:rPr>
        <w:t>which c</w:t>
      </w:r>
      <w:r w:rsidR="00AF4D90" w:rsidRPr="002B4807">
        <w:rPr>
          <w:sz w:val="28"/>
          <w:szCs w:val="28"/>
          <w:lang w:val="en-US"/>
        </w:rPr>
        <w:t>ould</w:t>
      </w:r>
      <w:r w:rsidR="000929B8" w:rsidRPr="002B4807">
        <w:rPr>
          <w:sz w:val="28"/>
          <w:szCs w:val="28"/>
          <w:lang w:val="en-US"/>
        </w:rPr>
        <w:t xml:space="preserve"> neither</w:t>
      </w:r>
      <w:r w:rsidR="00416B10" w:rsidRPr="002B4807">
        <w:rPr>
          <w:sz w:val="28"/>
          <w:szCs w:val="28"/>
          <w:lang w:val="en-US"/>
        </w:rPr>
        <w:t xml:space="preserve"> be rectified</w:t>
      </w:r>
      <w:r w:rsidR="000929B8" w:rsidRPr="002B4807">
        <w:rPr>
          <w:sz w:val="28"/>
          <w:szCs w:val="28"/>
          <w:lang w:val="en-US"/>
        </w:rPr>
        <w:t xml:space="preserve"> nor cured by acquisitive prescription</w:t>
      </w:r>
      <w:r w:rsidR="006B1E36" w:rsidRPr="002B4807">
        <w:rPr>
          <w:sz w:val="28"/>
          <w:szCs w:val="28"/>
          <w:lang w:val="en-US"/>
        </w:rPr>
        <w:t>,</w:t>
      </w:r>
      <w:r w:rsidR="00416B10" w:rsidRPr="002B4807">
        <w:rPr>
          <w:sz w:val="28"/>
          <w:szCs w:val="28"/>
          <w:lang w:val="en-US"/>
        </w:rPr>
        <w:t xml:space="preserve"> for the reason that s</w:t>
      </w:r>
      <w:r w:rsidR="001D253B" w:rsidRPr="002B4807">
        <w:rPr>
          <w:sz w:val="28"/>
          <w:szCs w:val="28"/>
          <w:lang w:val="en-US"/>
        </w:rPr>
        <w:t xml:space="preserve"> </w:t>
      </w:r>
      <w:r w:rsidR="00416B10" w:rsidRPr="002B4807">
        <w:rPr>
          <w:sz w:val="28"/>
          <w:szCs w:val="28"/>
          <w:lang w:val="en-US"/>
        </w:rPr>
        <w:t>66 of the Deeds Act</w:t>
      </w:r>
      <w:r w:rsidR="00B41B53" w:rsidRPr="002B4807">
        <w:rPr>
          <w:sz w:val="28"/>
          <w:szCs w:val="28"/>
          <w:lang w:val="en-US"/>
        </w:rPr>
        <w:t xml:space="preserve"> prohibited </w:t>
      </w:r>
      <w:r w:rsidR="00EB6BD1" w:rsidRPr="002B4807">
        <w:rPr>
          <w:sz w:val="28"/>
          <w:szCs w:val="28"/>
          <w:lang w:val="en-US"/>
        </w:rPr>
        <w:t xml:space="preserve">such servitude </w:t>
      </w:r>
      <w:r w:rsidR="00B41B53" w:rsidRPr="002B4807">
        <w:rPr>
          <w:sz w:val="28"/>
          <w:szCs w:val="28"/>
          <w:lang w:val="en-US"/>
        </w:rPr>
        <w:t xml:space="preserve">from being registered by the Registrar of Deeds. </w:t>
      </w:r>
    </w:p>
    <w:p w14:paraId="16D69789" w14:textId="77777777" w:rsidR="001D253B" w:rsidRPr="002B4807" w:rsidRDefault="001D253B" w:rsidP="00207DB4">
      <w:pPr>
        <w:pStyle w:val="ListParagraph"/>
        <w:spacing w:line="360" w:lineRule="auto"/>
        <w:ind w:left="0"/>
        <w:jc w:val="both"/>
        <w:rPr>
          <w:sz w:val="28"/>
          <w:szCs w:val="28"/>
          <w:lang w:val="en-US"/>
        </w:rPr>
      </w:pPr>
    </w:p>
    <w:p w14:paraId="41802AB3" w14:textId="77777777" w:rsidR="00CE6BA5" w:rsidRPr="002B4807" w:rsidRDefault="008C1764" w:rsidP="00207DB4">
      <w:pPr>
        <w:pStyle w:val="ListParagraph"/>
        <w:spacing w:line="360" w:lineRule="auto"/>
        <w:ind w:left="0"/>
        <w:jc w:val="both"/>
        <w:rPr>
          <w:sz w:val="28"/>
          <w:szCs w:val="28"/>
        </w:rPr>
      </w:pPr>
      <w:r w:rsidRPr="002B4807">
        <w:rPr>
          <w:sz w:val="28"/>
          <w:szCs w:val="28"/>
          <w:lang w:val="en-US"/>
        </w:rPr>
        <w:t>[14]</w:t>
      </w:r>
      <w:r w:rsidRPr="002B4807">
        <w:rPr>
          <w:sz w:val="28"/>
          <w:szCs w:val="28"/>
          <w:lang w:val="en-US"/>
        </w:rPr>
        <w:tab/>
      </w:r>
      <w:r w:rsidR="0072403B" w:rsidRPr="002B4807">
        <w:rPr>
          <w:sz w:val="28"/>
          <w:szCs w:val="28"/>
          <w:lang w:val="en-US"/>
        </w:rPr>
        <w:t>T</w:t>
      </w:r>
      <w:r w:rsidR="001E393C" w:rsidRPr="002B4807">
        <w:rPr>
          <w:sz w:val="28"/>
          <w:szCs w:val="28"/>
          <w:lang w:val="en-US"/>
        </w:rPr>
        <w:t xml:space="preserve">he </w:t>
      </w:r>
      <w:r w:rsidR="00270DAD" w:rsidRPr="002B4807">
        <w:rPr>
          <w:sz w:val="28"/>
          <w:szCs w:val="28"/>
          <w:lang w:val="en-US"/>
        </w:rPr>
        <w:t>h</w:t>
      </w:r>
      <w:r w:rsidR="001E393C" w:rsidRPr="002B4807">
        <w:rPr>
          <w:sz w:val="28"/>
          <w:szCs w:val="28"/>
          <w:lang w:val="en-US"/>
        </w:rPr>
        <w:t xml:space="preserve">igh </w:t>
      </w:r>
      <w:r w:rsidR="00270DAD" w:rsidRPr="002B4807">
        <w:rPr>
          <w:sz w:val="28"/>
          <w:szCs w:val="28"/>
          <w:lang w:val="en-US"/>
        </w:rPr>
        <w:t>c</w:t>
      </w:r>
      <w:r w:rsidR="001E393C" w:rsidRPr="002B4807">
        <w:rPr>
          <w:sz w:val="28"/>
          <w:szCs w:val="28"/>
          <w:lang w:val="en-US"/>
        </w:rPr>
        <w:t>ourt</w:t>
      </w:r>
      <w:r w:rsidR="0072403B" w:rsidRPr="002B4807">
        <w:rPr>
          <w:sz w:val="28"/>
          <w:szCs w:val="28"/>
          <w:lang w:val="en-US"/>
        </w:rPr>
        <w:t xml:space="preserve"> also found that it was appropriate </w:t>
      </w:r>
      <w:r w:rsidR="00E7066D" w:rsidRPr="002B4807">
        <w:rPr>
          <w:sz w:val="28"/>
          <w:szCs w:val="28"/>
          <w:lang w:val="en-US"/>
        </w:rPr>
        <w:t>that</w:t>
      </w:r>
      <w:r w:rsidR="0072403B" w:rsidRPr="002B4807">
        <w:rPr>
          <w:sz w:val="28"/>
          <w:szCs w:val="28"/>
          <w:lang w:val="en-US"/>
        </w:rPr>
        <w:t xml:space="preserve"> the title deed</w:t>
      </w:r>
      <w:r w:rsidR="00DF49D4" w:rsidRPr="002B4807">
        <w:rPr>
          <w:sz w:val="28"/>
          <w:szCs w:val="28"/>
          <w:lang w:val="en-US"/>
        </w:rPr>
        <w:t xml:space="preserve"> of</w:t>
      </w:r>
      <w:r w:rsidR="00E7066D" w:rsidRPr="002B4807">
        <w:rPr>
          <w:sz w:val="28"/>
          <w:szCs w:val="28"/>
          <w:lang w:val="en-US"/>
        </w:rPr>
        <w:t xml:space="preserve"> the Huntrex property</w:t>
      </w:r>
      <w:r w:rsidR="0072403B" w:rsidRPr="002B4807">
        <w:rPr>
          <w:sz w:val="28"/>
          <w:szCs w:val="28"/>
          <w:lang w:val="en-US"/>
        </w:rPr>
        <w:t xml:space="preserve"> be rectified by substituting the original clause P with a new claus</w:t>
      </w:r>
      <w:r w:rsidR="00CE6BA5" w:rsidRPr="002B4807">
        <w:rPr>
          <w:sz w:val="28"/>
          <w:szCs w:val="28"/>
          <w:lang w:val="en-US"/>
        </w:rPr>
        <w:t xml:space="preserve">e </w:t>
      </w:r>
      <w:r w:rsidR="0072403B" w:rsidRPr="002B4807">
        <w:rPr>
          <w:sz w:val="28"/>
          <w:szCs w:val="28"/>
          <w:lang w:val="en-US"/>
        </w:rPr>
        <w:t xml:space="preserve">that had been </w:t>
      </w:r>
      <w:r w:rsidR="00CE6BA5" w:rsidRPr="002B4807">
        <w:rPr>
          <w:sz w:val="28"/>
          <w:szCs w:val="28"/>
          <w:lang w:val="en-US"/>
        </w:rPr>
        <w:t>proposed</w:t>
      </w:r>
      <w:r w:rsidR="0072403B" w:rsidRPr="002B4807">
        <w:rPr>
          <w:sz w:val="28"/>
          <w:szCs w:val="28"/>
          <w:lang w:val="en-US"/>
        </w:rPr>
        <w:t xml:space="preserve"> by </w:t>
      </w:r>
      <w:r w:rsidR="00EB6BD1" w:rsidRPr="002B4807">
        <w:rPr>
          <w:sz w:val="28"/>
          <w:szCs w:val="28"/>
          <w:lang w:val="en-US"/>
        </w:rPr>
        <w:t>Huntrex 277</w:t>
      </w:r>
      <w:r w:rsidR="00555739" w:rsidRPr="002B4807">
        <w:rPr>
          <w:sz w:val="28"/>
          <w:szCs w:val="28"/>
          <w:lang w:val="en-US"/>
        </w:rPr>
        <w:t>, which reads:</w:t>
      </w:r>
    </w:p>
    <w:p w14:paraId="6CF2FD40" w14:textId="77777777" w:rsidR="00CE6BA5" w:rsidRPr="002B4807" w:rsidRDefault="001D253B" w:rsidP="00207DB4">
      <w:pPr>
        <w:pStyle w:val="ListParagraph"/>
        <w:spacing w:line="360" w:lineRule="auto"/>
        <w:ind w:left="0"/>
        <w:jc w:val="both"/>
      </w:pPr>
      <w:r w:rsidRPr="002B4807">
        <w:t>‘</w:t>
      </w:r>
      <w:r w:rsidR="00CE6BA5" w:rsidRPr="002B4807">
        <w:t xml:space="preserve">P. </w:t>
      </w:r>
      <w:r w:rsidR="0051188A" w:rsidRPr="002B4807">
        <w:tab/>
      </w:r>
      <w:r w:rsidR="00CE6BA5" w:rsidRPr="002B4807">
        <w:rPr>
          <w:u w:val="single"/>
        </w:rPr>
        <w:t>SUBJECT FURTHER</w:t>
      </w:r>
      <w:r w:rsidR="00CE6BA5" w:rsidRPr="002B4807">
        <w:rPr>
          <w:b/>
          <w:bCs/>
        </w:rPr>
        <w:t xml:space="preserve"> </w:t>
      </w:r>
      <w:r w:rsidR="00CE6BA5" w:rsidRPr="002B4807">
        <w:t xml:space="preserve">to the following conditions imposed by the Transferor in favour of herself personally, which conditions are as follows: </w:t>
      </w:r>
    </w:p>
    <w:p w14:paraId="40EA737D" w14:textId="77777777" w:rsidR="00CE6BA5" w:rsidRPr="002B4807" w:rsidRDefault="0051188A" w:rsidP="00207DB4">
      <w:pPr>
        <w:spacing w:line="360" w:lineRule="auto"/>
        <w:jc w:val="both"/>
      </w:pPr>
      <w:r w:rsidRPr="002B4807">
        <w:t>(a)</w:t>
      </w:r>
      <w:r w:rsidRPr="002B4807">
        <w:tab/>
      </w:r>
      <w:r w:rsidR="00CE6BA5" w:rsidRPr="002B4807">
        <w:t>The property hereby transferred is subject to a servitude area 20 (twenty</w:t>
      </w:r>
      <w:r w:rsidR="005E3F36" w:rsidRPr="002B4807">
        <w:t xml:space="preserve">) </w:t>
      </w:r>
      <w:r w:rsidR="00CE6BA5" w:rsidRPr="002B4807">
        <w:t xml:space="preserve">metres wide, the Western boundary of which shall be parallel to the boundary marked DE on Diagram No. 5253/1981 of the Remainder of Erf 380 Constantia, held by the said </w:t>
      </w:r>
      <w:r w:rsidRPr="002B4807">
        <w:t>T</w:t>
      </w:r>
      <w:r w:rsidR="00CE6BA5" w:rsidRPr="002B4807">
        <w:t>ransferor, Margaret Berzack (born Illman) married out of community of property to Jeffrey Cyril Berzack under Deed of Transfer No. 38631 dated 31</w:t>
      </w:r>
      <w:r w:rsidRPr="002B4807">
        <w:rPr>
          <w:vertAlign w:val="superscript"/>
        </w:rPr>
        <w:t>st</w:t>
      </w:r>
      <w:r w:rsidR="00CE6BA5" w:rsidRPr="002B4807">
        <w:t xml:space="preserve"> December 1970. </w:t>
      </w:r>
    </w:p>
    <w:p w14:paraId="7D5D6A55" w14:textId="77777777" w:rsidR="00CE6BA5" w:rsidRPr="002B4807" w:rsidRDefault="0051188A" w:rsidP="00207DB4">
      <w:pPr>
        <w:pStyle w:val="ListParagraph"/>
        <w:spacing w:line="360" w:lineRule="auto"/>
        <w:ind w:left="0"/>
        <w:jc w:val="both"/>
      </w:pPr>
      <w:r w:rsidRPr="002B4807">
        <w:t>(b)</w:t>
      </w:r>
      <w:r w:rsidRPr="002B4807">
        <w:tab/>
      </w:r>
      <w:r w:rsidR="00CE6BA5" w:rsidRPr="002B4807">
        <w:t>The said servitude shall be subject to the following terms and conditions</w:t>
      </w:r>
      <w:r w:rsidRPr="002B4807">
        <w:t>,</w:t>
      </w:r>
      <w:r w:rsidR="00CE6BA5" w:rsidRPr="002B4807">
        <w:t xml:space="preserve"> namely: </w:t>
      </w:r>
    </w:p>
    <w:p w14:paraId="03C53C9D" w14:textId="77777777" w:rsidR="00CE6BA5" w:rsidRPr="002B4807" w:rsidRDefault="00B04607" w:rsidP="00207DB4">
      <w:pPr>
        <w:pStyle w:val="ListParagraph"/>
        <w:spacing w:line="360" w:lineRule="auto"/>
        <w:ind w:left="0"/>
        <w:jc w:val="both"/>
      </w:pPr>
      <w:r w:rsidRPr="002B4807">
        <w:t xml:space="preserve">  </w:t>
      </w:r>
      <w:r w:rsidR="0051188A" w:rsidRPr="002B4807">
        <w:tab/>
        <w:t>(i)</w:t>
      </w:r>
      <w:r w:rsidR="0051188A" w:rsidRPr="002B4807">
        <w:tab/>
      </w:r>
      <w:r w:rsidR="00CE6BA5" w:rsidRPr="002B4807">
        <w:t>[deleted]</w:t>
      </w:r>
    </w:p>
    <w:p w14:paraId="40B2FEB8" w14:textId="77777777" w:rsidR="00CE6BA5" w:rsidRPr="002B4807" w:rsidRDefault="0051188A" w:rsidP="00207DB4">
      <w:pPr>
        <w:pStyle w:val="ListParagraph"/>
        <w:spacing w:line="360" w:lineRule="auto"/>
        <w:jc w:val="both"/>
      </w:pPr>
      <w:r w:rsidRPr="002B4807">
        <w:lastRenderedPageBreak/>
        <w:t>(ii)</w:t>
      </w:r>
      <w:r w:rsidRPr="002B4807">
        <w:tab/>
      </w:r>
      <w:r w:rsidR="00CE6BA5" w:rsidRPr="002B4807">
        <w:t xml:space="preserve">The Transferor shall have the right to plant, control, care for and renew the existing garden situated within the servitude area more fully described above. </w:t>
      </w:r>
    </w:p>
    <w:p w14:paraId="2DE2AEB7" w14:textId="77777777" w:rsidR="00CE6BA5" w:rsidRPr="002B4807" w:rsidRDefault="0051188A" w:rsidP="00207DB4">
      <w:pPr>
        <w:pStyle w:val="ListParagraph"/>
        <w:spacing w:line="360" w:lineRule="auto"/>
        <w:jc w:val="both"/>
      </w:pPr>
      <w:r w:rsidRPr="002B4807">
        <w:t>(iii)</w:t>
      </w:r>
      <w:r w:rsidRPr="002B4807">
        <w:tab/>
      </w:r>
      <w:r w:rsidR="00CE6BA5" w:rsidRPr="002B4807">
        <w:t xml:space="preserve">The </w:t>
      </w:r>
      <w:r w:rsidRPr="002B4807">
        <w:t>T</w:t>
      </w:r>
      <w:r w:rsidR="00CE6BA5" w:rsidRPr="002B4807">
        <w:t>ransferor shall have full rights of access to such servitude area in fulfilment of the rights hereby granted.</w:t>
      </w:r>
    </w:p>
    <w:p w14:paraId="6C555C19" w14:textId="77777777" w:rsidR="00CE6BA5" w:rsidRPr="002B4807" w:rsidRDefault="00CE6BA5" w:rsidP="00207DB4">
      <w:pPr>
        <w:pStyle w:val="ListParagraph"/>
        <w:spacing w:line="360" w:lineRule="auto"/>
        <w:ind w:left="0"/>
        <w:jc w:val="both"/>
      </w:pPr>
      <w:r w:rsidRPr="002B4807">
        <w:t xml:space="preserve">P </w:t>
      </w:r>
      <w:r w:rsidRPr="002B4807">
        <w:rPr>
          <w:i/>
          <w:iCs/>
        </w:rPr>
        <w:t>bis</w:t>
      </w:r>
      <w:r w:rsidRPr="002B4807">
        <w:t xml:space="preserve">: </w:t>
      </w:r>
      <w:r w:rsidR="0051188A" w:rsidRPr="002B4807">
        <w:tab/>
      </w:r>
      <w:r w:rsidRPr="002B4807">
        <w:rPr>
          <w:u w:val="single"/>
        </w:rPr>
        <w:t>SUBJECT FURTHER</w:t>
      </w:r>
      <w:r w:rsidRPr="002B4807">
        <w:t xml:space="preserve"> to the following condition imposed by the aforesaid </w:t>
      </w:r>
      <w:r w:rsidR="0051188A" w:rsidRPr="002B4807">
        <w:t>Transferor</w:t>
      </w:r>
      <w:r w:rsidRPr="002B4807">
        <w:t xml:space="preserve"> in favour of the aforesaid </w:t>
      </w:r>
      <w:r w:rsidR="0051188A" w:rsidRPr="002B4807">
        <w:t>R</w:t>
      </w:r>
      <w:r w:rsidRPr="002B4807">
        <w:t xml:space="preserve">emainder of </w:t>
      </w:r>
      <w:r w:rsidR="0051188A" w:rsidRPr="002B4807">
        <w:t xml:space="preserve">Erf </w:t>
      </w:r>
      <w:r w:rsidRPr="002B4807">
        <w:t>380 Constan</w:t>
      </w:r>
      <w:r w:rsidR="006803A6" w:rsidRPr="002B4807">
        <w:t>t</w:t>
      </w:r>
      <w:r w:rsidRPr="002B4807">
        <w:t>ia, namely</w:t>
      </w:r>
      <w:r w:rsidR="0051188A" w:rsidRPr="002B4807">
        <w:t>,</w:t>
      </w:r>
      <w:r w:rsidRPr="002B4807">
        <w:t xml:space="preserve"> that no wall or fence of any description shall be erected on the aforesaid servitude area except extension of existing type of</w:t>
      </w:r>
      <w:r w:rsidR="001D253B" w:rsidRPr="002B4807">
        <w:t xml:space="preserve"> fencing (wooden pole fencing).</w:t>
      </w:r>
      <w:r w:rsidR="0051188A" w:rsidRPr="002B4807">
        <w:t>’</w:t>
      </w:r>
    </w:p>
    <w:p w14:paraId="21BB1F13" w14:textId="77777777" w:rsidR="001D253B" w:rsidRPr="002B4807" w:rsidRDefault="001D253B" w:rsidP="00207DB4">
      <w:pPr>
        <w:spacing w:line="360" w:lineRule="auto"/>
        <w:jc w:val="both"/>
        <w:rPr>
          <w:sz w:val="28"/>
          <w:szCs w:val="28"/>
          <w:lang w:val="en-US"/>
        </w:rPr>
      </w:pPr>
    </w:p>
    <w:p w14:paraId="22A3D646" w14:textId="77777777" w:rsidR="00204585" w:rsidRPr="002B4807" w:rsidRDefault="008C1764" w:rsidP="00207DB4">
      <w:pPr>
        <w:pStyle w:val="ListParagraph"/>
        <w:spacing w:line="360" w:lineRule="auto"/>
        <w:ind w:left="0"/>
        <w:jc w:val="both"/>
        <w:rPr>
          <w:sz w:val="28"/>
          <w:szCs w:val="28"/>
          <w:lang w:val="en-US"/>
        </w:rPr>
      </w:pPr>
      <w:r w:rsidRPr="002B4807">
        <w:rPr>
          <w:sz w:val="28"/>
          <w:szCs w:val="28"/>
          <w:lang w:val="en-US"/>
        </w:rPr>
        <w:t>[15]</w:t>
      </w:r>
      <w:r w:rsidRPr="002B4807">
        <w:rPr>
          <w:sz w:val="28"/>
          <w:szCs w:val="28"/>
          <w:lang w:val="en-US"/>
        </w:rPr>
        <w:tab/>
      </w:r>
      <w:r w:rsidR="00CE6BA5" w:rsidRPr="002B4807">
        <w:rPr>
          <w:sz w:val="28"/>
          <w:szCs w:val="28"/>
          <w:lang w:val="en-US"/>
        </w:rPr>
        <w:t xml:space="preserve">It is worth noting that the rectification of the servitude on the terms that were proposed by </w:t>
      </w:r>
      <w:r w:rsidR="00EB6BD1" w:rsidRPr="002B4807">
        <w:rPr>
          <w:sz w:val="28"/>
          <w:szCs w:val="28"/>
          <w:lang w:val="en-US"/>
        </w:rPr>
        <w:t>Huntrex 277</w:t>
      </w:r>
      <w:r w:rsidR="00D4520D" w:rsidRPr="002B4807">
        <w:rPr>
          <w:sz w:val="28"/>
          <w:szCs w:val="28"/>
          <w:lang w:val="en-US"/>
        </w:rPr>
        <w:t xml:space="preserve"> was designed to convert the original praedial servitude into a personal servitude.</w:t>
      </w:r>
      <w:r w:rsidR="00CE6BA5" w:rsidRPr="002B4807">
        <w:rPr>
          <w:sz w:val="28"/>
          <w:szCs w:val="28"/>
          <w:lang w:val="en-US"/>
        </w:rPr>
        <w:t xml:space="preserve"> </w:t>
      </w:r>
    </w:p>
    <w:p w14:paraId="02600204" w14:textId="77777777" w:rsidR="00204585" w:rsidRPr="002B4807" w:rsidRDefault="00204585" w:rsidP="00207DB4">
      <w:pPr>
        <w:pStyle w:val="ListParagraph"/>
        <w:spacing w:line="360" w:lineRule="auto"/>
        <w:ind w:left="0"/>
        <w:jc w:val="both"/>
        <w:rPr>
          <w:sz w:val="28"/>
          <w:szCs w:val="28"/>
          <w:lang w:val="en-US"/>
        </w:rPr>
      </w:pPr>
    </w:p>
    <w:p w14:paraId="383A0AFA" w14:textId="77777777" w:rsidR="003518B0" w:rsidRPr="002B4807" w:rsidRDefault="003518B0" w:rsidP="00207DB4">
      <w:pPr>
        <w:pStyle w:val="ListParagraph"/>
        <w:spacing w:line="360" w:lineRule="auto"/>
        <w:ind w:left="0"/>
        <w:jc w:val="both"/>
        <w:rPr>
          <w:b/>
          <w:sz w:val="28"/>
          <w:szCs w:val="28"/>
          <w:lang w:val="en-US"/>
        </w:rPr>
      </w:pPr>
      <w:r w:rsidRPr="002B4807">
        <w:rPr>
          <w:b/>
          <w:sz w:val="28"/>
          <w:szCs w:val="28"/>
          <w:lang w:val="en-US"/>
        </w:rPr>
        <w:t>Appeal</w:t>
      </w:r>
    </w:p>
    <w:p w14:paraId="25C3E327" w14:textId="4E59E05C" w:rsidR="00D31B1C" w:rsidRPr="002B4807" w:rsidRDefault="008C1764" w:rsidP="00207DB4">
      <w:pPr>
        <w:pStyle w:val="ListParagraph"/>
        <w:spacing w:line="360" w:lineRule="auto"/>
        <w:ind w:left="0"/>
        <w:jc w:val="both"/>
        <w:rPr>
          <w:sz w:val="28"/>
          <w:szCs w:val="28"/>
          <w:lang w:val="en-US"/>
        </w:rPr>
      </w:pPr>
      <w:r w:rsidRPr="002B4807">
        <w:rPr>
          <w:sz w:val="28"/>
          <w:szCs w:val="28"/>
          <w:lang w:val="en-US"/>
        </w:rPr>
        <w:t>[16]</w:t>
      </w:r>
      <w:r w:rsidRPr="002B4807">
        <w:rPr>
          <w:sz w:val="28"/>
          <w:szCs w:val="28"/>
          <w:lang w:val="en-US"/>
        </w:rPr>
        <w:tab/>
      </w:r>
      <w:r w:rsidR="00421D8D" w:rsidRPr="002B4807">
        <w:rPr>
          <w:sz w:val="28"/>
          <w:szCs w:val="28"/>
          <w:lang w:val="en-US"/>
        </w:rPr>
        <w:t xml:space="preserve">The appeal against the judgment of the </w:t>
      </w:r>
      <w:r w:rsidR="001D253B" w:rsidRPr="002B4807">
        <w:rPr>
          <w:sz w:val="28"/>
          <w:szCs w:val="28"/>
          <w:lang w:val="en-US"/>
        </w:rPr>
        <w:t>h</w:t>
      </w:r>
      <w:r w:rsidR="00421D8D" w:rsidRPr="002B4807">
        <w:rPr>
          <w:sz w:val="28"/>
          <w:szCs w:val="28"/>
          <w:lang w:val="en-US"/>
        </w:rPr>
        <w:t xml:space="preserve">igh </w:t>
      </w:r>
      <w:r w:rsidR="001D253B" w:rsidRPr="002B4807">
        <w:rPr>
          <w:sz w:val="28"/>
          <w:szCs w:val="28"/>
          <w:lang w:val="en-US"/>
        </w:rPr>
        <w:t>c</w:t>
      </w:r>
      <w:r w:rsidR="00421D8D" w:rsidRPr="002B4807">
        <w:rPr>
          <w:sz w:val="28"/>
          <w:szCs w:val="28"/>
          <w:lang w:val="en-US"/>
        </w:rPr>
        <w:t>ourt is premised on</w:t>
      </w:r>
      <w:r w:rsidR="007505F9" w:rsidRPr="002B4807">
        <w:rPr>
          <w:sz w:val="28"/>
          <w:szCs w:val="28"/>
          <w:lang w:val="en-US"/>
        </w:rPr>
        <w:t xml:space="preserve"> two</w:t>
      </w:r>
      <w:r w:rsidR="000471CD" w:rsidRPr="002B4807">
        <w:rPr>
          <w:sz w:val="28"/>
          <w:szCs w:val="28"/>
          <w:lang w:val="en-US"/>
        </w:rPr>
        <w:t xml:space="preserve"> main</w:t>
      </w:r>
      <w:r w:rsidR="00421D8D" w:rsidRPr="002B4807">
        <w:rPr>
          <w:sz w:val="28"/>
          <w:szCs w:val="28"/>
          <w:lang w:val="en-US"/>
        </w:rPr>
        <w:t xml:space="preserve"> </w:t>
      </w:r>
      <w:r w:rsidR="00C93A74" w:rsidRPr="002B4807">
        <w:rPr>
          <w:sz w:val="28"/>
          <w:szCs w:val="28"/>
          <w:lang w:val="en-US"/>
        </w:rPr>
        <w:t>grounds</w:t>
      </w:r>
      <w:r w:rsidR="00421D8D" w:rsidRPr="002B4807">
        <w:rPr>
          <w:sz w:val="28"/>
          <w:szCs w:val="28"/>
          <w:lang w:val="en-US"/>
        </w:rPr>
        <w:t xml:space="preserve">. </w:t>
      </w:r>
      <w:r w:rsidR="00270DAD" w:rsidRPr="002B4807">
        <w:rPr>
          <w:sz w:val="28"/>
          <w:szCs w:val="28"/>
          <w:lang w:val="en-US"/>
        </w:rPr>
        <w:t xml:space="preserve">Firstly, </w:t>
      </w:r>
      <w:r w:rsidR="00421D8D" w:rsidRPr="002B4807">
        <w:rPr>
          <w:sz w:val="28"/>
          <w:szCs w:val="28"/>
          <w:lang w:val="en-US"/>
        </w:rPr>
        <w:t xml:space="preserve">it was submitted on behalf of </w:t>
      </w:r>
      <w:r w:rsidR="00EB6BD1" w:rsidRPr="002B4807">
        <w:rPr>
          <w:sz w:val="28"/>
          <w:szCs w:val="28"/>
          <w:lang w:val="en-US"/>
        </w:rPr>
        <w:t xml:space="preserve">Ms Berzack </w:t>
      </w:r>
      <w:r w:rsidR="00421D8D" w:rsidRPr="002B4807">
        <w:rPr>
          <w:sz w:val="28"/>
          <w:szCs w:val="28"/>
          <w:lang w:val="en-US"/>
        </w:rPr>
        <w:t xml:space="preserve">that the </w:t>
      </w:r>
      <w:r w:rsidR="001A50A8" w:rsidRPr="002B4807">
        <w:rPr>
          <w:sz w:val="28"/>
          <w:szCs w:val="28"/>
          <w:lang w:val="en-US"/>
        </w:rPr>
        <w:t>h</w:t>
      </w:r>
      <w:r w:rsidR="00421D8D" w:rsidRPr="002B4807">
        <w:rPr>
          <w:sz w:val="28"/>
          <w:szCs w:val="28"/>
          <w:lang w:val="en-US"/>
        </w:rPr>
        <w:t xml:space="preserve">igh </w:t>
      </w:r>
      <w:r w:rsidR="001A50A8" w:rsidRPr="002B4807">
        <w:rPr>
          <w:sz w:val="28"/>
          <w:szCs w:val="28"/>
          <w:lang w:val="en-US"/>
        </w:rPr>
        <w:t>c</w:t>
      </w:r>
      <w:r w:rsidR="00421D8D" w:rsidRPr="002B4807">
        <w:rPr>
          <w:sz w:val="28"/>
          <w:szCs w:val="28"/>
          <w:lang w:val="en-US"/>
        </w:rPr>
        <w:t xml:space="preserve">ourt erred in interpreting </w:t>
      </w:r>
      <w:r w:rsidR="00E7066D" w:rsidRPr="002B4807">
        <w:rPr>
          <w:sz w:val="28"/>
          <w:szCs w:val="28"/>
          <w:lang w:val="en-US"/>
        </w:rPr>
        <w:t xml:space="preserve">the existing </w:t>
      </w:r>
      <w:r w:rsidR="00421D8D" w:rsidRPr="002B4807">
        <w:rPr>
          <w:sz w:val="28"/>
          <w:szCs w:val="28"/>
          <w:lang w:val="en-US"/>
        </w:rPr>
        <w:t xml:space="preserve">clause P on </w:t>
      </w:r>
      <w:r w:rsidR="00E7066D" w:rsidRPr="002B4807">
        <w:rPr>
          <w:sz w:val="28"/>
          <w:szCs w:val="28"/>
          <w:lang w:val="en-US"/>
        </w:rPr>
        <w:t>a</w:t>
      </w:r>
      <w:r w:rsidR="00421D8D" w:rsidRPr="002B4807">
        <w:rPr>
          <w:sz w:val="28"/>
          <w:szCs w:val="28"/>
          <w:lang w:val="en-US"/>
        </w:rPr>
        <w:t xml:space="preserve"> narrow ground that in the absence of proof that the servitude inscribed in the title deed served the element of </w:t>
      </w:r>
      <w:r w:rsidR="00421D8D" w:rsidRPr="002B4807">
        <w:rPr>
          <w:i/>
          <w:iCs/>
          <w:sz w:val="28"/>
          <w:szCs w:val="28"/>
          <w:lang w:val="en-US"/>
        </w:rPr>
        <w:t>utilitas</w:t>
      </w:r>
      <w:r w:rsidR="00E87F38" w:rsidRPr="002B4807">
        <w:rPr>
          <w:sz w:val="28"/>
          <w:szCs w:val="28"/>
          <w:lang w:val="en-US"/>
        </w:rPr>
        <w:t>;</w:t>
      </w:r>
      <w:r w:rsidR="007D5741" w:rsidRPr="002B4807">
        <w:rPr>
          <w:sz w:val="28"/>
          <w:szCs w:val="28"/>
          <w:lang w:val="en-US"/>
        </w:rPr>
        <w:t xml:space="preserve"> </w:t>
      </w:r>
      <w:r w:rsidR="00E7066D" w:rsidRPr="002B4807">
        <w:rPr>
          <w:sz w:val="28"/>
          <w:szCs w:val="28"/>
          <w:lang w:val="en-US"/>
        </w:rPr>
        <w:t xml:space="preserve">the servitude was, </w:t>
      </w:r>
      <w:r w:rsidR="00C93A74" w:rsidRPr="002B4807">
        <w:rPr>
          <w:sz w:val="28"/>
          <w:szCs w:val="28"/>
          <w:lang w:val="en-US"/>
        </w:rPr>
        <w:t>therefore,</w:t>
      </w:r>
      <w:r w:rsidR="00421D8D" w:rsidRPr="002B4807">
        <w:rPr>
          <w:sz w:val="28"/>
          <w:szCs w:val="28"/>
          <w:lang w:val="en-US"/>
        </w:rPr>
        <w:t xml:space="preserve"> personal in nature.</w:t>
      </w:r>
      <w:r w:rsidR="007505F9" w:rsidRPr="002B4807">
        <w:rPr>
          <w:sz w:val="28"/>
          <w:szCs w:val="28"/>
          <w:lang w:val="en-US"/>
        </w:rPr>
        <w:t xml:space="preserve"> It was contended on behalf of </w:t>
      </w:r>
      <w:r w:rsidR="00E909AB" w:rsidRPr="002B4807">
        <w:rPr>
          <w:sz w:val="28"/>
          <w:szCs w:val="28"/>
          <w:lang w:val="en-US"/>
        </w:rPr>
        <w:t xml:space="preserve">Ms Berzack </w:t>
      </w:r>
      <w:r w:rsidR="007505F9" w:rsidRPr="002B4807">
        <w:rPr>
          <w:sz w:val="28"/>
          <w:szCs w:val="28"/>
          <w:lang w:val="en-US"/>
        </w:rPr>
        <w:t xml:space="preserve">that the </w:t>
      </w:r>
      <w:r w:rsidR="00E07ED5" w:rsidRPr="002B4807">
        <w:rPr>
          <w:sz w:val="28"/>
          <w:szCs w:val="28"/>
          <w:lang w:val="en-US"/>
        </w:rPr>
        <w:t>interpretation of the servitude is not supported by the plain language of the servitude, the intention of the relevant</w:t>
      </w:r>
      <w:r w:rsidR="000B3541" w:rsidRPr="002B4807">
        <w:rPr>
          <w:sz w:val="28"/>
          <w:szCs w:val="28"/>
          <w:lang w:val="en-US"/>
        </w:rPr>
        <w:t xml:space="preserve"> </w:t>
      </w:r>
      <w:r w:rsidR="00E07ED5" w:rsidRPr="002B4807">
        <w:rPr>
          <w:sz w:val="28"/>
          <w:szCs w:val="28"/>
          <w:lang w:val="en-US"/>
        </w:rPr>
        <w:t xml:space="preserve">parties when registering the servitude and the subsequent conduct of the various owners of the Huntrex property. </w:t>
      </w:r>
    </w:p>
    <w:p w14:paraId="66EE20D6" w14:textId="77777777" w:rsidR="00D31B1C" w:rsidRPr="002B4807" w:rsidRDefault="00D31B1C" w:rsidP="00207DB4">
      <w:pPr>
        <w:pStyle w:val="ListParagraph"/>
        <w:spacing w:line="360" w:lineRule="auto"/>
        <w:ind w:left="0"/>
        <w:jc w:val="both"/>
        <w:rPr>
          <w:sz w:val="28"/>
          <w:szCs w:val="28"/>
          <w:lang w:val="en-US"/>
        </w:rPr>
      </w:pPr>
    </w:p>
    <w:p w14:paraId="586EB17E" w14:textId="21695D57" w:rsidR="001A50A8" w:rsidRPr="002B4807" w:rsidRDefault="008C1764" w:rsidP="00207DB4">
      <w:pPr>
        <w:pStyle w:val="ListParagraph"/>
        <w:spacing w:line="360" w:lineRule="auto"/>
        <w:ind w:left="0"/>
        <w:jc w:val="both"/>
        <w:rPr>
          <w:sz w:val="28"/>
          <w:szCs w:val="28"/>
          <w:lang w:val="en-US"/>
        </w:rPr>
      </w:pPr>
      <w:r w:rsidRPr="002B4807">
        <w:rPr>
          <w:sz w:val="28"/>
          <w:szCs w:val="28"/>
          <w:lang w:val="en-US"/>
        </w:rPr>
        <w:t>[17]</w:t>
      </w:r>
      <w:r w:rsidRPr="002B4807">
        <w:rPr>
          <w:sz w:val="28"/>
          <w:szCs w:val="28"/>
          <w:lang w:val="en-US"/>
        </w:rPr>
        <w:tab/>
      </w:r>
      <w:r w:rsidR="00270DAD" w:rsidRPr="002B4807">
        <w:rPr>
          <w:sz w:val="28"/>
          <w:szCs w:val="28"/>
          <w:lang w:val="en-US"/>
        </w:rPr>
        <w:t xml:space="preserve">Secondly, </w:t>
      </w:r>
      <w:r w:rsidR="007E4893" w:rsidRPr="002B4807">
        <w:rPr>
          <w:sz w:val="28"/>
          <w:szCs w:val="28"/>
          <w:lang w:val="en-US"/>
        </w:rPr>
        <w:t xml:space="preserve">it was contended that the </w:t>
      </w:r>
      <w:r w:rsidR="001A50A8" w:rsidRPr="002B4807">
        <w:rPr>
          <w:sz w:val="28"/>
          <w:szCs w:val="28"/>
          <w:lang w:val="en-US"/>
        </w:rPr>
        <w:t>h</w:t>
      </w:r>
      <w:r w:rsidR="007E4893" w:rsidRPr="002B4807">
        <w:rPr>
          <w:sz w:val="28"/>
          <w:szCs w:val="28"/>
          <w:lang w:val="en-US"/>
        </w:rPr>
        <w:t xml:space="preserve">igh </w:t>
      </w:r>
      <w:r w:rsidR="001A50A8" w:rsidRPr="002B4807">
        <w:rPr>
          <w:sz w:val="28"/>
          <w:szCs w:val="28"/>
          <w:lang w:val="en-US"/>
        </w:rPr>
        <w:t>c</w:t>
      </w:r>
      <w:r w:rsidR="007E4893" w:rsidRPr="002B4807">
        <w:rPr>
          <w:sz w:val="28"/>
          <w:szCs w:val="28"/>
          <w:lang w:val="en-US"/>
        </w:rPr>
        <w:t xml:space="preserve">ourt erred in failing to take into cognizance the </w:t>
      </w:r>
      <w:r w:rsidR="004B7EB1" w:rsidRPr="002B4807">
        <w:rPr>
          <w:sz w:val="28"/>
          <w:szCs w:val="28"/>
          <w:lang w:val="en-US"/>
        </w:rPr>
        <w:t xml:space="preserve">fact that the existing servitude </w:t>
      </w:r>
      <w:r w:rsidR="00DF49D4" w:rsidRPr="00BB26F2">
        <w:rPr>
          <w:sz w:val="28"/>
          <w:szCs w:val="28"/>
          <w:lang w:val="en-US"/>
        </w:rPr>
        <w:t>e</w:t>
      </w:r>
      <w:r w:rsidR="004B7EB1" w:rsidRPr="00BB26F2">
        <w:rPr>
          <w:sz w:val="28"/>
          <w:szCs w:val="28"/>
          <w:lang w:val="en-US"/>
        </w:rPr>
        <w:t xml:space="preserve">nures </w:t>
      </w:r>
      <w:r w:rsidR="00DF49D4" w:rsidRPr="00BB26F2">
        <w:rPr>
          <w:sz w:val="28"/>
          <w:szCs w:val="28"/>
          <w:lang w:val="en-US"/>
        </w:rPr>
        <w:t>in favour</w:t>
      </w:r>
      <w:r w:rsidR="00DF49D4" w:rsidRPr="002B4807">
        <w:rPr>
          <w:sz w:val="28"/>
          <w:szCs w:val="28"/>
          <w:lang w:val="en-US"/>
        </w:rPr>
        <w:t xml:space="preserve"> of</w:t>
      </w:r>
      <w:r w:rsidR="004B7EB1" w:rsidRPr="002B4807">
        <w:rPr>
          <w:sz w:val="28"/>
          <w:szCs w:val="28"/>
          <w:lang w:val="en-US"/>
        </w:rPr>
        <w:t xml:space="preserve"> the </w:t>
      </w:r>
      <w:r w:rsidR="00DF49D4" w:rsidRPr="002B4807">
        <w:rPr>
          <w:sz w:val="28"/>
          <w:szCs w:val="28"/>
          <w:lang w:val="en-US"/>
        </w:rPr>
        <w:t xml:space="preserve">Berzack </w:t>
      </w:r>
      <w:r w:rsidR="004B7EB1" w:rsidRPr="002B4807">
        <w:rPr>
          <w:sz w:val="28"/>
          <w:szCs w:val="28"/>
          <w:lang w:val="en-US"/>
        </w:rPr>
        <w:t>property, and having</w:t>
      </w:r>
      <w:r w:rsidR="007E4893" w:rsidRPr="002B4807">
        <w:rPr>
          <w:sz w:val="28"/>
          <w:szCs w:val="28"/>
          <w:lang w:val="en-US"/>
        </w:rPr>
        <w:t xml:space="preserve"> economic potential </w:t>
      </w:r>
      <w:r w:rsidR="004B7EB1" w:rsidRPr="002B4807">
        <w:rPr>
          <w:sz w:val="28"/>
          <w:szCs w:val="28"/>
          <w:lang w:val="en-US"/>
        </w:rPr>
        <w:t>that</w:t>
      </w:r>
      <w:r w:rsidR="000B3541" w:rsidRPr="002B4807">
        <w:rPr>
          <w:sz w:val="28"/>
          <w:szCs w:val="28"/>
          <w:lang w:val="en-US"/>
        </w:rPr>
        <w:t xml:space="preserve"> </w:t>
      </w:r>
      <w:r w:rsidR="00DF49D4" w:rsidRPr="002B4807">
        <w:rPr>
          <w:sz w:val="28"/>
          <w:szCs w:val="28"/>
          <w:lang w:val="en-US"/>
        </w:rPr>
        <w:t xml:space="preserve">effectively </w:t>
      </w:r>
      <w:r w:rsidR="000B3541" w:rsidRPr="002B4807">
        <w:rPr>
          <w:sz w:val="28"/>
          <w:szCs w:val="28"/>
          <w:lang w:val="en-US"/>
        </w:rPr>
        <w:t>increas</w:t>
      </w:r>
      <w:r w:rsidR="004B7EB1" w:rsidRPr="002B4807">
        <w:rPr>
          <w:sz w:val="28"/>
          <w:szCs w:val="28"/>
          <w:lang w:val="en-US"/>
        </w:rPr>
        <w:t>es</w:t>
      </w:r>
      <w:r w:rsidR="000B3541" w:rsidRPr="002B4807">
        <w:rPr>
          <w:sz w:val="28"/>
          <w:szCs w:val="28"/>
          <w:lang w:val="en-US"/>
        </w:rPr>
        <w:t xml:space="preserve"> the size of the Berzack property.</w:t>
      </w:r>
      <w:r w:rsidR="00EE5FA6" w:rsidRPr="002B4807">
        <w:rPr>
          <w:sz w:val="28"/>
          <w:szCs w:val="28"/>
          <w:lang w:val="en-US"/>
        </w:rPr>
        <w:t xml:space="preserve"> Counsel placed reliance on the interpretational </w:t>
      </w:r>
      <w:r w:rsidR="00EE5FA6" w:rsidRPr="002B4807">
        <w:rPr>
          <w:sz w:val="28"/>
          <w:szCs w:val="28"/>
          <w:lang w:val="en-US"/>
        </w:rPr>
        <w:lastRenderedPageBreak/>
        <w:t xml:space="preserve">tool espoused in </w:t>
      </w:r>
      <w:r w:rsidR="00EE5FA6" w:rsidRPr="002B4807">
        <w:rPr>
          <w:i/>
          <w:iCs/>
          <w:sz w:val="28"/>
          <w:szCs w:val="28"/>
          <w:lang w:val="en-US"/>
        </w:rPr>
        <w:t>Natal Joint Municipal Pension Fund v Endumeni Municipality</w:t>
      </w:r>
      <w:r w:rsidR="001A50A8" w:rsidRPr="002B4807">
        <w:rPr>
          <w:rStyle w:val="FootnoteReference"/>
          <w:iCs/>
          <w:sz w:val="28"/>
          <w:szCs w:val="28"/>
          <w:lang w:val="en-US"/>
        </w:rPr>
        <w:footnoteReference w:id="9"/>
      </w:r>
      <w:r w:rsidR="00322033" w:rsidRPr="002B4807">
        <w:rPr>
          <w:iCs/>
          <w:sz w:val="28"/>
          <w:szCs w:val="28"/>
          <w:lang w:val="en-US"/>
        </w:rPr>
        <w:t xml:space="preserve"> (</w:t>
      </w:r>
      <w:r w:rsidR="00322033" w:rsidRPr="002B4807">
        <w:rPr>
          <w:i/>
          <w:sz w:val="28"/>
          <w:szCs w:val="28"/>
          <w:lang w:val="en-US"/>
        </w:rPr>
        <w:t>Endumeni</w:t>
      </w:r>
      <w:r w:rsidR="00322033" w:rsidRPr="002B4807">
        <w:rPr>
          <w:iCs/>
          <w:sz w:val="28"/>
          <w:szCs w:val="28"/>
          <w:lang w:val="en-US"/>
        </w:rPr>
        <w:t>)</w:t>
      </w:r>
      <w:r w:rsidR="00CA256D" w:rsidRPr="002B4807">
        <w:rPr>
          <w:sz w:val="28"/>
          <w:szCs w:val="28"/>
          <w:lang w:val="en-US"/>
        </w:rPr>
        <w:t xml:space="preserve"> </w:t>
      </w:r>
      <w:r w:rsidR="00E909AB" w:rsidRPr="002B4807">
        <w:rPr>
          <w:sz w:val="28"/>
          <w:szCs w:val="28"/>
          <w:lang w:val="en-US"/>
        </w:rPr>
        <w:t>that</w:t>
      </w:r>
      <w:r w:rsidR="008B0FD3" w:rsidRPr="002B4807">
        <w:rPr>
          <w:sz w:val="28"/>
          <w:szCs w:val="28"/>
          <w:lang w:val="en-US"/>
        </w:rPr>
        <w:t>:</w:t>
      </w:r>
      <w:r w:rsidR="001A50A8" w:rsidRPr="002B4807">
        <w:rPr>
          <w:sz w:val="28"/>
          <w:szCs w:val="28"/>
          <w:lang w:val="en-US"/>
        </w:rPr>
        <w:t xml:space="preserve"> </w:t>
      </w:r>
      <w:r w:rsidR="00E909AB" w:rsidRPr="002B4807">
        <w:rPr>
          <w:sz w:val="28"/>
          <w:szCs w:val="28"/>
          <w:lang w:val="en-US"/>
        </w:rPr>
        <w:t>‘</w:t>
      </w:r>
      <w:r w:rsidR="008B0FD3" w:rsidRPr="002B4807">
        <w:rPr>
          <w:sz w:val="28"/>
          <w:szCs w:val="28"/>
          <w:lang w:val="en-US"/>
        </w:rPr>
        <w:t>t</w:t>
      </w:r>
      <w:r w:rsidR="00CA256D" w:rsidRPr="002B4807">
        <w:rPr>
          <w:sz w:val="28"/>
          <w:szCs w:val="28"/>
          <w:lang w:val="en-US"/>
        </w:rPr>
        <w:t xml:space="preserve">he </w:t>
      </w:r>
      <w:r w:rsidR="00EE0855" w:rsidRPr="002B4807">
        <w:rPr>
          <w:sz w:val="28"/>
          <w:szCs w:val="28"/>
          <w:lang w:val="en-US"/>
        </w:rPr>
        <w:t>“</w:t>
      </w:r>
      <w:r w:rsidR="00CA256D" w:rsidRPr="002B4807">
        <w:rPr>
          <w:sz w:val="28"/>
          <w:szCs w:val="28"/>
          <w:lang w:val="en-US"/>
        </w:rPr>
        <w:t>inevitable point of departure is the language of the provision itself</w:t>
      </w:r>
      <w:r w:rsidR="00EE0855" w:rsidRPr="002B4807">
        <w:rPr>
          <w:sz w:val="28"/>
          <w:szCs w:val="28"/>
          <w:lang w:val="en-US"/>
        </w:rPr>
        <w:t>”</w:t>
      </w:r>
      <w:r w:rsidR="00CA256D" w:rsidRPr="002B4807">
        <w:rPr>
          <w:sz w:val="28"/>
          <w:szCs w:val="28"/>
          <w:lang w:val="en-US"/>
        </w:rPr>
        <w:t>, read in context</w:t>
      </w:r>
      <w:r w:rsidR="008B0FD3" w:rsidRPr="002B4807">
        <w:rPr>
          <w:sz w:val="28"/>
          <w:szCs w:val="28"/>
          <w:lang w:val="en-US"/>
        </w:rPr>
        <w:t xml:space="preserve"> and</w:t>
      </w:r>
      <w:r w:rsidR="00CA256D" w:rsidRPr="002B4807">
        <w:rPr>
          <w:sz w:val="28"/>
          <w:szCs w:val="28"/>
          <w:lang w:val="en-US"/>
        </w:rPr>
        <w:t xml:space="preserve"> having regard to the purpose </w:t>
      </w:r>
      <w:r w:rsidR="008B0FD3" w:rsidRPr="002B4807">
        <w:rPr>
          <w:sz w:val="28"/>
          <w:szCs w:val="28"/>
          <w:lang w:val="en-US"/>
        </w:rPr>
        <w:t xml:space="preserve">of the preparation </w:t>
      </w:r>
      <w:r w:rsidR="00CA256D" w:rsidRPr="002B4807">
        <w:rPr>
          <w:sz w:val="28"/>
          <w:szCs w:val="28"/>
          <w:lang w:val="en-US"/>
        </w:rPr>
        <w:t xml:space="preserve">and the background </w:t>
      </w:r>
      <w:r w:rsidR="008B0FD3" w:rsidRPr="002B4807">
        <w:rPr>
          <w:sz w:val="28"/>
          <w:szCs w:val="28"/>
          <w:lang w:val="en-US"/>
        </w:rPr>
        <w:t>to the preparation and</w:t>
      </w:r>
      <w:r w:rsidR="00CA256D" w:rsidRPr="002B4807">
        <w:rPr>
          <w:sz w:val="28"/>
          <w:szCs w:val="28"/>
          <w:lang w:val="en-US"/>
        </w:rPr>
        <w:t xml:space="preserve"> production of the document</w:t>
      </w:r>
      <w:r w:rsidR="00EE0855" w:rsidRPr="002B4807">
        <w:rPr>
          <w:sz w:val="28"/>
          <w:szCs w:val="28"/>
          <w:lang w:val="en-US"/>
        </w:rPr>
        <w:t>.</w:t>
      </w:r>
      <w:r w:rsidR="001A50A8" w:rsidRPr="002B4807">
        <w:rPr>
          <w:sz w:val="28"/>
          <w:szCs w:val="28"/>
          <w:lang w:val="en-US"/>
        </w:rPr>
        <w:t>’</w:t>
      </w:r>
      <w:r w:rsidR="008B0FD3" w:rsidRPr="002B4807">
        <w:rPr>
          <w:rStyle w:val="FootnoteReference"/>
          <w:sz w:val="28"/>
          <w:szCs w:val="28"/>
          <w:lang w:val="en-US"/>
        </w:rPr>
        <w:footnoteReference w:id="10"/>
      </w:r>
      <w:r w:rsidR="001D44AC" w:rsidRPr="002B4807">
        <w:rPr>
          <w:sz w:val="28"/>
          <w:szCs w:val="28"/>
          <w:lang w:val="en-US"/>
        </w:rPr>
        <w:t xml:space="preserve"> </w:t>
      </w:r>
      <w:r w:rsidR="000471CD" w:rsidRPr="002B4807">
        <w:rPr>
          <w:sz w:val="28"/>
          <w:szCs w:val="28"/>
          <w:lang w:val="en-US"/>
        </w:rPr>
        <w:t>Such an</w:t>
      </w:r>
      <w:r w:rsidR="001D44AC" w:rsidRPr="002B4807">
        <w:rPr>
          <w:sz w:val="28"/>
          <w:szCs w:val="28"/>
          <w:lang w:val="en-US"/>
        </w:rPr>
        <w:t xml:space="preserve"> approach to the interpretation of contractual instruments, </w:t>
      </w:r>
      <w:r w:rsidR="00381D8A" w:rsidRPr="002B4807">
        <w:rPr>
          <w:sz w:val="28"/>
          <w:szCs w:val="28"/>
          <w:lang w:val="en-US"/>
        </w:rPr>
        <w:t>including those creating</w:t>
      </w:r>
      <w:r w:rsidR="001D44AC" w:rsidRPr="002B4807">
        <w:rPr>
          <w:sz w:val="28"/>
          <w:szCs w:val="28"/>
          <w:lang w:val="en-US"/>
        </w:rPr>
        <w:t xml:space="preserve"> servitudes, </w:t>
      </w:r>
      <w:r w:rsidR="00D4520D" w:rsidRPr="002B4807">
        <w:rPr>
          <w:sz w:val="28"/>
          <w:szCs w:val="28"/>
          <w:lang w:val="en-US"/>
        </w:rPr>
        <w:t xml:space="preserve">had been </w:t>
      </w:r>
      <w:r w:rsidR="000471CD" w:rsidRPr="002B4807">
        <w:rPr>
          <w:sz w:val="28"/>
          <w:szCs w:val="28"/>
          <w:lang w:val="en-US"/>
        </w:rPr>
        <w:t>applied</w:t>
      </w:r>
      <w:r w:rsidR="001D44AC" w:rsidRPr="002B4807">
        <w:rPr>
          <w:sz w:val="28"/>
          <w:szCs w:val="28"/>
          <w:lang w:val="en-US"/>
        </w:rPr>
        <w:t xml:space="preserve"> by this Court in </w:t>
      </w:r>
      <w:r w:rsidR="00381D8A" w:rsidRPr="002B4807">
        <w:rPr>
          <w:i/>
          <w:iCs/>
          <w:sz w:val="28"/>
          <w:szCs w:val="28"/>
          <w:lang w:val="en-US"/>
        </w:rPr>
        <w:t>Kruger v Joles Eiendom (Pty) Ltd and Another</w:t>
      </w:r>
      <w:r w:rsidR="00B94084" w:rsidRPr="002B4807">
        <w:rPr>
          <w:iCs/>
          <w:sz w:val="28"/>
          <w:szCs w:val="28"/>
          <w:lang w:val="en-US"/>
        </w:rPr>
        <w:t>,</w:t>
      </w:r>
      <w:r w:rsidR="001A50A8" w:rsidRPr="002B4807">
        <w:rPr>
          <w:rStyle w:val="FootnoteReference"/>
          <w:sz w:val="28"/>
          <w:szCs w:val="28"/>
          <w:lang w:val="en-US"/>
        </w:rPr>
        <w:footnoteReference w:id="11"/>
      </w:r>
      <w:r w:rsidR="001A50A8" w:rsidRPr="002B4807">
        <w:rPr>
          <w:sz w:val="28"/>
          <w:szCs w:val="28"/>
          <w:lang w:val="en-US"/>
        </w:rPr>
        <w:t xml:space="preserve"> </w:t>
      </w:r>
      <w:r w:rsidR="00381D8A" w:rsidRPr="002B4807">
        <w:rPr>
          <w:sz w:val="28"/>
          <w:szCs w:val="28"/>
          <w:lang w:val="en-US"/>
        </w:rPr>
        <w:t xml:space="preserve">with reference to the dictum in </w:t>
      </w:r>
      <w:r w:rsidR="00381D8A" w:rsidRPr="002B4807">
        <w:rPr>
          <w:i/>
          <w:iCs/>
          <w:sz w:val="28"/>
          <w:szCs w:val="28"/>
          <w:lang w:val="en-US"/>
        </w:rPr>
        <w:t>Kempenaars v Jonker, Van der Berg and Havenga</w:t>
      </w:r>
      <w:r w:rsidR="00B94084" w:rsidRPr="002B4807">
        <w:rPr>
          <w:sz w:val="28"/>
          <w:szCs w:val="28"/>
          <w:lang w:val="en-US"/>
        </w:rPr>
        <w:t>,</w:t>
      </w:r>
      <w:r w:rsidR="001A50A8" w:rsidRPr="002B4807">
        <w:rPr>
          <w:rStyle w:val="FootnoteReference"/>
          <w:iCs/>
          <w:sz w:val="28"/>
          <w:szCs w:val="28"/>
          <w:lang w:val="en-US"/>
        </w:rPr>
        <w:footnoteReference w:id="12"/>
      </w:r>
      <w:r w:rsidR="00381D8A" w:rsidRPr="002B4807">
        <w:rPr>
          <w:sz w:val="28"/>
          <w:szCs w:val="28"/>
          <w:lang w:val="en-US"/>
        </w:rPr>
        <w:t xml:space="preserve"> where the following</w:t>
      </w:r>
      <w:r w:rsidR="00D4520D" w:rsidRPr="002B4807">
        <w:rPr>
          <w:sz w:val="28"/>
          <w:szCs w:val="28"/>
          <w:lang w:val="en-US"/>
        </w:rPr>
        <w:t xml:space="preserve"> was said</w:t>
      </w:r>
      <w:r w:rsidR="00381D8A" w:rsidRPr="002B4807">
        <w:rPr>
          <w:sz w:val="28"/>
          <w:szCs w:val="28"/>
          <w:lang w:val="en-US"/>
        </w:rPr>
        <w:t>:</w:t>
      </w:r>
    </w:p>
    <w:p w14:paraId="299C235D" w14:textId="731C50E4" w:rsidR="000B3541" w:rsidRPr="002B4807" w:rsidRDefault="001A50A8" w:rsidP="00207DB4">
      <w:pPr>
        <w:pStyle w:val="ListParagraph"/>
        <w:spacing w:line="360" w:lineRule="auto"/>
        <w:ind w:left="0"/>
        <w:jc w:val="both"/>
        <w:rPr>
          <w:iCs/>
          <w:lang w:val="en-US"/>
        </w:rPr>
      </w:pPr>
      <w:r w:rsidRPr="002B4807">
        <w:rPr>
          <w:lang w:val="en-US"/>
        </w:rPr>
        <w:t>‘</w:t>
      </w:r>
      <w:r w:rsidR="00381D8A" w:rsidRPr="002B4807">
        <w:rPr>
          <w:lang w:val="en-US"/>
        </w:rPr>
        <w:t>It is clear that inciden</w:t>
      </w:r>
      <w:r w:rsidR="006F562D" w:rsidRPr="002B4807">
        <w:rPr>
          <w:lang w:val="en-US"/>
        </w:rPr>
        <w:t>ts</w:t>
      </w:r>
      <w:r w:rsidR="00381D8A" w:rsidRPr="002B4807">
        <w:rPr>
          <w:lang w:val="en-US"/>
        </w:rPr>
        <w:t xml:space="preserve"> and the extent of the servitude must depend on the circumstances under which it was created</w:t>
      </w:r>
      <w:r w:rsidR="006F562D" w:rsidRPr="002B4807">
        <w:rPr>
          <w:lang w:val="en-US"/>
        </w:rPr>
        <w:t xml:space="preserve"> . . .</w:t>
      </w:r>
      <w:r w:rsidR="00381D8A" w:rsidRPr="002B4807">
        <w:rPr>
          <w:lang w:val="en-US"/>
        </w:rPr>
        <w:t xml:space="preserve"> I think</w:t>
      </w:r>
      <w:r w:rsidR="006F562D" w:rsidRPr="002B4807">
        <w:rPr>
          <w:lang w:val="en-US"/>
        </w:rPr>
        <w:t xml:space="preserve"> . . .</w:t>
      </w:r>
      <w:r w:rsidR="00381D8A" w:rsidRPr="002B4807">
        <w:rPr>
          <w:lang w:val="en-US"/>
        </w:rPr>
        <w:t xml:space="preserve"> that much must depend on the circumstances under which the servitude was created, and on the </w:t>
      </w:r>
      <w:r w:rsidR="00381D8A" w:rsidRPr="002B4807">
        <w:rPr>
          <w:i/>
          <w:iCs/>
          <w:lang w:val="en-US"/>
        </w:rPr>
        <w:t>causa et origo servitutis</w:t>
      </w:r>
      <w:r w:rsidR="00B04607" w:rsidRPr="002B4807">
        <w:rPr>
          <w:iCs/>
          <w:lang w:val="en-US"/>
        </w:rPr>
        <w:t>.</w:t>
      </w:r>
      <w:r w:rsidRPr="002B4807">
        <w:rPr>
          <w:iCs/>
          <w:lang w:val="en-US"/>
        </w:rPr>
        <w:t>’</w:t>
      </w:r>
      <w:r w:rsidR="00571E14" w:rsidRPr="002B4807">
        <w:rPr>
          <w:rStyle w:val="FootnoteReference"/>
          <w:iCs/>
          <w:lang w:val="en-US"/>
        </w:rPr>
        <w:footnoteReference w:id="13"/>
      </w:r>
    </w:p>
    <w:p w14:paraId="66057289" w14:textId="77777777" w:rsidR="001A50A8" w:rsidRPr="002B4807" w:rsidRDefault="001A50A8" w:rsidP="00207DB4">
      <w:pPr>
        <w:spacing w:line="360" w:lineRule="auto"/>
        <w:jc w:val="both"/>
        <w:rPr>
          <w:sz w:val="28"/>
          <w:szCs w:val="28"/>
          <w:lang w:val="en-US"/>
        </w:rPr>
      </w:pPr>
    </w:p>
    <w:p w14:paraId="7A07E41B" w14:textId="726AA469" w:rsidR="000B3541" w:rsidRPr="002B4807" w:rsidRDefault="008C1764" w:rsidP="00207DB4">
      <w:pPr>
        <w:pStyle w:val="ListParagraph"/>
        <w:spacing w:line="360" w:lineRule="auto"/>
        <w:ind w:left="0"/>
        <w:jc w:val="both"/>
        <w:rPr>
          <w:sz w:val="28"/>
          <w:szCs w:val="28"/>
          <w:lang w:val="en-US"/>
        </w:rPr>
      </w:pPr>
      <w:r w:rsidRPr="002B4807">
        <w:rPr>
          <w:sz w:val="28"/>
          <w:szCs w:val="28"/>
          <w:lang w:val="en-US"/>
        </w:rPr>
        <w:t>[18]</w:t>
      </w:r>
      <w:r w:rsidRPr="002B4807">
        <w:rPr>
          <w:sz w:val="28"/>
          <w:szCs w:val="28"/>
          <w:lang w:val="en-US"/>
        </w:rPr>
        <w:tab/>
      </w:r>
      <w:r w:rsidR="00E94E31" w:rsidRPr="002B4807">
        <w:rPr>
          <w:sz w:val="28"/>
          <w:szCs w:val="28"/>
          <w:lang w:val="en-US"/>
        </w:rPr>
        <w:t xml:space="preserve">In argument, it was submitted on behalf of </w:t>
      </w:r>
      <w:r w:rsidR="00E909AB" w:rsidRPr="002B4807">
        <w:rPr>
          <w:sz w:val="28"/>
          <w:szCs w:val="28"/>
          <w:lang w:val="en-US"/>
        </w:rPr>
        <w:t xml:space="preserve">Ms Berzack </w:t>
      </w:r>
      <w:r w:rsidR="00E94E31" w:rsidRPr="002B4807">
        <w:rPr>
          <w:sz w:val="28"/>
          <w:szCs w:val="28"/>
          <w:lang w:val="en-US"/>
        </w:rPr>
        <w:t>that regard being had to the language</w:t>
      </w:r>
      <w:r w:rsidR="00F75859" w:rsidRPr="002B4807">
        <w:rPr>
          <w:sz w:val="28"/>
          <w:szCs w:val="28"/>
          <w:lang w:val="en-US"/>
        </w:rPr>
        <w:t xml:space="preserve"> used</w:t>
      </w:r>
      <w:r w:rsidR="00E909AB" w:rsidRPr="002B4807">
        <w:rPr>
          <w:sz w:val="28"/>
          <w:szCs w:val="28"/>
          <w:lang w:val="en-US"/>
        </w:rPr>
        <w:t>,</w:t>
      </w:r>
      <w:r w:rsidR="00F75859" w:rsidRPr="002B4807">
        <w:rPr>
          <w:sz w:val="28"/>
          <w:szCs w:val="28"/>
          <w:lang w:val="en-US"/>
        </w:rPr>
        <w:t xml:space="preserve"> clause P </w:t>
      </w:r>
      <w:r w:rsidR="007E7EA1" w:rsidRPr="002B4807">
        <w:rPr>
          <w:sz w:val="28"/>
          <w:szCs w:val="28"/>
          <w:lang w:val="en-US"/>
        </w:rPr>
        <w:t xml:space="preserve">should be </w:t>
      </w:r>
      <w:r w:rsidR="00E94E31" w:rsidRPr="002B4807">
        <w:rPr>
          <w:sz w:val="28"/>
          <w:szCs w:val="28"/>
          <w:lang w:val="en-US"/>
        </w:rPr>
        <w:t xml:space="preserve">read in the context </w:t>
      </w:r>
      <w:r w:rsidR="00A21D36" w:rsidRPr="002B4807">
        <w:rPr>
          <w:sz w:val="28"/>
          <w:szCs w:val="28"/>
          <w:lang w:val="en-US"/>
        </w:rPr>
        <w:t>in which it appears in the title deed, the purpose of the servitude and the</w:t>
      </w:r>
      <w:r w:rsidR="008C70AA" w:rsidRPr="002B4807">
        <w:rPr>
          <w:sz w:val="28"/>
          <w:szCs w:val="28"/>
          <w:lang w:val="en-US"/>
        </w:rPr>
        <w:t xml:space="preserve"> background</w:t>
      </w:r>
      <w:r w:rsidR="00A21D36" w:rsidRPr="002B4807">
        <w:rPr>
          <w:sz w:val="28"/>
          <w:szCs w:val="28"/>
          <w:lang w:val="en-US"/>
        </w:rPr>
        <w:t xml:space="preserve"> circumstances</w:t>
      </w:r>
      <w:r w:rsidR="008C70AA" w:rsidRPr="002B4807">
        <w:rPr>
          <w:sz w:val="28"/>
          <w:szCs w:val="28"/>
          <w:lang w:val="en-US"/>
        </w:rPr>
        <w:t xml:space="preserve"> giving rise to the </w:t>
      </w:r>
      <w:r w:rsidR="00A21D36" w:rsidRPr="002B4807">
        <w:rPr>
          <w:sz w:val="28"/>
          <w:szCs w:val="28"/>
          <w:lang w:val="en-US"/>
        </w:rPr>
        <w:t xml:space="preserve">creation of the servitude. That exercise </w:t>
      </w:r>
      <w:r w:rsidR="00CC68B6" w:rsidRPr="002B4807">
        <w:rPr>
          <w:sz w:val="28"/>
          <w:szCs w:val="28"/>
          <w:lang w:val="en-US"/>
        </w:rPr>
        <w:t xml:space="preserve">begins with the conception of the garden by </w:t>
      </w:r>
      <w:r w:rsidR="00E909AB" w:rsidRPr="002B4807">
        <w:rPr>
          <w:sz w:val="28"/>
          <w:szCs w:val="28"/>
          <w:lang w:val="en-US"/>
        </w:rPr>
        <w:t xml:space="preserve">Ms Berzack </w:t>
      </w:r>
      <w:r w:rsidR="00CC68B6" w:rsidRPr="002B4807">
        <w:rPr>
          <w:sz w:val="28"/>
          <w:szCs w:val="28"/>
          <w:lang w:val="en-US"/>
        </w:rPr>
        <w:t xml:space="preserve">and the subsequent negotiations that culminated in the sale of the property to Mr Wellens in 1983. </w:t>
      </w:r>
      <w:r w:rsidR="00B40436" w:rsidRPr="002B4807">
        <w:rPr>
          <w:sz w:val="28"/>
          <w:szCs w:val="28"/>
          <w:lang w:val="en-US"/>
        </w:rPr>
        <w:t xml:space="preserve">It was submitted that it was wrong of the </w:t>
      </w:r>
      <w:r w:rsidR="001A50A8" w:rsidRPr="002B4807">
        <w:rPr>
          <w:sz w:val="28"/>
          <w:szCs w:val="28"/>
          <w:lang w:val="en-US"/>
        </w:rPr>
        <w:t>h</w:t>
      </w:r>
      <w:r w:rsidR="00B40436" w:rsidRPr="002B4807">
        <w:rPr>
          <w:sz w:val="28"/>
          <w:szCs w:val="28"/>
          <w:lang w:val="en-US"/>
        </w:rPr>
        <w:t xml:space="preserve">igh </w:t>
      </w:r>
      <w:r w:rsidR="001A50A8" w:rsidRPr="002B4807">
        <w:rPr>
          <w:sz w:val="28"/>
          <w:szCs w:val="28"/>
          <w:lang w:val="en-US"/>
        </w:rPr>
        <w:t>c</w:t>
      </w:r>
      <w:r w:rsidR="00B40436" w:rsidRPr="002B4807">
        <w:rPr>
          <w:sz w:val="28"/>
          <w:szCs w:val="28"/>
          <w:lang w:val="en-US"/>
        </w:rPr>
        <w:t>ourt to adopt a sequestered approach by excising different aspects of the same servitude, preserving as praedial</w:t>
      </w:r>
      <w:r w:rsidR="00477C1E" w:rsidRPr="002B4807">
        <w:rPr>
          <w:sz w:val="28"/>
          <w:szCs w:val="28"/>
          <w:lang w:val="en-US"/>
        </w:rPr>
        <w:t xml:space="preserve"> </w:t>
      </w:r>
      <w:r w:rsidR="00B40436" w:rsidRPr="002B4807">
        <w:rPr>
          <w:sz w:val="28"/>
          <w:szCs w:val="28"/>
          <w:lang w:val="en-US"/>
        </w:rPr>
        <w:t>P(b)(i) and then severing it from P(b)(ii) and (iii)</w:t>
      </w:r>
      <w:r w:rsidR="00C02B16" w:rsidRPr="002B4807">
        <w:rPr>
          <w:sz w:val="28"/>
          <w:szCs w:val="28"/>
          <w:lang w:val="en-US"/>
        </w:rPr>
        <w:t>,</w:t>
      </w:r>
      <w:r w:rsidR="00B40436" w:rsidRPr="002B4807">
        <w:rPr>
          <w:sz w:val="28"/>
          <w:szCs w:val="28"/>
          <w:lang w:val="en-US"/>
        </w:rPr>
        <w:t xml:space="preserve"> which </w:t>
      </w:r>
      <w:r w:rsidR="00571E14" w:rsidRPr="002B4807">
        <w:rPr>
          <w:sz w:val="28"/>
          <w:szCs w:val="28"/>
          <w:lang w:val="en-US"/>
        </w:rPr>
        <w:t>form</w:t>
      </w:r>
      <w:r w:rsidR="00B40436" w:rsidRPr="002B4807">
        <w:rPr>
          <w:sz w:val="28"/>
          <w:szCs w:val="28"/>
          <w:lang w:val="en-US"/>
        </w:rPr>
        <w:t xml:space="preserve"> </w:t>
      </w:r>
      <w:r w:rsidR="00F97FFA" w:rsidRPr="002B4807">
        <w:rPr>
          <w:sz w:val="28"/>
          <w:szCs w:val="28"/>
          <w:lang w:val="en-US"/>
        </w:rPr>
        <w:t>an integral part thereof.</w:t>
      </w:r>
      <w:r w:rsidR="00B40436" w:rsidRPr="002B4807">
        <w:rPr>
          <w:sz w:val="28"/>
          <w:szCs w:val="28"/>
          <w:lang w:val="en-US"/>
        </w:rPr>
        <w:t xml:space="preserve"> </w:t>
      </w:r>
      <w:r w:rsidR="005815E8" w:rsidRPr="002B4807">
        <w:rPr>
          <w:sz w:val="28"/>
          <w:szCs w:val="28"/>
          <w:lang w:val="en-US"/>
        </w:rPr>
        <w:t>It was submitted further that</w:t>
      </w:r>
      <w:r w:rsidR="00C93B3A" w:rsidRPr="002B4807">
        <w:rPr>
          <w:sz w:val="28"/>
          <w:szCs w:val="28"/>
          <w:lang w:val="en-US"/>
        </w:rPr>
        <w:t xml:space="preserve"> </w:t>
      </w:r>
      <w:r w:rsidR="005815E8" w:rsidRPr="002B4807">
        <w:rPr>
          <w:sz w:val="28"/>
          <w:szCs w:val="28"/>
          <w:lang w:val="en-US"/>
        </w:rPr>
        <w:t>the</w:t>
      </w:r>
      <w:r w:rsidR="00C93B3A" w:rsidRPr="002B4807">
        <w:rPr>
          <w:sz w:val="28"/>
          <w:szCs w:val="28"/>
          <w:lang w:val="en-US"/>
        </w:rPr>
        <w:t xml:space="preserve"> erroneous deletion of </w:t>
      </w:r>
      <w:r w:rsidR="007E7EA1" w:rsidRPr="002B4807">
        <w:rPr>
          <w:sz w:val="28"/>
          <w:szCs w:val="28"/>
          <w:lang w:val="en-US"/>
        </w:rPr>
        <w:lastRenderedPageBreak/>
        <w:t>t</w:t>
      </w:r>
      <w:r w:rsidR="006803A6" w:rsidRPr="002B4807">
        <w:rPr>
          <w:sz w:val="28"/>
          <w:szCs w:val="28"/>
          <w:lang w:val="en-US"/>
        </w:rPr>
        <w:t xml:space="preserve">he words </w:t>
      </w:r>
      <w:r w:rsidR="00C02B16" w:rsidRPr="002B4807">
        <w:rPr>
          <w:sz w:val="28"/>
          <w:szCs w:val="28"/>
          <w:lang w:val="en-US"/>
        </w:rPr>
        <w:t>‘</w:t>
      </w:r>
      <w:r w:rsidR="006803A6" w:rsidRPr="002B4807">
        <w:rPr>
          <w:sz w:val="28"/>
          <w:szCs w:val="28"/>
          <w:lang w:val="en-US"/>
        </w:rPr>
        <w:t>her successors-in-title</w:t>
      </w:r>
      <w:r w:rsidR="00C02B16" w:rsidRPr="002B4807">
        <w:rPr>
          <w:sz w:val="28"/>
          <w:szCs w:val="28"/>
          <w:lang w:val="en-US"/>
        </w:rPr>
        <w:t>’</w:t>
      </w:r>
      <w:r w:rsidR="006803A6" w:rsidRPr="002B4807">
        <w:rPr>
          <w:sz w:val="28"/>
          <w:szCs w:val="28"/>
          <w:lang w:val="en-US"/>
        </w:rPr>
        <w:t xml:space="preserve"> and </w:t>
      </w:r>
      <w:r w:rsidR="00C93B3A" w:rsidRPr="002B4807">
        <w:rPr>
          <w:sz w:val="28"/>
          <w:szCs w:val="28"/>
          <w:lang w:val="en-US"/>
        </w:rPr>
        <w:t>P(b)(i)</w:t>
      </w:r>
      <w:r w:rsidR="005815E8" w:rsidRPr="002B4807">
        <w:rPr>
          <w:sz w:val="28"/>
          <w:szCs w:val="28"/>
          <w:lang w:val="en-US"/>
        </w:rPr>
        <w:t xml:space="preserve"> and </w:t>
      </w:r>
      <w:r w:rsidR="00C93B3A" w:rsidRPr="002B4807">
        <w:rPr>
          <w:sz w:val="28"/>
          <w:szCs w:val="28"/>
          <w:lang w:val="en-US"/>
        </w:rPr>
        <w:t>substitut</w:t>
      </w:r>
      <w:r w:rsidR="005815E8" w:rsidRPr="002B4807">
        <w:rPr>
          <w:sz w:val="28"/>
          <w:szCs w:val="28"/>
          <w:lang w:val="en-US"/>
        </w:rPr>
        <w:t>ion thereof with</w:t>
      </w:r>
      <w:r w:rsidR="00C93B3A" w:rsidRPr="002B4807">
        <w:rPr>
          <w:sz w:val="28"/>
          <w:szCs w:val="28"/>
          <w:lang w:val="en-US"/>
        </w:rPr>
        <w:t xml:space="preserve"> a newly worded </w:t>
      </w:r>
      <w:r w:rsidR="006803A6" w:rsidRPr="002B4807">
        <w:rPr>
          <w:sz w:val="28"/>
          <w:szCs w:val="28"/>
          <w:lang w:val="en-US"/>
        </w:rPr>
        <w:t xml:space="preserve">and </w:t>
      </w:r>
      <w:r w:rsidR="00C93B3A" w:rsidRPr="002B4807">
        <w:rPr>
          <w:sz w:val="28"/>
          <w:szCs w:val="28"/>
          <w:lang w:val="en-US"/>
        </w:rPr>
        <w:t xml:space="preserve">self-standing paragraph P </w:t>
      </w:r>
      <w:r w:rsidR="00C93B3A" w:rsidRPr="002B4807">
        <w:rPr>
          <w:i/>
          <w:iCs/>
          <w:sz w:val="28"/>
          <w:szCs w:val="28"/>
          <w:lang w:val="en-US"/>
        </w:rPr>
        <w:t>bis,</w:t>
      </w:r>
      <w:r w:rsidR="00F75859" w:rsidRPr="002B4807">
        <w:rPr>
          <w:i/>
          <w:iCs/>
          <w:sz w:val="28"/>
          <w:szCs w:val="28"/>
          <w:lang w:val="en-US"/>
        </w:rPr>
        <w:t xml:space="preserve"> </w:t>
      </w:r>
      <w:r w:rsidR="006803A6" w:rsidRPr="002B4807">
        <w:rPr>
          <w:sz w:val="28"/>
          <w:szCs w:val="28"/>
          <w:lang w:val="en-US"/>
        </w:rPr>
        <w:t>result</w:t>
      </w:r>
      <w:r w:rsidR="005815E8" w:rsidRPr="002B4807">
        <w:rPr>
          <w:sz w:val="28"/>
          <w:szCs w:val="28"/>
          <w:lang w:val="en-US"/>
        </w:rPr>
        <w:t>ed</w:t>
      </w:r>
      <w:r w:rsidR="006803A6" w:rsidRPr="002B4807">
        <w:rPr>
          <w:sz w:val="28"/>
          <w:szCs w:val="28"/>
          <w:lang w:val="en-US"/>
        </w:rPr>
        <w:t xml:space="preserve"> in</w:t>
      </w:r>
      <w:r w:rsidR="005815E8" w:rsidRPr="002B4807">
        <w:rPr>
          <w:sz w:val="28"/>
          <w:szCs w:val="28"/>
          <w:lang w:val="en-US"/>
        </w:rPr>
        <w:t xml:space="preserve"> </w:t>
      </w:r>
      <w:r w:rsidR="00E909AB" w:rsidRPr="002B4807">
        <w:rPr>
          <w:sz w:val="28"/>
          <w:szCs w:val="28"/>
          <w:lang w:val="en-US"/>
        </w:rPr>
        <w:t>the</w:t>
      </w:r>
      <w:r w:rsidR="006803A6" w:rsidRPr="002B4807">
        <w:rPr>
          <w:sz w:val="28"/>
          <w:szCs w:val="28"/>
          <w:lang w:val="en-US"/>
        </w:rPr>
        <w:t xml:space="preserve"> </w:t>
      </w:r>
      <w:r w:rsidR="00387D6A" w:rsidRPr="002B4807">
        <w:rPr>
          <w:sz w:val="28"/>
          <w:szCs w:val="28"/>
          <w:lang w:val="en-US"/>
        </w:rPr>
        <w:t>removal</w:t>
      </w:r>
      <w:r w:rsidR="006803A6" w:rsidRPr="002B4807">
        <w:rPr>
          <w:sz w:val="28"/>
          <w:szCs w:val="28"/>
          <w:lang w:val="en-US"/>
        </w:rPr>
        <w:t xml:space="preserve"> of all the servitudal</w:t>
      </w:r>
      <w:r w:rsidR="005815E8" w:rsidRPr="002B4807">
        <w:rPr>
          <w:sz w:val="28"/>
          <w:szCs w:val="28"/>
          <w:lang w:val="en-US"/>
        </w:rPr>
        <w:t xml:space="preserve"> features of the garden</w:t>
      </w:r>
      <w:r w:rsidR="00387D6A" w:rsidRPr="002B4807">
        <w:rPr>
          <w:sz w:val="28"/>
          <w:szCs w:val="28"/>
          <w:lang w:val="en-US"/>
        </w:rPr>
        <w:t xml:space="preserve"> </w:t>
      </w:r>
      <w:r w:rsidR="005815E8" w:rsidRPr="002B4807">
        <w:rPr>
          <w:sz w:val="28"/>
          <w:szCs w:val="28"/>
          <w:lang w:val="en-US"/>
        </w:rPr>
        <w:t xml:space="preserve">and </w:t>
      </w:r>
      <w:r w:rsidR="006803A6" w:rsidRPr="002B4807">
        <w:rPr>
          <w:sz w:val="28"/>
          <w:szCs w:val="28"/>
          <w:lang w:val="en-US"/>
        </w:rPr>
        <w:t>benefit</w:t>
      </w:r>
      <w:r w:rsidR="00387D6A" w:rsidRPr="002B4807">
        <w:rPr>
          <w:sz w:val="28"/>
          <w:szCs w:val="28"/>
          <w:lang w:val="en-US"/>
        </w:rPr>
        <w:t>s due to the Berzack property.</w:t>
      </w:r>
      <w:r w:rsidR="00C93B3A" w:rsidRPr="002B4807">
        <w:rPr>
          <w:sz w:val="28"/>
          <w:szCs w:val="28"/>
          <w:lang w:val="en-US"/>
        </w:rPr>
        <w:t xml:space="preserve"> </w:t>
      </w:r>
      <w:r w:rsidR="00E94E31" w:rsidRPr="002B4807">
        <w:rPr>
          <w:sz w:val="28"/>
          <w:szCs w:val="28"/>
          <w:lang w:val="en-US"/>
        </w:rPr>
        <w:t xml:space="preserve"> </w:t>
      </w:r>
    </w:p>
    <w:p w14:paraId="1BC6E70F" w14:textId="77777777" w:rsidR="001B2B1D" w:rsidRPr="002B4807" w:rsidRDefault="001B2B1D" w:rsidP="00207DB4">
      <w:pPr>
        <w:spacing w:line="360" w:lineRule="auto"/>
        <w:jc w:val="both"/>
        <w:rPr>
          <w:sz w:val="28"/>
          <w:szCs w:val="28"/>
          <w:lang w:val="en-US"/>
        </w:rPr>
      </w:pPr>
    </w:p>
    <w:p w14:paraId="389AD8AE" w14:textId="77777777" w:rsidR="00C02B16" w:rsidRPr="002B4807" w:rsidRDefault="008C1764" w:rsidP="00207DB4">
      <w:pPr>
        <w:pStyle w:val="ListParagraph"/>
        <w:spacing w:line="360" w:lineRule="auto"/>
        <w:ind w:left="0"/>
        <w:jc w:val="both"/>
        <w:rPr>
          <w:sz w:val="28"/>
          <w:szCs w:val="28"/>
          <w:lang w:val="en-US"/>
        </w:rPr>
      </w:pPr>
      <w:r w:rsidRPr="002B4807">
        <w:rPr>
          <w:sz w:val="28"/>
          <w:szCs w:val="28"/>
          <w:lang w:val="en-US"/>
        </w:rPr>
        <w:t>[19]</w:t>
      </w:r>
      <w:r w:rsidRPr="002B4807">
        <w:rPr>
          <w:sz w:val="28"/>
          <w:szCs w:val="28"/>
          <w:lang w:val="en-US"/>
        </w:rPr>
        <w:tab/>
      </w:r>
      <w:r w:rsidR="00E909AB" w:rsidRPr="002B4807">
        <w:rPr>
          <w:sz w:val="28"/>
          <w:szCs w:val="28"/>
          <w:lang w:val="en-US"/>
        </w:rPr>
        <w:t xml:space="preserve">Huntrex 277 supports </w:t>
      </w:r>
      <w:r w:rsidR="000949E4" w:rsidRPr="002B4807">
        <w:rPr>
          <w:sz w:val="28"/>
          <w:szCs w:val="28"/>
          <w:lang w:val="en-US"/>
        </w:rPr>
        <w:t xml:space="preserve">the judgment of the </w:t>
      </w:r>
      <w:r w:rsidR="001A50A8" w:rsidRPr="002B4807">
        <w:rPr>
          <w:sz w:val="28"/>
          <w:szCs w:val="28"/>
          <w:lang w:val="en-US"/>
        </w:rPr>
        <w:t>h</w:t>
      </w:r>
      <w:r w:rsidR="000949E4" w:rsidRPr="002B4807">
        <w:rPr>
          <w:sz w:val="28"/>
          <w:szCs w:val="28"/>
          <w:lang w:val="en-US"/>
        </w:rPr>
        <w:t xml:space="preserve">igh </w:t>
      </w:r>
      <w:r w:rsidR="001A50A8" w:rsidRPr="002B4807">
        <w:rPr>
          <w:sz w:val="28"/>
          <w:szCs w:val="28"/>
          <w:lang w:val="en-US"/>
        </w:rPr>
        <w:t>c</w:t>
      </w:r>
      <w:r w:rsidR="000949E4" w:rsidRPr="002B4807">
        <w:rPr>
          <w:sz w:val="28"/>
          <w:szCs w:val="28"/>
          <w:lang w:val="en-US"/>
        </w:rPr>
        <w:t>ourt on the</w:t>
      </w:r>
      <w:r w:rsidR="00F97FFA" w:rsidRPr="002B4807">
        <w:rPr>
          <w:sz w:val="28"/>
          <w:szCs w:val="28"/>
          <w:lang w:val="en-US"/>
        </w:rPr>
        <w:t xml:space="preserve"> basis that</w:t>
      </w:r>
      <w:r w:rsidR="000949E4" w:rsidRPr="002B4807">
        <w:rPr>
          <w:sz w:val="28"/>
          <w:szCs w:val="28"/>
          <w:lang w:val="en-US"/>
        </w:rPr>
        <w:t xml:space="preserve"> cl</w:t>
      </w:r>
      <w:r w:rsidR="00682D9F" w:rsidRPr="002B4807">
        <w:rPr>
          <w:sz w:val="28"/>
          <w:szCs w:val="28"/>
          <w:lang w:val="en-US"/>
        </w:rPr>
        <w:t>au</w:t>
      </w:r>
      <w:r w:rsidR="000949E4" w:rsidRPr="002B4807">
        <w:rPr>
          <w:sz w:val="28"/>
          <w:szCs w:val="28"/>
          <w:lang w:val="en-US"/>
        </w:rPr>
        <w:t>se P</w:t>
      </w:r>
      <w:r w:rsidR="00682D9F" w:rsidRPr="002B4807">
        <w:rPr>
          <w:sz w:val="28"/>
          <w:szCs w:val="28"/>
          <w:lang w:val="en-US"/>
        </w:rPr>
        <w:t>(b)(i)</w:t>
      </w:r>
      <w:r w:rsidR="000949E4" w:rsidRPr="002B4807">
        <w:rPr>
          <w:sz w:val="28"/>
          <w:szCs w:val="28"/>
          <w:lang w:val="en-US"/>
        </w:rPr>
        <w:t xml:space="preserve"> embodied a pr</w:t>
      </w:r>
      <w:r w:rsidR="00682D9F" w:rsidRPr="002B4807">
        <w:rPr>
          <w:sz w:val="28"/>
          <w:szCs w:val="28"/>
          <w:lang w:val="en-US"/>
        </w:rPr>
        <w:t>aedial</w:t>
      </w:r>
      <w:r w:rsidR="000949E4" w:rsidRPr="002B4807">
        <w:rPr>
          <w:sz w:val="28"/>
          <w:szCs w:val="28"/>
          <w:lang w:val="en-US"/>
        </w:rPr>
        <w:t xml:space="preserve"> servitude as contended for on behalf of </w:t>
      </w:r>
      <w:r w:rsidR="00E909AB" w:rsidRPr="002B4807">
        <w:rPr>
          <w:sz w:val="28"/>
          <w:szCs w:val="28"/>
          <w:lang w:val="en-US"/>
        </w:rPr>
        <w:t>Ms Berzack</w:t>
      </w:r>
      <w:r w:rsidR="000949E4" w:rsidRPr="002B4807">
        <w:rPr>
          <w:sz w:val="28"/>
          <w:szCs w:val="28"/>
          <w:lang w:val="en-US"/>
        </w:rPr>
        <w:t xml:space="preserve">, which is typically regarded as servitude </w:t>
      </w:r>
      <w:r w:rsidR="00F97FFA" w:rsidRPr="002B4807">
        <w:rPr>
          <w:i/>
          <w:iCs/>
          <w:sz w:val="28"/>
          <w:szCs w:val="28"/>
          <w:lang w:val="en-US"/>
        </w:rPr>
        <w:t>irregulars</w:t>
      </w:r>
      <w:r w:rsidR="00F97FFA" w:rsidRPr="002B4807">
        <w:rPr>
          <w:sz w:val="28"/>
          <w:szCs w:val="28"/>
          <w:lang w:val="en-US"/>
        </w:rPr>
        <w:t>.</w:t>
      </w:r>
      <w:r w:rsidR="000949E4" w:rsidRPr="002B4807">
        <w:rPr>
          <w:sz w:val="28"/>
          <w:szCs w:val="28"/>
          <w:lang w:val="en-US"/>
        </w:rPr>
        <w:t xml:space="preserve"> </w:t>
      </w:r>
      <w:r w:rsidR="00F97FFA" w:rsidRPr="002B4807">
        <w:rPr>
          <w:sz w:val="28"/>
          <w:szCs w:val="28"/>
          <w:lang w:val="en-US"/>
        </w:rPr>
        <w:t>S</w:t>
      </w:r>
      <w:r w:rsidR="000949E4" w:rsidRPr="002B4807">
        <w:rPr>
          <w:sz w:val="28"/>
          <w:szCs w:val="28"/>
          <w:lang w:val="en-US"/>
        </w:rPr>
        <w:t>uch a clause</w:t>
      </w:r>
      <w:r w:rsidR="00F97FFA" w:rsidRPr="002B4807">
        <w:rPr>
          <w:sz w:val="28"/>
          <w:szCs w:val="28"/>
          <w:lang w:val="en-US"/>
        </w:rPr>
        <w:t>, Huntrex 277 argued,</w:t>
      </w:r>
      <w:r w:rsidR="000949E4" w:rsidRPr="002B4807">
        <w:rPr>
          <w:sz w:val="28"/>
          <w:szCs w:val="28"/>
          <w:lang w:val="en-US"/>
        </w:rPr>
        <w:t xml:space="preserve"> should be interpreted </w:t>
      </w:r>
      <w:r w:rsidR="00E909AB" w:rsidRPr="002B4807">
        <w:rPr>
          <w:sz w:val="28"/>
          <w:szCs w:val="28"/>
          <w:lang w:val="en-US"/>
        </w:rPr>
        <w:t>in the same way as clauses</w:t>
      </w:r>
      <w:r w:rsidR="000949E4" w:rsidRPr="002B4807">
        <w:rPr>
          <w:sz w:val="28"/>
          <w:szCs w:val="28"/>
          <w:lang w:val="en-US"/>
        </w:rPr>
        <w:t xml:space="preserve"> P</w:t>
      </w:r>
      <w:r w:rsidR="00682D9F" w:rsidRPr="002B4807">
        <w:rPr>
          <w:sz w:val="28"/>
          <w:szCs w:val="28"/>
          <w:lang w:val="en-US"/>
        </w:rPr>
        <w:t>(b)(ii)</w:t>
      </w:r>
      <w:r w:rsidR="000949E4" w:rsidRPr="002B4807">
        <w:rPr>
          <w:sz w:val="28"/>
          <w:szCs w:val="28"/>
          <w:lang w:val="en-US"/>
        </w:rPr>
        <w:t xml:space="preserve"> and </w:t>
      </w:r>
      <w:r w:rsidR="00682D9F" w:rsidRPr="002B4807">
        <w:rPr>
          <w:sz w:val="28"/>
          <w:szCs w:val="28"/>
          <w:lang w:val="en-US"/>
        </w:rPr>
        <w:t>(iii)</w:t>
      </w:r>
      <w:r w:rsidR="000949E4" w:rsidRPr="002B4807">
        <w:rPr>
          <w:sz w:val="28"/>
          <w:szCs w:val="28"/>
          <w:lang w:val="en-US"/>
        </w:rPr>
        <w:t xml:space="preserve">, </w:t>
      </w:r>
      <w:r w:rsidR="00F97FFA" w:rsidRPr="002B4807">
        <w:rPr>
          <w:sz w:val="28"/>
          <w:szCs w:val="28"/>
          <w:lang w:val="en-US"/>
        </w:rPr>
        <w:t xml:space="preserve">i.e. </w:t>
      </w:r>
      <w:r w:rsidR="00E909AB" w:rsidRPr="002B4807">
        <w:rPr>
          <w:sz w:val="28"/>
          <w:szCs w:val="28"/>
          <w:lang w:val="en-US"/>
        </w:rPr>
        <w:t xml:space="preserve"> </w:t>
      </w:r>
      <w:r w:rsidR="000949E4" w:rsidRPr="002B4807">
        <w:rPr>
          <w:sz w:val="28"/>
          <w:szCs w:val="28"/>
          <w:lang w:val="en-US"/>
        </w:rPr>
        <w:t xml:space="preserve">personal servitude, and not the other way. Therefore, the clauses being interpreted </w:t>
      </w:r>
      <w:r w:rsidR="00E909AB" w:rsidRPr="002B4807">
        <w:rPr>
          <w:sz w:val="28"/>
          <w:szCs w:val="28"/>
          <w:lang w:val="en-US"/>
        </w:rPr>
        <w:t>purposively and contextually</w:t>
      </w:r>
      <w:r w:rsidR="000949E4" w:rsidRPr="002B4807">
        <w:rPr>
          <w:sz w:val="28"/>
          <w:szCs w:val="28"/>
          <w:lang w:val="en-US"/>
        </w:rPr>
        <w:t xml:space="preserve">, and as a whole, </w:t>
      </w:r>
      <w:r w:rsidR="00682D9F" w:rsidRPr="002B4807">
        <w:rPr>
          <w:sz w:val="28"/>
          <w:szCs w:val="28"/>
          <w:lang w:val="en-US"/>
        </w:rPr>
        <w:t xml:space="preserve">are </w:t>
      </w:r>
      <w:r w:rsidR="000949E4" w:rsidRPr="002B4807">
        <w:rPr>
          <w:sz w:val="28"/>
          <w:szCs w:val="28"/>
          <w:lang w:val="en-US"/>
        </w:rPr>
        <w:t xml:space="preserve">personal to </w:t>
      </w:r>
      <w:r w:rsidR="00F97FFA" w:rsidRPr="002B4807">
        <w:rPr>
          <w:sz w:val="28"/>
          <w:szCs w:val="28"/>
          <w:lang w:val="en-US"/>
        </w:rPr>
        <w:t>Ms Berzack</w:t>
      </w:r>
      <w:r w:rsidR="000949E4" w:rsidRPr="002B4807">
        <w:rPr>
          <w:sz w:val="28"/>
          <w:szCs w:val="28"/>
          <w:lang w:val="en-US"/>
        </w:rPr>
        <w:t xml:space="preserve">. </w:t>
      </w:r>
      <w:r w:rsidR="00942238" w:rsidRPr="002B4807">
        <w:rPr>
          <w:sz w:val="28"/>
          <w:szCs w:val="28"/>
          <w:lang w:val="en-US"/>
        </w:rPr>
        <w:t xml:space="preserve">It was also contended on behalf of </w:t>
      </w:r>
      <w:r w:rsidR="008D0D15" w:rsidRPr="002B4807">
        <w:rPr>
          <w:bCs/>
          <w:sz w:val="28"/>
          <w:szCs w:val="28"/>
        </w:rPr>
        <w:t xml:space="preserve">Huntrex 277 </w:t>
      </w:r>
      <w:r w:rsidR="00942238" w:rsidRPr="002B4807">
        <w:rPr>
          <w:sz w:val="28"/>
          <w:szCs w:val="28"/>
          <w:lang w:val="en-US"/>
        </w:rPr>
        <w:t>that</w:t>
      </w:r>
      <w:r w:rsidR="00682D9F" w:rsidRPr="002B4807">
        <w:rPr>
          <w:sz w:val="28"/>
          <w:szCs w:val="28"/>
          <w:lang w:val="en-US"/>
        </w:rPr>
        <w:t xml:space="preserve"> clause </w:t>
      </w:r>
      <w:r w:rsidR="000949E4" w:rsidRPr="002B4807">
        <w:rPr>
          <w:sz w:val="28"/>
          <w:szCs w:val="28"/>
          <w:lang w:val="en-US"/>
        </w:rPr>
        <w:t>P</w:t>
      </w:r>
      <w:r w:rsidR="00682D9F" w:rsidRPr="002B4807">
        <w:rPr>
          <w:sz w:val="28"/>
          <w:szCs w:val="28"/>
          <w:lang w:val="en-US"/>
        </w:rPr>
        <w:t>(b)(i)</w:t>
      </w:r>
      <w:r w:rsidR="000949E4" w:rsidRPr="002B4807">
        <w:rPr>
          <w:sz w:val="28"/>
          <w:szCs w:val="28"/>
          <w:lang w:val="en-US"/>
        </w:rPr>
        <w:t xml:space="preserve"> is severable from the personal servitude of </w:t>
      </w:r>
      <w:r w:rsidR="000949E4" w:rsidRPr="002B4807">
        <w:rPr>
          <w:i/>
          <w:iCs/>
          <w:sz w:val="28"/>
          <w:szCs w:val="28"/>
          <w:lang w:val="en-US"/>
        </w:rPr>
        <w:t>us</w:t>
      </w:r>
      <w:r w:rsidR="00682D9F" w:rsidRPr="002B4807">
        <w:rPr>
          <w:i/>
          <w:iCs/>
          <w:sz w:val="28"/>
          <w:szCs w:val="28"/>
          <w:lang w:val="en-US"/>
        </w:rPr>
        <w:t>u</w:t>
      </w:r>
      <w:r w:rsidR="000949E4" w:rsidRPr="002B4807">
        <w:rPr>
          <w:i/>
          <w:iCs/>
          <w:sz w:val="28"/>
          <w:szCs w:val="28"/>
          <w:lang w:val="en-US"/>
        </w:rPr>
        <w:t>s</w:t>
      </w:r>
      <w:r w:rsidR="000949E4" w:rsidRPr="002B4807">
        <w:rPr>
          <w:sz w:val="28"/>
          <w:szCs w:val="28"/>
          <w:lang w:val="en-US"/>
        </w:rPr>
        <w:t xml:space="preserve"> embodied in cl</w:t>
      </w:r>
      <w:r w:rsidR="00682D9F" w:rsidRPr="002B4807">
        <w:rPr>
          <w:sz w:val="28"/>
          <w:szCs w:val="28"/>
          <w:lang w:val="en-US"/>
        </w:rPr>
        <w:t>au</w:t>
      </w:r>
      <w:r w:rsidR="000949E4" w:rsidRPr="002B4807">
        <w:rPr>
          <w:sz w:val="28"/>
          <w:szCs w:val="28"/>
          <w:lang w:val="en-US"/>
        </w:rPr>
        <w:t>se P</w:t>
      </w:r>
      <w:r w:rsidR="00682D9F" w:rsidRPr="002B4807">
        <w:rPr>
          <w:sz w:val="28"/>
          <w:szCs w:val="28"/>
          <w:lang w:val="en-US"/>
        </w:rPr>
        <w:t>(b)(ii)</w:t>
      </w:r>
      <w:r w:rsidR="000949E4" w:rsidRPr="002B4807">
        <w:rPr>
          <w:sz w:val="28"/>
          <w:szCs w:val="28"/>
          <w:lang w:val="en-US"/>
        </w:rPr>
        <w:t xml:space="preserve"> and </w:t>
      </w:r>
      <w:r w:rsidR="00682D9F" w:rsidRPr="002B4807">
        <w:rPr>
          <w:sz w:val="28"/>
          <w:szCs w:val="28"/>
          <w:lang w:val="en-US"/>
        </w:rPr>
        <w:t>(iii) d</w:t>
      </w:r>
      <w:r w:rsidR="000949E4" w:rsidRPr="002B4807">
        <w:rPr>
          <w:sz w:val="28"/>
          <w:szCs w:val="28"/>
          <w:lang w:val="en-US"/>
        </w:rPr>
        <w:t>espite the fact that the</w:t>
      </w:r>
      <w:r w:rsidR="00682D9F" w:rsidRPr="002B4807">
        <w:rPr>
          <w:sz w:val="28"/>
          <w:szCs w:val="28"/>
          <w:lang w:val="en-US"/>
        </w:rPr>
        <w:t>y</w:t>
      </w:r>
      <w:r w:rsidR="000949E4" w:rsidRPr="002B4807">
        <w:rPr>
          <w:sz w:val="28"/>
          <w:szCs w:val="28"/>
          <w:lang w:val="en-US"/>
        </w:rPr>
        <w:t xml:space="preserve"> appear in the same princip</w:t>
      </w:r>
      <w:r w:rsidR="00682D9F" w:rsidRPr="002B4807">
        <w:rPr>
          <w:sz w:val="28"/>
          <w:szCs w:val="28"/>
          <w:lang w:val="en-US"/>
        </w:rPr>
        <w:t>a</w:t>
      </w:r>
      <w:r w:rsidR="000949E4" w:rsidRPr="002B4807">
        <w:rPr>
          <w:sz w:val="28"/>
          <w:szCs w:val="28"/>
          <w:lang w:val="en-US"/>
        </w:rPr>
        <w:t>l cl</w:t>
      </w:r>
      <w:r w:rsidR="00682D9F" w:rsidRPr="002B4807">
        <w:rPr>
          <w:sz w:val="28"/>
          <w:szCs w:val="28"/>
          <w:lang w:val="en-US"/>
        </w:rPr>
        <w:t>au</w:t>
      </w:r>
      <w:r w:rsidR="000949E4" w:rsidRPr="002B4807">
        <w:rPr>
          <w:sz w:val="28"/>
          <w:szCs w:val="28"/>
          <w:lang w:val="en-US"/>
        </w:rPr>
        <w:t xml:space="preserve">se. </w:t>
      </w:r>
    </w:p>
    <w:p w14:paraId="277767D3" w14:textId="77777777" w:rsidR="00C02B16" w:rsidRPr="002B4807" w:rsidRDefault="00C02B16" w:rsidP="00207DB4">
      <w:pPr>
        <w:pStyle w:val="ListParagraph"/>
        <w:spacing w:line="360" w:lineRule="auto"/>
        <w:ind w:left="0"/>
        <w:jc w:val="both"/>
        <w:rPr>
          <w:sz w:val="28"/>
          <w:szCs w:val="28"/>
          <w:lang w:val="en-US"/>
        </w:rPr>
      </w:pPr>
    </w:p>
    <w:p w14:paraId="2AD6D09C" w14:textId="00323201" w:rsidR="00E909AB" w:rsidRPr="002B4807" w:rsidRDefault="008C1764" w:rsidP="00207DB4">
      <w:pPr>
        <w:pStyle w:val="ListParagraph"/>
        <w:spacing w:line="360" w:lineRule="auto"/>
        <w:ind w:left="0"/>
        <w:jc w:val="both"/>
        <w:rPr>
          <w:color w:val="000000" w:themeColor="text1"/>
          <w:sz w:val="28"/>
          <w:szCs w:val="28"/>
          <w:lang w:val="en-US"/>
        </w:rPr>
      </w:pPr>
      <w:r w:rsidRPr="002B4807">
        <w:rPr>
          <w:sz w:val="28"/>
          <w:szCs w:val="28"/>
          <w:lang w:val="en-US"/>
        </w:rPr>
        <w:t>[20]</w:t>
      </w:r>
      <w:r w:rsidRPr="002B4807">
        <w:rPr>
          <w:sz w:val="28"/>
          <w:szCs w:val="28"/>
          <w:lang w:val="en-US"/>
        </w:rPr>
        <w:tab/>
      </w:r>
      <w:r w:rsidR="002B0DE1" w:rsidRPr="002B4807">
        <w:rPr>
          <w:sz w:val="28"/>
          <w:szCs w:val="28"/>
          <w:lang w:val="en-US"/>
        </w:rPr>
        <w:t>These submissions were premised on the</w:t>
      </w:r>
      <w:r w:rsidR="000949E4" w:rsidRPr="002B4807">
        <w:rPr>
          <w:sz w:val="28"/>
          <w:szCs w:val="28"/>
          <w:lang w:val="en-US"/>
        </w:rPr>
        <w:t xml:space="preserve"> approach to interpretation of </w:t>
      </w:r>
      <w:r w:rsidR="00682D9F" w:rsidRPr="002B4807">
        <w:rPr>
          <w:sz w:val="28"/>
          <w:szCs w:val="28"/>
          <w:lang w:val="en-US"/>
        </w:rPr>
        <w:t>a</w:t>
      </w:r>
      <w:r w:rsidR="000949E4" w:rsidRPr="002B4807">
        <w:rPr>
          <w:sz w:val="28"/>
          <w:szCs w:val="28"/>
          <w:lang w:val="en-US"/>
        </w:rPr>
        <w:t xml:space="preserve"> </w:t>
      </w:r>
      <w:r w:rsidR="00942238" w:rsidRPr="002B4807">
        <w:rPr>
          <w:sz w:val="28"/>
          <w:szCs w:val="28"/>
          <w:lang w:val="en-US"/>
        </w:rPr>
        <w:t xml:space="preserve">building </w:t>
      </w:r>
      <w:r w:rsidR="000949E4" w:rsidRPr="002B4807">
        <w:rPr>
          <w:sz w:val="28"/>
          <w:szCs w:val="28"/>
          <w:lang w:val="en-US"/>
        </w:rPr>
        <w:t xml:space="preserve">contract </w:t>
      </w:r>
      <w:r w:rsidR="001A7FD5" w:rsidRPr="002B4807">
        <w:rPr>
          <w:sz w:val="28"/>
          <w:szCs w:val="28"/>
          <w:lang w:val="en-US"/>
        </w:rPr>
        <w:t>by separation o</w:t>
      </w:r>
      <w:r w:rsidR="00942238" w:rsidRPr="002B4807">
        <w:rPr>
          <w:sz w:val="28"/>
          <w:szCs w:val="28"/>
          <w:lang w:val="en-US"/>
        </w:rPr>
        <w:t>f</w:t>
      </w:r>
      <w:r w:rsidR="001A7FD5" w:rsidRPr="002B4807">
        <w:rPr>
          <w:sz w:val="28"/>
          <w:szCs w:val="28"/>
          <w:lang w:val="en-US"/>
        </w:rPr>
        <w:t xml:space="preserve"> its parts</w:t>
      </w:r>
      <w:r w:rsidR="00942238" w:rsidRPr="002B4807">
        <w:rPr>
          <w:sz w:val="28"/>
          <w:szCs w:val="28"/>
          <w:lang w:val="en-US"/>
        </w:rPr>
        <w:t xml:space="preserve"> as</w:t>
      </w:r>
      <w:r w:rsidR="001A7FD5" w:rsidRPr="002B4807">
        <w:rPr>
          <w:sz w:val="28"/>
          <w:szCs w:val="28"/>
          <w:lang w:val="en-US"/>
        </w:rPr>
        <w:t xml:space="preserve"> applied in </w:t>
      </w:r>
      <w:r w:rsidR="000949E4" w:rsidRPr="002B4807">
        <w:rPr>
          <w:i/>
          <w:iCs/>
          <w:sz w:val="28"/>
          <w:szCs w:val="28"/>
          <w:lang w:val="en-US"/>
        </w:rPr>
        <w:t>Bondev Midrand (Pty) Ltd v Puling and Another</w:t>
      </w:r>
      <w:r w:rsidR="001A50A8" w:rsidRPr="002B4807">
        <w:rPr>
          <w:i/>
          <w:iCs/>
          <w:sz w:val="28"/>
          <w:szCs w:val="28"/>
          <w:lang w:val="en-US"/>
        </w:rPr>
        <w:t>;</w:t>
      </w:r>
      <w:r w:rsidR="000949E4" w:rsidRPr="002B4807">
        <w:rPr>
          <w:i/>
          <w:iCs/>
          <w:sz w:val="28"/>
          <w:szCs w:val="28"/>
          <w:lang w:val="en-US"/>
        </w:rPr>
        <w:t xml:space="preserve"> </w:t>
      </w:r>
      <w:r w:rsidR="001A50A8" w:rsidRPr="002B4807">
        <w:rPr>
          <w:i/>
          <w:iCs/>
          <w:sz w:val="28"/>
          <w:szCs w:val="28"/>
          <w:lang w:val="en-ZA"/>
        </w:rPr>
        <w:t>Bondev Midrand (Pty) Limited v Ramokgopa</w:t>
      </w:r>
      <w:r w:rsidR="00322033" w:rsidRPr="002B4807">
        <w:rPr>
          <w:sz w:val="28"/>
          <w:szCs w:val="28"/>
          <w:lang w:val="en-US"/>
        </w:rPr>
        <w:t xml:space="preserve"> (</w:t>
      </w:r>
      <w:r w:rsidR="00322033" w:rsidRPr="002B4807">
        <w:rPr>
          <w:i/>
          <w:iCs/>
          <w:sz w:val="28"/>
          <w:szCs w:val="28"/>
          <w:lang w:val="en-US"/>
        </w:rPr>
        <w:t>Bondev</w:t>
      </w:r>
      <w:r w:rsidR="00322033" w:rsidRPr="002B4807">
        <w:rPr>
          <w:sz w:val="28"/>
          <w:szCs w:val="28"/>
          <w:lang w:val="en-US"/>
        </w:rPr>
        <w:t>)</w:t>
      </w:r>
      <w:r w:rsidR="001A50A8" w:rsidRPr="002B4807">
        <w:rPr>
          <w:rStyle w:val="FootnoteReference"/>
          <w:sz w:val="28"/>
          <w:szCs w:val="28"/>
          <w:lang w:val="en-US"/>
        </w:rPr>
        <w:footnoteReference w:id="14"/>
      </w:r>
      <w:r w:rsidR="000949E4" w:rsidRPr="002B4807">
        <w:rPr>
          <w:sz w:val="28"/>
          <w:szCs w:val="28"/>
          <w:lang w:val="en-US"/>
        </w:rPr>
        <w:t xml:space="preserve"> </w:t>
      </w:r>
      <w:r w:rsidR="00811120" w:rsidRPr="002B4807">
        <w:rPr>
          <w:sz w:val="28"/>
          <w:szCs w:val="28"/>
          <w:lang w:val="en-US"/>
        </w:rPr>
        <w:t xml:space="preserve">They were also premised on the Roman-Dutch law foundations of </w:t>
      </w:r>
      <w:r w:rsidR="00811120" w:rsidRPr="002B4807">
        <w:rPr>
          <w:sz w:val="28"/>
          <w:szCs w:val="28"/>
          <w:lang w:val="en-US"/>
        </w:rPr>
        <w:lastRenderedPageBreak/>
        <w:t xml:space="preserve">servitudes, it being contended on behalf of </w:t>
      </w:r>
      <w:r w:rsidR="00E909AB" w:rsidRPr="002B4807">
        <w:rPr>
          <w:sz w:val="28"/>
          <w:szCs w:val="28"/>
          <w:lang w:val="en-US"/>
        </w:rPr>
        <w:t>Huntrex 277</w:t>
      </w:r>
      <w:r w:rsidR="00811120" w:rsidRPr="002B4807">
        <w:rPr>
          <w:sz w:val="28"/>
          <w:szCs w:val="28"/>
          <w:lang w:val="en-US"/>
        </w:rPr>
        <w:t xml:space="preserve"> that</w:t>
      </w:r>
      <w:r w:rsidR="00E1523D" w:rsidRPr="002B4807">
        <w:rPr>
          <w:sz w:val="28"/>
          <w:szCs w:val="28"/>
          <w:lang w:val="en-US"/>
        </w:rPr>
        <w:t xml:space="preserve"> </w:t>
      </w:r>
      <w:r w:rsidR="00E909AB" w:rsidRPr="002B4807">
        <w:rPr>
          <w:sz w:val="28"/>
          <w:szCs w:val="28"/>
          <w:lang w:val="en-US"/>
        </w:rPr>
        <w:t>in</w:t>
      </w:r>
      <w:r w:rsidR="00E1523D" w:rsidRPr="002B4807">
        <w:rPr>
          <w:sz w:val="28"/>
          <w:szCs w:val="28"/>
          <w:lang w:val="en-US"/>
        </w:rPr>
        <w:t xml:space="preserve"> the </w:t>
      </w:r>
      <w:r w:rsidR="00E909AB" w:rsidRPr="002B4807">
        <w:rPr>
          <w:sz w:val="28"/>
          <w:szCs w:val="28"/>
          <w:lang w:val="en-US"/>
        </w:rPr>
        <w:t xml:space="preserve">absence of the </w:t>
      </w:r>
      <w:r w:rsidR="00E1523D" w:rsidRPr="002B4807">
        <w:rPr>
          <w:sz w:val="28"/>
          <w:szCs w:val="28"/>
          <w:lang w:val="en-US"/>
        </w:rPr>
        <w:t xml:space="preserve">element of </w:t>
      </w:r>
      <w:r w:rsidR="00E1523D" w:rsidRPr="002B4807">
        <w:rPr>
          <w:i/>
          <w:iCs/>
          <w:sz w:val="28"/>
          <w:szCs w:val="28"/>
          <w:lang w:val="en-US"/>
        </w:rPr>
        <w:t>utilitas</w:t>
      </w:r>
      <w:r w:rsidR="00811120" w:rsidRPr="002B4807">
        <w:rPr>
          <w:sz w:val="28"/>
          <w:szCs w:val="28"/>
          <w:lang w:val="en-US"/>
        </w:rPr>
        <w:t xml:space="preserve"> </w:t>
      </w:r>
      <w:r w:rsidR="00E1523D" w:rsidRPr="002B4807">
        <w:rPr>
          <w:sz w:val="28"/>
          <w:szCs w:val="28"/>
          <w:lang w:val="en-US"/>
        </w:rPr>
        <w:t xml:space="preserve">in clause P of </w:t>
      </w:r>
      <w:r w:rsidR="00811120" w:rsidRPr="002B4807">
        <w:rPr>
          <w:sz w:val="28"/>
          <w:szCs w:val="28"/>
          <w:lang w:val="en-US"/>
        </w:rPr>
        <w:t>the existing servitude</w:t>
      </w:r>
      <w:r w:rsidR="00E1523D" w:rsidRPr="002B4807">
        <w:rPr>
          <w:sz w:val="28"/>
          <w:szCs w:val="28"/>
          <w:lang w:val="en-US"/>
        </w:rPr>
        <w:t xml:space="preserve">, </w:t>
      </w:r>
      <w:r w:rsidR="00942238" w:rsidRPr="002B4807">
        <w:rPr>
          <w:sz w:val="28"/>
          <w:szCs w:val="28"/>
          <w:lang w:val="en-US"/>
        </w:rPr>
        <w:t>the garden servitude</w:t>
      </w:r>
      <w:r w:rsidR="00811120" w:rsidRPr="002B4807">
        <w:rPr>
          <w:sz w:val="28"/>
          <w:szCs w:val="28"/>
          <w:lang w:val="en-US"/>
        </w:rPr>
        <w:t xml:space="preserve"> is quintessentially not one of the recognized </w:t>
      </w:r>
      <w:r w:rsidR="001B580B" w:rsidRPr="002B4807">
        <w:rPr>
          <w:sz w:val="28"/>
          <w:szCs w:val="28"/>
          <w:lang w:val="en-US"/>
        </w:rPr>
        <w:t>traditional rural</w:t>
      </w:r>
      <w:r w:rsidR="00811120" w:rsidRPr="002B4807">
        <w:rPr>
          <w:sz w:val="28"/>
          <w:szCs w:val="28"/>
          <w:lang w:val="en-US"/>
        </w:rPr>
        <w:t xml:space="preserve"> servitudes</w:t>
      </w:r>
      <w:r w:rsidR="00E1523D" w:rsidRPr="002B4807">
        <w:rPr>
          <w:sz w:val="28"/>
          <w:szCs w:val="28"/>
          <w:lang w:val="en-US"/>
        </w:rPr>
        <w:t xml:space="preserve"> of</w:t>
      </w:r>
      <w:r w:rsidR="001B580B" w:rsidRPr="002B4807">
        <w:rPr>
          <w:sz w:val="28"/>
          <w:szCs w:val="28"/>
          <w:lang w:val="en-US"/>
        </w:rPr>
        <w:t xml:space="preserve"> a right of way </w:t>
      </w:r>
      <w:r w:rsidR="008A23D0" w:rsidRPr="002B4807">
        <w:rPr>
          <w:sz w:val="28"/>
          <w:szCs w:val="28"/>
          <w:lang w:val="en-US"/>
        </w:rPr>
        <w:t>or access</w:t>
      </w:r>
      <w:r w:rsidR="001B580B" w:rsidRPr="002B4807">
        <w:rPr>
          <w:sz w:val="28"/>
          <w:szCs w:val="28"/>
          <w:lang w:val="en-US"/>
        </w:rPr>
        <w:t xml:space="preserve"> to drinking water on land belonging to another person.</w:t>
      </w:r>
      <w:r w:rsidR="00E1523D" w:rsidRPr="002B4807">
        <w:rPr>
          <w:sz w:val="28"/>
          <w:szCs w:val="28"/>
          <w:lang w:val="en-US"/>
        </w:rPr>
        <w:t xml:space="preserve"> </w:t>
      </w:r>
      <w:r w:rsidR="00E909AB" w:rsidRPr="002B4807">
        <w:rPr>
          <w:sz w:val="28"/>
          <w:szCs w:val="28"/>
          <w:lang w:val="en-US"/>
        </w:rPr>
        <w:t xml:space="preserve">Relying </w:t>
      </w:r>
      <w:r w:rsidR="00E1523D" w:rsidRPr="002B4807">
        <w:rPr>
          <w:sz w:val="28"/>
          <w:szCs w:val="28"/>
          <w:lang w:val="en-US"/>
        </w:rPr>
        <w:t>on this, it was argued that</w:t>
      </w:r>
      <w:r w:rsidR="00A517DF" w:rsidRPr="002B4807">
        <w:rPr>
          <w:sz w:val="28"/>
          <w:szCs w:val="28"/>
          <w:lang w:val="en-US"/>
        </w:rPr>
        <w:t xml:space="preserve"> the existing servitude is by definition a personal servitude of </w:t>
      </w:r>
      <w:r w:rsidR="00A517DF" w:rsidRPr="002B4807">
        <w:rPr>
          <w:i/>
          <w:iCs/>
          <w:sz w:val="28"/>
          <w:szCs w:val="28"/>
          <w:lang w:val="en-US"/>
        </w:rPr>
        <w:t>usus</w:t>
      </w:r>
      <w:r w:rsidR="00D26BFA" w:rsidRPr="002B4807">
        <w:rPr>
          <w:i/>
          <w:iCs/>
          <w:color w:val="000000" w:themeColor="text1"/>
          <w:sz w:val="28"/>
          <w:szCs w:val="28"/>
          <w:lang w:val="en-US"/>
        </w:rPr>
        <w:t xml:space="preserve"> </w:t>
      </w:r>
      <w:r w:rsidR="00D26BFA" w:rsidRPr="002B4807">
        <w:rPr>
          <w:color w:val="000000" w:themeColor="text1"/>
          <w:sz w:val="28"/>
          <w:szCs w:val="28"/>
          <w:lang w:val="en-US"/>
        </w:rPr>
        <w:t>whose registration is hit by the prohibition in section 66 of the Deeds Registries Act.</w:t>
      </w:r>
      <w:r w:rsidR="00811120" w:rsidRPr="002B4807">
        <w:rPr>
          <w:color w:val="000000" w:themeColor="text1"/>
          <w:sz w:val="28"/>
          <w:szCs w:val="28"/>
          <w:lang w:val="en-US"/>
        </w:rPr>
        <w:t xml:space="preserve">   </w:t>
      </w:r>
    </w:p>
    <w:p w14:paraId="0E0DCB0A" w14:textId="77777777" w:rsidR="00E909AB" w:rsidRPr="002B4807" w:rsidRDefault="00E909AB" w:rsidP="00207DB4">
      <w:pPr>
        <w:pStyle w:val="ListParagraph"/>
        <w:ind w:left="0"/>
        <w:jc w:val="both"/>
        <w:rPr>
          <w:sz w:val="28"/>
          <w:szCs w:val="28"/>
          <w:lang w:val="en-US"/>
        </w:rPr>
      </w:pPr>
    </w:p>
    <w:p w14:paraId="4232F45B" w14:textId="77777777" w:rsidR="000949E4" w:rsidRPr="002B4807" w:rsidRDefault="003518B0" w:rsidP="00207DB4">
      <w:pPr>
        <w:pStyle w:val="ListParagraph"/>
        <w:spacing w:line="360" w:lineRule="auto"/>
        <w:ind w:left="0"/>
        <w:jc w:val="both"/>
        <w:rPr>
          <w:b/>
          <w:sz w:val="28"/>
          <w:szCs w:val="28"/>
          <w:lang w:val="en-US"/>
        </w:rPr>
      </w:pPr>
      <w:r w:rsidRPr="002B4807">
        <w:rPr>
          <w:b/>
          <w:sz w:val="28"/>
          <w:szCs w:val="28"/>
          <w:lang w:val="en-US"/>
        </w:rPr>
        <w:t>Issues</w:t>
      </w:r>
    </w:p>
    <w:p w14:paraId="37D529F7" w14:textId="20B50C88" w:rsidR="00682D9F" w:rsidRPr="002B4807" w:rsidRDefault="008C1764" w:rsidP="00207DB4">
      <w:pPr>
        <w:pStyle w:val="ListParagraph"/>
        <w:spacing w:line="360" w:lineRule="auto"/>
        <w:ind w:left="0"/>
        <w:jc w:val="both"/>
        <w:rPr>
          <w:sz w:val="28"/>
          <w:szCs w:val="28"/>
          <w:lang w:val="en-US"/>
        </w:rPr>
      </w:pPr>
      <w:r w:rsidRPr="002B4807">
        <w:rPr>
          <w:sz w:val="28"/>
          <w:szCs w:val="28"/>
          <w:lang w:val="en-US"/>
        </w:rPr>
        <w:t>[21]</w:t>
      </w:r>
      <w:r w:rsidRPr="002B4807">
        <w:rPr>
          <w:sz w:val="28"/>
          <w:szCs w:val="28"/>
          <w:lang w:val="en-US"/>
        </w:rPr>
        <w:tab/>
      </w:r>
      <w:r w:rsidR="00E909AB" w:rsidRPr="002B4807">
        <w:rPr>
          <w:sz w:val="28"/>
          <w:szCs w:val="28"/>
          <w:lang w:val="en-US"/>
        </w:rPr>
        <w:t>T</w:t>
      </w:r>
      <w:r w:rsidR="00682D9F" w:rsidRPr="002B4807">
        <w:rPr>
          <w:sz w:val="28"/>
          <w:szCs w:val="28"/>
          <w:lang w:val="en-US"/>
        </w:rPr>
        <w:t xml:space="preserve">he main issues for determination on appeal </w:t>
      </w:r>
      <w:r w:rsidR="008A3A3F" w:rsidRPr="002B4807">
        <w:rPr>
          <w:sz w:val="28"/>
          <w:szCs w:val="28"/>
          <w:lang w:val="en-US"/>
        </w:rPr>
        <w:t xml:space="preserve">are </w:t>
      </w:r>
      <w:r w:rsidR="00682D9F" w:rsidRPr="002B4807">
        <w:rPr>
          <w:sz w:val="28"/>
          <w:szCs w:val="28"/>
          <w:lang w:val="en-US"/>
        </w:rPr>
        <w:t xml:space="preserve">whether the </w:t>
      </w:r>
      <w:r w:rsidR="00E909AB" w:rsidRPr="002B4807">
        <w:rPr>
          <w:sz w:val="28"/>
          <w:szCs w:val="28"/>
          <w:lang w:val="en-US"/>
        </w:rPr>
        <w:t>terms</w:t>
      </w:r>
      <w:r w:rsidR="00682D9F" w:rsidRPr="002B4807">
        <w:rPr>
          <w:sz w:val="28"/>
          <w:szCs w:val="28"/>
          <w:lang w:val="en-US"/>
        </w:rPr>
        <w:t xml:space="preserve"> of cl</w:t>
      </w:r>
      <w:r w:rsidR="008A3A3F" w:rsidRPr="002B4807">
        <w:rPr>
          <w:sz w:val="28"/>
          <w:szCs w:val="28"/>
          <w:lang w:val="en-US"/>
        </w:rPr>
        <w:t>ause</w:t>
      </w:r>
      <w:r w:rsidR="00682D9F" w:rsidRPr="002B4807">
        <w:rPr>
          <w:sz w:val="28"/>
          <w:szCs w:val="28"/>
          <w:lang w:val="en-US"/>
        </w:rPr>
        <w:t xml:space="preserve"> P amount to a pr</w:t>
      </w:r>
      <w:r w:rsidR="008A3A3F" w:rsidRPr="002B4807">
        <w:rPr>
          <w:sz w:val="28"/>
          <w:szCs w:val="28"/>
          <w:lang w:val="en-US"/>
        </w:rPr>
        <w:t>aedial or</w:t>
      </w:r>
      <w:r w:rsidR="00682D9F" w:rsidRPr="002B4807">
        <w:rPr>
          <w:sz w:val="28"/>
          <w:szCs w:val="28"/>
          <w:lang w:val="en-US"/>
        </w:rPr>
        <w:t xml:space="preserve"> personal servitude of </w:t>
      </w:r>
      <w:r w:rsidR="00682D9F" w:rsidRPr="002B4807">
        <w:rPr>
          <w:i/>
          <w:iCs/>
          <w:sz w:val="28"/>
          <w:szCs w:val="28"/>
          <w:lang w:val="en-US"/>
        </w:rPr>
        <w:t>us</w:t>
      </w:r>
      <w:r w:rsidR="008A3A3F" w:rsidRPr="002B4807">
        <w:rPr>
          <w:i/>
          <w:iCs/>
          <w:sz w:val="28"/>
          <w:szCs w:val="28"/>
          <w:lang w:val="en-US"/>
        </w:rPr>
        <w:t>u</w:t>
      </w:r>
      <w:r w:rsidR="00682D9F" w:rsidRPr="002B4807">
        <w:rPr>
          <w:i/>
          <w:iCs/>
          <w:sz w:val="28"/>
          <w:szCs w:val="28"/>
          <w:lang w:val="en-US"/>
        </w:rPr>
        <w:t>s</w:t>
      </w:r>
      <w:r w:rsidR="00682D9F" w:rsidRPr="002B4807">
        <w:rPr>
          <w:sz w:val="28"/>
          <w:szCs w:val="28"/>
          <w:lang w:val="en-US"/>
        </w:rPr>
        <w:t>; and, depending on the nature of servitude that is created in cl</w:t>
      </w:r>
      <w:r w:rsidR="008A3A3F" w:rsidRPr="002B4807">
        <w:rPr>
          <w:sz w:val="28"/>
          <w:szCs w:val="28"/>
          <w:lang w:val="en-US"/>
        </w:rPr>
        <w:t>au</w:t>
      </w:r>
      <w:r w:rsidR="00682D9F" w:rsidRPr="002B4807">
        <w:rPr>
          <w:sz w:val="28"/>
          <w:szCs w:val="28"/>
          <w:lang w:val="en-US"/>
        </w:rPr>
        <w:t xml:space="preserve">se P, whether such servitude is capable of being registered in terms of s 66 of the </w:t>
      </w:r>
      <w:r w:rsidR="008A3A3F" w:rsidRPr="002B4807">
        <w:rPr>
          <w:sz w:val="28"/>
          <w:szCs w:val="28"/>
          <w:lang w:val="en-US"/>
        </w:rPr>
        <w:t>D</w:t>
      </w:r>
      <w:r w:rsidR="00682D9F" w:rsidRPr="002B4807">
        <w:rPr>
          <w:sz w:val="28"/>
          <w:szCs w:val="28"/>
          <w:lang w:val="en-US"/>
        </w:rPr>
        <w:t>eeds</w:t>
      </w:r>
      <w:r w:rsidR="00D26BFA" w:rsidRPr="002B4807">
        <w:rPr>
          <w:sz w:val="28"/>
          <w:szCs w:val="28"/>
          <w:lang w:val="en-US"/>
        </w:rPr>
        <w:t xml:space="preserve"> Registries Act</w:t>
      </w:r>
      <w:r w:rsidR="00682D9F" w:rsidRPr="002B4807">
        <w:rPr>
          <w:sz w:val="28"/>
          <w:szCs w:val="28"/>
          <w:lang w:val="en-US"/>
        </w:rPr>
        <w:t xml:space="preserve">. </w:t>
      </w:r>
      <w:r w:rsidR="00A35EC0" w:rsidRPr="002B4807">
        <w:rPr>
          <w:sz w:val="28"/>
          <w:szCs w:val="28"/>
          <w:lang w:val="en-US"/>
        </w:rPr>
        <w:t xml:space="preserve">The determination of two </w:t>
      </w:r>
      <w:r w:rsidR="0042184E" w:rsidRPr="002B4807">
        <w:rPr>
          <w:sz w:val="28"/>
          <w:szCs w:val="28"/>
          <w:lang w:val="en-US"/>
        </w:rPr>
        <w:t xml:space="preserve">secondary </w:t>
      </w:r>
      <w:r w:rsidR="00A35EC0" w:rsidRPr="002B4807">
        <w:rPr>
          <w:sz w:val="28"/>
          <w:szCs w:val="28"/>
          <w:lang w:val="en-US"/>
        </w:rPr>
        <w:t>issues,</w:t>
      </w:r>
      <w:r w:rsidR="0042184E" w:rsidRPr="002B4807">
        <w:rPr>
          <w:sz w:val="28"/>
          <w:szCs w:val="28"/>
          <w:lang w:val="en-US"/>
        </w:rPr>
        <w:t xml:space="preserve"> namely, </w:t>
      </w:r>
      <w:r w:rsidR="00A35EC0" w:rsidRPr="002B4807">
        <w:rPr>
          <w:sz w:val="28"/>
          <w:szCs w:val="28"/>
          <w:lang w:val="en-US"/>
        </w:rPr>
        <w:t>rectification and prescription, depend on the outcome of the</w:t>
      </w:r>
      <w:r w:rsidR="007E7D6A" w:rsidRPr="002B4807">
        <w:rPr>
          <w:sz w:val="28"/>
          <w:szCs w:val="28"/>
          <w:lang w:val="en-US"/>
        </w:rPr>
        <w:t xml:space="preserve"> determination of the</w:t>
      </w:r>
      <w:r w:rsidR="00A35EC0" w:rsidRPr="002B4807">
        <w:rPr>
          <w:sz w:val="28"/>
          <w:szCs w:val="28"/>
          <w:lang w:val="en-US"/>
        </w:rPr>
        <w:t xml:space="preserve"> main issues. </w:t>
      </w:r>
    </w:p>
    <w:p w14:paraId="07B7B995" w14:textId="77777777" w:rsidR="00A760BC" w:rsidRPr="002B4807" w:rsidRDefault="00A760BC" w:rsidP="00207DB4">
      <w:pPr>
        <w:spacing w:line="360" w:lineRule="auto"/>
        <w:jc w:val="both"/>
        <w:rPr>
          <w:sz w:val="28"/>
          <w:szCs w:val="28"/>
          <w:lang w:val="en-US"/>
        </w:rPr>
      </w:pPr>
    </w:p>
    <w:p w14:paraId="2E573C3B" w14:textId="77777777" w:rsidR="006653BE" w:rsidRPr="002B4807" w:rsidRDefault="006653BE" w:rsidP="00207DB4">
      <w:pPr>
        <w:spacing w:line="360" w:lineRule="auto"/>
        <w:jc w:val="both"/>
        <w:rPr>
          <w:b/>
          <w:sz w:val="28"/>
          <w:szCs w:val="28"/>
          <w:lang w:val="en-US"/>
        </w:rPr>
      </w:pPr>
      <w:r w:rsidRPr="002B4807">
        <w:rPr>
          <w:b/>
          <w:sz w:val="28"/>
          <w:szCs w:val="28"/>
          <w:lang w:val="en-US"/>
        </w:rPr>
        <w:t>In</w:t>
      </w:r>
      <w:r w:rsidR="00E808FD" w:rsidRPr="002B4807">
        <w:rPr>
          <w:b/>
          <w:sz w:val="28"/>
          <w:szCs w:val="28"/>
          <w:lang w:val="en-US"/>
        </w:rPr>
        <w:t xml:space="preserve">terpretation of </w:t>
      </w:r>
      <w:r w:rsidR="003A3362" w:rsidRPr="002B4807">
        <w:rPr>
          <w:b/>
          <w:sz w:val="28"/>
          <w:szCs w:val="28"/>
          <w:lang w:val="en-US"/>
        </w:rPr>
        <w:t>contract of servitude</w:t>
      </w:r>
    </w:p>
    <w:p w14:paraId="63AE78A0" w14:textId="0E76DF21" w:rsidR="001E7F17" w:rsidRPr="002B4807" w:rsidRDefault="008C1764" w:rsidP="00207DB4">
      <w:pPr>
        <w:pStyle w:val="ListParagraph"/>
        <w:spacing w:line="360" w:lineRule="auto"/>
        <w:ind w:left="0"/>
        <w:jc w:val="both"/>
        <w:rPr>
          <w:sz w:val="28"/>
          <w:szCs w:val="28"/>
          <w:lang w:val="en-US"/>
        </w:rPr>
      </w:pPr>
      <w:r w:rsidRPr="002B4807">
        <w:rPr>
          <w:sz w:val="28"/>
          <w:szCs w:val="28"/>
          <w:lang w:val="en-US"/>
        </w:rPr>
        <w:t>[22]</w:t>
      </w:r>
      <w:r w:rsidRPr="002B4807">
        <w:rPr>
          <w:sz w:val="28"/>
          <w:szCs w:val="28"/>
          <w:lang w:val="en-US"/>
        </w:rPr>
        <w:tab/>
      </w:r>
      <w:r w:rsidR="00BC44B8" w:rsidRPr="002B4807">
        <w:rPr>
          <w:sz w:val="28"/>
          <w:szCs w:val="28"/>
          <w:lang w:val="en-US"/>
        </w:rPr>
        <w:t xml:space="preserve">The interpretation of clause P lies at </w:t>
      </w:r>
      <w:r w:rsidR="006E1744" w:rsidRPr="002B4807">
        <w:rPr>
          <w:sz w:val="28"/>
          <w:szCs w:val="28"/>
          <w:lang w:val="en-US"/>
        </w:rPr>
        <w:t xml:space="preserve">the </w:t>
      </w:r>
      <w:r w:rsidR="00BC44B8" w:rsidRPr="002B4807">
        <w:rPr>
          <w:sz w:val="28"/>
          <w:szCs w:val="28"/>
          <w:lang w:val="en-US"/>
        </w:rPr>
        <w:t xml:space="preserve">heart of this matter. Both parties </w:t>
      </w:r>
      <w:r w:rsidR="00377367" w:rsidRPr="002B4807">
        <w:rPr>
          <w:sz w:val="28"/>
          <w:szCs w:val="28"/>
          <w:lang w:val="en-US"/>
        </w:rPr>
        <w:t xml:space="preserve">submitted as much. To the extent that the </w:t>
      </w:r>
      <w:r w:rsidR="008A23D0" w:rsidRPr="002B4807">
        <w:rPr>
          <w:sz w:val="28"/>
          <w:szCs w:val="28"/>
          <w:lang w:val="en-US"/>
        </w:rPr>
        <w:t>h</w:t>
      </w:r>
      <w:r w:rsidR="00BC44B8" w:rsidRPr="002B4807">
        <w:rPr>
          <w:sz w:val="28"/>
          <w:szCs w:val="28"/>
          <w:lang w:val="en-US"/>
        </w:rPr>
        <w:t xml:space="preserve">igh </w:t>
      </w:r>
      <w:r w:rsidR="008A23D0" w:rsidRPr="002B4807">
        <w:rPr>
          <w:sz w:val="28"/>
          <w:szCs w:val="28"/>
          <w:lang w:val="en-US"/>
        </w:rPr>
        <w:t>c</w:t>
      </w:r>
      <w:r w:rsidR="00BC44B8" w:rsidRPr="002B4807">
        <w:rPr>
          <w:sz w:val="28"/>
          <w:szCs w:val="28"/>
          <w:lang w:val="en-US"/>
        </w:rPr>
        <w:t>ourt did not</w:t>
      </w:r>
      <w:r w:rsidR="00377367" w:rsidRPr="002B4807">
        <w:rPr>
          <w:sz w:val="28"/>
          <w:szCs w:val="28"/>
          <w:lang w:val="en-US"/>
        </w:rPr>
        <w:t xml:space="preserve"> interpret clause P with regard to the</w:t>
      </w:r>
      <w:r w:rsidR="00487F5A" w:rsidRPr="002B4807">
        <w:rPr>
          <w:sz w:val="28"/>
          <w:szCs w:val="28"/>
          <w:lang w:val="en-US"/>
        </w:rPr>
        <w:t xml:space="preserve"> grammatical meaning of the words used therein in light of the context, purpose and the</w:t>
      </w:r>
      <w:r w:rsidR="00377367" w:rsidRPr="002B4807">
        <w:rPr>
          <w:sz w:val="28"/>
          <w:szCs w:val="28"/>
          <w:lang w:val="en-US"/>
        </w:rPr>
        <w:t xml:space="preserve"> background circumstances</w:t>
      </w:r>
      <w:r w:rsidR="006E1744" w:rsidRPr="002B4807">
        <w:rPr>
          <w:sz w:val="28"/>
          <w:szCs w:val="28"/>
          <w:lang w:val="en-US"/>
        </w:rPr>
        <w:t xml:space="preserve"> </w:t>
      </w:r>
      <w:r w:rsidR="00487F5A" w:rsidRPr="002B4807">
        <w:rPr>
          <w:sz w:val="28"/>
          <w:szCs w:val="28"/>
          <w:lang w:val="en-US"/>
        </w:rPr>
        <w:t>under which the servitude creating contract</w:t>
      </w:r>
      <w:r w:rsidR="00F91D43" w:rsidRPr="002B4807">
        <w:rPr>
          <w:sz w:val="28"/>
          <w:szCs w:val="28"/>
          <w:lang w:val="en-US"/>
        </w:rPr>
        <w:t xml:space="preserve"> was made between </w:t>
      </w:r>
      <w:r w:rsidR="0042184E" w:rsidRPr="002B4807">
        <w:rPr>
          <w:sz w:val="28"/>
          <w:szCs w:val="28"/>
          <w:lang w:val="en-US"/>
        </w:rPr>
        <w:t xml:space="preserve">Ms Berzack </w:t>
      </w:r>
      <w:r w:rsidR="00F91D43" w:rsidRPr="002B4807">
        <w:rPr>
          <w:sz w:val="28"/>
          <w:szCs w:val="28"/>
          <w:lang w:val="en-US"/>
        </w:rPr>
        <w:t>and</w:t>
      </w:r>
      <w:r w:rsidR="006E1744" w:rsidRPr="002B4807">
        <w:rPr>
          <w:sz w:val="28"/>
          <w:szCs w:val="28"/>
          <w:lang w:val="en-US"/>
        </w:rPr>
        <w:t xml:space="preserve"> Mr Wellens in 198</w:t>
      </w:r>
      <w:r w:rsidR="00DE7D19" w:rsidRPr="002B4807">
        <w:rPr>
          <w:sz w:val="28"/>
          <w:szCs w:val="28"/>
          <w:lang w:val="en-US"/>
        </w:rPr>
        <w:t>3</w:t>
      </w:r>
      <w:r w:rsidR="00F91D43" w:rsidRPr="002B4807">
        <w:rPr>
          <w:sz w:val="28"/>
          <w:szCs w:val="28"/>
          <w:lang w:val="en-US"/>
        </w:rPr>
        <w:t xml:space="preserve">, </w:t>
      </w:r>
      <w:r w:rsidR="006E1744" w:rsidRPr="002B4807">
        <w:rPr>
          <w:sz w:val="28"/>
          <w:szCs w:val="28"/>
          <w:lang w:val="en-US"/>
        </w:rPr>
        <w:t>it erred.</w:t>
      </w:r>
      <w:r w:rsidR="00DE7D19" w:rsidRPr="002B4807">
        <w:rPr>
          <w:sz w:val="28"/>
          <w:szCs w:val="28"/>
          <w:lang w:val="en-US"/>
        </w:rPr>
        <w:t xml:space="preserve"> It </w:t>
      </w:r>
      <w:r w:rsidR="00AF48FC" w:rsidRPr="002B4807">
        <w:rPr>
          <w:sz w:val="28"/>
          <w:szCs w:val="28"/>
          <w:lang w:val="en-US"/>
        </w:rPr>
        <w:t>applied</w:t>
      </w:r>
      <w:r w:rsidR="00DE7D19" w:rsidRPr="002B4807">
        <w:rPr>
          <w:sz w:val="28"/>
          <w:szCs w:val="28"/>
          <w:lang w:val="en-US"/>
        </w:rPr>
        <w:t xml:space="preserve"> a narrow</w:t>
      </w:r>
      <w:r w:rsidR="00AF48FC" w:rsidRPr="002B4807">
        <w:rPr>
          <w:sz w:val="28"/>
          <w:szCs w:val="28"/>
          <w:lang w:val="en-US"/>
        </w:rPr>
        <w:t xml:space="preserve"> and sequestered method of </w:t>
      </w:r>
      <w:r w:rsidR="00DE7D19" w:rsidRPr="002B4807">
        <w:rPr>
          <w:sz w:val="28"/>
          <w:szCs w:val="28"/>
          <w:lang w:val="en-US"/>
        </w:rPr>
        <w:t xml:space="preserve"> </w:t>
      </w:r>
      <w:r w:rsidR="00CB78A4" w:rsidRPr="002B4807">
        <w:rPr>
          <w:sz w:val="28"/>
          <w:szCs w:val="28"/>
          <w:lang w:val="en-US"/>
        </w:rPr>
        <w:t xml:space="preserve"> interpretation</w:t>
      </w:r>
      <w:r w:rsidR="00F91D43" w:rsidRPr="002B4807">
        <w:rPr>
          <w:sz w:val="28"/>
          <w:szCs w:val="28"/>
          <w:lang w:val="en-US"/>
        </w:rPr>
        <w:t>,</w:t>
      </w:r>
      <w:r w:rsidR="00CB78A4" w:rsidRPr="002B4807">
        <w:rPr>
          <w:sz w:val="28"/>
          <w:szCs w:val="28"/>
          <w:lang w:val="en-US"/>
        </w:rPr>
        <w:t xml:space="preserve"> </w:t>
      </w:r>
      <w:r w:rsidR="00AF48FC" w:rsidRPr="002B4807">
        <w:rPr>
          <w:sz w:val="28"/>
          <w:szCs w:val="28"/>
          <w:lang w:val="en-US"/>
        </w:rPr>
        <w:t>misconstrued</w:t>
      </w:r>
      <w:r w:rsidR="00CB78A4" w:rsidRPr="002B4807">
        <w:rPr>
          <w:sz w:val="28"/>
          <w:szCs w:val="28"/>
          <w:lang w:val="en-US"/>
        </w:rPr>
        <w:t xml:space="preserve"> </w:t>
      </w:r>
      <w:r w:rsidR="00F91D43" w:rsidRPr="002B4807">
        <w:rPr>
          <w:sz w:val="28"/>
          <w:szCs w:val="28"/>
          <w:lang w:val="en-US"/>
        </w:rPr>
        <w:t xml:space="preserve">the </w:t>
      </w:r>
      <w:r w:rsidR="00CB78A4" w:rsidRPr="002B4807">
        <w:rPr>
          <w:sz w:val="28"/>
          <w:szCs w:val="28"/>
          <w:lang w:val="en-US"/>
        </w:rPr>
        <w:t xml:space="preserve">meaning of </w:t>
      </w:r>
      <w:r w:rsidR="00CB78A4" w:rsidRPr="002B4807">
        <w:rPr>
          <w:i/>
          <w:iCs/>
          <w:sz w:val="28"/>
          <w:szCs w:val="28"/>
          <w:lang w:val="en-US"/>
        </w:rPr>
        <w:t>utilitas</w:t>
      </w:r>
      <w:r w:rsidR="00F91D43" w:rsidRPr="002B4807">
        <w:rPr>
          <w:sz w:val="28"/>
          <w:szCs w:val="28"/>
          <w:lang w:val="en-US"/>
        </w:rPr>
        <w:t>, excised the aspects of what a praedial servitude</w:t>
      </w:r>
      <w:r w:rsidR="00CD244D" w:rsidRPr="002B4807">
        <w:rPr>
          <w:sz w:val="28"/>
          <w:szCs w:val="28"/>
          <w:lang w:val="en-US"/>
        </w:rPr>
        <w:t xml:space="preserve"> was</w:t>
      </w:r>
      <w:r w:rsidR="003518B0" w:rsidRPr="002B4807">
        <w:rPr>
          <w:sz w:val="28"/>
          <w:szCs w:val="28"/>
          <w:lang w:val="en-US"/>
        </w:rPr>
        <w:t>,</w:t>
      </w:r>
      <w:r w:rsidR="00CB78A4" w:rsidRPr="002B4807">
        <w:rPr>
          <w:i/>
          <w:iCs/>
          <w:sz w:val="28"/>
          <w:szCs w:val="28"/>
          <w:lang w:val="en-US"/>
        </w:rPr>
        <w:t xml:space="preserve"> </w:t>
      </w:r>
      <w:r w:rsidR="00CD244D" w:rsidRPr="002B4807">
        <w:rPr>
          <w:sz w:val="28"/>
          <w:szCs w:val="28"/>
          <w:lang w:val="en-US"/>
        </w:rPr>
        <w:t xml:space="preserve">which </w:t>
      </w:r>
      <w:r w:rsidR="00F91D43" w:rsidRPr="002B4807">
        <w:rPr>
          <w:sz w:val="28"/>
          <w:szCs w:val="28"/>
          <w:lang w:val="en-US"/>
        </w:rPr>
        <w:t>result</w:t>
      </w:r>
      <w:r w:rsidR="00CD244D" w:rsidRPr="002B4807">
        <w:rPr>
          <w:sz w:val="28"/>
          <w:szCs w:val="28"/>
          <w:lang w:val="en-US"/>
        </w:rPr>
        <w:t>ed</w:t>
      </w:r>
      <w:r w:rsidR="00F91D43" w:rsidRPr="002B4807">
        <w:rPr>
          <w:sz w:val="28"/>
          <w:szCs w:val="28"/>
          <w:lang w:val="en-US"/>
        </w:rPr>
        <w:t xml:space="preserve"> </w:t>
      </w:r>
      <w:r w:rsidR="003518B0" w:rsidRPr="002B4807">
        <w:rPr>
          <w:sz w:val="28"/>
          <w:szCs w:val="28"/>
          <w:lang w:val="en-US"/>
        </w:rPr>
        <w:t>in</w:t>
      </w:r>
      <w:r w:rsidR="00CB78A4" w:rsidRPr="002B4807">
        <w:rPr>
          <w:sz w:val="28"/>
          <w:szCs w:val="28"/>
          <w:lang w:val="en-US"/>
        </w:rPr>
        <w:t xml:space="preserve"> a constrained meaning</w:t>
      </w:r>
      <w:r w:rsidR="00FD59DB" w:rsidRPr="002B4807">
        <w:rPr>
          <w:sz w:val="28"/>
          <w:szCs w:val="28"/>
          <w:lang w:val="en-US"/>
        </w:rPr>
        <w:t xml:space="preserve"> </w:t>
      </w:r>
      <w:r w:rsidR="00F91D43" w:rsidRPr="002B4807">
        <w:rPr>
          <w:sz w:val="28"/>
          <w:szCs w:val="28"/>
          <w:lang w:val="en-US"/>
        </w:rPr>
        <w:t xml:space="preserve">given </w:t>
      </w:r>
      <w:r w:rsidR="00FD59DB" w:rsidRPr="002B4807">
        <w:rPr>
          <w:sz w:val="28"/>
          <w:szCs w:val="28"/>
          <w:lang w:val="en-US"/>
        </w:rPr>
        <w:lastRenderedPageBreak/>
        <w:t xml:space="preserve">to each of those </w:t>
      </w:r>
      <w:r w:rsidR="008A23D0" w:rsidRPr="002B4807">
        <w:rPr>
          <w:sz w:val="28"/>
          <w:szCs w:val="28"/>
          <w:lang w:val="en-US"/>
        </w:rPr>
        <w:t>subclauses</w:t>
      </w:r>
      <w:r w:rsidR="00CE40C1" w:rsidRPr="002B4807">
        <w:rPr>
          <w:sz w:val="28"/>
          <w:szCs w:val="28"/>
          <w:lang w:val="en-US"/>
        </w:rPr>
        <w:t xml:space="preserve"> and</w:t>
      </w:r>
      <w:r w:rsidR="00CB78A4" w:rsidRPr="002B4807">
        <w:rPr>
          <w:sz w:val="28"/>
          <w:szCs w:val="28"/>
          <w:lang w:val="en-US"/>
        </w:rPr>
        <w:t xml:space="preserve"> </w:t>
      </w:r>
      <w:r w:rsidR="00CD244D" w:rsidRPr="002B4807">
        <w:rPr>
          <w:sz w:val="28"/>
          <w:szCs w:val="28"/>
          <w:lang w:val="en-US"/>
        </w:rPr>
        <w:t>mischaracterising</w:t>
      </w:r>
      <w:r w:rsidR="00CB78A4" w:rsidRPr="002B4807">
        <w:rPr>
          <w:sz w:val="28"/>
          <w:szCs w:val="28"/>
          <w:lang w:val="en-US"/>
        </w:rPr>
        <w:t xml:space="preserve"> the praedial servitude as a personal servitude of </w:t>
      </w:r>
      <w:r w:rsidR="008C4FA9" w:rsidRPr="002B4807">
        <w:rPr>
          <w:i/>
          <w:iCs/>
          <w:sz w:val="28"/>
          <w:szCs w:val="28"/>
          <w:lang w:val="en-US"/>
        </w:rPr>
        <w:t>usus</w:t>
      </w:r>
      <w:r w:rsidR="008C4FA9" w:rsidRPr="002B4807">
        <w:rPr>
          <w:sz w:val="28"/>
          <w:szCs w:val="28"/>
          <w:lang w:val="en-US"/>
        </w:rPr>
        <w:t xml:space="preserve">. Immediately </w:t>
      </w:r>
      <w:r w:rsidR="008C179F" w:rsidRPr="002B4807">
        <w:rPr>
          <w:sz w:val="28"/>
          <w:szCs w:val="28"/>
          <w:lang w:val="en-US"/>
        </w:rPr>
        <w:t>the</w:t>
      </w:r>
      <w:r w:rsidR="008C4FA9" w:rsidRPr="002B4807">
        <w:rPr>
          <w:sz w:val="28"/>
          <w:szCs w:val="28"/>
          <w:lang w:val="en-US"/>
        </w:rPr>
        <w:t xml:space="preserve"> servitude was so construed, an opportunity was missed to unravel the</w:t>
      </w:r>
      <w:r w:rsidR="008C4FA9" w:rsidRPr="002B4807">
        <w:rPr>
          <w:i/>
          <w:iCs/>
          <w:sz w:val="28"/>
          <w:szCs w:val="28"/>
          <w:lang w:val="en-US"/>
        </w:rPr>
        <w:t xml:space="preserve"> causa et origo</w:t>
      </w:r>
      <w:r w:rsidR="008C4FA9" w:rsidRPr="002B4807">
        <w:rPr>
          <w:sz w:val="28"/>
          <w:szCs w:val="28"/>
          <w:lang w:val="en-US"/>
        </w:rPr>
        <w:t xml:space="preserve"> of the contract that was concluded </w:t>
      </w:r>
      <w:r w:rsidR="00D26BFA" w:rsidRPr="002B4807">
        <w:rPr>
          <w:sz w:val="28"/>
          <w:szCs w:val="28"/>
          <w:lang w:val="en-US"/>
        </w:rPr>
        <w:t>between Ms</w:t>
      </w:r>
      <w:r w:rsidR="008C4FA9" w:rsidRPr="002B4807">
        <w:rPr>
          <w:sz w:val="28"/>
          <w:szCs w:val="28"/>
          <w:lang w:val="en-US"/>
        </w:rPr>
        <w:t xml:space="preserve"> Berzack and </w:t>
      </w:r>
      <w:r w:rsidR="003159AE" w:rsidRPr="002B4807">
        <w:rPr>
          <w:sz w:val="28"/>
          <w:szCs w:val="28"/>
          <w:lang w:val="en-US"/>
        </w:rPr>
        <w:t>Mr Wellens</w:t>
      </w:r>
      <w:r w:rsidR="008C4FA9" w:rsidRPr="002B4807">
        <w:rPr>
          <w:sz w:val="28"/>
          <w:szCs w:val="28"/>
          <w:lang w:val="en-US"/>
        </w:rPr>
        <w:t xml:space="preserve"> in 1983.</w:t>
      </w:r>
      <w:r w:rsidR="008C179F" w:rsidRPr="002B4807">
        <w:rPr>
          <w:sz w:val="28"/>
          <w:szCs w:val="28"/>
          <w:lang w:val="en-US"/>
        </w:rPr>
        <w:t xml:space="preserve"> The </w:t>
      </w:r>
      <w:r w:rsidR="00AF48FC" w:rsidRPr="002B4807">
        <w:rPr>
          <w:sz w:val="28"/>
          <w:szCs w:val="28"/>
          <w:lang w:val="en-US"/>
        </w:rPr>
        <w:t xml:space="preserve">process of </w:t>
      </w:r>
      <w:r w:rsidR="008C179F" w:rsidRPr="002B4807">
        <w:rPr>
          <w:sz w:val="28"/>
          <w:szCs w:val="28"/>
          <w:lang w:val="en-US"/>
        </w:rPr>
        <w:t>separatin</w:t>
      </w:r>
      <w:r w:rsidR="00AF48FC" w:rsidRPr="002B4807">
        <w:rPr>
          <w:sz w:val="28"/>
          <w:szCs w:val="28"/>
          <w:lang w:val="en-US"/>
        </w:rPr>
        <w:t>g and excising the aspects of clause P</w:t>
      </w:r>
      <w:r w:rsidR="008C179F" w:rsidRPr="002B4807">
        <w:rPr>
          <w:sz w:val="28"/>
          <w:szCs w:val="28"/>
          <w:lang w:val="en-US"/>
        </w:rPr>
        <w:t xml:space="preserve"> </w:t>
      </w:r>
      <w:r w:rsidR="009C3536" w:rsidRPr="002B4807">
        <w:rPr>
          <w:sz w:val="28"/>
          <w:szCs w:val="28"/>
          <w:lang w:val="en-US"/>
        </w:rPr>
        <w:t>is</w:t>
      </w:r>
      <w:r w:rsidR="00F24D64" w:rsidRPr="002B4807">
        <w:rPr>
          <w:sz w:val="28"/>
          <w:szCs w:val="28"/>
          <w:lang w:val="en-US"/>
        </w:rPr>
        <w:t xml:space="preserve"> an isolationist approach to interpreting a contract that is not </w:t>
      </w:r>
      <w:r w:rsidR="0042184E" w:rsidRPr="002B4807">
        <w:rPr>
          <w:sz w:val="28"/>
          <w:szCs w:val="28"/>
          <w:lang w:val="en-US"/>
        </w:rPr>
        <w:t>consonant with what</w:t>
      </w:r>
      <w:r w:rsidR="009C3536" w:rsidRPr="002B4807">
        <w:rPr>
          <w:sz w:val="28"/>
          <w:szCs w:val="28"/>
          <w:lang w:val="en-US"/>
        </w:rPr>
        <w:t xml:space="preserve"> this Court </w:t>
      </w:r>
      <w:r w:rsidR="0042184E" w:rsidRPr="002B4807">
        <w:rPr>
          <w:sz w:val="28"/>
          <w:szCs w:val="28"/>
          <w:lang w:val="en-US"/>
        </w:rPr>
        <w:t xml:space="preserve">propounded in </w:t>
      </w:r>
      <w:r w:rsidR="009C3536" w:rsidRPr="002B4807">
        <w:rPr>
          <w:i/>
          <w:iCs/>
          <w:sz w:val="28"/>
          <w:szCs w:val="28"/>
          <w:lang w:val="en-US"/>
        </w:rPr>
        <w:t>Endumeni</w:t>
      </w:r>
      <w:r w:rsidR="009C3536" w:rsidRPr="002B4807">
        <w:rPr>
          <w:sz w:val="28"/>
          <w:szCs w:val="28"/>
          <w:lang w:val="en-US"/>
        </w:rPr>
        <w:t xml:space="preserve">. </w:t>
      </w:r>
      <w:r w:rsidR="0042184E" w:rsidRPr="002B4807">
        <w:rPr>
          <w:sz w:val="28"/>
          <w:szCs w:val="28"/>
          <w:lang w:val="en-US"/>
        </w:rPr>
        <w:t xml:space="preserve">Nor </w:t>
      </w:r>
      <w:r w:rsidR="009C3536" w:rsidRPr="002B4807">
        <w:rPr>
          <w:sz w:val="28"/>
          <w:szCs w:val="28"/>
          <w:lang w:val="en-US"/>
        </w:rPr>
        <w:t>do</w:t>
      </w:r>
      <w:r w:rsidR="00F450BC" w:rsidRPr="002B4807">
        <w:rPr>
          <w:sz w:val="28"/>
          <w:szCs w:val="28"/>
          <w:lang w:val="en-US"/>
        </w:rPr>
        <w:t xml:space="preserve"> I</w:t>
      </w:r>
      <w:r w:rsidR="009C3536" w:rsidRPr="002B4807">
        <w:rPr>
          <w:sz w:val="28"/>
          <w:szCs w:val="28"/>
          <w:lang w:val="en-US"/>
        </w:rPr>
        <w:t xml:space="preserve"> agree with counsel for </w:t>
      </w:r>
      <w:r w:rsidR="0042184E" w:rsidRPr="002B4807">
        <w:rPr>
          <w:sz w:val="28"/>
          <w:szCs w:val="28"/>
          <w:lang w:val="en-US"/>
        </w:rPr>
        <w:t>Huntrex 277</w:t>
      </w:r>
      <w:r w:rsidR="009C3536" w:rsidRPr="002B4807">
        <w:rPr>
          <w:sz w:val="28"/>
          <w:szCs w:val="28"/>
          <w:lang w:val="en-US"/>
        </w:rPr>
        <w:t xml:space="preserve"> that the approach </w:t>
      </w:r>
      <w:r w:rsidR="003D5DAF" w:rsidRPr="002B4807">
        <w:rPr>
          <w:sz w:val="28"/>
          <w:szCs w:val="28"/>
          <w:lang w:val="en-US"/>
        </w:rPr>
        <w:t>applied</w:t>
      </w:r>
      <w:r w:rsidR="009C3536" w:rsidRPr="002B4807">
        <w:rPr>
          <w:sz w:val="28"/>
          <w:szCs w:val="28"/>
          <w:lang w:val="en-US"/>
        </w:rPr>
        <w:t xml:space="preserve"> by this </w:t>
      </w:r>
      <w:r w:rsidR="00F450BC" w:rsidRPr="002B4807">
        <w:rPr>
          <w:sz w:val="28"/>
          <w:szCs w:val="28"/>
          <w:lang w:val="en-US"/>
        </w:rPr>
        <w:t xml:space="preserve">Court in </w:t>
      </w:r>
      <w:r w:rsidR="00F450BC" w:rsidRPr="002B4807">
        <w:rPr>
          <w:i/>
          <w:iCs/>
          <w:sz w:val="28"/>
          <w:szCs w:val="28"/>
          <w:lang w:val="en-US"/>
        </w:rPr>
        <w:t>Bondev</w:t>
      </w:r>
      <w:r w:rsidR="003D5DAF" w:rsidRPr="002B4807">
        <w:rPr>
          <w:i/>
          <w:iCs/>
          <w:sz w:val="28"/>
          <w:szCs w:val="28"/>
          <w:lang w:val="en-US"/>
        </w:rPr>
        <w:t xml:space="preserve"> </w:t>
      </w:r>
      <w:r w:rsidR="003D5DAF" w:rsidRPr="002B4807">
        <w:rPr>
          <w:sz w:val="28"/>
          <w:szCs w:val="28"/>
          <w:lang w:val="en-US"/>
        </w:rPr>
        <w:t xml:space="preserve">finds application in this case. </w:t>
      </w:r>
    </w:p>
    <w:p w14:paraId="3756801F" w14:textId="77777777" w:rsidR="001E7F17" w:rsidRPr="002B4807" w:rsidRDefault="001E7F17" w:rsidP="00207DB4">
      <w:pPr>
        <w:spacing w:line="360" w:lineRule="auto"/>
        <w:jc w:val="both"/>
        <w:rPr>
          <w:sz w:val="28"/>
          <w:szCs w:val="28"/>
          <w:lang w:val="en-US"/>
        </w:rPr>
      </w:pPr>
    </w:p>
    <w:p w14:paraId="0C7DF19E" w14:textId="77777777" w:rsidR="006E620A" w:rsidRPr="002B4807" w:rsidRDefault="008C1764" w:rsidP="00207DB4">
      <w:pPr>
        <w:pStyle w:val="ListParagraph"/>
        <w:spacing w:line="360" w:lineRule="auto"/>
        <w:ind w:left="0"/>
        <w:jc w:val="both"/>
        <w:rPr>
          <w:sz w:val="28"/>
          <w:szCs w:val="28"/>
          <w:lang w:val="en-US"/>
        </w:rPr>
      </w:pPr>
      <w:r w:rsidRPr="002B4807">
        <w:rPr>
          <w:sz w:val="28"/>
          <w:szCs w:val="28"/>
          <w:lang w:val="en-US"/>
        </w:rPr>
        <w:t>[23]</w:t>
      </w:r>
      <w:r w:rsidRPr="002B4807">
        <w:rPr>
          <w:sz w:val="28"/>
          <w:szCs w:val="28"/>
          <w:lang w:val="en-US"/>
        </w:rPr>
        <w:tab/>
      </w:r>
      <w:r w:rsidR="003D5DAF" w:rsidRPr="002B4807">
        <w:rPr>
          <w:sz w:val="28"/>
          <w:szCs w:val="28"/>
          <w:lang w:val="en-US"/>
        </w:rPr>
        <w:t xml:space="preserve">There, </w:t>
      </w:r>
      <w:r w:rsidR="00E748A8" w:rsidRPr="002B4807">
        <w:rPr>
          <w:sz w:val="28"/>
          <w:szCs w:val="28"/>
          <w:lang w:val="en-US"/>
        </w:rPr>
        <w:t>it</w:t>
      </w:r>
      <w:r w:rsidR="009A13A8" w:rsidRPr="002B4807">
        <w:rPr>
          <w:sz w:val="28"/>
          <w:szCs w:val="28"/>
          <w:lang w:val="en-US"/>
        </w:rPr>
        <w:t xml:space="preserve"> </w:t>
      </w:r>
      <w:r w:rsidR="00E748A8" w:rsidRPr="002B4807">
        <w:rPr>
          <w:sz w:val="28"/>
          <w:szCs w:val="28"/>
          <w:lang w:val="en-US"/>
        </w:rPr>
        <w:t xml:space="preserve">was held that </w:t>
      </w:r>
      <w:r w:rsidR="00A96BEF" w:rsidRPr="002B4807">
        <w:rPr>
          <w:sz w:val="28"/>
          <w:szCs w:val="28"/>
          <w:lang w:val="en-US"/>
        </w:rPr>
        <w:t>although t</w:t>
      </w:r>
      <w:r w:rsidR="00E748A8" w:rsidRPr="002B4807">
        <w:rPr>
          <w:sz w:val="28"/>
          <w:szCs w:val="28"/>
          <w:lang w:val="en-US"/>
        </w:rPr>
        <w:t xml:space="preserve">he </w:t>
      </w:r>
      <w:r w:rsidR="009D55E5" w:rsidRPr="002B4807">
        <w:rPr>
          <w:sz w:val="28"/>
          <w:szCs w:val="28"/>
          <w:lang w:val="en-US"/>
        </w:rPr>
        <w:t>conditions</w:t>
      </w:r>
      <w:r w:rsidR="00611177" w:rsidRPr="002B4807">
        <w:rPr>
          <w:sz w:val="28"/>
          <w:szCs w:val="28"/>
          <w:lang w:val="en-US"/>
        </w:rPr>
        <w:t xml:space="preserve"> in a title deed of land transferred by Bondev</w:t>
      </w:r>
      <w:r w:rsidR="00611177" w:rsidRPr="002B4807">
        <w:rPr>
          <w:i/>
          <w:iCs/>
          <w:sz w:val="28"/>
          <w:szCs w:val="28"/>
          <w:lang w:val="en-US"/>
        </w:rPr>
        <w:t xml:space="preserve"> </w:t>
      </w:r>
      <w:r w:rsidR="00611177" w:rsidRPr="002B4807">
        <w:rPr>
          <w:sz w:val="28"/>
          <w:szCs w:val="28"/>
          <w:lang w:val="en-US"/>
        </w:rPr>
        <w:t>to each of the respondents entitl</w:t>
      </w:r>
      <w:r w:rsidR="00222E2B" w:rsidRPr="002B4807">
        <w:rPr>
          <w:sz w:val="28"/>
          <w:szCs w:val="28"/>
          <w:lang w:val="en-US"/>
        </w:rPr>
        <w:t>ing</w:t>
      </w:r>
      <w:r w:rsidR="00611177" w:rsidRPr="002B4807">
        <w:rPr>
          <w:sz w:val="28"/>
          <w:szCs w:val="28"/>
          <w:lang w:val="en-US"/>
        </w:rPr>
        <w:t xml:space="preserve"> </w:t>
      </w:r>
      <w:r w:rsidR="00611177" w:rsidRPr="002B4807">
        <w:rPr>
          <w:iCs/>
          <w:sz w:val="28"/>
          <w:szCs w:val="28"/>
          <w:lang w:val="en-US"/>
        </w:rPr>
        <w:t>Bondev</w:t>
      </w:r>
      <w:r w:rsidR="00611177" w:rsidRPr="002B4807">
        <w:rPr>
          <w:i/>
          <w:iCs/>
          <w:sz w:val="28"/>
          <w:szCs w:val="28"/>
          <w:lang w:val="en-US"/>
        </w:rPr>
        <w:t xml:space="preserve"> </w:t>
      </w:r>
      <w:r w:rsidR="00611177" w:rsidRPr="002B4807">
        <w:rPr>
          <w:sz w:val="28"/>
          <w:szCs w:val="28"/>
          <w:lang w:val="en-US"/>
        </w:rPr>
        <w:t>to claim re-transfer against payments of the original purchase price</w:t>
      </w:r>
      <w:r w:rsidR="00222E2B" w:rsidRPr="002B4807">
        <w:rPr>
          <w:sz w:val="28"/>
          <w:szCs w:val="28"/>
          <w:lang w:val="en-US"/>
        </w:rPr>
        <w:t xml:space="preserve"> if neither the transferee nor their successors</w:t>
      </w:r>
      <w:r w:rsidR="003879EF" w:rsidRPr="002B4807">
        <w:rPr>
          <w:sz w:val="28"/>
          <w:szCs w:val="28"/>
          <w:lang w:val="en-US"/>
        </w:rPr>
        <w:t>-</w:t>
      </w:r>
      <w:r w:rsidR="00222E2B" w:rsidRPr="002B4807">
        <w:rPr>
          <w:sz w:val="28"/>
          <w:szCs w:val="28"/>
          <w:lang w:val="en-US"/>
        </w:rPr>
        <w:t>in</w:t>
      </w:r>
      <w:r w:rsidR="003879EF" w:rsidRPr="002B4807">
        <w:rPr>
          <w:sz w:val="28"/>
          <w:szCs w:val="28"/>
          <w:lang w:val="en-US"/>
        </w:rPr>
        <w:t>-</w:t>
      </w:r>
      <w:r w:rsidR="00222E2B" w:rsidRPr="002B4807">
        <w:rPr>
          <w:sz w:val="28"/>
          <w:szCs w:val="28"/>
          <w:lang w:val="en-US"/>
        </w:rPr>
        <w:t>title erect a dwelling thereon within a certain period</w:t>
      </w:r>
      <w:r w:rsidR="00E748A8" w:rsidRPr="002B4807">
        <w:rPr>
          <w:sz w:val="28"/>
          <w:szCs w:val="28"/>
          <w:lang w:val="en-US"/>
        </w:rPr>
        <w:t xml:space="preserve"> </w:t>
      </w:r>
      <w:r w:rsidR="00222E2B" w:rsidRPr="002B4807">
        <w:rPr>
          <w:sz w:val="28"/>
          <w:szCs w:val="28"/>
          <w:lang w:val="en-US"/>
        </w:rPr>
        <w:t>gave rise to b</w:t>
      </w:r>
      <w:r w:rsidR="009A13A8" w:rsidRPr="002B4807">
        <w:rPr>
          <w:sz w:val="28"/>
          <w:szCs w:val="28"/>
          <w:lang w:val="en-US"/>
        </w:rPr>
        <w:t>oth</w:t>
      </w:r>
      <w:r w:rsidR="00222E2B" w:rsidRPr="002B4807">
        <w:rPr>
          <w:sz w:val="28"/>
          <w:szCs w:val="28"/>
          <w:lang w:val="en-US"/>
        </w:rPr>
        <w:t xml:space="preserve"> a real right</w:t>
      </w:r>
      <w:r w:rsidR="002236C3" w:rsidRPr="002B4807">
        <w:rPr>
          <w:sz w:val="28"/>
          <w:szCs w:val="28"/>
          <w:lang w:val="en-US"/>
        </w:rPr>
        <w:t xml:space="preserve"> </w:t>
      </w:r>
      <w:r w:rsidR="00222E2B" w:rsidRPr="002B4807">
        <w:rPr>
          <w:sz w:val="28"/>
          <w:szCs w:val="28"/>
          <w:lang w:val="en-US"/>
        </w:rPr>
        <w:t>(to have a dwelling erected) and a personal right</w:t>
      </w:r>
      <w:r w:rsidR="002236C3" w:rsidRPr="002B4807">
        <w:rPr>
          <w:sz w:val="28"/>
          <w:szCs w:val="28"/>
          <w:lang w:val="en-US"/>
        </w:rPr>
        <w:t xml:space="preserve"> </w:t>
      </w:r>
      <w:r w:rsidR="00222E2B" w:rsidRPr="002B4807">
        <w:rPr>
          <w:sz w:val="28"/>
          <w:szCs w:val="28"/>
          <w:lang w:val="en-US"/>
        </w:rPr>
        <w:t>(to claim re</w:t>
      </w:r>
      <w:r w:rsidR="00CE40C1" w:rsidRPr="002B4807">
        <w:rPr>
          <w:sz w:val="28"/>
          <w:szCs w:val="28"/>
          <w:lang w:val="en-US"/>
        </w:rPr>
        <w:t>-</w:t>
      </w:r>
      <w:r w:rsidR="00222E2B" w:rsidRPr="002B4807">
        <w:rPr>
          <w:sz w:val="28"/>
          <w:szCs w:val="28"/>
          <w:lang w:val="en-US"/>
        </w:rPr>
        <w:t>transfer)</w:t>
      </w:r>
      <w:r w:rsidR="002236C3" w:rsidRPr="002B4807">
        <w:rPr>
          <w:sz w:val="28"/>
          <w:szCs w:val="28"/>
          <w:lang w:val="en-US"/>
        </w:rPr>
        <w:t>. Each of those</w:t>
      </w:r>
      <w:r w:rsidR="004C59F8" w:rsidRPr="002B4807">
        <w:rPr>
          <w:sz w:val="28"/>
          <w:szCs w:val="28"/>
          <w:lang w:val="en-US"/>
        </w:rPr>
        <w:t xml:space="preserve"> rights </w:t>
      </w:r>
      <w:r w:rsidR="002236C3" w:rsidRPr="002B4807">
        <w:rPr>
          <w:sz w:val="28"/>
          <w:szCs w:val="28"/>
          <w:lang w:val="en-US"/>
        </w:rPr>
        <w:t>were interpreted as they stood on the building contract. They were not denuded of their inherent</w:t>
      </w:r>
      <w:r w:rsidR="003879EF" w:rsidRPr="002B4807">
        <w:rPr>
          <w:sz w:val="28"/>
          <w:szCs w:val="28"/>
          <w:lang w:val="en-US"/>
        </w:rPr>
        <w:t xml:space="preserve"> character</w:t>
      </w:r>
      <w:r w:rsidR="00CE40C1" w:rsidRPr="002B4807">
        <w:rPr>
          <w:sz w:val="28"/>
          <w:szCs w:val="28"/>
          <w:lang w:val="en-US"/>
        </w:rPr>
        <w:t>istics</w:t>
      </w:r>
      <w:r w:rsidR="003879EF" w:rsidRPr="002B4807">
        <w:rPr>
          <w:sz w:val="28"/>
          <w:szCs w:val="28"/>
          <w:lang w:val="en-US"/>
        </w:rPr>
        <w:t xml:space="preserve"> by excision and word alteration processes that we have seen in this case. </w:t>
      </w:r>
      <w:r w:rsidR="00457051" w:rsidRPr="002B4807">
        <w:rPr>
          <w:sz w:val="28"/>
          <w:szCs w:val="28"/>
          <w:lang w:val="en-US"/>
        </w:rPr>
        <w:t>To the extent that only the right to claim re</w:t>
      </w:r>
      <w:r w:rsidR="00DC4862" w:rsidRPr="002B4807">
        <w:rPr>
          <w:sz w:val="28"/>
          <w:szCs w:val="28"/>
          <w:lang w:val="en-US"/>
        </w:rPr>
        <w:t>-</w:t>
      </w:r>
      <w:r w:rsidR="00457051" w:rsidRPr="002B4807">
        <w:rPr>
          <w:sz w:val="28"/>
          <w:szCs w:val="28"/>
          <w:lang w:val="en-US"/>
        </w:rPr>
        <w:t>transfer was susceptible to prescription in terms of the provisions of s</w:t>
      </w:r>
      <w:r w:rsidR="008A23D0" w:rsidRPr="002B4807">
        <w:rPr>
          <w:sz w:val="28"/>
          <w:szCs w:val="28"/>
          <w:lang w:val="en-US"/>
        </w:rPr>
        <w:t xml:space="preserve"> </w:t>
      </w:r>
      <w:r w:rsidR="00457051" w:rsidRPr="002B4807">
        <w:rPr>
          <w:sz w:val="28"/>
          <w:szCs w:val="28"/>
          <w:lang w:val="en-US"/>
        </w:rPr>
        <w:t>11</w:t>
      </w:r>
      <w:r w:rsidR="00457051" w:rsidRPr="002B4807">
        <w:rPr>
          <w:i/>
          <w:sz w:val="28"/>
          <w:szCs w:val="28"/>
          <w:lang w:val="en-US"/>
        </w:rPr>
        <w:t>(d)</w:t>
      </w:r>
      <w:r w:rsidR="00457051" w:rsidRPr="002B4807">
        <w:rPr>
          <w:sz w:val="28"/>
          <w:szCs w:val="28"/>
          <w:lang w:val="en-US"/>
        </w:rPr>
        <w:t xml:space="preserve"> of the Prescription Act,</w:t>
      </w:r>
      <w:r w:rsidR="00DC4862" w:rsidRPr="002B4807">
        <w:rPr>
          <w:sz w:val="28"/>
          <w:szCs w:val="28"/>
          <w:lang w:val="en-US"/>
        </w:rPr>
        <w:t xml:space="preserve"> </w:t>
      </w:r>
      <w:r w:rsidR="00457051" w:rsidRPr="002B4807">
        <w:rPr>
          <w:sz w:val="28"/>
          <w:szCs w:val="28"/>
          <w:lang w:val="en-US"/>
        </w:rPr>
        <w:t>those rights w</w:t>
      </w:r>
      <w:r w:rsidR="006E620A" w:rsidRPr="002B4807">
        <w:rPr>
          <w:sz w:val="28"/>
          <w:szCs w:val="28"/>
          <w:lang w:val="en-US"/>
        </w:rPr>
        <w:t>ere</w:t>
      </w:r>
      <w:r w:rsidR="00457051" w:rsidRPr="002B4807">
        <w:rPr>
          <w:sz w:val="28"/>
          <w:szCs w:val="28"/>
          <w:lang w:val="en-US"/>
        </w:rPr>
        <w:t xml:space="preserve"> found </w:t>
      </w:r>
      <w:r w:rsidR="006E620A" w:rsidRPr="002B4807">
        <w:rPr>
          <w:sz w:val="28"/>
          <w:szCs w:val="28"/>
          <w:lang w:val="en-US"/>
        </w:rPr>
        <w:t>not to be inextricably wound up together</w:t>
      </w:r>
      <w:r w:rsidR="00CE40C1" w:rsidRPr="002B4807">
        <w:rPr>
          <w:sz w:val="28"/>
          <w:szCs w:val="28"/>
          <w:lang w:val="en-US"/>
        </w:rPr>
        <w:t>,</w:t>
      </w:r>
      <w:r w:rsidR="006E620A" w:rsidRPr="002B4807">
        <w:rPr>
          <w:sz w:val="28"/>
          <w:szCs w:val="28"/>
          <w:lang w:val="en-US"/>
        </w:rPr>
        <w:t xml:space="preserve"> but</w:t>
      </w:r>
      <w:r w:rsidR="00457051" w:rsidRPr="002B4807">
        <w:rPr>
          <w:sz w:val="28"/>
          <w:szCs w:val="28"/>
          <w:lang w:val="en-US"/>
        </w:rPr>
        <w:t xml:space="preserve"> </w:t>
      </w:r>
      <w:r w:rsidR="00CE40C1" w:rsidRPr="002B4807">
        <w:rPr>
          <w:sz w:val="28"/>
          <w:szCs w:val="28"/>
          <w:lang w:val="en-US"/>
        </w:rPr>
        <w:t xml:space="preserve">were </w:t>
      </w:r>
      <w:r w:rsidR="00457051" w:rsidRPr="002B4807">
        <w:rPr>
          <w:sz w:val="28"/>
          <w:szCs w:val="28"/>
          <w:lang w:val="en-US"/>
        </w:rPr>
        <w:t>capable of separate</w:t>
      </w:r>
      <w:r w:rsidR="006E620A" w:rsidRPr="002B4807">
        <w:rPr>
          <w:sz w:val="28"/>
          <w:szCs w:val="28"/>
          <w:lang w:val="en-US"/>
        </w:rPr>
        <w:t xml:space="preserve"> existence. Therefore, </w:t>
      </w:r>
      <w:r w:rsidR="006E620A" w:rsidRPr="002B4807">
        <w:rPr>
          <w:i/>
          <w:iCs/>
          <w:sz w:val="28"/>
          <w:szCs w:val="28"/>
          <w:lang w:val="en-US"/>
        </w:rPr>
        <w:t>Bondev</w:t>
      </w:r>
      <w:r w:rsidR="00DC4862" w:rsidRPr="002B4807">
        <w:rPr>
          <w:i/>
          <w:iCs/>
          <w:sz w:val="28"/>
          <w:szCs w:val="28"/>
          <w:lang w:val="en-US"/>
        </w:rPr>
        <w:t xml:space="preserve"> </w:t>
      </w:r>
      <w:r w:rsidR="008A23D0" w:rsidRPr="002B4807">
        <w:rPr>
          <w:sz w:val="28"/>
          <w:szCs w:val="28"/>
          <w:lang w:val="en-US"/>
        </w:rPr>
        <w:t>does</w:t>
      </w:r>
      <w:r w:rsidR="006E620A" w:rsidRPr="002B4807">
        <w:rPr>
          <w:sz w:val="28"/>
          <w:szCs w:val="28"/>
          <w:lang w:val="en-US"/>
        </w:rPr>
        <w:t xml:space="preserve"> not support the argument advanced on behalf of </w:t>
      </w:r>
      <w:r w:rsidR="0042184E" w:rsidRPr="002B4807">
        <w:rPr>
          <w:sz w:val="28"/>
          <w:szCs w:val="28"/>
          <w:lang w:val="en-US"/>
        </w:rPr>
        <w:t>Huntrex 277</w:t>
      </w:r>
      <w:r w:rsidR="006E620A" w:rsidRPr="002B4807">
        <w:rPr>
          <w:sz w:val="28"/>
          <w:szCs w:val="28"/>
          <w:lang w:val="en-US"/>
        </w:rPr>
        <w:t>. In this case</w:t>
      </w:r>
      <w:r w:rsidR="00DC4862" w:rsidRPr="002B4807">
        <w:rPr>
          <w:sz w:val="28"/>
          <w:szCs w:val="28"/>
          <w:lang w:val="en-US"/>
        </w:rPr>
        <w:t>,</w:t>
      </w:r>
      <w:r w:rsidR="006E620A" w:rsidRPr="002B4807">
        <w:rPr>
          <w:sz w:val="28"/>
          <w:szCs w:val="28"/>
          <w:lang w:val="en-US"/>
        </w:rPr>
        <w:t xml:space="preserve"> we are dealing with one composite contract</w:t>
      </w:r>
      <w:r w:rsidR="0042184E" w:rsidRPr="002B4807">
        <w:rPr>
          <w:sz w:val="28"/>
          <w:szCs w:val="28"/>
          <w:lang w:val="en-US"/>
        </w:rPr>
        <w:t xml:space="preserve"> creating a </w:t>
      </w:r>
      <w:r w:rsidR="006E620A" w:rsidRPr="002B4807">
        <w:rPr>
          <w:sz w:val="28"/>
          <w:szCs w:val="28"/>
          <w:lang w:val="en-US"/>
        </w:rPr>
        <w:t>praedial servitude</w:t>
      </w:r>
      <w:r w:rsidR="0042184E" w:rsidRPr="002B4807">
        <w:rPr>
          <w:sz w:val="28"/>
          <w:szCs w:val="28"/>
          <w:lang w:val="en-US"/>
        </w:rPr>
        <w:t xml:space="preserve"> in accordance with what the parties had intended at the outset.</w:t>
      </w:r>
    </w:p>
    <w:p w14:paraId="56AAF165" w14:textId="77777777" w:rsidR="004B0B0A" w:rsidRPr="002B4807" w:rsidRDefault="004B0B0A" w:rsidP="00207DB4">
      <w:pPr>
        <w:pStyle w:val="ListParagraph"/>
        <w:spacing w:line="360" w:lineRule="auto"/>
        <w:ind w:left="0"/>
        <w:jc w:val="both"/>
        <w:rPr>
          <w:sz w:val="28"/>
          <w:szCs w:val="28"/>
          <w:lang w:val="en-US"/>
        </w:rPr>
      </w:pPr>
    </w:p>
    <w:p w14:paraId="76FB95F7" w14:textId="2CB2FB9F" w:rsidR="008A23D0" w:rsidRPr="002B4807" w:rsidRDefault="008C1764" w:rsidP="00207DB4">
      <w:pPr>
        <w:pStyle w:val="ListParagraph"/>
        <w:spacing w:line="360" w:lineRule="auto"/>
        <w:ind w:left="0"/>
        <w:jc w:val="both"/>
        <w:rPr>
          <w:sz w:val="28"/>
          <w:szCs w:val="28"/>
          <w:lang w:val="en-US"/>
        </w:rPr>
      </w:pPr>
      <w:r w:rsidRPr="002B4807">
        <w:rPr>
          <w:sz w:val="28"/>
          <w:szCs w:val="28"/>
          <w:lang w:val="en-US"/>
        </w:rPr>
        <w:t>[24]</w:t>
      </w:r>
      <w:r w:rsidRPr="002B4807">
        <w:rPr>
          <w:sz w:val="28"/>
          <w:szCs w:val="28"/>
          <w:lang w:val="en-US"/>
        </w:rPr>
        <w:tab/>
      </w:r>
      <w:r w:rsidR="00875B44" w:rsidRPr="002B4807">
        <w:rPr>
          <w:sz w:val="28"/>
          <w:szCs w:val="28"/>
          <w:lang w:val="en-US"/>
        </w:rPr>
        <w:t xml:space="preserve">The </w:t>
      </w:r>
      <w:r w:rsidR="006E620A" w:rsidRPr="002B4807">
        <w:rPr>
          <w:sz w:val="28"/>
          <w:szCs w:val="28"/>
          <w:lang w:val="en-US"/>
        </w:rPr>
        <w:t xml:space="preserve">meaning of </w:t>
      </w:r>
      <w:r w:rsidR="00875B44" w:rsidRPr="002B4807">
        <w:rPr>
          <w:sz w:val="28"/>
          <w:szCs w:val="28"/>
          <w:lang w:val="en-US"/>
        </w:rPr>
        <w:t xml:space="preserve">clause P, read as a whole, shows that the element of </w:t>
      </w:r>
      <w:r w:rsidR="00875B44" w:rsidRPr="002B4807">
        <w:rPr>
          <w:i/>
          <w:iCs/>
          <w:sz w:val="28"/>
          <w:szCs w:val="28"/>
          <w:lang w:val="en-US"/>
        </w:rPr>
        <w:t>utilitas</w:t>
      </w:r>
      <w:r w:rsidR="00875B44" w:rsidRPr="002B4807">
        <w:rPr>
          <w:sz w:val="28"/>
          <w:szCs w:val="28"/>
          <w:lang w:val="en-US"/>
        </w:rPr>
        <w:t xml:space="preserve"> is present.</w:t>
      </w:r>
      <w:r w:rsidR="00EF21AE" w:rsidRPr="002B4807">
        <w:rPr>
          <w:sz w:val="28"/>
          <w:szCs w:val="28"/>
          <w:lang w:val="en-US"/>
        </w:rPr>
        <w:t xml:space="preserve"> The Huntrex </w:t>
      </w:r>
      <w:r w:rsidR="00322033" w:rsidRPr="002B4807">
        <w:rPr>
          <w:sz w:val="28"/>
          <w:szCs w:val="28"/>
          <w:lang w:val="en-US"/>
        </w:rPr>
        <w:t xml:space="preserve">277 </w:t>
      </w:r>
      <w:r w:rsidR="00EF21AE" w:rsidRPr="002B4807">
        <w:rPr>
          <w:sz w:val="28"/>
          <w:szCs w:val="28"/>
          <w:lang w:val="en-US"/>
        </w:rPr>
        <w:t xml:space="preserve">property has been serving the Berzack </w:t>
      </w:r>
      <w:r w:rsidR="00EF21AE" w:rsidRPr="002B4807">
        <w:rPr>
          <w:sz w:val="28"/>
          <w:szCs w:val="28"/>
          <w:lang w:val="en-US"/>
        </w:rPr>
        <w:lastRenderedPageBreak/>
        <w:t xml:space="preserve">property continuously for a period spanning more than thirty years. </w:t>
      </w:r>
      <w:r w:rsidR="00E74A86" w:rsidRPr="002B4807">
        <w:rPr>
          <w:sz w:val="28"/>
          <w:szCs w:val="28"/>
          <w:lang w:val="en-US"/>
        </w:rPr>
        <w:t>The right to the garden is reserved on th</w:t>
      </w:r>
      <w:r w:rsidR="003D5DAF" w:rsidRPr="002B4807">
        <w:rPr>
          <w:sz w:val="28"/>
          <w:szCs w:val="28"/>
          <w:lang w:val="en-US"/>
        </w:rPr>
        <w:t>e</w:t>
      </w:r>
      <w:r w:rsidR="00E74A86" w:rsidRPr="002B4807">
        <w:rPr>
          <w:sz w:val="28"/>
          <w:szCs w:val="28"/>
          <w:lang w:val="en-US"/>
        </w:rPr>
        <w:t xml:space="preserve"> servient land </w:t>
      </w:r>
      <w:r w:rsidR="003D5DAF" w:rsidRPr="002B4807">
        <w:rPr>
          <w:sz w:val="28"/>
          <w:szCs w:val="28"/>
          <w:lang w:val="en-US"/>
        </w:rPr>
        <w:t xml:space="preserve">and it </w:t>
      </w:r>
      <w:r w:rsidR="003159AE" w:rsidRPr="00BB26F2">
        <w:rPr>
          <w:sz w:val="28"/>
          <w:szCs w:val="28"/>
          <w:lang w:val="en-US"/>
        </w:rPr>
        <w:t>e</w:t>
      </w:r>
      <w:r w:rsidR="00E74A86" w:rsidRPr="00BB26F2">
        <w:rPr>
          <w:sz w:val="28"/>
          <w:szCs w:val="28"/>
          <w:lang w:val="en-US"/>
        </w:rPr>
        <w:t xml:space="preserve">nures </w:t>
      </w:r>
      <w:r w:rsidR="003159AE" w:rsidRPr="00BB26F2">
        <w:rPr>
          <w:sz w:val="28"/>
          <w:szCs w:val="28"/>
          <w:lang w:val="en-US"/>
        </w:rPr>
        <w:t>in</w:t>
      </w:r>
      <w:r w:rsidR="003159AE" w:rsidRPr="002B4807">
        <w:rPr>
          <w:sz w:val="28"/>
          <w:szCs w:val="28"/>
          <w:lang w:val="en-US"/>
        </w:rPr>
        <w:t xml:space="preserve"> favour of the Berzack </w:t>
      </w:r>
      <w:r w:rsidR="00E74A86" w:rsidRPr="002B4807">
        <w:rPr>
          <w:sz w:val="28"/>
          <w:szCs w:val="28"/>
          <w:lang w:val="en-US"/>
        </w:rPr>
        <w:t>property</w:t>
      </w:r>
      <w:r w:rsidR="003159AE" w:rsidRPr="002B4807">
        <w:rPr>
          <w:sz w:val="28"/>
          <w:szCs w:val="28"/>
          <w:lang w:val="en-US"/>
        </w:rPr>
        <w:t xml:space="preserve">, </w:t>
      </w:r>
      <w:r w:rsidR="003D5DAF" w:rsidRPr="002B4807">
        <w:rPr>
          <w:sz w:val="28"/>
          <w:szCs w:val="28"/>
          <w:lang w:val="en-US"/>
        </w:rPr>
        <w:t>serving</w:t>
      </w:r>
      <w:r w:rsidR="00E74A86" w:rsidRPr="002B4807">
        <w:rPr>
          <w:sz w:val="28"/>
          <w:szCs w:val="28"/>
          <w:lang w:val="en-US"/>
        </w:rPr>
        <w:t xml:space="preserve"> the</w:t>
      </w:r>
      <w:r w:rsidR="00D41E66" w:rsidRPr="002B4807">
        <w:rPr>
          <w:sz w:val="28"/>
          <w:szCs w:val="28"/>
          <w:lang w:val="en-US"/>
        </w:rPr>
        <w:t xml:space="preserve"> pursuit of </w:t>
      </w:r>
      <w:r w:rsidR="003159AE" w:rsidRPr="002B4807">
        <w:rPr>
          <w:sz w:val="28"/>
          <w:szCs w:val="28"/>
          <w:lang w:val="en-US"/>
        </w:rPr>
        <w:t xml:space="preserve">Ms Berzack’s </w:t>
      </w:r>
      <w:r w:rsidR="003D5DAF" w:rsidRPr="002B4807">
        <w:rPr>
          <w:sz w:val="28"/>
          <w:szCs w:val="28"/>
          <w:lang w:val="en-US"/>
        </w:rPr>
        <w:t xml:space="preserve">personal </w:t>
      </w:r>
      <w:r w:rsidR="00E74A86" w:rsidRPr="002B4807">
        <w:rPr>
          <w:sz w:val="28"/>
          <w:szCs w:val="28"/>
          <w:lang w:val="en-US"/>
        </w:rPr>
        <w:t>p</w:t>
      </w:r>
      <w:r w:rsidR="00D41E66" w:rsidRPr="002B4807">
        <w:rPr>
          <w:sz w:val="28"/>
          <w:szCs w:val="28"/>
          <w:lang w:val="en-US"/>
        </w:rPr>
        <w:t>leasure</w:t>
      </w:r>
      <w:r w:rsidR="00E74A86" w:rsidRPr="002B4807">
        <w:rPr>
          <w:sz w:val="28"/>
          <w:szCs w:val="28"/>
          <w:lang w:val="en-US"/>
        </w:rPr>
        <w:t xml:space="preserve"> or caprice. Subclause</w:t>
      </w:r>
      <w:r w:rsidR="00A95EFE" w:rsidRPr="002B4807">
        <w:rPr>
          <w:sz w:val="28"/>
          <w:szCs w:val="28"/>
          <w:lang w:val="en-US"/>
        </w:rPr>
        <w:t>s</w:t>
      </w:r>
      <w:r w:rsidR="00E74A86" w:rsidRPr="002B4807">
        <w:rPr>
          <w:sz w:val="28"/>
          <w:szCs w:val="28"/>
          <w:lang w:val="en-US"/>
        </w:rPr>
        <w:t xml:space="preserve"> P</w:t>
      </w:r>
      <w:r w:rsidR="00595774" w:rsidRPr="002B4807">
        <w:rPr>
          <w:sz w:val="28"/>
          <w:szCs w:val="28"/>
          <w:lang w:val="en-US"/>
        </w:rPr>
        <w:t>, P(a) and P(b)(i)</w:t>
      </w:r>
      <w:r w:rsidR="00E74A86" w:rsidRPr="002B4807">
        <w:rPr>
          <w:sz w:val="28"/>
          <w:szCs w:val="28"/>
          <w:lang w:val="en-US"/>
        </w:rPr>
        <w:t xml:space="preserve"> demonstrate this fact</w:t>
      </w:r>
      <w:r w:rsidR="00D41E66" w:rsidRPr="002B4807">
        <w:rPr>
          <w:sz w:val="28"/>
          <w:szCs w:val="28"/>
          <w:lang w:val="en-US"/>
        </w:rPr>
        <w:t>.</w:t>
      </w:r>
      <w:r w:rsidR="00E74A86" w:rsidRPr="002B4807">
        <w:rPr>
          <w:sz w:val="28"/>
          <w:szCs w:val="28"/>
          <w:lang w:val="en-US"/>
        </w:rPr>
        <w:t xml:space="preserve"> </w:t>
      </w:r>
      <w:r w:rsidR="00D41E66" w:rsidRPr="002B4807">
        <w:rPr>
          <w:sz w:val="28"/>
          <w:szCs w:val="28"/>
          <w:lang w:val="en-US"/>
        </w:rPr>
        <w:t>I</w:t>
      </w:r>
      <w:r w:rsidR="00E74A86" w:rsidRPr="002B4807">
        <w:rPr>
          <w:sz w:val="28"/>
          <w:szCs w:val="28"/>
          <w:lang w:val="en-US"/>
        </w:rPr>
        <w:t>n the same way</w:t>
      </w:r>
      <w:r w:rsidR="00D41E66" w:rsidRPr="002B4807">
        <w:rPr>
          <w:sz w:val="28"/>
          <w:szCs w:val="28"/>
          <w:lang w:val="en-US"/>
        </w:rPr>
        <w:t>,</w:t>
      </w:r>
      <w:r w:rsidR="00E74A86" w:rsidRPr="002B4807">
        <w:rPr>
          <w:sz w:val="28"/>
          <w:szCs w:val="28"/>
          <w:lang w:val="en-US"/>
        </w:rPr>
        <w:t xml:space="preserve"> the ancillary clauses in </w:t>
      </w:r>
      <w:r w:rsidR="00595774" w:rsidRPr="002B4807">
        <w:rPr>
          <w:sz w:val="28"/>
          <w:szCs w:val="28"/>
          <w:lang w:val="en-US"/>
        </w:rPr>
        <w:t>P</w:t>
      </w:r>
      <w:r w:rsidR="00EC3F3C" w:rsidRPr="002B4807">
        <w:rPr>
          <w:sz w:val="28"/>
          <w:szCs w:val="28"/>
          <w:lang w:val="en-US"/>
        </w:rPr>
        <w:t>(b)</w:t>
      </w:r>
      <w:r w:rsidR="00E74A86" w:rsidRPr="002B4807">
        <w:rPr>
          <w:sz w:val="28"/>
          <w:szCs w:val="28"/>
          <w:lang w:val="en-US"/>
        </w:rPr>
        <w:t>(ii) and (iii)</w:t>
      </w:r>
      <w:r w:rsidR="003D5DAF" w:rsidRPr="002B4807">
        <w:rPr>
          <w:sz w:val="28"/>
          <w:szCs w:val="28"/>
          <w:lang w:val="en-US"/>
        </w:rPr>
        <w:t xml:space="preserve">, read together </w:t>
      </w:r>
      <w:r w:rsidR="0044686B" w:rsidRPr="002B4807">
        <w:rPr>
          <w:sz w:val="28"/>
          <w:szCs w:val="28"/>
          <w:lang w:val="en-US"/>
        </w:rPr>
        <w:t xml:space="preserve">with other subclauses, describe </w:t>
      </w:r>
      <w:r w:rsidR="005E206B" w:rsidRPr="002B4807">
        <w:rPr>
          <w:sz w:val="28"/>
          <w:szCs w:val="28"/>
          <w:lang w:val="en-US"/>
        </w:rPr>
        <w:t xml:space="preserve">the manner </w:t>
      </w:r>
      <w:r w:rsidR="00D41E66" w:rsidRPr="002B4807">
        <w:rPr>
          <w:sz w:val="28"/>
          <w:szCs w:val="28"/>
          <w:lang w:val="en-US"/>
        </w:rPr>
        <w:t>of</w:t>
      </w:r>
      <w:r w:rsidR="005E206B" w:rsidRPr="002B4807">
        <w:rPr>
          <w:sz w:val="28"/>
          <w:szCs w:val="28"/>
          <w:lang w:val="en-US"/>
        </w:rPr>
        <w:t xml:space="preserve"> access to the servitud</w:t>
      </w:r>
      <w:r w:rsidR="00D41E66" w:rsidRPr="002B4807">
        <w:rPr>
          <w:sz w:val="28"/>
          <w:szCs w:val="28"/>
          <w:lang w:val="en-US"/>
        </w:rPr>
        <w:t>al area</w:t>
      </w:r>
      <w:r w:rsidR="005E206B" w:rsidRPr="002B4807">
        <w:rPr>
          <w:sz w:val="28"/>
          <w:szCs w:val="28"/>
          <w:lang w:val="en-US"/>
        </w:rPr>
        <w:t xml:space="preserve">. </w:t>
      </w:r>
      <w:r w:rsidR="00595774" w:rsidRPr="002B4807">
        <w:rPr>
          <w:sz w:val="28"/>
          <w:szCs w:val="28"/>
          <w:lang w:val="en-US"/>
        </w:rPr>
        <w:t>The fact that the servitudal rights are enjoyed by the owner of the dominant tenement</w:t>
      </w:r>
      <w:r w:rsidR="00DC1A4B" w:rsidRPr="002B4807">
        <w:rPr>
          <w:sz w:val="28"/>
          <w:szCs w:val="28"/>
          <w:lang w:val="en-US"/>
        </w:rPr>
        <w:t xml:space="preserve"> is a natural feature of the praedial right. </w:t>
      </w:r>
      <w:r w:rsidR="0042184E" w:rsidRPr="002B4807">
        <w:rPr>
          <w:sz w:val="28"/>
          <w:szCs w:val="28"/>
          <w:lang w:val="en-US"/>
        </w:rPr>
        <w:t>T</w:t>
      </w:r>
      <w:r w:rsidR="005E206B" w:rsidRPr="002B4807">
        <w:rPr>
          <w:sz w:val="28"/>
          <w:szCs w:val="28"/>
          <w:lang w:val="en-US"/>
        </w:rPr>
        <w:t>hat the servitude as described in clause P increases the economic potential of the Berzack property</w:t>
      </w:r>
      <w:r w:rsidR="003A74AB" w:rsidRPr="002B4807">
        <w:rPr>
          <w:sz w:val="28"/>
          <w:szCs w:val="28"/>
          <w:lang w:val="en-US"/>
        </w:rPr>
        <w:t xml:space="preserve"> is not in dispute. Just as the argument advanced</w:t>
      </w:r>
      <w:r w:rsidR="0044686B" w:rsidRPr="002B4807">
        <w:rPr>
          <w:sz w:val="28"/>
          <w:szCs w:val="28"/>
          <w:lang w:val="en-US"/>
        </w:rPr>
        <w:t xml:space="preserve"> on behalf of </w:t>
      </w:r>
      <w:r w:rsidR="0042184E" w:rsidRPr="002B4807">
        <w:rPr>
          <w:sz w:val="28"/>
          <w:szCs w:val="28"/>
          <w:lang w:val="en-US"/>
        </w:rPr>
        <w:t xml:space="preserve">Ms Berzack </w:t>
      </w:r>
      <w:r w:rsidR="003A74AB" w:rsidRPr="002B4807">
        <w:rPr>
          <w:sz w:val="28"/>
          <w:szCs w:val="28"/>
          <w:lang w:val="en-US"/>
        </w:rPr>
        <w:t xml:space="preserve">that the modern </w:t>
      </w:r>
      <w:r w:rsidR="00DC1A4B" w:rsidRPr="002B4807">
        <w:rPr>
          <w:sz w:val="28"/>
          <w:szCs w:val="28"/>
          <w:lang w:val="en-US"/>
        </w:rPr>
        <w:t xml:space="preserve">praedial </w:t>
      </w:r>
      <w:r w:rsidR="003A74AB" w:rsidRPr="002B4807">
        <w:rPr>
          <w:sz w:val="28"/>
          <w:szCs w:val="28"/>
          <w:lang w:val="en-US"/>
        </w:rPr>
        <w:t>servitude of view is similar</w:t>
      </w:r>
      <w:r w:rsidR="00D41E66" w:rsidRPr="002B4807">
        <w:rPr>
          <w:sz w:val="28"/>
          <w:szCs w:val="28"/>
          <w:lang w:val="en-US"/>
        </w:rPr>
        <w:t xml:space="preserve"> in </w:t>
      </w:r>
      <w:r w:rsidR="0042184E" w:rsidRPr="002B4807">
        <w:rPr>
          <w:sz w:val="28"/>
          <w:szCs w:val="28"/>
          <w:lang w:val="en-US"/>
        </w:rPr>
        <w:t>substance</w:t>
      </w:r>
      <w:r w:rsidR="00D41E66" w:rsidRPr="002B4807">
        <w:rPr>
          <w:sz w:val="28"/>
          <w:szCs w:val="28"/>
          <w:lang w:val="en-US"/>
        </w:rPr>
        <w:t xml:space="preserve"> t</w:t>
      </w:r>
      <w:r w:rsidR="003A74AB" w:rsidRPr="002B4807">
        <w:rPr>
          <w:sz w:val="28"/>
          <w:szCs w:val="28"/>
          <w:lang w:val="en-US"/>
        </w:rPr>
        <w:t>o the garden servitude has n</w:t>
      </w:r>
      <w:r w:rsidR="00D41E66" w:rsidRPr="002B4807">
        <w:rPr>
          <w:sz w:val="28"/>
          <w:szCs w:val="28"/>
          <w:lang w:val="en-US"/>
        </w:rPr>
        <w:t>ot been co</w:t>
      </w:r>
      <w:r w:rsidR="0044686B" w:rsidRPr="002B4807">
        <w:rPr>
          <w:sz w:val="28"/>
          <w:szCs w:val="28"/>
          <w:lang w:val="en-US"/>
        </w:rPr>
        <w:t>ntradicted</w:t>
      </w:r>
      <w:r w:rsidR="003A74AB" w:rsidRPr="002B4807">
        <w:rPr>
          <w:sz w:val="28"/>
          <w:szCs w:val="28"/>
          <w:lang w:val="en-US"/>
        </w:rPr>
        <w:t>. That said</w:t>
      </w:r>
      <w:r w:rsidR="00ED7CE0" w:rsidRPr="002B4807">
        <w:rPr>
          <w:sz w:val="28"/>
          <w:szCs w:val="28"/>
          <w:lang w:val="en-US"/>
        </w:rPr>
        <w:t>,</w:t>
      </w:r>
      <w:r w:rsidR="003A74AB" w:rsidRPr="002B4807">
        <w:rPr>
          <w:sz w:val="28"/>
          <w:szCs w:val="28"/>
          <w:lang w:val="en-US"/>
        </w:rPr>
        <w:t xml:space="preserve"> </w:t>
      </w:r>
      <w:r w:rsidR="007836AA" w:rsidRPr="002B4807">
        <w:rPr>
          <w:bCs/>
          <w:sz w:val="28"/>
          <w:szCs w:val="28"/>
          <w:lang w:val="en-US"/>
        </w:rPr>
        <w:t xml:space="preserve">I have no doubt in my mind that, on the facts of this case, the intention expressed in writing by </w:t>
      </w:r>
      <w:r w:rsidR="0042184E" w:rsidRPr="002B4807">
        <w:rPr>
          <w:sz w:val="28"/>
          <w:szCs w:val="28"/>
          <w:lang w:val="en-US"/>
        </w:rPr>
        <w:t xml:space="preserve">Ms Berzack </w:t>
      </w:r>
      <w:r w:rsidR="007836AA" w:rsidRPr="002B4807">
        <w:rPr>
          <w:bCs/>
          <w:sz w:val="28"/>
          <w:szCs w:val="28"/>
          <w:lang w:val="en-US"/>
        </w:rPr>
        <w:t xml:space="preserve">and Mr Wellens in 1983 was that the garden should be reserved on the Huntrex </w:t>
      </w:r>
      <w:r w:rsidR="00322033" w:rsidRPr="002B4807">
        <w:rPr>
          <w:bCs/>
          <w:sz w:val="28"/>
          <w:szCs w:val="28"/>
          <w:lang w:val="en-US"/>
        </w:rPr>
        <w:t xml:space="preserve">277 </w:t>
      </w:r>
      <w:r w:rsidR="007836AA" w:rsidRPr="002B4807">
        <w:rPr>
          <w:bCs/>
          <w:sz w:val="28"/>
          <w:szCs w:val="28"/>
          <w:lang w:val="en-US"/>
        </w:rPr>
        <w:t>property for the</w:t>
      </w:r>
      <w:r w:rsidR="0042184E" w:rsidRPr="002B4807">
        <w:rPr>
          <w:bCs/>
          <w:sz w:val="28"/>
          <w:szCs w:val="28"/>
          <w:lang w:val="en-US"/>
        </w:rPr>
        <w:t xml:space="preserve"> former’s</w:t>
      </w:r>
      <w:r w:rsidR="007836AA" w:rsidRPr="002B4807">
        <w:rPr>
          <w:bCs/>
          <w:sz w:val="28"/>
          <w:szCs w:val="28"/>
          <w:lang w:val="en-US"/>
        </w:rPr>
        <w:t xml:space="preserve"> benefit and subsequent </w:t>
      </w:r>
      <w:r w:rsidR="0042184E" w:rsidRPr="002B4807">
        <w:rPr>
          <w:bCs/>
          <w:sz w:val="28"/>
          <w:szCs w:val="28"/>
          <w:lang w:val="en-US"/>
        </w:rPr>
        <w:t>successors</w:t>
      </w:r>
      <w:r w:rsidR="00322033" w:rsidRPr="002B4807">
        <w:rPr>
          <w:bCs/>
          <w:sz w:val="28"/>
          <w:szCs w:val="28"/>
          <w:lang w:val="en-US"/>
        </w:rPr>
        <w:t>-in-</w:t>
      </w:r>
      <w:r w:rsidR="0042184E" w:rsidRPr="002B4807">
        <w:rPr>
          <w:bCs/>
          <w:sz w:val="28"/>
          <w:szCs w:val="28"/>
          <w:lang w:val="en-US"/>
        </w:rPr>
        <w:t>title</w:t>
      </w:r>
      <w:r w:rsidR="007836AA" w:rsidRPr="002B4807">
        <w:rPr>
          <w:bCs/>
          <w:sz w:val="28"/>
          <w:szCs w:val="28"/>
          <w:lang w:val="en-US"/>
        </w:rPr>
        <w:t xml:space="preserve"> of the Berzack property in </w:t>
      </w:r>
      <w:r w:rsidR="00760413" w:rsidRPr="002B4807">
        <w:rPr>
          <w:bCs/>
          <w:sz w:val="28"/>
          <w:szCs w:val="28"/>
          <w:lang w:val="en-US"/>
        </w:rPr>
        <w:t>perpetuity</w:t>
      </w:r>
      <w:r w:rsidR="007836AA" w:rsidRPr="002B4807">
        <w:rPr>
          <w:bCs/>
          <w:sz w:val="28"/>
          <w:szCs w:val="28"/>
          <w:lang w:val="en-US"/>
        </w:rPr>
        <w:t>, hence the registration of the servitude.</w:t>
      </w:r>
      <w:r w:rsidR="007836AA" w:rsidRPr="002B4807">
        <w:rPr>
          <w:sz w:val="28"/>
          <w:szCs w:val="28"/>
          <w:lang w:val="en-US"/>
        </w:rPr>
        <w:t xml:space="preserve"> </w:t>
      </w:r>
    </w:p>
    <w:p w14:paraId="2CB5229D" w14:textId="77777777" w:rsidR="008A23D0" w:rsidRPr="002B4807" w:rsidRDefault="008A23D0" w:rsidP="00207DB4">
      <w:pPr>
        <w:pStyle w:val="ListParagraph"/>
        <w:spacing w:line="360" w:lineRule="auto"/>
        <w:ind w:left="0"/>
        <w:jc w:val="both"/>
        <w:rPr>
          <w:sz w:val="28"/>
          <w:szCs w:val="28"/>
          <w:lang w:val="en-US"/>
        </w:rPr>
      </w:pPr>
    </w:p>
    <w:p w14:paraId="3BFD9A81" w14:textId="2B2ABFB4" w:rsidR="00ED21E6" w:rsidRPr="002B4807" w:rsidRDefault="008C1764" w:rsidP="00207DB4">
      <w:pPr>
        <w:pStyle w:val="ListParagraph"/>
        <w:spacing w:line="360" w:lineRule="auto"/>
        <w:ind w:left="0"/>
        <w:jc w:val="both"/>
        <w:rPr>
          <w:sz w:val="28"/>
          <w:szCs w:val="28"/>
          <w:lang w:val="en-US"/>
        </w:rPr>
      </w:pPr>
      <w:r w:rsidRPr="002B4807">
        <w:rPr>
          <w:sz w:val="28"/>
          <w:szCs w:val="28"/>
          <w:lang w:val="en-US"/>
        </w:rPr>
        <w:t>[25]</w:t>
      </w:r>
      <w:r w:rsidRPr="002B4807">
        <w:rPr>
          <w:sz w:val="28"/>
          <w:szCs w:val="28"/>
          <w:lang w:val="en-US"/>
        </w:rPr>
        <w:tab/>
      </w:r>
      <w:r w:rsidR="007836AA" w:rsidRPr="002B4807">
        <w:rPr>
          <w:sz w:val="28"/>
          <w:szCs w:val="28"/>
          <w:lang w:val="en-US"/>
        </w:rPr>
        <w:t>T</w:t>
      </w:r>
      <w:r w:rsidR="003A74AB" w:rsidRPr="002B4807">
        <w:rPr>
          <w:sz w:val="28"/>
          <w:szCs w:val="28"/>
          <w:lang w:val="en-US"/>
        </w:rPr>
        <w:t xml:space="preserve">he finding made by the </w:t>
      </w:r>
      <w:r w:rsidR="008A23D0" w:rsidRPr="002B4807">
        <w:rPr>
          <w:sz w:val="28"/>
          <w:szCs w:val="28"/>
          <w:lang w:val="en-US"/>
        </w:rPr>
        <w:t>h</w:t>
      </w:r>
      <w:r w:rsidR="003A74AB" w:rsidRPr="002B4807">
        <w:rPr>
          <w:sz w:val="28"/>
          <w:szCs w:val="28"/>
          <w:lang w:val="en-US"/>
        </w:rPr>
        <w:t xml:space="preserve">igh </w:t>
      </w:r>
      <w:r w:rsidR="008A23D0" w:rsidRPr="002B4807">
        <w:rPr>
          <w:sz w:val="28"/>
          <w:szCs w:val="28"/>
          <w:lang w:val="en-US"/>
        </w:rPr>
        <w:t>c</w:t>
      </w:r>
      <w:r w:rsidR="003A74AB" w:rsidRPr="002B4807">
        <w:rPr>
          <w:sz w:val="28"/>
          <w:szCs w:val="28"/>
          <w:lang w:val="en-US"/>
        </w:rPr>
        <w:t xml:space="preserve">ourt that </w:t>
      </w:r>
      <w:r w:rsidR="00ED7CE0" w:rsidRPr="002B4807">
        <w:rPr>
          <w:sz w:val="28"/>
          <w:szCs w:val="28"/>
          <w:lang w:val="en-US"/>
        </w:rPr>
        <w:t xml:space="preserve">clause P does not meet the definition of </w:t>
      </w:r>
      <w:r w:rsidR="00ED7CE0" w:rsidRPr="002B4807">
        <w:rPr>
          <w:i/>
          <w:iCs/>
          <w:sz w:val="28"/>
          <w:szCs w:val="28"/>
          <w:lang w:val="en-US"/>
        </w:rPr>
        <w:t>utilitas</w:t>
      </w:r>
      <w:r w:rsidR="0008527E" w:rsidRPr="002B4807">
        <w:rPr>
          <w:sz w:val="28"/>
          <w:szCs w:val="28"/>
          <w:lang w:val="en-US"/>
        </w:rPr>
        <w:t xml:space="preserve"> </w:t>
      </w:r>
      <w:r w:rsidR="00ED7CE0" w:rsidRPr="002B4807">
        <w:rPr>
          <w:sz w:val="28"/>
          <w:szCs w:val="28"/>
          <w:lang w:val="en-US"/>
        </w:rPr>
        <w:t xml:space="preserve">is </w:t>
      </w:r>
      <w:r w:rsidR="0042184E" w:rsidRPr="002B4807">
        <w:rPr>
          <w:sz w:val="28"/>
          <w:szCs w:val="28"/>
          <w:lang w:val="en-US"/>
        </w:rPr>
        <w:t>erroneous</w:t>
      </w:r>
      <w:r w:rsidR="00ED7CE0" w:rsidRPr="002B4807">
        <w:rPr>
          <w:sz w:val="28"/>
          <w:szCs w:val="28"/>
          <w:lang w:val="en-US"/>
        </w:rPr>
        <w:t>.</w:t>
      </w:r>
      <w:r w:rsidR="00745EBA" w:rsidRPr="002B4807">
        <w:rPr>
          <w:sz w:val="28"/>
          <w:szCs w:val="28"/>
          <w:lang w:val="en-US"/>
        </w:rPr>
        <w:t xml:space="preserve"> In </w:t>
      </w:r>
      <w:r w:rsidR="00745EBA" w:rsidRPr="002B4807">
        <w:rPr>
          <w:i/>
          <w:iCs/>
          <w:sz w:val="28"/>
          <w:szCs w:val="28"/>
          <w:lang w:val="en-US"/>
        </w:rPr>
        <w:t>Willoughby’s Consolidated Co Ltd v Copthall Stores Ltd</w:t>
      </w:r>
      <w:r w:rsidR="00E87440" w:rsidRPr="002B4807">
        <w:rPr>
          <w:iCs/>
          <w:sz w:val="28"/>
          <w:szCs w:val="28"/>
          <w:lang w:val="en-US"/>
        </w:rPr>
        <w:t>,</w:t>
      </w:r>
      <w:r w:rsidR="008A23D0" w:rsidRPr="002B4807">
        <w:rPr>
          <w:rStyle w:val="FootnoteReference"/>
          <w:iCs/>
          <w:sz w:val="28"/>
          <w:szCs w:val="28"/>
          <w:lang w:val="en-US"/>
        </w:rPr>
        <w:footnoteReference w:id="15"/>
      </w:r>
      <w:r w:rsidR="00745EBA" w:rsidRPr="002B4807">
        <w:rPr>
          <w:iCs/>
          <w:sz w:val="28"/>
          <w:szCs w:val="28"/>
          <w:lang w:val="en-US"/>
        </w:rPr>
        <w:t xml:space="preserve"> </w:t>
      </w:r>
      <w:r w:rsidR="00745EBA" w:rsidRPr="002B4807">
        <w:rPr>
          <w:i/>
          <w:iCs/>
          <w:sz w:val="28"/>
          <w:szCs w:val="28"/>
          <w:lang w:val="en-US"/>
        </w:rPr>
        <w:t xml:space="preserve"> </w:t>
      </w:r>
      <w:r w:rsidR="00BF0D8E" w:rsidRPr="002B4807">
        <w:rPr>
          <w:sz w:val="28"/>
          <w:szCs w:val="28"/>
          <w:lang w:val="en-US"/>
        </w:rPr>
        <w:t xml:space="preserve">this Court stated that in the absence of </w:t>
      </w:r>
      <w:r w:rsidR="00007925" w:rsidRPr="002B4807">
        <w:rPr>
          <w:sz w:val="28"/>
          <w:szCs w:val="28"/>
          <w:lang w:val="en-US"/>
        </w:rPr>
        <w:t xml:space="preserve">an </w:t>
      </w:r>
      <w:r w:rsidR="00BF0D8E" w:rsidRPr="002B4807">
        <w:rPr>
          <w:sz w:val="28"/>
          <w:szCs w:val="28"/>
          <w:lang w:val="en-US"/>
        </w:rPr>
        <w:t>ambiguity in the words used in a servitude</w:t>
      </w:r>
      <w:r w:rsidR="00007925" w:rsidRPr="002B4807">
        <w:rPr>
          <w:sz w:val="28"/>
          <w:szCs w:val="28"/>
          <w:lang w:val="en-US"/>
        </w:rPr>
        <w:t>-</w:t>
      </w:r>
      <w:r w:rsidR="00BF0D8E" w:rsidRPr="002B4807">
        <w:rPr>
          <w:sz w:val="28"/>
          <w:szCs w:val="28"/>
          <w:lang w:val="en-US"/>
        </w:rPr>
        <w:t>creating contract</w:t>
      </w:r>
      <w:r w:rsidR="00E87440" w:rsidRPr="002B4807">
        <w:rPr>
          <w:sz w:val="28"/>
          <w:szCs w:val="28"/>
          <w:lang w:val="en-US"/>
        </w:rPr>
        <w:t>,</w:t>
      </w:r>
      <w:r w:rsidR="00BF0D8E" w:rsidRPr="002B4807">
        <w:rPr>
          <w:sz w:val="28"/>
          <w:szCs w:val="28"/>
          <w:lang w:val="en-US"/>
        </w:rPr>
        <w:t xml:space="preserve"> the golden rule applies in favour of a praedial servitude having been proved by the person who claims the existence thereof.</w:t>
      </w:r>
      <w:r w:rsidR="00E70C95" w:rsidRPr="002B4807">
        <w:rPr>
          <w:sz w:val="28"/>
          <w:szCs w:val="28"/>
          <w:lang w:val="en-US"/>
        </w:rPr>
        <w:t xml:space="preserve"> In </w:t>
      </w:r>
      <w:r w:rsidR="00F177DD" w:rsidRPr="002B4807">
        <w:rPr>
          <w:sz w:val="28"/>
          <w:szCs w:val="28"/>
          <w:lang w:val="en-US"/>
        </w:rPr>
        <w:t>such</w:t>
      </w:r>
      <w:r w:rsidR="00E70C95" w:rsidRPr="002B4807">
        <w:rPr>
          <w:sz w:val="28"/>
          <w:szCs w:val="28"/>
          <w:lang w:val="en-US"/>
        </w:rPr>
        <w:t xml:space="preserve"> event</w:t>
      </w:r>
      <w:r w:rsidR="00F177DD" w:rsidRPr="002B4807">
        <w:rPr>
          <w:sz w:val="28"/>
          <w:szCs w:val="28"/>
          <w:lang w:val="en-US"/>
        </w:rPr>
        <w:t xml:space="preserve">, as stated in </w:t>
      </w:r>
      <w:r w:rsidR="00F177DD" w:rsidRPr="002B4807">
        <w:rPr>
          <w:i/>
          <w:iCs/>
          <w:sz w:val="28"/>
          <w:szCs w:val="28"/>
          <w:lang w:val="en-US"/>
        </w:rPr>
        <w:t>North</w:t>
      </w:r>
      <w:r w:rsidR="00E87440" w:rsidRPr="002B4807">
        <w:rPr>
          <w:i/>
          <w:iCs/>
          <w:sz w:val="28"/>
          <w:szCs w:val="28"/>
          <w:lang w:val="en-US"/>
        </w:rPr>
        <w:t>view</w:t>
      </w:r>
      <w:r w:rsidR="00F177DD" w:rsidRPr="002B4807">
        <w:rPr>
          <w:i/>
          <w:iCs/>
          <w:sz w:val="28"/>
          <w:szCs w:val="28"/>
          <w:lang w:val="en-US"/>
        </w:rPr>
        <w:t xml:space="preserve"> Properties (Pty) </w:t>
      </w:r>
      <w:r w:rsidR="00F177DD" w:rsidRPr="002B4807">
        <w:rPr>
          <w:i/>
          <w:iCs/>
          <w:sz w:val="28"/>
          <w:szCs w:val="28"/>
          <w:lang w:val="en-US"/>
        </w:rPr>
        <w:lastRenderedPageBreak/>
        <w:t>Ltd v Lurie</w:t>
      </w:r>
      <w:r w:rsidR="00E87440" w:rsidRPr="002B4807">
        <w:rPr>
          <w:sz w:val="28"/>
          <w:szCs w:val="28"/>
          <w:lang w:val="en-US"/>
        </w:rPr>
        <w:t>,</w:t>
      </w:r>
      <w:r w:rsidR="008A23D0" w:rsidRPr="002B4807">
        <w:rPr>
          <w:rStyle w:val="FootnoteReference"/>
          <w:iCs/>
          <w:sz w:val="28"/>
          <w:szCs w:val="28"/>
          <w:lang w:val="en-US"/>
        </w:rPr>
        <w:footnoteReference w:id="16"/>
      </w:r>
      <w:r w:rsidR="00F177DD" w:rsidRPr="002B4807">
        <w:rPr>
          <w:sz w:val="28"/>
          <w:szCs w:val="28"/>
          <w:lang w:val="en-US"/>
        </w:rPr>
        <w:t xml:space="preserve"> </w:t>
      </w:r>
      <w:r w:rsidR="00ED21E6" w:rsidRPr="002B4807">
        <w:rPr>
          <w:sz w:val="28"/>
          <w:szCs w:val="28"/>
          <w:lang w:val="en-US"/>
        </w:rPr>
        <w:t>‘</w:t>
      </w:r>
      <w:r w:rsidR="00ED21E6" w:rsidRPr="002B4807">
        <w:rPr>
          <w:sz w:val="28"/>
          <w:szCs w:val="28"/>
        </w:rPr>
        <w:t>there is a presumption of fact arising from registration’</w:t>
      </w:r>
      <w:r w:rsidR="00322033" w:rsidRPr="002B4807">
        <w:rPr>
          <w:rStyle w:val="FootnoteReference"/>
          <w:sz w:val="28"/>
          <w:szCs w:val="28"/>
        </w:rPr>
        <w:footnoteReference w:id="17"/>
      </w:r>
      <w:r w:rsidR="00ED21E6" w:rsidRPr="002B4807">
        <w:rPr>
          <w:sz w:val="28"/>
          <w:szCs w:val="28"/>
        </w:rPr>
        <w:t xml:space="preserve"> and</w:t>
      </w:r>
      <w:r w:rsidR="00ED21E6" w:rsidRPr="002B4807">
        <w:rPr>
          <w:sz w:val="28"/>
          <w:szCs w:val="28"/>
          <w:lang w:val="en-US"/>
        </w:rPr>
        <w:t xml:space="preserve"> </w:t>
      </w:r>
      <w:r w:rsidR="00F177DD" w:rsidRPr="002B4807">
        <w:rPr>
          <w:sz w:val="28"/>
          <w:szCs w:val="28"/>
          <w:lang w:val="en-US"/>
        </w:rPr>
        <w:t xml:space="preserve">the presumption against the existence of </w:t>
      </w:r>
      <w:r w:rsidR="00E87440" w:rsidRPr="002B4807">
        <w:rPr>
          <w:sz w:val="28"/>
          <w:szCs w:val="28"/>
          <w:lang w:val="en-US"/>
        </w:rPr>
        <w:t xml:space="preserve">a </w:t>
      </w:r>
      <w:r w:rsidR="00F177DD" w:rsidRPr="002B4807">
        <w:rPr>
          <w:sz w:val="28"/>
          <w:szCs w:val="28"/>
          <w:lang w:val="en-US"/>
        </w:rPr>
        <w:t>real servitude does not arise.</w:t>
      </w:r>
      <w:r w:rsidR="00611177" w:rsidRPr="002B4807">
        <w:rPr>
          <w:sz w:val="28"/>
          <w:szCs w:val="28"/>
          <w:lang w:val="en-US"/>
        </w:rPr>
        <w:t xml:space="preserve"> </w:t>
      </w:r>
    </w:p>
    <w:p w14:paraId="0B1D2CEB" w14:textId="77777777" w:rsidR="00ED21E6" w:rsidRPr="002B4807" w:rsidRDefault="00ED21E6" w:rsidP="00207DB4">
      <w:pPr>
        <w:pStyle w:val="ListParagraph"/>
        <w:spacing w:line="360" w:lineRule="auto"/>
        <w:ind w:left="0"/>
        <w:jc w:val="both"/>
        <w:rPr>
          <w:sz w:val="28"/>
          <w:szCs w:val="28"/>
          <w:lang w:val="en-US"/>
        </w:rPr>
      </w:pPr>
    </w:p>
    <w:p w14:paraId="7950F5FB" w14:textId="681DA1E1" w:rsidR="00A45713" w:rsidRPr="002B4807" w:rsidRDefault="008C1764" w:rsidP="00207DB4">
      <w:pPr>
        <w:pStyle w:val="ListParagraph"/>
        <w:spacing w:line="360" w:lineRule="auto"/>
        <w:ind w:left="0"/>
        <w:jc w:val="both"/>
        <w:rPr>
          <w:sz w:val="28"/>
          <w:szCs w:val="28"/>
          <w:lang w:val="en-US"/>
        </w:rPr>
      </w:pPr>
      <w:r w:rsidRPr="002B4807">
        <w:rPr>
          <w:sz w:val="28"/>
          <w:szCs w:val="28"/>
          <w:lang w:val="en-US"/>
        </w:rPr>
        <w:t>[26]</w:t>
      </w:r>
      <w:r w:rsidRPr="002B4807">
        <w:rPr>
          <w:sz w:val="28"/>
          <w:szCs w:val="28"/>
          <w:lang w:val="en-US"/>
        </w:rPr>
        <w:tab/>
      </w:r>
      <w:r w:rsidR="0008527E" w:rsidRPr="002B4807">
        <w:rPr>
          <w:sz w:val="28"/>
          <w:szCs w:val="28"/>
          <w:lang w:val="en-US"/>
        </w:rPr>
        <w:t xml:space="preserve">The adjunct to the attack against the recognition of </w:t>
      </w:r>
      <w:r w:rsidR="009A7743" w:rsidRPr="002B4807">
        <w:rPr>
          <w:sz w:val="28"/>
          <w:szCs w:val="28"/>
          <w:lang w:val="en-US"/>
        </w:rPr>
        <w:t>a</w:t>
      </w:r>
      <w:r w:rsidR="0008527E" w:rsidRPr="002B4807">
        <w:rPr>
          <w:sz w:val="28"/>
          <w:szCs w:val="28"/>
          <w:lang w:val="en-US"/>
        </w:rPr>
        <w:t xml:space="preserve"> </w:t>
      </w:r>
      <w:r w:rsidR="00DC1A4B" w:rsidRPr="002B4807">
        <w:rPr>
          <w:sz w:val="28"/>
          <w:szCs w:val="28"/>
          <w:lang w:val="en-US"/>
        </w:rPr>
        <w:t xml:space="preserve">garden </w:t>
      </w:r>
      <w:r w:rsidR="0008527E" w:rsidRPr="002B4807">
        <w:rPr>
          <w:sz w:val="28"/>
          <w:szCs w:val="28"/>
          <w:lang w:val="en-US"/>
        </w:rPr>
        <w:t xml:space="preserve">servitude </w:t>
      </w:r>
      <w:r w:rsidR="00DC1A4B" w:rsidRPr="002B4807">
        <w:rPr>
          <w:sz w:val="28"/>
          <w:szCs w:val="28"/>
          <w:lang w:val="en-US"/>
        </w:rPr>
        <w:t xml:space="preserve">simply on the basis that it is </w:t>
      </w:r>
      <w:r w:rsidR="0008527E" w:rsidRPr="002B4807">
        <w:rPr>
          <w:sz w:val="28"/>
          <w:szCs w:val="28"/>
          <w:lang w:val="en-US"/>
        </w:rPr>
        <w:t>not one of the traditional servitudes</w:t>
      </w:r>
      <w:r w:rsidR="00DC1A4B" w:rsidRPr="002B4807">
        <w:rPr>
          <w:sz w:val="28"/>
          <w:szCs w:val="28"/>
          <w:lang w:val="en-US"/>
        </w:rPr>
        <w:t xml:space="preserve"> does not have a legal basis</w:t>
      </w:r>
      <w:r w:rsidR="0008527E" w:rsidRPr="002B4807">
        <w:rPr>
          <w:sz w:val="28"/>
          <w:szCs w:val="28"/>
          <w:lang w:val="en-US"/>
        </w:rPr>
        <w:t xml:space="preserve">. </w:t>
      </w:r>
      <w:r w:rsidR="00090CA6" w:rsidRPr="002B4807">
        <w:rPr>
          <w:sz w:val="28"/>
          <w:szCs w:val="28"/>
          <w:lang w:val="en-US"/>
        </w:rPr>
        <w:t>The correct position in our</w:t>
      </w:r>
      <w:r w:rsidR="00385636" w:rsidRPr="002B4807">
        <w:rPr>
          <w:sz w:val="28"/>
          <w:szCs w:val="28"/>
          <w:lang w:val="en-US"/>
        </w:rPr>
        <w:t xml:space="preserve"> law</w:t>
      </w:r>
      <w:r w:rsidR="00090CA6" w:rsidRPr="002B4807">
        <w:rPr>
          <w:sz w:val="28"/>
          <w:szCs w:val="28"/>
          <w:lang w:val="en-US"/>
        </w:rPr>
        <w:t xml:space="preserve"> is that</w:t>
      </w:r>
      <w:r w:rsidR="00385636" w:rsidRPr="002B4807">
        <w:rPr>
          <w:sz w:val="28"/>
          <w:szCs w:val="28"/>
          <w:lang w:val="en-US"/>
        </w:rPr>
        <w:t xml:space="preserve"> there is no </w:t>
      </w:r>
      <w:r w:rsidR="0042184E" w:rsidRPr="002B4807">
        <w:rPr>
          <w:sz w:val="28"/>
          <w:szCs w:val="28"/>
          <w:lang w:val="en-US"/>
        </w:rPr>
        <w:t>exhaustive list</w:t>
      </w:r>
      <w:r w:rsidR="00385636" w:rsidRPr="002B4807">
        <w:rPr>
          <w:sz w:val="28"/>
          <w:szCs w:val="28"/>
          <w:lang w:val="en-US"/>
        </w:rPr>
        <w:t xml:space="preserve"> of real servitudes. </w:t>
      </w:r>
      <w:r w:rsidR="00A45713" w:rsidRPr="002B4807">
        <w:rPr>
          <w:sz w:val="28"/>
          <w:szCs w:val="28"/>
          <w:lang w:val="en-US"/>
        </w:rPr>
        <w:t xml:space="preserve">On this </w:t>
      </w:r>
      <w:r w:rsidR="007836AA" w:rsidRPr="002B4807">
        <w:rPr>
          <w:sz w:val="28"/>
          <w:szCs w:val="28"/>
          <w:lang w:val="en-US"/>
        </w:rPr>
        <w:t>score</w:t>
      </w:r>
      <w:r w:rsidR="00ED21E6" w:rsidRPr="002B4807">
        <w:rPr>
          <w:sz w:val="28"/>
          <w:szCs w:val="28"/>
          <w:lang w:val="en-US"/>
        </w:rPr>
        <w:t>,</w:t>
      </w:r>
      <w:r w:rsidR="007836AA" w:rsidRPr="002B4807">
        <w:rPr>
          <w:sz w:val="28"/>
          <w:szCs w:val="28"/>
          <w:lang w:val="en-US"/>
        </w:rPr>
        <w:t xml:space="preserve"> </w:t>
      </w:r>
      <w:r w:rsidR="003159AE" w:rsidRPr="002B4807">
        <w:rPr>
          <w:sz w:val="28"/>
          <w:szCs w:val="28"/>
          <w:lang w:val="en-US"/>
        </w:rPr>
        <w:t xml:space="preserve">what </w:t>
      </w:r>
      <w:r w:rsidR="00A45713" w:rsidRPr="002B4807">
        <w:rPr>
          <w:sz w:val="28"/>
          <w:szCs w:val="28"/>
          <w:lang w:val="en-US"/>
        </w:rPr>
        <w:t>the</w:t>
      </w:r>
      <w:r w:rsidR="00385636" w:rsidRPr="002B4807">
        <w:rPr>
          <w:sz w:val="28"/>
          <w:szCs w:val="28"/>
          <w:lang w:val="en-US"/>
        </w:rPr>
        <w:t xml:space="preserve"> Constitutional Court</w:t>
      </w:r>
      <w:r w:rsidR="003159AE" w:rsidRPr="002B4807">
        <w:rPr>
          <w:sz w:val="28"/>
          <w:szCs w:val="28"/>
          <w:lang w:val="en-US"/>
        </w:rPr>
        <w:t xml:space="preserve"> said</w:t>
      </w:r>
      <w:r w:rsidR="00385636" w:rsidRPr="002B4807">
        <w:rPr>
          <w:sz w:val="28"/>
          <w:szCs w:val="28"/>
          <w:lang w:val="en-US"/>
        </w:rPr>
        <w:t xml:space="preserve"> in </w:t>
      </w:r>
      <w:r w:rsidR="00ED21E6" w:rsidRPr="002B4807">
        <w:rPr>
          <w:i/>
          <w:iCs/>
          <w:sz w:val="28"/>
          <w:szCs w:val="28"/>
          <w:lang w:val="en-US"/>
        </w:rPr>
        <w:t xml:space="preserve">City of </w:t>
      </w:r>
      <w:r w:rsidR="00385636" w:rsidRPr="002B4807">
        <w:rPr>
          <w:i/>
          <w:iCs/>
          <w:sz w:val="28"/>
          <w:szCs w:val="28"/>
          <w:lang w:val="en-US"/>
        </w:rPr>
        <w:t>Tshwane v Link Africa</w:t>
      </w:r>
      <w:r w:rsidR="00ED21E6" w:rsidRPr="002B4807">
        <w:rPr>
          <w:i/>
          <w:iCs/>
          <w:sz w:val="28"/>
          <w:szCs w:val="28"/>
          <w:lang w:val="en-US"/>
        </w:rPr>
        <w:t xml:space="preserve"> (Pty) Ltd </w:t>
      </w:r>
      <w:r w:rsidR="00A45713" w:rsidRPr="002B4807">
        <w:rPr>
          <w:i/>
          <w:iCs/>
          <w:sz w:val="28"/>
          <w:szCs w:val="28"/>
          <w:lang w:val="en-US"/>
        </w:rPr>
        <w:t>and Others</w:t>
      </w:r>
      <w:r w:rsidR="008A23D0" w:rsidRPr="002B4807">
        <w:rPr>
          <w:rStyle w:val="FootnoteReference"/>
          <w:iCs/>
          <w:sz w:val="28"/>
          <w:szCs w:val="28"/>
          <w:lang w:val="en-US"/>
        </w:rPr>
        <w:footnoteReference w:id="18"/>
      </w:r>
      <w:r w:rsidR="00BC2DA6" w:rsidRPr="002B4807">
        <w:rPr>
          <w:i/>
          <w:iCs/>
          <w:sz w:val="28"/>
          <w:szCs w:val="28"/>
          <w:lang w:val="en-US"/>
        </w:rPr>
        <w:t xml:space="preserve"> </w:t>
      </w:r>
      <w:r w:rsidR="00BC2DA6" w:rsidRPr="002B4807">
        <w:rPr>
          <w:sz w:val="28"/>
          <w:szCs w:val="28"/>
          <w:lang w:val="en-US"/>
        </w:rPr>
        <w:t>(</w:t>
      </w:r>
      <w:r w:rsidR="00BC2DA6" w:rsidRPr="002B4807">
        <w:rPr>
          <w:i/>
          <w:iCs/>
          <w:sz w:val="28"/>
          <w:szCs w:val="28"/>
          <w:lang w:val="en-US"/>
        </w:rPr>
        <w:t>Link Africa</w:t>
      </w:r>
      <w:r w:rsidR="00BC2DA6" w:rsidRPr="002B4807">
        <w:rPr>
          <w:sz w:val="28"/>
          <w:szCs w:val="28"/>
          <w:lang w:val="en-US"/>
        </w:rPr>
        <w:t>)</w:t>
      </w:r>
      <w:r w:rsidR="00385636" w:rsidRPr="002B4807">
        <w:rPr>
          <w:sz w:val="28"/>
          <w:szCs w:val="28"/>
          <w:lang w:val="en-US"/>
        </w:rPr>
        <w:t xml:space="preserve"> </w:t>
      </w:r>
      <w:r w:rsidR="003159AE" w:rsidRPr="002B4807">
        <w:rPr>
          <w:sz w:val="28"/>
          <w:szCs w:val="28"/>
          <w:lang w:val="en-US"/>
        </w:rPr>
        <w:t xml:space="preserve">is instructive. The Court </w:t>
      </w:r>
      <w:r w:rsidR="00A45713" w:rsidRPr="002B4807">
        <w:rPr>
          <w:sz w:val="28"/>
          <w:szCs w:val="28"/>
          <w:lang w:val="en-US"/>
        </w:rPr>
        <w:t>said:</w:t>
      </w:r>
    </w:p>
    <w:p w14:paraId="31F98A62" w14:textId="5770AE9A" w:rsidR="00A45713" w:rsidRPr="002B4807" w:rsidRDefault="008A23D0" w:rsidP="00207DB4">
      <w:pPr>
        <w:pStyle w:val="ListParagraph"/>
        <w:spacing w:line="360" w:lineRule="auto"/>
        <w:ind w:left="0"/>
        <w:jc w:val="both"/>
        <w:rPr>
          <w:lang w:val="en-US"/>
        </w:rPr>
      </w:pPr>
      <w:r w:rsidRPr="002B4807">
        <w:rPr>
          <w:lang w:val="en-US"/>
        </w:rPr>
        <w:t>‘</w:t>
      </w:r>
      <w:r w:rsidR="0042184E" w:rsidRPr="002B4807">
        <w:rPr>
          <w:lang w:val="en-US"/>
        </w:rPr>
        <w:t>I</w:t>
      </w:r>
      <w:r w:rsidR="00A45713" w:rsidRPr="002B4807">
        <w:rPr>
          <w:lang w:val="en-US"/>
        </w:rPr>
        <w:t xml:space="preserve">n modern South African law, types of rights and restrictions found in traditional servitudes have been relaxed. This relaxation has been so extensive </w:t>
      </w:r>
      <w:r w:rsidR="00ED21E6" w:rsidRPr="002B4807">
        <w:rPr>
          <w:lang w:val="en-US"/>
        </w:rPr>
        <w:t>“</w:t>
      </w:r>
      <w:r w:rsidR="00A45713" w:rsidRPr="002B4807">
        <w:rPr>
          <w:lang w:val="en-US"/>
        </w:rPr>
        <w:t xml:space="preserve">that their number is </w:t>
      </w:r>
      <w:r w:rsidR="00322033" w:rsidRPr="002B4807">
        <w:rPr>
          <w:lang w:val="en-US"/>
        </w:rPr>
        <w:t>“</w:t>
      </w:r>
      <w:r w:rsidR="00A45713" w:rsidRPr="002B4807">
        <w:rPr>
          <w:lang w:val="en-US"/>
        </w:rPr>
        <w:t>practically unlimited</w:t>
      </w:r>
      <w:r w:rsidR="00322033" w:rsidRPr="002B4807">
        <w:rPr>
          <w:lang w:val="en-US"/>
        </w:rPr>
        <w:t>”</w:t>
      </w:r>
      <w:r w:rsidR="00A45713" w:rsidRPr="002B4807">
        <w:rPr>
          <w:lang w:val="en-US"/>
        </w:rPr>
        <w:t xml:space="preserve"> although certain general requirements have to be fulfilled</w:t>
      </w:r>
      <w:r w:rsidR="00ED21E6" w:rsidRPr="002B4807">
        <w:rPr>
          <w:lang w:val="en-US"/>
        </w:rPr>
        <w:t>”</w:t>
      </w:r>
      <w:r w:rsidR="00A45713" w:rsidRPr="002B4807">
        <w:rPr>
          <w:lang w:val="en-US"/>
        </w:rPr>
        <w:t>. To determine whether a right in property is a servitude is often a matter of judicial policy. It depends in part on whether the nature of the right is capable of being recogni</w:t>
      </w:r>
      <w:r w:rsidR="00ED21E6" w:rsidRPr="002B4807">
        <w:rPr>
          <w:lang w:val="en-US"/>
        </w:rPr>
        <w:t>s</w:t>
      </w:r>
      <w:r w:rsidR="00A45713" w:rsidRPr="002B4807">
        <w:rPr>
          <w:lang w:val="en-US"/>
        </w:rPr>
        <w:t xml:space="preserve">ed as a real right: </w:t>
      </w:r>
    </w:p>
    <w:p w14:paraId="4D3E902B" w14:textId="75C20E49" w:rsidR="00B04607" w:rsidRPr="002B4807" w:rsidRDefault="001E7F17" w:rsidP="00207DB4">
      <w:pPr>
        <w:pStyle w:val="ListParagraph"/>
        <w:spacing w:line="360" w:lineRule="auto"/>
        <w:ind w:left="0"/>
        <w:jc w:val="both"/>
        <w:rPr>
          <w:lang w:val="en-US"/>
        </w:rPr>
      </w:pPr>
      <w:r w:rsidRPr="002B4807">
        <w:rPr>
          <w:lang w:val="en-US"/>
        </w:rPr>
        <w:t>“</w:t>
      </w:r>
      <w:r w:rsidR="00293411" w:rsidRPr="002B4807">
        <w:rPr>
          <w:lang w:val="en-US"/>
        </w:rPr>
        <w:t xml:space="preserve">The essence of a servitude is therefore, that it confers </w:t>
      </w:r>
      <w:r w:rsidR="00BC2DA6" w:rsidRPr="002B4807">
        <w:rPr>
          <w:lang w:val="en-US"/>
        </w:rPr>
        <w:t>“</w:t>
      </w:r>
      <w:r w:rsidR="00293411" w:rsidRPr="002B4807">
        <w:rPr>
          <w:lang w:val="en-US"/>
        </w:rPr>
        <w:t>a real right [to use and enjoyment of the property of another]</w:t>
      </w:r>
      <w:r w:rsidR="00BC2DA6" w:rsidRPr="002B4807">
        <w:rPr>
          <w:lang w:val="en-US"/>
        </w:rPr>
        <w:t>”</w:t>
      </w:r>
      <w:r w:rsidR="00293411" w:rsidRPr="002B4807">
        <w:rPr>
          <w:lang w:val="en-US"/>
        </w:rPr>
        <w:t xml:space="preserve">, and it is this direct relationship between the holder of the servitude and the property to which it relates that distinguishes it from a </w:t>
      </w:r>
      <w:r w:rsidR="00ED21E6" w:rsidRPr="002B4807">
        <w:rPr>
          <w:lang w:val="en-US"/>
        </w:rPr>
        <w:t>mere</w:t>
      </w:r>
      <w:r w:rsidR="00293411" w:rsidRPr="002B4807">
        <w:rPr>
          <w:lang w:val="en-US"/>
        </w:rPr>
        <w:t xml:space="preserve"> contractual right against the owner of the</w:t>
      </w:r>
      <w:r w:rsidRPr="002B4807">
        <w:rPr>
          <w:lang w:val="en-US"/>
        </w:rPr>
        <w:t xml:space="preserve"> property.”</w:t>
      </w:r>
    </w:p>
    <w:p w14:paraId="742D8ECB" w14:textId="291CFC56" w:rsidR="00293411" w:rsidRPr="002B4807" w:rsidRDefault="00293411" w:rsidP="00207DB4">
      <w:pPr>
        <w:pStyle w:val="ListParagraph"/>
        <w:spacing w:line="360" w:lineRule="auto"/>
        <w:ind w:left="0"/>
        <w:jc w:val="both"/>
        <w:rPr>
          <w:lang w:val="en-US"/>
        </w:rPr>
      </w:pPr>
      <w:r w:rsidRPr="002B4807">
        <w:rPr>
          <w:lang w:val="en-US"/>
        </w:rPr>
        <w:t>The crucial point is this: the common law on servitudes illustrates that property rights have dimension, colour and complexity far beyond any barefaced general proposition about ownership. Servitudes limit the right</w:t>
      </w:r>
      <w:r w:rsidR="00F76AE7" w:rsidRPr="002B4807">
        <w:rPr>
          <w:lang w:val="en-US"/>
        </w:rPr>
        <w:t>s</w:t>
      </w:r>
      <w:r w:rsidRPr="002B4807">
        <w:rPr>
          <w:lang w:val="en-US"/>
        </w:rPr>
        <w:t xml:space="preserve"> of ownership and place certain burdens on property by affording power of use and enjoyment to another. That has been the case for thousands of years, fo</w:t>
      </w:r>
      <w:r w:rsidR="009A7743" w:rsidRPr="002B4807">
        <w:rPr>
          <w:lang w:val="en-US"/>
        </w:rPr>
        <w:t>r our</w:t>
      </w:r>
      <w:r w:rsidRPr="002B4807">
        <w:rPr>
          <w:lang w:val="en-US"/>
        </w:rPr>
        <w:t xml:space="preserve"> </w:t>
      </w:r>
      <w:r w:rsidR="009A7743" w:rsidRPr="002B4807">
        <w:rPr>
          <w:lang w:val="en-US"/>
        </w:rPr>
        <w:t>law</w:t>
      </w:r>
      <w:r w:rsidRPr="002B4807">
        <w:rPr>
          <w:lang w:val="en-US"/>
        </w:rPr>
        <w:t xml:space="preserve"> of servitude</w:t>
      </w:r>
      <w:r w:rsidR="00F76AE7" w:rsidRPr="002B4807">
        <w:rPr>
          <w:lang w:val="en-US"/>
        </w:rPr>
        <w:t>s</w:t>
      </w:r>
      <w:r w:rsidRPr="002B4807">
        <w:rPr>
          <w:lang w:val="en-US"/>
        </w:rPr>
        <w:t>, both consensual and non</w:t>
      </w:r>
      <w:r w:rsidR="009A7743" w:rsidRPr="002B4807">
        <w:rPr>
          <w:lang w:val="en-US"/>
        </w:rPr>
        <w:t>-</w:t>
      </w:r>
      <w:r w:rsidRPr="002B4807">
        <w:rPr>
          <w:lang w:val="en-US"/>
        </w:rPr>
        <w:t>consensual,</w:t>
      </w:r>
      <w:r w:rsidR="008A23D0" w:rsidRPr="002B4807">
        <w:rPr>
          <w:lang w:val="en-US"/>
        </w:rPr>
        <w:t xml:space="preserve"> is derived from the Roman law.’</w:t>
      </w:r>
      <w:r w:rsidR="00BC2DA6" w:rsidRPr="002B4807">
        <w:rPr>
          <w:rStyle w:val="FootnoteReference"/>
          <w:lang w:val="en-US"/>
        </w:rPr>
        <w:footnoteReference w:id="19"/>
      </w:r>
    </w:p>
    <w:p w14:paraId="12CC0566" w14:textId="77777777" w:rsidR="00377367" w:rsidRPr="002B4807" w:rsidRDefault="00377367" w:rsidP="00207DB4">
      <w:pPr>
        <w:spacing w:line="360" w:lineRule="auto"/>
        <w:jc w:val="both"/>
        <w:rPr>
          <w:color w:val="7030A0"/>
          <w:sz w:val="28"/>
          <w:szCs w:val="28"/>
          <w:lang w:val="en-US"/>
        </w:rPr>
      </w:pPr>
    </w:p>
    <w:p w14:paraId="37F7D313" w14:textId="77777777" w:rsidR="00860E3B" w:rsidRPr="002B4807" w:rsidRDefault="008C1764" w:rsidP="00207DB4">
      <w:pPr>
        <w:pStyle w:val="ListParagraph"/>
        <w:spacing w:line="360" w:lineRule="auto"/>
        <w:ind w:left="0"/>
        <w:jc w:val="both"/>
        <w:rPr>
          <w:sz w:val="28"/>
          <w:szCs w:val="28"/>
          <w:lang w:val="en-US"/>
        </w:rPr>
      </w:pPr>
      <w:r w:rsidRPr="002B4807">
        <w:rPr>
          <w:sz w:val="28"/>
          <w:szCs w:val="28"/>
          <w:lang w:val="en-US"/>
        </w:rPr>
        <w:lastRenderedPageBreak/>
        <w:t>[27]</w:t>
      </w:r>
      <w:r w:rsidRPr="002B4807">
        <w:rPr>
          <w:sz w:val="28"/>
          <w:szCs w:val="28"/>
          <w:lang w:val="en-US"/>
        </w:rPr>
        <w:tab/>
      </w:r>
      <w:r w:rsidR="00894D52" w:rsidRPr="002B4807">
        <w:rPr>
          <w:sz w:val="28"/>
          <w:szCs w:val="28"/>
          <w:lang w:val="en-US"/>
        </w:rPr>
        <w:t>I</w:t>
      </w:r>
      <w:r w:rsidR="00D1671D" w:rsidRPr="002B4807">
        <w:rPr>
          <w:sz w:val="28"/>
          <w:szCs w:val="28"/>
          <w:lang w:val="en-US"/>
        </w:rPr>
        <w:t xml:space="preserve">n this case the features of the garden servitude </w:t>
      </w:r>
      <w:r w:rsidR="008D0D15" w:rsidRPr="002B4807">
        <w:rPr>
          <w:sz w:val="28"/>
          <w:szCs w:val="28"/>
          <w:lang w:val="en-US"/>
        </w:rPr>
        <w:t xml:space="preserve">with which we are concerned </w:t>
      </w:r>
      <w:r w:rsidR="00D1671D" w:rsidRPr="002B4807">
        <w:rPr>
          <w:sz w:val="28"/>
          <w:szCs w:val="28"/>
          <w:lang w:val="en-US"/>
        </w:rPr>
        <w:t>meet</w:t>
      </w:r>
      <w:r w:rsidR="00894D52" w:rsidRPr="002B4807">
        <w:rPr>
          <w:sz w:val="28"/>
          <w:szCs w:val="28"/>
          <w:lang w:val="en-US"/>
        </w:rPr>
        <w:t xml:space="preserve"> </w:t>
      </w:r>
      <w:r w:rsidR="00D1671D" w:rsidRPr="002B4807">
        <w:rPr>
          <w:sz w:val="28"/>
          <w:szCs w:val="28"/>
          <w:lang w:val="en-US"/>
        </w:rPr>
        <w:t xml:space="preserve">the distinctive characteristics of a praedial servitude, not a personal servitude, as shown in </w:t>
      </w:r>
      <w:r w:rsidR="00D1671D" w:rsidRPr="002B4807">
        <w:rPr>
          <w:i/>
          <w:iCs/>
          <w:sz w:val="28"/>
          <w:szCs w:val="28"/>
          <w:lang w:val="en-US"/>
        </w:rPr>
        <w:t>Link Africa</w:t>
      </w:r>
      <w:r w:rsidR="007934BB" w:rsidRPr="002B4807">
        <w:rPr>
          <w:iCs/>
          <w:sz w:val="28"/>
          <w:szCs w:val="28"/>
          <w:lang w:val="en-US"/>
        </w:rPr>
        <w:t>,</w:t>
      </w:r>
      <w:r w:rsidR="00D1671D" w:rsidRPr="002B4807">
        <w:rPr>
          <w:i/>
          <w:iCs/>
          <w:sz w:val="28"/>
          <w:szCs w:val="28"/>
          <w:lang w:val="en-US"/>
        </w:rPr>
        <w:t xml:space="preserve"> </w:t>
      </w:r>
      <w:r w:rsidR="00D1671D" w:rsidRPr="002B4807">
        <w:rPr>
          <w:sz w:val="28"/>
          <w:szCs w:val="28"/>
          <w:lang w:val="en-US"/>
        </w:rPr>
        <w:t>where the following was said</w:t>
      </w:r>
      <w:r w:rsidR="001E7F17" w:rsidRPr="002B4807">
        <w:rPr>
          <w:sz w:val="28"/>
          <w:szCs w:val="28"/>
          <w:lang w:val="en-US"/>
        </w:rPr>
        <w:t>:</w:t>
      </w:r>
      <w:r w:rsidR="00D1671D" w:rsidRPr="002B4807">
        <w:rPr>
          <w:sz w:val="28"/>
          <w:szCs w:val="28"/>
          <w:lang w:val="en-US"/>
        </w:rPr>
        <w:t xml:space="preserve"> </w:t>
      </w:r>
    </w:p>
    <w:p w14:paraId="39696282" w14:textId="67935F8D" w:rsidR="00860E3B" w:rsidRPr="002B4807" w:rsidRDefault="001E7F17" w:rsidP="00207DB4">
      <w:pPr>
        <w:pStyle w:val="ListParagraph"/>
        <w:spacing w:line="360" w:lineRule="auto"/>
        <w:ind w:left="0"/>
        <w:jc w:val="both"/>
        <w:rPr>
          <w:lang w:val="en-US"/>
        </w:rPr>
      </w:pPr>
      <w:r w:rsidRPr="002B4807">
        <w:rPr>
          <w:lang w:val="en-US"/>
        </w:rPr>
        <w:t>‘</w:t>
      </w:r>
      <w:r w:rsidR="00860E3B" w:rsidRPr="002B4807">
        <w:rPr>
          <w:lang w:val="en-US"/>
        </w:rPr>
        <w:t>A praedial servitude is one where there are at least two pieces of land implicated. The servitude confers benefits on one piece of land, the dominant tenement, while imposing corresponding burdens on the other, the servient tenement. A praedial servitude vests in the owner of the dominant land. But neither its benefit nor its burden can be detached from the land. These are passed from one land owner to the next.</w:t>
      </w:r>
    </w:p>
    <w:p w14:paraId="1AF4F091" w14:textId="06FCE9E3" w:rsidR="00860E3B" w:rsidRPr="002B4807" w:rsidRDefault="00860E3B" w:rsidP="00207DB4">
      <w:pPr>
        <w:pStyle w:val="ListParagraph"/>
        <w:spacing w:line="360" w:lineRule="auto"/>
        <w:ind w:left="0"/>
        <w:jc w:val="both"/>
        <w:rPr>
          <w:lang w:val="en-US"/>
        </w:rPr>
      </w:pPr>
      <w:r w:rsidRPr="002B4807">
        <w:rPr>
          <w:lang w:val="en-US"/>
        </w:rPr>
        <w:t>By contrast, a personal servitude is a real right that attaches to the burdened land, but is also always connected to an individual. He or she holds the right to use and enjoy another’s property. That right is non-transferable: it cannot be passed on to another. However, personal servitudes are always enforceable against the owner of the property burdened by it – even when that owner changes</w:t>
      </w:r>
      <w:r w:rsidR="00D1671D" w:rsidRPr="002B4807">
        <w:rPr>
          <w:lang w:val="en-US"/>
        </w:rPr>
        <w:t>.</w:t>
      </w:r>
      <w:r w:rsidR="001E7F17" w:rsidRPr="002B4807">
        <w:rPr>
          <w:lang w:val="en-US"/>
        </w:rPr>
        <w:t>’</w:t>
      </w:r>
      <w:r w:rsidR="007934BB" w:rsidRPr="002B4807">
        <w:rPr>
          <w:rStyle w:val="FootnoteReference"/>
          <w:lang w:val="en-US"/>
        </w:rPr>
        <w:footnoteReference w:id="20"/>
      </w:r>
      <w:r w:rsidRPr="002B4807">
        <w:rPr>
          <w:lang w:val="en-US"/>
        </w:rPr>
        <w:t xml:space="preserve"> </w:t>
      </w:r>
    </w:p>
    <w:p w14:paraId="41BDAE43" w14:textId="77777777" w:rsidR="00860E3B" w:rsidRPr="002B4807" w:rsidRDefault="00860E3B" w:rsidP="00207DB4">
      <w:pPr>
        <w:spacing w:line="360" w:lineRule="auto"/>
        <w:jc w:val="both"/>
        <w:rPr>
          <w:sz w:val="28"/>
          <w:szCs w:val="28"/>
          <w:lang w:val="en-US"/>
        </w:rPr>
      </w:pPr>
    </w:p>
    <w:p w14:paraId="24D31409" w14:textId="77777777" w:rsidR="007A5DBA" w:rsidRPr="002B4807" w:rsidRDefault="008C1764" w:rsidP="00207DB4">
      <w:pPr>
        <w:pStyle w:val="ListParagraph"/>
        <w:spacing w:line="360" w:lineRule="auto"/>
        <w:ind w:left="0"/>
        <w:jc w:val="both"/>
        <w:rPr>
          <w:sz w:val="28"/>
          <w:szCs w:val="28"/>
          <w:lang w:val="en-US"/>
        </w:rPr>
      </w:pPr>
      <w:r w:rsidRPr="002B4807">
        <w:rPr>
          <w:sz w:val="28"/>
          <w:szCs w:val="28"/>
          <w:lang w:val="en-US"/>
        </w:rPr>
        <w:t>[</w:t>
      </w:r>
      <w:r w:rsidR="008541EA" w:rsidRPr="002B4807">
        <w:rPr>
          <w:sz w:val="28"/>
          <w:szCs w:val="28"/>
          <w:lang w:val="en-US"/>
        </w:rPr>
        <w:t>28]</w:t>
      </w:r>
      <w:r w:rsidR="008541EA" w:rsidRPr="002B4807">
        <w:rPr>
          <w:sz w:val="28"/>
          <w:szCs w:val="28"/>
          <w:lang w:val="en-US"/>
        </w:rPr>
        <w:tab/>
      </w:r>
      <w:r w:rsidR="00397354" w:rsidRPr="002B4807">
        <w:rPr>
          <w:sz w:val="28"/>
          <w:szCs w:val="28"/>
          <w:lang w:val="en-US"/>
        </w:rPr>
        <w:t>On the contrary,</w:t>
      </w:r>
      <w:r w:rsidR="00831B5D" w:rsidRPr="002B4807">
        <w:rPr>
          <w:sz w:val="28"/>
          <w:szCs w:val="28"/>
          <w:lang w:val="en-US"/>
        </w:rPr>
        <w:t xml:space="preserve"> </w:t>
      </w:r>
      <w:r w:rsidR="00397354" w:rsidRPr="002B4807">
        <w:rPr>
          <w:sz w:val="28"/>
          <w:szCs w:val="28"/>
          <w:lang w:val="en-US"/>
        </w:rPr>
        <w:t>t</w:t>
      </w:r>
      <w:r w:rsidR="005E41EC" w:rsidRPr="002B4807">
        <w:rPr>
          <w:sz w:val="28"/>
          <w:szCs w:val="28"/>
          <w:lang w:val="en-US"/>
        </w:rPr>
        <w:t xml:space="preserve">he description of a personal servitude of </w:t>
      </w:r>
      <w:r w:rsidR="005E41EC" w:rsidRPr="002B4807">
        <w:rPr>
          <w:i/>
          <w:iCs/>
          <w:sz w:val="28"/>
          <w:szCs w:val="28"/>
          <w:lang w:val="en-US"/>
        </w:rPr>
        <w:t>usus</w:t>
      </w:r>
      <w:r w:rsidR="005E41EC" w:rsidRPr="002B4807">
        <w:rPr>
          <w:sz w:val="28"/>
          <w:szCs w:val="28"/>
          <w:lang w:val="en-US"/>
        </w:rPr>
        <w:t xml:space="preserve"> makes </w:t>
      </w:r>
      <w:r w:rsidR="007836AA" w:rsidRPr="002B4807">
        <w:rPr>
          <w:sz w:val="28"/>
          <w:szCs w:val="28"/>
          <w:lang w:val="en-US"/>
        </w:rPr>
        <w:t>it plain</w:t>
      </w:r>
      <w:r w:rsidR="005E41EC" w:rsidRPr="002B4807">
        <w:rPr>
          <w:sz w:val="28"/>
          <w:szCs w:val="28"/>
          <w:lang w:val="en-US"/>
        </w:rPr>
        <w:t xml:space="preserve"> that the</w:t>
      </w:r>
      <w:r w:rsidR="003F6674" w:rsidRPr="002B4807">
        <w:rPr>
          <w:sz w:val="28"/>
          <w:szCs w:val="28"/>
          <w:lang w:val="en-US"/>
        </w:rPr>
        <w:t xml:space="preserve"> </w:t>
      </w:r>
      <w:r w:rsidR="005E41EC" w:rsidRPr="002B4807">
        <w:rPr>
          <w:sz w:val="28"/>
          <w:szCs w:val="28"/>
          <w:lang w:val="en-US"/>
        </w:rPr>
        <w:t xml:space="preserve">garden servitude in this case is not a personal servitude of </w:t>
      </w:r>
      <w:r w:rsidR="005E41EC" w:rsidRPr="002B4807">
        <w:rPr>
          <w:i/>
          <w:iCs/>
          <w:sz w:val="28"/>
          <w:szCs w:val="28"/>
          <w:lang w:val="en-US"/>
        </w:rPr>
        <w:t>usus</w:t>
      </w:r>
      <w:r w:rsidR="005E41EC" w:rsidRPr="002B4807">
        <w:rPr>
          <w:iCs/>
          <w:sz w:val="28"/>
          <w:szCs w:val="28"/>
          <w:lang w:val="en-US"/>
        </w:rPr>
        <w:t>.</w:t>
      </w:r>
      <w:r w:rsidR="005E41EC" w:rsidRPr="002B4807">
        <w:rPr>
          <w:sz w:val="28"/>
          <w:szCs w:val="28"/>
          <w:lang w:val="en-US"/>
        </w:rPr>
        <w:t xml:space="preserve"> The authorities</w:t>
      </w:r>
      <w:r w:rsidR="00860E3B" w:rsidRPr="002B4807">
        <w:rPr>
          <w:sz w:val="28"/>
          <w:szCs w:val="28"/>
          <w:lang w:val="en-US"/>
        </w:rPr>
        <w:t xml:space="preserve"> </w:t>
      </w:r>
      <w:r w:rsidR="005E41EC" w:rsidRPr="002B4807">
        <w:rPr>
          <w:sz w:val="28"/>
          <w:szCs w:val="28"/>
          <w:lang w:val="en-US"/>
        </w:rPr>
        <w:t>state that i</w:t>
      </w:r>
      <w:r w:rsidR="00860E3B" w:rsidRPr="002B4807">
        <w:rPr>
          <w:sz w:val="28"/>
          <w:szCs w:val="28"/>
          <w:lang w:val="en-US"/>
        </w:rPr>
        <w:t>n the case</w:t>
      </w:r>
      <w:r w:rsidR="005E41EC" w:rsidRPr="002B4807">
        <w:rPr>
          <w:sz w:val="28"/>
          <w:szCs w:val="28"/>
          <w:lang w:val="en-US"/>
        </w:rPr>
        <w:t xml:space="preserve"> of a </w:t>
      </w:r>
      <w:r w:rsidR="00860E3B" w:rsidRPr="002B4807">
        <w:rPr>
          <w:sz w:val="28"/>
          <w:szCs w:val="28"/>
          <w:lang w:val="en-US"/>
        </w:rPr>
        <w:t xml:space="preserve">personal servitude of </w:t>
      </w:r>
      <w:r w:rsidR="00860E3B" w:rsidRPr="002B4807">
        <w:rPr>
          <w:i/>
          <w:iCs/>
          <w:sz w:val="28"/>
          <w:szCs w:val="28"/>
          <w:lang w:val="en-US"/>
        </w:rPr>
        <w:t>usus</w:t>
      </w:r>
      <w:r w:rsidR="005E41EC" w:rsidRPr="002B4807">
        <w:rPr>
          <w:sz w:val="28"/>
          <w:szCs w:val="28"/>
          <w:lang w:val="en-US"/>
        </w:rPr>
        <w:t xml:space="preserve"> involving a piece of land</w:t>
      </w:r>
      <w:r w:rsidR="00860E3B" w:rsidRPr="002B4807">
        <w:rPr>
          <w:i/>
          <w:iCs/>
          <w:sz w:val="28"/>
          <w:szCs w:val="28"/>
          <w:lang w:val="en-US"/>
        </w:rPr>
        <w:t>,</w:t>
      </w:r>
      <w:r w:rsidR="00860E3B" w:rsidRPr="002B4807">
        <w:rPr>
          <w:sz w:val="28"/>
          <w:szCs w:val="28"/>
          <w:lang w:val="en-US"/>
        </w:rPr>
        <w:t xml:space="preserve"> the usuary of land may take fruit, vegetables and other produce for the household’s needs, leaving the remaining produce to the landowner who may enter and gather it. With regard to using a house, the usuary may occupy it with his or her family, servants and guests, and may let out part of the house, provided he or she remains in</w:t>
      </w:r>
      <w:r w:rsidR="00831B5D" w:rsidRPr="002B4807">
        <w:rPr>
          <w:sz w:val="28"/>
          <w:szCs w:val="28"/>
          <w:lang w:val="en-US"/>
        </w:rPr>
        <w:t xml:space="preserve"> </w:t>
      </w:r>
      <w:r w:rsidR="00860E3B" w:rsidRPr="002B4807">
        <w:rPr>
          <w:sz w:val="28"/>
          <w:szCs w:val="28"/>
          <w:lang w:val="en-US"/>
        </w:rPr>
        <w:t>occupation</w:t>
      </w:r>
      <w:r w:rsidR="00831B5D" w:rsidRPr="002B4807">
        <w:rPr>
          <w:sz w:val="28"/>
          <w:szCs w:val="28"/>
          <w:lang w:val="en-US"/>
        </w:rPr>
        <w:t>.</w:t>
      </w:r>
      <w:r w:rsidR="001E7F17" w:rsidRPr="002B4807">
        <w:rPr>
          <w:rStyle w:val="FootnoteReference"/>
          <w:sz w:val="28"/>
          <w:szCs w:val="28"/>
          <w:lang w:val="en-US"/>
        </w:rPr>
        <w:footnoteReference w:id="21"/>
      </w:r>
    </w:p>
    <w:p w14:paraId="50B472FD" w14:textId="77777777" w:rsidR="007A5DBA" w:rsidRPr="002B4807" w:rsidRDefault="007A5DBA" w:rsidP="00207DB4">
      <w:pPr>
        <w:spacing w:line="360" w:lineRule="auto"/>
        <w:jc w:val="both"/>
        <w:rPr>
          <w:sz w:val="28"/>
          <w:szCs w:val="28"/>
          <w:lang w:val="en-US"/>
        </w:rPr>
      </w:pPr>
    </w:p>
    <w:p w14:paraId="35AC25F5" w14:textId="2FA561D0" w:rsidR="007A5DBA" w:rsidRPr="002B4807" w:rsidRDefault="008541EA" w:rsidP="00207DB4">
      <w:pPr>
        <w:pStyle w:val="ListParagraph"/>
        <w:spacing w:line="360" w:lineRule="auto"/>
        <w:ind w:left="0"/>
        <w:jc w:val="both"/>
        <w:rPr>
          <w:sz w:val="28"/>
          <w:szCs w:val="28"/>
          <w:lang w:val="en-US"/>
        </w:rPr>
      </w:pPr>
      <w:r w:rsidRPr="002B4807">
        <w:rPr>
          <w:sz w:val="28"/>
          <w:szCs w:val="28"/>
          <w:lang w:val="en-US"/>
        </w:rPr>
        <w:t>[29]</w:t>
      </w:r>
      <w:r w:rsidRPr="002B4807">
        <w:rPr>
          <w:sz w:val="28"/>
          <w:szCs w:val="28"/>
          <w:lang w:val="en-US"/>
        </w:rPr>
        <w:tab/>
      </w:r>
      <w:r w:rsidR="00894D52" w:rsidRPr="002B4807">
        <w:rPr>
          <w:sz w:val="28"/>
          <w:szCs w:val="28"/>
          <w:lang w:val="en-US"/>
        </w:rPr>
        <w:t>For the afore</w:t>
      </w:r>
      <w:r w:rsidR="00BC2DA6" w:rsidRPr="002B4807">
        <w:rPr>
          <w:sz w:val="28"/>
          <w:szCs w:val="28"/>
          <w:lang w:val="en-US"/>
        </w:rPr>
        <w:t>mentioned</w:t>
      </w:r>
      <w:r w:rsidR="00894D52" w:rsidRPr="002B4807">
        <w:rPr>
          <w:sz w:val="28"/>
          <w:szCs w:val="28"/>
          <w:lang w:val="en-US"/>
        </w:rPr>
        <w:t xml:space="preserve"> reasons, I am driven to the conclusion that the  </w:t>
      </w:r>
      <w:r w:rsidR="006F1F81" w:rsidRPr="002B4807">
        <w:rPr>
          <w:sz w:val="28"/>
          <w:szCs w:val="28"/>
          <w:lang w:val="en-US"/>
        </w:rPr>
        <w:t xml:space="preserve"> meaning of the original clause P is that it bears the hallmarks of a praedial servitude, not a personal servitude of </w:t>
      </w:r>
      <w:r w:rsidR="006F1F81" w:rsidRPr="002B4807">
        <w:rPr>
          <w:i/>
          <w:iCs/>
          <w:sz w:val="28"/>
          <w:szCs w:val="28"/>
          <w:lang w:val="en-US"/>
        </w:rPr>
        <w:t>usus</w:t>
      </w:r>
      <w:r w:rsidR="009B0F4C" w:rsidRPr="002B4807">
        <w:rPr>
          <w:sz w:val="28"/>
          <w:szCs w:val="28"/>
          <w:lang w:val="en-US"/>
        </w:rPr>
        <w:t xml:space="preserve">. </w:t>
      </w:r>
      <w:r w:rsidR="007A5DBA" w:rsidRPr="002B4807">
        <w:rPr>
          <w:sz w:val="28"/>
          <w:szCs w:val="28"/>
          <w:lang w:val="en-US"/>
        </w:rPr>
        <w:t xml:space="preserve">The servitude </w:t>
      </w:r>
      <w:r w:rsidR="00894D52" w:rsidRPr="002B4807">
        <w:rPr>
          <w:sz w:val="28"/>
          <w:szCs w:val="28"/>
          <w:lang w:val="en-US"/>
        </w:rPr>
        <w:t xml:space="preserve">of the kind spelt out </w:t>
      </w:r>
      <w:r w:rsidR="00894D52" w:rsidRPr="002B4807">
        <w:rPr>
          <w:sz w:val="28"/>
          <w:szCs w:val="28"/>
          <w:lang w:val="en-US"/>
        </w:rPr>
        <w:lastRenderedPageBreak/>
        <w:t>in the</w:t>
      </w:r>
      <w:r w:rsidR="00397354" w:rsidRPr="002B4807">
        <w:rPr>
          <w:sz w:val="28"/>
          <w:szCs w:val="28"/>
          <w:lang w:val="en-US"/>
        </w:rPr>
        <w:t xml:space="preserve"> original </w:t>
      </w:r>
      <w:r w:rsidR="007A5DBA" w:rsidRPr="002B4807">
        <w:rPr>
          <w:sz w:val="28"/>
          <w:szCs w:val="28"/>
          <w:lang w:val="en-US"/>
        </w:rPr>
        <w:t xml:space="preserve">clause P does not fit the description of a personal servitude of </w:t>
      </w:r>
      <w:r w:rsidR="007A5DBA" w:rsidRPr="002B4807">
        <w:rPr>
          <w:i/>
          <w:iCs/>
          <w:sz w:val="28"/>
          <w:szCs w:val="28"/>
          <w:lang w:val="en-US"/>
        </w:rPr>
        <w:t>usus</w:t>
      </w:r>
      <w:r w:rsidR="007A5DBA" w:rsidRPr="002B4807">
        <w:rPr>
          <w:sz w:val="28"/>
          <w:szCs w:val="28"/>
          <w:lang w:val="en-US"/>
        </w:rPr>
        <w:t xml:space="preserve">, but points to </w:t>
      </w:r>
      <w:r w:rsidR="00397354" w:rsidRPr="002B4807">
        <w:rPr>
          <w:sz w:val="28"/>
          <w:szCs w:val="28"/>
          <w:lang w:val="en-US"/>
        </w:rPr>
        <w:t xml:space="preserve">it being </w:t>
      </w:r>
      <w:r w:rsidR="007A5DBA" w:rsidRPr="002B4807">
        <w:rPr>
          <w:sz w:val="28"/>
          <w:szCs w:val="28"/>
          <w:lang w:val="en-US"/>
        </w:rPr>
        <w:t xml:space="preserve">a praedial servitude </w:t>
      </w:r>
      <w:r w:rsidR="00894D52" w:rsidRPr="002B4807">
        <w:rPr>
          <w:sz w:val="28"/>
          <w:szCs w:val="28"/>
          <w:lang w:val="en-US"/>
        </w:rPr>
        <w:t xml:space="preserve">not only when viewed </w:t>
      </w:r>
      <w:r w:rsidR="007A5DBA" w:rsidRPr="002B4807">
        <w:rPr>
          <w:sz w:val="28"/>
          <w:szCs w:val="28"/>
          <w:lang w:val="en-US"/>
        </w:rPr>
        <w:t>in line with the common intention of the parties</w:t>
      </w:r>
      <w:r w:rsidR="008D0D15" w:rsidRPr="002B4807">
        <w:rPr>
          <w:sz w:val="28"/>
          <w:szCs w:val="28"/>
          <w:lang w:val="en-US"/>
        </w:rPr>
        <w:t xml:space="preserve"> b</w:t>
      </w:r>
      <w:r w:rsidR="00894D52" w:rsidRPr="002B4807">
        <w:rPr>
          <w:sz w:val="28"/>
          <w:szCs w:val="28"/>
          <w:lang w:val="en-US"/>
        </w:rPr>
        <w:t xml:space="preserve">ut also when interpreted purposively, contextually and having regard to the background to its preparation and production. </w:t>
      </w:r>
      <w:r w:rsidR="007A5DBA" w:rsidRPr="002B4807">
        <w:rPr>
          <w:sz w:val="28"/>
          <w:szCs w:val="28"/>
          <w:lang w:val="en-US"/>
        </w:rPr>
        <w:t>In the event</w:t>
      </w:r>
      <w:r w:rsidR="00397354" w:rsidRPr="002B4807">
        <w:rPr>
          <w:sz w:val="28"/>
          <w:szCs w:val="28"/>
          <w:lang w:val="en-US"/>
        </w:rPr>
        <w:t>,</w:t>
      </w:r>
      <w:r w:rsidR="007A5DBA" w:rsidRPr="002B4807">
        <w:rPr>
          <w:sz w:val="28"/>
          <w:szCs w:val="28"/>
          <w:lang w:val="en-US"/>
        </w:rPr>
        <w:t xml:space="preserve"> the registration of the servitude by the Registrar of Deeds </w:t>
      </w:r>
      <w:r w:rsidR="00397354" w:rsidRPr="002B4807">
        <w:rPr>
          <w:sz w:val="28"/>
          <w:szCs w:val="28"/>
          <w:lang w:val="en-US"/>
        </w:rPr>
        <w:t>cannot be faulted.</w:t>
      </w:r>
    </w:p>
    <w:p w14:paraId="2838FDE0" w14:textId="77777777" w:rsidR="007A5DBA" w:rsidRPr="002B4807" w:rsidRDefault="007A5DBA" w:rsidP="00207DB4">
      <w:pPr>
        <w:spacing w:line="360" w:lineRule="auto"/>
        <w:jc w:val="both"/>
        <w:rPr>
          <w:sz w:val="28"/>
          <w:szCs w:val="28"/>
          <w:lang w:val="en-US"/>
        </w:rPr>
      </w:pPr>
    </w:p>
    <w:p w14:paraId="2D7033FF" w14:textId="77777777" w:rsidR="00860E3B" w:rsidRPr="002B4807" w:rsidRDefault="008541EA" w:rsidP="00207DB4">
      <w:pPr>
        <w:pStyle w:val="ListParagraph"/>
        <w:spacing w:line="360" w:lineRule="auto"/>
        <w:ind w:left="0"/>
        <w:jc w:val="both"/>
        <w:rPr>
          <w:sz w:val="28"/>
          <w:szCs w:val="28"/>
          <w:lang w:val="en-US"/>
        </w:rPr>
      </w:pPr>
      <w:r w:rsidRPr="002B4807">
        <w:rPr>
          <w:sz w:val="28"/>
          <w:szCs w:val="28"/>
          <w:lang w:val="en-US"/>
        </w:rPr>
        <w:t>[30]</w:t>
      </w:r>
      <w:r w:rsidRPr="002B4807">
        <w:rPr>
          <w:sz w:val="28"/>
          <w:szCs w:val="28"/>
          <w:lang w:val="en-US"/>
        </w:rPr>
        <w:tab/>
      </w:r>
      <w:r w:rsidR="002259A1" w:rsidRPr="002B4807">
        <w:rPr>
          <w:sz w:val="28"/>
          <w:szCs w:val="28"/>
          <w:lang w:val="en-US"/>
        </w:rPr>
        <w:t>The</w:t>
      </w:r>
      <w:r w:rsidR="00461DA3" w:rsidRPr="002B4807">
        <w:rPr>
          <w:sz w:val="28"/>
          <w:szCs w:val="28"/>
          <w:lang w:val="en-US"/>
        </w:rPr>
        <w:t xml:space="preserve"> order authori</w:t>
      </w:r>
      <w:r w:rsidR="00894D52" w:rsidRPr="002B4807">
        <w:rPr>
          <w:sz w:val="28"/>
          <w:szCs w:val="28"/>
          <w:lang w:val="en-US"/>
        </w:rPr>
        <w:t>s</w:t>
      </w:r>
      <w:r w:rsidR="00461DA3" w:rsidRPr="002B4807">
        <w:rPr>
          <w:sz w:val="28"/>
          <w:szCs w:val="28"/>
          <w:lang w:val="en-US"/>
        </w:rPr>
        <w:t xml:space="preserve">ing </w:t>
      </w:r>
      <w:r w:rsidR="00894D52" w:rsidRPr="002B4807">
        <w:rPr>
          <w:sz w:val="28"/>
          <w:szCs w:val="28"/>
          <w:lang w:val="en-US"/>
        </w:rPr>
        <w:t>Huntrex 277</w:t>
      </w:r>
      <w:r w:rsidR="00461DA3" w:rsidRPr="002B4807">
        <w:rPr>
          <w:sz w:val="28"/>
          <w:szCs w:val="28"/>
          <w:lang w:val="en-US"/>
        </w:rPr>
        <w:t xml:space="preserve"> to</w:t>
      </w:r>
      <w:r w:rsidR="000F3072" w:rsidRPr="002B4807">
        <w:rPr>
          <w:sz w:val="28"/>
          <w:szCs w:val="28"/>
          <w:lang w:val="en-US"/>
        </w:rPr>
        <w:t xml:space="preserve"> </w:t>
      </w:r>
      <w:r w:rsidR="002B1B3F" w:rsidRPr="002B4807">
        <w:rPr>
          <w:sz w:val="28"/>
          <w:szCs w:val="28"/>
          <w:lang w:val="en-US"/>
        </w:rPr>
        <w:t>demolish th</w:t>
      </w:r>
      <w:r w:rsidR="000F3072" w:rsidRPr="002B4807">
        <w:rPr>
          <w:sz w:val="28"/>
          <w:szCs w:val="28"/>
          <w:lang w:val="en-US"/>
        </w:rPr>
        <w:t>e</w:t>
      </w:r>
      <w:r w:rsidR="002B1B3F" w:rsidRPr="002B4807">
        <w:rPr>
          <w:sz w:val="28"/>
          <w:szCs w:val="28"/>
          <w:lang w:val="en-US"/>
        </w:rPr>
        <w:t xml:space="preserve"> exist</w:t>
      </w:r>
      <w:r w:rsidR="000F3072" w:rsidRPr="002B4807">
        <w:rPr>
          <w:sz w:val="28"/>
          <w:szCs w:val="28"/>
          <w:lang w:val="en-US"/>
        </w:rPr>
        <w:t>ing</w:t>
      </w:r>
      <w:r w:rsidR="002B1B3F" w:rsidRPr="002B4807">
        <w:rPr>
          <w:sz w:val="28"/>
          <w:szCs w:val="28"/>
          <w:lang w:val="en-US"/>
        </w:rPr>
        <w:t xml:space="preserve"> wooden </w:t>
      </w:r>
      <w:r w:rsidR="000F3072" w:rsidRPr="002B4807">
        <w:rPr>
          <w:sz w:val="28"/>
          <w:szCs w:val="28"/>
          <w:lang w:val="en-US"/>
        </w:rPr>
        <w:t xml:space="preserve">pole </w:t>
      </w:r>
      <w:r w:rsidR="002B1B3F" w:rsidRPr="002B4807">
        <w:rPr>
          <w:sz w:val="28"/>
          <w:szCs w:val="28"/>
          <w:lang w:val="en-US"/>
        </w:rPr>
        <w:t>fence</w:t>
      </w:r>
      <w:r w:rsidR="000F3072" w:rsidRPr="002B4807">
        <w:rPr>
          <w:sz w:val="28"/>
          <w:szCs w:val="28"/>
          <w:lang w:val="en-US"/>
        </w:rPr>
        <w:t xml:space="preserve"> and erect </w:t>
      </w:r>
      <w:r w:rsidR="00371777" w:rsidRPr="002B4807">
        <w:rPr>
          <w:sz w:val="28"/>
          <w:szCs w:val="28"/>
          <w:lang w:val="en-US"/>
        </w:rPr>
        <w:t>its</w:t>
      </w:r>
      <w:r w:rsidR="00E26A87" w:rsidRPr="002B4807">
        <w:rPr>
          <w:sz w:val="28"/>
          <w:szCs w:val="28"/>
          <w:lang w:val="en-US"/>
        </w:rPr>
        <w:t xml:space="preserve"> fence </w:t>
      </w:r>
      <w:r w:rsidR="000F3072" w:rsidRPr="002B4807">
        <w:rPr>
          <w:sz w:val="28"/>
          <w:szCs w:val="28"/>
          <w:lang w:val="en-US"/>
        </w:rPr>
        <w:t>o</w:t>
      </w:r>
      <w:r w:rsidR="00E26A87" w:rsidRPr="002B4807">
        <w:rPr>
          <w:sz w:val="28"/>
          <w:szCs w:val="28"/>
          <w:lang w:val="en-US"/>
        </w:rPr>
        <w:t xml:space="preserve">n the servitudal area, </w:t>
      </w:r>
      <w:r w:rsidR="000F3072" w:rsidRPr="002B4807">
        <w:rPr>
          <w:sz w:val="28"/>
          <w:szCs w:val="28"/>
          <w:lang w:val="en-US"/>
        </w:rPr>
        <w:t>thereby r</w:t>
      </w:r>
      <w:r w:rsidR="00E26A87" w:rsidRPr="002B4807">
        <w:rPr>
          <w:sz w:val="28"/>
          <w:szCs w:val="28"/>
          <w:lang w:val="en-US"/>
        </w:rPr>
        <w:t xml:space="preserve">estricting access by </w:t>
      </w:r>
      <w:r w:rsidR="00371777" w:rsidRPr="002B4807">
        <w:rPr>
          <w:sz w:val="28"/>
          <w:szCs w:val="28"/>
          <w:lang w:val="en-US"/>
        </w:rPr>
        <w:t>Ms Berzack to the garden</w:t>
      </w:r>
      <w:r w:rsidR="00E26A87" w:rsidRPr="002B4807">
        <w:rPr>
          <w:sz w:val="28"/>
          <w:szCs w:val="28"/>
          <w:lang w:val="en-US"/>
        </w:rPr>
        <w:t xml:space="preserve"> ought not to have been granted.  </w:t>
      </w:r>
      <w:r w:rsidR="00461DA3" w:rsidRPr="002B4807">
        <w:rPr>
          <w:sz w:val="28"/>
          <w:szCs w:val="28"/>
          <w:lang w:val="en-US"/>
        </w:rPr>
        <w:t xml:space="preserve"> </w:t>
      </w:r>
      <w:r w:rsidR="00860E3B" w:rsidRPr="002B4807">
        <w:rPr>
          <w:sz w:val="28"/>
          <w:szCs w:val="28"/>
          <w:lang w:val="en-US"/>
        </w:rPr>
        <w:t xml:space="preserve"> </w:t>
      </w:r>
    </w:p>
    <w:p w14:paraId="44878B43" w14:textId="77777777" w:rsidR="0000712E" w:rsidRPr="002B4807" w:rsidRDefault="0000712E" w:rsidP="00207DB4">
      <w:pPr>
        <w:pStyle w:val="ListParagraph"/>
        <w:jc w:val="both"/>
        <w:rPr>
          <w:sz w:val="28"/>
          <w:szCs w:val="28"/>
          <w:lang w:val="en-US"/>
        </w:rPr>
      </w:pPr>
    </w:p>
    <w:p w14:paraId="1EF66A13" w14:textId="77777777" w:rsidR="00F635FE" w:rsidRPr="002B4807" w:rsidRDefault="00F635FE" w:rsidP="00207DB4">
      <w:pPr>
        <w:spacing w:line="360" w:lineRule="auto"/>
        <w:jc w:val="both"/>
        <w:rPr>
          <w:b/>
          <w:sz w:val="28"/>
          <w:szCs w:val="28"/>
          <w:lang w:val="en-US"/>
        </w:rPr>
      </w:pPr>
      <w:r w:rsidRPr="002B4807">
        <w:rPr>
          <w:b/>
          <w:sz w:val="28"/>
          <w:szCs w:val="28"/>
          <w:lang w:val="en-US"/>
        </w:rPr>
        <w:t>Rectification and prescription</w:t>
      </w:r>
    </w:p>
    <w:p w14:paraId="6E50217B" w14:textId="77777777" w:rsidR="00A760BC" w:rsidRPr="002B4807" w:rsidRDefault="008541EA" w:rsidP="00207DB4">
      <w:pPr>
        <w:pStyle w:val="ListParagraph"/>
        <w:spacing w:line="360" w:lineRule="auto"/>
        <w:ind w:left="0"/>
        <w:jc w:val="both"/>
        <w:rPr>
          <w:sz w:val="28"/>
          <w:szCs w:val="28"/>
          <w:lang w:val="en-US"/>
        </w:rPr>
      </w:pPr>
      <w:r w:rsidRPr="002B4807">
        <w:rPr>
          <w:sz w:val="28"/>
          <w:szCs w:val="28"/>
          <w:lang w:val="en-US"/>
        </w:rPr>
        <w:t>[31]</w:t>
      </w:r>
      <w:r w:rsidRPr="002B4807">
        <w:rPr>
          <w:sz w:val="28"/>
          <w:szCs w:val="28"/>
          <w:lang w:val="en-US"/>
        </w:rPr>
        <w:tab/>
      </w:r>
      <w:r w:rsidR="00371777" w:rsidRPr="002B4807">
        <w:rPr>
          <w:sz w:val="28"/>
          <w:szCs w:val="28"/>
          <w:lang w:val="en-US"/>
        </w:rPr>
        <w:t xml:space="preserve">The conclusion reached above </w:t>
      </w:r>
      <w:r w:rsidR="00F10C76" w:rsidRPr="002B4807">
        <w:rPr>
          <w:sz w:val="28"/>
          <w:szCs w:val="28"/>
          <w:lang w:val="en-US"/>
        </w:rPr>
        <w:t xml:space="preserve">that clause P </w:t>
      </w:r>
      <w:r w:rsidR="00371777" w:rsidRPr="002B4807">
        <w:rPr>
          <w:sz w:val="28"/>
          <w:szCs w:val="28"/>
          <w:lang w:val="en-US"/>
        </w:rPr>
        <w:t xml:space="preserve">constitutes </w:t>
      </w:r>
      <w:r w:rsidR="00F10C76" w:rsidRPr="002B4807">
        <w:rPr>
          <w:sz w:val="28"/>
          <w:szCs w:val="28"/>
          <w:lang w:val="en-US"/>
        </w:rPr>
        <w:t xml:space="preserve">a praedial servitude </w:t>
      </w:r>
      <w:r w:rsidR="00371777" w:rsidRPr="002B4807">
        <w:rPr>
          <w:sz w:val="28"/>
          <w:szCs w:val="28"/>
          <w:lang w:val="en-US"/>
        </w:rPr>
        <w:t>undercuts</w:t>
      </w:r>
      <w:r w:rsidR="00F10C76" w:rsidRPr="002B4807">
        <w:rPr>
          <w:sz w:val="28"/>
          <w:szCs w:val="28"/>
          <w:lang w:val="en-US"/>
        </w:rPr>
        <w:t xml:space="preserve"> the submission that s 66 of the Deeds Act prohibits registration of the servitude. </w:t>
      </w:r>
      <w:r w:rsidR="00F56937" w:rsidRPr="002B4807">
        <w:rPr>
          <w:sz w:val="28"/>
          <w:szCs w:val="28"/>
          <w:lang w:val="en-US"/>
        </w:rPr>
        <w:t>Similarly</w:t>
      </w:r>
      <w:r w:rsidR="00A560FA" w:rsidRPr="002B4807">
        <w:rPr>
          <w:sz w:val="28"/>
          <w:szCs w:val="28"/>
          <w:lang w:val="en-US"/>
        </w:rPr>
        <w:t>,</w:t>
      </w:r>
      <w:r w:rsidR="00F56937" w:rsidRPr="002B4807">
        <w:rPr>
          <w:sz w:val="28"/>
          <w:szCs w:val="28"/>
          <w:lang w:val="en-US"/>
        </w:rPr>
        <w:t xml:space="preserve"> </w:t>
      </w:r>
      <w:r w:rsidR="004E431B" w:rsidRPr="002B4807">
        <w:rPr>
          <w:sz w:val="28"/>
          <w:szCs w:val="28"/>
          <w:lang w:val="en-US"/>
        </w:rPr>
        <w:t xml:space="preserve">there </w:t>
      </w:r>
      <w:r w:rsidR="00F56937" w:rsidRPr="002B4807">
        <w:rPr>
          <w:sz w:val="28"/>
          <w:szCs w:val="28"/>
          <w:lang w:val="en-US"/>
        </w:rPr>
        <w:t>will be</w:t>
      </w:r>
      <w:r w:rsidR="005851DD" w:rsidRPr="002B4807">
        <w:rPr>
          <w:sz w:val="28"/>
          <w:szCs w:val="28"/>
          <w:lang w:val="en-US"/>
        </w:rPr>
        <w:t xml:space="preserve"> </w:t>
      </w:r>
      <w:r w:rsidR="004E431B" w:rsidRPr="002B4807">
        <w:rPr>
          <w:sz w:val="28"/>
          <w:szCs w:val="28"/>
          <w:lang w:val="en-US"/>
        </w:rPr>
        <w:t>no need to de</w:t>
      </w:r>
      <w:r w:rsidR="005851DD" w:rsidRPr="002B4807">
        <w:rPr>
          <w:sz w:val="28"/>
          <w:szCs w:val="28"/>
          <w:lang w:val="en-US"/>
        </w:rPr>
        <w:t>cide</w:t>
      </w:r>
      <w:r w:rsidR="004E431B" w:rsidRPr="002B4807">
        <w:rPr>
          <w:sz w:val="28"/>
          <w:szCs w:val="28"/>
          <w:lang w:val="en-US"/>
        </w:rPr>
        <w:t xml:space="preserve"> the appe</w:t>
      </w:r>
      <w:r w:rsidR="009A7743" w:rsidRPr="002B4807">
        <w:rPr>
          <w:sz w:val="28"/>
          <w:szCs w:val="28"/>
          <w:lang w:val="en-US"/>
        </w:rPr>
        <w:t>al based on rectification and</w:t>
      </w:r>
      <w:r w:rsidR="004E431B" w:rsidRPr="002B4807">
        <w:rPr>
          <w:sz w:val="28"/>
          <w:szCs w:val="28"/>
          <w:lang w:val="en-US"/>
        </w:rPr>
        <w:t xml:space="preserve"> prescription</w:t>
      </w:r>
      <w:r w:rsidR="009A7743" w:rsidRPr="002B4807">
        <w:rPr>
          <w:sz w:val="28"/>
          <w:szCs w:val="28"/>
          <w:lang w:val="en-US"/>
        </w:rPr>
        <w:t xml:space="preserve">. Suffice it to say that the </w:t>
      </w:r>
      <w:r w:rsidR="00F56937" w:rsidRPr="002B4807">
        <w:rPr>
          <w:sz w:val="28"/>
          <w:szCs w:val="28"/>
          <w:lang w:val="en-US"/>
        </w:rPr>
        <w:t xml:space="preserve">judgment and order of the </w:t>
      </w:r>
      <w:r w:rsidR="00F635FE" w:rsidRPr="002B4807">
        <w:rPr>
          <w:sz w:val="28"/>
          <w:szCs w:val="28"/>
          <w:lang w:val="en-US"/>
        </w:rPr>
        <w:t>h</w:t>
      </w:r>
      <w:r w:rsidR="00F56937" w:rsidRPr="002B4807">
        <w:rPr>
          <w:sz w:val="28"/>
          <w:szCs w:val="28"/>
          <w:lang w:val="en-US"/>
        </w:rPr>
        <w:t xml:space="preserve">igh </w:t>
      </w:r>
      <w:r w:rsidR="00F635FE" w:rsidRPr="002B4807">
        <w:rPr>
          <w:sz w:val="28"/>
          <w:szCs w:val="28"/>
          <w:lang w:val="en-US"/>
        </w:rPr>
        <w:t>c</w:t>
      </w:r>
      <w:r w:rsidR="00F56937" w:rsidRPr="002B4807">
        <w:rPr>
          <w:sz w:val="28"/>
          <w:szCs w:val="28"/>
          <w:lang w:val="en-US"/>
        </w:rPr>
        <w:t>ourt cannot stand. And the costs of the appeal should follow the result.</w:t>
      </w:r>
    </w:p>
    <w:p w14:paraId="13216FEF" w14:textId="77777777" w:rsidR="0012776E" w:rsidRPr="002B4807" w:rsidRDefault="0012776E" w:rsidP="00207DB4">
      <w:pPr>
        <w:pStyle w:val="ListParagraph"/>
        <w:spacing w:line="360" w:lineRule="auto"/>
        <w:ind w:left="0"/>
        <w:jc w:val="both"/>
        <w:rPr>
          <w:sz w:val="28"/>
          <w:szCs w:val="28"/>
          <w:lang w:val="en-US"/>
        </w:rPr>
      </w:pPr>
    </w:p>
    <w:p w14:paraId="04CFEE3B" w14:textId="6C7259C6" w:rsidR="0012776E" w:rsidRPr="002B4807" w:rsidRDefault="008541EA" w:rsidP="00207DB4">
      <w:pPr>
        <w:pStyle w:val="ListParagraph"/>
        <w:spacing w:line="360" w:lineRule="auto"/>
        <w:ind w:left="0"/>
        <w:jc w:val="both"/>
        <w:rPr>
          <w:sz w:val="28"/>
          <w:szCs w:val="28"/>
          <w:lang w:val="en-US"/>
        </w:rPr>
      </w:pPr>
      <w:r w:rsidRPr="002B4807">
        <w:rPr>
          <w:color w:val="222222"/>
          <w:sz w:val="28"/>
          <w:szCs w:val="28"/>
        </w:rPr>
        <w:t>[32]</w:t>
      </w:r>
      <w:r w:rsidRPr="002B4807">
        <w:rPr>
          <w:color w:val="222222"/>
          <w:sz w:val="28"/>
          <w:szCs w:val="28"/>
        </w:rPr>
        <w:tab/>
      </w:r>
      <w:r w:rsidR="0012776E" w:rsidRPr="002B4807">
        <w:rPr>
          <w:color w:val="222222"/>
          <w:sz w:val="28"/>
          <w:szCs w:val="28"/>
        </w:rPr>
        <w:t>Before concluding</w:t>
      </w:r>
      <w:r w:rsidR="0012776E" w:rsidRPr="00BB26F2">
        <w:rPr>
          <w:color w:val="222222"/>
          <w:sz w:val="28"/>
          <w:szCs w:val="28"/>
        </w:rPr>
        <w:t xml:space="preserve">, I </w:t>
      </w:r>
      <w:r w:rsidR="003C4BE1" w:rsidRPr="00BB26F2">
        <w:rPr>
          <w:color w:val="222222"/>
          <w:sz w:val="28"/>
          <w:szCs w:val="28"/>
        </w:rPr>
        <w:t>need only to say</w:t>
      </w:r>
      <w:r w:rsidR="00BB4122" w:rsidRPr="00BB26F2">
        <w:rPr>
          <w:color w:val="222222"/>
          <w:sz w:val="28"/>
          <w:szCs w:val="28"/>
        </w:rPr>
        <w:t xml:space="preserve"> </w:t>
      </w:r>
      <w:r w:rsidR="0012776E" w:rsidRPr="00BB26F2">
        <w:rPr>
          <w:color w:val="222222"/>
          <w:sz w:val="28"/>
          <w:szCs w:val="28"/>
        </w:rPr>
        <w:t>that I have read the jud</w:t>
      </w:r>
      <w:r w:rsidR="00326DE6" w:rsidRPr="00BB26F2">
        <w:rPr>
          <w:color w:val="222222"/>
          <w:sz w:val="28"/>
          <w:szCs w:val="28"/>
        </w:rPr>
        <w:t>gment authored by my colleagues, Plasket JA and Goosen AJA.</w:t>
      </w:r>
      <w:r w:rsidR="0012776E" w:rsidRPr="002B4807">
        <w:rPr>
          <w:color w:val="222222"/>
          <w:sz w:val="28"/>
          <w:szCs w:val="28"/>
        </w:rPr>
        <w:t xml:space="preserve"> While I agree that the permanent advantage derived from a feature or attribute of the servient tenement is not to be confused with the concept of utility, I disagree with the proposition that there is no feature or attribute of the servient tenement which can be said to provide an advantage to the dominant tenement. An obvious concomitant of the garden servitude is that the servient tenement entitles the dominant tenement to a view of the grounds. The servitutal rights created </w:t>
      </w:r>
      <w:r w:rsidR="0012776E" w:rsidRPr="002B4807">
        <w:rPr>
          <w:color w:val="222222"/>
          <w:sz w:val="28"/>
          <w:szCs w:val="28"/>
        </w:rPr>
        <w:lastRenderedPageBreak/>
        <w:t>indirectly serve as a guarantee that no structure can be constructed on the grounds designated as the garden area. In this fashion, the dominant tenemen</w:t>
      </w:r>
      <w:r w:rsidR="00BC2DA6" w:rsidRPr="002B4807">
        <w:rPr>
          <w:color w:val="222222"/>
          <w:sz w:val="28"/>
          <w:szCs w:val="28"/>
        </w:rPr>
        <w:t>t</w:t>
      </w:r>
      <w:r w:rsidR="0012776E" w:rsidRPr="002B4807">
        <w:rPr>
          <w:color w:val="222222"/>
          <w:sz w:val="28"/>
          <w:szCs w:val="28"/>
        </w:rPr>
        <w:t>’</w:t>
      </w:r>
      <w:r w:rsidR="00BC2DA6" w:rsidRPr="002B4807">
        <w:rPr>
          <w:color w:val="222222"/>
          <w:sz w:val="28"/>
          <w:szCs w:val="28"/>
        </w:rPr>
        <w:t>s</w:t>
      </w:r>
      <w:r w:rsidR="0012776E" w:rsidRPr="002B4807">
        <w:rPr>
          <w:color w:val="222222"/>
          <w:sz w:val="28"/>
          <w:szCs w:val="28"/>
        </w:rPr>
        <w:t xml:space="preserve"> poolside entertainment area will always be an area with a view as it is and will always be adjacent to a section of vacant land. That a view adds </w:t>
      </w:r>
      <w:r w:rsidR="0012776E" w:rsidRPr="002B4807">
        <w:rPr>
          <w:i/>
          <w:iCs/>
          <w:color w:val="222222"/>
          <w:sz w:val="28"/>
          <w:szCs w:val="28"/>
        </w:rPr>
        <w:t>utilitas </w:t>
      </w:r>
      <w:r w:rsidR="0012776E" w:rsidRPr="002B4807">
        <w:rPr>
          <w:color w:val="222222"/>
          <w:sz w:val="28"/>
          <w:szCs w:val="28"/>
        </w:rPr>
        <w:t xml:space="preserve">and enhances the value of residential property is incontrovertible.  The fact that in tending the garden, </w:t>
      </w:r>
      <w:r w:rsidR="0012776E" w:rsidRPr="00BB26F2">
        <w:rPr>
          <w:color w:val="222222"/>
          <w:sz w:val="28"/>
          <w:szCs w:val="28"/>
        </w:rPr>
        <w:t>Ms Berzack is, in the process, able to pursue her personal pleasure or caprice does not detract from the advantages alluded to.  The argument that the servitude area was identified in order to circumvent area restrictions</w:t>
      </w:r>
      <w:r w:rsidR="008C1764" w:rsidRPr="00BB26F2">
        <w:rPr>
          <w:color w:val="222222"/>
          <w:sz w:val="28"/>
          <w:szCs w:val="28"/>
        </w:rPr>
        <w:t> imposed</w:t>
      </w:r>
      <w:r w:rsidR="0012776E" w:rsidRPr="00BB26F2">
        <w:rPr>
          <w:color w:val="222222"/>
          <w:sz w:val="28"/>
          <w:szCs w:val="28"/>
        </w:rPr>
        <w:t xml:space="preserve"> by the applicable town planning scheme is a red-herring</w:t>
      </w:r>
      <w:r w:rsidR="00326DE6" w:rsidRPr="00BB26F2">
        <w:rPr>
          <w:color w:val="222222"/>
          <w:sz w:val="28"/>
          <w:szCs w:val="28"/>
        </w:rPr>
        <w:t>, in my view, and is above all belied by the facts emerging from the record.</w:t>
      </w:r>
    </w:p>
    <w:p w14:paraId="37F30F12" w14:textId="77777777" w:rsidR="00F56937" w:rsidRPr="002B4807" w:rsidRDefault="00F56937" w:rsidP="00207DB4">
      <w:pPr>
        <w:spacing w:line="360" w:lineRule="auto"/>
        <w:jc w:val="both"/>
        <w:rPr>
          <w:sz w:val="28"/>
          <w:szCs w:val="28"/>
          <w:lang w:val="en-US"/>
        </w:rPr>
      </w:pPr>
    </w:p>
    <w:p w14:paraId="029603E1" w14:textId="77777777" w:rsidR="00F635FE" w:rsidRPr="002B4807" w:rsidRDefault="00F635FE" w:rsidP="00207DB4">
      <w:pPr>
        <w:spacing w:line="360" w:lineRule="auto"/>
        <w:jc w:val="both"/>
        <w:rPr>
          <w:b/>
          <w:sz w:val="28"/>
          <w:szCs w:val="28"/>
          <w:lang w:val="en-US"/>
        </w:rPr>
      </w:pPr>
      <w:r w:rsidRPr="002B4807">
        <w:rPr>
          <w:b/>
          <w:sz w:val="28"/>
          <w:szCs w:val="28"/>
          <w:lang w:val="en-US"/>
        </w:rPr>
        <w:t>Order</w:t>
      </w:r>
    </w:p>
    <w:p w14:paraId="501F7626" w14:textId="77777777" w:rsidR="00F56937" w:rsidRPr="002B4807" w:rsidRDefault="008541EA" w:rsidP="00207DB4">
      <w:pPr>
        <w:pStyle w:val="ListParagraph"/>
        <w:spacing w:line="360" w:lineRule="auto"/>
        <w:ind w:left="0"/>
        <w:jc w:val="both"/>
        <w:rPr>
          <w:sz w:val="28"/>
          <w:szCs w:val="28"/>
          <w:lang w:val="en-US"/>
        </w:rPr>
      </w:pPr>
      <w:r w:rsidRPr="002B4807">
        <w:rPr>
          <w:sz w:val="28"/>
          <w:szCs w:val="28"/>
          <w:lang w:val="en-US"/>
        </w:rPr>
        <w:t>[33]</w:t>
      </w:r>
      <w:r w:rsidRPr="002B4807">
        <w:rPr>
          <w:sz w:val="28"/>
          <w:szCs w:val="28"/>
          <w:lang w:val="en-US"/>
        </w:rPr>
        <w:tab/>
      </w:r>
      <w:r w:rsidR="00F56937" w:rsidRPr="002B4807">
        <w:rPr>
          <w:sz w:val="28"/>
          <w:szCs w:val="28"/>
          <w:lang w:val="en-US"/>
        </w:rPr>
        <w:t>In the result</w:t>
      </w:r>
      <w:r w:rsidR="001D01BC" w:rsidRPr="002B4807">
        <w:rPr>
          <w:sz w:val="28"/>
          <w:szCs w:val="28"/>
          <w:lang w:val="en-US"/>
        </w:rPr>
        <w:t>,</w:t>
      </w:r>
      <w:r w:rsidR="00F56937" w:rsidRPr="002B4807">
        <w:rPr>
          <w:sz w:val="28"/>
          <w:szCs w:val="28"/>
          <w:lang w:val="en-US"/>
        </w:rPr>
        <w:t xml:space="preserve"> the following order is made</w:t>
      </w:r>
      <w:r w:rsidR="001D01BC" w:rsidRPr="002B4807">
        <w:rPr>
          <w:sz w:val="28"/>
          <w:szCs w:val="28"/>
          <w:lang w:val="en-US"/>
        </w:rPr>
        <w:t>:</w:t>
      </w:r>
    </w:p>
    <w:p w14:paraId="62047E79" w14:textId="77777777" w:rsidR="00371777" w:rsidRPr="002B4807" w:rsidRDefault="00371777" w:rsidP="00207DB4">
      <w:pPr>
        <w:spacing w:line="360" w:lineRule="auto"/>
        <w:jc w:val="both"/>
        <w:rPr>
          <w:color w:val="000000" w:themeColor="text1"/>
          <w:sz w:val="28"/>
          <w:szCs w:val="28"/>
          <w:lang w:val="en-US"/>
        </w:rPr>
      </w:pPr>
      <w:r w:rsidRPr="002B4807">
        <w:rPr>
          <w:color w:val="000000" w:themeColor="text1"/>
          <w:sz w:val="28"/>
          <w:szCs w:val="28"/>
          <w:lang w:val="en-US"/>
        </w:rPr>
        <w:t>1</w:t>
      </w:r>
      <w:r w:rsidRPr="002B4807">
        <w:rPr>
          <w:color w:val="000000" w:themeColor="text1"/>
          <w:sz w:val="28"/>
          <w:szCs w:val="28"/>
          <w:lang w:val="en-US"/>
        </w:rPr>
        <w:tab/>
        <w:t>The application for leave to appeal is granted.</w:t>
      </w:r>
    </w:p>
    <w:p w14:paraId="6174E3A9" w14:textId="77777777" w:rsidR="00371777" w:rsidRPr="002B4807" w:rsidRDefault="00371777" w:rsidP="00207DB4">
      <w:pPr>
        <w:spacing w:line="360" w:lineRule="auto"/>
        <w:jc w:val="both"/>
        <w:rPr>
          <w:sz w:val="28"/>
          <w:szCs w:val="28"/>
          <w:lang w:val="en-US"/>
        </w:rPr>
      </w:pPr>
      <w:r w:rsidRPr="002B4807">
        <w:rPr>
          <w:color w:val="000000" w:themeColor="text1"/>
          <w:sz w:val="28"/>
          <w:szCs w:val="28"/>
          <w:lang w:val="en-US"/>
        </w:rPr>
        <w:t>2</w:t>
      </w:r>
      <w:r w:rsidRPr="002B4807">
        <w:rPr>
          <w:color w:val="000000" w:themeColor="text1"/>
          <w:sz w:val="28"/>
          <w:szCs w:val="28"/>
          <w:lang w:val="en-US"/>
        </w:rPr>
        <w:tab/>
      </w:r>
      <w:r w:rsidRPr="002B4807">
        <w:rPr>
          <w:sz w:val="28"/>
          <w:szCs w:val="28"/>
          <w:lang w:val="en-US"/>
        </w:rPr>
        <w:t>The appeal is upheld with costs, including the costs of two counsel.</w:t>
      </w:r>
    </w:p>
    <w:p w14:paraId="5C4EC653" w14:textId="77777777" w:rsidR="00371777" w:rsidRPr="002B4807" w:rsidRDefault="00371777" w:rsidP="00207DB4">
      <w:pPr>
        <w:spacing w:line="360" w:lineRule="auto"/>
        <w:jc w:val="both"/>
        <w:rPr>
          <w:sz w:val="28"/>
          <w:szCs w:val="28"/>
          <w:lang w:val="en-US"/>
        </w:rPr>
      </w:pPr>
      <w:r w:rsidRPr="002B4807">
        <w:rPr>
          <w:sz w:val="28"/>
          <w:szCs w:val="28"/>
          <w:lang w:val="en-US"/>
        </w:rPr>
        <w:t>3</w:t>
      </w:r>
      <w:r w:rsidRPr="002B4807">
        <w:rPr>
          <w:sz w:val="28"/>
          <w:szCs w:val="28"/>
          <w:lang w:val="en-US"/>
        </w:rPr>
        <w:tab/>
        <w:t>The order of the high court is set aside and replaced with the following order:</w:t>
      </w:r>
    </w:p>
    <w:p w14:paraId="551B48A0" w14:textId="77777777" w:rsidR="00371777" w:rsidRPr="002B4807" w:rsidRDefault="00371777" w:rsidP="00207DB4">
      <w:pPr>
        <w:spacing w:line="360" w:lineRule="auto"/>
        <w:jc w:val="both"/>
        <w:rPr>
          <w:sz w:val="28"/>
          <w:szCs w:val="28"/>
          <w:lang w:val="en-US"/>
        </w:rPr>
      </w:pPr>
      <w:r w:rsidRPr="002B4807">
        <w:rPr>
          <w:sz w:val="28"/>
          <w:szCs w:val="28"/>
          <w:lang w:val="en-US"/>
        </w:rPr>
        <w:t>‘The application is dismissed with costs including the costs of two counsel where so employed.’</w:t>
      </w:r>
    </w:p>
    <w:p w14:paraId="12BE003D" w14:textId="77777777" w:rsidR="00DD1CCC" w:rsidRPr="002B4807" w:rsidRDefault="00D608B3" w:rsidP="002B4807">
      <w:pPr>
        <w:spacing w:line="360" w:lineRule="auto"/>
        <w:jc w:val="right"/>
        <w:rPr>
          <w:sz w:val="28"/>
          <w:szCs w:val="28"/>
          <w:lang w:val="en-US"/>
        </w:rPr>
      </w:pPr>
      <w:r w:rsidRPr="002B4807">
        <w:rPr>
          <w:sz w:val="28"/>
          <w:szCs w:val="28"/>
          <w:lang w:val="en-US"/>
        </w:rPr>
        <w:t xml:space="preserve">                   </w:t>
      </w:r>
    </w:p>
    <w:p w14:paraId="1E1BDD08" w14:textId="77777777" w:rsidR="00D608B3" w:rsidRPr="002B4807" w:rsidRDefault="00DD1CCC" w:rsidP="002B4807">
      <w:pPr>
        <w:spacing w:line="360" w:lineRule="auto"/>
        <w:ind w:left="720" w:firstLine="720"/>
        <w:jc w:val="right"/>
        <w:rPr>
          <w:sz w:val="28"/>
          <w:szCs w:val="28"/>
          <w:lang w:val="en-US"/>
        </w:rPr>
      </w:pPr>
      <w:r w:rsidRPr="002B4807">
        <w:rPr>
          <w:sz w:val="28"/>
          <w:szCs w:val="28"/>
          <w:lang w:val="en-US"/>
        </w:rPr>
        <w:t xml:space="preserve"> </w:t>
      </w:r>
      <w:r w:rsidRPr="002B4807">
        <w:rPr>
          <w:sz w:val="28"/>
          <w:szCs w:val="28"/>
          <w:lang w:val="en-US"/>
        </w:rPr>
        <w:tab/>
        <w:t xml:space="preserve">        </w:t>
      </w:r>
      <w:r w:rsidR="00D608B3" w:rsidRPr="002B4807">
        <w:rPr>
          <w:sz w:val="28"/>
          <w:szCs w:val="28"/>
          <w:lang w:val="en-US"/>
        </w:rPr>
        <w:t>__________________</w:t>
      </w:r>
    </w:p>
    <w:p w14:paraId="2DFB5094" w14:textId="77777777" w:rsidR="00D608B3" w:rsidRPr="002B4807" w:rsidRDefault="00D608B3" w:rsidP="002B4807">
      <w:pPr>
        <w:spacing w:line="360" w:lineRule="auto"/>
        <w:ind w:left="2880"/>
        <w:jc w:val="right"/>
        <w:rPr>
          <w:sz w:val="28"/>
          <w:szCs w:val="28"/>
          <w:lang w:val="en-US"/>
        </w:rPr>
      </w:pPr>
      <w:r w:rsidRPr="002B4807">
        <w:rPr>
          <w:sz w:val="28"/>
          <w:szCs w:val="28"/>
          <w:lang w:val="en-US"/>
        </w:rPr>
        <w:t xml:space="preserve">                     Z M NHLANGULELA</w:t>
      </w:r>
    </w:p>
    <w:p w14:paraId="1D4EFAFC" w14:textId="77777777" w:rsidR="006F0BA9" w:rsidRPr="002B4807" w:rsidRDefault="00B04607" w:rsidP="002B4807">
      <w:pPr>
        <w:spacing w:line="360" w:lineRule="auto"/>
        <w:ind w:left="4320"/>
        <w:jc w:val="right"/>
        <w:rPr>
          <w:sz w:val="28"/>
          <w:szCs w:val="28"/>
          <w:lang w:val="en-US"/>
        </w:rPr>
      </w:pPr>
      <w:r w:rsidRPr="002B4807">
        <w:rPr>
          <w:sz w:val="28"/>
          <w:szCs w:val="28"/>
          <w:lang w:val="en-US"/>
        </w:rPr>
        <w:t xml:space="preserve">ACTING </w:t>
      </w:r>
      <w:r w:rsidR="000F3072" w:rsidRPr="002B4807">
        <w:rPr>
          <w:sz w:val="28"/>
          <w:szCs w:val="28"/>
          <w:lang w:val="en-US"/>
        </w:rPr>
        <w:t>JUDGE OF APPEAL</w:t>
      </w:r>
    </w:p>
    <w:p w14:paraId="79EAF9F0" w14:textId="77777777" w:rsidR="00BB4122" w:rsidRDefault="00BB4122" w:rsidP="00207DB4">
      <w:pPr>
        <w:spacing w:line="360" w:lineRule="auto"/>
        <w:jc w:val="both"/>
        <w:rPr>
          <w:b/>
          <w:sz w:val="28"/>
          <w:szCs w:val="28"/>
          <w:lang w:val="en-ZA"/>
        </w:rPr>
      </w:pPr>
      <w:bookmarkStart w:id="5" w:name="_Hlk127435478"/>
    </w:p>
    <w:p w14:paraId="46835383" w14:textId="77777777" w:rsidR="00BB4122" w:rsidRDefault="00BB4122" w:rsidP="00207DB4">
      <w:pPr>
        <w:spacing w:line="360" w:lineRule="auto"/>
        <w:jc w:val="both"/>
        <w:rPr>
          <w:b/>
          <w:sz w:val="28"/>
          <w:szCs w:val="28"/>
          <w:lang w:val="en-ZA"/>
        </w:rPr>
      </w:pPr>
    </w:p>
    <w:p w14:paraId="3727B503" w14:textId="77777777" w:rsidR="00BB4122" w:rsidRDefault="00BB4122" w:rsidP="00207DB4">
      <w:pPr>
        <w:spacing w:line="360" w:lineRule="auto"/>
        <w:jc w:val="both"/>
        <w:rPr>
          <w:b/>
          <w:sz w:val="28"/>
          <w:szCs w:val="28"/>
          <w:lang w:val="en-ZA"/>
        </w:rPr>
      </w:pPr>
    </w:p>
    <w:p w14:paraId="46503FDB" w14:textId="1EC4AD6A" w:rsidR="0093361F" w:rsidRPr="0093361F" w:rsidRDefault="0093361F" w:rsidP="00207DB4">
      <w:pPr>
        <w:spacing w:line="360" w:lineRule="auto"/>
        <w:jc w:val="both"/>
        <w:rPr>
          <w:b/>
          <w:sz w:val="28"/>
          <w:szCs w:val="28"/>
          <w:lang w:val="en-ZA"/>
        </w:rPr>
      </w:pPr>
      <w:r w:rsidRPr="0093361F">
        <w:rPr>
          <w:b/>
          <w:sz w:val="28"/>
          <w:szCs w:val="28"/>
          <w:lang w:val="en-ZA"/>
        </w:rPr>
        <w:lastRenderedPageBreak/>
        <w:t xml:space="preserve">Plasket JA and Goosen AJA </w:t>
      </w:r>
    </w:p>
    <w:p w14:paraId="0FAE8ABB" w14:textId="77777777" w:rsidR="0093361F" w:rsidRPr="0093361F" w:rsidRDefault="0093361F" w:rsidP="00207DB4">
      <w:pPr>
        <w:spacing w:line="360" w:lineRule="auto"/>
        <w:jc w:val="both"/>
        <w:rPr>
          <w:b/>
          <w:sz w:val="28"/>
          <w:szCs w:val="28"/>
          <w:lang w:val="en-ZA"/>
        </w:rPr>
      </w:pPr>
    </w:p>
    <w:p w14:paraId="360CD710" w14:textId="7AAD00F6" w:rsidR="0093361F" w:rsidRPr="0093361F" w:rsidRDefault="00207DB4" w:rsidP="00207DB4">
      <w:pPr>
        <w:spacing w:line="360" w:lineRule="auto"/>
        <w:jc w:val="both"/>
        <w:rPr>
          <w:sz w:val="28"/>
          <w:szCs w:val="28"/>
          <w:lang w:val="en-ZA"/>
        </w:rPr>
      </w:pPr>
      <w:r w:rsidRPr="002B4807">
        <w:rPr>
          <w:sz w:val="28"/>
          <w:szCs w:val="28"/>
          <w:lang w:val="en-ZA"/>
        </w:rPr>
        <w:t>[34]</w:t>
      </w:r>
      <w:r w:rsidRPr="002B4807">
        <w:rPr>
          <w:sz w:val="28"/>
          <w:szCs w:val="28"/>
          <w:lang w:val="en-ZA"/>
        </w:rPr>
        <w:tab/>
      </w:r>
      <w:r w:rsidR="0093361F" w:rsidRPr="0093361F">
        <w:rPr>
          <w:sz w:val="28"/>
          <w:szCs w:val="28"/>
          <w:lang w:val="en-ZA"/>
        </w:rPr>
        <w:t xml:space="preserve">We are unable to agree with the order that our colleague, Nhlangulela AJA, proposes. We only agree with him that leave to appeal should be granted in respect of paragraphs 1, 2, 3, 4 and part of paragraph 8 of the order of the high court, and that the appeal should be upheld to that extent. For the rest, we would dismiss the application for leave to appeal with costs, including the costs of two counsel.  </w:t>
      </w:r>
    </w:p>
    <w:p w14:paraId="25A36452" w14:textId="77777777" w:rsidR="0093361F" w:rsidRPr="0093361F" w:rsidRDefault="0093361F" w:rsidP="00207DB4">
      <w:pPr>
        <w:spacing w:line="360" w:lineRule="auto"/>
        <w:jc w:val="both"/>
        <w:rPr>
          <w:sz w:val="28"/>
          <w:szCs w:val="28"/>
          <w:lang w:val="en-ZA"/>
        </w:rPr>
      </w:pPr>
    </w:p>
    <w:p w14:paraId="084C59A9" w14:textId="73FEEB56" w:rsidR="0093361F" w:rsidRPr="0093361F" w:rsidRDefault="00207DB4" w:rsidP="00207DB4">
      <w:pPr>
        <w:spacing w:line="360" w:lineRule="auto"/>
        <w:jc w:val="both"/>
        <w:rPr>
          <w:sz w:val="28"/>
          <w:szCs w:val="28"/>
          <w:lang w:val="en-ZA"/>
        </w:rPr>
      </w:pPr>
      <w:r w:rsidRPr="002B4807">
        <w:rPr>
          <w:sz w:val="28"/>
          <w:szCs w:val="28"/>
          <w:lang w:val="en-ZA"/>
        </w:rPr>
        <w:t>[35]</w:t>
      </w:r>
      <w:r w:rsidRPr="002B4807">
        <w:rPr>
          <w:sz w:val="28"/>
          <w:szCs w:val="28"/>
          <w:lang w:val="en-ZA"/>
        </w:rPr>
        <w:tab/>
      </w:r>
      <w:r w:rsidR="0093361F" w:rsidRPr="0093361F">
        <w:rPr>
          <w:sz w:val="28"/>
          <w:szCs w:val="28"/>
          <w:lang w:val="en-ZA"/>
        </w:rPr>
        <w:t xml:space="preserve">This matter turns ultimately on whether the servitude in question is a praedial servitude or personal servitude of </w:t>
      </w:r>
      <w:r w:rsidR="0093361F" w:rsidRPr="0093361F">
        <w:rPr>
          <w:i/>
          <w:sz w:val="28"/>
          <w:szCs w:val="28"/>
          <w:lang w:val="en-ZA"/>
        </w:rPr>
        <w:t>usus</w:t>
      </w:r>
      <w:r w:rsidR="0093361F" w:rsidRPr="0093361F">
        <w:rPr>
          <w:sz w:val="28"/>
          <w:szCs w:val="28"/>
          <w:lang w:val="en-ZA"/>
        </w:rPr>
        <w:t xml:space="preserve">. The implications of a finding that the servitude is a praedial servitude are that it accrues to successors in title to the current owner, Ms Berzack, and will burden the servient tenement in perpetuity. If, however, the servitude is a personal servitude, it accrues only to Ms Berzack while she owns the dominant tenement. The consequences that flow from the decision as to the nature of the servitude are thus far-reaching and of immense importance, not least to the owners of the servient tenement and their successors in title. The high court found that the servitude was a personal servitude of </w:t>
      </w:r>
      <w:r w:rsidR="0093361F" w:rsidRPr="0093361F">
        <w:rPr>
          <w:i/>
          <w:sz w:val="28"/>
          <w:szCs w:val="28"/>
          <w:lang w:val="en-ZA"/>
        </w:rPr>
        <w:t>usus</w:t>
      </w:r>
      <w:r w:rsidR="0093361F" w:rsidRPr="0093361F">
        <w:rPr>
          <w:sz w:val="28"/>
          <w:szCs w:val="28"/>
          <w:lang w:val="en-ZA"/>
        </w:rPr>
        <w:t xml:space="preserve"> and granted all the relief claimed by Huntrex. </w:t>
      </w:r>
    </w:p>
    <w:p w14:paraId="741860E3" w14:textId="77777777" w:rsidR="0093361F" w:rsidRPr="0093361F" w:rsidRDefault="0093361F" w:rsidP="00207DB4">
      <w:pPr>
        <w:spacing w:line="360" w:lineRule="auto"/>
        <w:jc w:val="both"/>
        <w:rPr>
          <w:sz w:val="28"/>
          <w:szCs w:val="28"/>
          <w:lang w:val="en-ZA"/>
        </w:rPr>
      </w:pPr>
    </w:p>
    <w:p w14:paraId="6649E304" w14:textId="44DBE088" w:rsidR="0093361F" w:rsidRPr="0093361F" w:rsidRDefault="0093361F" w:rsidP="00207DB4">
      <w:pPr>
        <w:spacing w:line="360" w:lineRule="auto"/>
        <w:jc w:val="both"/>
        <w:rPr>
          <w:sz w:val="28"/>
          <w:szCs w:val="28"/>
          <w:lang w:val="en-ZA"/>
        </w:rPr>
      </w:pPr>
      <w:r w:rsidRPr="0093361F">
        <w:rPr>
          <w:sz w:val="28"/>
          <w:szCs w:val="28"/>
          <w:lang w:val="en-ZA"/>
        </w:rPr>
        <w:t>[3</w:t>
      </w:r>
      <w:r w:rsidR="00207DB4" w:rsidRPr="002B4807">
        <w:rPr>
          <w:sz w:val="28"/>
          <w:szCs w:val="28"/>
          <w:lang w:val="en-ZA"/>
        </w:rPr>
        <w:t>6]</w:t>
      </w:r>
      <w:r w:rsidR="00207DB4" w:rsidRPr="002B4807">
        <w:rPr>
          <w:sz w:val="28"/>
          <w:szCs w:val="28"/>
          <w:lang w:val="en-ZA"/>
        </w:rPr>
        <w:tab/>
      </w:r>
      <w:r w:rsidRPr="0093361F">
        <w:rPr>
          <w:sz w:val="28"/>
          <w:szCs w:val="28"/>
          <w:lang w:val="en-ZA"/>
        </w:rPr>
        <w:t>The effect of the judgment of Nhlangulela AJA is that it recognises as a praedial servitude the right to develop and maintain a garden upon a servient tenement. As such it marks a significant development of the scope of presently recognised praedial servitudes at common law. For reasons which we elucidate below, the development is premised upon a misapplication of the principles of law which govern the field of servitudes.</w:t>
      </w:r>
    </w:p>
    <w:p w14:paraId="3B9708B7" w14:textId="77777777" w:rsidR="0093361F" w:rsidRPr="0093361F" w:rsidRDefault="0093361F" w:rsidP="00207DB4">
      <w:pPr>
        <w:spacing w:line="360" w:lineRule="auto"/>
        <w:jc w:val="both"/>
        <w:rPr>
          <w:sz w:val="28"/>
          <w:szCs w:val="28"/>
          <w:lang w:val="en-ZA"/>
        </w:rPr>
      </w:pPr>
    </w:p>
    <w:p w14:paraId="2C361C6A" w14:textId="7BC076B4" w:rsidR="0093361F" w:rsidRPr="0093361F" w:rsidRDefault="0093361F" w:rsidP="00207DB4">
      <w:pPr>
        <w:spacing w:line="360" w:lineRule="auto"/>
        <w:jc w:val="both"/>
        <w:rPr>
          <w:sz w:val="28"/>
          <w:szCs w:val="28"/>
          <w:lang w:val="en-ZA"/>
        </w:rPr>
      </w:pPr>
      <w:r w:rsidRPr="0093361F">
        <w:rPr>
          <w:sz w:val="28"/>
          <w:szCs w:val="28"/>
          <w:lang w:val="en-ZA"/>
        </w:rPr>
        <w:lastRenderedPageBreak/>
        <w:t>[</w:t>
      </w:r>
      <w:r w:rsidR="00207DB4" w:rsidRPr="002B4807">
        <w:rPr>
          <w:sz w:val="28"/>
          <w:szCs w:val="28"/>
          <w:lang w:val="en-ZA"/>
        </w:rPr>
        <w:t>37</w:t>
      </w:r>
      <w:r w:rsidRPr="0093361F">
        <w:rPr>
          <w:sz w:val="28"/>
          <w:szCs w:val="28"/>
          <w:lang w:val="en-ZA"/>
        </w:rPr>
        <w:t>]</w:t>
      </w:r>
      <w:r w:rsidRPr="0093361F">
        <w:rPr>
          <w:sz w:val="28"/>
          <w:szCs w:val="28"/>
          <w:lang w:val="en-ZA"/>
        </w:rPr>
        <w:tab/>
        <w:t>When Ms Berzack sub-divided erf 380, Constantia, she sold part of it, now known as erf 8478 Constantia, to Mr A G Wellens on 21 September 1983. A servitude was embodied in the deed of transfer and subsequently registered in her favour. The servitude, contained in clause P of the deed of transfer, reads as follows:</w:t>
      </w:r>
    </w:p>
    <w:p w14:paraId="32ECD05F" w14:textId="77777777" w:rsidR="0093361F" w:rsidRPr="0093361F" w:rsidRDefault="0093361F" w:rsidP="00207DB4">
      <w:pPr>
        <w:spacing w:line="360" w:lineRule="auto"/>
        <w:jc w:val="both"/>
        <w:rPr>
          <w:lang w:val="en-ZA"/>
        </w:rPr>
      </w:pPr>
      <w:r w:rsidRPr="0093361F">
        <w:rPr>
          <w:lang w:val="en-ZA"/>
        </w:rPr>
        <w:t>‘</w:t>
      </w:r>
      <w:r w:rsidRPr="0093361F">
        <w:rPr>
          <w:u w:val="single"/>
          <w:lang w:val="en-ZA"/>
        </w:rPr>
        <w:t>SUBJECT FURTHER</w:t>
      </w:r>
      <w:r w:rsidRPr="0093361F">
        <w:rPr>
          <w:lang w:val="en-ZA"/>
        </w:rPr>
        <w:t xml:space="preserve"> to the following conditions imposed by the Transferor in favour of himself and his successors in title as owner of the REMAINDER of ERF 380 Constantia, which conditions are as follows:</w:t>
      </w:r>
    </w:p>
    <w:p w14:paraId="42029963" w14:textId="1B3B9193" w:rsidR="0093361F" w:rsidRPr="0093361F" w:rsidRDefault="00C22FB5" w:rsidP="00C22FB5">
      <w:pPr>
        <w:spacing w:line="360" w:lineRule="auto"/>
        <w:ind w:left="720" w:hanging="360"/>
        <w:jc w:val="both"/>
        <w:rPr>
          <w:lang w:val="en-ZA"/>
        </w:rPr>
      </w:pPr>
      <w:r w:rsidRPr="0093361F">
        <w:rPr>
          <w:sz w:val="22"/>
          <w:lang w:val="en-ZA"/>
        </w:rPr>
        <w:t>(a)</w:t>
      </w:r>
      <w:r w:rsidRPr="0093361F">
        <w:rPr>
          <w:sz w:val="22"/>
          <w:lang w:val="en-ZA"/>
        </w:rPr>
        <w:tab/>
      </w:r>
      <w:r w:rsidR="0093361F" w:rsidRPr="0093361F">
        <w:rPr>
          <w:lang w:val="en-ZA"/>
        </w:rPr>
        <w:t>The property hereby transferred is subject to a servitude area 20 (twenty) metres wide, the Western boundary of which shall be parallel to the boundary marked DE on Diagram No. 5253/1981 in favour of the Remainder of ERF 380 CONSTANTIA, held by the said Transferor, MARGOT BERZACK (born ILLMAN) married out of community of property to Jeffrey Cyril Berzack under Deed of Transfer No. 38631 dated 31</w:t>
      </w:r>
      <w:r w:rsidR="0093361F" w:rsidRPr="0093361F">
        <w:rPr>
          <w:vertAlign w:val="superscript"/>
          <w:lang w:val="en-ZA"/>
        </w:rPr>
        <w:t>st</w:t>
      </w:r>
      <w:r w:rsidR="0093361F" w:rsidRPr="0093361F">
        <w:rPr>
          <w:lang w:val="en-ZA"/>
        </w:rPr>
        <w:t xml:space="preserve"> December 1970.</w:t>
      </w:r>
    </w:p>
    <w:p w14:paraId="78C352BD" w14:textId="2E7D6294" w:rsidR="0093361F" w:rsidRPr="0093361F" w:rsidRDefault="00C22FB5" w:rsidP="00C22FB5">
      <w:pPr>
        <w:spacing w:line="360" w:lineRule="auto"/>
        <w:ind w:left="720" w:hanging="360"/>
        <w:jc w:val="both"/>
        <w:rPr>
          <w:lang w:val="en-ZA"/>
        </w:rPr>
      </w:pPr>
      <w:r w:rsidRPr="0093361F">
        <w:rPr>
          <w:sz w:val="22"/>
          <w:lang w:val="en-ZA"/>
        </w:rPr>
        <w:t>(b)</w:t>
      </w:r>
      <w:r w:rsidRPr="0093361F">
        <w:rPr>
          <w:sz w:val="22"/>
          <w:lang w:val="en-ZA"/>
        </w:rPr>
        <w:tab/>
      </w:r>
      <w:r w:rsidR="0093361F" w:rsidRPr="0093361F">
        <w:rPr>
          <w:lang w:val="en-ZA"/>
        </w:rPr>
        <w:t>The said servitude shall be subject to the following terms and conditions namely:</w:t>
      </w:r>
    </w:p>
    <w:p w14:paraId="784A0C73" w14:textId="49A733DC" w:rsidR="0093361F" w:rsidRPr="0093361F" w:rsidRDefault="00C22FB5" w:rsidP="00C22FB5">
      <w:pPr>
        <w:spacing w:line="360" w:lineRule="auto"/>
        <w:ind w:left="2160" w:hanging="720"/>
        <w:jc w:val="both"/>
        <w:rPr>
          <w:lang w:val="en-ZA"/>
        </w:rPr>
      </w:pPr>
      <w:r w:rsidRPr="0093361F">
        <w:rPr>
          <w:sz w:val="22"/>
          <w:lang w:val="en-ZA"/>
        </w:rPr>
        <w:t>(i)</w:t>
      </w:r>
      <w:r w:rsidRPr="0093361F">
        <w:rPr>
          <w:sz w:val="22"/>
          <w:lang w:val="en-ZA"/>
        </w:rPr>
        <w:tab/>
      </w:r>
      <w:r w:rsidR="0093361F" w:rsidRPr="0093361F">
        <w:rPr>
          <w:lang w:val="en-ZA"/>
        </w:rPr>
        <w:t>no wall or fence of any description shall be erected on the servitude boundary except extension of existing type of fencing (wooden pole fencing).</w:t>
      </w:r>
    </w:p>
    <w:p w14:paraId="4BCC9847" w14:textId="0E2557D5" w:rsidR="0093361F" w:rsidRPr="0093361F" w:rsidRDefault="00C22FB5" w:rsidP="00C22FB5">
      <w:pPr>
        <w:spacing w:line="360" w:lineRule="auto"/>
        <w:ind w:left="2160" w:hanging="720"/>
        <w:jc w:val="both"/>
        <w:rPr>
          <w:lang w:val="en-ZA"/>
        </w:rPr>
      </w:pPr>
      <w:r w:rsidRPr="0093361F">
        <w:rPr>
          <w:sz w:val="22"/>
          <w:lang w:val="en-ZA"/>
        </w:rPr>
        <w:t>(ii)</w:t>
      </w:r>
      <w:r w:rsidRPr="0093361F">
        <w:rPr>
          <w:sz w:val="22"/>
          <w:lang w:val="en-ZA"/>
        </w:rPr>
        <w:tab/>
      </w:r>
      <w:r w:rsidR="0093361F" w:rsidRPr="0093361F">
        <w:rPr>
          <w:lang w:val="en-ZA"/>
        </w:rPr>
        <w:t>The Seller shall have the right to plant, control, care for and renew the existing garden situated within the servitude area more fully described above.</w:t>
      </w:r>
    </w:p>
    <w:p w14:paraId="02FAC96B" w14:textId="09514734" w:rsidR="0093361F" w:rsidRPr="0093361F" w:rsidRDefault="00C22FB5" w:rsidP="00C22FB5">
      <w:pPr>
        <w:spacing w:line="360" w:lineRule="auto"/>
        <w:ind w:left="2160" w:hanging="720"/>
        <w:jc w:val="both"/>
        <w:rPr>
          <w:lang w:val="en-ZA"/>
        </w:rPr>
      </w:pPr>
      <w:r w:rsidRPr="0093361F">
        <w:rPr>
          <w:sz w:val="22"/>
          <w:lang w:val="en-ZA"/>
        </w:rPr>
        <w:t>(iii)</w:t>
      </w:r>
      <w:r w:rsidRPr="0093361F">
        <w:rPr>
          <w:sz w:val="22"/>
          <w:lang w:val="en-ZA"/>
        </w:rPr>
        <w:tab/>
      </w:r>
      <w:r w:rsidR="0093361F" w:rsidRPr="0093361F">
        <w:rPr>
          <w:lang w:val="en-ZA"/>
        </w:rPr>
        <w:t>The Seller shall have full rights of access to such servitude area in fulfilment of the rights hereby granted.</w:t>
      </w:r>
    </w:p>
    <w:p w14:paraId="6A0DB761" w14:textId="77777777" w:rsidR="0093361F" w:rsidRPr="0093361F" w:rsidRDefault="0093361F" w:rsidP="00207DB4">
      <w:pPr>
        <w:spacing w:line="360" w:lineRule="auto"/>
        <w:jc w:val="both"/>
        <w:rPr>
          <w:lang w:val="en-ZA"/>
        </w:rPr>
      </w:pPr>
      <w:r w:rsidRPr="0093361F">
        <w:rPr>
          <w:lang w:val="en-ZA"/>
        </w:rPr>
        <w:t>(the term SELLER shall include her Successors in Title).’</w:t>
      </w:r>
    </w:p>
    <w:p w14:paraId="2B40F635" w14:textId="77777777" w:rsidR="0093361F" w:rsidRPr="0093361F" w:rsidRDefault="0093361F" w:rsidP="00207DB4">
      <w:pPr>
        <w:spacing w:line="360" w:lineRule="auto"/>
        <w:jc w:val="both"/>
        <w:rPr>
          <w:sz w:val="28"/>
          <w:szCs w:val="28"/>
          <w:lang w:val="en-ZA"/>
        </w:rPr>
      </w:pPr>
    </w:p>
    <w:p w14:paraId="7632244B" w14:textId="080A6465"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38</w:t>
      </w:r>
      <w:r w:rsidRPr="0093361F">
        <w:rPr>
          <w:sz w:val="28"/>
          <w:szCs w:val="28"/>
          <w:lang w:val="en-ZA"/>
        </w:rPr>
        <w:t>]</w:t>
      </w:r>
      <w:r w:rsidRPr="0093361F">
        <w:rPr>
          <w:sz w:val="28"/>
          <w:szCs w:val="28"/>
          <w:lang w:val="en-ZA"/>
        </w:rPr>
        <w:tab/>
        <w:t xml:space="preserve">When Huntrex purchased erf 8478 from Mr K W Sander in 2017, the deed of transfer referred, in clause P, to the sale being subject to ‘the following conditions contained in the said Deed of Transfer No. T.39935/1983 imposed by MARGOT BERZACK in favour of herself and her successors in title as </w:t>
      </w:r>
      <w:r w:rsidRPr="0093361F">
        <w:rPr>
          <w:sz w:val="28"/>
          <w:szCs w:val="28"/>
          <w:lang w:val="en-ZA"/>
        </w:rPr>
        <w:lastRenderedPageBreak/>
        <w:t>owner of the REMAINDER OF ERF 380, CONSTANTIA’. It then recorded, in clauses P(a) and P(b), the terms of the servitude as agreed by Ms Berzack and Mr Wellens in 1983.</w:t>
      </w:r>
    </w:p>
    <w:p w14:paraId="7CA757AA" w14:textId="77777777" w:rsidR="0093361F" w:rsidRPr="0093361F" w:rsidRDefault="0093361F" w:rsidP="00207DB4">
      <w:pPr>
        <w:spacing w:line="360" w:lineRule="auto"/>
        <w:jc w:val="both"/>
        <w:rPr>
          <w:sz w:val="28"/>
          <w:szCs w:val="28"/>
          <w:lang w:val="en-ZA"/>
        </w:rPr>
      </w:pPr>
      <w:r w:rsidRPr="0093361F">
        <w:rPr>
          <w:sz w:val="28"/>
          <w:szCs w:val="28"/>
          <w:lang w:val="en-ZA"/>
        </w:rPr>
        <w:t xml:space="preserve">  </w:t>
      </w:r>
    </w:p>
    <w:p w14:paraId="3ADB0FDE" w14:textId="114D5512"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39</w:t>
      </w:r>
      <w:r w:rsidRPr="0093361F">
        <w:rPr>
          <w:sz w:val="28"/>
          <w:szCs w:val="28"/>
          <w:lang w:val="en-ZA"/>
        </w:rPr>
        <w:t>]</w:t>
      </w:r>
      <w:r w:rsidRPr="0093361F">
        <w:rPr>
          <w:sz w:val="28"/>
          <w:szCs w:val="28"/>
          <w:lang w:val="en-ZA"/>
        </w:rPr>
        <w:tab/>
        <w:t xml:space="preserve">Erf 380 and erf 8478 lie on an east to west line bounded along their northern boundary by Alphen Drive and along their southern boundary by Peter Cloete Avenue. The servitude area extends for 20 metres westward from the westerly boundary of erf 380. One wooden fence crosses the area. </w:t>
      </w:r>
    </w:p>
    <w:p w14:paraId="00FC7BEA" w14:textId="77777777" w:rsidR="0093361F" w:rsidRPr="0093361F" w:rsidRDefault="0093361F" w:rsidP="00207DB4">
      <w:pPr>
        <w:spacing w:line="360" w:lineRule="auto"/>
        <w:jc w:val="both"/>
        <w:rPr>
          <w:sz w:val="28"/>
          <w:szCs w:val="28"/>
          <w:lang w:val="en-ZA"/>
        </w:rPr>
      </w:pPr>
    </w:p>
    <w:p w14:paraId="712A5F53" w14:textId="239B5927"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40</w:t>
      </w:r>
      <w:r w:rsidRPr="0093361F">
        <w:rPr>
          <w:sz w:val="28"/>
          <w:szCs w:val="28"/>
          <w:lang w:val="en-ZA"/>
        </w:rPr>
        <w:t>]</w:t>
      </w:r>
      <w:r w:rsidRPr="0093361F">
        <w:rPr>
          <w:sz w:val="28"/>
          <w:szCs w:val="28"/>
          <w:lang w:val="en-ZA"/>
        </w:rPr>
        <w:tab/>
        <w:t xml:space="preserve">This fence was the catalyst that led to this application. Because it could not contain the dogs belonging to Mr and Ms Bain, the members of Huntrex who reside on erf 8478, they wished to remove it and replace it with what they called a ‘visually permeable’ fence that they had commissioned an architect to design. </w:t>
      </w:r>
    </w:p>
    <w:p w14:paraId="0197F083" w14:textId="77777777" w:rsidR="0093361F" w:rsidRPr="0093361F" w:rsidRDefault="0093361F" w:rsidP="00207DB4">
      <w:pPr>
        <w:spacing w:line="360" w:lineRule="auto"/>
        <w:jc w:val="both"/>
        <w:rPr>
          <w:sz w:val="28"/>
          <w:szCs w:val="28"/>
          <w:lang w:val="en-ZA"/>
        </w:rPr>
      </w:pPr>
    </w:p>
    <w:p w14:paraId="3CF28C42" w14:textId="5E86A117"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41</w:t>
      </w:r>
      <w:r w:rsidRPr="0093361F">
        <w:rPr>
          <w:sz w:val="28"/>
          <w:szCs w:val="28"/>
          <w:lang w:val="en-ZA"/>
        </w:rPr>
        <w:t>]</w:t>
      </w:r>
      <w:r w:rsidRPr="0093361F">
        <w:rPr>
          <w:sz w:val="28"/>
          <w:szCs w:val="28"/>
          <w:lang w:val="en-ZA"/>
        </w:rPr>
        <w:tab/>
        <w:t xml:space="preserve">Mr and Ms Bains sought Ms Berzack’s permission to remove the old fence and construct the new fence. She refused. As a result, they began to research the position that pertained to the servitude area. When they discovered the extent of the right that Ms Berzack claimed – and the prejudice it caused to Huntrex as owner – they launched the application in the high court with the aim of rectifying the situation. </w:t>
      </w:r>
    </w:p>
    <w:p w14:paraId="3FFBA26F" w14:textId="77777777" w:rsidR="0093361F" w:rsidRPr="0093361F" w:rsidRDefault="0093361F" w:rsidP="00207DB4">
      <w:pPr>
        <w:spacing w:line="360" w:lineRule="auto"/>
        <w:jc w:val="both"/>
        <w:rPr>
          <w:sz w:val="28"/>
          <w:szCs w:val="28"/>
          <w:lang w:val="en-ZA"/>
        </w:rPr>
      </w:pPr>
    </w:p>
    <w:p w14:paraId="33935531" w14:textId="18242A75"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42</w:t>
      </w:r>
      <w:r w:rsidRPr="0093361F">
        <w:rPr>
          <w:sz w:val="28"/>
          <w:szCs w:val="28"/>
          <w:lang w:val="en-ZA"/>
        </w:rPr>
        <w:t>]</w:t>
      </w:r>
      <w:r w:rsidRPr="0093361F">
        <w:rPr>
          <w:sz w:val="28"/>
          <w:szCs w:val="28"/>
          <w:lang w:val="en-ZA"/>
        </w:rPr>
        <w:tab/>
        <w:t xml:space="preserve">In their notice of motion, they sought orders to the effect that they could remove the fence then in place and construct a new one (prayers 1-4); that it be declared that Ms Berzack’s servitude was only a personal servitude of </w:t>
      </w:r>
      <w:r w:rsidRPr="0093361F">
        <w:rPr>
          <w:i/>
          <w:sz w:val="28"/>
          <w:szCs w:val="28"/>
          <w:lang w:val="en-ZA"/>
        </w:rPr>
        <w:t>usus</w:t>
      </w:r>
      <w:r w:rsidRPr="0093361F">
        <w:rPr>
          <w:sz w:val="28"/>
          <w:szCs w:val="28"/>
          <w:lang w:val="en-ZA"/>
        </w:rPr>
        <w:t xml:space="preserve"> over erf 8478 which ceased to have effect on her death; that it was not capable of being registered in the title deeds as a praedial servitude in favour of Ms </w:t>
      </w:r>
      <w:r w:rsidRPr="0093361F">
        <w:rPr>
          <w:sz w:val="28"/>
          <w:szCs w:val="28"/>
          <w:lang w:val="en-ZA"/>
        </w:rPr>
        <w:lastRenderedPageBreak/>
        <w:t xml:space="preserve">Berzack and her successors-in-title (prayers 4-7); and that the Master – the second respondent, who took no part in the proceedings in the high court or in this court – be directed to rectify the deed of transfer (prayer 8). </w:t>
      </w:r>
    </w:p>
    <w:p w14:paraId="3637FC9D" w14:textId="77777777" w:rsidR="0093361F" w:rsidRPr="0093361F" w:rsidRDefault="0093361F" w:rsidP="00207DB4">
      <w:pPr>
        <w:spacing w:line="360" w:lineRule="auto"/>
        <w:jc w:val="both"/>
        <w:rPr>
          <w:sz w:val="28"/>
          <w:szCs w:val="28"/>
          <w:lang w:val="en-ZA"/>
        </w:rPr>
      </w:pPr>
      <w:r w:rsidRPr="0093361F">
        <w:rPr>
          <w:sz w:val="28"/>
          <w:szCs w:val="28"/>
          <w:lang w:val="en-ZA"/>
        </w:rPr>
        <w:tab/>
      </w:r>
    </w:p>
    <w:p w14:paraId="1CE2D546" w14:textId="4C59A20A"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43</w:t>
      </w:r>
      <w:r w:rsidRPr="0093361F">
        <w:rPr>
          <w:sz w:val="28"/>
          <w:szCs w:val="28"/>
          <w:lang w:val="en-ZA"/>
        </w:rPr>
        <w:t>]</w:t>
      </w:r>
      <w:r w:rsidRPr="0093361F">
        <w:rPr>
          <w:sz w:val="28"/>
          <w:szCs w:val="28"/>
          <w:lang w:val="en-ZA"/>
        </w:rPr>
        <w:tab/>
        <w:t>The central issue in this application for leave to appeal is what the true nature of the servitude is. This involves the interpretation of the servitude-creating instrument. But, as van der Walt has said, the interpretation of a servitude created by the juristic act of the parties, as opposed to legislation or the common law, is not simply a matter of ascertaining the intention of the parties through giving meaning to the words that they chose. In some instances, ‘the law will override the clearly stated intention of the parties to a servitude-creating contract if the contract conflicts with certain peremptory principles of property law’, the underlying reason being that ‘contracting parties are not allowed to create real rights in land at will’.</w:t>
      </w:r>
      <w:r w:rsidRPr="0093361F">
        <w:rPr>
          <w:sz w:val="28"/>
          <w:szCs w:val="28"/>
          <w:vertAlign w:val="superscript"/>
          <w:lang w:val="en-ZA"/>
        </w:rPr>
        <w:footnoteReference w:id="22"/>
      </w:r>
      <w:r w:rsidRPr="0093361F">
        <w:rPr>
          <w:sz w:val="28"/>
          <w:szCs w:val="28"/>
          <w:lang w:val="en-ZA"/>
        </w:rPr>
        <w:t xml:space="preserve"> </w:t>
      </w:r>
    </w:p>
    <w:p w14:paraId="451CA7C9" w14:textId="77777777" w:rsidR="0093361F" w:rsidRPr="0093361F" w:rsidRDefault="0093361F" w:rsidP="00207DB4">
      <w:pPr>
        <w:spacing w:line="360" w:lineRule="auto"/>
        <w:jc w:val="both"/>
        <w:rPr>
          <w:sz w:val="28"/>
          <w:szCs w:val="28"/>
          <w:lang w:val="en-ZA"/>
        </w:rPr>
      </w:pPr>
    </w:p>
    <w:p w14:paraId="775D9D30" w14:textId="1EB9CC49"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44</w:t>
      </w:r>
      <w:r w:rsidRPr="0093361F">
        <w:rPr>
          <w:sz w:val="28"/>
          <w:szCs w:val="28"/>
          <w:lang w:val="en-ZA"/>
        </w:rPr>
        <w:t>]</w:t>
      </w:r>
      <w:r w:rsidRPr="0093361F">
        <w:rPr>
          <w:sz w:val="28"/>
          <w:szCs w:val="28"/>
          <w:lang w:val="en-ZA"/>
        </w:rPr>
        <w:tab/>
        <w:t>Furthermore, since a servitude is a limitation on the right of ownership of land, the common law recognises a presumption that land is free of a servitude, unless the contrary is established.</w:t>
      </w:r>
      <w:r w:rsidRPr="0093361F">
        <w:rPr>
          <w:sz w:val="28"/>
          <w:szCs w:val="28"/>
          <w:vertAlign w:val="superscript"/>
          <w:lang w:val="en-ZA"/>
        </w:rPr>
        <w:footnoteReference w:id="23"/>
      </w:r>
      <w:r w:rsidRPr="0093361F">
        <w:rPr>
          <w:sz w:val="28"/>
          <w:szCs w:val="28"/>
          <w:lang w:val="en-ZA"/>
        </w:rPr>
        <w:t xml:space="preserve"> This presumption has three implications. They are:</w:t>
      </w:r>
      <w:r w:rsidRPr="0093361F">
        <w:rPr>
          <w:sz w:val="28"/>
          <w:szCs w:val="28"/>
          <w:vertAlign w:val="superscript"/>
          <w:lang w:val="en-ZA"/>
        </w:rPr>
        <w:footnoteReference w:id="24"/>
      </w:r>
    </w:p>
    <w:p w14:paraId="5D642C1A" w14:textId="77777777" w:rsidR="0093361F" w:rsidRPr="0093361F" w:rsidRDefault="0093361F" w:rsidP="00207DB4">
      <w:pPr>
        <w:spacing w:line="360" w:lineRule="auto"/>
        <w:jc w:val="both"/>
        <w:rPr>
          <w:lang w:val="en-ZA"/>
        </w:rPr>
      </w:pPr>
      <w:r w:rsidRPr="0093361F">
        <w:rPr>
          <w:lang w:val="en-ZA"/>
        </w:rPr>
        <w:t xml:space="preserve">‘Firstly, it is presumed that property (particularly land) is free of servitudes and therefore the existence of a servitude has to be proved by the person who claims to hold it. Logically speaking this presumption precedes interpretation of a servitude-creating contract (the presumption is rebutted as soon as the servitude is proved) and therefore the presumption will seldom compete with interpretation of the contract. Secondly, once the existence of a servitude has been proved, the </w:t>
      </w:r>
      <w:r w:rsidRPr="0093361F">
        <w:rPr>
          <w:i/>
          <w:lang w:val="en-ZA"/>
        </w:rPr>
        <w:t>in favorem libertatis</w:t>
      </w:r>
      <w:r w:rsidRPr="0093361F">
        <w:rPr>
          <w:lang w:val="en-ZA"/>
        </w:rPr>
        <w:t xml:space="preserve"> principle means that the contract from </w:t>
      </w:r>
      <w:r w:rsidRPr="0093361F">
        <w:rPr>
          <w:lang w:val="en-ZA"/>
        </w:rPr>
        <w:lastRenderedPageBreak/>
        <w:t>which the servitude originates must be interpreted strictly so as to impose the least cumbersome burden on the servient property. In this case, the presumption gives effect to an underlying property principle that directs that interpretation of the contract. The logic is again that the servitude limits ownership, that ownership must be protected against unnecessary restrictions, and that the contract must therefore be interpreted restrictively so as to protect freedom of ownership. Thirdly, in the same vein, if the existence of a servitude has been proved but it is unclear whether the servitude is praedial or personal, the presumption favours a personal servitude because that usually imposes a lesser burden on the servient land. Interpretation therefore again takes place under the guidance of a property principle.’</w:t>
      </w:r>
    </w:p>
    <w:p w14:paraId="66FCD069" w14:textId="77777777" w:rsidR="0093361F" w:rsidRPr="0093361F" w:rsidRDefault="0093361F" w:rsidP="00207DB4">
      <w:pPr>
        <w:spacing w:line="360" w:lineRule="auto"/>
        <w:jc w:val="both"/>
        <w:rPr>
          <w:sz w:val="28"/>
          <w:szCs w:val="28"/>
          <w:lang w:val="en-ZA"/>
        </w:rPr>
      </w:pPr>
    </w:p>
    <w:p w14:paraId="0BD44CBA" w14:textId="35A251DD"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45</w:t>
      </w:r>
      <w:r w:rsidRPr="0093361F">
        <w:rPr>
          <w:sz w:val="28"/>
          <w:szCs w:val="28"/>
          <w:lang w:val="en-ZA"/>
        </w:rPr>
        <w:t>]</w:t>
      </w:r>
      <w:r w:rsidRPr="0093361F">
        <w:rPr>
          <w:sz w:val="28"/>
          <w:szCs w:val="28"/>
          <w:lang w:val="en-ZA"/>
        </w:rPr>
        <w:tab/>
        <w:t xml:space="preserve">The approach to the interpretation of servitudes was set out authoritatively by Innes CJ in </w:t>
      </w:r>
      <w:r w:rsidRPr="0093361F">
        <w:rPr>
          <w:i/>
          <w:iCs/>
          <w:sz w:val="28"/>
          <w:szCs w:val="28"/>
          <w:lang w:val="en-ZA"/>
        </w:rPr>
        <w:t>Willoughby’s Consolidated Co Ltd v Copthall Stores Ltd</w:t>
      </w:r>
      <w:r w:rsidRPr="0093361F">
        <w:rPr>
          <w:sz w:val="28"/>
          <w:szCs w:val="28"/>
          <w:vertAlign w:val="superscript"/>
          <w:lang w:val="en-ZA"/>
        </w:rPr>
        <w:footnoteReference w:id="25"/>
      </w:r>
      <w:r w:rsidRPr="0093361F">
        <w:rPr>
          <w:sz w:val="28"/>
          <w:szCs w:val="28"/>
          <w:lang w:val="en-ZA"/>
        </w:rPr>
        <w:t xml:space="preserve"> as follows:</w:t>
      </w:r>
    </w:p>
    <w:p w14:paraId="6A90235B" w14:textId="77777777" w:rsidR="0093361F" w:rsidRPr="0093361F" w:rsidRDefault="0093361F" w:rsidP="00207DB4">
      <w:pPr>
        <w:spacing w:line="360" w:lineRule="auto"/>
        <w:jc w:val="both"/>
        <w:rPr>
          <w:lang w:val="en-ZA"/>
        </w:rPr>
      </w:pPr>
      <w:r w:rsidRPr="0093361F">
        <w:rPr>
          <w:lang w:val="en-ZA"/>
        </w:rPr>
        <w:t xml:space="preserve">‘Whether a contractual right amounts in any given case to servitude – whether it is real or only personal – depends upon the intention of the parties to be gathered from the terms of the contract construed in the light of the relevant circumstances. In case of doubt the presumption will always be against a servitude, the </w:t>
      </w:r>
      <w:r w:rsidRPr="0093361F">
        <w:rPr>
          <w:i/>
          <w:iCs/>
          <w:lang w:val="en-ZA"/>
        </w:rPr>
        <w:t>onus</w:t>
      </w:r>
      <w:r w:rsidRPr="0093361F">
        <w:rPr>
          <w:lang w:val="en-ZA"/>
        </w:rPr>
        <w:t xml:space="preserve"> is upon the person affirming the existence of one to prove it.’</w:t>
      </w:r>
    </w:p>
    <w:p w14:paraId="36A94535" w14:textId="77777777" w:rsidR="0093361F" w:rsidRPr="0093361F" w:rsidRDefault="0093361F" w:rsidP="00207DB4">
      <w:pPr>
        <w:spacing w:line="360" w:lineRule="auto"/>
        <w:jc w:val="both"/>
        <w:rPr>
          <w:sz w:val="28"/>
          <w:szCs w:val="28"/>
          <w:lang w:val="en-ZA"/>
        </w:rPr>
      </w:pPr>
    </w:p>
    <w:p w14:paraId="16D0D25B" w14:textId="250376FD"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46</w:t>
      </w:r>
      <w:r w:rsidRPr="0093361F">
        <w:rPr>
          <w:sz w:val="28"/>
          <w:szCs w:val="28"/>
          <w:lang w:val="en-ZA"/>
        </w:rPr>
        <w:t>]</w:t>
      </w:r>
      <w:r w:rsidRPr="0093361F">
        <w:rPr>
          <w:sz w:val="28"/>
          <w:szCs w:val="28"/>
          <w:lang w:val="en-ZA"/>
        </w:rPr>
        <w:tab/>
        <w:t xml:space="preserve">The presumption that Innes CJ spoke of was described by Cloete JA in </w:t>
      </w:r>
      <w:r w:rsidRPr="0093361F">
        <w:rPr>
          <w:i/>
          <w:iCs/>
          <w:sz w:val="28"/>
          <w:szCs w:val="28"/>
          <w:lang w:val="en-ZA"/>
        </w:rPr>
        <w:t>Kruger v Joles Eiendomme (Pty) Ltd and Another</w:t>
      </w:r>
      <w:r w:rsidRPr="0093361F">
        <w:rPr>
          <w:sz w:val="28"/>
          <w:szCs w:val="28"/>
          <w:vertAlign w:val="superscript"/>
          <w:lang w:val="en-ZA"/>
        </w:rPr>
        <w:footnoteReference w:id="26"/>
      </w:r>
      <w:r w:rsidRPr="0093361F">
        <w:rPr>
          <w:sz w:val="28"/>
          <w:szCs w:val="28"/>
          <w:lang w:val="en-ZA"/>
        </w:rPr>
        <w:t xml:space="preserve"> as ‘the well-established rule of construction that because a servitude is a limitation of ownership, it must be accorded an interpretation which least encumbers the servient tenement’. The rule applies not only to whether the servient tenement is burdened with a servitude but also, if it is, to whether it is praedial or personal. This was explained by Corbett J in </w:t>
      </w:r>
      <w:r w:rsidRPr="0093361F">
        <w:rPr>
          <w:i/>
          <w:iCs/>
          <w:sz w:val="28"/>
          <w:szCs w:val="28"/>
          <w:lang w:val="en-ZA"/>
        </w:rPr>
        <w:t xml:space="preserve">Jonordon Investment (Pty) Ltd v De Aar </w:t>
      </w:r>
      <w:r w:rsidRPr="0093361F">
        <w:rPr>
          <w:i/>
          <w:iCs/>
          <w:sz w:val="28"/>
          <w:szCs w:val="28"/>
          <w:lang w:val="en-ZA"/>
        </w:rPr>
        <w:lastRenderedPageBreak/>
        <w:t>Drankwinkel (Edms) Bpk</w:t>
      </w:r>
      <w:r w:rsidRPr="0093361F">
        <w:rPr>
          <w:sz w:val="28"/>
          <w:szCs w:val="28"/>
          <w:vertAlign w:val="superscript"/>
          <w:lang w:val="en-ZA"/>
        </w:rPr>
        <w:footnoteReference w:id="27"/>
      </w:r>
      <w:r w:rsidRPr="0093361F">
        <w:rPr>
          <w:sz w:val="28"/>
          <w:szCs w:val="28"/>
          <w:lang w:val="en-ZA"/>
        </w:rPr>
        <w:t xml:space="preserve"> when he held that ‘where it is doubtful whether a servitutal burden placed on land was intended to be for the benefit of another property and, therefore, praedial and perpetual or for the benefit of a particular person and, therefore, personal and limited in its duration, the latter interpretation must be adopted as being the one which places the lesser burden upon the subject-matter of the servitude’.</w:t>
      </w:r>
    </w:p>
    <w:p w14:paraId="6422A733" w14:textId="77777777" w:rsidR="0093361F" w:rsidRPr="0093361F" w:rsidRDefault="0093361F" w:rsidP="00207DB4">
      <w:pPr>
        <w:spacing w:line="360" w:lineRule="auto"/>
        <w:jc w:val="both"/>
        <w:rPr>
          <w:sz w:val="28"/>
          <w:szCs w:val="28"/>
          <w:lang w:val="en-ZA"/>
        </w:rPr>
      </w:pPr>
    </w:p>
    <w:p w14:paraId="20754DEF" w14:textId="0637D270"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47</w:t>
      </w:r>
      <w:r w:rsidRPr="0093361F">
        <w:rPr>
          <w:sz w:val="28"/>
          <w:szCs w:val="28"/>
          <w:lang w:val="en-ZA"/>
        </w:rPr>
        <w:t>]</w:t>
      </w:r>
      <w:r w:rsidRPr="0093361F">
        <w:rPr>
          <w:sz w:val="28"/>
          <w:szCs w:val="28"/>
          <w:lang w:val="en-ZA"/>
        </w:rPr>
        <w:tab/>
        <w:t xml:space="preserve">Two observations concerning the approach to the interpretation of servitudes are necessary. First, Nestadt J, in </w:t>
      </w:r>
      <w:r w:rsidRPr="0093361F">
        <w:rPr>
          <w:i/>
          <w:iCs/>
          <w:sz w:val="28"/>
          <w:szCs w:val="28"/>
          <w:lang w:val="en-ZA"/>
        </w:rPr>
        <w:t>Lorentz v Melle and Others</w:t>
      </w:r>
      <w:r w:rsidRPr="0093361F">
        <w:rPr>
          <w:sz w:val="28"/>
          <w:szCs w:val="28"/>
          <w:vertAlign w:val="superscript"/>
          <w:lang w:val="en-ZA"/>
        </w:rPr>
        <w:footnoteReference w:id="28"/>
      </w:r>
      <w:r w:rsidRPr="0093361F">
        <w:rPr>
          <w:i/>
          <w:iCs/>
          <w:sz w:val="28"/>
          <w:szCs w:val="28"/>
          <w:lang w:val="en-ZA"/>
        </w:rPr>
        <w:t xml:space="preserve"> </w:t>
      </w:r>
      <w:r w:rsidRPr="0093361F">
        <w:rPr>
          <w:sz w:val="28"/>
          <w:szCs w:val="28"/>
          <w:lang w:val="en-ZA"/>
        </w:rPr>
        <w:t xml:space="preserve">made the point that the registration of rights in land does not ipso facto ‘render the rights of a servitutal character’ because it may have been that ‘only personal rights were created and that registration should not have taken place’. In other words, the nature and character of the right created must be analysed. Secondly, the intention of the parties as expressed in their agreement has its limits. Nestadt J, with reference to the passage cited above in the </w:t>
      </w:r>
      <w:r w:rsidRPr="0093361F">
        <w:rPr>
          <w:i/>
          <w:iCs/>
          <w:sz w:val="28"/>
          <w:szCs w:val="28"/>
          <w:lang w:val="en-ZA"/>
        </w:rPr>
        <w:t xml:space="preserve">Willoughby’s Consolidated </w:t>
      </w:r>
      <w:r w:rsidRPr="0093361F">
        <w:rPr>
          <w:sz w:val="28"/>
          <w:szCs w:val="28"/>
          <w:lang w:val="en-ZA"/>
        </w:rPr>
        <w:t>case, expressed those limits thus:</w:t>
      </w:r>
      <w:r w:rsidRPr="0093361F">
        <w:rPr>
          <w:sz w:val="28"/>
          <w:szCs w:val="28"/>
          <w:vertAlign w:val="superscript"/>
          <w:lang w:val="en-ZA"/>
        </w:rPr>
        <w:footnoteReference w:id="29"/>
      </w:r>
    </w:p>
    <w:p w14:paraId="4F3B8DB5" w14:textId="77777777" w:rsidR="0093361F" w:rsidRPr="0093361F" w:rsidRDefault="0093361F" w:rsidP="00207DB4">
      <w:pPr>
        <w:spacing w:line="360" w:lineRule="auto"/>
        <w:jc w:val="both"/>
        <w:rPr>
          <w:lang w:val="en-ZA"/>
        </w:rPr>
      </w:pPr>
      <w:r w:rsidRPr="0093361F">
        <w:rPr>
          <w:lang w:val="en-ZA"/>
        </w:rPr>
        <w:t>‘I would add that I do not read the passage and authorities quoted as meaning that the parties’ intention (as gathered from the terms of the contract) is the sole criterion in deciding the issue. If a contractual right is of such a nature that it is incapable of constituting a servitude then obviously the intention of the parties (as expressed) to do so is irrelevant.’</w:t>
      </w:r>
    </w:p>
    <w:p w14:paraId="3AB84853" w14:textId="77777777" w:rsidR="0093361F" w:rsidRPr="0093361F" w:rsidRDefault="0093361F" w:rsidP="00207DB4">
      <w:pPr>
        <w:spacing w:line="360" w:lineRule="auto"/>
        <w:jc w:val="both"/>
        <w:rPr>
          <w:sz w:val="28"/>
          <w:szCs w:val="28"/>
          <w:lang w:val="en-ZA"/>
        </w:rPr>
      </w:pPr>
      <w:r w:rsidRPr="0093361F">
        <w:rPr>
          <w:sz w:val="28"/>
          <w:szCs w:val="28"/>
          <w:lang w:val="en-ZA"/>
        </w:rPr>
        <w:t xml:space="preserve"> </w:t>
      </w:r>
    </w:p>
    <w:p w14:paraId="4ABB5D63" w14:textId="653355FC"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48</w:t>
      </w:r>
      <w:r w:rsidRPr="0093361F">
        <w:rPr>
          <w:sz w:val="28"/>
          <w:szCs w:val="28"/>
          <w:lang w:val="en-ZA"/>
        </w:rPr>
        <w:t>]</w:t>
      </w:r>
      <w:r w:rsidRPr="0093361F">
        <w:rPr>
          <w:sz w:val="28"/>
          <w:szCs w:val="28"/>
          <w:lang w:val="en-ZA"/>
        </w:rPr>
        <w:tab/>
        <w:t xml:space="preserve">Apart from the issue of interpretation, there are limits imposed by principles and provisions of property law that seek to restrict the unbounded creation of praedial servitudes, given their perpetual character and their drastic </w:t>
      </w:r>
      <w:r w:rsidRPr="0093361F">
        <w:rPr>
          <w:sz w:val="28"/>
          <w:szCs w:val="28"/>
          <w:lang w:val="en-ZA"/>
        </w:rPr>
        <w:lastRenderedPageBreak/>
        <w:t>effect of restricting the rights, powers and liberties of owners of property. One such limit is s 66 of the Deeds Registries Act 47 of 1937. It provides:</w:t>
      </w:r>
    </w:p>
    <w:p w14:paraId="10FA7283" w14:textId="77777777" w:rsidR="0093361F" w:rsidRPr="0093361F" w:rsidRDefault="0093361F" w:rsidP="00207DB4">
      <w:pPr>
        <w:spacing w:line="360" w:lineRule="auto"/>
        <w:jc w:val="both"/>
        <w:rPr>
          <w:lang w:val="en-ZA"/>
        </w:rPr>
      </w:pPr>
      <w:r w:rsidRPr="0093361F">
        <w:rPr>
          <w:lang w:val="en-ZA"/>
        </w:rPr>
        <w:t xml:space="preserve">‘No personal servitude of </w:t>
      </w:r>
      <w:r w:rsidRPr="0093361F">
        <w:rPr>
          <w:i/>
          <w:lang w:val="en-ZA"/>
        </w:rPr>
        <w:t>usufruct</w:t>
      </w:r>
      <w:r w:rsidRPr="0093361F">
        <w:rPr>
          <w:lang w:val="en-ZA"/>
        </w:rPr>
        <w:t xml:space="preserve">, </w:t>
      </w:r>
      <w:r w:rsidRPr="0093361F">
        <w:rPr>
          <w:i/>
          <w:lang w:val="en-ZA"/>
        </w:rPr>
        <w:t>usus</w:t>
      </w:r>
      <w:r w:rsidRPr="0093361F">
        <w:rPr>
          <w:lang w:val="en-ZA"/>
        </w:rPr>
        <w:t xml:space="preserve"> or </w:t>
      </w:r>
      <w:r w:rsidRPr="0093361F">
        <w:rPr>
          <w:i/>
          <w:lang w:val="en-ZA"/>
        </w:rPr>
        <w:t>habitation</w:t>
      </w:r>
      <w:r w:rsidRPr="0093361F">
        <w:rPr>
          <w:lang w:val="en-ZA"/>
        </w:rPr>
        <w:t xml:space="preserve"> purporting to extend beyond the lifetime of the person in whose favour it is created shall be registered, nor may transfer or cession of such personal servitude to any person other than the owner of the land encumbered thereby, be registered.’</w:t>
      </w:r>
    </w:p>
    <w:p w14:paraId="7307D35E" w14:textId="2C7DF479" w:rsidR="0093361F" w:rsidRPr="0093361F" w:rsidRDefault="0093361F" w:rsidP="00207DB4">
      <w:pPr>
        <w:spacing w:line="360" w:lineRule="auto"/>
        <w:jc w:val="both"/>
        <w:rPr>
          <w:sz w:val="28"/>
          <w:szCs w:val="28"/>
          <w:lang w:val="en-ZA"/>
        </w:rPr>
      </w:pPr>
    </w:p>
    <w:p w14:paraId="0E44BDCE" w14:textId="4F7A8D5D"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49</w:t>
      </w:r>
      <w:r w:rsidRPr="0093361F">
        <w:rPr>
          <w:sz w:val="28"/>
          <w:szCs w:val="28"/>
          <w:lang w:val="en-ZA"/>
        </w:rPr>
        <w:t>]</w:t>
      </w:r>
      <w:r w:rsidRPr="0093361F">
        <w:rPr>
          <w:sz w:val="28"/>
          <w:szCs w:val="28"/>
          <w:lang w:val="en-ZA"/>
        </w:rPr>
        <w:tab/>
        <w:t xml:space="preserve">We turn now to the servitude. The wording of clause P pulls, at times, in different directions but that notwithstanding, it seems to us that the type of servitude contemplated by the parties is nonetheless evident. It is important to bear in mind that the character of the servitude, rather than what the parties who created it chose to call it, is decisive.  </w:t>
      </w:r>
    </w:p>
    <w:p w14:paraId="7E3236AA" w14:textId="77777777" w:rsidR="0093361F" w:rsidRPr="0093361F" w:rsidRDefault="0093361F" w:rsidP="00207DB4">
      <w:pPr>
        <w:spacing w:line="360" w:lineRule="auto"/>
        <w:jc w:val="both"/>
        <w:rPr>
          <w:sz w:val="28"/>
          <w:szCs w:val="28"/>
          <w:lang w:val="en-ZA"/>
        </w:rPr>
      </w:pPr>
    </w:p>
    <w:p w14:paraId="676805C0" w14:textId="6396B20E"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50</w:t>
      </w:r>
      <w:r w:rsidRPr="0093361F">
        <w:rPr>
          <w:sz w:val="28"/>
          <w:szCs w:val="28"/>
          <w:lang w:val="en-ZA"/>
        </w:rPr>
        <w:t>]</w:t>
      </w:r>
      <w:r w:rsidRPr="0093361F">
        <w:rPr>
          <w:sz w:val="28"/>
          <w:szCs w:val="28"/>
          <w:lang w:val="en-ZA"/>
        </w:rPr>
        <w:tab/>
        <w:t xml:space="preserve">In clause P’s introductory recordal, it is stated that the servitude set out in the remainder of the clause was ‘imposed’ by Ms Berzack in favour of herself as owner of erf 380, and her successors in title. Clause P(a) then identifies the servitude area, and in doing so refers to the ‘property hereby transferred’ as being ‘subject to a servitude area’. It also identifies the property in favour of which the servitude operates. </w:t>
      </w:r>
    </w:p>
    <w:p w14:paraId="1CB18978" w14:textId="77777777" w:rsidR="0093361F" w:rsidRPr="0093361F" w:rsidRDefault="0093361F" w:rsidP="00207DB4">
      <w:pPr>
        <w:spacing w:line="360" w:lineRule="auto"/>
        <w:jc w:val="both"/>
        <w:rPr>
          <w:sz w:val="28"/>
          <w:szCs w:val="28"/>
          <w:lang w:val="en-ZA"/>
        </w:rPr>
      </w:pPr>
    </w:p>
    <w:p w14:paraId="61F37797" w14:textId="20BB053F"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51</w:t>
      </w:r>
      <w:r w:rsidRPr="0093361F">
        <w:rPr>
          <w:sz w:val="28"/>
          <w:szCs w:val="28"/>
          <w:lang w:val="en-ZA"/>
        </w:rPr>
        <w:t>]</w:t>
      </w:r>
      <w:r w:rsidRPr="0093361F">
        <w:rPr>
          <w:sz w:val="28"/>
          <w:szCs w:val="28"/>
          <w:lang w:val="en-ZA"/>
        </w:rPr>
        <w:tab/>
        <w:t xml:space="preserve">The servitude area in favour of Ms Berzack and her successors in title having thus been identified, clause P(b) defines the rights that the servitude grants. The operative provisions are clauses P(b)(ii) and (iii), as clause P(b)(i) only concerns the fence and has no bearing on the character of the servitude. Clause P(b)(ii) defines the servitutal right that ‘the Seller’ obtained (or, in the words of the recordal, ‘imposed’ on the owner of erf 8478) as the right to ‘plant, control, care for and renew’ the garden in the servitude area. In other </w:t>
      </w:r>
      <w:r w:rsidRPr="0093361F">
        <w:rPr>
          <w:sz w:val="28"/>
          <w:szCs w:val="28"/>
          <w:lang w:val="en-ZA"/>
        </w:rPr>
        <w:lastRenderedPageBreak/>
        <w:t xml:space="preserve">words, the servitude gave Ms Berzac the use of the servitude area in order to garden. Clause P(b)(iii) adds little, as all it does is emphasise that Ms Berzack and her successors in title have a right of access to the servitude area in order to garden.   </w:t>
      </w:r>
    </w:p>
    <w:p w14:paraId="543FC222" w14:textId="77777777" w:rsidR="0093361F" w:rsidRPr="0093361F" w:rsidRDefault="0093361F" w:rsidP="00207DB4">
      <w:pPr>
        <w:spacing w:line="360" w:lineRule="auto"/>
        <w:jc w:val="both"/>
        <w:rPr>
          <w:sz w:val="28"/>
          <w:szCs w:val="28"/>
          <w:lang w:val="en-ZA"/>
        </w:rPr>
      </w:pPr>
    </w:p>
    <w:p w14:paraId="2D0769DF" w14:textId="3BE59077"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52</w:t>
      </w:r>
      <w:r w:rsidRPr="0093361F">
        <w:rPr>
          <w:sz w:val="28"/>
          <w:szCs w:val="28"/>
          <w:lang w:val="en-ZA"/>
        </w:rPr>
        <w:t>]</w:t>
      </w:r>
      <w:r w:rsidRPr="0093361F">
        <w:rPr>
          <w:sz w:val="28"/>
          <w:szCs w:val="28"/>
          <w:lang w:val="en-ZA"/>
        </w:rPr>
        <w:tab/>
        <w:t xml:space="preserve">The only indications that a praedial servitude was in the contemplation of the parties are the reference to successors in title to Ms Berzack and the identification in clause P(a) of two properties, one that is subject to a servitude area and one in whose favour the servitude area operates. These factors must be seen in the context of the servitude as a whole, particularly: the statement in the recordal that it was ‘imposed’ by Ms Berzack in favour of herself and her successors in title, as opposed to being ‘imposed’ over the servient tenement in favour of the dominant tenement; the statement in clauses P(b)(ii) and (iii) that ‘the Seller’ obtained the rights listed therein; and the fact that the only purpose in referring to the two properties in clause P(a) was to identify the servitude area. </w:t>
      </w:r>
    </w:p>
    <w:p w14:paraId="1075497C" w14:textId="77777777" w:rsidR="0093361F" w:rsidRPr="0093361F" w:rsidRDefault="0093361F" w:rsidP="00207DB4">
      <w:pPr>
        <w:spacing w:line="360" w:lineRule="auto"/>
        <w:jc w:val="both"/>
        <w:rPr>
          <w:sz w:val="28"/>
          <w:szCs w:val="28"/>
          <w:lang w:val="en-ZA"/>
        </w:rPr>
      </w:pPr>
      <w:r w:rsidRPr="0093361F">
        <w:rPr>
          <w:sz w:val="28"/>
          <w:szCs w:val="28"/>
          <w:lang w:val="en-ZA"/>
        </w:rPr>
        <w:t xml:space="preserve"> </w:t>
      </w:r>
    </w:p>
    <w:p w14:paraId="7E90D9BC" w14:textId="32C5FF23"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53</w:t>
      </w:r>
      <w:r w:rsidRPr="0093361F">
        <w:rPr>
          <w:sz w:val="28"/>
          <w:szCs w:val="28"/>
          <w:lang w:val="en-ZA"/>
        </w:rPr>
        <w:t>]</w:t>
      </w:r>
      <w:r w:rsidRPr="0093361F">
        <w:rPr>
          <w:sz w:val="28"/>
          <w:szCs w:val="28"/>
          <w:lang w:val="en-ZA"/>
        </w:rPr>
        <w:tab/>
        <w:t>As against these limited indicators that a praedial servitude may have been intended, there are two strong indicators that a personal servitude was intended. First, on the first sale of erf 8478, the terms of the servitude were ‘imposed’ in favour Ms Berzack ‘as owner’ of erf 380. Secondly, the nature of the rights in clauses P(b)(ii) and (iii) are, by their nature, personal to Ms Berzack. They indicate that the intention of the parties was to create a personal servitude – ‘a limited real right that imposes a burden on the servient tenement . . . for the benefit of a particular person’</w:t>
      </w:r>
      <w:r w:rsidRPr="0093361F">
        <w:rPr>
          <w:sz w:val="28"/>
          <w:szCs w:val="28"/>
          <w:vertAlign w:val="superscript"/>
          <w:lang w:val="en-ZA"/>
        </w:rPr>
        <w:footnoteReference w:id="30"/>
      </w:r>
      <w:r w:rsidRPr="0093361F">
        <w:rPr>
          <w:sz w:val="28"/>
          <w:szCs w:val="28"/>
          <w:lang w:val="en-ZA"/>
        </w:rPr>
        <w:t xml:space="preserve"> – for no reason other than enabling </w:t>
      </w:r>
      <w:r w:rsidRPr="0093361F">
        <w:rPr>
          <w:sz w:val="28"/>
          <w:szCs w:val="28"/>
          <w:lang w:val="en-ZA"/>
        </w:rPr>
        <w:lastRenderedPageBreak/>
        <w:t xml:space="preserve">Ms Berzack to enjoy gardening in the servitude area. As stated above, in the case of uncertainty, the authorities are clear: the servitude must be held to be a personal servitude rather than a praedial servitude. </w:t>
      </w:r>
    </w:p>
    <w:p w14:paraId="15FDEA46" w14:textId="77777777" w:rsidR="0093361F" w:rsidRPr="0093361F" w:rsidRDefault="0093361F" w:rsidP="00207DB4">
      <w:pPr>
        <w:spacing w:line="360" w:lineRule="auto"/>
        <w:jc w:val="both"/>
        <w:rPr>
          <w:sz w:val="28"/>
          <w:szCs w:val="28"/>
          <w:lang w:val="en-ZA"/>
        </w:rPr>
      </w:pPr>
      <w:r w:rsidRPr="0093361F">
        <w:rPr>
          <w:sz w:val="28"/>
          <w:szCs w:val="28"/>
          <w:lang w:val="en-ZA"/>
        </w:rPr>
        <w:t xml:space="preserve"> </w:t>
      </w:r>
    </w:p>
    <w:p w14:paraId="49114556" w14:textId="13DD1054" w:rsidR="0093361F" w:rsidRPr="0093361F" w:rsidRDefault="0093361F" w:rsidP="00207DB4">
      <w:pPr>
        <w:spacing w:line="360" w:lineRule="auto"/>
        <w:jc w:val="both"/>
        <w:rPr>
          <w:sz w:val="28"/>
          <w:szCs w:val="28"/>
          <w:lang w:val="en-ZA"/>
        </w:rPr>
      </w:pPr>
      <w:r w:rsidRPr="0093361F">
        <w:rPr>
          <w:sz w:val="28"/>
          <w:szCs w:val="28"/>
          <w:lang w:val="en-ZA"/>
        </w:rPr>
        <w:t>[</w:t>
      </w:r>
      <w:r w:rsidR="00207DB4" w:rsidRPr="002B4807">
        <w:rPr>
          <w:sz w:val="28"/>
          <w:szCs w:val="28"/>
          <w:lang w:val="en-ZA"/>
        </w:rPr>
        <w:t>54</w:t>
      </w:r>
      <w:r w:rsidRPr="0093361F">
        <w:rPr>
          <w:sz w:val="28"/>
          <w:szCs w:val="28"/>
          <w:lang w:val="en-ZA"/>
        </w:rPr>
        <w:t>]</w:t>
      </w:r>
      <w:r w:rsidRPr="0093361F">
        <w:rPr>
          <w:sz w:val="28"/>
          <w:szCs w:val="28"/>
          <w:lang w:val="en-ZA"/>
        </w:rPr>
        <w:tab/>
        <w:t xml:space="preserve">We turn now to a more precise characterisation of the rights created by clause P(b)(ii). The personal servitude of </w:t>
      </w:r>
      <w:r w:rsidRPr="0093361F">
        <w:rPr>
          <w:i/>
          <w:sz w:val="28"/>
          <w:szCs w:val="28"/>
          <w:lang w:val="en-ZA"/>
        </w:rPr>
        <w:t>usus</w:t>
      </w:r>
      <w:r w:rsidRPr="0093361F">
        <w:rPr>
          <w:sz w:val="28"/>
          <w:szCs w:val="28"/>
          <w:lang w:val="en-ZA"/>
        </w:rPr>
        <w:t xml:space="preserve"> is defined as follows by van der Walt:</w:t>
      </w:r>
      <w:r w:rsidRPr="0093361F">
        <w:rPr>
          <w:sz w:val="28"/>
          <w:szCs w:val="28"/>
          <w:vertAlign w:val="superscript"/>
          <w:lang w:val="en-ZA"/>
        </w:rPr>
        <w:footnoteReference w:id="31"/>
      </w:r>
      <w:r w:rsidRPr="0093361F">
        <w:rPr>
          <w:sz w:val="28"/>
          <w:szCs w:val="28"/>
          <w:lang w:val="en-ZA"/>
        </w:rPr>
        <w:t xml:space="preserve">   </w:t>
      </w:r>
    </w:p>
    <w:p w14:paraId="369DE024" w14:textId="77777777" w:rsidR="0093361F" w:rsidRPr="0093361F" w:rsidRDefault="0093361F" w:rsidP="00207DB4">
      <w:pPr>
        <w:spacing w:line="360" w:lineRule="auto"/>
        <w:jc w:val="both"/>
        <w:rPr>
          <w:lang w:val="en-ZA"/>
        </w:rPr>
      </w:pPr>
      <w:r w:rsidRPr="0093361F">
        <w:rPr>
          <w:lang w:val="en-ZA"/>
        </w:rPr>
        <w:t>‘The personal servitude of use (</w:t>
      </w:r>
      <w:r w:rsidRPr="0093361F">
        <w:rPr>
          <w:i/>
          <w:lang w:val="en-ZA"/>
        </w:rPr>
        <w:t>usus</w:t>
      </w:r>
      <w:r w:rsidRPr="0093361F">
        <w:rPr>
          <w:lang w:val="en-ZA"/>
        </w:rPr>
        <w:t xml:space="preserve">, </w:t>
      </w:r>
      <w:r w:rsidRPr="0093361F">
        <w:rPr>
          <w:i/>
          <w:lang w:val="en-ZA"/>
        </w:rPr>
        <w:t>bruick</w:t>
      </w:r>
      <w:r w:rsidRPr="0093361F">
        <w:rPr>
          <w:lang w:val="en-ZA"/>
        </w:rPr>
        <w:t xml:space="preserve"> in Roman-Dutch law) is similar to but narrower than </w:t>
      </w:r>
      <w:r w:rsidRPr="0093361F">
        <w:rPr>
          <w:i/>
          <w:lang w:val="en-ZA"/>
        </w:rPr>
        <w:t>usufruct</w:t>
      </w:r>
      <w:r w:rsidRPr="0093361F">
        <w:rPr>
          <w:lang w:val="en-ZA"/>
        </w:rPr>
        <w:t>. The beneficiary of a servitude of use (referred to as a “usuary”) can, like the usufructuary, use the property of another person, for her lifetime or for the specified term of the servitude, for her own benefit or for the benefit of her family, provided that the substance of the property is preserved and returned to the owner when the servitude is terminated.’</w:t>
      </w:r>
    </w:p>
    <w:p w14:paraId="61AC8E22" w14:textId="77777777" w:rsidR="0093361F" w:rsidRPr="0093361F" w:rsidRDefault="0093361F" w:rsidP="00207DB4">
      <w:pPr>
        <w:spacing w:line="360" w:lineRule="auto"/>
        <w:jc w:val="both"/>
        <w:rPr>
          <w:sz w:val="28"/>
          <w:szCs w:val="28"/>
          <w:lang w:val="en-ZA"/>
        </w:rPr>
      </w:pPr>
      <w:r w:rsidRPr="0093361F">
        <w:rPr>
          <w:lang w:val="en-ZA"/>
        </w:rPr>
        <w:t xml:space="preserve">Put in slightly different terms, the servitude of </w:t>
      </w:r>
      <w:r w:rsidRPr="0093361F">
        <w:rPr>
          <w:i/>
          <w:lang w:val="en-ZA"/>
        </w:rPr>
        <w:t>usus</w:t>
      </w:r>
      <w:r w:rsidRPr="0093361F">
        <w:rPr>
          <w:lang w:val="en-ZA"/>
        </w:rPr>
        <w:t xml:space="preserve"> ‘entitles the usuary to use the usuary property but not to appropriate its fruits’.</w:t>
      </w:r>
      <w:r w:rsidRPr="0093361F">
        <w:rPr>
          <w:sz w:val="28"/>
          <w:szCs w:val="28"/>
          <w:vertAlign w:val="superscript"/>
          <w:lang w:val="en-ZA"/>
        </w:rPr>
        <w:footnoteReference w:id="32"/>
      </w:r>
    </w:p>
    <w:p w14:paraId="33D58C03" w14:textId="77777777" w:rsidR="0093361F" w:rsidRPr="0093361F" w:rsidRDefault="0093361F" w:rsidP="00207DB4">
      <w:pPr>
        <w:spacing w:line="360" w:lineRule="auto"/>
        <w:jc w:val="both"/>
        <w:rPr>
          <w:sz w:val="28"/>
          <w:szCs w:val="28"/>
          <w:lang w:val="en-ZA"/>
        </w:rPr>
      </w:pPr>
    </w:p>
    <w:p w14:paraId="22692AE1" w14:textId="1126E021"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5</w:t>
      </w:r>
      <w:r w:rsidR="00BB4122">
        <w:rPr>
          <w:sz w:val="28"/>
          <w:szCs w:val="28"/>
          <w:lang w:val="en-ZA"/>
        </w:rPr>
        <w:t>5</w:t>
      </w:r>
      <w:r w:rsidRPr="0093361F">
        <w:rPr>
          <w:sz w:val="28"/>
          <w:szCs w:val="28"/>
          <w:lang w:val="en-ZA"/>
        </w:rPr>
        <w:t>]</w:t>
      </w:r>
      <w:r w:rsidRPr="0093361F">
        <w:rPr>
          <w:sz w:val="28"/>
          <w:szCs w:val="28"/>
          <w:lang w:val="en-ZA"/>
        </w:rPr>
        <w:tab/>
        <w:t xml:space="preserve">Ms Berzack, in her answering affidavit stated that one of the ‘unavoidable  consequences’ of her sub-dividing her property and selling part of it had been that ‘a significant portion’ of her garden fell within the portion that was to be sold. She wished to protect for her benefit and that of successors in title, ‘the exclusive right to use, access and tend to that portion of the garden by creating [a] servitude over the Huntrex property at the same time as selling and transferring it’. When Ms Berzack’s stated intention is matched with clauses P(b)(ii) and (iii), there can be little doubt that she sought to, and did, create a right of use for herself. It seems clear to us that the servitude thus created falls squarely into the definition of the personal servitude of </w:t>
      </w:r>
      <w:r w:rsidRPr="0093361F">
        <w:rPr>
          <w:i/>
          <w:sz w:val="28"/>
          <w:szCs w:val="28"/>
          <w:lang w:val="en-ZA"/>
        </w:rPr>
        <w:t>usus</w:t>
      </w:r>
      <w:r w:rsidRPr="0093361F">
        <w:rPr>
          <w:sz w:val="28"/>
          <w:szCs w:val="28"/>
          <w:lang w:val="en-ZA"/>
        </w:rPr>
        <w:t>.</w:t>
      </w:r>
    </w:p>
    <w:p w14:paraId="605626E6" w14:textId="41B4820D" w:rsidR="0093361F" w:rsidRPr="0093361F" w:rsidRDefault="0093361F" w:rsidP="00207DB4">
      <w:pPr>
        <w:spacing w:line="360" w:lineRule="auto"/>
        <w:jc w:val="both"/>
        <w:rPr>
          <w:sz w:val="28"/>
          <w:szCs w:val="28"/>
          <w:lang w:val="en-ZA"/>
        </w:rPr>
      </w:pPr>
      <w:r w:rsidRPr="0093361F">
        <w:rPr>
          <w:sz w:val="28"/>
          <w:szCs w:val="28"/>
          <w:lang w:val="en-ZA"/>
        </w:rPr>
        <w:lastRenderedPageBreak/>
        <w:t>[</w:t>
      </w:r>
      <w:r w:rsidR="00310DE1" w:rsidRPr="002B4807">
        <w:rPr>
          <w:sz w:val="28"/>
          <w:szCs w:val="28"/>
          <w:lang w:val="en-ZA"/>
        </w:rPr>
        <w:t>56</w:t>
      </w:r>
      <w:r w:rsidRPr="0093361F">
        <w:rPr>
          <w:sz w:val="28"/>
          <w:szCs w:val="28"/>
          <w:lang w:val="en-ZA"/>
        </w:rPr>
        <w:t>]</w:t>
      </w:r>
      <w:r w:rsidRPr="0093361F">
        <w:rPr>
          <w:sz w:val="28"/>
          <w:szCs w:val="28"/>
          <w:lang w:val="en-ZA"/>
        </w:rPr>
        <w:tab/>
        <w:t>Van der Walt states that ‘the nature and content of a servitude’ depends only to an extent on the intention of the parties who created it because ‘the law will not give effect to the intention of the parties if they intended to do something that is not possible according to the principles of property law’, such as creating ‘a personal servitude that is transferable or perpetual’.</w:t>
      </w:r>
      <w:r w:rsidRPr="0093361F">
        <w:rPr>
          <w:sz w:val="28"/>
          <w:szCs w:val="28"/>
          <w:vertAlign w:val="superscript"/>
          <w:lang w:val="en-ZA"/>
        </w:rPr>
        <w:footnoteReference w:id="33"/>
      </w:r>
      <w:r w:rsidRPr="0093361F">
        <w:rPr>
          <w:sz w:val="28"/>
          <w:szCs w:val="28"/>
          <w:lang w:val="en-ZA"/>
        </w:rPr>
        <w:t xml:space="preserve"> As s 66 of the Deeds Registries Act prohibits the registration of a personal servitude of </w:t>
      </w:r>
      <w:r w:rsidRPr="0093361F">
        <w:rPr>
          <w:i/>
          <w:sz w:val="28"/>
          <w:szCs w:val="28"/>
          <w:lang w:val="en-ZA"/>
        </w:rPr>
        <w:t>usus</w:t>
      </w:r>
      <w:r w:rsidRPr="0093361F">
        <w:rPr>
          <w:sz w:val="28"/>
          <w:szCs w:val="28"/>
          <w:lang w:val="en-ZA"/>
        </w:rPr>
        <w:t xml:space="preserve"> that purports to extend beyond the lifetime of the person who created it, Ms Berzack was not legally capable of ‘imposing’ the servitude on the purchaser of her property in favour of herself and her successors in title. That has the result that, irrespective of what the servitude says or what Ms Berzack intended, the servitude expires on her death. The import and effect of s 66 of the Deeds Registries Act cannot be ignored. It reflects a legislative purpose to bolster the common law impediments to the extension of perpetual restrictions on the ownership of property. Its effect is that once a servitude bears the hallmarks of a personal servitude, it precludes registration. </w:t>
      </w:r>
      <w:r w:rsidRPr="0093361F">
        <w:rPr>
          <w:sz w:val="28"/>
          <w:szCs w:val="28"/>
          <w:lang w:val="en-ZA"/>
        </w:rPr>
        <w:tab/>
      </w:r>
    </w:p>
    <w:p w14:paraId="641F1D85" w14:textId="77777777" w:rsidR="0093361F" w:rsidRPr="0093361F" w:rsidRDefault="0093361F" w:rsidP="00207DB4">
      <w:pPr>
        <w:spacing w:line="360" w:lineRule="auto"/>
        <w:jc w:val="both"/>
        <w:rPr>
          <w:sz w:val="28"/>
          <w:szCs w:val="28"/>
          <w:lang w:val="en-ZA"/>
        </w:rPr>
      </w:pPr>
    </w:p>
    <w:p w14:paraId="18BC5A99" w14:textId="32158137"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57</w:t>
      </w:r>
      <w:r w:rsidRPr="0093361F">
        <w:rPr>
          <w:sz w:val="28"/>
          <w:szCs w:val="28"/>
          <w:lang w:val="en-ZA"/>
        </w:rPr>
        <w:t>]</w:t>
      </w:r>
      <w:r w:rsidRPr="0093361F">
        <w:rPr>
          <w:sz w:val="28"/>
          <w:szCs w:val="28"/>
          <w:lang w:val="en-ZA"/>
        </w:rPr>
        <w:tab/>
        <w:t xml:space="preserve">We note that Nhlangulela AJA accepts that the rights created by the registered servitude were intended to enable ‘the pursuit </w:t>
      </w:r>
      <w:r w:rsidRPr="00BB26F2">
        <w:rPr>
          <w:sz w:val="28"/>
          <w:szCs w:val="28"/>
          <w:lang w:val="en-ZA"/>
        </w:rPr>
        <w:t>of Ms</w:t>
      </w:r>
      <w:r w:rsidRPr="0093361F">
        <w:rPr>
          <w:sz w:val="28"/>
          <w:szCs w:val="28"/>
          <w:lang w:val="en-ZA"/>
        </w:rPr>
        <w:t xml:space="preserve"> Berzack’s personal pleasure or caprice’ – the essence of a personal servitude – and that clauses P(a) and (b) confirm this.</w:t>
      </w:r>
      <w:r w:rsidRPr="0093361F">
        <w:rPr>
          <w:sz w:val="28"/>
          <w:szCs w:val="28"/>
          <w:vertAlign w:val="superscript"/>
          <w:lang w:val="en-ZA"/>
        </w:rPr>
        <w:footnoteReference w:id="34"/>
      </w:r>
      <w:r w:rsidRPr="0093361F">
        <w:rPr>
          <w:sz w:val="28"/>
          <w:szCs w:val="28"/>
          <w:lang w:val="en-ZA"/>
        </w:rPr>
        <w:t xml:space="preserve"> He concludes, however, that the requirement of </w:t>
      </w:r>
      <w:r w:rsidRPr="0093361F">
        <w:rPr>
          <w:i/>
          <w:sz w:val="28"/>
          <w:szCs w:val="28"/>
          <w:lang w:val="en-ZA"/>
        </w:rPr>
        <w:t>utilitas</w:t>
      </w:r>
      <w:r w:rsidRPr="0093361F">
        <w:rPr>
          <w:sz w:val="28"/>
          <w:szCs w:val="28"/>
          <w:lang w:val="en-ZA"/>
        </w:rPr>
        <w:t xml:space="preserve"> is met by the enhancement in value which accrues to the dominant tenement, and the beneficial acquisition of a ‘view’ of the garden. We deal with this hereunder.</w:t>
      </w:r>
    </w:p>
    <w:p w14:paraId="0CEC6CE9" w14:textId="77777777" w:rsidR="0093361F" w:rsidRPr="0093361F" w:rsidRDefault="0093361F" w:rsidP="00207DB4">
      <w:pPr>
        <w:spacing w:line="360" w:lineRule="auto"/>
        <w:jc w:val="both"/>
        <w:rPr>
          <w:sz w:val="28"/>
          <w:szCs w:val="28"/>
          <w:lang w:val="en-ZA"/>
        </w:rPr>
      </w:pPr>
    </w:p>
    <w:p w14:paraId="651AEB80" w14:textId="574CEC20" w:rsidR="0093361F" w:rsidRPr="0093361F" w:rsidRDefault="0093361F" w:rsidP="00207DB4">
      <w:pPr>
        <w:spacing w:line="360" w:lineRule="auto"/>
        <w:jc w:val="both"/>
        <w:rPr>
          <w:sz w:val="28"/>
          <w:szCs w:val="28"/>
          <w:lang w:val="en-ZA"/>
        </w:rPr>
      </w:pPr>
      <w:r w:rsidRPr="0093361F">
        <w:rPr>
          <w:sz w:val="28"/>
          <w:szCs w:val="28"/>
          <w:lang w:val="en-ZA"/>
        </w:rPr>
        <w:lastRenderedPageBreak/>
        <w:t>[</w:t>
      </w:r>
      <w:r w:rsidR="00310DE1" w:rsidRPr="002B4807">
        <w:rPr>
          <w:sz w:val="28"/>
          <w:szCs w:val="28"/>
          <w:lang w:val="en-ZA"/>
        </w:rPr>
        <w:t>58</w:t>
      </w:r>
      <w:r w:rsidRPr="0093361F">
        <w:rPr>
          <w:sz w:val="28"/>
          <w:szCs w:val="28"/>
          <w:lang w:val="en-ZA"/>
        </w:rPr>
        <w:t>]</w:t>
      </w:r>
      <w:r w:rsidRPr="0093361F">
        <w:rPr>
          <w:sz w:val="28"/>
          <w:szCs w:val="28"/>
          <w:lang w:val="en-ZA"/>
        </w:rPr>
        <w:tab/>
        <w:t xml:space="preserve">Having concluded from an interpretation of the servitude and from the nature of the rights created, that a personal servitude of </w:t>
      </w:r>
      <w:r w:rsidRPr="0093361F">
        <w:rPr>
          <w:i/>
          <w:iCs/>
          <w:sz w:val="28"/>
          <w:szCs w:val="28"/>
          <w:lang w:val="en-ZA"/>
        </w:rPr>
        <w:t>usus</w:t>
      </w:r>
      <w:r w:rsidRPr="0093361F">
        <w:rPr>
          <w:sz w:val="28"/>
          <w:szCs w:val="28"/>
          <w:lang w:val="en-ZA"/>
        </w:rPr>
        <w:t xml:space="preserve"> was, in fact, created, we now approach the issue from a different angle. We turn now to consider the essential requirements for the creation of a praedial</w:t>
      </w:r>
      <w:r w:rsidRPr="0093361F">
        <w:rPr>
          <w:i/>
          <w:sz w:val="28"/>
          <w:szCs w:val="28"/>
          <w:lang w:val="en-ZA"/>
        </w:rPr>
        <w:t xml:space="preserve"> </w:t>
      </w:r>
      <w:r w:rsidRPr="0093361F">
        <w:rPr>
          <w:sz w:val="28"/>
          <w:szCs w:val="28"/>
          <w:lang w:val="en-ZA"/>
        </w:rPr>
        <w:t>servitude and whether the servitude at issue meets those requirements. There are five general requirements. These embody certain principles which characterise the servitude as praedial, ie as perpetual constraints upon the rights of ownership of the servient tenement whilst conferring real rights that attach to the dominant tenement.</w:t>
      </w:r>
      <w:r w:rsidRPr="0093361F">
        <w:rPr>
          <w:sz w:val="28"/>
          <w:szCs w:val="28"/>
          <w:vertAlign w:val="superscript"/>
          <w:lang w:val="en-ZA"/>
        </w:rPr>
        <w:footnoteReference w:id="35"/>
      </w:r>
      <w:r w:rsidRPr="0093361F">
        <w:rPr>
          <w:sz w:val="28"/>
          <w:szCs w:val="28"/>
          <w:lang w:val="en-ZA"/>
        </w:rPr>
        <w:t xml:space="preserve"> Only two of these need be considered. </w:t>
      </w:r>
    </w:p>
    <w:p w14:paraId="54C98AEE" w14:textId="77777777" w:rsidR="0093361F" w:rsidRPr="0093361F" w:rsidRDefault="0093361F" w:rsidP="00207DB4">
      <w:pPr>
        <w:spacing w:line="360" w:lineRule="auto"/>
        <w:jc w:val="both"/>
        <w:rPr>
          <w:sz w:val="28"/>
          <w:szCs w:val="28"/>
          <w:lang w:val="en-ZA"/>
        </w:rPr>
      </w:pPr>
    </w:p>
    <w:p w14:paraId="52E3A8D9" w14:textId="18A23F5F"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59</w:t>
      </w:r>
      <w:r w:rsidRPr="0093361F">
        <w:rPr>
          <w:sz w:val="28"/>
          <w:szCs w:val="28"/>
          <w:lang w:val="en-ZA"/>
        </w:rPr>
        <w:t>]</w:t>
      </w:r>
      <w:r w:rsidRPr="0093361F">
        <w:rPr>
          <w:sz w:val="28"/>
          <w:szCs w:val="28"/>
          <w:lang w:val="en-ZA"/>
        </w:rPr>
        <w:tab/>
        <w:t xml:space="preserve">The first is that the servient tenement must be capable of serving the dominant tenement on a permanent basis, and therefore that the use made of the servient tenement must be based on some permanent feature or attribute of the servient land. This requirement is expressed in the principle of perpetual cause. It was stated in </w:t>
      </w:r>
      <w:r w:rsidRPr="0093361F">
        <w:rPr>
          <w:i/>
          <w:sz w:val="28"/>
          <w:szCs w:val="28"/>
          <w:lang w:val="en-ZA"/>
        </w:rPr>
        <w:t>Lorentz</w:t>
      </w:r>
      <w:r w:rsidRPr="0093361F">
        <w:rPr>
          <w:iCs/>
          <w:sz w:val="28"/>
          <w:szCs w:val="28"/>
          <w:lang w:val="en-ZA"/>
        </w:rPr>
        <w:t xml:space="preserve"> that it is ‘</w:t>
      </w:r>
      <w:r w:rsidRPr="0093361F">
        <w:rPr>
          <w:sz w:val="28"/>
          <w:szCs w:val="28"/>
          <w:lang w:val="en-ZA"/>
        </w:rPr>
        <w:t>the essence of a praedial servitude that it burdens the land to which it relates and that it provides some permanent advantage to the dominant land, as distinct from serving the personal benefit of the owner thereof’.</w:t>
      </w:r>
      <w:r w:rsidRPr="0093361F">
        <w:rPr>
          <w:sz w:val="28"/>
          <w:szCs w:val="28"/>
          <w:vertAlign w:val="superscript"/>
          <w:lang w:val="en-ZA"/>
        </w:rPr>
        <w:footnoteReference w:id="36"/>
      </w:r>
    </w:p>
    <w:p w14:paraId="02D16540" w14:textId="77777777" w:rsidR="0093361F" w:rsidRPr="0093361F" w:rsidRDefault="0093361F" w:rsidP="00207DB4">
      <w:pPr>
        <w:spacing w:line="360" w:lineRule="auto"/>
        <w:jc w:val="both"/>
        <w:rPr>
          <w:sz w:val="28"/>
          <w:szCs w:val="28"/>
          <w:lang w:val="en-ZA"/>
        </w:rPr>
      </w:pPr>
    </w:p>
    <w:p w14:paraId="3626089D" w14:textId="72F5648C"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60</w:t>
      </w:r>
      <w:r w:rsidRPr="0093361F">
        <w:rPr>
          <w:sz w:val="28"/>
          <w:szCs w:val="28"/>
          <w:lang w:val="en-ZA"/>
        </w:rPr>
        <w:t>]</w:t>
      </w:r>
      <w:r w:rsidRPr="0093361F">
        <w:rPr>
          <w:sz w:val="28"/>
          <w:szCs w:val="28"/>
          <w:lang w:val="en-ZA"/>
        </w:rPr>
        <w:tab/>
        <w:t xml:space="preserve">The advantage provided by the servient tenement to the dominant tenement must derive from a feature or attribute of the servient tenement which is permanent. In </w:t>
      </w:r>
      <w:r w:rsidRPr="0093361F">
        <w:rPr>
          <w:i/>
          <w:sz w:val="28"/>
          <w:szCs w:val="28"/>
          <w:lang w:val="en-ZA"/>
        </w:rPr>
        <w:t>Lorentz</w:t>
      </w:r>
      <w:r w:rsidRPr="0093361F">
        <w:rPr>
          <w:iCs/>
          <w:sz w:val="28"/>
          <w:szCs w:val="28"/>
          <w:lang w:val="en-ZA"/>
        </w:rPr>
        <w:t>,</w:t>
      </w:r>
      <w:r w:rsidRPr="0093361F">
        <w:rPr>
          <w:iCs/>
          <w:sz w:val="28"/>
          <w:szCs w:val="28"/>
          <w:vertAlign w:val="superscript"/>
          <w:lang w:val="en-ZA"/>
        </w:rPr>
        <w:footnoteReference w:id="37"/>
      </w:r>
      <w:r w:rsidRPr="0093361F">
        <w:rPr>
          <w:i/>
          <w:sz w:val="28"/>
          <w:szCs w:val="28"/>
          <w:lang w:val="en-ZA"/>
        </w:rPr>
        <w:t xml:space="preserve"> </w:t>
      </w:r>
      <w:r w:rsidRPr="0093361F">
        <w:rPr>
          <w:sz w:val="28"/>
          <w:szCs w:val="28"/>
          <w:lang w:val="en-ZA"/>
        </w:rPr>
        <w:t xml:space="preserve">this was expressed in a citation from </w:t>
      </w:r>
      <w:r w:rsidRPr="0093361F">
        <w:rPr>
          <w:iCs/>
          <w:sz w:val="28"/>
          <w:szCs w:val="28"/>
          <w:lang w:val="en-ZA"/>
        </w:rPr>
        <w:t>Hahlo and Kahn</w:t>
      </w:r>
      <w:r w:rsidRPr="0093361F">
        <w:rPr>
          <w:iCs/>
          <w:sz w:val="28"/>
          <w:szCs w:val="28"/>
          <w:vertAlign w:val="superscript"/>
          <w:lang w:val="en-ZA"/>
        </w:rPr>
        <w:footnoteReference w:id="38"/>
      </w:r>
      <w:r w:rsidRPr="0093361F">
        <w:rPr>
          <w:i/>
          <w:sz w:val="28"/>
          <w:szCs w:val="28"/>
          <w:lang w:val="en-ZA"/>
        </w:rPr>
        <w:t xml:space="preserve"> </w:t>
      </w:r>
      <w:r w:rsidRPr="0093361F">
        <w:rPr>
          <w:iCs/>
          <w:sz w:val="28"/>
          <w:szCs w:val="28"/>
          <w:lang w:val="en-ZA"/>
        </w:rPr>
        <w:t>who wrote:</w:t>
      </w:r>
      <w:r w:rsidRPr="0093361F">
        <w:rPr>
          <w:sz w:val="28"/>
          <w:szCs w:val="28"/>
          <w:lang w:val="en-ZA"/>
        </w:rPr>
        <w:t xml:space="preserve"> </w:t>
      </w:r>
    </w:p>
    <w:p w14:paraId="6C254A00" w14:textId="77777777" w:rsidR="0093361F" w:rsidRPr="0093361F" w:rsidRDefault="0093361F" w:rsidP="00207DB4">
      <w:pPr>
        <w:spacing w:line="360" w:lineRule="auto"/>
        <w:jc w:val="both"/>
        <w:rPr>
          <w:lang w:val="en-ZA"/>
        </w:rPr>
      </w:pPr>
      <w:r w:rsidRPr="0093361F">
        <w:rPr>
          <w:lang w:val="en-ZA"/>
        </w:rPr>
        <w:lastRenderedPageBreak/>
        <w:t xml:space="preserve">‘The old example of the Roman law, which was duly repeated in the Romanistic literature, was that one cannot have a praedial servitude to pluck fruit or to stroll or to have dinner on another's land. On the other hand, the use made of the servient land must be based on some permanent attribute or feature of it. This is expressed in the requirement of the existence of a </w:t>
      </w:r>
      <w:r w:rsidRPr="0093361F">
        <w:rPr>
          <w:i/>
          <w:lang w:val="en-ZA"/>
        </w:rPr>
        <w:t>causa perpetua.</w:t>
      </w:r>
      <w:r w:rsidRPr="0093361F">
        <w:rPr>
          <w:lang w:val="en-ZA"/>
        </w:rPr>
        <w:t>’</w:t>
      </w:r>
    </w:p>
    <w:p w14:paraId="6D94C01C" w14:textId="77777777" w:rsidR="0093361F" w:rsidRPr="0093361F" w:rsidRDefault="0093361F" w:rsidP="00207DB4">
      <w:pPr>
        <w:spacing w:line="360" w:lineRule="auto"/>
        <w:jc w:val="both"/>
        <w:rPr>
          <w:sz w:val="28"/>
          <w:szCs w:val="28"/>
          <w:lang w:val="en-ZA"/>
        </w:rPr>
      </w:pPr>
    </w:p>
    <w:p w14:paraId="7E9AD167" w14:textId="1239DC5C"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61</w:t>
      </w:r>
      <w:r w:rsidRPr="0093361F">
        <w:rPr>
          <w:sz w:val="28"/>
          <w:szCs w:val="28"/>
          <w:lang w:val="en-ZA"/>
        </w:rPr>
        <w:t>]</w:t>
      </w:r>
      <w:r w:rsidRPr="0093361F">
        <w:rPr>
          <w:sz w:val="28"/>
          <w:szCs w:val="28"/>
          <w:lang w:val="en-ZA"/>
        </w:rPr>
        <w:tab/>
        <w:t>The second is that the servient tenement must provide some utility or benefit to the dominant landowner, as owner, and must not merely serve that owner’s personal pleasure or caprice.</w:t>
      </w:r>
      <w:r w:rsidRPr="0093361F">
        <w:rPr>
          <w:sz w:val="28"/>
          <w:szCs w:val="28"/>
          <w:vertAlign w:val="superscript"/>
          <w:lang w:val="en-ZA"/>
        </w:rPr>
        <w:footnoteReference w:id="39"/>
      </w:r>
      <w:r w:rsidRPr="0093361F">
        <w:rPr>
          <w:sz w:val="28"/>
          <w:szCs w:val="28"/>
          <w:lang w:val="en-ZA"/>
        </w:rPr>
        <w:t xml:space="preserve"> This requirement is embodied in the principle of </w:t>
      </w:r>
      <w:r w:rsidRPr="0093361F">
        <w:rPr>
          <w:i/>
          <w:sz w:val="28"/>
          <w:szCs w:val="28"/>
          <w:lang w:val="en-ZA"/>
        </w:rPr>
        <w:t>utilitas.</w:t>
      </w:r>
      <w:r w:rsidRPr="0093361F">
        <w:rPr>
          <w:sz w:val="28"/>
          <w:szCs w:val="28"/>
          <w:lang w:val="en-ZA"/>
        </w:rPr>
        <w:t xml:space="preserve"> We have already pointed to the fact that the main judgment, correctly in our view, recognises that the servitutal rights created by the clause in the title deed served Ms Berzack’s personal pleasure and caprice. The servitude was created to enable her to enhance her personal pleasure derived from gardening, rather than to exercise dominium over her property and enjoy all the elements of that dominium.  </w:t>
      </w:r>
    </w:p>
    <w:p w14:paraId="14605787" w14:textId="77777777" w:rsidR="0093361F" w:rsidRPr="0093361F" w:rsidRDefault="0093361F" w:rsidP="00207DB4">
      <w:pPr>
        <w:spacing w:line="360" w:lineRule="auto"/>
        <w:jc w:val="both"/>
        <w:rPr>
          <w:sz w:val="28"/>
          <w:szCs w:val="28"/>
          <w:lang w:val="en-ZA"/>
        </w:rPr>
      </w:pPr>
    </w:p>
    <w:p w14:paraId="4F0A9A4D" w14:textId="52F27D08"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62</w:t>
      </w:r>
      <w:r w:rsidRPr="0093361F">
        <w:rPr>
          <w:sz w:val="28"/>
          <w:szCs w:val="28"/>
          <w:lang w:val="en-ZA"/>
        </w:rPr>
        <w:t>]</w:t>
      </w:r>
      <w:r w:rsidRPr="0093361F">
        <w:rPr>
          <w:sz w:val="28"/>
          <w:szCs w:val="28"/>
          <w:lang w:val="en-ZA"/>
        </w:rPr>
        <w:tab/>
        <w:t xml:space="preserve">While we accept that the principle of </w:t>
      </w:r>
      <w:r w:rsidRPr="0093361F">
        <w:rPr>
          <w:i/>
          <w:sz w:val="28"/>
          <w:szCs w:val="28"/>
          <w:lang w:val="en-ZA"/>
        </w:rPr>
        <w:t>utilitas</w:t>
      </w:r>
      <w:r w:rsidRPr="0093361F">
        <w:rPr>
          <w:sz w:val="28"/>
          <w:szCs w:val="28"/>
          <w:lang w:val="en-ZA"/>
        </w:rPr>
        <w:t xml:space="preserve"> may be met by enhancement in value of, or the advancement of the economic, industrial or commercial potential of a dominant tenement to which a servitude over a servient tenement attaches,</w:t>
      </w:r>
      <w:r w:rsidRPr="0093361F">
        <w:rPr>
          <w:sz w:val="28"/>
          <w:szCs w:val="28"/>
          <w:vertAlign w:val="superscript"/>
          <w:lang w:val="en-ZA"/>
        </w:rPr>
        <w:footnoteReference w:id="40"/>
      </w:r>
      <w:r w:rsidRPr="0093361F">
        <w:rPr>
          <w:sz w:val="28"/>
          <w:szCs w:val="28"/>
          <w:lang w:val="en-ZA"/>
        </w:rPr>
        <w:t xml:space="preserve"> the enhancement must flow from the right which is conferred by the servitude. A right of way, or a right to draw water from a stream or to lead water over a servient tenement no doubt may facilitate the use, and therefore value, of a dominant tenement otherwise deprived of such services. So too, a restrictive condition imposing limitations on the right to trade upon a servient tenement may protect the value that attaches to such </w:t>
      </w:r>
      <w:r w:rsidRPr="0093361F">
        <w:rPr>
          <w:sz w:val="28"/>
          <w:szCs w:val="28"/>
          <w:lang w:val="en-ZA"/>
        </w:rPr>
        <w:lastRenderedPageBreak/>
        <w:t xml:space="preserve">rights as vest in a dominant tenement. These are the types of value enhancement envisaged as fulfilling the </w:t>
      </w:r>
      <w:r w:rsidRPr="0093361F">
        <w:rPr>
          <w:i/>
          <w:sz w:val="28"/>
          <w:szCs w:val="28"/>
          <w:lang w:val="en-ZA"/>
        </w:rPr>
        <w:t>utilitas</w:t>
      </w:r>
      <w:r w:rsidRPr="0093361F">
        <w:rPr>
          <w:sz w:val="28"/>
          <w:szCs w:val="28"/>
          <w:lang w:val="en-ZA"/>
        </w:rPr>
        <w:t xml:space="preserve"> requirement. </w:t>
      </w:r>
      <w:r w:rsidRPr="0093361F">
        <w:rPr>
          <w:i/>
          <w:sz w:val="28"/>
          <w:szCs w:val="28"/>
          <w:lang w:val="en-ZA"/>
        </w:rPr>
        <w:t>Non constat</w:t>
      </w:r>
      <w:r w:rsidRPr="0093361F">
        <w:rPr>
          <w:sz w:val="28"/>
          <w:szCs w:val="28"/>
          <w:lang w:val="en-ZA"/>
        </w:rPr>
        <w:t xml:space="preserve"> the ‘increased market value’ which might ensue from a beautiful garden developed upon a servient tenement, establishes utility as required by the common law. In any event, even if it is assumed that some market value benefit may flow from the gardening activities of Ms Berzack, such ‘utility’ cannot alter the fact that the rights were reserved by her in pursuit of her personal pleasure and enjoyment. </w:t>
      </w:r>
    </w:p>
    <w:p w14:paraId="64CE6804" w14:textId="77777777" w:rsidR="0093361F" w:rsidRPr="0093361F" w:rsidRDefault="0093361F" w:rsidP="00207DB4">
      <w:pPr>
        <w:spacing w:line="360" w:lineRule="auto"/>
        <w:jc w:val="both"/>
        <w:rPr>
          <w:sz w:val="28"/>
          <w:szCs w:val="28"/>
          <w:lang w:val="en-ZA"/>
        </w:rPr>
      </w:pPr>
    </w:p>
    <w:p w14:paraId="5D795ECF" w14:textId="7D7C6C33"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63</w:t>
      </w:r>
      <w:r w:rsidRPr="0093361F">
        <w:rPr>
          <w:sz w:val="28"/>
          <w:szCs w:val="28"/>
          <w:lang w:val="en-ZA"/>
        </w:rPr>
        <w:t>]</w:t>
      </w:r>
      <w:r w:rsidRPr="0093361F">
        <w:rPr>
          <w:sz w:val="28"/>
          <w:szCs w:val="28"/>
          <w:lang w:val="en-ZA"/>
        </w:rPr>
        <w:tab/>
        <w:t xml:space="preserve">The assertion by Nhlangulela AJA that additional utility is to be found in the fact that the servitude will also ensure a view of the garden, which will attach to the dominant tenement, merits comment. In the first instance, there was no evidence before the court about the nature of this ‘view’. The record contains only general assertions that the garden is directly adjacent to a pool area on the dominant tenement and that it serves to enhance the visual appreciation of the area. More importantly, the utility in a view, if it is to serve as a basis for recognition of a praedial servitude, requires more than the mere assertion of the existence of a ‘view’. The reason is this: a view lies across or over an adjacent property. If it is to attach as of right to a dominant tenement, it must necessarily do so by restricting the use to which the servient tenement may be put insofar as such use would obstruct or destroy the ‘view’ across the servient land. This difficult conundrum has been the subject of numerous disputes before our courts, mostly in the context of challenges to the lawful </w:t>
      </w:r>
      <w:r w:rsidRPr="0093361F">
        <w:rPr>
          <w:sz w:val="28"/>
          <w:szCs w:val="28"/>
          <w:lang w:val="en-ZA"/>
        </w:rPr>
        <w:lastRenderedPageBreak/>
        <w:t>use of property which serves to ‘detract’ from the value of an adjacent, neighbouring property.</w:t>
      </w:r>
      <w:r w:rsidRPr="0093361F">
        <w:rPr>
          <w:sz w:val="28"/>
          <w:szCs w:val="28"/>
          <w:vertAlign w:val="superscript"/>
          <w:lang w:val="en-ZA"/>
        </w:rPr>
        <w:footnoteReference w:id="41"/>
      </w:r>
    </w:p>
    <w:p w14:paraId="1437009F" w14:textId="77777777" w:rsidR="0093361F" w:rsidRPr="0093361F" w:rsidRDefault="0093361F" w:rsidP="00207DB4">
      <w:pPr>
        <w:spacing w:line="360" w:lineRule="auto"/>
        <w:jc w:val="both"/>
        <w:rPr>
          <w:sz w:val="28"/>
          <w:szCs w:val="28"/>
          <w:lang w:val="en-ZA"/>
        </w:rPr>
      </w:pPr>
    </w:p>
    <w:p w14:paraId="1D1F89F0" w14:textId="735985FB"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64</w:t>
      </w:r>
      <w:r w:rsidRPr="0093361F">
        <w:rPr>
          <w:sz w:val="28"/>
          <w:szCs w:val="28"/>
          <w:lang w:val="en-ZA"/>
        </w:rPr>
        <w:t>]</w:t>
      </w:r>
      <w:r w:rsidRPr="0093361F">
        <w:rPr>
          <w:sz w:val="28"/>
          <w:szCs w:val="28"/>
          <w:lang w:val="en-ZA"/>
        </w:rPr>
        <w:tab/>
        <w:t xml:space="preserve">Our law does not recognise a natural entitlement, based upon the mere ownership of land, to enjoy a view across adjacent land. The authorities also do not, as a general entitlement, recognise the protection of value in a property by imposing upon the owner of adjacent land restrictions on the lawful use of such land. The circumstances in which this may occur are not germane to this case. The point is made to demonstrate that the ‘utility’ of a view of the garden can, in the context of this case, serve no more than to assert the ‘value’ of the garden itself. </w:t>
      </w:r>
    </w:p>
    <w:p w14:paraId="5DFB7C2D" w14:textId="77777777" w:rsidR="0093361F" w:rsidRPr="0093361F" w:rsidRDefault="0093361F" w:rsidP="00207DB4">
      <w:pPr>
        <w:spacing w:line="360" w:lineRule="auto"/>
        <w:jc w:val="both"/>
        <w:rPr>
          <w:sz w:val="28"/>
          <w:szCs w:val="28"/>
          <w:lang w:val="en-ZA"/>
        </w:rPr>
      </w:pPr>
    </w:p>
    <w:p w14:paraId="13D7A8D6" w14:textId="10B819CE"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65</w:t>
      </w:r>
      <w:r w:rsidRPr="0093361F">
        <w:rPr>
          <w:sz w:val="28"/>
          <w:szCs w:val="28"/>
          <w:lang w:val="en-ZA"/>
        </w:rPr>
        <w:t>]</w:t>
      </w:r>
      <w:r w:rsidRPr="0093361F">
        <w:rPr>
          <w:sz w:val="28"/>
          <w:szCs w:val="28"/>
          <w:lang w:val="en-ZA"/>
        </w:rPr>
        <w:tab/>
        <w:t xml:space="preserve">How would the </w:t>
      </w:r>
      <w:r w:rsidRPr="0093361F">
        <w:rPr>
          <w:i/>
          <w:iCs/>
          <w:sz w:val="28"/>
          <w:szCs w:val="28"/>
          <w:lang w:val="en-ZA"/>
        </w:rPr>
        <w:t>utilitas</w:t>
      </w:r>
      <w:r w:rsidRPr="0093361F">
        <w:rPr>
          <w:sz w:val="28"/>
          <w:szCs w:val="28"/>
          <w:lang w:val="en-ZA"/>
        </w:rPr>
        <w:t xml:space="preserve"> requirement be affected if a successor in title had no interest in gardening? Let us assume that they simply abandoned the cultivation and care of the garden in the servitude area, allowing it to become a rodent infested eye-sore. Could it still be said in these circumstances that the value of the dominant tenement has been enhanced by the servitude? In our view, the obvious answer is ‘no’. In similar vein it could not be said that the servient tenement has continued to provide a permanent advantage or perpetual cause to the dominant tenement in the absence of the maintenance and renewal of the garden. This example also highlights, it seems to us, the personal nature of the rights claimed by Ms Berzack. </w:t>
      </w:r>
    </w:p>
    <w:p w14:paraId="6133FA3B" w14:textId="77777777" w:rsidR="00310DE1" w:rsidRPr="002B4807" w:rsidRDefault="00310DE1" w:rsidP="00207DB4">
      <w:pPr>
        <w:spacing w:line="360" w:lineRule="auto"/>
        <w:jc w:val="both"/>
        <w:rPr>
          <w:sz w:val="28"/>
          <w:szCs w:val="28"/>
          <w:lang w:val="en-ZA"/>
        </w:rPr>
      </w:pPr>
    </w:p>
    <w:p w14:paraId="43398BC8" w14:textId="6203764F" w:rsidR="0093361F" w:rsidRPr="0093361F" w:rsidRDefault="0093361F" w:rsidP="00207DB4">
      <w:pPr>
        <w:spacing w:line="360" w:lineRule="auto"/>
        <w:jc w:val="both"/>
        <w:rPr>
          <w:sz w:val="28"/>
          <w:szCs w:val="28"/>
          <w:lang w:val="en-ZA"/>
        </w:rPr>
      </w:pPr>
      <w:r w:rsidRPr="0093361F">
        <w:rPr>
          <w:sz w:val="28"/>
          <w:szCs w:val="28"/>
          <w:lang w:val="en-ZA"/>
        </w:rPr>
        <w:lastRenderedPageBreak/>
        <w:t>[</w:t>
      </w:r>
      <w:r w:rsidR="00310DE1" w:rsidRPr="002B4807">
        <w:rPr>
          <w:sz w:val="28"/>
          <w:szCs w:val="28"/>
          <w:lang w:val="en-ZA"/>
        </w:rPr>
        <w:t>66</w:t>
      </w:r>
      <w:r w:rsidRPr="0093361F">
        <w:rPr>
          <w:sz w:val="28"/>
          <w:szCs w:val="28"/>
          <w:lang w:val="en-ZA"/>
        </w:rPr>
        <w:t>]</w:t>
      </w:r>
      <w:r w:rsidRPr="0093361F">
        <w:rPr>
          <w:sz w:val="28"/>
          <w:szCs w:val="28"/>
          <w:lang w:val="en-ZA"/>
        </w:rPr>
        <w:tab/>
        <w:t xml:space="preserve">It must be emphasised that the permanent advantage derived from a feature or attribute of the servient tenement is not to be confused with the concept of utility. The requirements are interlinked, but they are not co-extensive. In this case there is no feature or attribute of the servient tenement which can be said to provide an advantage to the dominant tenement. The fact that it is contiguous is of no moment. That serves only to meet the requirement of </w:t>
      </w:r>
      <w:r w:rsidRPr="0093361F">
        <w:rPr>
          <w:i/>
          <w:sz w:val="28"/>
          <w:szCs w:val="28"/>
          <w:lang w:val="en-ZA"/>
        </w:rPr>
        <w:t>vicinitas.</w:t>
      </w:r>
      <w:r w:rsidRPr="0093361F">
        <w:rPr>
          <w:sz w:val="28"/>
          <w:szCs w:val="28"/>
          <w:lang w:val="en-ZA"/>
        </w:rPr>
        <w:t xml:space="preserve"> There is no evidence that the portion of land used for the development and cultivation of a garden offers some peculiar facility for the development of such a garden. The service that the servient tenement provides consists of no more than the space upon which a garden has been developed. Indeed, the expedient of a servitude and the servitude area was identified in order to circumvent area restrictions that applied to sub-divisions of land, in terms of the applicable town planning scheme. </w:t>
      </w:r>
    </w:p>
    <w:p w14:paraId="11B45D1D" w14:textId="77777777" w:rsidR="0093361F" w:rsidRPr="0093361F" w:rsidRDefault="0093361F" w:rsidP="00207DB4">
      <w:pPr>
        <w:spacing w:line="360" w:lineRule="auto"/>
        <w:jc w:val="both"/>
        <w:rPr>
          <w:sz w:val="28"/>
          <w:szCs w:val="28"/>
          <w:lang w:val="en-ZA"/>
        </w:rPr>
      </w:pPr>
    </w:p>
    <w:p w14:paraId="4F64D2C3" w14:textId="782BFF39"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67</w:t>
      </w:r>
      <w:r w:rsidRPr="0093361F">
        <w:rPr>
          <w:sz w:val="28"/>
          <w:szCs w:val="28"/>
          <w:lang w:val="en-ZA"/>
        </w:rPr>
        <w:t>]</w:t>
      </w:r>
      <w:r w:rsidRPr="0093361F">
        <w:rPr>
          <w:sz w:val="28"/>
          <w:szCs w:val="28"/>
          <w:lang w:val="en-ZA"/>
        </w:rPr>
        <w:tab/>
        <w:t xml:space="preserve">One final point warrants emphasis, and that is the entirely subjective and value-laden-aesthetic of what constitutes a ‘garden’ which would serve to enhance market or economic value of the dominant tenement. The fact that </w:t>
      </w:r>
      <w:r w:rsidRPr="00BB26F2">
        <w:rPr>
          <w:sz w:val="28"/>
          <w:szCs w:val="28"/>
          <w:lang w:val="en-ZA"/>
        </w:rPr>
        <w:t>Ms</w:t>
      </w:r>
      <w:r w:rsidRPr="0093361F">
        <w:rPr>
          <w:sz w:val="28"/>
          <w:szCs w:val="28"/>
          <w:lang w:val="en-ZA"/>
        </w:rPr>
        <w:t xml:space="preserve"> Berzack may have created a garden which satisfies the sensibilities of a particular segment of society is no basis to infer intrinsic advantage provided by the servient tenement to the dominant tenement. This is particularly so in the light of the fact that the ‘advantage’ conferred by the servient land constitutes a permanent diminution of the rights of dominium exercised by the owner of the servient tenement.</w:t>
      </w:r>
    </w:p>
    <w:p w14:paraId="69F669A4" w14:textId="77777777" w:rsidR="0093361F" w:rsidRPr="0093361F" w:rsidRDefault="0093361F" w:rsidP="00207DB4">
      <w:pPr>
        <w:spacing w:line="360" w:lineRule="auto"/>
        <w:jc w:val="both"/>
        <w:rPr>
          <w:sz w:val="28"/>
          <w:szCs w:val="28"/>
          <w:lang w:val="en-ZA"/>
        </w:rPr>
      </w:pPr>
    </w:p>
    <w:p w14:paraId="2D3F9A83" w14:textId="62A494E9"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68</w:t>
      </w:r>
      <w:r w:rsidRPr="0093361F">
        <w:rPr>
          <w:sz w:val="28"/>
          <w:szCs w:val="28"/>
          <w:lang w:val="en-ZA"/>
        </w:rPr>
        <w:t>]</w:t>
      </w:r>
      <w:r w:rsidRPr="0093361F">
        <w:rPr>
          <w:sz w:val="28"/>
          <w:szCs w:val="28"/>
          <w:lang w:val="en-ZA"/>
        </w:rPr>
        <w:tab/>
        <w:t xml:space="preserve">In our view, for the reasons set out above, the servitutal rights conferred by the terms of the agreement do not meet two of the essential requirements for recognition as a </w:t>
      </w:r>
      <w:r w:rsidRPr="0093361F">
        <w:rPr>
          <w:iCs/>
          <w:sz w:val="28"/>
          <w:szCs w:val="28"/>
          <w:lang w:val="en-ZA"/>
        </w:rPr>
        <w:t xml:space="preserve">praedial </w:t>
      </w:r>
      <w:r w:rsidRPr="0093361F">
        <w:rPr>
          <w:sz w:val="28"/>
          <w:szCs w:val="28"/>
          <w:lang w:val="en-ZA"/>
        </w:rPr>
        <w:t xml:space="preserve">servitude. It is, as indicated above, no more than </w:t>
      </w:r>
      <w:r w:rsidRPr="0093361F">
        <w:rPr>
          <w:sz w:val="28"/>
          <w:szCs w:val="28"/>
          <w:lang w:val="en-ZA"/>
        </w:rPr>
        <w:lastRenderedPageBreak/>
        <w:t xml:space="preserve">a servitude of </w:t>
      </w:r>
      <w:r w:rsidRPr="0093361F">
        <w:rPr>
          <w:i/>
          <w:sz w:val="28"/>
          <w:szCs w:val="28"/>
          <w:lang w:val="en-ZA"/>
        </w:rPr>
        <w:t>usus</w:t>
      </w:r>
      <w:r w:rsidRPr="0093361F">
        <w:rPr>
          <w:sz w:val="28"/>
          <w:szCs w:val="28"/>
          <w:lang w:val="en-ZA"/>
        </w:rPr>
        <w:t xml:space="preserve">, which is personal to Ms Berzack. It follows that in respect of the principal issue, namely whether the servitude is praedial or personal in nature, and the remedial consequences that flowed therefrom, there is no prospect of success on appeal. The high court’s conclusion is correct that clauses P(b)(ii) and (iii) operate as a personal servitude of </w:t>
      </w:r>
      <w:r w:rsidRPr="0093361F">
        <w:rPr>
          <w:i/>
          <w:iCs/>
          <w:sz w:val="28"/>
          <w:szCs w:val="28"/>
          <w:lang w:val="en-ZA"/>
        </w:rPr>
        <w:t xml:space="preserve">usus </w:t>
      </w:r>
      <w:r w:rsidRPr="0093361F">
        <w:rPr>
          <w:sz w:val="28"/>
          <w:szCs w:val="28"/>
          <w:lang w:val="en-ZA"/>
        </w:rPr>
        <w:t xml:space="preserve">in favour of Ms Berzack; that they will cease to have force or effect on her death; and they are not capable of operating or being registered as a praedial servitude and ought not to have been registered as such. The result is that paragraphs 5, 6 and 7 of the high court’s order were correctly granted. As we shall explain, paragraph 8 – the rectification of clause P to bring it into conformity with s 66 of the Deeds Registries Act – requires limited amendment, only in relation to the fence. </w:t>
      </w:r>
    </w:p>
    <w:p w14:paraId="7C175693" w14:textId="77777777" w:rsidR="0093361F" w:rsidRPr="0093361F" w:rsidRDefault="0093361F" w:rsidP="00207DB4">
      <w:pPr>
        <w:spacing w:line="360" w:lineRule="auto"/>
        <w:jc w:val="both"/>
        <w:rPr>
          <w:sz w:val="28"/>
          <w:szCs w:val="28"/>
          <w:lang w:val="en-ZA"/>
        </w:rPr>
      </w:pPr>
    </w:p>
    <w:p w14:paraId="26612E14" w14:textId="30EE5574"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69</w:t>
      </w:r>
      <w:r w:rsidRPr="0093361F">
        <w:rPr>
          <w:sz w:val="28"/>
          <w:szCs w:val="28"/>
          <w:lang w:val="en-ZA"/>
        </w:rPr>
        <w:t>]</w:t>
      </w:r>
      <w:r w:rsidRPr="0093361F">
        <w:rPr>
          <w:sz w:val="28"/>
          <w:szCs w:val="28"/>
          <w:lang w:val="en-ZA"/>
        </w:rPr>
        <w:tab/>
        <w:t>As regards paragraphs 1, 2, 3 and 4 of the high court order, we agree that no basis was established for the relief granted by the high court. These paragraphs concern the fence, its demolition and the construction of a new fence. Clause P(b)(i) provides that ‘no wall or fence of any description shall be erected on the servitude boundary except extension of existing type of fencing (wooden pole fencing)’. Simply stated, clause P(b)(i), although not a model of the legal drafter’s art, clearly prohibits the construction of a fence on the servitude boundary except to the extent that it is an extension of the existing fence and is constructed of wooden poles.</w:t>
      </w:r>
    </w:p>
    <w:p w14:paraId="793185A9" w14:textId="77777777" w:rsidR="0093361F" w:rsidRPr="0093361F" w:rsidRDefault="0093361F" w:rsidP="00207DB4">
      <w:pPr>
        <w:spacing w:line="360" w:lineRule="auto"/>
        <w:jc w:val="both"/>
        <w:rPr>
          <w:sz w:val="28"/>
          <w:szCs w:val="28"/>
          <w:lang w:val="en-ZA"/>
        </w:rPr>
      </w:pPr>
    </w:p>
    <w:p w14:paraId="7BE1A0C6" w14:textId="395C56A9"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70</w:t>
      </w:r>
      <w:r w:rsidRPr="0093361F">
        <w:rPr>
          <w:sz w:val="28"/>
          <w:szCs w:val="28"/>
          <w:lang w:val="en-ZA"/>
        </w:rPr>
        <w:t>]</w:t>
      </w:r>
      <w:r w:rsidRPr="0093361F">
        <w:rPr>
          <w:sz w:val="28"/>
          <w:szCs w:val="28"/>
          <w:lang w:val="en-ZA"/>
        </w:rPr>
        <w:tab/>
        <w:t xml:space="preserve">We can see no basis upon which clause P(b)(i) can be interpreted to mean that the owner of the servient tenement may demolish the existing fence and then construct a new fence on the boundary of the servitude area. That being so, there was no basis for the granting of paragraphs 1, 2, 3 and 4 of the </w:t>
      </w:r>
      <w:r w:rsidRPr="0093361F">
        <w:rPr>
          <w:sz w:val="28"/>
          <w:szCs w:val="28"/>
          <w:lang w:val="en-ZA"/>
        </w:rPr>
        <w:lastRenderedPageBreak/>
        <w:t xml:space="preserve">order. There was also no basis for the rectification of the clause P of the deed of transfer by deleting clause P(b)(i).  Paragraph 8 of the order will have to be amended to that extent. As that does not qualify as substantial success, there will be no costs order in favour of Ms Berzack in that regard. </w:t>
      </w:r>
    </w:p>
    <w:p w14:paraId="19E1B9DA" w14:textId="77777777" w:rsidR="0093361F" w:rsidRPr="0093361F" w:rsidRDefault="0093361F" w:rsidP="00207DB4">
      <w:pPr>
        <w:spacing w:line="360" w:lineRule="auto"/>
        <w:jc w:val="both"/>
        <w:rPr>
          <w:sz w:val="28"/>
          <w:szCs w:val="28"/>
          <w:lang w:val="en-ZA"/>
        </w:rPr>
      </w:pPr>
    </w:p>
    <w:p w14:paraId="03A3A5A8" w14:textId="18A84DBB"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71</w:t>
      </w:r>
      <w:r w:rsidRPr="0093361F">
        <w:rPr>
          <w:sz w:val="28"/>
          <w:szCs w:val="28"/>
          <w:lang w:val="en-ZA"/>
        </w:rPr>
        <w:t>]</w:t>
      </w:r>
      <w:r w:rsidRPr="0093361F">
        <w:rPr>
          <w:sz w:val="28"/>
          <w:szCs w:val="28"/>
          <w:lang w:val="en-ZA"/>
        </w:rPr>
        <w:tab/>
        <w:t xml:space="preserve">We conclude that except for paragraphs 1, 2, 3 and 4 of the order of the high court, which deal with the fence, and the deletion of clause P(b)(i) in the rectified servitude, which also relates to the fence, there are no reasonable prospects of success on appeal. We would grant leave to appeal in relation to those paragraphs, as well as paragraph 10 which deals with costs, uphold the appeal and set aside those paragraphs of the order of the high court. For the rest, we would dismiss the application for leave to appeal with costs, including the costs of two counsel. It would, in the light of Ms Berzack’s partial success be necessary to re-visit the costs order of the high court. </w:t>
      </w:r>
    </w:p>
    <w:p w14:paraId="3816E01E" w14:textId="77777777" w:rsidR="0093361F" w:rsidRPr="0093361F" w:rsidRDefault="0093361F" w:rsidP="00207DB4">
      <w:pPr>
        <w:spacing w:line="360" w:lineRule="auto"/>
        <w:jc w:val="both"/>
        <w:rPr>
          <w:sz w:val="28"/>
          <w:szCs w:val="28"/>
          <w:lang w:val="en-ZA"/>
        </w:rPr>
      </w:pPr>
    </w:p>
    <w:p w14:paraId="60A0C0AE" w14:textId="5EC75727" w:rsidR="0093361F" w:rsidRPr="0093361F" w:rsidRDefault="0093361F" w:rsidP="00207DB4">
      <w:pPr>
        <w:spacing w:line="360" w:lineRule="auto"/>
        <w:jc w:val="both"/>
        <w:rPr>
          <w:sz w:val="28"/>
          <w:szCs w:val="28"/>
          <w:lang w:val="en-ZA"/>
        </w:rPr>
      </w:pPr>
      <w:r w:rsidRPr="0093361F">
        <w:rPr>
          <w:sz w:val="28"/>
          <w:szCs w:val="28"/>
          <w:lang w:val="en-ZA"/>
        </w:rPr>
        <w:t>[</w:t>
      </w:r>
      <w:r w:rsidR="00310DE1" w:rsidRPr="002B4807">
        <w:rPr>
          <w:sz w:val="28"/>
          <w:szCs w:val="28"/>
          <w:lang w:val="en-ZA"/>
        </w:rPr>
        <w:t>72</w:t>
      </w:r>
      <w:r w:rsidRPr="0093361F">
        <w:rPr>
          <w:sz w:val="28"/>
          <w:szCs w:val="28"/>
          <w:lang w:val="en-ZA"/>
        </w:rPr>
        <w:t>]</w:t>
      </w:r>
      <w:r w:rsidRPr="0093361F">
        <w:rPr>
          <w:sz w:val="28"/>
          <w:szCs w:val="28"/>
          <w:lang w:val="en-ZA"/>
        </w:rPr>
        <w:tab/>
        <w:t>We would accordingly make the following order.</w:t>
      </w:r>
    </w:p>
    <w:p w14:paraId="120CAEA0" w14:textId="77777777" w:rsidR="0093361F" w:rsidRPr="0093361F" w:rsidRDefault="0093361F" w:rsidP="00207DB4">
      <w:pPr>
        <w:spacing w:line="360" w:lineRule="auto"/>
        <w:jc w:val="both"/>
        <w:rPr>
          <w:sz w:val="28"/>
          <w:szCs w:val="28"/>
          <w:lang w:val="en-ZA"/>
        </w:rPr>
      </w:pPr>
      <w:r w:rsidRPr="0093361F">
        <w:rPr>
          <w:sz w:val="28"/>
          <w:szCs w:val="28"/>
          <w:lang w:val="en-ZA"/>
        </w:rPr>
        <w:t>1</w:t>
      </w:r>
      <w:r w:rsidRPr="0093361F">
        <w:rPr>
          <w:sz w:val="28"/>
          <w:szCs w:val="28"/>
          <w:lang w:val="en-ZA"/>
        </w:rPr>
        <w:tab/>
        <w:t>Leave to appeal is granted in respect of paragraphs 1, 2, 3, 4, 8 and 10 of the high court’s order.</w:t>
      </w:r>
    </w:p>
    <w:p w14:paraId="0B93FAAF" w14:textId="77777777" w:rsidR="0093361F" w:rsidRPr="0093361F" w:rsidRDefault="0093361F" w:rsidP="00207DB4">
      <w:pPr>
        <w:spacing w:line="360" w:lineRule="auto"/>
        <w:jc w:val="both"/>
        <w:rPr>
          <w:sz w:val="28"/>
          <w:szCs w:val="28"/>
          <w:lang w:val="en-ZA"/>
        </w:rPr>
      </w:pPr>
      <w:r w:rsidRPr="0093361F">
        <w:rPr>
          <w:sz w:val="28"/>
          <w:szCs w:val="28"/>
          <w:lang w:val="en-ZA"/>
        </w:rPr>
        <w:t>2</w:t>
      </w:r>
      <w:r w:rsidRPr="0093361F">
        <w:rPr>
          <w:sz w:val="28"/>
          <w:szCs w:val="28"/>
          <w:lang w:val="en-ZA"/>
        </w:rPr>
        <w:tab/>
        <w:t>The appeal against paragraphs 1, 2, 3 and 4 of the high court’s order is upheld with costs, including the costs of two counsel.</w:t>
      </w:r>
    </w:p>
    <w:p w14:paraId="4704B4C9" w14:textId="77777777" w:rsidR="0093361F" w:rsidRPr="0093361F" w:rsidRDefault="0093361F" w:rsidP="00207DB4">
      <w:pPr>
        <w:spacing w:line="360" w:lineRule="auto"/>
        <w:jc w:val="both"/>
        <w:rPr>
          <w:sz w:val="28"/>
          <w:szCs w:val="28"/>
          <w:lang w:val="en-ZA"/>
        </w:rPr>
      </w:pPr>
      <w:r w:rsidRPr="0093361F">
        <w:rPr>
          <w:sz w:val="28"/>
          <w:szCs w:val="28"/>
          <w:lang w:val="en-ZA"/>
        </w:rPr>
        <w:t>3</w:t>
      </w:r>
      <w:r w:rsidRPr="0093361F">
        <w:rPr>
          <w:sz w:val="28"/>
          <w:szCs w:val="28"/>
          <w:lang w:val="en-ZA"/>
        </w:rPr>
        <w:tab/>
        <w:t>Paragraphs 1, 2, 3 and 4 of the high court’s order are set aide and replaced with the following order:</w:t>
      </w:r>
    </w:p>
    <w:p w14:paraId="1A98591D" w14:textId="02F1523D" w:rsidR="0093361F" w:rsidRPr="0093361F" w:rsidRDefault="0093361F" w:rsidP="00207DB4">
      <w:pPr>
        <w:spacing w:line="360" w:lineRule="auto"/>
        <w:jc w:val="both"/>
        <w:rPr>
          <w:sz w:val="28"/>
          <w:szCs w:val="28"/>
          <w:lang w:val="en-ZA"/>
        </w:rPr>
      </w:pPr>
      <w:r w:rsidRPr="0093361F">
        <w:rPr>
          <w:sz w:val="28"/>
          <w:szCs w:val="28"/>
          <w:lang w:val="en-ZA"/>
        </w:rPr>
        <w:t xml:space="preserve">‘Prayers 1, </w:t>
      </w:r>
      <w:r w:rsidR="00BB26F2" w:rsidRPr="0093361F">
        <w:rPr>
          <w:sz w:val="28"/>
          <w:szCs w:val="28"/>
          <w:lang w:val="en-ZA"/>
        </w:rPr>
        <w:t>2, 3</w:t>
      </w:r>
      <w:r w:rsidRPr="0093361F">
        <w:rPr>
          <w:sz w:val="28"/>
          <w:szCs w:val="28"/>
          <w:lang w:val="en-ZA"/>
        </w:rPr>
        <w:t xml:space="preserve"> and 4 of the notice of motion are dismissed with costs, including the costs of two counsel.’</w:t>
      </w:r>
    </w:p>
    <w:p w14:paraId="619F7C0F" w14:textId="77777777" w:rsidR="0093361F" w:rsidRPr="0093361F" w:rsidRDefault="0093361F" w:rsidP="00207DB4">
      <w:pPr>
        <w:spacing w:line="360" w:lineRule="auto"/>
        <w:jc w:val="both"/>
        <w:rPr>
          <w:sz w:val="28"/>
          <w:szCs w:val="28"/>
          <w:lang w:val="en-ZA"/>
        </w:rPr>
      </w:pPr>
      <w:r w:rsidRPr="0093361F">
        <w:rPr>
          <w:sz w:val="28"/>
          <w:szCs w:val="28"/>
          <w:lang w:val="en-ZA"/>
        </w:rPr>
        <w:t>4</w:t>
      </w:r>
      <w:r w:rsidRPr="0093361F">
        <w:rPr>
          <w:sz w:val="28"/>
          <w:szCs w:val="28"/>
          <w:lang w:val="en-ZA"/>
        </w:rPr>
        <w:tab/>
        <w:t>The appeal against paragraph 8 of the high court’s order is upheld to the limited extent set out in paragraph 5 below.</w:t>
      </w:r>
    </w:p>
    <w:p w14:paraId="3E673313" w14:textId="77777777" w:rsidR="0093361F" w:rsidRPr="0093361F" w:rsidRDefault="0093361F" w:rsidP="00207DB4">
      <w:pPr>
        <w:spacing w:line="360" w:lineRule="auto"/>
        <w:jc w:val="both"/>
        <w:rPr>
          <w:sz w:val="28"/>
          <w:szCs w:val="28"/>
          <w:lang w:val="en-ZA"/>
        </w:rPr>
      </w:pPr>
      <w:r w:rsidRPr="0093361F">
        <w:rPr>
          <w:sz w:val="28"/>
          <w:szCs w:val="28"/>
          <w:lang w:val="en-ZA"/>
        </w:rPr>
        <w:lastRenderedPageBreak/>
        <w:t>5</w:t>
      </w:r>
      <w:r w:rsidRPr="0093361F">
        <w:rPr>
          <w:sz w:val="28"/>
          <w:szCs w:val="28"/>
          <w:lang w:val="en-ZA"/>
        </w:rPr>
        <w:tab/>
        <w:t>Paragraph 8 of the high court’s order is amended by the insertion in the rectified clause P of the deed of transfer, at clause P(b)(i), of the following words:</w:t>
      </w:r>
    </w:p>
    <w:p w14:paraId="181F41C3" w14:textId="77777777" w:rsidR="0093361F" w:rsidRPr="0093361F" w:rsidRDefault="0093361F" w:rsidP="00207DB4">
      <w:pPr>
        <w:spacing w:line="360" w:lineRule="auto"/>
        <w:jc w:val="both"/>
        <w:rPr>
          <w:sz w:val="28"/>
          <w:szCs w:val="28"/>
          <w:lang w:val="en-ZA"/>
        </w:rPr>
      </w:pPr>
      <w:r w:rsidRPr="0093361F">
        <w:rPr>
          <w:sz w:val="28"/>
          <w:szCs w:val="28"/>
          <w:lang w:val="en-ZA"/>
        </w:rPr>
        <w:t>‘No wall or fence of any description shall be erected on the servitude boundary except extension of existing type of fencing (wooden pole fencing)’.</w:t>
      </w:r>
    </w:p>
    <w:p w14:paraId="022A91DD" w14:textId="77777777" w:rsidR="0093361F" w:rsidRPr="0093361F" w:rsidRDefault="0093361F" w:rsidP="00207DB4">
      <w:pPr>
        <w:spacing w:line="360" w:lineRule="auto"/>
        <w:jc w:val="both"/>
        <w:rPr>
          <w:sz w:val="28"/>
          <w:szCs w:val="28"/>
          <w:lang w:val="en-ZA"/>
        </w:rPr>
      </w:pPr>
      <w:r w:rsidRPr="0093361F">
        <w:rPr>
          <w:sz w:val="28"/>
          <w:szCs w:val="28"/>
          <w:lang w:val="en-ZA"/>
        </w:rPr>
        <w:t>6</w:t>
      </w:r>
      <w:r w:rsidRPr="0093361F">
        <w:rPr>
          <w:sz w:val="28"/>
          <w:szCs w:val="28"/>
          <w:lang w:val="en-ZA"/>
        </w:rPr>
        <w:tab/>
        <w:t xml:space="preserve">The application for leave to appeal is otherwise dismissed with costs including the costs of two counsel. </w:t>
      </w:r>
    </w:p>
    <w:p w14:paraId="362A6B5B" w14:textId="77777777" w:rsidR="0093361F" w:rsidRPr="0093361F" w:rsidRDefault="0093361F" w:rsidP="00207DB4">
      <w:pPr>
        <w:spacing w:line="360" w:lineRule="auto"/>
        <w:jc w:val="both"/>
        <w:rPr>
          <w:sz w:val="28"/>
          <w:szCs w:val="28"/>
          <w:lang w:val="en-ZA"/>
        </w:rPr>
      </w:pPr>
    </w:p>
    <w:p w14:paraId="0E08004E" w14:textId="77777777" w:rsidR="0093361F" w:rsidRPr="0093361F" w:rsidRDefault="0093361F" w:rsidP="00310DE1">
      <w:pPr>
        <w:spacing w:line="360" w:lineRule="auto"/>
        <w:jc w:val="right"/>
        <w:rPr>
          <w:sz w:val="28"/>
          <w:szCs w:val="28"/>
          <w:lang w:val="en-ZA"/>
        </w:rPr>
      </w:pPr>
      <w:r w:rsidRPr="0093361F">
        <w:rPr>
          <w:sz w:val="28"/>
          <w:szCs w:val="28"/>
          <w:lang w:val="en-ZA"/>
        </w:rPr>
        <w:t>____________________</w:t>
      </w:r>
    </w:p>
    <w:p w14:paraId="64006130" w14:textId="4E194215" w:rsidR="0093361F" w:rsidRPr="0093361F" w:rsidRDefault="0093361F" w:rsidP="00310DE1">
      <w:pPr>
        <w:spacing w:line="360" w:lineRule="auto"/>
        <w:jc w:val="right"/>
        <w:rPr>
          <w:b/>
          <w:sz w:val="28"/>
          <w:szCs w:val="28"/>
          <w:lang w:val="en-ZA"/>
        </w:rPr>
      </w:pPr>
      <w:r w:rsidRPr="0093361F">
        <w:rPr>
          <w:b/>
          <w:sz w:val="28"/>
          <w:szCs w:val="28"/>
          <w:lang w:val="en-ZA"/>
        </w:rPr>
        <w:t>C PLASKET</w:t>
      </w:r>
    </w:p>
    <w:p w14:paraId="7D9D58C2" w14:textId="77777777" w:rsidR="0093361F" w:rsidRPr="0093361F" w:rsidRDefault="0093361F" w:rsidP="00310DE1">
      <w:pPr>
        <w:spacing w:line="360" w:lineRule="auto"/>
        <w:jc w:val="right"/>
        <w:rPr>
          <w:b/>
          <w:sz w:val="28"/>
          <w:szCs w:val="28"/>
          <w:lang w:val="en-ZA"/>
        </w:rPr>
      </w:pPr>
      <w:r w:rsidRPr="0093361F">
        <w:rPr>
          <w:b/>
          <w:sz w:val="28"/>
          <w:szCs w:val="28"/>
          <w:lang w:val="en-ZA"/>
        </w:rPr>
        <w:t>JUDGE OF APPEAL</w:t>
      </w:r>
    </w:p>
    <w:p w14:paraId="66D6C956" w14:textId="77777777" w:rsidR="0093361F" w:rsidRPr="0093361F" w:rsidRDefault="0093361F" w:rsidP="00310DE1">
      <w:pPr>
        <w:spacing w:line="360" w:lineRule="auto"/>
        <w:jc w:val="right"/>
        <w:rPr>
          <w:b/>
          <w:sz w:val="28"/>
          <w:szCs w:val="28"/>
          <w:lang w:val="en-ZA"/>
        </w:rPr>
      </w:pPr>
    </w:p>
    <w:p w14:paraId="58F6CA9F" w14:textId="77777777" w:rsidR="0093361F" w:rsidRPr="0093361F" w:rsidRDefault="0093361F" w:rsidP="00310DE1">
      <w:pPr>
        <w:spacing w:line="360" w:lineRule="auto"/>
        <w:jc w:val="right"/>
        <w:rPr>
          <w:b/>
          <w:sz w:val="28"/>
          <w:szCs w:val="28"/>
          <w:lang w:val="en-ZA"/>
        </w:rPr>
      </w:pPr>
      <w:r w:rsidRPr="0093361F">
        <w:rPr>
          <w:b/>
          <w:sz w:val="28"/>
          <w:szCs w:val="28"/>
          <w:lang w:val="en-ZA"/>
        </w:rPr>
        <w:t>_____________________</w:t>
      </w:r>
    </w:p>
    <w:p w14:paraId="0EC82290" w14:textId="77777777" w:rsidR="0093361F" w:rsidRPr="0093361F" w:rsidRDefault="0093361F" w:rsidP="00310DE1">
      <w:pPr>
        <w:spacing w:line="360" w:lineRule="auto"/>
        <w:jc w:val="right"/>
        <w:rPr>
          <w:b/>
          <w:sz w:val="28"/>
          <w:szCs w:val="28"/>
          <w:lang w:val="en-ZA"/>
        </w:rPr>
      </w:pPr>
      <w:r w:rsidRPr="0093361F">
        <w:rPr>
          <w:b/>
          <w:sz w:val="28"/>
          <w:szCs w:val="28"/>
          <w:lang w:val="en-ZA"/>
        </w:rPr>
        <w:t>G GOOSEN</w:t>
      </w:r>
    </w:p>
    <w:p w14:paraId="2EE297E6" w14:textId="77777777" w:rsidR="0093361F" w:rsidRPr="0093361F" w:rsidRDefault="0093361F" w:rsidP="00310DE1">
      <w:pPr>
        <w:spacing w:line="360" w:lineRule="auto"/>
        <w:jc w:val="right"/>
        <w:rPr>
          <w:b/>
          <w:sz w:val="28"/>
          <w:szCs w:val="28"/>
          <w:lang w:val="en-ZA"/>
        </w:rPr>
      </w:pPr>
      <w:r w:rsidRPr="0093361F">
        <w:rPr>
          <w:b/>
          <w:sz w:val="28"/>
          <w:szCs w:val="28"/>
          <w:lang w:val="en-ZA"/>
        </w:rPr>
        <w:t>ACTING JUDGE OF APPEAL</w:t>
      </w:r>
      <w:bookmarkEnd w:id="5"/>
    </w:p>
    <w:p w14:paraId="03255C47" w14:textId="087C9EB3" w:rsidR="00FF6A72" w:rsidRPr="002B4807" w:rsidRDefault="00FF6A72" w:rsidP="00207DB4">
      <w:pPr>
        <w:spacing w:line="360" w:lineRule="auto"/>
        <w:jc w:val="both"/>
        <w:rPr>
          <w:sz w:val="28"/>
          <w:szCs w:val="28"/>
          <w:lang w:val="en-ZA"/>
        </w:rPr>
      </w:pPr>
    </w:p>
    <w:p w14:paraId="2FE0E8FC" w14:textId="16D6F41C" w:rsidR="00310DE1" w:rsidRPr="002B4807" w:rsidRDefault="00310DE1">
      <w:pPr>
        <w:rPr>
          <w:sz w:val="28"/>
          <w:szCs w:val="28"/>
          <w:lang w:val="en-ZA"/>
        </w:rPr>
      </w:pPr>
      <w:r w:rsidRPr="002B4807">
        <w:rPr>
          <w:sz w:val="28"/>
          <w:szCs w:val="28"/>
          <w:lang w:val="en-ZA"/>
        </w:rPr>
        <w:br w:type="page"/>
      </w:r>
    </w:p>
    <w:p w14:paraId="60F33721" w14:textId="77777777" w:rsidR="00B04607" w:rsidRPr="002B4807" w:rsidRDefault="00B04607" w:rsidP="00207DB4">
      <w:pPr>
        <w:spacing w:line="360" w:lineRule="auto"/>
        <w:jc w:val="both"/>
        <w:rPr>
          <w:sz w:val="28"/>
          <w:szCs w:val="28"/>
        </w:rPr>
      </w:pPr>
      <w:r w:rsidRPr="002B4807">
        <w:rPr>
          <w:sz w:val="28"/>
          <w:szCs w:val="28"/>
        </w:rPr>
        <w:lastRenderedPageBreak/>
        <w:t>Appearances</w:t>
      </w:r>
      <w:r w:rsidR="00D608B3" w:rsidRPr="002B4807">
        <w:rPr>
          <w:sz w:val="28"/>
          <w:szCs w:val="28"/>
        </w:rPr>
        <w:t>:</w:t>
      </w:r>
      <w:r w:rsidRPr="002B4807">
        <w:rPr>
          <w:sz w:val="28"/>
          <w:szCs w:val="28"/>
        </w:rPr>
        <w:t xml:space="preserve"> </w:t>
      </w:r>
    </w:p>
    <w:p w14:paraId="6D96E938" w14:textId="77777777" w:rsidR="00B04607" w:rsidRPr="002B4807" w:rsidRDefault="00B04607" w:rsidP="00207DB4">
      <w:pPr>
        <w:spacing w:line="360" w:lineRule="auto"/>
        <w:jc w:val="both"/>
        <w:rPr>
          <w:sz w:val="28"/>
          <w:szCs w:val="28"/>
        </w:rPr>
      </w:pPr>
    </w:p>
    <w:p w14:paraId="517DE953" w14:textId="77777777" w:rsidR="00B04607" w:rsidRPr="002B4807" w:rsidRDefault="00B04607" w:rsidP="00207DB4">
      <w:pPr>
        <w:spacing w:line="360" w:lineRule="auto"/>
        <w:jc w:val="both"/>
        <w:rPr>
          <w:sz w:val="28"/>
          <w:szCs w:val="28"/>
        </w:rPr>
      </w:pPr>
      <w:r w:rsidRPr="002B4807">
        <w:rPr>
          <w:sz w:val="28"/>
          <w:szCs w:val="28"/>
        </w:rPr>
        <w:t>For appellant:</w:t>
      </w:r>
      <w:r w:rsidRPr="002B4807">
        <w:rPr>
          <w:sz w:val="28"/>
          <w:szCs w:val="28"/>
        </w:rPr>
        <w:tab/>
      </w:r>
      <w:r w:rsidR="00EF03F1" w:rsidRPr="002B4807">
        <w:rPr>
          <w:sz w:val="28"/>
          <w:szCs w:val="28"/>
        </w:rPr>
        <w:tab/>
      </w:r>
      <w:r w:rsidR="00EF03F1" w:rsidRPr="002B4807">
        <w:rPr>
          <w:sz w:val="28"/>
          <w:szCs w:val="28"/>
        </w:rPr>
        <w:tab/>
        <w:t>J G Dickerson SC (with S G Fuller)</w:t>
      </w:r>
    </w:p>
    <w:p w14:paraId="666D0937" w14:textId="77777777" w:rsidR="00B04607" w:rsidRPr="002B4807" w:rsidRDefault="00B04607" w:rsidP="00207DB4">
      <w:pPr>
        <w:spacing w:line="360" w:lineRule="auto"/>
        <w:jc w:val="both"/>
        <w:rPr>
          <w:bCs/>
          <w:sz w:val="28"/>
          <w:szCs w:val="28"/>
        </w:rPr>
      </w:pPr>
      <w:r w:rsidRPr="002B4807">
        <w:rPr>
          <w:bCs/>
          <w:sz w:val="28"/>
          <w:szCs w:val="28"/>
        </w:rPr>
        <w:t>Instructed by:</w:t>
      </w:r>
      <w:r w:rsidRPr="002B4807">
        <w:rPr>
          <w:bCs/>
          <w:sz w:val="28"/>
          <w:szCs w:val="28"/>
        </w:rPr>
        <w:tab/>
      </w:r>
      <w:r w:rsidR="00556489" w:rsidRPr="002B4807">
        <w:rPr>
          <w:bCs/>
          <w:sz w:val="28"/>
          <w:szCs w:val="28"/>
        </w:rPr>
        <w:tab/>
      </w:r>
      <w:r w:rsidR="00EF03F1" w:rsidRPr="002B4807">
        <w:rPr>
          <w:bCs/>
          <w:sz w:val="28"/>
          <w:szCs w:val="28"/>
        </w:rPr>
        <w:tab/>
      </w:r>
      <w:r w:rsidRPr="002B4807">
        <w:rPr>
          <w:bCs/>
          <w:sz w:val="28"/>
          <w:szCs w:val="28"/>
        </w:rPr>
        <w:t>Dorrington Jessop Inc</w:t>
      </w:r>
      <w:r w:rsidR="00EF03F1" w:rsidRPr="002B4807">
        <w:rPr>
          <w:bCs/>
          <w:sz w:val="28"/>
          <w:szCs w:val="28"/>
        </w:rPr>
        <w:t>orporated</w:t>
      </w:r>
      <w:r w:rsidRPr="002B4807">
        <w:rPr>
          <w:bCs/>
          <w:sz w:val="28"/>
          <w:szCs w:val="28"/>
        </w:rPr>
        <w:t xml:space="preserve">, Cape Town </w:t>
      </w:r>
    </w:p>
    <w:p w14:paraId="00076AAF" w14:textId="77777777" w:rsidR="00B04607" w:rsidRPr="002B4807" w:rsidRDefault="00B04607" w:rsidP="00207DB4">
      <w:pPr>
        <w:spacing w:line="360" w:lineRule="auto"/>
        <w:ind w:left="1899" w:firstLine="1701"/>
        <w:jc w:val="both"/>
        <w:rPr>
          <w:bCs/>
          <w:sz w:val="28"/>
          <w:szCs w:val="28"/>
        </w:rPr>
      </w:pPr>
      <w:r w:rsidRPr="002B4807">
        <w:rPr>
          <w:bCs/>
          <w:sz w:val="28"/>
          <w:szCs w:val="28"/>
        </w:rPr>
        <w:t>Webbers Attorneys, Bloemfontein</w:t>
      </w:r>
    </w:p>
    <w:p w14:paraId="37947E09" w14:textId="77777777" w:rsidR="00B04607" w:rsidRPr="002B4807" w:rsidRDefault="00B04607" w:rsidP="00207DB4">
      <w:pPr>
        <w:spacing w:line="360" w:lineRule="auto"/>
        <w:jc w:val="both"/>
        <w:rPr>
          <w:bCs/>
          <w:sz w:val="28"/>
          <w:szCs w:val="28"/>
        </w:rPr>
      </w:pPr>
      <w:r w:rsidRPr="002B4807">
        <w:rPr>
          <w:bCs/>
          <w:sz w:val="28"/>
          <w:szCs w:val="28"/>
        </w:rPr>
        <w:t xml:space="preserve"> </w:t>
      </w:r>
    </w:p>
    <w:p w14:paraId="56B3FD88" w14:textId="77777777" w:rsidR="00B04607" w:rsidRPr="002B4807" w:rsidRDefault="00B04607" w:rsidP="00207DB4">
      <w:pPr>
        <w:spacing w:line="360" w:lineRule="auto"/>
        <w:jc w:val="both"/>
        <w:rPr>
          <w:sz w:val="28"/>
          <w:szCs w:val="28"/>
        </w:rPr>
      </w:pPr>
      <w:r w:rsidRPr="002B4807">
        <w:rPr>
          <w:sz w:val="28"/>
          <w:szCs w:val="28"/>
        </w:rPr>
        <w:t>For first respondent:</w:t>
      </w:r>
      <w:r w:rsidR="00EF03F1" w:rsidRPr="002B4807">
        <w:rPr>
          <w:sz w:val="28"/>
          <w:szCs w:val="28"/>
        </w:rPr>
        <w:tab/>
      </w:r>
      <w:r w:rsidR="00EF03F1" w:rsidRPr="002B4807">
        <w:rPr>
          <w:sz w:val="28"/>
          <w:szCs w:val="28"/>
        </w:rPr>
        <w:tab/>
        <w:t xml:space="preserve">S P Rosenberg SC (with T Tyler) </w:t>
      </w:r>
    </w:p>
    <w:p w14:paraId="52121EDA" w14:textId="77777777" w:rsidR="00B04607" w:rsidRPr="002B4807" w:rsidRDefault="00B04607" w:rsidP="00207DB4">
      <w:pPr>
        <w:spacing w:line="360" w:lineRule="auto"/>
        <w:jc w:val="both"/>
        <w:rPr>
          <w:bCs/>
          <w:sz w:val="28"/>
          <w:szCs w:val="28"/>
        </w:rPr>
      </w:pPr>
      <w:r w:rsidRPr="002B4807">
        <w:rPr>
          <w:bCs/>
          <w:sz w:val="28"/>
          <w:szCs w:val="28"/>
        </w:rPr>
        <w:t>Instructed by:</w:t>
      </w:r>
      <w:r w:rsidRPr="002B4807">
        <w:rPr>
          <w:bCs/>
          <w:sz w:val="28"/>
          <w:szCs w:val="28"/>
        </w:rPr>
        <w:tab/>
      </w:r>
      <w:r w:rsidR="00556489" w:rsidRPr="002B4807">
        <w:rPr>
          <w:bCs/>
          <w:sz w:val="28"/>
          <w:szCs w:val="28"/>
        </w:rPr>
        <w:tab/>
      </w:r>
      <w:r w:rsidR="00EF03F1" w:rsidRPr="002B4807">
        <w:rPr>
          <w:bCs/>
          <w:sz w:val="28"/>
          <w:szCs w:val="28"/>
        </w:rPr>
        <w:tab/>
      </w:r>
      <w:r w:rsidRPr="002B4807">
        <w:rPr>
          <w:bCs/>
          <w:sz w:val="28"/>
          <w:szCs w:val="28"/>
        </w:rPr>
        <w:t>Lamprecht</w:t>
      </w:r>
      <w:r w:rsidR="00EF03F1" w:rsidRPr="002B4807">
        <w:rPr>
          <w:bCs/>
          <w:sz w:val="28"/>
          <w:szCs w:val="28"/>
        </w:rPr>
        <w:t xml:space="preserve"> Attorneys</w:t>
      </w:r>
      <w:r w:rsidRPr="002B4807">
        <w:rPr>
          <w:bCs/>
          <w:sz w:val="28"/>
          <w:szCs w:val="28"/>
        </w:rPr>
        <w:t>, Cape Town</w:t>
      </w:r>
      <w:r w:rsidRPr="002B4807">
        <w:rPr>
          <w:bCs/>
          <w:sz w:val="28"/>
          <w:szCs w:val="28"/>
        </w:rPr>
        <w:tab/>
      </w:r>
    </w:p>
    <w:p w14:paraId="1C365FDF" w14:textId="77777777" w:rsidR="00B04607" w:rsidRPr="002B4807" w:rsidRDefault="00B04607" w:rsidP="00207DB4">
      <w:pPr>
        <w:spacing w:line="360" w:lineRule="auto"/>
        <w:ind w:left="3600"/>
        <w:jc w:val="both"/>
        <w:rPr>
          <w:bCs/>
          <w:sz w:val="28"/>
          <w:szCs w:val="28"/>
        </w:rPr>
      </w:pPr>
      <w:r w:rsidRPr="002B4807">
        <w:rPr>
          <w:bCs/>
          <w:sz w:val="28"/>
          <w:szCs w:val="28"/>
        </w:rPr>
        <w:t>Symington De Kok, Bloemfontein</w:t>
      </w:r>
    </w:p>
    <w:p w14:paraId="6D08BD35" w14:textId="77777777" w:rsidR="00371777" w:rsidRPr="002B4807" w:rsidRDefault="00371777" w:rsidP="00207DB4">
      <w:pPr>
        <w:spacing w:line="360" w:lineRule="auto"/>
        <w:ind w:left="3600"/>
        <w:jc w:val="both"/>
        <w:rPr>
          <w:bCs/>
          <w:sz w:val="28"/>
          <w:szCs w:val="28"/>
        </w:rPr>
      </w:pPr>
    </w:p>
    <w:p w14:paraId="034F9A3C" w14:textId="77777777" w:rsidR="00371777" w:rsidRPr="002B4807" w:rsidRDefault="00371777" w:rsidP="00207DB4">
      <w:pPr>
        <w:spacing w:line="360" w:lineRule="auto"/>
        <w:jc w:val="both"/>
        <w:rPr>
          <w:bCs/>
          <w:sz w:val="28"/>
          <w:szCs w:val="28"/>
        </w:rPr>
      </w:pPr>
      <w:r w:rsidRPr="002B4807">
        <w:rPr>
          <w:bCs/>
          <w:sz w:val="28"/>
          <w:szCs w:val="28"/>
        </w:rPr>
        <w:t>For the second respondent:</w:t>
      </w:r>
      <w:r w:rsidRPr="002B4807">
        <w:rPr>
          <w:bCs/>
          <w:sz w:val="28"/>
          <w:szCs w:val="28"/>
        </w:rPr>
        <w:tab/>
        <w:t>Abides the decision of the Court</w:t>
      </w:r>
    </w:p>
    <w:p w14:paraId="1FDCAC91" w14:textId="77777777" w:rsidR="00371777" w:rsidRPr="002B4807" w:rsidRDefault="00371777" w:rsidP="00207DB4">
      <w:pPr>
        <w:spacing w:line="360" w:lineRule="auto"/>
        <w:jc w:val="both"/>
        <w:rPr>
          <w:bCs/>
          <w:sz w:val="28"/>
          <w:szCs w:val="28"/>
        </w:rPr>
      </w:pPr>
    </w:p>
    <w:p w14:paraId="6FD4F611" w14:textId="77777777" w:rsidR="00371777" w:rsidRPr="00316835" w:rsidRDefault="00371777" w:rsidP="00207DB4">
      <w:pPr>
        <w:spacing w:line="360" w:lineRule="auto"/>
        <w:jc w:val="both"/>
        <w:rPr>
          <w:bCs/>
          <w:sz w:val="28"/>
          <w:szCs w:val="28"/>
        </w:rPr>
      </w:pPr>
      <w:r w:rsidRPr="002B4807">
        <w:rPr>
          <w:bCs/>
          <w:sz w:val="28"/>
          <w:szCs w:val="28"/>
        </w:rPr>
        <w:t xml:space="preserve">For the third respondent: </w:t>
      </w:r>
      <w:r w:rsidRPr="002B4807">
        <w:rPr>
          <w:bCs/>
          <w:sz w:val="28"/>
          <w:szCs w:val="28"/>
        </w:rPr>
        <w:tab/>
      </w:r>
      <w:r w:rsidRPr="002B4807">
        <w:rPr>
          <w:bCs/>
          <w:sz w:val="28"/>
          <w:szCs w:val="28"/>
        </w:rPr>
        <w:tab/>
        <w:t>Abides the decision of the Court</w:t>
      </w:r>
    </w:p>
    <w:p w14:paraId="57F0CE47" w14:textId="77777777" w:rsidR="00B04607" w:rsidRPr="00316835" w:rsidRDefault="00B04607" w:rsidP="00207DB4">
      <w:pPr>
        <w:spacing w:line="360" w:lineRule="auto"/>
        <w:jc w:val="both"/>
        <w:rPr>
          <w:bCs/>
          <w:sz w:val="28"/>
          <w:szCs w:val="28"/>
        </w:rPr>
      </w:pPr>
    </w:p>
    <w:sectPr w:rsidR="00B04607" w:rsidRPr="00316835" w:rsidSect="00176AF0">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FDA72" w14:textId="77777777" w:rsidR="000310F1" w:rsidRDefault="000310F1">
      <w:r>
        <w:separator/>
      </w:r>
    </w:p>
  </w:endnote>
  <w:endnote w:type="continuationSeparator" w:id="0">
    <w:p w14:paraId="1AF8F1D9" w14:textId="77777777" w:rsidR="000310F1" w:rsidRDefault="0003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3E0CF" w14:textId="77777777" w:rsidR="000310F1" w:rsidRDefault="000310F1">
      <w:r>
        <w:separator/>
      </w:r>
    </w:p>
  </w:footnote>
  <w:footnote w:type="continuationSeparator" w:id="0">
    <w:p w14:paraId="588C25BC" w14:textId="77777777" w:rsidR="000310F1" w:rsidRDefault="000310F1">
      <w:r>
        <w:continuationSeparator/>
      </w:r>
    </w:p>
  </w:footnote>
  <w:footnote w:id="1">
    <w:p w14:paraId="01B0BC12" w14:textId="77777777" w:rsidR="003E2092" w:rsidRPr="00207DB4" w:rsidRDefault="003E2092" w:rsidP="003E2092">
      <w:pPr>
        <w:pStyle w:val="FootnoteText"/>
        <w:jc w:val="both"/>
        <w:rPr>
          <w:lang w:val="en-US"/>
        </w:rPr>
      </w:pPr>
      <w:r w:rsidRPr="00207DB4">
        <w:rPr>
          <w:rStyle w:val="FootnoteReference"/>
        </w:rPr>
        <w:footnoteRef/>
      </w:r>
      <w:r w:rsidRPr="00207DB4">
        <w:t xml:space="preserve"> </w:t>
      </w:r>
      <w:r w:rsidRPr="00207DB4">
        <w:rPr>
          <w:lang w:val="en-US"/>
        </w:rPr>
        <w:t>The order of this Court granted on 11 May 2021 reads:</w:t>
      </w:r>
    </w:p>
    <w:p w14:paraId="742BADAB" w14:textId="60F855FD" w:rsidR="00BE2B58" w:rsidRPr="00207DB4" w:rsidRDefault="003E2092" w:rsidP="00F403E2">
      <w:pPr>
        <w:autoSpaceDE w:val="0"/>
        <w:autoSpaceDN w:val="0"/>
        <w:adjustRightInd w:val="0"/>
        <w:jc w:val="both"/>
        <w:rPr>
          <w:rFonts w:eastAsiaTheme="minorHAnsi"/>
          <w:color w:val="1D1D1D"/>
          <w:sz w:val="20"/>
          <w:szCs w:val="20"/>
          <w:lang w:val="en-ZA"/>
        </w:rPr>
      </w:pPr>
      <w:r w:rsidRPr="00207DB4">
        <w:rPr>
          <w:sz w:val="20"/>
          <w:szCs w:val="20"/>
          <w:lang w:val="en-US"/>
        </w:rPr>
        <w:t>‘</w:t>
      </w:r>
      <w:r w:rsidRPr="00207DB4">
        <w:rPr>
          <w:rFonts w:eastAsiaTheme="minorHAnsi"/>
          <w:color w:val="1D1D1D"/>
          <w:sz w:val="20"/>
          <w:szCs w:val="20"/>
          <w:lang w:val="en-ZA"/>
        </w:rPr>
        <w:t xml:space="preserve">1. </w:t>
      </w:r>
      <w:r w:rsidRPr="00207DB4">
        <w:rPr>
          <w:rFonts w:eastAsiaTheme="minorHAnsi"/>
          <w:color w:val="313131"/>
          <w:sz w:val="20"/>
          <w:szCs w:val="20"/>
          <w:lang w:val="en-ZA"/>
        </w:rPr>
        <w:t xml:space="preserve">The </w:t>
      </w:r>
      <w:r w:rsidRPr="00207DB4">
        <w:rPr>
          <w:rFonts w:eastAsiaTheme="minorHAnsi"/>
          <w:color w:val="1D1D1D"/>
          <w:sz w:val="20"/>
          <w:szCs w:val="20"/>
          <w:lang w:val="en-ZA"/>
        </w:rPr>
        <w:t xml:space="preserve">application for leave to appeal is referred for oral argument </w:t>
      </w:r>
      <w:r w:rsidR="003819B5" w:rsidRPr="00207DB4">
        <w:rPr>
          <w:rFonts w:eastAsiaTheme="minorHAnsi"/>
          <w:color w:val="1D1D1D"/>
          <w:sz w:val="20"/>
          <w:szCs w:val="20"/>
          <w:lang w:val="en-ZA"/>
        </w:rPr>
        <w:t>i</w:t>
      </w:r>
      <w:r w:rsidRPr="00207DB4">
        <w:rPr>
          <w:rFonts w:eastAsiaTheme="minorHAnsi"/>
          <w:color w:val="1D1D1D"/>
          <w:sz w:val="20"/>
          <w:szCs w:val="20"/>
          <w:lang w:val="en-ZA"/>
        </w:rPr>
        <w:t>n terms of s 17(2)</w:t>
      </w:r>
      <w:r w:rsidRPr="00207DB4">
        <w:rPr>
          <w:rFonts w:eastAsiaTheme="minorHAnsi"/>
          <w:i/>
          <w:iCs/>
          <w:color w:val="1D1D1D"/>
          <w:sz w:val="20"/>
          <w:szCs w:val="20"/>
          <w:lang w:val="en-ZA"/>
        </w:rPr>
        <w:t>(d)</w:t>
      </w:r>
      <w:r w:rsidRPr="00207DB4">
        <w:rPr>
          <w:rFonts w:eastAsiaTheme="minorHAnsi"/>
          <w:color w:val="1D1D1D"/>
          <w:sz w:val="20"/>
          <w:szCs w:val="20"/>
          <w:lang w:val="en-ZA"/>
        </w:rPr>
        <w:t xml:space="preserve"> of the Superior Courts Act 10 of 2013.</w:t>
      </w:r>
      <w:r w:rsidR="00F403E2" w:rsidRPr="00207DB4">
        <w:rPr>
          <w:rFonts w:eastAsiaTheme="minorHAnsi"/>
          <w:color w:val="1D1D1D"/>
          <w:sz w:val="20"/>
          <w:szCs w:val="20"/>
          <w:lang w:val="en-ZA"/>
        </w:rPr>
        <w:t xml:space="preserve"> </w:t>
      </w:r>
    </w:p>
    <w:p w14:paraId="5A79AE2B" w14:textId="716EA27C" w:rsidR="003819B5" w:rsidRPr="00207DB4" w:rsidRDefault="003819B5" w:rsidP="00F403E2">
      <w:pPr>
        <w:autoSpaceDE w:val="0"/>
        <w:autoSpaceDN w:val="0"/>
        <w:adjustRightInd w:val="0"/>
        <w:jc w:val="both"/>
        <w:rPr>
          <w:sz w:val="20"/>
          <w:szCs w:val="20"/>
          <w:lang w:val="en-US"/>
        </w:rPr>
      </w:pPr>
      <w:r w:rsidRPr="00BB26F2">
        <w:rPr>
          <w:rFonts w:eastAsiaTheme="minorHAnsi"/>
          <w:color w:val="1D1D1D"/>
          <w:sz w:val="20"/>
          <w:szCs w:val="20"/>
          <w:lang w:val="en-ZA"/>
        </w:rPr>
        <w:t>. . .’</w:t>
      </w:r>
    </w:p>
  </w:footnote>
  <w:footnote w:id="2">
    <w:p w14:paraId="4AB25CA1" w14:textId="77777777" w:rsidR="00371777" w:rsidRPr="00207DB4" w:rsidRDefault="00371777" w:rsidP="004D5D5D">
      <w:pPr>
        <w:jc w:val="both"/>
        <w:rPr>
          <w:sz w:val="20"/>
          <w:szCs w:val="20"/>
          <w:lang w:val="en-US"/>
        </w:rPr>
      </w:pPr>
      <w:r w:rsidRPr="00207DB4">
        <w:rPr>
          <w:rStyle w:val="FootnoteReference"/>
          <w:sz w:val="20"/>
          <w:szCs w:val="20"/>
        </w:rPr>
        <w:footnoteRef/>
      </w:r>
      <w:r w:rsidRPr="00207DB4">
        <w:rPr>
          <w:sz w:val="20"/>
          <w:szCs w:val="20"/>
        </w:rPr>
        <w:t xml:space="preserve"> </w:t>
      </w:r>
      <w:r w:rsidRPr="00207DB4">
        <w:rPr>
          <w:sz w:val="20"/>
          <w:szCs w:val="20"/>
          <w:lang w:val="en-US"/>
        </w:rPr>
        <w:t>Section 17(2)</w:t>
      </w:r>
      <w:r w:rsidRPr="00207DB4">
        <w:rPr>
          <w:i/>
          <w:sz w:val="20"/>
          <w:szCs w:val="20"/>
          <w:lang w:val="en-US"/>
        </w:rPr>
        <w:t>(d)</w:t>
      </w:r>
      <w:r w:rsidRPr="00207DB4">
        <w:rPr>
          <w:sz w:val="20"/>
          <w:szCs w:val="20"/>
          <w:lang w:val="en-US"/>
        </w:rPr>
        <w:t xml:space="preserve"> reads:</w:t>
      </w:r>
    </w:p>
    <w:p w14:paraId="37985F6F" w14:textId="77777777" w:rsidR="00371777" w:rsidRPr="00207DB4" w:rsidRDefault="00371777" w:rsidP="004D5D5D">
      <w:pPr>
        <w:jc w:val="both"/>
        <w:rPr>
          <w:sz w:val="20"/>
          <w:szCs w:val="20"/>
          <w:lang w:val="en-US"/>
        </w:rPr>
      </w:pPr>
      <w:r w:rsidRPr="00207DB4">
        <w:rPr>
          <w:sz w:val="20"/>
          <w:szCs w:val="20"/>
          <w:lang w:val="en-US"/>
        </w:rPr>
        <w:t>‘</w:t>
      </w:r>
      <w:r w:rsidRPr="00207DB4">
        <w:rPr>
          <w:sz w:val="20"/>
          <w:szCs w:val="20"/>
        </w:rPr>
        <w:t>The judges considering an application referred to in paragraph (b) may dispose of the application without the hearing of oral argument, but may, if they are of the opinion that the circumstances so require, order that it be argued before them at a time and place appointed, and may, whether or not they have so ordered, grant or refuse the application or refer it to the court for consideration.</w:t>
      </w:r>
      <w:r w:rsidRPr="00207DB4">
        <w:rPr>
          <w:sz w:val="20"/>
          <w:szCs w:val="20"/>
          <w:lang w:val="en-US"/>
        </w:rPr>
        <w:t>’</w:t>
      </w:r>
    </w:p>
  </w:footnote>
  <w:footnote w:id="3">
    <w:p w14:paraId="6B920215" w14:textId="77777777" w:rsidR="00371777" w:rsidRPr="00207DB4" w:rsidRDefault="00371777">
      <w:pPr>
        <w:pStyle w:val="FootnoteText"/>
        <w:jc w:val="both"/>
        <w:rPr>
          <w:lang w:val="en-US"/>
        </w:rPr>
      </w:pPr>
      <w:r w:rsidRPr="00207DB4">
        <w:rPr>
          <w:rStyle w:val="FootnoteReference"/>
        </w:rPr>
        <w:footnoteRef/>
      </w:r>
      <w:r w:rsidRPr="00207DB4">
        <w:t xml:space="preserve"> </w:t>
      </w:r>
      <w:r w:rsidRPr="00207DB4">
        <w:rPr>
          <w:lang w:val="en-US"/>
        </w:rPr>
        <w:t>Section 19</w:t>
      </w:r>
      <w:r w:rsidRPr="00207DB4">
        <w:rPr>
          <w:i/>
          <w:lang w:val="en-US"/>
        </w:rPr>
        <w:t>(b)</w:t>
      </w:r>
      <w:r w:rsidRPr="00207DB4">
        <w:rPr>
          <w:lang w:val="en-US"/>
        </w:rPr>
        <w:t xml:space="preserve"> reads: </w:t>
      </w:r>
    </w:p>
    <w:p w14:paraId="5B66DAE2" w14:textId="77777777" w:rsidR="00371777" w:rsidRPr="00207DB4" w:rsidRDefault="00371777">
      <w:pPr>
        <w:pStyle w:val="FootnoteText"/>
        <w:jc w:val="both"/>
        <w:rPr>
          <w:lang w:val="en-ZA"/>
        </w:rPr>
      </w:pPr>
      <w:r w:rsidRPr="00207DB4">
        <w:rPr>
          <w:lang w:val="en-US"/>
        </w:rPr>
        <w:t xml:space="preserve">‘The Supreme Court of Appeal or a Division exercising appeal jurisdiction may, in addition to any power as may specifically be provided for in any other law . . . receive further evidence.’ </w:t>
      </w:r>
    </w:p>
  </w:footnote>
  <w:footnote w:id="4">
    <w:p w14:paraId="13E808AA" w14:textId="77777777" w:rsidR="00371777" w:rsidRPr="00207DB4" w:rsidRDefault="00371777" w:rsidP="00B364A8">
      <w:pPr>
        <w:pStyle w:val="FootnoteText"/>
        <w:jc w:val="both"/>
        <w:rPr>
          <w:lang w:val="en-US"/>
        </w:rPr>
      </w:pPr>
      <w:r w:rsidRPr="00207DB4">
        <w:rPr>
          <w:rStyle w:val="FootnoteReference"/>
        </w:rPr>
        <w:footnoteRef/>
      </w:r>
      <w:r w:rsidRPr="00207DB4">
        <w:t xml:space="preserve"> </w:t>
      </w:r>
      <w:r w:rsidR="0023610E" w:rsidRPr="00207DB4">
        <w:rPr>
          <w:lang w:val="en-US"/>
        </w:rPr>
        <w:t>S</w:t>
      </w:r>
      <w:r w:rsidR="00AF5198" w:rsidRPr="00207DB4">
        <w:rPr>
          <w:lang w:val="en-US"/>
        </w:rPr>
        <w:t xml:space="preserve">ubsections </w:t>
      </w:r>
      <w:r w:rsidR="00D67B02" w:rsidRPr="00207DB4">
        <w:rPr>
          <w:lang w:val="en-US"/>
        </w:rPr>
        <w:t>17(1)(</w:t>
      </w:r>
      <w:r w:rsidR="00D67B02" w:rsidRPr="00207DB4">
        <w:rPr>
          <w:i/>
          <w:lang w:val="en-US"/>
        </w:rPr>
        <w:t>a</w:t>
      </w:r>
      <w:r w:rsidR="00D67B02" w:rsidRPr="00207DB4">
        <w:rPr>
          <w:lang w:val="en-US"/>
        </w:rPr>
        <w:t>)(i) and (ii)</w:t>
      </w:r>
      <w:r w:rsidR="0023610E" w:rsidRPr="00207DB4">
        <w:rPr>
          <w:lang w:val="en-US"/>
        </w:rPr>
        <w:t xml:space="preserve"> read:</w:t>
      </w:r>
    </w:p>
    <w:p w14:paraId="6033D93C" w14:textId="77EEA2C8" w:rsidR="00075D6A" w:rsidRPr="00207DB4" w:rsidRDefault="009E06BD" w:rsidP="00B364A8">
      <w:pPr>
        <w:jc w:val="both"/>
        <w:rPr>
          <w:color w:val="000000"/>
          <w:sz w:val="20"/>
          <w:szCs w:val="20"/>
          <w:lang w:eastAsia="en-ZA"/>
        </w:rPr>
      </w:pPr>
      <w:bookmarkStart w:id="1" w:name="0-0-0-188931"/>
      <w:bookmarkEnd w:id="1"/>
      <w:r w:rsidRPr="00207DB4">
        <w:rPr>
          <w:color w:val="000000"/>
          <w:sz w:val="20"/>
          <w:szCs w:val="20"/>
          <w:lang w:eastAsia="en-ZA"/>
        </w:rPr>
        <w:t>(1) Leave to appeal may only be given where the judge or judges concerned are of the opinion</w:t>
      </w:r>
      <w:r w:rsidR="00075D6A" w:rsidRPr="00207DB4">
        <w:rPr>
          <w:color w:val="000000"/>
          <w:sz w:val="20"/>
          <w:szCs w:val="20"/>
          <w:lang w:eastAsia="en-ZA"/>
        </w:rPr>
        <w:t xml:space="preserve"> </w:t>
      </w:r>
      <w:r w:rsidRPr="00207DB4">
        <w:rPr>
          <w:color w:val="000000"/>
          <w:sz w:val="20"/>
          <w:szCs w:val="20"/>
          <w:lang w:eastAsia="en-ZA"/>
        </w:rPr>
        <w:t>that</w:t>
      </w:r>
      <w:r w:rsidR="00075D6A" w:rsidRPr="00207DB4">
        <w:rPr>
          <w:color w:val="000000"/>
          <w:sz w:val="20"/>
          <w:szCs w:val="20"/>
          <w:lang w:eastAsia="en-ZA"/>
        </w:rPr>
        <w:t xml:space="preserve"> —</w:t>
      </w:r>
    </w:p>
    <w:p w14:paraId="0B36BF46" w14:textId="6593D72B" w:rsidR="009E06BD" w:rsidRPr="003C4BE1" w:rsidRDefault="00AF5198" w:rsidP="00B364A8">
      <w:pPr>
        <w:jc w:val="both"/>
        <w:rPr>
          <w:color w:val="000000"/>
          <w:sz w:val="20"/>
          <w:szCs w:val="20"/>
          <w:lang w:eastAsia="en-ZA"/>
        </w:rPr>
      </w:pPr>
      <w:bookmarkStart w:id="2" w:name="0-0-0-188933"/>
      <w:bookmarkStart w:id="3" w:name="0-0-0-188937"/>
      <w:bookmarkEnd w:id="2"/>
      <w:bookmarkEnd w:id="3"/>
      <w:r w:rsidRPr="003C4BE1">
        <w:rPr>
          <w:color w:val="000000"/>
          <w:sz w:val="20"/>
          <w:szCs w:val="20"/>
          <w:lang w:eastAsia="en-ZA"/>
        </w:rPr>
        <w:t>(a)</w:t>
      </w:r>
      <w:r w:rsidR="009E06BD" w:rsidRPr="003C4BE1">
        <w:rPr>
          <w:color w:val="000000"/>
          <w:sz w:val="20"/>
          <w:szCs w:val="20"/>
          <w:lang w:eastAsia="en-ZA"/>
        </w:rPr>
        <w:t>(i)   the appeal would have a reasonable prospect of success; or</w:t>
      </w:r>
    </w:p>
    <w:p w14:paraId="4E548871" w14:textId="24A4AE61" w:rsidR="0023610E" w:rsidRPr="00207DB4" w:rsidRDefault="009E06BD" w:rsidP="00B364A8">
      <w:pPr>
        <w:ind w:hanging="74"/>
        <w:jc w:val="both"/>
        <w:rPr>
          <w:color w:val="000000"/>
          <w:sz w:val="20"/>
          <w:szCs w:val="20"/>
          <w:lang w:eastAsia="en-ZA"/>
        </w:rPr>
      </w:pPr>
      <w:r w:rsidRPr="003C4BE1">
        <w:rPr>
          <w:color w:val="000000"/>
          <w:sz w:val="20"/>
          <w:szCs w:val="20"/>
          <w:lang w:eastAsia="en-ZA"/>
        </w:rPr>
        <w:t> </w:t>
      </w:r>
      <w:bookmarkStart w:id="4" w:name="0-0-0-188939"/>
      <w:bookmarkEnd w:id="4"/>
      <w:r w:rsidRPr="003C4BE1">
        <w:rPr>
          <w:color w:val="000000"/>
          <w:sz w:val="20"/>
          <w:szCs w:val="20"/>
          <w:lang w:eastAsia="en-ZA"/>
        </w:rPr>
        <w:t>(ii)</w:t>
      </w:r>
      <w:r w:rsidRPr="00207DB4">
        <w:rPr>
          <w:color w:val="000000"/>
          <w:sz w:val="20"/>
          <w:szCs w:val="20"/>
          <w:lang w:eastAsia="en-ZA"/>
        </w:rPr>
        <w:t xml:space="preserve">   there is some other compelling reason why the appeal should be heard, including conflicting </w:t>
      </w:r>
      <w:r w:rsidR="00075D6A" w:rsidRPr="00207DB4">
        <w:rPr>
          <w:color w:val="000000"/>
          <w:sz w:val="20"/>
          <w:szCs w:val="20"/>
          <w:lang w:eastAsia="en-ZA"/>
        </w:rPr>
        <w:t>j</w:t>
      </w:r>
      <w:r w:rsidRPr="00207DB4">
        <w:rPr>
          <w:color w:val="000000"/>
          <w:sz w:val="20"/>
          <w:szCs w:val="20"/>
          <w:lang w:eastAsia="en-ZA"/>
        </w:rPr>
        <w:t>udgments on the matter under consideration;</w:t>
      </w:r>
    </w:p>
  </w:footnote>
  <w:footnote w:id="5">
    <w:p w14:paraId="2C3128B0" w14:textId="77777777" w:rsidR="00BB26F2" w:rsidRDefault="00BB26F2" w:rsidP="00075D6A">
      <w:pPr>
        <w:jc w:val="both"/>
        <w:rPr>
          <w:sz w:val="20"/>
          <w:szCs w:val="20"/>
          <w:highlight w:val="yellow"/>
        </w:rPr>
      </w:pPr>
    </w:p>
    <w:p w14:paraId="7FF1FFBB" w14:textId="77777777" w:rsidR="003C4BE1" w:rsidRPr="00BB26F2" w:rsidRDefault="00371777" w:rsidP="00075D6A">
      <w:pPr>
        <w:jc w:val="both"/>
        <w:rPr>
          <w:sz w:val="20"/>
          <w:szCs w:val="20"/>
          <w:lang w:val="en-US"/>
        </w:rPr>
      </w:pPr>
      <w:r w:rsidRPr="00BB26F2">
        <w:rPr>
          <w:rStyle w:val="FootnoteReference"/>
          <w:sz w:val="20"/>
          <w:szCs w:val="20"/>
        </w:rPr>
        <w:footnoteRef/>
      </w:r>
      <w:r w:rsidRPr="00BB26F2">
        <w:rPr>
          <w:sz w:val="20"/>
          <w:szCs w:val="20"/>
        </w:rPr>
        <w:t xml:space="preserve"> </w:t>
      </w:r>
      <w:r w:rsidR="0023610E" w:rsidRPr="00BB26F2">
        <w:rPr>
          <w:sz w:val="20"/>
          <w:szCs w:val="20"/>
          <w:lang w:val="en-US"/>
        </w:rPr>
        <w:t xml:space="preserve">Section 66 </w:t>
      </w:r>
      <w:r w:rsidR="00D67B02" w:rsidRPr="00BB26F2">
        <w:rPr>
          <w:sz w:val="20"/>
          <w:szCs w:val="20"/>
          <w:lang w:val="en-US"/>
        </w:rPr>
        <w:t>reads:</w:t>
      </w:r>
      <w:r w:rsidR="004A33C4" w:rsidRPr="00BB26F2">
        <w:rPr>
          <w:sz w:val="20"/>
          <w:szCs w:val="20"/>
          <w:lang w:val="en-US"/>
        </w:rPr>
        <w:t xml:space="preserve"> </w:t>
      </w:r>
    </w:p>
    <w:p w14:paraId="076B28B2" w14:textId="01ECB594" w:rsidR="004A33C4" w:rsidRPr="00207DB4" w:rsidRDefault="004A33C4" w:rsidP="00075D6A">
      <w:pPr>
        <w:jc w:val="both"/>
        <w:rPr>
          <w:sz w:val="20"/>
          <w:szCs w:val="20"/>
          <w:lang w:val="en-US"/>
        </w:rPr>
      </w:pPr>
      <w:r w:rsidRPr="00BB26F2">
        <w:rPr>
          <w:sz w:val="20"/>
          <w:szCs w:val="20"/>
          <w:lang w:val="en-US"/>
        </w:rPr>
        <w:t xml:space="preserve">‘No personal servitude of </w:t>
      </w:r>
      <w:r w:rsidRPr="00BB26F2">
        <w:rPr>
          <w:i/>
          <w:iCs/>
          <w:sz w:val="20"/>
          <w:szCs w:val="20"/>
          <w:lang w:val="en-US"/>
        </w:rPr>
        <w:t>usufruct</w:t>
      </w:r>
      <w:r w:rsidRPr="00BB26F2">
        <w:rPr>
          <w:sz w:val="20"/>
          <w:szCs w:val="20"/>
          <w:lang w:val="en-US"/>
        </w:rPr>
        <w:t xml:space="preserve">, </w:t>
      </w:r>
      <w:r w:rsidRPr="00BB26F2">
        <w:rPr>
          <w:i/>
          <w:iCs/>
          <w:sz w:val="20"/>
          <w:szCs w:val="20"/>
          <w:lang w:val="en-US"/>
        </w:rPr>
        <w:t>usus</w:t>
      </w:r>
      <w:r w:rsidRPr="00BB26F2">
        <w:rPr>
          <w:sz w:val="20"/>
          <w:szCs w:val="20"/>
          <w:lang w:val="en-US"/>
        </w:rPr>
        <w:t xml:space="preserve"> or </w:t>
      </w:r>
      <w:r w:rsidRPr="00BB26F2">
        <w:rPr>
          <w:i/>
          <w:iCs/>
          <w:sz w:val="20"/>
          <w:szCs w:val="20"/>
          <w:lang w:val="en-US"/>
        </w:rPr>
        <w:t>habitatio</w:t>
      </w:r>
      <w:r w:rsidRPr="00BB26F2">
        <w:rPr>
          <w:sz w:val="20"/>
          <w:szCs w:val="20"/>
          <w:lang w:val="en-US"/>
        </w:rPr>
        <w:t xml:space="preserve"> purporting to extend beyond the lifetime of the person in whose favour it is created shall be registered, nor may a transfer or cession of such personal servitude to any person other than the owner of the land encumbered thereby, be registered.’</w:t>
      </w:r>
    </w:p>
    <w:p w14:paraId="4171ACC2" w14:textId="2AFDE1F9" w:rsidR="00371777" w:rsidRPr="00207DB4" w:rsidRDefault="00371777">
      <w:pPr>
        <w:jc w:val="both"/>
        <w:rPr>
          <w:sz w:val="20"/>
          <w:szCs w:val="20"/>
          <w:lang w:val="en-US"/>
        </w:rPr>
      </w:pPr>
    </w:p>
  </w:footnote>
  <w:footnote w:id="6">
    <w:p w14:paraId="40FD701C" w14:textId="77777777" w:rsidR="00371777" w:rsidRPr="00207DB4" w:rsidRDefault="00371777" w:rsidP="00EB6BD1">
      <w:pPr>
        <w:pStyle w:val="FootnoteText"/>
        <w:tabs>
          <w:tab w:val="right" w:pos="8640"/>
        </w:tabs>
        <w:jc w:val="both"/>
      </w:pPr>
      <w:r w:rsidRPr="00207DB4">
        <w:rPr>
          <w:rStyle w:val="FootnoteReference"/>
        </w:rPr>
        <w:footnoteRef/>
      </w:r>
      <w:r w:rsidRPr="00207DB4">
        <w:t xml:space="preserve"> Section 6 reads:</w:t>
      </w:r>
      <w:r w:rsidRPr="00207DB4">
        <w:tab/>
      </w:r>
    </w:p>
    <w:p w14:paraId="55C2AFA6" w14:textId="77777777" w:rsidR="00371777" w:rsidRPr="00207DB4" w:rsidRDefault="00371777">
      <w:pPr>
        <w:pStyle w:val="FootnoteText"/>
        <w:jc w:val="both"/>
        <w:rPr>
          <w:lang w:val="en-ZA"/>
        </w:rPr>
      </w:pPr>
      <w:r w:rsidRPr="00207DB4">
        <w:t>‘. . ., a person shall acquire a servitude by prescription if he has openly and as though he were entitled to do so, exercised the rights and powers which a person who has a right to servitude is entitled to exercise, for an uninterrupted period of thirty years or, in the case of a praedial servitude, for a period which, together with any periods for which such rights and powers were so exercised by his predecessors in title, constitutes an uninterrupted period of thirty years.’</w:t>
      </w:r>
    </w:p>
  </w:footnote>
  <w:footnote w:id="7">
    <w:p w14:paraId="28D9461A" w14:textId="6E98351C" w:rsidR="00371777" w:rsidRPr="003C4BE1" w:rsidRDefault="00371777">
      <w:pPr>
        <w:pStyle w:val="ListParagraph"/>
        <w:ind w:left="0"/>
        <w:jc w:val="both"/>
        <w:rPr>
          <w:sz w:val="20"/>
          <w:szCs w:val="20"/>
          <w:lang w:val="en-ZA"/>
        </w:rPr>
      </w:pPr>
      <w:r w:rsidRPr="00207DB4">
        <w:rPr>
          <w:rStyle w:val="FootnoteReference"/>
          <w:sz w:val="20"/>
          <w:szCs w:val="20"/>
        </w:rPr>
        <w:footnoteRef/>
      </w:r>
      <w:r w:rsidRPr="00207DB4">
        <w:rPr>
          <w:sz w:val="20"/>
          <w:szCs w:val="20"/>
        </w:rPr>
        <w:t xml:space="preserve"> 24 </w:t>
      </w:r>
      <w:r w:rsidRPr="00207DB4">
        <w:rPr>
          <w:i/>
          <w:sz w:val="20"/>
          <w:szCs w:val="20"/>
        </w:rPr>
        <w:t>Lawsa</w:t>
      </w:r>
      <w:r w:rsidRPr="00207DB4">
        <w:rPr>
          <w:sz w:val="20"/>
          <w:szCs w:val="20"/>
        </w:rPr>
        <w:t xml:space="preserve"> 2 ed para 546, </w:t>
      </w:r>
      <w:r w:rsidRPr="00207DB4">
        <w:rPr>
          <w:sz w:val="20"/>
          <w:szCs w:val="20"/>
          <w:lang w:val="en-US"/>
        </w:rPr>
        <w:t xml:space="preserve">the elements are listed as follows: </w:t>
      </w:r>
      <w:r w:rsidR="00E87F38" w:rsidRPr="00207DB4">
        <w:rPr>
          <w:sz w:val="20"/>
          <w:szCs w:val="20"/>
          <w:lang w:val="en-US"/>
        </w:rPr>
        <w:t>‘</w:t>
      </w:r>
      <w:r w:rsidRPr="00207DB4">
        <w:rPr>
          <w:sz w:val="20"/>
          <w:szCs w:val="20"/>
          <w:lang w:val="en-US"/>
        </w:rPr>
        <w:t>(</w:t>
      </w:r>
      <w:r w:rsidRPr="003C4BE1">
        <w:rPr>
          <w:sz w:val="20"/>
          <w:szCs w:val="20"/>
          <w:lang w:val="en-US"/>
        </w:rPr>
        <w:t xml:space="preserve">a) </w:t>
      </w:r>
      <w:r w:rsidR="00E87F38" w:rsidRPr="003C4BE1">
        <w:rPr>
          <w:sz w:val="20"/>
          <w:szCs w:val="20"/>
          <w:lang w:val="en-US"/>
        </w:rPr>
        <w:t>t</w:t>
      </w:r>
      <w:r w:rsidRPr="003C4BE1">
        <w:rPr>
          <w:sz w:val="20"/>
          <w:szCs w:val="20"/>
          <w:lang w:val="en-US"/>
        </w:rPr>
        <w:t>here</w:t>
      </w:r>
      <w:r w:rsidRPr="00207DB4">
        <w:rPr>
          <w:sz w:val="20"/>
          <w:szCs w:val="20"/>
          <w:lang w:val="en-US"/>
        </w:rPr>
        <w:t xml:space="preserve"> must be two tenements belonging to different owners</w:t>
      </w:r>
      <w:r w:rsidRPr="003C4BE1">
        <w:rPr>
          <w:sz w:val="20"/>
          <w:szCs w:val="20"/>
          <w:lang w:val="en-US"/>
        </w:rPr>
        <w:t xml:space="preserve">; (b) </w:t>
      </w:r>
      <w:r w:rsidR="00E87F38" w:rsidRPr="003C4BE1">
        <w:rPr>
          <w:sz w:val="20"/>
          <w:szCs w:val="20"/>
          <w:lang w:val="en-US"/>
        </w:rPr>
        <w:t>t</w:t>
      </w:r>
      <w:r w:rsidRPr="003C4BE1">
        <w:rPr>
          <w:sz w:val="20"/>
          <w:szCs w:val="20"/>
          <w:lang w:val="en-US"/>
        </w:rPr>
        <w:t>he two tenements must be in close proximity to each other (</w:t>
      </w:r>
      <w:r w:rsidRPr="003C4BE1">
        <w:rPr>
          <w:i/>
          <w:sz w:val="20"/>
          <w:szCs w:val="20"/>
          <w:lang w:val="en-US"/>
        </w:rPr>
        <w:t>vicinitas</w:t>
      </w:r>
      <w:r w:rsidRPr="003C4BE1">
        <w:rPr>
          <w:sz w:val="20"/>
          <w:szCs w:val="20"/>
          <w:lang w:val="en-US"/>
        </w:rPr>
        <w:t xml:space="preserve">); (c) </w:t>
      </w:r>
      <w:r w:rsidR="00E87F38" w:rsidRPr="003C4BE1">
        <w:rPr>
          <w:sz w:val="20"/>
          <w:szCs w:val="20"/>
          <w:lang w:val="en-US"/>
        </w:rPr>
        <w:t>t</w:t>
      </w:r>
      <w:r w:rsidRPr="003C4BE1">
        <w:rPr>
          <w:sz w:val="20"/>
          <w:szCs w:val="20"/>
          <w:lang w:val="en-US"/>
        </w:rPr>
        <w:t>he servient tenement must be capable of serving the dominant tenement on a permanent basis</w:t>
      </w:r>
      <w:r w:rsidRPr="003C4BE1">
        <w:rPr>
          <w:sz w:val="20"/>
          <w:szCs w:val="20"/>
        </w:rPr>
        <w:t xml:space="preserve"> </w:t>
      </w:r>
      <w:r w:rsidRPr="003C4BE1">
        <w:rPr>
          <w:sz w:val="20"/>
          <w:szCs w:val="20"/>
          <w:lang w:val="en-US"/>
        </w:rPr>
        <w:t xml:space="preserve">(perpetual cause); (d) </w:t>
      </w:r>
      <w:r w:rsidR="00E87F38" w:rsidRPr="003C4BE1">
        <w:rPr>
          <w:sz w:val="20"/>
          <w:szCs w:val="20"/>
          <w:lang w:val="en-US"/>
        </w:rPr>
        <w:t>t</w:t>
      </w:r>
      <w:r w:rsidRPr="003C4BE1">
        <w:rPr>
          <w:sz w:val="20"/>
          <w:szCs w:val="20"/>
          <w:lang w:val="en-US"/>
        </w:rPr>
        <w:t>he servient tenement must enhance the utility of the dominant tenement (</w:t>
      </w:r>
      <w:r w:rsidRPr="003C4BE1">
        <w:rPr>
          <w:i/>
          <w:iCs/>
          <w:sz w:val="20"/>
          <w:szCs w:val="20"/>
          <w:lang w:val="en-US"/>
        </w:rPr>
        <w:t>utilitas</w:t>
      </w:r>
      <w:r w:rsidRPr="003C4BE1">
        <w:rPr>
          <w:sz w:val="20"/>
          <w:szCs w:val="20"/>
          <w:lang w:val="en-US"/>
        </w:rPr>
        <w:t xml:space="preserve">); (e) </w:t>
      </w:r>
      <w:r w:rsidR="00E87F38" w:rsidRPr="003C4BE1">
        <w:rPr>
          <w:sz w:val="20"/>
          <w:szCs w:val="20"/>
          <w:u w:val="single"/>
          <w:lang w:val="en-US"/>
        </w:rPr>
        <w:t>n</w:t>
      </w:r>
      <w:r w:rsidRPr="003C4BE1">
        <w:rPr>
          <w:sz w:val="20"/>
          <w:szCs w:val="20"/>
          <w:lang w:val="en-US"/>
        </w:rPr>
        <w:t>o positive obligation may be imposed on the owner of the servient tenement</w:t>
      </w:r>
      <w:r w:rsidRPr="003C4BE1">
        <w:rPr>
          <w:sz w:val="20"/>
          <w:szCs w:val="20"/>
        </w:rPr>
        <w:t xml:space="preserve"> </w:t>
      </w:r>
      <w:r w:rsidRPr="003C4BE1">
        <w:rPr>
          <w:sz w:val="20"/>
          <w:szCs w:val="20"/>
          <w:lang w:val="en-US"/>
        </w:rPr>
        <w:t xml:space="preserve">(passivity); and (f) </w:t>
      </w:r>
      <w:r w:rsidR="00E87F38" w:rsidRPr="003C4BE1">
        <w:rPr>
          <w:sz w:val="20"/>
          <w:szCs w:val="20"/>
          <w:lang w:val="en-US"/>
        </w:rPr>
        <w:t>p</w:t>
      </w:r>
      <w:r w:rsidRPr="003C4BE1">
        <w:rPr>
          <w:sz w:val="20"/>
          <w:szCs w:val="20"/>
          <w:lang w:val="en-US"/>
        </w:rPr>
        <w:t>raedial servitudes are indivisible.</w:t>
      </w:r>
      <w:r w:rsidR="00E87F38" w:rsidRPr="003C4BE1">
        <w:rPr>
          <w:sz w:val="20"/>
          <w:szCs w:val="20"/>
          <w:lang w:val="en-US"/>
        </w:rPr>
        <w:t>’</w:t>
      </w:r>
    </w:p>
  </w:footnote>
  <w:footnote w:id="8">
    <w:p w14:paraId="32632245" w14:textId="603A6E47" w:rsidR="00371777" w:rsidRPr="00207DB4" w:rsidRDefault="00371777" w:rsidP="00C02797">
      <w:pPr>
        <w:pStyle w:val="FootnoteText"/>
        <w:jc w:val="both"/>
        <w:rPr>
          <w:lang w:val="en-ZA"/>
        </w:rPr>
      </w:pPr>
      <w:r w:rsidRPr="003C4BE1">
        <w:rPr>
          <w:rStyle w:val="FootnoteReference"/>
        </w:rPr>
        <w:footnoteRef/>
      </w:r>
      <w:r w:rsidRPr="003C4BE1">
        <w:t xml:space="preserve"> 24 </w:t>
      </w:r>
      <w:r w:rsidRPr="003C4BE1">
        <w:rPr>
          <w:i/>
        </w:rPr>
        <w:t>Lawsa</w:t>
      </w:r>
      <w:r w:rsidRPr="003C4BE1">
        <w:t xml:space="preserve"> 2 ed para 54</w:t>
      </w:r>
      <w:r w:rsidR="00E87F38" w:rsidRPr="003C4BE1">
        <w:t>9</w:t>
      </w:r>
      <w:r w:rsidRPr="003C4BE1">
        <w:t xml:space="preserve">, </w:t>
      </w:r>
      <w:r w:rsidRPr="003C4BE1">
        <w:rPr>
          <w:i/>
          <w:lang w:val="en-US"/>
        </w:rPr>
        <w:t>utilitas</w:t>
      </w:r>
      <w:r w:rsidRPr="003C4BE1">
        <w:rPr>
          <w:lang w:val="en-US"/>
        </w:rPr>
        <w:t xml:space="preserve"> is described as follows: </w:t>
      </w:r>
      <w:r w:rsidR="00E87F38" w:rsidRPr="003C4BE1">
        <w:rPr>
          <w:lang w:val="en-US"/>
        </w:rPr>
        <w:t>‘</w:t>
      </w:r>
      <w:r w:rsidRPr="003C4BE1">
        <w:rPr>
          <w:lang w:val="en-US"/>
        </w:rPr>
        <w:t xml:space="preserve">A praedial servitude must offer some permanent advantage or benefit to the owner of the dominant land </w:t>
      </w:r>
      <w:r w:rsidRPr="003C4BE1">
        <w:rPr>
          <w:i/>
          <w:iCs/>
          <w:lang w:val="en-US"/>
        </w:rPr>
        <w:t>qua</w:t>
      </w:r>
      <w:r w:rsidRPr="003C4BE1">
        <w:rPr>
          <w:lang w:val="en-US"/>
        </w:rPr>
        <w:t xml:space="preserve"> owner and must not merely serve his or her personal pleasure or caprice. This is known as the requirement of </w:t>
      </w:r>
      <w:r w:rsidRPr="003C4BE1">
        <w:rPr>
          <w:i/>
          <w:lang w:val="en-US"/>
        </w:rPr>
        <w:t>utilitas</w:t>
      </w:r>
      <w:r w:rsidRPr="003C4BE1">
        <w:rPr>
          <w:lang w:val="en-US"/>
        </w:rPr>
        <w:t xml:space="preserve"> (utility). It has already been intimated that utility is a fundamental requirement embodying both vicinity and permanent purpose</w:t>
      </w:r>
      <w:r w:rsidR="00E87F38" w:rsidRPr="003C4BE1">
        <w:rPr>
          <w:lang w:val="en-US"/>
        </w:rPr>
        <w:t xml:space="preserve"> </w:t>
      </w:r>
      <w:r w:rsidRPr="003C4BE1">
        <w:rPr>
          <w:lang w:val="en-US"/>
        </w:rPr>
        <w:t>. . . The strict view that benefit to the dominant tenement must take the form of some sort of agricultural</w:t>
      </w:r>
      <w:r w:rsidRPr="00207DB4">
        <w:rPr>
          <w:lang w:val="en-US"/>
        </w:rPr>
        <w:t xml:space="preserve"> advantage, was already relaxed in Roman-Dutch law. Voet states that where additional benefits accompany the pleasurable pursuits of a particular person, such servitude can validly be constituted as a praedial servitude. Examples are a servitude of view (</w:t>
      </w:r>
      <w:r w:rsidRPr="00207DB4">
        <w:rPr>
          <w:i/>
          <w:iCs/>
          <w:lang w:val="en-US"/>
        </w:rPr>
        <w:t>prospectus</w:t>
      </w:r>
      <w:r w:rsidRPr="00207DB4">
        <w:rPr>
          <w:lang w:val="en-US"/>
        </w:rPr>
        <w:t>) which simultaneously guarantees a free and useful supply of light</w:t>
      </w:r>
      <w:r w:rsidR="00E87F38" w:rsidRPr="00207DB4">
        <w:rPr>
          <w:lang w:val="en-US"/>
        </w:rPr>
        <w:t xml:space="preserve"> </w:t>
      </w:r>
      <w:r w:rsidRPr="00207DB4">
        <w:rPr>
          <w:lang w:val="en-US"/>
        </w:rPr>
        <w:t>. . . In present day law it is accepted that the utility requirement is not only satisfied if the particular servitude is of direct agricultural utility to the dominant tenement but also if it increases its economic, industrial or professional potential.</w:t>
      </w:r>
      <w:r w:rsidR="00E87F38" w:rsidRPr="00207DB4">
        <w:rPr>
          <w:lang w:val="en-US"/>
        </w:rPr>
        <w:t>’</w:t>
      </w:r>
    </w:p>
  </w:footnote>
  <w:footnote w:id="9">
    <w:p w14:paraId="20268E34" w14:textId="77777777" w:rsidR="00371777" w:rsidRPr="00207DB4" w:rsidRDefault="00371777" w:rsidP="005C73CD">
      <w:pPr>
        <w:pStyle w:val="FootnoteText"/>
        <w:jc w:val="both"/>
        <w:rPr>
          <w:lang w:val="en-ZA"/>
        </w:rPr>
      </w:pPr>
      <w:r w:rsidRPr="00207DB4">
        <w:rPr>
          <w:rStyle w:val="FootnoteReference"/>
        </w:rPr>
        <w:footnoteRef/>
      </w:r>
      <w:r w:rsidRPr="00207DB4">
        <w:t xml:space="preserve"> </w:t>
      </w:r>
      <w:r w:rsidRPr="00207DB4">
        <w:rPr>
          <w:i/>
          <w:iCs/>
          <w:lang w:val="en-US"/>
        </w:rPr>
        <w:t xml:space="preserve">Natal Joint Municipal Pension Fund v Endumeni Municipality </w:t>
      </w:r>
      <w:r w:rsidRPr="00207DB4">
        <w:rPr>
          <w:iCs/>
          <w:lang w:val="en-US"/>
        </w:rPr>
        <w:t>[2012] ZASCA 13; [2012] 2 All SA 262 (SCA);</w:t>
      </w:r>
      <w:r w:rsidRPr="00207DB4">
        <w:rPr>
          <w:i/>
          <w:iCs/>
          <w:lang w:val="en-US"/>
        </w:rPr>
        <w:t xml:space="preserve"> </w:t>
      </w:r>
      <w:r w:rsidRPr="00207DB4">
        <w:rPr>
          <w:lang w:val="en-US"/>
        </w:rPr>
        <w:t>2012 (4) SA 593 (SCA)</w:t>
      </w:r>
      <w:r w:rsidR="00683DA9" w:rsidRPr="00207DB4">
        <w:rPr>
          <w:lang w:val="en-US"/>
        </w:rPr>
        <w:t xml:space="preserve"> (</w:t>
      </w:r>
      <w:r w:rsidR="00683DA9" w:rsidRPr="00207DB4">
        <w:rPr>
          <w:i/>
          <w:lang w:val="en-US"/>
        </w:rPr>
        <w:t>Endumeni</w:t>
      </w:r>
      <w:r w:rsidR="00683DA9" w:rsidRPr="00207DB4">
        <w:rPr>
          <w:lang w:val="en-US"/>
        </w:rPr>
        <w:t>).</w:t>
      </w:r>
    </w:p>
  </w:footnote>
  <w:footnote w:id="10">
    <w:p w14:paraId="022A3244" w14:textId="77777777" w:rsidR="00371777" w:rsidRPr="00207DB4" w:rsidRDefault="00371777">
      <w:pPr>
        <w:pStyle w:val="FootnoteText"/>
        <w:rPr>
          <w:lang w:val="en-ZA"/>
        </w:rPr>
      </w:pPr>
      <w:r w:rsidRPr="00207DB4">
        <w:rPr>
          <w:rStyle w:val="FootnoteReference"/>
        </w:rPr>
        <w:footnoteRef/>
      </w:r>
      <w:r w:rsidRPr="00207DB4">
        <w:t xml:space="preserve"> Ibid </w:t>
      </w:r>
      <w:r w:rsidRPr="00207DB4">
        <w:rPr>
          <w:lang w:val="en-US"/>
        </w:rPr>
        <w:t>para 18.</w:t>
      </w:r>
    </w:p>
  </w:footnote>
  <w:footnote w:id="11">
    <w:p w14:paraId="27D71839" w14:textId="07959895" w:rsidR="00371777" w:rsidRPr="00207DB4" w:rsidRDefault="00371777">
      <w:pPr>
        <w:pStyle w:val="FootnoteText"/>
        <w:jc w:val="both"/>
        <w:rPr>
          <w:lang w:val="en-ZA"/>
        </w:rPr>
      </w:pPr>
      <w:r w:rsidRPr="00207DB4">
        <w:rPr>
          <w:rStyle w:val="FootnoteReference"/>
        </w:rPr>
        <w:footnoteRef/>
      </w:r>
      <w:r w:rsidRPr="00207DB4">
        <w:t xml:space="preserve"> </w:t>
      </w:r>
      <w:r w:rsidRPr="00207DB4">
        <w:rPr>
          <w:i/>
          <w:iCs/>
          <w:lang w:val="en-US"/>
        </w:rPr>
        <w:t>Kruger</w:t>
      </w:r>
      <w:r w:rsidRPr="00207DB4">
        <w:rPr>
          <w:lang w:val="en-US"/>
        </w:rPr>
        <w:t xml:space="preserve"> </w:t>
      </w:r>
      <w:r w:rsidRPr="00207DB4">
        <w:rPr>
          <w:i/>
          <w:lang w:val="en-US"/>
        </w:rPr>
        <w:t xml:space="preserve">v </w:t>
      </w:r>
      <w:r w:rsidRPr="00207DB4">
        <w:rPr>
          <w:i/>
          <w:iCs/>
          <w:lang w:val="en-US"/>
        </w:rPr>
        <w:t>Joles Eiendom (Pty) Ltd and Another</w:t>
      </w:r>
      <w:r w:rsidRPr="00207DB4">
        <w:rPr>
          <w:lang w:val="en-US"/>
        </w:rPr>
        <w:t xml:space="preserve"> [2008] ZASCA 138; [2009] 1 All SA 553 (SCA);</w:t>
      </w:r>
      <w:r w:rsidRPr="00207DB4" w:rsidDel="00B94084">
        <w:rPr>
          <w:rStyle w:val="FootnoteReference"/>
          <w:vertAlign w:val="baseline"/>
          <w:lang w:val="en-US"/>
        </w:rPr>
        <w:t xml:space="preserve"> </w:t>
      </w:r>
      <w:r w:rsidRPr="00207DB4">
        <w:rPr>
          <w:lang w:val="en-US"/>
        </w:rPr>
        <w:t>2009 (3) SA 5 (SCA).</w:t>
      </w:r>
    </w:p>
  </w:footnote>
  <w:footnote w:id="12">
    <w:p w14:paraId="01C8FB0F" w14:textId="77777777" w:rsidR="00371777" w:rsidRPr="00207DB4" w:rsidRDefault="00371777">
      <w:pPr>
        <w:pStyle w:val="FootnoteText"/>
        <w:jc w:val="both"/>
        <w:rPr>
          <w:lang w:val="en-ZA"/>
        </w:rPr>
      </w:pPr>
      <w:r w:rsidRPr="00207DB4">
        <w:rPr>
          <w:rStyle w:val="FootnoteReference"/>
        </w:rPr>
        <w:footnoteRef/>
      </w:r>
      <w:r w:rsidRPr="00207DB4">
        <w:t xml:space="preserve"> </w:t>
      </w:r>
      <w:r w:rsidRPr="00207DB4">
        <w:rPr>
          <w:i/>
          <w:iCs/>
          <w:lang w:val="en-US"/>
        </w:rPr>
        <w:t>Kempenaars v Jonker, Van der Berg and Havenga</w:t>
      </w:r>
      <w:r w:rsidRPr="00207DB4">
        <w:rPr>
          <w:lang w:val="en-US"/>
        </w:rPr>
        <w:t xml:space="preserve"> 1898 5 OR 223.</w:t>
      </w:r>
    </w:p>
  </w:footnote>
  <w:footnote w:id="13">
    <w:p w14:paraId="32CEEE77" w14:textId="2FC83CF2" w:rsidR="00571E14" w:rsidRPr="00207DB4" w:rsidRDefault="00571E14">
      <w:pPr>
        <w:pStyle w:val="FootnoteText"/>
        <w:rPr>
          <w:lang w:val="en-ZA"/>
        </w:rPr>
      </w:pPr>
      <w:r w:rsidRPr="00207DB4">
        <w:rPr>
          <w:rStyle w:val="FootnoteReference"/>
        </w:rPr>
        <w:footnoteRef/>
      </w:r>
      <w:r w:rsidRPr="00207DB4">
        <w:t xml:space="preserve"> </w:t>
      </w:r>
      <w:r w:rsidRPr="00207DB4">
        <w:rPr>
          <w:lang w:val="en-ZA"/>
        </w:rPr>
        <w:t>Footnote 11 para 6.</w:t>
      </w:r>
    </w:p>
  </w:footnote>
  <w:footnote w:id="14">
    <w:p w14:paraId="16542959" w14:textId="77777777" w:rsidR="00371777" w:rsidRPr="003C4BE1" w:rsidRDefault="00371777">
      <w:pPr>
        <w:jc w:val="both"/>
        <w:rPr>
          <w:sz w:val="20"/>
          <w:szCs w:val="20"/>
          <w:lang w:val="en-US"/>
        </w:rPr>
      </w:pPr>
      <w:r w:rsidRPr="00207DB4">
        <w:rPr>
          <w:rStyle w:val="FootnoteReference"/>
          <w:sz w:val="20"/>
          <w:szCs w:val="20"/>
        </w:rPr>
        <w:footnoteRef/>
      </w:r>
      <w:r w:rsidRPr="00207DB4">
        <w:rPr>
          <w:i/>
          <w:iCs/>
          <w:sz w:val="20"/>
          <w:szCs w:val="20"/>
          <w:lang w:val="en-ZA"/>
        </w:rPr>
        <w:t xml:space="preserve"> Bondev</w:t>
      </w:r>
      <w:r w:rsidR="00082750" w:rsidRPr="00207DB4">
        <w:rPr>
          <w:i/>
          <w:iCs/>
          <w:sz w:val="20"/>
          <w:szCs w:val="20"/>
          <w:lang w:val="en-ZA"/>
        </w:rPr>
        <w:t>,</w:t>
      </w:r>
      <w:r w:rsidRPr="00207DB4">
        <w:rPr>
          <w:i/>
          <w:iCs/>
          <w:sz w:val="20"/>
          <w:szCs w:val="20"/>
          <w:lang w:val="en-ZA"/>
        </w:rPr>
        <w:t xml:space="preserve"> Midrand (Pty) Limited v Puling and Another; Bondev Midrand (Pty) Limited v Ramokgopa </w:t>
      </w:r>
      <w:r w:rsidRPr="00207DB4">
        <w:rPr>
          <w:iCs/>
          <w:sz w:val="20"/>
          <w:szCs w:val="20"/>
          <w:lang w:val="en-ZA"/>
        </w:rPr>
        <w:t xml:space="preserve">[2017] </w:t>
      </w:r>
      <w:r w:rsidRPr="003C4BE1">
        <w:rPr>
          <w:iCs/>
          <w:sz w:val="20"/>
          <w:szCs w:val="20"/>
          <w:lang w:val="en-ZA"/>
        </w:rPr>
        <w:t>ZASCA 141; 2017 (6) SA 373 (SCA)</w:t>
      </w:r>
      <w:r w:rsidR="00C70531" w:rsidRPr="003C4BE1">
        <w:rPr>
          <w:iCs/>
          <w:sz w:val="20"/>
          <w:szCs w:val="20"/>
          <w:lang w:val="en-ZA"/>
        </w:rPr>
        <w:t xml:space="preserve"> (</w:t>
      </w:r>
      <w:r w:rsidR="00C70531" w:rsidRPr="003C4BE1">
        <w:rPr>
          <w:i/>
          <w:sz w:val="20"/>
          <w:szCs w:val="20"/>
          <w:lang w:val="en-ZA"/>
        </w:rPr>
        <w:t>Bondev</w:t>
      </w:r>
      <w:r w:rsidR="00C70531" w:rsidRPr="003C4BE1">
        <w:rPr>
          <w:iCs/>
          <w:sz w:val="20"/>
          <w:szCs w:val="20"/>
          <w:lang w:val="en-ZA"/>
        </w:rPr>
        <w:t>)</w:t>
      </w:r>
      <w:r w:rsidR="00C70531" w:rsidRPr="003C4BE1">
        <w:rPr>
          <w:i/>
          <w:sz w:val="20"/>
          <w:szCs w:val="20"/>
          <w:lang w:val="en-ZA"/>
        </w:rPr>
        <w:t>,</w:t>
      </w:r>
      <w:r w:rsidRPr="003C4BE1">
        <w:rPr>
          <w:iCs/>
          <w:sz w:val="20"/>
          <w:szCs w:val="20"/>
          <w:lang w:val="en-ZA"/>
        </w:rPr>
        <w:t xml:space="preserve"> paras 19 and 20</w:t>
      </w:r>
      <w:r w:rsidRPr="003C4BE1">
        <w:rPr>
          <w:sz w:val="20"/>
          <w:szCs w:val="20"/>
          <w:lang w:val="en-US"/>
        </w:rPr>
        <w:t>:</w:t>
      </w:r>
    </w:p>
    <w:p w14:paraId="35C2E5F8" w14:textId="15620461" w:rsidR="00371777" w:rsidRPr="00207DB4" w:rsidRDefault="00371777">
      <w:pPr>
        <w:jc w:val="both"/>
        <w:rPr>
          <w:sz w:val="20"/>
          <w:szCs w:val="20"/>
          <w:lang w:val="en-US"/>
        </w:rPr>
      </w:pPr>
      <w:r w:rsidRPr="003C4BE1">
        <w:rPr>
          <w:sz w:val="20"/>
          <w:szCs w:val="20"/>
          <w:lang w:val="en-US"/>
        </w:rPr>
        <w:t xml:space="preserve">‘But that is a far cry from the </w:t>
      </w:r>
      <w:r w:rsidR="00CC3534" w:rsidRPr="003C4BE1">
        <w:rPr>
          <w:sz w:val="20"/>
          <w:szCs w:val="20"/>
          <w:lang w:val="en-US"/>
        </w:rPr>
        <w:t>circumstances</w:t>
      </w:r>
      <w:r w:rsidRPr="003C4BE1">
        <w:rPr>
          <w:sz w:val="20"/>
          <w:szCs w:val="20"/>
          <w:lang w:val="en-US"/>
        </w:rPr>
        <w:t xml:space="preserve"> in the present cases. The b</w:t>
      </w:r>
      <w:r w:rsidR="00CC3534" w:rsidRPr="003C4BE1">
        <w:rPr>
          <w:sz w:val="20"/>
          <w:szCs w:val="20"/>
          <w:lang w:val="en-US"/>
        </w:rPr>
        <w:t>urden</w:t>
      </w:r>
      <w:r w:rsidRPr="003C4BE1">
        <w:rPr>
          <w:sz w:val="20"/>
          <w:szCs w:val="20"/>
          <w:lang w:val="en-US"/>
        </w:rPr>
        <w:t xml:space="preserve"> created by the first clause, namely the </w:t>
      </w:r>
      <w:r w:rsidR="00CC3534" w:rsidRPr="003C4BE1">
        <w:rPr>
          <w:sz w:val="20"/>
          <w:szCs w:val="20"/>
          <w:lang w:val="en-US"/>
        </w:rPr>
        <w:t xml:space="preserve">obligation </w:t>
      </w:r>
      <w:r w:rsidRPr="003C4BE1">
        <w:rPr>
          <w:sz w:val="20"/>
          <w:szCs w:val="20"/>
          <w:lang w:val="en-US"/>
        </w:rPr>
        <w:t>to build a dwelling on the property, is binding on the transf</w:t>
      </w:r>
      <w:r w:rsidR="00CC3534" w:rsidRPr="003C4BE1">
        <w:rPr>
          <w:sz w:val="20"/>
          <w:szCs w:val="20"/>
          <w:lang w:val="en-US"/>
        </w:rPr>
        <w:t>ere</w:t>
      </w:r>
      <w:r w:rsidRPr="003C4BE1">
        <w:rPr>
          <w:sz w:val="20"/>
          <w:szCs w:val="20"/>
          <w:lang w:val="en-US"/>
        </w:rPr>
        <w:t>e</w:t>
      </w:r>
      <w:r w:rsidR="00CC3534" w:rsidRPr="003C4BE1">
        <w:rPr>
          <w:sz w:val="20"/>
          <w:szCs w:val="20"/>
          <w:lang w:val="en-US"/>
        </w:rPr>
        <w:t>s</w:t>
      </w:r>
      <w:r w:rsidRPr="003C4BE1">
        <w:rPr>
          <w:sz w:val="20"/>
          <w:szCs w:val="20"/>
          <w:lang w:val="en-US"/>
        </w:rPr>
        <w:t xml:space="preserve"> </w:t>
      </w:r>
      <w:r w:rsidR="00CC3534" w:rsidRPr="003C4BE1">
        <w:rPr>
          <w:sz w:val="20"/>
          <w:szCs w:val="20"/>
          <w:lang w:val="en-US"/>
        </w:rPr>
        <w:t>(</w:t>
      </w:r>
      <w:r w:rsidRPr="003C4BE1">
        <w:rPr>
          <w:sz w:val="20"/>
          <w:szCs w:val="20"/>
          <w:lang w:val="en-US"/>
        </w:rPr>
        <w:t xml:space="preserve">the respondents) and their successors in title. The latter have no right under the second clause to bring that restriction to an end. </w:t>
      </w:r>
      <w:r w:rsidR="00CC3534" w:rsidRPr="003C4BE1">
        <w:rPr>
          <w:sz w:val="20"/>
          <w:szCs w:val="20"/>
          <w:lang w:val="en-US"/>
        </w:rPr>
        <w:t xml:space="preserve">All </w:t>
      </w:r>
      <w:r w:rsidRPr="003C4BE1">
        <w:rPr>
          <w:sz w:val="20"/>
          <w:szCs w:val="20"/>
          <w:lang w:val="en-US"/>
        </w:rPr>
        <w:t>cla</w:t>
      </w:r>
      <w:r w:rsidR="00CC3534" w:rsidRPr="003C4BE1">
        <w:rPr>
          <w:sz w:val="20"/>
          <w:szCs w:val="20"/>
          <w:lang w:val="en-US"/>
        </w:rPr>
        <w:t>use</w:t>
      </w:r>
      <w:r w:rsidRPr="003C4BE1">
        <w:rPr>
          <w:sz w:val="20"/>
          <w:szCs w:val="20"/>
          <w:lang w:val="en-US"/>
        </w:rPr>
        <w:t xml:space="preserve"> two provides is that in the event of a failure to build a dwelling in the requisite time the appellant, as the transfer</w:t>
      </w:r>
      <w:r w:rsidR="00CC3534" w:rsidRPr="003C4BE1">
        <w:rPr>
          <w:sz w:val="20"/>
          <w:szCs w:val="20"/>
          <w:lang w:val="en-US"/>
        </w:rPr>
        <w:t>or,</w:t>
      </w:r>
      <w:r w:rsidRPr="003C4BE1">
        <w:rPr>
          <w:sz w:val="20"/>
          <w:szCs w:val="20"/>
          <w:lang w:val="en-US"/>
        </w:rPr>
        <w:t xml:space="preserve"> can recover the land against the payment of the purchase price if it so chooses. This is a</w:t>
      </w:r>
      <w:r w:rsidR="00CC3534" w:rsidRPr="003C4BE1">
        <w:rPr>
          <w:sz w:val="20"/>
          <w:szCs w:val="20"/>
          <w:lang w:val="en-US"/>
        </w:rPr>
        <w:t>kin</w:t>
      </w:r>
      <w:r w:rsidRPr="003C4BE1">
        <w:rPr>
          <w:sz w:val="20"/>
          <w:szCs w:val="20"/>
          <w:lang w:val="en-US"/>
        </w:rPr>
        <w:t xml:space="preserve"> to providing the appellant with an option to purchase which is essentially a personal right. But the appellant is not obliged to demand or claim </w:t>
      </w:r>
      <w:r w:rsidR="00CC3534" w:rsidRPr="003C4BE1">
        <w:rPr>
          <w:sz w:val="20"/>
          <w:szCs w:val="20"/>
          <w:lang w:val="en-US"/>
        </w:rPr>
        <w:t>re-</w:t>
      </w:r>
      <w:r w:rsidRPr="003C4BE1">
        <w:rPr>
          <w:sz w:val="20"/>
          <w:szCs w:val="20"/>
          <w:lang w:val="en-US"/>
        </w:rPr>
        <w:t xml:space="preserve">transfer of the land and the </w:t>
      </w:r>
      <w:r w:rsidR="003A267C" w:rsidRPr="003C4BE1">
        <w:rPr>
          <w:sz w:val="20"/>
          <w:szCs w:val="20"/>
          <w:lang w:val="en-US"/>
        </w:rPr>
        <w:t xml:space="preserve">obligation </w:t>
      </w:r>
      <w:r w:rsidRPr="003C4BE1">
        <w:rPr>
          <w:sz w:val="20"/>
          <w:szCs w:val="20"/>
          <w:lang w:val="en-US"/>
        </w:rPr>
        <w:t>to build will remain extant as long as the respondents retain their ownership. Th</w:t>
      </w:r>
      <w:r w:rsidR="003A267C" w:rsidRPr="003C4BE1">
        <w:rPr>
          <w:sz w:val="20"/>
          <w:szCs w:val="20"/>
          <w:lang w:val="en-US"/>
        </w:rPr>
        <w:t>u</w:t>
      </w:r>
      <w:r w:rsidRPr="003C4BE1">
        <w:rPr>
          <w:sz w:val="20"/>
          <w:szCs w:val="20"/>
          <w:lang w:val="en-US"/>
        </w:rPr>
        <w:t>s the restriction upon ownership created by cl</w:t>
      </w:r>
      <w:r w:rsidR="003A267C" w:rsidRPr="003C4BE1">
        <w:rPr>
          <w:sz w:val="20"/>
          <w:szCs w:val="20"/>
          <w:lang w:val="en-US"/>
        </w:rPr>
        <w:t>ause</w:t>
      </w:r>
      <w:r w:rsidRPr="003C4BE1">
        <w:rPr>
          <w:sz w:val="20"/>
          <w:szCs w:val="20"/>
          <w:lang w:val="en-US"/>
        </w:rPr>
        <w:t xml:space="preserve"> </w:t>
      </w:r>
      <w:r w:rsidR="003A267C" w:rsidRPr="003C4BE1">
        <w:rPr>
          <w:sz w:val="20"/>
          <w:szCs w:val="20"/>
          <w:lang w:val="en-US"/>
        </w:rPr>
        <w:t xml:space="preserve">1 </w:t>
      </w:r>
      <w:r w:rsidRPr="003C4BE1">
        <w:rPr>
          <w:sz w:val="20"/>
          <w:szCs w:val="20"/>
          <w:lang w:val="en-US"/>
        </w:rPr>
        <w:t>remains binding and will not be terminated sho</w:t>
      </w:r>
      <w:r w:rsidR="003A267C" w:rsidRPr="003C4BE1">
        <w:rPr>
          <w:sz w:val="20"/>
          <w:szCs w:val="20"/>
          <w:lang w:val="en-US"/>
        </w:rPr>
        <w:t xml:space="preserve">uld </w:t>
      </w:r>
      <w:r w:rsidRPr="003C4BE1">
        <w:rPr>
          <w:sz w:val="20"/>
          <w:szCs w:val="20"/>
          <w:lang w:val="en-US"/>
        </w:rPr>
        <w:t>the appellant elect not to s</w:t>
      </w:r>
      <w:r w:rsidR="003A267C" w:rsidRPr="003C4BE1">
        <w:rPr>
          <w:sz w:val="20"/>
          <w:szCs w:val="20"/>
          <w:lang w:val="en-US"/>
        </w:rPr>
        <w:t>eek</w:t>
      </w:r>
      <w:r w:rsidRPr="003C4BE1">
        <w:rPr>
          <w:sz w:val="20"/>
          <w:szCs w:val="20"/>
          <w:lang w:val="en-US"/>
        </w:rPr>
        <w:t xml:space="preserve"> retransfer. The two clauses read together therefore do not constitute what Stre</w:t>
      </w:r>
      <w:r w:rsidR="003A267C" w:rsidRPr="003C4BE1">
        <w:rPr>
          <w:sz w:val="20"/>
          <w:szCs w:val="20"/>
          <w:lang w:val="en-US"/>
        </w:rPr>
        <w:t>i</w:t>
      </w:r>
      <w:r w:rsidRPr="003C4BE1">
        <w:rPr>
          <w:sz w:val="20"/>
          <w:szCs w:val="20"/>
          <w:lang w:val="en-US"/>
        </w:rPr>
        <w:t>cher JA referred to as “a composite whole” restricting the respondents</w:t>
      </w:r>
      <w:r w:rsidR="003A267C" w:rsidRPr="003C4BE1">
        <w:rPr>
          <w:sz w:val="20"/>
          <w:szCs w:val="20"/>
          <w:lang w:val="en-US"/>
        </w:rPr>
        <w:t>’</w:t>
      </w:r>
      <w:r w:rsidRPr="003C4BE1">
        <w:rPr>
          <w:sz w:val="20"/>
          <w:szCs w:val="20"/>
          <w:lang w:val="en-US"/>
        </w:rPr>
        <w:t xml:space="preserve"> use of the property.</w:t>
      </w:r>
      <w:r w:rsidRPr="00207DB4">
        <w:rPr>
          <w:sz w:val="20"/>
          <w:szCs w:val="20"/>
          <w:lang w:val="en-US"/>
        </w:rPr>
        <w:t xml:space="preserve"> </w:t>
      </w:r>
    </w:p>
    <w:p w14:paraId="10FD3323" w14:textId="7287A65E" w:rsidR="00371777" w:rsidRPr="00207DB4" w:rsidRDefault="00371777">
      <w:pPr>
        <w:jc w:val="both"/>
        <w:rPr>
          <w:sz w:val="20"/>
          <w:szCs w:val="20"/>
          <w:lang w:val="en-US"/>
        </w:rPr>
      </w:pPr>
      <w:r w:rsidRPr="00207DB4">
        <w:rPr>
          <w:sz w:val="20"/>
          <w:szCs w:val="20"/>
          <w:lang w:val="en-US"/>
        </w:rPr>
        <w:t xml:space="preserve">In the circumstances, the first clause of this condition must be regarded as providing a real right and </w:t>
      </w:r>
      <w:r w:rsidR="003A267C" w:rsidRPr="00207DB4">
        <w:rPr>
          <w:sz w:val="20"/>
          <w:szCs w:val="20"/>
          <w:lang w:val="en-US"/>
        </w:rPr>
        <w:t xml:space="preserve">a </w:t>
      </w:r>
      <w:r w:rsidRPr="00207DB4">
        <w:rPr>
          <w:sz w:val="20"/>
          <w:szCs w:val="20"/>
          <w:lang w:val="en-US"/>
        </w:rPr>
        <w:t xml:space="preserve">restriction upon the ownership of the property of the respondents and their successors in title. On the other hand, the second clause under which the appellant has the election to claim </w:t>
      </w:r>
      <w:r w:rsidR="003A267C" w:rsidRPr="00BB26F2">
        <w:rPr>
          <w:sz w:val="20"/>
          <w:szCs w:val="20"/>
          <w:lang w:val="en-US"/>
        </w:rPr>
        <w:t>re-</w:t>
      </w:r>
      <w:r w:rsidRPr="00BB26F2">
        <w:rPr>
          <w:sz w:val="20"/>
          <w:szCs w:val="20"/>
          <w:lang w:val="en-US"/>
        </w:rPr>
        <w:t>transfer of the property, creates no more than a personal right akin to an option to purchase which is not inseparably bound up with the first cla</w:t>
      </w:r>
      <w:r w:rsidR="003A267C" w:rsidRPr="00BB26F2">
        <w:rPr>
          <w:sz w:val="20"/>
          <w:szCs w:val="20"/>
          <w:lang w:val="en-US"/>
        </w:rPr>
        <w:t>use</w:t>
      </w:r>
      <w:r w:rsidRPr="00BB26F2">
        <w:rPr>
          <w:sz w:val="20"/>
          <w:szCs w:val="20"/>
          <w:lang w:val="en-US"/>
        </w:rPr>
        <w:t>. As the appellant</w:t>
      </w:r>
      <w:r w:rsidR="003A267C" w:rsidRPr="00BB26F2">
        <w:rPr>
          <w:sz w:val="20"/>
          <w:szCs w:val="20"/>
          <w:lang w:val="en-US"/>
        </w:rPr>
        <w:t>s</w:t>
      </w:r>
      <w:r w:rsidRPr="00BB26F2">
        <w:rPr>
          <w:sz w:val="20"/>
          <w:szCs w:val="20"/>
          <w:lang w:val="en-US"/>
        </w:rPr>
        <w:t xml:space="preserve"> sought to enforce the second clause, the </w:t>
      </w:r>
      <w:r w:rsidR="003A267C" w:rsidRPr="00BB26F2">
        <w:rPr>
          <w:sz w:val="20"/>
          <w:szCs w:val="20"/>
          <w:lang w:val="en-US"/>
        </w:rPr>
        <w:t>issue</w:t>
      </w:r>
      <w:r w:rsidRPr="00BB26F2">
        <w:rPr>
          <w:sz w:val="20"/>
          <w:szCs w:val="20"/>
          <w:lang w:val="en-US"/>
        </w:rPr>
        <w:t xml:space="preserve"> then becomes whether the debt which is the subject of such a claim has prescribed.’</w:t>
      </w:r>
    </w:p>
  </w:footnote>
  <w:footnote w:id="15">
    <w:p w14:paraId="5C9F8999" w14:textId="5906525E" w:rsidR="00371777" w:rsidRPr="00207DB4" w:rsidRDefault="00371777">
      <w:pPr>
        <w:pStyle w:val="FootnoteText"/>
        <w:jc w:val="both"/>
        <w:rPr>
          <w:lang w:val="en-ZA"/>
        </w:rPr>
      </w:pPr>
      <w:r w:rsidRPr="00207DB4">
        <w:rPr>
          <w:rStyle w:val="FootnoteReference"/>
        </w:rPr>
        <w:footnoteRef/>
      </w:r>
      <w:r w:rsidRPr="00207DB4">
        <w:t xml:space="preserve"> </w:t>
      </w:r>
      <w:r w:rsidRPr="00207DB4">
        <w:rPr>
          <w:i/>
          <w:iCs/>
          <w:lang w:val="en-US"/>
        </w:rPr>
        <w:t xml:space="preserve">Willoughby’s Consolidated Co Ltd v Copthall Stores Ltd </w:t>
      </w:r>
      <w:r w:rsidRPr="00207DB4">
        <w:rPr>
          <w:iCs/>
          <w:lang w:val="en-US"/>
        </w:rPr>
        <w:t xml:space="preserve">1918 AD </w:t>
      </w:r>
      <w:r w:rsidRPr="00207DB4">
        <w:rPr>
          <w:lang w:val="en-US"/>
        </w:rPr>
        <w:t>1 at 16.</w:t>
      </w:r>
    </w:p>
  </w:footnote>
  <w:footnote w:id="16">
    <w:p w14:paraId="6F6EA226" w14:textId="6292C17A" w:rsidR="00371777" w:rsidRPr="003C4BE1" w:rsidRDefault="00371777">
      <w:pPr>
        <w:pStyle w:val="FootnoteText"/>
        <w:jc w:val="both"/>
        <w:rPr>
          <w:lang w:val="en-ZA"/>
        </w:rPr>
      </w:pPr>
      <w:r w:rsidRPr="00207DB4">
        <w:rPr>
          <w:rStyle w:val="FootnoteReference"/>
        </w:rPr>
        <w:footnoteRef/>
      </w:r>
      <w:r w:rsidRPr="00207DB4">
        <w:t xml:space="preserve"> </w:t>
      </w:r>
      <w:r w:rsidRPr="00207DB4">
        <w:rPr>
          <w:i/>
          <w:iCs/>
          <w:lang w:val="en-US"/>
        </w:rPr>
        <w:t xml:space="preserve">Northview </w:t>
      </w:r>
      <w:r w:rsidRPr="003C4BE1">
        <w:rPr>
          <w:i/>
          <w:iCs/>
          <w:lang w:val="en-US"/>
        </w:rPr>
        <w:t xml:space="preserve">Properties (Pty) Ltd v Lurie </w:t>
      </w:r>
      <w:r w:rsidRPr="003C4BE1">
        <w:rPr>
          <w:lang w:val="en-US"/>
        </w:rPr>
        <w:t xml:space="preserve">1951 (3) SA 688 (A). </w:t>
      </w:r>
    </w:p>
  </w:footnote>
  <w:footnote w:id="17">
    <w:p w14:paraId="220914E4" w14:textId="2C65B1D2" w:rsidR="00322033" w:rsidRPr="003C4BE1" w:rsidRDefault="00322033">
      <w:pPr>
        <w:pStyle w:val="FootnoteText"/>
        <w:rPr>
          <w:lang w:val="en-ZA"/>
        </w:rPr>
      </w:pPr>
      <w:r w:rsidRPr="003C4BE1">
        <w:rPr>
          <w:rStyle w:val="FootnoteReference"/>
        </w:rPr>
        <w:footnoteRef/>
      </w:r>
      <w:r w:rsidRPr="003C4BE1">
        <w:t xml:space="preserve"> </w:t>
      </w:r>
      <w:r w:rsidRPr="003C4BE1">
        <w:rPr>
          <w:lang w:val="en-ZA"/>
        </w:rPr>
        <w:t>Ibid at 689.</w:t>
      </w:r>
    </w:p>
  </w:footnote>
  <w:footnote w:id="18">
    <w:p w14:paraId="024F7768" w14:textId="40AC3CC1" w:rsidR="00371777" w:rsidRPr="00207DB4" w:rsidRDefault="00371777">
      <w:pPr>
        <w:pStyle w:val="Heading2"/>
        <w:shd w:val="clear" w:color="auto" w:fill="FFFFFF"/>
        <w:spacing w:before="0"/>
        <w:jc w:val="both"/>
        <w:rPr>
          <w:rFonts w:ascii="Times New Roman" w:eastAsia="Times New Roman" w:hAnsi="Times New Roman" w:cs="Times New Roman"/>
          <w:color w:val="auto"/>
          <w:sz w:val="20"/>
          <w:szCs w:val="20"/>
          <w:lang w:val="en-ZA" w:eastAsia="en-ZA"/>
        </w:rPr>
      </w:pPr>
      <w:r w:rsidRPr="003C4BE1">
        <w:rPr>
          <w:rStyle w:val="FootnoteReference"/>
          <w:rFonts w:ascii="Times New Roman" w:hAnsi="Times New Roman" w:cs="Times New Roman"/>
          <w:color w:val="auto"/>
          <w:sz w:val="20"/>
          <w:szCs w:val="20"/>
        </w:rPr>
        <w:footnoteRef/>
      </w:r>
      <w:r w:rsidRPr="003C4BE1">
        <w:rPr>
          <w:rFonts w:ascii="Times New Roman" w:hAnsi="Times New Roman" w:cs="Times New Roman"/>
          <w:color w:val="auto"/>
          <w:sz w:val="20"/>
          <w:szCs w:val="20"/>
        </w:rPr>
        <w:t xml:space="preserve"> </w:t>
      </w:r>
      <w:r w:rsidRPr="003C4BE1">
        <w:rPr>
          <w:rFonts w:ascii="Times New Roman" w:eastAsia="Times New Roman" w:hAnsi="Times New Roman" w:cs="Times New Roman"/>
          <w:i/>
          <w:color w:val="auto"/>
          <w:sz w:val="20"/>
          <w:szCs w:val="20"/>
          <w:lang w:val="en-ZA" w:eastAsia="en-ZA"/>
        </w:rPr>
        <w:t>City of Tshwane Metropolitan Municipality v Link Africa (Pty) Ltd and Others</w:t>
      </w:r>
      <w:r w:rsidRPr="003C4BE1">
        <w:rPr>
          <w:rFonts w:ascii="Times New Roman" w:eastAsia="Times New Roman" w:hAnsi="Times New Roman" w:cs="Times New Roman"/>
          <w:color w:val="auto"/>
          <w:sz w:val="20"/>
          <w:szCs w:val="20"/>
          <w:lang w:val="en-ZA" w:eastAsia="en-ZA"/>
        </w:rPr>
        <w:t xml:space="preserve"> [2015] ZACC 29; 2015 (6) SA 440 (CC); 2015 (11) BCLR 12</w:t>
      </w:r>
      <w:r w:rsidR="00683DA9" w:rsidRPr="003C4BE1">
        <w:rPr>
          <w:rFonts w:ascii="Times New Roman" w:eastAsia="Times New Roman" w:hAnsi="Times New Roman" w:cs="Times New Roman"/>
          <w:color w:val="auto"/>
          <w:sz w:val="20"/>
          <w:szCs w:val="20"/>
          <w:lang w:val="en-ZA" w:eastAsia="en-ZA"/>
        </w:rPr>
        <w:t>65 (CC) (</w:t>
      </w:r>
      <w:r w:rsidR="00683DA9" w:rsidRPr="003C4BE1">
        <w:rPr>
          <w:rFonts w:ascii="Times New Roman" w:eastAsia="Times New Roman" w:hAnsi="Times New Roman" w:cs="Times New Roman"/>
          <w:i/>
          <w:color w:val="auto"/>
          <w:sz w:val="20"/>
          <w:szCs w:val="20"/>
          <w:lang w:val="en-ZA" w:eastAsia="en-ZA"/>
        </w:rPr>
        <w:t>Link Africa</w:t>
      </w:r>
      <w:r w:rsidR="00683DA9" w:rsidRPr="003C4BE1">
        <w:rPr>
          <w:rFonts w:ascii="Times New Roman" w:eastAsia="Times New Roman" w:hAnsi="Times New Roman" w:cs="Times New Roman"/>
          <w:color w:val="auto"/>
          <w:sz w:val="20"/>
          <w:szCs w:val="20"/>
          <w:lang w:val="en-ZA" w:eastAsia="en-ZA"/>
        </w:rPr>
        <w:t>)</w:t>
      </w:r>
      <w:r w:rsidR="00A95EFE" w:rsidRPr="003C4BE1">
        <w:rPr>
          <w:rFonts w:ascii="Times New Roman" w:eastAsia="Times New Roman" w:hAnsi="Times New Roman" w:cs="Times New Roman"/>
          <w:color w:val="auto"/>
          <w:sz w:val="20"/>
          <w:szCs w:val="20"/>
          <w:lang w:val="en-ZA" w:eastAsia="en-ZA"/>
        </w:rPr>
        <w:t>.</w:t>
      </w:r>
    </w:p>
  </w:footnote>
  <w:footnote w:id="19">
    <w:p w14:paraId="1AB22168" w14:textId="66AAD7C4" w:rsidR="00BC2DA6" w:rsidRPr="00207DB4" w:rsidRDefault="00BC2DA6">
      <w:pPr>
        <w:pStyle w:val="FootnoteText"/>
        <w:rPr>
          <w:lang w:val="en-ZA"/>
        </w:rPr>
      </w:pPr>
      <w:r w:rsidRPr="004A33C4">
        <w:rPr>
          <w:rStyle w:val="FootnoteReference"/>
        </w:rPr>
        <w:footnoteRef/>
      </w:r>
      <w:r w:rsidRPr="004A33C4">
        <w:t xml:space="preserve"> </w:t>
      </w:r>
      <w:r w:rsidRPr="004A33C4">
        <w:rPr>
          <w:lang w:val="en-ZA"/>
        </w:rPr>
        <w:t xml:space="preserve">Ibid para </w:t>
      </w:r>
      <w:r w:rsidRPr="00BB26F2">
        <w:rPr>
          <w:lang w:val="en-ZA"/>
        </w:rPr>
        <w:t>138</w:t>
      </w:r>
      <w:r w:rsidR="004A33C4" w:rsidRPr="00BB26F2">
        <w:rPr>
          <w:lang w:val="en-ZA"/>
        </w:rPr>
        <w:t xml:space="preserve"> </w:t>
      </w:r>
      <w:r w:rsidRPr="00BB26F2">
        <w:rPr>
          <w:lang w:val="en-ZA"/>
        </w:rPr>
        <w:t>-</w:t>
      </w:r>
      <w:r w:rsidR="004A33C4" w:rsidRPr="00BB26F2">
        <w:rPr>
          <w:lang w:val="en-ZA"/>
        </w:rPr>
        <w:t xml:space="preserve"> </w:t>
      </w:r>
      <w:r w:rsidRPr="00BB26F2">
        <w:rPr>
          <w:lang w:val="en-ZA"/>
        </w:rPr>
        <w:t>139.</w:t>
      </w:r>
    </w:p>
  </w:footnote>
  <w:footnote w:id="20">
    <w:p w14:paraId="3DA47DF7" w14:textId="679E6ECA" w:rsidR="00371777" w:rsidRPr="00207DB4" w:rsidRDefault="00371777" w:rsidP="007934BB">
      <w:pPr>
        <w:pStyle w:val="FootnoteText"/>
        <w:rPr>
          <w:lang w:val="en-ZA"/>
        </w:rPr>
      </w:pPr>
      <w:r w:rsidRPr="004A33C4">
        <w:rPr>
          <w:rStyle w:val="FootnoteReference"/>
        </w:rPr>
        <w:footnoteRef/>
      </w:r>
      <w:r w:rsidRPr="004A33C4">
        <w:t xml:space="preserve"> </w:t>
      </w:r>
      <w:r w:rsidR="00BC2DA6" w:rsidRPr="004A33C4">
        <w:rPr>
          <w:iCs/>
          <w:lang w:val="en-ZA" w:eastAsia="en-ZA"/>
        </w:rPr>
        <w:t>Ibid</w:t>
      </w:r>
      <w:r w:rsidRPr="00207DB4">
        <w:rPr>
          <w:lang w:val="en-ZA" w:eastAsia="en-ZA"/>
        </w:rPr>
        <w:t xml:space="preserve"> </w:t>
      </w:r>
      <w:r w:rsidRPr="00BB26F2">
        <w:rPr>
          <w:lang w:val="en-ZA" w:eastAsia="en-ZA"/>
        </w:rPr>
        <w:t>paras 136</w:t>
      </w:r>
      <w:r w:rsidR="004A33C4" w:rsidRPr="00BB26F2">
        <w:rPr>
          <w:lang w:val="en-ZA" w:eastAsia="en-ZA"/>
        </w:rPr>
        <w:t xml:space="preserve"> </w:t>
      </w:r>
      <w:r w:rsidRPr="00BB26F2">
        <w:rPr>
          <w:lang w:val="en-ZA" w:eastAsia="en-ZA"/>
        </w:rPr>
        <w:t>-</w:t>
      </w:r>
      <w:r w:rsidR="004A33C4" w:rsidRPr="00BB26F2">
        <w:rPr>
          <w:lang w:val="en-ZA" w:eastAsia="en-ZA"/>
        </w:rPr>
        <w:t xml:space="preserve"> </w:t>
      </w:r>
      <w:r w:rsidRPr="00BB26F2">
        <w:rPr>
          <w:lang w:val="en-ZA" w:eastAsia="en-ZA"/>
        </w:rPr>
        <w:t>137.</w:t>
      </w:r>
    </w:p>
  </w:footnote>
  <w:footnote w:id="21">
    <w:p w14:paraId="6A813483" w14:textId="77777777" w:rsidR="00371777" w:rsidRPr="00207DB4" w:rsidRDefault="00371777">
      <w:pPr>
        <w:jc w:val="both"/>
        <w:rPr>
          <w:sz w:val="20"/>
          <w:szCs w:val="20"/>
          <w:lang w:val="en-US"/>
        </w:rPr>
      </w:pPr>
      <w:r w:rsidRPr="00207DB4">
        <w:rPr>
          <w:rStyle w:val="FootnoteReference"/>
          <w:sz w:val="20"/>
          <w:szCs w:val="20"/>
        </w:rPr>
        <w:footnoteRef/>
      </w:r>
      <w:r w:rsidRPr="00207DB4">
        <w:rPr>
          <w:sz w:val="20"/>
          <w:szCs w:val="20"/>
        </w:rPr>
        <w:t xml:space="preserve"> </w:t>
      </w:r>
      <w:r w:rsidR="00683DA9" w:rsidRPr="00207DB4">
        <w:rPr>
          <w:sz w:val="20"/>
          <w:szCs w:val="20"/>
        </w:rPr>
        <w:t xml:space="preserve">See, in this regard: </w:t>
      </w:r>
      <w:r w:rsidRPr="00207DB4">
        <w:rPr>
          <w:sz w:val="20"/>
          <w:szCs w:val="20"/>
          <w:lang w:val="en-US"/>
        </w:rPr>
        <w:t xml:space="preserve">F du Bois </w:t>
      </w:r>
      <w:r w:rsidRPr="00207DB4">
        <w:rPr>
          <w:i/>
          <w:sz w:val="20"/>
          <w:szCs w:val="20"/>
          <w:lang w:val="en-US"/>
        </w:rPr>
        <w:t xml:space="preserve">Wille’s </w:t>
      </w:r>
      <w:r w:rsidRPr="00207DB4">
        <w:rPr>
          <w:i/>
          <w:iCs/>
          <w:sz w:val="20"/>
          <w:szCs w:val="20"/>
          <w:lang w:val="en-US"/>
        </w:rPr>
        <w:t>Principles of South African Law</w:t>
      </w:r>
      <w:r w:rsidRPr="00207DB4">
        <w:rPr>
          <w:sz w:val="20"/>
          <w:szCs w:val="20"/>
          <w:lang w:val="en-US"/>
        </w:rPr>
        <w:t xml:space="preserve"> 9 ed (2007) in Chapter 23.</w:t>
      </w:r>
    </w:p>
  </w:footnote>
  <w:footnote w:id="22">
    <w:p w14:paraId="45EA2520" w14:textId="77777777" w:rsidR="0093361F" w:rsidRPr="00207DB4" w:rsidRDefault="0093361F" w:rsidP="0093361F">
      <w:pPr>
        <w:pStyle w:val="FootnoteText"/>
        <w:jc w:val="both"/>
      </w:pPr>
      <w:r w:rsidRPr="00207DB4">
        <w:rPr>
          <w:rStyle w:val="FootnoteReference"/>
        </w:rPr>
        <w:footnoteRef/>
      </w:r>
      <w:r w:rsidRPr="00207DB4">
        <w:t xml:space="preserve"> A J van der Walt </w:t>
      </w:r>
      <w:r w:rsidRPr="00207DB4">
        <w:rPr>
          <w:i/>
        </w:rPr>
        <w:t>The Law of Servitudes</w:t>
      </w:r>
      <w:r w:rsidRPr="00207DB4">
        <w:t xml:space="preserve"> (2016) at 189 (Van der Walt). </w:t>
      </w:r>
    </w:p>
  </w:footnote>
  <w:footnote w:id="23">
    <w:p w14:paraId="429F1CE8" w14:textId="77777777" w:rsidR="0093361F" w:rsidRPr="00207DB4" w:rsidRDefault="0093361F" w:rsidP="0093361F">
      <w:pPr>
        <w:pStyle w:val="FootnoteText"/>
        <w:jc w:val="both"/>
      </w:pPr>
      <w:r w:rsidRPr="00207DB4">
        <w:rPr>
          <w:rStyle w:val="FootnoteReference"/>
        </w:rPr>
        <w:footnoteRef/>
      </w:r>
      <w:r w:rsidRPr="00207DB4">
        <w:t xml:space="preserve"> Van der Walt at 192.</w:t>
      </w:r>
    </w:p>
  </w:footnote>
  <w:footnote w:id="24">
    <w:p w14:paraId="6D24D9C7" w14:textId="77777777" w:rsidR="0093361F" w:rsidRPr="00207DB4" w:rsidRDefault="0093361F" w:rsidP="0093361F">
      <w:pPr>
        <w:pStyle w:val="FootnoteText"/>
        <w:jc w:val="both"/>
      </w:pPr>
      <w:r w:rsidRPr="00207DB4">
        <w:rPr>
          <w:rStyle w:val="FootnoteReference"/>
        </w:rPr>
        <w:footnoteRef/>
      </w:r>
      <w:r w:rsidRPr="00207DB4">
        <w:t xml:space="preserve"> Van der Walt at 193-194.</w:t>
      </w:r>
    </w:p>
  </w:footnote>
  <w:footnote w:id="25">
    <w:p w14:paraId="39C39DE8"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i/>
          <w:iCs/>
          <w:lang w:val="en-US"/>
        </w:rPr>
        <w:t>Willoughby’s Consolidated Co Ltd v Copthall Stores Ltd</w:t>
      </w:r>
      <w:r w:rsidRPr="00207DB4">
        <w:rPr>
          <w:lang w:val="en-US"/>
        </w:rPr>
        <w:t xml:space="preserve"> 1918 AD 1 at 16.</w:t>
      </w:r>
    </w:p>
  </w:footnote>
  <w:footnote w:id="26">
    <w:p w14:paraId="208D9570"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i/>
          <w:iCs/>
          <w:lang w:val="en-US"/>
        </w:rPr>
        <w:t>Kruger v Joles Eiendomme (Pty) Ltd and Another</w:t>
      </w:r>
      <w:r w:rsidRPr="00207DB4">
        <w:rPr>
          <w:lang w:val="en-US"/>
        </w:rPr>
        <w:t xml:space="preserve"> [2008] ZASCA 138; 2009 (3) SA 5 (SCA) para 8.</w:t>
      </w:r>
    </w:p>
  </w:footnote>
  <w:footnote w:id="27">
    <w:p w14:paraId="72AAC074"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i/>
          <w:iCs/>
          <w:lang w:val="en-US"/>
        </w:rPr>
        <w:t>Jonordon Investment (Pty) Ltd v De Aar Drankwinkel (Edms) Bpk</w:t>
      </w:r>
      <w:r w:rsidRPr="00207DB4">
        <w:rPr>
          <w:lang w:val="en-US"/>
        </w:rPr>
        <w:t xml:space="preserve"> 1969 (2) SA 117 (C) at 126A-B.</w:t>
      </w:r>
    </w:p>
  </w:footnote>
  <w:footnote w:id="28">
    <w:p w14:paraId="1BA60905"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i/>
          <w:iCs/>
          <w:lang w:val="en-US"/>
        </w:rPr>
        <w:t>Lorentz v Melle and Others</w:t>
      </w:r>
      <w:r w:rsidRPr="00207DB4">
        <w:rPr>
          <w:lang w:val="en-US"/>
        </w:rPr>
        <w:t xml:space="preserve"> 1978 (3) SA 1044 (T) at 1049H (</w:t>
      </w:r>
      <w:r w:rsidRPr="00207DB4">
        <w:rPr>
          <w:i/>
          <w:iCs/>
          <w:lang w:val="en-US"/>
        </w:rPr>
        <w:t>Lorentz</w:t>
      </w:r>
      <w:r w:rsidRPr="00207DB4">
        <w:rPr>
          <w:lang w:val="en-US"/>
        </w:rPr>
        <w:t>).</w:t>
      </w:r>
    </w:p>
  </w:footnote>
  <w:footnote w:id="29">
    <w:p w14:paraId="4BB4C76D"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lang w:val="en-US"/>
        </w:rPr>
        <w:t>At 1050G-H.</w:t>
      </w:r>
    </w:p>
  </w:footnote>
  <w:footnote w:id="30">
    <w:p w14:paraId="71538CCB"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lang w:val="en-US"/>
        </w:rPr>
        <w:t xml:space="preserve">Du Bois (ed) </w:t>
      </w:r>
      <w:r w:rsidRPr="00207DB4">
        <w:rPr>
          <w:i/>
          <w:lang w:val="en-US"/>
        </w:rPr>
        <w:t>Wille’s Principles of South African Law</w:t>
      </w:r>
      <w:r w:rsidRPr="00207DB4">
        <w:rPr>
          <w:lang w:val="en-US"/>
        </w:rPr>
        <w:t xml:space="preserve"> (9 ed) (2007) at 604 (Du Bois).</w:t>
      </w:r>
    </w:p>
  </w:footnote>
  <w:footnote w:id="31">
    <w:p w14:paraId="2D4D2CAD" w14:textId="77777777" w:rsidR="0093361F" w:rsidRPr="00207DB4" w:rsidRDefault="0093361F" w:rsidP="0093361F">
      <w:pPr>
        <w:pStyle w:val="FootnoteText"/>
        <w:jc w:val="both"/>
      </w:pPr>
      <w:r w:rsidRPr="00207DB4">
        <w:rPr>
          <w:rStyle w:val="FootnoteReference"/>
        </w:rPr>
        <w:footnoteRef/>
      </w:r>
      <w:r w:rsidRPr="00207DB4">
        <w:t xml:space="preserve"> Van der Walt at 488.</w:t>
      </w:r>
    </w:p>
  </w:footnote>
  <w:footnote w:id="32">
    <w:p w14:paraId="04B7B61A" w14:textId="77777777" w:rsidR="0093361F" w:rsidRPr="00207DB4" w:rsidRDefault="0093361F" w:rsidP="0093361F">
      <w:pPr>
        <w:pStyle w:val="FootnoteText"/>
        <w:jc w:val="both"/>
      </w:pPr>
      <w:r w:rsidRPr="00207DB4">
        <w:rPr>
          <w:rStyle w:val="FootnoteReference"/>
        </w:rPr>
        <w:footnoteRef/>
      </w:r>
      <w:r w:rsidRPr="00207DB4">
        <w:t xml:space="preserve"> Du Bois at 610.</w:t>
      </w:r>
    </w:p>
  </w:footnote>
  <w:footnote w:id="33">
    <w:p w14:paraId="16D1C157" w14:textId="77777777" w:rsidR="0093361F" w:rsidRPr="00207DB4" w:rsidRDefault="0093361F" w:rsidP="0093361F">
      <w:pPr>
        <w:pStyle w:val="FootnoteText"/>
        <w:jc w:val="both"/>
      </w:pPr>
      <w:r w:rsidRPr="00207DB4">
        <w:rPr>
          <w:rStyle w:val="FootnoteReference"/>
        </w:rPr>
        <w:footnoteRef/>
      </w:r>
      <w:r w:rsidRPr="00207DB4">
        <w:t xml:space="preserve"> Van der Walt at 217.</w:t>
      </w:r>
    </w:p>
  </w:footnote>
  <w:footnote w:id="34">
    <w:p w14:paraId="07F2DB6F"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lang w:val="en-US"/>
        </w:rPr>
        <w:t>See para 24 of Nhlangulela AJA’s judgment.</w:t>
      </w:r>
    </w:p>
  </w:footnote>
  <w:footnote w:id="35">
    <w:p w14:paraId="0AD8E6FA" w14:textId="77777777" w:rsidR="0093361F" w:rsidRPr="00207DB4" w:rsidRDefault="0093361F" w:rsidP="0093361F">
      <w:pPr>
        <w:pStyle w:val="FootnoteText"/>
        <w:jc w:val="both"/>
        <w:rPr>
          <w:lang w:val="en-US"/>
        </w:rPr>
      </w:pPr>
      <w:r w:rsidRPr="00207DB4">
        <w:rPr>
          <w:rStyle w:val="FootnoteReference"/>
        </w:rPr>
        <w:footnoteRef/>
      </w:r>
      <w:r w:rsidRPr="00207DB4">
        <w:t xml:space="preserve"> Du Bois at 593-596.</w:t>
      </w:r>
    </w:p>
  </w:footnote>
  <w:footnote w:id="36">
    <w:p w14:paraId="3E21BA65"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i/>
        </w:rPr>
        <w:t>Lorentz</w:t>
      </w:r>
      <w:r w:rsidRPr="00207DB4">
        <w:t xml:space="preserve"> at 1049G.</w:t>
      </w:r>
    </w:p>
  </w:footnote>
  <w:footnote w:id="37">
    <w:p w14:paraId="2EF889A9"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i/>
        </w:rPr>
        <w:t>Lorentz</w:t>
      </w:r>
      <w:r w:rsidRPr="00207DB4">
        <w:t xml:space="preserve"> at 1052C.</w:t>
      </w:r>
    </w:p>
  </w:footnote>
  <w:footnote w:id="38">
    <w:p w14:paraId="0FC5F17D" w14:textId="77777777" w:rsidR="0093361F" w:rsidRPr="00207DB4" w:rsidRDefault="0093361F" w:rsidP="0093361F">
      <w:pPr>
        <w:pStyle w:val="FootnoteText"/>
        <w:jc w:val="both"/>
        <w:rPr>
          <w:lang w:val="en-US"/>
        </w:rPr>
      </w:pPr>
      <w:r w:rsidRPr="00207DB4">
        <w:rPr>
          <w:rStyle w:val="FootnoteReference"/>
        </w:rPr>
        <w:footnoteRef/>
      </w:r>
      <w:r w:rsidRPr="00207DB4">
        <w:t xml:space="preserve"> Hahlo and Kahn, </w:t>
      </w:r>
      <w:r w:rsidRPr="00207DB4">
        <w:rPr>
          <w:i/>
        </w:rPr>
        <w:t xml:space="preserve">The Union of South Africa; The Development of its Laws and Constitution </w:t>
      </w:r>
      <w:r w:rsidRPr="00207DB4">
        <w:rPr>
          <w:iCs/>
        </w:rPr>
        <w:t>(1960) at 602</w:t>
      </w:r>
      <w:r w:rsidRPr="00207DB4">
        <w:t>.</w:t>
      </w:r>
    </w:p>
  </w:footnote>
  <w:footnote w:id="39">
    <w:p w14:paraId="37CDFAC3" w14:textId="77777777" w:rsidR="0093361F" w:rsidRPr="00207DB4" w:rsidRDefault="0093361F" w:rsidP="0093361F">
      <w:pPr>
        <w:pStyle w:val="FootnoteText"/>
        <w:jc w:val="both"/>
        <w:rPr>
          <w:lang w:val="en-US"/>
        </w:rPr>
      </w:pPr>
      <w:r w:rsidRPr="00207DB4">
        <w:rPr>
          <w:rStyle w:val="FootnoteReference"/>
        </w:rPr>
        <w:footnoteRef/>
      </w:r>
      <w:r w:rsidRPr="00207DB4">
        <w:t xml:space="preserve"> Du Bois at 594. See also </w:t>
      </w:r>
      <w:r w:rsidRPr="00207DB4">
        <w:rPr>
          <w:i/>
        </w:rPr>
        <w:t xml:space="preserve">Briers v Wilson and Others </w:t>
      </w:r>
      <w:r w:rsidRPr="00207DB4">
        <w:t xml:space="preserve">1952 (3) SA 423 (C) at 433H-434F; </w:t>
      </w:r>
      <w:r w:rsidRPr="00207DB4">
        <w:rPr>
          <w:i/>
        </w:rPr>
        <w:t>Bisschop v Stafford</w:t>
      </w:r>
      <w:r w:rsidRPr="00207DB4">
        <w:t xml:space="preserve"> 1974 (3) SA 1 (A) at 11F-12A.</w:t>
      </w:r>
    </w:p>
  </w:footnote>
  <w:footnote w:id="40">
    <w:p w14:paraId="7419E713" w14:textId="77777777" w:rsidR="0093361F" w:rsidRPr="00207DB4" w:rsidRDefault="0093361F" w:rsidP="0093361F">
      <w:pPr>
        <w:pStyle w:val="FootnoteText"/>
        <w:jc w:val="both"/>
        <w:rPr>
          <w:lang w:val="en-US"/>
        </w:rPr>
      </w:pPr>
      <w:r w:rsidRPr="00207DB4">
        <w:rPr>
          <w:rStyle w:val="FootnoteReference"/>
        </w:rPr>
        <w:footnoteRef/>
      </w:r>
      <w:r w:rsidRPr="00207DB4">
        <w:t xml:space="preserve"> </w:t>
      </w:r>
      <w:r w:rsidRPr="00207DB4">
        <w:rPr>
          <w:i/>
        </w:rPr>
        <w:t>Hollman and Another v Estate Latre</w:t>
      </w:r>
      <w:r w:rsidRPr="00207DB4">
        <w:t xml:space="preserve"> 1970 (3) SA 638 (A) at 644F-645B.</w:t>
      </w:r>
    </w:p>
  </w:footnote>
  <w:footnote w:id="41">
    <w:p w14:paraId="20C2B4BF" w14:textId="77777777" w:rsidR="0093361F" w:rsidRPr="00207DB4" w:rsidRDefault="0093361F" w:rsidP="0093361F">
      <w:pPr>
        <w:pStyle w:val="FootnoteText"/>
        <w:spacing w:before="240"/>
      </w:pPr>
      <w:r w:rsidRPr="00207DB4">
        <w:rPr>
          <w:rStyle w:val="FootnoteReference"/>
        </w:rPr>
        <w:footnoteRef/>
      </w:r>
      <w:r w:rsidRPr="00207DB4">
        <w:t xml:space="preserve"> </w:t>
      </w:r>
      <w:r w:rsidRPr="00207DB4">
        <w:rPr>
          <w:i/>
          <w:iCs/>
        </w:rPr>
        <w:t>Paola v Jeeva NO and Others</w:t>
      </w:r>
      <w:r w:rsidRPr="00207DB4">
        <w:t xml:space="preserve"> 2004 (1) SA 396 (SCA); </w:t>
      </w:r>
      <w:r w:rsidRPr="00207DB4">
        <w:rPr>
          <w:i/>
          <w:iCs/>
        </w:rPr>
        <w:t>Clark v Faraday</w:t>
      </w:r>
      <w:r w:rsidRPr="00207DB4">
        <w:t xml:space="preserve"> 2004 (4) SA 564 (C); </w:t>
      </w:r>
      <w:r w:rsidRPr="00207DB4">
        <w:rPr>
          <w:i/>
          <w:iCs/>
        </w:rPr>
        <w:t>Muller NO and Others v City of Cape Town and Another</w:t>
      </w:r>
      <w:r w:rsidRPr="00207DB4">
        <w:t xml:space="preserve"> 2006 (5) SA 415 (C); </w:t>
      </w:r>
      <w:r w:rsidRPr="00207DB4">
        <w:rPr>
          <w:i/>
          <w:iCs/>
        </w:rPr>
        <w:t>True Motives 84 (Pty) Ltd v Madhi (Ethikwini Municipality as Amicus Curiae)</w:t>
      </w:r>
      <w:r w:rsidRPr="00207DB4">
        <w:t xml:space="preserve"> 2009 (4) SA 153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A551" w14:textId="77777777" w:rsidR="00371777" w:rsidRDefault="00371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AF0">
      <w:rPr>
        <w:rStyle w:val="PageNumber"/>
        <w:noProof/>
      </w:rPr>
      <w:t>2</w:t>
    </w:r>
    <w:r>
      <w:rPr>
        <w:rStyle w:val="PageNumber"/>
      </w:rPr>
      <w:fldChar w:fldCharType="end"/>
    </w:r>
  </w:p>
  <w:p w14:paraId="08BBFAB5" w14:textId="77777777" w:rsidR="00371777" w:rsidRDefault="0037177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7E1E" w14:textId="2B371CC6" w:rsidR="00371777" w:rsidRDefault="00371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FB5">
      <w:rPr>
        <w:rStyle w:val="PageNumber"/>
        <w:noProof/>
      </w:rPr>
      <w:t>2</w:t>
    </w:r>
    <w:r>
      <w:rPr>
        <w:rStyle w:val="PageNumber"/>
      </w:rPr>
      <w:fldChar w:fldCharType="end"/>
    </w:r>
  </w:p>
  <w:p w14:paraId="09860497" w14:textId="77777777" w:rsidR="00371777" w:rsidRDefault="00371777">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DC6E" w14:textId="77777777" w:rsidR="00371777" w:rsidRDefault="00371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D2688" w14:textId="77777777" w:rsidR="00371777" w:rsidRDefault="00371777">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530464"/>
      <w:docPartObj>
        <w:docPartGallery w:val="Page Numbers (Top of Page)"/>
        <w:docPartUnique/>
      </w:docPartObj>
    </w:sdtPr>
    <w:sdtEndPr>
      <w:rPr>
        <w:noProof/>
      </w:rPr>
    </w:sdtEndPr>
    <w:sdtContent>
      <w:p w14:paraId="30E21222" w14:textId="65FE5E77" w:rsidR="00176AF0" w:rsidRDefault="00176AF0">
        <w:pPr>
          <w:pStyle w:val="Header"/>
          <w:jc w:val="right"/>
        </w:pPr>
        <w:r>
          <w:fldChar w:fldCharType="begin"/>
        </w:r>
        <w:r>
          <w:instrText xml:space="preserve"> PAGE   \* MERGEFORMAT </w:instrText>
        </w:r>
        <w:r>
          <w:fldChar w:fldCharType="separate"/>
        </w:r>
        <w:r w:rsidR="00C22FB5">
          <w:rPr>
            <w:noProof/>
          </w:rPr>
          <w:t>39</w:t>
        </w:r>
        <w:r>
          <w:rPr>
            <w:noProof/>
          </w:rPr>
          <w:fldChar w:fldCharType="end"/>
        </w:r>
      </w:p>
    </w:sdtContent>
  </w:sdt>
  <w:p w14:paraId="5BCCAE42" w14:textId="77777777" w:rsidR="00371777" w:rsidRDefault="0037177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3B6"/>
    <w:multiLevelType w:val="hybridMultilevel"/>
    <w:tmpl w:val="8C0C4D2E"/>
    <w:lvl w:ilvl="0" w:tplc="3942F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E5AAD"/>
    <w:multiLevelType w:val="hybridMultilevel"/>
    <w:tmpl w:val="F3CC8FE2"/>
    <w:lvl w:ilvl="0" w:tplc="B56C99A0">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12FFB"/>
    <w:multiLevelType w:val="hybridMultilevel"/>
    <w:tmpl w:val="D164742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EC4E9C"/>
    <w:multiLevelType w:val="hybridMultilevel"/>
    <w:tmpl w:val="0C56AC4E"/>
    <w:lvl w:ilvl="0" w:tplc="F6D279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A95EAE"/>
    <w:multiLevelType w:val="hybridMultilevel"/>
    <w:tmpl w:val="40D6CD80"/>
    <w:lvl w:ilvl="0" w:tplc="6830953A">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B6CC0"/>
    <w:multiLevelType w:val="hybridMultilevel"/>
    <w:tmpl w:val="B1FED780"/>
    <w:lvl w:ilvl="0" w:tplc="AE94F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F0C01"/>
    <w:multiLevelType w:val="hybridMultilevel"/>
    <w:tmpl w:val="4C70B230"/>
    <w:lvl w:ilvl="0" w:tplc="98023046">
      <w:start w:val="9"/>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327E56F6"/>
    <w:multiLevelType w:val="hybridMultilevel"/>
    <w:tmpl w:val="BC024D92"/>
    <w:lvl w:ilvl="0" w:tplc="AF16641A">
      <w:start w:val="1"/>
      <w:numFmt w:val="lowerLetter"/>
      <w:lvlText w:val="(%1)"/>
      <w:lvlJc w:val="left"/>
      <w:pPr>
        <w:ind w:left="1460" w:hanging="3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CE310F"/>
    <w:multiLevelType w:val="hybridMultilevel"/>
    <w:tmpl w:val="41CEE2B6"/>
    <w:lvl w:ilvl="0" w:tplc="C9E87C6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75D19A7"/>
    <w:multiLevelType w:val="hybridMultilevel"/>
    <w:tmpl w:val="FD88EC2A"/>
    <w:lvl w:ilvl="0" w:tplc="E51E4CD2">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AC26B38"/>
    <w:multiLevelType w:val="hybridMultilevel"/>
    <w:tmpl w:val="639248E0"/>
    <w:lvl w:ilvl="0" w:tplc="12F6C170">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3C6D5CE2"/>
    <w:multiLevelType w:val="hybridMultilevel"/>
    <w:tmpl w:val="1AD2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C32B4"/>
    <w:multiLevelType w:val="hybridMultilevel"/>
    <w:tmpl w:val="9DDEE9F4"/>
    <w:lvl w:ilvl="0" w:tplc="745AFAF8">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4" w15:restartNumberingAfterBreak="0">
    <w:nsid w:val="4B60718B"/>
    <w:multiLevelType w:val="hybridMultilevel"/>
    <w:tmpl w:val="BF165CFC"/>
    <w:lvl w:ilvl="0" w:tplc="1E62FCC6">
      <w:start w:val="1"/>
      <w:numFmt w:val="lowerRoman"/>
      <w:lvlText w:val="(%1)"/>
      <w:lvlJc w:val="left"/>
      <w:pPr>
        <w:ind w:left="2160" w:hanging="720"/>
      </w:pPr>
      <w:rPr>
        <w:rFonts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50C3081C"/>
    <w:multiLevelType w:val="hybridMultilevel"/>
    <w:tmpl w:val="B9E0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91D9F"/>
    <w:multiLevelType w:val="hybridMultilevel"/>
    <w:tmpl w:val="547694DE"/>
    <w:lvl w:ilvl="0" w:tplc="1A5ED8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41F30"/>
    <w:multiLevelType w:val="hybridMultilevel"/>
    <w:tmpl w:val="95CE9D80"/>
    <w:lvl w:ilvl="0" w:tplc="18CED6A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8CF2D3A"/>
    <w:multiLevelType w:val="hybridMultilevel"/>
    <w:tmpl w:val="06F6658A"/>
    <w:lvl w:ilvl="0" w:tplc="D5E2FFC0">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6E2C656E"/>
    <w:multiLevelType w:val="hybridMultilevel"/>
    <w:tmpl w:val="138E8866"/>
    <w:lvl w:ilvl="0" w:tplc="7020EE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70A1A7B"/>
    <w:multiLevelType w:val="hybridMultilevel"/>
    <w:tmpl w:val="6834FBF2"/>
    <w:lvl w:ilvl="0" w:tplc="43CE9B7C">
      <w:start w:val="1"/>
      <w:numFmt w:val="lowerRoman"/>
      <w:lvlText w:val="(%1)"/>
      <w:lvlJc w:val="left"/>
      <w:pPr>
        <w:ind w:left="2520" w:hanging="72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7C8D7FD7"/>
    <w:multiLevelType w:val="hybridMultilevel"/>
    <w:tmpl w:val="570E42F2"/>
    <w:lvl w:ilvl="0" w:tplc="C986BBAC">
      <w:start w:val="1"/>
      <w:numFmt w:val="decimal"/>
      <w:lvlText w:val="%1"/>
      <w:lvlJc w:val="left"/>
      <w:pPr>
        <w:ind w:left="3240" w:hanging="720"/>
      </w:pPr>
      <w:rPr>
        <w:rFonts w:ascii="Arial" w:eastAsia="Times New Roman" w:hAnsi="Arial" w:cs="Arial"/>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21"/>
  </w:num>
  <w:num w:numId="3">
    <w:abstractNumId w:val="19"/>
  </w:num>
  <w:num w:numId="4">
    <w:abstractNumId w:val="3"/>
  </w:num>
  <w:num w:numId="5">
    <w:abstractNumId w:val="20"/>
  </w:num>
  <w:num w:numId="6">
    <w:abstractNumId w:val="17"/>
  </w:num>
  <w:num w:numId="7">
    <w:abstractNumId w:val="11"/>
  </w:num>
  <w:num w:numId="8">
    <w:abstractNumId w:val="7"/>
  </w:num>
  <w:num w:numId="9">
    <w:abstractNumId w:val="12"/>
  </w:num>
  <w:num w:numId="10">
    <w:abstractNumId w:val="15"/>
  </w:num>
  <w:num w:numId="11">
    <w:abstractNumId w:val="1"/>
  </w:num>
  <w:num w:numId="12">
    <w:abstractNumId w:val="8"/>
  </w:num>
  <w:num w:numId="13">
    <w:abstractNumId w:val="0"/>
  </w:num>
  <w:num w:numId="14">
    <w:abstractNumId w:val="4"/>
  </w:num>
  <w:num w:numId="15">
    <w:abstractNumId w:val="6"/>
  </w:num>
  <w:num w:numId="16">
    <w:abstractNumId w:val="16"/>
  </w:num>
  <w:num w:numId="17">
    <w:abstractNumId w:val="13"/>
  </w:num>
  <w:num w:numId="18">
    <w:abstractNumId w:val="9"/>
  </w:num>
  <w:num w:numId="19">
    <w:abstractNumId w:val="18"/>
  </w:num>
  <w:num w:numId="20">
    <w:abstractNumId w:val="1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D5"/>
    <w:rsid w:val="00002013"/>
    <w:rsid w:val="0000712E"/>
    <w:rsid w:val="00007925"/>
    <w:rsid w:val="00014D0B"/>
    <w:rsid w:val="000310F1"/>
    <w:rsid w:val="00037313"/>
    <w:rsid w:val="00042B90"/>
    <w:rsid w:val="000471CD"/>
    <w:rsid w:val="000578F3"/>
    <w:rsid w:val="00065EB7"/>
    <w:rsid w:val="0007070C"/>
    <w:rsid w:val="000751B8"/>
    <w:rsid w:val="00075D6A"/>
    <w:rsid w:val="00082075"/>
    <w:rsid w:val="00082750"/>
    <w:rsid w:val="00082D9C"/>
    <w:rsid w:val="0008527E"/>
    <w:rsid w:val="00086399"/>
    <w:rsid w:val="00087BE6"/>
    <w:rsid w:val="00090CA6"/>
    <w:rsid w:val="00090DCA"/>
    <w:rsid w:val="000929B8"/>
    <w:rsid w:val="000945C9"/>
    <w:rsid w:val="000949E4"/>
    <w:rsid w:val="000A70A3"/>
    <w:rsid w:val="000B3541"/>
    <w:rsid w:val="000C3294"/>
    <w:rsid w:val="000C42ED"/>
    <w:rsid w:val="000C5C96"/>
    <w:rsid w:val="000D7C95"/>
    <w:rsid w:val="000F1AF3"/>
    <w:rsid w:val="000F3072"/>
    <w:rsid w:val="000F615B"/>
    <w:rsid w:val="001040B7"/>
    <w:rsid w:val="00124518"/>
    <w:rsid w:val="0012776E"/>
    <w:rsid w:val="00140ED5"/>
    <w:rsid w:val="0014187C"/>
    <w:rsid w:val="00146C21"/>
    <w:rsid w:val="00150789"/>
    <w:rsid w:val="00171391"/>
    <w:rsid w:val="00176AF0"/>
    <w:rsid w:val="00180F7D"/>
    <w:rsid w:val="00181BF6"/>
    <w:rsid w:val="00181F40"/>
    <w:rsid w:val="00193ABD"/>
    <w:rsid w:val="00194991"/>
    <w:rsid w:val="00197D92"/>
    <w:rsid w:val="001A10DB"/>
    <w:rsid w:val="001A1CEF"/>
    <w:rsid w:val="001A50A8"/>
    <w:rsid w:val="001A56B0"/>
    <w:rsid w:val="001A7FD5"/>
    <w:rsid w:val="001B088E"/>
    <w:rsid w:val="001B241E"/>
    <w:rsid w:val="001B2B1D"/>
    <w:rsid w:val="001B580B"/>
    <w:rsid w:val="001B6B1E"/>
    <w:rsid w:val="001C6720"/>
    <w:rsid w:val="001D01BC"/>
    <w:rsid w:val="001D253B"/>
    <w:rsid w:val="001D36BC"/>
    <w:rsid w:val="001D44AC"/>
    <w:rsid w:val="001D6D20"/>
    <w:rsid w:val="001E393C"/>
    <w:rsid w:val="001E472A"/>
    <w:rsid w:val="001E7F17"/>
    <w:rsid w:val="001F46C2"/>
    <w:rsid w:val="001F7325"/>
    <w:rsid w:val="00202600"/>
    <w:rsid w:val="00204585"/>
    <w:rsid w:val="00207DB4"/>
    <w:rsid w:val="00217D9E"/>
    <w:rsid w:val="00222E2B"/>
    <w:rsid w:val="002236C3"/>
    <w:rsid w:val="002259A1"/>
    <w:rsid w:val="00231839"/>
    <w:rsid w:val="00233393"/>
    <w:rsid w:val="0023610E"/>
    <w:rsid w:val="002505B9"/>
    <w:rsid w:val="002542C4"/>
    <w:rsid w:val="00270327"/>
    <w:rsid w:val="00270DAD"/>
    <w:rsid w:val="002759FB"/>
    <w:rsid w:val="00284E8C"/>
    <w:rsid w:val="00286129"/>
    <w:rsid w:val="00290F7A"/>
    <w:rsid w:val="00293411"/>
    <w:rsid w:val="00294A15"/>
    <w:rsid w:val="002A65D8"/>
    <w:rsid w:val="002B0DE1"/>
    <w:rsid w:val="002B1B3F"/>
    <w:rsid w:val="002B4807"/>
    <w:rsid w:val="002D0DEC"/>
    <w:rsid w:val="002E1769"/>
    <w:rsid w:val="002E56FD"/>
    <w:rsid w:val="002F2968"/>
    <w:rsid w:val="002F31E2"/>
    <w:rsid w:val="00310DE1"/>
    <w:rsid w:val="0031142F"/>
    <w:rsid w:val="0031181F"/>
    <w:rsid w:val="003159AE"/>
    <w:rsid w:val="00316835"/>
    <w:rsid w:val="00320E84"/>
    <w:rsid w:val="00322033"/>
    <w:rsid w:val="00326DE6"/>
    <w:rsid w:val="0032713B"/>
    <w:rsid w:val="00332D2E"/>
    <w:rsid w:val="00334467"/>
    <w:rsid w:val="0033683C"/>
    <w:rsid w:val="00345857"/>
    <w:rsid w:val="00347ED0"/>
    <w:rsid w:val="00351473"/>
    <w:rsid w:val="003518B0"/>
    <w:rsid w:val="0035652D"/>
    <w:rsid w:val="00362189"/>
    <w:rsid w:val="00364144"/>
    <w:rsid w:val="00367F40"/>
    <w:rsid w:val="00370D22"/>
    <w:rsid w:val="00371777"/>
    <w:rsid w:val="003721FB"/>
    <w:rsid w:val="00377367"/>
    <w:rsid w:val="003819B5"/>
    <w:rsid w:val="00381D8A"/>
    <w:rsid w:val="0038262A"/>
    <w:rsid w:val="00385636"/>
    <w:rsid w:val="00385CC2"/>
    <w:rsid w:val="003879EF"/>
    <w:rsid w:val="00387D6A"/>
    <w:rsid w:val="00397354"/>
    <w:rsid w:val="003A15F7"/>
    <w:rsid w:val="003A267C"/>
    <w:rsid w:val="003A3362"/>
    <w:rsid w:val="003A4667"/>
    <w:rsid w:val="003A50CA"/>
    <w:rsid w:val="003A74AB"/>
    <w:rsid w:val="003C09A5"/>
    <w:rsid w:val="003C2E87"/>
    <w:rsid w:val="003C4BE1"/>
    <w:rsid w:val="003C6E15"/>
    <w:rsid w:val="003C78E4"/>
    <w:rsid w:val="003D0BD6"/>
    <w:rsid w:val="003D5218"/>
    <w:rsid w:val="003D5DAF"/>
    <w:rsid w:val="003D7583"/>
    <w:rsid w:val="003E2092"/>
    <w:rsid w:val="003E7164"/>
    <w:rsid w:val="003E7EFD"/>
    <w:rsid w:val="003F6674"/>
    <w:rsid w:val="0040473B"/>
    <w:rsid w:val="00416B10"/>
    <w:rsid w:val="0042184E"/>
    <w:rsid w:val="00421D8D"/>
    <w:rsid w:val="00422A7A"/>
    <w:rsid w:val="004278E8"/>
    <w:rsid w:val="00436683"/>
    <w:rsid w:val="0043698B"/>
    <w:rsid w:val="00436A72"/>
    <w:rsid w:val="00440B9D"/>
    <w:rsid w:val="0044686B"/>
    <w:rsid w:val="00456060"/>
    <w:rsid w:val="00457051"/>
    <w:rsid w:val="00457323"/>
    <w:rsid w:val="004616A3"/>
    <w:rsid w:val="00461DA3"/>
    <w:rsid w:val="0046242F"/>
    <w:rsid w:val="00477C1E"/>
    <w:rsid w:val="0048127D"/>
    <w:rsid w:val="00483D9D"/>
    <w:rsid w:val="004872FA"/>
    <w:rsid w:val="00487ADD"/>
    <w:rsid w:val="00487DB9"/>
    <w:rsid w:val="00487F5A"/>
    <w:rsid w:val="00494D17"/>
    <w:rsid w:val="004A33C4"/>
    <w:rsid w:val="004A3556"/>
    <w:rsid w:val="004A7BD9"/>
    <w:rsid w:val="004B0B0A"/>
    <w:rsid w:val="004B7B23"/>
    <w:rsid w:val="004B7EB1"/>
    <w:rsid w:val="004C0E2A"/>
    <w:rsid w:val="004C111E"/>
    <w:rsid w:val="004C59F8"/>
    <w:rsid w:val="004C6356"/>
    <w:rsid w:val="004D5D5D"/>
    <w:rsid w:val="004E431B"/>
    <w:rsid w:val="004E684C"/>
    <w:rsid w:val="004F48DC"/>
    <w:rsid w:val="004F6C7D"/>
    <w:rsid w:val="005017D7"/>
    <w:rsid w:val="0050447D"/>
    <w:rsid w:val="0051188A"/>
    <w:rsid w:val="005127FD"/>
    <w:rsid w:val="00512ED9"/>
    <w:rsid w:val="005218F9"/>
    <w:rsid w:val="005266D1"/>
    <w:rsid w:val="00526BF6"/>
    <w:rsid w:val="0053690E"/>
    <w:rsid w:val="0054476A"/>
    <w:rsid w:val="00550948"/>
    <w:rsid w:val="005532DE"/>
    <w:rsid w:val="00555739"/>
    <w:rsid w:val="00556489"/>
    <w:rsid w:val="0055677B"/>
    <w:rsid w:val="0056095D"/>
    <w:rsid w:val="00560A4C"/>
    <w:rsid w:val="005644B0"/>
    <w:rsid w:val="00564590"/>
    <w:rsid w:val="00571E14"/>
    <w:rsid w:val="00575806"/>
    <w:rsid w:val="005815E8"/>
    <w:rsid w:val="00581754"/>
    <w:rsid w:val="00583F96"/>
    <w:rsid w:val="005851DD"/>
    <w:rsid w:val="00586E4A"/>
    <w:rsid w:val="00595774"/>
    <w:rsid w:val="00597F17"/>
    <w:rsid w:val="005A0CCE"/>
    <w:rsid w:val="005A639A"/>
    <w:rsid w:val="005B40CE"/>
    <w:rsid w:val="005C55FE"/>
    <w:rsid w:val="005C73CD"/>
    <w:rsid w:val="005C7F12"/>
    <w:rsid w:val="005D206A"/>
    <w:rsid w:val="005D548C"/>
    <w:rsid w:val="005E206B"/>
    <w:rsid w:val="005E3F36"/>
    <w:rsid w:val="005E41EC"/>
    <w:rsid w:val="005E4886"/>
    <w:rsid w:val="005E530C"/>
    <w:rsid w:val="005F2C75"/>
    <w:rsid w:val="005F4783"/>
    <w:rsid w:val="00602285"/>
    <w:rsid w:val="00602B40"/>
    <w:rsid w:val="006045CA"/>
    <w:rsid w:val="00611177"/>
    <w:rsid w:val="00615825"/>
    <w:rsid w:val="00646CFE"/>
    <w:rsid w:val="00650092"/>
    <w:rsid w:val="006517DC"/>
    <w:rsid w:val="006521D1"/>
    <w:rsid w:val="00654FC3"/>
    <w:rsid w:val="0066424A"/>
    <w:rsid w:val="006653BE"/>
    <w:rsid w:val="00666991"/>
    <w:rsid w:val="0067359B"/>
    <w:rsid w:val="006803A6"/>
    <w:rsid w:val="00681E9D"/>
    <w:rsid w:val="00682D9F"/>
    <w:rsid w:val="00683DA9"/>
    <w:rsid w:val="00686687"/>
    <w:rsid w:val="006948A1"/>
    <w:rsid w:val="006B14CB"/>
    <w:rsid w:val="006B1E36"/>
    <w:rsid w:val="006B6844"/>
    <w:rsid w:val="006C260C"/>
    <w:rsid w:val="006C2E85"/>
    <w:rsid w:val="006C5417"/>
    <w:rsid w:val="006C5C31"/>
    <w:rsid w:val="006D60DF"/>
    <w:rsid w:val="006E1744"/>
    <w:rsid w:val="006E263E"/>
    <w:rsid w:val="006E620A"/>
    <w:rsid w:val="006E7872"/>
    <w:rsid w:val="006F0BA9"/>
    <w:rsid w:val="006F1F81"/>
    <w:rsid w:val="006F3E7E"/>
    <w:rsid w:val="006F562D"/>
    <w:rsid w:val="00711D6B"/>
    <w:rsid w:val="00711E9F"/>
    <w:rsid w:val="0072403B"/>
    <w:rsid w:val="00745517"/>
    <w:rsid w:val="00745EBA"/>
    <w:rsid w:val="007505F9"/>
    <w:rsid w:val="00760413"/>
    <w:rsid w:val="00776B15"/>
    <w:rsid w:val="007836AA"/>
    <w:rsid w:val="007934BB"/>
    <w:rsid w:val="00797BE1"/>
    <w:rsid w:val="007A5DBA"/>
    <w:rsid w:val="007B0B8D"/>
    <w:rsid w:val="007B13C4"/>
    <w:rsid w:val="007C553C"/>
    <w:rsid w:val="007D5741"/>
    <w:rsid w:val="007E4893"/>
    <w:rsid w:val="007E514E"/>
    <w:rsid w:val="007E7D6A"/>
    <w:rsid w:val="007E7EA1"/>
    <w:rsid w:val="007F2A1A"/>
    <w:rsid w:val="007F4AF4"/>
    <w:rsid w:val="007F5E74"/>
    <w:rsid w:val="007F69A3"/>
    <w:rsid w:val="00801E68"/>
    <w:rsid w:val="00805983"/>
    <w:rsid w:val="00807223"/>
    <w:rsid w:val="008102F0"/>
    <w:rsid w:val="00811011"/>
    <w:rsid w:val="00811120"/>
    <w:rsid w:val="0081204B"/>
    <w:rsid w:val="00831B5D"/>
    <w:rsid w:val="00835BF5"/>
    <w:rsid w:val="008420BF"/>
    <w:rsid w:val="00845CDA"/>
    <w:rsid w:val="0084788D"/>
    <w:rsid w:val="008541EA"/>
    <w:rsid w:val="00860E3B"/>
    <w:rsid w:val="008642A7"/>
    <w:rsid w:val="00875B44"/>
    <w:rsid w:val="00877EED"/>
    <w:rsid w:val="00883615"/>
    <w:rsid w:val="008938E0"/>
    <w:rsid w:val="00894D52"/>
    <w:rsid w:val="008A23D0"/>
    <w:rsid w:val="008A3A3F"/>
    <w:rsid w:val="008B0FD3"/>
    <w:rsid w:val="008C1764"/>
    <w:rsid w:val="008C179F"/>
    <w:rsid w:val="008C3D24"/>
    <w:rsid w:val="008C4FA9"/>
    <w:rsid w:val="008C703D"/>
    <w:rsid w:val="008C70AA"/>
    <w:rsid w:val="008D0316"/>
    <w:rsid w:val="008D0D15"/>
    <w:rsid w:val="008D1FD7"/>
    <w:rsid w:val="008F7064"/>
    <w:rsid w:val="00901B8E"/>
    <w:rsid w:val="00921E3C"/>
    <w:rsid w:val="0092231C"/>
    <w:rsid w:val="0093361F"/>
    <w:rsid w:val="00941883"/>
    <w:rsid w:val="00942238"/>
    <w:rsid w:val="00942B6A"/>
    <w:rsid w:val="0094582C"/>
    <w:rsid w:val="00950485"/>
    <w:rsid w:val="00967D15"/>
    <w:rsid w:val="00972773"/>
    <w:rsid w:val="009746A1"/>
    <w:rsid w:val="00975EEB"/>
    <w:rsid w:val="00977B77"/>
    <w:rsid w:val="00977DAC"/>
    <w:rsid w:val="009855EA"/>
    <w:rsid w:val="00991145"/>
    <w:rsid w:val="009929EE"/>
    <w:rsid w:val="00994D8E"/>
    <w:rsid w:val="009A1373"/>
    <w:rsid w:val="009A13A8"/>
    <w:rsid w:val="009A1EB9"/>
    <w:rsid w:val="009A33C1"/>
    <w:rsid w:val="009A5D44"/>
    <w:rsid w:val="009A7743"/>
    <w:rsid w:val="009B06D7"/>
    <w:rsid w:val="009B0F4C"/>
    <w:rsid w:val="009B2164"/>
    <w:rsid w:val="009B291F"/>
    <w:rsid w:val="009C3536"/>
    <w:rsid w:val="009D4A46"/>
    <w:rsid w:val="009D55E5"/>
    <w:rsid w:val="009D77AA"/>
    <w:rsid w:val="009D7B86"/>
    <w:rsid w:val="009E06BD"/>
    <w:rsid w:val="009E4F5D"/>
    <w:rsid w:val="009F7332"/>
    <w:rsid w:val="00A02AC8"/>
    <w:rsid w:val="00A04A43"/>
    <w:rsid w:val="00A12BB8"/>
    <w:rsid w:val="00A16AB5"/>
    <w:rsid w:val="00A21D36"/>
    <w:rsid w:val="00A34DF5"/>
    <w:rsid w:val="00A35EC0"/>
    <w:rsid w:val="00A45713"/>
    <w:rsid w:val="00A517DF"/>
    <w:rsid w:val="00A560FA"/>
    <w:rsid w:val="00A66789"/>
    <w:rsid w:val="00A70E46"/>
    <w:rsid w:val="00A760BC"/>
    <w:rsid w:val="00A837FC"/>
    <w:rsid w:val="00A847DC"/>
    <w:rsid w:val="00A95C49"/>
    <w:rsid w:val="00A95EFE"/>
    <w:rsid w:val="00A96BEF"/>
    <w:rsid w:val="00AA0679"/>
    <w:rsid w:val="00AA2F07"/>
    <w:rsid w:val="00AA7F75"/>
    <w:rsid w:val="00AC449F"/>
    <w:rsid w:val="00AD5835"/>
    <w:rsid w:val="00AE1706"/>
    <w:rsid w:val="00AF1482"/>
    <w:rsid w:val="00AF162C"/>
    <w:rsid w:val="00AF48FC"/>
    <w:rsid w:val="00AF4D90"/>
    <w:rsid w:val="00AF5198"/>
    <w:rsid w:val="00B04607"/>
    <w:rsid w:val="00B10D69"/>
    <w:rsid w:val="00B1196D"/>
    <w:rsid w:val="00B15D88"/>
    <w:rsid w:val="00B24B36"/>
    <w:rsid w:val="00B30D19"/>
    <w:rsid w:val="00B30DF5"/>
    <w:rsid w:val="00B327E2"/>
    <w:rsid w:val="00B364A8"/>
    <w:rsid w:val="00B40436"/>
    <w:rsid w:val="00B41B53"/>
    <w:rsid w:val="00B5121B"/>
    <w:rsid w:val="00B54297"/>
    <w:rsid w:val="00B6549F"/>
    <w:rsid w:val="00B70C81"/>
    <w:rsid w:val="00B723C3"/>
    <w:rsid w:val="00B72506"/>
    <w:rsid w:val="00B74AA5"/>
    <w:rsid w:val="00B8094D"/>
    <w:rsid w:val="00B81EA7"/>
    <w:rsid w:val="00B9145F"/>
    <w:rsid w:val="00B93ABD"/>
    <w:rsid w:val="00B94084"/>
    <w:rsid w:val="00BB1C4D"/>
    <w:rsid w:val="00BB26F2"/>
    <w:rsid w:val="00BB32A0"/>
    <w:rsid w:val="00BB4122"/>
    <w:rsid w:val="00BB5ED1"/>
    <w:rsid w:val="00BB7A93"/>
    <w:rsid w:val="00BC2DA6"/>
    <w:rsid w:val="00BC44B8"/>
    <w:rsid w:val="00BC6BD0"/>
    <w:rsid w:val="00BD0B4B"/>
    <w:rsid w:val="00BD5CB1"/>
    <w:rsid w:val="00BE2B58"/>
    <w:rsid w:val="00BF0D8E"/>
    <w:rsid w:val="00C02797"/>
    <w:rsid w:val="00C02B16"/>
    <w:rsid w:val="00C05E60"/>
    <w:rsid w:val="00C06EC5"/>
    <w:rsid w:val="00C11C59"/>
    <w:rsid w:val="00C125AA"/>
    <w:rsid w:val="00C15EFF"/>
    <w:rsid w:val="00C16C60"/>
    <w:rsid w:val="00C20F66"/>
    <w:rsid w:val="00C22FB5"/>
    <w:rsid w:val="00C30AC2"/>
    <w:rsid w:val="00C31D44"/>
    <w:rsid w:val="00C33CF3"/>
    <w:rsid w:val="00C35E9D"/>
    <w:rsid w:val="00C428F7"/>
    <w:rsid w:val="00C438F2"/>
    <w:rsid w:val="00C462EB"/>
    <w:rsid w:val="00C50A7D"/>
    <w:rsid w:val="00C535BF"/>
    <w:rsid w:val="00C5494C"/>
    <w:rsid w:val="00C54C25"/>
    <w:rsid w:val="00C56B36"/>
    <w:rsid w:val="00C67ED6"/>
    <w:rsid w:val="00C70531"/>
    <w:rsid w:val="00C755C4"/>
    <w:rsid w:val="00C76443"/>
    <w:rsid w:val="00C77A7F"/>
    <w:rsid w:val="00C77AC9"/>
    <w:rsid w:val="00C84392"/>
    <w:rsid w:val="00C909A3"/>
    <w:rsid w:val="00C93A74"/>
    <w:rsid w:val="00C93B3A"/>
    <w:rsid w:val="00C93D64"/>
    <w:rsid w:val="00C941A9"/>
    <w:rsid w:val="00CA256D"/>
    <w:rsid w:val="00CA2AF0"/>
    <w:rsid w:val="00CA3982"/>
    <w:rsid w:val="00CB78A4"/>
    <w:rsid w:val="00CC1D2C"/>
    <w:rsid w:val="00CC3534"/>
    <w:rsid w:val="00CC68B6"/>
    <w:rsid w:val="00CD1856"/>
    <w:rsid w:val="00CD244D"/>
    <w:rsid w:val="00CD4466"/>
    <w:rsid w:val="00CD784D"/>
    <w:rsid w:val="00CE40C1"/>
    <w:rsid w:val="00CE6BA5"/>
    <w:rsid w:val="00CF6458"/>
    <w:rsid w:val="00D00FDD"/>
    <w:rsid w:val="00D027EA"/>
    <w:rsid w:val="00D0720C"/>
    <w:rsid w:val="00D10593"/>
    <w:rsid w:val="00D1139D"/>
    <w:rsid w:val="00D141AD"/>
    <w:rsid w:val="00D1671D"/>
    <w:rsid w:val="00D253BD"/>
    <w:rsid w:val="00D26BFA"/>
    <w:rsid w:val="00D27C91"/>
    <w:rsid w:val="00D3016B"/>
    <w:rsid w:val="00D31B1C"/>
    <w:rsid w:val="00D41E66"/>
    <w:rsid w:val="00D4520D"/>
    <w:rsid w:val="00D54501"/>
    <w:rsid w:val="00D608B3"/>
    <w:rsid w:val="00D6437E"/>
    <w:rsid w:val="00D67B02"/>
    <w:rsid w:val="00D72879"/>
    <w:rsid w:val="00D73682"/>
    <w:rsid w:val="00D91314"/>
    <w:rsid w:val="00D97C08"/>
    <w:rsid w:val="00DA6448"/>
    <w:rsid w:val="00DB2188"/>
    <w:rsid w:val="00DB3BBE"/>
    <w:rsid w:val="00DC083C"/>
    <w:rsid w:val="00DC1A4B"/>
    <w:rsid w:val="00DC4862"/>
    <w:rsid w:val="00DC5892"/>
    <w:rsid w:val="00DC5E97"/>
    <w:rsid w:val="00DD0468"/>
    <w:rsid w:val="00DD1CCC"/>
    <w:rsid w:val="00DD75BB"/>
    <w:rsid w:val="00DE7D19"/>
    <w:rsid w:val="00DF0A10"/>
    <w:rsid w:val="00DF3122"/>
    <w:rsid w:val="00DF49D4"/>
    <w:rsid w:val="00E03972"/>
    <w:rsid w:val="00E0445F"/>
    <w:rsid w:val="00E07ED5"/>
    <w:rsid w:val="00E10ED8"/>
    <w:rsid w:val="00E10FA7"/>
    <w:rsid w:val="00E11976"/>
    <w:rsid w:val="00E1523D"/>
    <w:rsid w:val="00E17BC7"/>
    <w:rsid w:val="00E231FB"/>
    <w:rsid w:val="00E24379"/>
    <w:rsid w:val="00E26A87"/>
    <w:rsid w:val="00E2757F"/>
    <w:rsid w:val="00E35AE4"/>
    <w:rsid w:val="00E51B36"/>
    <w:rsid w:val="00E53FFF"/>
    <w:rsid w:val="00E61EE0"/>
    <w:rsid w:val="00E624AB"/>
    <w:rsid w:val="00E67A51"/>
    <w:rsid w:val="00E7066D"/>
    <w:rsid w:val="00E70C95"/>
    <w:rsid w:val="00E72522"/>
    <w:rsid w:val="00E748A8"/>
    <w:rsid w:val="00E74A86"/>
    <w:rsid w:val="00E7623F"/>
    <w:rsid w:val="00E765D4"/>
    <w:rsid w:val="00E775E9"/>
    <w:rsid w:val="00E8045E"/>
    <w:rsid w:val="00E808FD"/>
    <w:rsid w:val="00E8222C"/>
    <w:rsid w:val="00E87440"/>
    <w:rsid w:val="00E87F38"/>
    <w:rsid w:val="00E909AB"/>
    <w:rsid w:val="00E91465"/>
    <w:rsid w:val="00E93D5B"/>
    <w:rsid w:val="00E94E31"/>
    <w:rsid w:val="00EA3E6F"/>
    <w:rsid w:val="00EA6545"/>
    <w:rsid w:val="00EB1C29"/>
    <w:rsid w:val="00EB6BD1"/>
    <w:rsid w:val="00EC3F3C"/>
    <w:rsid w:val="00ED0D62"/>
    <w:rsid w:val="00ED21E6"/>
    <w:rsid w:val="00ED7CE0"/>
    <w:rsid w:val="00EE0855"/>
    <w:rsid w:val="00EE5E56"/>
    <w:rsid w:val="00EE5FA6"/>
    <w:rsid w:val="00EE69DF"/>
    <w:rsid w:val="00EF03F1"/>
    <w:rsid w:val="00EF21AE"/>
    <w:rsid w:val="00EF604D"/>
    <w:rsid w:val="00F06535"/>
    <w:rsid w:val="00F10C76"/>
    <w:rsid w:val="00F16F77"/>
    <w:rsid w:val="00F177DD"/>
    <w:rsid w:val="00F2069B"/>
    <w:rsid w:val="00F24D64"/>
    <w:rsid w:val="00F25AE8"/>
    <w:rsid w:val="00F303C0"/>
    <w:rsid w:val="00F362C6"/>
    <w:rsid w:val="00F403E2"/>
    <w:rsid w:val="00F40B3F"/>
    <w:rsid w:val="00F450BC"/>
    <w:rsid w:val="00F56937"/>
    <w:rsid w:val="00F635FE"/>
    <w:rsid w:val="00F645CD"/>
    <w:rsid w:val="00F72C65"/>
    <w:rsid w:val="00F72E24"/>
    <w:rsid w:val="00F75859"/>
    <w:rsid w:val="00F76AE7"/>
    <w:rsid w:val="00F907C3"/>
    <w:rsid w:val="00F91D43"/>
    <w:rsid w:val="00F97FFA"/>
    <w:rsid w:val="00FA745B"/>
    <w:rsid w:val="00FB0DFE"/>
    <w:rsid w:val="00FB1AF4"/>
    <w:rsid w:val="00FB2385"/>
    <w:rsid w:val="00FB5AA7"/>
    <w:rsid w:val="00FC0EEC"/>
    <w:rsid w:val="00FD59DB"/>
    <w:rsid w:val="00FD6722"/>
    <w:rsid w:val="00FE7A62"/>
    <w:rsid w:val="00FE7BD1"/>
    <w:rsid w:val="00FF012A"/>
    <w:rsid w:val="00FF5BE4"/>
    <w:rsid w:val="00FF6A72"/>
    <w:rsid w:val="00FF6C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2819"/>
  <w15:chartTrackingRefBased/>
  <w15:docId w15:val="{71EF3F5E-3036-4548-A0E8-1219779F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D5"/>
    <w:rPr>
      <w:rFonts w:ascii="Times New Roman" w:eastAsia="Times New Roman" w:hAnsi="Times New Roman" w:cs="Times New Roman"/>
      <w:lang w:val="en-GB"/>
    </w:rPr>
  </w:style>
  <w:style w:type="paragraph" w:styleId="Heading1">
    <w:name w:val="heading 1"/>
    <w:basedOn w:val="Normal"/>
    <w:next w:val="Normal"/>
    <w:link w:val="Heading1Char"/>
    <w:qFormat/>
    <w:rsid w:val="00140ED5"/>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unhideWhenUsed/>
    <w:qFormat/>
    <w:rsid w:val="007604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40ED5"/>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ED5"/>
    <w:rPr>
      <w:rFonts w:ascii="Arial" w:eastAsia="Times New Roman" w:hAnsi="Arial" w:cs="Arial"/>
      <w:b/>
      <w:bCs/>
      <w:sz w:val="28"/>
      <w:lang w:val="en-GB"/>
    </w:rPr>
  </w:style>
  <w:style w:type="character" w:customStyle="1" w:styleId="Heading3Char">
    <w:name w:val="Heading 3 Char"/>
    <w:basedOn w:val="DefaultParagraphFont"/>
    <w:link w:val="Heading3"/>
    <w:rsid w:val="00140ED5"/>
    <w:rPr>
      <w:rFonts w:ascii="Arial" w:eastAsia="Times New Roman" w:hAnsi="Arial" w:cs="Arial"/>
      <w:i/>
      <w:iCs/>
      <w:sz w:val="28"/>
      <w:lang w:val="en-GB"/>
    </w:rPr>
  </w:style>
  <w:style w:type="paragraph" w:styleId="Header">
    <w:name w:val="header"/>
    <w:basedOn w:val="Normal"/>
    <w:link w:val="HeaderChar"/>
    <w:uiPriority w:val="99"/>
    <w:rsid w:val="00140ED5"/>
    <w:pPr>
      <w:tabs>
        <w:tab w:val="center" w:pos="4153"/>
        <w:tab w:val="right" w:pos="8306"/>
      </w:tabs>
    </w:pPr>
  </w:style>
  <w:style w:type="character" w:customStyle="1" w:styleId="HeaderChar">
    <w:name w:val="Header Char"/>
    <w:basedOn w:val="DefaultParagraphFont"/>
    <w:link w:val="Header"/>
    <w:uiPriority w:val="99"/>
    <w:rsid w:val="00140ED5"/>
    <w:rPr>
      <w:rFonts w:ascii="Times New Roman" w:eastAsia="Times New Roman" w:hAnsi="Times New Roman" w:cs="Times New Roman"/>
      <w:lang w:val="en-GB"/>
    </w:rPr>
  </w:style>
  <w:style w:type="character" w:styleId="PageNumber">
    <w:name w:val="page number"/>
    <w:basedOn w:val="DefaultParagraphFont"/>
    <w:rsid w:val="00140ED5"/>
    <w:rPr>
      <w:rFonts w:cs="Times New Roman"/>
    </w:rPr>
  </w:style>
  <w:style w:type="paragraph" w:styleId="FootnoteText">
    <w:name w:val="footnote text"/>
    <w:basedOn w:val="Normal"/>
    <w:link w:val="FootnoteTextChar"/>
    <w:uiPriority w:val="99"/>
    <w:rsid w:val="00140ED5"/>
    <w:rPr>
      <w:sz w:val="20"/>
      <w:szCs w:val="20"/>
    </w:rPr>
  </w:style>
  <w:style w:type="character" w:customStyle="1" w:styleId="FootnoteTextChar">
    <w:name w:val="Footnote Text Char"/>
    <w:basedOn w:val="DefaultParagraphFont"/>
    <w:link w:val="FootnoteText"/>
    <w:uiPriority w:val="99"/>
    <w:rsid w:val="00140ED5"/>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140ED5"/>
    <w:pPr>
      <w:autoSpaceDE w:val="0"/>
      <w:autoSpaceDN w:val="0"/>
      <w:adjustRightInd w:val="0"/>
      <w:spacing w:line="241" w:lineRule="atLeast"/>
    </w:pPr>
    <w:rPr>
      <w:rFonts w:ascii="Arial" w:hAnsi="Arial"/>
    </w:rPr>
  </w:style>
  <w:style w:type="paragraph" w:styleId="NormalIndent">
    <w:name w:val="Normal Indent"/>
    <w:basedOn w:val="Normal"/>
    <w:uiPriority w:val="99"/>
    <w:unhideWhenUsed/>
    <w:rsid w:val="00140ED5"/>
    <w:pPr>
      <w:spacing w:line="480" w:lineRule="auto"/>
      <w:ind w:left="720"/>
      <w:jc w:val="both"/>
    </w:pPr>
    <w:rPr>
      <w:sz w:val="28"/>
      <w:szCs w:val="28"/>
    </w:rPr>
  </w:style>
  <w:style w:type="paragraph" w:styleId="ListParagraph">
    <w:name w:val="List Paragraph"/>
    <w:basedOn w:val="Normal"/>
    <w:uiPriority w:val="34"/>
    <w:qFormat/>
    <w:rsid w:val="00140ED5"/>
    <w:pPr>
      <w:ind w:left="720"/>
      <w:contextualSpacing/>
    </w:pPr>
  </w:style>
  <w:style w:type="character" w:styleId="FootnoteReference">
    <w:name w:val="footnote reference"/>
    <w:basedOn w:val="DefaultParagraphFont"/>
    <w:uiPriority w:val="99"/>
    <w:semiHidden/>
    <w:unhideWhenUsed/>
    <w:rsid w:val="00C77A7F"/>
    <w:rPr>
      <w:vertAlign w:val="superscript"/>
    </w:rPr>
  </w:style>
  <w:style w:type="paragraph" w:styleId="EndnoteText">
    <w:name w:val="endnote text"/>
    <w:basedOn w:val="Normal"/>
    <w:link w:val="EndnoteTextChar"/>
    <w:uiPriority w:val="99"/>
    <w:semiHidden/>
    <w:unhideWhenUsed/>
    <w:rsid w:val="00367F40"/>
    <w:rPr>
      <w:sz w:val="20"/>
      <w:szCs w:val="20"/>
    </w:rPr>
  </w:style>
  <w:style w:type="character" w:customStyle="1" w:styleId="EndnoteTextChar">
    <w:name w:val="Endnote Text Char"/>
    <w:basedOn w:val="DefaultParagraphFont"/>
    <w:link w:val="EndnoteText"/>
    <w:uiPriority w:val="99"/>
    <w:semiHidden/>
    <w:rsid w:val="00367F4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67F40"/>
    <w:rPr>
      <w:vertAlign w:val="superscript"/>
    </w:rPr>
  </w:style>
  <w:style w:type="paragraph" w:styleId="BalloonText">
    <w:name w:val="Balloon Text"/>
    <w:basedOn w:val="Normal"/>
    <w:link w:val="BalloonTextChar"/>
    <w:uiPriority w:val="99"/>
    <w:semiHidden/>
    <w:unhideWhenUsed/>
    <w:rsid w:val="0054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6A"/>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rsid w:val="00760413"/>
    <w:rPr>
      <w:rFonts w:asciiTheme="majorHAnsi" w:eastAsiaTheme="majorEastAsia" w:hAnsiTheme="majorHAnsi" w:cstheme="majorBidi"/>
      <w:color w:val="2F5496" w:themeColor="accent1" w:themeShade="BF"/>
      <w:sz w:val="26"/>
      <w:szCs w:val="26"/>
      <w:lang w:val="en-GB"/>
    </w:rPr>
  </w:style>
  <w:style w:type="paragraph" w:styleId="Footer">
    <w:name w:val="footer"/>
    <w:basedOn w:val="Normal"/>
    <w:link w:val="FooterChar"/>
    <w:uiPriority w:val="99"/>
    <w:unhideWhenUsed/>
    <w:rsid w:val="00316835"/>
    <w:pPr>
      <w:tabs>
        <w:tab w:val="center" w:pos="4513"/>
        <w:tab w:val="right" w:pos="9026"/>
      </w:tabs>
    </w:pPr>
  </w:style>
  <w:style w:type="character" w:customStyle="1" w:styleId="FooterChar">
    <w:name w:val="Footer Char"/>
    <w:basedOn w:val="DefaultParagraphFont"/>
    <w:link w:val="Footer"/>
    <w:uiPriority w:val="99"/>
    <w:rsid w:val="0031683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065EB7"/>
    <w:rPr>
      <w:sz w:val="16"/>
      <w:szCs w:val="16"/>
    </w:rPr>
  </w:style>
  <w:style w:type="paragraph" w:styleId="CommentText">
    <w:name w:val="annotation text"/>
    <w:basedOn w:val="Normal"/>
    <w:link w:val="CommentTextChar"/>
    <w:uiPriority w:val="99"/>
    <w:semiHidden/>
    <w:unhideWhenUsed/>
    <w:rsid w:val="00065EB7"/>
    <w:rPr>
      <w:sz w:val="20"/>
      <w:szCs w:val="20"/>
    </w:rPr>
  </w:style>
  <w:style w:type="character" w:customStyle="1" w:styleId="CommentTextChar">
    <w:name w:val="Comment Text Char"/>
    <w:basedOn w:val="DefaultParagraphFont"/>
    <w:link w:val="CommentText"/>
    <w:uiPriority w:val="99"/>
    <w:semiHidden/>
    <w:rsid w:val="00065EB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5EB7"/>
    <w:rPr>
      <w:b/>
      <w:bCs/>
    </w:rPr>
  </w:style>
  <w:style w:type="character" w:customStyle="1" w:styleId="CommentSubjectChar">
    <w:name w:val="Comment Subject Char"/>
    <w:basedOn w:val="CommentTextChar"/>
    <w:link w:val="CommentSubject"/>
    <w:uiPriority w:val="99"/>
    <w:semiHidden/>
    <w:rsid w:val="00065EB7"/>
    <w:rPr>
      <w:rFonts w:ascii="Times New Roman" w:eastAsia="Times New Roman" w:hAnsi="Times New Roman" w:cs="Times New Roman"/>
      <w:b/>
      <w:bCs/>
      <w:sz w:val="20"/>
      <w:szCs w:val="20"/>
      <w:lang w:val="en-GB"/>
    </w:rPr>
  </w:style>
  <w:style w:type="paragraph" w:styleId="Revision">
    <w:name w:val="Revision"/>
    <w:hidden/>
    <w:uiPriority w:val="99"/>
    <w:semiHidden/>
    <w:rsid w:val="008420B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82470">
      <w:bodyDiv w:val="1"/>
      <w:marLeft w:val="0"/>
      <w:marRight w:val="0"/>
      <w:marTop w:val="0"/>
      <w:marBottom w:val="0"/>
      <w:divBdr>
        <w:top w:val="none" w:sz="0" w:space="0" w:color="auto"/>
        <w:left w:val="none" w:sz="0" w:space="0" w:color="auto"/>
        <w:bottom w:val="none" w:sz="0" w:space="0" w:color="auto"/>
        <w:right w:val="none" w:sz="0" w:space="0" w:color="auto"/>
      </w:divBdr>
    </w:div>
    <w:div w:id="605843257">
      <w:bodyDiv w:val="1"/>
      <w:marLeft w:val="0"/>
      <w:marRight w:val="0"/>
      <w:marTop w:val="0"/>
      <w:marBottom w:val="0"/>
      <w:divBdr>
        <w:top w:val="none" w:sz="0" w:space="0" w:color="auto"/>
        <w:left w:val="none" w:sz="0" w:space="0" w:color="auto"/>
        <w:bottom w:val="none" w:sz="0" w:space="0" w:color="auto"/>
        <w:right w:val="none" w:sz="0" w:space="0" w:color="auto"/>
      </w:divBdr>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189137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716879">
              <w:marLeft w:val="0"/>
              <w:marRight w:val="0"/>
              <w:marTop w:val="0"/>
              <w:marBottom w:val="0"/>
              <w:divBdr>
                <w:top w:val="none" w:sz="0" w:space="0" w:color="auto"/>
                <w:left w:val="none" w:sz="0" w:space="0" w:color="auto"/>
                <w:bottom w:val="none" w:sz="0" w:space="0" w:color="auto"/>
                <w:right w:val="none" w:sz="0" w:space="0" w:color="auto"/>
              </w:divBdr>
              <w:divsChild>
                <w:div w:id="950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5726">
      <w:bodyDiv w:val="1"/>
      <w:marLeft w:val="0"/>
      <w:marRight w:val="0"/>
      <w:marTop w:val="0"/>
      <w:marBottom w:val="0"/>
      <w:divBdr>
        <w:top w:val="none" w:sz="0" w:space="0" w:color="auto"/>
        <w:left w:val="none" w:sz="0" w:space="0" w:color="auto"/>
        <w:bottom w:val="none" w:sz="0" w:space="0" w:color="auto"/>
        <w:right w:val="none" w:sz="0" w:space="0" w:color="auto"/>
      </w:divBdr>
      <w:divsChild>
        <w:div w:id="209639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299023">
              <w:marLeft w:val="0"/>
              <w:marRight w:val="0"/>
              <w:marTop w:val="0"/>
              <w:marBottom w:val="0"/>
              <w:divBdr>
                <w:top w:val="none" w:sz="0" w:space="0" w:color="auto"/>
                <w:left w:val="none" w:sz="0" w:space="0" w:color="auto"/>
                <w:bottom w:val="none" w:sz="0" w:space="0" w:color="auto"/>
                <w:right w:val="none" w:sz="0" w:space="0" w:color="auto"/>
              </w:divBdr>
              <w:divsChild>
                <w:div w:id="19235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DD65-2027-44AB-B97D-9E517A7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8891</Words>
  <Characters>50683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zamani.mswazi@vodamail.co.za</dc:creator>
  <cp:keywords/>
  <dc:description/>
  <cp:lastModifiedBy>Mary Bruce</cp:lastModifiedBy>
  <cp:revision>3</cp:revision>
  <cp:lastPrinted>2023-02-17T13:24:00Z</cp:lastPrinted>
  <dcterms:created xsi:type="dcterms:W3CDTF">2023-02-21T11:10:00Z</dcterms:created>
  <dcterms:modified xsi:type="dcterms:W3CDTF">2023-02-27T07:05:00Z</dcterms:modified>
</cp:coreProperties>
</file>