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E1" w:rsidRDefault="00CB5FE1" w:rsidP="00FE1D18">
      <w:pPr>
        <w:rPr>
          <w:rFonts w:ascii="Arial" w:eastAsia="Arial" w:hAnsi="Arial" w:cs="Arial"/>
          <w:sz w:val="28"/>
          <w:szCs w:val="28"/>
        </w:rPr>
      </w:pPr>
      <w:bookmarkStart w:id="0" w:name="_GoBack"/>
      <w:bookmarkEnd w:id="0"/>
    </w:p>
    <w:p w:rsidR="00CB5FE1" w:rsidRDefault="00CB5FE1" w:rsidP="00FE1D18">
      <w:pPr>
        <w:jc w:val="center"/>
        <w:rPr>
          <w:rFonts w:ascii="Arial" w:eastAsia="Arial" w:hAnsi="Arial" w:cs="Arial"/>
          <w:b/>
          <w:sz w:val="28"/>
          <w:szCs w:val="28"/>
        </w:rPr>
      </w:pPr>
    </w:p>
    <w:p w:rsidR="00CB5FE1" w:rsidRDefault="00CB5FE1">
      <w:pPr>
        <w:jc w:val="center"/>
        <w:rPr>
          <w:rFonts w:ascii="Arial" w:eastAsia="Arial" w:hAnsi="Arial" w:cs="Arial"/>
          <w:b/>
          <w:sz w:val="28"/>
          <w:szCs w:val="28"/>
        </w:rPr>
      </w:pPr>
    </w:p>
    <w:p w:rsidR="00CB5FE1" w:rsidRDefault="005005D6">
      <w:pPr>
        <w:jc w:val="center"/>
        <w:rPr>
          <w:rFonts w:ascii="Arial" w:eastAsia="Arial" w:hAnsi="Arial" w:cs="Arial"/>
          <w:b/>
          <w:sz w:val="28"/>
          <w:szCs w:val="28"/>
        </w:rPr>
      </w:pPr>
      <w:r>
        <w:rPr>
          <w:noProof/>
          <w:lang w:val="en-ZA"/>
        </w:rPr>
        <w:drawing>
          <wp:anchor distT="0" distB="0" distL="114300" distR="114300" simplePos="0" relativeHeight="251658240" behindDoc="0" locked="0" layoutInCell="1" hidden="0" allowOverlap="1" wp14:anchorId="048D400E" wp14:editId="39DEFC4E">
            <wp:simplePos x="0" y="0"/>
            <wp:positionH relativeFrom="column">
              <wp:posOffset>2465705</wp:posOffset>
            </wp:positionH>
            <wp:positionV relativeFrom="paragraph">
              <wp:posOffset>-683891</wp:posOffset>
            </wp:positionV>
            <wp:extent cx="800100" cy="9144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00100" cy="914400"/>
                    </a:xfrm>
                    <a:prstGeom prst="rect">
                      <a:avLst/>
                    </a:prstGeom>
                    <a:ln/>
                  </pic:spPr>
                </pic:pic>
              </a:graphicData>
            </a:graphic>
          </wp:anchor>
        </w:drawing>
      </w:r>
    </w:p>
    <w:p w:rsidR="00CB5FE1" w:rsidRDefault="00CB5FE1">
      <w:pPr>
        <w:jc w:val="center"/>
        <w:rPr>
          <w:rFonts w:ascii="Arial" w:eastAsia="Arial" w:hAnsi="Arial" w:cs="Arial"/>
          <w:b/>
          <w:sz w:val="28"/>
          <w:szCs w:val="28"/>
        </w:rPr>
      </w:pPr>
    </w:p>
    <w:p w:rsidR="00CB5FE1" w:rsidRDefault="005005D6">
      <w:pPr>
        <w:jc w:val="center"/>
        <w:rPr>
          <w:rFonts w:ascii="Arial" w:eastAsia="Arial" w:hAnsi="Arial" w:cs="Arial"/>
          <w:b/>
        </w:rPr>
      </w:pPr>
      <w:r>
        <w:rPr>
          <w:rFonts w:ascii="Arial" w:eastAsia="Arial" w:hAnsi="Arial" w:cs="Arial"/>
          <w:b/>
        </w:rPr>
        <w:t>THE SUPREME COURT OF APPEAL OF SOUTH AFRICA</w:t>
      </w:r>
    </w:p>
    <w:p w:rsidR="00CB5FE1" w:rsidRDefault="005005D6">
      <w:pPr>
        <w:pStyle w:val="Heading3"/>
        <w:jc w:val="center"/>
        <w:rPr>
          <w:b/>
          <w:i w:val="0"/>
        </w:rPr>
      </w:pPr>
      <w:r>
        <w:rPr>
          <w:b/>
          <w:i w:val="0"/>
          <w:sz w:val="24"/>
        </w:rPr>
        <w:t>JUDGMENT</w:t>
      </w:r>
    </w:p>
    <w:p w:rsidR="00CB5FE1" w:rsidRDefault="00CB5FE1" w:rsidP="008008C2">
      <w:pPr>
        <w:jc w:val="left"/>
        <w:rPr>
          <w:rFonts w:ascii="Arial" w:eastAsia="Arial" w:hAnsi="Arial" w:cs="Arial"/>
          <w:b/>
        </w:rPr>
      </w:pPr>
    </w:p>
    <w:p w:rsidR="00CB5FE1" w:rsidRDefault="005072FA">
      <w:pPr>
        <w:jc w:val="right"/>
        <w:rPr>
          <w:rFonts w:ascii="Arial" w:eastAsia="Arial" w:hAnsi="Arial" w:cs="Arial"/>
          <w:b/>
        </w:rPr>
      </w:pPr>
      <w:r w:rsidRPr="005072FA">
        <w:rPr>
          <w:rFonts w:ascii="Arial" w:eastAsia="Arial" w:hAnsi="Arial" w:cs="Arial"/>
          <w:b/>
        </w:rPr>
        <w:t>Reportable</w:t>
      </w:r>
    </w:p>
    <w:p w:rsidR="00CB5FE1" w:rsidRDefault="003B0548">
      <w:pPr>
        <w:jc w:val="right"/>
        <w:rPr>
          <w:rFonts w:ascii="Arial" w:eastAsia="Arial" w:hAnsi="Arial" w:cs="Arial"/>
        </w:rPr>
      </w:pPr>
      <w:r>
        <w:rPr>
          <w:rFonts w:ascii="Arial" w:eastAsia="Arial" w:hAnsi="Arial" w:cs="Arial"/>
        </w:rPr>
        <w:t>Case no: 1205</w:t>
      </w:r>
      <w:r w:rsidR="005005D6">
        <w:rPr>
          <w:rFonts w:ascii="Arial" w:eastAsia="Arial" w:hAnsi="Arial" w:cs="Arial"/>
        </w:rPr>
        <w:t>/2021</w:t>
      </w:r>
    </w:p>
    <w:p w:rsidR="00CB5FE1" w:rsidRDefault="005005D6">
      <w:pPr>
        <w:rPr>
          <w:rFonts w:ascii="Arial" w:eastAsia="Arial" w:hAnsi="Arial" w:cs="Arial"/>
        </w:rPr>
      </w:pPr>
      <w:r>
        <w:rPr>
          <w:rFonts w:ascii="Arial" w:eastAsia="Arial" w:hAnsi="Arial" w:cs="Arial"/>
        </w:rPr>
        <w:t>In the matter between:</w:t>
      </w:r>
    </w:p>
    <w:p w:rsidR="00CB5FE1" w:rsidRDefault="00CB5FE1">
      <w:pPr>
        <w:widowControl w:val="0"/>
        <w:tabs>
          <w:tab w:val="right" w:pos="9360"/>
        </w:tabs>
        <w:rPr>
          <w:rFonts w:ascii="Arial" w:eastAsia="Arial" w:hAnsi="Arial" w:cs="Arial"/>
          <w:b/>
        </w:rPr>
      </w:pPr>
    </w:p>
    <w:p w:rsidR="003B0548" w:rsidRDefault="003B0548" w:rsidP="008008C2">
      <w:pPr>
        <w:widowControl w:val="0"/>
        <w:tabs>
          <w:tab w:val="right" w:pos="9360"/>
        </w:tabs>
        <w:spacing w:after="120"/>
        <w:rPr>
          <w:rFonts w:ascii="Arial" w:eastAsia="Arial" w:hAnsi="Arial" w:cs="Arial"/>
          <w:b/>
        </w:rPr>
      </w:pPr>
      <w:r>
        <w:rPr>
          <w:rFonts w:ascii="Arial" w:eastAsia="Arial" w:hAnsi="Arial" w:cs="Arial"/>
          <w:b/>
        </w:rPr>
        <w:t xml:space="preserve">THE COMMISSIONER FOR THE </w:t>
      </w:r>
    </w:p>
    <w:p w:rsidR="00CB5FE1" w:rsidRDefault="003B0548" w:rsidP="008008C2">
      <w:pPr>
        <w:widowControl w:val="0"/>
        <w:tabs>
          <w:tab w:val="right" w:pos="9360"/>
        </w:tabs>
        <w:spacing w:after="120"/>
        <w:rPr>
          <w:rFonts w:ascii="Arial" w:eastAsia="Arial" w:hAnsi="Arial" w:cs="Arial"/>
          <w:b/>
        </w:rPr>
      </w:pPr>
      <w:r>
        <w:rPr>
          <w:rFonts w:ascii="Arial" w:eastAsia="Arial" w:hAnsi="Arial" w:cs="Arial"/>
          <w:b/>
        </w:rPr>
        <w:t xml:space="preserve">SOUTH AFRICAN REVENUE SERVICE </w:t>
      </w:r>
      <w:r>
        <w:rPr>
          <w:rFonts w:ascii="Arial" w:eastAsia="Arial" w:hAnsi="Arial" w:cs="Arial"/>
          <w:b/>
        </w:rPr>
        <w:tab/>
      </w:r>
      <w:r w:rsidR="005005D6">
        <w:rPr>
          <w:rFonts w:ascii="Arial" w:eastAsia="Arial" w:hAnsi="Arial" w:cs="Arial"/>
          <w:b/>
        </w:rPr>
        <w:t>APPELLANT</w:t>
      </w:r>
    </w:p>
    <w:p w:rsidR="00CB5FE1" w:rsidRDefault="00CB5FE1">
      <w:pPr>
        <w:widowControl w:val="0"/>
        <w:tabs>
          <w:tab w:val="right" w:pos="9360"/>
        </w:tabs>
        <w:rPr>
          <w:rFonts w:ascii="Arial" w:eastAsia="Arial" w:hAnsi="Arial" w:cs="Arial"/>
          <w:b/>
        </w:rPr>
      </w:pPr>
    </w:p>
    <w:p w:rsidR="00CB5FE1" w:rsidRDefault="00083808">
      <w:pPr>
        <w:widowControl w:val="0"/>
        <w:rPr>
          <w:rFonts w:ascii="Arial" w:eastAsia="Arial" w:hAnsi="Arial" w:cs="Arial"/>
        </w:rPr>
      </w:pPr>
      <w:r>
        <w:rPr>
          <w:rFonts w:ascii="Arial" w:eastAsia="Arial" w:hAnsi="Arial" w:cs="Arial"/>
        </w:rPr>
        <w:t>a</w:t>
      </w:r>
      <w:r w:rsidR="005005D6">
        <w:rPr>
          <w:rFonts w:ascii="Arial" w:eastAsia="Arial" w:hAnsi="Arial" w:cs="Arial"/>
        </w:rPr>
        <w:t>nd</w:t>
      </w:r>
    </w:p>
    <w:p w:rsidR="00083808" w:rsidRDefault="00083808">
      <w:pPr>
        <w:widowControl w:val="0"/>
        <w:rPr>
          <w:rFonts w:ascii="Arial" w:eastAsia="Arial" w:hAnsi="Arial" w:cs="Arial"/>
        </w:rPr>
      </w:pPr>
    </w:p>
    <w:p w:rsidR="00CB5FE1" w:rsidRDefault="003B0548" w:rsidP="008008C2">
      <w:pPr>
        <w:widowControl w:val="0"/>
        <w:tabs>
          <w:tab w:val="right" w:pos="9360"/>
        </w:tabs>
        <w:spacing w:after="120"/>
        <w:rPr>
          <w:rFonts w:ascii="Arial" w:eastAsia="Arial" w:hAnsi="Arial" w:cs="Arial"/>
          <w:b/>
        </w:rPr>
      </w:pPr>
      <w:r>
        <w:rPr>
          <w:rFonts w:ascii="Arial" w:eastAsia="Arial" w:hAnsi="Arial" w:cs="Arial"/>
          <w:b/>
        </w:rPr>
        <w:t xml:space="preserve">RAPPA RESOURCES (PTY) LTD </w:t>
      </w:r>
      <w:r>
        <w:rPr>
          <w:rFonts w:ascii="Arial" w:eastAsia="Arial" w:hAnsi="Arial" w:cs="Arial"/>
          <w:b/>
        </w:rPr>
        <w:tab/>
      </w:r>
      <w:r w:rsidR="005005D6">
        <w:rPr>
          <w:rFonts w:ascii="Arial" w:eastAsia="Arial" w:hAnsi="Arial" w:cs="Arial"/>
          <w:b/>
        </w:rPr>
        <w:t>RESPONDENT</w:t>
      </w:r>
    </w:p>
    <w:p w:rsidR="00CB5FE1" w:rsidRDefault="00CB5FE1">
      <w:pPr>
        <w:widowControl w:val="0"/>
        <w:tabs>
          <w:tab w:val="right" w:pos="9360"/>
        </w:tabs>
        <w:rPr>
          <w:rFonts w:ascii="Arial" w:eastAsia="Arial" w:hAnsi="Arial" w:cs="Arial"/>
          <w:i/>
        </w:rPr>
      </w:pPr>
    </w:p>
    <w:p w:rsidR="00CB5FE1" w:rsidRDefault="005005D6" w:rsidP="008008C2">
      <w:pPr>
        <w:ind w:left="2160" w:hanging="2160"/>
        <w:rPr>
          <w:rFonts w:ascii="Arial" w:eastAsia="Arial" w:hAnsi="Arial" w:cs="Arial"/>
          <w:b/>
        </w:rPr>
      </w:pPr>
      <w:r>
        <w:rPr>
          <w:rFonts w:ascii="Arial" w:eastAsia="Arial" w:hAnsi="Arial" w:cs="Arial"/>
          <w:b/>
        </w:rPr>
        <w:t>Neutral citation:</w:t>
      </w:r>
      <w:r>
        <w:rPr>
          <w:rFonts w:ascii="Arial" w:eastAsia="Arial" w:hAnsi="Arial" w:cs="Arial"/>
          <w:b/>
        </w:rPr>
        <w:tab/>
      </w:r>
      <w:r w:rsidR="003B0548">
        <w:rPr>
          <w:rFonts w:ascii="Arial" w:eastAsia="Arial" w:hAnsi="Arial" w:cs="Arial"/>
          <w:i/>
        </w:rPr>
        <w:t>Commissioner for the S</w:t>
      </w:r>
      <w:r w:rsidR="0025623D">
        <w:rPr>
          <w:rFonts w:ascii="Arial" w:eastAsia="Arial" w:hAnsi="Arial" w:cs="Arial"/>
          <w:i/>
        </w:rPr>
        <w:t xml:space="preserve">outh African Revenue Service </w:t>
      </w:r>
      <w:r w:rsidR="0025623D" w:rsidRPr="000B5D74">
        <w:rPr>
          <w:rFonts w:ascii="Arial" w:eastAsia="Arial" w:hAnsi="Arial" w:cs="Arial"/>
          <w:i/>
        </w:rPr>
        <w:t>v</w:t>
      </w:r>
      <w:r w:rsidR="003B0548">
        <w:rPr>
          <w:rFonts w:ascii="Arial" w:eastAsia="Arial" w:hAnsi="Arial" w:cs="Arial"/>
          <w:i/>
        </w:rPr>
        <w:t xml:space="preserve"> Rappa Resources (Pty) Ltd</w:t>
      </w:r>
      <w:r>
        <w:rPr>
          <w:rFonts w:ascii="Arial" w:eastAsia="Arial" w:hAnsi="Arial" w:cs="Arial"/>
          <w:i/>
        </w:rPr>
        <w:t xml:space="preserve"> </w:t>
      </w:r>
      <w:r w:rsidR="003B0548">
        <w:rPr>
          <w:rFonts w:ascii="Arial" w:eastAsia="Arial" w:hAnsi="Arial" w:cs="Arial"/>
        </w:rPr>
        <w:t>(Case no 1205</w:t>
      </w:r>
      <w:r w:rsidR="00CA3A36">
        <w:rPr>
          <w:rFonts w:ascii="Arial" w:eastAsia="Arial" w:hAnsi="Arial" w:cs="Arial"/>
        </w:rPr>
        <w:t>/2021) [2023</w:t>
      </w:r>
      <w:r>
        <w:rPr>
          <w:rFonts w:ascii="Arial" w:eastAsia="Arial" w:hAnsi="Arial" w:cs="Arial"/>
        </w:rPr>
        <w:t xml:space="preserve">] </w:t>
      </w:r>
      <w:r w:rsidRPr="00BC1FC8">
        <w:rPr>
          <w:rFonts w:ascii="Arial" w:eastAsia="Arial" w:hAnsi="Arial" w:cs="Arial"/>
        </w:rPr>
        <w:t xml:space="preserve">ZASCA </w:t>
      </w:r>
      <w:r w:rsidR="00BC1FC8" w:rsidRPr="00BC1FC8">
        <w:rPr>
          <w:rFonts w:ascii="Arial" w:eastAsia="Arial" w:hAnsi="Arial" w:cs="Arial"/>
        </w:rPr>
        <w:t>28</w:t>
      </w:r>
      <w:r>
        <w:rPr>
          <w:rFonts w:ascii="Arial" w:eastAsia="Arial" w:hAnsi="Arial" w:cs="Arial"/>
        </w:rPr>
        <w:t xml:space="preserve"> </w:t>
      </w:r>
      <w:r w:rsidR="00BC1FC8" w:rsidRPr="00BC1FC8">
        <w:rPr>
          <w:rFonts w:ascii="Arial" w:eastAsia="Arial" w:hAnsi="Arial" w:cs="Arial"/>
        </w:rPr>
        <w:t>(</w:t>
      </w:r>
      <w:r w:rsidR="001E0D88" w:rsidRPr="00BC1FC8">
        <w:rPr>
          <w:rFonts w:ascii="Arial" w:eastAsia="Arial" w:hAnsi="Arial" w:cs="Arial"/>
        </w:rPr>
        <w:t>24</w:t>
      </w:r>
      <w:r w:rsidR="001E0D88">
        <w:rPr>
          <w:rFonts w:ascii="Arial" w:eastAsia="Arial" w:hAnsi="Arial" w:cs="Arial"/>
        </w:rPr>
        <w:t> </w:t>
      </w:r>
      <w:r w:rsidR="001E0D88" w:rsidRPr="00BC1FC8">
        <w:rPr>
          <w:rFonts w:ascii="Arial" w:eastAsia="Arial" w:hAnsi="Arial" w:cs="Arial"/>
        </w:rPr>
        <w:t>March</w:t>
      </w:r>
      <w:r w:rsidR="00BC1FC8" w:rsidRPr="00BC1FC8">
        <w:rPr>
          <w:rFonts w:ascii="Arial" w:eastAsia="Arial" w:hAnsi="Arial" w:cs="Arial"/>
        </w:rPr>
        <w:t xml:space="preserve"> </w:t>
      </w:r>
      <w:r w:rsidRPr="00BC1FC8">
        <w:rPr>
          <w:rFonts w:ascii="Arial" w:eastAsia="Arial" w:hAnsi="Arial" w:cs="Arial"/>
        </w:rPr>
        <w:t>202</w:t>
      </w:r>
      <w:r w:rsidR="003B0548" w:rsidRPr="00BC1FC8">
        <w:rPr>
          <w:rFonts w:ascii="Arial" w:eastAsia="Arial" w:hAnsi="Arial" w:cs="Arial"/>
        </w:rPr>
        <w:t>3</w:t>
      </w:r>
      <w:r w:rsidRPr="00BC1FC8">
        <w:rPr>
          <w:rFonts w:ascii="Arial" w:eastAsia="Arial" w:hAnsi="Arial" w:cs="Arial"/>
        </w:rPr>
        <w:t>)</w:t>
      </w:r>
    </w:p>
    <w:p w:rsidR="00CB5FE1" w:rsidRDefault="005005D6" w:rsidP="008008C2">
      <w:pPr>
        <w:ind w:left="1440" w:hanging="1440"/>
        <w:rPr>
          <w:rFonts w:ascii="Arial" w:eastAsia="Arial" w:hAnsi="Arial" w:cs="Arial"/>
          <w:b/>
        </w:rPr>
      </w:pPr>
      <w:r>
        <w:rPr>
          <w:rFonts w:ascii="Arial" w:eastAsia="Arial" w:hAnsi="Arial" w:cs="Arial"/>
          <w:b/>
        </w:rPr>
        <w:t>Coram:</w:t>
      </w:r>
      <w:r w:rsidR="003B0548">
        <w:rPr>
          <w:rFonts w:ascii="Arial" w:eastAsia="Arial" w:hAnsi="Arial" w:cs="Arial"/>
        </w:rPr>
        <w:tab/>
        <w:t>PONNAN, MOLEMELA</w:t>
      </w:r>
      <w:r w:rsidR="001A7734">
        <w:rPr>
          <w:rFonts w:ascii="Arial" w:eastAsia="Arial" w:hAnsi="Arial" w:cs="Arial"/>
        </w:rPr>
        <w:t xml:space="preserve">, GORVEN </w:t>
      </w:r>
      <w:r w:rsidR="003B0548">
        <w:rPr>
          <w:rFonts w:ascii="Arial" w:eastAsia="Arial" w:hAnsi="Arial" w:cs="Arial"/>
        </w:rPr>
        <w:t xml:space="preserve">and MEYER </w:t>
      </w:r>
      <w:r w:rsidR="001A7734">
        <w:rPr>
          <w:rFonts w:ascii="Arial" w:eastAsia="Arial" w:hAnsi="Arial" w:cs="Arial"/>
        </w:rPr>
        <w:t xml:space="preserve">JJA </w:t>
      </w:r>
      <w:r w:rsidR="003B0548">
        <w:rPr>
          <w:rFonts w:ascii="Arial" w:eastAsia="Arial" w:hAnsi="Arial" w:cs="Arial"/>
        </w:rPr>
        <w:t>and MALI</w:t>
      </w:r>
      <w:r w:rsidR="001A7734">
        <w:rPr>
          <w:rFonts w:ascii="Arial" w:eastAsia="Arial" w:hAnsi="Arial" w:cs="Arial"/>
        </w:rPr>
        <w:t xml:space="preserve"> A</w:t>
      </w:r>
      <w:r>
        <w:rPr>
          <w:rFonts w:ascii="Arial" w:eastAsia="Arial" w:hAnsi="Arial" w:cs="Arial"/>
        </w:rPr>
        <w:t>JA</w:t>
      </w:r>
    </w:p>
    <w:p w:rsidR="00CB5FE1" w:rsidRDefault="005005D6" w:rsidP="008008C2">
      <w:pPr>
        <w:jc w:val="left"/>
        <w:rPr>
          <w:rFonts w:ascii="Arial" w:eastAsia="Arial" w:hAnsi="Arial" w:cs="Arial"/>
          <w:b/>
        </w:rPr>
      </w:pPr>
      <w:r>
        <w:rPr>
          <w:rFonts w:ascii="Arial" w:eastAsia="Arial" w:hAnsi="Arial" w:cs="Arial"/>
          <w:b/>
        </w:rPr>
        <w:t>Heard</w:t>
      </w:r>
      <w:r w:rsidR="003B0548">
        <w:rPr>
          <w:rFonts w:ascii="Arial" w:eastAsia="Arial" w:hAnsi="Arial" w:cs="Arial"/>
        </w:rPr>
        <w:t>:</w:t>
      </w:r>
      <w:r w:rsidR="003B0548">
        <w:rPr>
          <w:rFonts w:ascii="Arial" w:eastAsia="Arial" w:hAnsi="Arial" w:cs="Arial"/>
        </w:rPr>
        <w:tab/>
        <w:t>23 February 2023</w:t>
      </w:r>
    </w:p>
    <w:p w:rsidR="00CB5FE1" w:rsidRPr="005D07C6" w:rsidRDefault="005005D6" w:rsidP="008F027C">
      <w:pPr>
        <w:rPr>
          <w:rFonts w:ascii="Arial" w:eastAsia="Arial" w:hAnsi="Arial" w:cs="Arial"/>
          <w:b/>
        </w:rPr>
      </w:pPr>
      <w:r w:rsidRPr="005D07C6">
        <w:rPr>
          <w:rFonts w:ascii="Arial" w:eastAsia="Arial" w:hAnsi="Arial" w:cs="Arial"/>
          <w:b/>
        </w:rPr>
        <w:t>Delivered</w:t>
      </w:r>
      <w:r w:rsidR="003B0548">
        <w:rPr>
          <w:rFonts w:ascii="Arial" w:eastAsia="Arial" w:hAnsi="Arial" w:cs="Arial"/>
        </w:rPr>
        <w:t>:</w:t>
      </w:r>
      <w:r w:rsidR="003B0548">
        <w:rPr>
          <w:rFonts w:ascii="Arial" w:eastAsia="Arial" w:hAnsi="Arial" w:cs="Arial"/>
        </w:rPr>
        <w:tab/>
      </w:r>
      <w:r w:rsidR="00BC1FC8" w:rsidRPr="00BC1FC8">
        <w:rPr>
          <w:rFonts w:ascii="Arial" w:eastAsia="Arial" w:hAnsi="Arial" w:cs="Arial"/>
        </w:rPr>
        <w:t>24 March</w:t>
      </w:r>
      <w:r w:rsidR="003B0548" w:rsidRPr="00BC1FC8">
        <w:rPr>
          <w:rFonts w:ascii="Arial" w:eastAsia="Arial" w:hAnsi="Arial" w:cs="Arial"/>
        </w:rPr>
        <w:t xml:space="preserve"> 2023</w:t>
      </w:r>
    </w:p>
    <w:p w:rsidR="008121E4" w:rsidRPr="006D704B" w:rsidRDefault="005005D6" w:rsidP="008121E4">
      <w:pPr>
        <w:rPr>
          <w:rFonts w:ascii="Arial" w:eastAsia="Arial" w:hAnsi="Arial" w:cs="Arial"/>
        </w:rPr>
      </w:pPr>
      <w:r w:rsidRPr="005D07C6">
        <w:rPr>
          <w:rFonts w:ascii="Arial" w:eastAsia="Arial" w:hAnsi="Arial" w:cs="Arial"/>
          <w:b/>
        </w:rPr>
        <w:t>Summary:</w:t>
      </w:r>
      <w:r w:rsidR="006D704B">
        <w:rPr>
          <w:rFonts w:ascii="Arial" w:eastAsia="Arial" w:hAnsi="Arial" w:cs="Arial"/>
          <w:b/>
        </w:rPr>
        <w:tab/>
      </w:r>
      <w:r w:rsidR="006D704B">
        <w:rPr>
          <w:rFonts w:ascii="Arial" w:eastAsia="Arial" w:hAnsi="Arial" w:cs="Arial"/>
        </w:rPr>
        <w:t>Section</w:t>
      </w:r>
      <w:r w:rsidR="006D704B" w:rsidRPr="006D704B">
        <w:rPr>
          <w:rFonts w:ascii="Arial" w:eastAsia="Arial" w:hAnsi="Arial" w:cs="Arial"/>
        </w:rPr>
        <w:t xml:space="preserve"> 105 </w:t>
      </w:r>
      <w:r w:rsidR="006D704B">
        <w:rPr>
          <w:rFonts w:ascii="Arial" w:eastAsia="Arial" w:hAnsi="Arial" w:cs="Arial"/>
        </w:rPr>
        <w:t xml:space="preserve">of the Tax Administration Act 28 of 2011 – a taxpayer may only dispute an assessment by objection and appeal in terms of ss 104 to 107, unless the high court directs otherwise. Prior to making such a decision the high court has no jurisdiction and cannot make an order compelling delivery of a record in a review. </w:t>
      </w:r>
    </w:p>
    <w:p w:rsidR="00CB5FE1" w:rsidRPr="003A025A" w:rsidRDefault="008121E4" w:rsidP="008121E4">
      <w:pPr>
        <w:rPr>
          <w:rFonts w:eastAsia="Arial"/>
        </w:rPr>
      </w:pPr>
      <w:r>
        <w:rPr>
          <w:rFonts w:eastAsia="Arial"/>
        </w:rPr>
        <w:br w:type="page"/>
      </w:r>
      <w:r>
        <w:rPr>
          <w:rFonts w:ascii="Arial" w:eastAsia="Arial" w:hAnsi="Arial" w:cs="Arial"/>
          <w:b/>
        </w:rPr>
        <w:lastRenderedPageBreak/>
        <w:t>___________________________________________________________________</w:t>
      </w:r>
    </w:p>
    <w:p w:rsidR="008121E4" w:rsidRDefault="008121E4">
      <w:pPr>
        <w:spacing w:line="276" w:lineRule="auto"/>
        <w:jc w:val="center"/>
        <w:rPr>
          <w:rFonts w:ascii="Arial" w:eastAsia="Arial" w:hAnsi="Arial" w:cs="Arial"/>
          <w:b/>
        </w:rPr>
      </w:pPr>
    </w:p>
    <w:p w:rsidR="00CB5FE1" w:rsidRDefault="005005D6">
      <w:pPr>
        <w:spacing w:line="276" w:lineRule="auto"/>
        <w:jc w:val="center"/>
        <w:rPr>
          <w:rFonts w:ascii="Arial" w:eastAsia="Arial" w:hAnsi="Arial" w:cs="Arial"/>
          <w:b/>
        </w:rPr>
      </w:pPr>
      <w:r>
        <w:rPr>
          <w:rFonts w:ascii="Arial" w:eastAsia="Arial" w:hAnsi="Arial" w:cs="Arial"/>
          <w:b/>
        </w:rPr>
        <w:t>ORDER</w:t>
      </w:r>
    </w:p>
    <w:p w:rsidR="00CB5FE1" w:rsidRDefault="005005D6" w:rsidP="008008C2">
      <w:pPr>
        <w:spacing w:line="276" w:lineRule="auto"/>
        <w:rPr>
          <w:rFonts w:ascii="Arial" w:eastAsia="Arial" w:hAnsi="Arial" w:cs="Arial"/>
          <w:b/>
        </w:rPr>
      </w:pPr>
      <w:r>
        <w:rPr>
          <w:rFonts w:ascii="Arial" w:eastAsia="Arial" w:hAnsi="Arial" w:cs="Arial"/>
          <w:b/>
        </w:rPr>
        <w:t>___________________________________________________________________</w:t>
      </w:r>
    </w:p>
    <w:p w:rsidR="00353FA5" w:rsidRPr="00353FA5" w:rsidRDefault="005005D6" w:rsidP="00353FA5">
      <w:pPr>
        <w:rPr>
          <w:rFonts w:ascii="Arial" w:hAnsi="Arial" w:cs="Arial"/>
        </w:rPr>
      </w:pPr>
      <w:r>
        <w:rPr>
          <w:rFonts w:ascii="Arial" w:eastAsia="Arial" w:hAnsi="Arial" w:cs="Arial"/>
          <w:b/>
          <w:color w:val="000000"/>
        </w:rPr>
        <w:t>On appeal from</w:t>
      </w:r>
      <w:r>
        <w:rPr>
          <w:rFonts w:ascii="Arial" w:eastAsia="Arial" w:hAnsi="Arial" w:cs="Arial"/>
          <w:color w:val="000000"/>
        </w:rPr>
        <w:t xml:space="preserve">: </w:t>
      </w:r>
      <w:r w:rsidR="00353FA5" w:rsidRPr="00353FA5">
        <w:rPr>
          <w:rFonts w:ascii="Arial" w:hAnsi="Arial" w:cs="Arial"/>
        </w:rPr>
        <w:t>Gauteng Division of the High Court, Johannesburg (</w:t>
      </w:r>
      <w:r w:rsidR="00944D26">
        <w:rPr>
          <w:rFonts w:ascii="Arial" w:hAnsi="Arial" w:cs="Arial"/>
        </w:rPr>
        <w:t xml:space="preserve">Dippenaar </w:t>
      </w:r>
      <w:r w:rsidR="00353FA5" w:rsidRPr="00353FA5">
        <w:rPr>
          <w:rFonts w:ascii="Arial" w:hAnsi="Arial" w:cs="Arial"/>
        </w:rPr>
        <w:t>J, sitting as court of first instance):</w:t>
      </w:r>
    </w:p>
    <w:p w:rsidR="00353FA5" w:rsidRPr="009E6518" w:rsidRDefault="00944D26" w:rsidP="00353FA5">
      <w:pPr>
        <w:rPr>
          <w:rFonts w:ascii="Arial" w:hAnsi="Arial" w:cs="Arial"/>
        </w:rPr>
      </w:pPr>
      <w:r>
        <w:rPr>
          <w:rFonts w:ascii="Arial" w:hAnsi="Arial" w:cs="Arial"/>
        </w:rPr>
        <w:t xml:space="preserve">1 </w:t>
      </w:r>
      <w:r w:rsidR="00353FA5" w:rsidRPr="009E6518">
        <w:rPr>
          <w:rFonts w:ascii="Arial" w:hAnsi="Arial" w:cs="Arial"/>
        </w:rPr>
        <w:t>The appeal is upheld with costs</w:t>
      </w:r>
      <w:r w:rsidR="00353FA5">
        <w:rPr>
          <w:rFonts w:ascii="Arial" w:hAnsi="Arial" w:cs="Arial"/>
        </w:rPr>
        <w:t>,</w:t>
      </w:r>
      <w:r w:rsidR="00353FA5" w:rsidRPr="009E6518">
        <w:rPr>
          <w:rFonts w:ascii="Arial" w:hAnsi="Arial" w:cs="Arial"/>
        </w:rPr>
        <w:t xml:space="preserve"> including th</w:t>
      </w:r>
      <w:r w:rsidR="00353FA5">
        <w:rPr>
          <w:rFonts w:ascii="Arial" w:hAnsi="Arial" w:cs="Arial"/>
        </w:rPr>
        <w:t>ose</w:t>
      </w:r>
      <w:r w:rsidR="00353FA5" w:rsidRPr="009E6518">
        <w:rPr>
          <w:rFonts w:ascii="Arial" w:hAnsi="Arial" w:cs="Arial"/>
        </w:rPr>
        <w:t xml:space="preserve"> of two counsel.</w:t>
      </w:r>
    </w:p>
    <w:p w:rsidR="00353FA5" w:rsidRDefault="00944D26" w:rsidP="00353FA5">
      <w:pPr>
        <w:rPr>
          <w:rFonts w:ascii="Arial" w:hAnsi="Arial" w:cs="Arial"/>
        </w:rPr>
      </w:pPr>
      <w:r>
        <w:rPr>
          <w:rFonts w:ascii="Arial" w:hAnsi="Arial" w:cs="Arial"/>
        </w:rPr>
        <w:t xml:space="preserve">2 </w:t>
      </w:r>
      <w:r w:rsidR="00353FA5">
        <w:rPr>
          <w:rFonts w:ascii="Arial" w:hAnsi="Arial" w:cs="Arial"/>
        </w:rPr>
        <w:t>The order of the court below is</w:t>
      </w:r>
      <w:r w:rsidR="00353FA5" w:rsidRPr="009E6518">
        <w:rPr>
          <w:rFonts w:ascii="Arial" w:hAnsi="Arial" w:cs="Arial"/>
        </w:rPr>
        <w:t xml:space="preserve"> set aside and replaced with </w:t>
      </w:r>
      <w:r w:rsidR="00353FA5">
        <w:rPr>
          <w:rFonts w:ascii="Arial" w:hAnsi="Arial" w:cs="Arial"/>
        </w:rPr>
        <w:t xml:space="preserve">one dismissing the application </w:t>
      </w:r>
      <w:r w:rsidR="00353FA5" w:rsidRPr="009E6518">
        <w:rPr>
          <w:rFonts w:ascii="Arial" w:hAnsi="Arial" w:cs="Arial"/>
        </w:rPr>
        <w:t>with costs</w:t>
      </w:r>
      <w:r w:rsidR="00353FA5">
        <w:rPr>
          <w:rFonts w:ascii="Arial" w:hAnsi="Arial" w:cs="Arial"/>
        </w:rPr>
        <w:t>,</w:t>
      </w:r>
      <w:r w:rsidR="00353FA5" w:rsidRPr="009E6518">
        <w:rPr>
          <w:rFonts w:ascii="Arial" w:hAnsi="Arial" w:cs="Arial"/>
        </w:rPr>
        <w:t xml:space="preserve"> </w:t>
      </w:r>
      <w:r w:rsidR="005072FA">
        <w:rPr>
          <w:rFonts w:ascii="Arial" w:hAnsi="Arial" w:cs="Arial"/>
        </w:rPr>
        <w:t xml:space="preserve">including those </w:t>
      </w:r>
      <w:r w:rsidR="00353FA5" w:rsidRPr="009E6518">
        <w:rPr>
          <w:rFonts w:ascii="Arial" w:hAnsi="Arial" w:cs="Arial"/>
        </w:rPr>
        <w:t>of two counsel.</w:t>
      </w:r>
    </w:p>
    <w:p w:rsidR="00083808" w:rsidRDefault="00083808">
      <w:pPr>
        <w:pBdr>
          <w:top w:val="nil"/>
          <w:left w:val="nil"/>
          <w:bottom w:val="nil"/>
          <w:right w:val="nil"/>
          <w:between w:val="nil"/>
        </w:pBdr>
        <w:rPr>
          <w:rFonts w:ascii="Arial" w:eastAsia="Arial" w:hAnsi="Arial" w:cs="Arial"/>
          <w:color w:val="000000"/>
        </w:rPr>
      </w:pPr>
    </w:p>
    <w:p w:rsidR="00CB5FE1" w:rsidRDefault="005005D6">
      <w:pPr>
        <w:pBdr>
          <w:top w:val="nil"/>
          <w:left w:val="nil"/>
          <w:bottom w:val="nil"/>
          <w:right w:val="nil"/>
          <w:between w:val="nil"/>
        </w:pBdr>
        <w:spacing w:line="276" w:lineRule="auto"/>
        <w:ind w:left="360" w:hanging="360"/>
        <w:rPr>
          <w:rFonts w:ascii="Arial" w:eastAsia="Arial" w:hAnsi="Arial" w:cs="Arial"/>
          <w:b/>
          <w:color w:val="000000"/>
        </w:rPr>
      </w:pPr>
      <w:r>
        <w:rPr>
          <w:rFonts w:ascii="Arial" w:eastAsia="Arial" w:hAnsi="Arial" w:cs="Arial"/>
          <w:b/>
          <w:color w:val="000000"/>
        </w:rPr>
        <w:t>___________________________________________________________________</w:t>
      </w:r>
    </w:p>
    <w:p w:rsidR="00CB5FE1" w:rsidRDefault="00CB5FE1">
      <w:pPr>
        <w:pBdr>
          <w:top w:val="nil"/>
          <w:left w:val="nil"/>
          <w:bottom w:val="nil"/>
          <w:right w:val="nil"/>
          <w:between w:val="nil"/>
        </w:pBdr>
        <w:spacing w:line="276" w:lineRule="auto"/>
        <w:ind w:left="360" w:hanging="360"/>
        <w:jc w:val="center"/>
        <w:rPr>
          <w:rFonts w:ascii="Arial" w:eastAsia="Arial" w:hAnsi="Arial" w:cs="Arial"/>
          <w:b/>
          <w:color w:val="000000"/>
        </w:rPr>
      </w:pPr>
    </w:p>
    <w:p w:rsidR="00CB5FE1" w:rsidRDefault="005005D6">
      <w:pPr>
        <w:pBdr>
          <w:top w:val="nil"/>
          <w:left w:val="nil"/>
          <w:bottom w:val="nil"/>
          <w:right w:val="nil"/>
          <w:between w:val="nil"/>
        </w:pBdr>
        <w:spacing w:line="276" w:lineRule="auto"/>
        <w:ind w:left="360" w:hanging="360"/>
        <w:jc w:val="center"/>
        <w:rPr>
          <w:rFonts w:ascii="Arial" w:eastAsia="Arial" w:hAnsi="Arial" w:cs="Arial"/>
          <w:b/>
          <w:color w:val="000000"/>
        </w:rPr>
      </w:pPr>
      <w:r>
        <w:rPr>
          <w:rFonts w:ascii="Arial" w:eastAsia="Arial" w:hAnsi="Arial" w:cs="Arial"/>
          <w:b/>
          <w:color w:val="000000"/>
        </w:rPr>
        <w:t>JUDGMENT</w:t>
      </w:r>
    </w:p>
    <w:p w:rsidR="00CB5FE1" w:rsidRDefault="005005D6">
      <w:pPr>
        <w:pBdr>
          <w:top w:val="nil"/>
          <w:left w:val="nil"/>
          <w:bottom w:val="nil"/>
          <w:right w:val="nil"/>
          <w:between w:val="nil"/>
        </w:pBdr>
        <w:ind w:left="360" w:hanging="360"/>
        <w:rPr>
          <w:rFonts w:ascii="Arial" w:eastAsia="Arial" w:hAnsi="Arial" w:cs="Arial"/>
          <w:b/>
          <w:color w:val="000000"/>
        </w:rPr>
      </w:pPr>
      <w:r>
        <w:rPr>
          <w:rFonts w:ascii="Arial" w:eastAsia="Arial" w:hAnsi="Arial" w:cs="Arial"/>
          <w:b/>
          <w:color w:val="000000"/>
        </w:rPr>
        <w:t>___________________________________________________________________</w:t>
      </w:r>
    </w:p>
    <w:p w:rsidR="00CB5FE1" w:rsidRDefault="003B0548" w:rsidP="005D07C6">
      <w:pPr>
        <w:rPr>
          <w:rFonts w:ascii="Arial" w:eastAsia="Arial" w:hAnsi="Arial" w:cs="Arial"/>
          <w:b/>
        </w:rPr>
      </w:pPr>
      <w:r>
        <w:rPr>
          <w:rFonts w:ascii="Arial" w:eastAsia="Arial" w:hAnsi="Arial" w:cs="Arial"/>
          <w:b/>
        </w:rPr>
        <w:t xml:space="preserve">Ponnan </w:t>
      </w:r>
      <w:r w:rsidR="00807F69">
        <w:rPr>
          <w:rFonts w:ascii="Arial" w:eastAsia="Arial" w:hAnsi="Arial" w:cs="Arial"/>
          <w:b/>
        </w:rPr>
        <w:t xml:space="preserve">ADP </w:t>
      </w:r>
      <w:r w:rsidR="00BC1FC8">
        <w:rPr>
          <w:rFonts w:ascii="Arial" w:eastAsia="Arial" w:hAnsi="Arial" w:cs="Arial"/>
          <w:b/>
        </w:rPr>
        <w:t xml:space="preserve">(Molemela, Gorven and Meyer JJA and Mali AJA </w:t>
      </w:r>
      <w:r w:rsidR="005005D6" w:rsidRPr="005D07C6">
        <w:rPr>
          <w:rFonts w:ascii="Arial" w:eastAsia="Arial" w:hAnsi="Arial" w:cs="Arial"/>
          <w:b/>
        </w:rPr>
        <w:t>concurring)</w:t>
      </w:r>
    </w:p>
    <w:p w:rsidR="00AF49F2" w:rsidRPr="005D07C6" w:rsidRDefault="00AF49F2" w:rsidP="005D07C6">
      <w:pPr>
        <w:rPr>
          <w:rFonts w:ascii="Arial" w:eastAsia="Arial" w:hAnsi="Arial" w:cs="Arial"/>
          <w:u w:val="single"/>
        </w:rPr>
      </w:pPr>
    </w:p>
    <w:p w:rsidR="003A13AD" w:rsidRDefault="005005D6" w:rsidP="003A13AD">
      <w:pPr>
        <w:pStyle w:val="ListParagraph"/>
        <w:ind w:left="0"/>
        <w:rPr>
          <w:rFonts w:ascii="Arial" w:hAnsi="Arial" w:cs="Arial"/>
        </w:rPr>
      </w:pPr>
      <w:r w:rsidRPr="005D07C6">
        <w:rPr>
          <w:rFonts w:ascii="Arial" w:eastAsia="Arial" w:hAnsi="Arial" w:cs="Arial"/>
        </w:rPr>
        <w:t>[1]</w:t>
      </w:r>
      <w:r w:rsidR="003A13AD">
        <w:rPr>
          <w:rFonts w:ascii="Arial" w:eastAsia="Arial" w:hAnsi="Arial" w:cs="Arial"/>
        </w:rPr>
        <w:tab/>
      </w:r>
      <w:r w:rsidR="003A13AD">
        <w:rPr>
          <w:rFonts w:ascii="Arial" w:hAnsi="Arial" w:cs="Arial"/>
        </w:rPr>
        <w:t>O</w:t>
      </w:r>
      <w:r w:rsidR="003A13AD" w:rsidRPr="00A5404B">
        <w:rPr>
          <w:rFonts w:ascii="Arial" w:hAnsi="Arial" w:cs="Arial"/>
        </w:rPr>
        <w:t>n 29 March 2021</w:t>
      </w:r>
      <w:r w:rsidR="003A13AD">
        <w:rPr>
          <w:rFonts w:ascii="Arial" w:hAnsi="Arial" w:cs="Arial"/>
        </w:rPr>
        <w:t>, t</w:t>
      </w:r>
      <w:r w:rsidR="003A13AD" w:rsidRPr="00A5404B">
        <w:rPr>
          <w:rFonts w:ascii="Arial" w:hAnsi="Arial" w:cs="Arial"/>
        </w:rPr>
        <w:t>he appellant</w:t>
      </w:r>
      <w:r w:rsidR="003A13AD">
        <w:rPr>
          <w:rFonts w:ascii="Arial" w:hAnsi="Arial" w:cs="Arial"/>
        </w:rPr>
        <w:t>, the Commissioner for the South African Revenue Service</w:t>
      </w:r>
      <w:r w:rsidR="003A13AD" w:rsidRPr="00A5404B">
        <w:rPr>
          <w:rFonts w:ascii="Arial" w:hAnsi="Arial" w:cs="Arial"/>
        </w:rPr>
        <w:t xml:space="preserve"> (SARS)</w:t>
      </w:r>
      <w:r w:rsidR="003A13AD">
        <w:rPr>
          <w:rFonts w:ascii="Arial" w:hAnsi="Arial" w:cs="Arial"/>
        </w:rPr>
        <w:t>,</w:t>
      </w:r>
      <w:r w:rsidR="003A13AD" w:rsidRPr="00A5404B">
        <w:rPr>
          <w:rFonts w:ascii="Arial" w:hAnsi="Arial" w:cs="Arial"/>
        </w:rPr>
        <w:t xml:space="preserve"> issued assessments </w:t>
      </w:r>
      <w:r w:rsidR="0030063A" w:rsidRPr="00A5404B">
        <w:rPr>
          <w:rFonts w:ascii="Arial" w:hAnsi="Arial" w:cs="Arial"/>
        </w:rPr>
        <w:t>to the respondent</w:t>
      </w:r>
      <w:r w:rsidR="0030063A">
        <w:rPr>
          <w:rFonts w:ascii="Arial" w:hAnsi="Arial" w:cs="Arial"/>
        </w:rPr>
        <w:t>,</w:t>
      </w:r>
      <w:r w:rsidR="0030063A" w:rsidRPr="00A5404B">
        <w:rPr>
          <w:rFonts w:ascii="Arial" w:hAnsi="Arial" w:cs="Arial"/>
        </w:rPr>
        <w:t xml:space="preserve"> R</w:t>
      </w:r>
      <w:r w:rsidR="0030063A">
        <w:rPr>
          <w:rFonts w:ascii="Arial" w:hAnsi="Arial" w:cs="Arial"/>
        </w:rPr>
        <w:t>appa Resources (Pty) Ltd</w:t>
      </w:r>
      <w:r w:rsidR="0030063A" w:rsidRPr="00A5404B">
        <w:rPr>
          <w:rFonts w:ascii="Arial" w:hAnsi="Arial" w:cs="Arial"/>
        </w:rPr>
        <w:t xml:space="preserve"> </w:t>
      </w:r>
      <w:r w:rsidR="0030063A">
        <w:rPr>
          <w:rFonts w:ascii="Arial" w:hAnsi="Arial" w:cs="Arial"/>
        </w:rPr>
        <w:t>(Rappa)</w:t>
      </w:r>
      <w:r w:rsidR="001C1610">
        <w:rPr>
          <w:rFonts w:ascii="Arial" w:hAnsi="Arial" w:cs="Arial"/>
        </w:rPr>
        <w:t>,</w:t>
      </w:r>
      <w:r w:rsidR="0030063A">
        <w:rPr>
          <w:rFonts w:ascii="Arial" w:hAnsi="Arial" w:cs="Arial"/>
        </w:rPr>
        <w:t xml:space="preserve"> </w:t>
      </w:r>
      <w:r w:rsidR="003A13AD" w:rsidRPr="00A5404B">
        <w:rPr>
          <w:rFonts w:ascii="Arial" w:hAnsi="Arial" w:cs="Arial"/>
        </w:rPr>
        <w:t>for the</w:t>
      </w:r>
      <w:r w:rsidR="003A13AD">
        <w:rPr>
          <w:rFonts w:ascii="Arial" w:hAnsi="Arial" w:cs="Arial"/>
        </w:rPr>
        <w:t xml:space="preserve"> payment of </w:t>
      </w:r>
      <w:r w:rsidR="0030063A">
        <w:rPr>
          <w:rFonts w:ascii="Arial" w:hAnsi="Arial" w:cs="Arial"/>
        </w:rPr>
        <w:t>Value Added Tax (</w:t>
      </w:r>
      <w:r w:rsidR="003A13AD">
        <w:rPr>
          <w:rFonts w:ascii="Arial" w:hAnsi="Arial" w:cs="Arial"/>
        </w:rPr>
        <w:t>VAT</w:t>
      </w:r>
      <w:r w:rsidR="0030063A">
        <w:rPr>
          <w:rFonts w:ascii="Arial" w:hAnsi="Arial" w:cs="Arial"/>
        </w:rPr>
        <w:t>)</w:t>
      </w:r>
      <w:r w:rsidR="003A13AD">
        <w:rPr>
          <w:rFonts w:ascii="Arial" w:hAnsi="Arial" w:cs="Arial"/>
        </w:rPr>
        <w:t>, penalties and i</w:t>
      </w:r>
      <w:r w:rsidR="003A13AD" w:rsidRPr="00A5404B">
        <w:rPr>
          <w:rFonts w:ascii="Arial" w:hAnsi="Arial" w:cs="Arial"/>
        </w:rPr>
        <w:t>nterest.</w:t>
      </w:r>
      <w:r w:rsidR="003A13AD">
        <w:rPr>
          <w:rFonts w:ascii="Arial" w:hAnsi="Arial" w:cs="Arial"/>
        </w:rPr>
        <w:t xml:space="preserve"> </w:t>
      </w:r>
      <w:r w:rsidR="003A13AD" w:rsidRPr="006C65CA">
        <w:rPr>
          <w:rFonts w:ascii="Arial" w:hAnsi="Arial" w:cs="Arial"/>
        </w:rPr>
        <w:t xml:space="preserve">Rappa was advised ‘should [it] wish to lodge an objection against the assessments the objection must comply with all of the requirements of section 104 of the Tax Administration Act’. </w:t>
      </w:r>
    </w:p>
    <w:p w:rsidR="003A13AD" w:rsidRDefault="003A13AD" w:rsidP="003A13AD">
      <w:pPr>
        <w:pStyle w:val="ListParagraph"/>
        <w:ind w:left="0"/>
        <w:rPr>
          <w:rFonts w:ascii="Arial" w:hAnsi="Arial" w:cs="Arial"/>
        </w:rPr>
      </w:pPr>
    </w:p>
    <w:p w:rsidR="003A13AD" w:rsidRDefault="003A13AD" w:rsidP="003A13AD">
      <w:pPr>
        <w:pStyle w:val="ListParagraph"/>
        <w:ind w:left="0"/>
        <w:rPr>
          <w:rFonts w:ascii="Arial" w:hAnsi="Arial" w:cs="Arial"/>
        </w:rPr>
      </w:pPr>
      <w:r>
        <w:rPr>
          <w:rFonts w:ascii="Arial" w:hAnsi="Arial" w:cs="Arial"/>
        </w:rPr>
        <w:t>[2]</w:t>
      </w:r>
      <w:r>
        <w:rPr>
          <w:rFonts w:ascii="Arial" w:hAnsi="Arial" w:cs="Arial"/>
        </w:rPr>
        <w:tab/>
      </w:r>
      <w:r w:rsidRPr="006C65CA">
        <w:rPr>
          <w:rFonts w:ascii="Arial" w:hAnsi="Arial" w:cs="Arial"/>
        </w:rPr>
        <w:t xml:space="preserve">Rappa chose </w:t>
      </w:r>
      <w:r>
        <w:rPr>
          <w:rFonts w:ascii="Arial" w:hAnsi="Arial" w:cs="Arial"/>
        </w:rPr>
        <w:t>instead to launch an urgent application out of</w:t>
      </w:r>
      <w:r w:rsidRPr="006C65CA">
        <w:rPr>
          <w:rFonts w:ascii="Arial" w:hAnsi="Arial" w:cs="Arial"/>
        </w:rPr>
        <w:t xml:space="preserve"> the Gauteng Division of the High Court, Johannesburg (the high court)</w:t>
      </w:r>
      <w:r w:rsidRPr="00EF6E05">
        <w:rPr>
          <w:rFonts w:ascii="Arial" w:hAnsi="Arial" w:cs="Arial"/>
        </w:rPr>
        <w:t xml:space="preserve"> </w:t>
      </w:r>
      <w:r>
        <w:rPr>
          <w:rFonts w:ascii="Arial" w:hAnsi="Arial" w:cs="Arial"/>
        </w:rPr>
        <w:t>on 28 April 2021</w:t>
      </w:r>
      <w:r w:rsidRPr="006C65CA">
        <w:rPr>
          <w:rFonts w:ascii="Arial" w:hAnsi="Arial" w:cs="Arial"/>
        </w:rPr>
        <w:t xml:space="preserve"> for </w:t>
      </w:r>
      <w:r>
        <w:rPr>
          <w:rFonts w:ascii="Arial" w:hAnsi="Arial" w:cs="Arial"/>
        </w:rPr>
        <w:t xml:space="preserve">relief in two parts (the review application). Part A is not relevant to the appeal. Under Part B, Rappa sought an order in the following terms:  </w:t>
      </w:r>
    </w:p>
    <w:p w:rsidR="003A13AD" w:rsidRPr="00692B59" w:rsidRDefault="003A13AD" w:rsidP="003A13AD">
      <w:pPr>
        <w:rPr>
          <w:rFonts w:ascii="Arial" w:hAnsi="Arial" w:cs="Arial"/>
          <w:sz w:val="22"/>
          <w:szCs w:val="22"/>
        </w:rPr>
      </w:pPr>
      <w:r w:rsidRPr="00692B59">
        <w:rPr>
          <w:rFonts w:ascii="Arial" w:hAnsi="Arial" w:cs="Arial"/>
          <w:sz w:val="22"/>
          <w:szCs w:val="22"/>
        </w:rPr>
        <w:t>‘1.</w:t>
      </w:r>
      <w:r w:rsidRPr="00692B59">
        <w:rPr>
          <w:rFonts w:ascii="Arial" w:hAnsi="Arial" w:cs="Arial"/>
          <w:sz w:val="22"/>
          <w:szCs w:val="22"/>
        </w:rPr>
        <w:tab/>
        <w:t>Reviewing and setting aside the decision of the Commissioner to issue the Assessments (“the decision”);</w:t>
      </w:r>
    </w:p>
    <w:p w:rsidR="003A13AD" w:rsidRPr="00692B59" w:rsidRDefault="003A13AD" w:rsidP="003A13AD">
      <w:pPr>
        <w:rPr>
          <w:rFonts w:ascii="Arial" w:hAnsi="Arial" w:cs="Arial"/>
          <w:sz w:val="22"/>
          <w:szCs w:val="22"/>
        </w:rPr>
      </w:pPr>
      <w:r w:rsidRPr="00692B59">
        <w:rPr>
          <w:rFonts w:ascii="Arial" w:hAnsi="Arial" w:cs="Arial"/>
          <w:sz w:val="22"/>
          <w:szCs w:val="22"/>
        </w:rPr>
        <w:t>2.</w:t>
      </w:r>
      <w:r w:rsidRPr="00692B59">
        <w:rPr>
          <w:rFonts w:ascii="Arial" w:hAnsi="Arial" w:cs="Arial"/>
          <w:sz w:val="22"/>
          <w:szCs w:val="22"/>
        </w:rPr>
        <w:tab/>
        <w:t>Reviewing and setting aside the Assessments;</w:t>
      </w:r>
    </w:p>
    <w:p w:rsidR="003A13AD" w:rsidRPr="00692B59" w:rsidRDefault="003A13AD" w:rsidP="003A13AD">
      <w:pPr>
        <w:rPr>
          <w:rFonts w:ascii="Arial" w:hAnsi="Arial" w:cs="Arial"/>
          <w:sz w:val="22"/>
          <w:szCs w:val="22"/>
        </w:rPr>
      </w:pPr>
      <w:r w:rsidRPr="00692B59">
        <w:rPr>
          <w:rFonts w:ascii="Arial" w:hAnsi="Arial" w:cs="Arial"/>
          <w:sz w:val="22"/>
          <w:szCs w:val="22"/>
        </w:rPr>
        <w:t>3.</w:t>
      </w:r>
      <w:r w:rsidRPr="00692B59">
        <w:rPr>
          <w:rFonts w:ascii="Arial" w:hAnsi="Arial" w:cs="Arial"/>
          <w:sz w:val="22"/>
          <w:szCs w:val="22"/>
        </w:rPr>
        <w:tab/>
        <w:t>Declaring the decision of the Commissioner to issue the Assessments to be in conflict with the constitutional principle of legality and accordingly unconstitutional, unlawful and invalid.’</w:t>
      </w:r>
    </w:p>
    <w:p w:rsidR="003A13AD" w:rsidRPr="00692B59" w:rsidRDefault="003A13AD" w:rsidP="003A13AD">
      <w:pPr>
        <w:pStyle w:val="ListParagraph"/>
        <w:ind w:left="0"/>
        <w:rPr>
          <w:rFonts w:ascii="Arial" w:hAnsi="Arial" w:cs="Arial"/>
          <w:sz w:val="22"/>
          <w:szCs w:val="22"/>
        </w:rPr>
      </w:pPr>
    </w:p>
    <w:p w:rsidR="003A13AD" w:rsidRPr="00692B59" w:rsidRDefault="003A13AD" w:rsidP="003A13AD">
      <w:pPr>
        <w:pStyle w:val="ListParagraph"/>
        <w:ind w:left="0"/>
        <w:rPr>
          <w:rFonts w:ascii="Arial" w:hAnsi="Arial" w:cs="Arial"/>
        </w:rPr>
      </w:pPr>
      <w:r w:rsidRPr="00692B59">
        <w:rPr>
          <w:rFonts w:ascii="Arial" w:hAnsi="Arial" w:cs="Arial"/>
          <w:sz w:val="22"/>
          <w:szCs w:val="22"/>
        </w:rPr>
        <w:t>[3]</w:t>
      </w:r>
      <w:r w:rsidRPr="00692B59">
        <w:rPr>
          <w:rFonts w:ascii="Arial" w:hAnsi="Arial" w:cs="Arial"/>
          <w:sz w:val="22"/>
          <w:szCs w:val="22"/>
        </w:rPr>
        <w:tab/>
      </w:r>
      <w:r w:rsidRPr="00692B59">
        <w:rPr>
          <w:rFonts w:ascii="Arial" w:hAnsi="Arial" w:cs="Arial"/>
        </w:rPr>
        <w:t>Rappa also demanded that SARS disclose the record of its decision under review in terms of Uniform rule 53(1)</w:t>
      </w:r>
      <w:r w:rsidRPr="00CC7F37">
        <w:rPr>
          <w:rFonts w:ascii="Arial" w:hAnsi="Arial" w:cs="Arial"/>
          <w:i/>
          <w:iCs/>
        </w:rPr>
        <w:t>(b)</w:t>
      </w:r>
      <w:r w:rsidRPr="00692B59">
        <w:rPr>
          <w:rFonts w:ascii="Arial" w:hAnsi="Arial" w:cs="Arial"/>
        </w:rPr>
        <w:t xml:space="preserve">. When SARS refused, Rappa launched an </w:t>
      </w:r>
      <w:r w:rsidRPr="00692B59">
        <w:rPr>
          <w:rFonts w:ascii="Arial" w:hAnsi="Arial" w:cs="Arial"/>
        </w:rPr>
        <w:lastRenderedPageBreak/>
        <w:t xml:space="preserve">application on 3 June 2021 in terms of Uniform rule 30A for an order compelling SARS to do so (the compelling application). In answer to both applications, SARS denied that Rappa’s application for review was competent because it had not been sanctioned by the high court in terms of s 105 of the Tax Administration Act 28 of 2011 (the </w:t>
      </w:r>
      <w:r w:rsidRPr="00692B59">
        <w:rPr>
          <w:rFonts w:ascii="Arial" w:hAnsi="Arial" w:cs="Arial"/>
          <w:iCs/>
        </w:rPr>
        <w:t>TAA</w:t>
      </w:r>
      <w:r w:rsidR="0030063A" w:rsidRPr="00692B59">
        <w:rPr>
          <w:rFonts w:ascii="Arial" w:hAnsi="Arial" w:cs="Arial"/>
        </w:rPr>
        <w:t>).</w:t>
      </w:r>
      <w:r w:rsidRPr="00692B59">
        <w:rPr>
          <w:rFonts w:ascii="Arial" w:hAnsi="Arial" w:cs="Arial"/>
        </w:rPr>
        <w:t xml:space="preserve"> </w:t>
      </w:r>
      <w:r w:rsidR="001C1610" w:rsidRPr="00692B59">
        <w:rPr>
          <w:rFonts w:ascii="Arial" w:hAnsi="Arial" w:cs="Arial"/>
        </w:rPr>
        <w:t>That section provides</w:t>
      </w:r>
      <w:r w:rsidRPr="00692B59">
        <w:rPr>
          <w:rFonts w:ascii="Arial" w:hAnsi="Arial" w:cs="Arial"/>
        </w:rPr>
        <w:t>:</w:t>
      </w:r>
    </w:p>
    <w:p w:rsidR="003A13AD" w:rsidRPr="00692B59" w:rsidRDefault="003A13AD" w:rsidP="003A13AD">
      <w:pPr>
        <w:rPr>
          <w:rFonts w:ascii="Arial" w:hAnsi="Arial" w:cs="Arial"/>
          <w:sz w:val="22"/>
          <w:szCs w:val="22"/>
        </w:rPr>
      </w:pPr>
      <w:r w:rsidRPr="00692B59">
        <w:rPr>
          <w:rFonts w:ascii="Arial" w:hAnsi="Arial" w:cs="Arial"/>
          <w:sz w:val="22"/>
          <w:szCs w:val="22"/>
        </w:rPr>
        <w:t>‘A taxpayer may only dispute an assessment or “decision” as described in section 104 in proceedings under this Chapter, unless a High Court otherwise directs.’</w:t>
      </w:r>
    </w:p>
    <w:p w:rsidR="003A13AD" w:rsidRDefault="003A13AD" w:rsidP="003A13AD">
      <w:pPr>
        <w:pStyle w:val="ListParagraph"/>
        <w:ind w:left="0"/>
        <w:rPr>
          <w:rFonts w:ascii="Arial" w:hAnsi="Arial" w:cs="Arial"/>
        </w:rPr>
      </w:pPr>
    </w:p>
    <w:p w:rsidR="003A13AD" w:rsidRDefault="003A13AD" w:rsidP="003A13AD">
      <w:pPr>
        <w:pStyle w:val="ListParagraph"/>
        <w:ind w:left="0"/>
        <w:rPr>
          <w:rFonts w:ascii="Arial" w:hAnsi="Arial" w:cs="Arial"/>
        </w:rPr>
      </w:pPr>
      <w:r>
        <w:rPr>
          <w:rFonts w:ascii="Arial" w:hAnsi="Arial" w:cs="Arial"/>
        </w:rPr>
        <w:t>[4]</w:t>
      </w:r>
      <w:r>
        <w:rPr>
          <w:rFonts w:ascii="Arial" w:hAnsi="Arial" w:cs="Arial"/>
        </w:rPr>
        <w:tab/>
      </w:r>
      <w:r w:rsidRPr="006C65CA">
        <w:rPr>
          <w:rFonts w:ascii="Arial" w:hAnsi="Arial" w:cs="Arial"/>
        </w:rPr>
        <w:t xml:space="preserve">Rappa did not in either application seek an order in terms of s 105. </w:t>
      </w:r>
      <w:r>
        <w:rPr>
          <w:rFonts w:ascii="Arial" w:hAnsi="Arial" w:cs="Arial"/>
        </w:rPr>
        <w:t xml:space="preserve">It initially took the view that ‘s 105 of the TAA does not stand in the way of the review application’. Rappa later asserted in its replying affidavit filed in the compelling application that: </w:t>
      </w:r>
    </w:p>
    <w:p w:rsidR="00C314BC" w:rsidRPr="00692B59" w:rsidRDefault="003A13AD" w:rsidP="0030063A">
      <w:pPr>
        <w:rPr>
          <w:rFonts w:ascii="Arial" w:hAnsi="Arial" w:cs="Arial"/>
          <w:sz w:val="22"/>
          <w:szCs w:val="22"/>
        </w:rPr>
      </w:pPr>
      <w:r w:rsidRPr="00692B59">
        <w:rPr>
          <w:rFonts w:ascii="Arial" w:hAnsi="Arial" w:cs="Arial"/>
          <w:sz w:val="22"/>
          <w:szCs w:val="22"/>
        </w:rPr>
        <w:t>‘14.5</w:t>
      </w:r>
      <w:r w:rsidRPr="00692B59">
        <w:rPr>
          <w:rFonts w:ascii="Arial" w:hAnsi="Arial" w:cs="Arial"/>
          <w:sz w:val="22"/>
          <w:szCs w:val="22"/>
        </w:rPr>
        <w:tab/>
        <w:t xml:space="preserve">The section, in any event, allows the High Court to direct otherwise. To the extent necessary and to the extent that section 105 of the TAA applies (which is denied), Rappa refers to its amended notice of motion which amendment will be moved at the hearing of this application. A copy of the amended notice of motion is attached hereto as “RA1”. In seeking leave in terms of section 105, Rappa, of course, does not in any way concede that SARS is correct in raising section 105 of the TAA. Rappa does </w:t>
      </w:r>
      <w:r w:rsidR="00F4598C">
        <w:rPr>
          <w:rFonts w:ascii="Arial" w:hAnsi="Arial" w:cs="Arial"/>
          <w:sz w:val="22"/>
          <w:szCs w:val="22"/>
        </w:rPr>
        <w:t>so</w:t>
      </w:r>
      <w:r w:rsidRPr="00692B59">
        <w:rPr>
          <w:rFonts w:ascii="Arial" w:hAnsi="Arial" w:cs="Arial"/>
          <w:sz w:val="22"/>
          <w:szCs w:val="22"/>
        </w:rPr>
        <w:t xml:space="preserve"> simply out of an abundance of caution and in order to avoid the dilatory and obstructive tactics adopted by SARS in delaying the advancement of the review application.’</w:t>
      </w:r>
    </w:p>
    <w:p w:rsidR="003A13AD" w:rsidRPr="00331CA0" w:rsidRDefault="003A13AD" w:rsidP="003A13AD">
      <w:pPr>
        <w:rPr>
          <w:rFonts w:ascii="Arial" w:hAnsi="Arial" w:cs="Arial"/>
        </w:rPr>
      </w:pPr>
    </w:p>
    <w:p w:rsidR="003A13AD" w:rsidRPr="00E5564C" w:rsidRDefault="0030063A" w:rsidP="00807F69">
      <w:pPr>
        <w:pStyle w:val="ListParagraph"/>
        <w:ind w:left="0"/>
        <w:rPr>
          <w:rFonts w:ascii="Arial" w:hAnsi="Arial" w:cs="Arial"/>
          <w:highlight w:val="yellow"/>
        </w:rPr>
      </w:pPr>
      <w:r>
        <w:rPr>
          <w:rFonts w:ascii="Arial" w:hAnsi="Arial" w:cs="Arial"/>
        </w:rPr>
        <w:t>[5</w:t>
      </w:r>
      <w:r w:rsidR="003A13AD">
        <w:rPr>
          <w:rFonts w:ascii="Arial" w:hAnsi="Arial" w:cs="Arial"/>
        </w:rPr>
        <w:t>]</w:t>
      </w:r>
      <w:r w:rsidR="003A13AD">
        <w:rPr>
          <w:rFonts w:ascii="Arial" w:hAnsi="Arial" w:cs="Arial"/>
        </w:rPr>
        <w:tab/>
      </w:r>
      <w:r w:rsidR="00807F69">
        <w:rPr>
          <w:rFonts w:ascii="Arial" w:hAnsi="Arial" w:cs="Arial"/>
        </w:rPr>
        <w:t>Thereafter, in terms of an</w:t>
      </w:r>
      <w:r w:rsidR="00807F69" w:rsidRPr="006C65CA">
        <w:rPr>
          <w:rFonts w:ascii="Arial" w:hAnsi="Arial" w:cs="Arial"/>
        </w:rPr>
        <w:t xml:space="preserve"> </w:t>
      </w:r>
      <w:r w:rsidR="00807F69">
        <w:rPr>
          <w:rFonts w:ascii="Arial" w:hAnsi="Arial" w:cs="Arial"/>
        </w:rPr>
        <w:t>amendment to</w:t>
      </w:r>
      <w:r w:rsidR="00807F69" w:rsidRPr="006C65CA">
        <w:rPr>
          <w:rFonts w:ascii="Arial" w:hAnsi="Arial" w:cs="Arial"/>
        </w:rPr>
        <w:t xml:space="preserve"> its notice of motion in the comp</w:t>
      </w:r>
      <w:r w:rsidR="00807F69">
        <w:rPr>
          <w:rFonts w:ascii="Arial" w:hAnsi="Arial" w:cs="Arial"/>
        </w:rPr>
        <w:t xml:space="preserve">elling application filed on 22 June 2021 Rappa sought an order </w:t>
      </w:r>
      <w:r w:rsidR="00807F69" w:rsidRPr="006C65CA">
        <w:rPr>
          <w:rFonts w:ascii="Arial" w:hAnsi="Arial" w:cs="Arial"/>
        </w:rPr>
        <w:t xml:space="preserve">in terms of s 105 ‘insofar as it might be </w:t>
      </w:r>
      <w:r w:rsidR="00807F69" w:rsidRPr="00807F69">
        <w:rPr>
          <w:rFonts w:ascii="Arial" w:hAnsi="Arial" w:cs="Arial"/>
        </w:rPr>
        <w:t>necessary’</w:t>
      </w:r>
      <w:r w:rsidR="00E5564C">
        <w:rPr>
          <w:rFonts w:ascii="Arial" w:hAnsi="Arial" w:cs="Arial"/>
        </w:rPr>
        <w:t>.</w:t>
      </w:r>
      <w:r w:rsidR="00807F69">
        <w:rPr>
          <w:rFonts w:ascii="Arial" w:hAnsi="Arial" w:cs="Arial"/>
        </w:rPr>
        <w:t xml:space="preserve"> </w:t>
      </w:r>
      <w:r w:rsidR="003A13AD" w:rsidRPr="00E5564C">
        <w:rPr>
          <w:rFonts w:ascii="Arial" w:hAnsi="Arial" w:cs="Arial"/>
        </w:rPr>
        <w:t>The compelling application came before Dippenaar J. According to SARS, Rappa did not press for an order under s 105 because, so it was contended, such an order was not necessary. On 16 September 2021</w:t>
      </w:r>
      <w:r w:rsidRPr="00E5564C">
        <w:rPr>
          <w:rFonts w:ascii="Arial" w:hAnsi="Arial" w:cs="Arial"/>
        </w:rPr>
        <w:t>,</w:t>
      </w:r>
      <w:r w:rsidR="003A13AD" w:rsidRPr="00E5564C">
        <w:rPr>
          <w:rFonts w:ascii="Arial" w:hAnsi="Arial" w:cs="Arial"/>
        </w:rPr>
        <w:t xml:space="preserve"> the learned judge granted an order in the following terms: </w:t>
      </w:r>
    </w:p>
    <w:p w:rsidR="003A13AD" w:rsidRPr="001C1610" w:rsidRDefault="003A13AD" w:rsidP="003A13AD">
      <w:pPr>
        <w:rPr>
          <w:rFonts w:ascii="Arial" w:hAnsi="Arial" w:cs="Arial"/>
          <w:sz w:val="22"/>
          <w:szCs w:val="22"/>
        </w:rPr>
      </w:pPr>
      <w:r w:rsidRPr="001C1610">
        <w:rPr>
          <w:rFonts w:ascii="Arial" w:hAnsi="Arial" w:cs="Arial"/>
          <w:sz w:val="22"/>
          <w:szCs w:val="22"/>
        </w:rPr>
        <w:t>‘[1] The applicant’s notice of motion is amended by the introduction of prayer 1 which provides: “Insofar as might be necessary and to the extent that s105 of the TAA applies, it is directed in terms of that section that this court hears and determines the compelling application and the review application of which it forms part”.</w:t>
      </w:r>
    </w:p>
    <w:p w:rsidR="003A13AD" w:rsidRPr="001C1610" w:rsidRDefault="003A13AD" w:rsidP="003A13AD">
      <w:pPr>
        <w:rPr>
          <w:rFonts w:ascii="Arial" w:hAnsi="Arial" w:cs="Arial"/>
          <w:sz w:val="22"/>
          <w:szCs w:val="22"/>
        </w:rPr>
      </w:pPr>
      <w:r w:rsidRPr="001C1610">
        <w:rPr>
          <w:rFonts w:ascii="Arial" w:hAnsi="Arial" w:cs="Arial"/>
          <w:sz w:val="22"/>
          <w:szCs w:val="22"/>
        </w:rPr>
        <w:t>[2] The relief sought in prayer 1 pertaining to the applicability of s105 of the Tax Administration Act 28 of 2011 and whether a directive should be issued thereunder is postponed sine die, to be enrolled for hearing together with the main review application.</w:t>
      </w:r>
    </w:p>
    <w:p w:rsidR="003A13AD" w:rsidRPr="001C1610" w:rsidRDefault="003A13AD" w:rsidP="003A13AD">
      <w:pPr>
        <w:rPr>
          <w:rFonts w:ascii="Arial" w:hAnsi="Arial" w:cs="Arial"/>
          <w:sz w:val="22"/>
          <w:szCs w:val="22"/>
        </w:rPr>
      </w:pPr>
      <w:r w:rsidRPr="001C1610">
        <w:rPr>
          <w:rFonts w:ascii="Arial" w:hAnsi="Arial" w:cs="Arial"/>
          <w:sz w:val="22"/>
          <w:szCs w:val="22"/>
        </w:rPr>
        <w:t xml:space="preserve">[3] The respondent is directed to comply, within 15 days of granting of this order, with uniform </w:t>
      </w:r>
      <w:r w:rsidRPr="000B5D74">
        <w:rPr>
          <w:rFonts w:ascii="Arial" w:hAnsi="Arial" w:cs="Arial"/>
          <w:sz w:val="22"/>
          <w:szCs w:val="22"/>
        </w:rPr>
        <w:t>r</w:t>
      </w:r>
      <w:r w:rsidR="00CE1FD8" w:rsidRPr="000B5D74">
        <w:rPr>
          <w:rFonts w:ascii="Arial" w:hAnsi="Arial" w:cs="Arial"/>
          <w:sz w:val="22"/>
          <w:szCs w:val="22"/>
        </w:rPr>
        <w:t xml:space="preserve"> </w:t>
      </w:r>
      <w:r w:rsidRPr="000B5D74">
        <w:rPr>
          <w:rFonts w:ascii="Arial" w:hAnsi="Arial" w:cs="Arial"/>
          <w:sz w:val="22"/>
          <w:szCs w:val="22"/>
        </w:rPr>
        <w:t>53(</w:t>
      </w:r>
      <w:r w:rsidRPr="001C1610">
        <w:rPr>
          <w:rFonts w:ascii="Arial" w:hAnsi="Arial" w:cs="Arial"/>
          <w:sz w:val="22"/>
          <w:szCs w:val="22"/>
        </w:rPr>
        <w:t xml:space="preserve">1)(b) by dispatching to the registrar and the applicant, a complete record containing all </w:t>
      </w:r>
      <w:r w:rsidRPr="001C1610">
        <w:rPr>
          <w:rFonts w:ascii="Arial" w:hAnsi="Arial" w:cs="Arial"/>
          <w:sz w:val="22"/>
          <w:szCs w:val="22"/>
        </w:rPr>
        <w:lastRenderedPageBreak/>
        <w:t>documents and all electronic records (including correspondence, contracts, memoranda, advice, recommendations, evaluations, internal deliberations and the like) that relate to the decision which is the subject of the review application under case number 21/21045, together with such reasons as the respondent is by law required or desires to give or make.</w:t>
      </w:r>
    </w:p>
    <w:p w:rsidR="003A13AD" w:rsidRPr="001C1610" w:rsidRDefault="003A13AD" w:rsidP="003A13AD">
      <w:pPr>
        <w:rPr>
          <w:rFonts w:ascii="Arial" w:hAnsi="Arial" w:cs="Arial"/>
          <w:sz w:val="22"/>
          <w:szCs w:val="22"/>
        </w:rPr>
      </w:pPr>
      <w:r w:rsidRPr="001C1610">
        <w:rPr>
          <w:rFonts w:ascii="Arial" w:hAnsi="Arial" w:cs="Arial"/>
          <w:sz w:val="22"/>
          <w:szCs w:val="22"/>
        </w:rPr>
        <w:t>[4] The record must contain, subject to [5] below, (i) all documents that served before the relevant decision maker in relation to the decision to issue the additional assessments made on 29 March 2021; (ii) all reports, submissions, memoranda and other records which were placed before the person or committee who took the decision to issue the additional assessments; (iii) all working papers, schedules, notes, memoranda and minutes prepared by the respondent pertaining to: (a) the matters recorded in the letter of audit findings dated 11 December 2020; and (b) the finalisation of audit letter dated 29 March 2021.</w:t>
      </w:r>
    </w:p>
    <w:p w:rsidR="003A13AD" w:rsidRPr="001C1610" w:rsidRDefault="003A13AD" w:rsidP="003A13AD">
      <w:pPr>
        <w:rPr>
          <w:rFonts w:ascii="Arial" w:hAnsi="Arial" w:cs="Arial"/>
          <w:sz w:val="22"/>
          <w:szCs w:val="22"/>
        </w:rPr>
      </w:pPr>
      <w:r w:rsidRPr="001C1610">
        <w:rPr>
          <w:rFonts w:ascii="Arial" w:hAnsi="Arial" w:cs="Arial"/>
          <w:sz w:val="22"/>
          <w:szCs w:val="22"/>
        </w:rPr>
        <w:t>[5] The respondent is afforded a period of fifteen days to object to the production of any documents forming part of the record and in such objection must provide comprehensive grounds for the basis of such objection.</w:t>
      </w:r>
    </w:p>
    <w:p w:rsidR="003A13AD" w:rsidRPr="001C1610" w:rsidRDefault="003A13AD" w:rsidP="003A13AD">
      <w:pPr>
        <w:rPr>
          <w:rFonts w:ascii="Arial" w:hAnsi="Arial" w:cs="Arial"/>
          <w:sz w:val="22"/>
          <w:szCs w:val="22"/>
        </w:rPr>
      </w:pPr>
      <w:r w:rsidRPr="001C1610">
        <w:rPr>
          <w:rFonts w:ascii="Arial" w:hAnsi="Arial" w:cs="Arial"/>
          <w:sz w:val="22"/>
          <w:szCs w:val="22"/>
        </w:rPr>
        <w:t>[6] In the event that the respondent fails to produce the record or objects to the production of certain documents, and the applicant does not accept the grounds of objection raised, the applicant is authorised to approach the court, on the same papers, duly supplemented, for appropriate relief within 15 days of receipt of the objection.</w:t>
      </w:r>
    </w:p>
    <w:p w:rsidR="003A13AD" w:rsidRPr="001C1610" w:rsidRDefault="003A13AD" w:rsidP="003A13AD">
      <w:pPr>
        <w:rPr>
          <w:rFonts w:ascii="Arial" w:hAnsi="Arial" w:cs="Arial"/>
          <w:sz w:val="22"/>
          <w:szCs w:val="22"/>
        </w:rPr>
      </w:pPr>
      <w:r w:rsidRPr="001C1610">
        <w:rPr>
          <w:rFonts w:ascii="Arial" w:hAnsi="Arial" w:cs="Arial"/>
          <w:sz w:val="22"/>
          <w:szCs w:val="22"/>
        </w:rPr>
        <w:t>[7] The respondent is directed to pay the costs of the application.’</w:t>
      </w:r>
    </w:p>
    <w:p w:rsidR="003A13AD" w:rsidRPr="00331CA0" w:rsidRDefault="003A13AD" w:rsidP="003A13AD">
      <w:pPr>
        <w:rPr>
          <w:rFonts w:ascii="Arial" w:hAnsi="Arial" w:cs="Arial"/>
        </w:rPr>
      </w:pPr>
    </w:p>
    <w:p w:rsidR="003A13AD" w:rsidRPr="00663518" w:rsidRDefault="0030063A" w:rsidP="003A13AD">
      <w:pPr>
        <w:rPr>
          <w:rFonts w:ascii="Arial" w:hAnsi="Arial" w:cs="Arial"/>
        </w:rPr>
      </w:pPr>
      <w:r>
        <w:rPr>
          <w:rFonts w:ascii="Arial" w:hAnsi="Arial" w:cs="Arial"/>
        </w:rPr>
        <w:t>[6</w:t>
      </w:r>
      <w:r w:rsidR="004F6669">
        <w:rPr>
          <w:rFonts w:ascii="Arial" w:hAnsi="Arial" w:cs="Arial"/>
        </w:rPr>
        <w:t>]</w:t>
      </w:r>
      <w:r w:rsidR="004F6669">
        <w:rPr>
          <w:rFonts w:ascii="Arial" w:hAnsi="Arial" w:cs="Arial"/>
        </w:rPr>
        <w:tab/>
      </w:r>
      <w:r w:rsidR="003A13AD" w:rsidRPr="00663518">
        <w:rPr>
          <w:rFonts w:ascii="Arial" w:hAnsi="Arial" w:cs="Arial"/>
        </w:rPr>
        <w:t xml:space="preserve">On 8 November 2021, </w:t>
      </w:r>
      <w:r w:rsidR="001C1610" w:rsidRPr="001C1610">
        <w:rPr>
          <w:rFonts w:ascii="Arial" w:hAnsi="Arial" w:cs="Arial"/>
        </w:rPr>
        <w:t>and in granting</w:t>
      </w:r>
      <w:r w:rsidR="003A13AD" w:rsidRPr="00663518">
        <w:rPr>
          <w:rFonts w:ascii="Arial" w:hAnsi="Arial" w:cs="Arial"/>
        </w:rPr>
        <w:t xml:space="preserve"> leave t</w:t>
      </w:r>
      <w:r w:rsidR="001C1610">
        <w:rPr>
          <w:rFonts w:ascii="Arial" w:hAnsi="Arial" w:cs="Arial"/>
        </w:rPr>
        <w:t>o SARS to appeal to this court, t</w:t>
      </w:r>
      <w:r w:rsidR="007043AF" w:rsidRPr="007043AF">
        <w:rPr>
          <w:rFonts w:ascii="Arial" w:hAnsi="Arial" w:cs="Arial"/>
        </w:rPr>
        <w:t>he high court</w:t>
      </w:r>
      <w:r w:rsidR="001C1610">
        <w:rPr>
          <w:rFonts w:ascii="Arial" w:hAnsi="Arial" w:cs="Arial"/>
        </w:rPr>
        <w:t xml:space="preserve"> ob</w:t>
      </w:r>
      <w:r w:rsidR="007043AF">
        <w:rPr>
          <w:rFonts w:ascii="Arial" w:hAnsi="Arial" w:cs="Arial"/>
        </w:rPr>
        <w:t>served</w:t>
      </w:r>
      <w:r w:rsidR="003A13AD" w:rsidRPr="007043AF">
        <w:rPr>
          <w:rFonts w:ascii="Arial" w:hAnsi="Arial" w:cs="Arial"/>
        </w:rPr>
        <w:t>:</w:t>
      </w:r>
    </w:p>
    <w:p w:rsidR="003A13AD" w:rsidRPr="009C119D" w:rsidRDefault="003A13AD" w:rsidP="003A13AD">
      <w:pPr>
        <w:rPr>
          <w:rFonts w:ascii="Arial" w:hAnsi="Arial" w:cs="Arial"/>
          <w:sz w:val="22"/>
          <w:szCs w:val="22"/>
        </w:rPr>
      </w:pPr>
      <w:r w:rsidRPr="009C119D">
        <w:rPr>
          <w:rFonts w:ascii="Arial" w:hAnsi="Arial" w:cs="Arial"/>
          <w:sz w:val="22"/>
          <w:szCs w:val="22"/>
        </w:rPr>
        <w:t>‘Central to this application is [SARS’] contention that [Rappa’s] right to review only vests once a directive is issued in terms of s105 of the TAA and that this court had no jurisdiction to order the production of the record, absent making a determination on whether the high court has jurisdiction to consid</w:t>
      </w:r>
      <w:r w:rsidR="005072FA">
        <w:rPr>
          <w:rFonts w:ascii="Arial" w:hAnsi="Arial" w:cs="Arial"/>
          <w:sz w:val="22"/>
          <w:szCs w:val="22"/>
        </w:rPr>
        <w:t xml:space="preserve">er the appeal. [SARS’] </w:t>
      </w:r>
      <w:r w:rsidRPr="009C119D">
        <w:rPr>
          <w:rFonts w:ascii="Arial" w:hAnsi="Arial" w:cs="Arial"/>
          <w:sz w:val="22"/>
          <w:szCs w:val="22"/>
        </w:rPr>
        <w:t>sole basis for opposition to the r</w:t>
      </w:r>
      <w:r w:rsidR="00891E23">
        <w:rPr>
          <w:rFonts w:ascii="Arial" w:hAnsi="Arial" w:cs="Arial"/>
          <w:sz w:val="22"/>
          <w:szCs w:val="22"/>
        </w:rPr>
        <w:t xml:space="preserve"> </w:t>
      </w:r>
      <w:r w:rsidRPr="009C119D">
        <w:rPr>
          <w:rFonts w:ascii="Arial" w:hAnsi="Arial" w:cs="Arial"/>
          <w:sz w:val="22"/>
          <w:szCs w:val="22"/>
        </w:rPr>
        <w:t>30A app</w:t>
      </w:r>
      <w:r w:rsidR="005072FA">
        <w:rPr>
          <w:rFonts w:ascii="Arial" w:hAnsi="Arial" w:cs="Arial"/>
          <w:sz w:val="22"/>
          <w:szCs w:val="22"/>
        </w:rPr>
        <w:t>lication was that [Rappa]</w:t>
      </w:r>
      <w:r w:rsidRPr="009C119D">
        <w:rPr>
          <w:rFonts w:ascii="Arial" w:hAnsi="Arial" w:cs="Arial"/>
          <w:sz w:val="22"/>
          <w:szCs w:val="22"/>
        </w:rPr>
        <w:t xml:space="preserve"> had no right to see the record absent a directive in terms of s 105 of the TAA, which directive it contended should be refused.’</w:t>
      </w:r>
    </w:p>
    <w:p w:rsidR="00C314BC" w:rsidRPr="00331CA0" w:rsidRDefault="00C314BC" w:rsidP="003A13AD">
      <w:pPr>
        <w:rPr>
          <w:rFonts w:ascii="Arial" w:hAnsi="Arial" w:cs="Arial"/>
        </w:rPr>
      </w:pPr>
    </w:p>
    <w:p w:rsidR="0025623D" w:rsidRDefault="0030063A" w:rsidP="003A13AD">
      <w:pPr>
        <w:rPr>
          <w:rFonts w:ascii="Arial" w:hAnsi="Arial" w:cs="Arial"/>
        </w:rPr>
      </w:pPr>
      <w:r>
        <w:rPr>
          <w:rFonts w:ascii="Arial" w:hAnsi="Arial" w:cs="Arial"/>
        </w:rPr>
        <w:t>[7</w:t>
      </w:r>
      <w:r w:rsidR="004F6669">
        <w:rPr>
          <w:rFonts w:ascii="Arial" w:hAnsi="Arial" w:cs="Arial"/>
        </w:rPr>
        <w:t>]</w:t>
      </w:r>
      <w:r w:rsidR="004F6669">
        <w:rPr>
          <w:rFonts w:ascii="Arial" w:hAnsi="Arial" w:cs="Arial"/>
        </w:rPr>
        <w:tab/>
      </w:r>
      <w:r w:rsidR="003A13AD" w:rsidRPr="00663518">
        <w:rPr>
          <w:rFonts w:ascii="Arial" w:hAnsi="Arial" w:cs="Arial"/>
        </w:rPr>
        <w:t xml:space="preserve">The </w:t>
      </w:r>
      <w:r w:rsidR="007043AF" w:rsidRPr="007043AF">
        <w:rPr>
          <w:rFonts w:ascii="Arial" w:hAnsi="Arial" w:cs="Arial"/>
        </w:rPr>
        <w:t>high court</w:t>
      </w:r>
      <w:r w:rsidR="003A13AD" w:rsidRPr="007043AF">
        <w:rPr>
          <w:rFonts w:ascii="Arial" w:hAnsi="Arial" w:cs="Arial"/>
        </w:rPr>
        <w:t xml:space="preserve"> added</w:t>
      </w:r>
      <w:r w:rsidR="003A13AD">
        <w:rPr>
          <w:rFonts w:ascii="Arial" w:hAnsi="Arial" w:cs="Arial"/>
        </w:rPr>
        <w:t xml:space="preserve">: </w:t>
      </w:r>
    </w:p>
    <w:p w:rsidR="003A13AD" w:rsidRPr="00692B59" w:rsidRDefault="003A13AD" w:rsidP="003A13AD">
      <w:pPr>
        <w:rPr>
          <w:rFonts w:ascii="Arial" w:hAnsi="Arial" w:cs="Arial"/>
          <w:sz w:val="22"/>
          <w:szCs w:val="22"/>
        </w:rPr>
      </w:pPr>
      <w:r w:rsidRPr="000B5D74">
        <w:rPr>
          <w:rFonts w:ascii="Arial" w:hAnsi="Arial" w:cs="Arial"/>
          <w:sz w:val="22"/>
          <w:szCs w:val="22"/>
        </w:rPr>
        <w:t>‘[7]</w:t>
      </w:r>
      <w:r w:rsidRPr="00692B59">
        <w:rPr>
          <w:rFonts w:ascii="Arial" w:hAnsi="Arial" w:cs="Arial"/>
          <w:sz w:val="22"/>
          <w:szCs w:val="22"/>
        </w:rPr>
        <w:tab/>
        <w:t>During argument, extensive relia</w:t>
      </w:r>
      <w:r w:rsidR="005072FA">
        <w:rPr>
          <w:rFonts w:ascii="Arial" w:hAnsi="Arial" w:cs="Arial"/>
          <w:sz w:val="22"/>
          <w:szCs w:val="22"/>
        </w:rPr>
        <w:t>nce was placed by [SARS]</w:t>
      </w:r>
      <w:r w:rsidRPr="00692B59">
        <w:rPr>
          <w:rFonts w:ascii="Arial" w:hAnsi="Arial" w:cs="Arial"/>
          <w:sz w:val="22"/>
          <w:szCs w:val="22"/>
        </w:rPr>
        <w:t xml:space="preserve"> on a judgment of the Constitutional Court in </w:t>
      </w:r>
      <w:r w:rsidRPr="00692B59">
        <w:rPr>
          <w:rFonts w:ascii="Arial" w:hAnsi="Arial" w:cs="Arial"/>
          <w:i/>
          <w:sz w:val="22"/>
          <w:szCs w:val="22"/>
        </w:rPr>
        <w:t>Competition Commission v Standard Bank of South Africa Ltd and related matters</w:t>
      </w:r>
      <w:r w:rsidRPr="00692B59">
        <w:rPr>
          <w:rFonts w:ascii="Arial" w:hAnsi="Arial" w:cs="Arial"/>
          <w:sz w:val="22"/>
          <w:szCs w:val="22"/>
        </w:rPr>
        <w:t xml:space="preserve"> (“</w:t>
      </w:r>
      <w:r w:rsidRPr="00692B59">
        <w:rPr>
          <w:rFonts w:ascii="Arial" w:hAnsi="Arial" w:cs="Arial"/>
          <w:i/>
          <w:sz w:val="22"/>
          <w:szCs w:val="22"/>
        </w:rPr>
        <w:t>Standard Bank</w:t>
      </w:r>
      <w:r w:rsidRPr="00692B59">
        <w:rPr>
          <w:rFonts w:ascii="Arial" w:hAnsi="Arial" w:cs="Arial"/>
          <w:sz w:val="22"/>
          <w:szCs w:val="22"/>
        </w:rPr>
        <w:t>”), to which I had not been referred in the interlocutory application.</w:t>
      </w:r>
    </w:p>
    <w:p w:rsidR="003A13AD" w:rsidRPr="00692B59" w:rsidRDefault="003A13AD" w:rsidP="003A13AD">
      <w:pPr>
        <w:rPr>
          <w:rFonts w:ascii="Arial" w:hAnsi="Arial" w:cs="Arial"/>
          <w:sz w:val="22"/>
          <w:szCs w:val="22"/>
        </w:rPr>
      </w:pPr>
      <w:r w:rsidRPr="00692B59">
        <w:rPr>
          <w:rFonts w:ascii="Arial" w:hAnsi="Arial" w:cs="Arial"/>
          <w:sz w:val="22"/>
          <w:szCs w:val="22"/>
        </w:rPr>
        <w:t>[8]</w:t>
      </w:r>
      <w:r w:rsidRPr="00692B59">
        <w:rPr>
          <w:rFonts w:ascii="Arial" w:hAnsi="Arial" w:cs="Arial"/>
          <w:sz w:val="22"/>
          <w:szCs w:val="22"/>
        </w:rPr>
        <w:tab/>
        <w:t xml:space="preserve">In </w:t>
      </w:r>
      <w:r w:rsidRPr="00692B59">
        <w:rPr>
          <w:rFonts w:ascii="Arial" w:hAnsi="Arial" w:cs="Arial"/>
          <w:i/>
          <w:sz w:val="22"/>
          <w:szCs w:val="22"/>
        </w:rPr>
        <w:t>Standard Bank</w:t>
      </w:r>
      <w:r w:rsidRPr="00692B59">
        <w:rPr>
          <w:rFonts w:ascii="Arial" w:hAnsi="Arial" w:cs="Arial"/>
          <w:sz w:val="22"/>
          <w:szCs w:val="22"/>
        </w:rPr>
        <w:t xml:space="preserve">, the majority of the Constitutional Court held that where jurisdiction is contested a ruling must be made on that issue preceding other orders. It was also held that </w:t>
      </w:r>
      <w:r w:rsidRPr="00692B59">
        <w:rPr>
          <w:rFonts w:ascii="Arial" w:hAnsi="Arial" w:cs="Arial"/>
          <w:sz w:val="22"/>
          <w:szCs w:val="22"/>
        </w:rPr>
        <w:lastRenderedPageBreak/>
        <w:t>an order for production of the record under r 53(1)(b), is appealable as it is final in effect and based on the interests of justice tests.</w:t>
      </w:r>
    </w:p>
    <w:p w:rsidR="003A13AD" w:rsidRPr="00692B59" w:rsidRDefault="003A13AD" w:rsidP="003A13AD">
      <w:pPr>
        <w:rPr>
          <w:rFonts w:ascii="Arial" w:hAnsi="Arial" w:cs="Arial"/>
          <w:sz w:val="22"/>
          <w:szCs w:val="22"/>
        </w:rPr>
      </w:pPr>
      <w:r w:rsidRPr="00692B59">
        <w:rPr>
          <w:rFonts w:ascii="Arial" w:hAnsi="Arial" w:cs="Arial"/>
          <w:sz w:val="22"/>
          <w:szCs w:val="22"/>
        </w:rPr>
        <w:t>. . .</w:t>
      </w:r>
    </w:p>
    <w:p w:rsidR="003A13AD" w:rsidRPr="00692B59" w:rsidRDefault="003A13AD" w:rsidP="003A13AD">
      <w:pPr>
        <w:rPr>
          <w:rFonts w:ascii="Arial" w:hAnsi="Arial" w:cs="Arial"/>
          <w:sz w:val="22"/>
          <w:szCs w:val="22"/>
        </w:rPr>
      </w:pPr>
      <w:r w:rsidRPr="00692B59">
        <w:rPr>
          <w:rFonts w:ascii="Arial" w:hAnsi="Arial" w:cs="Arial"/>
          <w:sz w:val="22"/>
          <w:szCs w:val="22"/>
        </w:rPr>
        <w:t>[12]</w:t>
      </w:r>
      <w:r w:rsidRPr="00692B59">
        <w:rPr>
          <w:rFonts w:ascii="Arial" w:hAnsi="Arial" w:cs="Arial"/>
          <w:sz w:val="22"/>
          <w:szCs w:val="22"/>
        </w:rPr>
        <w:tab/>
        <w:t xml:space="preserve">In light of the import of s105 and its effect in challenging the jurisdiction of the high court, the issue of jurisdiction had to be determined before any further order could have been granted. Considering all the facts and the relevant factors requiring consideration, I am persuaded that there are reasonable prospects of success on appeal as envisaged by s 17(1)(a)(i) of the Act and that it is in the interests of justice that leave to appeal be granted.’ </w:t>
      </w:r>
      <w:r w:rsidRPr="00CC7F37">
        <w:rPr>
          <w:rFonts w:ascii="Arial" w:hAnsi="Arial" w:cs="Arial"/>
        </w:rPr>
        <w:t>(Footnotes omitted.)</w:t>
      </w:r>
    </w:p>
    <w:p w:rsidR="003A13AD" w:rsidRPr="00A6619B" w:rsidRDefault="003A13AD" w:rsidP="003A13AD">
      <w:pPr>
        <w:rPr>
          <w:rFonts w:ascii="Arial" w:hAnsi="Arial" w:cs="Arial"/>
        </w:rPr>
      </w:pPr>
    </w:p>
    <w:p w:rsidR="003A13AD" w:rsidRPr="00752630" w:rsidRDefault="0030063A" w:rsidP="003A13AD">
      <w:pPr>
        <w:rPr>
          <w:rFonts w:ascii="Arial" w:hAnsi="Arial" w:cs="Arial"/>
        </w:rPr>
      </w:pPr>
      <w:r>
        <w:rPr>
          <w:rFonts w:ascii="Arial" w:hAnsi="Arial" w:cs="Arial"/>
        </w:rPr>
        <w:t>[8</w:t>
      </w:r>
      <w:r w:rsidR="004F6669">
        <w:rPr>
          <w:rFonts w:ascii="Arial" w:hAnsi="Arial" w:cs="Arial"/>
        </w:rPr>
        <w:t>]</w:t>
      </w:r>
      <w:r w:rsidR="004F6669">
        <w:rPr>
          <w:rFonts w:ascii="Arial" w:hAnsi="Arial" w:cs="Arial"/>
        </w:rPr>
        <w:tab/>
      </w:r>
      <w:r w:rsidR="003A13AD">
        <w:rPr>
          <w:rFonts w:ascii="Arial" w:hAnsi="Arial" w:cs="Arial"/>
        </w:rPr>
        <w:t>The broad thrust of SARS’ case is: First, the high court</w:t>
      </w:r>
      <w:r w:rsidR="003A13AD" w:rsidRPr="00752630">
        <w:rPr>
          <w:rFonts w:ascii="Arial" w:hAnsi="Arial" w:cs="Arial"/>
        </w:rPr>
        <w:t xml:space="preserve"> does not have the power to order the production of the record of a decision under review unless it has jurisdiction in the review. It must </w:t>
      </w:r>
      <w:r w:rsidR="003A13AD">
        <w:rPr>
          <w:rFonts w:ascii="Arial" w:hAnsi="Arial" w:cs="Arial"/>
        </w:rPr>
        <w:t xml:space="preserve">accordingly </w:t>
      </w:r>
      <w:r w:rsidR="003A13AD" w:rsidRPr="00752630">
        <w:rPr>
          <w:rFonts w:ascii="Arial" w:hAnsi="Arial" w:cs="Arial"/>
        </w:rPr>
        <w:t>first determine its jurisdiction in the review before making a compelling order.</w:t>
      </w:r>
      <w:r w:rsidR="003A13AD">
        <w:rPr>
          <w:rFonts w:ascii="Arial" w:hAnsi="Arial" w:cs="Arial"/>
        </w:rPr>
        <w:t xml:space="preserve"> Second, and this is linked to the first, i</w:t>
      </w:r>
      <w:r w:rsidR="003A13AD" w:rsidRPr="00752630">
        <w:rPr>
          <w:rFonts w:ascii="Arial" w:hAnsi="Arial" w:cs="Arial"/>
        </w:rPr>
        <w:t xml:space="preserve">n terms of </w:t>
      </w:r>
      <w:r w:rsidR="00962A8D">
        <w:rPr>
          <w:rFonts w:ascii="Arial" w:hAnsi="Arial" w:cs="Arial"/>
        </w:rPr>
        <w:br/>
      </w:r>
      <w:r w:rsidR="003A13AD" w:rsidRPr="00752630">
        <w:rPr>
          <w:rFonts w:ascii="Arial" w:hAnsi="Arial" w:cs="Arial"/>
        </w:rPr>
        <w:t>s 105, a taxpayer may only dispute an assessment by objection and appeal in terms of ss 104 to 107 of the TAA, unless the high court directs otherwise. Before it makes such a direction, the high court has no jurisdiction in the review and can accordingly not make an order compelling SARS to deliver the record of its decision.</w:t>
      </w:r>
    </w:p>
    <w:p w:rsidR="003A13AD" w:rsidRPr="00F203D3" w:rsidRDefault="003A13AD" w:rsidP="003A13AD">
      <w:pPr>
        <w:rPr>
          <w:rFonts w:ascii="Arial" w:hAnsi="Arial" w:cs="Arial"/>
          <w:i/>
        </w:rPr>
      </w:pPr>
    </w:p>
    <w:p w:rsidR="003A13AD" w:rsidRPr="006C7D55" w:rsidRDefault="0030063A" w:rsidP="003A13AD">
      <w:pPr>
        <w:rPr>
          <w:rFonts w:ascii="Arial" w:hAnsi="Arial" w:cs="Arial"/>
        </w:rPr>
      </w:pPr>
      <w:r>
        <w:rPr>
          <w:rFonts w:ascii="Arial" w:hAnsi="Arial" w:cs="Arial"/>
        </w:rPr>
        <w:t>[9</w:t>
      </w:r>
      <w:r w:rsidR="004F6669">
        <w:rPr>
          <w:rFonts w:ascii="Arial" w:hAnsi="Arial" w:cs="Arial"/>
        </w:rPr>
        <w:t>]</w:t>
      </w:r>
      <w:r w:rsidR="004F6669">
        <w:rPr>
          <w:rFonts w:ascii="Arial" w:hAnsi="Arial" w:cs="Arial"/>
        </w:rPr>
        <w:tab/>
      </w:r>
      <w:r w:rsidR="007043AF">
        <w:rPr>
          <w:rFonts w:ascii="Arial" w:hAnsi="Arial" w:cs="Arial"/>
        </w:rPr>
        <w:t xml:space="preserve">Preliminarily, as </w:t>
      </w:r>
      <w:r w:rsidR="007043AF" w:rsidRPr="007043AF">
        <w:rPr>
          <w:rFonts w:ascii="Arial" w:hAnsi="Arial" w:cs="Arial"/>
        </w:rPr>
        <w:t>the high court</w:t>
      </w:r>
      <w:r w:rsidR="007043AF">
        <w:rPr>
          <w:rFonts w:ascii="Arial" w:hAnsi="Arial" w:cs="Arial"/>
        </w:rPr>
        <w:t xml:space="preserve"> correctly observed in the</w:t>
      </w:r>
      <w:r w:rsidR="003A13AD">
        <w:rPr>
          <w:rFonts w:ascii="Arial" w:hAnsi="Arial" w:cs="Arial"/>
        </w:rPr>
        <w:t xml:space="preserve"> judgment on the application for leave to appeal, t</w:t>
      </w:r>
      <w:r w:rsidR="003A13AD" w:rsidRPr="006C7D55">
        <w:rPr>
          <w:rFonts w:ascii="Arial" w:hAnsi="Arial" w:cs="Arial"/>
        </w:rPr>
        <w:t xml:space="preserve">he Constitutional Court </w:t>
      </w:r>
      <w:r w:rsidR="007043AF">
        <w:rPr>
          <w:rFonts w:ascii="Arial" w:hAnsi="Arial" w:cs="Arial"/>
        </w:rPr>
        <w:t>had</w:t>
      </w:r>
      <w:r w:rsidR="00140F09">
        <w:rPr>
          <w:rFonts w:ascii="Arial" w:hAnsi="Arial" w:cs="Arial"/>
        </w:rPr>
        <w:t xml:space="preserve"> indeed he</w:t>
      </w:r>
      <w:r w:rsidR="003A13AD" w:rsidRPr="006C7D55">
        <w:rPr>
          <w:rFonts w:ascii="Arial" w:hAnsi="Arial" w:cs="Arial"/>
        </w:rPr>
        <w:t xml:space="preserve">ld in </w:t>
      </w:r>
      <w:r w:rsidR="003A13AD" w:rsidRPr="00F0452A">
        <w:rPr>
          <w:rFonts w:ascii="Arial" w:hAnsi="Arial" w:cs="Arial"/>
          <w:i/>
        </w:rPr>
        <w:t>Competition Commission of South Africa</w:t>
      </w:r>
      <w:r w:rsidR="003A13AD">
        <w:rPr>
          <w:rFonts w:ascii="Arial" w:hAnsi="Arial" w:cs="Arial"/>
          <w:i/>
        </w:rPr>
        <w:t xml:space="preserve"> v</w:t>
      </w:r>
      <w:r w:rsidR="003A13AD" w:rsidRPr="00F0452A">
        <w:rPr>
          <w:rFonts w:ascii="Arial" w:hAnsi="Arial" w:cs="Arial"/>
          <w:i/>
        </w:rPr>
        <w:t xml:space="preserve"> </w:t>
      </w:r>
      <w:r w:rsidR="003A13AD" w:rsidRPr="006C7D55">
        <w:rPr>
          <w:rFonts w:ascii="Arial" w:hAnsi="Arial" w:cs="Arial"/>
          <w:i/>
          <w:iCs/>
        </w:rPr>
        <w:t>Standard Bank</w:t>
      </w:r>
      <w:r w:rsidR="003A13AD">
        <w:rPr>
          <w:rStyle w:val="FootnoteReference"/>
          <w:rFonts w:ascii="Arial" w:hAnsi="Arial" w:cs="Arial"/>
        </w:rPr>
        <w:footnoteReference w:id="1"/>
      </w:r>
      <w:r w:rsidR="002134D4">
        <w:rPr>
          <w:rFonts w:ascii="Arial" w:hAnsi="Arial" w:cs="Arial"/>
        </w:rPr>
        <w:t xml:space="preserve"> </w:t>
      </w:r>
      <w:r w:rsidR="002134D4" w:rsidRPr="00C17569">
        <w:rPr>
          <w:rFonts w:ascii="Arial" w:hAnsi="Arial" w:cs="Arial"/>
        </w:rPr>
        <w:t>(</w:t>
      </w:r>
      <w:r w:rsidR="002134D4">
        <w:rPr>
          <w:rFonts w:ascii="Arial" w:hAnsi="Arial" w:cs="Arial"/>
          <w:i/>
          <w:iCs/>
        </w:rPr>
        <w:t>Standard Bank</w:t>
      </w:r>
      <w:r w:rsidR="002134D4" w:rsidRPr="00C17569">
        <w:rPr>
          <w:rFonts w:ascii="Arial" w:hAnsi="Arial" w:cs="Arial"/>
        </w:rPr>
        <w:t>)</w:t>
      </w:r>
      <w:r w:rsidR="003A13AD" w:rsidRPr="006C7D55">
        <w:rPr>
          <w:rFonts w:ascii="Arial" w:hAnsi="Arial" w:cs="Arial"/>
        </w:rPr>
        <w:t xml:space="preserve"> that an order compelling a respondent in a review to deliver the record of its decision in terms of rule 53, is appealable. </w:t>
      </w:r>
      <w:r w:rsidR="003A13AD">
        <w:rPr>
          <w:rFonts w:ascii="Arial" w:hAnsi="Arial" w:cs="Arial"/>
        </w:rPr>
        <w:t xml:space="preserve">Writing for the minority, </w:t>
      </w:r>
      <w:r w:rsidR="003A13AD" w:rsidRPr="006C7D55">
        <w:rPr>
          <w:rFonts w:ascii="Arial" w:hAnsi="Arial" w:cs="Arial"/>
        </w:rPr>
        <w:t>Theron</w:t>
      </w:r>
      <w:r w:rsidR="003A13AD">
        <w:rPr>
          <w:rFonts w:ascii="Arial" w:hAnsi="Arial" w:cs="Arial"/>
        </w:rPr>
        <w:t xml:space="preserve"> J</w:t>
      </w:r>
      <w:r w:rsidR="003A13AD" w:rsidRPr="006C7D55">
        <w:rPr>
          <w:rFonts w:ascii="Arial" w:hAnsi="Arial" w:cs="Arial"/>
        </w:rPr>
        <w:t xml:space="preserve"> </w:t>
      </w:r>
      <w:r w:rsidR="001C1610">
        <w:rPr>
          <w:rFonts w:ascii="Arial" w:hAnsi="Arial" w:cs="Arial"/>
        </w:rPr>
        <w:t>stated</w:t>
      </w:r>
      <w:r w:rsidR="003A13AD" w:rsidRPr="006C7D55">
        <w:rPr>
          <w:rFonts w:ascii="Arial" w:hAnsi="Arial" w:cs="Arial"/>
        </w:rPr>
        <w:t>:</w:t>
      </w:r>
    </w:p>
    <w:p w:rsidR="003A13AD" w:rsidRPr="00692B59" w:rsidRDefault="003A13AD" w:rsidP="003A13AD">
      <w:pPr>
        <w:rPr>
          <w:rFonts w:ascii="Arial" w:hAnsi="Arial" w:cs="Arial"/>
          <w:sz w:val="22"/>
          <w:szCs w:val="22"/>
        </w:rPr>
      </w:pPr>
      <w:r w:rsidRPr="00692B59">
        <w:rPr>
          <w:rFonts w:ascii="Arial" w:hAnsi="Arial" w:cs="Arial"/>
          <w:sz w:val="22"/>
          <w:szCs w:val="22"/>
        </w:rPr>
        <w:t>‘Standard Bank contends that the order of Boqwana JA is interlocutory and therefore not appealable. The test for appealability has, however, been developed to accord with “the equitable and more context-sensitive standard of the interests of justice”. What is paramount is not whether the order is final or interim but whether it is in the interests of justice to grant leave to appeal.</w:t>
      </w:r>
    </w:p>
    <w:p w:rsidR="003A13AD" w:rsidRPr="00692B59" w:rsidRDefault="003A13AD" w:rsidP="003A13AD">
      <w:pPr>
        <w:rPr>
          <w:rFonts w:ascii="Arial" w:hAnsi="Arial" w:cs="Arial"/>
          <w:sz w:val="22"/>
          <w:szCs w:val="22"/>
        </w:rPr>
      </w:pPr>
      <w:r w:rsidRPr="00692B59">
        <w:rPr>
          <w:rFonts w:ascii="Arial" w:hAnsi="Arial" w:cs="Arial"/>
          <w:sz w:val="22"/>
          <w:szCs w:val="22"/>
        </w:rPr>
        <w:t xml:space="preserve">The rule 53 order is final in effect and determinative of the relevant rights of the Commission and Standard Bank. This is because the order requires the Commission to disclose the record – which would have the final effect of furnishing Standard Bank with the information it seeks </w:t>
      </w:r>
      <w:r w:rsidRPr="00692B59">
        <w:rPr>
          <w:rFonts w:ascii="Arial" w:hAnsi="Arial" w:cs="Arial"/>
          <w:sz w:val="22"/>
          <w:szCs w:val="22"/>
        </w:rPr>
        <w:lastRenderedPageBreak/>
        <w:t>to pursue its review under rule 53. The handing over by the Commission of the record under rule 53 would be irrevocable. Standard Bank would have access to the information contained in it, and no subsequent court order could materially change that.’</w:t>
      </w:r>
      <w:r w:rsidR="00140F09" w:rsidRPr="00692B59">
        <w:rPr>
          <w:rStyle w:val="FootnoteReference"/>
          <w:rFonts w:ascii="Arial" w:hAnsi="Arial" w:cs="Arial"/>
          <w:sz w:val="22"/>
          <w:szCs w:val="22"/>
        </w:rPr>
        <w:footnoteReference w:id="2"/>
      </w:r>
      <w:r w:rsidRPr="00692B59">
        <w:rPr>
          <w:rFonts w:ascii="Arial" w:hAnsi="Arial" w:cs="Arial"/>
          <w:sz w:val="22"/>
          <w:szCs w:val="22"/>
        </w:rPr>
        <w:t xml:space="preserve"> </w:t>
      </w:r>
    </w:p>
    <w:p w:rsidR="003A13AD" w:rsidRPr="00331CA0" w:rsidRDefault="003A13AD" w:rsidP="003A13AD">
      <w:pPr>
        <w:rPr>
          <w:rFonts w:ascii="Arial" w:hAnsi="Arial" w:cs="Arial"/>
        </w:rPr>
      </w:pPr>
    </w:p>
    <w:p w:rsidR="003A13AD" w:rsidRDefault="0030063A" w:rsidP="003A13AD">
      <w:pPr>
        <w:rPr>
          <w:rFonts w:ascii="Arial" w:hAnsi="Arial" w:cs="Arial"/>
        </w:rPr>
      </w:pPr>
      <w:r>
        <w:rPr>
          <w:rFonts w:ascii="Arial" w:hAnsi="Arial" w:cs="Arial"/>
        </w:rPr>
        <w:t>[10</w:t>
      </w:r>
      <w:r w:rsidR="004F6669">
        <w:rPr>
          <w:rFonts w:ascii="Arial" w:hAnsi="Arial" w:cs="Arial"/>
        </w:rPr>
        <w:t>]</w:t>
      </w:r>
      <w:r w:rsidR="004F6669">
        <w:rPr>
          <w:rFonts w:ascii="Arial" w:hAnsi="Arial" w:cs="Arial"/>
        </w:rPr>
        <w:tab/>
      </w:r>
      <w:r w:rsidR="00A515E1">
        <w:rPr>
          <w:rFonts w:ascii="Arial" w:hAnsi="Arial" w:cs="Arial"/>
        </w:rPr>
        <w:t xml:space="preserve">The majority judgment (per </w:t>
      </w:r>
      <w:r w:rsidR="003A13AD" w:rsidRPr="003163DC">
        <w:rPr>
          <w:rFonts w:ascii="Arial" w:hAnsi="Arial" w:cs="Arial"/>
        </w:rPr>
        <w:t>Jafta and Khampepe</w:t>
      </w:r>
      <w:r w:rsidR="00A515E1">
        <w:rPr>
          <w:rFonts w:ascii="Arial" w:hAnsi="Arial" w:cs="Arial"/>
        </w:rPr>
        <w:t xml:space="preserve"> J</w:t>
      </w:r>
      <w:r w:rsidR="005072FA">
        <w:rPr>
          <w:rFonts w:ascii="Arial" w:hAnsi="Arial" w:cs="Arial"/>
        </w:rPr>
        <w:t>J</w:t>
      </w:r>
      <w:r w:rsidR="003A13AD">
        <w:rPr>
          <w:rFonts w:ascii="Arial" w:hAnsi="Arial" w:cs="Arial"/>
        </w:rPr>
        <w:t xml:space="preserve">) agreed with the minority judgment on the </w:t>
      </w:r>
      <w:r w:rsidR="003A13AD" w:rsidRPr="003163DC">
        <w:rPr>
          <w:rFonts w:ascii="Arial" w:hAnsi="Arial" w:cs="Arial"/>
        </w:rPr>
        <w:t>review appeal</w:t>
      </w:r>
      <w:r w:rsidR="003A13AD">
        <w:rPr>
          <w:rFonts w:ascii="Arial" w:hAnsi="Arial" w:cs="Arial"/>
        </w:rPr>
        <w:t>, which</w:t>
      </w:r>
      <w:r w:rsidR="003A13AD" w:rsidRPr="003163DC">
        <w:rPr>
          <w:rFonts w:ascii="Arial" w:hAnsi="Arial" w:cs="Arial"/>
        </w:rPr>
        <w:t xml:space="preserve"> included </w:t>
      </w:r>
      <w:r w:rsidR="00140F09">
        <w:rPr>
          <w:rFonts w:ascii="Arial" w:hAnsi="Arial" w:cs="Arial"/>
        </w:rPr>
        <w:t>the</w:t>
      </w:r>
      <w:r w:rsidR="003A13AD">
        <w:rPr>
          <w:rFonts w:ascii="Arial" w:hAnsi="Arial" w:cs="Arial"/>
        </w:rPr>
        <w:t xml:space="preserve"> ruling on appealability.</w:t>
      </w:r>
      <w:r w:rsidR="001C1610">
        <w:rPr>
          <w:rStyle w:val="FootnoteReference"/>
          <w:rFonts w:ascii="Arial" w:hAnsi="Arial" w:cs="Arial"/>
        </w:rPr>
        <w:footnoteReference w:id="3"/>
      </w:r>
      <w:r w:rsidR="003A13AD" w:rsidRPr="003163DC">
        <w:rPr>
          <w:rFonts w:ascii="Arial" w:hAnsi="Arial" w:cs="Arial"/>
        </w:rPr>
        <w:t xml:space="preserve"> Accordingly, the high court’s order compelling SARS to deliver the record of its decision is appealable on the authority of the Constitutional Court.</w:t>
      </w:r>
      <w:r w:rsidR="003A13AD">
        <w:rPr>
          <w:rFonts w:ascii="Arial" w:hAnsi="Arial" w:cs="Arial"/>
        </w:rPr>
        <w:t xml:space="preserve"> </w:t>
      </w:r>
    </w:p>
    <w:p w:rsidR="003A13AD" w:rsidRDefault="003A13AD" w:rsidP="003A13AD">
      <w:pPr>
        <w:rPr>
          <w:rFonts w:ascii="Arial" w:hAnsi="Arial" w:cs="Arial"/>
        </w:rPr>
      </w:pPr>
    </w:p>
    <w:p w:rsidR="003A13AD" w:rsidRPr="003163DC" w:rsidRDefault="0030063A" w:rsidP="003A13AD">
      <w:pPr>
        <w:rPr>
          <w:rFonts w:ascii="Arial" w:hAnsi="Arial" w:cs="Arial"/>
        </w:rPr>
      </w:pPr>
      <w:r>
        <w:rPr>
          <w:rFonts w:ascii="Arial" w:hAnsi="Arial" w:cs="Arial"/>
        </w:rPr>
        <w:t>[11</w:t>
      </w:r>
      <w:r w:rsidR="004F6669">
        <w:rPr>
          <w:rFonts w:ascii="Arial" w:hAnsi="Arial" w:cs="Arial"/>
        </w:rPr>
        <w:t>]</w:t>
      </w:r>
      <w:r w:rsidR="004F6669">
        <w:rPr>
          <w:rFonts w:ascii="Arial" w:hAnsi="Arial" w:cs="Arial"/>
        </w:rPr>
        <w:tab/>
      </w:r>
      <w:r w:rsidR="003A13AD">
        <w:rPr>
          <w:rFonts w:ascii="Arial" w:hAnsi="Arial" w:cs="Arial"/>
        </w:rPr>
        <w:t>B</w:t>
      </w:r>
      <w:r w:rsidR="003A13AD" w:rsidRPr="003163DC">
        <w:rPr>
          <w:rFonts w:ascii="Arial" w:hAnsi="Arial" w:cs="Arial"/>
        </w:rPr>
        <w:t>oth the majority</w:t>
      </w:r>
      <w:r w:rsidR="001754FA">
        <w:rPr>
          <w:rFonts w:ascii="Arial" w:hAnsi="Arial" w:cs="Arial"/>
        </w:rPr>
        <w:t xml:space="preserve"> </w:t>
      </w:r>
      <w:r w:rsidR="003A13AD" w:rsidRPr="003163DC">
        <w:rPr>
          <w:rFonts w:ascii="Arial" w:hAnsi="Arial" w:cs="Arial"/>
        </w:rPr>
        <w:t>and minority</w:t>
      </w:r>
      <w:r w:rsidR="003A13AD">
        <w:rPr>
          <w:rStyle w:val="FootnoteReference"/>
          <w:rFonts w:ascii="Arial" w:hAnsi="Arial" w:cs="Arial"/>
        </w:rPr>
        <w:footnoteReference w:id="4"/>
      </w:r>
      <w:r w:rsidR="003A13AD" w:rsidRPr="003163DC">
        <w:rPr>
          <w:rFonts w:ascii="Arial" w:hAnsi="Arial" w:cs="Arial"/>
        </w:rPr>
        <w:t xml:space="preserve"> held that the court may only order the production of the record of a decision under rule 53 after it has determined that it has jurisdiction in the review.</w:t>
      </w:r>
      <w:r w:rsidR="003A13AD">
        <w:rPr>
          <w:rFonts w:ascii="Arial" w:hAnsi="Arial" w:cs="Arial"/>
        </w:rPr>
        <w:t xml:space="preserve"> The majority put it as follows</w:t>
      </w:r>
      <w:r w:rsidR="003A13AD" w:rsidRPr="003163DC">
        <w:rPr>
          <w:rFonts w:ascii="Arial" w:hAnsi="Arial" w:cs="Arial"/>
        </w:rPr>
        <w:t>:</w:t>
      </w:r>
    </w:p>
    <w:p w:rsidR="003A13AD" w:rsidRPr="00692B59" w:rsidRDefault="003A13AD" w:rsidP="001754FA">
      <w:pPr>
        <w:rPr>
          <w:rFonts w:ascii="Arial" w:hAnsi="Arial" w:cs="Arial"/>
          <w:sz w:val="22"/>
          <w:szCs w:val="22"/>
        </w:rPr>
      </w:pPr>
      <w:r w:rsidRPr="00692B59">
        <w:rPr>
          <w:rFonts w:ascii="Arial" w:hAnsi="Arial" w:cs="Arial"/>
          <w:sz w:val="22"/>
          <w:szCs w:val="22"/>
        </w:rPr>
        <w:t>‘Therefore, [rule 53] enables an applicant to raise relevant grounds of review and the court adjudicating the matter to properly perform its review functions. However, for a court to perform this function, it must have the necessary authority. It is not prudent for a court whose authority to adjudicate a review application is challenged to proceed to enforce rule 53 and order that disclosure should be made, before the issue of jurisdiction is settled. The object of rule 53 may not be achieved in a court that lacks jurisdiction.</w:t>
      </w:r>
    </w:p>
    <w:p w:rsidR="00C314BC" w:rsidRDefault="003A13AD" w:rsidP="003A13AD">
      <w:pPr>
        <w:rPr>
          <w:rFonts w:ascii="Arial" w:hAnsi="Arial" w:cs="Arial"/>
        </w:rPr>
      </w:pPr>
      <w:r w:rsidRPr="00CC7F37">
        <w:rPr>
          <w:rFonts w:ascii="Arial" w:hAnsi="Arial" w:cs="Arial"/>
          <w:sz w:val="22"/>
          <w:szCs w:val="22"/>
        </w:rPr>
        <w:t>For these additional reasons, we agree with the first judgment [of Theron J] that Boqwana JA erred in ordering that the Commission should disclose its record of investigation before the question of jurisdiction was determined. Once carried out, and in the event that the Competition Appeal Court concluded that it has no jurisdiction, what is to be done in terms of the order cannot be undone</w:t>
      </w:r>
      <w:r w:rsidRPr="003123D7">
        <w:rPr>
          <w:rFonts w:ascii="Arial" w:hAnsi="Arial" w:cs="Arial"/>
        </w:rPr>
        <w:t>.’</w:t>
      </w:r>
      <w:r w:rsidR="00524552">
        <w:rPr>
          <w:rStyle w:val="FootnoteReference"/>
          <w:rFonts w:ascii="Arial" w:hAnsi="Arial" w:cs="Arial"/>
        </w:rPr>
        <w:footnoteReference w:id="5"/>
      </w:r>
    </w:p>
    <w:p w:rsidR="009C119D" w:rsidRDefault="009C119D" w:rsidP="003A13AD">
      <w:pPr>
        <w:rPr>
          <w:rFonts w:ascii="Arial" w:hAnsi="Arial" w:cs="Arial"/>
        </w:rPr>
      </w:pPr>
    </w:p>
    <w:p w:rsidR="003A13AD" w:rsidRPr="001754FA" w:rsidRDefault="0030063A" w:rsidP="003A13AD">
      <w:pPr>
        <w:rPr>
          <w:rFonts w:ascii="Arial" w:hAnsi="Arial" w:cs="Arial"/>
        </w:rPr>
      </w:pPr>
      <w:r>
        <w:rPr>
          <w:rFonts w:ascii="Arial" w:hAnsi="Arial" w:cs="Arial"/>
        </w:rPr>
        <w:t>[1</w:t>
      </w:r>
      <w:r w:rsidR="008B54CD">
        <w:rPr>
          <w:rFonts w:ascii="Arial" w:hAnsi="Arial" w:cs="Arial"/>
        </w:rPr>
        <w:t>2</w:t>
      </w:r>
      <w:r w:rsidR="00C314BC">
        <w:rPr>
          <w:rFonts w:ascii="Arial" w:hAnsi="Arial" w:cs="Arial"/>
        </w:rPr>
        <w:t>]</w:t>
      </w:r>
      <w:r w:rsidR="00C314BC">
        <w:rPr>
          <w:rFonts w:ascii="Arial" w:hAnsi="Arial" w:cs="Arial"/>
        </w:rPr>
        <w:tab/>
      </w:r>
      <w:r w:rsidR="003A13AD" w:rsidRPr="00B41E43">
        <w:rPr>
          <w:rFonts w:ascii="Arial" w:hAnsi="Arial" w:cs="Arial"/>
        </w:rPr>
        <w:t>Rappa contends that it may circumvent the appeal procedure under the TAA by taking the assessments on review to the high court because its attack is directed at the legality of the assessments on grounds of review and not on</w:t>
      </w:r>
      <w:r w:rsidR="003A13AD">
        <w:rPr>
          <w:rFonts w:ascii="Arial" w:hAnsi="Arial" w:cs="Arial"/>
        </w:rPr>
        <w:t xml:space="preserve"> their merit. But</w:t>
      </w:r>
      <w:r w:rsidR="0025623D">
        <w:rPr>
          <w:rFonts w:ascii="Arial" w:hAnsi="Arial" w:cs="Arial"/>
        </w:rPr>
        <w:t xml:space="preserve">, </w:t>
      </w:r>
      <w:r w:rsidR="0025623D" w:rsidRPr="00A515E1">
        <w:rPr>
          <w:rFonts w:ascii="Arial" w:hAnsi="Arial" w:cs="Arial"/>
        </w:rPr>
        <w:t>as I shall endeavour to show,</w:t>
      </w:r>
      <w:r w:rsidR="003A13AD" w:rsidRPr="00A515E1">
        <w:rPr>
          <w:rFonts w:ascii="Arial" w:hAnsi="Arial" w:cs="Arial"/>
        </w:rPr>
        <w:t xml:space="preserve"> that is no reason</w:t>
      </w:r>
      <w:r w:rsidR="0025623D" w:rsidRPr="00A515E1">
        <w:rPr>
          <w:rFonts w:ascii="Arial" w:hAnsi="Arial" w:cs="Arial"/>
        </w:rPr>
        <w:t>, without more,</w:t>
      </w:r>
      <w:r w:rsidR="003A13AD" w:rsidRPr="00A515E1">
        <w:rPr>
          <w:rFonts w:ascii="Arial" w:hAnsi="Arial" w:cs="Arial"/>
        </w:rPr>
        <w:t xml:space="preserve"> to </w:t>
      </w:r>
      <w:r w:rsidR="0025623D" w:rsidRPr="00A515E1">
        <w:rPr>
          <w:rFonts w:ascii="Arial" w:hAnsi="Arial" w:cs="Arial"/>
        </w:rPr>
        <w:t xml:space="preserve">simply </w:t>
      </w:r>
      <w:r w:rsidR="003A13AD" w:rsidRPr="00A515E1">
        <w:rPr>
          <w:rFonts w:ascii="Arial" w:hAnsi="Arial" w:cs="Arial"/>
        </w:rPr>
        <w:t>circum</w:t>
      </w:r>
      <w:r w:rsidR="00F31EC4" w:rsidRPr="00A515E1">
        <w:rPr>
          <w:rFonts w:ascii="Arial" w:hAnsi="Arial" w:cs="Arial"/>
        </w:rPr>
        <w:t>vent the</w:t>
      </w:r>
      <w:r w:rsidR="00F31EC4">
        <w:rPr>
          <w:rFonts w:ascii="Arial" w:hAnsi="Arial" w:cs="Arial"/>
        </w:rPr>
        <w:t xml:space="preserve"> appeal procedure, which</w:t>
      </w:r>
      <w:r w:rsidR="003A13AD" w:rsidRPr="00B41E43">
        <w:rPr>
          <w:rFonts w:ascii="Arial" w:hAnsi="Arial" w:cs="Arial"/>
        </w:rPr>
        <w:t xml:space="preserve"> involves a complete reconsideration of the assessments.</w:t>
      </w:r>
      <w:r w:rsidR="003A13AD">
        <w:rPr>
          <w:rFonts w:ascii="Arial" w:hAnsi="Arial" w:cs="Arial"/>
        </w:rPr>
        <w:t xml:space="preserve"> </w:t>
      </w:r>
      <w:r w:rsidR="003A13AD" w:rsidRPr="00B41E43">
        <w:rPr>
          <w:rFonts w:ascii="Arial" w:hAnsi="Arial" w:cs="Arial"/>
        </w:rPr>
        <w:t xml:space="preserve">This is apparent from the language of </w:t>
      </w:r>
      <w:r w:rsidR="003A13AD" w:rsidRPr="001754FA">
        <w:rPr>
          <w:rFonts w:ascii="Arial" w:hAnsi="Arial" w:cs="Arial"/>
        </w:rPr>
        <w:t>the p</w:t>
      </w:r>
      <w:r w:rsidR="003A13AD" w:rsidRPr="00B41E43">
        <w:rPr>
          <w:rFonts w:ascii="Arial" w:hAnsi="Arial" w:cs="Arial"/>
        </w:rPr>
        <w:t xml:space="preserve">rovisions of the TAA applicable to tax </w:t>
      </w:r>
      <w:r w:rsidR="003A13AD" w:rsidRPr="00B41E43">
        <w:rPr>
          <w:rFonts w:ascii="Arial" w:hAnsi="Arial" w:cs="Arial"/>
        </w:rPr>
        <w:lastRenderedPageBreak/>
        <w:t>appeal</w:t>
      </w:r>
      <w:r w:rsidR="001754FA">
        <w:rPr>
          <w:rFonts w:ascii="Arial" w:hAnsi="Arial" w:cs="Arial"/>
        </w:rPr>
        <w:t>s</w:t>
      </w:r>
      <w:r w:rsidR="003A13AD" w:rsidRPr="001754FA">
        <w:rPr>
          <w:rFonts w:ascii="Arial" w:hAnsi="Arial" w:cs="Arial"/>
        </w:rPr>
        <w:t>:</w:t>
      </w:r>
      <w:r w:rsidR="003A13AD" w:rsidRPr="00B41E43">
        <w:rPr>
          <w:rFonts w:ascii="Arial" w:hAnsi="Arial" w:cs="Arial"/>
        </w:rPr>
        <w:t xml:space="preserve"> First, s 104(1) provides that a taxpayer </w:t>
      </w:r>
      <w:r w:rsidR="003A13AD" w:rsidRPr="001754FA">
        <w:rPr>
          <w:rFonts w:ascii="Arial" w:hAnsi="Arial" w:cs="Arial"/>
        </w:rPr>
        <w:t xml:space="preserve">‘who is aggrieved by an assessment’ may object to it. The language is clearly very wide. The taxpayer may object on the ground of any grievance of whatever kind. Second, SARS may allow or disallow the objection under s 106(2). If SARS disallows the objection, the taxpayer may appeal </w:t>
      </w:r>
      <w:r w:rsidR="001754FA" w:rsidRPr="001754FA">
        <w:rPr>
          <w:rFonts w:ascii="Arial" w:hAnsi="Arial" w:cs="Arial"/>
        </w:rPr>
        <w:t xml:space="preserve">against the assessment or decision to the tax board or tax court </w:t>
      </w:r>
      <w:r w:rsidR="003A13AD" w:rsidRPr="001754FA">
        <w:rPr>
          <w:rFonts w:ascii="Arial" w:hAnsi="Arial" w:cs="Arial"/>
        </w:rPr>
        <w:t>under s 107(1)</w:t>
      </w:r>
      <w:r w:rsidR="001754FA" w:rsidRPr="001754FA">
        <w:rPr>
          <w:rFonts w:ascii="Arial" w:hAnsi="Arial" w:cs="Arial"/>
        </w:rPr>
        <w:t>. Section 107(1)</w:t>
      </w:r>
      <w:r w:rsidR="003A13AD" w:rsidRPr="001754FA">
        <w:rPr>
          <w:rFonts w:ascii="Arial" w:hAnsi="Arial" w:cs="Arial"/>
        </w:rPr>
        <w:t xml:space="preserve"> does not in any way limit the grounds upon which the taxpayer may do so. Third, the </w:t>
      </w:r>
      <w:r w:rsidR="00987F2D">
        <w:rPr>
          <w:rFonts w:ascii="Arial" w:hAnsi="Arial" w:cs="Arial"/>
        </w:rPr>
        <w:t>t</w:t>
      </w:r>
      <w:r w:rsidR="003A13AD" w:rsidRPr="001754FA">
        <w:rPr>
          <w:rFonts w:ascii="Arial" w:hAnsi="Arial" w:cs="Arial"/>
        </w:rPr>
        <w:t xml:space="preserve">ax </w:t>
      </w:r>
      <w:r w:rsidR="00987F2D">
        <w:rPr>
          <w:rFonts w:ascii="Arial" w:hAnsi="Arial" w:cs="Arial"/>
        </w:rPr>
        <w:t>c</w:t>
      </w:r>
      <w:r w:rsidR="003A13AD" w:rsidRPr="001754FA">
        <w:rPr>
          <w:rFonts w:ascii="Arial" w:hAnsi="Arial" w:cs="Arial"/>
        </w:rPr>
        <w:t xml:space="preserve">ourt determines the appeal in terms of s 117(1). It has jurisdiction to determine all the issues raised in such an appeal. The </w:t>
      </w:r>
      <w:r w:rsidR="00987F2D">
        <w:rPr>
          <w:rFonts w:ascii="Arial" w:hAnsi="Arial" w:cs="Arial"/>
        </w:rPr>
        <w:t>t</w:t>
      </w:r>
      <w:r w:rsidR="003A13AD" w:rsidRPr="001754FA">
        <w:rPr>
          <w:rFonts w:ascii="Arial" w:hAnsi="Arial" w:cs="Arial"/>
        </w:rPr>
        <w:t xml:space="preserve">ax </w:t>
      </w:r>
      <w:r w:rsidR="00987F2D">
        <w:rPr>
          <w:rFonts w:ascii="Arial" w:hAnsi="Arial" w:cs="Arial"/>
        </w:rPr>
        <w:t>c</w:t>
      </w:r>
      <w:r w:rsidR="003A13AD" w:rsidRPr="001754FA">
        <w:rPr>
          <w:rFonts w:ascii="Arial" w:hAnsi="Arial" w:cs="Arial"/>
        </w:rPr>
        <w:t>ourt determines ‘the matter’, that is, the entire appeal, in terms of s 129(1). It may, in terms o</w:t>
      </w:r>
      <w:r w:rsidR="00140F09" w:rsidRPr="001754FA">
        <w:rPr>
          <w:rFonts w:ascii="Arial" w:hAnsi="Arial" w:cs="Arial"/>
        </w:rPr>
        <w:t>f s</w:t>
      </w:r>
      <w:r w:rsidR="003A13AD" w:rsidRPr="001754FA">
        <w:rPr>
          <w:rFonts w:ascii="Arial" w:hAnsi="Arial" w:cs="Arial"/>
        </w:rPr>
        <w:t xml:space="preserve"> 129(1), confirm the assessment; order the assessment to be altered; refer the assessment back to SARS or ‘make an appropriate order in a procedural matter’.</w:t>
      </w:r>
    </w:p>
    <w:p w:rsidR="001754FA" w:rsidRDefault="001754FA" w:rsidP="003A13AD">
      <w:pPr>
        <w:rPr>
          <w:rFonts w:ascii="Arial" w:hAnsi="Arial" w:cs="Arial"/>
        </w:rPr>
      </w:pPr>
    </w:p>
    <w:p w:rsidR="003A13AD" w:rsidRPr="00B41E43" w:rsidRDefault="0030063A" w:rsidP="003A13AD">
      <w:pPr>
        <w:rPr>
          <w:rFonts w:ascii="Arial" w:hAnsi="Arial" w:cs="Arial"/>
        </w:rPr>
      </w:pPr>
      <w:r>
        <w:rPr>
          <w:rFonts w:ascii="Arial" w:hAnsi="Arial" w:cs="Arial"/>
        </w:rPr>
        <w:t>[1</w:t>
      </w:r>
      <w:r w:rsidR="008B54CD">
        <w:rPr>
          <w:rFonts w:ascii="Arial" w:hAnsi="Arial" w:cs="Arial"/>
        </w:rPr>
        <w:t>3</w:t>
      </w:r>
      <w:r w:rsidR="004F6669">
        <w:rPr>
          <w:rFonts w:ascii="Arial" w:hAnsi="Arial" w:cs="Arial"/>
        </w:rPr>
        <w:t>]</w:t>
      </w:r>
      <w:r w:rsidR="004F6669">
        <w:rPr>
          <w:rFonts w:ascii="Arial" w:hAnsi="Arial" w:cs="Arial"/>
        </w:rPr>
        <w:tab/>
      </w:r>
      <w:r w:rsidR="003A13AD">
        <w:rPr>
          <w:rFonts w:ascii="Arial" w:hAnsi="Arial" w:cs="Arial"/>
        </w:rPr>
        <w:t>Importantly, in this regard,</w:t>
      </w:r>
      <w:r w:rsidR="003A13AD" w:rsidRPr="00B41E43">
        <w:rPr>
          <w:rFonts w:ascii="Arial" w:hAnsi="Arial" w:cs="Arial"/>
        </w:rPr>
        <w:t xml:space="preserve"> a tax appeal is an appeal in the widest sense of the word, namely a complete rehearing of the matter. It has been described as </w:t>
      </w:r>
      <w:r w:rsidR="00140F09">
        <w:rPr>
          <w:rFonts w:ascii="Arial" w:hAnsi="Arial" w:cs="Arial"/>
        </w:rPr>
        <w:t xml:space="preserve">a </w:t>
      </w:r>
      <w:r w:rsidR="003A13AD" w:rsidRPr="00B41E43">
        <w:rPr>
          <w:rFonts w:ascii="Arial" w:hAnsi="Arial" w:cs="Arial"/>
        </w:rPr>
        <w:t>‘revision’ and not an appeal in the ordinary sense.</w:t>
      </w:r>
      <w:r w:rsidR="003A13AD">
        <w:rPr>
          <w:rStyle w:val="FootnoteReference"/>
          <w:rFonts w:ascii="Arial" w:hAnsi="Arial" w:cs="Arial"/>
        </w:rPr>
        <w:footnoteReference w:id="6"/>
      </w:r>
      <w:r w:rsidR="005072FA">
        <w:rPr>
          <w:rFonts w:ascii="Arial" w:hAnsi="Arial" w:cs="Arial"/>
        </w:rPr>
        <w:t xml:space="preserve"> This C</w:t>
      </w:r>
      <w:r w:rsidR="003A13AD" w:rsidRPr="00B41E43">
        <w:rPr>
          <w:rFonts w:ascii="Arial" w:hAnsi="Arial" w:cs="Arial"/>
        </w:rPr>
        <w:t xml:space="preserve">ourt recently put it as follows in </w:t>
      </w:r>
      <w:r w:rsidR="003A13AD" w:rsidRPr="00B41E43">
        <w:rPr>
          <w:rFonts w:ascii="Arial" w:hAnsi="Arial" w:cs="Arial"/>
          <w:i/>
        </w:rPr>
        <w:t>Africa Cash and Carry v Commissioner, SARS</w:t>
      </w:r>
      <w:r w:rsidR="003A13AD" w:rsidRPr="00B41E43">
        <w:rPr>
          <w:rFonts w:ascii="Arial" w:hAnsi="Arial" w:cs="Arial"/>
        </w:rPr>
        <w:t>:</w:t>
      </w:r>
    </w:p>
    <w:p w:rsidR="003A13AD" w:rsidRDefault="003A13AD" w:rsidP="003A13AD">
      <w:pPr>
        <w:rPr>
          <w:rFonts w:ascii="Arial" w:hAnsi="Arial" w:cs="Arial"/>
          <w:sz w:val="22"/>
          <w:szCs w:val="22"/>
        </w:rPr>
      </w:pPr>
      <w:r w:rsidRPr="00C52C7B">
        <w:rPr>
          <w:rFonts w:ascii="Arial" w:hAnsi="Arial" w:cs="Arial"/>
          <w:sz w:val="22"/>
          <w:szCs w:val="22"/>
        </w:rPr>
        <w:t xml:space="preserve">‘The point of departure should always be that a </w:t>
      </w:r>
      <w:r w:rsidR="00987F2D" w:rsidRPr="00C52C7B">
        <w:rPr>
          <w:rFonts w:ascii="Arial" w:hAnsi="Arial" w:cs="Arial"/>
          <w:sz w:val="22"/>
          <w:szCs w:val="22"/>
        </w:rPr>
        <w:t>t</w:t>
      </w:r>
      <w:r w:rsidRPr="00C52C7B">
        <w:rPr>
          <w:rFonts w:ascii="Arial" w:hAnsi="Arial" w:cs="Arial"/>
          <w:sz w:val="22"/>
          <w:szCs w:val="22"/>
        </w:rPr>
        <w:t xml:space="preserve">ax </w:t>
      </w:r>
      <w:r w:rsidR="00987F2D" w:rsidRPr="00C52C7B">
        <w:rPr>
          <w:rFonts w:ascii="Arial" w:hAnsi="Arial" w:cs="Arial"/>
          <w:sz w:val="22"/>
          <w:szCs w:val="22"/>
        </w:rPr>
        <w:t>c</w:t>
      </w:r>
      <w:r w:rsidRPr="00C52C7B">
        <w:rPr>
          <w:rFonts w:ascii="Arial" w:hAnsi="Arial" w:cs="Arial"/>
          <w:sz w:val="22"/>
          <w:szCs w:val="22"/>
        </w:rPr>
        <w:t>ourt is a court of revision and</w:t>
      </w:r>
      <w:r w:rsidR="00C52C7B">
        <w:rPr>
          <w:rFonts w:ascii="Arial" w:hAnsi="Arial" w:cs="Arial"/>
          <w:sz w:val="22"/>
          <w:szCs w:val="22"/>
        </w:rPr>
        <w:t>,</w:t>
      </w:r>
      <w:r w:rsidRPr="00C52C7B">
        <w:rPr>
          <w:rFonts w:ascii="Arial" w:hAnsi="Arial" w:cs="Arial"/>
          <w:sz w:val="22"/>
          <w:szCs w:val="22"/>
        </w:rPr>
        <w:t xml:space="preserve"> “not a court of appeal in the ordinary sense”. The legislature </w:t>
      </w:r>
      <w:r w:rsidR="007E604F" w:rsidRPr="00C52C7B">
        <w:rPr>
          <w:rFonts w:ascii="Arial" w:hAnsi="Arial" w:cs="Arial"/>
          <w:sz w:val="22"/>
          <w:szCs w:val="22"/>
        </w:rPr>
        <w:t>“</w:t>
      </w:r>
      <w:r w:rsidRPr="00C52C7B">
        <w:rPr>
          <w:rFonts w:ascii="Arial" w:hAnsi="Arial" w:cs="Arial"/>
          <w:sz w:val="22"/>
          <w:szCs w:val="22"/>
        </w:rPr>
        <w:t xml:space="preserve">intended that there could be a re-hearing of the whole matter by </w:t>
      </w:r>
      <w:r w:rsidR="00001B2A">
        <w:rPr>
          <w:rFonts w:ascii="Arial" w:hAnsi="Arial" w:cs="Arial"/>
          <w:sz w:val="22"/>
          <w:szCs w:val="22"/>
        </w:rPr>
        <w:t>the Special Court and that the C</w:t>
      </w:r>
      <w:r w:rsidRPr="00C52C7B">
        <w:rPr>
          <w:rFonts w:ascii="Arial" w:hAnsi="Arial" w:cs="Arial"/>
          <w:sz w:val="22"/>
          <w:szCs w:val="22"/>
        </w:rPr>
        <w:t xml:space="preserve">ourt </w:t>
      </w:r>
      <w:r w:rsidR="00001B2A">
        <w:rPr>
          <w:rFonts w:ascii="Arial" w:hAnsi="Arial" w:cs="Arial"/>
          <w:sz w:val="22"/>
          <w:szCs w:val="22"/>
        </w:rPr>
        <w:t xml:space="preserve">could </w:t>
      </w:r>
      <w:r w:rsidRPr="00C52C7B">
        <w:rPr>
          <w:rFonts w:ascii="Arial" w:hAnsi="Arial" w:cs="Arial"/>
          <w:sz w:val="22"/>
          <w:szCs w:val="22"/>
        </w:rPr>
        <w:t>substitute its own decision for that of the Commissioner</w:t>
      </w:r>
      <w:r w:rsidR="007E604F" w:rsidRPr="00C52C7B">
        <w:rPr>
          <w:rFonts w:ascii="Arial" w:hAnsi="Arial" w:cs="Arial"/>
          <w:sz w:val="22"/>
          <w:szCs w:val="22"/>
        </w:rPr>
        <w:t>”</w:t>
      </w:r>
      <w:r w:rsidRPr="00C52C7B">
        <w:rPr>
          <w:rFonts w:ascii="Arial" w:hAnsi="Arial" w:cs="Arial"/>
          <w:sz w:val="22"/>
          <w:szCs w:val="22"/>
        </w:rPr>
        <w:t xml:space="preserve">, if justified on the evidence before it. A </w:t>
      </w:r>
      <w:r w:rsidR="00987F2D" w:rsidRPr="00C52C7B">
        <w:rPr>
          <w:rFonts w:ascii="Arial" w:hAnsi="Arial" w:cs="Arial"/>
          <w:sz w:val="22"/>
          <w:szCs w:val="22"/>
        </w:rPr>
        <w:t>t</w:t>
      </w:r>
      <w:r w:rsidRPr="00C52C7B">
        <w:rPr>
          <w:rFonts w:ascii="Arial" w:hAnsi="Arial" w:cs="Arial"/>
          <w:sz w:val="22"/>
          <w:szCs w:val="22"/>
        </w:rPr>
        <w:t xml:space="preserve">ax </w:t>
      </w:r>
      <w:r w:rsidR="00987F2D" w:rsidRPr="00C52C7B">
        <w:rPr>
          <w:rFonts w:ascii="Arial" w:hAnsi="Arial" w:cs="Arial"/>
          <w:sz w:val="22"/>
          <w:szCs w:val="22"/>
        </w:rPr>
        <w:t>c</w:t>
      </w:r>
      <w:r w:rsidRPr="00C52C7B">
        <w:rPr>
          <w:rFonts w:ascii="Arial" w:hAnsi="Arial" w:cs="Arial"/>
          <w:sz w:val="22"/>
          <w:szCs w:val="22"/>
        </w:rPr>
        <w:t xml:space="preserve">ourt accordingly rehears the issues before it and decides afresh whether an estimated assessment is reasonable. It is not bound by what the Commissioner found. In rehearing the case it can either uphold the opinion of </w:t>
      </w:r>
      <w:r w:rsidR="008226CF" w:rsidRPr="00C52C7B">
        <w:rPr>
          <w:rFonts w:ascii="Arial" w:hAnsi="Arial" w:cs="Arial"/>
          <w:sz w:val="22"/>
          <w:szCs w:val="22"/>
        </w:rPr>
        <w:t>SARS</w:t>
      </w:r>
      <w:r w:rsidRPr="00C52C7B">
        <w:rPr>
          <w:rFonts w:ascii="Arial" w:hAnsi="Arial" w:cs="Arial"/>
          <w:sz w:val="22"/>
          <w:szCs w:val="22"/>
        </w:rPr>
        <w:t xml:space="preserve"> or overrule it and substitute it with its own opinion. The powers of the </w:t>
      </w:r>
      <w:r w:rsidR="00987F2D" w:rsidRPr="00C52C7B">
        <w:rPr>
          <w:rFonts w:ascii="Arial" w:hAnsi="Arial" w:cs="Arial"/>
          <w:sz w:val="22"/>
          <w:szCs w:val="22"/>
        </w:rPr>
        <w:t>t</w:t>
      </w:r>
      <w:r w:rsidRPr="00C52C7B">
        <w:rPr>
          <w:rFonts w:ascii="Arial" w:hAnsi="Arial" w:cs="Arial"/>
          <w:sz w:val="22"/>
          <w:szCs w:val="22"/>
        </w:rPr>
        <w:t xml:space="preserve">ax </w:t>
      </w:r>
      <w:r w:rsidR="00987F2D" w:rsidRPr="00C52C7B">
        <w:rPr>
          <w:rFonts w:ascii="Arial" w:hAnsi="Arial" w:cs="Arial"/>
          <w:sz w:val="22"/>
          <w:szCs w:val="22"/>
        </w:rPr>
        <w:t>c</w:t>
      </w:r>
      <w:r w:rsidRPr="00C52C7B">
        <w:rPr>
          <w:rFonts w:ascii="Arial" w:hAnsi="Arial" w:cs="Arial"/>
          <w:sz w:val="22"/>
          <w:szCs w:val="22"/>
        </w:rPr>
        <w:t>ourt and its functions are unique. It places itself in the shoes of the functionary and re-evaluate</w:t>
      </w:r>
      <w:r w:rsidR="00001B2A">
        <w:rPr>
          <w:rFonts w:ascii="Arial" w:hAnsi="Arial" w:cs="Arial"/>
          <w:sz w:val="22"/>
          <w:szCs w:val="22"/>
        </w:rPr>
        <w:t xml:space="preserve">s the facts and circumstances of the subject </w:t>
      </w:r>
      <w:r w:rsidRPr="00C52C7B">
        <w:rPr>
          <w:rFonts w:ascii="Arial" w:hAnsi="Arial" w:cs="Arial"/>
          <w:sz w:val="22"/>
          <w:szCs w:val="22"/>
        </w:rPr>
        <w:t>matter on which the assessments were based.’</w:t>
      </w:r>
      <w:r w:rsidRPr="00C52C7B">
        <w:rPr>
          <w:rStyle w:val="FootnoteReference"/>
          <w:rFonts w:ascii="Arial" w:hAnsi="Arial" w:cs="Arial"/>
          <w:sz w:val="22"/>
          <w:szCs w:val="22"/>
        </w:rPr>
        <w:footnoteReference w:id="7"/>
      </w:r>
    </w:p>
    <w:p w:rsidR="008B54CD" w:rsidRPr="00D67AF4" w:rsidRDefault="008B54CD" w:rsidP="003A13AD">
      <w:pPr>
        <w:rPr>
          <w:rFonts w:ascii="Arial" w:hAnsi="Arial" w:cs="Arial"/>
        </w:rPr>
      </w:pPr>
    </w:p>
    <w:p w:rsidR="003A13AD" w:rsidRDefault="0030063A" w:rsidP="003A13AD">
      <w:pPr>
        <w:rPr>
          <w:rFonts w:ascii="Arial" w:hAnsi="Arial" w:cs="Arial"/>
        </w:rPr>
      </w:pPr>
      <w:r>
        <w:rPr>
          <w:rFonts w:ascii="Arial" w:hAnsi="Arial" w:cs="Arial"/>
        </w:rPr>
        <w:lastRenderedPageBreak/>
        <w:t>[1</w:t>
      </w:r>
      <w:r w:rsidR="008B54CD">
        <w:rPr>
          <w:rFonts w:ascii="Arial" w:hAnsi="Arial" w:cs="Arial"/>
        </w:rPr>
        <w:t>4</w:t>
      </w:r>
      <w:r w:rsidR="004F6669">
        <w:rPr>
          <w:rFonts w:ascii="Arial" w:hAnsi="Arial" w:cs="Arial"/>
        </w:rPr>
        <w:t>]</w:t>
      </w:r>
      <w:r w:rsidR="004F6669">
        <w:rPr>
          <w:rFonts w:ascii="Arial" w:hAnsi="Arial" w:cs="Arial"/>
        </w:rPr>
        <w:tab/>
      </w:r>
      <w:r w:rsidR="003A13AD" w:rsidRPr="00B41E43">
        <w:rPr>
          <w:rFonts w:ascii="Arial" w:hAnsi="Arial" w:cs="Arial"/>
        </w:rPr>
        <w:t xml:space="preserve">This wide power of revision of the </w:t>
      </w:r>
      <w:r w:rsidR="00987F2D">
        <w:rPr>
          <w:rFonts w:ascii="Arial" w:hAnsi="Arial" w:cs="Arial"/>
        </w:rPr>
        <w:t>t</w:t>
      </w:r>
      <w:r w:rsidR="003A13AD" w:rsidRPr="00B41E43">
        <w:rPr>
          <w:rFonts w:ascii="Arial" w:hAnsi="Arial" w:cs="Arial"/>
        </w:rPr>
        <w:t xml:space="preserve">ax </w:t>
      </w:r>
      <w:r w:rsidR="00987F2D">
        <w:rPr>
          <w:rFonts w:ascii="Arial" w:hAnsi="Arial" w:cs="Arial"/>
        </w:rPr>
        <w:t>c</w:t>
      </w:r>
      <w:r w:rsidR="003A13AD" w:rsidRPr="00B41E43">
        <w:rPr>
          <w:rFonts w:ascii="Arial" w:hAnsi="Arial" w:cs="Arial"/>
        </w:rPr>
        <w:t xml:space="preserve">ourt includes the power to determine the legality of an </w:t>
      </w:r>
      <w:r w:rsidR="003A13AD">
        <w:rPr>
          <w:rFonts w:ascii="Arial" w:hAnsi="Arial" w:cs="Arial"/>
        </w:rPr>
        <w:t xml:space="preserve">assessment on grounds of review. </w:t>
      </w:r>
      <w:r w:rsidR="003A13AD" w:rsidRPr="00B41E43">
        <w:rPr>
          <w:rFonts w:ascii="Arial" w:hAnsi="Arial" w:cs="Arial"/>
        </w:rPr>
        <w:t xml:space="preserve">In </w:t>
      </w:r>
      <w:r w:rsidR="003A13AD" w:rsidRPr="00B41E43">
        <w:rPr>
          <w:rFonts w:ascii="Arial" w:hAnsi="Arial" w:cs="Arial"/>
          <w:i/>
        </w:rPr>
        <w:t>Transvaalse Suikerkorporasie</w:t>
      </w:r>
      <w:r w:rsidR="003A13AD" w:rsidRPr="00283D44">
        <w:rPr>
          <w:rFonts w:ascii="Arial" w:hAnsi="Arial" w:cs="Arial"/>
        </w:rPr>
        <w:t>,</w:t>
      </w:r>
      <w:r w:rsidR="003A13AD">
        <w:rPr>
          <w:rStyle w:val="FootnoteReference"/>
          <w:rFonts w:ascii="Arial" w:hAnsi="Arial" w:cs="Arial"/>
        </w:rPr>
        <w:footnoteReference w:id="8"/>
      </w:r>
      <w:r w:rsidR="003A13AD" w:rsidRPr="00B41E43">
        <w:rPr>
          <w:rFonts w:ascii="Arial" w:hAnsi="Arial" w:cs="Arial"/>
        </w:rPr>
        <w:t xml:space="preserve"> </w:t>
      </w:r>
      <w:r w:rsidR="003A13AD">
        <w:rPr>
          <w:rFonts w:ascii="Arial" w:hAnsi="Arial" w:cs="Arial"/>
        </w:rPr>
        <w:t>which concerned an appeal to a Full Court of the then Transvaal Provincial D</w:t>
      </w:r>
      <w:r w:rsidR="005072FA">
        <w:rPr>
          <w:rFonts w:ascii="Arial" w:hAnsi="Arial" w:cs="Arial"/>
        </w:rPr>
        <w:t>ivision against a judgment of the S</w:t>
      </w:r>
      <w:r w:rsidR="003A13AD">
        <w:rPr>
          <w:rFonts w:ascii="Arial" w:hAnsi="Arial" w:cs="Arial"/>
        </w:rPr>
        <w:t xml:space="preserve">pecial </w:t>
      </w:r>
      <w:r w:rsidR="005072FA">
        <w:rPr>
          <w:rFonts w:ascii="Arial" w:hAnsi="Arial" w:cs="Arial"/>
        </w:rPr>
        <w:t>T</w:t>
      </w:r>
      <w:r w:rsidR="003A13AD">
        <w:rPr>
          <w:rFonts w:ascii="Arial" w:hAnsi="Arial" w:cs="Arial"/>
        </w:rPr>
        <w:t xml:space="preserve">ax </w:t>
      </w:r>
      <w:r w:rsidR="005072FA">
        <w:rPr>
          <w:rFonts w:ascii="Arial" w:hAnsi="Arial" w:cs="Arial"/>
        </w:rPr>
        <w:t>C</w:t>
      </w:r>
      <w:r w:rsidR="003A13AD">
        <w:rPr>
          <w:rFonts w:ascii="Arial" w:hAnsi="Arial" w:cs="Arial"/>
        </w:rPr>
        <w:t>ourt that had upheld a taxpayer’s appeal against an additional income tax assessment,</w:t>
      </w:r>
      <w:r w:rsidR="003A13AD" w:rsidRPr="00B41E43">
        <w:rPr>
          <w:rFonts w:ascii="Arial" w:hAnsi="Arial" w:cs="Arial"/>
        </w:rPr>
        <w:t xml:space="preserve"> SARS contended that it was not competent for a ta</w:t>
      </w:r>
      <w:r w:rsidR="003A13AD">
        <w:rPr>
          <w:rFonts w:ascii="Arial" w:hAnsi="Arial" w:cs="Arial"/>
        </w:rPr>
        <w:t>x</w:t>
      </w:r>
      <w:r w:rsidR="003A13AD" w:rsidRPr="00B41E43">
        <w:rPr>
          <w:rFonts w:ascii="Arial" w:hAnsi="Arial" w:cs="Arial"/>
        </w:rPr>
        <w:t>payer to invoke grounds of review in a tax appeal</w:t>
      </w:r>
      <w:r w:rsidR="003A13AD">
        <w:rPr>
          <w:rFonts w:ascii="Arial" w:hAnsi="Arial" w:cs="Arial"/>
        </w:rPr>
        <w:t>. The Full Court</w:t>
      </w:r>
      <w:r w:rsidR="003A13AD" w:rsidRPr="00B41E43">
        <w:rPr>
          <w:rFonts w:ascii="Arial" w:hAnsi="Arial" w:cs="Arial"/>
        </w:rPr>
        <w:t xml:space="preserve"> rejected SARS’ argument. It held that, save in respect of decisions in relation to which a right of appeal was expressly excluded b</w:t>
      </w:r>
      <w:r w:rsidR="003A13AD">
        <w:rPr>
          <w:rFonts w:ascii="Arial" w:hAnsi="Arial" w:cs="Arial"/>
        </w:rPr>
        <w:t xml:space="preserve">y the tax legislation, the </w:t>
      </w:r>
      <w:r w:rsidR="00987F2D">
        <w:rPr>
          <w:rFonts w:ascii="Arial" w:hAnsi="Arial" w:cs="Arial"/>
        </w:rPr>
        <w:t>t</w:t>
      </w:r>
      <w:r w:rsidR="003A13AD">
        <w:rPr>
          <w:rFonts w:ascii="Arial" w:hAnsi="Arial" w:cs="Arial"/>
        </w:rPr>
        <w:t xml:space="preserve">ax </w:t>
      </w:r>
      <w:r w:rsidR="00987F2D">
        <w:rPr>
          <w:rFonts w:ascii="Arial" w:hAnsi="Arial" w:cs="Arial"/>
        </w:rPr>
        <w:t>c</w:t>
      </w:r>
      <w:r w:rsidR="003A13AD" w:rsidRPr="00B41E43">
        <w:rPr>
          <w:rFonts w:ascii="Arial" w:hAnsi="Arial" w:cs="Arial"/>
        </w:rPr>
        <w:t>ourt was empowered to take into consideration</w:t>
      </w:r>
      <w:r w:rsidR="003A13AD">
        <w:rPr>
          <w:rFonts w:ascii="Arial" w:hAnsi="Arial" w:cs="Arial"/>
        </w:rPr>
        <w:t xml:space="preserve"> whether or not SARS</w:t>
      </w:r>
      <w:r w:rsidR="003A13AD" w:rsidRPr="00B41E43">
        <w:rPr>
          <w:rFonts w:ascii="Arial" w:hAnsi="Arial" w:cs="Arial"/>
        </w:rPr>
        <w:t xml:space="preserve"> had prope</w:t>
      </w:r>
      <w:r w:rsidR="003A13AD">
        <w:rPr>
          <w:rFonts w:ascii="Arial" w:hAnsi="Arial" w:cs="Arial"/>
        </w:rPr>
        <w:t xml:space="preserve">rly exercised </w:t>
      </w:r>
      <w:r w:rsidR="003A13AD" w:rsidRPr="00B41E43">
        <w:rPr>
          <w:rFonts w:ascii="Arial" w:hAnsi="Arial" w:cs="Arial"/>
        </w:rPr>
        <w:t>i</w:t>
      </w:r>
      <w:r w:rsidR="003A13AD">
        <w:rPr>
          <w:rFonts w:ascii="Arial" w:hAnsi="Arial" w:cs="Arial"/>
        </w:rPr>
        <w:t>t</w:t>
      </w:r>
      <w:r w:rsidR="003A13AD" w:rsidRPr="00B41E43">
        <w:rPr>
          <w:rFonts w:ascii="Arial" w:hAnsi="Arial" w:cs="Arial"/>
        </w:rPr>
        <w:t xml:space="preserve">s discretion in respect of </w:t>
      </w:r>
      <w:r w:rsidR="003A13AD">
        <w:rPr>
          <w:rFonts w:ascii="Arial" w:hAnsi="Arial" w:cs="Arial"/>
        </w:rPr>
        <w:t xml:space="preserve">the </w:t>
      </w:r>
      <w:r w:rsidR="003A13AD" w:rsidRPr="00B41E43">
        <w:rPr>
          <w:rFonts w:ascii="Arial" w:hAnsi="Arial" w:cs="Arial"/>
        </w:rPr>
        <w:t xml:space="preserve">making </w:t>
      </w:r>
      <w:r w:rsidR="003A13AD">
        <w:rPr>
          <w:rFonts w:ascii="Arial" w:hAnsi="Arial" w:cs="Arial"/>
        </w:rPr>
        <w:t xml:space="preserve">of the </w:t>
      </w:r>
      <w:r w:rsidR="003A13AD" w:rsidRPr="00B41E43">
        <w:rPr>
          <w:rFonts w:ascii="Arial" w:hAnsi="Arial" w:cs="Arial"/>
        </w:rPr>
        <w:t>assessments that were subject to appeal. In that context, so the court held, where the exercise of a discretion is pertinent to the making of the i</w:t>
      </w:r>
      <w:r w:rsidR="003A13AD">
        <w:rPr>
          <w:rFonts w:ascii="Arial" w:hAnsi="Arial" w:cs="Arial"/>
        </w:rPr>
        <w:t>mpugned assessment, the ‘appeal’ is in reality a ‘review’</w:t>
      </w:r>
      <w:r w:rsidR="003A13AD" w:rsidRPr="00B41E43">
        <w:rPr>
          <w:rFonts w:ascii="Arial" w:hAnsi="Arial" w:cs="Arial"/>
        </w:rPr>
        <w:t xml:space="preserve"> o</w:t>
      </w:r>
      <w:r w:rsidR="003A13AD">
        <w:rPr>
          <w:rFonts w:ascii="Arial" w:hAnsi="Arial" w:cs="Arial"/>
        </w:rPr>
        <w:t xml:space="preserve">f the </w:t>
      </w:r>
      <w:r w:rsidR="003A13AD" w:rsidRPr="00B41E43">
        <w:rPr>
          <w:rFonts w:ascii="Arial" w:hAnsi="Arial" w:cs="Arial"/>
        </w:rPr>
        <w:t>decision on customary review grounds.</w:t>
      </w:r>
      <w:r w:rsidR="003A13AD">
        <w:rPr>
          <w:rStyle w:val="FootnoteReference"/>
          <w:rFonts w:ascii="Arial" w:hAnsi="Arial" w:cs="Arial"/>
        </w:rPr>
        <w:footnoteReference w:id="9"/>
      </w:r>
      <w:r w:rsidR="003A13AD">
        <w:rPr>
          <w:rFonts w:ascii="Arial" w:hAnsi="Arial" w:cs="Arial"/>
        </w:rPr>
        <w:t xml:space="preserve"> </w:t>
      </w:r>
    </w:p>
    <w:p w:rsidR="003A13AD" w:rsidRDefault="003A13AD" w:rsidP="003A13AD">
      <w:pPr>
        <w:rPr>
          <w:rFonts w:ascii="Arial" w:hAnsi="Arial" w:cs="Arial"/>
        </w:rPr>
      </w:pPr>
    </w:p>
    <w:p w:rsidR="003A13AD" w:rsidRPr="007B17A9" w:rsidRDefault="0030063A" w:rsidP="003A13AD">
      <w:pPr>
        <w:rPr>
          <w:rFonts w:ascii="Arial" w:hAnsi="Arial" w:cs="Arial"/>
        </w:rPr>
      </w:pPr>
      <w:r>
        <w:rPr>
          <w:rFonts w:ascii="Arial" w:hAnsi="Arial" w:cs="Arial"/>
        </w:rPr>
        <w:t>[1</w:t>
      </w:r>
      <w:r w:rsidR="008B54CD">
        <w:rPr>
          <w:rFonts w:ascii="Arial" w:hAnsi="Arial" w:cs="Arial"/>
        </w:rPr>
        <w:t>5</w:t>
      </w:r>
      <w:r w:rsidR="004F6669">
        <w:rPr>
          <w:rFonts w:ascii="Arial" w:hAnsi="Arial" w:cs="Arial"/>
        </w:rPr>
        <w:t>]</w:t>
      </w:r>
      <w:r w:rsidR="004F6669">
        <w:rPr>
          <w:rFonts w:ascii="Arial" w:hAnsi="Arial" w:cs="Arial"/>
        </w:rPr>
        <w:tab/>
      </w:r>
      <w:r w:rsidR="003A13AD" w:rsidRPr="00534E5B">
        <w:rPr>
          <w:rFonts w:ascii="Arial" w:hAnsi="Arial" w:cs="Arial"/>
          <w:i/>
        </w:rPr>
        <w:t>Transvaalse Suikerkorporasie</w:t>
      </w:r>
      <w:r w:rsidR="003A13AD" w:rsidRPr="00534E5B">
        <w:rPr>
          <w:rFonts w:ascii="Arial" w:hAnsi="Arial" w:cs="Arial"/>
        </w:rPr>
        <w:t xml:space="preserve"> </w:t>
      </w:r>
      <w:r w:rsidR="003A13AD">
        <w:rPr>
          <w:rFonts w:ascii="Arial" w:hAnsi="Arial" w:cs="Arial"/>
        </w:rPr>
        <w:t>was followed by a Full Court</w:t>
      </w:r>
      <w:r w:rsidR="003A13AD" w:rsidRPr="00534E5B">
        <w:rPr>
          <w:rFonts w:ascii="Arial" w:hAnsi="Arial" w:cs="Arial"/>
        </w:rPr>
        <w:t xml:space="preserve"> of the </w:t>
      </w:r>
      <w:r w:rsidR="003A13AD">
        <w:rPr>
          <w:rFonts w:ascii="Arial" w:hAnsi="Arial" w:cs="Arial"/>
        </w:rPr>
        <w:t xml:space="preserve">Western </w:t>
      </w:r>
      <w:r w:rsidR="003A13AD" w:rsidRPr="00534E5B">
        <w:rPr>
          <w:rFonts w:ascii="Arial" w:hAnsi="Arial" w:cs="Arial"/>
        </w:rPr>
        <w:t>Cape High C</w:t>
      </w:r>
      <w:r w:rsidR="003A13AD">
        <w:rPr>
          <w:rFonts w:ascii="Arial" w:hAnsi="Arial" w:cs="Arial"/>
        </w:rPr>
        <w:t xml:space="preserve">ourt </w:t>
      </w:r>
      <w:r w:rsidR="003A13AD" w:rsidRPr="00534E5B">
        <w:rPr>
          <w:rFonts w:ascii="Arial" w:hAnsi="Arial" w:cs="Arial"/>
        </w:rPr>
        <w:t xml:space="preserve">in </w:t>
      </w:r>
      <w:r w:rsidR="003A13AD" w:rsidRPr="00534E5B">
        <w:rPr>
          <w:rFonts w:ascii="Arial" w:hAnsi="Arial" w:cs="Arial"/>
          <w:i/>
        </w:rPr>
        <w:t>South Atlantic Jazz Festival</w:t>
      </w:r>
      <w:r w:rsidR="003A13AD">
        <w:rPr>
          <w:rFonts w:ascii="Arial" w:hAnsi="Arial" w:cs="Arial"/>
        </w:rPr>
        <w:t>.</w:t>
      </w:r>
      <w:r w:rsidR="003A13AD">
        <w:rPr>
          <w:rStyle w:val="FootnoteReference"/>
          <w:rFonts w:ascii="Arial" w:hAnsi="Arial" w:cs="Arial"/>
        </w:rPr>
        <w:footnoteReference w:id="10"/>
      </w:r>
      <w:r w:rsidR="003A13AD">
        <w:rPr>
          <w:rFonts w:ascii="Arial" w:hAnsi="Arial" w:cs="Arial"/>
        </w:rPr>
        <w:t xml:space="preserve"> The reasoning in </w:t>
      </w:r>
      <w:r w:rsidR="003A13AD" w:rsidRPr="00534E5B">
        <w:rPr>
          <w:rFonts w:ascii="Arial" w:hAnsi="Arial" w:cs="Arial"/>
          <w:i/>
        </w:rPr>
        <w:t>Transvaalse Suikerkorporasie</w:t>
      </w:r>
      <w:r w:rsidR="003A13AD" w:rsidRPr="00534E5B">
        <w:rPr>
          <w:rFonts w:ascii="Arial" w:hAnsi="Arial" w:cs="Arial"/>
        </w:rPr>
        <w:t xml:space="preserve"> </w:t>
      </w:r>
      <w:r w:rsidR="003A13AD">
        <w:rPr>
          <w:rFonts w:ascii="Arial" w:hAnsi="Arial" w:cs="Arial"/>
        </w:rPr>
        <w:t>was there described as ‘compelling’</w:t>
      </w:r>
      <w:r w:rsidR="003A13AD" w:rsidRPr="00534E5B">
        <w:rPr>
          <w:rFonts w:ascii="Arial" w:hAnsi="Arial" w:cs="Arial"/>
        </w:rPr>
        <w:t xml:space="preserve"> and </w:t>
      </w:r>
      <w:r w:rsidR="003A13AD">
        <w:rPr>
          <w:rFonts w:ascii="Arial" w:hAnsi="Arial" w:cs="Arial"/>
        </w:rPr>
        <w:t>‘</w:t>
      </w:r>
      <w:r w:rsidR="003A13AD" w:rsidRPr="00534E5B">
        <w:rPr>
          <w:rFonts w:ascii="Arial" w:hAnsi="Arial" w:cs="Arial"/>
        </w:rPr>
        <w:t>conceptually consistent in all material respects</w:t>
      </w:r>
      <w:r w:rsidR="003A13AD">
        <w:rPr>
          <w:rFonts w:ascii="Arial" w:hAnsi="Arial" w:cs="Arial"/>
        </w:rPr>
        <w:t>’</w:t>
      </w:r>
      <w:r w:rsidR="003A13AD" w:rsidRPr="00534E5B">
        <w:rPr>
          <w:rFonts w:ascii="Arial" w:hAnsi="Arial" w:cs="Arial"/>
        </w:rPr>
        <w:t xml:space="preserve"> with an earlier judgment </w:t>
      </w:r>
      <w:r w:rsidR="003A13AD">
        <w:rPr>
          <w:rFonts w:ascii="Arial" w:hAnsi="Arial" w:cs="Arial"/>
        </w:rPr>
        <w:t xml:space="preserve">of </w:t>
      </w:r>
      <w:r w:rsidR="003A13AD" w:rsidRPr="001754FA">
        <w:rPr>
          <w:rFonts w:ascii="Arial" w:hAnsi="Arial" w:cs="Arial"/>
        </w:rPr>
        <w:t>Van Winsen J in the Cape Income Tax Special Court.</w:t>
      </w:r>
      <w:r w:rsidR="003A13AD" w:rsidRPr="001754FA">
        <w:rPr>
          <w:rStyle w:val="FootnoteReference"/>
          <w:rFonts w:ascii="Arial" w:hAnsi="Arial" w:cs="Arial"/>
        </w:rPr>
        <w:footnoteReference w:id="11"/>
      </w:r>
      <w:r w:rsidR="003A13AD" w:rsidRPr="001754FA">
        <w:rPr>
          <w:rFonts w:ascii="Arial" w:hAnsi="Arial" w:cs="Arial"/>
        </w:rPr>
        <w:t xml:space="preserve"> I</w:t>
      </w:r>
      <w:r w:rsidR="003A13AD">
        <w:rPr>
          <w:rFonts w:ascii="Arial" w:hAnsi="Arial" w:cs="Arial"/>
        </w:rPr>
        <w:t xml:space="preserve">n </w:t>
      </w:r>
      <w:r w:rsidR="003A13AD" w:rsidRPr="007B17A9">
        <w:rPr>
          <w:rFonts w:ascii="Arial" w:hAnsi="Arial" w:cs="Arial"/>
          <w:i/>
        </w:rPr>
        <w:t>Wingate-Pearse</w:t>
      </w:r>
      <w:r w:rsidR="003A13AD">
        <w:rPr>
          <w:rFonts w:ascii="Arial" w:hAnsi="Arial" w:cs="Arial"/>
        </w:rPr>
        <w:t>, which</w:t>
      </w:r>
      <w:r w:rsidR="003A13AD" w:rsidRPr="007B17A9">
        <w:rPr>
          <w:rFonts w:ascii="Arial" w:hAnsi="Arial" w:cs="Arial"/>
        </w:rPr>
        <w:t xml:space="preserve"> followed and applied </w:t>
      </w:r>
      <w:r w:rsidR="003A13AD" w:rsidRPr="007B17A9">
        <w:rPr>
          <w:rFonts w:ascii="Arial" w:hAnsi="Arial" w:cs="Arial"/>
          <w:i/>
        </w:rPr>
        <w:t>South Atlantic Jazz Festival</w:t>
      </w:r>
      <w:r w:rsidR="003A13AD">
        <w:rPr>
          <w:rFonts w:ascii="Arial" w:hAnsi="Arial" w:cs="Arial"/>
        </w:rPr>
        <w:t>, it was stated</w:t>
      </w:r>
      <w:r w:rsidR="003A13AD" w:rsidRPr="007B17A9">
        <w:rPr>
          <w:rFonts w:ascii="Arial" w:hAnsi="Arial" w:cs="Arial"/>
        </w:rPr>
        <w:t>:</w:t>
      </w:r>
    </w:p>
    <w:p w:rsidR="003A13AD" w:rsidRPr="00692B59" w:rsidRDefault="003A13AD" w:rsidP="003A13AD">
      <w:pPr>
        <w:rPr>
          <w:rFonts w:ascii="Arial" w:hAnsi="Arial" w:cs="Arial"/>
          <w:sz w:val="22"/>
          <w:szCs w:val="22"/>
        </w:rPr>
      </w:pPr>
      <w:r w:rsidRPr="00692B59">
        <w:rPr>
          <w:rFonts w:ascii="Arial" w:hAnsi="Arial" w:cs="Arial"/>
          <w:sz w:val="22"/>
          <w:szCs w:val="22"/>
        </w:rPr>
        <w:t xml:space="preserve">‘The fact that the determination of Mr Wingate-Pearse’s tax appeal might entail the </w:t>
      </w:r>
      <w:r w:rsidR="00987F2D">
        <w:rPr>
          <w:rFonts w:ascii="Arial" w:hAnsi="Arial" w:cs="Arial"/>
          <w:sz w:val="22"/>
          <w:szCs w:val="22"/>
        </w:rPr>
        <w:t>t</w:t>
      </w:r>
      <w:r w:rsidRPr="00692B59">
        <w:rPr>
          <w:rFonts w:ascii="Arial" w:hAnsi="Arial" w:cs="Arial"/>
          <w:sz w:val="22"/>
          <w:szCs w:val="22"/>
        </w:rPr>
        <w:t xml:space="preserve">ax </w:t>
      </w:r>
      <w:r w:rsidR="00987F2D">
        <w:rPr>
          <w:rFonts w:ascii="Arial" w:hAnsi="Arial" w:cs="Arial"/>
          <w:sz w:val="22"/>
          <w:szCs w:val="22"/>
        </w:rPr>
        <w:t>c</w:t>
      </w:r>
      <w:r w:rsidRPr="00692B59">
        <w:rPr>
          <w:rFonts w:ascii="Arial" w:hAnsi="Arial" w:cs="Arial"/>
          <w:sz w:val="22"/>
          <w:szCs w:val="22"/>
        </w:rPr>
        <w:t xml:space="preserve">ourt considering the legality of an administrative decision, that was integral to the making of the additional estimated assessments, does not deprive that court of its jurisdiction to decide the </w:t>
      </w:r>
      <w:r w:rsidR="00977ABD">
        <w:rPr>
          <w:rFonts w:ascii="Arial" w:hAnsi="Arial" w:cs="Arial"/>
          <w:sz w:val="22"/>
          <w:szCs w:val="22"/>
        </w:rPr>
        <w:t xml:space="preserve">tax </w:t>
      </w:r>
      <w:r w:rsidRPr="00692B59">
        <w:rPr>
          <w:rFonts w:ascii="Arial" w:hAnsi="Arial" w:cs="Arial"/>
          <w:sz w:val="22"/>
          <w:szCs w:val="22"/>
        </w:rPr>
        <w:t>appeal.’</w:t>
      </w:r>
      <w:r w:rsidRPr="00692B59">
        <w:rPr>
          <w:rStyle w:val="FootnoteReference"/>
          <w:rFonts w:ascii="Arial" w:hAnsi="Arial" w:cs="Arial"/>
          <w:sz w:val="22"/>
          <w:szCs w:val="22"/>
        </w:rPr>
        <w:footnoteReference w:id="12"/>
      </w:r>
    </w:p>
    <w:p w:rsidR="003A13AD" w:rsidRDefault="003A13AD" w:rsidP="003A13AD">
      <w:pPr>
        <w:rPr>
          <w:rFonts w:ascii="Arial" w:hAnsi="Arial" w:cs="Arial"/>
        </w:rPr>
      </w:pPr>
    </w:p>
    <w:p w:rsidR="003A13AD" w:rsidRPr="00E42544" w:rsidRDefault="0030063A" w:rsidP="003A13AD">
      <w:pPr>
        <w:rPr>
          <w:rFonts w:ascii="Arial" w:hAnsi="Arial" w:cs="Arial"/>
          <w:b/>
        </w:rPr>
      </w:pPr>
      <w:r>
        <w:rPr>
          <w:rFonts w:ascii="Arial" w:hAnsi="Arial" w:cs="Arial"/>
        </w:rPr>
        <w:t>[1</w:t>
      </w:r>
      <w:r w:rsidR="008B54CD">
        <w:rPr>
          <w:rFonts w:ascii="Arial" w:hAnsi="Arial" w:cs="Arial"/>
        </w:rPr>
        <w:t>6</w:t>
      </w:r>
      <w:r w:rsidR="004F6669">
        <w:rPr>
          <w:rFonts w:ascii="Arial" w:hAnsi="Arial" w:cs="Arial"/>
        </w:rPr>
        <w:t>]</w:t>
      </w:r>
      <w:r w:rsidR="004F6669">
        <w:rPr>
          <w:rFonts w:ascii="Arial" w:hAnsi="Arial" w:cs="Arial"/>
        </w:rPr>
        <w:tab/>
      </w:r>
      <w:r w:rsidR="003A13AD">
        <w:rPr>
          <w:rFonts w:ascii="Arial" w:hAnsi="Arial" w:cs="Arial"/>
        </w:rPr>
        <w:t>T</w:t>
      </w:r>
      <w:r w:rsidR="003A13AD" w:rsidRPr="00E42544">
        <w:rPr>
          <w:rFonts w:ascii="Arial" w:hAnsi="Arial" w:cs="Arial"/>
        </w:rPr>
        <w:t xml:space="preserve">he TAA does not disqualify the </w:t>
      </w:r>
      <w:r w:rsidR="003A13AD">
        <w:rPr>
          <w:rFonts w:ascii="Arial" w:hAnsi="Arial" w:cs="Arial"/>
        </w:rPr>
        <w:t>h</w:t>
      </w:r>
      <w:r w:rsidR="003A13AD" w:rsidRPr="00E42544">
        <w:rPr>
          <w:rFonts w:ascii="Arial" w:hAnsi="Arial" w:cs="Arial"/>
        </w:rPr>
        <w:t xml:space="preserve">igh </w:t>
      </w:r>
      <w:r w:rsidR="003A13AD">
        <w:rPr>
          <w:rFonts w:ascii="Arial" w:hAnsi="Arial" w:cs="Arial"/>
        </w:rPr>
        <w:t>c</w:t>
      </w:r>
      <w:r w:rsidR="003A13AD" w:rsidRPr="00E42544">
        <w:rPr>
          <w:rFonts w:ascii="Arial" w:hAnsi="Arial" w:cs="Arial"/>
        </w:rPr>
        <w:t>ourt from determining tax disp</w:t>
      </w:r>
      <w:r w:rsidR="003A13AD">
        <w:rPr>
          <w:rFonts w:ascii="Arial" w:hAnsi="Arial" w:cs="Arial"/>
        </w:rPr>
        <w:t>utes. It may, subject to s</w:t>
      </w:r>
      <w:r w:rsidR="003A13AD" w:rsidRPr="00E42544">
        <w:rPr>
          <w:rFonts w:ascii="Arial" w:hAnsi="Arial" w:cs="Arial"/>
        </w:rPr>
        <w:t xml:space="preserve"> 105, determine any legal issues arising from tax disputes including reviews of assessments or other decisions.</w:t>
      </w:r>
      <w:r w:rsidR="003A13AD">
        <w:rPr>
          <w:rFonts w:ascii="Arial" w:hAnsi="Arial" w:cs="Arial"/>
          <w:b/>
        </w:rPr>
        <w:t xml:space="preserve"> </w:t>
      </w:r>
      <w:r w:rsidR="003A13AD" w:rsidRPr="00E42544">
        <w:rPr>
          <w:rFonts w:ascii="Arial" w:hAnsi="Arial" w:cs="Arial"/>
        </w:rPr>
        <w:t xml:space="preserve">The Constitutional Court noted in </w:t>
      </w:r>
      <w:r w:rsidR="003A13AD" w:rsidRPr="00845FED">
        <w:rPr>
          <w:rFonts w:ascii="Arial" w:hAnsi="Arial" w:cs="Arial"/>
          <w:i/>
        </w:rPr>
        <w:t>Metcash</w:t>
      </w:r>
      <w:r w:rsidR="003A13AD" w:rsidRPr="00E42544">
        <w:rPr>
          <w:rFonts w:ascii="Arial" w:hAnsi="Arial" w:cs="Arial"/>
        </w:rPr>
        <w:t xml:space="preserve"> </w:t>
      </w:r>
      <w:r w:rsidR="003A13AD" w:rsidRPr="00E42544">
        <w:rPr>
          <w:rFonts w:ascii="Arial" w:hAnsi="Arial" w:cs="Arial"/>
        </w:rPr>
        <w:lastRenderedPageBreak/>
        <w:t>that ‘it has for many years been settled law that the Supreme Court has jurisdiction to hear and determine income tax cases turning on legal issues’.</w:t>
      </w:r>
      <w:r w:rsidR="003A13AD">
        <w:rPr>
          <w:rStyle w:val="FootnoteReference"/>
          <w:rFonts w:ascii="Arial" w:hAnsi="Arial" w:cs="Arial"/>
        </w:rPr>
        <w:footnoteReference w:id="13"/>
      </w:r>
      <w:r w:rsidR="003A13AD">
        <w:rPr>
          <w:rFonts w:ascii="Arial" w:hAnsi="Arial" w:cs="Arial"/>
        </w:rPr>
        <w:t xml:space="preserve"> </w:t>
      </w:r>
      <w:r w:rsidR="003A13AD" w:rsidRPr="00E42544">
        <w:rPr>
          <w:rFonts w:ascii="Arial" w:hAnsi="Arial" w:cs="Arial"/>
          <w:i/>
        </w:rPr>
        <w:t>United Manganese of Kalahari v Commissioner, SARS</w:t>
      </w:r>
      <w:r w:rsidR="003A13AD">
        <w:rPr>
          <w:rFonts w:ascii="Arial" w:hAnsi="Arial" w:cs="Arial"/>
          <w:b/>
        </w:rPr>
        <w:t xml:space="preserve"> </w:t>
      </w:r>
      <w:r w:rsidR="003A13AD" w:rsidRPr="00E42544">
        <w:rPr>
          <w:rFonts w:ascii="Arial" w:hAnsi="Arial" w:cs="Arial"/>
        </w:rPr>
        <w:t>recently referred to</w:t>
      </w:r>
      <w:r w:rsidR="003A13AD">
        <w:rPr>
          <w:rFonts w:ascii="Arial" w:hAnsi="Arial" w:cs="Arial"/>
        </w:rPr>
        <w:t>,</w:t>
      </w:r>
      <w:r w:rsidR="003A13AD" w:rsidRPr="00E42544">
        <w:rPr>
          <w:rFonts w:ascii="Arial" w:hAnsi="Arial" w:cs="Arial"/>
        </w:rPr>
        <w:t xml:space="preserve"> cited </w:t>
      </w:r>
      <w:r w:rsidR="003A13AD" w:rsidRPr="00845FED">
        <w:rPr>
          <w:rFonts w:ascii="Arial" w:hAnsi="Arial" w:cs="Arial"/>
          <w:i/>
        </w:rPr>
        <w:t>Metcash</w:t>
      </w:r>
      <w:r w:rsidR="003A13AD" w:rsidRPr="00E42544">
        <w:rPr>
          <w:rFonts w:ascii="Arial" w:hAnsi="Arial" w:cs="Arial"/>
        </w:rPr>
        <w:t xml:space="preserve"> and confirmed that:</w:t>
      </w:r>
    </w:p>
    <w:p w:rsidR="003A13AD" w:rsidRPr="00692B59" w:rsidRDefault="003A13AD" w:rsidP="003A13AD">
      <w:pPr>
        <w:rPr>
          <w:rFonts w:ascii="Arial" w:hAnsi="Arial" w:cs="Arial"/>
          <w:sz w:val="22"/>
          <w:szCs w:val="22"/>
        </w:rPr>
      </w:pPr>
      <w:r w:rsidRPr="00692B59">
        <w:rPr>
          <w:rFonts w:ascii="Arial" w:hAnsi="Arial" w:cs="Arial"/>
          <w:sz w:val="22"/>
          <w:szCs w:val="22"/>
        </w:rPr>
        <w:t xml:space="preserve">‘Tax cases are generally reserved for the exclusive jurisdiction of the tax court in the first instance. But it is settled law that a decision of the Commissioner is subject to judicial intervention in certain circumstances. One </w:t>
      </w:r>
      <w:r w:rsidR="00062786">
        <w:rPr>
          <w:rFonts w:ascii="Arial" w:hAnsi="Arial" w:cs="Arial"/>
          <w:sz w:val="22"/>
          <w:szCs w:val="22"/>
        </w:rPr>
        <w:t xml:space="preserve">such </w:t>
      </w:r>
      <w:r w:rsidRPr="00692B59">
        <w:rPr>
          <w:rFonts w:ascii="Arial" w:hAnsi="Arial" w:cs="Arial"/>
          <w:sz w:val="22"/>
          <w:szCs w:val="22"/>
        </w:rPr>
        <w:t>circumstance is that the High Court has jurisdiction to hear and determine tax cases turning on legal issues.’</w:t>
      </w:r>
      <w:r w:rsidRPr="00692B59">
        <w:rPr>
          <w:rStyle w:val="FootnoteReference"/>
          <w:rFonts w:ascii="Arial" w:hAnsi="Arial" w:cs="Arial"/>
          <w:sz w:val="22"/>
          <w:szCs w:val="22"/>
        </w:rPr>
        <w:footnoteReference w:id="14"/>
      </w:r>
    </w:p>
    <w:p w:rsidR="003A13AD" w:rsidRPr="00692B59" w:rsidRDefault="003A13AD" w:rsidP="003A13AD">
      <w:pPr>
        <w:rPr>
          <w:rFonts w:ascii="Arial" w:hAnsi="Arial" w:cs="Arial"/>
          <w:sz w:val="22"/>
          <w:szCs w:val="22"/>
        </w:rPr>
      </w:pPr>
    </w:p>
    <w:p w:rsidR="003A13AD" w:rsidRPr="00B0021D" w:rsidRDefault="0030063A" w:rsidP="003A13AD">
      <w:pPr>
        <w:rPr>
          <w:rFonts w:ascii="Arial" w:hAnsi="Arial" w:cs="Arial"/>
        </w:rPr>
      </w:pPr>
      <w:r>
        <w:rPr>
          <w:rFonts w:ascii="Arial" w:hAnsi="Arial" w:cs="Arial"/>
        </w:rPr>
        <w:t>[1</w:t>
      </w:r>
      <w:r w:rsidR="008B54CD">
        <w:rPr>
          <w:rFonts w:ascii="Arial" w:hAnsi="Arial" w:cs="Arial"/>
        </w:rPr>
        <w:t>7</w:t>
      </w:r>
      <w:r w:rsidR="004F6669">
        <w:rPr>
          <w:rFonts w:ascii="Arial" w:hAnsi="Arial" w:cs="Arial"/>
        </w:rPr>
        <w:t>]</w:t>
      </w:r>
      <w:r w:rsidR="004F6669">
        <w:rPr>
          <w:rFonts w:ascii="Arial" w:hAnsi="Arial" w:cs="Arial"/>
        </w:rPr>
        <w:tab/>
      </w:r>
      <w:r w:rsidR="003A13AD" w:rsidRPr="00E42544">
        <w:rPr>
          <w:rFonts w:ascii="Arial" w:hAnsi="Arial" w:cs="Arial"/>
        </w:rPr>
        <w:t xml:space="preserve">Section 105 is an innovation introduced by the TAA from 1 October 2011. It has moreover been narrowed down by an amendment made in </w:t>
      </w:r>
      <w:r w:rsidR="003A13AD">
        <w:rPr>
          <w:rFonts w:ascii="Arial" w:hAnsi="Arial" w:cs="Arial"/>
        </w:rPr>
        <w:t xml:space="preserve">2015. Its purpose is to make </w:t>
      </w:r>
      <w:r w:rsidR="003A13AD" w:rsidRPr="00E42544">
        <w:rPr>
          <w:rFonts w:ascii="Arial" w:hAnsi="Arial" w:cs="Arial"/>
        </w:rPr>
        <w:t>clear that the default rule is that a taxpayer may only dispute an assessment by the objection and appeal procedure under the TAA</w:t>
      </w:r>
      <w:r w:rsidR="00E5564C">
        <w:rPr>
          <w:rFonts w:ascii="Arial" w:hAnsi="Arial" w:cs="Arial"/>
        </w:rPr>
        <w:t xml:space="preserve"> and</w:t>
      </w:r>
      <w:r w:rsidR="003A13AD" w:rsidRPr="00E42544">
        <w:rPr>
          <w:rFonts w:ascii="Arial" w:hAnsi="Arial" w:cs="Arial"/>
        </w:rPr>
        <w:t xml:space="preserve"> may not resort to the </w:t>
      </w:r>
      <w:r w:rsidR="003A13AD">
        <w:rPr>
          <w:rFonts w:ascii="Arial" w:hAnsi="Arial" w:cs="Arial"/>
        </w:rPr>
        <w:t>h</w:t>
      </w:r>
      <w:r w:rsidR="003A13AD" w:rsidRPr="00E42544">
        <w:rPr>
          <w:rFonts w:ascii="Arial" w:hAnsi="Arial" w:cs="Arial"/>
        </w:rPr>
        <w:t xml:space="preserve">igh </w:t>
      </w:r>
      <w:r w:rsidR="003A13AD">
        <w:rPr>
          <w:rFonts w:ascii="Arial" w:hAnsi="Arial" w:cs="Arial"/>
        </w:rPr>
        <w:t>c</w:t>
      </w:r>
      <w:r w:rsidR="003A13AD" w:rsidRPr="00E42544">
        <w:rPr>
          <w:rFonts w:ascii="Arial" w:hAnsi="Arial" w:cs="Arial"/>
        </w:rPr>
        <w:t>ourt unless p</w:t>
      </w:r>
      <w:r w:rsidR="003A13AD">
        <w:rPr>
          <w:rFonts w:ascii="Arial" w:hAnsi="Arial" w:cs="Arial"/>
        </w:rPr>
        <w:t xml:space="preserve">ermitted to do so by </w:t>
      </w:r>
      <w:r w:rsidR="003A13AD" w:rsidRPr="00E42544">
        <w:rPr>
          <w:rFonts w:ascii="Arial" w:hAnsi="Arial" w:cs="Arial"/>
        </w:rPr>
        <w:t>order</w:t>
      </w:r>
      <w:r w:rsidR="003A13AD">
        <w:rPr>
          <w:rFonts w:ascii="Arial" w:hAnsi="Arial" w:cs="Arial"/>
        </w:rPr>
        <w:t xml:space="preserve"> of that court</w:t>
      </w:r>
      <w:r w:rsidR="003A13AD" w:rsidRPr="00E42544">
        <w:rPr>
          <w:rFonts w:ascii="Arial" w:hAnsi="Arial" w:cs="Arial"/>
        </w:rPr>
        <w:t xml:space="preserve">. The </w:t>
      </w:r>
      <w:r w:rsidR="003A13AD">
        <w:rPr>
          <w:rFonts w:ascii="Arial" w:hAnsi="Arial" w:cs="Arial"/>
        </w:rPr>
        <w:t>h</w:t>
      </w:r>
      <w:r w:rsidR="003A13AD" w:rsidRPr="00E42544">
        <w:rPr>
          <w:rFonts w:ascii="Arial" w:hAnsi="Arial" w:cs="Arial"/>
        </w:rPr>
        <w:t xml:space="preserve">igh </w:t>
      </w:r>
      <w:r w:rsidR="003A13AD">
        <w:rPr>
          <w:rFonts w:ascii="Arial" w:hAnsi="Arial" w:cs="Arial"/>
        </w:rPr>
        <w:t>c</w:t>
      </w:r>
      <w:r w:rsidR="003A13AD" w:rsidRPr="00E42544">
        <w:rPr>
          <w:rFonts w:ascii="Arial" w:hAnsi="Arial" w:cs="Arial"/>
        </w:rPr>
        <w:t>ourt will only permit such a deviation in exceptional circumstances. This much is clear from the language, context, history and purpose of the section.</w:t>
      </w:r>
      <w:r w:rsidR="003A13AD">
        <w:rPr>
          <w:rFonts w:ascii="Arial" w:hAnsi="Arial" w:cs="Arial"/>
        </w:rPr>
        <w:t xml:space="preserve"> Thus, a</w:t>
      </w:r>
      <w:r w:rsidR="003A13AD" w:rsidRPr="00845FED">
        <w:rPr>
          <w:rFonts w:ascii="Arial" w:hAnsi="Arial" w:cs="Arial"/>
        </w:rPr>
        <w:t xml:space="preserve"> taxpayer may only dispute an assessment by the objection and appeal procedure under the TAA</w:t>
      </w:r>
      <w:r w:rsidR="00BB7F65">
        <w:rPr>
          <w:rFonts w:ascii="Arial" w:hAnsi="Arial" w:cs="Arial"/>
        </w:rPr>
        <w:t>,</w:t>
      </w:r>
      <w:r w:rsidR="003A13AD" w:rsidRPr="00845FED">
        <w:rPr>
          <w:rFonts w:ascii="Arial" w:hAnsi="Arial" w:cs="Arial"/>
        </w:rPr>
        <w:t xml:space="preserve"> unless a </w:t>
      </w:r>
      <w:r w:rsidR="003A13AD">
        <w:rPr>
          <w:rFonts w:ascii="Arial" w:hAnsi="Arial" w:cs="Arial"/>
        </w:rPr>
        <w:t>h</w:t>
      </w:r>
      <w:r w:rsidR="003A13AD" w:rsidRPr="00845FED">
        <w:rPr>
          <w:rFonts w:ascii="Arial" w:hAnsi="Arial" w:cs="Arial"/>
        </w:rPr>
        <w:t xml:space="preserve">igh </w:t>
      </w:r>
      <w:r w:rsidR="003A13AD">
        <w:rPr>
          <w:rFonts w:ascii="Arial" w:hAnsi="Arial" w:cs="Arial"/>
        </w:rPr>
        <w:t>c</w:t>
      </w:r>
      <w:r w:rsidR="003A13AD" w:rsidRPr="00845FED">
        <w:rPr>
          <w:rFonts w:ascii="Arial" w:hAnsi="Arial" w:cs="Arial"/>
        </w:rPr>
        <w:t xml:space="preserve">ourt directs otherwise. </w:t>
      </w:r>
    </w:p>
    <w:p w:rsidR="004F6669" w:rsidRDefault="004F6669" w:rsidP="003A13AD">
      <w:pPr>
        <w:rPr>
          <w:rFonts w:ascii="Arial" w:hAnsi="Arial" w:cs="Arial"/>
        </w:rPr>
      </w:pPr>
    </w:p>
    <w:p w:rsidR="003A13AD" w:rsidRPr="00845FED" w:rsidRDefault="004F6669" w:rsidP="003A13AD">
      <w:pPr>
        <w:rPr>
          <w:rFonts w:ascii="Arial" w:hAnsi="Arial" w:cs="Arial"/>
        </w:rPr>
      </w:pPr>
      <w:r>
        <w:rPr>
          <w:rFonts w:ascii="Arial" w:hAnsi="Arial" w:cs="Arial"/>
        </w:rPr>
        <w:t>[</w:t>
      </w:r>
      <w:r w:rsidR="0030063A">
        <w:rPr>
          <w:rFonts w:ascii="Arial" w:hAnsi="Arial" w:cs="Arial"/>
        </w:rPr>
        <w:t>1</w:t>
      </w:r>
      <w:r w:rsidR="008B54CD">
        <w:rPr>
          <w:rFonts w:ascii="Arial" w:hAnsi="Arial" w:cs="Arial"/>
        </w:rPr>
        <w:t>8</w:t>
      </w:r>
      <w:r>
        <w:rPr>
          <w:rFonts w:ascii="Arial" w:hAnsi="Arial" w:cs="Arial"/>
        </w:rPr>
        <w:t>]</w:t>
      </w:r>
      <w:r>
        <w:rPr>
          <w:rFonts w:ascii="Arial" w:hAnsi="Arial" w:cs="Arial"/>
        </w:rPr>
        <w:tab/>
      </w:r>
      <w:r w:rsidR="003A13AD" w:rsidRPr="00845FED">
        <w:rPr>
          <w:rFonts w:ascii="Arial" w:hAnsi="Arial" w:cs="Arial"/>
        </w:rPr>
        <w:t>This is</w:t>
      </w:r>
      <w:r w:rsidR="00BB7F65">
        <w:rPr>
          <w:rFonts w:ascii="Arial" w:hAnsi="Arial" w:cs="Arial"/>
        </w:rPr>
        <w:t xml:space="preserve"> reinforced by the amendment of s 105 in </w:t>
      </w:r>
      <w:r w:rsidR="003A13AD" w:rsidRPr="00845FED">
        <w:rPr>
          <w:rFonts w:ascii="Arial" w:hAnsi="Arial" w:cs="Arial"/>
        </w:rPr>
        <w:t>2015. The original version read as follows:</w:t>
      </w:r>
    </w:p>
    <w:p w:rsidR="003A13AD" w:rsidRPr="00BB7F65" w:rsidRDefault="003A13AD" w:rsidP="003A13AD">
      <w:pPr>
        <w:rPr>
          <w:rFonts w:ascii="Arial" w:hAnsi="Arial" w:cs="Arial"/>
          <w:sz w:val="22"/>
          <w:szCs w:val="22"/>
        </w:rPr>
      </w:pPr>
      <w:r w:rsidRPr="00BB7F65">
        <w:rPr>
          <w:rFonts w:ascii="Arial" w:hAnsi="Arial" w:cs="Arial"/>
          <w:sz w:val="22"/>
          <w:szCs w:val="22"/>
        </w:rPr>
        <w:t xml:space="preserve">‘A taxpayer may not dispute an assessment or “decision” as described in section 104 in any court or other proceedings, except in proceedings under this Chapter </w:t>
      </w:r>
      <w:r w:rsidRPr="00BB7F65">
        <w:rPr>
          <w:rFonts w:ascii="Arial" w:hAnsi="Arial" w:cs="Arial"/>
          <w:bCs/>
          <w:sz w:val="22"/>
          <w:szCs w:val="22"/>
          <w:u w:val="single"/>
        </w:rPr>
        <w:t>or by application to the High Court for review</w:t>
      </w:r>
      <w:r w:rsidRPr="00BB7F65">
        <w:rPr>
          <w:rFonts w:ascii="Arial" w:hAnsi="Arial" w:cs="Arial"/>
          <w:bCs/>
          <w:sz w:val="22"/>
          <w:szCs w:val="22"/>
        </w:rPr>
        <w:t>.</w:t>
      </w:r>
      <w:r w:rsidRPr="00BB7F65">
        <w:rPr>
          <w:rFonts w:ascii="Arial" w:hAnsi="Arial" w:cs="Arial"/>
          <w:sz w:val="22"/>
          <w:szCs w:val="22"/>
        </w:rPr>
        <w:t xml:space="preserve">’ (underlining for emphasis) </w:t>
      </w:r>
    </w:p>
    <w:p w:rsidR="003A13AD" w:rsidRDefault="003A13AD" w:rsidP="003A13AD">
      <w:pPr>
        <w:rPr>
          <w:rFonts w:ascii="Arial" w:hAnsi="Arial" w:cs="Arial"/>
        </w:rPr>
      </w:pPr>
      <w:r>
        <w:rPr>
          <w:rFonts w:ascii="Arial" w:hAnsi="Arial" w:cs="Arial"/>
        </w:rPr>
        <w:t xml:space="preserve">Pre-amendment, the </w:t>
      </w:r>
      <w:r w:rsidRPr="00845FED">
        <w:rPr>
          <w:rFonts w:ascii="Arial" w:hAnsi="Arial" w:cs="Arial"/>
        </w:rPr>
        <w:t>taxpayer</w:t>
      </w:r>
      <w:r>
        <w:rPr>
          <w:rFonts w:ascii="Arial" w:hAnsi="Arial" w:cs="Arial"/>
        </w:rPr>
        <w:t xml:space="preserve"> could elect </w:t>
      </w:r>
      <w:r w:rsidRPr="00845FED">
        <w:rPr>
          <w:rFonts w:ascii="Arial" w:hAnsi="Arial" w:cs="Arial"/>
        </w:rPr>
        <w:t xml:space="preserve">to take an assessment on review to the </w:t>
      </w:r>
      <w:r>
        <w:rPr>
          <w:rFonts w:ascii="Arial" w:hAnsi="Arial" w:cs="Arial"/>
        </w:rPr>
        <w:t>h</w:t>
      </w:r>
      <w:r w:rsidRPr="00845FED">
        <w:rPr>
          <w:rFonts w:ascii="Arial" w:hAnsi="Arial" w:cs="Arial"/>
        </w:rPr>
        <w:t xml:space="preserve">igh </w:t>
      </w:r>
      <w:r>
        <w:rPr>
          <w:rFonts w:ascii="Arial" w:hAnsi="Arial" w:cs="Arial"/>
        </w:rPr>
        <w:t>c</w:t>
      </w:r>
      <w:r w:rsidRPr="00845FED">
        <w:rPr>
          <w:rFonts w:ascii="Arial" w:hAnsi="Arial" w:cs="Arial"/>
        </w:rPr>
        <w:t xml:space="preserve">ourt instead of following the prescribed procedure. </w:t>
      </w:r>
      <w:r>
        <w:rPr>
          <w:rFonts w:ascii="Arial" w:hAnsi="Arial" w:cs="Arial"/>
        </w:rPr>
        <w:t>That is no longer the case. T</w:t>
      </w:r>
      <w:r w:rsidRPr="00845FED">
        <w:rPr>
          <w:rFonts w:ascii="Arial" w:hAnsi="Arial" w:cs="Arial"/>
        </w:rPr>
        <w:t>he</w:t>
      </w:r>
      <w:r w:rsidR="00BB7F65">
        <w:rPr>
          <w:rFonts w:ascii="Arial" w:hAnsi="Arial" w:cs="Arial"/>
        </w:rPr>
        <w:t xml:space="preserve"> amendment was meant to make clear that the default rule is</w:t>
      </w:r>
      <w:r w:rsidRPr="00845FED">
        <w:rPr>
          <w:rFonts w:ascii="Arial" w:hAnsi="Arial" w:cs="Arial"/>
        </w:rPr>
        <w:t xml:space="preserve"> that a taxpayer had to follow the prescribed procedure</w:t>
      </w:r>
      <w:r>
        <w:rPr>
          <w:rFonts w:ascii="Arial" w:hAnsi="Arial" w:cs="Arial"/>
        </w:rPr>
        <w:t xml:space="preserve">, unless a high court directs otherwise. </w:t>
      </w:r>
    </w:p>
    <w:p w:rsidR="00C22A63" w:rsidRPr="00B0021D" w:rsidRDefault="00C22A63" w:rsidP="003A13AD">
      <w:pPr>
        <w:rPr>
          <w:rFonts w:ascii="Arial" w:hAnsi="Arial" w:cs="Arial"/>
        </w:rPr>
      </w:pPr>
    </w:p>
    <w:p w:rsidR="003A13AD" w:rsidRPr="00845FED" w:rsidRDefault="0030063A" w:rsidP="003A13AD">
      <w:pPr>
        <w:rPr>
          <w:rFonts w:ascii="Arial" w:hAnsi="Arial" w:cs="Arial"/>
        </w:rPr>
      </w:pPr>
      <w:r>
        <w:rPr>
          <w:rFonts w:ascii="Arial" w:hAnsi="Arial" w:cs="Arial"/>
        </w:rPr>
        <w:lastRenderedPageBreak/>
        <w:t>[</w:t>
      </w:r>
      <w:r w:rsidR="008B54CD">
        <w:rPr>
          <w:rFonts w:ascii="Arial" w:hAnsi="Arial" w:cs="Arial"/>
        </w:rPr>
        <w:t>19</w:t>
      </w:r>
      <w:r w:rsidR="004F6669">
        <w:rPr>
          <w:rFonts w:ascii="Arial" w:hAnsi="Arial" w:cs="Arial"/>
        </w:rPr>
        <w:t>]</w:t>
      </w:r>
      <w:r w:rsidR="004F6669">
        <w:rPr>
          <w:rFonts w:ascii="Arial" w:hAnsi="Arial" w:cs="Arial"/>
        </w:rPr>
        <w:tab/>
      </w:r>
      <w:r w:rsidR="003A13AD" w:rsidRPr="00845FED">
        <w:rPr>
          <w:rFonts w:ascii="Arial" w:hAnsi="Arial" w:cs="Arial"/>
        </w:rPr>
        <w:t xml:space="preserve">This understanding </w:t>
      </w:r>
      <w:r w:rsidR="00BB7F65">
        <w:rPr>
          <w:rFonts w:ascii="Arial" w:hAnsi="Arial" w:cs="Arial"/>
        </w:rPr>
        <w:t xml:space="preserve">is reinforced </w:t>
      </w:r>
      <w:r w:rsidR="003A13AD" w:rsidRPr="00845FED">
        <w:rPr>
          <w:rFonts w:ascii="Arial" w:hAnsi="Arial" w:cs="Arial"/>
        </w:rPr>
        <w:t>by the explanatory memorandum that accompanied the Tax Administration Law Amendment Bill of 2015. It described the purpose of the amendment of s 105 as follows:</w:t>
      </w:r>
    </w:p>
    <w:p w:rsidR="003A13AD" w:rsidRPr="00692B59" w:rsidRDefault="003A13AD" w:rsidP="003A13AD">
      <w:pPr>
        <w:rPr>
          <w:rFonts w:ascii="Arial" w:hAnsi="Arial" w:cs="Arial"/>
          <w:sz w:val="22"/>
          <w:szCs w:val="22"/>
        </w:rPr>
      </w:pPr>
      <w:r w:rsidRPr="00692B59">
        <w:rPr>
          <w:rFonts w:ascii="Arial" w:hAnsi="Arial" w:cs="Arial"/>
          <w:sz w:val="22"/>
          <w:szCs w:val="22"/>
        </w:rPr>
        <w:t xml:space="preserve">‘The current wording of section 105 creates the impression that a dispute arising under Chapter 9 may either be heard by the tax court </w:t>
      </w:r>
      <w:r w:rsidRPr="00CC7F37">
        <w:rPr>
          <w:rFonts w:ascii="Arial" w:hAnsi="Arial" w:cs="Arial"/>
          <w:i/>
          <w:iCs/>
          <w:sz w:val="22"/>
          <w:szCs w:val="22"/>
        </w:rPr>
        <w:t>or</w:t>
      </w:r>
      <w:r w:rsidRPr="00692B59">
        <w:rPr>
          <w:rFonts w:ascii="Arial" w:hAnsi="Arial" w:cs="Arial"/>
          <w:sz w:val="22"/>
          <w:szCs w:val="22"/>
        </w:rPr>
        <w:t xml:space="preserve"> a High Court for review. This section is intended to ensure that internal remedies, such as the objection and appeal process and the resolution thereof by means of alternative dispute resolution or before the tax board or the tax court, be exhausted before a higher court is approached and that the tax court deal with the dispute as court of first instance on a trial basis. This is in line with both domestic and international case law. The proposed amendment makes the intention clear but preserves the right of a High Court to direct otherwise should the specific circumstances of a case require it.’</w:t>
      </w:r>
      <w:r w:rsidRPr="00692B59">
        <w:rPr>
          <w:rStyle w:val="FootnoteReference"/>
          <w:rFonts w:ascii="Arial" w:hAnsi="Arial" w:cs="Arial"/>
          <w:sz w:val="22"/>
          <w:szCs w:val="22"/>
        </w:rPr>
        <w:footnoteReference w:id="15"/>
      </w:r>
    </w:p>
    <w:p w:rsidR="003A13AD" w:rsidRPr="00B0021D" w:rsidRDefault="003A13AD" w:rsidP="003A13AD">
      <w:pPr>
        <w:rPr>
          <w:rFonts w:ascii="Arial" w:hAnsi="Arial" w:cs="Arial"/>
        </w:rPr>
      </w:pPr>
    </w:p>
    <w:p w:rsidR="003A13AD" w:rsidRPr="00845FED" w:rsidRDefault="0030063A" w:rsidP="003A13AD">
      <w:pPr>
        <w:rPr>
          <w:rFonts w:ascii="Arial" w:hAnsi="Arial" w:cs="Arial"/>
        </w:rPr>
      </w:pPr>
      <w:r>
        <w:rPr>
          <w:rFonts w:ascii="Arial" w:hAnsi="Arial" w:cs="Arial"/>
        </w:rPr>
        <w:t>[</w:t>
      </w:r>
      <w:r w:rsidR="008B54CD">
        <w:rPr>
          <w:rFonts w:ascii="Arial" w:hAnsi="Arial" w:cs="Arial"/>
        </w:rPr>
        <w:t>20</w:t>
      </w:r>
      <w:r w:rsidR="004F6669">
        <w:rPr>
          <w:rFonts w:ascii="Arial" w:hAnsi="Arial" w:cs="Arial"/>
        </w:rPr>
        <w:t>]</w:t>
      </w:r>
      <w:r w:rsidR="004F6669">
        <w:rPr>
          <w:rFonts w:ascii="Arial" w:hAnsi="Arial" w:cs="Arial"/>
        </w:rPr>
        <w:tab/>
      </w:r>
      <w:r w:rsidR="003A13AD" w:rsidRPr="00845FED">
        <w:rPr>
          <w:rFonts w:ascii="Arial" w:hAnsi="Arial" w:cs="Arial"/>
        </w:rPr>
        <w:t xml:space="preserve">The purpose of s 105 is clearly to ensure that, in the ordinary course, tax disputes are taken to the </w:t>
      </w:r>
      <w:r w:rsidR="00987F2D">
        <w:rPr>
          <w:rFonts w:ascii="Arial" w:hAnsi="Arial" w:cs="Arial"/>
        </w:rPr>
        <w:t>t</w:t>
      </w:r>
      <w:r w:rsidR="003A13AD" w:rsidRPr="00845FED">
        <w:rPr>
          <w:rFonts w:ascii="Arial" w:hAnsi="Arial" w:cs="Arial"/>
        </w:rPr>
        <w:t xml:space="preserve">ax </w:t>
      </w:r>
      <w:r w:rsidR="00987F2D">
        <w:rPr>
          <w:rFonts w:ascii="Arial" w:hAnsi="Arial" w:cs="Arial"/>
        </w:rPr>
        <w:t>c</w:t>
      </w:r>
      <w:r w:rsidR="003A13AD" w:rsidRPr="00845FED">
        <w:rPr>
          <w:rFonts w:ascii="Arial" w:hAnsi="Arial" w:cs="Arial"/>
        </w:rPr>
        <w:t xml:space="preserve">ourt. The </w:t>
      </w:r>
      <w:r w:rsidR="003A13AD">
        <w:rPr>
          <w:rFonts w:ascii="Arial" w:hAnsi="Arial" w:cs="Arial"/>
        </w:rPr>
        <w:t>h</w:t>
      </w:r>
      <w:r w:rsidR="003A13AD" w:rsidRPr="00845FED">
        <w:rPr>
          <w:rFonts w:ascii="Arial" w:hAnsi="Arial" w:cs="Arial"/>
        </w:rPr>
        <w:t xml:space="preserve">igh </w:t>
      </w:r>
      <w:r w:rsidR="003A13AD">
        <w:rPr>
          <w:rFonts w:ascii="Arial" w:hAnsi="Arial" w:cs="Arial"/>
        </w:rPr>
        <w:t>c</w:t>
      </w:r>
      <w:r w:rsidR="003A13AD" w:rsidRPr="00845FED">
        <w:rPr>
          <w:rFonts w:ascii="Arial" w:hAnsi="Arial" w:cs="Arial"/>
        </w:rPr>
        <w:t>ourt consequently does not have jurisdiction in tax disputes unless it directs otherwise.</w:t>
      </w:r>
      <w:r w:rsidR="003A13AD">
        <w:rPr>
          <w:rFonts w:ascii="Arial" w:hAnsi="Arial" w:cs="Arial"/>
        </w:rPr>
        <w:t xml:space="preserve"> I</w:t>
      </w:r>
      <w:r w:rsidR="003A13AD" w:rsidRPr="00845FED">
        <w:rPr>
          <w:rFonts w:ascii="Arial" w:hAnsi="Arial" w:cs="Arial"/>
        </w:rPr>
        <w:t xml:space="preserve">n </w:t>
      </w:r>
      <w:r w:rsidR="003A13AD" w:rsidRPr="0070575E">
        <w:rPr>
          <w:rFonts w:ascii="Arial" w:hAnsi="Arial" w:cs="Arial"/>
          <w:i/>
          <w:iCs/>
        </w:rPr>
        <w:t>Wingate-Pearse</w:t>
      </w:r>
      <w:r w:rsidR="003A13AD" w:rsidRPr="00845FED">
        <w:rPr>
          <w:rFonts w:ascii="Arial" w:hAnsi="Arial" w:cs="Arial"/>
        </w:rPr>
        <w:t xml:space="preserve"> </w:t>
      </w:r>
      <w:r w:rsidR="003A13AD">
        <w:rPr>
          <w:rFonts w:ascii="Arial" w:hAnsi="Arial" w:cs="Arial"/>
        </w:rPr>
        <w:t xml:space="preserve">it was put </w:t>
      </w:r>
      <w:r w:rsidR="003A13AD" w:rsidRPr="00845FED">
        <w:rPr>
          <w:rFonts w:ascii="Arial" w:hAnsi="Arial" w:cs="Arial"/>
        </w:rPr>
        <w:t>as follows:</w:t>
      </w:r>
    </w:p>
    <w:p w:rsidR="003A13AD" w:rsidRPr="00BB7F65" w:rsidRDefault="003A13AD" w:rsidP="003A13AD">
      <w:pPr>
        <w:rPr>
          <w:rFonts w:ascii="Arial" w:hAnsi="Arial" w:cs="Arial"/>
          <w:sz w:val="22"/>
          <w:szCs w:val="22"/>
        </w:rPr>
      </w:pPr>
      <w:r w:rsidRPr="00BB7F65">
        <w:rPr>
          <w:rFonts w:ascii="Arial" w:hAnsi="Arial" w:cs="Arial"/>
          <w:sz w:val="22"/>
          <w:szCs w:val="22"/>
        </w:rPr>
        <w:t xml:space="preserve">‘Tax cases are generally reserved for the exclusive jurisdiction of the </w:t>
      </w:r>
      <w:r w:rsidR="00886DB9">
        <w:rPr>
          <w:rFonts w:ascii="Arial" w:hAnsi="Arial" w:cs="Arial"/>
          <w:sz w:val="22"/>
          <w:szCs w:val="22"/>
        </w:rPr>
        <w:t>t</w:t>
      </w:r>
      <w:r w:rsidRPr="00BB7F65">
        <w:rPr>
          <w:rFonts w:ascii="Arial" w:hAnsi="Arial" w:cs="Arial"/>
          <w:sz w:val="22"/>
          <w:szCs w:val="22"/>
        </w:rPr>
        <w:t xml:space="preserve">ax </w:t>
      </w:r>
      <w:r w:rsidR="00886DB9">
        <w:rPr>
          <w:rFonts w:ascii="Arial" w:hAnsi="Arial" w:cs="Arial"/>
          <w:sz w:val="22"/>
          <w:szCs w:val="22"/>
        </w:rPr>
        <w:t>c</w:t>
      </w:r>
      <w:r w:rsidRPr="00BB7F65">
        <w:rPr>
          <w:rFonts w:ascii="Arial" w:hAnsi="Arial" w:cs="Arial"/>
          <w:sz w:val="22"/>
          <w:szCs w:val="22"/>
        </w:rPr>
        <w:t>ourt in the first instance. But it is settled law that a decision of the Commissioner is subject to judicial intervention in certain circumstances</w:t>
      </w:r>
      <w:r w:rsidR="00886DB9">
        <w:rPr>
          <w:rFonts w:ascii="Arial" w:hAnsi="Arial" w:cs="Arial"/>
          <w:sz w:val="22"/>
          <w:szCs w:val="22"/>
        </w:rPr>
        <w:t xml:space="preserve"> </w:t>
      </w:r>
      <w:r w:rsidRPr="00BB7F65">
        <w:rPr>
          <w:rFonts w:ascii="Arial" w:hAnsi="Arial" w:cs="Arial"/>
          <w:sz w:val="22"/>
          <w:szCs w:val="22"/>
        </w:rPr>
        <w:t>. . . In its amended form s 105 thus makes it plain that “unless a High Court otherwise directs”, an assessment may only be disputed by means of the objection and appeal process.’</w:t>
      </w:r>
      <w:r w:rsidRPr="00BB7F65">
        <w:rPr>
          <w:rStyle w:val="FootnoteReference"/>
          <w:rFonts w:ascii="Arial" w:hAnsi="Arial" w:cs="Arial"/>
          <w:sz w:val="22"/>
          <w:szCs w:val="22"/>
        </w:rPr>
        <w:footnoteReference w:id="16"/>
      </w:r>
    </w:p>
    <w:p w:rsidR="004F6669" w:rsidRDefault="004F6669" w:rsidP="003A13AD">
      <w:pPr>
        <w:rPr>
          <w:rFonts w:ascii="Arial" w:hAnsi="Arial" w:cs="Arial"/>
        </w:rPr>
      </w:pPr>
    </w:p>
    <w:p w:rsidR="003A13AD" w:rsidRPr="009E6518" w:rsidRDefault="0030063A" w:rsidP="003A13AD">
      <w:pPr>
        <w:rPr>
          <w:rFonts w:ascii="Arial" w:hAnsi="Arial" w:cs="Arial"/>
        </w:rPr>
      </w:pPr>
      <w:r>
        <w:rPr>
          <w:rFonts w:ascii="Arial" w:hAnsi="Arial" w:cs="Arial"/>
        </w:rPr>
        <w:t>[2</w:t>
      </w:r>
      <w:r w:rsidR="008B54CD">
        <w:rPr>
          <w:rFonts w:ascii="Arial" w:hAnsi="Arial" w:cs="Arial"/>
        </w:rPr>
        <w:t>1</w:t>
      </w:r>
      <w:r w:rsidR="004F6669">
        <w:rPr>
          <w:rFonts w:ascii="Arial" w:hAnsi="Arial" w:cs="Arial"/>
        </w:rPr>
        <w:t>]</w:t>
      </w:r>
      <w:r w:rsidR="004F6669">
        <w:rPr>
          <w:rFonts w:ascii="Arial" w:hAnsi="Arial" w:cs="Arial"/>
        </w:rPr>
        <w:tab/>
      </w:r>
      <w:r w:rsidR="003A13AD">
        <w:rPr>
          <w:rFonts w:ascii="Arial" w:hAnsi="Arial" w:cs="Arial"/>
        </w:rPr>
        <w:t xml:space="preserve">The </w:t>
      </w:r>
      <w:r w:rsidR="003A13AD" w:rsidRPr="009E6518">
        <w:rPr>
          <w:rFonts w:ascii="Arial" w:hAnsi="Arial" w:cs="Arial"/>
        </w:rPr>
        <w:t xml:space="preserve">same understanding </w:t>
      </w:r>
      <w:r w:rsidR="003A13AD">
        <w:rPr>
          <w:rFonts w:ascii="Arial" w:hAnsi="Arial" w:cs="Arial"/>
        </w:rPr>
        <w:t xml:space="preserve">was articulated </w:t>
      </w:r>
      <w:r w:rsidR="003A13AD" w:rsidRPr="009E6518">
        <w:rPr>
          <w:rFonts w:ascii="Arial" w:hAnsi="Arial" w:cs="Arial"/>
        </w:rPr>
        <w:t xml:space="preserve">in </w:t>
      </w:r>
      <w:r w:rsidR="003A13AD" w:rsidRPr="007134E8">
        <w:rPr>
          <w:rFonts w:ascii="Arial" w:hAnsi="Arial" w:cs="Arial"/>
          <w:i/>
        </w:rPr>
        <w:t>ABSA Bank v Commissioner, SARS</w:t>
      </w:r>
      <w:r w:rsidR="003A13AD" w:rsidRPr="009E6518">
        <w:rPr>
          <w:rFonts w:ascii="Arial" w:hAnsi="Arial" w:cs="Arial"/>
        </w:rPr>
        <w:t>:</w:t>
      </w:r>
    </w:p>
    <w:p w:rsidR="003A13AD" w:rsidRPr="00BB7F65" w:rsidRDefault="003A13AD" w:rsidP="003A13AD">
      <w:pPr>
        <w:rPr>
          <w:rFonts w:ascii="Arial" w:hAnsi="Arial" w:cs="Arial"/>
          <w:sz w:val="22"/>
          <w:szCs w:val="22"/>
        </w:rPr>
      </w:pPr>
      <w:r w:rsidRPr="00BB7F65">
        <w:rPr>
          <w:rFonts w:ascii="Arial" w:hAnsi="Arial" w:cs="Arial"/>
          <w:sz w:val="22"/>
          <w:szCs w:val="22"/>
        </w:rPr>
        <w:t xml:space="preserve">‘It was contended that the provisions of s 105 indicate a confined arena in which to conduct any disputations over tax liability. However, plainly, if a court may “otherwise direct”, that results in an environment for dispute resolution in which there is more than one process. A court plainly has a discretion to approve a deviation from what might fairly be called the default route. In as much as the section is couched in terms which imply that permission needs to be procured to do so, there is no sound reason why such approval cannot be sought simultaneously in the proceedings seeking to review, where an appropriate case is made out. </w:t>
      </w:r>
      <w:r w:rsidRPr="00BB7F65">
        <w:rPr>
          <w:rFonts w:ascii="Arial" w:hAnsi="Arial" w:cs="Arial"/>
          <w:sz w:val="22"/>
          <w:szCs w:val="22"/>
        </w:rPr>
        <w:lastRenderedPageBreak/>
        <w:t>It was common cause that such appropriate circumstances should be labelled “exceptional circumstances”. The court would require justification to depart from the usual procedure, and this, by definition, would be “exceptional”.’</w:t>
      </w:r>
      <w:r w:rsidRPr="00BB7F65">
        <w:rPr>
          <w:rStyle w:val="FootnoteReference"/>
          <w:rFonts w:ascii="Arial" w:hAnsi="Arial" w:cs="Arial"/>
          <w:sz w:val="22"/>
          <w:szCs w:val="22"/>
        </w:rPr>
        <w:footnoteReference w:id="17"/>
      </w:r>
    </w:p>
    <w:p w:rsidR="003A13AD" w:rsidRDefault="003A13AD" w:rsidP="003A13AD">
      <w:pPr>
        <w:rPr>
          <w:rFonts w:ascii="Arial" w:hAnsi="Arial" w:cs="Arial"/>
        </w:rPr>
      </w:pPr>
    </w:p>
    <w:p w:rsidR="003A13AD" w:rsidRDefault="0030063A" w:rsidP="003A13AD">
      <w:pPr>
        <w:rPr>
          <w:rFonts w:ascii="Arial" w:hAnsi="Arial" w:cs="Arial"/>
        </w:rPr>
      </w:pPr>
      <w:r>
        <w:rPr>
          <w:rFonts w:ascii="Arial" w:hAnsi="Arial" w:cs="Arial"/>
        </w:rPr>
        <w:t>[2</w:t>
      </w:r>
      <w:r w:rsidR="008B54CD">
        <w:rPr>
          <w:rFonts w:ascii="Arial" w:hAnsi="Arial" w:cs="Arial"/>
        </w:rPr>
        <w:t>2</w:t>
      </w:r>
      <w:r w:rsidR="004F6669">
        <w:rPr>
          <w:rFonts w:ascii="Arial" w:hAnsi="Arial" w:cs="Arial"/>
        </w:rPr>
        <w:t>]</w:t>
      </w:r>
      <w:r w:rsidR="004F6669">
        <w:rPr>
          <w:rFonts w:ascii="Arial" w:hAnsi="Arial" w:cs="Arial"/>
        </w:rPr>
        <w:tab/>
      </w:r>
      <w:r w:rsidR="003A13AD" w:rsidRPr="000736B8">
        <w:rPr>
          <w:rFonts w:ascii="Arial" w:hAnsi="Arial" w:cs="Arial"/>
        </w:rPr>
        <w:t>It has been held that it is neither desirable nor possible to lay down a precise rule or definition as to what would const</w:t>
      </w:r>
      <w:r w:rsidR="003A13AD">
        <w:rPr>
          <w:rFonts w:ascii="Arial" w:hAnsi="Arial" w:cs="Arial"/>
        </w:rPr>
        <w:t xml:space="preserve">itute exceptional circumstances and that </w:t>
      </w:r>
      <w:r w:rsidR="003A13AD" w:rsidRPr="000736B8">
        <w:rPr>
          <w:rFonts w:ascii="Arial" w:hAnsi="Arial" w:cs="Arial"/>
        </w:rPr>
        <w:t>each case is to be considered on its own facts</w:t>
      </w:r>
      <w:r w:rsidR="003A13AD">
        <w:rPr>
          <w:rFonts w:ascii="Arial" w:hAnsi="Arial" w:cs="Arial"/>
        </w:rPr>
        <w:t>.</w:t>
      </w:r>
      <w:r w:rsidR="003A13AD">
        <w:rPr>
          <w:rStyle w:val="FootnoteReference"/>
          <w:rFonts w:ascii="Arial" w:hAnsi="Arial" w:cs="Arial"/>
        </w:rPr>
        <w:footnoteReference w:id="18"/>
      </w:r>
      <w:r w:rsidR="003A13AD">
        <w:rPr>
          <w:rFonts w:ascii="Arial" w:hAnsi="Arial" w:cs="Arial"/>
        </w:rPr>
        <w:t xml:space="preserve"> </w:t>
      </w:r>
      <w:r w:rsidR="003A13AD" w:rsidRPr="009528B0">
        <w:rPr>
          <w:rFonts w:ascii="Arial" w:hAnsi="Arial" w:cs="Arial"/>
        </w:rPr>
        <w:t xml:space="preserve">Thring J in </w:t>
      </w:r>
      <w:r w:rsidR="003A13AD" w:rsidRPr="009528B0">
        <w:rPr>
          <w:rFonts w:ascii="Arial" w:hAnsi="Arial" w:cs="Arial"/>
          <w:i/>
        </w:rPr>
        <w:t xml:space="preserve">MV Ais Mamas Seatrans Maritime </w:t>
      </w:r>
      <w:r w:rsidR="003A13AD">
        <w:rPr>
          <w:rFonts w:ascii="Arial" w:hAnsi="Arial" w:cs="Arial"/>
          <w:i/>
        </w:rPr>
        <w:t xml:space="preserve">v Owners, MV Ais Mamas </w:t>
      </w:r>
      <w:r w:rsidR="003A13AD" w:rsidRPr="009528B0">
        <w:rPr>
          <w:rFonts w:ascii="Arial" w:hAnsi="Arial" w:cs="Arial"/>
        </w:rPr>
        <w:t xml:space="preserve">remarked that: </w:t>
      </w:r>
    </w:p>
    <w:p w:rsidR="003A13AD" w:rsidRPr="00BB7F65" w:rsidRDefault="003A13AD" w:rsidP="003A13AD">
      <w:pPr>
        <w:rPr>
          <w:rFonts w:ascii="Arial" w:hAnsi="Arial" w:cs="Arial"/>
          <w:sz w:val="22"/>
          <w:szCs w:val="22"/>
        </w:rPr>
      </w:pPr>
      <w:r w:rsidRPr="00BB7F65">
        <w:rPr>
          <w:rFonts w:ascii="Arial" w:hAnsi="Arial" w:cs="Arial"/>
          <w:sz w:val="22"/>
          <w:szCs w:val="22"/>
        </w:rPr>
        <w:t xml:space="preserve">‘1. What is ordinarily contemplated by the words “exceptional circumstances” is something out of the ordinary and of an unusual nature; something which is excepted in the sense that the general rule does not apply to it; something uncommon, rare or different . . . </w:t>
      </w:r>
    </w:p>
    <w:p w:rsidR="003A13AD" w:rsidRPr="00BB7F65" w:rsidRDefault="003A13AD" w:rsidP="003A13AD">
      <w:pPr>
        <w:rPr>
          <w:rFonts w:ascii="Arial" w:hAnsi="Arial" w:cs="Arial"/>
          <w:sz w:val="22"/>
          <w:szCs w:val="22"/>
        </w:rPr>
      </w:pPr>
      <w:r w:rsidRPr="00BB7F65">
        <w:rPr>
          <w:rFonts w:ascii="Arial" w:hAnsi="Arial" w:cs="Arial"/>
          <w:sz w:val="22"/>
          <w:szCs w:val="22"/>
        </w:rPr>
        <w:t xml:space="preserve">2. To be exceptional the circumstances concerned must arise out of, or be incidental to, the particular case. </w:t>
      </w:r>
    </w:p>
    <w:p w:rsidR="003A13AD" w:rsidRPr="00BB7F65" w:rsidRDefault="003A13AD" w:rsidP="003A13AD">
      <w:pPr>
        <w:rPr>
          <w:rFonts w:ascii="Arial" w:hAnsi="Arial" w:cs="Arial"/>
          <w:sz w:val="22"/>
          <w:szCs w:val="22"/>
        </w:rPr>
      </w:pPr>
      <w:r w:rsidRPr="00BB7F65">
        <w:rPr>
          <w:rFonts w:ascii="Arial" w:hAnsi="Arial" w:cs="Arial"/>
          <w:sz w:val="22"/>
          <w:szCs w:val="22"/>
        </w:rPr>
        <w:t xml:space="preserve">3. Whether or not exceptional circumstances exist is not a decision which depends upon the exercise of a judicial discretion: their existence or otherwise is a matter of fact which the Court must decide accordingly. </w:t>
      </w:r>
    </w:p>
    <w:p w:rsidR="003A13AD" w:rsidRPr="00BB7F65" w:rsidRDefault="003A13AD" w:rsidP="003A13AD">
      <w:pPr>
        <w:rPr>
          <w:rFonts w:ascii="Arial" w:hAnsi="Arial" w:cs="Arial"/>
          <w:sz w:val="22"/>
          <w:szCs w:val="22"/>
        </w:rPr>
      </w:pPr>
      <w:r w:rsidRPr="00BB7F65">
        <w:rPr>
          <w:rFonts w:ascii="Arial" w:hAnsi="Arial" w:cs="Arial"/>
          <w:sz w:val="22"/>
          <w:szCs w:val="22"/>
        </w:rPr>
        <w:t xml:space="preserve">4. Depending on the context in which it is used, the word ‘exceptional’ has two shades of meaning: the primary meaning is unusual or different; the secondary meaning is markedly unusual or specially different. </w:t>
      </w:r>
    </w:p>
    <w:p w:rsidR="003A13AD" w:rsidRPr="00BB7F65" w:rsidRDefault="003A13AD" w:rsidP="003A13AD">
      <w:pPr>
        <w:rPr>
          <w:rFonts w:ascii="Arial" w:hAnsi="Arial" w:cs="Arial"/>
          <w:sz w:val="22"/>
          <w:szCs w:val="22"/>
        </w:rPr>
      </w:pPr>
      <w:r w:rsidRPr="00BB7F65">
        <w:rPr>
          <w:rFonts w:ascii="Arial" w:hAnsi="Arial" w:cs="Arial"/>
          <w:sz w:val="22"/>
          <w:szCs w:val="22"/>
        </w:rPr>
        <w:t>5. Where, in a statute, it is directed that a fixed rule shall be departed from only under exceptional circumstances, effect will, generally speaking, best be given to the intention of the Legislature by applying a strict rather than a liberal meaning to the phrase, and by carefully examining any circumstances relied on as allegedly being exceptional.’</w:t>
      </w:r>
      <w:r w:rsidRPr="00BB7F65">
        <w:rPr>
          <w:rStyle w:val="FootnoteReference"/>
          <w:rFonts w:ascii="Arial" w:hAnsi="Arial" w:cs="Arial"/>
          <w:sz w:val="22"/>
          <w:szCs w:val="22"/>
        </w:rPr>
        <w:footnoteReference w:id="19"/>
      </w:r>
      <w:r w:rsidRPr="00BB7F65">
        <w:rPr>
          <w:rFonts w:ascii="Arial" w:hAnsi="Arial" w:cs="Arial"/>
          <w:sz w:val="22"/>
          <w:szCs w:val="22"/>
        </w:rPr>
        <w:t xml:space="preserve"> </w:t>
      </w:r>
    </w:p>
    <w:p w:rsidR="003A13AD" w:rsidRPr="00B0021D" w:rsidRDefault="003A13AD" w:rsidP="003A13AD">
      <w:pPr>
        <w:rPr>
          <w:rFonts w:ascii="Arial" w:hAnsi="Arial" w:cs="Arial"/>
        </w:rPr>
      </w:pPr>
    </w:p>
    <w:p w:rsidR="003A13AD" w:rsidRDefault="0030063A" w:rsidP="003A13AD">
      <w:pPr>
        <w:rPr>
          <w:rFonts w:ascii="Arial" w:hAnsi="Arial" w:cs="Arial"/>
        </w:rPr>
      </w:pPr>
      <w:r>
        <w:rPr>
          <w:rFonts w:ascii="Arial" w:hAnsi="Arial" w:cs="Arial"/>
        </w:rPr>
        <w:t>[2</w:t>
      </w:r>
      <w:r w:rsidR="008B54CD">
        <w:rPr>
          <w:rFonts w:ascii="Arial" w:hAnsi="Arial" w:cs="Arial"/>
        </w:rPr>
        <w:t>3</w:t>
      </w:r>
      <w:r w:rsidR="004F6669">
        <w:rPr>
          <w:rFonts w:ascii="Arial" w:hAnsi="Arial" w:cs="Arial"/>
        </w:rPr>
        <w:t>]</w:t>
      </w:r>
      <w:r w:rsidR="004F6669">
        <w:rPr>
          <w:rFonts w:ascii="Arial" w:hAnsi="Arial" w:cs="Arial"/>
        </w:rPr>
        <w:tab/>
      </w:r>
      <w:r w:rsidR="003A13AD">
        <w:rPr>
          <w:rFonts w:ascii="Arial" w:hAnsi="Arial" w:cs="Arial"/>
        </w:rPr>
        <w:t xml:space="preserve">It is </w:t>
      </w:r>
      <w:r w:rsidR="003A13AD" w:rsidRPr="009E6518">
        <w:rPr>
          <w:rFonts w:ascii="Arial" w:hAnsi="Arial" w:cs="Arial"/>
        </w:rPr>
        <w:t xml:space="preserve">not </w:t>
      </w:r>
      <w:r w:rsidR="003A13AD">
        <w:rPr>
          <w:rFonts w:ascii="Arial" w:hAnsi="Arial" w:cs="Arial"/>
        </w:rPr>
        <w:t xml:space="preserve">strictly </w:t>
      </w:r>
      <w:r w:rsidR="003A13AD" w:rsidRPr="009E6518">
        <w:rPr>
          <w:rFonts w:ascii="Arial" w:hAnsi="Arial" w:cs="Arial"/>
        </w:rPr>
        <w:t xml:space="preserve">necessary to </w:t>
      </w:r>
      <w:r w:rsidR="003A13AD">
        <w:rPr>
          <w:rFonts w:ascii="Arial" w:hAnsi="Arial" w:cs="Arial"/>
        </w:rPr>
        <w:t xml:space="preserve">enter into the </w:t>
      </w:r>
      <w:r w:rsidR="003A13AD" w:rsidRPr="009E6518">
        <w:rPr>
          <w:rFonts w:ascii="Arial" w:hAnsi="Arial" w:cs="Arial"/>
        </w:rPr>
        <w:t xml:space="preserve">debate </w:t>
      </w:r>
      <w:r w:rsidR="003A13AD">
        <w:rPr>
          <w:rFonts w:ascii="Arial" w:hAnsi="Arial" w:cs="Arial"/>
        </w:rPr>
        <w:t xml:space="preserve">as </w:t>
      </w:r>
      <w:r w:rsidR="00CE1FD8" w:rsidRPr="00A515E1">
        <w:rPr>
          <w:rFonts w:ascii="Arial" w:hAnsi="Arial" w:cs="Arial"/>
        </w:rPr>
        <w:t>to</w:t>
      </w:r>
      <w:r w:rsidR="00CE1FD8">
        <w:rPr>
          <w:rFonts w:ascii="Arial" w:hAnsi="Arial" w:cs="Arial"/>
        </w:rPr>
        <w:t xml:space="preserve"> </w:t>
      </w:r>
      <w:r w:rsidR="003A13AD" w:rsidRPr="009E6518">
        <w:rPr>
          <w:rFonts w:ascii="Arial" w:hAnsi="Arial" w:cs="Arial"/>
        </w:rPr>
        <w:t xml:space="preserve">whether, in this case, a departure from s 105 might be justified. The </w:t>
      </w:r>
      <w:r w:rsidR="003A13AD">
        <w:rPr>
          <w:rFonts w:ascii="Arial" w:hAnsi="Arial" w:cs="Arial"/>
        </w:rPr>
        <w:t>h</w:t>
      </w:r>
      <w:r w:rsidR="003A13AD" w:rsidRPr="009E6518">
        <w:rPr>
          <w:rFonts w:ascii="Arial" w:hAnsi="Arial" w:cs="Arial"/>
        </w:rPr>
        <w:t xml:space="preserve">igh </w:t>
      </w:r>
      <w:r w:rsidR="003A13AD">
        <w:rPr>
          <w:rFonts w:ascii="Arial" w:hAnsi="Arial" w:cs="Arial"/>
        </w:rPr>
        <w:t>c</w:t>
      </w:r>
      <w:r w:rsidR="005072FA">
        <w:rPr>
          <w:rFonts w:ascii="Arial" w:hAnsi="Arial" w:cs="Arial"/>
        </w:rPr>
        <w:t xml:space="preserve">ourt did not </w:t>
      </w:r>
      <w:r w:rsidR="003A13AD" w:rsidRPr="009E6518">
        <w:rPr>
          <w:rFonts w:ascii="Arial" w:hAnsi="Arial" w:cs="Arial"/>
        </w:rPr>
        <w:t>mak</w:t>
      </w:r>
      <w:r w:rsidR="00CE1FD8">
        <w:rPr>
          <w:rFonts w:ascii="Arial" w:hAnsi="Arial" w:cs="Arial"/>
        </w:rPr>
        <w:t xml:space="preserve">e an order under s 105 and </w:t>
      </w:r>
      <w:r w:rsidR="00CE1FD8" w:rsidRPr="00A515E1">
        <w:rPr>
          <w:rFonts w:ascii="Arial" w:hAnsi="Arial" w:cs="Arial"/>
        </w:rPr>
        <w:t>Rappa</w:t>
      </w:r>
      <w:r w:rsidR="003A13AD" w:rsidRPr="009E6518">
        <w:rPr>
          <w:rFonts w:ascii="Arial" w:hAnsi="Arial" w:cs="Arial"/>
        </w:rPr>
        <w:t xml:space="preserve"> has not cross-appealed its decision</w:t>
      </w:r>
      <w:r w:rsidR="003A13AD">
        <w:rPr>
          <w:rFonts w:ascii="Arial" w:hAnsi="Arial" w:cs="Arial"/>
        </w:rPr>
        <w:t xml:space="preserve"> in that regard</w:t>
      </w:r>
      <w:r w:rsidR="003A13AD" w:rsidRPr="009E6518">
        <w:rPr>
          <w:rFonts w:ascii="Arial" w:hAnsi="Arial" w:cs="Arial"/>
        </w:rPr>
        <w:t>.</w:t>
      </w:r>
      <w:r w:rsidR="003A13AD">
        <w:rPr>
          <w:rFonts w:ascii="Arial" w:hAnsi="Arial" w:cs="Arial"/>
        </w:rPr>
        <w:t xml:space="preserve"> </w:t>
      </w:r>
      <w:r w:rsidR="003A13AD" w:rsidRPr="009E6518">
        <w:rPr>
          <w:rFonts w:ascii="Arial" w:hAnsi="Arial" w:cs="Arial"/>
        </w:rPr>
        <w:t xml:space="preserve">The important point, </w:t>
      </w:r>
      <w:r w:rsidR="003A13AD">
        <w:rPr>
          <w:rFonts w:ascii="Arial" w:hAnsi="Arial" w:cs="Arial"/>
        </w:rPr>
        <w:t>for present purposes, is that n</w:t>
      </w:r>
      <w:r w:rsidR="003A13AD" w:rsidRPr="009E6518">
        <w:rPr>
          <w:rFonts w:ascii="Arial" w:hAnsi="Arial" w:cs="Arial"/>
        </w:rPr>
        <w:t xml:space="preserve">ot having made such an order, </w:t>
      </w:r>
      <w:r w:rsidR="003A13AD">
        <w:rPr>
          <w:rFonts w:ascii="Arial" w:hAnsi="Arial" w:cs="Arial"/>
        </w:rPr>
        <w:t xml:space="preserve">the court </w:t>
      </w:r>
      <w:r w:rsidR="003A13AD" w:rsidRPr="009E6518">
        <w:rPr>
          <w:rFonts w:ascii="Arial" w:hAnsi="Arial" w:cs="Arial"/>
        </w:rPr>
        <w:t xml:space="preserve">accordingly did not have jurisdiction </w:t>
      </w:r>
      <w:r w:rsidR="003A13AD">
        <w:rPr>
          <w:rFonts w:ascii="Arial" w:hAnsi="Arial" w:cs="Arial"/>
        </w:rPr>
        <w:t>in the</w:t>
      </w:r>
      <w:r w:rsidR="003A13AD" w:rsidRPr="009E6518">
        <w:rPr>
          <w:rFonts w:ascii="Arial" w:hAnsi="Arial" w:cs="Arial"/>
        </w:rPr>
        <w:t xml:space="preserve"> review</w:t>
      </w:r>
      <w:r w:rsidR="003A13AD">
        <w:rPr>
          <w:rFonts w:ascii="Arial" w:hAnsi="Arial" w:cs="Arial"/>
        </w:rPr>
        <w:t xml:space="preserve"> application</w:t>
      </w:r>
      <w:r w:rsidR="003A13AD" w:rsidRPr="009E6518">
        <w:rPr>
          <w:rFonts w:ascii="Arial" w:hAnsi="Arial" w:cs="Arial"/>
        </w:rPr>
        <w:t>.</w:t>
      </w:r>
      <w:r w:rsidR="003A13AD">
        <w:rPr>
          <w:rFonts w:ascii="Arial" w:hAnsi="Arial" w:cs="Arial"/>
        </w:rPr>
        <w:t xml:space="preserve"> </w:t>
      </w:r>
      <w:r w:rsidR="003A13AD" w:rsidRPr="009E6518">
        <w:rPr>
          <w:rFonts w:ascii="Arial" w:hAnsi="Arial" w:cs="Arial"/>
        </w:rPr>
        <w:t xml:space="preserve">Because it did not have jurisdiction in </w:t>
      </w:r>
      <w:r w:rsidR="003A13AD" w:rsidRPr="009E6518">
        <w:rPr>
          <w:rFonts w:ascii="Arial" w:hAnsi="Arial" w:cs="Arial"/>
        </w:rPr>
        <w:lastRenderedPageBreak/>
        <w:t>the review, it also did not have the power to issue the compelling order which was incidental to the review.</w:t>
      </w:r>
      <w:r w:rsidR="003A13AD">
        <w:rPr>
          <w:rFonts w:ascii="Arial" w:hAnsi="Arial" w:cs="Arial"/>
        </w:rPr>
        <w:t xml:space="preserve"> </w:t>
      </w:r>
    </w:p>
    <w:p w:rsidR="000D68FF" w:rsidRDefault="000D68FF" w:rsidP="003A13AD">
      <w:pPr>
        <w:rPr>
          <w:rFonts w:ascii="Arial" w:hAnsi="Arial" w:cs="Arial"/>
        </w:rPr>
      </w:pPr>
    </w:p>
    <w:p w:rsidR="003A13AD" w:rsidRDefault="0030063A" w:rsidP="003A13AD">
      <w:pPr>
        <w:rPr>
          <w:rFonts w:ascii="Arial" w:hAnsi="Arial" w:cs="Arial"/>
        </w:rPr>
      </w:pPr>
      <w:r>
        <w:rPr>
          <w:rFonts w:ascii="Arial" w:hAnsi="Arial" w:cs="Arial"/>
        </w:rPr>
        <w:t>[2</w:t>
      </w:r>
      <w:r w:rsidR="008B54CD">
        <w:rPr>
          <w:rFonts w:ascii="Arial" w:hAnsi="Arial" w:cs="Arial"/>
        </w:rPr>
        <w:t>4</w:t>
      </w:r>
      <w:r w:rsidR="004F6669">
        <w:rPr>
          <w:rFonts w:ascii="Arial" w:hAnsi="Arial" w:cs="Arial"/>
        </w:rPr>
        <w:t>]</w:t>
      </w:r>
      <w:r w:rsidR="004F6669">
        <w:rPr>
          <w:rFonts w:ascii="Arial" w:hAnsi="Arial" w:cs="Arial"/>
        </w:rPr>
        <w:tab/>
      </w:r>
      <w:r w:rsidR="003A13AD">
        <w:rPr>
          <w:rFonts w:ascii="Arial" w:hAnsi="Arial" w:cs="Arial"/>
        </w:rPr>
        <w:t>In an endeavour to escape this logical consequence, there was some attempt to suggest at the Bar in this court that as the issues raised in the review application did not implicate s</w:t>
      </w:r>
      <w:r w:rsidR="00BB7F65">
        <w:rPr>
          <w:rFonts w:ascii="Arial" w:hAnsi="Arial" w:cs="Arial"/>
        </w:rPr>
        <w:t xml:space="preserve"> </w:t>
      </w:r>
      <w:r w:rsidR="003A13AD">
        <w:rPr>
          <w:rFonts w:ascii="Arial" w:hAnsi="Arial" w:cs="Arial"/>
        </w:rPr>
        <w:t>104 of the TAA, s 105 did not find application. However, as the affidavits f</w:t>
      </w:r>
      <w:r w:rsidR="00BB7F65">
        <w:rPr>
          <w:rFonts w:ascii="Arial" w:hAnsi="Arial" w:cs="Arial"/>
        </w:rPr>
        <w:t xml:space="preserve">iled in the review application </w:t>
      </w:r>
      <w:r w:rsidR="003A13AD">
        <w:rPr>
          <w:rFonts w:ascii="Arial" w:hAnsi="Arial" w:cs="Arial"/>
        </w:rPr>
        <w:t>and the relief sought</w:t>
      </w:r>
      <w:r w:rsidR="00BB7F65">
        <w:rPr>
          <w:rFonts w:ascii="Arial" w:hAnsi="Arial" w:cs="Arial"/>
        </w:rPr>
        <w:t xml:space="preserve"> </w:t>
      </w:r>
      <w:r w:rsidR="003A13AD">
        <w:rPr>
          <w:rFonts w:ascii="Arial" w:hAnsi="Arial" w:cs="Arial"/>
        </w:rPr>
        <w:t xml:space="preserve">make perfectly plain, Rappa was aggrieved by the assessments issued by SARS, which it sought to have set aside. That squarely implicated s 104 and, in turn, s 105. That aside, it was open to Rappa to make out a proper case on the papers that the dispute raised was such as to warrant the high court issuing the necessary direction in the exercise of its discretion under s 105. On this score, it self-evidently chose not to make out such a case </w:t>
      </w:r>
      <w:r w:rsidR="000D68FF">
        <w:rPr>
          <w:rFonts w:ascii="Arial" w:hAnsi="Arial" w:cs="Arial"/>
        </w:rPr>
        <w:t>–</w:t>
      </w:r>
      <w:r w:rsidR="003A13AD">
        <w:rPr>
          <w:rFonts w:ascii="Arial" w:hAnsi="Arial" w:cs="Arial"/>
        </w:rPr>
        <w:t xml:space="preserve"> a choice that is not without its consequence. Even as late as the appeal, Rappa continued to vacillate between: on the one hand, asserting that because of the nature of the issues raised, it was not necessary to obtain a direction in terms of s 105; and, on the other, to the extent necessary, it was </w:t>
      </w:r>
      <w:r w:rsidR="00BB7F65">
        <w:rPr>
          <w:rFonts w:ascii="Arial" w:hAnsi="Arial" w:cs="Arial"/>
        </w:rPr>
        <w:t>entitled to such an order. A</w:t>
      </w:r>
      <w:r w:rsidR="003A13AD">
        <w:rPr>
          <w:rFonts w:ascii="Arial" w:hAnsi="Arial" w:cs="Arial"/>
        </w:rPr>
        <w:t>n order</w:t>
      </w:r>
      <w:r w:rsidR="00BB7F65">
        <w:rPr>
          <w:rFonts w:ascii="Arial" w:hAnsi="Arial" w:cs="Arial"/>
        </w:rPr>
        <w:t xml:space="preserve"> under s 105</w:t>
      </w:r>
      <w:r w:rsidR="003A13AD">
        <w:rPr>
          <w:rFonts w:ascii="Arial" w:hAnsi="Arial" w:cs="Arial"/>
        </w:rPr>
        <w:t>, it bears noting, is not simply to be had for the asking. A case has to be made out for the high court to authorise a departure from the default rule in the proper exercise of its discretion</w:t>
      </w:r>
      <w:r w:rsidR="00BB7F65">
        <w:rPr>
          <w:rFonts w:ascii="Arial" w:hAnsi="Arial" w:cs="Arial"/>
        </w:rPr>
        <w:t xml:space="preserve"> on a conspectus of all of the facts before it. </w:t>
      </w:r>
      <w:r w:rsidR="003A13AD">
        <w:rPr>
          <w:rFonts w:ascii="Arial" w:hAnsi="Arial" w:cs="Arial"/>
        </w:rPr>
        <w:t>It cannot be, as seems to have been suggested, that the mere say-so of the taxpayer that the dispute is</w:t>
      </w:r>
      <w:r w:rsidR="009D5095">
        <w:rPr>
          <w:rFonts w:ascii="Arial" w:hAnsi="Arial" w:cs="Arial"/>
        </w:rPr>
        <w:t xml:space="preserve"> not one contemplated by s 104 or over which the tax court lacks jurisdiction can</w:t>
      </w:r>
      <w:r w:rsidR="003A13AD">
        <w:rPr>
          <w:rFonts w:ascii="Arial" w:hAnsi="Arial" w:cs="Arial"/>
        </w:rPr>
        <w:t xml:space="preserve">, without more, simply carry the day.  </w:t>
      </w:r>
      <w:r w:rsidR="00E5564C">
        <w:rPr>
          <w:rFonts w:ascii="Arial" w:hAnsi="Arial" w:cs="Arial"/>
        </w:rPr>
        <w:t xml:space="preserve">Whether a direction under s 105 should issue </w:t>
      </w:r>
      <w:r w:rsidR="003A13AD">
        <w:rPr>
          <w:rFonts w:ascii="Arial" w:hAnsi="Arial" w:cs="Arial"/>
        </w:rPr>
        <w:t xml:space="preserve">remains a decision for the </w:t>
      </w:r>
      <w:r w:rsidR="009D5095">
        <w:rPr>
          <w:rFonts w:ascii="Arial" w:hAnsi="Arial" w:cs="Arial"/>
        </w:rPr>
        <w:t xml:space="preserve">high </w:t>
      </w:r>
      <w:r w:rsidR="003A13AD">
        <w:rPr>
          <w:rFonts w:ascii="Arial" w:hAnsi="Arial" w:cs="Arial"/>
        </w:rPr>
        <w:t>court</w:t>
      </w:r>
      <w:r w:rsidR="009D5095">
        <w:rPr>
          <w:rFonts w:ascii="Arial" w:hAnsi="Arial" w:cs="Arial"/>
        </w:rPr>
        <w:t>.</w:t>
      </w:r>
      <w:r w:rsidR="003A13AD">
        <w:rPr>
          <w:rFonts w:ascii="Arial" w:hAnsi="Arial" w:cs="Arial"/>
        </w:rPr>
        <w:t xml:space="preserve"> </w:t>
      </w:r>
    </w:p>
    <w:p w:rsidR="00C314BC" w:rsidRDefault="00C314BC" w:rsidP="003A13AD">
      <w:pPr>
        <w:rPr>
          <w:rFonts w:ascii="Arial" w:hAnsi="Arial" w:cs="Arial"/>
        </w:rPr>
      </w:pPr>
    </w:p>
    <w:p w:rsidR="003A13AD" w:rsidRDefault="0030063A" w:rsidP="003A13AD">
      <w:pPr>
        <w:rPr>
          <w:rFonts w:ascii="Arial" w:hAnsi="Arial" w:cs="Arial"/>
        </w:rPr>
      </w:pPr>
      <w:r>
        <w:rPr>
          <w:rFonts w:ascii="Arial" w:hAnsi="Arial" w:cs="Arial"/>
        </w:rPr>
        <w:t>[2</w:t>
      </w:r>
      <w:r w:rsidR="008B54CD">
        <w:rPr>
          <w:rFonts w:ascii="Arial" w:hAnsi="Arial" w:cs="Arial"/>
        </w:rPr>
        <w:t>5</w:t>
      </w:r>
      <w:r w:rsidR="00C314BC">
        <w:rPr>
          <w:rFonts w:ascii="Arial" w:hAnsi="Arial" w:cs="Arial"/>
        </w:rPr>
        <w:t>]</w:t>
      </w:r>
      <w:r w:rsidR="00C314BC">
        <w:rPr>
          <w:rFonts w:ascii="Arial" w:hAnsi="Arial" w:cs="Arial"/>
        </w:rPr>
        <w:tab/>
      </w:r>
      <w:r w:rsidR="003A13AD">
        <w:rPr>
          <w:rFonts w:ascii="Arial" w:hAnsi="Arial" w:cs="Arial"/>
        </w:rPr>
        <w:t xml:space="preserve">Finally, it was suggested that were we to reach the conclusion that </w:t>
      </w:r>
      <w:r w:rsidR="009D5095">
        <w:rPr>
          <w:rFonts w:ascii="Arial" w:hAnsi="Arial" w:cs="Arial"/>
        </w:rPr>
        <w:t xml:space="preserve">a direction under </w:t>
      </w:r>
      <w:r w:rsidR="003A13AD">
        <w:rPr>
          <w:rFonts w:ascii="Arial" w:hAnsi="Arial" w:cs="Arial"/>
        </w:rPr>
        <w:t xml:space="preserve">s 105 was indeed necessary then, like the Constitutional Court in case number CCT 179/18 in the </w:t>
      </w:r>
      <w:r w:rsidR="003A13AD">
        <w:rPr>
          <w:rFonts w:ascii="Arial" w:hAnsi="Arial" w:cs="Arial"/>
          <w:i/>
          <w:iCs/>
        </w:rPr>
        <w:t xml:space="preserve">Standard Bank </w:t>
      </w:r>
      <w:r w:rsidR="003A13AD" w:rsidRPr="002F1D1E">
        <w:rPr>
          <w:rFonts w:ascii="Arial" w:hAnsi="Arial" w:cs="Arial"/>
        </w:rPr>
        <w:t>matter</w:t>
      </w:r>
      <w:r w:rsidR="003A13AD">
        <w:rPr>
          <w:rFonts w:ascii="Arial" w:hAnsi="Arial" w:cs="Arial"/>
        </w:rPr>
        <w:t>, we ‘should not pre-empt the [high court’s] decision on its jurisdiction, and it would be in the interests of justice to remit the matter’.</w:t>
      </w:r>
      <w:r w:rsidR="003A13AD">
        <w:rPr>
          <w:rStyle w:val="FootnoteReference"/>
          <w:rFonts w:ascii="Arial" w:hAnsi="Arial" w:cs="Arial"/>
        </w:rPr>
        <w:footnoteReference w:id="20"/>
      </w:r>
      <w:r w:rsidR="003A13AD">
        <w:rPr>
          <w:rFonts w:ascii="Arial" w:hAnsi="Arial" w:cs="Arial"/>
        </w:rPr>
        <w:t xml:space="preserve"> It seems to me that such a course is not open to us here. In that matter, in the face of </w:t>
      </w:r>
      <w:r w:rsidR="003A13AD" w:rsidRPr="001D7CD7">
        <w:rPr>
          <w:rFonts w:ascii="Arial" w:hAnsi="Arial" w:cs="Arial"/>
        </w:rPr>
        <w:t>Standard Bank</w:t>
      </w:r>
      <w:r w:rsidR="003A13AD">
        <w:rPr>
          <w:rFonts w:ascii="Arial" w:hAnsi="Arial" w:cs="Arial"/>
        </w:rPr>
        <w:t xml:space="preserve">’s review application, the Commission had counter-applied for an order that the Competition Appeal Court (CAC) lacked jurisdiction to hear the </w:t>
      </w:r>
      <w:r w:rsidR="003A13AD">
        <w:rPr>
          <w:rFonts w:ascii="Arial" w:hAnsi="Arial" w:cs="Arial"/>
        </w:rPr>
        <w:lastRenderedPageBreak/>
        <w:t>review. The CAC compelled production of the rule 53 record, whilst leaving open the question of whether it had jurisdiction to hear the review. The logically anterior enquiry</w:t>
      </w:r>
      <w:r w:rsidR="003A13AD" w:rsidRPr="00DB5059">
        <w:rPr>
          <w:rFonts w:ascii="Arial" w:hAnsi="Arial" w:cs="Arial"/>
        </w:rPr>
        <w:t xml:space="preserve"> </w:t>
      </w:r>
      <w:r w:rsidR="003A13AD">
        <w:rPr>
          <w:rFonts w:ascii="Arial" w:hAnsi="Arial" w:cs="Arial"/>
        </w:rPr>
        <w:t>raised by the counter application, which pertained to jurisdiction, ought to have been adjudicated prior to the review a</w:t>
      </w:r>
      <w:r w:rsidR="009D5095">
        <w:rPr>
          <w:rFonts w:ascii="Arial" w:hAnsi="Arial" w:cs="Arial"/>
        </w:rPr>
        <w:t>nd compelling applications. As the CAC had</w:t>
      </w:r>
      <w:r w:rsidR="003A13AD">
        <w:rPr>
          <w:rFonts w:ascii="Arial" w:hAnsi="Arial" w:cs="Arial"/>
        </w:rPr>
        <w:t xml:space="preserve"> not entered into the counter-application,</w:t>
      </w:r>
      <w:r w:rsidR="009D5095">
        <w:rPr>
          <w:rFonts w:ascii="Arial" w:hAnsi="Arial" w:cs="Arial"/>
        </w:rPr>
        <w:t xml:space="preserve"> the issue remained a live one before it. This</w:t>
      </w:r>
      <w:r w:rsidR="003A13AD">
        <w:rPr>
          <w:rFonts w:ascii="Arial" w:hAnsi="Arial" w:cs="Arial"/>
        </w:rPr>
        <w:t xml:space="preserve"> formed a central plank of the Commission’s appeal to the Constitutional Court. In those circumstances, a remittal to the CAC was </w:t>
      </w:r>
      <w:r w:rsidR="009D5095">
        <w:rPr>
          <w:rFonts w:ascii="Arial" w:hAnsi="Arial" w:cs="Arial"/>
        </w:rPr>
        <w:t xml:space="preserve">both necessary and unavoidable. </w:t>
      </w:r>
    </w:p>
    <w:p w:rsidR="009D5095" w:rsidRDefault="009D5095" w:rsidP="003A13AD">
      <w:pPr>
        <w:rPr>
          <w:rFonts w:ascii="Arial" w:hAnsi="Arial" w:cs="Arial"/>
        </w:rPr>
      </w:pPr>
    </w:p>
    <w:p w:rsidR="003A13AD" w:rsidRPr="007134E8" w:rsidRDefault="0030063A" w:rsidP="003A13AD">
      <w:pPr>
        <w:rPr>
          <w:rFonts w:ascii="Arial" w:hAnsi="Arial" w:cs="Arial"/>
        </w:rPr>
      </w:pPr>
      <w:r>
        <w:rPr>
          <w:rFonts w:ascii="Arial" w:hAnsi="Arial" w:cs="Arial"/>
        </w:rPr>
        <w:t>[2</w:t>
      </w:r>
      <w:r w:rsidR="008B54CD">
        <w:rPr>
          <w:rFonts w:ascii="Arial" w:hAnsi="Arial" w:cs="Arial"/>
        </w:rPr>
        <w:t>6</w:t>
      </w:r>
      <w:r w:rsidR="004F6669">
        <w:rPr>
          <w:rFonts w:ascii="Arial" w:hAnsi="Arial" w:cs="Arial"/>
        </w:rPr>
        <w:t>]</w:t>
      </w:r>
      <w:r w:rsidR="004F6669">
        <w:rPr>
          <w:rFonts w:ascii="Arial" w:hAnsi="Arial" w:cs="Arial"/>
        </w:rPr>
        <w:tab/>
      </w:r>
      <w:r w:rsidR="003A13AD">
        <w:rPr>
          <w:rFonts w:ascii="Arial" w:hAnsi="Arial" w:cs="Arial"/>
        </w:rPr>
        <w:t>Here, as I have pointed out there is no cross appeal. A court must have jurisdiction for its judgment or order to be valid. The high court appears to have lost from sight that the time for determining whether a court has jurisdiction is at the commencement of the proceeding.</w:t>
      </w:r>
      <w:r w:rsidR="003A13AD">
        <w:rPr>
          <w:rStyle w:val="FootnoteReference"/>
          <w:rFonts w:ascii="Arial" w:hAnsi="Arial" w:cs="Arial"/>
        </w:rPr>
        <w:footnoteReference w:id="21"/>
      </w:r>
      <w:r w:rsidR="003A13AD">
        <w:rPr>
          <w:rFonts w:ascii="Arial" w:hAnsi="Arial" w:cs="Arial"/>
        </w:rPr>
        <w:t xml:space="preserve"> Having postponed that question, the high court was not empowered to issue the orders that it did. Those orders, including paragraph 1, amending the notice </w:t>
      </w:r>
      <w:r w:rsidR="009D5095">
        <w:rPr>
          <w:rFonts w:ascii="Arial" w:hAnsi="Arial" w:cs="Arial"/>
        </w:rPr>
        <w:t xml:space="preserve">of motion, </w:t>
      </w:r>
      <w:r w:rsidR="003A13AD">
        <w:rPr>
          <w:rFonts w:ascii="Arial" w:hAnsi="Arial" w:cs="Arial"/>
        </w:rPr>
        <w:t>and paragraph 2, postponing sine die whether a directive under s 105 of the TAA should issue, are nullities.</w:t>
      </w:r>
      <w:r w:rsidR="003A13AD">
        <w:rPr>
          <w:rStyle w:val="FootnoteReference"/>
          <w:rFonts w:ascii="Arial" w:hAnsi="Arial" w:cs="Arial"/>
        </w:rPr>
        <w:footnoteReference w:id="22"/>
      </w:r>
      <w:r w:rsidR="003A13AD">
        <w:rPr>
          <w:rFonts w:ascii="Arial" w:hAnsi="Arial" w:cs="Arial"/>
        </w:rPr>
        <w:t xml:space="preserve"> In granting prayers 1 and 2, the high court, no doubt, inclined to the view that relief under s 105 was necessary. It was thus mutually incompatible for it to have formed that view and, at the same time, deferred a decision on that question to the court hearing the review</w:t>
      </w:r>
      <w:r w:rsidR="009D5095">
        <w:rPr>
          <w:rFonts w:ascii="Arial" w:hAnsi="Arial" w:cs="Arial"/>
        </w:rPr>
        <w:t xml:space="preserve"> application. And, what is more</w:t>
      </w:r>
      <w:r w:rsidR="003A13AD">
        <w:rPr>
          <w:rFonts w:ascii="Arial" w:hAnsi="Arial" w:cs="Arial"/>
        </w:rPr>
        <w:t>, in the meanwhile, to have exercised coercive pow</w:t>
      </w:r>
      <w:r w:rsidR="009D5095">
        <w:rPr>
          <w:rFonts w:ascii="Arial" w:hAnsi="Arial" w:cs="Arial"/>
        </w:rPr>
        <w:t xml:space="preserve">ers to compel production on </w:t>
      </w:r>
      <w:r w:rsidR="003A13AD">
        <w:rPr>
          <w:rFonts w:ascii="Arial" w:hAnsi="Arial" w:cs="Arial"/>
        </w:rPr>
        <w:t xml:space="preserve">possible pain of contempt.                                 </w:t>
      </w:r>
    </w:p>
    <w:p w:rsidR="003A13AD" w:rsidRPr="00B41D08" w:rsidRDefault="003A13AD" w:rsidP="003A13AD">
      <w:pPr>
        <w:rPr>
          <w:rFonts w:ascii="Arial" w:hAnsi="Arial" w:cs="Arial"/>
        </w:rPr>
      </w:pPr>
    </w:p>
    <w:p w:rsidR="003A13AD" w:rsidRPr="009E6518" w:rsidRDefault="0030063A" w:rsidP="003A13AD">
      <w:pPr>
        <w:rPr>
          <w:rFonts w:ascii="Arial" w:hAnsi="Arial" w:cs="Arial"/>
        </w:rPr>
      </w:pPr>
      <w:r>
        <w:rPr>
          <w:rFonts w:ascii="Arial" w:hAnsi="Arial" w:cs="Arial"/>
        </w:rPr>
        <w:t>[2</w:t>
      </w:r>
      <w:r w:rsidR="008B54CD">
        <w:rPr>
          <w:rFonts w:ascii="Arial" w:hAnsi="Arial" w:cs="Arial"/>
        </w:rPr>
        <w:t>7</w:t>
      </w:r>
      <w:r w:rsidR="004F6669">
        <w:rPr>
          <w:rFonts w:ascii="Arial" w:hAnsi="Arial" w:cs="Arial"/>
        </w:rPr>
        <w:t>]</w:t>
      </w:r>
      <w:r w:rsidR="004F6669">
        <w:rPr>
          <w:rFonts w:ascii="Arial" w:hAnsi="Arial" w:cs="Arial"/>
        </w:rPr>
        <w:tab/>
      </w:r>
      <w:r w:rsidR="003A13AD">
        <w:rPr>
          <w:rFonts w:ascii="Arial" w:hAnsi="Arial" w:cs="Arial"/>
        </w:rPr>
        <w:t>In the result:</w:t>
      </w:r>
    </w:p>
    <w:p w:rsidR="003A13AD" w:rsidRPr="009E6518" w:rsidRDefault="0030063A" w:rsidP="003A13AD">
      <w:pPr>
        <w:rPr>
          <w:rFonts w:ascii="Arial" w:hAnsi="Arial" w:cs="Arial"/>
        </w:rPr>
      </w:pPr>
      <w:r>
        <w:rPr>
          <w:rFonts w:ascii="Arial" w:hAnsi="Arial" w:cs="Arial"/>
        </w:rPr>
        <w:t xml:space="preserve">1 </w:t>
      </w:r>
      <w:r w:rsidR="003A13AD" w:rsidRPr="009E6518">
        <w:rPr>
          <w:rFonts w:ascii="Arial" w:hAnsi="Arial" w:cs="Arial"/>
        </w:rPr>
        <w:t>The appeal is upheld with costs</w:t>
      </w:r>
      <w:r w:rsidR="003A13AD">
        <w:rPr>
          <w:rFonts w:ascii="Arial" w:hAnsi="Arial" w:cs="Arial"/>
        </w:rPr>
        <w:t>,</w:t>
      </w:r>
      <w:r w:rsidR="003A13AD" w:rsidRPr="009E6518">
        <w:rPr>
          <w:rFonts w:ascii="Arial" w:hAnsi="Arial" w:cs="Arial"/>
        </w:rPr>
        <w:t xml:space="preserve"> including th</w:t>
      </w:r>
      <w:r w:rsidR="003A13AD">
        <w:rPr>
          <w:rFonts w:ascii="Arial" w:hAnsi="Arial" w:cs="Arial"/>
        </w:rPr>
        <w:t>ose</w:t>
      </w:r>
      <w:r w:rsidR="003A13AD" w:rsidRPr="009E6518">
        <w:rPr>
          <w:rFonts w:ascii="Arial" w:hAnsi="Arial" w:cs="Arial"/>
        </w:rPr>
        <w:t xml:space="preserve"> of two counsel.</w:t>
      </w:r>
    </w:p>
    <w:p w:rsidR="003A13AD" w:rsidRDefault="0030063A" w:rsidP="003A13AD">
      <w:pPr>
        <w:rPr>
          <w:rFonts w:ascii="Arial" w:hAnsi="Arial" w:cs="Arial"/>
        </w:rPr>
      </w:pPr>
      <w:r>
        <w:rPr>
          <w:rFonts w:ascii="Arial" w:hAnsi="Arial" w:cs="Arial"/>
        </w:rPr>
        <w:t xml:space="preserve">2 </w:t>
      </w:r>
      <w:r w:rsidR="003A13AD">
        <w:rPr>
          <w:rFonts w:ascii="Arial" w:hAnsi="Arial" w:cs="Arial"/>
        </w:rPr>
        <w:t>The order of the court below is</w:t>
      </w:r>
      <w:r w:rsidR="003A13AD" w:rsidRPr="009E6518">
        <w:rPr>
          <w:rFonts w:ascii="Arial" w:hAnsi="Arial" w:cs="Arial"/>
        </w:rPr>
        <w:t xml:space="preserve"> set aside and replaced with </w:t>
      </w:r>
      <w:r w:rsidR="003A13AD">
        <w:rPr>
          <w:rFonts w:ascii="Arial" w:hAnsi="Arial" w:cs="Arial"/>
        </w:rPr>
        <w:t xml:space="preserve">one dismissing the application </w:t>
      </w:r>
      <w:r w:rsidR="003A13AD" w:rsidRPr="009E6518">
        <w:rPr>
          <w:rFonts w:ascii="Arial" w:hAnsi="Arial" w:cs="Arial"/>
        </w:rPr>
        <w:t>with costs</w:t>
      </w:r>
      <w:r w:rsidR="003A13AD">
        <w:rPr>
          <w:rFonts w:ascii="Arial" w:hAnsi="Arial" w:cs="Arial"/>
        </w:rPr>
        <w:t>,</w:t>
      </w:r>
      <w:r w:rsidR="005072FA">
        <w:rPr>
          <w:rFonts w:ascii="Arial" w:hAnsi="Arial" w:cs="Arial"/>
        </w:rPr>
        <w:t xml:space="preserve"> including those</w:t>
      </w:r>
      <w:r w:rsidR="003A13AD" w:rsidRPr="009E6518">
        <w:rPr>
          <w:rFonts w:ascii="Arial" w:hAnsi="Arial" w:cs="Arial"/>
        </w:rPr>
        <w:t xml:space="preserve"> of two counsel.</w:t>
      </w:r>
    </w:p>
    <w:p w:rsidR="003A13AD" w:rsidRDefault="003A13AD" w:rsidP="003A13AD">
      <w:pPr>
        <w:rPr>
          <w:rFonts w:ascii="Arial" w:hAnsi="Arial" w:cs="Arial"/>
        </w:rPr>
      </w:pPr>
    </w:p>
    <w:p w:rsidR="0035499A" w:rsidRPr="005D07C6" w:rsidRDefault="0035499A" w:rsidP="005D07C6">
      <w:pPr>
        <w:rPr>
          <w:rFonts w:ascii="Arial" w:eastAsia="Arial" w:hAnsi="Arial" w:cs="Arial"/>
        </w:rPr>
      </w:pPr>
    </w:p>
    <w:p w:rsidR="00CB5FE1" w:rsidRPr="005C0135" w:rsidRDefault="005005D6" w:rsidP="005D07C6">
      <w:pPr>
        <w:jc w:val="right"/>
        <w:rPr>
          <w:rFonts w:ascii="Arial" w:eastAsia="Arial" w:hAnsi="Arial" w:cs="Arial"/>
        </w:rPr>
      </w:pPr>
      <w:r w:rsidRPr="005D07C6">
        <w:rPr>
          <w:rFonts w:ascii="Arial" w:eastAsia="Arial" w:hAnsi="Arial" w:cs="Arial"/>
        </w:rPr>
        <w:tab/>
      </w:r>
      <w:r w:rsidRPr="005D07C6">
        <w:rPr>
          <w:rFonts w:ascii="Arial" w:eastAsia="Arial" w:hAnsi="Arial" w:cs="Arial"/>
        </w:rPr>
        <w:tab/>
      </w:r>
      <w:r w:rsidRPr="005D07C6">
        <w:rPr>
          <w:rFonts w:ascii="Arial" w:eastAsia="Arial" w:hAnsi="Arial" w:cs="Arial"/>
        </w:rPr>
        <w:tab/>
      </w:r>
      <w:r w:rsidRPr="005D07C6">
        <w:rPr>
          <w:rFonts w:ascii="Arial" w:eastAsia="Arial" w:hAnsi="Arial" w:cs="Arial"/>
        </w:rPr>
        <w:tab/>
      </w:r>
      <w:r w:rsidRPr="005D07C6">
        <w:rPr>
          <w:rFonts w:ascii="Arial" w:eastAsia="Arial" w:hAnsi="Arial" w:cs="Arial"/>
        </w:rPr>
        <w:tab/>
      </w:r>
      <w:r w:rsidRPr="005D07C6">
        <w:rPr>
          <w:rFonts w:ascii="Arial" w:eastAsia="Arial" w:hAnsi="Arial" w:cs="Arial"/>
        </w:rPr>
        <w:tab/>
      </w:r>
      <w:r w:rsidRPr="005D07C6">
        <w:rPr>
          <w:rFonts w:ascii="Arial" w:eastAsia="Arial" w:hAnsi="Arial" w:cs="Arial"/>
        </w:rPr>
        <w:tab/>
      </w:r>
      <w:r w:rsidRPr="005D07C6">
        <w:rPr>
          <w:rFonts w:ascii="Arial" w:eastAsia="Arial" w:hAnsi="Arial" w:cs="Arial"/>
        </w:rPr>
        <w:tab/>
      </w:r>
      <w:r w:rsidRPr="005C0135">
        <w:rPr>
          <w:rFonts w:ascii="Arial" w:eastAsia="Arial" w:hAnsi="Arial" w:cs="Arial"/>
        </w:rPr>
        <w:t>______________________</w:t>
      </w:r>
    </w:p>
    <w:p w:rsidR="00CB5FE1" w:rsidRPr="005C0135" w:rsidRDefault="003B0548" w:rsidP="005D07C6">
      <w:pPr>
        <w:jc w:val="right"/>
        <w:rPr>
          <w:rFonts w:ascii="Arial" w:eastAsia="Arial" w:hAnsi="Arial" w:cs="Arial"/>
        </w:rPr>
      </w:pPr>
      <w:r>
        <w:rPr>
          <w:rFonts w:ascii="Arial" w:eastAsia="Arial" w:hAnsi="Arial" w:cs="Arial"/>
        </w:rPr>
        <w:t>V M PONNAN</w:t>
      </w:r>
    </w:p>
    <w:p w:rsidR="00CB5FE1" w:rsidRPr="005C0135" w:rsidRDefault="005005D6" w:rsidP="005D07C6">
      <w:pPr>
        <w:jc w:val="right"/>
        <w:rPr>
          <w:rFonts w:ascii="Arial" w:eastAsia="Arial" w:hAnsi="Arial" w:cs="Arial"/>
        </w:rPr>
      </w:pPr>
      <w:r w:rsidRPr="005C0135">
        <w:rPr>
          <w:rFonts w:ascii="Arial" w:eastAsia="Arial" w:hAnsi="Arial" w:cs="Arial"/>
        </w:rPr>
        <w:t>JUDGE OF APPEAL</w:t>
      </w:r>
    </w:p>
    <w:p w:rsidR="00987F2D" w:rsidRPr="00987F2D" w:rsidRDefault="00987F2D" w:rsidP="00987F2D">
      <w:pPr>
        <w:rPr>
          <w:rFonts w:ascii="Arial" w:hAnsi="Arial" w:cs="Arial"/>
        </w:rPr>
      </w:pPr>
      <w:r w:rsidRPr="00987F2D">
        <w:rPr>
          <w:rFonts w:ascii="Arial" w:hAnsi="Arial" w:cs="Arial"/>
        </w:rPr>
        <w:lastRenderedPageBreak/>
        <w:t>APPEARANCES</w:t>
      </w:r>
    </w:p>
    <w:p w:rsidR="00CB5FE1" w:rsidRPr="005D07C6" w:rsidRDefault="00CB5FE1" w:rsidP="005D07C6">
      <w:pPr>
        <w:rPr>
          <w:rFonts w:ascii="Arial" w:eastAsia="Arial" w:hAnsi="Arial" w:cs="Arial"/>
        </w:rPr>
      </w:pPr>
    </w:p>
    <w:p w:rsidR="00CB5FE1" w:rsidRPr="00A87149" w:rsidRDefault="00A87149" w:rsidP="005D07C6">
      <w:pPr>
        <w:tabs>
          <w:tab w:val="left" w:pos="3969"/>
        </w:tabs>
        <w:rPr>
          <w:rFonts w:ascii="Arial" w:eastAsia="Arial" w:hAnsi="Arial" w:cs="Arial"/>
        </w:rPr>
      </w:pPr>
      <w:r w:rsidRPr="00A87149">
        <w:rPr>
          <w:rFonts w:ascii="Arial" w:eastAsia="Arial" w:hAnsi="Arial" w:cs="Arial"/>
        </w:rPr>
        <w:t>For appellant:</w:t>
      </w:r>
      <w:r>
        <w:rPr>
          <w:rFonts w:ascii="Arial" w:eastAsia="Arial" w:hAnsi="Arial" w:cs="Arial"/>
          <w:color w:val="FF0000"/>
        </w:rPr>
        <w:tab/>
      </w:r>
      <w:r w:rsidR="006B112F">
        <w:rPr>
          <w:rFonts w:ascii="Arial" w:eastAsia="Arial" w:hAnsi="Arial" w:cs="Arial"/>
        </w:rPr>
        <w:t>E M Coetz</w:t>
      </w:r>
      <w:r w:rsidRPr="00A87149">
        <w:rPr>
          <w:rFonts w:ascii="Arial" w:eastAsia="Arial" w:hAnsi="Arial" w:cs="Arial"/>
        </w:rPr>
        <w:t>ee SC with H J de Wet</w:t>
      </w:r>
      <w:r w:rsidR="005005D6" w:rsidRPr="00A87149">
        <w:rPr>
          <w:rFonts w:ascii="Arial" w:eastAsia="Arial" w:hAnsi="Arial" w:cs="Arial"/>
        </w:rPr>
        <w:t xml:space="preserve"> </w:t>
      </w:r>
    </w:p>
    <w:p w:rsidR="00CB5FE1" w:rsidRPr="00BB3D0A" w:rsidRDefault="005005D6" w:rsidP="005D07C6">
      <w:pPr>
        <w:tabs>
          <w:tab w:val="left" w:pos="3969"/>
        </w:tabs>
        <w:rPr>
          <w:rFonts w:ascii="Arial" w:eastAsia="Arial" w:hAnsi="Arial" w:cs="Arial"/>
        </w:rPr>
      </w:pPr>
      <w:r w:rsidRPr="00BB3D0A">
        <w:rPr>
          <w:rFonts w:ascii="Arial" w:eastAsia="Arial" w:hAnsi="Arial" w:cs="Arial"/>
        </w:rPr>
        <w:t xml:space="preserve">Instructed by: </w:t>
      </w:r>
      <w:r w:rsidRPr="00BB3D0A">
        <w:rPr>
          <w:rFonts w:ascii="Arial" w:eastAsia="Arial" w:hAnsi="Arial" w:cs="Arial"/>
        </w:rPr>
        <w:tab/>
      </w:r>
      <w:r w:rsidR="00BB3D0A" w:rsidRPr="00BB3D0A">
        <w:rPr>
          <w:rFonts w:ascii="Arial" w:eastAsia="Arial" w:hAnsi="Arial" w:cs="Arial"/>
        </w:rPr>
        <w:t>VZLR</w:t>
      </w:r>
      <w:r w:rsidR="00A87149" w:rsidRPr="00BB3D0A">
        <w:rPr>
          <w:rFonts w:ascii="Arial" w:eastAsia="Arial" w:hAnsi="Arial" w:cs="Arial"/>
        </w:rPr>
        <w:t xml:space="preserve"> Inc</w:t>
      </w:r>
      <w:r w:rsidR="006B112F">
        <w:rPr>
          <w:rFonts w:ascii="Arial" w:eastAsia="Arial" w:hAnsi="Arial" w:cs="Arial"/>
        </w:rPr>
        <w:t>.</w:t>
      </w:r>
      <w:r w:rsidR="00BB3D0A" w:rsidRPr="00BB3D0A">
        <w:rPr>
          <w:rFonts w:ascii="Arial" w:eastAsia="Arial" w:hAnsi="Arial" w:cs="Arial"/>
        </w:rPr>
        <w:t>, Pretoria</w:t>
      </w:r>
    </w:p>
    <w:p w:rsidR="00CB5FE1" w:rsidRPr="00BB3D0A" w:rsidRDefault="00BB3D0A" w:rsidP="008008C2">
      <w:pPr>
        <w:tabs>
          <w:tab w:val="left" w:pos="3969"/>
        </w:tabs>
        <w:ind w:left="459" w:firstLine="1701"/>
        <w:rPr>
          <w:rFonts w:ascii="Arial" w:eastAsia="Arial" w:hAnsi="Arial" w:cs="Arial"/>
        </w:rPr>
      </w:pPr>
      <w:r w:rsidRPr="00BB3D0A">
        <w:rPr>
          <w:rFonts w:ascii="Arial" w:eastAsia="Arial" w:hAnsi="Arial" w:cs="Arial"/>
        </w:rPr>
        <w:tab/>
        <w:t>McIntyre van der Post,</w:t>
      </w:r>
      <w:r w:rsidR="005005D6" w:rsidRPr="00BB3D0A">
        <w:rPr>
          <w:rFonts w:ascii="Arial" w:eastAsia="Arial" w:hAnsi="Arial" w:cs="Arial"/>
        </w:rPr>
        <w:t xml:space="preserve"> Bloemfontein</w:t>
      </w:r>
    </w:p>
    <w:p w:rsidR="00CB5FE1" w:rsidRPr="00BB3D0A" w:rsidRDefault="00CB5FE1" w:rsidP="005D07C6">
      <w:pPr>
        <w:rPr>
          <w:rFonts w:ascii="Arial" w:eastAsia="Arial" w:hAnsi="Arial" w:cs="Arial"/>
        </w:rPr>
      </w:pPr>
    </w:p>
    <w:p w:rsidR="00CB5FE1" w:rsidRPr="00A87149" w:rsidRDefault="00A87149" w:rsidP="005D07C6">
      <w:pPr>
        <w:tabs>
          <w:tab w:val="left" w:pos="3969"/>
        </w:tabs>
        <w:rPr>
          <w:rFonts w:ascii="Arial" w:eastAsia="Arial" w:hAnsi="Arial" w:cs="Arial"/>
        </w:rPr>
      </w:pPr>
      <w:r w:rsidRPr="00A87149">
        <w:rPr>
          <w:rFonts w:ascii="Arial" w:eastAsia="Arial" w:hAnsi="Arial" w:cs="Arial"/>
        </w:rPr>
        <w:t>For respondent:</w:t>
      </w:r>
      <w:r w:rsidRPr="00A87149">
        <w:rPr>
          <w:rFonts w:ascii="Arial" w:eastAsia="Arial" w:hAnsi="Arial" w:cs="Arial"/>
        </w:rPr>
        <w:tab/>
        <w:t>A R Bhana</w:t>
      </w:r>
      <w:r w:rsidR="005005D6" w:rsidRPr="00A87149">
        <w:rPr>
          <w:rFonts w:ascii="Arial" w:eastAsia="Arial" w:hAnsi="Arial" w:cs="Arial"/>
        </w:rPr>
        <w:t xml:space="preserve"> SC</w:t>
      </w:r>
      <w:r w:rsidRPr="00A87149">
        <w:rPr>
          <w:rFonts w:ascii="Arial" w:eastAsia="Arial" w:hAnsi="Arial" w:cs="Arial"/>
        </w:rPr>
        <w:t xml:space="preserve"> with G D Goldman and G Singh</w:t>
      </w:r>
    </w:p>
    <w:p w:rsidR="00A87149" w:rsidRPr="00A87149" w:rsidRDefault="005005D6" w:rsidP="00A87149">
      <w:pPr>
        <w:tabs>
          <w:tab w:val="left" w:pos="3969"/>
        </w:tabs>
        <w:rPr>
          <w:rFonts w:ascii="Arial" w:eastAsia="Arial" w:hAnsi="Arial" w:cs="Arial"/>
        </w:rPr>
      </w:pPr>
      <w:r w:rsidRPr="00A87149">
        <w:rPr>
          <w:rFonts w:ascii="Arial" w:eastAsia="Arial" w:hAnsi="Arial" w:cs="Arial"/>
        </w:rPr>
        <w:t>Instructed by:</w:t>
      </w:r>
      <w:r w:rsidR="00A87149">
        <w:rPr>
          <w:rFonts w:ascii="Arial" w:eastAsia="Arial" w:hAnsi="Arial" w:cs="Arial"/>
          <w:color w:val="FF0000"/>
        </w:rPr>
        <w:tab/>
      </w:r>
      <w:r w:rsidR="00A87149" w:rsidRPr="00A87149">
        <w:rPr>
          <w:rFonts w:ascii="Arial" w:eastAsia="Arial" w:hAnsi="Arial" w:cs="Arial"/>
        </w:rPr>
        <w:t>Girard Hayward Inc</w:t>
      </w:r>
      <w:r w:rsidR="006B112F">
        <w:rPr>
          <w:rFonts w:ascii="Arial" w:eastAsia="Arial" w:hAnsi="Arial" w:cs="Arial"/>
        </w:rPr>
        <w:t>.</w:t>
      </w:r>
      <w:r w:rsidR="00A87149" w:rsidRPr="00A87149">
        <w:rPr>
          <w:rFonts w:ascii="Arial" w:eastAsia="Arial" w:hAnsi="Arial" w:cs="Arial"/>
        </w:rPr>
        <w:t>, Rosebank</w:t>
      </w:r>
    </w:p>
    <w:p w:rsidR="00A87149" w:rsidRPr="00A87149" w:rsidRDefault="00A87149" w:rsidP="00BB3D0A">
      <w:pPr>
        <w:tabs>
          <w:tab w:val="left" w:pos="3969"/>
        </w:tabs>
        <w:rPr>
          <w:rFonts w:ascii="Arial" w:eastAsia="Arial" w:hAnsi="Arial" w:cs="Arial"/>
        </w:rPr>
      </w:pPr>
      <w:r w:rsidRPr="00A87149">
        <w:rPr>
          <w:rFonts w:ascii="Arial" w:eastAsia="Arial" w:hAnsi="Arial" w:cs="Arial"/>
        </w:rPr>
        <w:tab/>
        <w:t>Pieter Skein Attorneys, Bloemfontein</w:t>
      </w:r>
    </w:p>
    <w:p w:rsidR="00CB5FE1" w:rsidRPr="00A87149" w:rsidRDefault="00CB5FE1" w:rsidP="00A87149">
      <w:pPr>
        <w:tabs>
          <w:tab w:val="left" w:pos="3969"/>
        </w:tabs>
        <w:rPr>
          <w:rFonts w:ascii="Arial" w:eastAsia="Arial" w:hAnsi="Arial" w:cs="Arial"/>
        </w:rPr>
      </w:pPr>
    </w:p>
    <w:p w:rsidR="00CB5FE1" w:rsidRPr="005D07C6" w:rsidRDefault="00CB5FE1" w:rsidP="005D07C6">
      <w:pPr>
        <w:tabs>
          <w:tab w:val="left" w:pos="3969"/>
        </w:tabs>
        <w:rPr>
          <w:rFonts w:ascii="Arial" w:eastAsia="Arial" w:hAnsi="Arial" w:cs="Arial"/>
        </w:rPr>
      </w:pPr>
    </w:p>
    <w:p w:rsidR="00CB5FE1" w:rsidRPr="005D07C6" w:rsidRDefault="00CB5FE1" w:rsidP="005D07C6">
      <w:pPr>
        <w:rPr>
          <w:rFonts w:ascii="Arial" w:eastAsia="Arial" w:hAnsi="Arial" w:cs="Arial"/>
        </w:rPr>
      </w:pPr>
    </w:p>
    <w:p w:rsidR="00CB5FE1" w:rsidRPr="005D07C6" w:rsidRDefault="00CB5FE1" w:rsidP="005D07C6">
      <w:pPr>
        <w:rPr>
          <w:rFonts w:ascii="Arial" w:eastAsia="Arial" w:hAnsi="Arial" w:cs="Arial"/>
        </w:rPr>
      </w:pPr>
    </w:p>
    <w:p w:rsidR="00CB5FE1" w:rsidRPr="005D07C6" w:rsidRDefault="005005D6" w:rsidP="005D07C6">
      <w:pPr>
        <w:rPr>
          <w:rFonts w:ascii="Arial" w:eastAsia="Arial" w:hAnsi="Arial" w:cs="Arial"/>
        </w:rPr>
      </w:pPr>
      <w:r w:rsidRPr="005D07C6">
        <w:rPr>
          <w:rFonts w:ascii="Arial" w:eastAsia="Arial" w:hAnsi="Arial" w:cs="Arial"/>
        </w:rPr>
        <w:t xml:space="preserve">             </w:t>
      </w:r>
    </w:p>
    <w:sectPr w:rsidR="00CB5FE1" w:rsidRPr="005D07C6">
      <w:headerReference w:type="default" r:id="rId1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15" w:rsidRDefault="00E95915">
      <w:r>
        <w:separator/>
      </w:r>
    </w:p>
  </w:endnote>
  <w:endnote w:type="continuationSeparator" w:id="0">
    <w:p w:rsidR="00E95915" w:rsidRDefault="00E9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15" w:rsidRDefault="00E95915">
      <w:r>
        <w:separator/>
      </w:r>
    </w:p>
  </w:footnote>
  <w:footnote w:type="continuationSeparator" w:id="0">
    <w:p w:rsidR="00E95915" w:rsidRDefault="00E95915">
      <w:r>
        <w:continuationSeparator/>
      </w:r>
    </w:p>
  </w:footnote>
  <w:footnote w:id="1">
    <w:p w:rsidR="003A13AD" w:rsidRPr="004F6669" w:rsidRDefault="003A13AD" w:rsidP="003A13AD">
      <w:pPr>
        <w:pStyle w:val="FootnoteText"/>
        <w:rPr>
          <w:rFonts w:ascii="Arial" w:hAnsi="Arial" w:cs="Arial"/>
        </w:rPr>
      </w:pPr>
      <w:r w:rsidRPr="00331CA0">
        <w:rPr>
          <w:rStyle w:val="FootnoteReference"/>
          <w:rFonts w:ascii="Arial" w:hAnsi="Arial" w:cs="Arial"/>
        </w:rPr>
        <w:footnoteRef/>
      </w:r>
      <w:r w:rsidRPr="00331CA0">
        <w:rPr>
          <w:rFonts w:ascii="Arial" w:hAnsi="Arial" w:cs="Arial"/>
        </w:rPr>
        <w:t xml:space="preserve"> </w:t>
      </w:r>
      <w:bookmarkStart w:id="1" w:name="_Hlk128126936"/>
      <w:r w:rsidRPr="00331CA0">
        <w:rPr>
          <w:rFonts w:ascii="Arial" w:hAnsi="Arial" w:cs="Arial"/>
          <w:i/>
        </w:rPr>
        <w:t xml:space="preserve">Competition Commission of South Africa </w:t>
      </w:r>
      <w:bookmarkEnd w:id="1"/>
      <w:r w:rsidRPr="00331CA0">
        <w:rPr>
          <w:rFonts w:ascii="Arial" w:hAnsi="Arial" w:cs="Arial"/>
          <w:i/>
        </w:rPr>
        <w:t>v Standard Bank of South Africa</w:t>
      </w:r>
      <w:r w:rsidR="00140F09">
        <w:rPr>
          <w:rFonts w:ascii="Arial" w:hAnsi="Arial" w:cs="Arial"/>
        </w:rPr>
        <w:t xml:space="preserve"> </w:t>
      </w:r>
      <w:r>
        <w:rPr>
          <w:rFonts w:ascii="Arial" w:hAnsi="Arial" w:cs="Arial"/>
        </w:rPr>
        <w:t>[2020] ZACC 2;</w:t>
      </w:r>
      <w:r w:rsidRPr="00B2677D">
        <w:rPr>
          <w:rFonts w:ascii="Arial" w:hAnsi="Arial" w:cs="Arial"/>
        </w:rPr>
        <w:t xml:space="preserve"> </w:t>
      </w:r>
      <w:r w:rsidRPr="000548C1">
        <w:rPr>
          <w:rFonts w:ascii="Arial" w:hAnsi="Arial" w:cs="Arial"/>
        </w:rPr>
        <w:t>2020 (4) BCLR 429 CC</w:t>
      </w:r>
      <w:r w:rsidR="002134D4">
        <w:rPr>
          <w:rFonts w:ascii="Arial" w:hAnsi="Arial" w:cs="Arial"/>
        </w:rPr>
        <w:t xml:space="preserve"> (</w:t>
      </w:r>
      <w:r w:rsidR="002134D4" w:rsidRPr="001C1610">
        <w:rPr>
          <w:rFonts w:ascii="Arial" w:hAnsi="Arial" w:cs="Arial"/>
          <w:i/>
        </w:rPr>
        <w:t>Standard Bank</w:t>
      </w:r>
      <w:r w:rsidR="002134D4">
        <w:rPr>
          <w:rFonts w:ascii="Arial" w:hAnsi="Arial" w:cs="Arial"/>
        </w:rPr>
        <w:t>)</w:t>
      </w:r>
      <w:r>
        <w:rPr>
          <w:rFonts w:ascii="Arial" w:hAnsi="Arial" w:cs="Arial"/>
        </w:rPr>
        <w:t>.</w:t>
      </w:r>
    </w:p>
  </w:footnote>
  <w:footnote w:id="2">
    <w:p w:rsidR="00140F09" w:rsidRPr="001C1610" w:rsidRDefault="00140F09">
      <w:pPr>
        <w:pStyle w:val="FootnoteText"/>
        <w:rPr>
          <w:rFonts w:ascii="Arial" w:hAnsi="Arial" w:cs="Arial"/>
          <w:lang w:val="en-ZA"/>
        </w:rPr>
      </w:pPr>
      <w:r w:rsidRPr="001C1610">
        <w:rPr>
          <w:rStyle w:val="FootnoteReference"/>
          <w:rFonts w:ascii="Arial" w:hAnsi="Arial" w:cs="Arial"/>
        </w:rPr>
        <w:footnoteRef/>
      </w:r>
      <w:r w:rsidRPr="001C1610">
        <w:rPr>
          <w:rFonts w:ascii="Arial" w:hAnsi="Arial" w:cs="Arial"/>
        </w:rPr>
        <w:t xml:space="preserve"> </w:t>
      </w:r>
      <w:r w:rsidRPr="001C1610">
        <w:rPr>
          <w:rFonts w:ascii="Arial" w:hAnsi="Arial" w:cs="Arial"/>
          <w:lang w:val="en-ZA"/>
        </w:rPr>
        <w:t>Ibid paras 46</w:t>
      </w:r>
      <w:r w:rsidR="008226CF">
        <w:rPr>
          <w:rFonts w:ascii="Arial" w:hAnsi="Arial" w:cs="Arial"/>
          <w:lang w:val="en-ZA"/>
        </w:rPr>
        <w:t xml:space="preserve"> - </w:t>
      </w:r>
      <w:r w:rsidRPr="001C1610">
        <w:rPr>
          <w:rFonts w:ascii="Arial" w:hAnsi="Arial" w:cs="Arial"/>
          <w:lang w:val="en-ZA"/>
        </w:rPr>
        <w:t>47.</w:t>
      </w:r>
    </w:p>
  </w:footnote>
  <w:footnote w:id="3">
    <w:p w:rsidR="001C1610" w:rsidRPr="00B0021D" w:rsidRDefault="001C1610" w:rsidP="001C1610">
      <w:pPr>
        <w:pStyle w:val="FootnoteText"/>
        <w:rPr>
          <w:rFonts w:ascii="Arial" w:hAnsi="Arial" w:cs="Arial"/>
        </w:rPr>
      </w:pPr>
      <w:r w:rsidRPr="00B0021D">
        <w:rPr>
          <w:rStyle w:val="FootnoteReference"/>
          <w:rFonts w:ascii="Arial" w:hAnsi="Arial" w:cs="Arial"/>
        </w:rPr>
        <w:footnoteRef/>
      </w:r>
      <w:r>
        <w:rPr>
          <w:rFonts w:ascii="Arial" w:hAnsi="Arial" w:cs="Arial"/>
        </w:rPr>
        <w:t xml:space="preserve"> Ibid p</w:t>
      </w:r>
      <w:r w:rsidRPr="00B0021D">
        <w:rPr>
          <w:rFonts w:ascii="Arial" w:hAnsi="Arial" w:cs="Arial"/>
        </w:rPr>
        <w:t>ara 1</w:t>
      </w:r>
      <w:r>
        <w:rPr>
          <w:rFonts w:ascii="Arial" w:hAnsi="Arial" w:cs="Arial"/>
        </w:rPr>
        <w:t>.</w:t>
      </w:r>
    </w:p>
  </w:footnote>
  <w:footnote w:id="4">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Pr>
          <w:rFonts w:ascii="Arial" w:hAnsi="Arial" w:cs="Arial"/>
        </w:rPr>
        <w:t xml:space="preserve"> </w:t>
      </w:r>
      <w:r w:rsidR="001C1610">
        <w:rPr>
          <w:rFonts w:ascii="Arial" w:hAnsi="Arial" w:cs="Arial"/>
        </w:rPr>
        <w:t>Ibid p</w:t>
      </w:r>
      <w:r>
        <w:rPr>
          <w:rFonts w:ascii="Arial" w:hAnsi="Arial" w:cs="Arial"/>
        </w:rPr>
        <w:t>aras 118</w:t>
      </w:r>
      <w:r w:rsidR="008226CF">
        <w:rPr>
          <w:rFonts w:ascii="Arial" w:hAnsi="Arial" w:cs="Arial"/>
        </w:rPr>
        <w:t xml:space="preserve"> </w:t>
      </w:r>
      <w:r>
        <w:rPr>
          <w:rFonts w:ascii="Arial" w:hAnsi="Arial" w:cs="Arial"/>
        </w:rPr>
        <w:t>-</w:t>
      </w:r>
      <w:r w:rsidRPr="00B0021D">
        <w:rPr>
          <w:rFonts w:ascii="Arial" w:hAnsi="Arial" w:cs="Arial"/>
        </w:rPr>
        <w:t>119</w:t>
      </w:r>
      <w:r>
        <w:rPr>
          <w:rFonts w:ascii="Arial" w:hAnsi="Arial" w:cs="Arial"/>
        </w:rPr>
        <w:t>.</w:t>
      </w:r>
    </w:p>
  </w:footnote>
  <w:footnote w:id="5">
    <w:p w:rsidR="00524552" w:rsidRPr="00CC7F37" w:rsidRDefault="00524552">
      <w:pPr>
        <w:pStyle w:val="FootnoteText"/>
        <w:rPr>
          <w:lang w:val="en-ZA"/>
        </w:rPr>
      </w:pPr>
      <w:r>
        <w:rPr>
          <w:rStyle w:val="FootnoteReference"/>
        </w:rPr>
        <w:footnoteRef/>
      </w:r>
      <w:r>
        <w:t xml:space="preserve"> </w:t>
      </w:r>
      <w:r>
        <w:rPr>
          <w:rFonts w:ascii="Arial" w:hAnsi="Arial" w:cs="Arial"/>
        </w:rPr>
        <w:t>Ibid paras 20</w:t>
      </w:r>
      <w:r w:rsidR="00E5564C">
        <w:rPr>
          <w:rFonts w:ascii="Arial" w:hAnsi="Arial" w:cs="Arial"/>
        </w:rPr>
        <w:t>2</w:t>
      </w:r>
      <w:r w:rsidR="008226CF">
        <w:rPr>
          <w:rFonts w:ascii="Arial" w:hAnsi="Arial" w:cs="Arial"/>
        </w:rPr>
        <w:t xml:space="preserve"> </w:t>
      </w:r>
      <w:r>
        <w:rPr>
          <w:rFonts w:ascii="Arial" w:hAnsi="Arial" w:cs="Arial"/>
        </w:rPr>
        <w:t>-</w:t>
      </w:r>
      <w:r w:rsidR="008226CF">
        <w:rPr>
          <w:rFonts w:ascii="Arial" w:hAnsi="Arial" w:cs="Arial"/>
        </w:rPr>
        <w:t xml:space="preserve"> </w:t>
      </w:r>
      <w:r w:rsidRPr="00B0021D">
        <w:rPr>
          <w:rFonts w:ascii="Arial" w:hAnsi="Arial" w:cs="Arial"/>
        </w:rPr>
        <w:t>20</w:t>
      </w:r>
      <w:r w:rsidR="00E5564C">
        <w:rPr>
          <w:rFonts w:ascii="Arial" w:hAnsi="Arial" w:cs="Arial"/>
        </w:rPr>
        <w:t>3</w:t>
      </w:r>
      <w:r>
        <w:rPr>
          <w:rFonts w:ascii="Arial" w:hAnsi="Arial" w:cs="Arial"/>
        </w:rPr>
        <w:t>.</w:t>
      </w:r>
    </w:p>
  </w:footnote>
  <w:footnote w:id="6">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sidRPr="00B0021D">
        <w:rPr>
          <w:rFonts w:ascii="Arial" w:hAnsi="Arial" w:cs="Arial"/>
        </w:rPr>
        <w:t xml:space="preserve"> </w:t>
      </w:r>
      <w:r w:rsidRPr="00B0021D">
        <w:rPr>
          <w:rFonts w:ascii="Arial" w:hAnsi="Arial" w:cs="Arial"/>
          <w:i/>
        </w:rPr>
        <w:t xml:space="preserve">Rand Ropes </w:t>
      </w:r>
      <w:r w:rsidR="00CE1FD8" w:rsidRPr="00A515E1">
        <w:rPr>
          <w:rFonts w:ascii="Arial" w:hAnsi="Arial" w:cs="Arial"/>
          <w:i/>
        </w:rPr>
        <w:t xml:space="preserve">(Pty) Ltd </w:t>
      </w:r>
      <w:r w:rsidRPr="00A515E1">
        <w:rPr>
          <w:rFonts w:ascii="Arial" w:hAnsi="Arial" w:cs="Arial"/>
          <w:i/>
        </w:rPr>
        <w:t>v C</w:t>
      </w:r>
      <w:r w:rsidR="00CE1FD8" w:rsidRPr="00A515E1">
        <w:rPr>
          <w:rFonts w:ascii="Arial" w:hAnsi="Arial" w:cs="Arial"/>
          <w:i/>
        </w:rPr>
        <w:t xml:space="preserve">ommissioner for </w:t>
      </w:r>
      <w:r w:rsidRPr="00A515E1">
        <w:rPr>
          <w:rFonts w:ascii="Arial" w:hAnsi="Arial" w:cs="Arial"/>
          <w:i/>
        </w:rPr>
        <w:t>I</w:t>
      </w:r>
      <w:r w:rsidR="00CE1FD8" w:rsidRPr="00A515E1">
        <w:rPr>
          <w:rFonts w:ascii="Arial" w:hAnsi="Arial" w:cs="Arial"/>
          <w:i/>
        </w:rPr>
        <w:t xml:space="preserve">nland </w:t>
      </w:r>
      <w:r w:rsidRPr="00A515E1">
        <w:rPr>
          <w:rFonts w:ascii="Arial" w:hAnsi="Arial" w:cs="Arial"/>
          <w:i/>
        </w:rPr>
        <w:t>R</w:t>
      </w:r>
      <w:r w:rsidR="00CE1FD8" w:rsidRPr="00A515E1">
        <w:rPr>
          <w:rFonts w:ascii="Arial" w:hAnsi="Arial" w:cs="Arial"/>
          <w:i/>
        </w:rPr>
        <w:t>evenue</w:t>
      </w:r>
      <w:r w:rsidRPr="00A515E1">
        <w:rPr>
          <w:rFonts w:ascii="Arial" w:hAnsi="Arial" w:cs="Arial"/>
        </w:rPr>
        <w:t xml:space="preserve"> 1942 </w:t>
      </w:r>
      <w:r w:rsidR="00CE1FD8" w:rsidRPr="00A515E1">
        <w:rPr>
          <w:rFonts w:ascii="Arial" w:hAnsi="Arial" w:cs="Arial"/>
        </w:rPr>
        <w:t>AD 142</w:t>
      </w:r>
      <w:r w:rsidR="00CE1FD8">
        <w:rPr>
          <w:rFonts w:ascii="Arial" w:hAnsi="Arial" w:cs="Arial"/>
        </w:rPr>
        <w:t xml:space="preserve"> </w:t>
      </w:r>
      <w:r w:rsidRPr="00B0021D">
        <w:rPr>
          <w:rFonts w:ascii="Arial" w:hAnsi="Arial" w:cs="Arial"/>
        </w:rPr>
        <w:t xml:space="preserve">at 150; </w:t>
      </w:r>
      <w:r w:rsidRPr="00B0021D">
        <w:rPr>
          <w:rFonts w:ascii="Arial" w:hAnsi="Arial" w:cs="Arial"/>
          <w:i/>
        </w:rPr>
        <w:t>Metcash Trading v Commissioner, SARS</w:t>
      </w:r>
      <w:r w:rsidRPr="00B0021D">
        <w:rPr>
          <w:rFonts w:ascii="Arial" w:hAnsi="Arial" w:cs="Arial"/>
        </w:rPr>
        <w:t xml:space="preserve"> 2001 (1) SA 1109 (CC)</w:t>
      </w:r>
      <w:r w:rsidR="00977ABD">
        <w:rPr>
          <w:rFonts w:ascii="Arial" w:hAnsi="Arial" w:cs="Arial"/>
        </w:rPr>
        <w:t xml:space="preserve"> (</w:t>
      </w:r>
      <w:r w:rsidR="00977ABD" w:rsidRPr="0011088D">
        <w:rPr>
          <w:rFonts w:ascii="Arial" w:hAnsi="Arial" w:cs="Arial"/>
          <w:i/>
          <w:iCs/>
        </w:rPr>
        <w:t>Metcash</w:t>
      </w:r>
      <w:r w:rsidR="00977ABD">
        <w:rPr>
          <w:rFonts w:ascii="Arial" w:hAnsi="Arial" w:cs="Arial"/>
        </w:rPr>
        <w:t>)</w:t>
      </w:r>
      <w:r w:rsidRPr="00B0021D">
        <w:rPr>
          <w:rFonts w:ascii="Arial" w:hAnsi="Arial" w:cs="Arial"/>
        </w:rPr>
        <w:t xml:space="preserve"> paras 32 and 47; </w:t>
      </w:r>
      <w:r w:rsidRPr="00B0021D">
        <w:rPr>
          <w:rFonts w:ascii="Arial" w:hAnsi="Arial" w:cs="Arial"/>
          <w:i/>
        </w:rPr>
        <w:t>Commissioner, SARS v Pretoria East Motors</w:t>
      </w:r>
      <w:r w:rsidRPr="00B0021D">
        <w:rPr>
          <w:rFonts w:ascii="Arial" w:hAnsi="Arial" w:cs="Arial"/>
        </w:rPr>
        <w:t xml:space="preserve"> </w:t>
      </w:r>
      <w:r w:rsidR="008E37D0">
        <w:rPr>
          <w:rFonts w:ascii="Arial" w:hAnsi="Arial" w:cs="Arial"/>
        </w:rPr>
        <w:t xml:space="preserve">[2014] ZASCA 91; </w:t>
      </w:r>
      <w:r w:rsidRPr="00B0021D">
        <w:rPr>
          <w:rFonts w:ascii="Arial" w:hAnsi="Arial" w:cs="Arial"/>
        </w:rPr>
        <w:t xml:space="preserve">2014 (5) SA 231 (SCA) para 2; </w:t>
      </w:r>
      <w:r w:rsidRPr="00B0021D">
        <w:rPr>
          <w:rFonts w:ascii="Arial" w:hAnsi="Arial" w:cs="Arial"/>
          <w:i/>
        </w:rPr>
        <w:t>Africa Cash</w:t>
      </w:r>
      <w:r w:rsidR="0009292A">
        <w:rPr>
          <w:rFonts w:ascii="Arial" w:hAnsi="Arial" w:cs="Arial"/>
          <w:i/>
        </w:rPr>
        <w:t xml:space="preserve"> and Carry v Commissioner, SARS</w:t>
      </w:r>
      <w:r w:rsidR="001754FA">
        <w:rPr>
          <w:rFonts w:ascii="Arial" w:hAnsi="Arial" w:cs="Arial"/>
        </w:rPr>
        <w:t xml:space="preserve"> </w:t>
      </w:r>
      <w:r w:rsidR="008E37D0">
        <w:rPr>
          <w:rFonts w:ascii="Arial" w:hAnsi="Arial" w:cs="Arial"/>
        </w:rPr>
        <w:t xml:space="preserve">[2019] ZASCA 148; </w:t>
      </w:r>
      <w:r w:rsidRPr="00B0021D">
        <w:rPr>
          <w:rFonts w:ascii="Arial" w:hAnsi="Arial" w:cs="Arial"/>
        </w:rPr>
        <w:t>2020 (2) SA 19 (SCA</w:t>
      </w:r>
      <w:r>
        <w:rPr>
          <w:rFonts w:ascii="Arial" w:hAnsi="Arial" w:cs="Arial"/>
        </w:rPr>
        <w:t>)</w:t>
      </w:r>
      <w:r w:rsidR="0009292A">
        <w:rPr>
          <w:rFonts w:ascii="Arial" w:hAnsi="Arial" w:cs="Arial"/>
        </w:rPr>
        <w:t xml:space="preserve"> (</w:t>
      </w:r>
      <w:r w:rsidR="0009292A" w:rsidRPr="001754FA">
        <w:rPr>
          <w:rFonts w:ascii="Arial" w:hAnsi="Arial" w:cs="Arial"/>
          <w:i/>
        </w:rPr>
        <w:t>Africa Cash and Carry</w:t>
      </w:r>
      <w:r w:rsidR="0009292A">
        <w:rPr>
          <w:rFonts w:ascii="Arial" w:hAnsi="Arial" w:cs="Arial"/>
        </w:rPr>
        <w:t>)</w:t>
      </w:r>
      <w:r>
        <w:rPr>
          <w:rFonts w:ascii="Arial" w:hAnsi="Arial" w:cs="Arial"/>
        </w:rPr>
        <w:t>.</w:t>
      </w:r>
    </w:p>
  </w:footnote>
  <w:footnote w:id="7">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sidRPr="00B0021D">
        <w:rPr>
          <w:rFonts w:ascii="Arial" w:hAnsi="Arial" w:cs="Arial"/>
        </w:rPr>
        <w:t xml:space="preserve"> </w:t>
      </w:r>
      <w:r w:rsidRPr="00B0021D">
        <w:rPr>
          <w:rFonts w:ascii="Arial" w:hAnsi="Arial" w:cs="Arial"/>
          <w:i/>
        </w:rPr>
        <w:t>Africa Cash and Carry</w:t>
      </w:r>
      <w:r w:rsidRPr="00B0021D">
        <w:rPr>
          <w:rFonts w:ascii="Arial" w:hAnsi="Arial" w:cs="Arial"/>
        </w:rPr>
        <w:t xml:space="preserve"> para 52</w:t>
      </w:r>
      <w:r>
        <w:rPr>
          <w:rFonts w:ascii="Arial" w:hAnsi="Arial" w:cs="Arial"/>
        </w:rPr>
        <w:t>.</w:t>
      </w:r>
    </w:p>
  </w:footnote>
  <w:footnote w:id="8">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sidRPr="00B0021D">
        <w:rPr>
          <w:rFonts w:ascii="Arial" w:hAnsi="Arial" w:cs="Arial"/>
        </w:rPr>
        <w:t xml:space="preserve"> </w:t>
      </w:r>
      <w:r w:rsidRPr="00B0021D">
        <w:rPr>
          <w:rFonts w:ascii="Arial" w:hAnsi="Arial" w:cs="Arial"/>
          <w:i/>
        </w:rPr>
        <w:t>Kommissaris van Binnelandse Inkompste v Transvaalse Suikerkorporasie</w:t>
      </w:r>
      <w:r w:rsidRPr="00B0021D">
        <w:rPr>
          <w:rFonts w:ascii="Arial" w:hAnsi="Arial" w:cs="Arial"/>
        </w:rPr>
        <w:t xml:space="preserve"> 1985 (2) SA 668 (T)</w:t>
      </w:r>
      <w:r>
        <w:rPr>
          <w:rFonts w:ascii="Arial" w:hAnsi="Arial" w:cs="Arial"/>
        </w:rPr>
        <w:t>.</w:t>
      </w:r>
    </w:p>
  </w:footnote>
  <w:footnote w:id="9">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Pr>
          <w:rFonts w:ascii="Arial" w:hAnsi="Arial" w:cs="Arial"/>
        </w:rPr>
        <w:t xml:space="preserve"> </w:t>
      </w:r>
      <w:r w:rsidR="00140F0D">
        <w:rPr>
          <w:rFonts w:ascii="Arial" w:hAnsi="Arial" w:cs="Arial"/>
        </w:rPr>
        <w:t>Ibid a</w:t>
      </w:r>
      <w:r>
        <w:rPr>
          <w:rFonts w:ascii="Arial" w:hAnsi="Arial" w:cs="Arial"/>
        </w:rPr>
        <w:t>t 676</w:t>
      </w:r>
      <w:r w:rsidRPr="00B0021D">
        <w:rPr>
          <w:rFonts w:ascii="Arial" w:hAnsi="Arial" w:cs="Arial"/>
        </w:rPr>
        <w:t>C.</w:t>
      </w:r>
    </w:p>
  </w:footnote>
  <w:footnote w:id="10">
    <w:p w:rsidR="003A13AD" w:rsidRPr="00534E5B" w:rsidRDefault="003A13AD" w:rsidP="003A13AD">
      <w:pPr>
        <w:pStyle w:val="FootnoteText"/>
        <w:rPr>
          <w:rFonts w:ascii="Arial" w:hAnsi="Arial" w:cs="Arial"/>
        </w:rPr>
      </w:pPr>
      <w:r w:rsidRPr="00534E5B">
        <w:rPr>
          <w:rStyle w:val="FootnoteReference"/>
          <w:rFonts w:ascii="Arial" w:hAnsi="Arial" w:cs="Arial"/>
        </w:rPr>
        <w:footnoteRef/>
      </w:r>
      <w:r w:rsidRPr="00534E5B">
        <w:rPr>
          <w:rFonts w:ascii="Arial" w:hAnsi="Arial" w:cs="Arial"/>
        </w:rPr>
        <w:t xml:space="preserve"> </w:t>
      </w:r>
      <w:r w:rsidRPr="00534E5B">
        <w:rPr>
          <w:rFonts w:ascii="Arial" w:hAnsi="Arial" w:cs="Arial"/>
          <w:i/>
        </w:rPr>
        <w:t>South Atlantic Jazz Festival v Commissioner, SARS</w:t>
      </w:r>
      <w:r w:rsidRPr="00534E5B">
        <w:rPr>
          <w:rFonts w:ascii="Arial" w:hAnsi="Arial" w:cs="Arial"/>
        </w:rPr>
        <w:t xml:space="preserve"> 201</w:t>
      </w:r>
      <w:r>
        <w:rPr>
          <w:rFonts w:ascii="Arial" w:hAnsi="Arial" w:cs="Arial"/>
        </w:rPr>
        <w:t>5 (6) SA 78 (WCC)</w:t>
      </w:r>
      <w:r w:rsidRPr="00534E5B">
        <w:rPr>
          <w:rFonts w:ascii="Arial" w:hAnsi="Arial" w:cs="Arial"/>
        </w:rPr>
        <w:t>.</w:t>
      </w:r>
    </w:p>
  </w:footnote>
  <w:footnote w:id="11">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sidRPr="00B0021D">
        <w:rPr>
          <w:rFonts w:ascii="Arial" w:hAnsi="Arial" w:cs="Arial"/>
        </w:rPr>
        <w:t xml:space="preserve"> </w:t>
      </w:r>
      <w:r>
        <w:rPr>
          <w:rFonts w:ascii="Arial" w:hAnsi="Arial" w:cs="Arial"/>
        </w:rPr>
        <w:t>Ibid</w:t>
      </w:r>
      <w:r w:rsidRPr="00534E5B">
        <w:rPr>
          <w:rFonts w:ascii="Arial" w:hAnsi="Arial" w:cs="Arial"/>
        </w:rPr>
        <w:t xml:space="preserve"> para 22</w:t>
      </w:r>
      <w:r>
        <w:rPr>
          <w:rFonts w:ascii="Arial" w:hAnsi="Arial" w:cs="Arial"/>
        </w:rPr>
        <w:t xml:space="preserve"> </w:t>
      </w:r>
      <w:r w:rsidRPr="00B0021D">
        <w:rPr>
          <w:rFonts w:ascii="Arial" w:hAnsi="Arial" w:cs="Arial"/>
        </w:rPr>
        <w:t xml:space="preserve">referring to </w:t>
      </w:r>
      <w:r w:rsidRPr="001754FA">
        <w:rPr>
          <w:rFonts w:ascii="Arial" w:hAnsi="Arial" w:cs="Arial"/>
        </w:rPr>
        <w:t>ITC 936 (1962) 24 SATC 361.</w:t>
      </w:r>
      <w:r>
        <w:rPr>
          <w:rFonts w:ascii="Arial" w:hAnsi="Arial" w:cs="Arial"/>
        </w:rPr>
        <w:t xml:space="preserve"> </w:t>
      </w:r>
    </w:p>
  </w:footnote>
  <w:footnote w:id="12">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sidRPr="00B0021D">
        <w:rPr>
          <w:rFonts w:ascii="Arial" w:hAnsi="Arial" w:cs="Arial"/>
        </w:rPr>
        <w:t xml:space="preserve"> </w:t>
      </w:r>
      <w:r w:rsidR="00140F0D" w:rsidRPr="00B0021D">
        <w:rPr>
          <w:rFonts w:ascii="Arial" w:hAnsi="Arial" w:cs="Arial"/>
          <w:i/>
        </w:rPr>
        <w:t>Wingate-Pearse v Commissioner, SARS</w:t>
      </w:r>
      <w:r w:rsidR="00BB7F65">
        <w:rPr>
          <w:rFonts w:ascii="Arial" w:hAnsi="Arial" w:cs="Arial"/>
        </w:rPr>
        <w:t xml:space="preserve"> </w:t>
      </w:r>
      <w:r w:rsidR="00977ABD">
        <w:rPr>
          <w:rFonts w:ascii="Arial" w:hAnsi="Arial" w:cs="Arial"/>
        </w:rPr>
        <w:t xml:space="preserve">[2019] ZAGPJHC 218; </w:t>
      </w:r>
      <w:r w:rsidR="00BB7F65">
        <w:rPr>
          <w:rFonts w:ascii="Arial" w:hAnsi="Arial" w:cs="Arial"/>
        </w:rPr>
        <w:t xml:space="preserve">2019 (6) SA 196 (GJ) </w:t>
      </w:r>
      <w:r w:rsidR="008E37D0">
        <w:rPr>
          <w:rFonts w:ascii="Arial" w:hAnsi="Arial" w:cs="Arial"/>
        </w:rPr>
        <w:t>(</w:t>
      </w:r>
      <w:r w:rsidR="008E37D0" w:rsidRPr="00BB7F65">
        <w:rPr>
          <w:rFonts w:ascii="Arial" w:hAnsi="Arial" w:cs="Arial"/>
          <w:i/>
        </w:rPr>
        <w:t>Wingate-Pearse</w:t>
      </w:r>
      <w:r w:rsidR="008E37D0">
        <w:rPr>
          <w:rFonts w:ascii="Arial" w:hAnsi="Arial" w:cs="Arial"/>
        </w:rPr>
        <w:t xml:space="preserve">) </w:t>
      </w:r>
      <w:r w:rsidR="00140F0D">
        <w:rPr>
          <w:rFonts w:ascii="Arial" w:hAnsi="Arial" w:cs="Arial"/>
        </w:rPr>
        <w:t>para</w:t>
      </w:r>
      <w:r w:rsidRPr="00B0021D">
        <w:rPr>
          <w:rFonts w:ascii="Arial" w:hAnsi="Arial" w:cs="Arial"/>
        </w:rPr>
        <w:t xml:space="preserve"> 47.</w:t>
      </w:r>
    </w:p>
  </w:footnote>
  <w:footnote w:id="13">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sidRPr="00B0021D">
        <w:rPr>
          <w:rFonts w:ascii="Arial" w:hAnsi="Arial" w:cs="Arial"/>
        </w:rPr>
        <w:t xml:space="preserve"> </w:t>
      </w:r>
      <w:r w:rsidRPr="00B0021D">
        <w:rPr>
          <w:rFonts w:ascii="Arial" w:hAnsi="Arial" w:cs="Arial"/>
          <w:i/>
        </w:rPr>
        <w:t xml:space="preserve">Metcash </w:t>
      </w:r>
      <w:r w:rsidRPr="00B0021D">
        <w:rPr>
          <w:rFonts w:ascii="Arial" w:hAnsi="Arial" w:cs="Arial"/>
        </w:rPr>
        <w:t>para 44.</w:t>
      </w:r>
    </w:p>
  </w:footnote>
  <w:footnote w:id="14">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sidRPr="00B0021D">
        <w:rPr>
          <w:rFonts w:ascii="Arial" w:hAnsi="Arial" w:cs="Arial"/>
        </w:rPr>
        <w:t xml:space="preserve"> </w:t>
      </w:r>
      <w:r w:rsidRPr="00B0021D">
        <w:rPr>
          <w:rFonts w:ascii="Arial" w:hAnsi="Arial" w:cs="Arial"/>
          <w:i/>
        </w:rPr>
        <w:t>United Manganese of Kalahari v Commissioner, SARS</w:t>
      </w:r>
      <w:r w:rsidRPr="00B0021D">
        <w:rPr>
          <w:rFonts w:ascii="Arial" w:hAnsi="Arial" w:cs="Arial"/>
        </w:rPr>
        <w:t xml:space="preserve"> </w:t>
      </w:r>
      <w:r w:rsidR="00977ABD">
        <w:rPr>
          <w:rFonts w:ascii="Arial" w:hAnsi="Arial" w:cs="Arial"/>
        </w:rPr>
        <w:t xml:space="preserve">[2017] ZAGPPHC 628; </w:t>
      </w:r>
      <w:r w:rsidRPr="00B0021D">
        <w:rPr>
          <w:rFonts w:ascii="Arial" w:hAnsi="Arial" w:cs="Arial"/>
        </w:rPr>
        <w:t>2018 (2) SA 275 (GP) paras 17 and 18.</w:t>
      </w:r>
    </w:p>
  </w:footnote>
  <w:footnote w:id="15">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sidRPr="00B0021D">
        <w:rPr>
          <w:rFonts w:ascii="Arial" w:hAnsi="Arial" w:cs="Arial"/>
        </w:rPr>
        <w:t xml:space="preserve"> Tax Administration Law Amendment Bill (2015) Explanatory Memorandum para 2.52.</w:t>
      </w:r>
    </w:p>
  </w:footnote>
  <w:footnote w:id="16">
    <w:p w:rsidR="003A13AD" w:rsidRPr="00B0021D" w:rsidRDefault="003A13AD" w:rsidP="003A13AD">
      <w:pPr>
        <w:pStyle w:val="FootnoteText"/>
        <w:rPr>
          <w:rFonts w:ascii="Arial" w:hAnsi="Arial" w:cs="Arial"/>
        </w:rPr>
      </w:pPr>
      <w:r w:rsidRPr="00B0021D">
        <w:rPr>
          <w:rStyle w:val="FootnoteReference"/>
          <w:rFonts w:ascii="Arial" w:hAnsi="Arial" w:cs="Arial"/>
        </w:rPr>
        <w:footnoteRef/>
      </w:r>
      <w:r w:rsidRPr="00B0021D">
        <w:rPr>
          <w:rFonts w:ascii="Arial" w:hAnsi="Arial" w:cs="Arial"/>
        </w:rPr>
        <w:t xml:space="preserve"> </w:t>
      </w:r>
      <w:r w:rsidRPr="00B0021D">
        <w:rPr>
          <w:rFonts w:ascii="Arial" w:hAnsi="Arial" w:cs="Arial"/>
          <w:i/>
        </w:rPr>
        <w:t xml:space="preserve">Wingate-Pearse </w:t>
      </w:r>
      <w:r w:rsidR="00BB7F65" w:rsidRPr="00BB7F65">
        <w:rPr>
          <w:rFonts w:ascii="Arial" w:hAnsi="Arial" w:cs="Arial"/>
        </w:rPr>
        <w:t>fn 1</w:t>
      </w:r>
      <w:r w:rsidR="00A515E1">
        <w:rPr>
          <w:rFonts w:ascii="Arial" w:hAnsi="Arial" w:cs="Arial"/>
        </w:rPr>
        <w:t>2</w:t>
      </w:r>
      <w:r w:rsidR="00BB7F65">
        <w:rPr>
          <w:rFonts w:ascii="Arial" w:hAnsi="Arial" w:cs="Arial"/>
        </w:rPr>
        <w:t xml:space="preserve"> above</w:t>
      </w:r>
      <w:r w:rsidR="00BB7F65">
        <w:rPr>
          <w:rFonts w:ascii="Arial" w:hAnsi="Arial" w:cs="Arial"/>
          <w:i/>
        </w:rPr>
        <w:t xml:space="preserve"> </w:t>
      </w:r>
      <w:r w:rsidRPr="00B0021D">
        <w:rPr>
          <w:rFonts w:ascii="Arial" w:hAnsi="Arial" w:cs="Arial"/>
        </w:rPr>
        <w:t>para 45.</w:t>
      </w:r>
    </w:p>
  </w:footnote>
  <w:footnote w:id="17">
    <w:p w:rsidR="003A13AD" w:rsidRPr="000736B8" w:rsidRDefault="003A13AD" w:rsidP="003A13AD">
      <w:pPr>
        <w:pStyle w:val="FootnoteText"/>
        <w:rPr>
          <w:rFonts w:ascii="Arial" w:hAnsi="Arial" w:cs="Arial"/>
        </w:rPr>
      </w:pPr>
      <w:r w:rsidRPr="000736B8">
        <w:rPr>
          <w:rStyle w:val="FootnoteReference"/>
          <w:rFonts w:ascii="Arial" w:hAnsi="Arial" w:cs="Arial"/>
        </w:rPr>
        <w:footnoteRef/>
      </w:r>
      <w:r w:rsidRPr="000736B8">
        <w:rPr>
          <w:rFonts w:ascii="Arial" w:hAnsi="Arial" w:cs="Arial"/>
        </w:rPr>
        <w:t xml:space="preserve"> </w:t>
      </w:r>
      <w:bookmarkStart w:id="2" w:name="_Hlk128128831"/>
      <w:r w:rsidRPr="000736B8">
        <w:rPr>
          <w:rFonts w:ascii="Arial" w:hAnsi="Arial" w:cs="Arial"/>
          <w:i/>
        </w:rPr>
        <w:t>ABSA Bank v Commissioner, SARS</w:t>
      </w:r>
      <w:r w:rsidRPr="000736B8">
        <w:rPr>
          <w:rFonts w:ascii="Arial" w:hAnsi="Arial" w:cs="Arial"/>
        </w:rPr>
        <w:t xml:space="preserve"> </w:t>
      </w:r>
      <w:bookmarkEnd w:id="2"/>
      <w:r w:rsidR="00032707">
        <w:rPr>
          <w:rFonts w:ascii="Arial" w:hAnsi="Arial" w:cs="Arial"/>
        </w:rPr>
        <w:t xml:space="preserve">[2021] ZAGPPHC 127; </w:t>
      </w:r>
      <w:r w:rsidRPr="000736B8">
        <w:rPr>
          <w:rFonts w:ascii="Arial" w:hAnsi="Arial" w:cs="Arial"/>
        </w:rPr>
        <w:t>2021 (3) SA 513 (GP) para 27.</w:t>
      </w:r>
    </w:p>
  </w:footnote>
  <w:footnote w:id="18">
    <w:p w:rsidR="003A13AD" w:rsidRPr="000736B8" w:rsidRDefault="003A13AD" w:rsidP="003A13AD">
      <w:pPr>
        <w:pStyle w:val="FootnoteText"/>
        <w:rPr>
          <w:rFonts w:ascii="Arial" w:hAnsi="Arial" w:cs="Arial"/>
        </w:rPr>
      </w:pPr>
      <w:r w:rsidRPr="000736B8">
        <w:rPr>
          <w:rStyle w:val="FootnoteReference"/>
          <w:rFonts w:ascii="Arial" w:hAnsi="Arial" w:cs="Arial"/>
        </w:rPr>
        <w:footnoteRef/>
      </w:r>
      <w:r w:rsidRPr="000736B8">
        <w:rPr>
          <w:rFonts w:ascii="Arial" w:hAnsi="Arial" w:cs="Arial"/>
        </w:rPr>
        <w:t xml:space="preserve"> </w:t>
      </w:r>
      <w:r w:rsidRPr="000736B8">
        <w:rPr>
          <w:rFonts w:ascii="Arial" w:hAnsi="Arial" w:cs="Arial"/>
          <w:i/>
        </w:rPr>
        <w:t>Liesching and Others v S</w:t>
      </w:r>
      <w:r w:rsidRPr="000736B8">
        <w:rPr>
          <w:rFonts w:ascii="Arial" w:hAnsi="Arial" w:cs="Arial"/>
        </w:rPr>
        <w:t xml:space="preserve"> [2018] ZACC 25; 201</w:t>
      </w:r>
      <w:r>
        <w:rPr>
          <w:rFonts w:ascii="Arial" w:hAnsi="Arial" w:cs="Arial"/>
        </w:rPr>
        <w:t>9 (4) SA 219 (CC) para 132.</w:t>
      </w:r>
    </w:p>
  </w:footnote>
  <w:footnote w:id="19">
    <w:p w:rsidR="003A13AD" w:rsidRPr="009528B0" w:rsidRDefault="003A13AD" w:rsidP="003A13AD">
      <w:pPr>
        <w:pStyle w:val="FootnoteText"/>
        <w:rPr>
          <w:rFonts w:ascii="Arial" w:hAnsi="Arial" w:cs="Arial"/>
        </w:rPr>
      </w:pPr>
      <w:r w:rsidRPr="009528B0">
        <w:rPr>
          <w:rStyle w:val="FootnoteReference"/>
          <w:rFonts w:ascii="Arial" w:hAnsi="Arial" w:cs="Arial"/>
        </w:rPr>
        <w:footnoteRef/>
      </w:r>
      <w:r w:rsidRPr="009528B0">
        <w:rPr>
          <w:rFonts w:ascii="Arial" w:hAnsi="Arial" w:cs="Arial"/>
        </w:rPr>
        <w:t xml:space="preserve"> </w:t>
      </w:r>
      <w:r w:rsidRPr="009528B0">
        <w:rPr>
          <w:rFonts w:ascii="Arial" w:hAnsi="Arial" w:cs="Arial"/>
          <w:i/>
        </w:rPr>
        <w:t>MV Ais Mamas Seatrans Maritime v Owners, MV Ais Mamas &amp; another</w:t>
      </w:r>
      <w:r w:rsidRPr="009528B0">
        <w:rPr>
          <w:rFonts w:ascii="Arial" w:hAnsi="Arial" w:cs="Arial"/>
        </w:rPr>
        <w:t xml:space="preserve"> 2002 (6) SA 150 (C) at 156H</w:t>
      </w:r>
      <w:r w:rsidR="000D68FF">
        <w:rPr>
          <w:rFonts w:ascii="Arial" w:hAnsi="Arial" w:cs="Arial"/>
        </w:rPr>
        <w:t>-157C</w:t>
      </w:r>
      <w:r>
        <w:rPr>
          <w:rFonts w:ascii="Arial" w:hAnsi="Arial" w:cs="Arial"/>
        </w:rPr>
        <w:t>.</w:t>
      </w:r>
    </w:p>
  </w:footnote>
  <w:footnote w:id="20">
    <w:p w:rsidR="003A13AD" w:rsidRPr="001D7CD7" w:rsidRDefault="003A13AD" w:rsidP="003A13AD">
      <w:pPr>
        <w:pStyle w:val="FootnoteText"/>
        <w:rPr>
          <w:rFonts w:ascii="Arial" w:hAnsi="Arial" w:cs="Arial"/>
          <w:lang w:val="en-US"/>
        </w:rPr>
      </w:pPr>
      <w:r w:rsidRPr="001D7CD7">
        <w:rPr>
          <w:rStyle w:val="FootnoteReference"/>
          <w:rFonts w:ascii="Arial" w:hAnsi="Arial" w:cs="Arial"/>
        </w:rPr>
        <w:footnoteRef/>
      </w:r>
      <w:r w:rsidRPr="001D7CD7">
        <w:rPr>
          <w:rFonts w:ascii="Arial" w:hAnsi="Arial" w:cs="Arial"/>
        </w:rPr>
        <w:t xml:space="preserve"> </w:t>
      </w:r>
      <w:r>
        <w:rPr>
          <w:rFonts w:ascii="Arial" w:hAnsi="Arial" w:cs="Arial"/>
          <w:i/>
          <w:iCs/>
        </w:rPr>
        <w:t xml:space="preserve">Standard Bank </w:t>
      </w:r>
      <w:r w:rsidR="009D5095">
        <w:rPr>
          <w:rFonts w:ascii="Arial" w:hAnsi="Arial" w:cs="Arial"/>
          <w:iCs/>
        </w:rPr>
        <w:t xml:space="preserve">fn 1 above </w:t>
      </w:r>
      <w:r>
        <w:rPr>
          <w:rFonts w:ascii="Arial" w:hAnsi="Arial" w:cs="Arial"/>
        </w:rPr>
        <w:t>para 122 read with para 123 and the order in para 206.</w:t>
      </w:r>
    </w:p>
  </w:footnote>
  <w:footnote w:id="21">
    <w:p w:rsidR="003A13AD" w:rsidRPr="007966A0" w:rsidRDefault="003A13AD" w:rsidP="003A13AD">
      <w:pPr>
        <w:pStyle w:val="FootnoteText"/>
        <w:rPr>
          <w:rFonts w:ascii="Arial" w:hAnsi="Arial" w:cs="Arial"/>
        </w:rPr>
      </w:pPr>
      <w:r w:rsidRPr="009326E5">
        <w:rPr>
          <w:rStyle w:val="FootnoteReference"/>
          <w:rFonts w:ascii="Arial" w:hAnsi="Arial" w:cs="Arial"/>
        </w:rPr>
        <w:footnoteRef/>
      </w:r>
      <w:r w:rsidRPr="009326E5">
        <w:rPr>
          <w:rFonts w:ascii="Arial" w:hAnsi="Arial" w:cs="Arial"/>
        </w:rPr>
        <w:t xml:space="preserve"> </w:t>
      </w:r>
      <w:r>
        <w:rPr>
          <w:rFonts w:ascii="Arial" w:hAnsi="Arial" w:cs="Arial"/>
          <w:i/>
        </w:rPr>
        <w:t xml:space="preserve">Communication Workers Union v Telkom SA Ltd </w:t>
      </w:r>
      <w:r>
        <w:rPr>
          <w:rFonts w:ascii="Arial" w:hAnsi="Arial" w:cs="Arial"/>
        </w:rPr>
        <w:t>1999 (2) SA 586 (T) at 593G-H.</w:t>
      </w:r>
    </w:p>
  </w:footnote>
  <w:footnote w:id="22">
    <w:p w:rsidR="003A13AD" w:rsidRPr="006A1E0E" w:rsidRDefault="003A13AD" w:rsidP="003A13AD">
      <w:pPr>
        <w:pStyle w:val="FootnoteText"/>
        <w:rPr>
          <w:rFonts w:ascii="Arial" w:hAnsi="Arial" w:cs="Arial"/>
          <w:iCs/>
          <w:lang w:val="en-US"/>
        </w:rPr>
      </w:pPr>
      <w:r w:rsidRPr="00C071AF">
        <w:rPr>
          <w:rStyle w:val="FootnoteReference"/>
          <w:rFonts w:ascii="Arial" w:hAnsi="Arial" w:cs="Arial"/>
        </w:rPr>
        <w:footnoteRef/>
      </w:r>
      <w:r w:rsidRPr="00C071AF">
        <w:rPr>
          <w:rFonts w:ascii="Arial" w:hAnsi="Arial" w:cs="Arial"/>
        </w:rPr>
        <w:t xml:space="preserve"> </w:t>
      </w:r>
      <w:r>
        <w:rPr>
          <w:rFonts w:ascii="Arial" w:hAnsi="Arial" w:cs="Arial"/>
          <w:i/>
          <w:iCs/>
        </w:rPr>
        <w:t xml:space="preserve">Master of the High Court Northern Gauteng High Court, Pretoria v Motala NO and Others </w:t>
      </w:r>
      <w:r>
        <w:rPr>
          <w:rFonts w:ascii="Arial" w:hAnsi="Arial" w:cs="Arial"/>
          <w:iCs/>
        </w:rPr>
        <w:t>[2011] ZASCA 238; 2012 (3) SA 325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E0" w:rsidRPr="005E50C9" w:rsidRDefault="00BB6AE0" w:rsidP="005E50C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0E2959">
      <w:rPr>
        <w:noProof/>
        <w:color w:val="000000"/>
      </w:rPr>
      <w:t>14</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22304"/>
    <w:multiLevelType w:val="multilevel"/>
    <w:tmpl w:val="02A8621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E1"/>
    <w:rsid w:val="00001B2A"/>
    <w:rsid w:val="000056CC"/>
    <w:rsid w:val="00032707"/>
    <w:rsid w:val="00062786"/>
    <w:rsid w:val="00083808"/>
    <w:rsid w:val="00085856"/>
    <w:rsid w:val="0009292A"/>
    <w:rsid w:val="000B03EE"/>
    <w:rsid w:val="000B5D74"/>
    <w:rsid w:val="000B76EA"/>
    <w:rsid w:val="000D68FF"/>
    <w:rsid w:val="000E1ECD"/>
    <w:rsid w:val="000E2959"/>
    <w:rsid w:val="000E4704"/>
    <w:rsid w:val="0011088D"/>
    <w:rsid w:val="001362C2"/>
    <w:rsid w:val="00140F09"/>
    <w:rsid w:val="00140F0D"/>
    <w:rsid w:val="0014713E"/>
    <w:rsid w:val="00160FB0"/>
    <w:rsid w:val="001754FA"/>
    <w:rsid w:val="00187348"/>
    <w:rsid w:val="0019321F"/>
    <w:rsid w:val="001A5C74"/>
    <w:rsid w:val="001A7734"/>
    <w:rsid w:val="001C1610"/>
    <w:rsid w:val="001D32ED"/>
    <w:rsid w:val="001D3E79"/>
    <w:rsid w:val="001E0D88"/>
    <w:rsid w:val="002134D4"/>
    <w:rsid w:val="002201AE"/>
    <w:rsid w:val="0025458C"/>
    <w:rsid w:val="002558D0"/>
    <w:rsid w:val="0025623D"/>
    <w:rsid w:val="00291500"/>
    <w:rsid w:val="002948EF"/>
    <w:rsid w:val="002B6539"/>
    <w:rsid w:val="002F3CFC"/>
    <w:rsid w:val="0030063A"/>
    <w:rsid w:val="00344EB3"/>
    <w:rsid w:val="00353FA5"/>
    <w:rsid w:val="0035499A"/>
    <w:rsid w:val="00356FC1"/>
    <w:rsid w:val="003A025A"/>
    <w:rsid w:val="003A13AD"/>
    <w:rsid w:val="003A2314"/>
    <w:rsid w:val="003B0548"/>
    <w:rsid w:val="00401836"/>
    <w:rsid w:val="0042367E"/>
    <w:rsid w:val="00423996"/>
    <w:rsid w:val="00465FE3"/>
    <w:rsid w:val="004A0F2F"/>
    <w:rsid w:val="004F6669"/>
    <w:rsid w:val="005005D6"/>
    <w:rsid w:val="005072FA"/>
    <w:rsid w:val="00524552"/>
    <w:rsid w:val="005248AA"/>
    <w:rsid w:val="005255BD"/>
    <w:rsid w:val="005364DE"/>
    <w:rsid w:val="005573CB"/>
    <w:rsid w:val="00557A44"/>
    <w:rsid w:val="005906F8"/>
    <w:rsid w:val="00594913"/>
    <w:rsid w:val="005A7949"/>
    <w:rsid w:val="005B7911"/>
    <w:rsid w:val="005C0135"/>
    <w:rsid w:val="005D07C6"/>
    <w:rsid w:val="005D0F10"/>
    <w:rsid w:val="005E50C9"/>
    <w:rsid w:val="00625A9A"/>
    <w:rsid w:val="00651FC8"/>
    <w:rsid w:val="006572BA"/>
    <w:rsid w:val="006670A5"/>
    <w:rsid w:val="00671633"/>
    <w:rsid w:val="00692B59"/>
    <w:rsid w:val="006B112F"/>
    <w:rsid w:val="006D5620"/>
    <w:rsid w:val="006D704B"/>
    <w:rsid w:val="00702030"/>
    <w:rsid w:val="007043AF"/>
    <w:rsid w:val="0071739C"/>
    <w:rsid w:val="00732C8F"/>
    <w:rsid w:val="007659A4"/>
    <w:rsid w:val="00785CDF"/>
    <w:rsid w:val="007A72C1"/>
    <w:rsid w:val="007C7E28"/>
    <w:rsid w:val="007D1078"/>
    <w:rsid w:val="007D29FA"/>
    <w:rsid w:val="007E604F"/>
    <w:rsid w:val="008008C2"/>
    <w:rsid w:val="00807F69"/>
    <w:rsid w:val="008121E4"/>
    <w:rsid w:val="008226CF"/>
    <w:rsid w:val="00837170"/>
    <w:rsid w:val="00846CDC"/>
    <w:rsid w:val="00886DB9"/>
    <w:rsid w:val="00891E23"/>
    <w:rsid w:val="00897F94"/>
    <w:rsid w:val="008B54CD"/>
    <w:rsid w:val="008C504C"/>
    <w:rsid w:val="008E0519"/>
    <w:rsid w:val="008E37D0"/>
    <w:rsid w:val="008E49D6"/>
    <w:rsid w:val="008F027C"/>
    <w:rsid w:val="00944D26"/>
    <w:rsid w:val="0094684B"/>
    <w:rsid w:val="00962A8D"/>
    <w:rsid w:val="00964692"/>
    <w:rsid w:val="00973BE0"/>
    <w:rsid w:val="00977ABD"/>
    <w:rsid w:val="00987F2D"/>
    <w:rsid w:val="009A3651"/>
    <w:rsid w:val="009A68AE"/>
    <w:rsid w:val="009C1111"/>
    <w:rsid w:val="009C119D"/>
    <w:rsid w:val="009C6BE6"/>
    <w:rsid w:val="009D5095"/>
    <w:rsid w:val="00A06FBA"/>
    <w:rsid w:val="00A12E8A"/>
    <w:rsid w:val="00A44DD4"/>
    <w:rsid w:val="00A515E1"/>
    <w:rsid w:val="00A87149"/>
    <w:rsid w:val="00AA5579"/>
    <w:rsid w:val="00AF49F2"/>
    <w:rsid w:val="00B00502"/>
    <w:rsid w:val="00B01DB5"/>
    <w:rsid w:val="00B41B2A"/>
    <w:rsid w:val="00B70815"/>
    <w:rsid w:val="00B84604"/>
    <w:rsid w:val="00B904C7"/>
    <w:rsid w:val="00BA0776"/>
    <w:rsid w:val="00BB3D0A"/>
    <w:rsid w:val="00BB6AE0"/>
    <w:rsid w:val="00BB7F65"/>
    <w:rsid w:val="00BC1FC8"/>
    <w:rsid w:val="00C22A63"/>
    <w:rsid w:val="00C314BC"/>
    <w:rsid w:val="00C4005E"/>
    <w:rsid w:val="00C47F96"/>
    <w:rsid w:val="00C52C7B"/>
    <w:rsid w:val="00C728E3"/>
    <w:rsid w:val="00CA3A36"/>
    <w:rsid w:val="00CA6DCC"/>
    <w:rsid w:val="00CA7B41"/>
    <w:rsid w:val="00CB5FE1"/>
    <w:rsid w:val="00CC5D5C"/>
    <w:rsid w:val="00CC7F37"/>
    <w:rsid w:val="00CE1FD8"/>
    <w:rsid w:val="00CF6071"/>
    <w:rsid w:val="00D06E73"/>
    <w:rsid w:val="00D43265"/>
    <w:rsid w:val="00DA781B"/>
    <w:rsid w:val="00DB3B54"/>
    <w:rsid w:val="00DE5157"/>
    <w:rsid w:val="00E15190"/>
    <w:rsid w:val="00E518C3"/>
    <w:rsid w:val="00E5564C"/>
    <w:rsid w:val="00E57859"/>
    <w:rsid w:val="00E75DE4"/>
    <w:rsid w:val="00E906F6"/>
    <w:rsid w:val="00E95915"/>
    <w:rsid w:val="00EB28E2"/>
    <w:rsid w:val="00F31EC4"/>
    <w:rsid w:val="00F32C0F"/>
    <w:rsid w:val="00F32D33"/>
    <w:rsid w:val="00F4598C"/>
    <w:rsid w:val="00F7476C"/>
    <w:rsid w:val="00FB0CAE"/>
    <w:rsid w:val="00FB78C4"/>
    <w:rsid w:val="00FE1D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93FC5-58A2-4A15-801A-B8468D49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F17FD3"/>
    <w:pPr>
      <w:keepNext/>
      <w:outlineLvl w:val="2"/>
    </w:pPr>
    <w:rPr>
      <w:rFonts w:ascii="Arial" w:hAnsi="Arial" w:cs="Arial"/>
      <w:i/>
      <w:iCs/>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NpUwrH5XZSY7xupmdWXqXpa9JA==">AMUW2mXnahn5SnlqCdj5iD1h1exgqjs5vR5sg632sch3dXZlJnN3mbjIdPbvUmqJQ5qL0nfwPLB68IS2/mBjmr5GOYEIcfcZsCnQ52Ez9S0r4Nay6DBZtfo=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6FCFE5-82D3-4318-946D-8C2B08B3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Botha</dc:creator>
  <cp:lastModifiedBy>Gabrielle Jordaan</cp:lastModifiedBy>
  <cp:revision>2</cp:revision>
  <cp:lastPrinted>2023-03-24T06:03:00Z</cp:lastPrinted>
  <dcterms:created xsi:type="dcterms:W3CDTF">2023-03-24T07:06:00Z</dcterms:created>
  <dcterms:modified xsi:type="dcterms:W3CDTF">2023-03-24T07:06:00Z</dcterms:modified>
</cp:coreProperties>
</file>