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E5399" w14:textId="4D3B266C" w:rsidR="00FF0EB6" w:rsidRDefault="00FF0EB6" w:rsidP="00D54E1C">
      <w:pPr>
        <w:tabs>
          <w:tab w:val="left" w:pos="3860"/>
        </w:tabs>
        <w:spacing w:line="360" w:lineRule="auto"/>
        <w:ind w:left="720" w:firstLine="720"/>
        <w:jc w:val="center"/>
        <w:rPr>
          <w:rFonts w:ascii="Times New Roman" w:hAnsi="Times New Roman" w:cs="Times New Roman"/>
          <w:b/>
          <w:sz w:val="28"/>
          <w:szCs w:val="28"/>
        </w:rPr>
      </w:pPr>
      <w:r w:rsidRPr="00AF3BB8">
        <w:rPr>
          <w:rFonts w:ascii="Times New Roman" w:hAnsi="Times New Roman" w:cs="Times New Roman"/>
          <w:noProof/>
          <w:sz w:val="28"/>
          <w:szCs w:val="28"/>
          <w:lang w:eastAsia="en-ZA"/>
        </w:rPr>
        <w:drawing>
          <wp:anchor distT="0" distB="0" distL="114300" distR="114300" simplePos="0" relativeHeight="251658240" behindDoc="0" locked="0" layoutInCell="1" allowOverlap="1" wp14:anchorId="467BAD13" wp14:editId="2E8E519B">
            <wp:simplePos x="0" y="0"/>
            <wp:positionH relativeFrom="page">
              <wp:align>center</wp:align>
            </wp:positionH>
            <wp:positionV relativeFrom="paragraph">
              <wp:posOffset>0</wp:posOffset>
            </wp:positionV>
            <wp:extent cx="799200" cy="914824"/>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914824"/>
                    </a:xfrm>
                    <a:prstGeom prst="rect">
                      <a:avLst/>
                    </a:prstGeom>
                    <a:noFill/>
                  </pic:spPr>
                </pic:pic>
              </a:graphicData>
            </a:graphic>
            <wp14:sizeRelH relativeFrom="margin">
              <wp14:pctWidth>0</wp14:pctWidth>
            </wp14:sizeRelH>
          </wp:anchor>
        </w:drawing>
      </w:r>
    </w:p>
    <w:p w14:paraId="77255164" w14:textId="7250918F" w:rsidR="004A6D77" w:rsidRDefault="004A6D77" w:rsidP="00E604C5">
      <w:pPr>
        <w:spacing w:line="360" w:lineRule="auto"/>
        <w:rPr>
          <w:rFonts w:ascii="Arial" w:hAnsi="Arial" w:cs="Arial"/>
          <w:b/>
          <w:sz w:val="24"/>
          <w:szCs w:val="24"/>
        </w:rPr>
      </w:pPr>
    </w:p>
    <w:p w14:paraId="17ED2040" w14:textId="77777777" w:rsidR="004A6D77" w:rsidRPr="000D59DB" w:rsidRDefault="004A6D77" w:rsidP="00E604C5">
      <w:pPr>
        <w:spacing w:line="360" w:lineRule="auto"/>
        <w:rPr>
          <w:rFonts w:ascii="Arial" w:hAnsi="Arial" w:cs="Arial"/>
          <w:b/>
          <w:sz w:val="20"/>
          <w:szCs w:val="20"/>
        </w:rPr>
      </w:pPr>
    </w:p>
    <w:p w14:paraId="3F37E945" w14:textId="77777777" w:rsidR="004A6D77" w:rsidRDefault="0044485D" w:rsidP="00E604C5">
      <w:pPr>
        <w:spacing w:after="0" w:line="360" w:lineRule="auto"/>
        <w:jc w:val="center"/>
        <w:rPr>
          <w:rFonts w:ascii="Arial" w:hAnsi="Arial" w:cs="Arial"/>
          <w:b/>
          <w:sz w:val="24"/>
          <w:szCs w:val="24"/>
        </w:rPr>
      </w:pPr>
      <w:r w:rsidRPr="001020F7">
        <w:rPr>
          <w:rFonts w:ascii="Arial" w:hAnsi="Arial" w:cs="Arial"/>
          <w:b/>
          <w:sz w:val="24"/>
          <w:szCs w:val="24"/>
        </w:rPr>
        <w:t>THE SUPREME COURT OF APPEAL</w:t>
      </w:r>
      <w:r w:rsidR="00FF0EB6" w:rsidRPr="001020F7">
        <w:rPr>
          <w:rFonts w:ascii="Arial" w:hAnsi="Arial" w:cs="Arial"/>
          <w:b/>
          <w:sz w:val="24"/>
          <w:szCs w:val="24"/>
        </w:rPr>
        <w:t xml:space="preserve"> OF </w:t>
      </w:r>
      <w:r w:rsidRPr="001020F7">
        <w:rPr>
          <w:rFonts w:ascii="Arial" w:hAnsi="Arial" w:cs="Arial"/>
          <w:b/>
          <w:sz w:val="24"/>
          <w:szCs w:val="24"/>
        </w:rPr>
        <w:t xml:space="preserve">SOUTH AFRICA </w:t>
      </w:r>
      <w:r w:rsidRPr="001020F7">
        <w:rPr>
          <w:rFonts w:ascii="Arial" w:hAnsi="Arial" w:cs="Arial"/>
          <w:b/>
          <w:sz w:val="24"/>
          <w:szCs w:val="24"/>
        </w:rPr>
        <w:tab/>
      </w:r>
    </w:p>
    <w:p w14:paraId="0064749D" w14:textId="77777777" w:rsidR="00FF68E5" w:rsidRDefault="00FF0EB6" w:rsidP="00E604C5">
      <w:pPr>
        <w:spacing w:after="0" w:line="360" w:lineRule="auto"/>
        <w:jc w:val="center"/>
        <w:rPr>
          <w:rFonts w:ascii="Arial" w:hAnsi="Arial" w:cs="Arial"/>
          <w:b/>
          <w:sz w:val="24"/>
          <w:szCs w:val="24"/>
        </w:rPr>
      </w:pPr>
      <w:r w:rsidRPr="001020F7">
        <w:rPr>
          <w:rFonts w:ascii="Arial" w:hAnsi="Arial" w:cs="Arial"/>
          <w:b/>
          <w:sz w:val="24"/>
          <w:szCs w:val="24"/>
        </w:rPr>
        <w:t>JUDGMENT</w:t>
      </w:r>
    </w:p>
    <w:p w14:paraId="5BA5489A" w14:textId="5A156E8C" w:rsidR="0044485D" w:rsidRPr="001020F7" w:rsidRDefault="00764A3F" w:rsidP="007141E5">
      <w:pPr>
        <w:spacing w:after="0" w:line="360" w:lineRule="auto"/>
        <w:jc w:val="right"/>
        <w:rPr>
          <w:rFonts w:ascii="Arial" w:hAnsi="Arial" w:cs="Arial"/>
          <w:b/>
          <w:sz w:val="24"/>
          <w:szCs w:val="24"/>
        </w:rPr>
      </w:pPr>
      <w:r>
        <w:rPr>
          <w:rFonts w:ascii="Arial" w:hAnsi="Arial" w:cs="Arial"/>
          <w:b/>
          <w:sz w:val="24"/>
          <w:szCs w:val="24"/>
        </w:rPr>
        <w:t>Not Reportable</w:t>
      </w:r>
    </w:p>
    <w:p w14:paraId="6EDF133C" w14:textId="464F82F5" w:rsidR="0044485D" w:rsidRPr="001020F7" w:rsidRDefault="0044485D" w:rsidP="009C40B8">
      <w:pPr>
        <w:spacing w:after="0" w:line="360" w:lineRule="auto"/>
        <w:jc w:val="right"/>
        <w:rPr>
          <w:rFonts w:ascii="Arial" w:hAnsi="Arial" w:cs="Arial"/>
          <w:bCs/>
          <w:sz w:val="24"/>
          <w:szCs w:val="24"/>
        </w:rPr>
      </w:pP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sidR="0005447D">
        <w:rPr>
          <w:rFonts w:ascii="Arial" w:hAnsi="Arial" w:cs="Arial"/>
          <w:bCs/>
          <w:sz w:val="24"/>
          <w:szCs w:val="24"/>
        </w:rPr>
        <w:t xml:space="preserve">    Case n</w:t>
      </w:r>
      <w:r w:rsidRPr="001020F7">
        <w:rPr>
          <w:rFonts w:ascii="Arial" w:hAnsi="Arial" w:cs="Arial"/>
          <w:bCs/>
          <w:sz w:val="24"/>
          <w:szCs w:val="24"/>
        </w:rPr>
        <w:t>o</w:t>
      </w:r>
      <w:r w:rsidR="00FF0EB6" w:rsidRPr="001020F7">
        <w:rPr>
          <w:rFonts w:ascii="Arial" w:hAnsi="Arial" w:cs="Arial"/>
          <w:bCs/>
          <w:sz w:val="24"/>
          <w:szCs w:val="24"/>
        </w:rPr>
        <w:t>:</w:t>
      </w:r>
      <w:r w:rsidR="004A6D77">
        <w:rPr>
          <w:rFonts w:ascii="Arial" w:hAnsi="Arial" w:cs="Arial"/>
          <w:bCs/>
          <w:sz w:val="24"/>
          <w:szCs w:val="24"/>
        </w:rPr>
        <w:t xml:space="preserve"> </w:t>
      </w:r>
      <w:r w:rsidR="009C40B8" w:rsidRPr="00F632E0">
        <w:rPr>
          <w:rFonts w:ascii="Arial" w:eastAsia="Arial" w:hAnsi="Arial" w:cs="Arial"/>
          <w:sz w:val="24"/>
          <w:szCs w:val="24"/>
        </w:rPr>
        <w:t>429/2022</w:t>
      </w:r>
    </w:p>
    <w:p w14:paraId="1EAEFC69" w14:textId="77777777" w:rsidR="0044485D" w:rsidRPr="001020F7" w:rsidRDefault="0044485D" w:rsidP="00E604C5">
      <w:pPr>
        <w:spacing w:after="0" w:line="360" w:lineRule="auto"/>
        <w:jc w:val="both"/>
        <w:rPr>
          <w:rFonts w:ascii="Arial" w:hAnsi="Arial" w:cs="Arial"/>
          <w:bCs/>
          <w:sz w:val="24"/>
          <w:szCs w:val="24"/>
        </w:rPr>
      </w:pPr>
      <w:r w:rsidRPr="001020F7">
        <w:rPr>
          <w:rFonts w:ascii="Arial" w:hAnsi="Arial" w:cs="Arial"/>
          <w:bCs/>
          <w:sz w:val="24"/>
          <w:szCs w:val="24"/>
        </w:rPr>
        <w:t xml:space="preserve">In the matter between: </w:t>
      </w:r>
    </w:p>
    <w:p w14:paraId="3A1609B5" w14:textId="77777777" w:rsidR="0044485D" w:rsidRPr="001020F7" w:rsidRDefault="0044485D" w:rsidP="00E604C5">
      <w:pPr>
        <w:spacing w:after="0" w:line="360" w:lineRule="auto"/>
        <w:jc w:val="both"/>
        <w:rPr>
          <w:rFonts w:ascii="Arial" w:hAnsi="Arial" w:cs="Arial"/>
          <w:b/>
          <w:sz w:val="24"/>
          <w:szCs w:val="24"/>
        </w:rPr>
      </w:pPr>
    </w:p>
    <w:p w14:paraId="46F31760" w14:textId="2694F94E" w:rsidR="0044485D" w:rsidRPr="001020F7" w:rsidRDefault="009C40B8" w:rsidP="00E604C5">
      <w:pPr>
        <w:tabs>
          <w:tab w:val="right" w:pos="9026"/>
        </w:tabs>
        <w:spacing w:after="0" w:line="360" w:lineRule="auto"/>
        <w:jc w:val="both"/>
        <w:rPr>
          <w:rFonts w:ascii="Arial" w:hAnsi="Arial" w:cs="Arial"/>
          <w:b/>
          <w:sz w:val="24"/>
          <w:szCs w:val="24"/>
        </w:rPr>
      </w:pPr>
      <w:r>
        <w:rPr>
          <w:rFonts w:ascii="Arial" w:eastAsia="Arial" w:hAnsi="Arial" w:cs="Arial"/>
          <w:b/>
          <w:sz w:val="24"/>
          <w:szCs w:val="24"/>
        </w:rPr>
        <w:t xml:space="preserve">SIMON </w:t>
      </w:r>
      <w:r w:rsidRPr="00F632E0">
        <w:rPr>
          <w:rFonts w:ascii="Arial" w:eastAsia="Arial" w:hAnsi="Arial" w:cs="Arial"/>
          <w:b/>
          <w:sz w:val="24"/>
          <w:szCs w:val="24"/>
        </w:rPr>
        <w:t>MAILA</w:t>
      </w:r>
      <w:r w:rsidRPr="00F632E0">
        <w:rPr>
          <w:rFonts w:ascii="Arial" w:eastAsia="Arial" w:hAnsi="Arial" w:cs="Arial"/>
          <w:b/>
          <w:sz w:val="24"/>
          <w:szCs w:val="24"/>
        </w:rPr>
        <w:tab/>
      </w:r>
      <w:r w:rsidR="004A6D77" w:rsidRPr="001020F7">
        <w:rPr>
          <w:rFonts w:ascii="Arial" w:hAnsi="Arial" w:cs="Arial"/>
          <w:b/>
          <w:sz w:val="24"/>
          <w:szCs w:val="24"/>
        </w:rPr>
        <w:t>APPELLANT</w:t>
      </w:r>
    </w:p>
    <w:p w14:paraId="1B7E45B5" w14:textId="77777777" w:rsidR="00681953" w:rsidRDefault="00681953" w:rsidP="00681953">
      <w:pPr>
        <w:spacing w:after="0" w:line="360" w:lineRule="auto"/>
        <w:jc w:val="both"/>
        <w:rPr>
          <w:rFonts w:ascii="Arial" w:hAnsi="Arial" w:cs="Arial"/>
          <w:bCs/>
          <w:sz w:val="24"/>
          <w:szCs w:val="24"/>
        </w:rPr>
      </w:pPr>
    </w:p>
    <w:p w14:paraId="76D4A1E7" w14:textId="0B717ABC" w:rsidR="0044485D" w:rsidRPr="001020F7" w:rsidRDefault="0044485D" w:rsidP="00E604C5">
      <w:pPr>
        <w:spacing w:after="0" w:line="360" w:lineRule="auto"/>
        <w:jc w:val="both"/>
        <w:rPr>
          <w:rFonts w:ascii="Arial" w:hAnsi="Arial" w:cs="Arial"/>
          <w:bCs/>
          <w:sz w:val="24"/>
          <w:szCs w:val="24"/>
        </w:rPr>
      </w:pPr>
      <w:r w:rsidRPr="001020F7">
        <w:rPr>
          <w:rFonts w:ascii="Arial" w:hAnsi="Arial" w:cs="Arial"/>
          <w:bCs/>
          <w:sz w:val="24"/>
          <w:szCs w:val="24"/>
        </w:rPr>
        <w:t>and</w:t>
      </w:r>
    </w:p>
    <w:p w14:paraId="56540790" w14:textId="77777777" w:rsidR="0044485D" w:rsidRPr="001020F7" w:rsidRDefault="0044485D" w:rsidP="00E604C5">
      <w:pPr>
        <w:spacing w:after="0" w:line="360" w:lineRule="auto"/>
        <w:jc w:val="both"/>
        <w:rPr>
          <w:rFonts w:ascii="Arial" w:hAnsi="Arial" w:cs="Arial"/>
          <w:b/>
          <w:sz w:val="24"/>
          <w:szCs w:val="24"/>
        </w:rPr>
      </w:pPr>
    </w:p>
    <w:p w14:paraId="70B307D6" w14:textId="1AA760A4" w:rsidR="0068610C" w:rsidRPr="001020F7" w:rsidRDefault="009C40B8" w:rsidP="00E604C5">
      <w:pPr>
        <w:tabs>
          <w:tab w:val="right" w:pos="9026"/>
        </w:tabs>
        <w:spacing w:after="0" w:line="360" w:lineRule="auto"/>
        <w:jc w:val="both"/>
        <w:rPr>
          <w:rFonts w:ascii="Arial" w:hAnsi="Arial" w:cs="Arial"/>
          <w:b/>
          <w:sz w:val="24"/>
          <w:szCs w:val="24"/>
        </w:rPr>
      </w:pPr>
      <w:r>
        <w:rPr>
          <w:rFonts w:ascii="Arial" w:eastAsia="Arial" w:hAnsi="Arial" w:cs="Arial"/>
          <w:b/>
          <w:sz w:val="24"/>
          <w:szCs w:val="24"/>
        </w:rPr>
        <w:t xml:space="preserve">THE </w:t>
      </w:r>
      <w:r w:rsidRPr="00F632E0">
        <w:rPr>
          <w:rFonts w:ascii="Arial" w:eastAsia="Arial" w:hAnsi="Arial" w:cs="Arial"/>
          <w:b/>
          <w:sz w:val="24"/>
          <w:szCs w:val="24"/>
        </w:rPr>
        <w:t>STATE</w:t>
      </w:r>
      <w:r w:rsidR="0044485D" w:rsidRPr="001020F7">
        <w:rPr>
          <w:rFonts w:ascii="Arial" w:hAnsi="Arial" w:cs="Arial"/>
          <w:b/>
          <w:sz w:val="24"/>
          <w:szCs w:val="24"/>
        </w:rPr>
        <w:t xml:space="preserve"> </w:t>
      </w:r>
      <w:r>
        <w:rPr>
          <w:rFonts w:ascii="Arial" w:hAnsi="Arial" w:cs="Arial"/>
          <w:b/>
          <w:sz w:val="24"/>
          <w:szCs w:val="24"/>
        </w:rPr>
        <w:tab/>
      </w:r>
      <w:r w:rsidR="0044485D" w:rsidRPr="001020F7">
        <w:rPr>
          <w:rFonts w:ascii="Arial" w:hAnsi="Arial" w:cs="Arial"/>
          <w:b/>
          <w:sz w:val="24"/>
          <w:szCs w:val="24"/>
        </w:rPr>
        <w:t>RESPONDENT</w:t>
      </w:r>
    </w:p>
    <w:p w14:paraId="37816739" w14:textId="77777777" w:rsidR="009C40B8" w:rsidRDefault="009C40B8" w:rsidP="00AE7D13">
      <w:pPr>
        <w:spacing w:after="0" w:line="360" w:lineRule="auto"/>
        <w:jc w:val="both"/>
        <w:rPr>
          <w:rFonts w:ascii="Arial" w:hAnsi="Arial" w:cs="Arial"/>
          <w:b/>
          <w:sz w:val="24"/>
          <w:szCs w:val="24"/>
        </w:rPr>
      </w:pPr>
    </w:p>
    <w:p w14:paraId="156C5E30" w14:textId="47E97DC0" w:rsidR="003A1350" w:rsidRDefault="003A1350" w:rsidP="00AE7D13">
      <w:pPr>
        <w:spacing w:after="0" w:line="360" w:lineRule="auto"/>
        <w:jc w:val="both"/>
        <w:rPr>
          <w:rFonts w:ascii="Arial" w:hAnsi="Arial" w:cs="Arial"/>
          <w:sz w:val="24"/>
          <w:szCs w:val="24"/>
        </w:rPr>
      </w:pPr>
      <w:r w:rsidRPr="001020F7">
        <w:rPr>
          <w:rFonts w:ascii="Arial" w:hAnsi="Arial" w:cs="Arial"/>
          <w:b/>
          <w:sz w:val="24"/>
          <w:szCs w:val="24"/>
        </w:rPr>
        <w:t xml:space="preserve">Neutral </w:t>
      </w:r>
      <w:r w:rsidR="00356A80" w:rsidRPr="001020F7">
        <w:rPr>
          <w:rFonts w:ascii="Arial" w:hAnsi="Arial" w:cs="Arial"/>
          <w:b/>
          <w:sz w:val="24"/>
          <w:szCs w:val="24"/>
        </w:rPr>
        <w:t>citation:</w:t>
      </w:r>
      <w:r w:rsidR="005525B5" w:rsidRPr="001020F7">
        <w:rPr>
          <w:rFonts w:ascii="Arial" w:hAnsi="Arial" w:cs="Arial"/>
          <w:i/>
          <w:sz w:val="24"/>
          <w:szCs w:val="24"/>
        </w:rPr>
        <w:t xml:space="preserve"> </w:t>
      </w:r>
      <w:bookmarkStart w:id="0" w:name="_GoBack"/>
      <w:r w:rsidR="009C40B8" w:rsidRPr="00F632E0">
        <w:rPr>
          <w:rFonts w:ascii="Arial" w:eastAsia="Arial" w:hAnsi="Arial" w:cs="Arial"/>
          <w:i/>
          <w:sz w:val="24"/>
          <w:szCs w:val="24"/>
        </w:rPr>
        <w:t xml:space="preserve">Maila v The State </w:t>
      </w:r>
      <w:bookmarkEnd w:id="0"/>
      <w:r w:rsidR="009C40B8" w:rsidRPr="00F632E0">
        <w:rPr>
          <w:rFonts w:ascii="Arial" w:eastAsia="Arial" w:hAnsi="Arial" w:cs="Arial"/>
          <w:sz w:val="24"/>
          <w:szCs w:val="24"/>
        </w:rPr>
        <w:t>(429/2022) [202</w:t>
      </w:r>
      <w:r w:rsidR="004228AF">
        <w:rPr>
          <w:rFonts w:ascii="Arial" w:eastAsia="Arial" w:hAnsi="Arial" w:cs="Arial"/>
          <w:sz w:val="24"/>
          <w:szCs w:val="24"/>
        </w:rPr>
        <w:t>3</w:t>
      </w:r>
      <w:r w:rsidR="009C40B8" w:rsidRPr="00F632E0">
        <w:rPr>
          <w:rFonts w:ascii="Arial" w:eastAsia="Arial" w:hAnsi="Arial" w:cs="Arial"/>
          <w:sz w:val="24"/>
          <w:szCs w:val="24"/>
        </w:rPr>
        <w:t xml:space="preserve">] ZASCA </w:t>
      </w:r>
      <w:r w:rsidR="00A06E51">
        <w:rPr>
          <w:rFonts w:ascii="Arial" w:eastAsia="Arial" w:hAnsi="Arial" w:cs="Arial"/>
          <w:sz w:val="24"/>
          <w:szCs w:val="24"/>
        </w:rPr>
        <w:t>3</w:t>
      </w:r>
      <w:r w:rsidR="009C40B8" w:rsidRPr="00F632E0">
        <w:rPr>
          <w:rFonts w:ascii="Arial" w:eastAsia="Arial" w:hAnsi="Arial" w:cs="Arial"/>
          <w:sz w:val="24"/>
          <w:szCs w:val="24"/>
        </w:rPr>
        <w:t xml:space="preserve"> (</w:t>
      </w:r>
      <w:r w:rsidR="00196A47">
        <w:rPr>
          <w:rFonts w:ascii="Arial" w:eastAsia="Arial" w:hAnsi="Arial" w:cs="Arial"/>
          <w:sz w:val="24"/>
          <w:szCs w:val="24"/>
        </w:rPr>
        <w:t>23</w:t>
      </w:r>
      <w:r w:rsidR="009C40B8" w:rsidRPr="00F632E0">
        <w:rPr>
          <w:rFonts w:ascii="Arial" w:eastAsia="Arial" w:hAnsi="Arial" w:cs="Arial"/>
          <w:sz w:val="24"/>
          <w:szCs w:val="24"/>
        </w:rPr>
        <w:t xml:space="preserve"> </w:t>
      </w:r>
      <w:r w:rsidR="00196A47">
        <w:rPr>
          <w:rFonts w:ascii="Arial" w:eastAsia="Arial" w:hAnsi="Arial" w:cs="Arial"/>
          <w:sz w:val="24"/>
          <w:szCs w:val="24"/>
        </w:rPr>
        <w:t>January</w:t>
      </w:r>
      <w:r w:rsidR="009C40B8" w:rsidRPr="00F632E0">
        <w:rPr>
          <w:rFonts w:ascii="Arial" w:eastAsia="Arial" w:hAnsi="Arial" w:cs="Arial"/>
          <w:sz w:val="24"/>
          <w:szCs w:val="24"/>
        </w:rPr>
        <w:t xml:space="preserve"> 202</w:t>
      </w:r>
      <w:r w:rsidR="00196A47">
        <w:rPr>
          <w:rFonts w:ascii="Arial" w:eastAsia="Arial" w:hAnsi="Arial" w:cs="Arial"/>
          <w:sz w:val="24"/>
          <w:szCs w:val="24"/>
        </w:rPr>
        <w:t>3</w:t>
      </w:r>
      <w:r w:rsidR="009C40B8" w:rsidRPr="00F632E0">
        <w:rPr>
          <w:rFonts w:ascii="Arial" w:eastAsia="Arial" w:hAnsi="Arial" w:cs="Arial"/>
          <w:sz w:val="24"/>
          <w:szCs w:val="24"/>
        </w:rPr>
        <w:t>)</w:t>
      </w:r>
    </w:p>
    <w:p w14:paraId="4A140277" w14:textId="77777777" w:rsidR="0018376C" w:rsidRPr="001020F7" w:rsidRDefault="0018376C" w:rsidP="00AE7D13">
      <w:pPr>
        <w:spacing w:after="0" w:line="360" w:lineRule="auto"/>
        <w:jc w:val="both"/>
        <w:rPr>
          <w:rFonts w:ascii="Arial" w:hAnsi="Arial" w:cs="Arial"/>
          <w:b/>
          <w:sz w:val="24"/>
          <w:szCs w:val="24"/>
        </w:rPr>
      </w:pPr>
    </w:p>
    <w:p w14:paraId="796612A1" w14:textId="6CCD543F" w:rsidR="003A1350" w:rsidRPr="000D59DB" w:rsidRDefault="00356A80" w:rsidP="000D59DB">
      <w:pPr>
        <w:spacing w:after="0" w:line="360" w:lineRule="auto"/>
        <w:ind w:left="1440" w:hanging="1440"/>
        <w:jc w:val="both"/>
        <w:rPr>
          <w:rFonts w:ascii="Arial" w:eastAsia="Arial" w:hAnsi="Arial" w:cs="Arial"/>
          <w:sz w:val="24"/>
          <w:szCs w:val="24"/>
        </w:rPr>
      </w:pPr>
      <w:r w:rsidRPr="001020F7">
        <w:rPr>
          <w:rFonts w:ascii="Arial" w:hAnsi="Arial" w:cs="Arial"/>
          <w:b/>
          <w:sz w:val="24"/>
          <w:szCs w:val="24"/>
        </w:rPr>
        <w:t>Coram:</w:t>
      </w:r>
      <w:r w:rsidR="003A1350" w:rsidRPr="001020F7">
        <w:rPr>
          <w:rFonts w:ascii="Arial" w:hAnsi="Arial" w:cs="Arial"/>
          <w:b/>
          <w:sz w:val="24"/>
          <w:szCs w:val="24"/>
        </w:rPr>
        <w:t xml:space="preserve"> </w:t>
      </w:r>
      <w:r w:rsidR="0018376C">
        <w:rPr>
          <w:rFonts w:ascii="Arial" w:hAnsi="Arial" w:cs="Arial"/>
          <w:b/>
          <w:sz w:val="24"/>
          <w:szCs w:val="24"/>
        </w:rPr>
        <w:tab/>
      </w:r>
      <w:r w:rsidR="009C40B8" w:rsidRPr="00F632E0">
        <w:rPr>
          <w:rFonts w:ascii="Arial" w:eastAsia="Arial" w:hAnsi="Arial" w:cs="Arial"/>
          <w:sz w:val="24"/>
          <w:szCs w:val="24"/>
        </w:rPr>
        <w:t>MOCUMIE, CARELS</w:t>
      </w:r>
      <w:r w:rsidR="000D59DB">
        <w:rPr>
          <w:rFonts w:ascii="Arial" w:eastAsia="Arial" w:hAnsi="Arial" w:cs="Arial"/>
          <w:sz w:val="24"/>
          <w:szCs w:val="24"/>
        </w:rPr>
        <w:t xml:space="preserve">E and MOTHLE JJA and MJALI and </w:t>
      </w:r>
      <w:r w:rsidR="009C40B8" w:rsidRPr="00F632E0">
        <w:rPr>
          <w:rFonts w:ascii="Arial" w:eastAsia="Arial" w:hAnsi="Arial" w:cs="Arial"/>
          <w:sz w:val="24"/>
          <w:szCs w:val="24"/>
        </w:rPr>
        <w:t>SALIE AJJA</w:t>
      </w:r>
    </w:p>
    <w:p w14:paraId="3948BE9A" w14:textId="77777777" w:rsidR="0018376C" w:rsidRPr="001020F7" w:rsidRDefault="0018376C" w:rsidP="003426D9">
      <w:pPr>
        <w:spacing w:after="0" w:line="360" w:lineRule="auto"/>
        <w:jc w:val="both"/>
        <w:rPr>
          <w:rFonts w:ascii="Arial" w:hAnsi="Arial" w:cs="Arial"/>
          <w:b/>
          <w:sz w:val="24"/>
          <w:szCs w:val="24"/>
        </w:rPr>
      </w:pPr>
    </w:p>
    <w:p w14:paraId="5BE5975C" w14:textId="7357BC82" w:rsidR="003A1350" w:rsidRDefault="003A1350" w:rsidP="003426D9">
      <w:pPr>
        <w:spacing w:after="0" w:line="360" w:lineRule="auto"/>
        <w:jc w:val="both"/>
        <w:rPr>
          <w:rFonts w:ascii="Arial" w:hAnsi="Arial" w:cs="Arial"/>
          <w:bCs/>
          <w:sz w:val="24"/>
          <w:szCs w:val="24"/>
        </w:rPr>
      </w:pPr>
      <w:r w:rsidRPr="001020F7">
        <w:rPr>
          <w:rFonts w:ascii="Arial" w:hAnsi="Arial" w:cs="Arial"/>
          <w:b/>
          <w:sz w:val="24"/>
          <w:szCs w:val="24"/>
        </w:rPr>
        <w:t xml:space="preserve">Heard: </w:t>
      </w:r>
      <w:r w:rsidR="009C40B8">
        <w:rPr>
          <w:rFonts w:ascii="Arial" w:hAnsi="Arial" w:cs="Arial"/>
          <w:b/>
          <w:sz w:val="24"/>
          <w:szCs w:val="24"/>
        </w:rPr>
        <w:tab/>
      </w:r>
      <w:r w:rsidR="009C40B8">
        <w:rPr>
          <w:rFonts w:ascii="Arial" w:hAnsi="Arial" w:cs="Arial"/>
          <w:bCs/>
          <w:sz w:val="24"/>
          <w:szCs w:val="24"/>
        </w:rPr>
        <w:t>14</w:t>
      </w:r>
      <w:r w:rsidRPr="001020F7">
        <w:rPr>
          <w:rFonts w:ascii="Arial" w:hAnsi="Arial" w:cs="Arial"/>
          <w:bCs/>
          <w:sz w:val="24"/>
          <w:szCs w:val="24"/>
        </w:rPr>
        <w:t xml:space="preserve"> November 2022</w:t>
      </w:r>
    </w:p>
    <w:p w14:paraId="7E505D01" w14:textId="77777777" w:rsidR="0018376C" w:rsidRPr="001020F7" w:rsidRDefault="0018376C" w:rsidP="003426D9">
      <w:pPr>
        <w:spacing w:after="0" w:line="360" w:lineRule="auto"/>
        <w:jc w:val="both"/>
        <w:rPr>
          <w:rFonts w:ascii="Arial" w:hAnsi="Arial" w:cs="Arial"/>
          <w:b/>
          <w:sz w:val="24"/>
          <w:szCs w:val="24"/>
        </w:rPr>
      </w:pPr>
    </w:p>
    <w:p w14:paraId="11EC7B6B" w14:textId="4DA6C842" w:rsidR="003A1350" w:rsidRDefault="003A1350" w:rsidP="003426D9">
      <w:pPr>
        <w:spacing w:after="0" w:line="360" w:lineRule="auto"/>
        <w:jc w:val="both"/>
        <w:rPr>
          <w:rFonts w:ascii="Arial" w:hAnsi="Arial" w:cs="Arial"/>
          <w:b/>
          <w:sz w:val="24"/>
          <w:szCs w:val="24"/>
        </w:rPr>
      </w:pPr>
      <w:r w:rsidRPr="001020F7">
        <w:rPr>
          <w:rFonts w:ascii="Arial" w:hAnsi="Arial" w:cs="Arial"/>
          <w:b/>
          <w:sz w:val="24"/>
          <w:szCs w:val="24"/>
        </w:rPr>
        <w:t xml:space="preserve">Delivered: </w:t>
      </w:r>
      <w:r w:rsidR="009C40B8">
        <w:rPr>
          <w:rFonts w:ascii="Arial" w:hAnsi="Arial" w:cs="Arial"/>
          <w:b/>
          <w:sz w:val="24"/>
          <w:szCs w:val="24"/>
        </w:rPr>
        <w:tab/>
      </w:r>
      <w:r w:rsidR="00877039">
        <w:rPr>
          <w:rFonts w:ascii="Arial" w:hAnsi="Arial" w:cs="Arial"/>
          <w:sz w:val="24"/>
          <w:szCs w:val="24"/>
        </w:rPr>
        <w:t>23</w:t>
      </w:r>
      <w:r w:rsidR="009C40B8">
        <w:rPr>
          <w:rFonts w:ascii="Arial" w:hAnsi="Arial" w:cs="Arial"/>
          <w:sz w:val="24"/>
          <w:szCs w:val="24"/>
        </w:rPr>
        <w:t xml:space="preserve"> January 2023 </w:t>
      </w:r>
    </w:p>
    <w:p w14:paraId="6BD76D14" w14:textId="77777777" w:rsidR="0018376C" w:rsidRPr="001020F7" w:rsidRDefault="0018376C" w:rsidP="003426D9">
      <w:pPr>
        <w:spacing w:after="0" w:line="360" w:lineRule="auto"/>
        <w:jc w:val="both"/>
        <w:rPr>
          <w:rFonts w:ascii="Arial" w:hAnsi="Arial" w:cs="Arial"/>
          <w:b/>
          <w:sz w:val="24"/>
          <w:szCs w:val="24"/>
        </w:rPr>
      </w:pPr>
    </w:p>
    <w:p w14:paraId="113C738F" w14:textId="245C5ECD" w:rsidR="00A62919" w:rsidRDefault="003473A0" w:rsidP="00176416">
      <w:pPr>
        <w:spacing w:after="0" w:line="360" w:lineRule="auto"/>
        <w:jc w:val="both"/>
        <w:rPr>
          <w:rFonts w:ascii="Arial" w:eastAsia="Arial" w:hAnsi="Arial" w:cs="Arial"/>
          <w:sz w:val="24"/>
          <w:szCs w:val="24"/>
        </w:rPr>
      </w:pPr>
      <w:r w:rsidRPr="001020F7">
        <w:rPr>
          <w:rFonts w:ascii="Arial" w:hAnsi="Arial" w:cs="Arial"/>
          <w:b/>
          <w:sz w:val="24"/>
          <w:szCs w:val="24"/>
        </w:rPr>
        <w:t>Summary:</w:t>
      </w:r>
      <w:r w:rsidR="005502E0" w:rsidRPr="001020F7">
        <w:rPr>
          <w:rFonts w:ascii="Arial" w:hAnsi="Arial" w:cs="Arial"/>
          <w:b/>
          <w:sz w:val="24"/>
          <w:szCs w:val="24"/>
        </w:rPr>
        <w:t xml:space="preserve"> </w:t>
      </w:r>
      <w:r w:rsidR="0018376C">
        <w:rPr>
          <w:rFonts w:ascii="Arial" w:hAnsi="Arial" w:cs="Arial"/>
          <w:b/>
          <w:sz w:val="24"/>
          <w:szCs w:val="24"/>
        </w:rPr>
        <w:tab/>
      </w:r>
      <w:r w:rsidR="009C40B8" w:rsidRPr="00F632E0">
        <w:rPr>
          <w:rFonts w:ascii="Arial" w:eastAsia="Arial" w:hAnsi="Arial" w:cs="Arial"/>
          <w:sz w:val="24"/>
          <w:szCs w:val="24"/>
        </w:rPr>
        <w:t xml:space="preserve">Criminal law and procedure – evidence of a single child witness in a </w:t>
      </w:r>
      <w:r w:rsidR="00130A18">
        <w:rPr>
          <w:rFonts w:ascii="Arial" w:eastAsia="Arial" w:hAnsi="Arial" w:cs="Arial"/>
          <w:sz w:val="24"/>
          <w:szCs w:val="24"/>
        </w:rPr>
        <w:t xml:space="preserve">rape </w:t>
      </w:r>
      <w:r w:rsidR="009C40B8" w:rsidRPr="00F632E0">
        <w:rPr>
          <w:rFonts w:ascii="Arial" w:eastAsia="Arial" w:hAnsi="Arial" w:cs="Arial"/>
          <w:sz w:val="24"/>
          <w:szCs w:val="24"/>
        </w:rPr>
        <w:t>case – the double cautionary rule – con</w:t>
      </w:r>
      <w:r w:rsidR="000D59DB">
        <w:rPr>
          <w:rFonts w:ascii="Arial" w:eastAsia="Arial" w:hAnsi="Arial" w:cs="Arial"/>
          <w:sz w:val="24"/>
          <w:szCs w:val="24"/>
        </w:rPr>
        <w:t xml:space="preserve">tradictory evidence – admission </w:t>
      </w:r>
      <w:r w:rsidR="009C40B8" w:rsidRPr="00F632E0">
        <w:rPr>
          <w:rFonts w:ascii="Arial" w:eastAsia="Arial" w:hAnsi="Arial" w:cs="Arial"/>
          <w:sz w:val="24"/>
          <w:szCs w:val="24"/>
        </w:rPr>
        <w:t xml:space="preserve">of a warning statement obtained illegally – alibi defence – motive as a defence – sentence – </w:t>
      </w:r>
      <w:r w:rsidR="000014C7">
        <w:rPr>
          <w:rFonts w:ascii="Arial" w:eastAsia="Arial" w:hAnsi="Arial" w:cs="Arial"/>
          <w:sz w:val="24"/>
          <w:szCs w:val="24"/>
        </w:rPr>
        <w:t xml:space="preserve">whether there are </w:t>
      </w:r>
      <w:r w:rsidR="009C40B8" w:rsidRPr="00F632E0">
        <w:rPr>
          <w:rFonts w:ascii="Arial" w:eastAsia="Arial" w:hAnsi="Arial" w:cs="Arial"/>
          <w:sz w:val="24"/>
          <w:szCs w:val="24"/>
        </w:rPr>
        <w:t>substantial and compelling circumstances ju</w:t>
      </w:r>
      <w:r w:rsidR="000D59DB">
        <w:rPr>
          <w:rFonts w:ascii="Arial" w:eastAsia="Arial" w:hAnsi="Arial" w:cs="Arial"/>
          <w:sz w:val="24"/>
          <w:szCs w:val="24"/>
        </w:rPr>
        <w:t xml:space="preserve">stifying a lesser sentence than </w:t>
      </w:r>
      <w:r w:rsidR="009C40B8" w:rsidRPr="00F632E0">
        <w:rPr>
          <w:rFonts w:ascii="Arial" w:eastAsia="Arial" w:hAnsi="Arial" w:cs="Arial"/>
          <w:sz w:val="24"/>
          <w:szCs w:val="24"/>
        </w:rPr>
        <w:t>life imprisonment.</w:t>
      </w:r>
    </w:p>
    <w:p w14:paraId="06ADB4B8" w14:textId="77777777" w:rsidR="003556F0" w:rsidRDefault="003556F0" w:rsidP="00176416">
      <w:pPr>
        <w:spacing w:after="0" w:line="360" w:lineRule="auto"/>
        <w:jc w:val="both"/>
        <w:rPr>
          <w:rFonts w:ascii="Arial" w:hAnsi="Arial" w:cs="Arial"/>
          <w:bCs/>
          <w:sz w:val="24"/>
          <w:szCs w:val="24"/>
        </w:rPr>
      </w:pPr>
    </w:p>
    <w:p w14:paraId="05D6DEF0" w14:textId="621E3C88" w:rsidR="000D59DB" w:rsidRDefault="000D59DB" w:rsidP="00A62919">
      <w:pPr>
        <w:spacing w:after="0" w:line="240" w:lineRule="auto"/>
        <w:jc w:val="both"/>
        <w:rPr>
          <w:rFonts w:ascii="Arial" w:hAnsi="Arial" w:cs="Arial"/>
          <w:b/>
          <w:sz w:val="24"/>
          <w:szCs w:val="24"/>
        </w:rPr>
      </w:pPr>
    </w:p>
    <w:p w14:paraId="3D052B83" w14:textId="77777777" w:rsidR="000D59DB" w:rsidRDefault="000D59DB" w:rsidP="00A62919">
      <w:pPr>
        <w:spacing w:after="0" w:line="240" w:lineRule="auto"/>
        <w:jc w:val="both"/>
        <w:rPr>
          <w:rFonts w:ascii="Arial" w:hAnsi="Arial" w:cs="Arial"/>
          <w:b/>
          <w:sz w:val="16"/>
          <w:szCs w:val="16"/>
        </w:rPr>
      </w:pPr>
    </w:p>
    <w:p w14:paraId="649FC400" w14:textId="77777777" w:rsidR="000D59DB" w:rsidRDefault="000D59DB" w:rsidP="00A62919">
      <w:pPr>
        <w:spacing w:after="0" w:line="240" w:lineRule="auto"/>
        <w:jc w:val="both"/>
        <w:rPr>
          <w:rFonts w:ascii="Arial" w:hAnsi="Arial" w:cs="Arial"/>
          <w:b/>
          <w:sz w:val="24"/>
          <w:szCs w:val="24"/>
        </w:rPr>
      </w:pPr>
    </w:p>
    <w:p w14:paraId="6CA96F26" w14:textId="77777777" w:rsidR="000D59DB" w:rsidRDefault="000D59DB" w:rsidP="00A62919">
      <w:pPr>
        <w:spacing w:after="0" w:line="240" w:lineRule="auto"/>
        <w:jc w:val="both"/>
        <w:rPr>
          <w:rFonts w:ascii="Arial" w:hAnsi="Arial" w:cs="Arial"/>
          <w:b/>
          <w:sz w:val="24"/>
          <w:szCs w:val="24"/>
        </w:rPr>
      </w:pPr>
    </w:p>
    <w:p w14:paraId="0D445D10" w14:textId="77777777" w:rsidR="000D59DB" w:rsidRDefault="000D59DB" w:rsidP="00A62919">
      <w:pPr>
        <w:spacing w:after="0" w:line="240" w:lineRule="auto"/>
        <w:jc w:val="both"/>
        <w:rPr>
          <w:rFonts w:ascii="Arial" w:hAnsi="Arial" w:cs="Arial"/>
          <w:b/>
          <w:sz w:val="24"/>
          <w:szCs w:val="24"/>
        </w:rPr>
      </w:pPr>
    </w:p>
    <w:p w14:paraId="46A83629" w14:textId="785919EC" w:rsidR="00BD35F6" w:rsidRPr="00BD35F6" w:rsidRDefault="00BD35F6" w:rsidP="00A62919">
      <w:pPr>
        <w:spacing w:after="0" w:line="240" w:lineRule="auto"/>
        <w:jc w:val="both"/>
        <w:rPr>
          <w:rFonts w:ascii="Arial" w:hAnsi="Arial" w:cs="Arial"/>
          <w:b/>
          <w:sz w:val="24"/>
          <w:szCs w:val="24"/>
        </w:rPr>
      </w:pPr>
      <w:r w:rsidRPr="00BD35F6">
        <w:rPr>
          <w:rFonts w:ascii="Arial" w:hAnsi="Arial" w:cs="Arial"/>
          <w:b/>
          <w:sz w:val="24"/>
          <w:szCs w:val="24"/>
        </w:rPr>
        <w:lastRenderedPageBreak/>
        <w:t>_______________________________________________________________</w:t>
      </w:r>
      <w:r>
        <w:rPr>
          <w:rFonts w:ascii="Arial" w:hAnsi="Arial" w:cs="Arial"/>
          <w:b/>
          <w:sz w:val="24"/>
          <w:szCs w:val="24"/>
        </w:rPr>
        <w:t>____</w:t>
      </w:r>
    </w:p>
    <w:p w14:paraId="3E32AE91" w14:textId="77777777" w:rsidR="00BD35F6" w:rsidRPr="00BD35F6" w:rsidRDefault="00BD35F6" w:rsidP="00515C34">
      <w:pPr>
        <w:spacing w:after="0" w:line="276" w:lineRule="auto"/>
        <w:jc w:val="both"/>
        <w:rPr>
          <w:rFonts w:ascii="Arial" w:hAnsi="Arial" w:cs="Arial"/>
          <w:b/>
          <w:sz w:val="24"/>
          <w:szCs w:val="24"/>
        </w:rPr>
      </w:pPr>
    </w:p>
    <w:p w14:paraId="395FCB31" w14:textId="77777777" w:rsidR="00BD35F6" w:rsidRPr="00BD35F6" w:rsidRDefault="00BD35F6" w:rsidP="00BD35F6">
      <w:pPr>
        <w:spacing w:after="0" w:line="276" w:lineRule="auto"/>
        <w:jc w:val="center"/>
        <w:rPr>
          <w:rFonts w:ascii="Arial" w:hAnsi="Arial" w:cs="Arial"/>
          <w:b/>
          <w:sz w:val="24"/>
          <w:szCs w:val="24"/>
        </w:rPr>
      </w:pPr>
      <w:r w:rsidRPr="00BD35F6">
        <w:rPr>
          <w:rFonts w:ascii="Arial" w:hAnsi="Arial" w:cs="Arial"/>
          <w:b/>
          <w:sz w:val="24"/>
          <w:szCs w:val="24"/>
        </w:rPr>
        <w:t>ORDER</w:t>
      </w:r>
    </w:p>
    <w:p w14:paraId="2B02DA76" w14:textId="3FAE35D8" w:rsidR="00BD35F6" w:rsidRPr="00BD35F6" w:rsidRDefault="00BD35F6" w:rsidP="00BD35F6">
      <w:pPr>
        <w:spacing w:line="276" w:lineRule="auto"/>
        <w:jc w:val="both"/>
        <w:rPr>
          <w:rFonts w:ascii="Arial" w:hAnsi="Arial" w:cs="Arial"/>
          <w:b/>
          <w:sz w:val="24"/>
          <w:szCs w:val="24"/>
        </w:rPr>
      </w:pPr>
      <w:r w:rsidRPr="00BD35F6">
        <w:rPr>
          <w:rFonts w:ascii="Arial" w:hAnsi="Arial" w:cs="Arial"/>
          <w:b/>
          <w:sz w:val="24"/>
          <w:szCs w:val="24"/>
        </w:rPr>
        <w:t>__________________________________________________________________</w:t>
      </w:r>
      <w:r>
        <w:rPr>
          <w:rFonts w:ascii="Arial" w:hAnsi="Arial" w:cs="Arial"/>
          <w:b/>
          <w:sz w:val="24"/>
          <w:szCs w:val="24"/>
        </w:rPr>
        <w:t>_</w:t>
      </w:r>
    </w:p>
    <w:p w14:paraId="41A80721" w14:textId="7A4CE6C7" w:rsidR="00C16738" w:rsidRPr="00C16738" w:rsidRDefault="00BD35F6" w:rsidP="00C16738">
      <w:pPr>
        <w:spacing w:before="240" w:line="360" w:lineRule="auto"/>
        <w:jc w:val="both"/>
        <w:rPr>
          <w:rFonts w:ascii="Arial" w:hAnsi="Arial" w:cs="Arial"/>
          <w:sz w:val="24"/>
          <w:szCs w:val="24"/>
        </w:rPr>
      </w:pPr>
      <w:r w:rsidRPr="00BD35F6">
        <w:rPr>
          <w:rFonts w:ascii="Arial" w:hAnsi="Arial" w:cs="Arial"/>
          <w:b/>
          <w:bCs/>
          <w:sz w:val="24"/>
          <w:szCs w:val="24"/>
        </w:rPr>
        <w:t>On appeal from:</w:t>
      </w:r>
      <w:r w:rsidRPr="00BD35F6">
        <w:rPr>
          <w:rFonts w:ascii="Arial" w:hAnsi="Arial" w:cs="Arial"/>
          <w:sz w:val="24"/>
          <w:szCs w:val="24"/>
        </w:rPr>
        <w:t xml:space="preserve"> </w:t>
      </w:r>
      <w:r w:rsidR="00C16738" w:rsidRPr="00C16738">
        <w:rPr>
          <w:rFonts w:ascii="Arial" w:hAnsi="Arial" w:cs="Arial"/>
          <w:sz w:val="24"/>
          <w:szCs w:val="24"/>
        </w:rPr>
        <w:t xml:space="preserve">Limpopo Division of the High Court, Polokwane (Phatudi J and Ndlokovane AJ, sitting as court of appeal): </w:t>
      </w:r>
    </w:p>
    <w:p w14:paraId="66265A0C" w14:textId="77777777" w:rsidR="00C16738" w:rsidRPr="00C16738" w:rsidRDefault="00C16738" w:rsidP="00C16738">
      <w:pPr>
        <w:spacing w:before="240" w:line="360" w:lineRule="auto"/>
        <w:jc w:val="both"/>
        <w:rPr>
          <w:rFonts w:ascii="Arial" w:hAnsi="Arial" w:cs="Arial"/>
          <w:sz w:val="24"/>
          <w:szCs w:val="24"/>
        </w:rPr>
      </w:pPr>
      <w:r w:rsidRPr="00C16738">
        <w:rPr>
          <w:rFonts w:ascii="Arial" w:hAnsi="Arial" w:cs="Arial"/>
          <w:sz w:val="24"/>
          <w:szCs w:val="24"/>
        </w:rPr>
        <w:t>The appeal against the conviction and sentence is dismissed.</w:t>
      </w:r>
    </w:p>
    <w:p w14:paraId="302B52C9" w14:textId="3A421E2C" w:rsidR="00BD35F6" w:rsidRPr="00BD35F6" w:rsidRDefault="00BD35F6" w:rsidP="00C16738">
      <w:pPr>
        <w:spacing w:line="360" w:lineRule="auto"/>
        <w:jc w:val="both"/>
        <w:rPr>
          <w:rFonts w:ascii="Arial" w:hAnsi="Arial" w:cs="Arial"/>
          <w:b/>
          <w:sz w:val="24"/>
          <w:szCs w:val="24"/>
        </w:rPr>
      </w:pPr>
      <w:r w:rsidRPr="00BD35F6">
        <w:rPr>
          <w:rFonts w:ascii="Arial" w:hAnsi="Arial" w:cs="Arial"/>
          <w:b/>
          <w:sz w:val="24"/>
          <w:szCs w:val="24"/>
        </w:rPr>
        <w:t>___________________________________________________________________</w:t>
      </w:r>
    </w:p>
    <w:p w14:paraId="5507D086" w14:textId="5990012C" w:rsidR="00BD35F6" w:rsidRPr="00BD35F6" w:rsidRDefault="00BD35F6" w:rsidP="000D59DB">
      <w:pPr>
        <w:pStyle w:val="ListBullet"/>
        <w:numPr>
          <w:ilvl w:val="0"/>
          <w:numId w:val="0"/>
        </w:numPr>
        <w:spacing w:after="0" w:line="276" w:lineRule="auto"/>
        <w:jc w:val="center"/>
        <w:rPr>
          <w:rFonts w:ascii="Arial" w:hAnsi="Arial" w:cs="Arial"/>
          <w:b/>
          <w:sz w:val="24"/>
          <w:szCs w:val="24"/>
        </w:rPr>
      </w:pPr>
      <w:r w:rsidRPr="00BD35F6">
        <w:rPr>
          <w:rFonts w:ascii="Arial" w:hAnsi="Arial" w:cs="Arial"/>
          <w:b/>
          <w:sz w:val="24"/>
          <w:szCs w:val="24"/>
        </w:rPr>
        <w:t>JUDGMENT</w:t>
      </w:r>
    </w:p>
    <w:p w14:paraId="27D79A8B" w14:textId="77777777" w:rsidR="00BD35F6" w:rsidRPr="00BD35F6" w:rsidRDefault="00BD35F6" w:rsidP="00515C34">
      <w:pPr>
        <w:pStyle w:val="ListBullet"/>
        <w:numPr>
          <w:ilvl w:val="0"/>
          <w:numId w:val="0"/>
        </w:numPr>
        <w:spacing w:after="0" w:line="360" w:lineRule="auto"/>
        <w:jc w:val="both"/>
        <w:rPr>
          <w:rFonts w:ascii="Arial" w:hAnsi="Arial" w:cs="Arial"/>
          <w:b/>
          <w:sz w:val="24"/>
          <w:szCs w:val="24"/>
        </w:rPr>
      </w:pPr>
      <w:r w:rsidRPr="00BD35F6">
        <w:rPr>
          <w:rFonts w:ascii="Arial" w:hAnsi="Arial" w:cs="Arial"/>
          <w:b/>
          <w:sz w:val="24"/>
          <w:szCs w:val="24"/>
        </w:rPr>
        <w:t>___________________________________________________________________</w:t>
      </w:r>
    </w:p>
    <w:p w14:paraId="54F7E565" w14:textId="792B5C2E" w:rsidR="009C40B8" w:rsidRPr="000D59DB" w:rsidRDefault="009C40B8" w:rsidP="000D59DB">
      <w:pPr>
        <w:spacing w:before="240" w:line="360" w:lineRule="auto"/>
        <w:jc w:val="both"/>
        <w:rPr>
          <w:rFonts w:ascii="Arial" w:hAnsi="Arial" w:cs="Arial"/>
          <w:b/>
          <w:sz w:val="24"/>
          <w:szCs w:val="24"/>
        </w:rPr>
      </w:pPr>
      <w:r w:rsidRPr="006B63FC">
        <w:rPr>
          <w:rFonts w:ascii="Arial" w:hAnsi="Arial" w:cs="Arial"/>
          <w:b/>
          <w:sz w:val="24"/>
          <w:szCs w:val="24"/>
        </w:rPr>
        <w:t>Mocumie JA (Carelse and Mothle JJA and Mjali and Salie AJJA concurring):</w:t>
      </w:r>
    </w:p>
    <w:p w14:paraId="7DAD82D2" w14:textId="3926CC08" w:rsidR="00B85FB0"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Rape remains under-reported nationally</w:t>
      </w:r>
      <w:r w:rsidR="0015279D">
        <w:rPr>
          <w:rFonts w:ascii="Arial" w:hAnsi="Arial" w:cs="Arial"/>
          <w:sz w:val="24"/>
          <w:szCs w:val="24"/>
        </w:rPr>
        <w:t>,</w:t>
      </w:r>
      <w:r w:rsidRPr="006B63FC">
        <w:rPr>
          <w:rFonts w:ascii="Arial" w:hAnsi="Arial" w:cs="Arial"/>
          <w:sz w:val="24"/>
          <w:szCs w:val="24"/>
        </w:rPr>
        <w:t xml:space="preserve"> but there may be no rapes more hidden than those committed </w:t>
      </w:r>
      <w:r w:rsidRPr="0015279D">
        <w:rPr>
          <w:rFonts w:ascii="Arial" w:hAnsi="Arial" w:cs="Arial"/>
          <w:sz w:val="24"/>
          <w:szCs w:val="24"/>
        </w:rPr>
        <w:t>within families.</w:t>
      </w:r>
      <w:r w:rsidRPr="0015279D">
        <w:rPr>
          <w:rFonts w:ascii="Arial" w:hAnsi="Arial" w:cs="Arial"/>
          <w:sz w:val="24"/>
          <w:szCs w:val="24"/>
          <w:vertAlign w:val="superscript"/>
        </w:rPr>
        <w:footnoteReference w:id="1"/>
      </w:r>
      <w:r w:rsidRPr="0015279D">
        <w:rPr>
          <w:rFonts w:ascii="Arial" w:hAnsi="Arial" w:cs="Arial"/>
          <w:sz w:val="24"/>
          <w:szCs w:val="24"/>
        </w:rPr>
        <w:t xml:space="preserve"> Sexual violence victims </w:t>
      </w:r>
      <w:r w:rsidR="00B85FB0">
        <w:rPr>
          <w:rFonts w:ascii="Arial" w:hAnsi="Arial" w:cs="Arial"/>
          <w:sz w:val="24"/>
          <w:szCs w:val="24"/>
        </w:rPr>
        <w:t>‘</w:t>
      </w:r>
      <w:r w:rsidRPr="0015279D">
        <w:rPr>
          <w:rFonts w:ascii="Arial" w:hAnsi="Arial" w:cs="Arial"/>
          <w:sz w:val="24"/>
          <w:szCs w:val="24"/>
        </w:rPr>
        <w:t>often experience a profound sense of shame, stigma and violation’</w:t>
      </w:r>
      <w:r w:rsidR="00B85FB0">
        <w:rPr>
          <w:rFonts w:ascii="Arial" w:hAnsi="Arial" w:cs="Arial"/>
          <w:sz w:val="24"/>
          <w:szCs w:val="24"/>
        </w:rPr>
        <w:t>.</w:t>
      </w:r>
      <w:r w:rsidRPr="0015279D">
        <w:rPr>
          <w:rFonts w:ascii="Arial" w:hAnsi="Arial" w:cs="Arial"/>
          <w:sz w:val="24"/>
          <w:szCs w:val="24"/>
          <w:vertAlign w:val="superscript"/>
        </w:rPr>
        <w:footnoteReference w:id="2"/>
      </w:r>
      <w:r w:rsidRPr="0015279D">
        <w:rPr>
          <w:rFonts w:ascii="Arial" w:hAnsi="Arial" w:cs="Arial"/>
          <w:sz w:val="24"/>
          <w:szCs w:val="24"/>
        </w:rPr>
        <w:t xml:space="preserve"> These</w:t>
      </w:r>
      <w:r w:rsidRPr="006B63FC">
        <w:rPr>
          <w:rFonts w:ascii="Arial" w:hAnsi="Arial" w:cs="Arial"/>
          <w:sz w:val="24"/>
          <w:szCs w:val="24"/>
        </w:rPr>
        <w:t xml:space="preserve"> factors are compounded by attempts from family members of the victim or the perpetrator to influence the victims not to file charges or</w:t>
      </w:r>
      <w:r w:rsidR="00B85FB0">
        <w:rPr>
          <w:rFonts w:ascii="Arial" w:hAnsi="Arial" w:cs="Arial"/>
          <w:sz w:val="24"/>
          <w:szCs w:val="24"/>
        </w:rPr>
        <w:t>,</w:t>
      </w:r>
      <w:r w:rsidRPr="006B63FC">
        <w:rPr>
          <w:rFonts w:ascii="Arial" w:hAnsi="Arial" w:cs="Arial"/>
          <w:sz w:val="24"/>
          <w:szCs w:val="24"/>
        </w:rPr>
        <w:t xml:space="preserve"> if charges have been filed</w:t>
      </w:r>
      <w:r w:rsidR="00B85FB0">
        <w:rPr>
          <w:rFonts w:ascii="Arial" w:hAnsi="Arial" w:cs="Arial"/>
          <w:sz w:val="24"/>
          <w:szCs w:val="24"/>
        </w:rPr>
        <w:t>,</w:t>
      </w:r>
      <w:r w:rsidRPr="006B63FC">
        <w:rPr>
          <w:rFonts w:ascii="Arial" w:hAnsi="Arial" w:cs="Arial"/>
          <w:sz w:val="24"/>
          <w:szCs w:val="24"/>
        </w:rPr>
        <w:t xml:space="preserve"> to withdraw the case so that the families can resolve the problem amicably. Often the perpetrator offers to pay the medical costs for the victim’s medical treatment</w:t>
      </w:r>
      <w:r w:rsidR="00B85FB0">
        <w:rPr>
          <w:rFonts w:ascii="Arial" w:hAnsi="Arial" w:cs="Arial"/>
          <w:sz w:val="24"/>
          <w:szCs w:val="24"/>
        </w:rPr>
        <w:t>,</w:t>
      </w:r>
      <w:r w:rsidRPr="006B63FC">
        <w:rPr>
          <w:rFonts w:ascii="Arial" w:hAnsi="Arial" w:cs="Arial"/>
          <w:sz w:val="24"/>
          <w:szCs w:val="24"/>
        </w:rPr>
        <w:t xml:space="preserve"> including psychological treatment</w:t>
      </w:r>
      <w:r w:rsidR="00B85FB0">
        <w:rPr>
          <w:rFonts w:ascii="Arial" w:hAnsi="Arial" w:cs="Arial"/>
          <w:sz w:val="24"/>
          <w:szCs w:val="24"/>
        </w:rPr>
        <w:t>,</w:t>
      </w:r>
      <w:r w:rsidRPr="006B63FC">
        <w:rPr>
          <w:rFonts w:ascii="Arial" w:hAnsi="Arial" w:cs="Arial"/>
          <w:sz w:val="24"/>
          <w:szCs w:val="24"/>
        </w:rPr>
        <w:t xml:space="preserve"> and even maintenance of the family in cases of indigent families.</w:t>
      </w:r>
    </w:p>
    <w:p w14:paraId="4AFD60AF" w14:textId="46888044" w:rsidR="00B85FB0" w:rsidRDefault="009C40B8" w:rsidP="00B85FB0">
      <w:pPr>
        <w:pStyle w:val="ListParagraph"/>
        <w:spacing w:after="0" w:line="360" w:lineRule="auto"/>
        <w:ind w:left="0"/>
        <w:jc w:val="both"/>
        <w:rPr>
          <w:rFonts w:ascii="Arial" w:hAnsi="Arial" w:cs="Arial"/>
          <w:sz w:val="24"/>
          <w:szCs w:val="24"/>
        </w:rPr>
      </w:pPr>
      <w:r w:rsidRPr="006B63FC">
        <w:rPr>
          <w:rFonts w:ascii="Arial" w:hAnsi="Arial" w:cs="Arial"/>
          <w:sz w:val="24"/>
          <w:szCs w:val="24"/>
        </w:rPr>
        <w:t xml:space="preserve"> </w:t>
      </w:r>
    </w:p>
    <w:p w14:paraId="45DCDACE" w14:textId="7D7AF826"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This appeal concerns the rape of a 9-year-old</w:t>
      </w:r>
      <w:r w:rsidR="00B85FB0">
        <w:rPr>
          <w:rFonts w:ascii="Arial" w:hAnsi="Arial" w:cs="Arial"/>
          <w:sz w:val="24"/>
          <w:szCs w:val="24"/>
        </w:rPr>
        <w:t xml:space="preserve"> </w:t>
      </w:r>
      <w:r w:rsidRPr="006B63FC">
        <w:rPr>
          <w:rFonts w:ascii="Arial" w:hAnsi="Arial" w:cs="Arial"/>
          <w:sz w:val="24"/>
          <w:szCs w:val="24"/>
        </w:rPr>
        <w:t>girl</w:t>
      </w:r>
      <w:r w:rsidR="00B85FB0">
        <w:rPr>
          <w:rFonts w:ascii="Arial" w:hAnsi="Arial" w:cs="Arial"/>
          <w:sz w:val="24"/>
          <w:szCs w:val="24"/>
        </w:rPr>
        <w:t>,</w:t>
      </w:r>
      <w:r w:rsidRPr="006B63FC">
        <w:rPr>
          <w:rFonts w:ascii="Arial" w:hAnsi="Arial" w:cs="Arial"/>
          <w:sz w:val="24"/>
          <w:szCs w:val="24"/>
        </w:rPr>
        <w:t xml:space="preserve"> who was raped in 2010, in her home</w:t>
      </w:r>
      <w:r w:rsidR="00B85FB0">
        <w:rPr>
          <w:rFonts w:ascii="Arial" w:hAnsi="Arial" w:cs="Arial"/>
          <w:sz w:val="24"/>
          <w:szCs w:val="24"/>
        </w:rPr>
        <w:t>,</w:t>
      </w:r>
      <w:r w:rsidRPr="006B63FC">
        <w:rPr>
          <w:rFonts w:ascii="Arial" w:hAnsi="Arial" w:cs="Arial"/>
          <w:sz w:val="24"/>
          <w:szCs w:val="24"/>
        </w:rPr>
        <w:t xml:space="preserve"> which she shared with </w:t>
      </w:r>
      <w:r w:rsidR="00B219BF">
        <w:rPr>
          <w:rFonts w:ascii="Arial" w:hAnsi="Arial" w:cs="Arial"/>
          <w:sz w:val="24"/>
          <w:szCs w:val="24"/>
        </w:rPr>
        <w:t>her uncle (</w:t>
      </w:r>
      <w:r w:rsidRPr="006B63FC">
        <w:rPr>
          <w:rFonts w:ascii="Arial" w:hAnsi="Arial" w:cs="Arial"/>
          <w:sz w:val="24"/>
          <w:szCs w:val="24"/>
        </w:rPr>
        <w:t>the appellant</w:t>
      </w:r>
      <w:r w:rsidR="00B219BF">
        <w:rPr>
          <w:rFonts w:ascii="Arial" w:hAnsi="Arial" w:cs="Arial"/>
          <w:sz w:val="24"/>
          <w:szCs w:val="24"/>
        </w:rPr>
        <w:t>)</w:t>
      </w:r>
      <w:r w:rsidRPr="006B63FC">
        <w:rPr>
          <w:rFonts w:ascii="Arial" w:hAnsi="Arial" w:cs="Arial"/>
          <w:sz w:val="24"/>
          <w:szCs w:val="24"/>
        </w:rPr>
        <w:t>, his young son, her mother, her grandmother and her aunt. The rape occurred during the day when her mother, grandmother and aunt were not at home.</w:t>
      </w:r>
    </w:p>
    <w:p w14:paraId="4650DF48" w14:textId="77777777" w:rsidR="009C40B8" w:rsidRPr="006B63FC" w:rsidRDefault="009C40B8" w:rsidP="006B63FC">
      <w:pPr>
        <w:pStyle w:val="ListParagraph"/>
        <w:spacing w:after="0" w:line="360" w:lineRule="auto"/>
        <w:ind w:left="0"/>
        <w:jc w:val="both"/>
        <w:rPr>
          <w:rFonts w:ascii="Arial" w:hAnsi="Arial" w:cs="Arial"/>
          <w:sz w:val="24"/>
          <w:szCs w:val="24"/>
        </w:rPr>
      </w:pPr>
    </w:p>
    <w:p w14:paraId="066F4C7A" w14:textId="51903B9C"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The appellant was convicted by the </w:t>
      </w:r>
      <w:r w:rsidR="00B85FB0">
        <w:rPr>
          <w:rFonts w:ascii="Arial" w:hAnsi="Arial" w:cs="Arial"/>
          <w:sz w:val="24"/>
          <w:szCs w:val="24"/>
        </w:rPr>
        <w:t>R</w:t>
      </w:r>
      <w:r w:rsidRPr="006B63FC">
        <w:rPr>
          <w:rFonts w:ascii="Arial" w:hAnsi="Arial" w:cs="Arial"/>
          <w:sz w:val="24"/>
          <w:szCs w:val="24"/>
        </w:rPr>
        <w:t xml:space="preserve">egional </w:t>
      </w:r>
      <w:r w:rsidR="00B85FB0">
        <w:rPr>
          <w:rFonts w:ascii="Arial" w:hAnsi="Arial" w:cs="Arial"/>
          <w:sz w:val="24"/>
          <w:szCs w:val="24"/>
        </w:rPr>
        <w:t>C</w:t>
      </w:r>
      <w:r w:rsidRPr="006B63FC">
        <w:rPr>
          <w:rFonts w:ascii="Arial" w:hAnsi="Arial" w:cs="Arial"/>
          <w:sz w:val="24"/>
          <w:szCs w:val="24"/>
        </w:rPr>
        <w:t>ourt</w:t>
      </w:r>
      <w:r w:rsidR="00B85FB0">
        <w:rPr>
          <w:rFonts w:ascii="Arial" w:hAnsi="Arial" w:cs="Arial"/>
          <w:sz w:val="24"/>
          <w:szCs w:val="24"/>
        </w:rPr>
        <w:t xml:space="preserve"> in the Regional Division of Limpopo</w:t>
      </w:r>
      <w:r w:rsidRPr="006B63FC">
        <w:rPr>
          <w:rFonts w:ascii="Arial" w:hAnsi="Arial" w:cs="Arial"/>
          <w:sz w:val="24"/>
          <w:szCs w:val="24"/>
        </w:rPr>
        <w:t xml:space="preserve">, Lenyenye of the rape of his 9-year-old niece and sentenced to life imprisonment. In terms of s 309(1) of the Criminal Procedure Act 51 of 1977 (the CPA), </w:t>
      </w:r>
      <w:r w:rsidRPr="006B63FC">
        <w:rPr>
          <w:rFonts w:ascii="Arial" w:hAnsi="Arial" w:cs="Arial"/>
          <w:sz w:val="24"/>
          <w:szCs w:val="24"/>
        </w:rPr>
        <w:lastRenderedPageBreak/>
        <w:t>read with s 10 and s 43(2) of the Judicial Matters Amendment Act 42 of 2013 (</w:t>
      </w:r>
      <w:r w:rsidR="002241BE">
        <w:rPr>
          <w:rFonts w:ascii="Arial" w:hAnsi="Arial" w:cs="Arial"/>
          <w:sz w:val="24"/>
          <w:szCs w:val="24"/>
        </w:rPr>
        <w:t xml:space="preserve">JMA </w:t>
      </w:r>
      <w:r w:rsidRPr="006B63FC">
        <w:rPr>
          <w:rFonts w:ascii="Arial" w:hAnsi="Arial" w:cs="Arial"/>
          <w:sz w:val="24"/>
          <w:szCs w:val="24"/>
        </w:rPr>
        <w:t>Act of 2013)</w:t>
      </w:r>
      <w:r w:rsidR="002241BE">
        <w:rPr>
          <w:rFonts w:ascii="Arial" w:hAnsi="Arial" w:cs="Arial"/>
          <w:sz w:val="24"/>
          <w:szCs w:val="24"/>
        </w:rPr>
        <w:t xml:space="preserve">, once </w:t>
      </w:r>
      <w:r w:rsidRPr="006B63FC">
        <w:rPr>
          <w:rFonts w:ascii="Arial" w:hAnsi="Arial" w:cs="Arial"/>
          <w:sz w:val="24"/>
          <w:szCs w:val="24"/>
        </w:rPr>
        <w:t>the regional court imposed the sentence of life imprisonment, the appellant was entitled to an automatic right of appeal to the full bench of the high court. The full bench of the Limpopo Division of the High Court, Polokwane (</w:t>
      </w:r>
      <w:r w:rsidR="002241BE">
        <w:rPr>
          <w:rFonts w:ascii="Arial" w:hAnsi="Arial" w:cs="Arial"/>
          <w:sz w:val="24"/>
          <w:szCs w:val="24"/>
        </w:rPr>
        <w:t xml:space="preserve">per </w:t>
      </w:r>
      <w:r w:rsidRPr="006B63FC">
        <w:rPr>
          <w:rFonts w:ascii="Arial" w:hAnsi="Arial" w:cs="Arial"/>
          <w:sz w:val="24"/>
          <w:szCs w:val="24"/>
        </w:rPr>
        <w:t>Phatudi J and Ndlokovane AJ) dismissed the appeal on both conviction and sentence. The appeal before us (in respect of both the conviction and sentence) is against the judgment of the full bench, with special leave of this Court.</w:t>
      </w:r>
    </w:p>
    <w:p w14:paraId="495FB7AB" w14:textId="77777777" w:rsidR="009C40B8" w:rsidRPr="006B63FC" w:rsidRDefault="009C40B8" w:rsidP="006B63FC">
      <w:pPr>
        <w:pStyle w:val="ListParagraph"/>
        <w:spacing w:after="0" w:line="360" w:lineRule="auto"/>
        <w:jc w:val="both"/>
        <w:rPr>
          <w:rFonts w:ascii="Arial" w:hAnsi="Arial" w:cs="Arial"/>
          <w:sz w:val="24"/>
          <w:szCs w:val="24"/>
        </w:rPr>
      </w:pPr>
    </w:p>
    <w:p w14:paraId="7D1E8868" w14:textId="3A96F2D6"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Both the trial court and full bench found that the appellant raped the complainant. Counsel for the appellant contended that the State did not prove its case beyond reasonable doubt</w:t>
      </w:r>
      <w:r w:rsidR="00792179">
        <w:rPr>
          <w:rFonts w:ascii="Arial" w:hAnsi="Arial" w:cs="Arial"/>
          <w:sz w:val="24"/>
          <w:szCs w:val="24"/>
        </w:rPr>
        <w:t>;</w:t>
      </w:r>
      <w:r w:rsidR="002241BE">
        <w:rPr>
          <w:rFonts w:ascii="Arial" w:hAnsi="Arial" w:cs="Arial"/>
          <w:sz w:val="24"/>
          <w:szCs w:val="24"/>
        </w:rPr>
        <w:t xml:space="preserve"> t</w:t>
      </w:r>
      <w:r w:rsidRPr="006B63FC">
        <w:rPr>
          <w:rFonts w:ascii="Arial" w:hAnsi="Arial" w:cs="Arial"/>
          <w:sz w:val="24"/>
          <w:szCs w:val="24"/>
        </w:rPr>
        <w:t>hat the trial court misdirected itself materially by admitting a self-incriminating warning statement</w:t>
      </w:r>
      <w:r w:rsidR="00792179">
        <w:rPr>
          <w:rFonts w:ascii="Arial" w:hAnsi="Arial" w:cs="Arial"/>
          <w:sz w:val="24"/>
          <w:szCs w:val="24"/>
        </w:rPr>
        <w:t>,</w:t>
      </w:r>
      <w:r w:rsidRPr="006B63FC">
        <w:rPr>
          <w:rFonts w:ascii="Arial" w:hAnsi="Arial" w:cs="Arial"/>
          <w:sz w:val="24"/>
          <w:szCs w:val="24"/>
        </w:rPr>
        <w:t xml:space="preserve"> which was purportedly made by the appellant before a police officer of the rank of a warrant officer</w:t>
      </w:r>
      <w:r w:rsidR="002241BE">
        <w:rPr>
          <w:rFonts w:ascii="Arial" w:hAnsi="Arial" w:cs="Arial"/>
          <w:sz w:val="24"/>
          <w:szCs w:val="24"/>
        </w:rPr>
        <w:t>; that t</w:t>
      </w:r>
      <w:r w:rsidRPr="006B63FC">
        <w:rPr>
          <w:rFonts w:ascii="Arial" w:hAnsi="Arial" w:cs="Arial"/>
          <w:sz w:val="24"/>
          <w:szCs w:val="24"/>
        </w:rPr>
        <w:t>he appellant was allegedly assaulted by the police and the complainant’s mother to make that statement</w:t>
      </w:r>
      <w:r w:rsidR="002241BE">
        <w:rPr>
          <w:rFonts w:ascii="Arial" w:hAnsi="Arial" w:cs="Arial"/>
          <w:sz w:val="24"/>
          <w:szCs w:val="24"/>
        </w:rPr>
        <w:t>; and, f</w:t>
      </w:r>
      <w:r w:rsidRPr="006B63FC">
        <w:rPr>
          <w:rFonts w:ascii="Arial" w:hAnsi="Arial" w:cs="Arial"/>
          <w:sz w:val="24"/>
          <w:szCs w:val="24"/>
        </w:rPr>
        <w:t xml:space="preserve">urthermore, </w:t>
      </w:r>
      <w:r w:rsidR="002241BE">
        <w:rPr>
          <w:rFonts w:ascii="Arial" w:hAnsi="Arial" w:cs="Arial"/>
          <w:sz w:val="24"/>
          <w:szCs w:val="24"/>
        </w:rPr>
        <w:t xml:space="preserve">that </w:t>
      </w:r>
      <w:r w:rsidRPr="006B63FC">
        <w:rPr>
          <w:rFonts w:ascii="Arial" w:hAnsi="Arial" w:cs="Arial"/>
          <w:sz w:val="24"/>
          <w:szCs w:val="24"/>
        </w:rPr>
        <w:t>the trial court did not take into account the discrepancies in the evidence of the complainant and also disregarded the alibi defence raised by the appellant.</w:t>
      </w:r>
    </w:p>
    <w:p w14:paraId="70ED94CF" w14:textId="77777777" w:rsidR="009C40B8" w:rsidRPr="00E1760A" w:rsidRDefault="009C40B8" w:rsidP="00E1760A">
      <w:pPr>
        <w:spacing w:after="0" w:line="360" w:lineRule="auto"/>
        <w:jc w:val="both"/>
        <w:rPr>
          <w:rFonts w:ascii="Arial" w:hAnsi="Arial" w:cs="Arial"/>
          <w:sz w:val="24"/>
          <w:szCs w:val="24"/>
        </w:rPr>
      </w:pPr>
    </w:p>
    <w:p w14:paraId="6EA9A59B" w14:textId="7B1D9A93"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 issues for determination before this Court are whether the appellant was properly convicted on the evidence of a single witness</w:t>
      </w:r>
      <w:r w:rsidR="00792179">
        <w:rPr>
          <w:rFonts w:ascii="Arial" w:hAnsi="Arial" w:cs="Arial"/>
          <w:sz w:val="24"/>
          <w:szCs w:val="24"/>
        </w:rPr>
        <w:t>;</w:t>
      </w:r>
      <w:r w:rsidRPr="006B63FC">
        <w:rPr>
          <w:rFonts w:ascii="Arial" w:hAnsi="Arial" w:cs="Arial"/>
          <w:sz w:val="24"/>
          <w:szCs w:val="24"/>
        </w:rPr>
        <w:t xml:space="preserve"> and whether the trial court correctly admitted the warning statement</w:t>
      </w:r>
      <w:r w:rsidR="00792179">
        <w:rPr>
          <w:rFonts w:ascii="Arial" w:hAnsi="Arial" w:cs="Arial"/>
          <w:sz w:val="24"/>
          <w:szCs w:val="24"/>
        </w:rPr>
        <w:t xml:space="preserve"> –</w:t>
      </w:r>
      <w:r w:rsidRPr="006B63FC">
        <w:rPr>
          <w:rFonts w:ascii="Arial" w:hAnsi="Arial" w:cs="Arial"/>
          <w:sz w:val="24"/>
          <w:szCs w:val="24"/>
        </w:rPr>
        <w:t xml:space="preserve"> which was illegally obtained</w:t>
      </w:r>
      <w:r w:rsidR="00792179">
        <w:rPr>
          <w:rFonts w:ascii="Arial" w:hAnsi="Arial" w:cs="Arial"/>
          <w:sz w:val="24"/>
          <w:szCs w:val="24"/>
        </w:rPr>
        <w:t xml:space="preserve"> – and</w:t>
      </w:r>
      <w:r w:rsidRPr="006B63FC">
        <w:rPr>
          <w:rFonts w:ascii="Arial" w:hAnsi="Arial" w:cs="Arial"/>
          <w:sz w:val="24"/>
          <w:szCs w:val="24"/>
        </w:rPr>
        <w:t xml:space="preserve"> in which he incriminated himself.</w:t>
      </w:r>
    </w:p>
    <w:p w14:paraId="13D847C4" w14:textId="16890B50" w:rsidR="009C40B8" w:rsidRDefault="009C40B8" w:rsidP="000B3510">
      <w:pPr>
        <w:spacing w:after="0" w:line="360" w:lineRule="auto"/>
        <w:jc w:val="both"/>
        <w:rPr>
          <w:rFonts w:ascii="Arial" w:hAnsi="Arial" w:cs="Arial"/>
          <w:sz w:val="24"/>
          <w:szCs w:val="24"/>
        </w:rPr>
      </w:pPr>
    </w:p>
    <w:p w14:paraId="2283B443" w14:textId="221710A1" w:rsidR="00E6064D" w:rsidRPr="000B3510" w:rsidRDefault="00E6064D" w:rsidP="000B3510">
      <w:pPr>
        <w:spacing w:after="0" w:line="360" w:lineRule="auto"/>
        <w:jc w:val="both"/>
        <w:rPr>
          <w:rFonts w:ascii="Arial" w:hAnsi="Arial" w:cs="Arial"/>
          <w:b/>
          <w:sz w:val="24"/>
          <w:szCs w:val="24"/>
        </w:rPr>
      </w:pPr>
      <w:r w:rsidRPr="000B3510">
        <w:rPr>
          <w:rFonts w:ascii="Arial" w:hAnsi="Arial" w:cs="Arial"/>
          <w:b/>
          <w:sz w:val="24"/>
          <w:szCs w:val="24"/>
        </w:rPr>
        <w:t xml:space="preserve">Background </w:t>
      </w:r>
      <w:r w:rsidR="00E17738">
        <w:rPr>
          <w:rFonts w:ascii="Arial" w:hAnsi="Arial" w:cs="Arial"/>
          <w:b/>
          <w:sz w:val="24"/>
          <w:szCs w:val="24"/>
        </w:rPr>
        <w:t>F</w:t>
      </w:r>
      <w:r w:rsidRPr="000B3510">
        <w:rPr>
          <w:rFonts w:ascii="Arial" w:hAnsi="Arial" w:cs="Arial"/>
          <w:b/>
          <w:sz w:val="24"/>
          <w:szCs w:val="24"/>
        </w:rPr>
        <w:t>acts</w:t>
      </w:r>
    </w:p>
    <w:p w14:paraId="13E93DED" w14:textId="4151E919"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The facts of this case are briefly as follows. On 6 December 2010, the complainant was home with her cousin, Shaun, the appellant’s young son (a year older than her). Both her mother and grandmother were not at home. Her mother had gone to another village to deliver documents. Her grandmother was working in the field. The appellant arrived home from another village. Upon his arrival, the appellant sent Shaun to fetch a newspaper for him from </w:t>
      </w:r>
      <w:r w:rsidR="000B3510" w:rsidRPr="006B63FC">
        <w:rPr>
          <w:rFonts w:ascii="Arial" w:hAnsi="Arial" w:cs="Arial"/>
          <w:sz w:val="24"/>
          <w:szCs w:val="24"/>
        </w:rPr>
        <w:t>Mmakwena</w:t>
      </w:r>
      <w:r w:rsidR="00B219BF">
        <w:rPr>
          <w:rFonts w:ascii="Arial" w:hAnsi="Arial" w:cs="Arial"/>
          <w:sz w:val="24"/>
          <w:szCs w:val="24"/>
        </w:rPr>
        <w:t>, Limpopo</w:t>
      </w:r>
      <w:r w:rsidRPr="006B63FC">
        <w:rPr>
          <w:rFonts w:ascii="Arial" w:hAnsi="Arial" w:cs="Arial"/>
          <w:sz w:val="24"/>
          <w:szCs w:val="24"/>
        </w:rPr>
        <w:t>. In Shaun’s absence, the appellant raped the complainant twice. There were secretions or discharge from her vagina. Her vagina was ‘torn’</w:t>
      </w:r>
      <w:r w:rsidR="00B219BF">
        <w:rPr>
          <w:rFonts w:ascii="Arial" w:hAnsi="Arial" w:cs="Arial"/>
          <w:sz w:val="24"/>
          <w:szCs w:val="24"/>
        </w:rPr>
        <w:t>,</w:t>
      </w:r>
      <w:r w:rsidRPr="006B63FC">
        <w:rPr>
          <w:rFonts w:ascii="Arial" w:hAnsi="Arial" w:cs="Arial"/>
          <w:sz w:val="24"/>
          <w:szCs w:val="24"/>
        </w:rPr>
        <w:t xml:space="preserve"> as she put it. She was treated by a medical doctor some four</w:t>
      </w:r>
      <w:r w:rsidR="00B219BF">
        <w:rPr>
          <w:rFonts w:ascii="Arial" w:hAnsi="Arial" w:cs="Arial"/>
          <w:sz w:val="24"/>
          <w:szCs w:val="24"/>
        </w:rPr>
        <w:t>-</w:t>
      </w:r>
      <w:r w:rsidRPr="006B63FC">
        <w:rPr>
          <w:rFonts w:ascii="Arial" w:hAnsi="Arial" w:cs="Arial"/>
          <w:sz w:val="24"/>
          <w:szCs w:val="24"/>
        </w:rPr>
        <w:t>to</w:t>
      </w:r>
      <w:r w:rsidR="00B219BF">
        <w:rPr>
          <w:rFonts w:ascii="Arial" w:hAnsi="Arial" w:cs="Arial"/>
          <w:sz w:val="24"/>
          <w:szCs w:val="24"/>
        </w:rPr>
        <w:t>-</w:t>
      </w:r>
      <w:r w:rsidRPr="006B63FC">
        <w:rPr>
          <w:rFonts w:ascii="Arial" w:hAnsi="Arial" w:cs="Arial"/>
          <w:sz w:val="24"/>
          <w:szCs w:val="24"/>
        </w:rPr>
        <w:t>six days after the rape.</w:t>
      </w:r>
    </w:p>
    <w:p w14:paraId="5F9179DF" w14:textId="77777777" w:rsidR="009C40B8" w:rsidRPr="006B63FC" w:rsidRDefault="009C40B8" w:rsidP="006B63FC">
      <w:pPr>
        <w:pStyle w:val="ListParagraph"/>
        <w:spacing w:after="0" w:line="360" w:lineRule="auto"/>
        <w:jc w:val="both"/>
        <w:rPr>
          <w:rFonts w:ascii="Arial" w:hAnsi="Arial" w:cs="Arial"/>
          <w:sz w:val="24"/>
          <w:szCs w:val="24"/>
        </w:rPr>
      </w:pPr>
    </w:p>
    <w:p w14:paraId="43DDAD0F" w14:textId="573D23ED" w:rsidR="009C40B8" w:rsidRPr="000B3510" w:rsidRDefault="009C40B8" w:rsidP="000B3510">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lastRenderedPageBreak/>
        <w:t xml:space="preserve">The complainant gave a detailed description of the sexual assault. She stated that once Shaun had left, the appellant called her to sit next </w:t>
      </w:r>
      <w:r w:rsidR="00B219BF">
        <w:rPr>
          <w:rFonts w:ascii="Arial" w:hAnsi="Arial" w:cs="Arial"/>
          <w:sz w:val="24"/>
          <w:szCs w:val="24"/>
        </w:rPr>
        <w:t xml:space="preserve">to </w:t>
      </w:r>
      <w:r w:rsidRPr="006B63FC">
        <w:rPr>
          <w:rFonts w:ascii="Arial" w:hAnsi="Arial" w:cs="Arial"/>
          <w:sz w:val="24"/>
          <w:szCs w:val="24"/>
        </w:rPr>
        <w:t xml:space="preserve">him on a sofa in the lounge where he </w:t>
      </w:r>
      <w:r w:rsidR="00B219BF">
        <w:rPr>
          <w:rFonts w:ascii="Arial" w:hAnsi="Arial" w:cs="Arial"/>
          <w:sz w:val="24"/>
          <w:szCs w:val="24"/>
        </w:rPr>
        <w:t xml:space="preserve">had </w:t>
      </w:r>
      <w:r w:rsidRPr="006B63FC">
        <w:rPr>
          <w:rFonts w:ascii="Arial" w:hAnsi="Arial" w:cs="Arial"/>
          <w:sz w:val="24"/>
          <w:szCs w:val="24"/>
        </w:rPr>
        <w:t>found her and Shaun earlier on. Thereafter, the appellant went to his bedroom when he called her to join him. Once inside his bedroom</w:t>
      </w:r>
      <w:r w:rsidR="006A47BC">
        <w:rPr>
          <w:rFonts w:ascii="Arial" w:hAnsi="Arial" w:cs="Arial"/>
          <w:sz w:val="24"/>
          <w:szCs w:val="24"/>
        </w:rPr>
        <w:t>,</w:t>
      </w:r>
      <w:r w:rsidRPr="006B63FC">
        <w:rPr>
          <w:rFonts w:ascii="Arial" w:hAnsi="Arial" w:cs="Arial"/>
          <w:sz w:val="24"/>
          <w:szCs w:val="24"/>
        </w:rPr>
        <w:t xml:space="preserve"> the appellant instructed her to undress</w:t>
      </w:r>
      <w:r w:rsidR="00B219BF">
        <w:rPr>
          <w:rFonts w:ascii="Arial" w:hAnsi="Arial" w:cs="Arial"/>
          <w:sz w:val="24"/>
          <w:szCs w:val="24"/>
        </w:rPr>
        <w:t xml:space="preserve">. </w:t>
      </w:r>
      <w:r w:rsidR="006E02B5" w:rsidRPr="00877039">
        <w:rPr>
          <w:rFonts w:ascii="Arial" w:hAnsi="Arial" w:cs="Arial"/>
          <w:color w:val="000000" w:themeColor="text1"/>
          <w:sz w:val="24"/>
          <w:szCs w:val="24"/>
        </w:rPr>
        <w:t xml:space="preserve">Initially the complainant said </w:t>
      </w:r>
      <w:r w:rsidR="006E02B5">
        <w:rPr>
          <w:rFonts w:ascii="Arial" w:hAnsi="Arial" w:cs="Arial"/>
          <w:sz w:val="24"/>
          <w:szCs w:val="24"/>
        </w:rPr>
        <w:t>that s</w:t>
      </w:r>
      <w:r w:rsidRPr="006B63FC">
        <w:rPr>
          <w:rFonts w:ascii="Arial" w:hAnsi="Arial" w:cs="Arial"/>
          <w:sz w:val="24"/>
          <w:szCs w:val="24"/>
        </w:rPr>
        <w:t>he undressed herself</w:t>
      </w:r>
      <w:r w:rsidR="006A47BC">
        <w:rPr>
          <w:rFonts w:ascii="Arial" w:hAnsi="Arial" w:cs="Arial"/>
          <w:sz w:val="24"/>
          <w:szCs w:val="24"/>
        </w:rPr>
        <w:t>,</w:t>
      </w:r>
      <w:r w:rsidRPr="006B63FC">
        <w:rPr>
          <w:rFonts w:ascii="Arial" w:hAnsi="Arial" w:cs="Arial"/>
          <w:sz w:val="24"/>
          <w:szCs w:val="24"/>
        </w:rPr>
        <w:t xml:space="preserve"> </w:t>
      </w:r>
      <w:r w:rsidR="006E02B5">
        <w:rPr>
          <w:rFonts w:ascii="Arial" w:hAnsi="Arial" w:cs="Arial"/>
          <w:sz w:val="24"/>
          <w:szCs w:val="24"/>
        </w:rPr>
        <w:t xml:space="preserve">but later on said that </w:t>
      </w:r>
      <w:r w:rsidR="00B219BF">
        <w:rPr>
          <w:rFonts w:ascii="Arial" w:hAnsi="Arial" w:cs="Arial"/>
          <w:sz w:val="24"/>
          <w:szCs w:val="24"/>
        </w:rPr>
        <w:t xml:space="preserve">she refused to undress </w:t>
      </w:r>
      <w:r w:rsidRPr="006B63FC">
        <w:rPr>
          <w:rFonts w:ascii="Arial" w:hAnsi="Arial" w:cs="Arial"/>
          <w:sz w:val="24"/>
          <w:szCs w:val="24"/>
        </w:rPr>
        <w:t>(a discrepancy which she</w:t>
      </w:r>
      <w:r w:rsidR="00B219BF">
        <w:rPr>
          <w:rFonts w:ascii="Arial" w:hAnsi="Arial" w:cs="Arial"/>
          <w:sz w:val="24"/>
          <w:szCs w:val="24"/>
        </w:rPr>
        <w:t xml:space="preserve"> </w:t>
      </w:r>
      <w:r w:rsidRPr="000B3510">
        <w:rPr>
          <w:rFonts w:ascii="Arial" w:hAnsi="Arial" w:cs="Arial"/>
          <w:sz w:val="24"/>
          <w:szCs w:val="24"/>
        </w:rPr>
        <w:t>was challenged on during cross</w:t>
      </w:r>
      <w:r w:rsidR="00B219BF" w:rsidRPr="000B3510">
        <w:rPr>
          <w:rFonts w:ascii="Arial" w:hAnsi="Arial" w:cs="Arial"/>
          <w:sz w:val="24"/>
          <w:szCs w:val="24"/>
        </w:rPr>
        <w:t>-</w:t>
      </w:r>
      <w:r w:rsidRPr="000B3510">
        <w:rPr>
          <w:rFonts w:ascii="Arial" w:hAnsi="Arial" w:cs="Arial"/>
          <w:sz w:val="24"/>
          <w:szCs w:val="24"/>
        </w:rPr>
        <w:t>examination). The appellant removed her skirt and panty. Thereafter</w:t>
      </w:r>
      <w:r w:rsidR="00B219BF">
        <w:rPr>
          <w:rFonts w:ascii="Arial" w:hAnsi="Arial" w:cs="Arial"/>
          <w:sz w:val="24"/>
          <w:szCs w:val="24"/>
        </w:rPr>
        <w:t>,</w:t>
      </w:r>
      <w:r w:rsidRPr="000B3510">
        <w:rPr>
          <w:rFonts w:ascii="Arial" w:hAnsi="Arial" w:cs="Arial"/>
          <w:sz w:val="24"/>
          <w:szCs w:val="24"/>
        </w:rPr>
        <w:t xml:space="preserve"> he threw the complainant onto the bed and penetrated her the first time. He withdrew his penis. At that stage</w:t>
      </w:r>
      <w:r w:rsidR="006A47BC">
        <w:rPr>
          <w:rFonts w:ascii="Arial" w:hAnsi="Arial" w:cs="Arial"/>
          <w:sz w:val="24"/>
          <w:szCs w:val="24"/>
        </w:rPr>
        <w:t>,</w:t>
      </w:r>
      <w:r w:rsidRPr="000B3510">
        <w:rPr>
          <w:rFonts w:ascii="Arial" w:hAnsi="Arial" w:cs="Arial"/>
          <w:sz w:val="24"/>
          <w:szCs w:val="24"/>
        </w:rPr>
        <w:t xml:space="preserve"> she saw secretions or a discharge coming out of her vagina. He then penetrated her for the second time. Every time the appellant penetrated the complainant</w:t>
      </w:r>
      <w:r w:rsidR="006A47BC">
        <w:rPr>
          <w:rFonts w:ascii="Arial" w:hAnsi="Arial" w:cs="Arial"/>
          <w:sz w:val="24"/>
          <w:szCs w:val="24"/>
        </w:rPr>
        <w:t>,</w:t>
      </w:r>
      <w:r w:rsidRPr="000B3510">
        <w:rPr>
          <w:rFonts w:ascii="Arial" w:hAnsi="Arial" w:cs="Arial"/>
          <w:sz w:val="24"/>
          <w:szCs w:val="24"/>
        </w:rPr>
        <w:t xml:space="preserve"> she experienced pain. She pushed the appellant off her and ran to </w:t>
      </w:r>
      <w:r w:rsidR="00B219BF">
        <w:rPr>
          <w:rFonts w:ascii="Arial" w:hAnsi="Arial" w:cs="Arial"/>
          <w:sz w:val="24"/>
          <w:szCs w:val="24"/>
        </w:rPr>
        <w:t xml:space="preserve">her </w:t>
      </w:r>
      <w:r w:rsidRPr="000B3510">
        <w:rPr>
          <w:rFonts w:ascii="Arial" w:hAnsi="Arial" w:cs="Arial"/>
          <w:sz w:val="24"/>
          <w:szCs w:val="24"/>
        </w:rPr>
        <w:t>grandmother’s bedroom</w:t>
      </w:r>
      <w:r w:rsidR="00B219BF">
        <w:rPr>
          <w:rFonts w:ascii="Arial" w:hAnsi="Arial" w:cs="Arial"/>
          <w:sz w:val="24"/>
          <w:szCs w:val="24"/>
        </w:rPr>
        <w:t>,</w:t>
      </w:r>
      <w:r w:rsidRPr="000B3510">
        <w:rPr>
          <w:rFonts w:ascii="Arial" w:hAnsi="Arial" w:cs="Arial"/>
          <w:sz w:val="24"/>
          <w:szCs w:val="24"/>
        </w:rPr>
        <w:t xml:space="preserve"> where she put her clothes </w:t>
      </w:r>
      <w:r w:rsidR="00B219BF">
        <w:rPr>
          <w:rFonts w:ascii="Arial" w:hAnsi="Arial" w:cs="Arial"/>
          <w:sz w:val="24"/>
          <w:szCs w:val="24"/>
        </w:rPr>
        <w:t xml:space="preserve">back </w:t>
      </w:r>
      <w:r w:rsidRPr="000B3510">
        <w:rPr>
          <w:rFonts w:ascii="Arial" w:hAnsi="Arial" w:cs="Arial"/>
          <w:sz w:val="24"/>
          <w:szCs w:val="24"/>
        </w:rPr>
        <w:t>on. When she exited the house</w:t>
      </w:r>
      <w:r w:rsidR="006A47BC">
        <w:rPr>
          <w:rFonts w:ascii="Arial" w:hAnsi="Arial" w:cs="Arial"/>
          <w:sz w:val="24"/>
          <w:szCs w:val="24"/>
        </w:rPr>
        <w:t>,</w:t>
      </w:r>
      <w:r w:rsidRPr="000B3510">
        <w:rPr>
          <w:rFonts w:ascii="Arial" w:hAnsi="Arial" w:cs="Arial"/>
          <w:sz w:val="24"/>
          <w:szCs w:val="24"/>
        </w:rPr>
        <w:t xml:space="preserve"> she met Shaun. </w:t>
      </w:r>
    </w:p>
    <w:p w14:paraId="55B410F4" w14:textId="77777777" w:rsidR="009C40B8" w:rsidRPr="006B63FC" w:rsidRDefault="009C40B8" w:rsidP="006B63FC">
      <w:pPr>
        <w:spacing w:after="0" w:line="360" w:lineRule="auto"/>
        <w:jc w:val="both"/>
        <w:rPr>
          <w:rFonts w:ascii="Arial" w:hAnsi="Arial" w:cs="Arial"/>
          <w:sz w:val="24"/>
          <w:szCs w:val="24"/>
        </w:rPr>
      </w:pPr>
    </w:p>
    <w:p w14:paraId="335BCB0B" w14:textId="299C5ECC"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It was common cause that the complainant did not report the rape to anyone on the day in question</w:t>
      </w:r>
      <w:r w:rsidR="00B219BF">
        <w:rPr>
          <w:rFonts w:ascii="Arial" w:hAnsi="Arial" w:cs="Arial"/>
          <w:sz w:val="24"/>
          <w:szCs w:val="24"/>
        </w:rPr>
        <w:t>,</w:t>
      </w:r>
      <w:r w:rsidRPr="006B63FC">
        <w:rPr>
          <w:rFonts w:ascii="Arial" w:hAnsi="Arial" w:cs="Arial"/>
          <w:sz w:val="24"/>
          <w:szCs w:val="24"/>
        </w:rPr>
        <w:t xml:space="preserve"> including Shaun</w:t>
      </w:r>
      <w:r w:rsidR="00B219BF">
        <w:rPr>
          <w:rFonts w:ascii="Arial" w:hAnsi="Arial" w:cs="Arial"/>
          <w:sz w:val="24"/>
          <w:szCs w:val="24"/>
        </w:rPr>
        <w:t>,</w:t>
      </w:r>
      <w:r w:rsidRPr="006B63FC">
        <w:rPr>
          <w:rFonts w:ascii="Arial" w:hAnsi="Arial" w:cs="Arial"/>
          <w:sz w:val="24"/>
          <w:szCs w:val="24"/>
        </w:rPr>
        <w:t xml:space="preserve"> who she met shortly after the incident. Four</w:t>
      </w:r>
      <w:r w:rsidR="00B219BF">
        <w:rPr>
          <w:rFonts w:ascii="Arial" w:hAnsi="Arial" w:cs="Arial"/>
          <w:sz w:val="24"/>
          <w:szCs w:val="24"/>
        </w:rPr>
        <w:t>-</w:t>
      </w:r>
      <w:r w:rsidRPr="006B63FC">
        <w:rPr>
          <w:rFonts w:ascii="Arial" w:hAnsi="Arial" w:cs="Arial"/>
          <w:sz w:val="24"/>
          <w:szCs w:val="24"/>
        </w:rPr>
        <w:t>to</w:t>
      </w:r>
      <w:r w:rsidR="006A47BC">
        <w:rPr>
          <w:rFonts w:ascii="Arial" w:hAnsi="Arial" w:cs="Arial"/>
          <w:sz w:val="24"/>
          <w:szCs w:val="24"/>
        </w:rPr>
        <w:t>-</w:t>
      </w:r>
      <w:r w:rsidRPr="006B63FC">
        <w:rPr>
          <w:rFonts w:ascii="Arial" w:hAnsi="Arial" w:cs="Arial"/>
          <w:sz w:val="24"/>
          <w:szCs w:val="24"/>
        </w:rPr>
        <w:t>six days later, her grandmother observed that the complainant was walking with discomfort</w:t>
      </w:r>
      <w:r w:rsidR="006A47BC">
        <w:rPr>
          <w:rFonts w:ascii="Arial" w:hAnsi="Arial" w:cs="Arial"/>
          <w:sz w:val="24"/>
          <w:szCs w:val="24"/>
        </w:rPr>
        <w:t>,</w:t>
      </w:r>
      <w:r w:rsidRPr="006B63FC">
        <w:rPr>
          <w:rFonts w:ascii="Arial" w:hAnsi="Arial" w:cs="Arial"/>
          <w:sz w:val="24"/>
          <w:szCs w:val="24"/>
        </w:rPr>
        <w:t xml:space="preserve"> and advised her mother to inspect her vagina. Upon this inspection, the mother noticed that her vagina was ‘torn’ and she had some secretions or discharge</w:t>
      </w:r>
      <w:r w:rsidR="006A47BC">
        <w:rPr>
          <w:rFonts w:ascii="Arial" w:hAnsi="Arial" w:cs="Arial"/>
          <w:sz w:val="24"/>
          <w:szCs w:val="24"/>
        </w:rPr>
        <w:t>,</w:t>
      </w:r>
      <w:r w:rsidRPr="006B63FC">
        <w:rPr>
          <w:rFonts w:ascii="Arial" w:hAnsi="Arial" w:cs="Arial"/>
          <w:sz w:val="24"/>
          <w:szCs w:val="24"/>
        </w:rPr>
        <w:t xml:space="preserve"> which (it is common knowledge) was indicative of an infection of some sort. When her mother asked her what had happened to her vagina, she told her that the appellant </w:t>
      </w:r>
      <w:r w:rsidR="006A47BC">
        <w:rPr>
          <w:rFonts w:ascii="Arial" w:hAnsi="Arial" w:cs="Arial"/>
          <w:sz w:val="24"/>
          <w:szCs w:val="24"/>
        </w:rPr>
        <w:t xml:space="preserve">had </w:t>
      </w:r>
      <w:r w:rsidRPr="006B63FC">
        <w:rPr>
          <w:rFonts w:ascii="Arial" w:hAnsi="Arial" w:cs="Arial"/>
          <w:sz w:val="24"/>
          <w:szCs w:val="24"/>
        </w:rPr>
        <w:t>raped her. The mother cried.</w:t>
      </w:r>
    </w:p>
    <w:p w14:paraId="7121A616" w14:textId="77777777" w:rsidR="009C40B8" w:rsidRPr="006B63FC" w:rsidRDefault="009C40B8" w:rsidP="006B63FC">
      <w:pPr>
        <w:pStyle w:val="ListParagraph"/>
        <w:spacing w:after="0" w:line="360" w:lineRule="auto"/>
        <w:jc w:val="both"/>
        <w:rPr>
          <w:rFonts w:ascii="Arial" w:hAnsi="Arial" w:cs="Arial"/>
          <w:sz w:val="24"/>
          <w:szCs w:val="24"/>
        </w:rPr>
      </w:pPr>
    </w:p>
    <w:p w14:paraId="0900DEC0" w14:textId="60273C94"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The complainant testified that the reason </w:t>
      </w:r>
      <w:r w:rsidR="006A47BC">
        <w:rPr>
          <w:rFonts w:ascii="Arial" w:hAnsi="Arial" w:cs="Arial"/>
          <w:sz w:val="24"/>
          <w:szCs w:val="24"/>
        </w:rPr>
        <w:t xml:space="preserve">that </w:t>
      </w:r>
      <w:r w:rsidRPr="006B63FC">
        <w:rPr>
          <w:rFonts w:ascii="Arial" w:hAnsi="Arial" w:cs="Arial"/>
          <w:sz w:val="24"/>
          <w:szCs w:val="24"/>
        </w:rPr>
        <w:t>she did not report the incident to anyone on the same day of the rape</w:t>
      </w:r>
      <w:r w:rsidR="006A47BC">
        <w:rPr>
          <w:rFonts w:ascii="Arial" w:hAnsi="Arial" w:cs="Arial"/>
          <w:sz w:val="24"/>
          <w:szCs w:val="24"/>
        </w:rPr>
        <w:t>,</w:t>
      </w:r>
      <w:r w:rsidRPr="006B63FC">
        <w:rPr>
          <w:rFonts w:ascii="Arial" w:hAnsi="Arial" w:cs="Arial"/>
          <w:sz w:val="24"/>
          <w:szCs w:val="24"/>
        </w:rPr>
        <w:t xml:space="preserve"> or immediately thereafter</w:t>
      </w:r>
      <w:r w:rsidR="006A47BC">
        <w:rPr>
          <w:rFonts w:ascii="Arial" w:hAnsi="Arial" w:cs="Arial"/>
          <w:sz w:val="24"/>
          <w:szCs w:val="24"/>
        </w:rPr>
        <w:t>, was</w:t>
      </w:r>
      <w:r w:rsidRPr="006B63FC">
        <w:rPr>
          <w:rFonts w:ascii="Arial" w:hAnsi="Arial" w:cs="Arial"/>
          <w:sz w:val="24"/>
          <w:szCs w:val="24"/>
        </w:rPr>
        <w:t xml:space="preserve"> because the appellant had threatened to beat her up if she did</w:t>
      </w:r>
      <w:r w:rsidR="006A47BC">
        <w:rPr>
          <w:rFonts w:ascii="Arial" w:hAnsi="Arial" w:cs="Arial"/>
          <w:sz w:val="24"/>
          <w:szCs w:val="24"/>
        </w:rPr>
        <w:t xml:space="preserve"> so</w:t>
      </w:r>
      <w:r w:rsidRPr="006B63FC">
        <w:rPr>
          <w:rFonts w:ascii="Arial" w:hAnsi="Arial" w:cs="Arial"/>
          <w:sz w:val="24"/>
          <w:szCs w:val="24"/>
        </w:rPr>
        <w:t>. Pertinently, the complainant’s version (on the rape) was not challenged or disputed. The only material question put to her was that someone will be called to tell the court that she hurt herself or was hurt (presumably on her vagina) when she was playing with other children.</w:t>
      </w:r>
    </w:p>
    <w:p w14:paraId="4FB04C64" w14:textId="77777777" w:rsidR="009C40B8" w:rsidRPr="006B63FC" w:rsidRDefault="009C40B8" w:rsidP="006B63FC">
      <w:pPr>
        <w:pStyle w:val="ListParagraph"/>
        <w:spacing w:after="0" w:line="360" w:lineRule="auto"/>
        <w:jc w:val="both"/>
        <w:rPr>
          <w:rFonts w:ascii="Arial" w:hAnsi="Arial" w:cs="Arial"/>
          <w:sz w:val="24"/>
          <w:szCs w:val="24"/>
        </w:rPr>
      </w:pPr>
    </w:p>
    <w:p w14:paraId="780FCCFB" w14:textId="56E88FEC"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To support the complainant’s evidence, the State led the evidence of the complainant’s mother. Corroborating the complainant, her mother testified that the complainant reported to her that she was raped by the appellant when she was not at home and on the day when she had gone to deliver documents at another village. </w:t>
      </w:r>
      <w:r w:rsidR="005825FB">
        <w:rPr>
          <w:rFonts w:ascii="Arial" w:hAnsi="Arial" w:cs="Arial"/>
          <w:sz w:val="24"/>
          <w:szCs w:val="24"/>
        </w:rPr>
        <w:lastRenderedPageBreak/>
        <w:t>Further testifying that</w:t>
      </w:r>
      <w:r w:rsidRPr="006B63FC">
        <w:rPr>
          <w:rFonts w:ascii="Arial" w:hAnsi="Arial" w:cs="Arial"/>
          <w:sz w:val="24"/>
          <w:szCs w:val="24"/>
        </w:rPr>
        <w:t xml:space="preserve"> the complainant’s vagina was ‘torn’ and she found </w:t>
      </w:r>
      <w:r w:rsidR="00E67A34">
        <w:rPr>
          <w:rFonts w:ascii="Arial" w:hAnsi="Arial" w:cs="Arial"/>
          <w:sz w:val="24"/>
          <w:szCs w:val="24"/>
        </w:rPr>
        <w:t xml:space="preserve">a discharge </w:t>
      </w:r>
      <w:r w:rsidRPr="006B63FC">
        <w:rPr>
          <w:rFonts w:ascii="Arial" w:hAnsi="Arial" w:cs="Arial"/>
          <w:sz w:val="24"/>
          <w:szCs w:val="24"/>
        </w:rPr>
        <w:t>in it. Nothing too significant transpired during cross</w:t>
      </w:r>
      <w:r w:rsidR="005825FB">
        <w:rPr>
          <w:rFonts w:ascii="Arial" w:hAnsi="Arial" w:cs="Arial"/>
          <w:sz w:val="24"/>
          <w:szCs w:val="24"/>
        </w:rPr>
        <w:t>-</w:t>
      </w:r>
      <w:r w:rsidRPr="006B63FC">
        <w:rPr>
          <w:rFonts w:ascii="Arial" w:hAnsi="Arial" w:cs="Arial"/>
          <w:sz w:val="24"/>
          <w:szCs w:val="24"/>
        </w:rPr>
        <w:t>examination, save for the fact that prior to this incident, she and the appellant got along like brother and sister. But since this incident, they</w:t>
      </w:r>
      <w:r w:rsidR="006E02B5">
        <w:rPr>
          <w:rFonts w:ascii="Arial" w:hAnsi="Arial" w:cs="Arial"/>
          <w:sz w:val="24"/>
          <w:szCs w:val="24"/>
        </w:rPr>
        <w:t xml:space="preserve"> no longer got along</w:t>
      </w:r>
      <w:r w:rsidRPr="006B63FC">
        <w:rPr>
          <w:rFonts w:ascii="Arial" w:hAnsi="Arial" w:cs="Arial"/>
          <w:sz w:val="24"/>
          <w:szCs w:val="24"/>
        </w:rPr>
        <w:t xml:space="preserve">. </w:t>
      </w:r>
      <w:r w:rsidR="00DC716A">
        <w:rPr>
          <w:rFonts w:ascii="Arial" w:hAnsi="Arial" w:cs="Arial"/>
          <w:sz w:val="24"/>
          <w:szCs w:val="24"/>
        </w:rPr>
        <w:t>She (</w:t>
      </w:r>
      <w:r w:rsidR="00B3611A">
        <w:rPr>
          <w:rFonts w:ascii="Arial" w:hAnsi="Arial" w:cs="Arial"/>
          <w:sz w:val="24"/>
          <w:szCs w:val="24"/>
        </w:rPr>
        <w:t xml:space="preserve">the </w:t>
      </w:r>
      <w:r w:rsidR="00DC716A">
        <w:rPr>
          <w:rFonts w:ascii="Arial" w:hAnsi="Arial" w:cs="Arial"/>
          <w:sz w:val="24"/>
          <w:szCs w:val="24"/>
        </w:rPr>
        <w:t>complainant’s mother)</w:t>
      </w:r>
      <w:r w:rsidRPr="006B63FC">
        <w:rPr>
          <w:rFonts w:ascii="Arial" w:hAnsi="Arial" w:cs="Arial"/>
          <w:sz w:val="24"/>
          <w:szCs w:val="24"/>
        </w:rPr>
        <w:t xml:space="preserve"> agreed, adding that it was because of what the appellant had done to her daughter that the relationship soured.</w:t>
      </w:r>
    </w:p>
    <w:p w14:paraId="69352F1D" w14:textId="77777777" w:rsidR="009C40B8" w:rsidRPr="006B63FC" w:rsidRDefault="009C40B8" w:rsidP="006B63FC">
      <w:pPr>
        <w:pStyle w:val="ListParagraph"/>
        <w:spacing w:after="0" w:line="360" w:lineRule="auto"/>
        <w:jc w:val="both"/>
        <w:rPr>
          <w:rFonts w:ascii="Arial" w:hAnsi="Arial" w:cs="Arial"/>
          <w:sz w:val="24"/>
          <w:szCs w:val="24"/>
        </w:rPr>
      </w:pPr>
    </w:p>
    <w:p w14:paraId="21D5A7FE" w14:textId="5ED0C5F9"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 appellant’s defence was one of an alibi. In his evidence-in-chief, he stated that on 6 December 2010 he was at home</w:t>
      </w:r>
      <w:r w:rsidR="005825FB">
        <w:rPr>
          <w:rFonts w:ascii="Arial" w:hAnsi="Arial" w:cs="Arial"/>
          <w:sz w:val="24"/>
          <w:szCs w:val="24"/>
        </w:rPr>
        <w:t>,</w:t>
      </w:r>
      <w:r w:rsidRPr="006B63FC">
        <w:rPr>
          <w:rFonts w:ascii="Arial" w:hAnsi="Arial" w:cs="Arial"/>
          <w:sz w:val="24"/>
          <w:szCs w:val="24"/>
        </w:rPr>
        <w:t xml:space="preserve"> but denied that he raped the complainant. </w:t>
      </w:r>
      <w:r w:rsidR="00DC716A" w:rsidRPr="006B63FC">
        <w:rPr>
          <w:rFonts w:ascii="Arial" w:hAnsi="Arial" w:cs="Arial"/>
          <w:sz w:val="24"/>
          <w:szCs w:val="24"/>
        </w:rPr>
        <w:t xml:space="preserve">Furthermore, </w:t>
      </w:r>
      <w:r w:rsidR="00DC716A" w:rsidRPr="00877039">
        <w:rPr>
          <w:rFonts w:ascii="Arial" w:hAnsi="Arial" w:cs="Arial"/>
          <w:color w:val="000000" w:themeColor="text1"/>
          <w:sz w:val="24"/>
          <w:szCs w:val="24"/>
        </w:rPr>
        <w:t>the</w:t>
      </w:r>
      <w:r w:rsidR="00E67A34" w:rsidRPr="00877039">
        <w:rPr>
          <w:rFonts w:ascii="Arial" w:hAnsi="Arial" w:cs="Arial"/>
          <w:color w:val="000000" w:themeColor="text1"/>
          <w:sz w:val="24"/>
          <w:szCs w:val="24"/>
        </w:rPr>
        <w:t xml:space="preserve"> appellant </w:t>
      </w:r>
      <w:r w:rsidR="00DC716A" w:rsidRPr="00877039">
        <w:rPr>
          <w:rFonts w:ascii="Arial" w:hAnsi="Arial" w:cs="Arial"/>
          <w:color w:val="000000" w:themeColor="text1"/>
          <w:sz w:val="24"/>
          <w:szCs w:val="24"/>
        </w:rPr>
        <w:t xml:space="preserve">said that </w:t>
      </w:r>
      <w:r w:rsidR="00DC716A" w:rsidRPr="006B63FC">
        <w:rPr>
          <w:rFonts w:ascii="Arial" w:hAnsi="Arial" w:cs="Arial"/>
          <w:sz w:val="24"/>
          <w:szCs w:val="24"/>
        </w:rPr>
        <w:t>the</w:t>
      </w:r>
      <w:r w:rsidRPr="006B63FC">
        <w:rPr>
          <w:rFonts w:ascii="Arial" w:hAnsi="Arial" w:cs="Arial"/>
          <w:sz w:val="24"/>
          <w:szCs w:val="24"/>
        </w:rPr>
        <w:t xml:space="preserve"> first time that he heard about the allegations of rape against him was when he appeared in court. This is simply not true</w:t>
      </w:r>
      <w:r w:rsidR="005825FB">
        <w:rPr>
          <w:rFonts w:ascii="Arial" w:hAnsi="Arial" w:cs="Arial"/>
          <w:sz w:val="24"/>
          <w:szCs w:val="24"/>
        </w:rPr>
        <w:t>,</w:t>
      </w:r>
      <w:r w:rsidRPr="006B63FC">
        <w:rPr>
          <w:rFonts w:ascii="Arial" w:hAnsi="Arial" w:cs="Arial"/>
          <w:sz w:val="24"/>
          <w:szCs w:val="24"/>
        </w:rPr>
        <w:t xml:space="preserve"> as it was common cause that when he was arrested on 15 December 2010, he was informed of the charge against him. He stated that he was severely assaulted by the complainant’s mother and the police when he was arrested</w:t>
      </w:r>
      <w:r w:rsidR="00E67A34" w:rsidRPr="00877039">
        <w:rPr>
          <w:rFonts w:ascii="Arial" w:hAnsi="Arial" w:cs="Arial"/>
          <w:color w:val="000000" w:themeColor="text1"/>
          <w:sz w:val="24"/>
          <w:szCs w:val="24"/>
        </w:rPr>
        <w:t xml:space="preserve"> for the rape of the </w:t>
      </w:r>
      <w:r w:rsidR="00DC716A" w:rsidRPr="00877039">
        <w:rPr>
          <w:rFonts w:ascii="Arial" w:hAnsi="Arial" w:cs="Arial"/>
          <w:color w:val="000000" w:themeColor="text1"/>
          <w:sz w:val="24"/>
          <w:szCs w:val="24"/>
        </w:rPr>
        <w:t xml:space="preserve">complainant. </w:t>
      </w:r>
      <w:r w:rsidR="00DC716A" w:rsidRPr="006B63FC">
        <w:rPr>
          <w:rFonts w:ascii="Arial" w:hAnsi="Arial" w:cs="Arial"/>
          <w:sz w:val="24"/>
          <w:szCs w:val="24"/>
        </w:rPr>
        <w:t>The</w:t>
      </w:r>
      <w:r w:rsidRPr="006B63FC">
        <w:rPr>
          <w:rFonts w:ascii="Arial" w:hAnsi="Arial" w:cs="Arial"/>
          <w:sz w:val="24"/>
          <w:szCs w:val="24"/>
        </w:rPr>
        <w:t xml:space="preserve"> police kicked him several times with booted feet, at the scene of the crime and at the police station. In cross</w:t>
      </w:r>
      <w:r w:rsidR="005825FB">
        <w:rPr>
          <w:rFonts w:ascii="Arial" w:hAnsi="Arial" w:cs="Arial"/>
          <w:sz w:val="24"/>
          <w:szCs w:val="24"/>
        </w:rPr>
        <w:t>-</w:t>
      </w:r>
      <w:r w:rsidRPr="006B63FC">
        <w:rPr>
          <w:rFonts w:ascii="Arial" w:hAnsi="Arial" w:cs="Arial"/>
          <w:sz w:val="24"/>
          <w:szCs w:val="24"/>
        </w:rPr>
        <w:t>examination, he denied that he raped the complainant. He seemed to suggest that it was someone else</w:t>
      </w:r>
      <w:r w:rsidR="005825FB">
        <w:rPr>
          <w:rFonts w:ascii="Arial" w:hAnsi="Arial" w:cs="Arial"/>
          <w:sz w:val="24"/>
          <w:szCs w:val="24"/>
        </w:rPr>
        <w:t>,</w:t>
      </w:r>
      <w:r w:rsidRPr="006B63FC">
        <w:rPr>
          <w:rFonts w:ascii="Arial" w:hAnsi="Arial" w:cs="Arial"/>
          <w:sz w:val="24"/>
          <w:szCs w:val="24"/>
        </w:rPr>
        <w:t xml:space="preserve"> but did not say who or why he said so. He maintained that the complainant falsely implicated him</w:t>
      </w:r>
      <w:r w:rsidR="005825FB">
        <w:rPr>
          <w:rFonts w:ascii="Arial" w:hAnsi="Arial" w:cs="Arial"/>
          <w:sz w:val="24"/>
          <w:szCs w:val="24"/>
        </w:rPr>
        <w:t>,</w:t>
      </w:r>
      <w:r w:rsidRPr="006B63FC">
        <w:rPr>
          <w:rFonts w:ascii="Arial" w:hAnsi="Arial" w:cs="Arial"/>
          <w:sz w:val="24"/>
          <w:szCs w:val="24"/>
        </w:rPr>
        <w:t xml:space="preserve"> because she was influenced by her mother and grandmother. This, according to him</w:t>
      </w:r>
      <w:r w:rsidR="005825FB">
        <w:rPr>
          <w:rFonts w:ascii="Arial" w:hAnsi="Arial" w:cs="Arial"/>
          <w:sz w:val="24"/>
          <w:szCs w:val="24"/>
        </w:rPr>
        <w:t>,</w:t>
      </w:r>
      <w:r w:rsidRPr="006B63FC">
        <w:rPr>
          <w:rFonts w:ascii="Arial" w:hAnsi="Arial" w:cs="Arial"/>
          <w:sz w:val="24"/>
          <w:szCs w:val="24"/>
        </w:rPr>
        <w:t xml:space="preserve"> was motivated by the bad blood between the parties.</w:t>
      </w:r>
    </w:p>
    <w:p w14:paraId="44757D41" w14:textId="77777777" w:rsidR="009C40B8" w:rsidRPr="006B63FC" w:rsidRDefault="009C40B8" w:rsidP="006B63FC">
      <w:pPr>
        <w:pStyle w:val="ListParagraph"/>
        <w:spacing w:after="0" w:line="360" w:lineRule="auto"/>
        <w:jc w:val="both"/>
        <w:rPr>
          <w:rFonts w:ascii="Arial" w:hAnsi="Arial" w:cs="Arial"/>
          <w:sz w:val="24"/>
          <w:szCs w:val="24"/>
        </w:rPr>
      </w:pPr>
    </w:p>
    <w:p w14:paraId="70ECEFFD" w14:textId="45C1738A"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It is the appellant’s version that the acrimony between him and his sister was because he did not want her boyfriend</w:t>
      </w:r>
      <w:r w:rsidR="005825FB">
        <w:rPr>
          <w:rFonts w:ascii="Arial" w:hAnsi="Arial" w:cs="Arial"/>
          <w:sz w:val="24"/>
          <w:szCs w:val="24"/>
        </w:rPr>
        <w:t>,</w:t>
      </w:r>
      <w:r w:rsidRPr="006B63FC">
        <w:rPr>
          <w:rFonts w:ascii="Arial" w:hAnsi="Arial" w:cs="Arial"/>
          <w:sz w:val="24"/>
          <w:szCs w:val="24"/>
        </w:rPr>
        <w:t xml:space="preserve"> who was unemployed</w:t>
      </w:r>
      <w:r w:rsidR="005825FB">
        <w:rPr>
          <w:rFonts w:ascii="Arial" w:hAnsi="Arial" w:cs="Arial"/>
          <w:sz w:val="24"/>
          <w:szCs w:val="24"/>
        </w:rPr>
        <w:t>,</w:t>
      </w:r>
      <w:r w:rsidRPr="006B63FC">
        <w:rPr>
          <w:rFonts w:ascii="Arial" w:hAnsi="Arial" w:cs="Arial"/>
          <w:sz w:val="24"/>
          <w:szCs w:val="24"/>
        </w:rPr>
        <w:t xml:space="preserve"> to live with them. He supported his entire family. He proffered no explanation </w:t>
      </w:r>
      <w:r w:rsidR="005825FB">
        <w:rPr>
          <w:rFonts w:ascii="Arial" w:hAnsi="Arial" w:cs="Arial"/>
          <w:sz w:val="24"/>
          <w:szCs w:val="24"/>
        </w:rPr>
        <w:t xml:space="preserve">as to </w:t>
      </w:r>
      <w:r w:rsidRPr="006B63FC">
        <w:rPr>
          <w:rFonts w:ascii="Arial" w:hAnsi="Arial" w:cs="Arial"/>
          <w:sz w:val="24"/>
          <w:szCs w:val="24"/>
        </w:rPr>
        <w:t>why his version</w:t>
      </w:r>
      <w:r w:rsidR="005825FB">
        <w:rPr>
          <w:rFonts w:ascii="Arial" w:hAnsi="Arial" w:cs="Arial"/>
          <w:sz w:val="24"/>
          <w:szCs w:val="24"/>
        </w:rPr>
        <w:t xml:space="preserve"> – </w:t>
      </w:r>
      <w:r w:rsidRPr="006B63FC">
        <w:rPr>
          <w:rFonts w:ascii="Arial" w:hAnsi="Arial" w:cs="Arial"/>
          <w:sz w:val="24"/>
          <w:szCs w:val="24"/>
        </w:rPr>
        <w:t xml:space="preserve">that he </w:t>
      </w:r>
      <w:r w:rsidR="005825FB">
        <w:rPr>
          <w:rFonts w:ascii="Arial" w:hAnsi="Arial" w:cs="Arial"/>
          <w:sz w:val="24"/>
          <w:szCs w:val="24"/>
        </w:rPr>
        <w:t>had</w:t>
      </w:r>
      <w:r w:rsidRPr="006B63FC">
        <w:rPr>
          <w:rFonts w:ascii="Arial" w:hAnsi="Arial" w:cs="Arial"/>
          <w:sz w:val="24"/>
          <w:szCs w:val="24"/>
        </w:rPr>
        <w:t xml:space="preserve"> been assaulted by the police and his sister</w:t>
      </w:r>
      <w:r w:rsidR="005825FB">
        <w:rPr>
          <w:rFonts w:ascii="Arial" w:hAnsi="Arial" w:cs="Arial"/>
          <w:sz w:val="24"/>
          <w:szCs w:val="24"/>
        </w:rPr>
        <w:t>,</w:t>
      </w:r>
      <w:r w:rsidRPr="006B63FC">
        <w:rPr>
          <w:rFonts w:ascii="Arial" w:hAnsi="Arial" w:cs="Arial"/>
          <w:sz w:val="24"/>
          <w:szCs w:val="24"/>
        </w:rPr>
        <w:t xml:space="preserve"> and that there was bad blood between him and his sister </w:t>
      </w:r>
      <w:r w:rsidR="005825FB">
        <w:rPr>
          <w:rFonts w:ascii="Arial" w:hAnsi="Arial" w:cs="Arial"/>
          <w:sz w:val="24"/>
          <w:szCs w:val="24"/>
        </w:rPr>
        <w:t xml:space="preserve">– </w:t>
      </w:r>
      <w:r w:rsidRPr="006B63FC">
        <w:rPr>
          <w:rFonts w:ascii="Arial" w:hAnsi="Arial" w:cs="Arial"/>
          <w:sz w:val="24"/>
          <w:szCs w:val="24"/>
        </w:rPr>
        <w:t>was not put to them during cross-examination. He conceded that he did not</w:t>
      </w:r>
      <w:r w:rsidR="00730B32">
        <w:rPr>
          <w:rFonts w:ascii="Arial" w:hAnsi="Arial" w:cs="Arial"/>
          <w:sz w:val="24"/>
          <w:szCs w:val="24"/>
        </w:rPr>
        <w:t xml:space="preserve"> do so</w:t>
      </w:r>
      <w:r w:rsidRPr="006B63FC">
        <w:rPr>
          <w:rFonts w:ascii="Arial" w:hAnsi="Arial" w:cs="Arial"/>
          <w:sz w:val="24"/>
          <w:szCs w:val="24"/>
        </w:rPr>
        <w:t>. And that he did not inform his legal representative about this version. He had no explanation for his silence in the face of such damning evidence against him</w:t>
      </w:r>
      <w:r w:rsidR="00730B32">
        <w:rPr>
          <w:rFonts w:ascii="Arial" w:hAnsi="Arial" w:cs="Arial"/>
          <w:sz w:val="24"/>
          <w:szCs w:val="24"/>
        </w:rPr>
        <w:t>,</w:t>
      </w:r>
      <w:r w:rsidRPr="006B63FC">
        <w:rPr>
          <w:rFonts w:ascii="Arial" w:hAnsi="Arial" w:cs="Arial"/>
          <w:sz w:val="24"/>
          <w:szCs w:val="24"/>
        </w:rPr>
        <w:t xml:space="preserve"> save to state that he did not know how court processes work and was not aware that he could inform his legal representative during the trial. Yet, it is on record that his legal representative approached him from time to time and there were breaks in between the proceedings</w:t>
      </w:r>
      <w:r w:rsidR="00730B32">
        <w:rPr>
          <w:rFonts w:ascii="Arial" w:hAnsi="Arial" w:cs="Arial"/>
          <w:sz w:val="24"/>
          <w:szCs w:val="24"/>
        </w:rPr>
        <w:t>,</w:t>
      </w:r>
      <w:r w:rsidRPr="006B63FC">
        <w:rPr>
          <w:rFonts w:ascii="Arial" w:hAnsi="Arial" w:cs="Arial"/>
          <w:sz w:val="24"/>
          <w:szCs w:val="24"/>
        </w:rPr>
        <w:t xml:space="preserve"> during which he could have informed his legal representative that he did not agree with the statements put to the witnesses or </w:t>
      </w:r>
      <w:r w:rsidRPr="006B63FC">
        <w:rPr>
          <w:rFonts w:ascii="Arial" w:hAnsi="Arial" w:cs="Arial"/>
          <w:sz w:val="24"/>
          <w:szCs w:val="24"/>
        </w:rPr>
        <w:lastRenderedPageBreak/>
        <w:t>informed the legal representative of what else to put to the witnesses</w:t>
      </w:r>
      <w:r w:rsidR="00730B32">
        <w:rPr>
          <w:rFonts w:ascii="Arial" w:hAnsi="Arial" w:cs="Arial"/>
          <w:sz w:val="24"/>
          <w:szCs w:val="24"/>
        </w:rPr>
        <w:t>,</w:t>
      </w:r>
      <w:r w:rsidRPr="006B63FC">
        <w:rPr>
          <w:rFonts w:ascii="Arial" w:hAnsi="Arial" w:cs="Arial"/>
          <w:sz w:val="24"/>
          <w:szCs w:val="24"/>
        </w:rPr>
        <w:t xml:space="preserve"> which the witnesses had (according to him) omitted to mention in their evidence-in-chief.</w:t>
      </w:r>
    </w:p>
    <w:p w14:paraId="1FA31343" w14:textId="77777777" w:rsidR="009C40B8" w:rsidRPr="006B63FC" w:rsidRDefault="009C40B8" w:rsidP="006B63FC">
      <w:pPr>
        <w:pStyle w:val="ListParagraph"/>
        <w:spacing w:after="0" w:line="360" w:lineRule="auto"/>
        <w:ind w:left="0"/>
        <w:jc w:val="both"/>
        <w:rPr>
          <w:rFonts w:ascii="Arial" w:hAnsi="Arial" w:cs="Arial"/>
          <w:sz w:val="24"/>
          <w:szCs w:val="24"/>
        </w:rPr>
      </w:pPr>
    </w:p>
    <w:p w14:paraId="5D9E2C5C" w14:textId="77777777" w:rsidR="007358DB"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Contradicting himself, the appellant stated during cross</w:t>
      </w:r>
      <w:r w:rsidR="00730B32">
        <w:rPr>
          <w:rFonts w:ascii="Arial" w:hAnsi="Arial" w:cs="Arial"/>
          <w:sz w:val="24"/>
          <w:szCs w:val="24"/>
        </w:rPr>
        <w:t>-</w:t>
      </w:r>
      <w:r w:rsidRPr="006B63FC">
        <w:rPr>
          <w:rFonts w:ascii="Arial" w:hAnsi="Arial" w:cs="Arial"/>
          <w:sz w:val="24"/>
          <w:szCs w:val="24"/>
        </w:rPr>
        <w:t>examination that: ‘I have already explained that on 6 December 2010 when this thing happened I was home’. He also called a witness</w:t>
      </w:r>
      <w:r w:rsidR="00730B32">
        <w:rPr>
          <w:rFonts w:ascii="Arial" w:hAnsi="Arial" w:cs="Arial"/>
          <w:sz w:val="24"/>
          <w:szCs w:val="24"/>
        </w:rPr>
        <w:t>,</w:t>
      </w:r>
      <w:r w:rsidRPr="006B63FC">
        <w:rPr>
          <w:rFonts w:ascii="Arial" w:hAnsi="Arial" w:cs="Arial"/>
          <w:sz w:val="24"/>
          <w:szCs w:val="24"/>
        </w:rPr>
        <w:t xml:space="preserve"> who testified that on 7 December 2010 the appellant was at work. The two interacted until they knocked off duty. </w:t>
      </w:r>
    </w:p>
    <w:p w14:paraId="7153E599" w14:textId="77777777" w:rsidR="007358DB" w:rsidRPr="00877039" w:rsidRDefault="007358DB" w:rsidP="00877039">
      <w:pPr>
        <w:pStyle w:val="ListParagraph"/>
        <w:spacing w:after="0" w:line="360" w:lineRule="auto"/>
        <w:rPr>
          <w:rFonts w:ascii="Arial" w:hAnsi="Arial" w:cs="Arial"/>
          <w:sz w:val="24"/>
          <w:szCs w:val="24"/>
        </w:rPr>
      </w:pPr>
    </w:p>
    <w:p w14:paraId="729035A9" w14:textId="73BABAD3"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In this Court, counsel for the appellant submitted that this was a typographical error for which the transcribers were to blame. Instead, the record should reflect the following: ‘I have already stated that on 6 December 2010 when this thing happened </w:t>
      </w:r>
      <w:r w:rsidRPr="006B63FC">
        <w:rPr>
          <w:rFonts w:ascii="Arial" w:hAnsi="Arial" w:cs="Arial"/>
          <w:i/>
          <w:sz w:val="24"/>
          <w:szCs w:val="24"/>
        </w:rPr>
        <w:t>I was not home</w:t>
      </w:r>
      <w:r w:rsidRPr="006B63FC">
        <w:rPr>
          <w:rFonts w:ascii="Arial" w:hAnsi="Arial" w:cs="Arial"/>
          <w:sz w:val="24"/>
          <w:szCs w:val="24"/>
        </w:rPr>
        <w:t>’</w:t>
      </w:r>
      <w:r w:rsidR="00730B32">
        <w:rPr>
          <w:rFonts w:ascii="Arial" w:hAnsi="Arial" w:cs="Arial"/>
          <w:sz w:val="24"/>
          <w:szCs w:val="24"/>
        </w:rPr>
        <w:t>.</w:t>
      </w:r>
      <w:r w:rsidRPr="006B63FC">
        <w:rPr>
          <w:rFonts w:ascii="Arial" w:hAnsi="Arial" w:cs="Arial"/>
          <w:sz w:val="24"/>
          <w:szCs w:val="24"/>
        </w:rPr>
        <w:t xml:space="preserve"> (Emphasis added.)</w:t>
      </w:r>
    </w:p>
    <w:p w14:paraId="7D2A4363" w14:textId="77777777" w:rsidR="009C40B8" w:rsidRPr="006B63FC" w:rsidRDefault="009C40B8" w:rsidP="006B63FC">
      <w:pPr>
        <w:pStyle w:val="ListParagraph"/>
        <w:spacing w:after="0" w:line="360" w:lineRule="auto"/>
        <w:jc w:val="both"/>
        <w:rPr>
          <w:rFonts w:ascii="Arial" w:hAnsi="Arial" w:cs="Arial"/>
          <w:sz w:val="24"/>
          <w:szCs w:val="24"/>
        </w:rPr>
      </w:pPr>
    </w:p>
    <w:p w14:paraId="1DE7A177" w14:textId="030F575F"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 fallacy in this submission is that, when an appeal record is prepared, it is the responsibility of the appellant and his legal representative(s) to go through it thoroughly to ensure that the record is correct and to set out the grounds of appeal relied upon. None of the grounds of appeal refer to this alleged ‘typo’ in the judgment. Nonetheless, this argument was never raised during the hearing before the full bench. In any event</w:t>
      </w:r>
      <w:r w:rsidR="00730B32">
        <w:rPr>
          <w:rFonts w:ascii="Arial" w:hAnsi="Arial" w:cs="Arial"/>
          <w:sz w:val="24"/>
          <w:szCs w:val="24"/>
        </w:rPr>
        <w:t>,</w:t>
      </w:r>
      <w:r w:rsidRPr="006B63FC">
        <w:rPr>
          <w:rFonts w:ascii="Arial" w:hAnsi="Arial" w:cs="Arial"/>
          <w:sz w:val="24"/>
          <w:szCs w:val="24"/>
        </w:rPr>
        <w:t xml:space="preserve"> the complainant’s evidence that on 6 December the appellant was at home when he raped her was not challenged during cross</w:t>
      </w:r>
      <w:r w:rsidR="00730B32">
        <w:rPr>
          <w:rFonts w:ascii="Arial" w:hAnsi="Arial" w:cs="Arial"/>
          <w:sz w:val="24"/>
          <w:szCs w:val="24"/>
        </w:rPr>
        <w:t>-</w:t>
      </w:r>
      <w:r w:rsidRPr="006B63FC">
        <w:rPr>
          <w:rFonts w:ascii="Arial" w:hAnsi="Arial" w:cs="Arial"/>
          <w:sz w:val="24"/>
          <w:szCs w:val="24"/>
        </w:rPr>
        <w:t xml:space="preserve">examination. </w:t>
      </w:r>
    </w:p>
    <w:p w14:paraId="47588D31" w14:textId="77777777" w:rsidR="009C40B8" w:rsidRPr="006B63FC" w:rsidRDefault="009C40B8" w:rsidP="006B63FC">
      <w:pPr>
        <w:pStyle w:val="ListParagraph"/>
        <w:spacing w:after="0" w:line="360" w:lineRule="auto"/>
        <w:jc w:val="both"/>
        <w:rPr>
          <w:rFonts w:ascii="Arial" w:hAnsi="Arial" w:cs="Arial"/>
          <w:sz w:val="24"/>
          <w:szCs w:val="24"/>
        </w:rPr>
      </w:pPr>
    </w:p>
    <w:p w14:paraId="1D6B316A" w14:textId="7E978511"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The full bench accepted the findings of the trial court. The full bench, like the trial court, admitted the warning statement that the appellant purportedly made to the police, in which he admitted that he raped the complainant. At the outset of the appeal hearing in this Court, </w:t>
      </w:r>
      <w:r w:rsidR="00730B32">
        <w:rPr>
          <w:rFonts w:ascii="Arial" w:hAnsi="Arial" w:cs="Arial"/>
          <w:sz w:val="24"/>
          <w:szCs w:val="24"/>
        </w:rPr>
        <w:t>c</w:t>
      </w:r>
      <w:r w:rsidRPr="006B63FC">
        <w:rPr>
          <w:rFonts w:ascii="Arial" w:hAnsi="Arial" w:cs="Arial"/>
          <w:sz w:val="24"/>
          <w:szCs w:val="24"/>
        </w:rPr>
        <w:t xml:space="preserve">ounsel for the State, correctly, conceded that the statement was illegally obtained – that the trial court as well as the full bench were wrong to admit the statement as evidence. On the strength of this concession made on behalf of the State, that should be the end of the inquiry. </w:t>
      </w:r>
    </w:p>
    <w:p w14:paraId="04008A91" w14:textId="45757C78" w:rsidR="006B63FC" w:rsidRDefault="006B63FC" w:rsidP="000B3510">
      <w:pPr>
        <w:spacing w:after="0" w:line="360" w:lineRule="auto"/>
        <w:jc w:val="both"/>
        <w:rPr>
          <w:rFonts w:ascii="Arial" w:hAnsi="Arial" w:cs="Arial"/>
          <w:sz w:val="24"/>
          <w:szCs w:val="24"/>
        </w:rPr>
      </w:pPr>
    </w:p>
    <w:p w14:paraId="4734DE10" w14:textId="5044A899" w:rsidR="00E6064D" w:rsidRPr="000B3510" w:rsidRDefault="00E6064D" w:rsidP="000B3510">
      <w:pPr>
        <w:spacing w:after="0" w:line="360" w:lineRule="auto"/>
        <w:jc w:val="both"/>
        <w:rPr>
          <w:rFonts w:ascii="Arial" w:hAnsi="Arial" w:cs="Arial"/>
          <w:b/>
          <w:sz w:val="24"/>
          <w:szCs w:val="24"/>
        </w:rPr>
      </w:pPr>
      <w:r>
        <w:rPr>
          <w:rFonts w:ascii="Arial" w:hAnsi="Arial" w:cs="Arial"/>
          <w:b/>
          <w:sz w:val="24"/>
          <w:szCs w:val="24"/>
        </w:rPr>
        <w:t xml:space="preserve">Ad </w:t>
      </w:r>
      <w:r w:rsidRPr="000B3510">
        <w:rPr>
          <w:rFonts w:ascii="Arial" w:hAnsi="Arial" w:cs="Arial"/>
          <w:b/>
          <w:sz w:val="24"/>
          <w:szCs w:val="24"/>
        </w:rPr>
        <w:t xml:space="preserve">Conviction </w:t>
      </w:r>
    </w:p>
    <w:p w14:paraId="68BAA1E2" w14:textId="3BE71888" w:rsidR="006B63FC"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 evidence in this case was based on the evidence of a single witness, the complainant. Apart from being a single witness to the act of rape, the complainant was a girl child</w:t>
      </w:r>
      <w:r w:rsidR="00415EC0">
        <w:rPr>
          <w:rFonts w:ascii="Arial" w:hAnsi="Arial" w:cs="Arial"/>
          <w:sz w:val="24"/>
          <w:szCs w:val="24"/>
        </w:rPr>
        <w:t>,</w:t>
      </w:r>
      <w:r w:rsidRPr="006B63FC">
        <w:rPr>
          <w:rFonts w:ascii="Arial" w:hAnsi="Arial" w:cs="Arial"/>
          <w:sz w:val="24"/>
          <w:szCs w:val="24"/>
        </w:rPr>
        <w:t xml:space="preserve"> aged 9 years at the time</w:t>
      </w:r>
      <w:r w:rsidR="00415EC0">
        <w:rPr>
          <w:rFonts w:ascii="Arial" w:hAnsi="Arial" w:cs="Arial"/>
          <w:sz w:val="24"/>
          <w:szCs w:val="24"/>
        </w:rPr>
        <w:t xml:space="preserve"> of the incident</w:t>
      </w:r>
      <w:r w:rsidRPr="006B63FC">
        <w:rPr>
          <w:rFonts w:ascii="Arial" w:hAnsi="Arial" w:cs="Arial"/>
          <w:sz w:val="24"/>
          <w:szCs w:val="24"/>
        </w:rPr>
        <w:t>. For many years, the evidence of a child witness</w:t>
      </w:r>
      <w:r w:rsidR="00730B32">
        <w:rPr>
          <w:rFonts w:ascii="Arial" w:hAnsi="Arial" w:cs="Arial"/>
          <w:sz w:val="24"/>
          <w:szCs w:val="24"/>
        </w:rPr>
        <w:t>,</w:t>
      </w:r>
      <w:r w:rsidRPr="006B63FC">
        <w:rPr>
          <w:rFonts w:ascii="Arial" w:hAnsi="Arial" w:cs="Arial"/>
          <w:sz w:val="24"/>
          <w:szCs w:val="24"/>
        </w:rPr>
        <w:t xml:space="preserve"> particularly as a single witness, was treated with caution</w:t>
      </w:r>
      <w:r w:rsidR="00730B32">
        <w:rPr>
          <w:rFonts w:ascii="Arial" w:hAnsi="Arial" w:cs="Arial"/>
          <w:sz w:val="24"/>
          <w:szCs w:val="24"/>
        </w:rPr>
        <w:t>. This was</w:t>
      </w:r>
      <w:r w:rsidRPr="006B63FC">
        <w:rPr>
          <w:rFonts w:ascii="Arial" w:hAnsi="Arial" w:cs="Arial"/>
          <w:sz w:val="24"/>
          <w:szCs w:val="24"/>
        </w:rPr>
        <w:t xml:space="preserve"> </w:t>
      </w:r>
      <w:r w:rsidR="00730B32">
        <w:rPr>
          <w:rFonts w:ascii="Arial" w:hAnsi="Arial" w:cs="Arial"/>
          <w:sz w:val="24"/>
          <w:szCs w:val="24"/>
        </w:rPr>
        <w:lastRenderedPageBreak/>
        <w:t>because</w:t>
      </w:r>
      <w:r w:rsidRPr="006B63FC">
        <w:rPr>
          <w:rFonts w:ascii="Arial" w:hAnsi="Arial" w:cs="Arial"/>
          <w:sz w:val="24"/>
          <w:szCs w:val="24"/>
        </w:rPr>
        <w:t xml:space="preserve"> cases prior to the advent of the Constitution (which provides in s 9 for equality of all before the law) stated </w:t>
      </w:r>
      <w:r w:rsidRPr="006B63FC">
        <w:rPr>
          <w:rFonts w:ascii="Arial" w:hAnsi="Arial" w:cs="Arial"/>
          <w:i/>
          <w:sz w:val="24"/>
          <w:szCs w:val="24"/>
        </w:rPr>
        <w:t>inter alia</w:t>
      </w:r>
      <w:r w:rsidRPr="006B63FC">
        <w:rPr>
          <w:rFonts w:ascii="Arial" w:hAnsi="Arial" w:cs="Arial"/>
          <w:sz w:val="24"/>
          <w:szCs w:val="24"/>
        </w:rPr>
        <w:t xml:space="preserve"> that a child witness could be manipulated to falsely implicate a particular person as the perpetrator (</w:t>
      </w:r>
      <w:r w:rsidR="00415EC0">
        <w:rPr>
          <w:rFonts w:ascii="Arial" w:hAnsi="Arial" w:cs="Arial"/>
          <w:sz w:val="24"/>
          <w:szCs w:val="24"/>
        </w:rPr>
        <w:t>thereby substituting</w:t>
      </w:r>
      <w:r w:rsidRPr="006B63FC">
        <w:rPr>
          <w:rFonts w:ascii="Arial" w:hAnsi="Arial" w:cs="Arial"/>
          <w:sz w:val="24"/>
          <w:szCs w:val="24"/>
        </w:rPr>
        <w:t xml:space="preserve"> the accused person for the real perpetrator). To ensure that the evidence of a child witness can be relied upon as </w:t>
      </w:r>
      <w:r w:rsidRPr="00415EC0">
        <w:rPr>
          <w:rFonts w:ascii="Arial" w:hAnsi="Arial" w:cs="Arial"/>
          <w:sz w:val="24"/>
          <w:szCs w:val="24"/>
        </w:rPr>
        <w:t>provided in s 208 of the CPA</w:t>
      </w:r>
      <w:r w:rsidR="00415EC0">
        <w:rPr>
          <w:rFonts w:ascii="Arial" w:hAnsi="Arial" w:cs="Arial"/>
          <w:sz w:val="24"/>
          <w:szCs w:val="24"/>
        </w:rPr>
        <w:t>,</w:t>
      </w:r>
      <w:r w:rsidRPr="00415EC0">
        <w:rPr>
          <w:rFonts w:ascii="Arial" w:hAnsi="Arial" w:cs="Arial"/>
          <w:sz w:val="24"/>
          <w:szCs w:val="24"/>
          <w:vertAlign w:val="superscript"/>
        </w:rPr>
        <w:footnoteReference w:id="3"/>
      </w:r>
      <w:r w:rsidRPr="00415EC0">
        <w:rPr>
          <w:rFonts w:ascii="Arial" w:hAnsi="Arial" w:cs="Arial"/>
          <w:sz w:val="24"/>
          <w:szCs w:val="24"/>
        </w:rPr>
        <w:t xml:space="preserve"> this Court stated in </w:t>
      </w:r>
      <w:r w:rsidRPr="00415EC0">
        <w:rPr>
          <w:rFonts w:ascii="Arial" w:hAnsi="Arial" w:cs="Arial"/>
          <w:i/>
          <w:sz w:val="24"/>
          <w:szCs w:val="24"/>
        </w:rPr>
        <w:t>Woji v Santam Insurance Co Ltd</w:t>
      </w:r>
      <w:r w:rsidRPr="000B3510">
        <w:rPr>
          <w:rFonts w:ascii="Arial" w:hAnsi="Arial" w:cs="Arial"/>
          <w:sz w:val="24"/>
          <w:szCs w:val="24"/>
        </w:rPr>
        <w:t>,</w:t>
      </w:r>
      <w:r w:rsidRPr="000B3510">
        <w:rPr>
          <w:rFonts w:ascii="Arial" w:hAnsi="Arial" w:cs="Arial"/>
          <w:sz w:val="24"/>
          <w:szCs w:val="24"/>
          <w:vertAlign w:val="superscript"/>
        </w:rPr>
        <w:footnoteReference w:id="4"/>
      </w:r>
      <w:r w:rsidRPr="000B3510">
        <w:rPr>
          <w:rFonts w:ascii="Arial" w:hAnsi="Arial" w:cs="Arial"/>
          <w:sz w:val="24"/>
          <w:szCs w:val="24"/>
        </w:rPr>
        <w:t xml:space="preserve"> </w:t>
      </w:r>
      <w:r w:rsidR="00415EC0">
        <w:rPr>
          <w:rFonts w:ascii="Arial" w:hAnsi="Arial" w:cs="Arial"/>
          <w:sz w:val="24"/>
          <w:szCs w:val="24"/>
        </w:rPr>
        <w:t xml:space="preserve">that </w:t>
      </w:r>
      <w:r w:rsidRPr="00415EC0">
        <w:rPr>
          <w:rFonts w:ascii="Arial" w:hAnsi="Arial" w:cs="Arial"/>
          <w:sz w:val="24"/>
          <w:szCs w:val="24"/>
        </w:rPr>
        <w:t xml:space="preserve">a court must be satisfied that their evidence is trustworthy. It noted factors which courts must take into account to come to the conclusion that the evidence is trustworthy, without creating a closed list. </w:t>
      </w:r>
      <w:r w:rsidR="00415EC0">
        <w:rPr>
          <w:rFonts w:ascii="Arial" w:hAnsi="Arial" w:cs="Arial"/>
          <w:sz w:val="24"/>
          <w:szCs w:val="24"/>
        </w:rPr>
        <w:t>In this regard, the</w:t>
      </w:r>
      <w:r w:rsidRPr="00415EC0">
        <w:rPr>
          <w:rFonts w:ascii="Arial" w:hAnsi="Arial" w:cs="Arial"/>
          <w:sz w:val="24"/>
          <w:szCs w:val="24"/>
        </w:rPr>
        <w:t xml:space="preserve"> court held:</w:t>
      </w:r>
      <w:r w:rsidR="006B63FC" w:rsidRPr="006B63FC">
        <w:rPr>
          <w:rFonts w:ascii="Arial" w:hAnsi="Arial" w:cs="Arial"/>
          <w:sz w:val="24"/>
          <w:szCs w:val="24"/>
        </w:rPr>
        <w:t xml:space="preserve"> </w:t>
      </w:r>
    </w:p>
    <w:p w14:paraId="306682C9" w14:textId="2BBCEA89" w:rsidR="006B63FC" w:rsidRPr="006B63FC" w:rsidRDefault="006B63FC" w:rsidP="006B63FC">
      <w:pPr>
        <w:pStyle w:val="ListParagraph"/>
        <w:spacing w:after="0" w:line="360" w:lineRule="auto"/>
        <w:ind w:left="0"/>
        <w:jc w:val="both"/>
        <w:rPr>
          <w:rFonts w:ascii="Arial" w:hAnsi="Arial" w:cs="Arial"/>
          <w:sz w:val="24"/>
          <w:szCs w:val="24"/>
        </w:rPr>
      </w:pPr>
      <w:r w:rsidRPr="00415EC0">
        <w:rPr>
          <w:rFonts w:ascii="Arial" w:hAnsi="Arial" w:cs="Arial"/>
        </w:rPr>
        <w:t>‘</w:t>
      </w:r>
      <w:r w:rsidRPr="00415EC0">
        <w:rPr>
          <w:rFonts w:ascii="Arial" w:hAnsi="Arial" w:cs="Arial"/>
          <w:i/>
        </w:rPr>
        <w:t>Trustworthiness</w:t>
      </w:r>
      <w:r w:rsidR="00887579">
        <w:rPr>
          <w:rFonts w:ascii="Arial" w:hAnsi="Arial" w:cs="Arial"/>
        </w:rPr>
        <w:t xml:space="preserve"> . . .</w:t>
      </w:r>
      <w:r w:rsidRPr="00415EC0">
        <w:rPr>
          <w:rFonts w:ascii="Arial" w:hAnsi="Arial" w:cs="Arial"/>
        </w:rPr>
        <w:t xml:space="preserve"> depends on factors such as </w:t>
      </w:r>
      <w:r w:rsidRPr="00415EC0">
        <w:rPr>
          <w:rFonts w:ascii="Arial" w:hAnsi="Arial" w:cs="Arial"/>
          <w:i/>
        </w:rPr>
        <w:t>the child’s power of observation</w:t>
      </w:r>
      <w:r w:rsidRPr="00415EC0">
        <w:rPr>
          <w:rFonts w:ascii="Arial" w:hAnsi="Arial" w:cs="Arial"/>
        </w:rPr>
        <w:t>, his power of recollection</w:t>
      </w:r>
      <w:r w:rsidR="00887579">
        <w:rPr>
          <w:rFonts w:ascii="Arial" w:hAnsi="Arial" w:cs="Arial"/>
        </w:rPr>
        <w:t>,</w:t>
      </w:r>
      <w:r w:rsidRPr="00415EC0">
        <w:rPr>
          <w:rFonts w:ascii="Arial" w:hAnsi="Arial" w:cs="Arial"/>
        </w:rPr>
        <w:t xml:space="preserve"> and his power of narration on the specific matter to be testified</w:t>
      </w:r>
      <w:r w:rsidR="00887579">
        <w:rPr>
          <w:rFonts w:ascii="Arial" w:hAnsi="Arial" w:cs="Arial"/>
        </w:rPr>
        <w:t>. . .</w:t>
      </w:r>
      <w:r w:rsidRPr="00415EC0">
        <w:rPr>
          <w:rFonts w:ascii="Arial" w:hAnsi="Arial" w:cs="Arial"/>
        </w:rPr>
        <w:t xml:space="preserve"> </w:t>
      </w:r>
      <w:r w:rsidR="00887579">
        <w:rPr>
          <w:rFonts w:ascii="Arial" w:hAnsi="Arial" w:cs="Arial"/>
        </w:rPr>
        <w:t xml:space="preserve">. </w:t>
      </w:r>
      <w:r w:rsidRPr="00415EC0">
        <w:rPr>
          <w:rFonts w:ascii="Arial" w:hAnsi="Arial" w:cs="Arial"/>
        </w:rPr>
        <w:t xml:space="preserve">His capacity of observation will depend on whether he appears </w:t>
      </w:r>
      <w:r w:rsidR="00887579">
        <w:rPr>
          <w:rFonts w:ascii="Arial" w:hAnsi="Arial" w:cs="Arial"/>
        </w:rPr>
        <w:t>“</w:t>
      </w:r>
      <w:r w:rsidRPr="00415EC0">
        <w:rPr>
          <w:rFonts w:ascii="Arial" w:hAnsi="Arial" w:cs="Arial"/>
        </w:rPr>
        <w:t>intelligent enough to observe</w:t>
      </w:r>
      <w:r w:rsidR="00887579">
        <w:rPr>
          <w:rFonts w:ascii="Arial" w:hAnsi="Arial" w:cs="Arial"/>
        </w:rPr>
        <w:t>”</w:t>
      </w:r>
      <w:r w:rsidRPr="00415EC0">
        <w:rPr>
          <w:rFonts w:ascii="Arial" w:hAnsi="Arial" w:cs="Arial"/>
        </w:rPr>
        <w:t>. Whether he ha</w:t>
      </w:r>
      <w:r w:rsidR="00887579">
        <w:rPr>
          <w:rFonts w:ascii="Arial" w:hAnsi="Arial" w:cs="Arial"/>
        </w:rPr>
        <w:t>s</w:t>
      </w:r>
      <w:r w:rsidRPr="00415EC0">
        <w:rPr>
          <w:rFonts w:ascii="Arial" w:hAnsi="Arial" w:cs="Arial"/>
        </w:rPr>
        <w:t xml:space="preserve"> the </w:t>
      </w:r>
      <w:r w:rsidRPr="00415EC0">
        <w:rPr>
          <w:rFonts w:ascii="Arial" w:hAnsi="Arial" w:cs="Arial"/>
          <w:i/>
        </w:rPr>
        <w:t>capacity of recollection</w:t>
      </w:r>
      <w:r w:rsidRPr="00415EC0">
        <w:rPr>
          <w:rFonts w:ascii="Arial" w:hAnsi="Arial" w:cs="Arial"/>
        </w:rPr>
        <w:t xml:space="preserve"> will depend again on whether he has </w:t>
      </w:r>
      <w:r w:rsidRPr="00415EC0">
        <w:rPr>
          <w:rFonts w:ascii="Arial" w:hAnsi="Arial" w:cs="Arial"/>
          <w:i/>
        </w:rPr>
        <w:t xml:space="preserve">sufficient years of discretion </w:t>
      </w:r>
      <w:r w:rsidR="00887579">
        <w:rPr>
          <w:rFonts w:ascii="Arial" w:hAnsi="Arial" w:cs="Arial"/>
          <w:i/>
        </w:rPr>
        <w:t>“</w:t>
      </w:r>
      <w:r w:rsidRPr="00415EC0">
        <w:rPr>
          <w:rFonts w:ascii="Arial" w:hAnsi="Arial" w:cs="Arial"/>
          <w:i/>
        </w:rPr>
        <w:t>to remember what occurs</w:t>
      </w:r>
      <w:r w:rsidR="00887579">
        <w:rPr>
          <w:rFonts w:ascii="Arial" w:hAnsi="Arial" w:cs="Arial"/>
          <w:i/>
        </w:rPr>
        <w:t>”</w:t>
      </w:r>
      <w:r w:rsidRPr="00415EC0">
        <w:rPr>
          <w:rFonts w:ascii="Arial" w:hAnsi="Arial" w:cs="Arial"/>
          <w:i/>
        </w:rPr>
        <w:t xml:space="preserve"> </w:t>
      </w:r>
      <w:r w:rsidRPr="00415EC0">
        <w:rPr>
          <w:rFonts w:ascii="Arial" w:hAnsi="Arial" w:cs="Arial"/>
        </w:rPr>
        <w:t xml:space="preserve">while the </w:t>
      </w:r>
      <w:r w:rsidRPr="00415EC0">
        <w:rPr>
          <w:rFonts w:ascii="Arial" w:hAnsi="Arial" w:cs="Arial"/>
          <w:i/>
        </w:rPr>
        <w:t>capacity of narration or communication</w:t>
      </w:r>
      <w:r w:rsidRPr="00415EC0">
        <w:rPr>
          <w:rFonts w:ascii="Arial" w:hAnsi="Arial" w:cs="Arial"/>
        </w:rPr>
        <w:t xml:space="preserve"> raises the question whether the child has </w:t>
      </w:r>
      <w:r w:rsidR="00887579">
        <w:rPr>
          <w:rFonts w:ascii="Arial" w:hAnsi="Arial" w:cs="Arial"/>
        </w:rPr>
        <w:t>the “</w:t>
      </w:r>
      <w:r w:rsidRPr="00415EC0">
        <w:rPr>
          <w:rFonts w:ascii="Arial" w:hAnsi="Arial" w:cs="Arial"/>
          <w:i/>
        </w:rPr>
        <w:t xml:space="preserve">capacity to understand the questions put, and to frame and </w:t>
      </w:r>
      <w:r w:rsidRPr="00887579">
        <w:rPr>
          <w:rFonts w:ascii="Arial" w:hAnsi="Arial" w:cs="Arial"/>
          <w:i/>
        </w:rPr>
        <w:t>express intelligent answers</w:t>
      </w:r>
      <w:r w:rsidRPr="00887579">
        <w:rPr>
          <w:rFonts w:ascii="Arial" w:hAnsi="Arial" w:cs="Arial"/>
        </w:rPr>
        <w:t>.</w:t>
      </w:r>
      <w:r w:rsidR="00887579">
        <w:rPr>
          <w:rFonts w:ascii="Arial" w:hAnsi="Arial" w:cs="Arial"/>
        </w:rPr>
        <w:t>”’</w:t>
      </w:r>
      <w:r w:rsidRPr="000B3510">
        <w:rPr>
          <w:rFonts w:ascii="Arial" w:hAnsi="Arial" w:cs="Arial"/>
        </w:rPr>
        <w:t xml:space="preserve"> (Emphasis added.)</w:t>
      </w:r>
    </w:p>
    <w:p w14:paraId="4B1DECCF" w14:textId="77777777" w:rsidR="006B63FC" w:rsidRPr="006B63FC" w:rsidRDefault="006B63FC" w:rsidP="006B63FC">
      <w:pPr>
        <w:spacing w:after="0" w:line="360" w:lineRule="auto"/>
        <w:jc w:val="both"/>
        <w:rPr>
          <w:rFonts w:ascii="Arial" w:hAnsi="Arial" w:cs="Arial"/>
          <w:sz w:val="24"/>
          <w:szCs w:val="24"/>
        </w:rPr>
      </w:pPr>
    </w:p>
    <w:p w14:paraId="7F9E7CFB" w14:textId="32BE55F8" w:rsidR="009C40B8" w:rsidRPr="006B63FC" w:rsidRDefault="006B63FC"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This Court has</w:t>
      </w:r>
      <w:r w:rsidR="006A1D00">
        <w:rPr>
          <w:rFonts w:ascii="Arial" w:hAnsi="Arial" w:cs="Arial"/>
          <w:sz w:val="24"/>
          <w:szCs w:val="24"/>
        </w:rPr>
        <w:t>,</w:t>
      </w:r>
      <w:r w:rsidRPr="006B63FC">
        <w:rPr>
          <w:rFonts w:ascii="Arial" w:hAnsi="Arial" w:cs="Arial"/>
          <w:sz w:val="24"/>
          <w:szCs w:val="24"/>
        </w:rPr>
        <w:t xml:space="preserve"> since </w:t>
      </w:r>
      <w:r w:rsidRPr="006B63FC">
        <w:rPr>
          <w:rFonts w:ascii="Arial" w:hAnsi="Arial" w:cs="Arial"/>
          <w:i/>
          <w:sz w:val="24"/>
          <w:szCs w:val="24"/>
        </w:rPr>
        <w:t>Woji</w:t>
      </w:r>
      <w:r w:rsidRPr="006B63FC">
        <w:rPr>
          <w:rFonts w:ascii="Arial" w:hAnsi="Arial" w:cs="Arial"/>
          <w:sz w:val="24"/>
          <w:szCs w:val="24"/>
        </w:rPr>
        <w:t>, cautioned against what is now commonly known as the double cautionary rule.</w:t>
      </w:r>
      <w:r w:rsidRPr="006B63FC">
        <w:rPr>
          <w:rFonts w:ascii="Arial" w:hAnsi="Arial" w:cs="Arial"/>
          <w:sz w:val="24"/>
          <w:szCs w:val="24"/>
          <w:vertAlign w:val="superscript"/>
        </w:rPr>
        <w:footnoteReference w:id="5"/>
      </w:r>
      <w:r w:rsidRPr="006B63FC">
        <w:rPr>
          <w:rFonts w:ascii="Arial" w:hAnsi="Arial" w:cs="Arial"/>
          <w:sz w:val="24"/>
          <w:szCs w:val="24"/>
        </w:rPr>
        <w:t xml:space="preserve"> It has stated that the double cautionary rule should not be used to disadvantage a child witness on that basis alone. The evidence of a child witness must be considered as a whole, taking into account all the evidence. This means</w:t>
      </w:r>
      <w:r w:rsidR="00D94C9E">
        <w:rPr>
          <w:rFonts w:ascii="Arial" w:hAnsi="Arial" w:cs="Arial"/>
          <w:sz w:val="24"/>
          <w:szCs w:val="24"/>
        </w:rPr>
        <w:t xml:space="preserve"> that,</w:t>
      </w:r>
      <w:r w:rsidRPr="006B63FC">
        <w:rPr>
          <w:rFonts w:ascii="Arial" w:hAnsi="Arial" w:cs="Arial"/>
          <w:sz w:val="24"/>
          <w:szCs w:val="24"/>
        </w:rPr>
        <w:t xml:space="preserve"> at the end of the case, the single child witness’s evidence</w:t>
      </w:r>
      <w:r w:rsidR="00D94C9E">
        <w:rPr>
          <w:rFonts w:ascii="Arial" w:hAnsi="Arial" w:cs="Arial"/>
          <w:sz w:val="24"/>
          <w:szCs w:val="24"/>
        </w:rPr>
        <w:t>,</w:t>
      </w:r>
      <w:r w:rsidRPr="006B63FC">
        <w:rPr>
          <w:rFonts w:ascii="Arial" w:hAnsi="Arial" w:cs="Arial"/>
          <w:sz w:val="24"/>
          <w:szCs w:val="24"/>
        </w:rPr>
        <w:t xml:space="preserve"> tested through (in most cases</w:t>
      </w:r>
      <w:r w:rsidR="00E17738">
        <w:rPr>
          <w:rFonts w:ascii="Arial" w:hAnsi="Arial" w:cs="Arial"/>
          <w:sz w:val="24"/>
          <w:szCs w:val="24"/>
        </w:rPr>
        <w:t>,</w:t>
      </w:r>
      <w:r w:rsidRPr="006B63FC">
        <w:rPr>
          <w:rFonts w:ascii="Arial" w:hAnsi="Arial" w:cs="Arial"/>
          <w:sz w:val="24"/>
          <w:szCs w:val="24"/>
        </w:rPr>
        <w:t xml:space="preserve"> rigorous) cross</w:t>
      </w:r>
      <w:r w:rsidR="00D94C9E">
        <w:rPr>
          <w:rFonts w:ascii="Arial" w:hAnsi="Arial" w:cs="Arial"/>
          <w:sz w:val="24"/>
          <w:szCs w:val="24"/>
        </w:rPr>
        <w:t>-</w:t>
      </w:r>
      <w:r w:rsidRPr="006B63FC">
        <w:rPr>
          <w:rFonts w:ascii="Arial" w:hAnsi="Arial" w:cs="Arial"/>
          <w:sz w:val="24"/>
          <w:szCs w:val="24"/>
        </w:rPr>
        <w:t>examination, should be ‘trustworthy’</w:t>
      </w:r>
      <w:r w:rsidR="00D94C9E">
        <w:rPr>
          <w:rFonts w:ascii="Arial" w:hAnsi="Arial" w:cs="Arial"/>
          <w:sz w:val="24"/>
          <w:szCs w:val="24"/>
        </w:rPr>
        <w:t>.</w:t>
      </w:r>
      <w:r w:rsidRPr="006B63FC">
        <w:rPr>
          <w:rFonts w:ascii="Arial" w:hAnsi="Arial" w:cs="Arial"/>
          <w:sz w:val="24"/>
          <w:szCs w:val="24"/>
        </w:rPr>
        <w:t xml:space="preserve"> </w:t>
      </w:r>
      <w:r w:rsidR="00D94C9E">
        <w:rPr>
          <w:rFonts w:ascii="Arial" w:hAnsi="Arial" w:cs="Arial"/>
          <w:sz w:val="24"/>
          <w:szCs w:val="24"/>
        </w:rPr>
        <w:t>This</w:t>
      </w:r>
      <w:r w:rsidRPr="006B63FC">
        <w:rPr>
          <w:rFonts w:ascii="Arial" w:hAnsi="Arial" w:cs="Arial"/>
          <w:sz w:val="24"/>
          <w:szCs w:val="24"/>
        </w:rPr>
        <w:t xml:space="preserve"> is dependent on whether the child witness could narrate their story and communicate appropriately, could answer questions posed and then frame and express intelligent answers. </w:t>
      </w:r>
      <w:r w:rsidR="00D94C9E">
        <w:rPr>
          <w:rFonts w:ascii="Arial" w:hAnsi="Arial" w:cs="Arial"/>
          <w:sz w:val="24"/>
          <w:szCs w:val="24"/>
        </w:rPr>
        <w:t>Furthermore, the</w:t>
      </w:r>
      <w:r w:rsidRPr="006B63FC">
        <w:rPr>
          <w:rFonts w:ascii="Arial" w:hAnsi="Arial" w:cs="Arial"/>
          <w:sz w:val="24"/>
          <w:szCs w:val="24"/>
        </w:rPr>
        <w:t xml:space="preserve"> child witness’</w:t>
      </w:r>
      <w:r w:rsidR="00D94C9E">
        <w:rPr>
          <w:rFonts w:ascii="Arial" w:hAnsi="Arial" w:cs="Arial"/>
          <w:sz w:val="24"/>
          <w:szCs w:val="24"/>
        </w:rPr>
        <w:t>s</w:t>
      </w:r>
      <w:r w:rsidRPr="006B63FC">
        <w:rPr>
          <w:rFonts w:ascii="Arial" w:hAnsi="Arial" w:cs="Arial"/>
          <w:sz w:val="24"/>
          <w:szCs w:val="24"/>
        </w:rPr>
        <w:t xml:space="preserve"> evidence must not have changed dramatically, the essence of their allegations should still stand. Once this is the case, a court is bound to accept the evidence as satisfactory in all respects; having considered it against that of an accused person. ‘Satisfactory in all respects’ should not mean the evidence line-by-line. But</w:t>
      </w:r>
      <w:r w:rsidR="00D94C9E">
        <w:rPr>
          <w:rFonts w:ascii="Arial" w:hAnsi="Arial" w:cs="Arial"/>
          <w:sz w:val="24"/>
          <w:szCs w:val="24"/>
        </w:rPr>
        <w:t>,</w:t>
      </w:r>
      <w:r w:rsidRPr="006B63FC">
        <w:rPr>
          <w:rFonts w:ascii="Arial" w:hAnsi="Arial" w:cs="Arial"/>
          <w:sz w:val="24"/>
          <w:szCs w:val="24"/>
        </w:rPr>
        <w:t xml:space="preserve"> in the overall scheme of things</w:t>
      </w:r>
      <w:r w:rsidR="00D94C9E">
        <w:rPr>
          <w:rFonts w:ascii="Arial" w:hAnsi="Arial" w:cs="Arial"/>
          <w:sz w:val="24"/>
          <w:szCs w:val="24"/>
        </w:rPr>
        <w:t>,</w:t>
      </w:r>
      <w:r w:rsidRPr="006B63FC">
        <w:rPr>
          <w:rFonts w:ascii="Arial" w:hAnsi="Arial" w:cs="Arial"/>
          <w:sz w:val="24"/>
          <w:szCs w:val="24"/>
        </w:rPr>
        <w:t xml:space="preserve"> accept</w:t>
      </w:r>
      <w:r w:rsidR="00D94C9E">
        <w:rPr>
          <w:rFonts w:ascii="Arial" w:hAnsi="Arial" w:cs="Arial"/>
          <w:sz w:val="24"/>
          <w:szCs w:val="24"/>
        </w:rPr>
        <w:t>ing</w:t>
      </w:r>
      <w:r w:rsidRPr="006B63FC">
        <w:rPr>
          <w:rFonts w:ascii="Arial" w:hAnsi="Arial" w:cs="Arial"/>
          <w:sz w:val="24"/>
          <w:szCs w:val="24"/>
        </w:rPr>
        <w:t xml:space="preserve"> the discrepancies that may </w:t>
      </w:r>
      <w:r w:rsidRPr="006B63FC">
        <w:rPr>
          <w:rFonts w:ascii="Arial" w:hAnsi="Arial" w:cs="Arial"/>
          <w:sz w:val="24"/>
          <w:szCs w:val="24"/>
        </w:rPr>
        <w:lastRenderedPageBreak/>
        <w:t xml:space="preserve">have crept in, the evidence can be relied upon to decide upon the guilt of an accused person. What this Court in </w:t>
      </w:r>
      <w:r w:rsidRPr="006B63FC">
        <w:rPr>
          <w:rFonts w:ascii="Arial" w:hAnsi="Arial" w:cs="Arial"/>
          <w:i/>
          <w:sz w:val="24"/>
          <w:szCs w:val="24"/>
        </w:rPr>
        <w:t>S v Hadebe</w:t>
      </w:r>
      <w:r w:rsidRPr="006B63FC">
        <w:rPr>
          <w:rFonts w:ascii="Arial" w:hAnsi="Arial" w:cs="Arial"/>
          <w:sz w:val="24"/>
          <w:szCs w:val="24"/>
          <w:vertAlign w:val="superscript"/>
        </w:rPr>
        <w:footnoteReference w:id="6"/>
      </w:r>
      <w:r w:rsidRPr="006B63FC">
        <w:rPr>
          <w:rFonts w:ascii="Arial" w:hAnsi="Arial" w:cs="Arial"/>
          <w:sz w:val="24"/>
          <w:szCs w:val="24"/>
        </w:rPr>
        <w:t xml:space="preserve"> calls the necessity to step back a pace (after a detailed and critical examination of each and every component in the body of evidence)</w:t>
      </w:r>
      <w:r w:rsidR="00D94C9E">
        <w:rPr>
          <w:rFonts w:ascii="Arial" w:hAnsi="Arial" w:cs="Arial"/>
          <w:sz w:val="24"/>
          <w:szCs w:val="24"/>
        </w:rPr>
        <w:t>,</w:t>
      </w:r>
      <w:r w:rsidRPr="006B63FC">
        <w:rPr>
          <w:rFonts w:ascii="Arial" w:hAnsi="Arial" w:cs="Arial"/>
          <w:sz w:val="24"/>
          <w:szCs w:val="24"/>
        </w:rPr>
        <w:t xml:space="preserve"> lest one may fail to see the wood for the trees.</w:t>
      </w:r>
      <w:r w:rsidRPr="006B63FC">
        <w:rPr>
          <w:rFonts w:ascii="Arial" w:hAnsi="Arial" w:cs="Arial"/>
          <w:sz w:val="24"/>
          <w:szCs w:val="24"/>
          <w:vertAlign w:val="superscript"/>
        </w:rPr>
        <w:footnoteReference w:id="7"/>
      </w:r>
      <w:r w:rsidRPr="006B63FC">
        <w:rPr>
          <w:rFonts w:ascii="Arial" w:hAnsi="Arial" w:cs="Arial"/>
          <w:sz w:val="24"/>
          <w:szCs w:val="24"/>
        </w:rPr>
        <w:t xml:space="preserve"> This position has been crystallised by the Legislature in s 60 of the Criminal Law (Sexual Offences and Related Matters) Amendment Act 32 of 2007</w:t>
      </w:r>
      <w:r w:rsidR="00301700">
        <w:rPr>
          <w:rFonts w:ascii="Arial" w:hAnsi="Arial" w:cs="Arial"/>
          <w:sz w:val="24"/>
          <w:szCs w:val="24"/>
        </w:rPr>
        <w:t>,</w:t>
      </w:r>
      <w:r w:rsidRPr="006B63FC">
        <w:rPr>
          <w:rFonts w:ascii="Arial" w:hAnsi="Arial" w:cs="Arial"/>
          <w:sz w:val="24"/>
          <w:szCs w:val="24"/>
        </w:rPr>
        <w:t xml:space="preserve"> which provides that:</w:t>
      </w:r>
    </w:p>
    <w:p w14:paraId="460E7EC5" w14:textId="7969B6C2" w:rsidR="006B63FC" w:rsidRPr="00301700" w:rsidRDefault="006B63FC" w:rsidP="006B63FC">
      <w:pPr>
        <w:spacing w:after="0" w:line="360" w:lineRule="auto"/>
        <w:jc w:val="both"/>
        <w:rPr>
          <w:rFonts w:ascii="Arial" w:hAnsi="Arial" w:cs="Arial"/>
        </w:rPr>
      </w:pPr>
      <w:r w:rsidRPr="00301700">
        <w:rPr>
          <w:rFonts w:ascii="Arial" w:hAnsi="Arial" w:cs="Arial"/>
        </w:rPr>
        <w:t>‘Notwithstanding any other law, a court may not treat the evidence of a complainant in criminal proceedings involving the alleged commission of a sexual offence pending before that court</w:t>
      </w:r>
      <w:r w:rsidR="00400A7D">
        <w:rPr>
          <w:rFonts w:ascii="Arial" w:hAnsi="Arial" w:cs="Arial"/>
        </w:rPr>
        <w:t>,</w:t>
      </w:r>
      <w:r w:rsidRPr="00301700">
        <w:rPr>
          <w:rFonts w:ascii="Arial" w:hAnsi="Arial" w:cs="Arial"/>
        </w:rPr>
        <w:t xml:space="preserve"> with caution, on account of the nature of the offence.’</w:t>
      </w:r>
    </w:p>
    <w:p w14:paraId="61D1F1AA" w14:textId="77777777" w:rsidR="006B63FC" w:rsidRPr="006B63FC" w:rsidRDefault="006B63FC" w:rsidP="006B63FC">
      <w:pPr>
        <w:pStyle w:val="ListParagraph"/>
        <w:spacing w:after="0" w:line="360" w:lineRule="auto"/>
        <w:jc w:val="both"/>
        <w:rPr>
          <w:rFonts w:ascii="Arial" w:hAnsi="Arial" w:cs="Arial"/>
          <w:sz w:val="24"/>
          <w:szCs w:val="24"/>
        </w:rPr>
      </w:pPr>
    </w:p>
    <w:p w14:paraId="22834D2E" w14:textId="300B4ABD"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As indicated, in his defence the appellant raised an alibi that he was at work when the complainant was raped. </w:t>
      </w:r>
      <w:r w:rsidR="00400A7D">
        <w:rPr>
          <w:rFonts w:ascii="Arial" w:hAnsi="Arial" w:cs="Arial"/>
          <w:sz w:val="24"/>
          <w:szCs w:val="24"/>
        </w:rPr>
        <w:t>However, this</w:t>
      </w:r>
      <w:r w:rsidRPr="006B63FC">
        <w:rPr>
          <w:rFonts w:ascii="Arial" w:hAnsi="Arial" w:cs="Arial"/>
          <w:sz w:val="24"/>
          <w:szCs w:val="24"/>
        </w:rPr>
        <w:t xml:space="preserve"> was not put to the witnesses. Nor was it stated in his plea explanation</w:t>
      </w:r>
      <w:r w:rsidR="00400A7D">
        <w:rPr>
          <w:rFonts w:ascii="Arial" w:hAnsi="Arial" w:cs="Arial"/>
          <w:sz w:val="24"/>
          <w:szCs w:val="24"/>
        </w:rPr>
        <w:t>,</w:t>
      </w:r>
      <w:r w:rsidRPr="006B63FC">
        <w:rPr>
          <w:rFonts w:ascii="Arial" w:hAnsi="Arial" w:cs="Arial"/>
          <w:sz w:val="24"/>
          <w:szCs w:val="24"/>
        </w:rPr>
        <w:t xml:space="preserve"> as the plea tendered on his behalf by his counsel was that of a bare denial.</w:t>
      </w:r>
    </w:p>
    <w:p w14:paraId="750E5808" w14:textId="77777777" w:rsidR="006B63FC" w:rsidRPr="006B63FC" w:rsidRDefault="006B63FC" w:rsidP="006B63FC">
      <w:pPr>
        <w:pStyle w:val="ListParagraph"/>
        <w:spacing w:after="0" w:line="360" w:lineRule="auto"/>
        <w:ind w:left="0"/>
        <w:jc w:val="both"/>
        <w:rPr>
          <w:rFonts w:ascii="Arial" w:hAnsi="Arial" w:cs="Arial"/>
          <w:sz w:val="24"/>
          <w:szCs w:val="24"/>
        </w:rPr>
      </w:pPr>
    </w:p>
    <w:p w14:paraId="560EABF8" w14:textId="60FF2738"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It is trite that an accused person is entitled to raise any defence</w:t>
      </w:r>
      <w:r w:rsidR="00400A7D">
        <w:rPr>
          <w:rFonts w:ascii="Arial" w:hAnsi="Arial" w:cs="Arial"/>
          <w:sz w:val="24"/>
          <w:szCs w:val="24"/>
        </w:rPr>
        <w:t>,</w:t>
      </w:r>
      <w:r w:rsidRPr="006B63FC">
        <w:rPr>
          <w:rFonts w:ascii="Arial" w:hAnsi="Arial" w:cs="Arial"/>
          <w:sz w:val="24"/>
          <w:szCs w:val="24"/>
        </w:rPr>
        <w:t xml:space="preserve"> including that of an alibi – that at the time of the commission of the crime, they were not at the scene of the crime but somewhere else. They can </w:t>
      </w:r>
      <w:r w:rsidR="00400A7D">
        <w:rPr>
          <w:rFonts w:ascii="Arial" w:hAnsi="Arial" w:cs="Arial"/>
          <w:sz w:val="24"/>
          <w:szCs w:val="24"/>
        </w:rPr>
        <w:t xml:space="preserve">also </w:t>
      </w:r>
      <w:r w:rsidRPr="006B63FC">
        <w:rPr>
          <w:rFonts w:ascii="Arial" w:hAnsi="Arial" w:cs="Arial"/>
          <w:sz w:val="24"/>
          <w:szCs w:val="24"/>
        </w:rPr>
        <w:t xml:space="preserve">lead evidence of a witness(es) to corroborate them on their whereabouts at the critical time. </w:t>
      </w:r>
      <w:r w:rsidR="002C0172">
        <w:rPr>
          <w:rFonts w:ascii="Arial" w:hAnsi="Arial" w:cs="Arial"/>
          <w:sz w:val="24"/>
          <w:szCs w:val="24"/>
        </w:rPr>
        <w:t>Nevertheless, it</w:t>
      </w:r>
      <w:r w:rsidRPr="006B63FC">
        <w:rPr>
          <w:rFonts w:ascii="Arial" w:hAnsi="Arial" w:cs="Arial"/>
          <w:sz w:val="24"/>
          <w:szCs w:val="24"/>
        </w:rPr>
        <w:t xml:space="preserve"> is trite that an accused person who raises the defence is under no duty (as opposed to that of the State) to prove his defence. If the defence is reasonably possibly true, they are entitled to be discharged and found </w:t>
      </w:r>
      <w:r w:rsidRPr="002C0172">
        <w:rPr>
          <w:rFonts w:ascii="Arial" w:hAnsi="Arial" w:cs="Arial"/>
          <w:sz w:val="24"/>
          <w:szCs w:val="24"/>
        </w:rPr>
        <w:t>not guilty.</w:t>
      </w:r>
      <w:r w:rsidRPr="002C0172">
        <w:rPr>
          <w:rFonts w:ascii="Arial" w:hAnsi="Arial" w:cs="Arial"/>
          <w:sz w:val="24"/>
          <w:szCs w:val="24"/>
          <w:vertAlign w:val="superscript"/>
        </w:rPr>
        <w:footnoteReference w:id="8"/>
      </w:r>
    </w:p>
    <w:p w14:paraId="5BAE1AA5" w14:textId="77777777" w:rsidR="006B63FC" w:rsidRPr="006B63FC" w:rsidRDefault="006B63FC" w:rsidP="006B63FC">
      <w:pPr>
        <w:pStyle w:val="ListParagraph"/>
        <w:spacing w:after="0" w:line="360" w:lineRule="auto"/>
        <w:jc w:val="both"/>
        <w:rPr>
          <w:rFonts w:ascii="Arial" w:hAnsi="Arial" w:cs="Arial"/>
          <w:sz w:val="24"/>
          <w:szCs w:val="24"/>
        </w:rPr>
      </w:pPr>
    </w:p>
    <w:p w14:paraId="66BB9806" w14:textId="157AD3EE"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The only responsibility an accused person bears with regards to their alibi defence is to raise the defence at the earliest opportunity. The reason is simple: </w:t>
      </w:r>
      <w:r w:rsidR="00FA0BF9">
        <w:rPr>
          <w:rFonts w:ascii="Arial" w:hAnsi="Arial" w:cs="Arial"/>
          <w:sz w:val="24"/>
          <w:szCs w:val="24"/>
        </w:rPr>
        <w:t>t</w:t>
      </w:r>
      <w:r w:rsidRPr="006B63FC">
        <w:rPr>
          <w:rFonts w:ascii="Arial" w:hAnsi="Arial" w:cs="Arial"/>
          <w:sz w:val="24"/>
          <w:szCs w:val="24"/>
        </w:rPr>
        <w:t xml:space="preserve">o give the police and the prosecution the opportunity to investigate the defence and bring it to the attention of the court. In appropriate cases, </w:t>
      </w:r>
      <w:r w:rsidR="000B3510">
        <w:rPr>
          <w:rFonts w:ascii="Arial" w:hAnsi="Arial" w:cs="Arial"/>
          <w:sz w:val="24"/>
          <w:szCs w:val="24"/>
        </w:rPr>
        <w:t xml:space="preserve">in practice, </w:t>
      </w:r>
      <w:r w:rsidRPr="006B63FC">
        <w:rPr>
          <w:rFonts w:ascii="Arial" w:hAnsi="Arial" w:cs="Arial"/>
          <w:sz w:val="24"/>
          <w:szCs w:val="24"/>
        </w:rPr>
        <w:t xml:space="preserve">the prosecution can even withdraw the charge should the alibi defence, after investigations, </w:t>
      </w:r>
      <w:r w:rsidRPr="008B3D0A">
        <w:rPr>
          <w:rFonts w:ascii="Arial" w:hAnsi="Arial" w:cs="Arial"/>
          <w:sz w:val="24"/>
          <w:szCs w:val="24"/>
        </w:rPr>
        <w:t>prove to be solid.</w:t>
      </w:r>
    </w:p>
    <w:p w14:paraId="2E05242D" w14:textId="77777777" w:rsidR="006B63FC" w:rsidRPr="006B63FC" w:rsidRDefault="006B63FC" w:rsidP="006B63FC">
      <w:pPr>
        <w:pStyle w:val="ListParagraph"/>
        <w:spacing w:after="0" w:line="360" w:lineRule="auto"/>
        <w:jc w:val="both"/>
        <w:rPr>
          <w:rFonts w:ascii="Arial" w:hAnsi="Arial" w:cs="Arial"/>
          <w:sz w:val="24"/>
          <w:szCs w:val="24"/>
        </w:rPr>
      </w:pPr>
    </w:p>
    <w:p w14:paraId="3E09D993" w14:textId="24E988FC" w:rsidR="006B63FC" w:rsidRPr="006B63FC" w:rsidRDefault="006B63FC"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lastRenderedPageBreak/>
        <w:t xml:space="preserve">The alibi defence has received the attention of </w:t>
      </w:r>
      <w:r w:rsidR="005D3EF3">
        <w:rPr>
          <w:rFonts w:ascii="Arial" w:hAnsi="Arial" w:cs="Arial"/>
          <w:sz w:val="24"/>
          <w:szCs w:val="24"/>
        </w:rPr>
        <w:t>our</w:t>
      </w:r>
      <w:r w:rsidRPr="006B63FC">
        <w:rPr>
          <w:rFonts w:ascii="Arial" w:hAnsi="Arial" w:cs="Arial"/>
          <w:sz w:val="24"/>
          <w:szCs w:val="24"/>
        </w:rPr>
        <w:t xml:space="preserve"> courts, in particular that of the Constitutional Court in </w:t>
      </w:r>
      <w:r w:rsidR="00BE2497" w:rsidRPr="008B3D0A">
        <w:rPr>
          <w:rFonts w:ascii="Arial" w:hAnsi="Arial" w:cs="Arial"/>
          <w:i/>
          <w:sz w:val="24"/>
          <w:szCs w:val="24"/>
        </w:rPr>
        <w:t>Thebus</w:t>
      </w:r>
      <w:r w:rsidR="00BE2497" w:rsidRPr="006B63FC">
        <w:rPr>
          <w:rFonts w:ascii="Arial" w:hAnsi="Arial" w:cs="Arial"/>
          <w:i/>
          <w:sz w:val="24"/>
          <w:szCs w:val="24"/>
        </w:rPr>
        <w:t xml:space="preserve"> v </w:t>
      </w:r>
      <w:r w:rsidRPr="006B63FC">
        <w:rPr>
          <w:rFonts w:ascii="Arial" w:hAnsi="Arial" w:cs="Arial"/>
          <w:i/>
          <w:sz w:val="24"/>
          <w:szCs w:val="24"/>
        </w:rPr>
        <w:t>S</w:t>
      </w:r>
      <w:r w:rsidR="008B3D0A" w:rsidRPr="000B3510">
        <w:rPr>
          <w:rFonts w:ascii="Arial" w:hAnsi="Arial" w:cs="Arial"/>
          <w:sz w:val="24"/>
          <w:szCs w:val="24"/>
        </w:rPr>
        <w:t>,</w:t>
      </w:r>
      <w:r w:rsidRPr="000B3510">
        <w:rPr>
          <w:rFonts w:ascii="Arial" w:hAnsi="Arial" w:cs="Arial"/>
          <w:sz w:val="24"/>
          <w:szCs w:val="24"/>
          <w:vertAlign w:val="superscript"/>
        </w:rPr>
        <w:footnoteReference w:id="9"/>
      </w:r>
      <w:r w:rsidRPr="008B3D0A">
        <w:rPr>
          <w:rFonts w:ascii="Arial" w:hAnsi="Arial" w:cs="Arial"/>
          <w:sz w:val="24"/>
          <w:szCs w:val="24"/>
        </w:rPr>
        <w:t xml:space="preserve"> where it is</w:t>
      </w:r>
      <w:r w:rsidRPr="006B63FC">
        <w:rPr>
          <w:rFonts w:ascii="Arial" w:hAnsi="Arial" w:cs="Arial"/>
          <w:sz w:val="24"/>
          <w:szCs w:val="24"/>
        </w:rPr>
        <w:t xml:space="preserve"> stated:</w:t>
      </w:r>
    </w:p>
    <w:p w14:paraId="0B8C0140" w14:textId="31199AAF" w:rsidR="005D3EF3" w:rsidRDefault="006B63FC" w:rsidP="006B63FC">
      <w:pPr>
        <w:spacing w:after="0" w:line="360" w:lineRule="auto"/>
        <w:jc w:val="both"/>
        <w:rPr>
          <w:rFonts w:ascii="Arial" w:hAnsi="Arial" w:cs="Arial"/>
        </w:rPr>
      </w:pPr>
      <w:r w:rsidRPr="008B3D0A">
        <w:rPr>
          <w:rFonts w:ascii="Arial" w:hAnsi="Arial" w:cs="Arial"/>
        </w:rPr>
        <w:t>‘</w:t>
      </w:r>
      <w:r w:rsidR="005D3EF3">
        <w:rPr>
          <w:rFonts w:ascii="Arial" w:hAnsi="Arial" w:cs="Arial"/>
        </w:rPr>
        <w:t xml:space="preserve">. . . </w:t>
      </w:r>
      <w:r w:rsidRPr="008B3D0A">
        <w:rPr>
          <w:rFonts w:ascii="Arial" w:hAnsi="Arial" w:cs="Arial"/>
        </w:rPr>
        <w:t xml:space="preserve">[A] </w:t>
      </w:r>
      <w:r w:rsidRPr="008B3D0A">
        <w:rPr>
          <w:rFonts w:ascii="Arial" w:hAnsi="Arial" w:cs="Arial"/>
          <w:i/>
        </w:rPr>
        <w:t>failure to disclose an alibi timeously</w:t>
      </w:r>
      <w:r w:rsidRPr="008B3D0A">
        <w:rPr>
          <w:rFonts w:ascii="Arial" w:hAnsi="Arial" w:cs="Arial"/>
        </w:rPr>
        <w:t xml:space="preserve"> has consequences in the evaluation of the evidence as a whole </w:t>
      </w:r>
      <w:r w:rsidR="00984335">
        <w:rPr>
          <w:rFonts w:ascii="Arial" w:hAnsi="Arial" w:cs="Arial"/>
        </w:rPr>
        <w:t xml:space="preserve">[and] </w:t>
      </w:r>
      <w:r w:rsidRPr="008B3D0A">
        <w:rPr>
          <w:rFonts w:ascii="Arial" w:hAnsi="Arial" w:cs="Arial"/>
        </w:rPr>
        <w:t xml:space="preserve">is consistent with the views expressed by Tindall JA in </w:t>
      </w:r>
      <w:r w:rsidR="005D3EF3" w:rsidRPr="005D3EF3">
        <w:rPr>
          <w:rFonts w:ascii="Arial" w:hAnsi="Arial" w:cs="Arial"/>
          <w:i/>
          <w:iCs/>
        </w:rPr>
        <w:t>R v</w:t>
      </w:r>
      <w:r w:rsidR="005D3EF3" w:rsidRPr="005D3EF3">
        <w:rPr>
          <w:rFonts w:ascii="Arial" w:hAnsi="Arial" w:cs="Arial"/>
        </w:rPr>
        <w:t> </w:t>
      </w:r>
      <w:r w:rsidR="005D3EF3" w:rsidRPr="005D3EF3">
        <w:rPr>
          <w:rFonts w:ascii="Arial" w:hAnsi="Arial" w:cs="Arial"/>
          <w:i/>
          <w:iCs/>
        </w:rPr>
        <w:t>Mashelele</w:t>
      </w:r>
      <w:r w:rsidR="005D3EF3">
        <w:rPr>
          <w:rFonts w:ascii="Arial" w:hAnsi="Arial" w:cs="Arial"/>
          <w:iCs/>
        </w:rPr>
        <w:t>.</w:t>
      </w:r>
      <w:r w:rsidR="005D3EF3" w:rsidRPr="005D3EF3" w:rsidDel="005D3EF3">
        <w:rPr>
          <w:rFonts w:ascii="Arial" w:hAnsi="Arial" w:cs="Arial"/>
        </w:rPr>
        <w:t xml:space="preserve"> </w:t>
      </w:r>
      <w:r w:rsidRPr="008B3D0A">
        <w:rPr>
          <w:rFonts w:ascii="Arial" w:hAnsi="Arial" w:cs="Arial"/>
        </w:rPr>
        <w:t xml:space="preserve">After stating that an adverse inference of guilt cannot be drawn from the failure to disclose an alibi timeously, Tindall JA goes on to say: </w:t>
      </w:r>
    </w:p>
    <w:p w14:paraId="6A1616E4" w14:textId="14B4296E" w:rsidR="006B63FC" w:rsidRPr="006B63FC" w:rsidRDefault="006B63FC" w:rsidP="006B63FC">
      <w:pPr>
        <w:spacing w:after="0" w:line="360" w:lineRule="auto"/>
        <w:jc w:val="both"/>
        <w:rPr>
          <w:rFonts w:ascii="Arial" w:hAnsi="Arial" w:cs="Arial"/>
          <w:sz w:val="24"/>
          <w:szCs w:val="24"/>
        </w:rPr>
      </w:pPr>
      <w:r w:rsidRPr="008B3D0A">
        <w:rPr>
          <w:rFonts w:ascii="Arial" w:hAnsi="Arial" w:cs="Arial"/>
        </w:rPr>
        <w:t xml:space="preserve">“But where the presiding Judge merely tells the jury that, as the accused did not disclose his explanation or the alibi at the preparatory examination, the prosecution has not had an opportunity of testing its truth and that therefore it may fairly be said that </w:t>
      </w:r>
      <w:r w:rsidRPr="008B3D0A">
        <w:rPr>
          <w:rFonts w:ascii="Arial" w:hAnsi="Arial" w:cs="Arial"/>
          <w:i/>
        </w:rPr>
        <w:t>the defence relied on has not the same weight or the same persuasive force as it would have had if it had been disclosed before and had not been met by evidence specially directed towards destroying the particular defence</w:t>
      </w:r>
      <w:r w:rsidRPr="008B3D0A">
        <w:rPr>
          <w:rFonts w:ascii="Arial" w:hAnsi="Arial" w:cs="Arial"/>
        </w:rPr>
        <w:t>, this does not constitute a misdirection.</w:t>
      </w:r>
      <w:r w:rsidR="005D3EF3">
        <w:rPr>
          <w:rFonts w:ascii="Arial" w:hAnsi="Arial" w:cs="Arial"/>
        </w:rPr>
        <w:t>”</w:t>
      </w:r>
      <w:r w:rsidRPr="008B3D0A">
        <w:rPr>
          <w:rFonts w:ascii="Arial" w:hAnsi="Arial" w:cs="Arial"/>
        </w:rPr>
        <w:t>’</w:t>
      </w:r>
      <w:r w:rsidR="0030786E">
        <w:rPr>
          <w:rStyle w:val="FootnoteReference"/>
          <w:rFonts w:ascii="Arial" w:hAnsi="Arial" w:cs="Arial"/>
        </w:rPr>
        <w:footnoteReference w:id="10"/>
      </w:r>
      <w:r w:rsidRPr="000B3510">
        <w:rPr>
          <w:rFonts w:ascii="Arial" w:hAnsi="Arial" w:cs="Arial"/>
        </w:rPr>
        <w:t xml:space="preserve"> (Emphasis added.)</w:t>
      </w:r>
    </w:p>
    <w:p w14:paraId="728A0F3B" w14:textId="77777777" w:rsidR="006B63FC" w:rsidRPr="006B63FC" w:rsidRDefault="006B63FC" w:rsidP="006B63FC">
      <w:pPr>
        <w:spacing w:after="0" w:line="360" w:lineRule="auto"/>
        <w:jc w:val="both"/>
        <w:rPr>
          <w:rFonts w:ascii="Arial" w:hAnsi="Arial" w:cs="Arial"/>
          <w:sz w:val="24"/>
          <w:szCs w:val="24"/>
        </w:rPr>
      </w:pPr>
    </w:p>
    <w:p w14:paraId="20E74D25" w14:textId="54678D43"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Having said that, and taking into consideration the concession by the State, undoubtedly, the admission of the warning statement by both courts was a material misdirection which would (ordinarily) have vitiated these proceedings</w:t>
      </w:r>
      <w:r w:rsidR="00982A06">
        <w:rPr>
          <w:rFonts w:ascii="Arial" w:hAnsi="Arial" w:cs="Arial"/>
          <w:sz w:val="24"/>
          <w:szCs w:val="24"/>
        </w:rPr>
        <w:t>,</w:t>
      </w:r>
      <w:r w:rsidRPr="006B63FC">
        <w:rPr>
          <w:rFonts w:ascii="Arial" w:hAnsi="Arial" w:cs="Arial"/>
          <w:sz w:val="24"/>
          <w:szCs w:val="24"/>
        </w:rPr>
        <w:t xml:space="preserve"> as it was not in the interest</w:t>
      </w:r>
      <w:r w:rsidR="00982A06">
        <w:rPr>
          <w:rFonts w:ascii="Arial" w:hAnsi="Arial" w:cs="Arial"/>
          <w:sz w:val="24"/>
          <w:szCs w:val="24"/>
        </w:rPr>
        <w:t>s</w:t>
      </w:r>
      <w:r w:rsidRPr="006B63FC">
        <w:rPr>
          <w:rFonts w:ascii="Arial" w:hAnsi="Arial" w:cs="Arial"/>
          <w:sz w:val="24"/>
          <w:szCs w:val="24"/>
        </w:rPr>
        <w:t xml:space="preserve"> of justice or public interest for the warning statement to have been admitted. This means</w:t>
      </w:r>
      <w:r w:rsidR="00982A06">
        <w:rPr>
          <w:rFonts w:ascii="Arial" w:hAnsi="Arial" w:cs="Arial"/>
          <w:sz w:val="24"/>
          <w:szCs w:val="24"/>
        </w:rPr>
        <w:t xml:space="preserve"> that</w:t>
      </w:r>
      <w:r w:rsidRPr="006B63FC">
        <w:rPr>
          <w:rFonts w:ascii="Arial" w:hAnsi="Arial" w:cs="Arial"/>
          <w:sz w:val="24"/>
          <w:szCs w:val="24"/>
        </w:rPr>
        <w:t xml:space="preserve"> the evidence of the State should have been considered without the warning statement. </w:t>
      </w:r>
    </w:p>
    <w:p w14:paraId="6C413447" w14:textId="77777777" w:rsidR="006B63FC" w:rsidRPr="006B63FC" w:rsidRDefault="006B63FC" w:rsidP="006B63FC">
      <w:pPr>
        <w:pStyle w:val="ListParagraph"/>
        <w:spacing w:after="0" w:line="360" w:lineRule="auto"/>
        <w:ind w:left="0"/>
        <w:jc w:val="both"/>
        <w:rPr>
          <w:rFonts w:ascii="Arial" w:hAnsi="Arial" w:cs="Arial"/>
          <w:sz w:val="24"/>
          <w:szCs w:val="24"/>
        </w:rPr>
      </w:pPr>
    </w:p>
    <w:p w14:paraId="34EE87B9" w14:textId="23A33755"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Without this evidence</w:t>
      </w:r>
      <w:r w:rsidR="00982A06">
        <w:rPr>
          <w:rFonts w:ascii="Arial" w:hAnsi="Arial" w:cs="Arial"/>
          <w:sz w:val="24"/>
          <w:szCs w:val="24"/>
        </w:rPr>
        <w:t>,</w:t>
      </w:r>
      <w:r w:rsidRPr="006B63FC">
        <w:rPr>
          <w:rFonts w:ascii="Arial" w:hAnsi="Arial" w:cs="Arial"/>
          <w:sz w:val="24"/>
          <w:szCs w:val="24"/>
        </w:rPr>
        <w:t xml:space="preserve"> the question that must be determined is whether the evidence of a single witness (in this case</w:t>
      </w:r>
      <w:r w:rsidR="00982A06">
        <w:rPr>
          <w:rFonts w:ascii="Arial" w:hAnsi="Arial" w:cs="Arial"/>
          <w:sz w:val="24"/>
          <w:szCs w:val="24"/>
        </w:rPr>
        <w:t>,</w:t>
      </w:r>
      <w:r w:rsidRPr="006B63FC">
        <w:rPr>
          <w:rFonts w:ascii="Arial" w:hAnsi="Arial" w:cs="Arial"/>
          <w:sz w:val="24"/>
          <w:szCs w:val="24"/>
        </w:rPr>
        <w:t xml:space="preserve"> a 9-year-old girl child) was satisfactory in all material respects. At the same time, whether or not the appellant’s version was reasonably probably true. </w:t>
      </w:r>
    </w:p>
    <w:p w14:paraId="295282CC" w14:textId="77777777" w:rsidR="006B63FC" w:rsidRPr="006B63FC" w:rsidRDefault="006B63FC" w:rsidP="006B63FC">
      <w:pPr>
        <w:pStyle w:val="ListParagraph"/>
        <w:spacing w:after="0" w:line="360" w:lineRule="auto"/>
        <w:jc w:val="both"/>
        <w:rPr>
          <w:rFonts w:ascii="Arial" w:hAnsi="Arial" w:cs="Arial"/>
          <w:sz w:val="24"/>
          <w:szCs w:val="24"/>
        </w:rPr>
      </w:pPr>
    </w:p>
    <w:p w14:paraId="5D7A8798" w14:textId="2B1C1444"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Applying the </w:t>
      </w:r>
      <w:r w:rsidRPr="006B63FC">
        <w:rPr>
          <w:rFonts w:ascii="Arial" w:hAnsi="Arial" w:cs="Arial"/>
          <w:i/>
          <w:sz w:val="24"/>
          <w:szCs w:val="24"/>
        </w:rPr>
        <w:t>Woji</w:t>
      </w:r>
      <w:r w:rsidRPr="006B63FC">
        <w:rPr>
          <w:rFonts w:ascii="Arial" w:hAnsi="Arial" w:cs="Arial"/>
          <w:sz w:val="24"/>
          <w:szCs w:val="24"/>
        </w:rPr>
        <w:t xml:space="preserve"> principles to this case, I find that the evidence of the complainant is trustworthy and</w:t>
      </w:r>
      <w:r w:rsidR="00982A06">
        <w:rPr>
          <w:rFonts w:ascii="Arial" w:hAnsi="Arial" w:cs="Arial"/>
          <w:sz w:val="24"/>
          <w:szCs w:val="24"/>
        </w:rPr>
        <w:t>,</w:t>
      </w:r>
      <w:r w:rsidRPr="006B63FC">
        <w:rPr>
          <w:rFonts w:ascii="Arial" w:hAnsi="Arial" w:cs="Arial"/>
          <w:sz w:val="24"/>
          <w:szCs w:val="24"/>
        </w:rPr>
        <w:t xml:space="preserve"> thus</w:t>
      </w:r>
      <w:r w:rsidR="00982A06">
        <w:rPr>
          <w:rFonts w:ascii="Arial" w:hAnsi="Arial" w:cs="Arial"/>
          <w:sz w:val="24"/>
          <w:szCs w:val="24"/>
        </w:rPr>
        <w:t>,</w:t>
      </w:r>
      <w:r w:rsidRPr="006B63FC">
        <w:rPr>
          <w:rFonts w:ascii="Arial" w:hAnsi="Arial" w:cs="Arial"/>
          <w:sz w:val="24"/>
          <w:szCs w:val="24"/>
        </w:rPr>
        <w:t xml:space="preserve"> (supported by </w:t>
      </w:r>
      <w:r w:rsidRPr="006B63FC">
        <w:rPr>
          <w:rFonts w:ascii="Arial" w:hAnsi="Arial" w:cs="Arial"/>
          <w:i/>
          <w:sz w:val="24"/>
          <w:szCs w:val="24"/>
        </w:rPr>
        <w:t>aliunde</w:t>
      </w:r>
      <w:r w:rsidRPr="006B63FC">
        <w:rPr>
          <w:rFonts w:ascii="Arial" w:hAnsi="Arial" w:cs="Arial"/>
          <w:sz w:val="24"/>
          <w:szCs w:val="24"/>
        </w:rPr>
        <w:t xml:space="preserve"> evidence of the mother and medical doctor) satisfactory beyond reasonable doubt. Despite her young age, </w:t>
      </w:r>
      <w:r w:rsidR="00982A06">
        <w:rPr>
          <w:rFonts w:ascii="Arial" w:hAnsi="Arial" w:cs="Arial"/>
          <w:sz w:val="24"/>
          <w:szCs w:val="24"/>
        </w:rPr>
        <w:t>the complainant’s</w:t>
      </w:r>
      <w:r w:rsidRPr="006B63FC">
        <w:rPr>
          <w:rFonts w:ascii="Arial" w:hAnsi="Arial" w:cs="Arial"/>
          <w:sz w:val="24"/>
          <w:szCs w:val="24"/>
        </w:rPr>
        <w:t xml:space="preserve"> evidence was consistent and clear. She was able to respond to statements put to her and questions posed by the defence with certainty and clarity; intelligently and without difficulty. The cross</w:t>
      </w:r>
      <w:r w:rsidR="00982A06">
        <w:rPr>
          <w:rFonts w:ascii="Arial" w:hAnsi="Arial" w:cs="Arial"/>
          <w:sz w:val="24"/>
          <w:szCs w:val="24"/>
        </w:rPr>
        <w:t>-</w:t>
      </w:r>
      <w:r w:rsidRPr="006B63FC">
        <w:rPr>
          <w:rFonts w:ascii="Arial" w:hAnsi="Arial" w:cs="Arial"/>
          <w:sz w:val="24"/>
          <w:szCs w:val="24"/>
        </w:rPr>
        <w:t xml:space="preserve">examination of the complainant was rigorous and to some extent unnecessary. Where she did not understand the question, </w:t>
      </w:r>
      <w:r w:rsidRPr="006B63FC">
        <w:rPr>
          <w:rFonts w:ascii="Arial" w:hAnsi="Arial" w:cs="Arial"/>
          <w:sz w:val="24"/>
          <w:szCs w:val="24"/>
        </w:rPr>
        <w:lastRenderedPageBreak/>
        <w:t>the question was repeated and she responded appropriately. During cross</w:t>
      </w:r>
      <w:r w:rsidR="00982A06">
        <w:rPr>
          <w:rFonts w:ascii="Arial" w:hAnsi="Arial" w:cs="Arial"/>
          <w:sz w:val="24"/>
          <w:szCs w:val="24"/>
        </w:rPr>
        <w:t>-</w:t>
      </w:r>
      <w:r w:rsidRPr="006B63FC">
        <w:rPr>
          <w:rFonts w:ascii="Arial" w:hAnsi="Arial" w:cs="Arial"/>
          <w:sz w:val="24"/>
          <w:szCs w:val="24"/>
        </w:rPr>
        <w:t>examination</w:t>
      </w:r>
      <w:r w:rsidR="00982A06">
        <w:rPr>
          <w:rFonts w:ascii="Arial" w:hAnsi="Arial" w:cs="Arial"/>
          <w:sz w:val="24"/>
          <w:szCs w:val="24"/>
        </w:rPr>
        <w:t>,</w:t>
      </w:r>
      <w:r w:rsidRPr="006B63FC">
        <w:rPr>
          <w:rFonts w:ascii="Arial" w:hAnsi="Arial" w:cs="Arial"/>
          <w:sz w:val="24"/>
          <w:szCs w:val="24"/>
        </w:rPr>
        <w:t xml:space="preserve"> the complainant broke down in tears but she composed herself and remained adamant that the appellant was her rapist. </w:t>
      </w:r>
    </w:p>
    <w:p w14:paraId="40CA19B6" w14:textId="77777777" w:rsidR="006B63FC" w:rsidRPr="006B63FC" w:rsidRDefault="006B63FC" w:rsidP="006B63FC">
      <w:pPr>
        <w:pStyle w:val="ListParagraph"/>
        <w:spacing w:after="0" w:line="360" w:lineRule="auto"/>
        <w:jc w:val="both"/>
        <w:rPr>
          <w:rFonts w:ascii="Arial" w:hAnsi="Arial" w:cs="Arial"/>
          <w:sz w:val="24"/>
          <w:szCs w:val="24"/>
        </w:rPr>
      </w:pPr>
    </w:p>
    <w:p w14:paraId="57D08A13" w14:textId="397CBDC4"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The complainant was consistent to the extent that her evidence was supported by independent medical evidence set out in the J88 </w:t>
      </w:r>
      <w:r w:rsidR="002444FC">
        <w:rPr>
          <w:rFonts w:ascii="Arial" w:hAnsi="Arial" w:cs="Arial"/>
          <w:sz w:val="24"/>
          <w:szCs w:val="24"/>
        </w:rPr>
        <w:t xml:space="preserve">form </w:t>
      </w:r>
      <w:r w:rsidRPr="006B63FC">
        <w:rPr>
          <w:rFonts w:ascii="Arial" w:hAnsi="Arial" w:cs="Arial"/>
          <w:sz w:val="24"/>
          <w:szCs w:val="24"/>
        </w:rPr>
        <w:t xml:space="preserve">as well as the report she made to her mother. The medical doctor who examined the complainant noted </w:t>
      </w:r>
      <w:r w:rsidR="00631192" w:rsidRPr="00877039">
        <w:rPr>
          <w:rFonts w:ascii="Arial" w:hAnsi="Arial" w:cs="Arial"/>
          <w:color w:val="000000" w:themeColor="text1"/>
          <w:sz w:val="24"/>
          <w:szCs w:val="24"/>
        </w:rPr>
        <w:t xml:space="preserve">that there </w:t>
      </w:r>
      <w:r w:rsidR="00DC716A" w:rsidRPr="00877039">
        <w:rPr>
          <w:rFonts w:ascii="Arial" w:hAnsi="Arial" w:cs="Arial"/>
          <w:color w:val="000000" w:themeColor="text1"/>
          <w:sz w:val="24"/>
          <w:szCs w:val="24"/>
        </w:rPr>
        <w:t>was</w:t>
      </w:r>
      <w:r w:rsidR="00DC716A">
        <w:rPr>
          <w:rFonts w:ascii="Arial" w:hAnsi="Arial" w:cs="Arial"/>
          <w:sz w:val="24"/>
          <w:szCs w:val="24"/>
        </w:rPr>
        <w:t xml:space="preserve"> </w:t>
      </w:r>
      <w:r w:rsidRPr="006B63FC">
        <w:rPr>
          <w:rFonts w:ascii="Arial" w:hAnsi="Arial" w:cs="Arial"/>
          <w:sz w:val="24"/>
          <w:szCs w:val="24"/>
        </w:rPr>
        <w:t xml:space="preserve">penetration of the hymen. The appellant on his own (although not admitting that it was him) agreed that the complainant was raped and could not </w:t>
      </w:r>
      <w:r w:rsidR="00DC716A" w:rsidRPr="00877039">
        <w:rPr>
          <w:rFonts w:ascii="Arial" w:hAnsi="Arial" w:cs="Arial"/>
          <w:color w:val="000000" w:themeColor="text1"/>
          <w:sz w:val="24"/>
          <w:szCs w:val="24"/>
        </w:rPr>
        <w:t>have fabricated</w:t>
      </w:r>
      <w:r w:rsidRPr="00877039">
        <w:rPr>
          <w:rFonts w:ascii="Arial" w:hAnsi="Arial" w:cs="Arial"/>
          <w:color w:val="000000" w:themeColor="text1"/>
          <w:sz w:val="24"/>
          <w:szCs w:val="24"/>
        </w:rPr>
        <w:t xml:space="preserve"> </w:t>
      </w:r>
      <w:r w:rsidRPr="006B63FC">
        <w:rPr>
          <w:rFonts w:ascii="Arial" w:hAnsi="Arial" w:cs="Arial"/>
          <w:sz w:val="24"/>
          <w:szCs w:val="24"/>
        </w:rPr>
        <w:t xml:space="preserve">a story of having being raped. The version that was put to the complainant that she hurt herself or was hurt (presumably) when she was playing with other children, was abandoned in the light of the complainant’s clear evidence. She was observed by elderly people that she was walking with discomfort. The mother noted her vagina ‘torn’ and the medical doctor confirmed it. The complainant had an infection </w:t>
      </w:r>
      <w:r w:rsidR="00631192">
        <w:rPr>
          <w:rFonts w:ascii="Arial" w:hAnsi="Arial" w:cs="Arial"/>
          <w:sz w:val="24"/>
          <w:szCs w:val="24"/>
        </w:rPr>
        <w:t xml:space="preserve">as a result of </w:t>
      </w:r>
      <w:r w:rsidR="00631192" w:rsidRPr="00877039">
        <w:rPr>
          <w:rFonts w:ascii="Arial" w:hAnsi="Arial" w:cs="Arial"/>
          <w:color w:val="000000" w:themeColor="text1"/>
          <w:sz w:val="24"/>
          <w:szCs w:val="24"/>
        </w:rPr>
        <w:t xml:space="preserve">the act of </w:t>
      </w:r>
      <w:r w:rsidR="00DC716A" w:rsidRPr="00877039">
        <w:rPr>
          <w:rFonts w:ascii="Arial" w:hAnsi="Arial" w:cs="Arial"/>
          <w:color w:val="000000" w:themeColor="text1"/>
          <w:sz w:val="24"/>
          <w:szCs w:val="24"/>
        </w:rPr>
        <w:t>penetration and</w:t>
      </w:r>
      <w:r w:rsidRPr="00877039">
        <w:rPr>
          <w:rFonts w:ascii="Arial" w:hAnsi="Arial" w:cs="Arial"/>
          <w:color w:val="000000" w:themeColor="text1"/>
          <w:sz w:val="24"/>
          <w:szCs w:val="24"/>
        </w:rPr>
        <w:t xml:space="preserve"> </w:t>
      </w:r>
      <w:r w:rsidR="00C70CBC">
        <w:rPr>
          <w:rFonts w:ascii="Arial" w:hAnsi="Arial" w:cs="Arial"/>
          <w:sz w:val="24"/>
          <w:szCs w:val="24"/>
        </w:rPr>
        <w:t xml:space="preserve">she </w:t>
      </w:r>
      <w:r w:rsidRPr="006B63FC">
        <w:rPr>
          <w:rFonts w:ascii="Arial" w:hAnsi="Arial" w:cs="Arial"/>
          <w:sz w:val="24"/>
          <w:szCs w:val="24"/>
        </w:rPr>
        <w:t xml:space="preserve">was given medication to treat the infection. The complainant </w:t>
      </w:r>
      <w:r w:rsidR="009F430D">
        <w:rPr>
          <w:rFonts w:ascii="Arial" w:hAnsi="Arial" w:cs="Arial"/>
          <w:sz w:val="24"/>
          <w:szCs w:val="24"/>
        </w:rPr>
        <w:t>only</w:t>
      </w:r>
      <w:r w:rsidRPr="006B63FC">
        <w:rPr>
          <w:rFonts w:ascii="Arial" w:hAnsi="Arial" w:cs="Arial"/>
          <w:sz w:val="24"/>
          <w:szCs w:val="24"/>
        </w:rPr>
        <w:t xml:space="preserve"> </w:t>
      </w:r>
      <w:r w:rsidR="00DC716A" w:rsidRPr="00877039">
        <w:rPr>
          <w:rFonts w:ascii="Arial" w:hAnsi="Arial" w:cs="Arial"/>
          <w:color w:val="000000" w:themeColor="text1"/>
          <w:sz w:val="24"/>
          <w:szCs w:val="24"/>
        </w:rPr>
        <w:t>reported t</w:t>
      </w:r>
      <w:r w:rsidR="00DC716A">
        <w:rPr>
          <w:rFonts w:ascii="Arial" w:hAnsi="Arial" w:cs="Arial"/>
          <w:sz w:val="24"/>
          <w:szCs w:val="24"/>
        </w:rPr>
        <w:t>he</w:t>
      </w:r>
      <w:r w:rsidR="009F430D">
        <w:rPr>
          <w:rFonts w:ascii="Arial" w:hAnsi="Arial" w:cs="Arial"/>
          <w:sz w:val="24"/>
          <w:szCs w:val="24"/>
        </w:rPr>
        <w:t xml:space="preserve"> rape to her </w:t>
      </w:r>
      <w:r w:rsidR="00DC716A">
        <w:rPr>
          <w:rFonts w:ascii="Arial" w:hAnsi="Arial" w:cs="Arial"/>
          <w:sz w:val="24"/>
          <w:szCs w:val="24"/>
        </w:rPr>
        <w:t xml:space="preserve">mother </w:t>
      </w:r>
      <w:r w:rsidR="00DC716A" w:rsidRPr="006B63FC">
        <w:rPr>
          <w:rFonts w:ascii="Arial" w:hAnsi="Arial" w:cs="Arial"/>
          <w:sz w:val="24"/>
          <w:szCs w:val="24"/>
        </w:rPr>
        <w:t>when</w:t>
      </w:r>
      <w:r w:rsidRPr="006B63FC">
        <w:rPr>
          <w:rFonts w:ascii="Arial" w:hAnsi="Arial" w:cs="Arial"/>
          <w:sz w:val="24"/>
          <w:szCs w:val="24"/>
        </w:rPr>
        <w:t xml:space="preserve"> her mother examined her and asked her what had ‘torn’ her vagina. The </w:t>
      </w:r>
      <w:r w:rsidR="003A432F">
        <w:rPr>
          <w:rFonts w:ascii="Arial" w:hAnsi="Arial" w:cs="Arial"/>
          <w:sz w:val="24"/>
          <w:szCs w:val="24"/>
        </w:rPr>
        <w:t xml:space="preserve">complainant’s </w:t>
      </w:r>
      <w:r w:rsidRPr="006B63FC">
        <w:rPr>
          <w:rFonts w:ascii="Arial" w:hAnsi="Arial" w:cs="Arial"/>
          <w:sz w:val="24"/>
          <w:szCs w:val="24"/>
        </w:rPr>
        <w:t>mother</w:t>
      </w:r>
      <w:r w:rsidR="00DC716A">
        <w:rPr>
          <w:rFonts w:ascii="Arial" w:hAnsi="Arial" w:cs="Arial"/>
          <w:sz w:val="24"/>
          <w:szCs w:val="24"/>
        </w:rPr>
        <w:t xml:space="preserve"> </w:t>
      </w:r>
      <w:r w:rsidR="003A432F" w:rsidRPr="00877039">
        <w:rPr>
          <w:rFonts w:ascii="Arial" w:hAnsi="Arial" w:cs="Arial"/>
          <w:color w:val="000000" w:themeColor="text1"/>
          <w:sz w:val="24"/>
          <w:szCs w:val="24"/>
        </w:rPr>
        <w:t>and grandmother</w:t>
      </w:r>
      <w:r w:rsidRPr="00877039">
        <w:rPr>
          <w:rFonts w:ascii="Arial" w:hAnsi="Arial" w:cs="Arial"/>
          <w:color w:val="000000" w:themeColor="text1"/>
          <w:sz w:val="24"/>
          <w:szCs w:val="24"/>
        </w:rPr>
        <w:t xml:space="preserve"> </w:t>
      </w:r>
      <w:r w:rsidRPr="006B63FC">
        <w:rPr>
          <w:rFonts w:ascii="Arial" w:hAnsi="Arial" w:cs="Arial"/>
          <w:sz w:val="24"/>
          <w:szCs w:val="24"/>
        </w:rPr>
        <w:t xml:space="preserve">did not threaten her. </w:t>
      </w:r>
    </w:p>
    <w:p w14:paraId="12B121E1" w14:textId="77777777" w:rsidR="006B63FC" w:rsidRPr="006B63FC" w:rsidRDefault="006B63FC" w:rsidP="006B63FC">
      <w:pPr>
        <w:pStyle w:val="ListParagraph"/>
        <w:spacing w:after="0" w:line="360" w:lineRule="auto"/>
        <w:jc w:val="both"/>
        <w:rPr>
          <w:rFonts w:ascii="Arial" w:hAnsi="Arial" w:cs="Arial"/>
          <w:sz w:val="24"/>
          <w:szCs w:val="24"/>
        </w:rPr>
      </w:pPr>
    </w:p>
    <w:p w14:paraId="223236D8" w14:textId="5B78F6F0"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As </w:t>
      </w:r>
      <w:r w:rsidRPr="002444FC">
        <w:rPr>
          <w:rFonts w:ascii="Arial" w:hAnsi="Arial" w:cs="Arial"/>
          <w:sz w:val="24"/>
          <w:szCs w:val="24"/>
        </w:rPr>
        <w:t>Milton states</w:t>
      </w:r>
      <w:r w:rsidR="002444FC" w:rsidRPr="002444FC">
        <w:rPr>
          <w:rFonts w:ascii="Arial" w:hAnsi="Arial" w:cs="Arial"/>
          <w:sz w:val="24"/>
          <w:szCs w:val="24"/>
        </w:rPr>
        <w:t>,</w:t>
      </w:r>
      <w:r w:rsidRPr="002444FC">
        <w:rPr>
          <w:rFonts w:ascii="Arial" w:hAnsi="Arial" w:cs="Arial"/>
          <w:sz w:val="24"/>
          <w:szCs w:val="24"/>
          <w:vertAlign w:val="superscript"/>
        </w:rPr>
        <w:footnoteReference w:id="11"/>
      </w:r>
      <w:r w:rsidRPr="002444FC">
        <w:rPr>
          <w:rFonts w:ascii="Arial" w:hAnsi="Arial" w:cs="Arial"/>
          <w:sz w:val="24"/>
          <w:szCs w:val="24"/>
        </w:rPr>
        <w:t xml:space="preserve"> reluctance on</w:t>
      </w:r>
      <w:r w:rsidRPr="006B63FC">
        <w:rPr>
          <w:rFonts w:ascii="Arial" w:hAnsi="Arial" w:cs="Arial"/>
          <w:sz w:val="24"/>
          <w:szCs w:val="24"/>
        </w:rPr>
        <w:t xml:space="preserve"> the part of rape survivors, or some of them, to report the rape at the first opportunity is a firmly recognised fact. It is also generally accepted that with young children the reluctance is compounded. The complainant testified that the appellant threatened to beat her if she told anyone about the rape. She was not challenged with another version or shown to be lying through cross</w:t>
      </w:r>
      <w:r w:rsidR="002444FC">
        <w:rPr>
          <w:rFonts w:ascii="Arial" w:hAnsi="Arial" w:cs="Arial"/>
          <w:sz w:val="24"/>
          <w:szCs w:val="24"/>
        </w:rPr>
        <w:t>-</w:t>
      </w:r>
      <w:r w:rsidRPr="006B63FC">
        <w:rPr>
          <w:rFonts w:ascii="Arial" w:hAnsi="Arial" w:cs="Arial"/>
          <w:sz w:val="24"/>
          <w:szCs w:val="24"/>
        </w:rPr>
        <w:t>examination. The explanation she gave was spontaneous and ‘has a ring of truth’ to it.</w:t>
      </w:r>
    </w:p>
    <w:p w14:paraId="3040E756" w14:textId="77777777" w:rsidR="006B63FC" w:rsidRPr="006B63FC" w:rsidRDefault="006B63FC" w:rsidP="006B63FC">
      <w:pPr>
        <w:pStyle w:val="ListParagraph"/>
        <w:spacing w:after="0" w:line="360" w:lineRule="auto"/>
        <w:jc w:val="both"/>
        <w:rPr>
          <w:rFonts w:ascii="Arial" w:hAnsi="Arial" w:cs="Arial"/>
          <w:sz w:val="24"/>
          <w:szCs w:val="24"/>
        </w:rPr>
      </w:pPr>
    </w:p>
    <w:p w14:paraId="64BBF668" w14:textId="74595C42" w:rsidR="009C40B8" w:rsidRPr="008808A4"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As I indicated, after rigorous cross</w:t>
      </w:r>
      <w:r w:rsidR="00F86DC9">
        <w:rPr>
          <w:rFonts w:ascii="Arial" w:hAnsi="Arial" w:cs="Arial"/>
          <w:sz w:val="24"/>
          <w:szCs w:val="24"/>
        </w:rPr>
        <w:t>-</w:t>
      </w:r>
      <w:r w:rsidRPr="006B63FC">
        <w:rPr>
          <w:rFonts w:ascii="Arial" w:hAnsi="Arial" w:cs="Arial"/>
          <w:sz w:val="24"/>
          <w:szCs w:val="24"/>
        </w:rPr>
        <w:t xml:space="preserve">examination, </w:t>
      </w:r>
      <w:r w:rsidR="00F86DC9">
        <w:rPr>
          <w:rFonts w:ascii="Arial" w:hAnsi="Arial" w:cs="Arial"/>
          <w:sz w:val="24"/>
          <w:szCs w:val="24"/>
        </w:rPr>
        <w:t>the complainant’s</w:t>
      </w:r>
      <w:r w:rsidRPr="006B63FC">
        <w:rPr>
          <w:rFonts w:ascii="Arial" w:hAnsi="Arial" w:cs="Arial"/>
          <w:sz w:val="24"/>
          <w:szCs w:val="24"/>
        </w:rPr>
        <w:t xml:space="preserve"> evidence remained unshaken except for the two discrepancies mentioned above. It is evident that she did not report the rape </w:t>
      </w:r>
      <w:r w:rsidR="001F489D">
        <w:rPr>
          <w:rFonts w:ascii="Arial" w:hAnsi="Arial" w:cs="Arial"/>
          <w:sz w:val="24"/>
          <w:szCs w:val="24"/>
        </w:rPr>
        <w:t xml:space="preserve">on </w:t>
      </w:r>
      <w:r w:rsidRPr="006B63FC">
        <w:rPr>
          <w:rFonts w:ascii="Arial" w:hAnsi="Arial" w:cs="Arial"/>
          <w:sz w:val="24"/>
          <w:szCs w:val="24"/>
        </w:rPr>
        <w:t>the same day</w:t>
      </w:r>
      <w:r w:rsidR="00F86DC9">
        <w:rPr>
          <w:rFonts w:ascii="Arial" w:hAnsi="Arial" w:cs="Arial"/>
          <w:sz w:val="24"/>
          <w:szCs w:val="24"/>
        </w:rPr>
        <w:t>,</w:t>
      </w:r>
      <w:r w:rsidRPr="006B63FC">
        <w:rPr>
          <w:rFonts w:ascii="Arial" w:hAnsi="Arial" w:cs="Arial"/>
          <w:sz w:val="24"/>
          <w:szCs w:val="24"/>
        </w:rPr>
        <w:t xml:space="preserve"> but it cannot be said </w:t>
      </w:r>
      <w:r w:rsidR="00F86DC9">
        <w:rPr>
          <w:rFonts w:ascii="Arial" w:hAnsi="Arial" w:cs="Arial"/>
          <w:sz w:val="24"/>
          <w:szCs w:val="24"/>
        </w:rPr>
        <w:t xml:space="preserve">that </w:t>
      </w:r>
      <w:r w:rsidRPr="006B63FC">
        <w:rPr>
          <w:rFonts w:ascii="Arial" w:hAnsi="Arial" w:cs="Arial"/>
          <w:sz w:val="24"/>
          <w:szCs w:val="24"/>
        </w:rPr>
        <w:t xml:space="preserve">she was motivated to do so later by her mother and grandmother. A first report statement refers </w:t>
      </w:r>
      <w:r w:rsidRPr="006B63FC">
        <w:rPr>
          <w:rFonts w:ascii="Arial" w:hAnsi="Arial" w:cs="Arial"/>
          <w:sz w:val="24"/>
          <w:szCs w:val="24"/>
        </w:rPr>
        <w:lastRenderedPageBreak/>
        <w:t xml:space="preserve">to the statement by a person to whom </w:t>
      </w:r>
      <w:r w:rsidRPr="00F86DC9">
        <w:rPr>
          <w:rFonts w:ascii="Arial" w:hAnsi="Arial" w:cs="Arial"/>
          <w:sz w:val="24"/>
          <w:szCs w:val="24"/>
        </w:rPr>
        <w:t>the victim of rape first reported the incident.</w:t>
      </w:r>
      <w:r w:rsidRPr="00F86DC9">
        <w:rPr>
          <w:rFonts w:ascii="Arial" w:hAnsi="Arial" w:cs="Arial"/>
          <w:sz w:val="24"/>
          <w:szCs w:val="24"/>
          <w:vertAlign w:val="superscript"/>
        </w:rPr>
        <w:footnoteReference w:id="12"/>
      </w:r>
      <w:r w:rsidRPr="00F86DC9">
        <w:rPr>
          <w:rFonts w:ascii="Arial" w:hAnsi="Arial" w:cs="Arial"/>
          <w:sz w:val="24"/>
          <w:szCs w:val="24"/>
        </w:rPr>
        <w:t xml:space="preserve"> Authors and experts in the field of psychology and criminology state that ‘</w:t>
      </w:r>
      <w:r w:rsidR="00943A2A">
        <w:rPr>
          <w:rFonts w:ascii="Arial" w:hAnsi="Arial" w:cs="Arial"/>
          <w:sz w:val="24"/>
          <w:szCs w:val="24"/>
        </w:rPr>
        <w:t>[</w:t>
      </w:r>
      <w:r w:rsidRPr="00F86DC9">
        <w:rPr>
          <w:rFonts w:ascii="Arial" w:hAnsi="Arial" w:cs="Arial"/>
          <w:sz w:val="24"/>
          <w:szCs w:val="24"/>
        </w:rPr>
        <w:t>e</w:t>
      </w:r>
      <w:r w:rsidR="00943A2A">
        <w:rPr>
          <w:rFonts w:ascii="Arial" w:hAnsi="Arial" w:cs="Arial"/>
          <w:sz w:val="24"/>
          <w:szCs w:val="24"/>
        </w:rPr>
        <w:t>]</w:t>
      </w:r>
      <w:r w:rsidRPr="00F86DC9">
        <w:rPr>
          <w:rFonts w:ascii="Arial" w:hAnsi="Arial" w:cs="Arial"/>
          <w:sz w:val="24"/>
          <w:szCs w:val="24"/>
        </w:rPr>
        <w:t>ach victim</w:t>
      </w:r>
      <w:r w:rsidRPr="006B63FC">
        <w:rPr>
          <w:rFonts w:ascii="Arial" w:hAnsi="Arial" w:cs="Arial"/>
          <w:sz w:val="24"/>
          <w:szCs w:val="24"/>
        </w:rPr>
        <w:t xml:space="preserve"> reacts differently after a violent act. </w:t>
      </w:r>
      <w:r w:rsidR="00943A2A">
        <w:rPr>
          <w:rFonts w:ascii="Arial" w:hAnsi="Arial" w:cs="Arial"/>
          <w:sz w:val="24"/>
          <w:szCs w:val="24"/>
        </w:rPr>
        <w:t>[</w:t>
      </w:r>
      <w:r w:rsidRPr="006B63FC">
        <w:rPr>
          <w:rFonts w:ascii="Arial" w:hAnsi="Arial" w:cs="Arial"/>
          <w:sz w:val="24"/>
          <w:szCs w:val="24"/>
        </w:rPr>
        <w:t>They</w:t>
      </w:r>
      <w:r w:rsidR="00943A2A">
        <w:rPr>
          <w:rFonts w:ascii="Arial" w:hAnsi="Arial" w:cs="Arial"/>
          <w:sz w:val="24"/>
          <w:szCs w:val="24"/>
        </w:rPr>
        <w:t>]</w:t>
      </w:r>
      <w:r w:rsidRPr="006B63FC">
        <w:rPr>
          <w:rFonts w:ascii="Arial" w:hAnsi="Arial" w:cs="Arial"/>
          <w:sz w:val="24"/>
          <w:szCs w:val="24"/>
        </w:rPr>
        <w:t xml:space="preserve"> may try to dismiss or ignore what happened and even normalise it by having contact with the perpetrator in the future. </w:t>
      </w:r>
      <w:r w:rsidR="00943A2A">
        <w:rPr>
          <w:rFonts w:ascii="Arial" w:hAnsi="Arial" w:cs="Arial"/>
          <w:sz w:val="24"/>
          <w:szCs w:val="24"/>
        </w:rPr>
        <w:t>[</w:t>
      </w:r>
      <w:r w:rsidRPr="006B63FC">
        <w:rPr>
          <w:rFonts w:ascii="Arial" w:hAnsi="Arial" w:cs="Arial"/>
          <w:sz w:val="24"/>
          <w:szCs w:val="24"/>
        </w:rPr>
        <w:t>They</w:t>
      </w:r>
      <w:r w:rsidR="00943A2A">
        <w:rPr>
          <w:rFonts w:ascii="Arial" w:hAnsi="Arial" w:cs="Arial"/>
          <w:sz w:val="24"/>
          <w:szCs w:val="24"/>
        </w:rPr>
        <w:t>]</w:t>
      </w:r>
      <w:r w:rsidRPr="006B63FC">
        <w:rPr>
          <w:rFonts w:ascii="Arial" w:hAnsi="Arial" w:cs="Arial"/>
          <w:sz w:val="24"/>
          <w:szCs w:val="24"/>
        </w:rPr>
        <w:t xml:space="preserve"> may only decide to report once </w:t>
      </w:r>
      <w:r w:rsidR="00943A2A">
        <w:rPr>
          <w:rFonts w:ascii="Arial" w:hAnsi="Arial" w:cs="Arial"/>
          <w:sz w:val="24"/>
          <w:szCs w:val="24"/>
        </w:rPr>
        <w:t>[</w:t>
      </w:r>
      <w:r w:rsidRPr="006B63FC">
        <w:rPr>
          <w:rFonts w:ascii="Arial" w:hAnsi="Arial" w:cs="Arial"/>
          <w:sz w:val="24"/>
          <w:szCs w:val="24"/>
        </w:rPr>
        <w:t>they are</w:t>
      </w:r>
      <w:r w:rsidR="00943A2A">
        <w:rPr>
          <w:rFonts w:ascii="Arial" w:hAnsi="Arial" w:cs="Arial"/>
          <w:sz w:val="24"/>
          <w:szCs w:val="24"/>
        </w:rPr>
        <w:t>]</w:t>
      </w:r>
      <w:r w:rsidRPr="006B63FC">
        <w:rPr>
          <w:rFonts w:ascii="Arial" w:hAnsi="Arial" w:cs="Arial"/>
          <w:sz w:val="24"/>
          <w:szCs w:val="24"/>
        </w:rPr>
        <w:t xml:space="preserve"> supported by a family member or when a friend confirms that this behaviour is indeed wrong. If </w:t>
      </w:r>
      <w:r w:rsidR="00943A2A">
        <w:rPr>
          <w:rFonts w:ascii="Arial" w:hAnsi="Arial" w:cs="Arial"/>
          <w:sz w:val="24"/>
          <w:szCs w:val="24"/>
        </w:rPr>
        <w:t>the</w:t>
      </w:r>
      <w:r w:rsidRPr="006B63FC">
        <w:rPr>
          <w:rFonts w:ascii="Arial" w:hAnsi="Arial" w:cs="Arial"/>
          <w:sz w:val="24"/>
          <w:szCs w:val="24"/>
        </w:rPr>
        <w:t xml:space="preserve"> perpetrator is considered </w:t>
      </w:r>
      <w:r w:rsidR="00943A2A">
        <w:rPr>
          <w:rFonts w:ascii="Arial" w:hAnsi="Arial" w:cs="Arial"/>
          <w:sz w:val="24"/>
          <w:szCs w:val="24"/>
        </w:rPr>
        <w:t xml:space="preserve">as </w:t>
      </w:r>
      <w:r w:rsidRPr="006B63FC">
        <w:rPr>
          <w:rFonts w:ascii="Arial" w:hAnsi="Arial" w:cs="Arial"/>
          <w:sz w:val="24"/>
          <w:szCs w:val="24"/>
        </w:rPr>
        <w:t>a trustful person, victims may take years to link their situation to violence and recognise it as such. Sexual violence victims often experience a profound sense of shame, stigma and violation’</w:t>
      </w:r>
      <w:r w:rsidR="00943A2A">
        <w:rPr>
          <w:rFonts w:ascii="Arial" w:hAnsi="Arial" w:cs="Arial"/>
          <w:sz w:val="24"/>
          <w:szCs w:val="24"/>
        </w:rPr>
        <w:t>.</w:t>
      </w:r>
      <w:r w:rsidRPr="00877039">
        <w:rPr>
          <w:rFonts w:ascii="Arial" w:hAnsi="Arial" w:cs="Arial"/>
          <w:sz w:val="24"/>
          <w:szCs w:val="24"/>
          <w:vertAlign w:val="superscript"/>
        </w:rPr>
        <w:footnoteReference w:id="13"/>
      </w:r>
      <w:r w:rsidRPr="001F489D">
        <w:rPr>
          <w:rFonts w:ascii="Arial" w:hAnsi="Arial" w:cs="Arial"/>
          <w:sz w:val="24"/>
          <w:szCs w:val="24"/>
        </w:rPr>
        <w:t xml:space="preserve"> </w:t>
      </w:r>
      <w:r w:rsidRPr="006B63FC">
        <w:rPr>
          <w:rFonts w:ascii="Arial" w:hAnsi="Arial" w:cs="Arial"/>
          <w:sz w:val="24"/>
          <w:szCs w:val="24"/>
        </w:rPr>
        <w:t>What is important is that the first report is made at the first opportunity available to the victim of sexual violence. In most cases, when they feel safe to do so</w:t>
      </w:r>
      <w:r w:rsidR="00943A2A">
        <w:rPr>
          <w:rFonts w:ascii="Arial" w:hAnsi="Arial" w:cs="Arial"/>
          <w:sz w:val="24"/>
          <w:szCs w:val="24"/>
        </w:rPr>
        <w:t>,</w:t>
      </w:r>
      <w:r w:rsidRPr="006B63FC">
        <w:rPr>
          <w:rFonts w:ascii="Arial" w:hAnsi="Arial" w:cs="Arial"/>
          <w:sz w:val="24"/>
          <w:szCs w:val="24"/>
        </w:rPr>
        <w:t xml:space="preserve"> </w:t>
      </w:r>
      <w:r w:rsidR="00943A2A">
        <w:rPr>
          <w:rFonts w:ascii="Arial" w:hAnsi="Arial" w:cs="Arial"/>
          <w:sz w:val="24"/>
          <w:szCs w:val="24"/>
        </w:rPr>
        <w:t xml:space="preserve">or </w:t>
      </w:r>
      <w:r w:rsidRPr="008808A4">
        <w:rPr>
          <w:rFonts w:ascii="Arial" w:hAnsi="Arial" w:cs="Arial"/>
          <w:sz w:val="24"/>
          <w:szCs w:val="24"/>
        </w:rPr>
        <w:t>they do not fear reprisals. Failure of the complainant to report an alleged rape as soon as possible cannot be ‘the benchmark for determining whether or not a woman has been raped’.</w:t>
      </w:r>
      <w:r w:rsidRPr="008808A4">
        <w:rPr>
          <w:rFonts w:ascii="Arial" w:hAnsi="Arial" w:cs="Arial"/>
          <w:sz w:val="24"/>
          <w:szCs w:val="24"/>
          <w:vertAlign w:val="superscript"/>
        </w:rPr>
        <w:footnoteReference w:id="14"/>
      </w:r>
      <w:r w:rsidRPr="008808A4">
        <w:rPr>
          <w:rFonts w:ascii="Arial" w:hAnsi="Arial" w:cs="Arial"/>
          <w:sz w:val="24"/>
          <w:szCs w:val="24"/>
        </w:rPr>
        <w:t xml:space="preserve"> </w:t>
      </w:r>
    </w:p>
    <w:p w14:paraId="375A57C1" w14:textId="77777777" w:rsidR="006B63FC" w:rsidRPr="006B63FC" w:rsidRDefault="006B63FC" w:rsidP="006B63FC">
      <w:pPr>
        <w:pStyle w:val="ListParagraph"/>
        <w:spacing w:after="0" w:line="360" w:lineRule="auto"/>
        <w:ind w:left="0"/>
        <w:jc w:val="both"/>
        <w:rPr>
          <w:rFonts w:ascii="Arial" w:hAnsi="Arial" w:cs="Arial"/>
          <w:sz w:val="24"/>
          <w:szCs w:val="24"/>
        </w:rPr>
      </w:pPr>
    </w:p>
    <w:p w14:paraId="14F109BF" w14:textId="67B54CCD" w:rsidR="009C40B8" w:rsidRPr="008808A4" w:rsidRDefault="009C40B8" w:rsidP="006B63FC">
      <w:pPr>
        <w:pStyle w:val="ListParagraph"/>
        <w:numPr>
          <w:ilvl w:val="0"/>
          <w:numId w:val="14"/>
        </w:numPr>
        <w:spacing w:after="0" w:line="360" w:lineRule="auto"/>
        <w:ind w:left="0" w:firstLine="0"/>
        <w:jc w:val="both"/>
        <w:rPr>
          <w:rFonts w:ascii="Arial" w:hAnsi="Arial" w:cs="Arial"/>
          <w:sz w:val="24"/>
          <w:szCs w:val="24"/>
        </w:rPr>
      </w:pPr>
      <w:r w:rsidRPr="008808A4">
        <w:rPr>
          <w:rFonts w:ascii="Arial" w:hAnsi="Arial" w:cs="Arial"/>
          <w:sz w:val="24"/>
          <w:szCs w:val="24"/>
        </w:rPr>
        <w:t>This Court</w:t>
      </w:r>
      <w:r w:rsidR="008808A4" w:rsidRPr="008808A4">
        <w:rPr>
          <w:rFonts w:ascii="Arial" w:hAnsi="Arial" w:cs="Arial"/>
          <w:sz w:val="24"/>
          <w:szCs w:val="24"/>
        </w:rPr>
        <w:t>,</w:t>
      </w:r>
      <w:r w:rsidRPr="008808A4">
        <w:rPr>
          <w:rFonts w:ascii="Arial" w:hAnsi="Arial" w:cs="Arial"/>
          <w:sz w:val="24"/>
          <w:szCs w:val="24"/>
        </w:rPr>
        <w:t xml:space="preserve"> in </w:t>
      </w:r>
      <w:r w:rsidRPr="008808A4">
        <w:rPr>
          <w:rFonts w:ascii="Arial" w:hAnsi="Arial" w:cs="Arial"/>
          <w:i/>
          <w:sz w:val="24"/>
          <w:szCs w:val="24"/>
        </w:rPr>
        <w:t>Vilakazi v S</w:t>
      </w:r>
      <w:r w:rsidRPr="000B3510">
        <w:rPr>
          <w:rFonts w:ascii="Arial" w:hAnsi="Arial" w:cs="Arial"/>
          <w:sz w:val="24"/>
          <w:szCs w:val="24"/>
        </w:rPr>
        <w:t>,</w:t>
      </w:r>
      <w:r w:rsidRPr="000B3510">
        <w:rPr>
          <w:rFonts w:ascii="Arial" w:hAnsi="Arial" w:cs="Arial"/>
          <w:sz w:val="24"/>
          <w:szCs w:val="24"/>
          <w:vertAlign w:val="superscript"/>
        </w:rPr>
        <w:footnoteReference w:id="15"/>
      </w:r>
      <w:r w:rsidRPr="008808A4">
        <w:rPr>
          <w:rFonts w:ascii="Arial" w:hAnsi="Arial" w:cs="Arial"/>
          <w:sz w:val="24"/>
          <w:szCs w:val="24"/>
        </w:rPr>
        <w:t xml:space="preserve"> stated:</w:t>
      </w:r>
    </w:p>
    <w:p w14:paraId="47B1C18B" w14:textId="6CEDBAA5" w:rsidR="006B63FC" w:rsidRPr="008808A4" w:rsidRDefault="006B63FC" w:rsidP="006B63FC">
      <w:pPr>
        <w:spacing w:after="0" w:line="360" w:lineRule="auto"/>
        <w:jc w:val="both"/>
        <w:rPr>
          <w:rFonts w:ascii="Arial" w:hAnsi="Arial" w:cs="Arial"/>
        </w:rPr>
      </w:pPr>
      <w:r w:rsidRPr="008808A4">
        <w:rPr>
          <w:rFonts w:ascii="Arial" w:hAnsi="Arial" w:cs="Arial"/>
        </w:rPr>
        <w:t>‘</w:t>
      </w:r>
      <w:r w:rsidR="008808A4">
        <w:rPr>
          <w:rFonts w:ascii="Arial" w:hAnsi="Arial" w:cs="Arial"/>
        </w:rPr>
        <w:t xml:space="preserve">. . . </w:t>
      </w:r>
      <w:r w:rsidRPr="008808A4">
        <w:rPr>
          <w:rFonts w:ascii="Arial" w:hAnsi="Arial" w:cs="Arial"/>
        </w:rPr>
        <w:t xml:space="preserve">[O]ur courts have not considered the lack of evidence of a voluntary complaint (also referred to as a </w:t>
      </w:r>
      <w:r w:rsidR="008808A4">
        <w:rPr>
          <w:rFonts w:ascii="Arial" w:hAnsi="Arial" w:cs="Arial"/>
        </w:rPr>
        <w:t>“</w:t>
      </w:r>
      <w:r w:rsidRPr="008808A4">
        <w:rPr>
          <w:rFonts w:ascii="Arial" w:hAnsi="Arial" w:cs="Arial"/>
        </w:rPr>
        <w:t>first report</w:t>
      </w:r>
      <w:r w:rsidR="008808A4">
        <w:rPr>
          <w:rFonts w:ascii="Arial" w:hAnsi="Arial" w:cs="Arial"/>
        </w:rPr>
        <w:t>”</w:t>
      </w:r>
      <w:r w:rsidRPr="008808A4">
        <w:rPr>
          <w:rFonts w:ascii="Arial" w:hAnsi="Arial" w:cs="Arial"/>
        </w:rPr>
        <w:t>) to be fatal to a charge of rape. In this regard, Milton, in</w:t>
      </w:r>
      <w:r w:rsidRPr="008808A4">
        <w:rPr>
          <w:rFonts w:ascii="Arial" w:hAnsi="Arial" w:cs="Arial"/>
          <w:i/>
        </w:rPr>
        <w:t xml:space="preserve"> South African Criminal Law and Procedure</w:t>
      </w:r>
      <w:r w:rsidRPr="008808A4">
        <w:rPr>
          <w:rFonts w:ascii="Arial" w:hAnsi="Arial" w:cs="Arial"/>
        </w:rPr>
        <w:t>, says:</w:t>
      </w:r>
    </w:p>
    <w:p w14:paraId="095AC113" w14:textId="771E3D28" w:rsidR="006B63FC" w:rsidRPr="008808A4" w:rsidRDefault="008808A4" w:rsidP="006B63FC">
      <w:pPr>
        <w:spacing w:after="0" w:line="360" w:lineRule="auto"/>
        <w:jc w:val="both"/>
        <w:rPr>
          <w:rFonts w:ascii="Arial" w:hAnsi="Arial" w:cs="Arial"/>
        </w:rPr>
      </w:pPr>
      <w:r>
        <w:rPr>
          <w:rFonts w:ascii="Arial" w:hAnsi="Arial" w:cs="Arial"/>
        </w:rPr>
        <w:t>“</w:t>
      </w:r>
      <w:r w:rsidR="006B63FC" w:rsidRPr="008808A4">
        <w:rPr>
          <w:rFonts w:ascii="Arial" w:hAnsi="Arial" w:cs="Arial"/>
        </w:rPr>
        <w:t xml:space="preserve">It is not mandatory that there should be evidence that the woman has complained that she has been raped. However, if she has, such [a] complaint is admitted in evidence </w:t>
      </w:r>
      <w:r w:rsidR="006B63FC" w:rsidRPr="008808A4">
        <w:rPr>
          <w:rFonts w:ascii="Arial" w:hAnsi="Arial" w:cs="Arial"/>
          <w:i/>
        </w:rPr>
        <w:t xml:space="preserve">to show consistency </w:t>
      </w:r>
      <w:r w:rsidR="006B63FC" w:rsidRPr="000B3510">
        <w:rPr>
          <w:rFonts w:ascii="Arial" w:hAnsi="Arial" w:cs="Arial"/>
          <w:i/>
        </w:rPr>
        <w:t xml:space="preserve">and to </w:t>
      </w:r>
      <w:r w:rsidR="006B63FC" w:rsidRPr="008808A4">
        <w:rPr>
          <w:rFonts w:ascii="Arial" w:hAnsi="Arial" w:cs="Arial"/>
          <w:i/>
        </w:rPr>
        <w:t>negative a defence of consent</w:t>
      </w:r>
      <w:r w:rsidR="006B63FC" w:rsidRPr="000B3510">
        <w:rPr>
          <w:rFonts w:ascii="Arial" w:hAnsi="Arial" w:cs="Arial"/>
          <w:i/>
        </w:rPr>
        <w:t xml:space="preserve">, but </w:t>
      </w:r>
      <w:r w:rsidR="006B63FC" w:rsidRPr="008808A4">
        <w:rPr>
          <w:rFonts w:ascii="Arial" w:hAnsi="Arial" w:cs="Arial"/>
          <w:i/>
        </w:rPr>
        <w:t>not as proof of their contents nor to corroborate the complainant</w:t>
      </w:r>
      <w:r w:rsidR="006B63FC" w:rsidRPr="008808A4">
        <w:rPr>
          <w:rFonts w:ascii="Arial" w:hAnsi="Arial" w:cs="Arial"/>
        </w:rPr>
        <w:t>. But it is not essential that consent should be in issue; the complainant may, for instance, be a girl of under 12 years of age.</w:t>
      </w:r>
    </w:p>
    <w:p w14:paraId="685ED060" w14:textId="2C5303A4" w:rsidR="006B63FC" w:rsidRPr="006B63FC" w:rsidRDefault="006B63FC" w:rsidP="006B63FC">
      <w:pPr>
        <w:spacing w:after="0" w:line="360" w:lineRule="auto"/>
        <w:jc w:val="both"/>
        <w:rPr>
          <w:rFonts w:ascii="Arial" w:hAnsi="Arial" w:cs="Arial"/>
          <w:sz w:val="24"/>
          <w:szCs w:val="24"/>
        </w:rPr>
      </w:pPr>
      <w:r w:rsidRPr="008808A4">
        <w:rPr>
          <w:rFonts w:ascii="Arial" w:hAnsi="Arial" w:cs="Arial"/>
        </w:rPr>
        <w:t>The purpose of admitting evidence of a complaint is that it serves to rebut any suspicion that the woman has lied about being raped. The corollary is, of course, that should a woman not complain, or not complain timeously, the conclusion may be drawn that she is lying in her evidence that she was raped. The conclusion may well be unfair to the victim, since women may hesitate to complain of rape for reasons of shame, embarrassment or fear.</w:t>
      </w:r>
      <w:r w:rsidR="00DA46EC">
        <w:rPr>
          <w:rFonts w:ascii="Arial" w:hAnsi="Arial" w:cs="Arial"/>
        </w:rPr>
        <w:t>”</w:t>
      </w:r>
      <w:r w:rsidRPr="008808A4">
        <w:rPr>
          <w:rFonts w:ascii="Arial" w:hAnsi="Arial" w:cs="Arial"/>
        </w:rPr>
        <w:t>’</w:t>
      </w:r>
      <w:r w:rsidRPr="000B3510">
        <w:rPr>
          <w:rFonts w:ascii="Arial" w:hAnsi="Arial" w:cs="Arial"/>
        </w:rPr>
        <w:t xml:space="preserve"> (Emphasis added</w:t>
      </w:r>
      <w:r w:rsidR="008808A4">
        <w:rPr>
          <w:rFonts w:ascii="Arial" w:hAnsi="Arial" w:cs="Arial"/>
        </w:rPr>
        <w:t>.</w:t>
      </w:r>
      <w:r w:rsidRPr="000B3510">
        <w:rPr>
          <w:rFonts w:ascii="Arial" w:hAnsi="Arial" w:cs="Arial"/>
        </w:rPr>
        <w:t>)</w:t>
      </w:r>
    </w:p>
    <w:p w14:paraId="6A7235B9" w14:textId="77777777" w:rsidR="006B63FC" w:rsidRPr="006B63FC" w:rsidRDefault="006B63FC" w:rsidP="006B63FC">
      <w:pPr>
        <w:spacing w:after="0" w:line="360" w:lineRule="auto"/>
        <w:jc w:val="both"/>
        <w:rPr>
          <w:rFonts w:ascii="Arial" w:hAnsi="Arial" w:cs="Arial"/>
          <w:sz w:val="24"/>
          <w:szCs w:val="24"/>
        </w:rPr>
      </w:pPr>
    </w:p>
    <w:p w14:paraId="4F33657D" w14:textId="26E5C22D"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lastRenderedPageBreak/>
        <w:t>On its own, the complainant’s evidence was satisfactory in all material respects. I am in agreement with the trial court that the discrepancies in her evidence on the two aspects relied upon are not a material misdirection. Whether the appellant undressed her or she undressed herself and whether, after the rape, she ran to her grandmother’s bedroom or outside the house or her room are irrelevant and immaterial to whether she was indeed raped, when and by whom.</w:t>
      </w:r>
    </w:p>
    <w:p w14:paraId="57571003" w14:textId="77777777" w:rsidR="006B63FC" w:rsidRPr="006B63FC" w:rsidRDefault="006B63FC" w:rsidP="006B63FC">
      <w:pPr>
        <w:pStyle w:val="ListParagraph"/>
        <w:spacing w:after="0" w:line="360" w:lineRule="auto"/>
        <w:ind w:left="0"/>
        <w:jc w:val="both"/>
        <w:rPr>
          <w:rFonts w:ascii="Arial" w:hAnsi="Arial" w:cs="Arial"/>
          <w:sz w:val="24"/>
          <w:szCs w:val="24"/>
        </w:rPr>
      </w:pPr>
    </w:p>
    <w:p w14:paraId="21BB555F" w14:textId="73949CCB"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I</w:t>
      </w:r>
      <w:r w:rsidR="00DA46EC">
        <w:rPr>
          <w:rFonts w:ascii="Arial" w:hAnsi="Arial" w:cs="Arial"/>
          <w:sz w:val="24"/>
          <w:szCs w:val="24"/>
        </w:rPr>
        <w:t>,</w:t>
      </w:r>
      <w:r w:rsidRPr="006B63FC">
        <w:rPr>
          <w:rFonts w:ascii="Arial" w:hAnsi="Arial" w:cs="Arial"/>
          <w:sz w:val="24"/>
          <w:szCs w:val="24"/>
        </w:rPr>
        <w:t xml:space="preserve"> therefore, undoubtedly find that the trial court was correct to accept the evidence of the complainant </w:t>
      </w:r>
      <w:r w:rsidR="00DA46EC">
        <w:rPr>
          <w:rFonts w:ascii="Arial" w:hAnsi="Arial" w:cs="Arial"/>
          <w:sz w:val="24"/>
          <w:szCs w:val="24"/>
        </w:rPr>
        <w:t xml:space="preserve">as </w:t>
      </w:r>
      <w:r w:rsidRPr="006B63FC">
        <w:rPr>
          <w:rFonts w:ascii="Arial" w:hAnsi="Arial" w:cs="Arial"/>
          <w:sz w:val="24"/>
          <w:szCs w:val="24"/>
        </w:rPr>
        <w:t>satisfactory in all material respects. And</w:t>
      </w:r>
      <w:r w:rsidR="00DA46EC">
        <w:rPr>
          <w:rFonts w:ascii="Arial" w:hAnsi="Arial" w:cs="Arial"/>
          <w:sz w:val="24"/>
          <w:szCs w:val="24"/>
        </w:rPr>
        <w:t>,</w:t>
      </w:r>
      <w:r w:rsidRPr="006B63FC">
        <w:rPr>
          <w:rFonts w:ascii="Arial" w:hAnsi="Arial" w:cs="Arial"/>
          <w:sz w:val="24"/>
          <w:szCs w:val="24"/>
        </w:rPr>
        <w:t xml:space="preserve"> thus</w:t>
      </w:r>
      <w:r w:rsidR="00DA46EC">
        <w:rPr>
          <w:rFonts w:ascii="Arial" w:hAnsi="Arial" w:cs="Arial"/>
          <w:sz w:val="24"/>
          <w:szCs w:val="24"/>
        </w:rPr>
        <w:t>,</w:t>
      </w:r>
      <w:r w:rsidRPr="006B63FC">
        <w:rPr>
          <w:rFonts w:ascii="Arial" w:hAnsi="Arial" w:cs="Arial"/>
          <w:sz w:val="24"/>
          <w:szCs w:val="24"/>
        </w:rPr>
        <w:t xml:space="preserve"> the appellant was properly convicted on the evidence of a single witness.</w:t>
      </w:r>
    </w:p>
    <w:p w14:paraId="58BCB2F6" w14:textId="77777777" w:rsidR="006B63FC" w:rsidRPr="006B63FC" w:rsidRDefault="006B63FC" w:rsidP="006B63FC">
      <w:pPr>
        <w:pStyle w:val="ListParagraph"/>
        <w:spacing w:after="0" w:line="360" w:lineRule="auto"/>
        <w:jc w:val="both"/>
        <w:rPr>
          <w:rFonts w:ascii="Arial" w:hAnsi="Arial" w:cs="Arial"/>
          <w:sz w:val="24"/>
          <w:szCs w:val="24"/>
        </w:rPr>
      </w:pPr>
    </w:p>
    <w:p w14:paraId="2C51744A" w14:textId="1C70CCBD" w:rsidR="009C40B8" w:rsidRPr="00BF6AEA" w:rsidRDefault="009C40B8" w:rsidP="006B63FC">
      <w:pPr>
        <w:pStyle w:val="ListParagraph"/>
        <w:numPr>
          <w:ilvl w:val="0"/>
          <w:numId w:val="14"/>
        </w:numPr>
        <w:spacing w:after="0" w:line="360" w:lineRule="auto"/>
        <w:ind w:left="0" w:firstLine="0"/>
        <w:jc w:val="both"/>
        <w:rPr>
          <w:rFonts w:ascii="Arial" w:hAnsi="Arial" w:cs="Arial"/>
          <w:sz w:val="24"/>
          <w:szCs w:val="24"/>
        </w:rPr>
      </w:pPr>
      <w:r w:rsidRPr="00BF6AEA">
        <w:rPr>
          <w:rFonts w:ascii="Arial" w:hAnsi="Arial" w:cs="Arial"/>
          <w:sz w:val="24"/>
          <w:szCs w:val="24"/>
        </w:rPr>
        <w:t>Coming to the appellant’s version. It is trite that the proper approach to evidence is to look at the evidence holistically to determine whether the guilt of the accused has been proven beyond reasonable doubt.</w:t>
      </w:r>
      <w:r w:rsidRPr="00BF6AEA">
        <w:rPr>
          <w:rFonts w:ascii="Arial" w:hAnsi="Arial" w:cs="Arial"/>
          <w:sz w:val="24"/>
          <w:szCs w:val="24"/>
          <w:vertAlign w:val="superscript"/>
        </w:rPr>
        <w:footnoteReference w:id="16"/>
      </w:r>
      <w:r w:rsidRPr="00BF6AEA">
        <w:rPr>
          <w:rFonts w:ascii="Arial" w:hAnsi="Arial" w:cs="Arial"/>
          <w:sz w:val="24"/>
          <w:szCs w:val="24"/>
        </w:rPr>
        <w:t xml:space="preserve"> This approach was reaffirmed by this Court in </w:t>
      </w:r>
      <w:r w:rsidR="00F56C76">
        <w:rPr>
          <w:rFonts w:ascii="Arial" w:hAnsi="Arial" w:cs="Arial"/>
          <w:i/>
          <w:sz w:val="24"/>
          <w:szCs w:val="24"/>
        </w:rPr>
        <w:t>Tshiki v S</w:t>
      </w:r>
      <w:r w:rsidRPr="00BF6AEA">
        <w:rPr>
          <w:rFonts w:ascii="Arial" w:hAnsi="Arial" w:cs="Arial"/>
          <w:sz w:val="24"/>
          <w:szCs w:val="24"/>
          <w:vertAlign w:val="superscript"/>
        </w:rPr>
        <w:footnoteReference w:id="17"/>
      </w:r>
      <w:r w:rsidRPr="00BF6AEA">
        <w:rPr>
          <w:rFonts w:ascii="Arial" w:hAnsi="Arial" w:cs="Arial"/>
          <w:sz w:val="24"/>
          <w:szCs w:val="24"/>
        </w:rPr>
        <w:t xml:space="preserve"> as follows: </w:t>
      </w:r>
    </w:p>
    <w:p w14:paraId="7BEFD387" w14:textId="77777777" w:rsidR="006B63FC" w:rsidRPr="00BF6AEA" w:rsidRDefault="006B63FC" w:rsidP="006B63FC">
      <w:pPr>
        <w:spacing w:after="0" w:line="360" w:lineRule="auto"/>
        <w:jc w:val="both"/>
        <w:rPr>
          <w:rFonts w:ascii="Arial" w:hAnsi="Arial" w:cs="Arial"/>
        </w:rPr>
      </w:pPr>
      <w:r w:rsidRPr="00BF6AEA">
        <w:rPr>
          <w:rFonts w:ascii="Arial" w:hAnsi="Arial" w:cs="Arial"/>
        </w:rPr>
        <w:t>‘In a criminal trial, a court’s approach in assessing evidence is to weigh up all the elements that point towards the guilt of the accused against all that which is indicative of their innocence taking proper account of inherent strengths and weaknesses, probabilities and improbabilities on both sides and having done so, to decide whether the balance weighs so heavily in favour of the State as to exclude any reasonable doubt about the accused’s guilt.’</w:t>
      </w:r>
      <w:r w:rsidRPr="00BF6AEA">
        <w:rPr>
          <w:rFonts w:ascii="Arial" w:hAnsi="Arial" w:cs="Arial"/>
          <w:vertAlign w:val="superscript"/>
        </w:rPr>
        <w:footnoteReference w:id="18"/>
      </w:r>
    </w:p>
    <w:p w14:paraId="76585387" w14:textId="77777777" w:rsidR="006B63FC" w:rsidRPr="006B63FC" w:rsidRDefault="006B63FC" w:rsidP="006B63FC">
      <w:pPr>
        <w:pStyle w:val="ListParagraph"/>
        <w:spacing w:after="0" w:line="360" w:lineRule="auto"/>
        <w:jc w:val="both"/>
        <w:rPr>
          <w:rFonts w:ascii="Arial" w:hAnsi="Arial" w:cs="Arial"/>
          <w:sz w:val="24"/>
          <w:szCs w:val="24"/>
        </w:rPr>
      </w:pPr>
    </w:p>
    <w:p w14:paraId="1A4C149A" w14:textId="402C85B2"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There are improbabilities in the appellant’s version in general and</w:t>
      </w:r>
      <w:r w:rsidR="00F56C76">
        <w:rPr>
          <w:rFonts w:ascii="Arial" w:hAnsi="Arial" w:cs="Arial"/>
          <w:sz w:val="24"/>
          <w:szCs w:val="24"/>
        </w:rPr>
        <w:t>, in particular</w:t>
      </w:r>
      <w:r w:rsidRPr="006B63FC">
        <w:rPr>
          <w:rFonts w:ascii="Arial" w:hAnsi="Arial" w:cs="Arial"/>
          <w:sz w:val="24"/>
          <w:szCs w:val="24"/>
        </w:rPr>
        <w:t xml:space="preserve">, his alibi. </w:t>
      </w:r>
      <w:r w:rsidR="00813D39">
        <w:rPr>
          <w:rFonts w:ascii="Arial" w:hAnsi="Arial" w:cs="Arial"/>
          <w:sz w:val="24"/>
          <w:szCs w:val="24"/>
        </w:rPr>
        <w:t xml:space="preserve">The </w:t>
      </w:r>
      <w:r w:rsidRPr="006B63FC">
        <w:rPr>
          <w:rFonts w:ascii="Arial" w:hAnsi="Arial" w:cs="Arial"/>
          <w:sz w:val="24"/>
          <w:szCs w:val="24"/>
        </w:rPr>
        <w:t>version put to the complainant was stated as follows: ‘if someone can tell you that the reason for you not walking properly is that you injured yourself while playing with other kids</w:t>
      </w:r>
      <w:r w:rsidR="00F56C76">
        <w:rPr>
          <w:rFonts w:ascii="Arial" w:hAnsi="Arial" w:cs="Arial"/>
          <w:sz w:val="24"/>
          <w:szCs w:val="24"/>
        </w:rPr>
        <w:t>,</w:t>
      </w:r>
      <w:r w:rsidRPr="006B63FC">
        <w:rPr>
          <w:rFonts w:ascii="Arial" w:hAnsi="Arial" w:cs="Arial"/>
          <w:sz w:val="24"/>
          <w:szCs w:val="24"/>
        </w:rPr>
        <w:t xml:space="preserve"> what will you say?’</w:t>
      </w:r>
      <w:r w:rsidR="00F56C76">
        <w:rPr>
          <w:rFonts w:ascii="Arial" w:hAnsi="Arial" w:cs="Arial"/>
          <w:sz w:val="24"/>
          <w:szCs w:val="24"/>
        </w:rPr>
        <w:t>.</w:t>
      </w:r>
      <w:r w:rsidRPr="006B63FC">
        <w:rPr>
          <w:rFonts w:ascii="Arial" w:hAnsi="Arial" w:cs="Arial"/>
          <w:sz w:val="24"/>
          <w:szCs w:val="24"/>
        </w:rPr>
        <w:t xml:space="preserve"> </w:t>
      </w:r>
      <w:r w:rsidR="00F56C76">
        <w:rPr>
          <w:rFonts w:ascii="Arial" w:hAnsi="Arial" w:cs="Arial"/>
          <w:sz w:val="24"/>
          <w:szCs w:val="24"/>
        </w:rPr>
        <w:t>In reply, the complainant</w:t>
      </w:r>
      <w:r w:rsidRPr="006B63FC">
        <w:rPr>
          <w:rFonts w:ascii="Arial" w:hAnsi="Arial" w:cs="Arial"/>
          <w:sz w:val="24"/>
          <w:szCs w:val="24"/>
        </w:rPr>
        <w:t xml:space="preserve"> said</w:t>
      </w:r>
      <w:r w:rsidR="00F56C76">
        <w:rPr>
          <w:rFonts w:ascii="Arial" w:hAnsi="Arial" w:cs="Arial"/>
          <w:sz w:val="24"/>
          <w:szCs w:val="24"/>
        </w:rPr>
        <w:t>: ‘</w:t>
      </w:r>
      <w:r w:rsidRPr="006B63FC">
        <w:rPr>
          <w:rFonts w:ascii="Arial" w:hAnsi="Arial" w:cs="Arial"/>
          <w:sz w:val="24"/>
          <w:szCs w:val="24"/>
        </w:rPr>
        <w:t>I say that’s not true’. It was further put to the complainant that she was falsely implicating the appellant</w:t>
      </w:r>
      <w:r w:rsidR="00F56C76">
        <w:rPr>
          <w:rFonts w:ascii="Arial" w:hAnsi="Arial" w:cs="Arial"/>
          <w:sz w:val="24"/>
          <w:szCs w:val="24"/>
        </w:rPr>
        <w:t>,</w:t>
      </w:r>
      <w:r w:rsidRPr="006B63FC">
        <w:rPr>
          <w:rFonts w:ascii="Arial" w:hAnsi="Arial" w:cs="Arial"/>
          <w:sz w:val="24"/>
          <w:szCs w:val="24"/>
        </w:rPr>
        <w:t xml:space="preserve"> because of some ill feeling between him and his sister </w:t>
      </w:r>
      <w:r w:rsidR="00813D39">
        <w:rPr>
          <w:rFonts w:ascii="Arial" w:hAnsi="Arial" w:cs="Arial"/>
          <w:sz w:val="24"/>
          <w:szCs w:val="24"/>
        </w:rPr>
        <w:t>(</w:t>
      </w:r>
      <w:r w:rsidRPr="006B63FC">
        <w:rPr>
          <w:rFonts w:ascii="Arial" w:hAnsi="Arial" w:cs="Arial"/>
          <w:sz w:val="24"/>
          <w:szCs w:val="24"/>
        </w:rPr>
        <w:t>the complainant’s mother</w:t>
      </w:r>
      <w:r w:rsidR="00813D39">
        <w:rPr>
          <w:rFonts w:ascii="Arial" w:hAnsi="Arial" w:cs="Arial"/>
          <w:sz w:val="24"/>
          <w:szCs w:val="24"/>
        </w:rPr>
        <w:t>)</w:t>
      </w:r>
      <w:r w:rsidRPr="006B63FC">
        <w:rPr>
          <w:rFonts w:ascii="Arial" w:hAnsi="Arial" w:cs="Arial"/>
          <w:sz w:val="24"/>
          <w:szCs w:val="24"/>
        </w:rPr>
        <w:t xml:space="preserve"> and her grandmother. </w:t>
      </w:r>
      <w:r w:rsidR="00F56C76">
        <w:rPr>
          <w:rFonts w:ascii="Arial" w:hAnsi="Arial" w:cs="Arial"/>
          <w:sz w:val="24"/>
          <w:szCs w:val="24"/>
        </w:rPr>
        <w:t>The complainant</w:t>
      </w:r>
      <w:r w:rsidRPr="006B63FC">
        <w:rPr>
          <w:rFonts w:ascii="Arial" w:hAnsi="Arial" w:cs="Arial"/>
          <w:sz w:val="24"/>
          <w:szCs w:val="24"/>
        </w:rPr>
        <w:t xml:space="preserve"> denied that. </w:t>
      </w:r>
      <w:r w:rsidR="00813D39">
        <w:rPr>
          <w:rFonts w:ascii="Arial" w:hAnsi="Arial" w:cs="Arial"/>
          <w:sz w:val="24"/>
          <w:szCs w:val="24"/>
        </w:rPr>
        <w:t>Moreover, this</w:t>
      </w:r>
      <w:r w:rsidRPr="006B63FC">
        <w:rPr>
          <w:rFonts w:ascii="Arial" w:hAnsi="Arial" w:cs="Arial"/>
          <w:sz w:val="24"/>
          <w:szCs w:val="24"/>
        </w:rPr>
        <w:t xml:space="preserve"> motive was not even put to her mother or the </w:t>
      </w:r>
      <w:r w:rsidR="00F56C76">
        <w:rPr>
          <w:rFonts w:ascii="Arial" w:hAnsi="Arial" w:cs="Arial"/>
          <w:sz w:val="24"/>
          <w:szCs w:val="24"/>
        </w:rPr>
        <w:t>s</w:t>
      </w:r>
      <w:r w:rsidRPr="006B63FC">
        <w:rPr>
          <w:rFonts w:ascii="Arial" w:hAnsi="Arial" w:cs="Arial"/>
          <w:sz w:val="24"/>
          <w:szCs w:val="24"/>
        </w:rPr>
        <w:t xml:space="preserve">ocial </w:t>
      </w:r>
      <w:r w:rsidR="00F56C76">
        <w:rPr>
          <w:rFonts w:ascii="Arial" w:hAnsi="Arial" w:cs="Arial"/>
          <w:sz w:val="24"/>
          <w:szCs w:val="24"/>
        </w:rPr>
        <w:t>w</w:t>
      </w:r>
      <w:r w:rsidRPr="006B63FC">
        <w:rPr>
          <w:rFonts w:ascii="Arial" w:hAnsi="Arial" w:cs="Arial"/>
          <w:sz w:val="24"/>
          <w:szCs w:val="24"/>
        </w:rPr>
        <w:t>orker</w:t>
      </w:r>
      <w:r w:rsidR="00F56C76">
        <w:rPr>
          <w:rFonts w:ascii="Arial" w:hAnsi="Arial" w:cs="Arial"/>
          <w:sz w:val="24"/>
          <w:szCs w:val="24"/>
        </w:rPr>
        <w:t>,</w:t>
      </w:r>
      <w:r w:rsidRPr="006B63FC">
        <w:rPr>
          <w:rFonts w:ascii="Arial" w:hAnsi="Arial" w:cs="Arial"/>
          <w:sz w:val="24"/>
          <w:szCs w:val="24"/>
        </w:rPr>
        <w:t xml:space="preserve"> who compiled the </w:t>
      </w:r>
      <w:r w:rsidR="00F56C76">
        <w:rPr>
          <w:rFonts w:ascii="Arial" w:hAnsi="Arial" w:cs="Arial"/>
          <w:sz w:val="24"/>
          <w:szCs w:val="24"/>
        </w:rPr>
        <w:t>victim impact statement (</w:t>
      </w:r>
      <w:r w:rsidRPr="006B63FC">
        <w:rPr>
          <w:rFonts w:ascii="Arial" w:hAnsi="Arial" w:cs="Arial"/>
          <w:sz w:val="24"/>
          <w:szCs w:val="24"/>
        </w:rPr>
        <w:t>VIS</w:t>
      </w:r>
      <w:r w:rsidR="00F56C76">
        <w:rPr>
          <w:rFonts w:ascii="Arial" w:hAnsi="Arial" w:cs="Arial"/>
          <w:sz w:val="24"/>
          <w:szCs w:val="24"/>
        </w:rPr>
        <w:t>)</w:t>
      </w:r>
      <w:r w:rsidRPr="006B63FC">
        <w:rPr>
          <w:rFonts w:ascii="Arial" w:hAnsi="Arial" w:cs="Arial"/>
          <w:sz w:val="24"/>
          <w:szCs w:val="24"/>
        </w:rPr>
        <w:t xml:space="preserve"> in respect of the complainant, during cross</w:t>
      </w:r>
      <w:r w:rsidR="00F56C76">
        <w:rPr>
          <w:rFonts w:ascii="Arial" w:hAnsi="Arial" w:cs="Arial"/>
          <w:sz w:val="24"/>
          <w:szCs w:val="24"/>
        </w:rPr>
        <w:t>-</w:t>
      </w:r>
      <w:r w:rsidRPr="006B63FC">
        <w:rPr>
          <w:rFonts w:ascii="Arial" w:hAnsi="Arial" w:cs="Arial"/>
          <w:sz w:val="24"/>
          <w:szCs w:val="24"/>
        </w:rPr>
        <w:t>examination. There is no evidence that there was any other person at their home</w:t>
      </w:r>
      <w:r w:rsidR="00813D39">
        <w:rPr>
          <w:rFonts w:ascii="Arial" w:hAnsi="Arial" w:cs="Arial"/>
          <w:sz w:val="24"/>
          <w:szCs w:val="24"/>
        </w:rPr>
        <w:t>,</w:t>
      </w:r>
      <w:r w:rsidRPr="006B63FC">
        <w:rPr>
          <w:rFonts w:ascii="Arial" w:hAnsi="Arial" w:cs="Arial"/>
          <w:sz w:val="24"/>
          <w:szCs w:val="24"/>
        </w:rPr>
        <w:t xml:space="preserve"> other than the appellant and </w:t>
      </w:r>
      <w:r w:rsidRPr="006B63FC">
        <w:rPr>
          <w:rFonts w:ascii="Arial" w:hAnsi="Arial" w:cs="Arial"/>
          <w:sz w:val="24"/>
          <w:szCs w:val="24"/>
        </w:rPr>
        <w:lastRenderedPageBreak/>
        <w:t>his son, Shaun</w:t>
      </w:r>
      <w:r w:rsidR="00350B03">
        <w:rPr>
          <w:rFonts w:ascii="Arial" w:hAnsi="Arial" w:cs="Arial"/>
          <w:sz w:val="24"/>
          <w:szCs w:val="24"/>
        </w:rPr>
        <w:t>,</w:t>
      </w:r>
      <w:r w:rsidRPr="006B63FC">
        <w:rPr>
          <w:rFonts w:ascii="Arial" w:hAnsi="Arial" w:cs="Arial"/>
          <w:sz w:val="24"/>
          <w:szCs w:val="24"/>
        </w:rPr>
        <w:t xml:space="preserve"> who was not present when the rape occurred. Crucially, </w:t>
      </w:r>
      <w:r w:rsidR="00813D39">
        <w:rPr>
          <w:rFonts w:ascii="Arial" w:hAnsi="Arial" w:cs="Arial"/>
          <w:sz w:val="24"/>
          <w:szCs w:val="24"/>
        </w:rPr>
        <w:t>the appellant</w:t>
      </w:r>
      <w:r w:rsidRPr="006B63FC">
        <w:rPr>
          <w:rFonts w:ascii="Arial" w:hAnsi="Arial" w:cs="Arial"/>
          <w:sz w:val="24"/>
          <w:szCs w:val="24"/>
        </w:rPr>
        <w:t xml:space="preserve"> did not disclose the alibi timeously for the police and the prosecution to follow it up in the three years before the trial commenced. Nor was this alibi taken up with any vigour by the defence during cross</w:t>
      </w:r>
      <w:r w:rsidR="00350B03">
        <w:rPr>
          <w:rFonts w:ascii="Arial" w:hAnsi="Arial" w:cs="Arial"/>
          <w:sz w:val="24"/>
          <w:szCs w:val="24"/>
        </w:rPr>
        <w:t>-</w:t>
      </w:r>
      <w:r w:rsidRPr="006B63FC">
        <w:rPr>
          <w:rFonts w:ascii="Arial" w:hAnsi="Arial" w:cs="Arial"/>
          <w:sz w:val="24"/>
          <w:szCs w:val="24"/>
        </w:rPr>
        <w:t xml:space="preserve">examination of the mother and the social worker. The defence witness called could hardly corroborate him. Suffice to state that the appellant was </w:t>
      </w:r>
      <w:r w:rsidR="00350B03" w:rsidRPr="006B63FC">
        <w:rPr>
          <w:rFonts w:ascii="Arial" w:hAnsi="Arial" w:cs="Arial"/>
          <w:sz w:val="24"/>
          <w:szCs w:val="24"/>
        </w:rPr>
        <w:t xml:space="preserve">indeed </w:t>
      </w:r>
      <w:r w:rsidRPr="006B63FC">
        <w:rPr>
          <w:rFonts w:ascii="Arial" w:hAnsi="Arial" w:cs="Arial"/>
          <w:sz w:val="24"/>
          <w:szCs w:val="24"/>
        </w:rPr>
        <w:t xml:space="preserve">at work on 7 December 2010, </w:t>
      </w:r>
      <w:r w:rsidR="00350B03">
        <w:rPr>
          <w:rFonts w:ascii="Arial" w:hAnsi="Arial" w:cs="Arial"/>
          <w:sz w:val="24"/>
          <w:szCs w:val="24"/>
        </w:rPr>
        <w:t>although</w:t>
      </w:r>
      <w:r w:rsidR="00813D39">
        <w:rPr>
          <w:rFonts w:ascii="Arial" w:hAnsi="Arial" w:cs="Arial"/>
          <w:sz w:val="24"/>
          <w:szCs w:val="24"/>
        </w:rPr>
        <w:t>,</w:t>
      </w:r>
      <w:r w:rsidRPr="006B63FC">
        <w:rPr>
          <w:rFonts w:ascii="Arial" w:hAnsi="Arial" w:cs="Arial"/>
          <w:sz w:val="24"/>
          <w:szCs w:val="24"/>
        </w:rPr>
        <w:t xml:space="preserve"> he could not remember if it was a Monday or Tuesday. </w:t>
      </w:r>
    </w:p>
    <w:p w14:paraId="3A3DCE43" w14:textId="77777777" w:rsidR="006B63FC" w:rsidRPr="006B63FC" w:rsidRDefault="006B63FC" w:rsidP="006B63FC">
      <w:pPr>
        <w:pStyle w:val="ListParagraph"/>
        <w:spacing w:after="0" w:line="360" w:lineRule="auto"/>
        <w:ind w:left="0"/>
        <w:jc w:val="both"/>
        <w:rPr>
          <w:rFonts w:ascii="Arial" w:hAnsi="Arial" w:cs="Arial"/>
          <w:sz w:val="24"/>
          <w:szCs w:val="24"/>
        </w:rPr>
      </w:pPr>
    </w:p>
    <w:p w14:paraId="20C7A0F2" w14:textId="543FED9E" w:rsidR="00813D39"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To bolster his alibi, the appellant took issue with the date on which the complainant alleged he </w:t>
      </w:r>
      <w:r w:rsidR="00813D39">
        <w:rPr>
          <w:rFonts w:ascii="Arial" w:hAnsi="Arial" w:cs="Arial"/>
          <w:sz w:val="24"/>
          <w:szCs w:val="24"/>
        </w:rPr>
        <w:t xml:space="preserve">had </w:t>
      </w:r>
      <w:r w:rsidRPr="006B63FC">
        <w:rPr>
          <w:rFonts w:ascii="Arial" w:hAnsi="Arial" w:cs="Arial"/>
          <w:sz w:val="24"/>
          <w:szCs w:val="24"/>
        </w:rPr>
        <w:t>raped her as reflected in the J88</w:t>
      </w:r>
      <w:r w:rsidR="00813D39">
        <w:rPr>
          <w:rFonts w:ascii="Arial" w:hAnsi="Arial" w:cs="Arial"/>
          <w:sz w:val="24"/>
          <w:szCs w:val="24"/>
        </w:rPr>
        <w:t xml:space="preserve"> form:</w:t>
      </w:r>
      <w:r w:rsidRPr="006B63FC">
        <w:rPr>
          <w:rFonts w:ascii="Arial" w:hAnsi="Arial" w:cs="Arial"/>
          <w:sz w:val="24"/>
          <w:szCs w:val="24"/>
        </w:rPr>
        <w:t xml:space="preserve"> 7 December instead of 6 December as she alleged. It is correct that the medical doctor noted 7 December as reported to him. However, there is no evidence as to who provided the doctor with that information</w:t>
      </w:r>
      <w:r w:rsidR="00813D39">
        <w:rPr>
          <w:rFonts w:ascii="Arial" w:hAnsi="Arial" w:cs="Arial"/>
          <w:sz w:val="24"/>
          <w:szCs w:val="24"/>
        </w:rPr>
        <w:t>:</w:t>
      </w:r>
      <w:r w:rsidRPr="006B63FC">
        <w:rPr>
          <w:rFonts w:ascii="Arial" w:hAnsi="Arial" w:cs="Arial"/>
          <w:sz w:val="24"/>
          <w:szCs w:val="24"/>
        </w:rPr>
        <w:t xml:space="preserve"> the complainant or the police or the mother or whoever took her for medical examination. This ignores the fact that on the same J88 </w:t>
      </w:r>
      <w:r w:rsidR="00813D39">
        <w:rPr>
          <w:rFonts w:ascii="Arial" w:hAnsi="Arial" w:cs="Arial"/>
          <w:sz w:val="24"/>
          <w:szCs w:val="24"/>
        </w:rPr>
        <w:t xml:space="preserve">form </w:t>
      </w:r>
      <w:r w:rsidRPr="006B63FC">
        <w:rPr>
          <w:rFonts w:ascii="Arial" w:hAnsi="Arial" w:cs="Arial"/>
          <w:sz w:val="24"/>
          <w:szCs w:val="24"/>
        </w:rPr>
        <w:t xml:space="preserve">the police noted that the incident occurred on 6 December 2010. </w:t>
      </w:r>
    </w:p>
    <w:p w14:paraId="2513B61E" w14:textId="77777777" w:rsidR="00813D39" w:rsidRPr="000B3510" w:rsidRDefault="00813D39" w:rsidP="000B3510">
      <w:pPr>
        <w:pStyle w:val="ListParagraph"/>
        <w:spacing w:after="0" w:line="360" w:lineRule="auto"/>
        <w:rPr>
          <w:rFonts w:ascii="Arial" w:hAnsi="Arial" w:cs="Arial"/>
          <w:sz w:val="24"/>
          <w:szCs w:val="24"/>
        </w:rPr>
      </w:pPr>
    </w:p>
    <w:p w14:paraId="0422F488" w14:textId="29FA95D0" w:rsidR="009C40B8" w:rsidRPr="006B63FC" w:rsidRDefault="00813D39" w:rsidP="006B63FC">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Furthermore</w:t>
      </w:r>
      <w:r w:rsidR="009C40B8" w:rsidRPr="006B63FC">
        <w:rPr>
          <w:rFonts w:ascii="Arial" w:hAnsi="Arial" w:cs="Arial"/>
          <w:sz w:val="24"/>
          <w:szCs w:val="24"/>
        </w:rPr>
        <w:t>, the plea tendered on behalf of the appellant was one of a bare denial; not an alibi. It was pertinently put to the complainant that she hurt herself (presumably on her vagina) when she was playing with other children. It was never put to her or any of the witnesses that the incident that the complainant is alleged to have hurt herself when she was playing, did not occur on 6 December but 7 December. The only reasonable inference to draw is that the alibi is a made</w:t>
      </w:r>
      <w:r w:rsidR="00F90B1B">
        <w:rPr>
          <w:rFonts w:ascii="Arial" w:hAnsi="Arial" w:cs="Arial"/>
          <w:sz w:val="24"/>
          <w:szCs w:val="24"/>
        </w:rPr>
        <w:t>-</w:t>
      </w:r>
      <w:r w:rsidR="009C40B8" w:rsidRPr="006B63FC">
        <w:rPr>
          <w:rFonts w:ascii="Arial" w:hAnsi="Arial" w:cs="Arial"/>
          <w:sz w:val="24"/>
          <w:szCs w:val="24"/>
        </w:rPr>
        <w:t xml:space="preserve">up story. </w:t>
      </w:r>
      <w:r w:rsidR="00F90B1B" w:rsidRPr="006B63FC">
        <w:rPr>
          <w:rFonts w:ascii="Arial" w:hAnsi="Arial" w:cs="Arial"/>
          <w:sz w:val="24"/>
          <w:szCs w:val="24"/>
        </w:rPr>
        <w:t>Additionally</w:t>
      </w:r>
      <w:r w:rsidR="009C40B8" w:rsidRPr="006B63FC">
        <w:rPr>
          <w:rFonts w:ascii="Arial" w:hAnsi="Arial" w:cs="Arial"/>
          <w:sz w:val="24"/>
          <w:szCs w:val="24"/>
        </w:rPr>
        <w:t>, that the appellant built his defence as the case proceeded to dovetail the evidence of the complainant in an attempt to take advantage of her young age and any confusion which may emerge and lead to contradictions</w:t>
      </w:r>
      <w:r w:rsidR="007C01AE" w:rsidRPr="001F4BEB">
        <w:rPr>
          <w:rFonts w:ascii="Arial" w:hAnsi="Arial" w:cs="Arial"/>
          <w:color w:val="00B050"/>
          <w:sz w:val="24"/>
          <w:szCs w:val="24"/>
        </w:rPr>
        <w:t>,</w:t>
      </w:r>
      <w:r w:rsidR="009C40B8" w:rsidRPr="001F4BEB">
        <w:rPr>
          <w:rFonts w:ascii="Arial" w:hAnsi="Arial" w:cs="Arial"/>
          <w:color w:val="00B050"/>
          <w:sz w:val="24"/>
          <w:szCs w:val="24"/>
        </w:rPr>
        <w:t xml:space="preserve"> </w:t>
      </w:r>
      <w:r w:rsidR="009C40B8" w:rsidRPr="006B63FC">
        <w:rPr>
          <w:rFonts w:ascii="Arial" w:hAnsi="Arial" w:cs="Arial"/>
          <w:sz w:val="24"/>
          <w:szCs w:val="24"/>
        </w:rPr>
        <w:t xml:space="preserve">if viewed in isolation. </w:t>
      </w:r>
    </w:p>
    <w:p w14:paraId="791D7DD9" w14:textId="77777777" w:rsidR="006B63FC" w:rsidRPr="006B63FC" w:rsidRDefault="006B63FC" w:rsidP="006B63FC">
      <w:pPr>
        <w:pStyle w:val="ListParagraph"/>
        <w:spacing w:after="0" w:line="360" w:lineRule="auto"/>
        <w:ind w:left="0"/>
        <w:jc w:val="both"/>
        <w:rPr>
          <w:rFonts w:ascii="Arial" w:hAnsi="Arial" w:cs="Arial"/>
          <w:sz w:val="24"/>
          <w:szCs w:val="24"/>
        </w:rPr>
      </w:pPr>
    </w:p>
    <w:p w14:paraId="761A264B" w14:textId="0B6686B1"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 improbability of this alibi further lies in the following. The appellant was legally represented by an attorney from 30 December 2010.</w:t>
      </w:r>
      <w:r w:rsidR="00F90B1B">
        <w:rPr>
          <w:rFonts w:ascii="Arial" w:hAnsi="Arial" w:cs="Arial"/>
          <w:sz w:val="24"/>
          <w:szCs w:val="24"/>
        </w:rPr>
        <w:t xml:space="preserve"> </w:t>
      </w:r>
      <w:r w:rsidRPr="006B63FC">
        <w:rPr>
          <w:rFonts w:ascii="Arial" w:hAnsi="Arial" w:cs="Arial"/>
          <w:sz w:val="24"/>
          <w:szCs w:val="24"/>
        </w:rPr>
        <w:t xml:space="preserve">From 31 January 2013 until the end of the trial, he was represented by an advocate, on a brief by a firm of attorneys. The charge sheet, annexure A Case No RN 102/2010 alleged that ‘on or about 06.12.2010’. When the charge was put to the appellant, on 1 March 2013, the State alleged that the rape took place on 6 December 2010. When the complainant was called to testify, she was asked to tell the court what happened on 6 December 2010. From the commencement of the trial, there was no objection from the defence </w:t>
      </w:r>
      <w:r w:rsidRPr="006B63FC">
        <w:rPr>
          <w:rFonts w:ascii="Arial" w:hAnsi="Arial" w:cs="Arial"/>
          <w:sz w:val="24"/>
          <w:szCs w:val="24"/>
        </w:rPr>
        <w:lastRenderedPageBreak/>
        <w:t xml:space="preserve">on the date and day given by the complainant in her evidence-in-chief and on her statement to the police. The only challenge raised with the complainant </w:t>
      </w:r>
      <w:r w:rsidR="00DC716A" w:rsidRPr="00877039">
        <w:rPr>
          <w:rFonts w:ascii="Arial" w:hAnsi="Arial" w:cs="Arial"/>
          <w:color w:val="000000" w:themeColor="text1"/>
          <w:sz w:val="24"/>
          <w:szCs w:val="24"/>
        </w:rPr>
        <w:t>concerned</w:t>
      </w:r>
      <w:r w:rsidR="00DC716A">
        <w:rPr>
          <w:rFonts w:ascii="Arial" w:hAnsi="Arial" w:cs="Arial"/>
          <w:sz w:val="24"/>
          <w:szCs w:val="24"/>
        </w:rPr>
        <w:t xml:space="preserve"> </w:t>
      </w:r>
      <w:r w:rsidR="00DC716A" w:rsidRPr="006B63FC">
        <w:rPr>
          <w:rFonts w:ascii="Arial" w:hAnsi="Arial" w:cs="Arial"/>
          <w:sz w:val="24"/>
          <w:szCs w:val="24"/>
        </w:rPr>
        <w:t>the</w:t>
      </w:r>
      <w:r w:rsidRPr="006B63FC">
        <w:rPr>
          <w:rFonts w:ascii="Arial" w:hAnsi="Arial" w:cs="Arial"/>
          <w:sz w:val="24"/>
          <w:szCs w:val="24"/>
        </w:rPr>
        <w:t xml:space="preserve"> discrepancy </w:t>
      </w:r>
      <w:r w:rsidR="00DC716A" w:rsidRPr="00877039">
        <w:rPr>
          <w:rFonts w:ascii="Arial" w:hAnsi="Arial" w:cs="Arial"/>
          <w:color w:val="000000" w:themeColor="text1"/>
          <w:sz w:val="24"/>
          <w:szCs w:val="24"/>
        </w:rPr>
        <w:t>on the</w:t>
      </w:r>
      <w:r w:rsidRPr="00877039">
        <w:rPr>
          <w:rFonts w:ascii="Arial" w:hAnsi="Arial" w:cs="Arial"/>
          <w:color w:val="000000" w:themeColor="text1"/>
          <w:sz w:val="24"/>
          <w:szCs w:val="24"/>
        </w:rPr>
        <w:t xml:space="preserve"> </w:t>
      </w:r>
      <w:r w:rsidRPr="006B63FC">
        <w:rPr>
          <w:rFonts w:ascii="Arial" w:hAnsi="Arial" w:cs="Arial"/>
          <w:sz w:val="24"/>
          <w:szCs w:val="24"/>
        </w:rPr>
        <w:t xml:space="preserve">date </w:t>
      </w:r>
      <w:r w:rsidR="00D20C3A">
        <w:rPr>
          <w:rFonts w:ascii="Arial" w:hAnsi="Arial" w:cs="Arial"/>
          <w:sz w:val="24"/>
          <w:szCs w:val="24"/>
        </w:rPr>
        <w:t xml:space="preserve">mentioned </w:t>
      </w:r>
      <w:r w:rsidRPr="006B63FC">
        <w:rPr>
          <w:rFonts w:ascii="Arial" w:hAnsi="Arial" w:cs="Arial"/>
          <w:sz w:val="24"/>
          <w:szCs w:val="24"/>
        </w:rPr>
        <w:t xml:space="preserve">in her statement and the J88 </w:t>
      </w:r>
      <w:r w:rsidR="00F90B1B">
        <w:rPr>
          <w:rFonts w:ascii="Arial" w:hAnsi="Arial" w:cs="Arial"/>
          <w:sz w:val="24"/>
          <w:szCs w:val="24"/>
        </w:rPr>
        <w:t>form</w:t>
      </w:r>
      <w:r w:rsidR="00DC716A">
        <w:rPr>
          <w:rFonts w:ascii="Arial" w:hAnsi="Arial" w:cs="Arial"/>
          <w:sz w:val="24"/>
          <w:szCs w:val="24"/>
        </w:rPr>
        <w:t xml:space="preserve">. </w:t>
      </w:r>
      <w:r w:rsidR="00D20C3A">
        <w:rPr>
          <w:rFonts w:ascii="Arial" w:hAnsi="Arial" w:cs="Arial"/>
          <w:sz w:val="24"/>
          <w:szCs w:val="24"/>
        </w:rPr>
        <w:t xml:space="preserve">The </w:t>
      </w:r>
      <w:r w:rsidR="00DC716A">
        <w:rPr>
          <w:rFonts w:ascii="Arial" w:hAnsi="Arial" w:cs="Arial"/>
          <w:sz w:val="24"/>
          <w:szCs w:val="24"/>
        </w:rPr>
        <w:t xml:space="preserve">complainant </w:t>
      </w:r>
      <w:r w:rsidR="00DC716A" w:rsidRPr="006B63FC">
        <w:rPr>
          <w:rFonts w:ascii="Arial" w:hAnsi="Arial" w:cs="Arial"/>
          <w:sz w:val="24"/>
          <w:szCs w:val="24"/>
        </w:rPr>
        <w:t>responded</w:t>
      </w:r>
      <w:r w:rsidRPr="006B63FC">
        <w:rPr>
          <w:rFonts w:ascii="Arial" w:hAnsi="Arial" w:cs="Arial"/>
          <w:sz w:val="24"/>
          <w:szCs w:val="24"/>
        </w:rPr>
        <w:t xml:space="preserve"> </w:t>
      </w:r>
      <w:r w:rsidR="00D20C3A" w:rsidRPr="00877039">
        <w:rPr>
          <w:rFonts w:ascii="Arial" w:hAnsi="Arial" w:cs="Arial"/>
          <w:color w:val="000000" w:themeColor="text1"/>
          <w:sz w:val="24"/>
          <w:szCs w:val="24"/>
        </w:rPr>
        <w:t xml:space="preserve">by </w:t>
      </w:r>
      <w:r w:rsidR="00DC716A" w:rsidRPr="00877039">
        <w:rPr>
          <w:rFonts w:ascii="Arial" w:hAnsi="Arial" w:cs="Arial"/>
          <w:color w:val="000000" w:themeColor="text1"/>
          <w:sz w:val="24"/>
          <w:szCs w:val="24"/>
        </w:rPr>
        <w:t xml:space="preserve">sticking </w:t>
      </w:r>
      <w:r w:rsidR="00DC716A" w:rsidRPr="006B63FC">
        <w:rPr>
          <w:rFonts w:ascii="Arial" w:hAnsi="Arial" w:cs="Arial"/>
          <w:sz w:val="24"/>
          <w:szCs w:val="24"/>
        </w:rPr>
        <w:t>to</w:t>
      </w:r>
      <w:r w:rsidRPr="006B63FC">
        <w:rPr>
          <w:rFonts w:ascii="Arial" w:hAnsi="Arial" w:cs="Arial"/>
          <w:sz w:val="24"/>
          <w:szCs w:val="24"/>
        </w:rPr>
        <w:t xml:space="preserve"> her version that it was on a Monday when</w:t>
      </w:r>
      <w:r w:rsidRPr="00877039">
        <w:rPr>
          <w:rFonts w:ascii="Arial" w:hAnsi="Arial" w:cs="Arial"/>
          <w:color w:val="000000" w:themeColor="text1"/>
          <w:sz w:val="24"/>
          <w:szCs w:val="24"/>
        </w:rPr>
        <w:t xml:space="preserve"> th</w:t>
      </w:r>
      <w:r w:rsidR="00BD6756" w:rsidRPr="00877039">
        <w:rPr>
          <w:rFonts w:ascii="Arial" w:hAnsi="Arial" w:cs="Arial"/>
          <w:color w:val="000000" w:themeColor="text1"/>
          <w:sz w:val="24"/>
          <w:szCs w:val="24"/>
        </w:rPr>
        <w:t xml:space="preserve">e </w:t>
      </w:r>
      <w:r w:rsidR="00DC716A" w:rsidRPr="00877039">
        <w:rPr>
          <w:rFonts w:ascii="Arial" w:hAnsi="Arial" w:cs="Arial"/>
          <w:color w:val="000000" w:themeColor="text1"/>
          <w:sz w:val="24"/>
          <w:szCs w:val="24"/>
        </w:rPr>
        <w:t xml:space="preserve">incident </w:t>
      </w:r>
      <w:r w:rsidR="00DC716A" w:rsidRPr="006B63FC">
        <w:rPr>
          <w:rFonts w:ascii="Arial" w:hAnsi="Arial" w:cs="Arial"/>
          <w:sz w:val="24"/>
          <w:szCs w:val="24"/>
        </w:rPr>
        <w:t>happened</w:t>
      </w:r>
      <w:r w:rsidRPr="006B63FC">
        <w:rPr>
          <w:rFonts w:ascii="Arial" w:hAnsi="Arial" w:cs="Arial"/>
          <w:sz w:val="24"/>
          <w:szCs w:val="24"/>
        </w:rPr>
        <w:t>,</w:t>
      </w:r>
      <w:r w:rsidR="00CE3B42">
        <w:rPr>
          <w:rFonts w:ascii="Arial" w:hAnsi="Arial" w:cs="Arial"/>
          <w:sz w:val="24"/>
          <w:szCs w:val="24"/>
        </w:rPr>
        <w:t xml:space="preserve"> </w:t>
      </w:r>
      <w:r w:rsidR="00CE3B42" w:rsidRPr="00877039">
        <w:rPr>
          <w:rFonts w:ascii="Arial" w:hAnsi="Arial" w:cs="Arial"/>
          <w:color w:val="000000" w:themeColor="text1"/>
          <w:sz w:val="24"/>
          <w:szCs w:val="24"/>
        </w:rPr>
        <w:t xml:space="preserve">it </w:t>
      </w:r>
      <w:r w:rsidR="00DC716A" w:rsidRPr="00877039">
        <w:rPr>
          <w:rFonts w:ascii="Arial" w:hAnsi="Arial" w:cs="Arial"/>
          <w:color w:val="000000" w:themeColor="text1"/>
          <w:sz w:val="24"/>
          <w:szCs w:val="24"/>
        </w:rPr>
        <w:t>was the</w:t>
      </w:r>
      <w:r w:rsidRPr="00877039">
        <w:rPr>
          <w:rFonts w:ascii="Arial" w:hAnsi="Arial" w:cs="Arial"/>
          <w:color w:val="000000" w:themeColor="text1"/>
          <w:sz w:val="24"/>
          <w:szCs w:val="24"/>
        </w:rPr>
        <w:t xml:space="preserve"> </w:t>
      </w:r>
      <w:r w:rsidRPr="006B63FC">
        <w:rPr>
          <w:rFonts w:ascii="Arial" w:hAnsi="Arial" w:cs="Arial"/>
          <w:sz w:val="24"/>
          <w:szCs w:val="24"/>
        </w:rPr>
        <w:t>day her mother had gone to another village to deliver documents</w:t>
      </w:r>
      <w:r w:rsidR="00F90B1B">
        <w:rPr>
          <w:rFonts w:ascii="Arial" w:hAnsi="Arial" w:cs="Arial"/>
          <w:sz w:val="24"/>
          <w:szCs w:val="24"/>
        </w:rPr>
        <w:t>,</w:t>
      </w:r>
      <w:r w:rsidRPr="006B63FC">
        <w:rPr>
          <w:rFonts w:ascii="Arial" w:hAnsi="Arial" w:cs="Arial"/>
          <w:sz w:val="24"/>
          <w:szCs w:val="24"/>
        </w:rPr>
        <w:t xml:space="preserve"> which</w:t>
      </w:r>
      <w:r w:rsidR="00F90B1B">
        <w:rPr>
          <w:rFonts w:ascii="Arial" w:hAnsi="Arial" w:cs="Arial"/>
          <w:sz w:val="24"/>
          <w:szCs w:val="24"/>
        </w:rPr>
        <w:t>,</w:t>
      </w:r>
      <w:r w:rsidRPr="006B63FC">
        <w:rPr>
          <w:rFonts w:ascii="Arial" w:hAnsi="Arial" w:cs="Arial"/>
          <w:sz w:val="24"/>
          <w:szCs w:val="24"/>
        </w:rPr>
        <w:t xml:space="preserve"> according to the record</w:t>
      </w:r>
      <w:r w:rsidR="00F90B1B">
        <w:rPr>
          <w:rFonts w:ascii="Arial" w:hAnsi="Arial" w:cs="Arial"/>
          <w:sz w:val="24"/>
          <w:szCs w:val="24"/>
        </w:rPr>
        <w:t>,</w:t>
      </w:r>
      <w:r w:rsidRPr="006B63FC">
        <w:rPr>
          <w:rFonts w:ascii="Arial" w:hAnsi="Arial" w:cs="Arial"/>
          <w:sz w:val="24"/>
          <w:szCs w:val="24"/>
        </w:rPr>
        <w:t xml:space="preserve"> was 6 December 2010. </w:t>
      </w:r>
    </w:p>
    <w:p w14:paraId="23866431" w14:textId="77777777" w:rsidR="006B63FC" w:rsidRPr="006B63FC" w:rsidRDefault="006B63FC" w:rsidP="006B63FC">
      <w:pPr>
        <w:pStyle w:val="ListParagraph"/>
        <w:spacing w:after="0" w:line="360" w:lineRule="auto"/>
        <w:jc w:val="both"/>
        <w:rPr>
          <w:rFonts w:ascii="Arial" w:hAnsi="Arial" w:cs="Arial"/>
          <w:sz w:val="24"/>
          <w:szCs w:val="24"/>
        </w:rPr>
      </w:pPr>
    </w:p>
    <w:p w14:paraId="6AC4783C" w14:textId="2DCBDE27"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bookmarkStart w:id="1" w:name="gjdgxs" w:colFirst="0" w:colLast="0"/>
      <w:bookmarkStart w:id="2" w:name="30j0zll" w:colFirst="0" w:colLast="0"/>
      <w:bookmarkEnd w:id="1"/>
      <w:bookmarkEnd w:id="2"/>
      <w:r w:rsidRPr="006B63FC">
        <w:rPr>
          <w:rFonts w:ascii="Arial" w:hAnsi="Arial" w:cs="Arial"/>
          <w:sz w:val="24"/>
          <w:szCs w:val="24"/>
        </w:rPr>
        <w:t xml:space="preserve">The defence witness that was called </w:t>
      </w:r>
      <w:r w:rsidR="007E7B8F">
        <w:rPr>
          <w:rFonts w:ascii="Arial" w:hAnsi="Arial" w:cs="Arial"/>
          <w:sz w:val="24"/>
          <w:szCs w:val="24"/>
        </w:rPr>
        <w:t xml:space="preserve">to testify in this regard </w:t>
      </w:r>
      <w:r w:rsidRPr="006B63FC">
        <w:rPr>
          <w:rFonts w:ascii="Arial" w:hAnsi="Arial" w:cs="Arial"/>
          <w:sz w:val="24"/>
          <w:szCs w:val="24"/>
        </w:rPr>
        <w:t>was not very impressive. Besides stating that on 7 December the appellant was at work, there was no substantiation. When he was cross</w:t>
      </w:r>
      <w:r w:rsidR="007E7B8F">
        <w:rPr>
          <w:rFonts w:ascii="Arial" w:hAnsi="Arial" w:cs="Arial"/>
          <w:sz w:val="24"/>
          <w:szCs w:val="24"/>
        </w:rPr>
        <w:t>-</w:t>
      </w:r>
      <w:r w:rsidRPr="006B63FC">
        <w:rPr>
          <w:rFonts w:ascii="Arial" w:hAnsi="Arial" w:cs="Arial"/>
          <w:sz w:val="24"/>
          <w:szCs w:val="24"/>
        </w:rPr>
        <w:t xml:space="preserve">examined on </w:t>
      </w:r>
      <w:r w:rsidR="007E7B8F">
        <w:rPr>
          <w:rFonts w:ascii="Arial" w:hAnsi="Arial" w:cs="Arial"/>
          <w:sz w:val="24"/>
          <w:szCs w:val="24"/>
        </w:rPr>
        <w:t>the</w:t>
      </w:r>
      <w:r w:rsidRPr="006B63FC">
        <w:rPr>
          <w:rFonts w:ascii="Arial" w:hAnsi="Arial" w:cs="Arial"/>
          <w:sz w:val="24"/>
          <w:szCs w:val="24"/>
        </w:rPr>
        <w:t xml:space="preserve"> simple issue </w:t>
      </w:r>
      <w:r w:rsidR="007E7B8F">
        <w:rPr>
          <w:rFonts w:ascii="Arial" w:hAnsi="Arial" w:cs="Arial"/>
          <w:sz w:val="24"/>
          <w:szCs w:val="24"/>
        </w:rPr>
        <w:t xml:space="preserve">of </w:t>
      </w:r>
      <w:r w:rsidRPr="006B63FC">
        <w:rPr>
          <w:rFonts w:ascii="Arial" w:hAnsi="Arial" w:cs="Arial"/>
          <w:sz w:val="24"/>
          <w:szCs w:val="24"/>
        </w:rPr>
        <w:t>what day it was</w:t>
      </w:r>
      <w:r w:rsidR="007E7B8F">
        <w:rPr>
          <w:rFonts w:ascii="Arial" w:hAnsi="Arial" w:cs="Arial"/>
          <w:sz w:val="24"/>
          <w:szCs w:val="24"/>
        </w:rPr>
        <w:t xml:space="preserve"> on which the appellant was at work</w:t>
      </w:r>
      <w:r w:rsidRPr="006B63FC">
        <w:rPr>
          <w:rFonts w:ascii="Arial" w:hAnsi="Arial" w:cs="Arial"/>
          <w:sz w:val="24"/>
          <w:szCs w:val="24"/>
        </w:rPr>
        <w:t xml:space="preserve">, he could hardly remember whether it was a Monday or a Tuesday. </w:t>
      </w:r>
      <w:r w:rsidR="00CE3B42" w:rsidRPr="00877039">
        <w:rPr>
          <w:rFonts w:ascii="Arial" w:hAnsi="Arial" w:cs="Arial"/>
          <w:color w:val="000000" w:themeColor="text1"/>
          <w:sz w:val="24"/>
          <w:szCs w:val="24"/>
        </w:rPr>
        <w:t>Having regard hereto</w:t>
      </w:r>
      <w:r w:rsidR="00CE3B42">
        <w:rPr>
          <w:rFonts w:ascii="Arial" w:hAnsi="Arial" w:cs="Arial"/>
          <w:sz w:val="24"/>
          <w:szCs w:val="24"/>
        </w:rPr>
        <w:t xml:space="preserve">, </w:t>
      </w:r>
      <w:r w:rsidRPr="006B63FC">
        <w:rPr>
          <w:rFonts w:ascii="Arial" w:hAnsi="Arial" w:cs="Arial"/>
          <w:sz w:val="24"/>
          <w:szCs w:val="24"/>
        </w:rPr>
        <w:t>the trial court was correct to reject the appellant’s version.</w:t>
      </w:r>
    </w:p>
    <w:p w14:paraId="17C13229" w14:textId="77777777" w:rsidR="006B63FC" w:rsidRPr="006B63FC" w:rsidRDefault="006B63FC" w:rsidP="006B63FC">
      <w:pPr>
        <w:pStyle w:val="ListParagraph"/>
        <w:spacing w:after="0" w:line="360" w:lineRule="auto"/>
        <w:jc w:val="both"/>
        <w:rPr>
          <w:rFonts w:ascii="Arial" w:hAnsi="Arial" w:cs="Arial"/>
          <w:sz w:val="24"/>
          <w:szCs w:val="24"/>
        </w:rPr>
      </w:pPr>
    </w:p>
    <w:p w14:paraId="280D953D" w14:textId="081F9946" w:rsidR="007E7B8F" w:rsidRDefault="007E7B8F" w:rsidP="006B63FC">
      <w:pPr>
        <w:pStyle w:val="ListParagraph"/>
        <w:numPr>
          <w:ilvl w:val="0"/>
          <w:numId w:val="14"/>
        </w:numPr>
        <w:spacing w:after="0" w:line="360" w:lineRule="auto"/>
        <w:ind w:left="0" w:firstLine="0"/>
        <w:jc w:val="both"/>
        <w:rPr>
          <w:rFonts w:ascii="Arial" w:hAnsi="Arial" w:cs="Arial"/>
          <w:sz w:val="24"/>
          <w:szCs w:val="24"/>
        </w:rPr>
      </w:pPr>
      <w:r w:rsidRPr="007E7B8F">
        <w:rPr>
          <w:rFonts w:ascii="Arial" w:hAnsi="Arial" w:cs="Arial"/>
          <w:sz w:val="24"/>
          <w:szCs w:val="24"/>
        </w:rPr>
        <w:t xml:space="preserve">This Court warned in </w:t>
      </w:r>
      <w:r w:rsidRPr="007E7B8F">
        <w:rPr>
          <w:rFonts w:ascii="Arial" w:hAnsi="Arial" w:cs="Arial"/>
          <w:i/>
          <w:sz w:val="24"/>
          <w:szCs w:val="24"/>
        </w:rPr>
        <w:t>Thebus</w:t>
      </w:r>
      <w:r w:rsidRPr="007E7B8F">
        <w:rPr>
          <w:rFonts w:ascii="Arial" w:hAnsi="Arial" w:cs="Arial"/>
          <w:sz w:val="24"/>
          <w:szCs w:val="24"/>
          <w:vertAlign w:val="superscript"/>
        </w:rPr>
        <w:footnoteReference w:id="19"/>
      </w:r>
      <w:r w:rsidRPr="007E7B8F">
        <w:rPr>
          <w:rFonts w:ascii="Arial" w:hAnsi="Arial" w:cs="Arial"/>
          <w:sz w:val="24"/>
          <w:szCs w:val="24"/>
        </w:rPr>
        <w:t xml:space="preserve"> that a court</w:t>
      </w:r>
      <w:r w:rsidRPr="006B63FC">
        <w:rPr>
          <w:rFonts w:ascii="Arial" w:hAnsi="Arial" w:cs="Arial"/>
          <w:sz w:val="24"/>
          <w:szCs w:val="24"/>
        </w:rPr>
        <w:t xml:space="preserve"> cannot attach much weight t</w:t>
      </w:r>
      <w:r>
        <w:rPr>
          <w:rFonts w:ascii="Arial" w:hAnsi="Arial" w:cs="Arial"/>
          <w:sz w:val="24"/>
          <w:szCs w:val="24"/>
        </w:rPr>
        <w:t>o an alibi that is raised later;</w:t>
      </w:r>
      <w:r w:rsidRPr="006B63FC">
        <w:rPr>
          <w:rFonts w:ascii="Arial" w:hAnsi="Arial" w:cs="Arial"/>
          <w:sz w:val="24"/>
          <w:szCs w:val="24"/>
        </w:rPr>
        <w:t xml:space="preserve"> in this case</w:t>
      </w:r>
      <w:r>
        <w:rPr>
          <w:rFonts w:ascii="Arial" w:hAnsi="Arial" w:cs="Arial"/>
          <w:sz w:val="24"/>
          <w:szCs w:val="24"/>
        </w:rPr>
        <w:t>, three years later. This is because</w:t>
      </w:r>
      <w:r w:rsidRPr="006B63FC">
        <w:rPr>
          <w:rFonts w:ascii="Arial" w:hAnsi="Arial" w:cs="Arial"/>
          <w:sz w:val="24"/>
          <w:szCs w:val="24"/>
        </w:rPr>
        <w:t xml:space="preserve"> such an alibi is prone to fabrication</w:t>
      </w:r>
      <w:r>
        <w:rPr>
          <w:rFonts w:ascii="Arial" w:hAnsi="Arial" w:cs="Arial"/>
          <w:sz w:val="24"/>
          <w:szCs w:val="24"/>
        </w:rPr>
        <w:t>,</w:t>
      </w:r>
      <w:r w:rsidRPr="006B63FC">
        <w:rPr>
          <w:rFonts w:ascii="Arial" w:hAnsi="Arial" w:cs="Arial"/>
          <w:sz w:val="24"/>
          <w:szCs w:val="24"/>
        </w:rPr>
        <w:t xml:space="preserve"> as evidenced in this case</w:t>
      </w:r>
      <w:r w:rsidR="00DC716A">
        <w:rPr>
          <w:rFonts w:ascii="Arial" w:hAnsi="Arial" w:cs="Arial"/>
          <w:sz w:val="24"/>
          <w:szCs w:val="24"/>
        </w:rPr>
        <w:t>.</w:t>
      </w:r>
    </w:p>
    <w:p w14:paraId="04CE03B9" w14:textId="77777777" w:rsidR="007E7B8F" w:rsidRPr="000B3510" w:rsidRDefault="007E7B8F" w:rsidP="000B3510">
      <w:pPr>
        <w:pStyle w:val="ListParagraph"/>
        <w:spacing w:after="0" w:line="360" w:lineRule="auto"/>
        <w:rPr>
          <w:rFonts w:ascii="Arial" w:hAnsi="Arial" w:cs="Arial"/>
          <w:sz w:val="24"/>
          <w:szCs w:val="24"/>
        </w:rPr>
      </w:pPr>
    </w:p>
    <w:p w14:paraId="1B98D234" w14:textId="07A49D54"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As a result, the evidence</w:t>
      </w:r>
      <w:r w:rsidR="007E7B8F">
        <w:rPr>
          <w:rFonts w:ascii="Arial" w:hAnsi="Arial" w:cs="Arial"/>
          <w:sz w:val="24"/>
          <w:szCs w:val="24"/>
        </w:rPr>
        <w:t>,</w:t>
      </w:r>
      <w:r w:rsidRPr="006B63FC">
        <w:rPr>
          <w:rFonts w:ascii="Arial" w:hAnsi="Arial" w:cs="Arial"/>
          <w:sz w:val="24"/>
          <w:szCs w:val="24"/>
        </w:rPr>
        <w:t xml:space="preserve"> when viewed in its totality and excluding the warning statement of the appellant, </w:t>
      </w:r>
      <w:r w:rsidR="007E7B8F">
        <w:rPr>
          <w:rFonts w:ascii="Arial" w:hAnsi="Arial" w:cs="Arial"/>
          <w:sz w:val="24"/>
          <w:szCs w:val="24"/>
        </w:rPr>
        <w:t xml:space="preserve">proves the appellant’s guilt beyond reasonable doubt and, accordingly, </w:t>
      </w:r>
      <w:r w:rsidRPr="006B63FC">
        <w:rPr>
          <w:rFonts w:ascii="Arial" w:hAnsi="Arial" w:cs="Arial"/>
          <w:sz w:val="24"/>
          <w:szCs w:val="24"/>
        </w:rPr>
        <w:t xml:space="preserve">the trial court rightly convicted the appellant as charged. Consequently, the appeal </w:t>
      </w:r>
      <w:r w:rsidR="007E7B8F">
        <w:rPr>
          <w:rFonts w:ascii="Arial" w:hAnsi="Arial" w:cs="Arial"/>
          <w:sz w:val="24"/>
          <w:szCs w:val="24"/>
        </w:rPr>
        <w:t>against</w:t>
      </w:r>
      <w:r w:rsidRPr="006B63FC">
        <w:rPr>
          <w:rFonts w:ascii="Arial" w:hAnsi="Arial" w:cs="Arial"/>
          <w:sz w:val="24"/>
          <w:szCs w:val="24"/>
        </w:rPr>
        <w:t xml:space="preserve"> the conviction must fail. </w:t>
      </w:r>
    </w:p>
    <w:p w14:paraId="4495A474" w14:textId="3B2FBFC0" w:rsidR="006B63FC" w:rsidRDefault="006B63FC" w:rsidP="000B3510">
      <w:pPr>
        <w:spacing w:after="0" w:line="360" w:lineRule="auto"/>
        <w:jc w:val="both"/>
        <w:rPr>
          <w:rFonts w:ascii="Arial" w:hAnsi="Arial" w:cs="Arial"/>
          <w:sz w:val="24"/>
          <w:szCs w:val="24"/>
        </w:rPr>
      </w:pPr>
    </w:p>
    <w:p w14:paraId="31DBECDC" w14:textId="4E039CBF" w:rsidR="00E6064D" w:rsidRPr="000B3510" w:rsidRDefault="00E6064D" w:rsidP="000B3510">
      <w:pPr>
        <w:spacing w:after="0" w:line="360" w:lineRule="auto"/>
        <w:jc w:val="both"/>
        <w:rPr>
          <w:rFonts w:ascii="Arial" w:hAnsi="Arial" w:cs="Arial"/>
          <w:b/>
          <w:sz w:val="24"/>
          <w:szCs w:val="24"/>
        </w:rPr>
      </w:pPr>
      <w:r>
        <w:rPr>
          <w:rFonts w:ascii="Arial" w:hAnsi="Arial" w:cs="Arial"/>
          <w:b/>
          <w:sz w:val="24"/>
          <w:szCs w:val="24"/>
        </w:rPr>
        <w:t>Ad S</w:t>
      </w:r>
      <w:r w:rsidRPr="000B3510">
        <w:rPr>
          <w:rFonts w:ascii="Arial" w:hAnsi="Arial" w:cs="Arial"/>
          <w:b/>
          <w:sz w:val="24"/>
          <w:szCs w:val="24"/>
        </w:rPr>
        <w:t>entence</w:t>
      </w:r>
    </w:p>
    <w:p w14:paraId="2C218377" w14:textId="05442452"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I now turn to the question of sentence. The trial court imposed the prescribed minimum sentence of life imprisonment. It is common cause that the provisions of s 51 of the Criminal Law Amendment Act 105 of 1997</w:t>
      </w:r>
      <w:r w:rsidR="000A2BA6">
        <w:rPr>
          <w:rFonts w:ascii="Arial" w:hAnsi="Arial" w:cs="Arial"/>
          <w:sz w:val="24"/>
          <w:szCs w:val="24"/>
        </w:rPr>
        <w:t xml:space="preserve"> </w:t>
      </w:r>
      <w:r w:rsidR="000A2BA6" w:rsidRPr="006B63FC">
        <w:rPr>
          <w:rFonts w:ascii="Arial" w:hAnsi="Arial" w:cs="Arial"/>
          <w:sz w:val="24"/>
          <w:szCs w:val="24"/>
        </w:rPr>
        <w:t>(Act 105 of 1997)</w:t>
      </w:r>
      <w:r w:rsidRPr="006B63FC">
        <w:rPr>
          <w:rFonts w:ascii="Arial" w:hAnsi="Arial" w:cs="Arial"/>
          <w:sz w:val="24"/>
          <w:szCs w:val="24"/>
        </w:rPr>
        <w:t xml:space="preserve"> are applicable. Section 51 of Act 105 of </w:t>
      </w:r>
      <w:r w:rsidR="00CA0830">
        <w:rPr>
          <w:rFonts w:ascii="Arial" w:hAnsi="Arial" w:cs="Arial"/>
          <w:sz w:val="24"/>
          <w:szCs w:val="24"/>
        </w:rPr>
        <w:t>199</w:t>
      </w:r>
      <w:r w:rsidRPr="006B63FC">
        <w:rPr>
          <w:rFonts w:ascii="Arial" w:hAnsi="Arial" w:cs="Arial"/>
          <w:sz w:val="24"/>
          <w:szCs w:val="24"/>
        </w:rPr>
        <w:t>7 provides:</w:t>
      </w:r>
    </w:p>
    <w:p w14:paraId="619D00EC" w14:textId="613A3D6B" w:rsidR="006B63FC" w:rsidRPr="00952E7A" w:rsidRDefault="00CA0830" w:rsidP="006B63FC">
      <w:pPr>
        <w:spacing w:after="0" w:line="360" w:lineRule="auto"/>
        <w:jc w:val="both"/>
        <w:rPr>
          <w:rFonts w:ascii="Arial" w:hAnsi="Arial" w:cs="Arial"/>
        </w:rPr>
      </w:pPr>
      <w:r>
        <w:rPr>
          <w:rFonts w:ascii="Arial" w:hAnsi="Arial" w:cs="Arial"/>
        </w:rPr>
        <w:t>‘51.</w:t>
      </w:r>
      <w:r>
        <w:rPr>
          <w:rFonts w:ascii="Arial" w:hAnsi="Arial" w:cs="Arial"/>
        </w:rPr>
        <w:tab/>
        <w:t>Discretionary minimum</w:t>
      </w:r>
      <w:r w:rsidR="006B63FC" w:rsidRPr="00952E7A">
        <w:rPr>
          <w:rFonts w:ascii="Arial" w:hAnsi="Arial" w:cs="Arial"/>
        </w:rPr>
        <w:t xml:space="preserve"> sentences for certain serious offences </w:t>
      </w:r>
      <w:r>
        <w:rPr>
          <w:rFonts w:ascii="Arial" w:hAnsi="Arial" w:cs="Arial"/>
        </w:rPr>
        <w:t xml:space="preserve">– </w:t>
      </w:r>
    </w:p>
    <w:p w14:paraId="5F394702" w14:textId="6F96B9A0" w:rsidR="006B63FC" w:rsidRPr="00952E7A" w:rsidRDefault="006B63FC" w:rsidP="006B63FC">
      <w:pPr>
        <w:spacing w:after="0" w:line="360" w:lineRule="auto"/>
        <w:jc w:val="both"/>
        <w:rPr>
          <w:rFonts w:ascii="Arial" w:hAnsi="Arial" w:cs="Arial"/>
        </w:rPr>
      </w:pPr>
      <w:r w:rsidRPr="00952E7A">
        <w:rPr>
          <w:rFonts w:ascii="Arial" w:hAnsi="Arial" w:cs="Arial"/>
        </w:rPr>
        <w:t xml:space="preserve">(1) </w:t>
      </w:r>
      <w:r w:rsidR="00CA0830">
        <w:rPr>
          <w:rFonts w:ascii="Arial" w:hAnsi="Arial" w:cs="Arial"/>
        </w:rPr>
        <w:tab/>
      </w:r>
      <w:r w:rsidRPr="00952E7A">
        <w:rPr>
          <w:rFonts w:ascii="Arial" w:hAnsi="Arial" w:cs="Arial"/>
        </w:rPr>
        <w:t>Notwithstanding any other law</w:t>
      </w:r>
      <w:r w:rsidR="00CA0830">
        <w:rPr>
          <w:rFonts w:ascii="Arial" w:hAnsi="Arial" w:cs="Arial"/>
        </w:rPr>
        <w:t>,</w:t>
      </w:r>
      <w:r w:rsidRPr="00952E7A">
        <w:rPr>
          <w:rFonts w:ascii="Arial" w:hAnsi="Arial" w:cs="Arial"/>
        </w:rPr>
        <w:t xml:space="preserve"> but subject to subsections (3) and (6)</w:t>
      </w:r>
      <w:r w:rsidR="00CA0830">
        <w:rPr>
          <w:rFonts w:ascii="Arial" w:hAnsi="Arial" w:cs="Arial"/>
        </w:rPr>
        <w:t>, a regional court or</w:t>
      </w:r>
      <w:r w:rsidRPr="00952E7A">
        <w:rPr>
          <w:rFonts w:ascii="Arial" w:hAnsi="Arial" w:cs="Arial"/>
        </w:rPr>
        <w:t xml:space="preserve"> a High Court shall</w:t>
      </w:r>
      <w:r w:rsidR="00CA0830" w:rsidRPr="00CA0830">
        <w:rPr>
          <w:rFonts w:ascii="Verdana" w:hAnsi="Verdana"/>
          <w:color w:val="000000"/>
          <w:sz w:val="18"/>
          <w:szCs w:val="18"/>
          <w:shd w:val="clear" w:color="auto" w:fill="FFFFFF"/>
        </w:rPr>
        <w:t xml:space="preserve"> </w:t>
      </w:r>
      <w:r w:rsidR="00CA0830" w:rsidRPr="00CA0830">
        <w:rPr>
          <w:rFonts w:ascii="Arial" w:hAnsi="Arial" w:cs="Arial"/>
        </w:rPr>
        <w:t>sentence a person it has convicted of</w:t>
      </w:r>
      <w:r w:rsidRPr="00952E7A">
        <w:rPr>
          <w:rFonts w:ascii="Arial" w:hAnsi="Arial" w:cs="Arial"/>
        </w:rPr>
        <w:t xml:space="preserve"> an offence referred to in Part I of Schedule 2</w:t>
      </w:r>
      <w:r w:rsidR="00CA0830">
        <w:rPr>
          <w:rFonts w:ascii="Arial" w:hAnsi="Arial" w:cs="Arial"/>
        </w:rPr>
        <w:t xml:space="preserve"> </w:t>
      </w:r>
      <w:r w:rsidRPr="00952E7A">
        <w:rPr>
          <w:rFonts w:ascii="Arial" w:hAnsi="Arial" w:cs="Arial"/>
        </w:rPr>
        <w:t>to imprisonment for life</w:t>
      </w:r>
      <w:r w:rsidR="00CA0830">
        <w:rPr>
          <w:rFonts w:ascii="Arial" w:hAnsi="Arial" w:cs="Arial"/>
        </w:rPr>
        <w:t>.</w:t>
      </w:r>
    </w:p>
    <w:p w14:paraId="3365F96F" w14:textId="77777777" w:rsidR="006B63FC" w:rsidRPr="00952E7A" w:rsidRDefault="006B63FC" w:rsidP="006B63FC">
      <w:pPr>
        <w:spacing w:after="0" w:line="360" w:lineRule="auto"/>
        <w:jc w:val="both"/>
        <w:rPr>
          <w:rFonts w:ascii="Arial" w:hAnsi="Arial" w:cs="Arial"/>
        </w:rPr>
      </w:pPr>
      <w:r w:rsidRPr="00952E7A">
        <w:rPr>
          <w:rFonts w:ascii="Arial" w:hAnsi="Arial" w:cs="Arial"/>
        </w:rPr>
        <w:lastRenderedPageBreak/>
        <w:t xml:space="preserve">. . .  </w:t>
      </w:r>
    </w:p>
    <w:p w14:paraId="6A1EEBC4" w14:textId="5C46413A" w:rsidR="006B63FC" w:rsidRPr="00952E7A" w:rsidRDefault="006B63FC" w:rsidP="006B63FC">
      <w:pPr>
        <w:spacing w:after="0" w:line="360" w:lineRule="auto"/>
        <w:jc w:val="both"/>
        <w:rPr>
          <w:rFonts w:ascii="Arial" w:hAnsi="Arial" w:cs="Arial"/>
        </w:rPr>
      </w:pPr>
      <w:r w:rsidRPr="00952E7A">
        <w:rPr>
          <w:rFonts w:ascii="Arial" w:hAnsi="Arial" w:cs="Arial"/>
        </w:rPr>
        <w:t xml:space="preserve">(3) </w:t>
      </w:r>
      <w:r w:rsidR="00CA0830">
        <w:rPr>
          <w:rFonts w:ascii="Arial" w:hAnsi="Arial" w:cs="Arial"/>
        </w:rPr>
        <w:tab/>
      </w:r>
      <w:r w:rsidRPr="000B3510">
        <w:rPr>
          <w:rFonts w:ascii="Arial" w:hAnsi="Arial" w:cs="Arial"/>
          <w:i/>
        </w:rPr>
        <w:t>(a)</w:t>
      </w:r>
      <w:r w:rsidRPr="00952E7A">
        <w:rPr>
          <w:rFonts w:ascii="Arial" w:hAnsi="Arial" w:cs="Arial"/>
        </w:rPr>
        <w:t xml:space="preserve"> If any court referred to in subsection (1) or (2) is satisfied that substantial and compelling circumstances exist which justify the imposition of a lesser sentence than the sentence prescribed in those subsections</w:t>
      </w:r>
      <w:r w:rsidR="00CA0830">
        <w:rPr>
          <w:rFonts w:ascii="Arial" w:hAnsi="Arial" w:cs="Arial"/>
        </w:rPr>
        <w:t>,</w:t>
      </w:r>
      <w:r w:rsidRPr="00952E7A">
        <w:rPr>
          <w:rFonts w:ascii="Arial" w:hAnsi="Arial" w:cs="Arial"/>
        </w:rPr>
        <w:t xml:space="preserve"> it shall enter those circumstances on the record of the proceedings and </w:t>
      </w:r>
      <w:r w:rsidR="00CA0830">
        <w:rPr>
          <w:rFonts w:ascii="Arial" w:hAnsi="Arial" w:cs="Arial"/>
        </w:rPr>
        <w:t>must</w:t>
      </w:r>
      <w:r w:rsidRPr="00952E7A">
        <w:rPr>
          <w:rFonts w:ascii="Arial" w:hAnsi="Arial" w:cs="Arial"/>
        </w:rPr>
        <w:t xml:space="preserve"> thereupon impose such lesser sentence.</w:t>
      </w:r>
      <w:r w:rsidR="00CA0830">
        <w:rPr>
          <w:rFonts w:ascii="Arial" w:hAnsi="Arial" w:cs="Arial"/>
        </w:rPr>
        <w:t xml:space="preserve"> . .</w:t>
      </w:r>
      <w:r w:rsidRPr="00952E7A">
        <w:rPr>
          <w:rFonts w:ascii="Arial" w:hAnsi="Arial" w:cs="Arial"/>
        </w:rPr>
        <w:t xml:space="preserve">’ </w:t>
      </w:r>
    </w:p>
    <w:p w14:paraId="66A1872C" w14:textId="77777777" w:rsidR="006B63FC" w:rsidRPr="006B63FC" w:rsidRDefault="006B63FC" w:rsidP="006B63FC">
      <w:pPr>
        <w:pStyle w:val="ListParagraph"/>
        <w:spacing w:after="0" w:line="360" w:lineRule="auto"/>
        <w:jc w:val="both"/>
        <w:rPr>
          <w:rFonts w:ascii="Arial" w:hAnsi="Arial" w:cs="Arial"/>
          <w:sz w:val="24"/>
          <w:szCs w:val="24"/>
        </w:rPr>
      </w:pPr>
    </w:p>
    <w:p w14:paraId="6435FE1E" w14:textId="2BA3DF91" w:rsidR="008C6E12" w:rsidRDefault="008C6E12"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Part I </w:t>
      </w:r>
      <w:r>
        <w:rPr>
          <w:rFonts w:ascii="Arial" w:hAnsi="Arial" w:cs="Arial"/>
          <w:sz w:val="24"/>
          <w:szCs w:val="24"/>
        </w:rPr>
        <w:t xml:space="preserve">of </w:t>
      </w:r>
      <w:r w:rsidR="009C40B8" w:rsidRPr="006B63FC">
        <w:rPr>
          <w:rFonts w:ascii="Arial" w:hAnsi="Arial" w:cs="Arial"/>
          <w:sz w:val="24"/>
          <w:szCs w:val="24"/>
        </w:rPr>
        <w:t xml:space="preserve">Schedule 2 </w:t>
      </w:r>
      <w:r w:rsidR="00751B3D" w:rsidRPr="006B63FC">
        <w:rPr>
          <w:rFonts w:ascii="Arial" w:hAnsi="Arial" w:cs="Arial"/>
          <w:sz w:val="24"/>
          <w:szCs w:val="24"/>
        </w:rPr>
        <w:t xml:space="preserve">of Act 105 of </w:t>
      </w:r>
      <w:r w:rsidR="00751B3D">
        <w:rPr>
          <w:rFonts w:ascii="Arial" w:hAnsi="Arial" w:cs="Arial"/>
          <w:sz w:val="24"/>
          <w:szCs w:val="24"/>
        </w:rPr>
        <w:t>199</w:t>
      </w:r>
      <w:r w:rsidR="00751B3D" w:rsidRPr="006B63FC">
        <w:rPr>
          <w:rFonts w:ascii="Arial" w:hAnsi="Arial" w:cs="Arial"/>
          <w:sz w:val="24"/>
          <w:szCs w:val="24"/>
        </w:rPr>
        <w:t xml:space="preserve">7 </w:t>
      </w:r>
      <w:r w:rsidR="009C40B8" w:rsidRPr="006B63FC">
        <w:rPr>
          <w:rFonts w:ascii="Arial" w:hAnsi="Arial" w:cs="Arial"/>
          <w:sz w:val="24"/>
          <w:szCs w:val="24"/>
        </w:rPr>
        <w:t>provides for offences including</w:t>
      </w:r>
      <w:r w:rsidRPr="008C6E12">
        <w:rPr>
          <w:rFonts w:ascii="Arial" w:hAnsi="Arial" w:cs="Arial"/>
          <w:i/>
          <w:sz w:val="24"/>
          <w:szCs w:val="24"/>
        </w:rPr>
        <w:t xml:space="preserve"> </w:t>
      </w:r>
      <w:r w:rsidRPr="006B63FC">
        <w:rPr>
          <w:rFonts w:ascii="Arial" w:hAnsi="Arial" w:cs="Arial"/>
          <w:i/>
          <w:sz w:val="24"/>
          <w:szCs w:val="24"/>
        </w:rPr>
        <w:t>inter alia</w:t>
      </w:r>
      <w:r w:rsidR="009C40B8" w:rsidRPr="006B63FC">
        <w:rPr>
          <w:rFonts w:ascii="Arial" w:hAnsi="Arial" w:cs="Arial"/>
          <w:sz w:val="24"/>
          <w:szCs w:val="24"/>
        </w:rPr>
        <w:t>:</w:t>
      </w:r>
    </w:p>
    <w:p w14:paraId="180ACAFB" w14:textId="48C490EC" w:rsidR="008C6E12" w:rsidRPr="000B3510" w:rsidRDefault="009C40B8" w:rsidP="000B3510">
      <w:pPr>
        <w:spacing w:after="0" w:line="360" w:lineRule="auto"/>
        <w:jc w:val="both"/>
        <w:rPr>
          <w:rFonts w:ascii="Arial" w:hAnsi="Arial" w:cs="Arial"/>
        </w:rPr>
      </w:pPr>
      <w:r w:rsidRPr="000B3510">
        <w:rPr>
          <w:rFonts w:ascii="Arial" w:hAnsi="Arial" w:cs="Arial"/>
        </w:rPr>
        <w:t>‘</w:t>
      </w:r>
      <w:r w:rsidR="008C6E12" w:rsidRPr="000B3510">
        <w:rPr>
          <w:rFonts w:ascii="Arial" w:hAnsi="Arial" w:cs="Arial"/>
        </w:rPr>
        <w:t>Rape as contemplated in section 3 of the Criminal Law (Sexual Offences and Related Matters) Amendment Act, 2007 –</w:t>
      </w:r>
    </w:p>
    <w:p w14:paraId="7119B248" w14:textId="6B7300FA" w:rsidR="008C6E12" w:rsidRPr="000B3510" w:rsidRDefault="008C6E12" w:rsidP="000B3510">
      <w:pPr>
        <w:spacing w:after="0" w:line="360" w:lineRule="auto"/>
        <w:jc w:val="both"/>
        <w:rPr>
          <w:rFonts w:ascii="Arial" w:hAnsi="Arial" w:cs="Arial"/>
        </w:rPr>
      </w:pPr>
      <w:r w:rsidRPr="000B3510">
        <w:rPr>
          <w:rFonts w:ascii="Arial" w:hAnsi="Arial" w:cs="Arial"/>
          <w:i/>
        </w:rPr>
        <w:t>(a)</w:t>
      </w:r>
      <w:r w:rsidRPr="000B3510">
        <w:rPr>
          <w:rFonts w:ascii="Arial" w:hAnsi="Arial" w:cs="Arial"/>
        </w:rPr>
        <w:tab/>
        <w:t>. . .</w:t>
      </w:r>
    </w:p>
    <w:p w14:paraId="1F5301FD" w14:textId="4562767C" w:rsidR="008C6E12" w:rsidRPr="000B3510" w:rsidRDefault="008C6E12" w:rsidP="008C6E12">
      <w:pPr>
        <w:spacing w:after="0" w:line="360" w:lineRule="auto"/>
        <w:jc w:val="both"/>
        <w:rPr>
          <w:rFonts w:ascii="Arial" w:hAnsi="Arial" w:cs="Arial"/>
        </w:rPr>
      </w:pPr>
      <w:r w:rsidRPr="000B3510">
        <w:rPr>
          <w:rFonts w:ascii="Arial" w:hAnsi="Arial" w:cs="Arial"/>
          <w:i/>
        </w:rPr>
        <w:t>(</w:t>
      </w:r>
      <w:r w:rsidRPr="000B3510">
        <w:rPr>
          <w:rFonts w:ascii="Arial" w:hAnsi="Arial" w:cs="Arial"/>
          <w:i/>
          <w:iCs/>
        </w:rPr>
        <w:t>b</w:t>
      </w:r>
      <w:r w:rsidRPr="000B3510">
        <w:rPr>
          <w:rFonts w:ascii="Arial" w:hAnsi="Arial" w:cs="Arial"/>
          <w:i/>
        </w:rPr>
        <w:t>)</w:t>
      </w:r>
      <w:r w:rsidRPr="000B3510">
        <w:rPr>
          <w:rFonts w:ascii="Arial" w:hAnsi="Arial" w:cs="Arial"/>
        </w:rPr>
        <w:t xml:space="preserve"> </w:t>
      </w:r>
      <w:r w:rsidRPr="000B3510">
        <w:rPr>
          <w:rFonts w:ascii="Arial" w:hAnsi="Arial" w:cs="Arial"/>
        </w:rPr>
        <w:tab/>
        <w:t xml:space="preserve">where the victim – </w:t>
      </w:r>
    </w:p>
    <w:p w14:paraId="2202939E" w14:textId="298DB4CB" w:rsidR="008C6E12" w:rsidRPr="000B3510" w:rsidRDefault="008C6E12" w:rsidP="000B3510">
      <w:pPr>
        <w:spacing w:after="0" w:line="360" w:lineRule="auto"/>
        <w:ind w:firstLine="720"/>
        <w:jc w:val="both"/>
        <w:rPr>
          <w:rFonts w:ascii="Arial" w:hAnsi="Arial" w:cs="Arial"/>
        </w:rPr>
      </w:pPr>
      <w:r w:rsidRPr="000B3510">
        <w:rPr>
          <w:rFonts w:ascii="Arial" w:hAnsi="Arial" w:cs="Arial"/>
        </w:rPr>
        <w:t>(i) is a person under the age of 18 years;</w:t>
      </w:r>
    </w:p>
    <w:p w14:paraId="3C5DA71D" w14:textId="693BB5F3" w:rsidR="00751B3D" w:rsidRPr="000B3510" w:rsidRDefault="00751B3D" w:rsidP="000B3510">
      <w:pPr>
        <w:spacing w:after="0" w:line="360" w:lineRule="auto"/>
        <w:ind w:firstLine="720"/>
        <w:jc w:val="both"/>
        <w:rPr>
          <w:rFonts w:ascii="Arial" w:hAnsi="Arial" w:cs="Arial"/>
        </w:rPr>
      </w:pPr>
      <w:r w:rsidRPr="000B3510">
        <w:rPr>
          <w:rFonts w:ascii="Arial" w:hAnsi="Arial" w:cs="Arial"/>
        </w:rPr>
        <w:t>. . .</w:t>
      </w:r>
    </w:p>
    <w:p w14:paraId="3CBFD3C9" w14:textId="2A017C25" w:rsidR="00751B3D" w:rsidRPr="000B3510" w:rsidRDefault="00751B3D" w:rsidP="000B3510">
      <w:pPr>
        <w:spacing w:after="0" w:line="360" w:lineRule="auto"/>
        <w:ind w:left="720"/>
        <w:jc w:val="both"/>
        <w:rPr>
          <w:rFonts w:ascii="Arial" w:hAnsi="Arial" w:cs="Arial"/>
        </w:rPr>
      </w:pPr>
      <w:r w:rsidRPr="000B3510">
        <w:rPr>
          <w:rFonts w:ascii="Arial" w:hAnsi="Arial" w:cs="Arial"/>
        </w:rPr>
        <w:t>(iv) is or was in a domestic relationship, as defined in section 1 of the Domestic Violence Act, 1998, with the accused.’</w:t>
      </w:r>
      <w:r w:rsidRPr="000B3510">
        <w:rPr>
          <w:rStyle w:val="FootnoteReference"/>
          <w:rFonts w:ascii="Arial" w:hAnsi="Arial" w:cs="Arial"/>
        </w:rPr>
        <w:footnoteReference w:id="20"/>
      </w:r>
    </w:p>
    <w:p w14:paraId="5A0A1D29" w14:textId="77777777" w:rsidR="006B63FC" w:rsidRPr="006B63FC" w:rsidRDefault="006B63FC" w:rsidP="006B63FC">
      <w:pPr>
        <w:pStyle w:val="ListParagraph"/>
        <w:spacing w:after="0" w:line="360" w:lineRule="auto"/>
        <w:ind w:left="0"/>
        <w:jc w:val="both"/>
        <w:rPr>
          <w:rFonts w:ascii="Arial" w:hAnsi="Arial" w:cs="Arial"/>
          <w:sz w:val="24"/>
          <w:szCs w:val="24"/>
        </w:rPr>
      </w:pPr>
    </w:p>
    <w:p w14:paraId="4C3189E7" w14:textId="1C8D18A8" w:rsidR="00751B3D" w:rsidRPr="006B63FC" w:rsidRDefault="00751B3D" w:rsidP="00751B3D">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This case</w:t>
      </w:r>
      <w:r w:rsidR="00374DF5">
        <w:rPr>
          <w:rFonts w:ascii="Arial" w:hAnsi="Arial" w:cs="Arial"/>
          <w:sz w:val="24"/>
          <w:szCs w:val="24"/>
        </w:rPr>
        <w:t>, accordingly,</w:t>
      </w:r>
      <w:r w:rsidRPr="006B63FC">
        <w:rPr>
          <w:rFonts w:ascii="Arial" w:hAnsi="Arial" w:cs="Arial"/>
          <w:sz w:val="24"/>
          <w:szCs w:val="24"/>
        </w:rPr>
        <w:t xml:space="preserve"> falls squarely within s 51(1) read with Part I </w:t>
      </w:r>
      <w:r>
        <w:rPr>
          <w:rFonts w:ascii="Arial" w:hAnsi="Arial" w:cs="Arial"/>
          <w:sz w:val="24"/>
          <w:szCs w:val="24"/>
        </w:rPr>
        <w:t>of Schedule 2</w:t>
      </w:r>
      <w:r w:rsidRPr="006B63FC">
        <w:rPr>
          <w:rFonts w:ascii="Arial" w:hAnsi="Arial" w:cs="Arial"/>
          <w:sz w:val="24"/>
          <w:szCs w:val="24"/>
        </w:rPr>
        <w:t xml:space="preserve"> </w:t>
      </w:r>
      <w:r w:rsidR="00374DF5" w:rsidRPr="006B63FC">
        <w:rPr>
          <w:rFonts w:ascii="Arial" w:hAnsi="Arial" w:cs="Arial"/>
          <w:sz w:val="24"/>
          <w:szCs w:val="24"/>
        </w:rPr>
        <w:t xml:space="preserve">of Act 105 of </w:t>
      </w:r>
      <w:r w:rsidR="00374DF5">
        <w:rPr>
          <w:rFonts w:ascii="Arial" w:hAnsi="Arial" w:cs="Arial"/>
          <w:sz w:val="24"/>
          <w:szCs w:val="24"/>
        </w:rPr>
        <w:t xml:space="preserve">1997, </w:t>
      </w:r>
      <w:r w:rsidRPr="006B63FC">
        <w:rPr>
          <w:rFonts w:ascii="Arial" w:hAnsi="Arial" w:cs="Arial"/>
          <w:sz w:val="24"/>
          <w:szCs w:val="24"/>
        </w:rPr>
        <w:t xml:space="preserve">as the </w:t>
      </w:r>
      <w:r w:rsidR="00374DF5" w:rsidRPr="00877039">
        <w:rPr>
          <w:rFonts w:ascii="Arial" w:hAnsi="Arial" w:cs="Arial"/>
          <w:color w:val="000000" w:themeColor="text1"/>
          <w:sz w:val="24"/>
          <w:szCs w:val="24"/>
        </w:rPr>
        <w:t>tr</w:t>
      </w:r>
      <w:r w:rsidR="00E062F5" w:rsidRPr="00877039">
        <w:rPr>
          <w:rFonts w:ascii="Arial" w:hAnsi="Arial" w:cs="Arial"/>
          <w:color w:val="000000" w:themeColor="text1"/>
          <w:sz w:val="24"/>
          <w:szCs w:val="24"/>
        </w:rPr>
        <w:t>ial</w:t>
      </w:r>
      <w:r w:rsidR="00374DF5">
        <w:rPr>
          <w:rFonts w:ascii="Arial" w:hAnsi="Arial" w:cs="Arial"/>
          <w:sz w:val="24"/>
          <w:szCs w:val="24"/>
        </w:rPr>
        <w:t xml:space="preserve"> court </w:t>
      </w:r>
      <w:r w:rsidRPr="006B63FC">
        <w:rPr>
          <w:rFonts w:ascii="Arial" w:hAnsi="Arial" w:cs="Arial"/>
          <w:sz w:val="24"/>
          <w:szCs w:val="24"/>
        </w:rPr>
        <w:t>correctly found.</w:t>
      </w:r>
    </w:p>
    <w:p w14:paraId="2D4284C3" w14:textId="77777777" w:rsidR="00751B3D" w:rsidRDefault="00751B3D" w:rsidP="000B3510">
      <w:pPr>
        <w:pStyle w:val="ListParagraph"/>
        <w:spacing w:after="0" w:line="360" w:lineRule="auto"/>
        <w:ind w:left="0"/>
        <w:jc w:val="both"/>
        <w:rPr>
          <w:rFonts w:ascii="Arial" w:hAnsi="Arial" w:cs="Arial"/>
          <w:sz w:val="24"/>
          <w:szCs w:val="24"/>
        </w:rPr>
      </w:pPr>
    </w:p>
    <w:p w14:paraId="21C3CB54" w14:textId="6D0014FD" w:rsidR="00484A87"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It is trite that sentencing or punishment is pre-eminently a matter of discretion of the trial court. A court exercising appellate jurisdiction cannot, in the absence of a material misdirection by the trial court, approach the question of sentence as if it were the trial court and then substitute the sentence arrived at by it simply because it prefers it. To do so would be to usurp the sentencing discretion of the trial court. </w:t>
      </w:r>
    </w:p>
    <w:p w14:paraId="3F2E64A0" w14:textId="77777777" w:rsidR="00484A87" w:rsidRPr="000B3510" w:rsidRDefault="00484A87" w:rsidP="000B3510">
      <w:pPr>
        <w:pStyle w:val="ListParagraph"/>
        <w:spacing w:after="0" w:line="360" w:lineRule="auto"/>
        <w:rPr>
          <w:rFonts w:ascii="Arial" w:hAnsi="Arial" w:cs="Arial"/>
          <w:sz w:val="24"/>
          <w:szCs w:val="24"/>
        </w:rPr>
      </w:pPr>
    </w:p>
    <w:p w14:paraId="06E53017" w14:textId="77777777" w:rsidR="00484A87"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Where</w:t>
      </w:r>
      <w:r w:rsidR="00484A87">
        <w:rPr>
          <w:rFonts w:ascii="Arial" w:hAnsi="Arial" w:cs="Arial"/>
          <w:sz w:val="24"/>
          <w:szCs w:val="24"/>
        </w:rPr>
        <w:t>, however,</w:t>
      </w:r>
      <w:r w:rsidRPr="006B63FC">
        <w:rPr>
          <w:rFonts w:ascii="Arial" w:hAnsi="Arial" w:cs="Arial"/>
          <w:sz w:val="24"/>
          <w:szCs w:val="24"/>
        </w:rPr>
        <w:t xml:space="preserve"> a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w:t>
      </w:r>
    </w:p>
    <w:p w14:paraId="2DA7CDBF" w14:textId="77777777" w:rsidR="00484A87" w:rsidRPr="000B3510" w:rsidRDefault="00484A87" w:rsidP="000B3510">
      <w:pPr>
        <w:pStyle w:val="ListParagraph"/>
        <w:spacing w:after="0" w:line="360" w:lineRule="auto"/>
        <w:rPr>
          <w:rFonts w:ascii="Arial" w:hAnsi="Arial" w:cs="Arial"/>
          <w:sz w:val="24"/>
          <w:szCs w:val="24"/>
        </w:rPr>
      </w:pPr>
    </w:p>
    <w:p w14:paraId="5134F1A4" w14:textId="1574A5BF" w:rsidR="009C40B8" w:rsidRPr="006B63FC" w:rsidRDefault="00484A87"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Nevertheless</w:t>
      </w:r>
      <w:r w:rsidR="009C40B8" w:rsidRPr="006B63FC">
        <w:rPr>
          <w:rFonts w:ascii="Arial" w:hAnsi="Arial" w:cs="Arial"/>
          <w:sz w:val="24"/>
          <w:szCs w:val="24"/>
        </w:rPr>
        <w:t xml:space="preserve">, even in the absence of a </w:t>
      </w:r>
      <w:r w:rsidR="009C40B8" w:rsidRPr="006B63FC">
        <w:rPr>
          <w:rFonts w:ascii="Arial" w:hAnsi="Arial" w:cs="Arial"/>
          <w:i/>
          <w:sz w:val="24"/>
          <w:szCs w:val="24"/>
        </w:rPr>
        <w:t>material misdirection</w:t>
      </w:r>
      <w:r w:rsidR="009C40B8" w:rsidRPr="006B63FC">
        <w:rPr>
          <w:rFonts w:ascii="Arial" w:hAnsi="Arial" w:cs="Arial"/>
          <w:sz w:val="24"/>
          <w:szCs w:val="24"/>
        </w:rPr>
        <w:t xml:space="preserve">, an appellate court may yet be justified in interfering with the sentence imposed by the trial court. It may </w:t>
      </w:r>
      <w:r w:rsidR="009C40B8" w:rsidRPr="006B63FC">
        <w:rPr>
          <w:rFonts w:ascii="Arial" w:hAnsi="Arial" w:cs="Arial"/>
          <w:sz w:val="24"/>
          <w:szCs w:val="24"/>
        </w:rPr>
        <w:lastRenderedPageBreak/>
        <w:t xml:space="preserve">do so when the disparity between the sentence of the trial court and the sentence which the appellate </w:t>
      </w:r>
      <w:r>
        <w:rPr>
          <w:rFonts w:ascii="Arial" w:hAnsi="Arial" w:cs="Arial"/>
          <w:sz w:val="24"/>
          <w:szCs w:val="24"/>
        </w:rPr>
        <w:t>c</w:t>
      </w:r>
      <w:r w:rsidR="009C40B8" w:rsidRPr="006B63FC">
        <w:rPr>
          <w:rFonts w:ascii="Arial" w:hAnsi="Arial" w:cs="Arial"/>
          <w:sz w:val="24"/>
          <w:szCs w:val="24"/>
        </w:rPr>
        <w:t xml:space="preserve">ourt would have imposed had it been the trial court is so marked </w:t>
      </w:r>
      <w:r w:rsidR="009C40B8" w:rsidRPr="00484A87">
        <w:rPr>
          <w:rFonts w:ascii="Arial" w:hAnsi="Arial" w:cs="Arial"/>
          <w:sz w:val="24"/>
          <w:szCs w:val="24"/>
        </w:rPr>
        <w:t>that it can properly be described as 'shocking', 'startling' or 'disturbingly inappropriate</w:t>
      </w:r>
      <w:r w:rsidRPr="00484A87">
        <w:rPr>
          <w:rFonts w:ascii="Arial" w:hAnsi="Arial" w:cs="Arial"/>
          <w:sz w:val="24"/>
          <w:szCs w:val="24"/>
        </w:rPr>
        <w:t>’</w:t>
      </w:r>
      <w:r w:rsidR="009C40B8" w:rsidRPr="00484A87">
        <w:rPr>
          <w:rFonts w:ascii="Arial" w:hAnsi="Arial" w:cs="Arial"/>
          <w:sz w:val="24"/>
          <w:szCs w:val="24"/>
        </w:rPr>
        <w:t>.</w:t>
      </w:r>
      <w:r w:rsidR="009C40B8" w:rsidRPr="00484A87">
        <w:rPr>
          <w:rFonts w:ascii="Arial" w:hAnsi="Arial" w:cs="Arial"/>
          <w:sz w:val="24"/>
          <w:szCs w:val="24"/>
          <w:vertAlign w:val="superscript"/>
        </w:rPr>
        <w:footnoteReference w:id="21"/>
      </w:r>
      <w:r w:rsidR="009C40B8" w:rsidRPr="006B63FC">
        <w:rPr>
          <w:rFonts w:ascii="Arial" w:hAnsi="Arial" w:cs="Arial"/>
          <w:sz w:val="24"/>
          <w:szCs w:val="24"/>
        </w:rPr>
        <w:t xml:space="preserve"> </w:t>
      </w:r>
    </w:p>
    <w:p w14:paraId="391CF180" w14:textId="77777777" w:rsidR="006B63FC" w:rsidRPr="006B63FC" w:rsidRDefault="006B63FC" w:rsidP="006B63FC">
      <w:pPr>
        <w:pStyle w:val="ListParagraph"/>
        <w:spacing w:after="0" w:line="360" w:lineRule="auto"/>
        <w:ind w:left="0"/>
        <w:jc w:val="both"/>
        <w:rPr>
          <w:rFonts w:ascii="Arial" w:hAnsi="Arial" w:cs="Arial"/>
          <w:sz w:val="24"/>
          <w:szCs w:val="24"/>
        </w:rPr>
      </w:pPr>
    </w:p>
    <w:p w14:paraId="2FF10F0F" w14:textId="1832B26E"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 sentence imposed by the regional court is one that is prescribed by the legislature</w:t>
      </w:r>
      <w:r w:rsidR="00484A87">
        <w:rPr>
          <w:rFonts w:ascii="Arial" w:hAnsi="Arial" w:cs="Arial"/>
          <w:sz w:val="24"/>
          <w:szCs w:val="24"/>
        </w:rPr>
        <w:t xml:space="preserve"> – </w:t>
      </w:r>
      <w:r w:rsidRPr="006B63FC">
        <w:rPr>
          <w:rFonts w:ascii="Arial" w:hAnsi="Arial" w:cs="Arial"/>
          <w:sz w:val="24"/>
          <w:szCs w:val="24"/>
        </w:rPr>
        <w:t>that of life imprisonment</w:t>
      </w:r>
      <w:r w:rsidR="00484A87">
        <w:rPr>
          <w:rFonts w:ascii="Arial" w:hAnsi="Arial" w:cs="Arial"/>
          <w:sz w:val="24"/>
          <w:szCs w:val="24"/>
        </w:rPr>
        <w:t xml:space="preserve"> –</w:t>
      </w:r>
      <w:r w:rsidRPr="006B63FC">
        <w:rPr>
          <w:rFonts w:ascii="Arial" w:hAnsi="Arial" w:cs="Arial"/>
          <w:sz w:val="24"/>
          <w:szCs w:val="24"/>
        </w:rPr>
        <w:t xml:space="preserve"> as it found that the appellant raped the complainant more than once and the complainant was under the age of 1</w:t>
      </w:r>
      <w:r w:rsidR="003444CA">
        <w:rPr>
          <w:rFonts w:ascii="Arial" w:hAnsi="Arial" w:cs="Arial"/>
          <w:sz w:val="24"/>
          <w:szCs w:val="24"/>
        </w:rPr>
        <w:t>8</w:t>
      </w:r>
      <w:r w:rsidRPr="006B63FC">
        <w:rPr>
          <w:rFonts w:ascii="Arial" w:hAnsi="Arial" w:cs="Arial"/>
          <w:sz w:val="24"/>
          <w:szCs w:val="24"/>
        </w:rPr>
        <w:t xml:space="preserve"> years. </w:t>
      </w:r>
      <w:r w:rsidR="00484A87">
        <w:rPr>
          <w:rFonts w:ascii="Arial" w:hAnsi="Arial" w:cs="Arial"/>
          <w:sz w:val="24"/>
          <w:szCs w:val="24"/>
        </w:rPr>
        <w:t>When</w:t>
      </w:r>
      <w:r w:rsidRPr="006B63FC">
        <w:rPr>
          <w:rFonts w:ascii="Arial" w:hAnsi="Arial" w:cs="Arial"/>
          <w:sz w:val="24"/>
          <w:szCs w:val="24"/>
        </w:rPr>
        <w:t xml:space="preserve"> setting out minimum</w:t>
      </w:r>
      <w:r w:rsidR="00484A87">
        <w:rPr>
          <w:rFonts w:ascii="Arial" w:hAnsi="Arial" w:cs="Arial"/>
          <w:sz w:val="24"/>
          <w:szCs w:val="24"/>
        </w:rPr>
        <w:t xml:space="preserve"> sentencing for</w:t>
      </w:r>
      <w:r w:rsidR="00DF7499">
        <w:rPr>
          <w:rFonts w:ascii="Arial" w:hAnsi="Arial" w:cs="Arial"/>
          <w:sz w:val="24"/>
          <w:szCs w:val="24"/>
        </w:rPr>
        <w:t xml:space="preserve"> certain offences,</w:t>
      </w:r>
      <w:r w:rsidRPr="006B63FC">
        <w:rPr>
          <w:rFonts w:ascii="Arial" w:hAnsi="Arial" w:cs="Arial"/>
          <w:sz w:val="24"/>
          <w:szCs w:val="24"/>
        </w:rPr>
        <w:t xml:space="preserve"> ‘the </w:t>
      </w:r>
      <w:r w:rsidR="00DF7499">
        <w:rPr>
          <w:rFonts w:ascii="Arial" w:hAnsi="Arial" w:cs="Arial"/>
          <w:sz w:val="24"/>
          <w:szCs w:val="24"/>
        </w:rPr>
        <w:t>L</w:t>
      </w:r>
      <w:r w:rsidRPr="006B63FC">
        <w:rPr>
          <w:rFonts w:ascii="Arial" w:hAnsi="Arial" w:cs="Arial"/>
          <w:sz w:val="24"/>
          <w:szCs w:val="24"/>
        </w:rPr>
        <w:t xml:space="preserve">egislature aimed at ensuring a severe, standardised, and consistent response from the courts to the commission of such crimes unless there were, and could be seen to be, </w:t>
      </w:r>
      <w:r w:rsidRPr="006B63FC">
        <w:rPr>
          <w:rFonts w:ascii="Arial" w:hAnsi="Arial" w:cs="Arial"/>
          <w:i/>
          <w:sz w:val="24"/>
          <w:szCs w:val="24"/>
        </w:rPr>
        <w:t>truly convincing reasons for a different response</w:t>
      </w:r>
      <w:r w:rsidRPr="006B63FC">
        <w:rPr>
          <w:rFonts w:ascii="Arial" w:hAnsi="Arial" w:cs="Arial"/>
          <w:sz w:val="24"/>
          <w:szCs w:val="24"/>
        </w:rPr>
        <w:t>’.</w:t>
      </w:r>
      <w:r w:rsidR="00DF7499">
        <w:rPr>
          <w:rStyle w:val="FootnoteReference"/>
          <w:rFonts w:ascii="Arial" w:hAnsi="Arial" w:cs="Arial"/>
          <w:sz w:val="24"/>
          <w:szCs w:val="24"/>
        </w:rPr>
        <w:footnoteReference w:id="22"/>
      </w:r>
      <w:r w:rsidRPr="006B63FC">
        <w:rPr>
          <w:rFonts w:ascii="Arial" w:hAnsi="Arial" w:cs="Arial"/>
          <w:sz w:val="24"/>
          <w:szCs w:val="24"/>
        </w:rPr>
        <w:t xml:space="preserve"> (Emphasis added.)</w:t>
      </w:r>
    </w:p>
    <w:p w14:paraId="4C9F5F41" w14:textId="69CDE5EA" w:rsidR="006B63FC" w:rsidRPr="00DF7499" w:rsidRDefault="006B63FC" w:rsidP="00DF7499">
      <w:pPr>
        <w:spacing w:after="0" w:line="360" w:lineRule="auto"/>
        <w:jc w:val="both"/>
        <w:rPr>
          <w:rFonts w:ascii="Arial" w:hAnsi="Arial" w:cs="Arial"/>
          <w:sz w:val="24"/>
          <w:szCs w:val="24"/>
        </w:rPr>
      </w:pPr>
    </w:p>
    <w:p w14:paraId="70FD88ED" w14:textId="77777777" w:rsidR="00F9664B"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Counsel for the appellant submitted that the trial court did not take into account the appellant’s personal circumstances. It also</w:t>
      </w:r>
      <w:r w:rsidR="003444CA">
        <w:rPr>
          <w:rFonts w:ascii="Arial" w:hAnsi="Arial" w:cs="Arial"/>
          <w:sz w:val="24"/>
          <w:szCs w:val="24"/>
        </w:rPr>
        <w:t>, according to counsel,</w:t>
      </w:r>
      <w:r w:rsidRPr="006B63FC">
        <w:rPr>
          <w:rFonts w:ascii="Arial" w:hAnsi="Arial" w:cs="Arial"/>
          <w:sz w:val="24"/>
          <w:szCs w:val="24"/>
        </w:rPr>
        <w:t xml:space="preserve"> did not take into account that this was not one of the </w:t>
      </w:r>
      <w:r w:rsidR="003444CA">
        <w:rPr>
          <w:rFonts w:ascii="Arial" w:hAnsi="Arial" w:cs="Arial"/>
          <w:sz w:val="24"/>
          <w:szCs w:val="24"/>
        </w:rPr>
        <w:t>‘</w:t>
      </w:r>
      <w:r w:rsidRPr="006B63FC">
        <w:rPr>
          <w:rFonts w:ascii="Arial" w:hAnsi="Arial" w:cs="Arial"/>
          <w:sz w:val="24"/>
          <w:szCs w:val="24"/>
        </w:rPr>
        <w:t>brutal cases</w:t>
      </w:r>
      <w:r w:rsidR="003444CA">
        <w:rPr>
          <w:rFonts w:ascii="Arial" w:hAnsi="Arial" w:cs="Arial"/>
          <w:sz w:val="24"/>
          <w:szCs w:val="24"/>
        </w:rPr>
        <w:t>’,</w:t>
      </w:r>
      <w:r w:rsidRPr="006B63FC">
        <w:rPr>
          <w:rFonts w:ascii="Arial" w:hAnsi="Arial" w:cs="Arial"/>
          <w:sz w:val="24"/>
          <w:szCs w:val="24"/>
        </w:rPr>
        <w:t xml:space="preserve"> as the complainant was not physically injured. Counsel was taken to task during the exchange with the members of the bench on this submission</w:t>
      </w:r>
      <w:r w:rsidR="003444CA">
        <w:rPr>
          <w:rFonts w:ascii="Arial" w:hAnsi="Arial" w:cs="Arial"/>
          <w:sz w:val="24"/>
          <w:szCs w:val="24"/>
        </w:rPr>
        <w:t>,</w:t>
      </w:r>
      <w:r w:rsidRPr="006B63FC">
        <w:rPr>
          <w:rFonts w:ascii="Arial" w:hAnsi="Arial" w:cs="Arial"/>
          <w:sz w:val="24"/>
          <w:szCs w:val="24"/>
        </w:rPr>
        <w:t xml:space="preserve"> but he could not take the argument further. Correctly so, because apart from this minimising the traumatic effects of rape on any victim and more so a child, it is well </w:t>
      </w:r>
      <w:r w:rsidRPr="003444CA">
        <w:rPr>
          <w:rFonts w:ascii="Arial" w:hAnsi="Arial" w:cs="Arial"/>
          <w:sz w:val="24"/>
          <w:szCs w:val="24"/>
        </w:rPr>
        <w:t>documented that ‘irrespective of the presence of physical injuries or lack thereof, rape always causes its victims severe harm’.</w:t>
      </w:r>
      <w:r w:rsidRPr="003444CA">
        <w:rPr>
          <w:rFonts w:ascii="Arial" w:hAnsi="Arial" w:cs="Arial"/>
          <w:sz w:val="24"/>
          <w:szCs w:val="24"/>
          <w:vertAlign w:val="superscript"/>
        </w:rPr>
        <w:footnoteReference w:id="23"/>
      </w:r>
      <w:r w:rsidRPr="003444CA">
        <w:rPr>
          <w:rFonts w:ascii="Arial" w:hAnsi="Arial" w:cs="Arial"/>
          <w:sz w:val="24"/>
          <w:szCs w:val="24"/>
        </w:rPr>
        <w:t xml:space="preserve"> </w:t>
      </w:r>
    </w:p>
    <w:p w14:paraId="0C65E270" w14:textId="77777777" w:rsidR="00F9664B" w:rsidRPr="000B3510" w:rsidRDefault="00F9664B" w:rsidP="000B3510">
      <w:pPr>
        <w:pStyle w:val="ListParagraph"/>
        <w:spacing w:after="0" w:line="360" w:lineRule="auto"/>
        <w:rPr>
          <w:rFonts w:ascii="Arial" w:hAnsi="Arial" w:cs="Arial"/>
          <w:sz w:val="24"/>
          <w:szCs w:val="24"/>
        </w:rPr>
      </w:pPr>
    </w:p>
    <w:p w14:paraId="77C1E5A9" w14:textId="5665C84E"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3444CA">
        <w:rPr>
          <w:rFonts w:ascii="Arial" w:hAnsi="Arial" w:cs="Arial"/>
          <w:sz w:val="24"/>
          <w:szCs w:val="24"/>
        </w:rPr>
        <w:t>The Legislature has specifically amended the Criminal Law Amendment Act to provide</w:t>
      </w:r>
      <w:r w:rsidRPr="006B63FC">
        <w:rPr>
          <w:rFonts w:ascii="Arial" w:hAnsi="Arial" w:cs="Arial"/>
          <w:sz w:val="24"/>
          <w:szCs w:val="24"/>
        </w:rPr>
        <w:t xml:space="preserve"> categorically that the fact that a complainant was not injured during a rape cannot be considered as compelling or substantial. In terms of s 51(3)</w:t>
      </w:r>
      <w:r w:rsidRPr="000B3510">
        <w:rPr>
          <w:rFonts w:ascii="Arial" w:hAnsi="Arial" w:cs="Arial"/>
          <w:i/>
          <w:sz w:val="24"/>
          <w:szCs w:val="24"/>
        </w:rPr>
        <w:t>(aA)</w:t>
      </w:r>
      <w:r w:rsidRPr="006B63FC">
        <w:rPr>
          <w:rFonts w:ascii="Arial" w:hAnsi="Arial" w:cs="Arial"/>
          <w:sz w:val="24"/>
          <w:szCs w:val="24"/>
        </w:rPr>
        <w:t xml:space="preserve"> </w:t>
      </w:r>
      <w:r w:rsidR="00B76854">
        <w:rPr>
          <w:rFonts w:ascii="Arial" w:hAnsi="Arial" w:cs="Arial"/>
          <w:sz w:val="24"/>
          <w:szCs w:val="24"/>
        </w:rPr>
        <w:t>of Act 1</w:t>
      </w:r>
      <w:r w:rsidR="00F9664B">
        <w:rPr>
          <w:rFonts w:ascii="Arial" w:hAnsi="Arial" w:cs="Arial"/>
          <w:sz w:val="24"/>
          <w:szCs w:val="24"/>
        </w:rPr>
        <w:t xml:space="preserve">05 of 1997, </w:t>
      </w:r>
      <w:r w:rsidRPr="006B63FC">
        <w:rPr>
          <w:rFonts w:ascii="Arial" w:hAnsi="Arial" w:cs="Arial"/>
          <w:sz w:val="24"/>
          <w:szCs w:val="24"/>
        </w:rPr>
        <w:t>which came into operation in December 2007:</w:t>
      </w:r>
    </w:p>
    <w:p w14:paraId="1B42B489" w14:textId="77777777" w:rsidR="006B63FC" w:rsidRPr="00F9664B" w:rsidRDefault="006B63FC" w:rsidP="006B63FC">
      <w:pPr>
        <w:spacing w:after="0" w:line="360" w:lineRule="auto"/>
        <w:jc w:val="both"/>
        <w:rPr>
          <w:rFonts w:ascii="Arial" w:hAnsi="Arial" w:cs="Arial"/>
        </w:rPr>
      </w:pPr>
      <w:r w:rsidRPr="00F9664B">
        <w:rPr>
          <w:rFonts w:ascii="Arial" w:hAnsi="Arial" w:cs="Arial"/>
        </w:rPr>
        <w:t>‘When imposing a sentence in respect of the offence of rape the following shall not constitute substantial and compelling circumstances justifying the imposition of a lesser sentence:</w:t>
      </w:r>
    </w:p>
    <w:p w14:paraId="69149EB8" w14:textId="77777777" w:rsidR="006B63FC" w:rsidRPr="00F9664B" w:rsidRDefault="006B63FC" w:rsidP="006B63FC">
      <w:pPr>
        <w:spacing w:after="0" w:line="360" w:lineRule="auto"/>
        <w:jc w:val="both"/>
        <w:rPr>
          <w:rFonts w:ascii="Arial" w:hAnsi="Arial" w:cs="Arial"/>
        </w:rPr>
      </w:pPr>
      <w:r w:rsidRPr="00F9664B">
        <w:rPr>
          <w:rFonts w:ascii="Arial" w:hAnsi="Arial" w:cs="Arial"/>
        </w:rPr>
        <w:t>….</w:t>
      </w:r>
    </w:p>
    <w:p w14:paraId="5719E676" w14:textId="0411B82A" w:rsidR="006B63FC" w:rsidRPr="00F9664B" w:rsidRDefault="006B63FC" w:rsidP="006B63FC">
      <w:pPr>
        <w:spacing w:after="0" w:line="360" w:lineRule="auto"/>
        <w:jc w:val="both"/>
        <w:rPr>
          <w:rFonts w:ascii="Arial" w:hAnsi="Arial" w:cs="Arial"/>
        </w:rPr>
      </w:pPr>
      <w:r w:rsidRPr="00F9664B">
        <w:rPr>
          <w:rFonts w:ascii="Arial" w:hAnsi="Arial" w:cs="Arial"/>
        </w:rPr>
        <w:t>(ii)</w:t>
      </w:r>
      <w:r w:rsidRPr="00F9664B">
        <w:rPr>
          <w:rFonts w:ascii="Arial" w:hAnsi="Arial" w:cs="Arial"/>
        </w:rPr>
        <w:tab/>
      </w:r>
      <w:r w:rsidR="00650287">
        <w:rPr>
          <w:rFonts w:ascii="Arial" w:hAnsi="Arial" w:cs="Arial"/>
        </w:rPr>
        <w:t>a</w:t>
      </w:r>
      <w:r w:rsidRPr="00F9664B">
        <w:rPr>
          <w:rFonts w:ascii="Arial" w:hAnsi="Arial" w:cs="Arial"/>
        </w:rPr>
        <w:t>n apparent lack of physical injury to the complainant;</w:t>
      </w:r>
    </w:p>
    <w:p w14:paraId="17AB331B" w14:textId="77777777" w:rsidR="006B63FC" w:rsidRPr="00F9664B" w:rsidRDefault="006B63FC" w:rsidP="006B63FC">
      <w:pPr>
        <w:spacing w:after="0" w:line="360" w:lineRule="auto"/>
        <w:jc w:val="both"/>
        <w:rPr>
          <w:rFonts w:ascii="Arial" w:hAnsi="Arial" w:cs="Arial"/>
        </w:rPr>
      </w:pPr>
      <w:r w:rsidRPr="00F9664B">
        <w:rPr>
          <w:rFonts w:ascii="Arial" w:hAnsi="Arial" w:cs="Arial"/>
        </w:rPr>
        <w:t>….</w:t>
      </w:r>
    </w:p>
    <w:p w14:paraId="1DD45E6A" w14:textId="36D2D6A9" w:rsidR="006B63FC" w:rsidRPr="00F9664B" w:rsidRDefault="006B63FC" w:rsidP="006B63FC">
      <w:pPr>
        <w:spacing w:after="0" w:line="360" w:lineRule="auto"/>
        <w:jc w:val="both"/>
        <w:rPr>
          <w:rFonts w:ascii="Arial" w:hAnsi="Arial" w:cs="Arial"/>
        </w:rPr>
      </w:pPr>
      <w:r w:rsidRPr="00F9664B">
        <w:rPr>
          <w:rFonts w:ascii="Arial" w:hAnsi="Arial" w:cs="Arial"/>
        </w:rPr>
        <w:lastRenderedPageBreak/>
        <w:t>(iv)</w:t>
      </w:r>
      <w:r w:rsidRPr="00F9664B">
        <w:rPr>
          <w:rFonts w:ascii="Arial" w:hAnsi="Arial" w:cs="Arial"/>
        </w:rPr>
        <w:tab/>
      </w:r>
      <w:r w:rsidR="00650287">
        <w:rPr>
          <w:rFonts w:ascii="Arial" w:hAnsi="Arial" w:cs="Arial"/>
        </w:rPr>
        <w:t>a</w:t>
      </w:r>
      <w:r w:rsidRPr="00F9664B">
        <w:rPr>
          <w:rFonts w:ascii="Arial" w:hAnsi="Arial" w:cs="Arial"/>
        </w:rPr>
        <w:t xml:space="preserve">ny relationship between the accused person and the complainant prior to the offence being committed.’ </w:t>
      </w:r>
    </w:p>
    <w:p w14:paraId="0B604DF0" w14:textId="77777777" w:rsidR="006B63FC" w:rsidRPr="006B63FC" w:rsidRDefault="006B63FC" w:rsidP="006B63FC">
      <w:pPr>
        <w:pStyle w:val="ListParagraph"/>
        <w:spacing w:after="0" w:line="360" w:lineRule="auto"/>
        <w:ind w:left="0"/>
        <w:jc w:val="both"/>
        <w:rPr>
          <w:rFonts w:ascii="Arial" w:hAnsi="Arial" w:cs="Arial"/>
          <w:sz w:val="24"/>
          <w:szCs w:val="24"/>
        </w:rPr>
      </w:pPr>
    </w:p>
    <w:p w14:paraId="67825091" w14:textId="0188CFEA" w:rsidR="009C06B6" w:rsidRDefault="009C40B8" w:rsidP="009C06B6">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In its judgment on sentence, the trial court took into account two reports: </w:t>
      </w:r>
      <w:r w:rsidR="00650287">
        <w:rPr>
          <w:rFonts w:ascii="Arial" w:hAnsi="Arial" w:cs="Arial"/>
          <w:sz w:val="24"/>
          <w:szCs w:val="24"/>
        </w:rPr>
        <w:t>a</w:t>
      </w:r>
      <w:r w:rsidRPr="006B63FC">
        <w:rPr>
          <w:rFonts w:ascii="Arial" w:hAnsi="Arial" w:cs="Arial"/>
          <w:sz w:val="24"/>
          <w:szCs w:val="24"/>
        </w:rPr>
        <w:t xml:space="preserve"> </w:t>
      </w:r>
      <w:r w:rsidR="00650287">
        <w:rPr>
          <w:rFonts w:ascii="Arial" w:hAnsi="Arial" w:cs="Arial"/>
          <w:sz w:val="24"/>
          <w:szCs w:val="24"/>
        </w:rPr>
        <w:t>v</w:t>
      </w:r>
      <w:r w:rsidRPr="006B63FC">
        <w:rPr>
          <w:rFonts w:ascii="Arial" w:hAnsi="Arial" w:cs="Arial"/>
          <w:sz w:val="24"/>
          <w:szCs w:val="24"/>
        </w:rPr>
        <w:t xml:space="preserve">ictim </w:t>
      </w:r>
      <w:r w:rsidR="00650287">
        <w:rPr>
          <w:rFonts w:ascii="Arial" w:hAnsi="Arial" w:cs="Arial"/>
          <w:sz w:val="24"/>
          <w:szCs w:val="24"/>
        </w:rPr>
        <w:t>i</w:t>
      </w:r>
      <w:r w:rsidRPr="006B63FC">
        <w:rPr>
          <w:rFonts w:ascii="Arial" w:hAnsi="Arial" w:cs="Arial"/>
          <w:sz w:val="24"/>
          <w:szCs w:val="24"/>
        </w:rPr>
        <w:t xml:space="preserve">mpact </w:t>
      </w:r>
      <w:r w:rsidR="00650287">
        <w:rPr>
          <w:rFonts w:ascii="Arial" w:hAnsi="Arial" w:cs="Arial"/>
          <w:sz w:val="24"/>
          <w:szCs w:val="24"/>
        </w:rPr>
        <w:t>s</w:t>
      </w:r>
      <w:r w:rsidRPr="006B63FC">
        <w:rPr>
          <w:rFonts w:ascii="Arial" w:hAnsi="Arial" w:cs="Arial"/>
          <w:sz w:val="24"/>
          <w:szCs w:val="24"/>
        </w:rPr>
        <w:t>tatement (the VIS) in respect of the complainant to reflect her voice in proceedings that affect her directly</w:t>
      </w:r>
      <w:r w:rsidR="00650287">
        <w:rPr>
          <w:rFonts w:ascii="Arial" w:hAnsi="Arial" w:cs="Arial"/>
          <w:sz w:val="24"/>
          <w:szCs w:val="24"/>
        </w:rPr>
        <w:t>;</w:t>
      </w:r>
      <w:r w:rsidRPr="006B63FC">
        <w:rPr>
          <w:rFonts w:ascii="Arial" w:hAnsi="Arial" w:cs="Arial"/>
          <w:sz w:val="24"/>
          <w:szCs w:val="24"/>
        </w:rPr>
        <w:t xml:space="preserve"> and a pre</w:t>
      </w:r>
      <w:r w:rsidR="00B76854">
        <w:rPr>
          <w:rFonts w:ascii="Arial" w:hAnsi="Arial" w:cs="Arial"/>
          <w:sz w:val="24"/>
          <w:szCs w:val="24"/>
        </w:rPr>
        <w:t>-</w:t>
      </w:r>
      <w:r w:rsidRPr="006B63FC">
        <w:rPr>
          <w:rFonts w:ascii="Arial" w:hAnsi="Arial" w:cs="Arial"/>
          <w:sz w:val="24"/>
          <w:szCs w:val="24"/>
        </w:rPr>
        <w:t>sentence report in respect of the appellant. The State led the evidence of the social worker who compiled the VIS after interviewing the complainant, the appellant and their family members.</w:t>
      </w:r>
      <w:r w:rsidR="00F244D5" w:rsidRPr="00F45876">
        <w:rPr>
          <w:rFonts w:ascii="Arial" w:hAnsi="Arial" w:cs="Arial"/>
          <w:sz w:val="24"/>
          <w:szCs w:val="24"/>
          <w:vertAlign w:val="superscript"/>
        </w:rPr>
        <w:footnoteReference w:id="24"/>
      </w:r>
      <w:r w:rsidRPr="006B63FC">
        <w:rPr>
          <w:rFonts w:ascii="Arial" w:hAnsi="Arial" w:cs="Arial"/>
          <w:sz w:val="24"/>
          <w:szCs w:val="24"/>
        </w:rPr>
        <w:t xml:space="preserve"> She stated that </w:t>
      </w:r>
      <w:r w:rsidR="00A96F9E" w:rsidRPr="00F45876">
        <w:rPr>
          <w:rFonts w:ascii="Arial" w:hAnsi="Arial" w:cs="Arial"/>
          <w:sz w:val="24"/>
          <w:szCs w:val="24"/>
        </w:rPr>
        <w:t xml:space="preserve">the appellant did not use a condom during the rape. </w:t>
      </w:r>
      <w:r w:rsidR="009C06B6" w:rsidRPr="00F45876">
        <w:rPr>
          <w:rFonts w:ascii="Arial" w:hAnsi="Arial" w:cs="Arial"/>
          <w:sz w:val="24"/>
          <w:szCs w:val="24"/>
        </w:rPr>
        <w:t xml:space="preserve">As a result, the complainant suffered an infection which was not medically treated until she was examined some days later. That is why she walked with discomfort. </w:t>
      </w:r>
    </w:p>
    <w:p w14:paraId="106A9111" w14:textId="77777777" w:rsidR="009C06B6" w:rsidRPr="009C06B6" w:rsidRDefault="009C06B6" w:rsidP="009C06B6">
      <w:pPr>
        <w:spacing w:after="0" w:line="360" w:lineRule="auto"/>
        <w:ind w:left="4820"/>
        <w:jc w:val="both"/>
        <w:rPr>
          <w:rFonts w:ascii="Arial" w:hAnsi="Arial" w:cs="Arial"/>
          <w:sz w:val="24"/>
          <w:szCs w:val="24"/>
        </w:rPr>
      </w:pPr>
    </w:p>
    <w:p w14:paraId="4AB6E5B3" w14:textId="5663414A" w:rsidR="009C40B8" w:rsidRPr="006B63FC" w:rsidRDefault="009C06B6" w:rsidP="006B63FC">
      <w:pPr>
        <w:pStyle w:val="ListParagraph"/>
        <w:numPr>
          <w:ilvl w:val="0"/>
          <w:numId w:val="14"/>
        </w:numPr>
        <w:spacing w:after="0" w:line="360" w:lineRule="auto"/>
        <w:ind w:left="0" w:firstLine="0"/>
        <w:jc w:val="both"/>
        <w:rPr>
          <w:rFonts w:ascii="Arial" w:hAnsi="Arial" w:cs="Arial"/>
          <w:sz w:val="24"/>
          <w:szCs w:val="24"/>
        </w:rPr>
      </w:pPr>
      <w:r>
        <w:rPr>
          <w:rFonts w:ascii="Arial" w:hAnsi="Arial" w:cs="Arial"/>
          <w:sz w:val="24"/>
          <w:szCs w:val="24"/>
        </w:rPr>
        <w:t>Furthermore, the social worker stated that t</w:t>
      </w:r>
      <w:r w:rsidR="009C40B8" w:rsidRPr="006B63FC">
        <w:rPr>
          <w:rFonts w:ascii="Arial" w:hAnsi="Arial" w:cs="Arial"/>
          <w:sz w:val="24"/>
          <w:szCs w:val="24"/>
        </w:rPr>
        <w:t>he rape had impacted negatively on the complainant to the extent that her school performance dropped. She was afraid of the appellant and feared to be left alone with him.</w:t>
      </w:r>
      <w:r w:rsidR="00A96F9E">
        <w:rPr>
          <w:rFonts w:ascii="Arial" w:hAnsi="Arial" w:cs="Arial"/>
          <w:sz w:val="24"/>
          <w:szCs w:val="24"/>
        </w:rPr>
        <w:t xml:space="preserve"> </w:t>
      </w:r>
      <w:r w:rsidR="009C40B8" w:rsidRPr="006B63FC">
        <w:rPr>
          <w:rFonts w:ascii="Arial" w:hAnsi="Arial" w:cs="Arial"/>
          <w:sz w:val="24"/>
          <w:szCs w:val="24"/>
        </w:rPr>
        <w:t>She was withdrawn. As a result of counselling</w:t>
      </w:r>
      <w:r w:rsidR="00BD3034">
        <w:rPr>
          <w:rFonts w:ascii="Arial" w:hAnsi="Arial" w:cs="Arial"/>
          <w:sz w:val="24"/>
          <w:szCs w:val="24"/>
        </w:rPr>
        <w:t>,</w:t>
      </w:r>
      <w:r w:rsidR="009C40B8" w:rsidRPr="006B63FC">
        <w:rPr>
          <w:rFonts w:ascii="Arial" w:hAnsi="Arial" w:cs="Arial"/>
          <w:sz w:val="24"/>
          <w:szCs w:val="24"/>
        </w:rPr>
        <w:t xml:space="preserve"> the complainant was able to talk to the appellant and even asked him to buy her sweets. Both the complainant and her mother were deeply hurt, emotionally scarred, confused and </w:t>
      </w:r>
      <w:r w:rsidR="009C40B8" w:rsidRPr="00877039">
        <w:rPr>
          <w:rFonts w:ascii="Arial" w:hAnsi="Arial" w:cs="Arial"/>
          <w:color w:val="000000" w:themeColor="text1"/>
          <w:sz w:val="24"/>
          <w:szCs w:val="24"/>
        </w:rPr>
        <w:t>fe</w:t>
      </w:r>
      <w:r w:rsidR="00E062F5" w:rsidRPr="00877039">
        <w:rPr>
          <w:rFonts w:ascii="Arial" w:hAnsi="Arial" w:cs="Arial"/>
          <w:color w:val="000000" w:themeColor="text1"/>
          <w:sz w:val="24"/>
          <w:szCs w:val="24"/>
        </w:rPr>
        <w:t>lt</w:t>
      </w:r>
      <w:r w:rsidR="009C40B8" w:rsidRPr="00DC716A">
        <w:rPr>
          <w:rFonts w:ascii="Arial" w:hAnsi="Arial" w:cs="Arial"/>
          <w:color w:val="00B050"/>
          <w:sz w:val="24"/>
          <w:szCs w:val="24"/>
        </w:rPr>
        <w:t xml:space="preserve"> </w:t>
      </w:r>
      <w:r w:rsidR="009C40B8" w:rsidRPr="006B63FC">
        <w:rPr>
          <w:rFonts w:ascii="Arial" w:hAnsi="Arial" w:cs="Arial"/>
          <w:sz w:val="24"/>
          <w:szCs w:val="24"/>
        </w:rPr>
        <w:t>a sense of hopeless</w:t>
      </w:r>
      <w:r w:rsidR="00BD3034">
        <w:rPr>
          <w:rFonts w:ascii="Arial" w:hAnsi="Arial" w:cs="Arial"/>
          <w:sz w:val="24"/>
          <w:szCs w:val="24"/>
        </w:rPr>
        <w:t>ness</w:t>
      </w:r>
      <w:r w:rsidR="009C40B8" w:rsidRPr="006B63FC">
        <w:rPr>
          <w:rFonts w:ascii="Arial" w:hAnsi="Arial" w:cs="Arial"/>
          <w:sz w:val="24"/>
          <w:szCs w:val="24"/>
        </w:rPr>
        <w:t xml:space="preserve"> as a result of the rape. She finds it difficult to trust people. They were relieved only when the appellant was arrested and held in custody. Family members were taken through counselling to deal with this incident. It is not clear if this therapy is still ongoing.</w:t>
      </w:r>
    </w:p>
    <w:p w14:paraId="4F8B7C6C" w14:textId="77777777" w:rsidR="006B63FC" w:rsidRPr="006B63FC" w:rsidRDefault="006B63FC" w:rsidP="006B63FC">
      <w:pPr>
        <w:pStyle w:val="ListParagraph"/>
        <w:spacing w:after="0" w:line="360" w:lineRule="auto"/>
        <w:ind w:left="0"/>
        <w:jc w:val="both"/>
        <w:rPr>
          <w:rFonts w:ascii="Arial" w:hAnsi="Arial" w:cs="Arial"/>
          <w:sz w:val="24"/>
          <w:szCs w:val="24"/>
        </w:rPr>
      </w:pPr>
    </w:p>
    <w:p w14:paraId="2B28EBD7" w14:textId="4C848A90" w:rsidR="00CB7982" w:rsidRDefault="00CB7982" w:rsidP="00CB7982">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It must be noted that even without a psychological assessment, from reported cases of rape based on literature and evidence of experts in court, rape has a devastating impact on anyone, let alone a child. Although the complainant seemed to be coping better at school, individuals are impacted differently. The experts have noted certain features common in all rape cases: post-traumatic stress disorder (PTSD), including flashbacks, nightmares, severe anxiety, and uncontrollable thoughts. Depression, including prolonged sadness, feelings of </w:t>
      </w:r>
      <w:r w:rsidRPr="002831A8">
        <w:rPr>
          <w:rFonts w:ascii="Arial" w:hAnsi="Arial" w:cs="Arial"/>
          <w:sz w:val="24"/>
          <w:szCs w:val="24"/>
        </w:rPr>
        <w:t xml:space="preserve">hopelessness, unexplained crying, weight loss or gain, loss of energy or interest in activities previously enjoyed. </w:t>
      </w:r>
      <w:r w:rsidRPr="002831A8">
        <w:rPr>
          <w:rFonts w:ascii="Arial" w:hAnsi="Arial" w:cs="Arial"/>
          <w:sz w:val="24"/>
          <w:szCs w:val="24"/>
        </w:rPr>
        <w:lastRenderedPageBreak/>
        <w:t>Suicidal thoughts or attempts. Dissociation, including not being able to focus on work or on schoolwork, as well as not feeling present in everyday situations.</w:t>
      </w:r>
      <w:r w:rsidRPr="002831A8">
        <w:rPr>
          <w:rFonts w:ascii="Arial" w:hAnsi="Arial" w:cs="Arial"/>
          <w:sz w:val="24"/>
          <w:szCs w:val="24"/>
          <w:vertAlign w:val="superscript"/>
        </w:rPr>
        <w:footnoteReference w:id="25"/>
      </w:r>
    </w:p>
    <w:p w14:paraId="695E34A9" w14:textId="77777777" w:rsidR="00CB7982" w:rsidRPr="00CB7982" w:rsidRDefault="00CB7982" w:rsidP="00CB7982">
      <w:pPr>
        <w:pStyle w:val="ListParagraph"/>
        <w:rPr>
          <w:rFonts w:ascii="Arial" w:hAnsi="Arial" w:cs="Arial"/>
          <w:sz w:val="24"/>
          <w:szCs w:val="24"/>
        </w:rPr>
      </w:pPr>
    </w:p>
    <w:p w14:paraId="370EA325" w14:textId="6A2F44E7" w:rsidR="00F45876" w:rsidRDefault="009C40B8" w:rsidP="006B63FC">
      <w:pPr>
        <w:pStyle w:val="ListParagraph"/>
        <w:numPr>
          <w:ilvl w:val="0"/>
          <w:numId w:val="14"/>
        </w:numPr>
        <w:spacing w:after="0" w:line="360" w:lineRule="auto"/>
        <w:ind w:left="0" w:firstLine="0"/>
        <w:jc w:val="both"/>
        <w:rPr>
          <w:rFonts w:ascii="Arial" w:hAnsi="Arial" w:cs="Arial"/>
          <w:sz w:val="24"/>
          <w:szCs w:val="24"/>
        </w:rPr>
      </w:pPr>
      <w:r w:rsidRPr="00BD3034">
        <w:rPr>
          <w:rFonts w:ascii="Arial" w:hAnsi="Arial" w:cs="Arial"/>
          <w:sz w:val="24"/>
          <w:szCs w:val="24"/>
        </w:rPr>
        <w:t>The trial court had regard to the basic triad of sentencing and also warned itself to balance the</w:t>
      </w:r>
      <w:r w:rsidR="00A73133">
        <w:rPr>
          <w:rFonts w:ascii="Arial" w:hAnsi="Arial" w:cs="Arial"/>
          <w:sz w:val="24"/>
          <w:szCs w:val="24"/>
        </w:rPr>
        <w:t xml:space="preserve"> various interests</w:t>
      </w:r>
      <w:r w:rsidRPr="00BD3034">
        <w:rPr>
          <w:rFonts w:ascii="Arial" w:hAnsi="Arial" w:cs="Arial"/>
          <w:sz w:val="24"/>
          <w:szCs w:val="24"/>
        </w:rPr>
        <w:t>.</w:t>
      </w:r>
      <w:r w:rsidRPr="00BD3034">
        <w:rPr>
          <w:rFonts w:ascii="Arial" w:hAnsi="Arial" w:cs="Arial"/>
          <w:sz w:val="24"/>
          <w:szCs w:val="24"/>
          <w:vertAlign w:val="superscript"/>
        </w:rPr>
        <w:footnoteReference w:id="26"/>
      </w:r>
      <w:r w:rsidRPr="00BD3034">
        <w:rPr>
          <w:rFonts w:ascii="Arial" w:hAnsi="Arial" w:cs="Arial"/>
          <w:sz w:val="24"/>
          <w:szCs w:val="24"/>
        </w:rPr>
        <w:t xml:space="preserve"> It took into account the appellant’s personal circumstances</w:t>
      </w:r>
      <w:r w:rsidR="00BD3034">
        <w:rPr>
          <w:rFonts w:ascii="Arial" w:hAnsi="Arial" w:cs="Arial"/>
          <w:sz w:val="24"/>
          <w:szCs w:val="24"/>
        </w:rPr>
        <w:t>.</w:t>
      </w:r>
      <w:r w:rsidRPr="00BD3034">
        <w:rPr>
          <w:rFonts w:ascii="Arial" w:hAnsi="Arial" w:cs="Arial"/>
          <w:sz w:val="24"/>
          <w:szCs w:val="24"/>
        </w:rPr>
        <w:t xml:space="preserve"> </w:t>
      </w:r>
      <w:r w:rsidR="00BD3034">
        <w:rPr>
          <w:rFonts w:ascii="Arial" w:hAnsi="Arial" w:cs="Arial"/>
          <w:sz w:val="24"/>
          <w:szCs w:val="24"/>
        </w:rPr>
        <w:t>H</w:t>
      </w:r>
      <w:r w:rsidRPr="00BD3034">
        <w:rPr>
          <w:rFonts w:ascii="Arial" w:hAnsi="Arial" w:cs="Arial"/>
          <w:sz w:val="24"/>
          <w:szCs w:val="24"/>
        </w:rPr>
        <w:t>e was a first offender. He was gainfully employed</w:t>
      </w:r>
      <w:r w:rsidRPr="006B63FC">
        <w:rPr>
          <w:rFonts w:ascii="Arial" w:hAnsi="Arial" w:cs="Arial"/>
          <w:sz w:val="24"/>
          <w:szCs w:val="24"/>
        </w:rPr>
        <w:t>. He had three children of his own. The children lived with their respective mothers</w:t>
      </w:r>
      <w:r w:rsidR="00BD3034">
        <w:rPr>
          <w:rFonts w:ascii="Arial" w:hAnsi="Arial" w:cs="Arial"/>
          <w:sz w:val="24"/>
          <w:szCs w:val="24"/>
        </w:rPr>
        <w:t>,</w:t>
      </w:r>
      <w:r w:rsidRPr="006B63FC">
        <w:rPr>
          <w:rFonts w:ascii="Arial" w:hAnsi="Arial" w:cs="Arial"/>
          <w:sz w:val="24"/>
          <w:szCs w:val="24"/>
        </w:rPr>
        <w:t xml:space="preserve"> except </w:t>
      </w:r>
      <w:r w:rsidR="00BD3034">
        <w:rPr>
          <w:rFonts w:ascii="Arial" w:hAnsi="Arial" w:cs="Arial"/>
          <w:sz w:val="24"/>
          <w:szCs w:val="24"/>
        </w:rPr>
        <w:t xml:space="preserve">for </w:t>
      </w:r>
      <w:r w:rsidRPr="006B63FC">
        <w:rPr>
          <w:rFonts w:ascii="Arial" w:hAnsi="Arial" w:cs="Arial"/>
          <w:sz w:val="24"/>
          <w:szCs w:val="24"/>
        </w:rPr>
        <w:t>one</w:t>
      </w:r>
      <w:r w:rsidR="00BD3034">
        <w:rPr>
          <w:rFonts w:ascii="Arial" w:hAnsi="Arial" w:cs="Arial"/>
          <w:sz w:val="24"/>
          <w:szCs w:val="24"/>
        </w:rPr>
        <w:t>,</w:t>
      </w:r>
      <w:r w:rsidRPr="006B63FC">
        <w:rPr>
          <w:rFonts w:ascii="Arial" w:hAnsi="Arial" w:cs="Arial"/>
          <w:sz w:val="24"/>
          <w:szCs w:val="24"/>
        </w:rPr>
        <w:t xml:space="preserve"> whose mother had passed on</w:t>
      </w:r>
      <w:r w:rsidR="00BD3034">
        <w:rPr>
          <w:rFonts w:ascii="Arial" w:hAnsi="Arial" w:cs="Arial"/>
          <w:sz w:val="24"/>
          <w:szCs w:val="24"/>
        </w:rPr>
        <w:t>,</w:t>
      </w:r>
      <w:r w:rsidRPr="006B63FC">
        <w:rPr>
          <w:rFonts w:ascii="Arial" w:hAnsi="Arial" w:cs="Arial"/>
          <w:sz w:val="24"/>
          <w:szCs w:val="24"/>
        </w:rPr>
        <w:t xml:space="preserve"> but was staying with </w:t>
      </w:r>
      <w:r w:rsidRPr="00BD3034">
        <w:rPr>
          <w:rFonts w:ascii="Arial" w:hAnsi="Arial" w:cs="Arial"/>
          <w:sz w:val="24"/>
          <w:szCs w:val="24"/>
        </w:rPr>
        <w:t>relatives</w:t>
      </w:r>
      <w:r w:rsidR="00BD3034" w:rsidRPr="00BD3034">
        <w:rPr>
          <w:rFonts w:ascii="Arial" w:hAnsi="Arial" w:cs="Arial"/>
          <w:sz w:val="24"/>
          <w:szCs w:val="24"/>
        </w:rPr>
        <w:t xml:space="preserve"> and</w:t>
      </w:r>
      <w:r w:rsidRPr="00BD3034">
        <w:rPr>
          <w:rFonts w:ascii="Arial" w:hAnsi="Arial" w:cs="Arial"/>
          <w:sz w:val="24"/>
          <w:szCs w:val="24"/>
        </w:rPr>
        <w:t xml:space="preserve"> not with the appellant. It clearly took into account the best interests of the appellant’s children with reference to sentencing an accused person who has minor children,</w:t>
      </w:r>
      <w:r w:rsidRPr="00BD3034">
        <w:rPr>
          <w:rFonts w:ascii="Arial" w:hAnsi="Arial" w:cs="Arial"/>
          <w:sz w:val="24"/>
          <w:szCs w:val="24"/>
          <w:vertAlign w:val="superscript"/>
        </w:rPr>
        <w:footnoteReference w:id="27"/>
      </w:r>
      <w:r w:rsidRPr="00BD3034">
        <w:rPr>
          <w:rFonts w:ascii="Arial" w:hAnsi="Arial" w:cs="Arial"/>
          <w:sz w:val="24"/>
          <w:szCs w:val="24"/>
        </w:rPr>
        <w:t xml:space="preserve"> taking into account that the children have relatives and that </w:t>
      </w:r>
      <w:r w:rsidR="00F45876">
        <w:rPr>
          <w:rFonts w:ascii="Arial" w:hAnsi="Arial" w:cs="Arial"/>
          <w:sz w:val="24"/>
          <w:szCs w:val="24"/>
        </w:rPr>
        <w:t xml:space="preserve">the Department of </w:t>
      </w:r>
      <w:r w:rsidRPr="00BD3034">
        <w:rPr>
          <w:rFonts w:ascii="Arial" w:hAnsi="Arial" w:cs="Arial"/>
          <w:sz w:val="24"/>
          <w:szCs w:val="24"/>
        </w:rPr>
        <w:t xml:space="preserve">Social Development can be approached to provide for the children under social grants and such facilities available to children in need of care. </w:t>
      </w:r>
    </w:p>
    <w:p w14:paraId="39584BC1" w14:textId="77777777" w:rsidR="00F45876" w:rsidRPr="000B3510" w:rsidRDefault="00F45876" w:rsidP="000B3510">
      <w:pPr>
        <w:pStyle w:val="ListParagraph"/>
        <w:spacing w:after="0" w:line="360" w:lineRule="auto"/>
        <w:rPr>
          <w:rFonts w:ascii="Arial" w:hAnsi="Arial" w:cs="Arial"/>
          <w:sz w:val="24"/>
          <w:szCs w:val="24"/>
        </w:rPr>
      </w:pPr>
    </w:p>
    <w:p w14:paraId="795E899A" w14:textId="017C1294" w:rsidR="009C06B6" w:rsidRDefault="009C40B8" w:rsidP="009C06B6">
      <w:pPr>
        <w:pStyle w:val="ListParagraph"/>
        <w:numPr>
          <w:ilvl w:val="0"/>
          <w:numId w:val="14"/>
        </w:numPr>
        <w:spacing w:after="0" w:line="360" w:lineRule="auto"/>
        <w:ind w:left="0" w:firstLine="0"/>
        <w:jc w:val="both"/>
        <w:rPr>
          <w:rFonts w:ascii="Arial" w:hAnsi="Arial" w:cs="Arial"/>
          <w:sz w:val="24"/>
          <w:szCs w:val="24"/>
        </w:rPr>
      </w:pPr>
      <w:r w:rsidRPr="00BD3034">
        <w:rPr>
          <w:rFonts w:ascii="Arial" w:hAnsi="Arial" w:cs="Arial"/>
          <w:sz w:val="24"/>
          <w:szCs w:val="24"/>
        </w:rPr>
        <w:t xml:space="preserve">The trial court noted the following as aggravating circumstances: </w:t>
      </w:r>
      <w:r w:rsidR="00F45876">
        <w:rPr>
          <w:rFonts w:ascii="Arial" w:hAnsi="Arial" w:cs="Arial"/>
          <w:sz w:val="24"/>
          <w:szCs w:val="24"/>
        </w:rPr>
        <w:t>t</w:t>
      </w:r>
      <w:r w:rsidRPr="00BD3034">
        <w:rPr>
          <w:rFonts w:ascii="Arial" w:hAnsi="Arial" w:cs="Arial"/>
          <w:sz w:val="24"/>
          <w:szCs w:val="24"/>
        </w:rPr>
        <w:t>he appellant was the complainant’s maternal uncle and in a position of trust – who is ‘supposed to protect and love’ the complainant and not abuse her</w:t>
      </w:r>
      <w:r w:rsidRPr="006B63FC">
        <w:rPr>
          <w:rFonts w:ascii="Arial" w:hAnsi="Arial" w:cs="Arial"/>
          <w:sz w:val="24"/>
          <w:szCs w:val="24"/>
        </w:rPr>
        <w:t>.</w:t>
      </w:r>
      <w:r w:rsidR="009C06B6" w:rsidRPr="009C06B6">
        <w:rPr>
          <w:rFonts w:ascii="Arial" w:hAnsi="Arial" w:cs="Arial"/>
          <w:sz w:val="24"/>
          <w:szCs w:val="24"/>
        </w:rPr>
        <w:t xml:space="preserve"> </w:t>
      </w:r>
      <w:r w:rsidR="009C06B6" w:rsidRPr="00F45876">
        <w:rPr>
          <w:rFonts w:ascii="Arial" w:hAnsi="Arial" w:cs="Arial"/>
          <w:sz w:val="24"/>
          <w:szCs w:val="24"/>
        </w:rPr>
        <w:t>The trial court did not note specifically that the appellant took advantage of the presumably long absence of the mother and grandmother (as alluded to earlier on)</w:t>
      </w:r>
      <w:r w:rsidR="009C06B6" w:rsidRPr="00F45876">
        <w:rPr>
          <w:rFonts w:ascii="Arial" w:hAnsi="Arial" w:cs="Arial"/>
          <w:sz w:val="24"/>
          <w:szCs w:val="24"/>
          <w:vertAlign w:val="superscript"/>
        </w:rPr>
        <w:footnoteReference w:id="28"/>
      </w:r>
      <w:r w:rsidR="009C06B6" w:rsidRPr="00F45876">
        <w:rPr>
          <w:rFonts w:ascii="Arial" w:hAnsi="Arial" w:cs="Arial"/>
          <w:sz w:val="24"/>
          <w:szCs w:val="24"/>
        </w:rPr>
        <w:t xml:space="preserve"> to abuse the complainant. A factor ordinarily present in rapes committed within families or by those close to the families</w:t>
      </w:r>
      <w:r w:rsidR="009C06B6" w:rsidRPr="006B63FC">
        <w:rPr>
          <w:rFonts w:ascii="Arial" w:hAnsi="Arial" w:cs="Arial"/>
          <w:sz w:val="24"/>
          <w:szCs w:val="24"/>
        </w:rPr>
        <w:t xml:space="preserve"> to commit these violent crimes</w:t>
      </w:r>
      <w:r w:rsidR="009C06B6">
        <w:rPr>
          <w:rFonts w:ascii="Arial" w:hAnsi="Arial" w:cs="Arial"/>
          <w:sz w:val="24"/>
          <w:szCs w:val="24"/>
        </w:rPr>
        <w:t>,</w:t>
      </w:r>
      <w:r w:rsidR="009C06B6" w:rsidRPr="006B63FC">
        <w:rPr>
          <w:rFonts w:ascii="Arial" w:hAnsi="Arial" w:cs="Arial"/>
          <w:sz w:val="24"/>
          <w:szCs w:val="24"/>
        </w:rPr>
        <w:t xml:space="preserve"> knowing well that the victims are left on their own at particular times of the day or on certain days. </w:t>
      </w:r>
    </w:p>
    <w:p w14:paraId="039C82FA" w14:textId="77777777" w:rsidR="00F45876" w:rsidRPr="000B3510" w:rsidRDefault="00F45876" w:rsidP="000B3510">
      <w:pPr>
        <w:pStyle w:val="ListParagraph"/>
        <w:spacing w:after="0" w:line="360" w:lineRule="auto"/>
        <w:rPr>
          <w:rFonts w:ascii="Arial" w:hAnsi="Arial" w:cs="Arial"/>
          <w:sz w:val="24"/>
          <w:szCs w:val="24"/>
        </w:rPr>
      </w:pPr>
    </w:p>
    <w:p w14:paraId="19358BEE" w14:textId="09622C22" w:rsidR="00F45876"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 regional court took into account the seriousness of the offence and the prevalence of rape in the Napuno Magistrate</w:t>
      </w:r>
      <w:r w:rsidR="00F45876">
        <w:rPr>
          <w:rFonts w:ascii="Arial" w:hAnsi="Arial" w:cs="Arial"/>
          <w:sz w:val="24"/>
          <w:szCs w:val="24"/>
        </w:rPr>
        <w:t>’s</w:t>
      </w:r>
      <w:r w:rsidRPr="006B63FC">
        <w:rPr>
          <w:rFonts w:ascii="Arial" w:hAnsi="Arial" w:cs="Arial"/>
          <w:sz w:val="24"/>
          <w:szCs w:val="24"/>
        </w:rPr>
        <w:t xml:space="preserve"> Court District (four cases on the court roll on 23 August 2013</w:t>
      </w:r>
      <w:r w:rsidR="00F45876">
        <w:rPr>
          <w:rFonts w:ascii="Arial" w:hAnsi="Arial" w:cs="Arial"/>
          <w:sz w:val="24"/>
          <w:szCs w:val="24"/>
        </w:rPr>
        <w:t>,</w:t>
      </w:r>
      <w:r w:rsidRPr="006B63FC">
        <w:rPr>
          <w:rFonts w:ascii="Arial" w:hAnsi="Arial" w:cs="Arial"/>
          <w:sz w:val="24"/>
          <w:szCs w:val="24"/>
        </w:rPr>
        <w:t xml:space="preserve"> when sentence was imposed). </w:t>
      </w:r>
    </w:p>
    <w:p w14:paraId="5BE995D7" w14:textId="77777777" w:rsidR="00F45876" w:rsidRPr="000B3510" w:rsidRDefault="00F45876" w:rsidP="000B3510">
      <w:pPr>
        <w:pStyle w:val="ListParagraph"/>
        <w:spacing w:after="0" w:line="360" w:lineRule="auto"/>
        <w:rPr>
          <w:rFonts w:ascii="Arial" w:hAnsi="Arial" w:cs="Arial"/>
          <w:sz w:val="24"/>
          <w:szCs w:val="24"/>
        </w:rPr>
      </w:pPr>
    </w:p>
    <w:p w14:paraId="69CA084C" w14:textId="6E1640D2"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lastRenderedPageBreak/>
        <w:t>All these factors, in the view of the regional court</w:t>
      </w:r>
      <w:r w:rsidR="00F45876">
        <w:rPr>
          <w:rFonts w:ascii="Arial" w:hAnsi="Arial" w:cs="Arial"/>
          <w:sz w:val="24"/>
          <w:szCs w:val="24"/>
        </w:rPr>
        <w:t>,</w:t>
      </w:r>
      <w:r w:rsidRPr="006B63FC">
        <w:rPr>
          <w:rFonts w:ascii="Arial" w:hAnsi="Arial" w:cs="Arial"/>
          <w:sz w:val="24"/>
          <w:szCs w:val="24"/>
        </w:rPr>
        <w:t xml:space="preserve"> were not compelling and substantial enough to justify a lesser sentence.</w:t>
      </w:r>
    </w:p>
    <w:p w14:paraId="2E139ABE" w14:textId="77777777" w:rsidR="006B63FC" w:rsidRPr="006B63FC" w:rsidRDefault="006B63FC" w:rsidP="006B63FC">
      <w:pPr>
        <w:pStyle w:val="ListParagraph"/>
        <w:spacing w:after="0" w:line="360" w:lineRule="auto"/>
        <w:ind w:left="0"/>
        <w:jc w:val="both"/>
        <w:rPr>
          <w:rFonts w:ascii="Arial" w:hAnsi="Arial" w:cs="Arial"/>
          <w:sz w:val="24"/>
          <w:szCs w:val="24"/>
        </w:rPr>
      </w:pPr>
    </w:p>
    <w:p w14:paraId="38B78EAA" w14:textId="77777777" w:rsidR="0077103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Having considered the reasons for sentence, taking into account the now well documented and known psychological impact of victims of rape</w:t>
      </w:r>
      <w:r w:rsidR="00EB0431">
        <w:rPr>
          <w:rFonts w:ascii="Arial" w:hAnsi="Arial" w:cs="Arial"/>
          <w:sz w:val="24"/>
          <w:szCs w:val="24"/>
        </w:rPr>
        <w:t>,</w:t>
      </w:r>
      <w:r w:rsidRPr="006B63FC">
        <w:rPr>
          <w:rFonts w:ascii="Arial" w:hAnsi="Arial" w:cs="Arial"/>
          <w:sz w:val="24"/>
          <w:szCs w:val="24"/>
        </w:rPr>
        <w:t xml:space="preserve"> especially children, the regional magistrate did not commit any misdirection in imposing the prescribed sentence. Counsel could not point </w:t>
      </w:r>
      <w:r w:rsidRPr="0077103C">
        <w:rPr>
          <w:rFonts w:ascii="Arial" w:hAnsi="Arial" w:cs="Arial"/>
          <w:sz w:val="24"/>
          <w:szCs w:val="24"/>
        </w:rPr>
        <w:t>to any. Had the trial court found otherwise, it would have been to deviate for no sound reasons.</w:t>
      </w:r>
      <w:r w:rsidRPr="0077103C">
        <w:rPr>
          <w:rFonts w:ascii="Arial" w:hAnsi="Arial" w:cs="Arial"/>
          <w:sz w:val="24"/>
          <w:szCs w:val="24"/>
          <w:vertAlign w:val="superscript"/>
        </w:rPr>
        <w:footnoteReference w:id="29"/>
      </w:r>
      <w:r w:rsidRPr="006B63FC">
        <w:rPr>
          <w:rFonts w:ascii="Arial" w:hAnsi="Arial" w:cs="Arial"/>
          <w:sz w:val="24"/>
          <w:szCs w:val="24"/>
        </w:rPr>
        <w:t xml:space="preserve"> </w:t>
      </w:r>
    </w:p>
    <w:p w14:paraId="18762D11" w14:textId="77777777" w:rsidR="0077103C" w:rsidRPr="000B3510" w:rsidRDefault="0077103C" w:rsidP="000B3510">
      <w:pPr>
        <w:pStyle w:val="ListParagraph"/>
        <w:spacing w:after="0" w:line="360" w:lineRule="auto"/>
        <w:rPr>
          <w:rFonts w:ascii="Arial" w:hAnsi="Arial" w:cs="Arial"/>
          <w:sz w:val="24"/>
          <w:szCs w:val="24"/>
        </w:rPr>
      </w:pPr>
    </w:p>
    <w:p w14:paraId="53D40FBA" w14:textId="0C57EEF3" w:rsidR="006B63FC" w:rsidRDefault="009C40B8" w:rsidP="0043176C">
      <w:pPr>
        <w:pStyle w:val="ListParagraph"/>
        <w:numPr>
          <w:ilvl w:val="0"/>
          <w:numId w:val="14"/>
        </w:numPr>
        <w:spacing w:after="0" w:line="360" w:lineRule="auto"/>
        <w:ind w:left="0" w:firstLine="0"/>
        <w:jc w:val="both"/>
        <w:rPr>
          <w:rFonts w:ascii="Arial" w:hAnsi="Arial" w:cs="Arial"/>
          <w:sz w:val="24"/>
          <w:szCs w:val="24"/>
        </w:rPr>
      </w:pPr>
      <w:r w:rsidRPr="00A96F9E">
        <w:rPr>
          <w:rFonts w:ascii="Arial" w:hAnsi="Arial" w:cs="Arial"/>
          <w:sz w:val="24"/>
          <w:szCs w:val="24"/>
        </w:rPr>
        <w:t xml:space="preserve">Rape of women and children is rampant in South Africa. It has reached alarming proportions despite the heavy sentences which courts impose. South Africa has one of the highest rape statistics in the world, even higher than some countries at war. The country’s annual police crime statistics confirms this: </w:t>
      </w:r>
      <w:r w:rsidR="0077103C" w:rsidRPr="00A96F9E">
        <w:rPr>
          <w:rFonts w:ascii="Arial" w:hAnsi="Arial" w:cs="Arial"/>
          <w:sz w:val="24"/>
          <w:szCs w:val="24"/>
        </w:rPr>
        <w:t>i</w:t>
      </w:r>
      <w:r w:rsidRPr="00A96F9E">
        <w:rPr>
          <w:rFonts w:ascii="Arial" w:hAnsi="Arial" w:cs="Arial"/>
          <w:sz w:val="24"/>
          <w:szCs w:val="24"/>
        </w:rPr>
        <w:t>n 2019/2020, there were 42 289 rapes reported as well as 7 749 sexual assaults. This translates into about 115 rapes per day.</w:t>
      </w:r>
      <w:r w:rsidRPr="0077103C">
        <w:rPr>
          <w:rFonts w:ascii="Arial" w:hAnsi="Arial" w:cs="Arial"/>
          <w:sz w:val="24"/>
          <w:szCs w:val="24"/>
          <w:vertAlign w:val="superscript"/>
        </w:rPr>
        <w:footnoteReference w:id="30"/>
      </w:r>
      <w:r w:rsidRPr="00A96F9E">
        <w:rPr>
          <w:rFonts w:ascii="Arial" w:hAnsi="Arial" w:cs="Arial"/>
          <w:sz w:val="24"/>
          <w:szCs w:val="24"/>
        </w:rPr>
        <w:t xml:space="preserve"> </w:t>
      </w:r>
    </w:p>
    <w:p w14:paraId="0FF61161" w14:textId="77777777" w:rsidR="00A96F9E" w:rsidRPr="00A96F9E" w:rsidRDefault="00A96F9E" w:rsidP="00A96F9E">
      <w:pPr>
        <w:pStyle w:val="ListParagraph"/>
        <w:rPr>
          <w:rFonts w:ascii="Arial" w:hAnsi="Arial" w:cs="Arial"/>
          <w:sz w:val="24"/>
          <w:szCs w:val="24"/>
        </w:rPr>
      </w:pPr>
    </w:p>
    <w:p w14:paraId="28686684" w14:textId="3D2D4447" w:rsidR="009C40B8" w:rsidRPr="00EF6427" w:rsidRDefault="009C40B8" w:rsidP="000B3510">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 xml:space="preserve">The appellant infringed the right to dignity and </w:t>
      </w:r>
      <w:r w:rsidR="00EF6427">
        <w:rPr>
          <w:rFonts w:ascii="Arial" w:hAnsi="Arial" w:cs="Arial"/>
          <w:sz w:val="24"/>
          <w:szCs w:val="24"/>
        </w:rPr>
        <w:t xml:space="preserve">the right to </w:t>
      </w:r>
      <w:r w:rsidRPr="00EF6427">
        <w:rPr>
          <w:rFonts w:ascii="Arial" w:hAnsi="Arial" w:cs="Arial"/>
          <w:sz w:val="24"/>
          <w:szCs w:val="24"/>
        </w:rPr>
        <w:t>bodily and psychological integrity of the complainant</w:t>
      </w:r>
      <w:r w:rsidR="00EF6427">
        <w:rPr>
          <w:rFonts w:ascii="Arial" w:hAnsi="Arial" w:cs="Arial"/>
          <w:sz w:val="24"/>
          <w:szCs w:val="24"/>
        </w:rPr>
        <w:t>,</w:t>
      </w:r>
      <w:r w:rsidRPr="00EF6427">
        <w:rPr>
          <w:rFonts w:ascii="Arial" w:hAnsi="Arial" w:cs="Arial"/>
          <w:sz w:val="24"/>
          <w:szCs w:val="24"/>
        </w:rPr>
        <w:t xml:space="preserve"> which any democratic society (such as South Africa) which espouses these rights</w:t>
      </w:r>
      <w:r w:rsidR="00EF6427">
        <w:rPr>
          <w:rFonts w:ascii="Arial" w:hAnsi="Arial" w:cs="Arial"/>
          <w:sz w:val="24"/>
          <w:szCs w:val="24"/>
        </w:rPr>
        <w:t>,</w:t>
      </w:r>
      <w:r w:rsidRPr="00EF6427">
        <w:rPr>
          <w:rFonts w:ascii="Arial" w:hAnsi="Arial" w:cs="Arial"/>
          <w:sz w:val="24"/>
          <w:szCs w:val="24"/>
        </w:rPr>
        <w:t xml:space="preserve"> including gender equality</w:t>
      </w:r>
      <w:r w:rsidR="00EF6427">
        <w:rPr>
          <w:rFonts w:ascii="Arial" w:hAnsi="Arial" w:cs="Arial"/>
          <w:sz w:val="24"/>
          <w:szCs w:val="24"/>
        </w:rPr>
        <w:t>,</w:t>
      </w:r>
      <w:r w:rsidRPr="00EF6427">
        <w:rPr>
          <w:rFonts w:ascii="Arial" w:hAnsi="Arial" w:cs="Arial"/>
          <w:sz w:val="24"/>
          <w:szCs w:val="24"/>
        </w:rPr>
        <w:t xml:space="preserve"> should not countenance for the future of its children</w:t>
      </w:r>
      <w:r w:rsidR="00EF6427">
        <w:rPr>
          <w:rFonts w:ascii="Arial" w:hAnsi="Arial" w:cs="Arial"/>
          <w:sz w:val="24"/>
          <w:szCs w:val="24"/>
        </w:rPr>
        <w:t>,</w:t>
      </w:r>
      <w:r w:rsidRPr="00EF6427">
        <w:rPr>
          <w:rFonts w:ascii="Arial" w:hAnsi="Arial" w:cs="Arial"/>
          <w:sz w:val="24"/>
          <w:szCs w:val="24"/>
        </w:rPr>
        <w:t xml:space="preserve"> their safety and physical and mental health. </w:t>
      </w:r>
      <w:r w:rsidR="000109CB">
        <w:rPr>
          <w:rFonts w:ascii="Arial" w:hAnsi="Arial" w:cs="Arial"/>
          <w:sz w:val="24"/>
          <w:szCs w:val="24"/>
        </w:rPr>
        <w:t xml:space="preserve">In </w:t>
      </w:r>
      <w:r w:rsidRPr="00EF6427">
        <w:rPr>
          <w:rFonts w:ascii="Arial" w:hAnsi="Arial" w:cs="Arial"/>
          <w:i/>
          <w:sz w:val="24"/>
          <w:szCs w:val="24"/>
        </w:rPr>
        <w:t>S v Jansen</w:t>
      </w:r>
      <w:r w:rsidR="000109CB" w:rsidRPr="000B3510">
        <w:rPr>
          <w:rFonts w:ascii="Arial" w:hAnsi="Arial" w:cs="Arial"/>
          <w:sz w:val="24"/>
          <w:szCs w:val="24"/>
        </w:rPr>
        <w:t>,</w:t>
      </w:r>
      <w:r w:rsidRPr="00EF6427">
        <w:rPr>
          <w:rFonts w:ascii="Arial" w:hAnsi="Arial" w:cs="Arial"/>
          <w:sz w:val="24"/>
          <w:szCs w:val="24"/>
          <w:vertAlign w:val="superscript"/>
        </w:rPr>
        <w:footnoteReference w:id="31"/>
      </w:r>
      <w:r w:rsidR="000109CB">
        <w:rPr>
          <w:rFonts w:ascii="Arial" w:hAnsi="Arial" w:cs="Arial"/>
          <w:sz w:val="24"/>
          <w:szCs w:val="24"/>
        </w:rPr>
        <w:t xml:space="preserve"> </w:t>
      </w:r>
      <w:r w:rsidR="00A96F9E">
        <w:rPr>
          <w:rFonts w:ascii="Arial" w:hAnsi="Arial" w:cs="Arial"/>
          <w:sz w:val="24"/>
          <w:szCs w:val="24"/>
        </w:rPr>
        <w:t xml:space="preserve">the court </w:t>
      </w:r>
      <w:r w:rsidRPr="00EF6427">
        <w:rPr>
          <w:rFonts w:ascii="Arial" w:hAnsi="Arial" w:cs="Arial"/>
          <w:sz w:val="24"/>
          <w:szCs w:val="24"/>
        </w:rPr>
        <w:t xml:space="preserve">stated it thus: </w:t>
      </w:r>
    </w:p>
    <w:p w14:paraId="18A852A4" w14:textId="789CF0F6" w:rsidR="006B63FC" w:rsidRPr="006B63FC" w:rsidRDefault="006B63FC" w:rsidP="006B63FC">
      <w:pPr>
        <w:spacing w:after="0" w:line="360" w:lineRule="auto"/>
        <w:jc w:val="both"/>
        <w:rPr>
          <w:rFonts w:ascii="Arial" w:hAnsi="Arial" w:cs="Arial"/>
          <w:sz w:val="24"/>
          <w:szCs w:val="24"/>
        </w:rPr>
      </w:pPr>
      <w:r w:rsidRPr="00EF6427">
        <w:rPr>
          <w:rFonts w:ascii="Arial" w:hAnsi="Arial" w:cs="Arial"/>
        </w:rPr>
        <w:t xml:space="preserve">‘Rape of a child is </w:t>
      </w:r>
      <w:r w:rsidR="006A2BCF">
        <w:rPr>
          <w:rFonts w:ascii="Arial" w:hAnsi="Arial" w:cs="Arial"/>
        </w:rPr>
        <w:t xml:space="preserve">an </w:t>
      </w:r>
      <w:r w:rsidRPr="00EF6427">
        <w:rPr>
          <w:rFonts w:ascii="Arial" w:hAnsi="Arial" w:cs="Arial"/>
        </w:rPr>
        <w:t>appalling and perverse abuse of male power. It strikes a blow at the very core of our claim to be a civilised society</w:t>
      </w:r>
      <w:r w:rsidR="00A96F9E">
        <w:rPr>
          <w:rFonts w:ascii="Arial" w:hAnsi="Arial" w:cs="Arial"/>
        </w:rPr>
        <w:t>. . .</w:t>
      </w:r>
      <w:r w:rsidR="006A2BCF">
        <w:rPr>
          <w:rFonts w:ascii="Arial" w:hAnsi="Arial" w:cs="Arial"/>
        </w:rPr>
        <w:t xml:space="preserve"> .</w:t>
      </w:r>
      <w:r w:rsidR="005D64C1">
        <w:rPr>
          <w:rFonts w:ascii="Arial" w:hAnsi="Arial" w:cs="Arial"/>
        </w:rPr>
        <w:t xml:space="preserve"> </w:t>
      </w:r>
      <w:r w:rsidRPr="00EF6427">
        <w:rPr>
          <w:rFonts w:ascii="Arial" w:hAnsi="Arial" w:cs="Arial"/>
        </w:rPr>
        <w:t>The community is entitled to demand that those who perform such perverse acts of terror be adequately punished and that the punishment reflect the societal censure. It is utterly terrifying that we live in a society where children cannot play in the streets in any safety; where children are unable to grow up in the kind of climate which they should be able to demand in any decent society, namely in freedom and without fear. In short, our children must be able to develop their lives in an atmosphere which behoves any society which aspires to be an open and democratic one based on freedom, dignity and equality, the very touchstones of our Constitution.’</w:t>
      </w:r>
    </w:p>
    <w:p w14:paraId="59037A0A" w14:textId="77777777" w:rsidR="006B63FC" w:rsidRPr="006B63FC" w:rsidRDefault="006B63FC" w:rsidP="006B63FC">
      <w:pPr>
        <w:pStyle w:val="ListParagraph"/>
        <w:spacing w:after="0" w:line="360" w:lineRule="auto"/>
        <w:jc w:val="both"/>
        <w:rPr>
          <w:rFonts w:ascii="Arial" w:hAnsi="Arial" w:cs="Arial"/>
          <w:sz w:val="24"/>
          <w:szCs w:val="24"/>
        </w:rPr>
      </w:pPr>
    </w:p>
    <w:p w14:paraId="73182DAB" w14:textId="1C8DF043" w:rsidR="009C40B8" w:rsidRPr="00723E8B"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lastRenderedPageBreak/>
        <w:t xml:space="preserve">Taking into account </w:t>
      </w:r>
      <w:r w:rsidRPr="006B63FC">
        <w:rPr>
          <w:rFonts w:ascii="Arial" w:hAnsi="Arial" w:cs="Arial"/>
          <w:i/>
          <w:sz w:val="24"/>
          <w:szCs w:val="24"/>
        </w:rPr>
        <w:t>Jansen,</w:t>
      </w:r>
      <w:r w:rsidRPr="006B63FC">
        <w:rPr>
          <w:rFonts w:ascii="Arial" w:hAnsi="Arial" w:cs="Arial"/>
          <w:sz w:val="24"/>
          <w:szCs w:val="24"/>
        </w:rPr>
        <w:t xml:space="preserve"> </w:t>
      </w:r>
      <w:r w:rsidRPr="006B63FC">
        <w:rPr>
          <w:rFonts w:ascii="Arial" w:hAnsi="Arial" w:cs="Arial"/>
          <w:i/>
          <w:sz w:val="24"/>
          <w:szCs w:val="24"/>
        </w:rPr>
        <w:t>Malgas, Matyityi, Vilakazi</w:t>
      </w:r>
      <w:r w:rsidRPr="006B63FC">
        <w:rPr>
          <w:rFonts w:ascii="Arial" w:hAnsi="Arial" w:cs="Arial"/>
          <w:sz w:val="24"/>
          <w:szCs w:val="24"/>
        </w:rPr>
        <w:t xml:space="preserve"> and a plethora of judgments which follow thereafter as well as regional and international protocols which bind South Africa to respond effectively to gender</w:t>
      </w:r>
      <w:r w:rsidR="00434B47">
        <w:rPr>
          <w:rFonts w:ascii="Arial" w:hAnsi="Arial" w:cs="Arial"/>
          <w:sz w:val="24"/>
          <w:szCs w:val="24"/>
        </w:rPr>
        <w:t>-</w:t>
      </w:r>
      <w:r w:rsidRPr="006B63FC">
        <w:rPr>
          <w:rFonts w:ascii="Arial" w:hAnsi="Arial" w:cs="Arial"/>
          <w:sz w:val="24"/>
          <w:szCs w:val="24"/>
        </w:rPr>
        <w:t>based violence</w:t>
      </w:r>
      <w:r w:rsidR="00434B47">
        <w:rPr>
          <w:rFonts w:ascii="Arial" w:hAnsi="Arial" w:cs="Arial"/>
          <w:sz w:val="24"/>
          <w:szCs w:val="24"/>
        </w:rPr>
        <w:t>,</w:t>
      </w:r>
      <w:r w:rsidRPr="006B63FC">
        <w:rPr>
          <w:rFonts w:ascii="Arial" w:hAnsi="Arial" w:cs="Arial"/>
          <w:sz w:val="24"/>
          <w:szCs w:val="24"/>
        </w:rPr>
        <w:t xml:space="preserve"> courts should not shy away from imposing the ultimate sentence in appropriate circumstances</w:t>
      </w:r>
      <w:r w:rsidR="00434B47">
        <w:rPr>
          <w:rFonts w:ascii="Arial" w:hAnsi="Arial" w:cs="Arial"/>
          <w:sz w:val="24"/>
          <w:szCs w:val="24"/>
        </w:rPr>
        <w:t>,</w:t>
      </w:r>
      <w:r w:rsidRPr="006B63FC">
        <w:rPr>
          <w:rFonts w:ascii="Arial" w:hAnsi="Arial" w:cs="Arial"/>
          <w:sz w:val="24"/>
          <w:szCs w:val="24"/>
        </w:rPr>
        <w:t xml:space="preserve"> such as in this case. With the onslaught of rape on children</w:t>
      </w:r>
      <w:r w:rsidR="00434B47">
        <w:rPr>
          <w:rFonts w:ascii="Arial" w:hAnsi="Arial" w:cs="Arial"/>
          <w:sz w:val="24"/>
          <w:szCs w:val="24"/>
        </w:rPr>
        <w:t>,</w:t>
      </w:r>
      <w:r w:rsidRPr="006B63FC">
        <w:rPr>
          <w:rFonts w:ascii="Arial" w:hAnsi="Arial" w:cs="Arial"/>
          <w:sz w:val="24"/>
          <w:szCs w:val="24"/>
        </w:rPr>
        <w:t xml:space="preserve"> destroying their lives forever, it cannot be ‘business as usual’</w:t>
      </w:r>
      <w:r w:rsidR="00434B47">
        <w:rPr>
          <w:rFonts w:ascii="Arial" w:hAnsi="Arial" w:cs="Arial"/>
          <w:sz w:val="24"/>
          <w:szCs w:val="24"/>
        </w:rPr>
        <w:t>.</w:t>
      </w:r>
      <w:r w:rsidRPr="006B63FC">
        <w:rPr>
          <w:rFonts w:ascii="Arial" w:hAnsi="Arial" w:cs="Arial"/>
          <w:sz w:val="24"/>
          <w:szCs w:val="24"/>
        </w:rPr>
        <w:t xml:space="preserve"> Courts should</w:t>
      </w:r>
      <w:r w:rsidR="00434B47">
        <w:rPr>
          <w:rFonts w:ascii="Arial" w:hAnsi="Arial" w:cs="Arial"/>
          <w:sz w:val="24"/>
          <w:szCs w:val="24"/>
        </w:rPr>
        <w:t>,</w:t>
      </w:r>
      <w:r w:rsidRPr="006B63FC">
        <w:rPr>
          <w:rFonts w:ascii="Arial" w:hAnsi="Arial" w:cs="Arial"/>
          <w:sz w:val="24"/>
          <w:szCs w:val="24"/>
        </w:rPr>
        <w:t xml:space="preserve"> through consistent sentencing of offenders who commit gender</w:t>
      </w:r>
      <w:r w:rsidR="00434B47">
        <w:rPr>
          <w:rFonts w:ascii="Arial" w:hAnsi="Arial" w:cs="Arial"/>
          <w:sz w:val="24"/>
          <w:szCs w:val="24"/>
        </w:rPr>
        <w:t>-</w:t>
      </w:r>
      <w:r w:rsidRPr="006B63FC">
        <w:rPr>
          <w:rFonts w:ascii="Arial" w:hAnsi="Arial" w:cs="Arial"/>
          <w:sz w:val="24"/>
          <w:szCs w:val="24"/>
        </w:rPr>
        <w:t>based violence against women and children, not retreat when duty calls to impose appropriate sentences</w:t>
      </w:r>
      <w:r w:rsidR="00434B47">
        <w:rPr>
          <w:rFonts w:ascii="Arial" w:hAnsi="Arial" w:cs="Arial"/>
          <w:sz w:val="24"/>
          <w:szCs w:val="24"/>
        </w:rPr>
        <w:t>,</w:t>
      </w:r>
      <w:r w:rsidRPr="006B63FC">
        <w:rPr>
          <w:rFonts w:ascii="Arial" w:hAnsi="Arial" w:cs="Arial"/>
          <w:sz w:val="24"/>
          <w:szCs w:val="24"/>
        </w:rPr>
        <w:t xml:space="preserve"> including prescribed minimum sentences. Reasons such as lack of physical injury, the inability of the perpetrator to control his sexual urges, the complainant (a child) was spared some of the horrors associated with oral rape</w:t>
      </w:r>
      <w:r w:rsidR="00434B47">
        <w:rPr>
          <w:rFonts w:ascii="Arial" w:hAnsi="Arial" w:cs="Arial"/>
          <w:sz w:val="24"/>
          <w:szCs w:val="24"/>
        </w:rPr>
        <w:t>,</w:t>
      </w:r>
      <w:r w:rsidRPr="006B63FC">
        <w:rPr>
          <w:rFonts w:ascii="Arial" w:hAnsi="Arial" w:cs="Arial"/>
          <w:sz w:val="24"/>
          <w:szCs w:val="24"/>
        </w:rPr>
        <w:t xml:space="preserve"> which amount to the acceptance of the real rape myth, the accused was drunk and fell asleep after the rape, the complainant accepted gifts (in this case</w:t>
      </w:r>
      <w:r w:rsidR="00434B47">
        <w:rPr>
          <w:rFonts w:ascii="Arial" w:hAnsi="Arial" w:cs="Arial"/>
          <w:sz w:val="24"/>
          <w:szCs w:val="24"/>
        </w:rPr>
        <w:t>,</w:t>
      </w:r>
      <w:r w:rsidRPr="006B63FC">
        <w:rPr>
          <w:rFonts w:ascii="Arial" w:hAnsi="Arial" w:cs="Arial"/>
          <w:sz w:val="24"/>
          <w:szCs w:val="24"/>
        </w:rPr>
        <w:t xml:space="preserve"> sweets) </w:t>
      </w:r>
      <w:r w:rsidR="00434B47">
        <w:rPr>
          <w:rFonts w:ascii="Arial" w:hAnsi="Arial" w:cs="Arial"/>
          <w:sz w:val="24"/>
          <w:szCs w:val="24"/>
        </w:rPr>
        <w:t>are</w:t>
      </w:r>
      <w:r w:rsidRPr="006B63FC">
        <w:rPr>
          <w:rFonts w:ascii="Arial" w:hAnsi="Arial" w:cs="Arial"/>
          <w:sz w:val="24"/>
          <w:szCs w:val="24"/>
        </w:rPr>
        <w:t xml:space="preserve"> an affront to what the victims of gender</w:t>
      </w:r>
      <w:r w:rsidR="00434B47">
        <w:rPr>
          <w:rFonts w:ascii="Arial" w:hAnsi="Arial" w:cs="Arial"/>
          <w:sz w:val="24"/>
          <w:szCs w:val="24"/>
        </w:rPr>
        <w:t>-</w:t>
      </w:r>
      <w:r w:rsidRPr="006B63FC">
        <w:rPr>
          <w:rFonts w:ascii="Arial" w:hAnsi="Arial" w:cs="Arial"/>
          <w:sz w:val="24"/>
          <w:szCs w:val="24"/>
        </w:rPr>
        <w:t>based violence</w:t>
      </w:r>
      <w:r w:rsidR="00434B47">
        <w:rPr>
          <w:rFonts w:ascii="Arial" w:hAnsi="Arial" w:cs="Arial"/>
          <w:sz w:val="24"/>
          <w:szCs w:val="24"/>
        </w:rPr>
        <w:t>,</w:t>
      </w:r>
      <w:r w:rsidRPr="006B63FC">
        <w:rPr>
          <w:rFonts w:ascii="Arial" w:hAnsi="Arial" w:cs="Arial"/>
          <w:sz w:val="24"/>
          <w:szCs w:val="24"/>
        </w:rPr>
        <w:t xml:space="preserve"> in particular rape</w:t>
      </w:r>
      <w:r w:rsidR="00434B47">
        <w:rPr>
          <w:rFonts w:ascii="Arial" w:hAnsi="Arial" w:cs="Arial"/>
          <w:sz w:val="24"/>
          <w:szCs w:val="24"/>
        </w:rPr>
        <w:t>,</w:t>
      </w:r>
      <w:r w:rsidRPr="006B63FC">
        <w:rPr>
          <w:rFonts w:ascii="Arial" w:hAnsi="Arial" w:cs="Arial"/>
          <w:sz w:val="24"/>
          <w:szCs w:val="24"/>
        </w:rPr>
        <w:t xml:space="preserve"> endure short and long term. And perpetuate the abuse of women and children by courts. When the Legislature has dealt some of the misogynistic myths a blow, courts should not be seen to resuscitate them by deviating from the prescribed sentences based on personal preferences of what is substantial and compelling and what is not. This will curb</w:t>
      </w:r>
      <w:r w:rsidR="00723E8B">
        <w:rPr>
          <w:rFonts w:ascii="Arial" w:hAnsi="Arial" w:cs="Arial"/>
          <w:sz w:val="24"/>
          <w:szCs w:val="24"/>
        </w:rPr>
        <w:t>,</w:t>
      </w:r>
      <w:r w:rsidRPr="006B63FC">
        <w:rPr>
          <w:rFonts w:ascii="Arial" w:hAnsi="Arial" w:cs="Arial"/>
          <w:sz w:val="24"/>
          <w:szCs w:val="24"/>
        </w:rPr>
        <w:t xml:space="preserve"> if not ultimately eradicate</w:t>
      </w:r>
      <w:r w:rsidR="00723E8B">
        <w:rPr>
          <w:rFonts w:ascii="Arial" w:hAnsi="Arial" w:cs="Arial"/>
          <w:sz w:val="24"/>
          <w:szCs w:val="24"/>
        </w:rPr>
        <w:t>,</w:t>
      </w:r>
      <w:r w:rsidRPr="006B63FC">
        <w:rPr>
          <w:rFonts w:ascii="Arial" w:hAnsi="Arial" w:cs="Arial"/>
          <w:sz w:val="24"/>
          <w:szCs w:val="24"/>
        </w:rPr>
        <w:t xml:space="preserve"> gender</w:t>
      </w:r>
      <w:r w:rsidR="00723E8B">
        <w:rPr>
          <w:rFonts w:ascii="Arial" w:hAnsi="Arial" w:cs="Arial"/>
          <w:sz w:val="24"/>
          <w:szCs w:val="24"/>
        </w:rPr>
        <w:t>-</w:t>
      </w:r>
      <w:r w:rsidRPr="006B63FC">
        <w:rPr>
          <w:rFonts w:ascii="Arial" w:hAnsi="Arial" w:cs="Arial"/>
          <w:sz w:val="24"/>
          <w:szCs w:val="24"/>
        </w:rPr>
        <w:t xml:space="preserve">based violence against </w:t>
      </w:r>
      <w:r w:rsidRPr="00723E8B">
        <w:rPr>
          <w:rFonts w:ascii="Arial" w:hAnsi="Arial" w:cs="Arial"/>
          <w:sz w:val="24"/>
          <w:szCs w:val="24"/>
        </w:rPr>
        <w:t>women and children and promote what Thomas Stoddard calls ‘culture shifting change’.</w:t>
      </w:r>
      <w:r w:rsidRPr="00723E8B">
        <w:rPr>
          <w:rFonts w:ascii="Arial" w:hAnsi="Arial" w:cs="Arial"/>
          <w:sz w:val="24"/>
          <w:szCs w:val="24"/>
          <w:vertAlign w:val="superscript"/>
        </w:rPr>
        <w:footnoteReference w:id="32"/>
      </w:r>
    </w:p>
    <w:p w14:paraId="1CA5FFBD" w14:textId="77777777" w:rsidR="006B63FC" w:rsidRPr="006B63FC" w:rsidRDefault="006B63FC" w:rsidP="006B63FC">
      <w:pPr>
        <w:pStyle w:val="ListParagraph"/>
        <w:spacing w:after="0" w:line="360" w:lineRule="auto"/>
        <w:ind w:left="0"/>
        <w:jc w:val="both"/>
        <w:rPr>
          <w:rFonts w:ascii="Arial" w:hAnsi="Arial" w:cs="Arial"/>
          <w:sz w:val="24"/>
          <w:szCs w:val="24"/>
        </w:rPr>
      </w:pPr>
    </w:p>
    <w:p w14:paraId="7E7D323D" w14:textId="75472244"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The message must be clear and consistent that this onslaught will not be countenanced in any democratic society which prides itself with values of respect for the dignity and life of others, especially the most vulnerable in society</w:t>
      </w:r>
      <w:r w:rsidR="00723E8B">
        <w:rPr>
          <w:rFonts w:ascii="Arial" w:hAnsi="Arial" w:cs="Arial"/>
          <w:sz w:val="24"/>
          <w:szCs w:val="24"/>
        </w:rPr>
        <w:t>:</w:t>
      </w:r>
      <w:r w:rsidRPr="006B63FC">
        <w:rPr>
          <w:rFonts w:ascii="Arial" w:hAnsi="Arial" w:cs="Arial"/>
          <w:sz w:val="24"/>
          <w:szCs w:val="24"/>
        </w:rPr>
        <w:t xml:space="preserve"> children. For these reasons, this Court is not at liberty to replace the sentence </w:t>
      </w:r>
      <w:r w:rsidR="00EB0431">
        <w:rPr>
          <w:rFonts w:ascii="Arial" w:hAnsi="Arial" w:cs="Arial"/>
          <w:sz w:val="24"/>
          <w:szCs w:val="24"/>
        </w:rPr>
        <w:t xml:space="preserve">that </w:t>
      </w:r>
      <w:r w:rsidRPr="006B63FC">
        <w:rPr>
          <w:rFonts w:ascii="Arial" w:hAnsi="Arial" w:cs="Arial"/>
          <w:sz w:val="24"/>
          <w:szCs w:val="24"/>
        </w:rPr>
        <w:t>the trial court imposed. For an uncle</w:t>
      </w:r>
      <w:r w:rsidR="00EB0431">
        <w:rPr>
          <w:rFonts w:ascii="Arial" w:hAnsi="Arial" w:cs="Arial"/>
          <w:sz w:val="24"/>
          <w:szCs w:val="24"/>
        </w:rPr>
        <w:t>,</w:t>
      </w:r>
      <w:r w:rsidRPr="006B63FC">
        <w:rPr>
          <w:rFonts w:ascii="Arial" w:hAnsi="Arial" w:cs="Arial"/>
          <w:sz w:val="24"/>
          <w:szCs w:val="24"/>
        </w:rPr>
        <w:t xml:space="preserve"> who is the position of trust just as a father</w:t>
      </w:r>
      <w:r w:rsidR="00A04147">
        <w:rPr>
          <w:rFonts w:ascii="Arial" w:hAnsi="Arial" w:cs="Arial"/>
          <w:sz w:val="24"/>
          <w:szCs w:val="24"/>
        </w:rPr>
        <w:t>,</w:t>
      </w:r>
      <w:r w:rsidRPr="006B63FC">
        <w:rPr>
          <w:rFonts w:ascii="Arial" w:hAnsi="Arial" w:cs="Arial"/>
          <w:sz w:val="24"/>
          <w:szCs w:val="24"/>
        </w:rPr>
        <w:t xml:space="preserve"> to rape his own niece is </w:t>
      </w:r>
      <w:r w:rsidR="00A04147">
        <w:rPr>
          <w:rFonts w:ascii="Arial" w:hAnsi="Arial" w:cs="Arial"/>
          <w:sz w:val="24"/>
          <w:szCs w:val="24"/>
        </w:rPr>
        <w:t>unconscionable</w:t>
      </w:r>
      <w:r w:rsidRPr="006B63FC">
        <w:rPr>
          <w:rFonts w:ascii="Arial" w:hAnsi="Arial" w:cs="Arial"/>
          <w:sz w:val="24"/>
          <w:szCs w:val="24"/>
        </w:rPr>
        <w:t xml:space="preserve"> and deserves no other censure than that imposed by the trial court</w:t>
      </w:r>
      <w:r w:rsidR="00A04147">
        <w:rPr>
          <w:rFonts w:ascii="Arial" w:hAnsi="Arial" w:cs="Arial"/>
          <w:sz w:val="24"/>
          <w:szCs w:val="24"/>
        </w:rPr>
        <w:t>: life imprisonment.</w:t>
      </w:r>
      <w:r w:rsidRPr="006B63FC">
        <w:rPr>
          <w:rFonts w:ascii="Arial" w:hAnsi="Arial" w:cs="Arial"/>
          <w:sz w:val="24"/>
          <w:szCs w:val="24"/>
        </w:rPr>
        <w:t xml:space="preserve"> The sentence is not disproportionate to the serious offence</w:t>
      </w:r>
      <w:r w:rsidR="00EB0431">
        <w:rPr>
          <w:rFonts w:ascii="Arial" w:hAnsi="Arial" w:cs="Arial"/>
          <w:sz w:val="24"/>
          <w:szCs w:val="24"/>
        </w:rPr>
        <w:t xml:space="preserve"> that</w:t>
      </w:r>
      <w:r w:rsidRPr="006B63FC">
        <w:rPr>
          <w:rFonts w:ascii="Arial" w:hAnsi="Arial" w:cs="Arial"/>
          <w:sz w:val="24"/>
          <w:szCs w:val="24"/>
        </w:rPr>
        <w:t xml:space="preserve"> the appellant committed on a 9-year-old child, his niece. The sentence is</w:t>
      </w:r>
      <w:r w:rsidR="00A04147">
        <w:rPr>
          <w:rFonts w:ascii="Arial" w:hAnsi="Arial" w:cs="Arial"/>
          <w:sz w:val="24"/>
          <w:szCs w:val="24"/>
        </w:rPr>
        <w:t>, thus,</w:t>
      </w:r>
      <w:r w:rsidRPr="006B63FC">
        <w:rPr>
          <w:rFonts w:ascii="Arial" w:hAnsi="Arial" w:cs="Arial"/>
          <w:sz w:val="24"/>
          <w:szCs w:val="24"/>
        </w:rPr>
        <w:t xml:space="preserve"> justified in the circumstances.</w:t>
      </w:r>
    </w:p>
    <w:p w14:paraId="360E520A" w14:textId="77777777" w:rsidR="006B63FC" w:rsidRPr="006B63FC" w:rsidRDefault="006B63FC" w:rsidP="006B63FC">
      <w:pPr>
        <w:pStyle w:val="ListParagraph"/>
        <w:spacing w:after="0" w:line="360" w:lineRule="auto"/>
        <w:jc w:val="both"/>
        <w:rPr>
          <w:rFonts w:ascii="Arial" w:hAnsi="Arial" w:cs="Arial"/>
          <w:sz w:val="24"/>
          <w:szCs w:val="24"/>
        </w:rPr>
      </w:pPr>
    </w:p>
    <w:p w14:paraId="4971AEF3" w14:textId="2951DF87"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lastRenderedPageBreak/>
        <w:t xml:space="preserve">It would be remiss of me if I do not raise a concern </w:t>
      </w:r>
      <w:r w:rsidR="00EB0431">
        <w:rPr>
          <w:rFonts w:ascii="Arial" w:hAnsi="Arial" w:cs="Arial"/>
          <w:sz w:val="24"/>
          <w:szCs w:val="24"/>
        </w:rPr>
        <w:t xml:space="preserve">that </w:t>
      </w:r>
      <w:r w:rsidRPr="006B63FC">
        <w:rPr>
          <w:rFonts w:ascii="Arial" w:hAnsi="Arial" w:cs="Arial"/>
          <w:sz w:val="24"/>
          <w:szCs w:val="24"/>
        </w:rPr>
        <w:t>I had in this appeal</w:t>
      </w:r>
      <w:r w:rsidR="00EB0431">
        <w:rPr>
          <w:rFonts w:ascii="Arial" w:hAnsi="Arial" w:cs="Arial"/>
          <w:sz w:val="24"/>
          <w:szCs w:val="24"/>
        </w:rPr>
        <w:t>,</w:t>
      </w:r>
      <w:r w:rsidRPr="006B63FC">
        <w:rPr>
          <w:rFonts w:ascii="Arial" w:hAnsi="Arial" w:cs="Arial"/>
          <w:sz w:val="24"/>
          <w:szCs w:val="24"/>
        </w:rPr>
        <w:t xml:space="preserve"> although not pertinent to the disposal of the appeal</w:t>
      </w:r>
      <w:r w:rsidR="00EB0431">
        <w:rPr>
          <w:rFonts w:ascii="Arial" w:hAnsi="Arial" w:cs="Arial"/>
          <w:sz w:val="24"/>
          <w:szCs w:val="24"/>
        </w:rPr>
        <w:t>.</w:t>
      </w:r>
      <w:r w:rsidRPr="006B63FC">
        <w:rPr>
          <w:rFonts w:ascii="Arial" w:hAnsi="Arial" w:cs="Arial"/>
          <w:sz w:val="24"/>
          <w:szCs w:val="24"/>
        </w:rPr>
        <w:t xml:space="preserve"> </w:t>
      </w:r>
      <w:r w:rsidR="00EB0431">
        <w:rPr>
          <w:rFonts w:ascii="Arial" w:hAnsi="Arial" w:cs="Arial"/>
          <w:sz w:val="24"/>
          <w:szCs w:val="24"/>
        </w:rPr>
        <w:t>The</w:t>
      </w:r>
      <w:r w:rsidRPr="006B63FC">
        <w:rPr>
          <w:rFonts w:ascii="Arial" w:hAnsi="Arial" w:cs="Arial"/>
          <w:sz w:val="24"/>
          <w:szCs w:val="24"/>
        </w:rPr>
        <w:t xml:space="preserve"> clear discrepancy between the J88 </w:t>
      </w:r>
      <w:r w:rsidR="00EB0431">
        <w:rPr>
          <w:rFonts w:ascii="Arial" w:hAnsi="Arial" w:cs="Arial"/>
          <w:sz w:val="24"/>
          <w:szCs w:val="24"/>
        </w:rPr>
        <w:t xml:space="preserve">form </w:t>
      </w:r>
      <w:r w:rsidRPr="006B63FC">
        <w:rPr>
          <w:rFonts w:ascii="Arial" w:hAnsi="Arial" w:cs="Arial"/>
          <w:sz w:val="24"/>
          <w:szCs w:val="24"/>
        </w:rPr>
        <w:t xml:space="preserve">and the statements of the witnesses as well as their evidence-in-chief </w:t>
      </w:r>
      <w:r w:rsidR="00EB0431">
        <w:rPr>
          <w:rFonts w:ascii="Arial" w:hAnsi="Arial" w:cs="Arial"/>
          <w:sz w:val="24"/>
          <w:szCs w:val="24"/>
        </w:rPr>
        <w:t>was</w:t>
      </w:r>
      <w:r w:rsidRPr="006B63FC">
        <w:rPr>
          <w:rFonts w:ascii="Arial" w:hAnsi="Arial" w:cs="Arial"/>
          <w:sz w:val="24"/>
          <w:szCs w:val="24"/>
        </w:rPr>
        <w:t xml:space="preserve"> </w:t>
      </w:r>
      <w:r w:rsidR="00EB0431">
        <w:rPr>
          <w:rFonts w:ascii="Arial" w:hAnsi="Arial" w:cs="Arial"/>
          <w:sz w:val="24"/>
          <w:szCs w:val="24"/>
        </w:rPr>
        <w:t xml:space="preserve">just </w:t>
      </w:r>
      <w:r w:rsidRPr="006B63FC">
        <w:rPr>
          <w:rFonts w:ascii="Arial" w:hAnsi="Arial" w:cs="Arial"/>
          <w:sz w:val="24"/>
          <w:szCs w:val="24"/>
        </w:rPr>
        <w:t>swept under the carpet. Linked to that, on one hand, the responsibility of the prosecutor(s) to address the defect</w:t>
      </w:r>
      <w:r w:rsidR="00EB0431">
        <w:rPr>
          <w:rFonts w:ascii="Arial" w:hAnsi="Arial" w:cs="Arial"/>
          <w:sz w:val="24"/>
          <w:szCs w:val="24"/>
        </w:rPr>
        <w:t>, and,</w:t>
      </w:r>
      <w:r w:rsidRPr="006B63FC">
        <w:rPr>
          <w:rFonts w:ascii="Arial" w:hAnsi="Arial" w:cs="Arial"/>
          <w:sz w:val="24"/>
          <w:szCs w:val="24"/>
        </w:rPr>
        <w:t xml:space="preserve"> on the other hand, the responsibility of the court(s) to address the same when assessing evidence. Where there is a clear discrepancy between the dates mentioned in the charge sheet or indictment, the J88 </w:t>
      </w:r>
      <w:r w:rsidR="00EB0431">
        <w:rPr>
          <w:rFonts w:ascii="Arial" w:hAnsi="Arial" w:cs="Arial"/>
          <w:sz w:val="24"/>
          <w:szCs w:val="24"/>
        </w:rPr>
        <w:t xml:space="preserve">form </w:t>
      </w:r>
      <w:r w:rsidRPr="006B63FC">
        <w:rPr>
          <w:rFonts w:ascii="Arial" w:hAnsi="Arial" w:cs="Arial"/>
          <w:sz w:val="24"/>
          <w:szCs w:val="24"/>
        </w:rPr>
        <w:t>(as in this case) and the evidence relied upon by the State, the prosecutor(s) must address the defect at the relevant stages of the trial. Sections 86,</w:t>
      </w:r>
      <w:r w:rsidR="00EB0431">
        <w:rPr>
          <w:rFonts w:ascii="Arial" w:hAnsi="Arial" w:cs="Arial"/>
          <w:sz w:val="24"/>
          <w:szCs w:val="24"/>
        </w:rPr>
        <w:t xml:space="preserve"> </w:t>
      </w:r>
      <w:r w:rsidRPr="006B63FC">
        <w:rPr>
          <w:rFonts w:ascii="Arial" w:hAnsi="Arial" w:cs="Arial"/>
          <w:sz w:val="24"/>
          <w:szCs w:val="24"/>
        </w:rPr>
        <w:t xml:space="preserve">88 and 270 of the CPA make provision for this anomaly. This gives the defence the opportunity to address the anomaly adequately. </w:t>
      </w:r>
      <w:r w:rsidR="001F4BEB" w:rsidRPr="00877039">
        <w:rPr>
          <w:rFonts w:ascii="Arial" w:hAnsi="Arial" w:cs="Arial"/>
          <w:color w:val="000000" w:themeColor="text1"/>
          <w:sz w:val="24"/>
          <w:szCs w:val="24"/>
        </w:rPr>
        <w:t xml:space="preserve">And the trial court to include it in its assessment of the evidence to come to the conclusion </w:t>
      </w:r>
      <w:r w:rsidR="006A2BCF" w:rsidRPr="00877039">
        <w:rPr>
          <w:rFonts w:ascii="Arial" w:hAnsi="Arial" w:cs="Arial"/>
          <w:color w:val="000000" w:themeColor="text1"/>
          <w:sz w:val="24"/>
          <w:szCs w:val="24"/>
        </w:rPr>
        <w:t xml:space="preserve">of </w:t>
      </w:r>
      <w:r w:rsidR="001F4BEB" w:rsidRPr="00877039">
        <w:rPr>
          <w:rFonts w:ascii="Arial" w:hAnsi="Arial" w:cs="Arial"/>
          <w:color w:val="000000" w:themeColor="text1"/>
          <w:sz w:val="24"/>
          <w:szCs w:val="24"/>
        </w:rPr>
        <w:t xml:space="preserve">whether the accused person is guilty or not. </w:t>
      </w:r>
      <w:r w:rsidRPr="006B63FC">
        <w:rPr>
          <w:rFonts w:ascii="Arial" w:hAnsi="Arial" w:cs="Arial"/>
          <w:sz w:val="24"/>
          <w:szCs w:val="24"/>
        </w:rPr>
        <w:t>The test is always the prejudice</w:t>
      </w:r>
      <w:r w:rsidR="00EB0431">
        <w:rPr>
          <w:rFonts w:ascii="Arial" w:hAnsi="Arial" w:cs="Arial"/>
          <w:sz w:val="24"/>
          <w:szCs w:val="24"/>
        </w:rPr>
        <w:t xml:space="preserve"> that</w:t>
      </w:r>
      <w:r w:rsidRPr="006B63FC">
        <w:rPr>
          <w:rFonts w:ascii="Arial" w:hAnsi="Arial" w:cs="Arial"/>
          <w:sz w:val="24"/>
          <w:szCs w:val="24"/>
        </w:rPr>
        <w:t xml:space="preserve"> the accused may suffer in his defence.</w:t>
      </w:r>
    </w:p>
    <w:p w14:paraId="5A5106E7" w14:textId="77777777" w:rsidR="006B63FC" w:rsidRPr="006B63FC" w:rsidRDefault="006B63FC" w:rsidP="006B63FC">
      <w:pPr>
        <w:pStyle w:val="ListParagraph"/>
        <w:spacing w:after="0" w:line="360" w:lineRule="auto"/>
        <w:jc w:val="both"/>
        <w:rPr>
          <w:rFonts w:ascii="Arial" w:hAnsi="Arial" w:cs="Arial"/>
          <w:sz w:val="24"/>
          <w:szCs w:val="24"/>
        </w:rPr>
      </w:pPr>
    </w:p>
    <w:p w14:paraId="378FAE02" w14:textId="12B31A15" w:rsidR="009C40B8" w:rsidRPr="006B63FC" w:rsidRDefault="009C40B8" w:rsidP="006B63FC">
      <w:pPr>
        <w:pStyle w:val="ListParagraph"/>
        <w:numPr>
          <w:ilvl w:val="0"/>
          <w:numId w:val="14"/>
        </w:numPr>
        <w:spacing w:after="0" w:line="360" w:lineRule="auto"/>
        <w:ind w:left="0" w:firstLine="0"/>
        <w:jc w:val="both"/>
        <w:rPr>
          <w:rFonts w:ascii="Arial" w:hAnsi="Arial" w:cs="Arial"/>
          <w:sz w:val="24"/>
          <w:szCs w:val="24"/>
        </w:rPr>
      </w:pPr>
      <w:r w:rsidRPr="006B63FC">
        <w:rPr>
          <w:rFonts w:ascii="Arial" w:hAnsi="Arial" w:cs="Arial"/>
          <w:sz w:val="24"/>
          <w:szCs w:val="24"/>
        </w:rPr>
        <w:t>In the result, the following order is granted:</w:t>
      </w:r>
    </w:p>
    <w:p w14:paraId="1E13590C" w14:textId="4888F4A8" w:rsidR="009C40B8" w:rsidRDefault="009C40B8" w:rsidP="006B63FC">
      <w:pPr>
        <w:spacing w:after="0" w:line="360" w:lineRule="auto"/>
        <w:jc w:val="both"/>
        <w:rPr>
          <w:rFonts w:ascii="Arial" w:hAnsi="Arial" w:cs="Arial"/>
          <w:sz w:val="24"/>
          <w:szCs w:val="24"/>
        </w:rPr>
      </w:pPr>
      <w:r w:rsidRPr="006B63FC">
        <w:rPr>
          <w:rFonts w:ascii="Arial" w:hAnsi="Arial" w:cs="Arial"/>
          <w:sz w:val="24"/>
          <w:szCs w:val="24"/>
        </w:rPr>
        <w:t>The appeal against the conviction and sentence is dismissed.</w:t>
      </w:r>
    </w:p>
    <w:p w14:paraId="491EBDC1" w14:textId="43E686A5" w:rsidR="00FE51D6" w:rsidRDefault="00FE51D6" w:rsidP="006B63FC">
      <w:pPr>
        <w:spacing w:after="0" w:line="360" w:lineRule="auto"/>
        <w:jc w:val="both"/>
        <w:rPr>
          <w:rFonts w:ascii="Arial" w:hAnsi="Arial" w:cs="Arial"/>
          <w:sz w:val="24"/>
          <w:szCs w:val="24"/>
        </w:rPr>
      </w:pPr>
    </w:p>
    <w:p w14:paraId="7DC84141" w14:textId="77777777" w:rsidR="00FE51D6" w:rsidRPr="006B63FC" w:rsidRDefault="00FE51D6" w:rsidP="006B63FC">
      <w:pPr>
        <w:spacing w:after="0" w:line="360" w:lineRule="auto"/>
        <w:jc w:val="both"/>
        <w:rPr>
          <w:rFonts w:ascii="Arial" w:hAnsi="Arial" w:cs="Arial"/>
          <w:sz w:val="24"/>
          <w:szCs w:val="24"/>
        </w:rPr>
      </w:pPr>
    </w:p>
    <w:p w14:paraId="64A0D6DC" w14:textId="08FAEF43" w:rsidR="009C40B8" w:rsidRPr="006B63FC" w:rsidRDefault="009C40B8" w:rsidP="006B63FC">
      <w:pPr>
        <w:spacing w:after="0" w:line="360" w:lineRule="auto"/>
        <w:jc w:val="both"/>
        <w:rPr>
          <w:rFonts w:ascii="Arial" w:hAnsi="Arial" w:cs="Arial"/>
          <w:sz w:val="24"/>
          <w:szCs w:val="24"/>
        </w:rPr>
      </w:pPr>
    </w:p>
    <w:p w14:paraId="095F98E8" w14:textId="741DFCAE" w:rsidR="009C40B8" w:rsidRPr="006B63FC" w:rsidRDefault="003F3CD6" w:rsidP="006B63FC">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14:paraId="3379ADBC" w14:textId="77777777" w:rsidR="009C40B8" w:rsidRPr="006B63FC" w:rsidRDefault="009C40B8" w:rsidP="006B63FC">
      <w:pPr>
        <w:spacing w:after="0" w:line="360" w:lineRule="auto"/>
        <w:jc w:val="right"/>
        <w:rPr>
          <w:rFonts w:ascii="Arial" w:hAnsi="Arial" w:cs="Arial"/>
          <w:sz w:val="24"/>
          <w:szCs w:val="24"/>
        </w:rPr>
      </w:pPr>
      <w:r w:rsidRPr="006B63FC">
        <w:rPr>
          <w:rFonts w:ascii="Arial" w:hAnsi="Arial" w:cs="Arial"/>
          <w:sz w:val="24"/>
          <w:szCs w:val="24"/>
        </w:rPr>
        <w:tab/>
      </w:r>
      <w:r w:rsidRPr="006B63FC">
        <w:rPr>
          <w:rFonts w:ascii="Arial" w:hAnsi="Arial" w:cs="Arial"/>
          <w:sz w:val="24"/>
          <w:szCs w:val="24"/>
        </w:rPr>
        <w:tab/>
      </w:r>
      <w:r w:rsidRPr="006B63FC">
        <w:rPr>
          <w:rFonts w:ascii="Arial" w:hAnsi="Arial" w:cs="Arial"/>
          <w:sz w:val="24"/>
          <w:szCs w:val="24"/>
        </w:rPr>
        <w:tab/>
      </w:r>
      <w:r w:rsidRPr="006B63FC">
        <w:rPr>
          <w:rFonts w:ascii="Arial" w:hAnsi="Arial" w:cs="Arial"/>
          <w:sz w:val="24"/>
          <w:szCs w:val="24"/>
        </w:rPr>
        <w:tab/>
      </w:r>
      <w:r w:rsidRPr="006B63FC">
        <w:rPr>
          <w:rFonts w:ascii="Arial" w:hAnsi="Arial" w:cs="Arial"/>
          <w:sz w:val="24"/>
          <w:szCs w:val="24"/>
        </w:rPr>
        <w:tab/>
      </w:r>
      <w:r w:rsidRPr="006B63FC">
        <w:rPr>
          <w:rFonts w:ascii="Arial" w:hAnsi="Arial" w:cs="Arial"/>
          <w:sz w:val="24"/>
          <w:szCs w:val="24"/>
        </w:rPr>
        <w:tab/>
      </w:r>
      <w:r w:rsidRPr="006B63FC">
        <w:rPr>
          <w:rFonts w:ascii="Arial" w:hAnsi="Arial" w:cs="Arial"/>
          <w:sz w:val="24"/>
          <w:szCs w:val="24"/>
        </w:rPr>
        <w:tab/>
      </w:r>
      <w:r w:rsidRPr="006B63FC">
        <w:rPr>
          <w:rFonts w:ascii="Arial" w:hAnsi="Arial" w:cs="Arial"/>
          <w:sz w:val="24"/>
          <w:szCs w:val="24"/>
        </w:rPr>
        <w:tab/>
        <w:t xml:space="preserve"> </w:t>
      </w:r>
      <w:r w:rsidRPr="006B63FC">
        <w:rPr>
          <w:rFonts w:ascii="Arial" w:hAnsi="Arial" w:cs="Arial"/>
          <w:sz w:val="24"/>
          <w:szCs w:val="24"/>
        </w:rPr>
        <w:tab/>
        <w:t xml:space="preserve">             B C MOCUMIE</w:t>
      </w:r>
    </w:p>
    <w:p w14:paraId="61729B25" w14:textId="7035D61F" w:rsidR="009C40B8" w:rsidRPr="006B63FC" w:rsidRDefault="009C40B8" w:rsidP="003F3CD6">
      <w:pPr>
        <w:spacing w:after="0" w:line="360" w:lineRule="auto"/>
        <w:jc w:val="right"/>
        <w:rPr>
          <w:rFonts w:ascii="Arial" w:hAnsi="Arial" w:cs="Arial"/>
          <w:sz w:val="24"/>
          <w:szCs w:val="24"/>
        </w:rPr>
      </w:pPr>
      <w:r w:rsidRPr="006B63FC">
        <w:rPr>
          <w:rFonts w:ascii="Arial" w:hAnsi="Arial" w:cs="Arial"/>
          <w:sz w:val="24"/>
          <w:szCs w:val="24"/>
        </w:rPr>
        <w:t xml:space="preserve">                          JUDGE OF APPEAL</w:t>
      </w:r>
    </w:p>
    <w:p w14:paraId="1586EAFC" w14:textId="77777777" w:rsidR="00650287" w:rsidRDefault="00650287" w:rsidP="006B63FC">
      <w:pPr>
        <w:spacing w:after="0" w:line="360" w:lineRule="auto"/>
        <w:jc w:val="both"/>
        <w:rPr>
          <w:rFonts w:ascii="Arial" w:hAnsi="Arial" w:cs="Arial"/>
          <w:sz w:val="24"/>
          <w:szCs w:val="24"/>
        </w:rPr>
      </w:pPr>
    </w:p>
    <w:p w14:paraId="1B1A6479" w14:textId="77777777" w:rsidR="00650287" w:rsidRDefault="00650287" w:rsidP="006B63FC">
      <w:pPr>
        <w:spacing w:after="0" w:line="360" w:lineRule="auto"/>
        <w:jc w:val="both"/>
        <w:rPr>
          <w:rFonts w:ascii="Arial" w:hAnsi="Arial" w:cs="Arial"/>
          <w:sz w:val="24"/>
          <w:szCs w:val="24"/>
        </w:rPr>
      </w:pPr>
    </w:p>
    <w:p w14:paraId="26FB7F5F" w14:textId="77777777" w:rsidR="00650287" w:rsidRDefault="00650287" w:rsidP="006B63FC">
      <w:pPr>
        <w:spacing w:after="0" w:line="360" w:lineRule="auto"/>
        <w:jc w:val="both"/>
        <w:rPr>
          <w:rFonts w:ascii="Arial" w:hAnsi="Arial" w:cs="Arial"/>
          <w:sz w:val="24"/>
          <w:szCs w:val="24"/>
        </w:rPr>
      </w:pPr>
    </w:p>
    <w:p w14:paraId="64F6215C" w14:textId="77777777" w:rsidR="001439E9" w:rsidRDefault="001439E9">
      <w:pPr>
        <w:rPr>
          <w:rFonts w:ascii="Arial" w:hAnsi="Arial" w:cs="Arial"/>
          <w:sz w:val="24"/>
          <w:szCs w:val="24"/>
        </w:rPr>
      </w:pPr>
      <w:r>
        <w:rPr>
          <w:rFonts w:ascii="Arial" w:hAnsi="Arial" w:cs="Arial"/>
          <w:sz w:val="24"/>
          <w:szCs w:val="24"/>
        </w:rPr>
        <w:br w:type="page"/>
      </w:r>
    </w:p>
    <w:p w14:paraId="77291521" w14:textId="7C3DABD6" w:rsidR="009C40B8" w:rsidRPr="006B63FC" w:rsidRDefault="006B63FC" w:rsidP="006B63FC">
      <w:pPr>
        <w:spacing w:after="0" w:line="360" w:lineRule="auto"/>
        <w:jc w:val="both"/>
        <w:rPr>
          <w:rFonts w:ascii="Arial" w:hAnsi="Arial" w:cs="Arial"/>
          <w:sz w:val="24"/>
          <w:szCs w:val="24"/>
        </w:rPr>
      </w:pPr>
      <w:r>
        <w:rPr>
          <w:rFonts w:ascii="Arial" w:hAnsi="Arial" w:cs="Arial"/>
          <w:sz w:val="24"/>
          <w:szCs w:val="24"/>
        </w:rPr>
        <w:lastRenderedPageBreak/>
        <w:t>Appearances</w:t>
      </w:r>
    </w:p>
    <w:p w14:paraId="7E1C8E18" w14:textId="77777777" w:rsidR="009C40B8" w:rsidRPr="006B63FC" w:rsidRDefault="009C40B8" w:rsidP="006B63FC">
      <w:pPr>
        <w:spacing w:after="0" w:line="360" w:lineRule="auto"/>
        <w:jc w:val="both"/>
        <w:rPr>
          <w:rFonts w:ascii="Arial" w:hAnsi="Arial" w:cs="Arial"/>
          <w:sz w:val="24"/>
          <w:szCs w:val="24"/>
        </w:rPr>
      </w:pPr>
    </w:p>
    <w:p w14:paraId="28841958" w14:textId="2EDE1700" w:rsidR="009C40B8" w:rsidRPr="006B63FC" w:rsidRDefault="009C40B8" w:rsidP="006B63FC">
      <w:pPr>
        <w:spacing w:after="0" w:line="360" w:lineRule="auto"/>
        <w:jc w:val="both"/>
        <w:rPr>
          <w:rFonts w:ascii="Arial" w:hAnsi="Arial" w:cs="Arial"/>
          <w:sz w:val="24"/>
          <w:szCs w:val="24"/>
        </w:rPr>
      </w:pPr>
      <w:r w:rsidRPr="006B63FC">
        <w:rPr>
          <w:rFonts w:ascii="Arial" w:hAnsi="Arial" w:cs="Arial"/>
          <w:sz w:val="24"/>
          <w:szCs w:val="24"/>
        </w:rPr>
        <w:t xml:space="preserve">For </w:t>
      </w:r>
      <w:r w:rsidR="006B63FC">
        <w:rPr>
          <w:rFonts w:ascii="Arial" w:hAnsi="Arial" w:cs="Arial"/>
          <w:sz w:val="24"/>
          <w:szCs w:val="24"/>
        </w:rPr>
        <w:t xml:space="preserve">the </w:t>
      </w:r>
      <w:r w:rsidRPr="006B63FC">
        <w:rPr>
          <w:rFonts w:ascii="Arial" w:hAnsi="Arial" w:cs="Arial"/>
          <w:sz w:val="24"/>
          <w:szCs w:val="24"/>
        </w:rPr>
        <w:t>appellant:</w:t>
      </w:r>
      <w:r w:rsidRPr="006B63FC">
        <w:rPr>
          <w:rFonts w:ascii="Arial" w:hAnsi="Arial" w:cs="Arial"/>
          <w:sz w:val="24"/>
          <w:szCs w:val="24"/>
        </w:rPr>
        <w:tab/>
      </w:r>
      <w:r w:rsidR="006B63FC">
        <w:rPr>
          <w:rFonts w:ascii="Arial" w:hAnsi="Arial" w:cs="Arial"/>
          <w:sz w:val="24"/>
          <w:szCs w:val="24"/>
        </w:rPr>
        <w:tab/>
      </w:r>
      <w:r w:rsidRPr="006B63FC">
        <w:rPr>
          <w:rFonts w:ascii="Arial" w:hAnsi="Arial" w:cs="Arial"/>
          <w:sz w:val="24"/>
          <w:szCs w:val="24"/>
        </w:rPr>
        <w:t>L M Manzini</w:t>
      </w:r>
    </w:p>
    <w:p w14:paraId="6ECD0AB9" w14:textId="113E7A8B" w:rsidR="009C40B8" w:rsidRPr="006B63FC" w:rsidRDefault="009C40B8" w:rsidP="006B63FC">
      <w:pPr>
        <w:spacing w:after="0" w:line="360" w:lineRule="auto"/>
        <w:jc w:val="both"/>
        <w:rPr>
          <w:rFonts w:ascii="Arial" w:hAnsi="Arial" w:cs="Arial"/>
          <w:sz w:val="24"/>
          <w:szCs w:val="24"/>
        </w:rPr>
      </w:pPr>
      <w:r w:rsidRPr="006B63FC">
        <w:rPr>
          <w:rFonts w:ascii="Arial" w:hAnsi="Arial" w:cs="Arial"/>
          <w:sz w:val="24"/>
          <w:szCs w:val="24"/>
        </w:rPr>
        <w:t>Instructed by:</w:t>
      </w:r>
      <w:r w:rsidRPr="006B63FC">
        <w:rPr>
          <w:rFonts w:ascii="Arial" w:hAnsi="Arial" w:cs="Arial"/>
          <w:sz w:val="24"/>
          <w:szCs w:val="24"/>
        </w:rPr>
        <w:tab/>
      </w:r>
      <w:r w:rsidR="006B63FC">
        <w:rPr>
          <w:rFonts w:ascii="Arial" w:hAnsi="Arial" w:cs="Arial"/>
          <w:sz w:val="24"/>
          <w:szCs w:val="24"/>
        </w:rPr>
        <w:tab/>
      </w:r>
      <w:r w:rsidRPr="006B63FC">
        <w:rPr>
          <w:rFonts w:ascii="Arial" w:hAnsi="Arial" w:cs="Arial"/>
          <w:sz w:val="24"/>
          <w:szCs w:val="24"/>
        </w:rPr>
        <w:t xml:space="preserve">Legal Aid South Africa, Polokwane </w:t>
      </w:r>
    </w:p>
    <w:p w14:paraId="4B215F88" w14:textId="24EFE344" w:rsidR="009C40B8" w:rsidRPr="006B63FC" w:rsidRDefault="009C40B8" w:rsidP="006B63FC">
      <w:pPr>
        <w:spacing w:after="0" w:line="360" w:lineRule="auto"/>
        <w:jc w:val="both"/>
        <w:rPr>
          <w:rFonts w:ascii="Arial" w:hAnsi="Arial" w:cs="Arial"/>
          <w:sz w:val="24"/>
          <w:szCs w:val="24"/>
        </w:rPr>
      </w:pPr>
      <w:r w:rsidRPr="006B63FC">
        <w:rPr>
          <w:rFonts w:ascii="Arial" w:hAnsi="Arial" w:cs="Arial"/>
          <w:sz w:val="24"/>
          <w:szCs w:val="24"/>
        </w:rPr>
        <w:tab/>
      </w:r>
      <w:r w:rsidRPr="006B63FC">
        <w:rPr>
          <w:rFonts w:ascii="Arial" w:hAnsi="Arial" w:cs="Arial"/>
          <w:sz w:val="24"/>
          <w:szCs w:val="24"/>
        </w:rPr>
        <w:tab/>
      </w:r>
      <w:r w:rsidRPr="006B63FC">
        <w:rPr>
          <w:rFonts w:ascii="Arial" w:hAnsi="Arial" w:cs="Arial"/>
          <w:sz w:val="24"/>
          <w:szCs w:val="24"/>
        </w:rPr>
        <w:tab/>
      </w:r>
      <w:r w:rsidR="006B63FC">
        <w:rPr>
          <w:rFonts w:ascii="Arial" w:hAnsi="Arial" w:cs="Arial"/>
          <w:sz w:val="24"/>
          <w:szCs w:val="24"/>
        </w:rPr>
        <w:tab/>
      </w:r>
      <w:r w:rsidRPr="006B63FC">
        <w:rPr>
          <w:rFonts w:ascii="Arial" w:hAnsi="Arial" w:cs="Arial"/>
          <w:sz w:val="24"/>
          <w:szCs w:val="24"/>
        </w:rPr>
        <w:t xml:space="preserve">Legal Aid South Africa, Bloemfontein </w:t>
      </w:r>
    </w:p>
    <w:p w14:paraId="5A5AB5DA" w14:textId="77777777" w:rsidR="009C40B8" w:rsidRPr="006B63FC" w:rsidRDefault="009C40B8" w:rsidP="006B63FC">
      <w:pPr>
        <w:spacing w:after="0" w:line="360" w:lineRule="auto"/>
        <w:jc w:val="both"/>
        <w:rPr>
          <w:rFonts w:ascii="Arial" w:hAnsi="Arial" w:cs="Arial"/>
          <w:sz w:val="24"/>
          <w:szCs w:val="24"/>
        </w:rPr>
      </w:pPr>
    </w:p>
    <w:p w14:paraId="64FF570B" w14:textId="47ABFAFA" w:rsidR="009C40B8" w:rsidRPr="006B63FC" w:rsidRDefault="009C40B8" w:rsidP="006B63FC">
      <w:pPr>
        <w:spacing w:after="0" w:line="360" w:lineRule="auto"/>
        <w:jc w:val="both"/>
        <w:rPr>
          <w:rFonts w:ascii="Arial" w:hAnsi="Arial" w:cs="Arial"/>
          <w:sz w:val="24"/>
          <w:szCs w:val="24"/>
        </w:rPr>
      </w:pPr>
      <w:r w:rsidRPr="006B63FC">
        <w:rPr>
          <w:rFonts w:ascii="Arial" w:hAnsi="Arial" w:cs="Arial"/>
          <w:sz w:val="24"/>
          <w:szCs w:val="24"/>
        </w:rPr>
        <w:t xml:space="preserve">For </w:t>
      </w:r>
      <w:r w:rsidR="006B63FC">
        <w:rPr>
          <w:rFonts w:ascii="Arial" w:hAnsi="Arial" w:cs="Arial"/>
          <w:sz w:val="24"/>
          <w:szCs w:val="24"/>
        </w:rPr>
        <w:t xml:space="preserve">the </w:t>
      </w:r>
      <w:r w:rsidRPr="006B63FC">
        <w:rPr>
          <w:rFonts w:ascii="Arial" w:hAnsi="Arial" w:cs="Arial"/>
          <w:sz w:val="24"/>
          <w:szCs w:val="24"/>
        </w:rPr>
        <w:t>respondent:</w:t>
      </w:r>
      <w:r w:rsidRPr="006B63FC">
        <w:rPr>
          <w:rFonts w:ascii="Arial" w:hAnsi="Arial" w:cs="Arial"/>
          <w:sz w:val="24"/>
          <w:szCs w:val="24"/>
        </w:rPr>
        <w:tab/>
        <w:t xml:space="preserve"> </w:t>
      </w:r>
      <w:r w:rsidR="006B63FC">
        <w:rPr>
          <w:rFonts w:ascii="Arial" w:hAnsi="Arial" w:cs="Arial"/>
          <w:sz w:val="24"/>
          <w:szCs w:val="24"/>
        </w:rPr>
        <w:tab/>
      </w:r>
      <w:r w:rsidRPr="006B63FC">
        <w:rPr>
          <w:rFonts w:ascii="Arial" w:hAnsi="Arial" w:cs="Arial"/>
          <w:sz w:val="24"/>
          <w:szCs w:val="24"/>
        </w:rPr>
        <w:t>A R Sithada</w:t>
      </w:r>
    </w:p>
    <w:p w14:paraId="32BB1B96" w14:textId="696268CE" w:rsidR="009C40B8" w:rsidRPr="006B63FC" w:rsidRDefault="009C40B8" w:rsidP="006B63FC">
      <w:pPr>
        <w:spacing w:after="0" w:line="360" w:lineRule="auto"/>
        <w:jc w:val="both"/>
        <w:rPr>
          <w:rFonts w:ascii="Arial" w:hAnsi="Arial" w:cs="Arial"/>
          <w:sz w:val="24"/>
          <w:szCs w:val="24"/>
        </w:rPr>
      </w:pPr>
      <w:r w:rsidRPr="006B63FC">
        <w:rPr>
          <w:rFonts w:ascii="Arial" w:hAnsi="Arial" w:cs="Arial"/>
          <w:sz w:val="24"/>
          <w:szCs w:val="24"/>
        </w:rPr>
        <w:t>Instructed by:</w:t>
      </w:r>
      <w:r w:rsidRPr="006B63FC">
        <w:rPr>
          <w:rFonts w:ascii="Arial" w:hAnsi="Arial" w:cs="Arial"/>
          <w:sz w:val="24"/>
          <w:szCs w:val="24"/>
        </w:rPr>
        <w:tab/>
      </w:r>
      <w:r w:rsidR="006B63FC">
        <w:rPr>
          <w:rFonts w:ascii="Arial" w:hAnsi="Arial" w:cs="Arial"/>
          <w:sz w:val="24"/>
          <w:szCs w:val="24"/>
        </w:rPr>
        <w:tab/>
      </w:r>
      <w:r w:rsidRPr="006B63FC">
        <w:rPr>
          <w:rFonts w:ascii="Arial" w:hAnsi="Arial" w:cs="Arial"/>
          <w:sz w:val="24"/>
          <w:szCs w:val="24"/>
        </w:rPr>
        <w:t>Director of Public Prosecutions, Polokwane</w:t>
      </w:r>
    </w:p>
    <w:p w14:paraId="4F1E141F" w14:textId="22EC78AD" w:rsidR="009C40B8" w:rsidRPr="006B63FC" w:rsidRDefault="009C40B8" w:rsidP="006B63FC">
      <w:pPr>
        <w:spacing w:after="0" w:line="360" w:lineRule="auto"/>
        <w:jc w:val="both"/>
        <w:rPr>
          <w:rFonts w:ascii="Arial" w:hAnsi="Arial" w:cs="Arial"/>
          <w:sz w:val="24"/>
          <w:szCs w:val="24"/>
        </w:rPr>
      </w:pPr>
      <w:r w:rsidRPr="006B63FC">
        <w:rPr>
          <w:rFonts w:ascii="Arial" w:hAnsi="Arial" w:cs="Arial"/>
          <w:sz w:val="24"/>
          <w:szCs w:val="24"/>
        </w:rPr>
        <w:tab/>
      </w:r>
      <w:r w:rsidRPr="006B63FC">
        <w:rPr>
          <w:rFonts w:ascii="Arial" w:hAnsi="Arial" w:cs="Arial"/>
          <w:sz w:val="24"/>
          <w:szCs w:val="24"/>
        </w:rPr>
        <w:tab/>
      </w:r>
      <w:r w:rsidRPr="006B63FC">
        <w:rPr>
          <w:rFonts w:ascii="Arial" w:hAnsi="Arial" w:cs="Arial"/>
          <w:sz w:val="24"/>
          <w:szCs w:val="24"/>
        </w:rPr>
        <w:tab/>
      </w:r>
      <w:r w:rsidR="006B63FC">
        <w:rPr>
          <w:rFonts w:ascii="Arial" w:hAnsi="Arial" w:cs="Arial"/>
          <w:sz w:val="24"/>
          <w:szCs w:val="24"/>
        </w:rPr>
        <w:tab/>
      </w:r>
      <w:r w:rsidRPr="006B63FC">
        <w:rPr>
          <w:rFonts w:ascii="Arial" w:hAnsi="Arial" w:cs="Arial"/>
          <w:sz w:val="24"/>
          <w:szCs w:val="24"/>
        </w:rPr>
        <w:t>Director of Public Prosecutions, Bloemfontein</w:t>
      </w:r>
    </w:p>
    <w:p w14:paraId="04368789" w14:textId="55B0F53C" w:rsidR="00652E1B" w:rsidRPr="00E60663" w:rsidRDefault="00652E1B" w:rsidP="00E60663">
      <w:pPr>
        <w:spacing w:after="0" w:line="360" w:lineRule="auto"/>
        <w:jc w:val="both"/>
        <w:rPr>
          <w:rFonts w:ascii="Arial" w:hAnsi="Arial" w:cs="Arial"/>
          <w:sz w:val="24"/>
          <w:szCs w:val="24"/>
        </w:rPr>
      </w:pPr>
    </w:p>
    <w:sectPr w:rsidR="00652E1B" w:rsidRPr="00E60663" w:rsidSect="00673982">
      <w:headerReference w:type="default" r:id="rId9"/>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C582" w16cex:dateUtc="2022-12-13T07:33:00Z"/>
  <w16cex:commentExtensible w16cex:durableId="2742C5F8" w16cex:dateUtc="2022-12-13T07:35:00Z"/>
  <w16cex:commentExtensible w16cex:durableId="2742E2C7" w16cex:dateUtc="2022-12-13T09:38:00Z"/>
  <w16cex:commentExtensible w16cex:durableId="2742C7F8" w16cex:dateUtc="2022-12-13T07:44:00Z"/>
  <w16cex:commentExtensible w16cex:durableId="2742C9FB" w16cex:dateUtc="2022-12-13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257E5" w16cid:durableId="2742C582"/>
  <w16cid:commentId w16cid:paraId="67A47B7E" w16cid:durableId="2742C5F8"/>
  <w16cid:commentId w16cid:paraId="1060118A" w16cid:durableId="2742E2C7"/>
  <w16cid:commentId w16cid:paraId="55E29255" w16cid:durableId="2742C7F8"/>
  <w16cid:commentId w16cid:paraId="70D4C534" w16cid:durableId="2742C9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A1E8" w14:textId="77777777" w:rsidR="00C85E0B" w:rsidRDefault="00C85E0B" w:rsidP="00652E1B">
      <w:pPr>
        <w:spacing w:after="0" w:line="240" w:lineRule="auto"/>
      </w:pPr>
      <w:r>
        <w:separator/>
      </w:r>
    </w:p>
  </w:endnote>
  <w:endnote w:type="continuationSeparator" w:id="0">
    <w:p w14:paraId="336380F7" w14:textId="77777777" w:rsidR="00C85E0B" w:rsidRDefault="00C85E0B" w:rsidP="0065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6975" w14:textId="77777777" w:rsidR="00C85E0B" w:rsidRDefault="00C85E0B" w:rsidP="00652E1B">
      <w:pPr>
        <w:spacing w:after="0" w:line="240" w:lineRule="auto"/>
      </w:pPr>
      <w:r>
        <w:separator/>
      </w:r>
    </w:p>
  </w:footnote>
  <w:footnote w:type="continuationSeparator" w:id="0">
    <w:p w14:paraId="713E88E7" w14:textId="77777777" w:rsidR="00C85E0B" w:rsidRDefault="00C85E0B" w:rsidP="00652E1B">
      <w:pPr>
        <w:spacing w:after="0" w:line="240" w:lineRule="auto"/>
      </w:pPr>
      <w:r>
        <w:continuationSeparator/>
      </w:r>
    </w:p>
  </w:footnote>
  <w:footnote w:id="1">
    <w:p w14:paraId="6AE9BB19" w14:textId="4F4D72E3"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See news24 article, </w:t>
      </w:r>
      <w:r w:rsidRPr="000B3510">
        <w:rPr>
          <w:rFonts w:ascii="Arial" w:hAnsi="Arial" w:cs="Arial"/>
          <w:i/>
          <w:sz w:val="20"/>
          <w:szCs w:val="20"/>
        </w:rPr>
        <w:t>https://www.news24.com/health24/news/public-health/rape-within-families-remains-under-reported-20150821-2</w:t>
      </w:r>
      <w:r w:rsidRPr="008808A4">
        <w:rPr>
          <w:rFonts w:ascii="Arial" w:hAnsi="Arial" w:cs="Arial"/>
          <w:sz w:val="20"/>
          <w:szCs w:val="20"/>
        </w:rPr>
        <w:t>.</w:t>
      </w:r>
    </w:p>
  </w:footnote>
  <w:footnote w:id="2">
    <w:p w14:paraId="23BB9230" w14:textId="52DAAFAE"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UNODC Handbook for the Judiciary on Effective Justice Responses to Gender-based Violence against Women and Girls at 25.</w:t>
      </w:r>
    </w:p>
  </w:footnote>
  <w:footnote w:id="3">
    <w:p w14:paraId="6DE408B0" w14:textId="51F5D0D2"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Section 208 of the CPA provides: ‘An accused may be convicted of any offence on the single evidence of any competent witness’.</w:t>
      </w:r>
    </w:p>
  </w:footnote>
  <w:footnote w:id="4">
    <w:p w14:paraId="602E2C31" w14:textId="5E58DE9B" w:rsidR="000B3510" w:rsidRPr="008808A4" w:rsidRDefault="000B3510" w:rsidP="008808A4">
      <w:pPr>
        <w:pStyle w:val="FootnoteText"/>
        <w:jc w:val="both"/>
        <w:rPr>
          <w:rFonts w:ascii="Arial" w:hAnsi="Arial" w:cs="Arial"/>
        </w:rPr>
      </w:pPr>
      <w:r w:rsidRPr="008808A4">
        <w:rPr>
          <w:rFonts w:ascii="Arial" w:hAnsi="Arial" w:cs="Arial"/>
          <w:vertAlign w:val="superscript"/>
        </w:rPr>
        <w:footnoteRef/>
      </w:r>
      <w:r w:rsidRPr="008808A4">
        <w:rPr>
          <w:rFonts w:ascii="Arial" w:hAnsi="Arial" w:cs="Arial"/>
        </w:rPr>
        <w:t xml:space="preserve"> </w:t>
      </w:r>
      <w:r w:rsidRPr="008808A4">
        <w:rPr>
          <w:rFonts w:ascii="Arial" w:hAnsi="Arial" w:cs="Arial"/>
          <w:i/>
        </w:rPr>
        <w:t>Woji v Santam Insurance Co Ltd</w:t>
      </w:r>
      <w:r w:rsidRPr="008808A4">
        <w:rPr>
          <w:rFonts w:ascii="Arial" w:hAnsi="Arial" w:cs="Arial"/>
        </w:rPr>
        <w:t xml:space="preserve"> 1981 (1) SA 1020 (A) at 1028B-D. Note the caution courts are advised to take note of when they consider the reliability of a child witness in rape cases: </w:t>
      </w:r>
      <w:r w:rsidRPr="008808A4">
        <w:rPr>
          <w:rFonts w:ascii="Arial" w:hAnsi="Arial" w:cs="Arial"/>
          <w:i/>
        </w:rPr>
        <w:t xml:space="preserve">Woji </w:t>
      </w:r>
      <w:r w:rsidRPr="008808A4">
        <w:rPr>
          <w:rFonts w:ascii="Arial" w:hAnsi="Arial" w:cs="Arial"/>
        </w:rPr>
        <w:t xml:space="preserve">by M Bekink ‘Defeating the anomaly of the cautionary rule and children’s testimony – </w:t>
      </w:r>
      <w:r w:rsidRPr="008808A4">
        <w:rPr>
          <w:rFonts w:ascii="Arial" w:hAnsi="Arial" w:cs="Arial"/>
          <w:i/>
        </w:rPr>
        <w:t>S v Haupt</w:t>
      </w:r>
      <w:r w:rsidRPr="008808A4">
        <w:rPr>
          <w:rFonts w:ascii="Arial" w:hAnsi="Arial" w:cs="Arial"/>
        </w:rPr>
        <w:t xml:space="preserve"> 2018 (1) SACR 12 (GP).</w:t>
      </w:r>
    </w:p>
  </w:footnote>
  <w:footnote w:id="5">
    <w:p w14:paraId="338515E1" w14:textId="60E3955D"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See </w:t>
      </w:r>
      <w:r w:rsidRPr="008808A4">
        <w:rPr>
          <w:rFonts w:ascii="Arial" w:hAnsi="Arial" w:cs="Arial"/>
          <w:i/>
          <w:sz w:val="20"/>
          <w:szCs w:val="20"/>
        </w:rPr>
        <w:t>Vilakazi v S</w:t>
      </w:r>
      <w:r w:rsidRPr="008808A4">
        <w:rPr>
          <w:rFonts w:ascii="Arial" w:hAnsi="Arial" w:cs="Arial"/>
          <w:sz w:val="20"/>
          <w:szCs w:val="20"/>
        </w:rPr>
        <w:t xml:space="preserve"> [2016] ZASCA 103; 2016 (2) SACR 365 (SCA) and cases cited therein.</w:t>
      </w:r>
    </w:p>
  </w:footnote>
  <w:footnote w:id="6">
    <w:p w14:paraId="13A5362D" w14:textId="77777777" w:rsidR="000B3510" w:rsidRPr="008808A4" w:rsidRDefault="000B3510" w:rsidP="008808A4">
      <w:pPr>
        <w:pBdr>
          <w:top w:val="nil"/>
          <w:left w:val="nil"/>
          <w:bottom w:val="nil"/>
          <w:right w:val="nil"/>
          <w:between w:val="nil"/>
        </w:pBdr>
        <w:spacing w:after="0" w:line="240" w:lineRule="auto"/>
        <w:jc w:val="both"/>
        <w:rPr>
          <w:rFonts w:ascii="Arial" w:eastAsia="Arial" w:hAnsi="Arial" w:cs="Arial"/>
          <w:sz w:val="20"/>
          <w:szCs w:val="20"/>
        </w:rPr>
      </w:pPr>
      <w:r w:rsidRPr="008808A4">
        <w:rPr>
          <w:rFonts w:ascii="Arial" w:hAnsi="Arial" w:cs="Arial"/>
          <w:sz w:val="20"/>
          <w:szCs w:val="20"/>
          <w:vertAlign w:val="superscript"/>
        </w:rPr>
        <w:footnoteRef/>
      </w:r>
      <w:r w:rsidRPr="008808A4">
        <w:rPr>
          <w:rFonts w:ascii="Arial" w:eastAsia="Arial" w:hAnsi="Arial" w:cs="Arial"/>
          <w:sz w:val="20"/>
          <w:szCs w:val="20"/>
        </w:rPr>
        <w:t xml:space="preserve"> </w:t>
      </w:r>
      <w:r w:rsidRPr="008808A4">
        <w:rPr>
          <w:rFonts w:ascii="Arial" w:eastAsia="Arial" w:hAnsi="Arial" w:cs="Arial"/>
          <w:i/>
          <w:sz w:val="20"/>
          <w:szCs w:val="20"/>
        </w:rPr>
        <w:t>S v Hadebe and Others</w:t>
      </w:r>
      <w:r w:rsidRPr="008808A4">
        <w:rPr>
          <w:rFonts w:ascii="Arial" w:eastAsia="Arial" w:hAnsi="Arial" w:cs="Arial"/>
          <w:sz w:val="20"/>
          <w:szCs w:val="20"/>
        </w:rPr>
        <w:t> 1998 (1) SACR 422 (SCA).</w:t>
      </w:r>
    </w:p>
  </w:footnote>
  <w:footnote w:id="7">
    <w:p w14:paraId="441C233B" w14:textId="11862AE3" w:rsidR="000B3510" w:rsidRPr="008808A4" w:rsidRDefault="000B3510" w:rsidP="008808A4">
      <w:pPr>
        <w:pBdr>
          <w:top w:val="nil"/>
          <w:left w:val="nil"/>
          <w:bottom w:val="nil"/>
          <w:right w:val="nil"/>
          <w:between w:val="nil"/>
        </w:pBdr>
        <w:spacing w:after="0" w:line="240" w:lineRule="auto"/>
        <w:jc w:val="both"/>
        <w:rPr>
          <w:rFonts w:ascii="Arial" w:eastAsia="Arial" w:hAnsi="Arial" w:cs="Arial"/>
          <w:sz w:val="20"/>
          <w:szCs w:val="20"/>
        </w:rPr>
      </w:pPr>
      <w:r w:rsidRPr="008808A4">
        <w:rPr>
          <w:rFonts w:ascii="Arial" w:hAnsi="Arial" w:cs="Arial"/>
          <w:sz w:val="20"/>
          <w:szCs w:val="20"/>
          <w:vertAlign w:val="superscript"/>
        </w:rPr>
        <w:footnoteRef/>
      </w:r>
      <w:r w:rsidRPr="008808A4">
        <w:rPr>
          <w:rFonts w:ascii="Arial" w:eastAsia="Arial" w:hAnsi="Arial" w:cs="Arial"/>
          <w:sz w:val="20"/>
          <w:szCs w:val="20"/>
        </w:rPr>
        <w:t xml:space="preserve"> </w:t>
      </w:r>
      <w:r w:rsidR="002E53F8">
        <w:rPr>
          <w:rFonts w:ascii="Arial" w:eastAsia="Arial" w:hAnsi="Arial" w:cs="Arial"/>
          <w:sz w:val="20"/>
          <w:szCs w:val="20"/>
        </w:rPr>
        <w:t xml:space="preserve">Ibid </w:t>
      </w:r>
      <w:r w:rsidRPr="008808A4">
        <w:rPr>
          <w:rFonts w:ascii="Arial" w:eastAsia="Arial" w:hAnsi="Arial" w:cs="Arial"/>
          <w:sz w:val="20"/>
          <w:szCs w:val="20"/>
        </w:rPr>
        <w:t>at 426F-H.</w:t>
      </w:r>
    </w:p>
  </w:footnote>
  <w:footnote w:id="8">
    <w:p w14:paraId="19E283DC" w14:textId="7F59E450" w:rsidR="000B3510" w:rsidRPr="008808A4" w:rsidRDefault="000B3510" w:rsidP="008808A4">
      <w:pPr>
        <w:pBdr>
          <w:top w:val="nil"/>
          <w:left w:val="nil"/>
          <w:bottom w:val="nil"/>
          <w:right w:val="nil"/>
          <w:between w:val="nil"/>
        </w:pBdr>
        <w:spacing w:after="0" w:line="240" w:lineRule="auto"/>
        <w:jc w:val="both"/>
        <w:rPr>
          <w:rFonts w:ascii="Arial" w:eastAsia="Arial" w:hAnsi="Arial" w:cs="Arial"/>
          <w:sz w:val="20"/>
          <w:szCs w:val="20"/>
        </w:rPr>
      </w:pPr>
      <w:r w:rsidRPr="008808A4">
        <w:rPr>
          <w:rFonts w:ascii="Arial" w:hAnsi="Arial" w:cs="Arial"/>
          <w:sz w:val="20"/>
          <w:szCs w:val="20"/>
          <w:vertAlign w:val="superscript"/>
        </w:rPr>
        <w:footnoteRef/>
      </w:r>
      <w:r w:rsidRPr="008808A4">
        <w:rPr>
          <w:rFonts w:ascii="Arial" w:eastAsia="Arial" w:hAnsi="Arial" w:cs="Arial"/>
          <w:sz w:val="20"/>
          <w:szCs w:val="20"/>
        </w:rPr>
        <w:t xml:space="preserve"> </w:t>
      </w:r>
      <w:r w:rsidRPr="008808A4">
        <w:rPr>
          <w:rFonts w:ascii="Arial" w:eastAsia="Arial" w:hAnsi="Arial" w:cs="Arial"/>
          <w:i/>
          <w:sz w:val="20"/>
          <w:szCs w:val="20"/>
        </w:rPr>
        <w:t xml:space="preserve">Tshiki v S </w:t>
      </w:r>
      <w:r w:rsidRPr="008808A4">
        <w:rPr>
          <w:rFonts w:ascii="Arial" w:eastAsia="Arial" w:hAnsi="Arial" w:cs="Arial"/>
          <w:sz w:val="20"/>
          <w:szCs w:val="20"/>
        </w:rPr>
        <w:t>[2020] ZASCA 92 (SCA) with cases cited therein.</w:t>
      </w:r>
    </w:p>
  </w:footnote>
  <w:footnote w:id="9">
    <w:p w14:paraId="1AECB63E" w14:textId="6627A2AE" w:rsidR="000B3510" w:rsidRPr="008808A4" w:rsidRDefault="000B3510" w:rsidP="008808A4">
      <w:pPr>
        <w:pBdr>
          <w:top w:val="nil"/>
          <w:left w:val="nil"/>
          <w:bottom w:val="nil"/>
          <w:right w:val="nil"/>
          <w:between w:val="nil"/>
        </w:pBdr>
        <w:spacing w:after="0" w:line="240" w:lineRule="auto"/>
        <w:jc w:val="both"/>
        <w:rPr>
          <w:rFonts w:ascii="Arial" w:eastAsia="Arial" w:hAnsi="Arial" w:cs="Arial"/>
          <w:sz w:val="20"/>
          <w:szCs w:val="20"/>
        </w:rPr>
      </w:pPr>
      <w:r w:rsidRPr="008808A4">
        <w:rPr>
          <w:rFonts w:ascii="Arial" w:hAnsi="Arial" w:cs="Arial"/>
          <w:sz w:val="20"/>
          <w:szCs w:val="20"/>
          <w:vertAlign w:val="superscript"/>
        </w:rPr>
        <w:footnoteRef/>
      </w:r>
      <w:r w:rsidRPr="008808A4">
        <w:rPr>
          <w:rFonts w:ascii="Arial" w:eastAsia="Arial" w:hAnsi="Arial" w:cs="Arial"/>
          <w:sz w:val="20"/>
          <w:szCs w:val="20"/>
        </w:rPr>
        <w:t xml:space="preserve"> </w:t>
      </w:r>
      <w:r w:rsidRPr="008808A4">
        <w:rPr>
          <w:rFonts w:ascii="Arial" w:eastAsia="Arial" w:hAnsi="Arial" w:cs="Arial"/>
          <w:i/>
          <w:sz w:val="20"/>
          <w:szCs w:val="20"/>
        </w:rPr>
        <w:t>Thebus and Another v S</w:t>
      </w:r>
      <w:r w:rsidRPr="008808A4">
        <w:rPr>
          <w:rFonts w:ascii="Arial" w:eastAsia="Arial" w:hAnsi="Arial" w:cs="Arial"/>
          <w:sz w:val="20"/>
          <w:szCs w:val="20"/>
        </w:rPr>
        <w:t xml:space="preserve"> [2003] ZACC 12; 2003 (6) SA 505 (CC); 2003 (10) BCLR 1100 (CC).</w:t>
      </w:r>
    </w:p>
  </w:footnote>
  <w:footnote w:id="10">
    <w:p w14:paraId="5EA62691" w14:textId="0EFD179E" w:rsidR="000B3510" w:rsidRPr="000B3510" w:rsidRDefault="000B3510" w:rsidP="008808A4">
      <w:pPr>
        <w:pStyle w:val="FootnoteText"/>
        <w:jc w:val="both"/>
        <w:rPr>
          <w:rFonts w:ascii="Arial" w:hAnsi="Arial" w:cs="Arial"/>
        </w:rPr>
      </w:pPr>
      <w:r w:rsidRPr="000B3510">
        <w:rPr>
          <w:rStyle w:val="FootnoteReference"/>
          <w:rFonts w:ascii="Arial" w:hAnsi="Arial" w:cs="Arial"/>
        </w:rPr>
        <w:footnoteRef/>
      </w:r>
      <w:r w:rsidRPr="000B3510">
        <w:rPr>
          <w:rFonts w:ascii="Arial" w:hAnsi="Arial" w:cs="Arial"/>
        </w:rPr>
        <w:t xml:space="preserve"> </w:t>
      </w:r>
      <w:r w:rsidR="002E53F8" w:rsidRPr="000B3510">
        <w:rPr>
          <w:rFonts w:ascii="Arial" w:hAnsi="Arial" w:cs="Arial"/>
        </w:rPr>
        <w:t>Ibid</w:t>
      </w:r>
      <w:r w:rsidR="002E53F8" w:rsidRPr="008808A4" w:rsidDel="002E53F8">
        <w:rPr>
          <w:rFonts w:ascii="Arial" w:eastAsia="Arial" w:hAnsi="Arial" w:cs="Arial"/>
          <w:i/>
        </w:rPr>
        <w:t xml:space="preserve"> </w:t>
      </w:r>
      <w:r w:rsidRPr="008808A4">
        <w:rPr>
          <w:rFonts w:ascii="Arial" w:eastAsia="Arial" w:hAnsi="Arial" w:cs="Arial"/>
        </w:rPr>
        <w:t>para 63.</w:t>
      </w:r>
    </w:p>
  </w:footnote>
  <w:footnote w:id="11">
    <w:p w14:paraId="7451C059" w14:textId="5D0A6B1F"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J R Milton </w:t>
      </w:r>
      <w:r w:rsidRPr="008808A4">
        <w:rPr>
          <w:rFonts w:ascii="Arial" w:hAnsi="Arial" w:cs="Arial"/>
          <w:i/>
          <w:sz w:val="20"/>
          <w:szCs w:val="20"/>
        </w:rPr>
        <w:t>South African Criminal Law and Procedure</w:t>
      </w:r>
      <w:r w:rsidRPr="008808A4">
        <w:rPr>
          <w:rFonts w:ascii="Arial" w:hAnsi="Arial" w:cs="Arial"/>
          <w:sz w:val="20"/>
          <w:szCs w:val="20"/>
        </w:rPr>
        <w:t xml:space="preserve"> Vol II 3 ed at 461.</w:t>
      </w:r>
    </w:p>
  </w:footnote>
  <w:footnote w:id="12">
    <w:p w14:paraId="7F4D0A51" w14:textId="013E3736"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See D T Zeffertt &amp; A P Paizes </w:t>
      </w:r>
      <w:r w:rsidRPr="000B3510">
        <w:rPr>
          <w:rFonts w:ascii="Arial" w:hAnsi="Arial" w:cs="Arial"/>
          <w:i/>
          <w:sz w:val="20"/>
          <w:szCs w:val="20"/>
        </w:rPr>
        <w:t>The South African law of evidence</w:t>
      </w:r>
      <w:r w:rsidRPr="008808A4">
        <w:rPr>
          <w:rFonts w:ascii="Arial" w:hAnsi="Arial" w:cs="Arial"/>
          <w:sz w:val="20"/>
          <w:szCs w:val="20"/>
        </w:rPr>
        <w:t xml:space="preserve"> 2 ed (2009) at 971.</w:t>
      </w:r>
    </w:p>
  </w:footnote>
  <w:footnote w:id="13">
    <w:p w14:paraId="4991CC85" w14:textId="7B819DE0"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UNODC Handbook for the Judiciary on Effective Justice Responses to Gender-based Violence against Women and Girls, at 25.</w:t>
      </w:r>
    </w:p>
  </w:footnote>
  <w:footnote w:id="14">
    <w:p w14:paraId="795FF755" w14:textId="2E8E9180"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See </w:t>
      </w:r>
      <w:r w:rsidRPr="008808A4">
        <w:rPr>
          <w:rFonts w:ascii="Arial" w:hAnsi="Arial" w:cs="Arial"/>
          <w:i/>
          <w:sz w:val="20"/>
          <w:szCs w:val="20"/>
        </w:rPr>
        <w:t>Monageng v S</w:t>
      </w:r>
      <w:r w:rsidRPr="008808A4">
        <w:rPr>
          <w:rFonts w:ascii="Arial" w:hAnsi="Arial" w:cs="Arial"/>
          <w:sz w:val="20"/>
          <w:szCs w:val="20"/>
        </w:rPr>
        <w:t xml:space="preserve"> [2008] ZASCA 129; [2009] 1 All SA 237 (SCA) para 24.</w:t>
      </w:r>
    </w:p>
  </w:footnote>
  <w:footnote w:id="15">
    <w:p w14:paraId="71A08318" w14:textId="769AE5F4" w:rsidR="000B3510" w:rsidRPr="008808A4" w:rsidRDefault="000B3510" w:rsidP="008808A4">
      <w:pPr>
        <w:pStyle w:val="FootnoteText"/>
        <w:jc w:val="both"/>
        <w:rPr>
          <w:rFonts w:ascii="Arial" w:hAnsi="Arial" w:cs="Arial"/>
        </w:rPr>
      </w:pPr>
      <w:r w:rsidRPr="008808A4">
        <w:rPr>
          <w:rStyle w:val="FootnoteReference"/>
          <w:rFonts w:ascii="Arial" w:hAnsi="Arial" w:cs="Arial"/>
        </w:rPr>
        <w:footnoteRef/>
      </w:r>
      <w:r w:rsidRPr="008808A4">
        <w:rPr>
          <w:rFonts w:ascii="Arial" w:hAnsi="Arial" w:cs="Arial"/>
        </w:rPr>
        <w:t xml:space="preserve"> </w:t>
      </w:r>
      <w:r w:rsidRPr="008808A4">
        <w:rPr>
          <w:rFonts w:ascii="Arial" w:hAnsi="Arial" w:cs="Arial"/>
          <w:i/>
        </w:rPr>
        <w:t>Vilakazi</w:t>
      </w:r>
      <w:r w:rsidRPr="008808A4" w:rsidDel="008808A4">
        <w:rPr>
          <w:rFonts w:ascii="Arial" w:hAnsi="Arial" w:cs="Arial"/>
          <w:i/>
        </w:rPr>
        <w:t xml:space="preserve"> </w:t>
      </w:r>
      <w:r w:rsidRPr="008808A4">
        <w:rPr>
          <w:rFonts w:ascii="Arial" w:hAnsi="Arial" w:cs="Arial"/>
          <w:i/>
        </w:rPr>
        <w:t>v</w:t>
      </w:r>
      <w:r w:rsidRPr="008808A4" w:rsidDel="008808A4">
        <w:rPr>
          <w:rFonts w:ascii="Arial" w:hAnsi="Arial" w:cs="Arial"/>
          <w:i/>
        </w:rPr>
        <w:t xml:space="preserve"> </w:t>
      </w:r>
      <w:r w:rsidRPr="008808A4">
        <w:rPr>
          <w:rFonts w:ascii="Arial" w:hAnsi="Arial" w:cs="Arial"/>
          <w:i/>
        </w:rPr>
        <w:t xml:space="preserve">S </w:t>
      </w:r>
      <w:r w:rsidRPr="000B3510">
        <w:rPr>
          <w:rFonts w:ascii="Arial" w:hAnsi="Arial" w:cs="Arial"/>
        </w:rPr>
        <w:t>[2016] ZASCA 103;</w:t>
      </w:r>
      <w:r w:rsidRPr="000B3510" w:rsidDel="008808A4">
        <w:rPr>
          <w:rFonts w:ascii="Arial" w:hAnsi="Arial" w:cs="Arial"/>
        </w:rPr>
        <w:t xml:space="preserve"> </w:t>
      </w:r>
      <w:r w:rsidRPr="008808A4">
        <w:rPr>
          <w:rFonts w:ascii="Arial" w:hAnsi="Arial" w:cs="Arial"/>
        </w:rPr>
        <w:t>2016 (2) SACR 365 (SCA) para 15.</w:t>
      </w:r>
    </w:p>
  </w:footnote>
  <w:footnote w:id="16">
    <w:p w14:paraId="35D21C71" w14:textId="3A76E4A2"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w:t>
      </w:r>
      <w:r w:rsidRPr="008808A4">
        <w:rPr>
          <w:rFonts w:ascii="Arial" w:hAnsi="Arial" w:cs="Arial"/>
          <w:i/>
          <w:sz w:val="20"/>
          <w:szCs w:val="20"/>
        </w:rPr>
        <w:t>S v Van der Meyden</w:t>
      </w:r>
      <w:r w:rsidRPr="008808A4">
        <w:rPr>
          <w:rFonts w:ascii="Arial" w:hAnsi="Arial" w:cs="Arial"/>
          <w:sz w:val="20"/>
          <w:szCs w:val="20"/>
        </w:rPr>
        <w:t xml:space="preserve"> 1999</w:t>
      </w:r>
      <w:r>
        <w:rPr>
          <w:rFonts w:ascii="Arial" w:hAnsi="Arial" w:cs="Arial"/>
          <w:sz w:val="20"/>
          <w:szCs w:val="20"/>
        </w:rPr>
        <w:t xml:space="preserve"> </w:t>
      </w:r>
      <w:r w:rsidRPr="008808A4">
        <w:rPr>
          <w:rFonts w:ascii="Arial" w:hAnsi="Arial" w:cs="Arial"/>
          <w:sz w:val="20"/>
          <w:szCs w:val="20"/>
        </w:rPr>
        <w:t>(1) SACR 447 (W)</w:t>
      </w:r>
      <w:r>
        <w:rPr>
          <w:rFonts w:ascii="Arial" w:hAnsi="Arial" w:cs="Arial"/>
          <w:sz w:val="20"/>
          <w:szCs w:val="20"/>
        </w:rPr>
        <w:t xml:space="preserve"> at 448</w:t>
      </w:r>
      <w:r w:rsidRPr="008808A4">
        <w:rPr>
          <w:rFonts w:ascii="Arial" w:hAnsi="Arial" w:cs="Arial"/>
          <w:sz w:val="20"/>
          <w:szCs w:val="20"/>
        </w:rPr>
        <w:t>.</w:t>
      </w:r>
    </w:p>
  </w:footnote>
  <w:footnote w:id="17">
    <w:p w14:paraId="5899E41B" w14:textId="2E2622AB"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w:t>
      </w:r>
      <w:r w:rsidRPr="008808A4">
        <w:rPr>
          <w:rFonts w:ascii="Arial" w:eastAsia="Arial" w:hAnsi="Arial" w:cs="Arial"/>
          <w:i/>
          <w:sz w:val="20"/>
          <w:szCs w:val="20"/>
        </w:rPr>
        <w:t xml:space="preserve">Tshiki v S </w:t>
      </w:r>
      <w:r w:rsidRPr="008808A4">
        <w:rPr>
          <w:rFonts w:ascii="Arial" w:eastAsia="Arial" w:hAnsi="Arial" w:cs="Arial"/>
          <w:sz w:val="20"/>
          <w:szCs w:val="20"/>
        </w:rPr>
        <w:t>[2020] ZASCA 92 (SCA</w:t>
      </w:r>
      <w:r>
        <w:rPr>
          <w:rFonts w:ascii="Arial" w:hAnsi="Arial" w:cs="Arial"/>
          <w:sz w:val="20"/>
          <w:szCs w:val="20"/>
        </w:rPr>
        <w:t>).</w:t>
      </w:r>
    </w:p>
  </w:footnote>
  <w:footnote w:id="18">
    <w:p w14:paraId="3A92D61C" w14:textId="58889CEE"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7E7B8F">
        <w:rPr>
          <w:rFonts w:ascii="Arial" w:hAnsi="Arial" w:cs="Arial"/>
          <w:sz w:val="20"/>
          <w:szCs w:val="20"/>
          <w:vertAlign w:val="superscript"/>
        </w:rPr>
        <w:footnoteRef/>
      </w:r>
      <w:r w:rsidRPr="000B3510">
        <w:rPr>
          <w:rFonts w:ascii="Arial" w:hAnsi="Arial" w:cs="Arial"/>
          <w:sz w:val="20"/>
          <w:szCs w:val="20"/>
        </w:rPr>
        <w:t xml:space="preserve"> Ibid</w:t>
      </w:r>
      <w:r>
        <w:rPr>
          <w:rFonts w:ascii="Arial" w:hAnsi="Arial" w:cs="Arial"/>
          <w:i/>
          <w:sz w:val="20"/>
          <w:szCs w:val="20"/>
        </w:rPr>
        <w:t xml:space="preserve"> </w:t>
      </w:r>
      <w:r w:rsidRPr="008808A4">
        <w:rPr>
          <w:rFonts w:ascii="Arial" w:hAnsi="Arial" w:cs="Arial"/>
          <w:sz w:val="20"/>
          <w:szCs w:val="20"/>
        </w:rPr>
        <w:t xml:space="preserve">para </w:t>
      </w:r>
      <w:r>
        <w:rPr>
          <w:rFonts w:ascii="Arial" w:hAnsi="Arial" w:cs="Arial"/>
          <w:sz w:val="20"/>
          <w:szCs w:val="20"/>
        </w:rPr>
        <w:t>23</w:t>
      </w:r>
      <w:r w:rsidRPr="008808A4">
        <w:rPr>
          <w:rFonts w:ascii="Arial" w:hAnsi="Arial" w:cs="Arial"/>
          <w:sz w:val="20"/>
          <w:szCs w:val="20"/>
        </w:rPr>
        <w:t>.</w:t>
      </w:r>
    </w:p>
  </w:footnote>
  <w:footnote w:id="19">
    <w:p w14:paraId="5B74EAE3" w14:textId="77777777" w:rsidR="000B3510" w:rsidRPr="008808A4" w:rsidRDefault="000B3510" w:rsidP="007E7B8F">
      <w:pPr>
        <w:pBdr>
          <w:top w:val="nil"/>
          <w:left w:val="nil"/>
          <w:bottom w:val="nil"/>
          <w:right w:val="nil"/>
          <w:between w:val="nil"/>
        </w:pBdr>
        <w:spacing w:after="0" w:line="240" w:lineRule="auto"/>
        <w:jc w:val="both"/>
        <w:rPr>
          <w:rFonts w:ascii="Arial" w:hAnsi="Arial" w:cs="Arial"/>
          <w:i/>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w:t>
      </w:r>
      <w:r w:rsidRPr="00397648">
        <w:rPr>
          <w:rFonts w:ascii="Arial" w:hAnsi="Arial" w:cs="Arial"/>
          <w:i/>
          <w:sz w:val="20"/>
          <w:szCs w:val="20"/>
        </w:rPr>
        <w:t>Thebus and Another v S</w:t>
      </w:r>
      <w:r w:rsidRPr="00F90B1B">
        <w:rPr>
          <w:rFonts w:ascii="Arial" w:hAnsi="Arial" w:cs="Arial"/>
          <w:sz w:val="20"/>
          <w:szCs w:val="20"/>
        </w:rPr>
        <w:t xml:space="preserve"> [2003] ZACC 12; 2003 (6) SA 505</w:t>
      </w:r>
      <w:r>
        <w:rPr>
          <w:rFonts w:ascii="Arial" w:hAnsi="Arial" w:cs="Arial"/>
          <w:sz w:val="20"/>
          <w:szCs w:val="20"/>
        </w:rPr>
        <w:t xml:space="preserve"> (CC); 2003 (10) BCLR 1100 (CC) para 65.</w:t>
      </w:r>
    </w:p>
  </w:footnote>
  <w:footnote w:id="20">
    <w:p w14:paraId="160469DE" w14:textId="45D4F419" w:rsidR="000B3510" w:rsidRPr="000B3510" w:rsidRDefault="000B3510" w:rsidP="000B3510">
      <w:pPr>
        <w:pStyle w:val="FootnoteText"/>
        <w:jc w:val="both"/>
        <w:rPr>
          <w:rFonts w:ascii="Arial" w:hAnsi="Arial" w:cs="Arial"/>
        </w:rPr>
      </w:pPr>
      <w:r w:rsidRPr="000B3510">
        <w:rPr>
          <w:rStyle w:val="FootnoteReference"/>
          <w:rFonts w:ascii="Arial" w:hAnsi="Arial" w:cs="Arial"/>
        </w:rPr>
        <w:footnoteRef/>
      </w:r>
      <w:r w:rsidRPr="000B3510">
        <w:rPr>
          <w:rFonts w:ascii="Arial" w:hAnsi="Arial" w:cs="Arial"/>
        </w:rPr>
        <w:t xml:space="preserve"> In terms of the Domestic Violence Act 116 of 1998, ‘domestic relationship’ means ‘a relationship between a complainant and a respondent in any of the following ways: . . . </w:t>
      </w:r>
      <w:r w:rsidRPr="000B3510">
        <w:rPr>
          <w:rFonts w:ascii="Arial" w:hAnsi="Arial" w:cs="Arial"/>
          <w:i/>
        </w:rPr>
        <w:t>(d)</w:t>
      </w:r>
      <w:r w:rsidRPr="000B3510">
        <w:rPr>
          <w:rFonts w:ascii="Arial" w:hAnsi="Arial" w:cs="Arial"/>
        </w:rPr>
        <w:t xml:space="preserve"> they are family members related by consanguinity, affinity or adoption;</w:t>
      </w:r>
      <w:r w:rsidRPr="000B3510">
        <w:rPr>
          <w:rFonts w:ascii="Arial" w:eastAsia="Times New Roman" w:hAnsi="Arial" w:cs="Arial"/>
          <w:lang w:eastAsia="en-ZA"/>
        </w:rPr>
        <w:t xml:space="preserve"> . . . </w:t>
      </w:r>
      <w:r w:rsidRPr="000B3510">
        <w:rPr>
          <w:rFonts w:ascii="Arial" w:hAnsi="Arial" w:cs="Arial"/>
          <w:i/>
        </w:rPr>
        <w:t>(</w:t>
      </w:r>
      <w:r w:rsidRPr="000B3510">
        <w:rPr>
          <w:rFonts w:ascii="Arial" w:hAnsi="Arial" w:cs="Arial"/>
          <w:i/>
          <w:iCs/>
        </w:rPr>
        <w:t>f</w:t>
      </w:r>
      <w:r w:rsidRPr="000B3510">
        <w:rPr>
          <w:rFonts w:ascii="Arial" w:hAnsi="Arial" w:cs="Arial"/>
          <w:i/>
        </w:rPr>
        <w:t>)</w:t>
      </w:r>
      <w:r w:rsidRPr="000B3510">
        <w:rPr>
          <w:rFonts w:ascii="Arial" w:hAnsi="Arial" w:cs="Arial"/>
        </w:rPr>
        <w:t xml:space="preserve"> they share or recently shared the same residence’. </w:t>
      </w:r>
    </w:p>
  </w:footnote>
  <w:footnote w:id="21">
    <w:p w14:paraId="7DA6F6A1" w14:textId="77777777" w:rsidR="000B3510" w:rsidRPr="008808A4" w:rsidRDefault="000B3510">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w:t>
      </w:r>
      <w:r w:rsidRPr="008808A4">
        <w:rPr>
          <w:rFonts w:ascii="Arial" w:hAnsi="Arial" w:cs="Arial"/>
          <w:i/>
          <w:sz w:val="20"/>
          <w:szCs w:val="20"/>
        </w:rPr>
        <w:t>S v Malgas</w:t>
      </w:r>
      <w:r w:rsidRPr="008808A4">
        <w:rPr>
          <w:rFonts w:ascii="Arial" w:hAnsi="Arial" w:cs="Arial"/>
          <w:sz w:val="20"/>
          <w:szCs w:val="20"/>
        </w:rPr>
        <w:t xml:space="preserve"> 2001 (1) SACR 469 (SCA) para 12.</w:t>
      </w:r>
    </w:p>
  </w:footnote>
  <w:footnote w:id="22">
    <w:p w14:paraId="621F2F4D" w14:textId="24E73718" w:rsidR="000B3510" w:rsidRDefault="000B3510" w:rsidP="00877039">
      <w:pPr>
        <w:pStyle w:val="FootnoteText"/>
        <w:jc w:val="both"/>
      </w:pPr>
      <w:r w:rsidRPr="00877039">
        <w:rPr>
          <w:rStyle w:val="FootnoteReference"/>
          <w:rFonts w:ascii="Arial" w:hAnsi="Arial" w:cs="Arial"/>
        </w:rPr>
        <w:footnoteRef/>
      </w:r>
      <w:r w:rsidRPr="00877039">
        <w:rPr>
          <w:rFonts w:ascii="Arial" w:hAnsi="Arial" w:cs="Arial"/>
        </w:rPr>
        <w:t xml:space="preserve"> </w:t>
      </w:r>
      <w:r w:rsidR="00DB2CD9" w:rsidRPr="00877039">
        <w:rPr>
          <w:rFonts w:ascii="Arial" w:hAnsi="Arial" w:cs="Arial"/>
        </w:rPr>
        <w:t>Ibid</w:t>
      </w:r>
      <w:r w:rsidR="00DB2CD9">
        <w:t xml:space="preserve"> </w:t>
      </w:r>
      <w:r>
        <w:rPr>
          <w:rFonts w:ascii="Arial" w:hAnsi="Arial" w:cs="Arial"/>
        </w:rPr>
        <w:t>para 8.</w:t>
      </w:r>
    </w:p>
  </w:footnote>
  <w:footnote w:id="23">
    <w:p w14:paraId="09508630" w14:textId="7737AA78"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Amanda Spies </w:t>
      </w:r>
      <w:r>
        <w:rPr>
          <w:rFonts w:ascii="Arial" w:hAnsi="Arial" w:cs="Arial"/>
          <w:sz w:val="20"/>
          <w:szCs w:val="20"/>
        </w:rPr>
        <w:t>‘</w:t>
      </w:r>
      <w:r w:rsidRPr="000B3510">
        <w:rPr>
          <w:rFonts w:ascii="Arial" w:hAnsi="Arial" w:cs="Arial"/>
          <w:sz w:val="20"/>
          <w:szCs w:val="20"/>
        </w:rPr>
        <w:t xml:space="preserve">Perpetuating Harm: Sentencing of Rape Offenders </w:t>
      </w:r>
      <w:r>
        <w:rPr>
          <w:rFonts w:ascii="Arial" w:hAnsi="Arial" w:cs="Arial"/>
          <w:sz w:val="20"/>
          <w:szCs w:val="20"/>
        </w:rPr>
        <w:t>U</w:t>
      </w:r>
      <w:r w:rsidRPr="000B3510">
        <w:rPr>
          <w:rFonts w:ascii="Arial" w:hAnsi="Arial" w:cs="Arial"/>
          <w:sz w:val="20"/>
          <w:szCs w:val="20"/>
        </w:rPr>
        <w:t>nder South African Law</w:t>
      </w:r>
      <w:r>
        <w:rPr>
          <w:rFonts w:ascii="Arial" w:hAnsi="Arial" w:cs="Arial"/>
          <w:sz w:val="20"/>
          <w:szCs w:val="20"/>
        </w:rPr>
        <w:t>’</w:t>
      </w:r>
      <w:r w:rsidRPr="008808A4">
        <w:rPr>
          <w:rFonts w:ascii="Arial" w:hAnsi="Arial" w:cs="Arial"/>
          <w:i/>
          <w:sz w:val="20"/>
          <w:szCs w:val="20"/>
        </w:rPr>
        <w:t xml:space="preserve"> </w:t>
      </w:r>
      <w:r>
        <w:rPr>
          <w:rFonts w:ascii="Arial" w:hAnsi="Arial" w:cs="Arial"/>
          <w:sz w:val="20"/>
          <w:szCs w:val="20"/>
        </w:rPr>
        <w:t>(</w:t>
      </w:r>
      <w:r w:rsidRPr="008808A4">
        <w:rPr>
          <w:rFonts w:ascii="Arial" w:hAnsi="Arial" w:cs="Arial"/>
          <w:sz w:val="20"/>
          <w:szCs w:val="20"/>
        </w:rPr>
        <w:t>2016</w:t>
      </w:r>
      <w:r>
        <w:rPr>
          <w:rFonts w:ascii="Arial" w:hAnsi="Arial" w:cs="Arial"/>
          <w:sz w:val="20"/>
          <w:szCs w:val="20"/>
        </w:rPr>
        <w:t>)</w:t>
      </w:r>
      <w:r w:rsidRPr="008808A4">
        <w:rPr>
          <w:rFonts w:ascii="Arial" w:hAnsi="Arial" w:cs="Arial"/>
          <w:sz w:val="20"/>
          <w:szCs w:val="20"/>
        </w:rPr>
        <w:t xml:space="preserve"> (2) </w:t>
      </w:r>
      <w:r w:rsidRPr="000B3510">
        <w:rPr>
          <w:rFonts w:ascii="Arial" w:hAnsi="Arial" w:cs="Arial"/>
          <w:i/>
          <w:sz w:val="20"/>
          <w:szCs w:val="20"/>
        </w:rPr>
        <w:t>SALJ</w:t>
      </w:r>
      <w:r w:rsidRPr="008808A4">
        <w:rPr>
          <w:rFonts w:ascii="Arial" w:hAnsi="Arial" w:cs="Arial"/>
          <w:sz w:val="20"/>
          <w:szCs w:val="20"/>
        </w:rPr>
        <w:t xml:space="preserve"> 389 at 399.</w:t>
      </w:r>
    </w:p>
  </w:footnote>
  <w:footnote w:id="24">
    <w:p w14:paraId="4B0C615D" w14:textId="77777777" w:rsidR="00F244D5" w:rsidRPr="008808A4" w:rsidRDefault="00F244D5" w:rsidP="00F244D5">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The prosecutor did well to request and obtain a Victim Impact Statement. A victim has its own interests which must be reflected to give them a voice in their own proceedings. </w:t>
      </w:r>
    </w:p>
  </w:footnote>
  <w:footnote w:id="25">
    <w:p w14:paraId="5BEC5EF6" w14:textId="77777777" w:rsidR="00CB7982" w:rsidRPr="008808A4" w:rsidRDefault="00CB7982" w:rsidP="00CB7982">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Pr>
          <w:rFonts w:ascii="Arial" w:hAnsi="Arial" w:cs="Arial"/>
          <w:sz w:val="20"/>
          <w:szCs w:val="20"/>
        </w:rPr>
        <w:t xml:space="preserve"> See footnote</w:t>
      </w:r>
      <w:r w:rsidRPr="008808A4">
        <w:rPr>
          <w:rFonts w:ascii="Arial" w:hAnsi="Arial" w:cs="Arial"/>
          <w:sz w:val="20"/>
          <w:szCs w:val="20"/>
        </w:rPr>
        <w:t xml:space="preserve"> 1 above.</w:t>
      </w:r>
    </w:p>
  </w:footnote>
  <w:footnote w:id="26">
    <w:p w14:paraId="7138911D" w14:textId="22F8AA5B"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The basic triad: the seriousness of the offence, the offender’s personal circumstances and the interests of society</w:t>
      </w:r>
      <w:r>
        <w:rPr>
          <w:rFonts w:ascii="Arial" w:hAnsi="Arial" w:cs="Arial"/>
          <w:sz w:val="20"/>
          <w:szCs w:val="20"/>
        </w:rPr>
        <w:t>,</w:t>
      </w:r>
      <w:r w:rsidRPr="008808A4">
        <w:rPr>
          <w:rFonts w:ascii="Arial" w:hAnsi="Arial" w:cs="Arial"/>
          <w:sz w:val="20"/>
          <w:szCs w:val="20"/>
        </w:rPr>
        <w:t xml:space="preserve"> and</w:t>
      </w:r>
      <w:r>
        <w:rPr>
          <w:rFonts w:ascii="Arial" w:hAnsi="Arial" w:cs="Arial"/>
          <w:sz w:val="20"/>
          <w:szCs w:val="20"/>
        </w:rPr>
        <w:t>,</w:t>
      </w:r>
      <w:r w:rsidRPr="008808A4">
        <w:rPr>
          <w:rFonts w:ascii="Arial" w:hAnsi="Arial" w:cs="Arial"/>
          <w:sz w:val="20"/>
          <w:szCs w:val="20"/>
        </w:rPr>
        <w:t xml:space="preserve"> lately</w:t>
      </w:r>
      <w:r>
        <w:rPr>
          <w:rFonts w:ascii="Arial" w:hAnsi="Arial" w:cs="Arial"/>
          <w:sz w:val="20"/>
          <w:szCs w:val="20"/>
        </w:rPr>
        <w:t>,</w:t>
      </w:r>
      <w:r w:rsidRPr="008808A4">
        <w:rPr>
          <w:rFonts w:ascii="Arial" w:hAnsi="Arial" w:cs="Arial"/>
          <w:sz w:val="20"/>
          <w:szCs w:val="20"/>
        </w:rPr>
        <w:t xml:space="preserve"> a fourth element distinct from the three: the interests of the victim of the offence.</w:t>
      </w:r>
    </w:p>
  </w:footnote>
  <w:footnote w:id="27">
    <w:p w14:paraId="2223EFC9" w14:textId="156129D4" w:rsidR="000B3510" w:rsidRPr="008808A4" w:rsidRDefault="000B3510" w:rsidP="008808A4">
      <w:pPr>
        <w:pBdr>
          <w:top w:val="nil"/>
          <w:left w:val="nil"/>
          <w:bottom w:val="nil"/>
          <w:right w:val="nil"/>
          <w:between w:val="nil"/>
        </w:pBdr>
        <w:spacing w:after="0" w:line="240" w:lineRule="auto"/>
        <w:jc w:val="both"/>
        <w:rPr>
          <w:rFonts w:ascii="Arial" w:eastAsia="Arial" w:hAnsi="Arial" w:cs="Arial"/>
          <w:sz w:val="20"/>
          <w:szCs w:val="20"/>
        </w:rPr>
      </w:pPr>
      <w:r w:rsidRPr="008808A4">
        <w:rPr>
          <w:rFonts w:ascii="Arial" w:hAnsi="Arial" w:cs="Arial"/>
          <w:sz w:val="20"/>
          <w:szCs w:val="20"/>
          <w:vertAlign w:val="superscript"/>
        </w:rPr>
        <w:footnoteRef/>
      </w:r>
      <w:r w:rsidRPr="008808A4">
        <w:rPr>
          <w:rFonts w:ascii="Arial" w:eastAsia="Arial" w:hAnsi="Arial" w:cs="Arial"/>
          <w:sz w:val="20"/>
          <w:szCs w:val="20"/>
        </w:rPr>
        <w:t xml:space="preserve"> As guided by the Constitutional Court in </w:t>
      </w:r>
      <w:r w:rsidRPr="008808A4">
        <w:rPr>
          <w:rFonts w:ascii="Arial" w:eastAsia="Arial" w:hAnsi="Arial" w:cs="Arial"/>
          <w:i/>
          <w:sz w:val="20"/>
          <w:szCs w:val="20"/>
        </w:rPr>
        <w:t>S v M</w:t>
      </w:r>
      <w:r w:rsidRPr="008808A4">
        <w:rPr>
          <w:rFonts w:ascii="Arial" w:eastAsia="Arial" w:hAnsi="Arial" w:cs="Arial"/>
          <w:sz w:val="20"/>
          <w:szCs w:val="20"/>
        </w:rPr>
        <w:t xml:space="preserve"> [2007] ZACC 18;</w:t>
      </w:r>
      <w:r>
        <w:rPr>
          <w:rFonts w:ascii="Arial" w:eastAsia="Arial" w:hAnsi="Arial" w:cs="Arial"/>
          <w:sz w:val="20"/>
          <w:szCs w:val="20"/>
        </w:rPr>
        <w:t xml:space="preserve"> </w:t>
      </w:r>
      <w:r w:rsidRPr="008808A4">
        <w:rPr>
          <w:rFonts w:ascii="Arial" w:eastAsia="Arial" w:hAnsi="Arial" w:cs="Arial"/>
          <w:sz w:val="20"/>
          <w:szCs w:val="20"/>
        </w:rPr>
        <w:t>2008 (3) SA 232 (CC)</w:t>
      </w:r>
      <w:r>
        <w:rPr>
          <w:rFonts w:ascii="Arial" w:eastAsia="Arial" w:hAnsi="Arial" w:cs="Arial"/>
          <w:sz w:val="20"/>
          <w:szCs w:val="20"/>
        </w:rPr>
        <w:t>;</w:t>
      </w:r>
      <w:r w:rsidRPr="00D05158">
        <w:t xml:space="preserve"> </w:t>
      </w:r>
      <w:r w:rsidRPr="00D05158">
        <w:rPr>
          <w:rFonts w:ascii="Arial" w:eastAsia="Arial" w:hAnsi="Arial" w:cs="Arial"/>
          <w:sz w:val="20"/>
          <w:szCs w:val="20"/>
        </w:rPr>
        <w:t>2007 (12) BCLR 1312 (CC)</w:t>
      </w:r>
      <w:r>
        <w:rPr>
          <w:rFonts w:ascii="Arial" w:eastAsia="Arial" w:hAnsi="Arial" w:cs="Arial"/>
          <w:sz w:val="20"/>
          <w:szCs w:val="20"/>
        </w:rPr>
        <w:t xml:space="preserve"> paras 28-36</w:t>
      </w:r>
      <w:r w:rsidRPr="008808A4">
        <w:rPr>
          <w:rFonts w:ascii="Arial" w:eastAsia="Arial" w:hAnsi="Arial" w:cs="Arial"/>
          <w:sz w:val="20"/>
          <w:szCs w:val="20"/>
        </w:rPr>
        <w:t>.</w:t>
      </w:r>
    </w:p>
  </w:footnote>
  <w:footnote w:id="28">
    <w:p w14:paraId="3AD1C119" w14:textId="1272AF12" w:rsidR="009C06B6" w:rsidRPr="008808A4" w:rsidRDefault="009C06B6" w:rsidP="009C06B6">
      <w:pPr>
        <w:pStyle w:val="FootnoteText"/>
        <w:jc w:val="both"/>
        <w:rPr>
          <w:rFonts w:ascii="Arial" w:hAnsi="Arial" w:cs="Arial"/>
        </w:rPr>
      </w:pPr>
      <w:r w:rsidRPr="008808A4">
        <w:rPr>
          <w:rStyle w:val="FootnoteReference"/>
          <w:rFonts w:ascii="Arial" w:hAnsi="Arial" w:cs="Arial"/>
        </w:rPr>
        <w:footnoteRef/>
      </w:r>
      <w:r w:rsidRPr="008808A4">
        <w:rPr>
          <w:rFonts w:ascii="Arial" w:hAnsi="Arial" w:cs="Arial"/>
        </w:rPr>
        <w:t xml:space="preserve"> Para</w:t>
      </w:r>
      <w:r w:rsidR="00EF7F91">
        <w:rPr>
          <w:rFonts w:ascii="Arial" w:hAnsi="Arial" w:cs="Arial"/>
        </w:rPr>
        <w:t>graphs</w:t>
      </w:r>
      <w:r w:rsidRPr="008808A4">
        <w:rPr>
          <w:rFonts w:ascii="Arial" w:hAnsi="Arial" w:cs="Arial"/>
        </w:rPr>
        <w:t xml:space="preserve"> </w:t>
      </w:r>
      <w:r w:rsidR="00EF7F91">
        <w:rPr>
          <w:rFonts w:ascii="Arial" w:hAnsi="Arial" w:cs="Arial"/>
        </w:rPr>
        <w:t>2</w:t>
      </w:r>
      <w:r w:rsidRPr="008808A4">
        <w:rPr>
          <w:rFonts w:ascii="Arial" w:hAnsi="Arial" w:cs="Arial"/>
        </w:rPr>
        <w:t xml:space="preserve"> and 10 above: The mother had gone to another village to deliver documents. The grandmother was working in the field.</w:t>
      </w:r>
    </w:p>
  </w:footnote>
  <w:footnote w:id="29">
    <w:p w14:paraId="3CAE2A5D" w14:textId="34A259E8" w:rsidR="000B3510" w:rsidRPr="008808A4" w:rsidRDefault="000B3510" w:rsidP="008808A4">
      <w:pPr>
        <w:pBdr>
          <w:top w:val="nil"/>
          <w:left w:val="nil"/>
          <w:bottom w:val="nil"/>
          <w:right w:val="nil"/>
          <w:between w:val="nil"/>
        </w:pBdr>
        <w:tabs>
          <w:tab w:val="left" w:pos="210"/>
        </w:tabs>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w:t>
      </w:r>
      <w:r w:rsidRPr="008808A4">
        <w:rPr>
          <w:rFonts w:ascii="Arial" w:hAnsi="Arial" w:cs="Arial"/>
          <w:i/>
          <w:sz w:val="20"/>
          <w:szCs w:val="20"/>
        </w:rPr>
        <w:t>S v Matyityi</w:t>
      </w:r>
      <w:r w:rsidRPr="008808A4">
        <w:rPr>
          <w:rFonts w:ascii="Arial" w:hAnsi="Arial" w:cs="Arial"/>
          <w:sz w:val="20"/>
          <w:szCs w:val="20"/>
        </w:rPr>
        <w:t xml:space="preserve"> [2010] ZASCA 127;</w:t>
      </w:r>
      <w:r>
        <w:rPr>
          <w:rFonts w:ascii="Arial" w:hAnsi="Arial" w:cs="Arial"/>
          <w:sz w:val="20"/>
          <w:szCs w:val="20"/>
        </w:rPr>
        <w:t xml:space="preserve"> </w:t>
      </w:r>
      <w:r w:rsidRPr="008808A4">
        <w:rPr>
          <w:rFonts w:ascii="Arial" w:hAnsi="Arial" w:cs="Arial"/>
          <w:sz w:val="20"/>
          <w:szCs w:val="20"/>
        </w:rPr>
        <w:t>2011</w:t>
      </w:r>
      <w:r>
        <w:rPr>
          <w:rFonts w:ascii="Arial" w:hAnsi="Arial" w:cs="Arial"/>
          <w:sz w:val="20"/>
          <w:szCs w:val="20"/>
        </w:rPr>
        <w:t xml:space="preserve"> </w:t>
      </w:r>
      <w:r w:rsidRPr="008808A4">
        <w:rPr>
          <w:rFonts w:ascii="Arial" w:hAnsi="Arial" w:cs="Arial"/>
          <w:sz w:val="20"/>
          <w:szCs w:val="20"/>
        </w:rPr>
        <w:t>(1) SACR 40 (SCA)</w:t>
      </w:r>
      <w:r>
        <w:rPr>
          <w:rFonts w:ascii="Arial" w:hAnsi="Arial" w:cs="Arial"/>
          <w:sz w:val="20"/>
          <w:szCs w:val="20"/>
        </w:rPr>
        <w:t>;</w:t>
      </w:r>
      <w:r w:rsidRPr="0077103C">
        <w:rPr>
          <w:rFonts w:ascii="Arial" w:hAnsi="Arial" w:cs="Arial"/>
          <w:sz w:val="20"/>
          <w:szCs w:val="20"/>
        </w:rPr>
        <w:t xml:space="preserve"> [2010] 2 All SA 424 (SCA)</w:t>
      </w:r>
      <w:r w:rsidRPr="008808A4">
        <w:rPr>
          <w:rFonts w:ascii="Arial" w:hAnsi="Arial" w:cs="Arial"/>
          <w:sz w:val="20"/>
          <w:szCs w:val="20"/>
        </w:rPr>
        <w:t>.</w:t>
      </w:r>
    </w:p>
  </w:footnote>
  <w:footnote w:id="30">
    <w:p w14:paraId="009C0C01" w14:textId="4A291B19" w:rsidR="000B3510" w:rsidRPr="00DB2CD9"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Amada Gouws</w:t>
      </w:r>
      <w:r w:rsidR="00DB2CD9" w:rsidRPr="00DB2CD9">
        <w:t xml:space="preserve"> </w:t>
      </w:r>
      <w:r w:rsidR="00DB2CD9">
        <w:t>‘</w:t>
      </w:r>
      <w:r w:rsidR="00DB2CD9" w:rsidRPr="00DB2CD9">
        <w:rPr>
          <w:rFonts w:ascii="Arial" w:hAnsi="Arial" w:cs="Arial"/>
          <w:sz w:val="20"/>
          <w:szCs w:val="20"/>
        </w:rPr>
        <w:t>Rape is endemic in South Africa. Why the ANC government keeps missing the mark</w:t>
      </w:r>
      <w:r w:rsidR="00DB2CD9">
        <w:rPr>
          <w:rFonts w:ascii="Arial" w:hAnsi="Arial" w:cs="Arial"/>
          <w:sz w:val="20"/>
          <w:szCs w:val="20"/>
        </w:rPr>
        <w:t xml:space="preserve">’ 9 August 2022, </w:t>
      </w:r>
      <w:r w:rsidR="00DB2CD9" w:rsidRPr="00877039">
        <w:rPr>
          <w:rFonts w:ascii="Arial" w:hAnsi="Arial" w:cs="Arial"/>
          <w:i/>
          <w:sz w:val="20"/>
          <w:szCs w:val="20"/>
        </w:rPr>
        <w:t>Mail &amp; Gaurdian</w:t>
      </w:r>
      <w:r w:rsidR="00DB2CD9">
        <w:rPr>
          <w:rFonts w:ascii="Arial" w:hAnsi="Arial" w:cs="Arial"/>
          <w:sz w:val="20"/>
          <w:szCs w:val="20"/>
        </w:rPr>
        <w:t>,</w:t>
      </w:r>
      <w:r w:rsidRPr="008808A4">
        <w:rPr>
          <w:rFonts w:ascii="Arial" w:hAnsi="Arial" w:cs="Arial"/>
          <w:sz w:val="20"/>
          <w:szCs w:val="20"/>
        </w:rPr>
        <w:t xml:space="preserve"> </w:t>
      </w:r>
      <w:r w:rsidR="00DB2CD9" w:rsidRPr="00877039">
        <w:rPr>
          <w:rFonts w:ascii="Arial" w:hAnsi="Arial" w:cs="Arial"/>
          <w:i/>
          <w:sz w:val="20"/>
          <w:szCs w:val="20"/>
        </w:rPr>
        <w:t>https://mg.co.za/opinion/2022-08-09-rape-is-endemic-in-south-africa-why-the-anc-government-keeps-missing-the-mark/</w:t>
      </w:r>
      <w:r w:rsidR="00DB2CD9">
        <w:rPr>
          <w:rFonts w:ascii="Arial" w:hAnsi="Arial" w:cs="Arial"/>
          <w:sz w:val="20"/>
          <w:szCs w:val="20"/>
        </w:rPr>
        <w:t>.</w:t>
      </w:r>
    </w:p>
  </w:footnote>
  <w:footnote w:id="31">
    <w:p w14:paraId="7D852A26" w14:textId="0852C732"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w:t>
      </w:r>
      <w:r w:rsidRPr="008808A4">
        <w:rPr>
          <w:rFonts w:ascii="Arial" w:hAnsi="Arial" w:cs="Arial"/>
          <w:i/>
          <w:sz w:val="20"/>
          <w:szCs w:val="20"/>
        </w:rPr>
        <w:t>S v Jansen</w:t>
      </w:r>
      <w:r w:rsidRPr="008808A4">
        <w:rPr>
          <w:rFonts w:ascii="Arial" w:hAnsi="Arial" w:cs="Arial"/>
          <w:sz w:val="20"/>
          <w:szCs w:val="20"/>
        </w:rPr>
        <w:t xml:space="preserve"> 1999 (2) SACR 3</w:t>
      </w:r>
      <w:r>
        <w:rPr>
          <w:rFonts w:ascii="Arial" w:hAnsi="Arial" w:cs="Arial"/>
          <w:sz w:val="20"/>
          <w:szCs w:val="20"/>
        </w:rPr>
        <w:t>68</w:t>
      </w:r>
      <w:r w:rsidRPr="008808A4">
        <w:rPr>
          <w:rFonts w:ascii="Arial" w:hAnsi="Arial" w:cs="Arial"/>
          <w:sz w:val="20"/>
          <w:szCs w:val="20"/>
        </w:rPr>
        <w:t xml:space="preserve"> (C) at 378</w:t>
      </w:r>
      <w:r>
        <w:rPr>
          <w:rFonts w:ascii="Arial" w:hAnsi="Arial" w:cs="Arial"/>
          <w:sz w:val="20"/>
          <w:szCs w:val="20"/>
        </w:rPr>
        <w:t>G-</w:t>
      </w:r>
      <w:r w:rsidRPr="008808A4">
        <w:rPr>
          <w:rFonts w:ascii="Arial" w:hAnsi="Arial" w:cs="Arial"/>
          <w:sz w:val="20"/>
          <w:szCs w:val="20"/>
        </w:rPr>
        <w:t>379</w:t>
      </w:r>
      <w:r>
        <w:rPr>
          <w:rFonts w:ascii="Arial" w:hAnsi="Arial" w:cs="Arial"/>
          <w:sz w:val="20"/>
          <w:szCs w:val="20"/>
        </w:rPr>
        <w:t>B</w:t>
      </w:r>
      <w:r w:rsidRPr="008808A4">
        <w:rPr>
          <w:rFonts w:ascii="Arial" w:hAnsi="Arial" w:cs="Arial"/>
          <w:sz w:val="20"/>
          <w:szCs w:val="20"/>
        </w:rPr>
        <w:t>.</w:t>
      </w:r>
    </w:p>
  </w:footnote>
  <w:footnote w:id="32">
    <w:p w14:paraId="78AEDEF3" w14:textId="7AA1AADD" w:rsidR="000B3510" w:rsidRPr="008808A4" w:rsidRDefault="000B3510" w:rsidP="008808A4">
      <w:pPr>
        <w:pBdr>
          <w:top w:val="nil"/>
          <w:left w:val="nil"/>
          <w:bottom w:val="nil"/>
          <w:right w:val="nil"/>
          <w:between w:val="nil"/>
        </w:pBdr>
        <w:spacing w:after="0" w:line="240" w:lineRule="auto"/>
        <w:jc w:val="both"/>
        <w:rPr>
          <w:rFonts w:ascii="Arial" w:hAnsi="Arial" w:cs="Arial"/>
          <w:sz w:val="20"/>
          <w:szCs w:val="20"/>
        </w:rPr>
      </w:pPr>
      <w:r w:rsidRPr="008808A4">
        <w:rPr>
          <w:rFonts w:ascii="Arial" w:hAnsi="Arial" w:cs="Arial"/>
          <w:sz w:val="20"/>
          <w:szCs w:val="20"/>
          <w:vertAlign w:val="superscript"/>
        </w:rPr>
        <w:footnoteRef/>
      </w:r>
      <w:r w:rsidRPr="008808A4">
        <w:rPr>
          <w:rFonts w:ascii="Arial" w:hAnsi="Arial" w:cs="Arial"/>
          <w:sz w:val="20"/>
          <w:szCs w:val="20"/>
        </w:rPr>
        <w:t xml:space="preserve"> Thomas B Stoddard </w:t>
      </w:r>
      <w:r w:rsidRPr="000B3510">
        <w:rPr>
          <w:rFonts w:ascii="Arial" w:hAnsi="Arial" w:cs="Arial"/>
          <w:sz w:val="20"/>
          <w:szCs w:val="20"/>
        </w:rPr>
        <w:t>‘Bleeding heart: Reflections on using the law to make social change’</w:t>
      </w:r>
      <w:r w:rsidRPr="008808A4">
        <w:rPr>
          <w:rFonts w:ascii="Arial" w:hAnsi="Arial" w:cs="Arial"/>
          <w:sz w:val="20"/>
          <w:szCs w:val="20"/>
        </w:rPr>
        <w:t xml:space="preserve"> (1997)</w:t>
      </w:r>
      <w:r>
        <w:rPr>
          <w:rFonts w:ascii="Arial" w:hAnsi="Arial" w:cs="Arial"/>
          <w:sz w:val="20"/>
          <w:szCs w:val="20"/>
        </w:rPr>
        <w:t xml:space="preserve"> </w:t>
      </w:r>
      <w:r w:rsidRPr="008808A4">
        <w:rPr>
          <w:rFonts w:ascii="Arial" w:hAnsi="Arial" w:cs="Arial"/>
          <w:sz w:val="20"/>
          <w:szCs w:val="20"/>
        </w:rPr>
        <w:t xml:space="preserve">72 </w:t>
      </w:r>
      <w:r w:rsidRPr="000B3510">
        <w:rPr>
          <w:rFonts w:ascii="Arial" w:hAnsi="Arial" w:cs="Arial"/>
          <w:i/>
          <w:sz w:val="20"/>
          <w:szCs w:val="20"/>
        </w:rPr>
        <w:t>New York University LR</w:t>
      </w:r>
      <w:r w:rsidRPr="008808A4">
        <w:rPr>
          <w:rFonts w:ascii="Arial" w:hAnsi="Arial" w:cs="Arial"/>
          <w:sz w:val="20"/>
          <w:szCs w:val="20"/>
        </w:rPr>
        <w:t xml:space="preserve"> 967 at 971.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837274"/>
      <w:docPartObj>
        <w:docPartGallery w:val="Page Numbers (Top of Page)"/>
        <w:docPartUnique/>
      </w:docPartObj>
    </w:sdtPr>
    <w:sdtEndPr>
      <w:rPr>
        <w:noProof/>
      </w:rPr>
    </w:sdtEndPr>
    <w:sdtContent>
      <w:p w14:paraId="3663F80B" w14:textId="51001D3C" w:rsidR="000B3510" w:rsidRDefault="000B3510">
        <w:pPr>
          <w:pStyle w:val="Header"/>
          <w:jc w:val="right"/>
        </w:pPr>
        <w:r>
          <w:fldChar w:fldCharType="begin"/>
        </w:r>
        <w:r>
          <w:instrText xml:space="preserve"> PAGE   \* MERGEFORMAT </w:instrText>
        </w:r>
        <w:r>
          <w:fldChar w:fldCharType="separate"/>
        </w:r>
        <w:r w:rsidR="004228AF">
          <w:rPr>
            <w:noProof/>
          </w:rPr>
          <w:t>2</w:t>
        </w:r>
        <w:r>
          <w:rPr>
            <w:noProof/>
          </w:rPr>
          <w:fldChar w:fldCharType="end"/>
        </w:r>
      </w:p>
    </w:sdtContent>
  </w:sdt>
  <w:p w14:paraId="3C3A0011" w14:textId="77777777" w:rsidR="000B3510" w:rsidRDefault="000B35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3441"/>
    <w:multiLevelType w:val="hybridMultilevel"/>
    <w:tmpl w:val="98C2F874"/>
    <w:lvl w:ilvl="0" w:tplc="D2D261A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C05E9E"/>
    <w:multiLevelType w:val="hybridMultilevel"/>
    <w:tmpl w:val="104C77CE"/>
    <w:lvl w:ilvl="0" w:tplc="F74831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4641CC2"/>
    <w:multiLevelType w:val="hybridMultilevel"/>
    <w:tmpl w:val="F96A19C2"/>
    <w:lvl w:ilvl="0" w:tplc="038A413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787FF8"/>
    <w:multiLevelType w:val="hybridMultilevel"/>
    <w:tmpl w:val="383262C4"/>
    <w:lvl w:ilvl="0" w:tplc="67E8CEF4">
      <w:start w:val="20"/>
      <w:numFmt w:val="decimal"/>
      <w:lvlText w:val="[%1]"/>
      <w:lvlJc w:val="left"/>
      <w:pPr>
        <w:ind w:left="518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41D0A"/>
    <w:multiLevelType w:val="hybridMultilevel"/>
    <w:tmpl w:val="6BD89606"/>
    <w:lvl w:ilvl="0" w:tplc="9A2C35BE">
      <w:start w:val="19"/>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77CD3"/>
    <w:multiLevelType w:val="hybridMultilevel"/>
    <w:tmpl w:val="8FBEDDEA"/>
    <w:lvl w:ilvl="0" w:tplc="53AE92E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B5A3770"/>
    <w:multiLevelType w:val="hybridMultilevel"/>
    <w:tmpl w:val="B9B6249E"/>
    <w:lvl w:ilvl="0" w:tplc="C11CF582">
      <w:start w:val="1"/>
      <w:numFmt w:val="decimal"/>
      <w:lvlText w:val="[%1]"/>
      <w:lvlJc w:val="left"/>
      <w:pPr>
        <w:ind w:left="5180" w:hanging="360"/>
      </w:pPr>
      <w:rPr>
        <w:rFonts w:ascii="Arial" w:hAnsi="Arial" w:cs="Arial" w:hint="default"/>
        <w:b w:val="0"/>
        <w:i w:val="0"/>
        <w:color w:val="auto"/>
        <w:sz w:val="24"/>
        <w:szCs w:val="24"/>
      </w:rPr>
    </w:lvl>
    <w:lvl w:ilvl="1" w:tplc="4EC2F7B2">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646CE2"/>
    <w:multiLevelType w:val="hybridMultilevel"/>
    <w:tmpl w:val="F39654C4"/>
    <w:lvl w:ilvl="0" w:tplc="D20E08CE">
      <w:start w:val="7"/>
      <w:numFmt w:val="decimal"/>
      <w:lvlText w:val="[%1]"/>
      <w:lvlJc w:val="left"/>
      <w:pPr>
        <w:ind w:left="518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24F4F"/>
    <w:multiLevelType w:val="hybridMultilevel"/>
    <w:tmpl w:val="C03C4AEE"/>
    <w:lvl w:ilvl="0" w:tplc="F9B640D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075359"/>
    <w:multiLevelType w:val="hybridMultilevel"/>
    <w:tmpl w:val="FD6CA6A6"/>
    <w:lvl w:ilvl="0" w:tplc="050286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932080"/>
    <w:multiLevelType w:val="hybridMultilevel"/>
    <w:tmpl w:val="277AF846"/>
    <w:lvl w:ilvl="0" w:tplc="B5EE1F9E">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2035D1"/>
    <w:multiLevelType w:val="hybridMultilevel"/>
    <w:tmpl w:val="3C0E5B1E"/>
    <w:lvl w:ilvl="0" w:tplc="F4341E7E">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2A5D69"/>
    <w:multiLevelType w:val="hybridMultilevel"/>
    <w:tmpl w:val="84680158"/>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9602455"/>
    <w:multiLevelType w:val="hybridMultilevel"/>
    <w:tmpl w:val="034AAD26"/>
    <w:lvl w:ilvl="0" w:tplc="96FCD1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DDC424C"/>
    <w:multiLevelType w:val="hybridMultilevel"/>
    <w:tmpl w:val="44AAB606"/>
    <w:lvl w:ilvl="0" w:tplc="D280293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F270D1"/>
    <w:multiLevelType w:val="hybridMultilevel"/>
    <w:tmpl w:val="7520AADE"/>
    <w:lvl w:ilvl="0" w:tplc="258230C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471965"/>
    <w:multiLevelType w:val="hybridMultilevel"/>
    <w:tmpl w:val="2A008FEE"/>
    <w:lvl w:ilvl="0" w:tplc="3D78A28A">
      <w:start w:val="1"/>
      <w:numFmt w:val="decimal"/>
      <w:lvlText w:val="%1."/>
      <w:lvlJc w:val="left"/>
      <w:pPr>
        <w:ind w:left="405" w:hanging="360"/>
      </w:pPr>
      <w:rPr>
        <w:rFonts w:hint="default"/>
      </w:rPr>
    </w:lvl>
    <w:lvl w:ilvl="1" w:tplc="1C090019">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8" w15:restartNumberingAfterBreak="0">
    <w:nsid w:val="695A7880"/>
    <w:multiLevelType w:val="hybridMultilevel"/>
    <w:tmpl w:val="461C356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B31CD2"/>
    <w:multiLevelType w:val="hybridMultilevel"/>
    <w:tmpl w:val="92D0C2DA"/>
    <w:lvl w:ilvl="0" w:tplc="A4CE1A34">
      <w:start w:val="1"/>
      <w:numFmt w:val="lowerRoman"/>
      <w:lvlText w:val="(%1)"/>
      <w:lvlJc w:val="right"/>
      <w:pPr>
        <w:ind w:left="644" w:hanging="360"/>
      </w:pPr>
      <w:rPr>
        <w:rFonts w:ascii="Times New Roman" w:eastAsiaTheme="minorHAnsi" w:hAnsi="Times New Roman" w:cs="Times New Roman"/>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774A2055"/>
    <w:multiLevelType w:val="hybridMultilevel"/>
    <w:tmpl w:val="1C4859BA"/>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A8C1CDF"/>
    <w:multiLevelType w:val="hybridMultilevel"/>
    <w:tmpl w:val="B16AD53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AF720D1"/>
    <w:multiLevelType w:val="hybridMultilevel"/>
    <w:tmpl w:val="502ABDCA"/>
    <w:lvl w:ilvl="0" w:tplc="8C90F3FE">
      <w:start w:val="30"/>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75E53"/>
    <w:multiLevelType w:val="hybridMultilevel"/>
    <w:tmpl w:val="B0C649F6"/>
    <w:lvl w:ilvl="0" w:tplc="CF4890E4">
      <w:start w:val="35"/>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77D7E"/>
    <w:multiLevelType w:val="hybridMultilevel"/>
    <w:tmpl w:val="4738855A"/>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FC20F3D"/>
    <w:multiLevelType w:val="hybridMultilevel"/>
    <w:tmpl w:val="5EDE000C"/>
    <w:lvl w:ilvl="0" w:tplc="1C090013">
      <w:start w:val="1"/>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0"/>
  </w:num>
  <w:num w:numId="5">
    <w:abstractNumId w:val="1"/>
  </w:num>
  <w:num w:numId="6">
    <w:abstractNumId w:val="15"/>
  </w:num>
  <w:num w:numId="7">
    <w:abstractNumId w:val="3"/>
  </w:num>
  <w:num w:numId="8">
    <w:abstractNumId w:val="25"/>
  </w:num>
  <w:num w:numId="9">
    <w:abstractNumId w:val="9"/>
  </w:num>
  <w:num w:numId="10">
    <w:abstractNumId w:val="19"/>
  </w:num>
  <w:num w:numId="11">
    <w:abstractNumId w:val="11"/>
  </w:num>
  <w:num w:numId="12">
    <w:abstractNumId w:val="13"/>
  </w:num>
  <w:num w:numId="13">
    <w:abstractNumId w:val="0"/>
  </w:num>
  <w:num w:numId="14">
    <w:abstractNumId w:val="7"/>
  </w:num>
  <w:num w:numId="15">
    <w:abstractNumId w:val="6"/>
  </w:num>
  <w:num w:numId="16">
    <w:abstractNumId w:val="20"/>
  </w:num>
  <w:num w:numId="17">
    <w:abstractNumId w:val="18"/>
  </w:num>
  <w:num w:numId="18">
    <w:abstractNumId w:val="5"/>
  </w:num>
  <w:num w:numId="19">
    <w:abstractNumId w:val="22"/>
  </w:num>
  <w:num w:numId="20">
    <w:abstractNumId w:val="8"/>
  </w:num>
  <w:num w:numId="21">
    <w:abstractNumId w:val="4"/>
  </w:num>
  <w:num w:numId="22">
    <w:abstractNumId w:val="23"/>
  </w:num>
  <w:num w:numId="23">
    <w:abstractNumId w:val="21"/>
  </w:num>
  <w:num w:numId="24">
    <w:abstractNumId w:val="14"/>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5D"/>
    <w:rsid w:val="000014C7"/>
    <w:rsid w:val="00002D73"/>
    <w:rsid w:val="00007221"/>
    <w:rsid w:val="00010276"/>
    <w:rsid w:val="000109CB"/>
    <w:rsid w:val="00013F56"/>
    <w:rsid w:val="00014AA1"/>
    <w:rsid w:val="00014AA8"/>
    <w:rsid w:val="00017F04"/>
    <w:rsid w:val="00020CB6"/>
    <w:rsid w:val="00022698"/>
    <w:rsid w:val="000248E0"/>
    <w:rsid w:val="00024F5E"/>
    <w:rsid w:val="00030166"/>
    <w:rsid w:val="00032B3A"/>
    <w:rsid w:val="0003318E"/>
    <w:rsid w:val="00033765"/>
    <w:rsid w:val="000338C2"/>
    <w:rsid w:val="00041E23"/>
    <w:rsid w:val="0004274E"/>
    <w:rsid w:val="00044153"/>
    <w:rsid w:val="00045150"/>
    <w:rsid w:val="00045529"/>
    <w:rsid w:val="000473C2"/>
    <w:rsid w:val="0005447D"/>
    <w:rsid w:val="00056DED"/>
    <w:rsid w:val="00057ECE"/>
    <w:rsid w:val="00061048"/>
    <w:rsid w:val="00062FF5"/>
    <w:rsid w:val="00067315"/>
    <w:rsid w:val="00071E04"/>
    <w:rsid w:val="00074339"/>
    <w:rsid w:val="00074967"/>
    <w:rsid w:val="000750CD"/>
    <w:rsid w:val="00087217"/>
    <w:rsid w:val="000932F8"/>
    <w:rsid w:val="000936D8"/>
    <w:rsid w:val="0009428C"/>
    <w:rsid w:val="00094C51"/>
    <w:rsid w:val="00094C6D"/>
    <w:rsid w:val="00096438"/>
    <w:rsid w:val="00096C7C"/>
    <w:rsid w:val="000A2BA6"/>
    <w:rsid w:val="000A5582"/>
    <w:rsid w:val="000B1347"/>
    <w:rsid w:val="000B13DF"/>
    <w:rsid w:val="000B1B55"/>
    <w:rsid w:val="000B3510"/>
    <w:rsid w:val="000B3596"/>
    <w:rsid w:val="000B36BA"/>
    <w:rsid w:val="000B3ED1"/>
    <w:rsid w:val="000B5B3E"/>
    <w:rsid w:val="000C108C"/>
    <w:rsid w:val="000C18E3"/>
    <w:rsid w:val="000C5430"/>
    <w:rsid w:val="000C63DA"/>
    <w:rsid w:val="000D03D7"/>
    <w:rsid w:val="000D1145"/>
    <w:rsid w:val="000D56AB"/>
    <w:rsid w:val="000D59DB"/>
    <w:rsid w:val="000D5BC1"/>
    <w:rsid w:val="000D6357"/>
    <w:rsid w:val="000D691A"/>
    <w:rsid w:val="000D6EFE"/>
    <w:rsid w:val="000E1BA3"/>
    <w:rsid w:val="000E2F91"/>
    <w:rsid w:val="000E7812"/>
    <w:rsid w:val="000E7D00"/>
    <w:rsid w:val="000F0E57"/>
    <w:rsid w:val="000F16E4"/>
    <w:rsid w:val="000F1FE5"/>
    <w:rsid w:val="000F3CC4"/>
    <w:rsid w:val="000F4BF7"/>
    <w:rsid w:val="00100399"/>
    <w:rsid w:val="001020F7"/>
    <w:rsid w:val="00102B02"/>
    <w:rsid w:val="0010688F"/>
    <w:rsid w:val="001075F6"/>
    <w:rsid w:val="00107CED"/>
    <w:rsid w:val="0011127F"/>
    <w:rsid w:val="00114275"/>
    <w:rsid w:val="00114F45"/>
    <w:rsid w:val="00122306"/>
    <w:rsid w:val="00123229"/>
    <w:rsid w:val="0012454C"/>
    <w:rsid w:val="00126AF5"/>
    <w:rsid w:val="00127F79"/>
    <w:rsid w:val="00130A18"/>
    <w:rsid w:val="00130F74"/>
    <w:rsid w:val="00132700"/>
    <w:rsid w:val="0013619D"/>
    <w:rsid w:val="00137749"/>
    <w:rsid w:val="00140AD3"/>
    <w:rsid w:val="001439E9"/>
    <w:rsid w:val="00146ACE"/>
    <w:rsid w:val="0015279D"/>
    <w:rsid w:val="00152F9A"/>
    <w:rsid w:val="001543A8"/>
    <w:rsid w:val="001552EB"/>
    <w:rsid w:val="001554F1"/>
    <w:rsid w:val="001554F6"/>
    <w:rsid w:val="00156FD7"/>
    <w:rsid w:val="0016042B"/>
    <w:rsid w:val="0016336E"/>
    <w:rsid w:val="00163744"/>
    <w:rsid w:val="00164D6B"/>
    <w:rsid w:val="00164FE6"/>
    <w:rsid w:val="00167D46"/>
    <w:rsid w:val="00171FF2"/>
    <w:rsid w:val="00176416"/>
    <w:rsid w:val="00176B72"/>
    <w:rsid w:val="001775C2"/>
    <w:rsid w:val="001814D8"/>
    <w:rsid w:val="001818F4"/>
    <w:rsid w:val="001834B8"/>
    <w:rsid w:val="0018376C"/>
    <w:rsid w:val="0018621C"/>
    <w:rsid w:val="00190495"/>
    <w:rsid w:val="00196A47"/>
    <w:rsid w:val="001A02F6"/>
    <w:rsid w:val="001A0687"/>
    <w:rsid w:val="001A3BF1"/>
    <w:rsid w:val="001A483B"/>
    <w:rsid w:val="001A4AC2"/>
    <w:rsid w:val="001A5611"/>
    <w:rsid w:val="001A6829"/>
    <w:rsid w:val="001B0067"/>
    <w:rsid w:val="001B3235"/>
    <w:rsid w:val="001B4512"/>
    <w:rsid w:val="001B5C9D"/>
    <w:rsid w:val="001B6B64"/>
    <w:rsid w:val="001C0F51"/>
    <w:rsid w:val="001C0F9B"/>
    <w:rsid w:val="001C415C"/>
    <w:rsid w:val="001C4382"/>
    <w:rsid w:val="001C4CAC"/>
    <w:rsid w:val="001C6F49"/>
    <w:rsid w:val="001C7469"/>
    <w:rsid w:val="001C770A"/>
    <w:rsid w:val="001D0028"/>
    <w:rsid w:val="001D106F"/>
    <w:rsid w:val="001D46B3"/>
    <w:rsid w:val="001E65D8"/>
    <w:rsid w:val="001E7051"/>
    <w:rsid w:val="001E7B29"/>
    <w:rsid w:val="001F09DC"/>
    <w:rsid w:val="001F2ECD"/>
    <w:rsid w:val="001F31F5"/>
    <w:rsid w:val="001F401C"/>
    <w:rsid w:val="001F489D"/>
    <w:rsid w:val="001F4BEB"/>
    <w:rsid w:val="001F543F"/>
    <w:rsid w:val="002002D9"/>
    <w:rsid w:val="002045FA"/>
    <w:rsid w:val="00204C1C"/>
    <w:rsid w:val="00207512"/>
    <w:rsid w:val="00210990"/>
    <w:rsid w:val="0021272F"/>
    <w:rsid w:val="00214AD9"/>
    <w:rsid w:val="002161C7"/>
    <w:rsid w:val="0021757D"/>
    <w:rsid w:val="00217FB9"/>
    <w:rsid w:val="00222533"/>
    <w:rsid w:val="00223313"/>
    <w:rsid w:val="002241BE"/>
    <w:rsid w:val="00224612"/>
    <w:rsid w:val="002247E5"/>
    <w:rsid w:val="00225A08"/>
    <w:rsid w:val="0023070D"/>
    <w:rsid w:val="00232DA4"/>
    <w:rsid w:val="002356B3"/>
    <w:rsid w:val="00237D89"/>
    <w:rsid w:val="00241BA5"/>
    <w:rsid w:val="002424F3"/>
    <w:rsid w:val="00243C4C"/>
    <w:rsid w:val="00244272"/>
    <w:rsid w:val="002444FC"/>
    <w:rsid w:val="00247F07"/>
    <w:rsid w:val="00250A4E"/>
    <w:rsid w:val="002521C7"/>
    <w:rsid w:val="002528CA"/>
    <w:rsid w:val="00253C70"/>
    <w:rsid w:val="002544DE"/>
    <w:rsid w:val="00254C9F"/>
    <w:rsid w:val="002566A1"/>
    <w:rsid w:val="00261977"/>
    <w:rsid w:val="00262CD6"/>
    <w:rsid w:val="00264BB8"/>
    <w:rsid w:val="00265E66"/>
    <w:rsid w:val="00270991"/>
    <w:rsid w:val="00270D06"/>
    <w:rsid w:val="00271307"/>
    <w:rsid w:val="0027183B"/>
    <w:rsid w:val="002721B1"/>
    <w:rsid w:val="002725EC"/>
    <w:rsid w:val="002738A5"/>
    <w:rsid w:val="00273E66"/>
    <w:rsid w:val="00275EA9"/>
    <w:rsid w:val="00282A17"/>
    <w:rsid w:val="002831A8"/>
    <w:rsid w:val="002860BB"/>
    <w:rsid w:val="00286A7A"/>
    <w:rsid w:val="00293802"/>
    <w:rsid w:val="00296CEA"/>
    <w:rsid w:val="002A058A"/>
    <w:rsid w:val="002A17D8"/>
    <w:rsid w:val="002A2464"/>
    <w:rsid w:val="002B03D4"/>
    <w:rsid w:val="002B1BC8"/>
    <w:rsid w:val="002B2B29"/>
    <w:rsid w:val="002B2C9E"/>
    <w:rsid w:val="002B37B9"/>
    <w:rsid w:val="002C0172"/>
    <w:rsid w:val="002C0B1B"/>
    <w:rsid w:val="002C0FCF"/>
    <w:rsid w:val="002C3665"/>
    <w:rsid w:val="002C40D3"/>
    <w:rsid w:val="002C48A5"/>
    <w:rsid w:val="002C5B2E"/>
    <w:rsid w:val="002D0F2D"/>
    <w:rsid w:val="002D18DA"/>
    <w:rsid w:val="002D73F9"/>
    <w:rsid w:val="002D78DF"/>
    <w:rsid w:val="002E00E1"/>
    <w:rsid w:val="002E3015"/>
    <w:rsid w:val="002E53F8"/>
    <w:rsid w:val="002E729C"/>
    <w:rsid w:val="002E7846"/>
    <w:rsid w:val="002F1571"/>
    <w:rsid w:val="002F1B06"/>
    <w:rsid w:val="002F5CC8"/>
    <w:rsid w:val="0030017E"/>
    <w:rsid w:val="00301700"/>
    <w:rsid w:val="00302745"/>
    <w:rsid w:val="003034C0"/>
    <w:rsid w:val="0030391E"/>
    <w:rsid w:val="00303CA6"/>
    <w:rsid w:val="00306C9F"/>
    <w:rsid w:val="0030786E"/>
    <w:rsid w:val="00311293"/>
    <w:rsid w:val="003139EC"/>
    <w:rsid w:val="00322AE3"/>
    <w:rsid w:val="00327DCC"/>
    <w:rsid w:val="003302D0"/>
    <w:rsid w:val="00331DE3"/>
    <w:rsid w:val="00333160"/>
    <w:rsid w:val="00334E90"/>
    <w:rsid w:val="00337955"/>
    <w:rsid w:val="00340132"/>
    <w:rsid w:val="003426D9"/>
    <w:rsid w:val="00342FC3"/>
    <w:rsid w:val="003444CA"/>
    <w:rsid w:val="003473A0"/>
    <w:rsid w:val="00350B03"/>
    <w:rsid w:val="0035137A"/>
    <w:rsid w:val="00353BCD"/>
    <w:rsid w:val="00355374"/>
    <w:rsid w:val="003556F0"/>
    <w:rsid w:val="003557C0"/>
    <w:rsid w:val="00356A80"/>
    <w:rsid w:val="00356C43"/>
    <w:rsid w:val="0036177D"/>
    <w:rsid w:val="00362957"/>
    <w:rsid w:val="00364282"/>
    <w:rsid w:val="00364E73"/>
    <w:rsid w:val="0036662E"/>
    <w:rsid w:val="00366AFA"/>
    <w:rsid w:val="00371DC1"/>
    <w:rsid w:val="00374396"/>
    <w:rsid w:val="003749BE"/>
    <w:rsid w:val="00374DF5"/>
    <w:rsid w:val="00374F18"/>
    <w:rsid w:val="003750B7"/>
    <w:rsid w:val="00382AB2"/>
    <w:rsid w:val="003843A1"/>
    <w:rsid w:val="00387754"/>
    <w:rsid w:val="00393974"/>
    <w:rsid w:val="00393B64"/>
    <w:rsid w:val="00394C3E"/>
    <w:rsid w:val="00396B61"/>
    <w:rsid w:val="003A131E"/>
    <w:rsid w:val="003A1350"/>
    <w:rsid w:val="003A1685"/>
    <w:rsid w:val="003A2C9C"/>
    <w:rsid w:val="003A358F"/>
    <w:rsid w:val="003A3711"/>
    <w:rsid w:val="003A38B8"/>
    <w:rsid w:val="003A432F"/>
    <w:rsid w:val="003A4DD5"/>
    <w:rsid w:val="003A6794"/>
    <w:rsid w:val="003B01C0"/>
    <w:rsid w:val="003B1B20"/>
    <w:rsid w:val="003B4866"/>
    <w:rsid w:val="003B48FE"/>
    <w:rsid w:val="003B60FB"/>
    <w:rsid w:val="003C4395"/>
    <w:rsid w:val="003D1061"/>
    <w:rsid w:val="003D2A8B"/>
    <w:rsid w:val="003D3C8F"/>
    <w:rsid w:val="003D645A"/>
    <w:rsid w:val="003D6933"/>
    <w:rsid w:val="003E0C2D"/>
    <w:rsid w:val="003E1B61"/>
    <w:rsid w:val="003E2993"/>
    <w:rsid w:val="003E338B"/>
    <w:rsid w:val="003E411A"/>
    <w:rsid w:val="003E4C9B"/>
    <w:rsid w:val="003F0F87"/>
    <w:rsid w:val="003F3B92"/>
    <w:rsid w:val="003F3CD6"/>
    <w:rsid w:val="003F49C2"/>
    <w:rsid w:val="003F541D"/>
    <w:rsid w:val="00400A7D"/>
    <w:rsid w:val="004021A6"/>
    <w:rsid w:val="0040252F"/>
    <w:rsid w:val="00402960"/>
    <w:rsid w:val="00410B42"/>
    <w:rsid w:val="00412E66"/>
    <w:rsid w:val="00415EC0"/>
    <w:rsid w:val="0041602E"/>
    <w:rsid w:val="00417484"/>
    <w:rsid w:val="00420893"/>
    <w:rsid w:val="004228AF"/>
    <w:rsid w:val="004245FF"/>
    <w:rsid w:val="004252E4"/>
    <w:rsid w:val="00425A1A"/>
    <w:rsid w:val="00425CC0"/>
    <w:rsid w:val="00426B02"/>
    <w:rsid w:val="00430445"/>
    <w:rsid w:val="00430EB7"/>
    <w:rsid w:val="00433A69"/>
    <w:rsid w:val="00434B47"/>
    <w:rsid w:val="004402B8"/>
    <w:rsid w:val="004429DD"/>
    <w:rsid w:val="0044485D"/>
    <w:rsid w:val="00447B1C"/>
    <w:rsid w:val="00453F32"/>
    <w:rsid w:val="00454903"/>
    <w:rsid w:val="00454D37"/>
    <w:rsid w:val="004572A6"/>
    <w:rsid w:val="00457CDE"/>
    <w:rsid w:val="00463C09"/>
    <w:rsid w:val="0047464B"/>
    <w:rsid w:val="00477D26"/>
    <w:rsid w:val="00481850"/>
    <w:rsid w:val="0048375E"/>
    <w:rsid w:val="00483C69"/>
    <w:rsid w:val="00484A87"/>
    <w:rsid w:val="00487932"/>
    <w:rsid w:val="00492188"/>
    <w:rsid w:val="00495CF0"/>
    <w:rsid w:val="004A1AD4"/>
    <w:rsid w:val="004A6D77"/>
    <w:rsid w:val="004A6FEF"/>
    <w:rsid w:val="004A731D"/>
    <w:rsid w:val="004B09D2"/>
    <w:rsid w:val="004B1F31"/>
    <w:rsid w:val="004C0F34"/>
    <w:rsid w:val="004C3436"/>
    <w:rsid w:val="004D05A8"/>
    <w:rsid w:val="004D102B"/>
    <w:rsid w:val="004D32B9"/>
    <w:rsid w:val="004D645E"/>
    <w:rsid w:val="004D6E6D"/>
    <w:rsid w:val="004D7C93"/>
    <w:rsid w:val="004E2655"/>
    <w:rsid w:val="004E3A85"/>
    <w:rsid w:val="004E4B78"/>
    <w:rsid w:val="004E66E7"/>
    <w:rsid w:val="004F11AC"/>
    <w:rsid w:val="004F4DE5"/>
    <w:rsid w:val="004F6AE9"/>
    <w:rsid w:val="005015C3"/>
    <w:rsid w:val="00501B54"/>
    <w:rsid w:val="00501EDC"/>
    <w:rsid w:val="00502389"/>
    <w:rsid w:val="005026F9"/>
    <w:rsid w:val="00502D72"/>
    <w:rsid w:val="00510084"/>
    <w:rsid w:val="005119C5"/>
    <w:rsid w:val="005127CD"/>
    <w:rsid w:val="00515C34"/>
    <w:rsid w:val="00524329"/>
    <w:rsid w:val="00526277"/>
    <w:rsid w:val="0052794A"/>
    <w:rsid w:val="0053028A"/>
    <w:rsid w:val="0053041B"/>
    <w:rsid w:val="00530CEF"/>
    <w:rsid w:val="005316CE"/>
    <w:rsid w:val="00533F53"/>
    <w:rsid w:val="00535FA9"/>
    <w:rsid w:val="00536B86"/>
    <w:rsid w:val="00540583"/>
    <w:rsid w:val="0054488D"/>
    <w:rsid w:val="00544CB2"/>
    <w:rsid w:val="0054697E"/>
    <w:rsid w:val="005478DA"/>
    <w:rsid w:val="00547BD6"/>
    <w:rsid w:val="00547EB3"/>
    <w:rsid w:val="005502E0"/>
    <w:rsid w:val="005525B5"/>
    <w:rsid w:val="00556958"/>
    <w:rsid w:val="005570AD"/>
    <w:rsid w:val="005574CE"/>
    <w:rsid w:val="0055793D"/>
    <w:rsid w:val="005604A7"/>
    <w:rsid w:val="00560C07"/>
    <w:rsid w:val="0056298E"/>
    <w:rsid w:val="005632E6"/>
    <w:rsid w:val="005666E8"/>
    <w:rsid w:val="00567E5F"/>
    <w:rsid w:val="00567E79"/>
    <w:rsid w:val="0057030F"/>
    <w:rsid w:val="005721E9"/>
    <w:rsid w:val="0057437E"/>
    <w:rsid w:val="00574BCA"/>
    <w:rsid w:val="00576618"/>
    <w:rsid w:val="0058021C"/>
    <w:rsid w:val="005825FB"/>
    <w:rsid w:val="00583871"/>
    <w:rsid w:val="00583A77"/>
    <w:rsid w:val="00586197"/>
    <w:rsid w:val="00587DE5"/>
    <w:rsid w:val="00590486"/>
    <w:rsid w:val="00590B55"/>
    <w:rsid w:val="005928C9"/>
    <w:rsid w:val="005954EC"/>
    <w:rsid w:val="005A5859"/>
    <w:rsid w:val="005A772A"/>
    <w:rsid w:val="005B0819"/>
    <w:rsid w:val="005B13CB"/>
    <w:rsid w:val="005B2206"/>
    <w:rsid w:val="005B50AF"/>
    <w:rsid w:val="005B5162"/>
    <w:rsid w:val="005B6ACA"/>
    <w:rsid w:val="005C1487"/>
    <w:rsid w:val="005C1626"/>
    <w:rsid w:val="005C1954"/>
    <w:rsid w:val="005C35D9"/>
    <w:rsid w:val="005C51FF"/>
    <w:rsid w:val="005C52DA"/>
    <w:rsid w:val="005C799C"/>
    <w:rsid w:val="005D18C7"/>
    <w:rsid w:val="005D1FE4"/>
    <w:rsid w:val="005D3EF3"/>
    <w:rsid w:val="005D64C1"/>
    <w:rsid w:val="005E1245"/>
    <w:rsid w:val="005E1C3C"/>
    <w:rsid w:val="005E7598"/>
    <w:rsid w:val="005E7CFD"/>
    <w:rsid w:val="005F2D82"/>
    <w:rsid w:val="005F4D21"/>
    <w:rsid w:val="005F5A68"/>
    <w:rsid w:val="005F77D5"/>
    <w:rsid w:val="00600C2C"/>
    <w:rsid w:val="0060450A"/>
    <w:rsid w:val="006054A7"/>
    <w:rsid w:val="00616A4E"/>
    <w:rsid w:val="006175B6"/>
    <w:rsid w:val="00621984"/>
    <w:rsid w:val="00621CDE"/>
    <w:rsid w:val="00622734"/>
    <w:rsid w:val="00622FAD"/>
    <w:rsid w:val="00625A06"/>
    <w:rsid w:val="00625A31"/>
    <w:rsid w:val="00627A93"/>
    <w:rsid w:val="00631192"/>
    <w:rsid w:val="00632907"/>
    <w:rsid w:val="00632BA1"/>
    <w:rsid w:val="006332D8"/>
    <w:rsid w:val="00636631"/>
    <w:rsid w:val="00636D58"/>
    <w:rsid w:val="006370FB"/>
    <w:rsid w:val="00640352"/>
    <w:rsid w:val="00643886"/>
    <w:rsid w:val="0064480A"/>
    <w:rsid w:val="00650287"/>
    <w:rsid w:val="0065051F"/>
    <w:rsid w:val="0065259B"/>
    <w:rsid w:val="0065297C"/>
    <w:rsid w:val="00652E1B"/>
    <w:rsid w:val="006548A1"/>
    <w:rsid w:val="00656083"/>
    <w:rsid w:val="00656585"/>
    <w:rsid w:val="00657163"/>
    <w:rsid w:val="00665811"/>
    <w:rsid w:val="00665D9D"/>
    <w:rsid w:val="00667B7C"/>
    <w:rsid w:val="0067260B"/>
    <w:rsid w:val="00672759"/>
    <w:rsid w:val="006727B6"/>
    <w:rsid w:val="00673982"/>
    <w:rsid w:val="00677E89"/>
    <w:rsid w:val="00681953"/>
    <w:rsid w:val="00684136"/>
    <w:rsid w:val="006844EB"/>
    <w:rsid w:val="0068610C"/>
    <w:rsid w:val="00693B0D"/>
    <w:rsid w:val="006954BB"/>
    <w:rsid w:val="00696330"/>
    <w:rsid w:val="006A1D00"/>
    <w:rsid w:val="006A2267"/>
    <w:rsid w:val="006A2BCF"/>
    <w:rsid w:val="006A354F"/>
    <w:rsid w:val="006A3F8C"/>
    <w:rsid w:val="006A47BC"/>
    <w:rsid w:val="006A58D6"/>
    <w:rsid w:val="006B09B2"/>
    <w:rsid w:val="006B1440"/>
    <w:rsid w:val="006B2E7B"/>
    <w:rsid w:val="006B38BC"/>
    <w:rsid w:val="006B3C1D"/>
    <w:rsid w:val="006B4F4C"/>
    <w:rsid w:val="006B63FC"/>
    <w:rsid w:val="006B7AF2"/>
    <w:rsid w:val="006C0007"/>
    <w:rsid w:val="006C12BE"/>
    <w:rsid w:val="006C3228"/>
    <w:rsid w:val="006C376F"/>
    <w:rsid w:val="006C589B"/>
    <w:rsid w:val="006C7A99"/>
    <w:rsid w:val="006D227B"/>
    <w:rsid w:val="006D23C6"/>
    <w:rsid w:val="006D4E5C"/>
    <w:rsid w:val="006E02B5"/>
    <w:rsid w:val="006E473A"/>
    <w:rsid w:val="006E6D98"/>
    <w:rsid w:val="006E7C0F"/>
    <w:rsid w:val="006F191A"/>
    <w:rsid w:val="006F1C15"/>
    <w:rsid w:val="006F262D"/>
    <w:rsid w:val="006F6B49"/>
    <w:rsid w:val="00711D1F"/>
    <w:rsid w:val="007141E5"/>
    <w:rsid w:val="007160FE"/>
    <w:rsid w:val="00716688"/>
    <w:rsid w:val="0071678C"/>
    <w:rsid w:val="00723E8B"/>
    <w:rsid w:val="00730B32"/>
    <w:rsid w:val="00730D05"/>
    <w:rsid w:val="00732126"/>
    <w:rsid w:val="00734067"/>
    <w:rsid w:val="00735310"/>
    <w:rsid w:val="007358DB"/>
    <w:rsid w:val="00737ED4"/>
    <w:rsid w:val="00742474"/>
    <w:rsid w:val="007459B0"/>
    <w:rsid w:val="0074660F"/>
    <w:rsid w:val="0075017A"/>
    <w:rsid w:val="00751B3D"/>
    <w:rsid w:val="007533B1"/>
    <w:rsid w:val="0075557E"/>
    <w:rsid w:val="00757849"/>
    <w:rsid w:val="00760535"/>
    <w:rsid w:val="007645B4"/>
    <w:rsid w:val="00764A3F"/>
    <w:rsid w:val="00765ADF"/>
    <w:rsid w:val="007675F8"/>
    <w:rsid w:val="0077032A"/>
    <w:rsid w:val="0077103C"/>
    <w:rsid w:val="00772235"/>
    <w:rsid w:val="00775D49"/>
    <w:rsid w:val="00780B48"/>
    <w:rsid w:val="007855F3"/>
    <w:rsid w:val="007877E1"/>
    <w:rsid w:val="00792179"/>
    <w:rsid w:val="007923F0"/>
    <w:rsid w:val="00793BFA"/>
    <w:rsid w:val="007A4D3A"/>
    <w:rsid w:val="007A68EC"/>
    <w:rsid w:val="007A71C6"/>
    <w:rsid w:val="007A7EE5"/>
    <w:rsid w:val="007B1ABA"/>
    <w:rsid w:val="007B6A83"/>
    <w:rsid w:val="007C01AE"/>
    <w:rsid w:val="007C01CF"/>
    <w:rsid w:val="007C353F"/>
    <w:rsid w:val="007C44FD"/>
    <w:rsid w:val="007C598C"/>
    <w:rsid w:val="007D0986"/>
    <w:rsid w:val="007D161E"/>
    <w:rsid w:val="007D250C"/>
    <w:rsid w:val="007D2DB7"/>
    <w:rsid w:val="007D2FE5"/>
    <w:rsid w:val="007D33B4"/>
    <w:rsid w:val="007D4390"/>
    <w:rsid w:val="007D6495"/>
    <w:rsid w:val="007D7593"/>
    <w:rsid w:val="007D7786"/>
    <w:rsid w:val="007E0A70"/>
    <w:rsid w:val="007E3674"/>
    <w:rsid w:val="007E4069"/>
    <w:rsid w:val="007E512B"/>
    <w:rsid w:val="007E5196"/>
    <w:rsid w:val="007E57EC"/>
    <w:rsid w:val="007E7B8F"/>
    <w:rsid w:val="007F0FC2"/>
    <w:rsid w:val="007F127C"/>
    <w:rsid w:val="007F22E7"/>
    <w:rsid w:val="007F6224"/>
    <w:rsid w:val="007F7AA2"/>
    <w:rsid w:val="00800504"/>
    <w:rsid w:val="00802684"/>
    <w:rsid w:val="00802989"/>
    <w:rsid w:val="008035F2"/>
    <w:rsid w:val="00803E38"/>
    <w:rsid w:val="00805846"/>
    <w:rsid w:val="00806D2D"/>
    <w:rsid w:val="00810EF0"/>
    <w:rsid w:val="008117B2"/>
    <w:rsid w:val="00811BB4"/>
    <w:rsid w:val="00813D39"/>
    <w:rsid w:val="00817C74"/>
    <w:rsid w:val="00820704"/>
    <w:rsid w:val="0082483E"/>
    <w:rsid w:val="00831243"/>
    <w:rsid w:val="008325E5"/>
    <w:rsid w:val="0083739C"/>
    <w:rsid w:val="00840A4C"/>
    <w:rsid w:val="00841279"/>
    <w:rsid w:val="00846B7E"/>
    <w:rsid w:val="008512B2"/>
    <w:rsid w:val="008545C3"/>
    <w:rsid w:val="008555DF"/>
    <w:rsid w:val="00857B49"/>
    <w:rsid w:val="0086293B"/>
    <w:rsid w:val="00863C00"/>
    <w:rsid w:val="0086680E"/>
    <w:rsid w:val="00867B1E"/>
    <w:rsid w:val="00872535"/>
    <w:rsid w:val="00877039"/>
    <w:rsid w:val="00877C11"/>
    <w:rsid w:val="008808A4"/>
    <w:rsid w:val="00883D12"/>
    <w:rsid w:val="00884368"/>
    <w:rsid w:val="0088504B"/>
    <w:rsid w:val="00885569"/>
    <w:rsid w:val="00887579"/>
    <w:rsid w:val="008877BD"/>
    <w:rsid w:val="008879DD"/>
    <w:rsid w:val="00894761"/>
    <w:rsid w:val="008A04B9"/>
    <w:rsid w:val="008A3026"/>
    <w:rsid w:val="008B1259"/>
    <w:rsid w:val="008B3596"/>
    <w:rsid w:val="008B3844"/>
    <w:rsid w:val="008B3D0A"/>
    <w:rsid w:val="008B4BD6"/>
    <w:rsid w:val="008B7188"/>
    <w:rsid w:val="008C0628"/>
    <w:rsid w:val="008C20BC"/>
    <w:rsid w:val="008C21A5"/>
    <w:rsid w:val="008C2B0C"/>
    <w:rsid w:val="008C69AF"/>
    <w:rsid w:val="008C6E12"/>
    <w:rsid w:val="008C76CC"/>
    <w:rsid w:val="008C7C94"/>
    <w:rsid w:val="008D0200"/>
    <w:rsid w:val="008D0FD7"/>
    <w:rsid w:val="008D2493"/>
    <w:rsid w:val="008D379B"/>
    <w:rsid w:val="008D49AB"/>
    <w:rsid w:val="008D6A46"/>
    <w:rsid w:val="008D7C02"/>
    <w:rsid w:val="008D7CC7"/>
    <w:rsid w:val="008E2F77"/>
    <w:rsid w:val="008E3603"/>
    <w:rsid w:val="008E3F32"/>
    <w:rsid w:val="008E440D"/>
    <w:rsid w:val="008E6586"/>
    <w:rsid w:val="008F1765"/>
    <w:rsid w:val="008F602E"/>
    <w:rsid w:val="008F7A93"/>
    <w:rsid w:val="009059DA"/>
    <w:rsid w:val="0091174F"/>
    <w:rsid w:val="00911911"/>
    <w:rsid w:val="00913DE2"/>
    <w:rsid w:val="00917A90"/>
    <w:rsid w:val="00917E68"/>
    <w:rsid w:val="009217A1"/>
    <w:rsid w:val="009220EF"/>
    <w:rsid w:val="009238CB"/>
    <w:rsid w:val="0092728E"/>
    <w:rsid w:val="00936AB1"/>
    <w:rsid w:val="00943A2A"/>
    <w:rsid w:val="00946094"/>
    <w:rsid w:val="00946821"/>
    <w:rsid w:val="0094726E"/>
    <w:rsid w:val="00947E71"/>
    <w:rsid w:val="00950374"/>
    <w:rsid w:val="00950DBF"/>
    <w:rsid w:val="00952607"/>
    <w:rsid w:val="00952E7A"/>
    <w:rsid w:val="00954F2C"/>
    <w:rsid w:val="00960451"/>
    <w:rsid w:val="009639EC"/>
    <w:rsid w:val="009670E2"/>
    <w:rsid w:val="0097350B"/>
    <w:rsid w:val="00974FAC"/>
    <w:rsid w:val="00975D68"/>
    <w:rsid w:val="009768E8"/>
    <w:rsid w:val="00976C22"/>
    <w:rsid w:val="0098166C"/>
    <w:rsid w:val="009824CF"/>
    <w:rsid w:val="00982A06"/>
    <w:rsid w:val="00983C52"/>
    <w:rsid w:val="00983E9A"/>
    <w:rsid w:val="00984335"/>
    <w:rsid w:val="00984BFD"/>
    <w:rsid w:val="00987B96"/>
    <w:rsid w:val="009924F4"/>
    <w:rsid w:val="00993566"/>
    <w:rsid w:val="0099388E"/>
    <w:rsid w:val="009944D4"/>
    <w:rsid w:val="009950EF"/>
    <w:rsid w:val="00997C88"/>
    <w:rsid w:val="009A024A"/>
    <w:rsid w:val="009A4389"/>
    <w:rsid w:val="009A4B83"/>
    <w:rsid w:val="009B0FCF"/>
    <w:rsid w:val="009B249C"/>
    <w:rsid w:val="009B2705"/>
    <w:rsid w:val="009B521A"/>
    <w:rsid w:val="009B6A20"/>
    <w:rsid w:val="009C06B6"/>
    <w:rsid w:val="009C387A"/>
    <w:rsid w:val="009C40B8"/>
    <w:rsid w:val="009C7B52"/>
    <w:rsid w:val="009D0221"/>
    <w:rsid w:val="009D0C72"/>
    <w:rsid w:val="009D253B"/>
    <w:rsid w:val="009D34C1"/>
    <w:rsid w:val="009D414C"/>
    <w:rsid w:val="009D7CDE"/>
    <w:rsid w:val="009E23D8"/>
    <w:rsid w:val="009E2420"/>
    <w:rsid w:val="009F09A1"/>
    <w:rsid w:val="009F430D"/>
    <w:rsid w:val="009F58D2"/>
    <w:rsid w:val="009F7B30"/>
    <w:rsid w:val="009F7B73"/>
    <w:rsid w:val="00A00596"/>
    <w:rsid w:val="00A00ADF"/>
    <w:rsid w:val="00A02861"/>
    <w:rsid w:val="00A02CFF"/>
    <w:rsid w:val="00A034BC"/>
    <w:rsid w:val="00A03D34"/>
    <w:rsid w:val="00A04147"/>
    <w:rsid w:val="00A05C70"/>
    <w:rsid w:val="00A06531"/>
    <w:rsid w:val="00A06E51"/>
    <w:rsid w:val="00A1009E"/>
    <w:rsid w:val="00A15FE9"/>
    <w:rsid w:val="00A17D3B"/>
    <w:rsid w:val="00A2021E"/>
    <w:rsid w:val="00A21BF2"/>
    <w:rsid w:val="00A21EA4"/>
    <w:rsid w:val="00A21EBF"/>
    <w:rsid w:val="00A22134"/>
    <w:rsid w:val="00A22B6E"/>
    <w:rsid w:val="00A2417C"/>
    <w:rsid w:val="00A24699"/>
    <w:rsid w:val="00A246F3"/>
    <w:rsid w:val="00A2744A"/>
    <w:rsid w:val="00A3051C"/>
    <w:rsid w:val="00A31FD3"/>
    <w:rsid w:val="00A37F46"/>
    <w:rsid w:val="00A4294D"/>
    <w:rsid w:val="00A43138"/>
    <w:rsid w:val="00A437E2"/>
    <w:rsid w:val="00A46779"/>
    <w:rsid w:val="00A47D08"/>
    <w:rsid w:val="00A50EC1"/>
    <w:rsid w:val="00A537DE"/>
    <w:rsid w:val="00A53AB8"/>
    <w:rsid w:val="00A54B9D"/>
    <w:rsid w:val="00A56114"/>
    <w:rsid w:val="00A62919"/>
    <w:rsid w:val="00A63E93"/>
    <w:rsid w:val="00A64702"/>
    <w:rsid w:val="00A652F6"/>
    <w:rsid w:val="00A66336"/>
    <w:rsid w:val="00A67DA0"/>
    <w:rsid w:val="00A7032B"/>
    <w:rsid w:val="00A70E56"/>
    <w:rsid w:val="00A721A7"/>
    <w:rsid w:val="00A7235E"/>
    <w:rsid w:val="00A73133"/>
    <w:rsid w:val="00A75176"/>
    <w:rsid w:val="00A76B4F"/>
    <w:rsid w:val="00A80A45"/>
    <w:rsid w:val="00A8617D"/>
    <w:rsid w:val="00A86929"/>
    <w:rsid w:val="00A86D6B"/>
    <w:rsid w:val="00A93E46"/>
    <w:rsid w:val="00A94A81"/>
    <w:rsid w:val="00A96F9E"/>
    <w:rsid w:val="00A97C4C"/>
    <w:rsid w:val="00AA13E2"/>
    <w:rsid w:val="00AA2BD9"/>
    <w:rsid w:val="00AA44E1"/>
    <w:rsid w:val="00AA453B"/>
    <w:rsid w:val="00AA4B28"/>
    <w:rsid w:val="00AB111E"/>
    <w:rsid w:val="00AB46DC"/>
    <w:rsid w:val="00AB556D"/>
    <w:rsid w:val="00AC2165"/>
    <w:rsid w:val="00AC24FF"/>
    <w:rsid w:val="00AC5000"/>
    <w:rsid w:val="00AD3E4B"/>
    <w:rsid w:val="00AD6BB2"/>
    <w:rsid w:val="00AE192B"/>
    <w:rsid w:val="00AE1E95"/>
    <w:rsid w:val="00AE20A6"/>
    <w:rsid w:val="00AE30D0"/>
    <w:rsid w:val="00AE6F62"/>
    <w:rsid w:val="00AE7A6A"/>
    <w:rsid w:val="00AE7D13"/>
    <w:rsid w:val="00AF2927"/>
    <w:rsid w:val="00AF7E60"/>
    <w:rsid w:val="00B10F73"/>
    <w:rsid w:val="00B12CF4"/>
    <w:rsid w:val="00B13C37"/>
    <w:rsid w:val="00B16F44"/>
    <w:rsid w:val="00B21625"/>
    <w:rsid w:val="00B219BF"/>
    <w:rsid w:val="00B251E6"/>
    <w:rsid w:val="00B261A0"/>
    <w:rsid w:val="00B27AED"/>
    <w:rsid w:val="00B30497"/>
    <w:rsid w:val="00B30CCD"/>
    <w:rsid w:val="00B356C8"/>
    <w:rsid w:val="00B3611A"/>
    <w:rsid w:val="00B37F10"/>
    <w:rsid w:val="00B429CA"/>
    <w:rsid w:val="00B43317"/>
    <w:rsid w:val="00B45BF6"/>
    <w:rsid w:val="00B469ED"/>
    <w:rsid w:val="00B46D0C"/>
    <w:rsid w:val="00B551CB"/>
    <w:rsid w:val="00B62532"/>
    <w:rsid w:val="00B64F42"/>
    <w:rsid w:val="00B65AF1"/>
    <w:rsid w:val="00B66856"/>
    <w:rsid w:val="00B721AC"/>
    <w:rsid w:val="00B74E4C"/>
    <w:rsid w:val="00B752AA"/>
    <w:rsid w:val="00B761D6"/>
    <w:rsid w:val="00B76854"/>
    <w:rsid w:val="00B76A20"/>
    <w:rsid w:val="00B76F92"/>
    <w:rsid w:val="00B77385"/>
    <w:rsid w:val="00B85FB0"/>
    <w:rsid w:val="00B9296C"/>
    <w:rsid w:val="00B93596"/>
    <w:rsid w:val="00B93602"/>
    <w:rsid w:val="00B9453A"/>
    <w:rsid w:val="00B9516F"/>
    <w:rsid w:val="00B9663D"/>
    <w:rsid w:val="00BA0125"/>
    <w:rsid w:val="00BA2DD8"/>
    <w:rsid w:val="00BA3F54"/>
    <w:rsid w:val="00BA688C"/>
    <w:rsid w:val="00BA6AD8"/>
    <w:rsid w:val="00BA7B74"/>
    <w:rsid w:val="00BB02FB"/>
    <w:rsid w:val="00BB0464"/>
    <w:rsid w:val="00BB402A"/>
    <w:rsid w:val="00BB48C0"/>
    <w:rsid w:val="00BB54FC"/>
    <w:rsid w:val="00BB61D5"/>
    <w:rsid w:val="00BC50A3"/>
    <w:rsid w:val="00BC61F5"/>
    <w:rsid w:val="00BD2197"/>
    <w:rsid w:val="00BD2391"/>
    <w:rsid w:val="00BD3034"/>
    <w:rsid w:val="00BD35F6"/>
    <w:rsid w:val="00BD648A"/>
    <w:rsid w:val="00BD6756"/>
    <w:rsid w:val="00BD7C29"/>
    <w:rsid w:val="00BD7FD8"/>
    <w:rsid w:val="00BE0807"/>
    <w:rsid w:val="00BE1927"/>
    <w:rsid w:val="00BE2211"/>
    <w:rsid w:val="00BE23E5"/>
    <w:rsid w:val="00BE2497"/>
    <w:rsid w:val="00BE2C97"/>
    <w:rsid w:val="00BE3229"/>
    <w:rsid w:val="00BE5DBD"/>
    <w:rsid w:val="00BF2261"/>
    <w:rsid w:val="00BF37CC"/>
    <w:rsid w:val="00BF3AAF"/>
    <w:rsid w:val="00BF3FD2"/>
    <w:rsid w:val="00BF4798"/>
    <w:rsid w:val="00BF4F0C"/>
    <w:rsid w:val="00BF6790"/>
    <w:rsid w:val="00BF6AEA"/>
    <w:rsid w:val="00C0001D"/>
    <w:rsid w:val="00C0074E"/>
    <w:rsid w:val="00C04857"/>
    <w:rsid w:val="00C058BB"/>
    <w:rsid w:val="00C05A64"/>
    <w:rsid w:val="00C05D83"/>
    <w:rsid w:val="00C06E16"/>
    <w:rsid w:val="00C10D22"/>
    <w:rsid w:val="00C1311C"/>
    <w:rsid w:val="00C1524B"/>
    <w:rsid w:val="00C154E5"/>
    <w:rsid w:val="00C15D30"/>
    <w:rsid w:val="00C16738"/>
    <w:rsid w:val="00C16B4C"/>
    <w:rsid w:val="00C219AA"/>
    <w:rsid w:val="00C21C5B"/>
    <w:rsid w:val="00C2218F"/>
    <w:rsid w:val="00C23599"/>
    <w:rsid w:val="00C26A7E"/>
    <w:rsid w:val="00C307E2"/>
    <w:rsid w:val="00C30FB8"/>
    <w:rsid w:val="00C31D15"/>
    <w:rsid w:val="00C364BC"/>
    <w:rsid w:val="00C36B5B"/>
    <w:rsid w:val="00C4004B"/>
    <w:rsid w:val="00C401B4"/>
    <w:rsid w:val="00C4163F"/>
    <w:rsid w:val="00C43E4E"/>
    <w:rsid w:val="00C44DCF"/>
    <w:rsid w:val="00C50826"/>
    <w:rsid w:val="00C508D0"/>
    <w:rsid w:val="00C55511"/>
    <w:rsid w:val="00C57261"/>
    <w:rsid w:val="00C6017E"/>
    <w:rsid w:val="00C604DF"/>
    <w:rsid w:val="00C61B7D"/>
    <w:rsid w:val="00C64C42"/>
    <w:rsid w:val="00C6748E"/>
    <w:rsid w:val="00C70CBC"/>
    <w:rsid w:val="00C747AB"/>
    <w:rsid w:val="00C753D8"/>
    <w:rsid w:val="00C815FF"/>
    <w:rsid w:val="00C83FD0"/>
    <w:rsid w:val="00C8570D"/>
    <w:rsid w:val="00C85E0B"/>
    <w:rsid w:val="00C86044"/>
    <w:rsid w:val="00C93454"/>
    <w:rsid w:val="00C94EB5"/>
    <w:rsid w:val="00CA02C6"/>
    <w:rsid w:val="00CA0830"/>
    <w:rsid w:val="00CA1CD6"/>
    <w:rsid w:val="00CA4EA2"/>
    <w:rsid w:val="00CA5A00"/>
    <w:rsid w:val="00CA6816"/>
    <w:rsid w:val="00CA6853"/>
    <w:rsid w:val="00CA6ACC"/>
    <w:rsid w:val="00CB18FB"/>
    <w:rsid w:val="00CB2091"/>
    <w:rsid w:val="00CB21AF"/>
    <w:rsid w:val="00CB38A7"/>
    <w:rsid w:val="00CB3D42"/>
    <w:rsid w:val="00CB4A7F"/>
    <w:rsid w:val="00CB7982"/>
    <w:rsid w:val="00CB7D8A"/>
    <w:rsid w:val="00CC3C8B"/>
    <w:rsid w:val="00CC5C65"/>
    <w:rsid w:val="00CD1E59"/>
    <w:rsid w:val="00CD4F97"/>
    <w:rsid w:val="00CD589E"/>
    <w:rsid w:val="00CD5BB1"/>
    <w:rsid w:val="00CD7940"/>
    <w:rsid w:val="00CE3022"/>
    <w:rsid w:val="00CE3AF2"/>
    <w:rsid w:val="00CE3B42"/>
    <w:rsid w:val="00CE4DDF"/>
    <w:rsid w:val="00CE5F5D"/>
    <w:rsid w:val="00CE76FD"/>
    <w:rsid w:val="00CF0E2E"/>
    <w:rsid w:val="00CF3A8F"/>
    <w:rsid w:val="00CF3CFC"/>
    <w:rsid w:val="00D00233"/>
    <w:rsid w:val="00D024B4"/>
    <w:rsid w:val="00D0356A"/>
    <w:rsid w:val="00D04F5A"/>
    <w:rsid w:val="00D05158"/>
    <w:rsid w:val="00D05352"/>
    <w:rsid w:val="00D06C49"/>
    <w:rsid w:val="00D06E62"/>
    <w:rsid w:val="00D110E2"/>
    <w:rsid w:val="00D1154F"/>
    <w:rsid w:val="00D12888"/>
    <w:rsid w:val="00D14223"/>
    <w:rsid w:val="00D14850"/>
    <w:rsid w:val="00D16160"/>
    <w:rsid w:val="00D167AF"/>
    <w:rsid w:val="00D20C3A"/>
    <w:rsid w:val="00D24D52"/>
    <w:rsid w:val="00D25D4D"/>
    <w:rsid w:val="00D26D43"/>
    <w:rsid w:val="00D308EB"/>
    <w:rsid w:val="00D30938"/>
    <w:rsid w:val="00D31007"/>
    <w:rsid w:val="00D3750A"/>
    <w:rsid w:val="00D434D8"/>
    <w:rsid w:val="00D43984"/>
    <w:rsid w:val="00D468EB"/>
    <w:rsid w:val="00D51041"/>
    <w:rsid w:val="00D52BD6"/>
    <w:rsid w:val="00D533FA"/>
    <w:rsid w:val="00D54E1C"/>
    <w:rsid w:val="00D55F07"/>
    <w:rsid w:val="00D56153"/>
    <w:rsid w:val="00D61735"/>
    <w:rsid w:val="00D64D9C"/>
    <w:rsid w:val="00D66819"/>
    <w:rsid w:val="00D66C95"/>
    <w:rsid w:val="00D70810"/>
    <w:rsid w:val="00D77FC1"/>
    <w:rsid w:val="00D8012F"/>
    <w:rsid w:val="00D809AF"/>
    <w:rsid w:val="00D820BC"/>
    <w:rsid w:val="00D84FA0"/>
    <w:rsid w:val="00D94C9E"/>
    <w:rsid w:val="00D968E6"/>
    <w:rsid w:val="00DA3307"/>
    <w:rsid w:val="00DA36F5"/>
    <w:rsid w:val="00DA46EC"/>
    <w:rsid w:val="00DA612F"/>
    <w:rsid w:val="00DB119C"/>
    <w:rsid w:val="00DB2CD9"/>
    <w:rsid w:val="00DB2F3F"/>
    <w:rsid w:val="00DB33F9"/>
    <w:rsid w:val="00DB7479"/>
    <w:rsid w:val="00DC1DBD"/>
    <w:rsid w:val="00DC4911"/>
    <w:rsid w:val="00DC661B"/>
    <w:rsid w:val="00DC716A"/>
    <w:rsid w:val="00DD3A96"/>
    <w:rsid w:val="00DE24EB"/>
    <w:rsid w:val="00DE26A4"/>
    <w:rsid w:val="00DE41CE"/>
    <w:rsid w:val="00DE4D16"/>
    <w:rsid w:val="00DF0934"/>
    <w:rsid w:val="00DF300B"/>
    <w:rsid w:val="00DF33CA"/>
    <w:rsid w:val="00DF33CB"/>
    <w:rsid w:val="00DF7499"/>
    <w:rsid w:val="00E0177D"/>
    <w:rsid w:val="00E0244A"/>
    <w:rsid w:val="00E05A28"/>
    <w:rsid w:val="00E062F5"/>
    <w:rsid w:val="00E152B1"/>
    <w:rsid w:val="00E16805"/>
    <w:rsid w:val="00E16EFA"/>
    <w:rsid w:val="00E17204"/>
    <w:rsid w:val="00E1760A"/>
    <w:rsid w:val="00E17738"/>
    <w:rsid w:val="00E22441"/>
    <w:rsid w:val="00E23277"/>
    <w:rsid w:val="00E24ED3"/>
    <w:rsid w:val="00E3125C"/>
    <w:rsid w:val="00E31C05"/>
    <w:rsid w:val="00E35264"/>
    <w:rsid w:val="00E35404"/>
    <w:rsid w:val="00E35560"/>
    <w:rsid w:val="00E3665D"/>
    <w:rsid w:val="00E42859"/>
    <w:rsid w:val="00E4574F"/>
    <w:rsid w:val="00E457F3"/>
    <w:rsid w:val="00E45818"/>
    <w:rsid w:val="00E5228F"/>
    <w:rsid w:val="00E544EC"/>
    <w:rsid w:val="00E55E48"/>
    <w:rsid w:val="00E604C5"/>
    <w:rsid w:val="00E6064D"/>
    <w:rsid w:val="00E60663"/>
    <w:rsid w:val="00E613A7"/>
    <w:rsid w:val="00E623B9"/>
    <w:rsid w:val="00E657F5"/>
    <w:rsid w:val="00E67A34"/>
    <w:rsid w:val="00E704C9"/>
    <w:rsid w:val="00E71964"/>
    <w:rsid w:val="00E7343A"/>
    <w:rsid w:val="00E737DF"/>
    <w:rsid w:val="00E7447E"/>
    <w:rsid w:val="00E74BFC"/>
    <w:rsid w:val="00E77926"/>
    <w:rsid w:val="00E82330"/>
    <w:rsid w:val="00E84310"/>
    <w:rsid w:val="00E8435F"/>
    <w:rsid w:val="00E843BB"/>
    <w:rsid w:val="00E845D5"/>
    <w:rsid w:val="00E86B26"/>
    <w:rsid w:val="00E87D5E"/>
    <w:rsid w:val="00E9548B"/>
    <w:rsid w:val="00E971D2"/>
    <w:rsid w:val="00E97766"/>
    <w:rsid w:val="00EA06E9"/>
    <w:rsid w:val="00EA34E1"/>
    <w:rsid w:val="00EA3908"/>
    <w:rsid w:val="00EA4E77"/>
    <w:rsid w:val="00EA5857"/>
    <w:rsid w:val="00EA68C5"/>
    <w:rsid w:val="00EA6CB4"/>
    <w:rsid w:val="00EA72A0"/>
    <w:rsid w:val="00EA74CB"/>
    <w:rsid w:val="00EB0431"/>
    <w:rsid w:val="00EB1937"/>
    <w:rsid w:val="00EB3700"/>
    <w:rsid w:val="00EB404F"/>
    <w:rsid w:val="00EC1D30"/>
    <w:rsid w:val="00EC5A5A"/>
    <w:rsid w:val="00EC5DAB"/>
    <w:rsid w:val="00EC67D8"/>
    <w:rsid w:val="00ED2F36"/>
    <w:rsid w:val="00ED4129"/>
    <w:rsid w:val="00EE527E"/>
    <w:rsid w:val="00EE608B"/>
    <w:rsid w:val="00EE730E"/>
    <w:rsid w:val="00EF4CEF"/>
    <w:rsid w:val="00EF6427"/>
    <w:rsid w:val="00EF7243"/>
    <w:rsid w:val="00EF7862"/>
    <w:rsid w:val="00EF79BC"/>
    <w:rsid w:val="00EF7F91"/>
    <w:rsid w:val="00F00798"/>
    <w:rsid w:val="00F02BFD"/>
    <w:rsid w:val="00F03424"/>
    <w:rsid w:val="00F039AF"/>
    <w:rsid w:val="00F06113"/>
    <w:rsid w:val="00F066DF"/>
    <w:rsid w:val="00F12298"/>
    <w:rsid w:val="00F13284"/>
    <w:rsid w:val="00F162E1"/>
    <w:rsid w:val="00F1734B"/>
    <w:rsid w:val="00F2013B"/>
    <w:rsid w:val="00F21E0E"/>
    <w:rsid w:val="00F23B68"/>
    <w:rsid w:val="00F244D5"/>
    <w:rsid w:val="00F25FDD"/>
    <w:rsid w:val="00F27BA3"/>
    <w:rsid w:val="00F314C5"/>
    <w:rsid w:val="00F3471F"/>
    <w:rsid w:val="00F3494C"/>
    <w:rsid w:val="00F369EE"/>
    <w:rsid w:val="00F376AD"/>
    <w:rsid w:val="00F402EB"/>
    <w:rsid w:val="00F4067C"/>
    <w:rsid w:val="00F40E77"/>
    <w:rsid w:val="00F41E19"/>
    <w:rsid w:val="00F45876"/>
    <w:rsid w:val="00F50E22"/>
    <w:rsid w:val="00F56002"/>
    <w:rsid w:val="00F56879"/>
    <w:rsid w:val="00F56B5E"/>
    <w:rsid w:val="00F56C76"/>
    <w:rsid w:val="00F6060F"/>
    <w:rsid w:val="00F6191E"/>
    <w:rsid w:val="00F7215D"/>
    <w:rsid w:val="00F73FCD"/>
    <w:rsid w:val="00F750C2"/>
    <w:rsid w:val="00F77F18"/>
    <w:rsid w:val="00F80FE2"/>
    <w:rsid w:val="00F81056"/>
    <w:rsid w:val="00F8243B"/>
    <w:rsid w:val="00F842CE"/>
    <w:rsid w:val="00F85B31"/>
    <w:rsid w:val="00F86863"/>
    <w:rsid w:val="00F86DC9"/>
    <w:rsid w:val="00F879E5"/>
    <w:rsid w:val="00F9004C"/>
    <w:rsid w:val="00F90B1B"/>
    <w:rsid w:val="00F9664B"/>
    <w:rsid w:val="00FA0BF9"/>
    <w:rsid w:val="00FA10BF"/>
    <w:rsid w:val="00FA2D46"/>
    <w:rsid w:val="00FA301C"/>
    <w:rsid w:val="00FA3AA7"/>
    <w:rsid w:val="00FA4A95"/>
    <w:rsid w:val="00FB1D10"/>
    <w:rsid w:val="00FB32BC"/>
    <w:rsid w:val="00FB3920"/>
    <w:rsid w:val="00FB3CBB"/>
    <w:rsid w:val="00FB3FA1"/>
    <w:rsid w:val="00FB4114"/>
    <w:rsid w:val="00FB6F21"/>
    <w:rsid w:val="00FD11DD"/>
    <w:rsid w:val="00FD53E1"/>
    <w:rsid w:val="00FD5A7C"/>
    <w:rsid w:val="00FD6215"/>
    <w:rsid w:val="00FE1B59"/>
    <w:rsid w:val="00FE26E2"/>
    <w:rsid w:val="00FE5127"/>
    <w:rsid w:val="00FE51D6"/>
    <w:rsid w:val="00FE5405"/>
    <w:rsid w:val="00FE5820"/>
    <w:rsid w:val="00FE5D4B"/>
    <w:rsid w:val="00FF09DD"/>
    <w:rsid w:val="00FF0EB6"/>
    <w:rsid w:val="00FF1A6B"/>
    <w:rsid w:val="00FF3EFB"/>
    <w:rsid w:val="00FF4833"/>
    <w:rsid w:val="00FF5536"/>
    <w:rsid w:val="00FF68E5"/>
    <w:rsid w:val="00FF7B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07D6"/>
  <w15:chartTrackingRefBased/>
  <w15:docId w15:val="{47FE4E78-7ED6-459F-AC21-FD4BDDBC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4A"/>
    <w:pPr>
      <w:ind w:left="720"/>
      <w:contextualSpacing/>
    </w:pPr>
  </w:style>
  <w:style w:type="paragraph" w:styleId="FootnoteText">
    <w:name w:val="footnote text"/>
    <w:basedOn w:val="Normal"/>
    <w:link w:val="FootnoteTextChar"/>
    <w:uiPriority w:val="99"/>
    <w:unhideWhenUsed/>
    <w:rsid w:val="00652E1B"/>
    <w:pPr>
      <w:spacing w:after="0" w:line="240" w:lineRule="auto"/>
    </w:pPr>
    <w:rPr>
      <w:sz w:val="20"/>
      <w:szCs w:val="20"/>
    </w:rPr>
  </w:style>
  <w:style w:type="character" w:customStyle="1" w:styleId="FootnoteTextChar">
    <w:name w:val="Footnote Text Char"/>
    <w:basedOn w:val="DefaultParagraphFont"/>
    <w:link w:val="FootnoteText"/>
    <w:uiPriority w:val="99"/>
    <w:rsid w:val="00652E1B"/>
    <w:rPr>
      <w:sz w:val="20"/>
      <w:szCs w:val="20"/>
    </w:rPr>
  </w:style>
  <w:style w:type="character" w:styleId="FootnoteReference">
    <w:name w:val="footnote reference"/>
    <w:basedOn w:val="DefaultParagraphFont"/>
    <w:uiPriority w:val="99"/>
    <w:semiHidden/>
    <w:unhideWhenUsed/>
    <w:rsid w:val="00652E1B"/>
    <w:rPr>
      <w:vertAlign w:val="superscript"/>
    </w:rPr>
  </w:style>
  <w:style w:type="paragraph" w:styleId="BalloonText">
    <w:name w:val="Balloon Text"/>
    <w:basedOn w:val="Normal"/>
    <w:link w:val="BalloonTextChar"/>
    <w:uiPriority w:val="99"/>
    <w:semiHidden/>
    <w:unhideWhenUsed/>
    <w:rsid w:val="00261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77"/>
    <w:rPr>
      <w:rFonts w:ascii="Segoe UI" w:hAnsi="Segoe UI" w:cs="Segoe UI"/>
      <w:sz w:val="18"/>
      <w:szCs w:val="18"/>
    </w:rPr>
  </w:style>
  <w:style w:type="paragraph" w:styleId="Header">
    <w:name w:val="header"/>
    <w:basedOn w:val="Normal"/>
    <w:link w:val="HeaderChar"/>
    <w:uiPriority w:val="99"/>
    <w:unhideWhenUsed/>
    <w:rsid w:val="00F12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298"/>
  </w:style>
  <w:style w:type="paragraph" w:styleId="Footer">
    <w:name w:val="footer"/>
    <w:basedOn w:val="Normal"/>
    <w:link w:val="FooterChar"/>
    <w:uiPriority w:val="99"/>
    <w:unhideWhenUsed/>
    <w:rsid w:val="00F12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298"/>
  </w:style>
  <w:style w:type="paragraph" w:styleId="Revision">
    <w:name w:val="Revision"/>
    <w:hidden/>
    <w:uiPriority w:val="99"/>
    <w:semiHidden/>
    <w:rsid w:val="000D03D7"/>
    <w:pPr>
      <w:spacing w:after="0" w:line="240" w:lineRule="auto"/>
    </w:pPr>
  </w:style>
  <w:style w:type="character" w:styleId="CommentReference">
    <w:name w:val="annotation reference"/>
    <w:basedOn w:val="DefaultParagraphFont"/>
    <w:uiPriority w:val="99"/>
    <w:semiHidden/>
    <w:unhideWhenUsed/>
    <w:rsid w:val="00E3125C"/>
    <w:rPr>
      <w:sz w:val="16"/>
      <w:szCs w:val="16"/>
    </w:rPr>
  </w:style>
  <w:style w:type="paragraph" w:styleId="CommentText">
    <w:name w:val="annotation text"/>
    <w:basedOn w:val="Normal"/>
    <w:link w:val="CommentTextChar"/>
    <w:uiPriority w:val="99"/>
    <w:semiHidden/>
    <w:unhideWhenUsed/>
    <w:rsid w:val="00E3125C"/>
    <w:pPr>
      <w:spacing w:line="240" w:lineRule="auto"/>
    </w:pPr>
    <w:rPr>
      <w:sz w:val="20"/>
      <w:szCs w:val="20"/>
    </w:rPr>
  </w:style>
  <w:style w:type="character" w:customStyle="1" w:styleId="CommentTextChar">
    <w:name w:val="Comment Text Char"/>
    <w:basedOn w:val="DefaultParagraphFont"/>
    <w:link w:val="CommentText"/>
    <w:uiPriority w:val="99"/>
    <w:semiHidden/>
    <w:rsid w:val="00E3125C"/>
    <w:rPr>
      <w:sz w:val="20"/>
      <w:szCs w:val="20"/>
    </w:rPr>
  </w:style>
  <w:style w:type="paragraph" w:styleId="CommentSubject">
    <w:name w:val="annotation subject"/>
    <w:basedOn w:val="CommentText"/>
    <w:next w:val="CommentText"/>
    <w:link w:val="CommentSubjectChar"/>
    <w:uiPriority w:val="99"/>
    <w:semiHidden/>
    <w:unhideWhenUsed/>
    <w:rsid w:val="00E3125C"/>
    <w:rPr>
      <w:b/>
      <w:bCs/>
    </w:rPr>
  </w:style>
  <w:style w:type="character" w:customStyle="1" w:styleId="CommentSubjectChar">
    <w:name w:val="Comment Subject Char"/>
    <w:basedOn w:val="CommentTextChar"/>
    <w:link w:val="CommentSubject"/>
    <w:uiPriority w:val="99"/>
    <w:semiHidden/>
    <w:rsid w:val="00E3125C"/>
    <w:rPr>
      <w:b/>
      <w:bCs/>
      <w:sz w:val="20"/>
      <w:szCs w:val="20"/>
    </w:rPr>
  </w:style>
  <w:style w:type="paragraph" w:styleId="ListBullet">
    <w:name w:val="List Bullet"/>
    <w:basedOn w:val="Normal"/>
    <w:uiPriority w:val="99"/>
    <w:unhideWhenUsed/>
    <w:rsid w:val="00BD35F6"/>
    <w:pPr>
      <w:numPr>
        <w:numId w:val="13"/>
      </w:numPr>
      <w:contextualSpacing/>
    </w:pPr>
  </w:style>
  <w:style w:type="character" w:styleId="Hyperlink">
    <w:name w:val="Hyperlink"/>
    <w:basedOn w:val="DefaultParagraphFont"/>
    <w:uiPriority w:val="99"/>
    <w:unhideWhenUsed/>
    <w:rsid w:val="009C40B8"/>
    <w:rPr>
      <w:color w:val="0563C1" w:themeColor="hyperlink"/>
      <w:u w:val="single"/>
    </w:rPr>
  </w:style>
  <w:style w:type="character" w:customStyle="1" w:styleId="Heading2Char">
    <w:name w:val="Heading 2 Char"/>
    <w:basedOn w:val="DefaultParagraphFont"/>
    <w:link w:val="Heading2"/>
    <w:uiPriority w:val="9"/>
    <w:semiHidden/>
    <w:rsid w:val="00943A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9043">
      <w:bodyDiv w:val="1"/>
      <w:marLeft w:val="0"/>
      <w:marRight w:val="0"/>
      <w:marTop w:val="0"/>
      <w:marBottom w:val="0"/>
      <w:divBdr>
        <w:top w:val="none" w:sz="0" w:space="0" w:color="auto"/>
        <w:left w:val="none" w:sz="0" w:space="0" w:color="auto"/>
        <w:bottom w:val="none" w:sz="0" w:space="0" w:color="auto"/>
        <w:right w:val="none" w:sz="0" w:space="0" w:color="auto"/>
      </w:divBdr>
    </w:div>
    <w:div w:id="123739432">
      <w:bodyDiv w:val="1"/>
      <w:marLeft w:val="0"/>
      <w:marRight w:val="0"/>
      <w:marTop w:val="0"/>
      <w:marBottom w:val="0"/>
      <w:divBdr>
        <w:top w:val="none" w:sz="0" w:space="0" w:color="auto"/>
        <w:left w:val="none" w:sz="0" w:space="0" w:color="auto"/>
        <w:bottom w:val="none" w:sz="0" w:space="0" w:color="auto"/>
        <w:right w:val="none" w:sz="0" w:space="0" w:color="auto"/>
      </w:divBdr>
    </w:div>
    <w:div w:id="466436008">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633631176">
      <w:bodyDiv w:val="1"/>
      <w:marLeft w:val="0"/>
      <w:marRight w:val="0"/>
      <w:marTop w:val="0"/>
      <w:marBottom w:val="0"/>
      <w:divBdr>
        <w:top w:val="none" w:sz="0" w:space="0" w:color="auto"/>
        <w:left w:val="none" w:sz="0" w:space="0" w:color="auto"/>
        <w:bottom w:val="none" w:sz="0" w:space="0" w:color="auto"/>
        <w:right w:val="none" w:sz="0" w:space="0" w:color="auto"/>
      </w:divBdr>
    </w:div>
    <w:div w:id="20942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EA8D-C61A-4631-AEE9-E3A651F5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6508</Words>
  <Characters>37098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Zeenat Carelse</dc:creator>
  <cp:keywords/>
  <dc:description/>
  <cp:lastModifiedBy>Ayanda Mdletshe</cp:lastModifiedBy>
  <cp:revision>2</cp:revision>
  <cp:lastPrinted>2022-12-13T10:07:00Z</cp:lastPrinted>
  <dcterms:created xsi:type="dcterms:W3CDTF">2023-02-06T07:47:00Z</dcterms:created>
  <dcterms:modified xsi:type="dcterms:W3CDTF">2023-02-06T07:47:00Z</dcterms:modified>
</cp:coreProperties>
</file>