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B7A2" w14:textId="4DAE8EFA" w:rsidR="00C01CA5" w:rsidRPr="00CE2804" w:rsidRDefault="009305CD">
      <w:pPr>
        <w:rPr>
          <w:rFonts w:ascii="Arial" w:eastAsia="Arial" w:hAnsi="Arial" w:cs="Arial"/>
        </w:rPr>
      </w:pPr>
      <w:bookmarkStart w:id="0" w:name="_GoBack"/>
      <w:bookmarkEnd w:id="0"/>
      <w:r w:rsidRPr="00CE2804">
        <w:rPr>
          <w:rFonts w:ascii="Arial" w:hAnsi="Arial" w:cs="Arial"/>
          <w:noProof/>
          <w:lang w:val="en-ZA"/>
        </w:rPr>
        <w:drawing>
          <wp:anchor distT="0" distB="0" distL="114300" distR="114300" simplePos="0" relativeHeight="251658240" behindDoc="0" locked="0" layoutInCell="1" hidden="0" allowOverlap="1" wp14:anchorId="6B9D49ED" wp14:editId="274CA509">
            <wp:simplePos x="0" y="0"/>
            <wp:positionH relativeFrom="page">
              <wp:align>center</wp:align>
            </wp:positionH>
            <wp:positionV relativeFrom="paragraph">
              <wp:posOffset>229</wp:posOffset>
            </wp:positionV>
            <wp:extent cx="799200" cy="914400"/>
            <wp:effectExtent l="0" t="0" r="127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9200" cy="914400"/>
                    </a:xfrm>
                    <a:prstGeom prst="rect">
                      <a:avLst/>
                    </a:prstGeom>
                    <a:ln/>
                  </pic:spPr>
                </pic:pic>
              </a:graphicData>
            </a:graphic>
            <wp14:sizeRelH relativeFrom="margin">
              <wp14:pctWidth>0</wp14:pctWidth>
            </wp14:sizeRelH>
          </wp:anchor>
        </w:drawing>
      </w:r>
    </w:p>
    <w:p w14:paraId="63AE824A" w14:textId="77777777" w:rsidR="00C01CA5" w:rsidRPr="00CE2804" w:rsidRDefault="00C01CA5">
      <w:pPr>
        <w:jc w:val="center"/>
        <w:rPr>
          <w:rFonts w:ascii="Arial" w:eastAsia="Arial" w:hAnsi="Arial" w:cs="Arial"/>
          <w:b/>
        </w:rPr>
      </w:pPr>
    </w:p>
    <w:p w14:paraId="38C932D1" w14:textId="77777777" w:rsidR="00C01CA5" w:rsidRPr="00CE2804" w:rsidRDefault="00C01CA5">
      <w:pPr>
        <w:jc w:val="center"/>
        <w:rPr>
          <w:rFonts w:ascii="Arial" w:eastAsia="Arial" w:hAnsi="Arial" w:cs="Arial"/>
          <w:b/>
        </w:rPr>
      </w:pPr>
    </w:p>
    <w:p w14:paraId="730D5951" w14:textId="05DB8D2B" w:rsidR="00C01CA5" w:rsidRPr="00CE2804" w:rsidRDefault="00C01CA5" w:rsidP="009305CD">
      <w:pPr>
        <w:rPr>
          <w:rFonts w:ascii="Arial" w:eastAsia="Arial" w:hAnsi="Arial" w:cs="Arial"/>
          <w:b/>
        </w:rPr>
      </w:pPr>
    </w:p>
    <w:p w14:paraId="62286F1C" w14:textId="77777777" w:rsidR="00C01CA5" w:rsidRPr="00CE2804" w:rsidRDefault="00992725" w:rsidP="0030235B">
      <w:pPr>
        <w:jc w:val="center"/>
        <w:rPr>
          <w:rFonts w:ascii="Arial" w:eastAsia="Arial" w:hAnsi="Arial" w:cs="Arial"/>
          <w:b/>
        </w:rPr>
      </w:pPr>
      <w:r w:rsidRPr="00CE2804">
        <w:rPr>
          <w:rFonts w:ascii="Arial" w:eastAsia="Arial" w:hAnsi="Arial" w:cs="Arial"/>
          <w:b/>
        </w:rPr>
        <w:t>THE SUPREME COURT OF APPEAL OF SOUTH AFRICA</w:t>
      </w:r>
    </w:p>
    <w:p w14:paraId="38DA982C" w14:textId="741627A6" w:rsidR="00C01CA5" w:rsidRPr="00CE2804" w:rsidRDefault="00992725" w:rsidP="0030235B">
      <w:pPr>
        <w:pStyle w:val="Heading3"/>
        <w:jc w:val="center"/>
        <w:rPr>
          <w:b/>
          <w:i w:val="0"/>
          <w:sz w:val="24"/>
          <w:szCs w:val="24"/>
        </w:rPr>
      </w:pPr>
      <w:r w:rsidRPr="00CE2804">
        <w:rPr>
          <w:b/>
          <w:i w:val="0"/>
          <w:sz w:val="24"/>
          <w:szCs w:val="24"/>
        </w:rPr>
        <w:t>JUDGMENT</w:t>
      </w:r>
    </w:p>
    <w:p w14:paraId="350C94FF" w14:textId="2553E071" w:rsidR="00C01CA5" w:rsidRPr="00CE2804" w:rsidRDefault="00992725" w:rsidP="0030235B">
      <w:pPr>
        <w:jc w:val="right"/>
        <w:rPr>
          <w:rFonts w:ascii="Arial" w:eastAsia="Arial" w:hAnsi="Arial" w:cs="Arial"/>
          <w:b/>
        </w:rPr>
      </w:pPr>
      <w:r w:rsidRPr="00CE2804">
        <w:rPr>
          <w:rFonts w:ascii="Arial" w:eastAsia="Arial" w:hAnsi="Arial" w:cs="Arial"/>
          <w:b/>
        </w:rPr>
        <w:t>Not reportable</w:t>
      </w:r>
    </w:p>
    <w:p w14:paraId="3EBCB947" w14:textId="55726A5B" w:rsidR="00C01CA5" w:rsidRPr="00CE2804" w:rsidRDefault="00992725" w:rsidP="0030235B">
      <w:pPr>
        <w:jc w:val="right"/>
        <w:rPr>
          <w:rFonts w:ascii="Arial" w:eastAsia="Arial" w:hAnsi="Arial" w:cs="Arial"/>
        </w:rPr>
      </w:pPr>
      <w:r w:rsidRPr="00CE2804">
        <w:rPr>
          <w:rFonts w:ascii="Arial" w:eastAsia="Arial" w:hAnsi="Arial" w:cs="Arial"/>
        </w:rPr>
        <w:t xml:space="preserve">Case no: </w:t>
      </w:r>
      <w:r w:rsidR="008B24F2" w:rsidRPr="00CE2804">
        <w:rPr>
          <w:rFonts w:ascii="Arial" w:eastAsia="Arial" w:hAnsi="Arial" w:cs="Arial"/>
        </w:rPr>
        <w:t>104</w:t>
      </w:r>
      <w:r w:rsidRPr="00CE2804">
        <w:rPr>
          <w:rFonts w:ascii="Arial" w:eastAsia="Arial" w:hAnsi="Arial" w:cs="Arial"/>
        </w:rPr>
        <w:t>/202</w:t>
      </w:r>
      <w:r w:rsidR="008B24F2" w:rsidRPr="00CE2804">
        <w:rPr>
          <w:rFonts w:ascii="Arial" w:eastAsia="Arial" w:hAnsi="Arial" w:cs="Arial"/>
        </w:rPr>
        <w:t>2</w:t>
      </w:r>
    </w:p>
    <w:p w14:paraId="1519F1B0" w14:textId="56BD39B8" w:rsidR="00EA12AB" w:rsidRPr="00CE2804" w:rsidRDefault="00EA12AB" w:rsidP="0030235B">
      <w:pPr>
        <w:widowControl w:val="0"/>
        <w:tabs>
          <w:tab w:val="right" w:pos="9360"/>
        </w:tabs>
        <w:rPr>
          <w:rFonts w:ascii="Arial" w:eastAsia="Arial" w:hAnsi="Arial" w:cs="Arial"/>
          <w:b/>
        </w:rPr>
      </w:pPr>
      <w:r w:rsidRPr="00CE2804">
        <w:rPr>
          <w:rFonts w:ascii="Arial" w:eastAsia="Arial" w:hAnsi="Arial" w:cs="Arial"/>
        </w:rPr>
        <w:t xml:space="preserve">In the matter between: </w:t>
      </w:r>
    </w:p>
    <w:p w14:paraId="5A2162E9" w14:textId="2D3A474F" w:rsidR="00C01CA5" w:rsidRPr="00CE2804" w:rsidRDefault="00EA12AB" w:rsidP="00812264">
      <w:pPr>
        <w:pStyle w:val="NoSpacing"/>
        <w:tabs>
          <w:tab w:val="right" w:pos="9026"/>
        </w:tabs>
        <w:spacing w:line="276" w:lineRule="auto"/>
        <w:rPr>
          <w:rFonts w:ascii="Arial" w:eastAsia="Arial" w:hAnsi="Arial" w:cs="Arial"/>
          <w:b/>
        </w:rPr>
      </w:pPr>
      <w:r w:rsidRPr="00CE2804">
        <w:rPr>
          <w:rFonts w:ascii="Arial" w:hAnsi="Arial" w:cs="Arial"/>
          <w:b/>
        </w:rPr>
        <w:t>SOLIDARITEIT HELPENDE HAND NPC</w:t>
      </w:r>
      <w:r w:rsidR="0030235B" w:rsidRPr="00CE2804">
        <w:rPr>
          <w:rFonts w:ascii="Arial" w:eastAsia="Arial" w:hAnsi="Arial" w:cs="Arial"/>
          <w:b/>
        </w:rPr>
        <w:tab/>
      </w:r>
      <w:r w:rsidRPr="00CE2804">
        <w:rPr>
          <w:rFonts w:ascii="Arial" w:eastAsia="Arial" w:hAnsi="Arial" w:cs="Arial"/>
          <w:b/>
        </w:rPr>
        <w:t>FIRST APPELLANT</w:t>
      </w:r>
    </w:p>
    <w:p w14:paraId="45A467DA" w14:textId="65FB0C68" w:rsidR="008B24F2" w:rsidRPr="00CE2804" w:rsidRDefault="00EA12AB" w:rsidP="00812264">
      <w:pPr>
        <w:pStyle w:val="NoSpacing"/>
        <w:tabs>
          <w:tab w:val="right" w:pos="9026"/>
        </w:tabs>
        <w:spacing w:before="240" w:line="276" w:lineRule="auto"/>
        <w:rPr>
          <w:rFonts w:ascii="Arial" w:eastAsia="Arial" w:hAnsi="Arial" w:cs="Arial"/>
          <w:b/>
        </w:rPr>
      </w:pPr>
      <w:r w:rsidRPr="00CE2804">
        <w:rPr>
          <w:rFonts w:ascii="Arial" w:hAnsi="Arial" w:cs="Arial"/>
          <w:b/>
        </w:rPr>
        <w:t>SOUTH AFRICAN NATIONAL CHRISTIAN FORUM</w:t>
      </w:r>
      <w:r w:rsidR="0030235B" w:rsidRPr="00CE2804">
        <w:rPr>
          <w:rFonts w:ascii="Arial" w:eastAsia="Arial" w:hAnsi="Arial" w:cs="Arial"/>
          <w:b/>
        </w:rPr>
        <w:tab/>
      </w:r>
      <w:r w:rsidRPr="00CE2804">
        <w:rPr>
          <w:rFonts w:ascii="Arial" w:eastAsia="Arial" w:hAnsi="Arial" w:cs="Arial"/>
          <w:b/>
        </w:rPr>
        <w:t>SECOND APPELLANT</w:t>
      </w:r>
    </w:p>
    <w:p w14:paraId="4DDC7017" w14:textId="171D121E" w:rsidR="00C01CA5" w:rsidRPr="00CE2804" w:rsidRDefault="00EA12AB" w:rsidP="00812264">
      <w:pPr>
        <w:pStyle w:val="NoSpacing"/>
        <w:tabs>
          <w:tab w:val="right" w:pos="9026"/>
        </w:tabs>
        <w:spacing w:before="240" w:line="276" w:lineRule="auto"/>
        <w:rPr>
          <w:rFonts w:ascii="Arial" w:eastAsia="Arial" w:hAnsi="Arial" w:cs="Arial"/>
          <w:b/>
        </w:rPr>
      </w:pPr>
      <w:r w:rsidRPr="00CE2804">
        <w:rPr>
          <w:rFonts w:ascii="Arial" w:eastAsia="Arial" w:hAnsi="Arial" w:cs="Arial"/>
          <w:b/>
        </w:rPr>
        <w:t>MUSLIM LAWYERS ASSOCIATION</w:t>
      </w:r>
      <w:r w:rsidR="00CE3E4E" w:rsidRPr="00CE2804">
        <w:rPr>
          <w:rFonts w:ascii="Arial" w:eastAsia="Arial" w:hAnsi="Arial" w:cs="Arial"/>
          <w:b/>
        </w:rPr>
        <w:tab/>
        <w:t xml:space="preserve">    </w:t>
      </w:r>
      <w:r w:rsidR="00D835B6" w:rsidRPr="00CE2804">
        <w:rPr>
          <w:rFonts w:ascii="Arial" w:eastAsia="Arial" w:hAnsi="Arial" w:cs="Arial"/>
          <w:b/>
        </w:rPr>
        <w:t>THIRD APPELLANT</w:t>
      </w:r>
    </w:p>
    <w:p w14:paraId="6FBF61F3" w14:textId="220ECF08" w:rsidR="0030235B" w:rsidRPr="00CE2804" w:rsidRDefault="0030235B" w:rsidP="00812264">
      <w:pPr>
        <w:pStyle w:val="NoSpacing"/>
        <w:spacing w:line="276" w:lineRule="auto"/>
        <w:rPr>
          <w:rFonts w:ascii="Arial" w:eastAsia="Arial" w:hAnsi="Arial" w:cs="Arial"/>
          <w:b/>
        </w:rPr>
      </w:pPr>
    </w:p>
    <w:p w14:paraId="7F9EF04E" w14:textId="77777777" w:rsidR="0030235B" w:rsidRPr="00CE2804" w:rsidRDefault="0030235B" w:rsidP="00812264">
      <w:pPr>
        <w:pStyle w:val="NoSpacing"/>
        <w:spacing w:line="276" w:lineRule="auto"/>
        <w:rPr>
          <w:rFonts w:ascii="Arial" w:eastAsia="Arial" w:hAnsi="Arial" w:cs="Arial"/>
        </w:rPr>
      </w:pPr>
      <w:r w:rsidRPr="00CE2804">
        <w:rPr>
          <w:rFonts w:ascii="Arial" w:eastAsia="Arial" w:hAnsi="Arial" w:cs="Arial"/>
        </w:rPr>
        <w:t>and</w:t>
      </w:r>
    </w:p>
    <w:p w14:paraId="2D292BAA" w14:textId="61CBD7A9" w:rsidR="0030235B" w:rsidRPr="00CE2804" w:rsidRDefault="0030235B" w:rsidP="00812264">
      <w:pPr>
        <w:pStyle w:val="NoSpacing"/>
        <w:spacing w:line="276" w:lineRule="auto"/>
        <w:rPr>
          <w:rFonts w:ascii="Arial" w:eastAsia="Arial" w:hAnsi="Arial" w:cs="Arial"/>
          <w:b/>
        </w:rPr>
      </w:pPr>
    </w:p>
    <w:p w14:paraId="07F0F5EF" w14:textId="1B853287" w:rsidR="008B24F2" w:rsidRPr="00CE2804" w:rsidRDefault="008B24F2" w:rsidP="00812264">
      <w:pPr>
        <w:pStyle w:val="NoSpacing"/>
        <w:spacing w:line="276" w:lineRule="auto"/>
        <w:rPr>
          <w:rFonts w:ascii="Arial" w:eastAsia="Arial" w:hAnsi="Arial" w:cs="Arial"/>
          <w:b/>
        </w:rPr>
      </w:pPr>
      <w:r w:rsidRPr="00CE2804">
        <w:rPr>
          <w:rFonts w:ascii="Arial" w:eastAsia="Arial" w:hAnsi="Arial" w:cs="Arial"/>
          <w:b/>
        </w:rPr>
        <w:t>MINISTER OF COOPERA</w:t>
      </w:r>
      <w:r w:rsidR="0030235B" w:rsidRPr="00CE2804">
        <w:rPr>
          <w:rFonts w:ascii="Arial" w:eastAsia="Arial" w:hAnsi="Arial" w:cs="Arial"/>
          <w:b/>
        </w:rPr>
        <w:t>T</w:t>
      </w:r>
      <w:r w:rsidRPr="00CE2804">
        <w:rPr>
          <w:rFonts w:ascii="Arial" w:eastAsia="Arial" w:hAnsi="Arial" w:cs="Arial"/>
          <w:b/>
        </w:rPr>
        <w:t>IVE GOVERNANCE</w:t>
      </w:r>
    </w:p>
    <w:p w14:paraId="4E078CA4" w14:textId="502691C1" w:rsidR="008B24F2" w:rsidRPr="00CE2804" w:rsidRDefault="008B24F2" w:rsidP="00812264">
      <w:pPr>
        <w:pStyle w:val="NoSpacing"/>
        <w:tabs>
          <w:tab w:val="right" w:pos="9026"/>
        </w:tabs>
        <w:spacing w:line="276" w:lineRule="auto"/>
        <w:rPr>
          <w:rFonts w:ascii="Arial" w:eastAsia="Arial" w:hAnsi="Arial" w:cs="Arial"/>
          <w:b/>
        </w:rPr>
      </w:pPr>
      <w:r w:rsidRPr="00CE2804">
        <w:rPr>
          <w:rFonts w:ascii="Arial" w:eastAsia="Arial" w:hAnsi="Arial" w:cs="Arial"/>
          <w:b/>
        </w:rPr>
        <w:t>AND TRADITIONAL AFFAIRS</w:t>
      </w:r>
      <w:r w:rsidR="00D835B6" w:rsidRPr="00CE2804">
        <w:rPr>
          <w:rFonts w:ascii="Arial" w:eastAsia="Arial" w:hAnsi="Arial" w:cs="Arial"/>
          <w:b/>
        </w:rPr>
        <w:tab/>
        <w:t xml:space="preserve"> RESPONDENT</w:t>
      </w:r>
    </w:p>
    <w:p w14:paraId="71E9E8D0" w14:textId="5FDF99CC" w:rsidR="00C01CA5" w:rsidRPr="00CE2804" w:rsidRDefault="00D835B6" w:rsidP="0030235B">
      <w:pPr>
        <w:pStyle w:val="NoSpacing"/>
        <w:rPr>
          <w:rFonts w:ascii="Arial" w:eastAsia="Arial" w:hAnsi="Arial" w:cs="Arial"/>
          <w:i/>
        </w:rPr>
      </w:pPr>
      <w:r w:rsidRPr="00CE2804">
        <w:rPr>
          <w:rFonts w:ascii="Arial" w:eastAsia="Arial" w:hAnsi="Arial" w:cs="Arial"/>
          <w:b/>
        </w:rPr>
        <w:tab/>
      </w:r>
    </w:p>
    <w:p w14:paraId="359566A7" w14:textId="20C0EE87" w:rsidR="00C01CA5" w:rsidRPr="00CE2804" w:rsidRDefault="00992725" w:rsidP="00812264">
      <w:pPr>
        <w:spacing w:before="240"/>
        <w:ind w:left="2160" w:right="26" w:hanging="2160"/>
        <w:rPr>
          <w:rFonts w:ascii="Arial" w:eastAsia="Arial" w:hAnsi="Arial" w:cs="Arial"/>
          <w:i/>
        </w:rPr>
      </w:pPr>
      <w:r w:rsidRPr="00CE2804">
        <w:rPr>
          <w:rFonts w:ascii="Arial" w:eastAsia="Arial" w:hAnsi="Arial" w:cs="Arial"/>
          <w:b/>
        </w:rPr>
        <w:t>Ne</w:t>
      </w:r>
      <w:r w:rsidR="00126AC6" w:rsidRPr="00CE2804">
        <w:rPr>
          <w:rFonts w:ascii="Arial" w:eastAsia="Arial" w:hAnsi="Arial" w:cs="Arial"/>
          <w:b/>
        </w:rPr>
        <w:t xml:space="preserve">utral citation: </w:t>
      </w:r>
      <w:r w:rsidR="0030235B" w:rsidRPr="00CE2804">
        <w:rPr>
          <w:rFonts w:ascii="Arial" w:eastAsia="Arial" w:hAnsi="Arial" w:cs="Arial"/>
          <w:b/>
        </w:rPr>
        <w:tab/>
      </w:r>
      <w:proofErr w:type="spellStart"/>
      <w:r w:rsidR="006D2A1E" w:rsidRPr="00CE2804">
        <w:rPr>
          <w:rFonts w:ascii="Arial" w:eastAsia="Arial" w:hAnsi="Arial" w:cs="Arial"/>
          <w:i/>
        </w:rPr>
        <w:t>Solida</w:t>
      </w:r>
      <w:r w:rsidR="005F6120" w:rsidRPr="00CE2804">
        <w:rPr>
          <w:rFonts w:ascii="Arial" w:eastAsia="Arial" w:hAnsi="Arial" w:cs="Arial"/>
          <w:i/>
        </w:rPr>
        <w:t>riteit</w:t>
      </w:r>
      <w:proofErr w:type="spellEnd"/>
      <w:r w:rsidR="005F6120" w:rsidRPr="00CE2804">
        <w:rPr>
          <w:rFonts w:ascii="Arial" w:eastAsia="Arial" w:hAnsi="Arial" w:cs="Arial"/>
          <w:i/>
        </w:rPr>
        <w:t xml:space="preserve"> </w:t>
      </w:r>
      <w:proofErr w:type="spellStart"/>
      <w:r w:rsidR="005F6120" w:rsidRPr="00CE2804">
        <w:rPr>
          <w:rFonts w:ascii="Arial" w:eastAsia="Arial" w:hAnsi="Arial" w:cs="Arial"/>
          <w:i/>
        </w:rPr>
        <w:t>Helpende</w:t>
      </w:r>
      <w:proofErr w:type="spellEnd"/>
      <w:r w:rsidR="005F6120" w:rsidRPr="00CE2804">
        <w:rPr>
          <w:rFonts w:ascii="Arial" w:eastAsia="Arial" w:hAnsi="Arial" w:cs="Arial"/>
          <w:i/>
        </w:rPr>
        <w:t xml:space="preserve"> Hand </w:t>
      </w:r>
      <w:r w:rsidR="0030235B" w:rsidRPr="00CE2804">
        <w:rPr>
          <w:rFonts w:ascii="Arial" w:eastAsia="Arial" w:hAnsi="Arial" w:cs="Arial"/>
          <w:i/>
        </w:rPr>
        <w:t xml:space="preserve">NPC </w:t>
      </w:r>
      <w:r w:rsidR="005F6120" w:rsidRPr="00CE2804">
        <w:rPr>
          <w:rFonts w:ascii="Arial" w:eastAsia="Arial" w:hAnsi="Arial" w:cs="Arial"/>
          <w:i/>
        </w:rPr>
        <w:t xml:space="preserve">and </w:t>
      </w:r>
      <w:r w:rsidR="0030235B" w:rsidRPr="00CE2804">
        <w:rPr>
          <w:rFonts w:ascii="Arial" w:eastAsia="Arial" w:hAnsi="Arial" w:cs="Arial"/>
          <w:i/>
        </w:rPr>
        <w:t>O</w:t>
      </w:r>
      <w:r w:rsidR="005F6120" w:rsidRPr="00CE2804">
        <w:rPr>
          <w:rFonts w:ascii="Arial" w:eastAsia="Arial" w:hAnsi="Arial" w:cs="Arial"/>
          <w:i/>
        </w:rPr>
        <w:t>thers</w:t>
      </w:r>
      <w:r w:rsidR="00AA2FD7" w:rsidRPr="00CE2804">
        <w:rPr>
          <w:rFonts w:ascii="Arial" w:eastAsia="Arial" w:hAnsi="Arial" w:cs="Arial"/>
          <w:i/>
        </w:rPr>
        <w:t xml:space="preserve"> </w:t>
      </w:r>
      <w:proofErr w:type="gramStart"/>
      <w:r w:rsidRPr="00CE2804">
        <w:rPr>
          <w:rFonts w:ascii="Arial" w:eastAsia="Arial" w:hAnsi="Arial" w:cs="Arial"/>
          <w:i/>
        </w:rPr>
        <w:t>v</w:t>
      </w:r>
      <w:proofErr w:type="gramEnd"/>
      <w:r w:rsidRPr="00CE2804">
        <w:rPr>
          <w:rFonts w:ascii="Arial" w:eastAsia="Arial" w:hAnsi="Arial" w:cs="Arial"/>
          <w:i/>
        </w:rPr>
        <w:t xml:space="preserve"> </w:t>
      </w:r>
      <w:r w:rsidR="006D2A1E" w:rsidRPr="00CE2804">
        <w:rPr>
          <w:rFonts w:ascii="Arial" w:eastAsia="Arial" w:hAnsi="Arial" w:cs="Arial"/>
          <w:i/>
        </w:rPr>
        <w:t>Minister of Co</w:t>
      </w:r>
      <w:r w:rsidR="0030235B" w:rsidRPr="00CE2804">
        <w:rPr>
          <w:rFonts w:ascii="Arial" w:eastAsia="Arial" w:hAnsi="Arial" w:cs="Arial"/>
          <w:i/>
        </w:rPr>
        <w:t>o</w:t>
      </w:r>
      <w:r w:rsidR="006D2A1E" w:rsidRPr="00CE2804">
        <w:rPr>
          <w:rFonts w:ascii="Arial" w:eastAsia="Arial" w:hAnsi="Arial" w:cs="Arial"/>
          <w:i/>
        </w:rPr>
        <w:t>perative Governance and Traditional Affairs</w:t>
      </w:r>
      <w:r w:rsidRPr="00CE2804">
        <w:rPr>
          <w:rFonts w:ascii="Arial" w:eastAsia="Arial" w:hAnsi="Arial" w:cs="Arial"/>
          <w:i/>
        </w:rPr>
        <w:t xml:space="preserve"> </w:t>
      </w:r>
      <w:r w:rsidRPr="00CE2804">
        <w:rPr>
          <w:rFonts w:ascii="Arial" w:eastAsia="Arial" w:hAnsi="Arial" w:cs="Arial"/>
        </w:rPr>
        <w:t>(</w:t>
      </w:r>
      <w:r w:rsidR="00F05314" w:rsidRPr="00CE2804">
        <w:rPr>
          <w:rFonts w:ascii="Arial" w:eastAsia="Arial" w:hAnsi="Arial" w:cs="Arial"/>
        </w:rPr>
        <w:t>104</w:t>
      </w:r>
      <w:r w:rsidRPr="00CE2804">
        <w:rPr>
          <w:rFonts w:ascii="Arial" w:eastAsia="Arial" w:hAnsi="Arial" w:cs="Arial"/>
        </w:rPr>
        <w:t>/202</w:t>
      </w:r>
      <w:r w:rsidR="00F05314" w:rsidRPr="00CE2804">
        <w:rPr>
          <w:rFonts w:ascii="Arial" w:eastAsia="Arial" w:hAnsi="Arial" w:cs="Arial"/>
        </w:rPr>
        <w:t>2</w:t>
      </w:r>
      <w:r w:rsidRPr="00CE2804">
        <w:rPr>
          <w:rFonts w:ascii="Arial" w:eastAsia="Arial" w:hAnsi="Arial" w:cs="Arial"/>
        </w:rPr>
        <w:t xml:space="preserve">) [2023] ZASCA </w:t>
      </w:r>
      <w:r w:rsidR="00F877C0">
        <w:rPr>
          <w:rFonts w:ascii="Arial" w:eastAsia="Arial" w:hAnsi="Arial" w:cs="Arial"/>
        </w:rPr>
        <w:t>35</w:t>
      </w:r>
      <w:r w:rsidR="00AA2FD7" w:rsidRPr="00CE2804">
        <w:rPr>
          <w:rFonts w:ascii="Arial" w:eastAsia="Arial" w:hAnsi="Arial" w:cs="Arial"/>
        </w:rPr>
        <w:t xml:space="preserve"> </w:t>
      </w:r>
      <w:r w:rsidRPr="00CE2804">
        <w:rPr>
          <w:rFonts w:ascii="Arial" w:eastAsia="Arial" w:hAnsi="Arial" w:cs="Arial"/>
        </w:rPr>
        <w:t>(</w:t>
      </w:r>
      <w:r w:rsidR="001750CB">
        <w:rPr>
          <w:rFonts w:ascii="Arial" w:eastAsia="Arial" w:hAnsi="Arial" w:cs="Arial"/>
        </w:rPr>
        <w:t xml:space="preserve">31 March </w:t>
      </w:r>
      <w:r w:rsidRPr="00CE2804">
        <w:rPr>
          <w:rFonts w:ascii="Arial" w:eastAsia="Arial" w:hAnsi="Arial" w:cs="Arial"/>
        </w:rPr>
        <w:t>2023)</w:t>
      </w:r>
    </w:p>
    <w:p w14:paraId="3F8FEE82" w14:textId="5EAE26C0" w:rsidR="00C01CA5" w:rsidRPr="00CE2804" w:rsidRDefault="00992725" w:rsidP="0030235B">
      <w:pPr>
        <w:spacing w:before="240"/>
        <w:ind w:left="1440" w:right="26" w:hanging="1440"/>
        <w:rPr>
          <w:rFonts w:ascii="Arial" w:eastAsia="Arial" w:hAnsi="Arial" w:cs="Arial"/>
          <w:b/>
        </w:rPr>
      </w:pPr>
      <w:r w:rsidRPr="00CE2804">
        <w:rPr>
          <w:rFonts w:ascii="Arial" w:eastAsia="Arial" w:hAnsi="Arial" w:cs="Arial"/>
          <w:b/>
        </w:rPr>
        <w:t>Coram:</w:t>
      </w:r>
      <w:r w:rsidRPr="00CE2804">
        <w:rPr>
          <w:rFonts w:ascii="Arial" w:eastAsia="Arial" w:hAnsi="Arial" w:cs="Arial"/>
        </w:rPr>
        <w:tab/>
      </w:r>
      <w:r w:rsidR="0030235B" w:rsidRPr="00CE2804">
        <w:rPr>
          <w:rFonts w:ascii="Arial" w:eastAsia="Arial" w:hAnsi="Arial" w:cs="Arial"/>
        </w:rPr>
        <w:t xml:space="preserve">SALDULKER, NICHOLLS, MABINDLA-BOQWANA </w:t>
      </w:r>
      <w:r w:rsidR="00F05314" w:rsidRPr="00CE2804">
        <w:rPr>
          <w:rFonts w:ascii="Arial" w:eastAsia="Arial" w:hAnsi="Arial" w:cs="Arial"/>
        </w:rPr>
        <w:t xml:space="preserve">and </w:t>
      </w:r>
      <w:r w:rsidR="00812264" w:rsidRPr="00CE2804">
        <w:rPr>
          <w:rFonts w:ascii="Arial" w:eastAsia="Arial" w:hAnsi="Arial" w:cs="Arial"/>
        </w:rPr>
        <w:t xml:space="preserve">WEINER JJA </w:t>
      </w:r>
      <w:r w:rsidR="00F05314" w:rsidRPr="00CE2804">
        <w:rPr>
          <w:rFonts w:ascii="Arial" w:eastAsia="Arial" w:hAnsi="Arial" w:cs="Arial"/>
        </w:rPr>
        <w:t xml:space="preserve">and </w:t>
      </w:r>
      <w:r w:rsidR="00812264" w:rsidRPr="00CE2804">
        <w:rPr>
          <w:rFonts w:ascii="Arial" w:eastAsia="Arial" w:hAnsi="Arial" w:cs="Arial"/>
        </w:rPr>
        <w:t>OLSEN AJA</w:t>
      </w:r>
    </w:p>
    <w:p w14:paraId="0FBDC2E7" w14:textId="2BED8C73" w:rsidR="00C01CA5" w:rsidRPr="00CE2804" w:rsidRDefault="00992725" w:rsidP="0030235B">
      <w:pPr>
        <w:spacing w:before="240"/>
        <w:jc w:val="left"/>
        <w:rPr>
          <w:rFonts w:ascii="Arial" w:eastAsia="Arial" w:hAnsi="Arial" w:cs="Arial"/>
          <w:b/>
        </w:rPr>
      </w:pPr>
      <w:r w:rsidRPr="00CE2804">
        <w:rPr>
          <w:rFonts w:ascii="Arial" w:eastAsia="Arial" w:hAnsi="Arial" w:cs="Arial"/>
          <w:b/>
        </w:rPr>
        <w:t>Heard</w:t>
      </w:r>
      <w:r w:rsidR="00F05314" w:rsidRPr="00CE2804">
        <w:rPr>
          <w:rFonts w:ascii="Arial" w:eastAsia="Arial" w:hAnsi="Arial" w:cs="Arial"/>
          <w:b/>
        </w:rPr>
        <w:t>:</w:t>
      </w:r>
      <w:r w:rsidR="00F05314" w:rsidRPr="00CE2804">
        <w:rPr>
          <w:rFonts w:ascii="Arial" w:eastAsia="Arial" w:hAnsi="Arial" w:cs="Arial"/>
        </w:rPr>
        <w:tab/>
        <w:t>14</w:t>
      </w:r>
      <w:r w:rsidRPr="00CE2804">
        <w:rPr>
          <w:rFonts w:ascii="Arial" w:eastAsia="Arial" w:hAnsi="Arial" w:cs="Arial"/>
        </w:rPr>
        <w:t xml:space="preserve"> </w:t>
      </w:r>
      <w:r w:rsidR="00AA2FD7" w:rsidRPr="00CE2804">
        <w:rPr>
          <w:rFonts w:ascii="Arial" w:eastAsia="Arial" w:hAnsi="Arial" w:cs="Arial"/>
        </w:rPr>
        <w:t>March 2023</w:t>
      </w:r>
    </w:p>
    <w:p w14:paraId="2A5D622A" w14:textId="52CFC2C0" w:rsidR="003862BA" w:rsidRPr="00CE2804" w:rsidRDefault="00992725" w:rsidP="0030235B">
      <w:pPr>
        <w:spacing w:before="240"/>
        <w:rPr>
          <w:rFonts w:ascii="Arial" w:hAnsi="Arial" w:cs="Arial"/>
        </w:rPr>
      </w:pPr>
      <w:r w:rsidRPr="00CE2804">
        <w:rPr>
          <w:rFonts w:ascii="Arial" w:eastAsia="Arial" w:hAnsi="Arial" w:cs="Arial"/>
          <w:b/>
        </w:rPr>
        <w:t>Delivered:</w:t>
      </w:r>
      <w:r w:rsidRPr="00CE2804">
        <w:rPr>
          <w:rFonts w:ascii="Arial" w:eastAsia="Arial" w:hAnsi="Arial" w:cs="Arial"/>
        </w:rPr>
        <w:tab/>
      </w:r>
      <w:r w:rsidR="001750CB">
        <w:rPr>
          <w:rFonts w:ascii="Arial" w:hAnsi="Arial" w:cs="Arial"/>
        </w:rPr>
        <w:t>31 March</w:t>
      </w:r>
      <w:r w:rsidR="00F05314" w:rsidRPr="00CE2804">
        <w:rPr>
          <w:rFonts w:ascii="Arial" w:hAnsi="Arial" w:cs="Arial"/>
        </w:rPr>
        <w:t xml:space="preserve"> </w:t>
      </w:r>
      <w:r w:rsidR="003115DE" w:rsidRPr="00CE2804">
        <w:rPr>
          <w:rFonts w:ascii="Arial" w:hAnsi="Arial" w:cs="Arial"/>
        </w:rPr>
        <w:t>2023</w:t>
      </w:r>
    </w:p>
    <w:p w14:paraId="33787424" w14:textId="764D3DD6" w:rsidR="00C01CA5" w:rsidRPr="00CE2804" w:rsidRDefault="00B23CF1" w:rsidP="0030235B">
      <w:pPr>
        <w:shd w:val="clear" w:color="auto" w:fill="FFFFFF"/>
        <w:spacing w:before="240"/>
        <w:rPr>
          <w:rFonts w:ascii="Arial" w:hAnsi="Arial" w:cs="Arial"/>
        </w:rPr>
      </w:pPr>
      <w:r w:rsidRPr="00CE2804">
        <w:rPr>
          <w:rFonts w:ascii="Arial" w:hAnsi="Arial" w:cs="Arial"/>
          <w:b/>
        </w:rPr>
        <w:t>Summary</w:t>
      </w:r>
      <w:r w:rsidR="000563B6" w:rsidRPr="00CE2804">
        <w:rPr>
          <w:rFonts w:ascii="Arial" w:hAnsi="Arial" w:cs="Arial"/>
          <w:b/>
        </w:rPr>
        <w:t>:</w:t>
      </w:r>
      <w:r w:rsidR="000563B6" w:rsidRPr="00CE2804">
        <w:rPr>
          <w:rFonts w:ascii="Arial" w:hAnsi="Arial" w:cs="Arial"/>
          <w:b/>
        </w:rPr>
        <w:tab/>
      </w:r>
      <w:r w:rsidR="000563B6" w:rsidRPr="00CE2804">
        <w:rPr>
          <w:rFonts w:ascii="Arial" w:hAnsi="Arial" w:cs="Arial"/>
        </w:rPr>
        <w:t>Mootness –</w:t>
      </w:r>
      <w:r w:rsidR="000563B6" w:rsidRPr="00CE2804">
        <w:rPr>
          <w:rFonts w:ascii="Arial" w:hAnsi="Arial" w:cs="Arial"/>
          <w:b/>
        </w:rPr>
        <w:t xml:space="preserve"> </w:t>
      </w:r>
      <w:r w:rsidR="00F55F22" w:rsidRPr="00CE2804">
        <w:rPr>
          <w:rFonts w:ascii="Arial" w:hAnsi="Arial" w:cs="Arial"/>
        </w:rPr>
        <w:t>Disaster Management Act 57 of 2002</w:t>
      </w:r>
      <w:r w:rsidR="009E26E4" w:rsidRPr="00CE2804">
        <w:rPr>
          <w:rFonts w:ascii="Arial" w:hAnsi="Arial" w:cs="Arial"/>
        </w:rPr>
        <w:t xml:space="preserve"> </w:t>
      </w:r>
      <w:r w:rsidR="00F55F22" w:rsidRPr="00CE2804">
        <w:rPr>
          <w:rFonts w:ascii="Arial" w:hAnsi="Arial" w:cs="Arial"/>
        </w:rPr>
        <w:t>– lawfulness of reg</w:t>
      </w:r>
      <w:r w:rsidRPr="00CE2804">
        <w:rPr>
          <w:rFonts w:ascii="Arial" w:hAnsi="Arial" w:cs="Arial"/>
        </w:rPr>
        <w:t xml:space="preserve">ulations </w:t>
      </w:r>
      <w:r w:rsidR="002B3CD1" w:rsidRPr="00CE2804">
        <w:rPr>
          <w:rFonts w:ascii="Arial" w:hAnsi="Arial" w:cs="Arial"/>
        </w:rPr>
        <w:t>on religious gatherings</w:t>
      </w:r>
      <w:r w:rsidRPr="00CE2804">
        <w:rPr>
          <w:rFonts w:ascii="Arial" w:hAnsi="Arial" w:cs="Arial"/>
        </w:rPr>
        <w:t xml:space="preserve"> – </w:t>
      </w:r>
      <w:r w:rsidR="00E17155" w:rsidRPr="00CE2804">
        <w:rPr>
          <w:rFonts w:ascii="Arial" w:hAnsi="Arial" w:cs="Arial"/>
        </w:rPr>
        <w:t>C</w:t>
      </w:r>
      <w:r w:rsidR="000563B6" w:rsidRPr="00CE2804">
        <w:rPr>
          <w:rFonts w:ascii="Arial" w:hAnsi="Arial" w:cs="Arial"/>
        </w:rPr>
        <w:t>OVID-</w:t>
      </w:r>
      <w:r w:rsidR="00E17155" w:rsidRPr="00CE2804">
        <w:rPr>
          <w:rFonts w:ascii="Arial" w:hAnsi="Arial" w:cs="Arial"/>
        </w:rPr>
        <w:t>19</w:t>
      </w:r>
      <w:r w:rsidR="009E26E4" w:rsidRPr="00CE2804">
        <w:rPr>
          <w:rFonts w:ascii="Arial" w:hAnsi="Arial" w:cs="Arial"/>
        </w:rPr>
        <w:t xml:space="preserve"> – </w:t>
      </w:r>
      <w:r w:rsidR="00F54D7E" w:rsidRPr="00CE2804">
        <w:rPr>
          <w:rFonts w:ascii="Arial" w:hAnsi="Arial" w:cs="Arial"/>
        </w:rPr>
        <w:t xml:space="preserve">national </w:t>
      </w:r>
      <w:r w:rsidR="00E17155" w:rsidRPr="00CE2804">
        <w:rPr>
          <w:rFonts w:ascii="Arial" w:hAnsi="Arial" w:cs="Arial"/>
        </w:rPr>
        <w:t>state of disaster</w:t>
      </w:r>
      <w:r w:rsidR="000563B6" w:rsidRPr="00CE2804">
        <w:rPr>
          <w:rFonts w:ascii="Arial" w:hAnsi="Arial" w:cs="Arial"/>
        </w:rPr>
        <w:t xml:space="preserve"> –</w:t>
      </w:r>
      <w:r w:rsidR="00F55F22" w:rsidRPr="00CE2804">
        <w:rPr>
          <w:rFonts w:ascii="Arial" w:hAnsi="Arial" w:cs="Arial"/>
        </w:rPr>
        <w:t xml:space="preserve"> impugned regulations</w:t>
      </w:r>
      <w:r w:rsidR="00E17155" w:rsidRPr="00CE2804">
        <w:rPr>
          <w:rFonts w:ascii="Arial" w:hAnsi="Arial" w:cs="Arial"/>
        </w:rPr>
        <w:t xml:space="preserve"> </w:t>
      </w:r>
      <w:r w:rsidR="00F55F22" w:rsidRPr="00CE2804">
        <w:rPr>
          <w:rFonts w:ascii="Arial" w:hAnsi="Arial" w:cs="Arial"/>
        </w:rPr>
        <w:t xml:space="preserve">long since repealed and no longer in force before the adjudication </w:t>
      </w:r>
      <w:r w:rsidR="005F6120" w:rsidRPr="00CE2804">
        <w:rPr>
          <w:rFonts w:ascii="Arial" w:hAnsi="Arial" w:cs="Arial"/>
        </w:rPr>
        <w:t>of the matter in the high court</w:t>
      </w:r>
      <w:r w:rsidR="00DF25D4" w:rsidRPr="00CE2804">
        <w:rPr>
          <w:rFonts w:ascii="Arial" w:hAnsi="Arial" w:cs="Arial"/>
        </w:rPr>
        <w:t xml:space="preserve"> and in the court of appeal</w:t>
      </w:r>
      <w:r w:rsidR="00F55F22" w:rsidRPr="00CE2804">
        <w:rPr>
          <w:rFonts w:ascii="Arial" w:hAnsi="Arial" w:cs="Arial"/>
        </w:rPr>
        <w:t xml:space="preserve"> </w:t>
      </w:r>
      <w:r w:rsidR="000563B6" w:rsidRPr="00CE2804">
        <w:rPr>
          <w:rFonts w:ascii="Arial" w:hAnsi="Arial" w:cs="Arial"/>
        </w:rPr>
        <w:t xml:space="preserve">– </w:t>
      </w:r>
      <w:r w:rsidR="00B237E8" w:rsidRPr="00CE2804">
        <w:rPr>
          <w:rFonts w:ascii="Arial" w:hAnsi="Arial" w:cs="Arial"/>
        </w:rPr>
        <w:t>hig</w:t>
      </w:r>
      <w:r w:rsidR="00F9789F" w:rsidRPr="00CE2804">
        <w:rPr>
          <w:rFonts w:ascii="Arial" w:hAnsi="Arial" w:cs="Arial"/>
        </w:rPr>
        <w:t xml:space="preserve">h court </w:t>
      </w:r>
      <w:r w:rsidR="00EF68DC" w:rsidRPr="00CE2804">
        <w:rPr>
          <w:rFonts w:ascii="Arial" w:hAnsi="Arial" w:cs="Arial"/>
        </w:rPr>
        <w:t>had</w:t>
      </w:r>
      <w:r w:rsidR="000563B6" w:rsidRPr="00CE2804">
        <w:rPr>
          <w:rFonts w:ascii="Arial" w:hAnsi="Arial" w:cs="Arial"/>
        </w:rPr>
        <w:t xml:space="preserve"> </w:t>
      </w:r>
      <w:r w:rsidR="00F9789F" w:rsidRPr="00CE2804">
        <w:rPr>
          <w:rFonts w:ascii="Arial" w:hAnsi="Arial" w:cs="Arial"/>
        </w:rPr>
        <w:t>no discretion to determine a matter which is moot</w:t>
      </w:r>
      <w:r w:rsidR="000563B6" w:rsidRPr="00CE2804">
        <w:rPr>
          <w:rFonts w:ascii="Arial" w:hAnsi="Arial" w:cs="Arial"/>
        </w:rPr>
        <w:t xml:space="preserve"> </w:t>
      </w:r>
      <w:r w:rsidR="000563B6" w:rsidRPr="00CE2804">
        <w:rPr>
          <w:rFonts w:ascii="Arial" w:hAnsi="Arial" w:cs="Arial"/>
          <w:bCs/>
        </w:rPr>
        <w:t>–</w:t>
      </w:r>
      <w:r w:rsidR="000563B6" w:rsidRPr="00CE2804">
        <w:rPr>
          <w:rFonts w:ascii="Arial" w:hAnsi="Arial" w:cs="Arial"/>
        </w:rPr>
        <w:t xml:space="preserve"> appeal moot – no need to deal with the merits</w:t>
      </w:r>
      <w:r w:rsidR="00F9789F" w:rsidRPr="00CE2804">
        <w:rPr>
          <w:rFonts w:ascii="Arial" w:hAnsi="Arial" w:cs="Arial"/>
        </w:rPr>
        <w:t>.</w:t>
      </w:r>
    </w:p>
    <w:p w14:paraId="2F0C54D5" w14:textId="77777777" w:rsidR="00C01CA5" w:rsidRPr="00CE2804" w:rsidRDefault="00992725">
      <w:pPr>
        <w:rPr>
          <w:rFonts w:ascii="Arial" w:hAnsi="Arial" w:cs="Arial"/>
        </w:rPr>
      </w:pPr>
      <w:r w:rsidRPr="00CE2804">
        <w:rPr>
          <w:rFonts w:ascii="Arial" w:hAnsi="Arial" w:cs="Arial"/>
        </w:rPr>
        <w:br w:type="page"/>
      </w:r>
      <w:r w:rsidRPr="00CE2804">
        <w:rPr>
          <w:rFonts w:ascii="Arial" w:eastAsia="Arial" w:hAnsi="Arial" w:cs="Arial"/>
          <w:b/>
        </w:rPr>
        <w:lastRenderedPageBreak/>
        <w:t>___________________________________________________________________</w:t>
      </w:r>
    </w:p>
    <w:p w14:paraId="071F3B5C" w14:textId="77777777" w:rsidR="00C01CA5" w:rsidRPr="00CE2804" w:rsidRDefault="00C01CA5">
      <w:pPr>
        <w:spacing w:line="276" w:lineRule="auto"/>
        <w:jc w:val="center"/>
        <w:rPr>
          <w:rFonts w:ascii="Arial" w:eastAsia="Arial" w:hAnsi="Arial" w:cs="Arial"/>
          <w:b/>
        </w:rPr>
      </w:pPr>
    </w:p>
    <w:p w14:paraId="5434F2F1" w14:textId="77777777" w:rsidR="00C01CA5" w:rsidRPr="00CE2804" w:rsidRDefault="00992725">
      <w:pPr>
        <w:spacing w:line="276" w:lineRule="auto"/>
        <w:jc w:val="center"/>
        <w:rPr>
          <w:rFonts w:ascii="Arial" w:eastAsia="Arial" w:hAnsi="Arial" w:cs="Arial"/>
          <w:b/>
        </w:rPr>
      </w:pPr>
      <w:r w:rsidRPr="00CE2804">
        <w:rPr>
          <w:rFonts w:ascii="Arial" w:eastAsia="Arial" w:hAnsi="Arial" w:cs="Arial"/>
          <w:b/>
        </w:rPr>
        <w:t>ORDER</w:t>
      </w:r>
    </w:p>
    <w:p w14:paraId="0E58DC13" w14:textId="77777777" w:rsidR="00C01CA5" w:rsidRPr="00CE2804" w:rsidRDefault="00992725">
      <w:pPr>
        <w:spacing w:after="480" w:line="276" w:lineRule="auto"/>
        <w:rPr>
          <w:rFonts w:ascii="Arial" w:eastAsia="Arial" w:hAnsi="Arial" w:cs="Arial"/>
          <w:b/>
        </w:rPr>
      </w:pPr>
      <w:r w:rsidRPr="00CE2804">
        <w:rPr>
          <w:rFonts w:ascii="Arial" w:eastAsia="Arial" w:hAnsi="Arial" w:cs="Arial"/>
          <w:b/>
        </w:rPr>
        <w:t>___________________________________________________________________</w:t>
      </w:r>
    </w:p>
    <w:p w14:paraId="01FF7430" w14:textId="3591E93C" w:rsidR="00C01CA5" w:rsidRPr="00CE2804" w:rsidRDefault="00992725">
      <w:pPr>
        <w:pBdr>
          <w:top w:val="nil"/>
          <w:left w:val="nil"/>
          <w:bottom w:val="nil"/>
          <w:right w:val="nil"/>
          <w:between w:val="nil"/>
        </w:pBdr>
        <w:rPr>
          <w:rFonts w:ascii="Arial" w:eastAsia="Arial" w:hAnsi="Arial" w:cs="Arial"/>
        </w:rPr>
      </w:pPr>
      <w:r w:rsidRPr="00CE2804">
        <w:rPr>
          <w:rFonts w:ascii="Arial" w:eastAsia="Arial" w:hAnsi="Arial" w:cs="Arial"/>
          <w:b/>
        </w:rPr>
        <w:t xml:space="preserve">On appeal from: </w:t>
      </w:r>
      <w:r w:rsidRPr="00CE2804">
        <w:rPr>
          <w:rFonts w:ascii="Arial" w:eastAsia="Arial" w:hAnsi="Arial" w:cs="Arial"/>
        </w:rPr>
        <w:t xml:space="preserve">Gauteng Division of the High Court, Johannesburg </w:t>
      </w:r>
      <w:r w:rsidR="008356B0" w:rsidRPr="00CE2804">
        <w:rPr>
          <w:rFonts w:ascii="Arial" w:eastAsia="Arial" w:hAnsi="Arial" w:cs="Arial"/>
        </w:rPr>
        <w:t>(</w:t>
      </w:r>
      <w:proofErr w:type="spellStart"/>
      <w:r w:rsidR="00F55F22" w:rsidRPr="00CE2804">
        <w:rPr>
          <w:rFonts w:ascii="Arial" w:hAnsi="Arial" w:cs="Arial"/>
        </w:rPr>
        <w:t>Vally</w:t>
      </w:r>
      <w:proofErr w:type="spellEnd"/>
      <w:r w:rsidR="00F55F22" w:rsidRPr="00CE2804">
        <w:rPr>
          <w:rFonts w:ascii="Arial" w:hAnsi="Arial" w:cs="Arial"/>
        </w:rPr>
        <w:t xml:space="preserve"> J</w:t>
      </w:r>
      <w:r w:rsidR="005D7D70" w:rsidRPr="00CE2804">
        <w:rPr>
          <w:rFonts w:ascii="Arial" w:hAnsi="Arial" w:cs="Arial"/>
        </w:rPr>
        <w:t>,</w:t>
      </w:r>
      <w:r w:rsidR="00F55F22" w:rsidRPr="00CE2804">
        <w:rPr>
          <w:rFonts w:ascii="Arial" w:eastAsia="Arial" w:hAnsi="Arial" w:cs="Arial"/>
        </w:rPr>
        <w:t xml:space="preserve"> </w:t>
      </w:r>
      <w:r w:rsidRPr="00CE2804">
        <w:rPr>
          <w:rFonts w:ascii="Arial" w:eastAsia="Arial" w:hAnsi="Arial" w:cs="Arial"/>
        </w:rPr>
        <w:t xml:space="preserve">sitting as </w:t>
      </w:r>
      <w:r w:rsidR="005D7D70" w:rsidRPr="00CE2804">
        <w:rPr>
          <w:rFonts w:ascii="Arial" w:eastAsia="Arial" w:hAnsi="Arial" w:cs="Arial"/>
        </w:rPr>
        <w:t xml:space="preserve">the </w:t>
      </w:r>
      <w:r w:rsidRPr="00CE2804">
        <w:rPr>
          <w:rFonts w:ascii="Arial" w:eastAsia="Arial" w:hAnsi="Arial" w:cs="Arial"/>
        </w:rPr>
        <w:t>court of first instance)</w:t>
      </w:r>
      <w:r w:rsidR="005D7D70" w:rsidRPr="00CE2804">
        <w:rPr>
          <w:rFonts w:ascii="Arial" w:eastAsia="Arial" w:hAnsi="Arial" w:cs="Arial"/>
        </w:rPr>
        <w:t>:</w:t>
      </w:r>
      <w:r w:rsidRPr="00CE2804">
        <w:rPr>
          <w:rFonts w:ascii="Arial" w:eastAsia="Arial" w:hAnsi="Arial" w:cs="Arial"/>
        </w:rPr>
        <w:t xml:space="preserve"> </w:t>
      </w:r>
    </w:p>
    <w:p w14:paraId="4DF3CAEE" w14:textId="39AD7C30" w:rsidR="00C01CA5" w:rsidRPr="00CE2804" w:rsidRDefault="00CF294D" w:rsidP="005D7D70">
      <w:pPr>
        <w:spacing w:before="240"/>
        <w:rPr>
          <w:rFonts w:ascii="Arial" w:eastAsia="Arial" w:hAnsi="Arial" w:cs="Arial"/>
        </w:rPr>
      </w:pPr>
      <w:bookmarkStart w:id="1" w:name="_gjdgxs" w:colFirst="0" w:colLast="0"/>
      <w:bookmarkEnd w:id="1"/>
      <w:r w:rsidRPr="00CE2804">
        <w:rPr>
          <w:rFonts w:ascii="Arial" w:eastAsia="Arial" w:hAnsi="Arial" w:cs="Arial"/>
        </w:rPr>
        <w:t>The appeal is dismissed with no order as to costs.</w:t>
      </w:r>
    </w:p>
    <w:p w14:paraId="1CBCFAE8" w14:textId="77777777" w:rsidR="00C01CA5" w:rsidRPr="00CE2804" w:rsidRDefault="00992725">
      <w:pPr>
        <w:pBdr>
          <w:top w:val="nil"/>
          <w:left w:val="nil"/>
          <w:bottom w:val="nil"/>
          <w:right w:val="nil"/>
          <w:between w:val="nil"/>
        </w:pBdr>
        <w:spacing w:line="276" w:lineRule="auto"/>
        <w:ind w:left="360" w:hanging="360"/>
        <w:rPr>
          <w:rFonts w:ascii="Arial" w:eastAsia="Arial" w:hAnsi="Arial" w:cs="Arial"/>
          <w:b/>
        </w:rPr>
      </w:pPr>
      <w:r w:rsidRPr="00CE2804">
        <w:rPr>
          <w:rFonts w:ascii="Arial" w:eastAsia="Arial" w:hAnsi="Arial" w:cs="Arial"/>
          <w:b/>
        </w:rPr>
        <w:t>___________________________________________________________________</w:t>
      </w:r>
    </w:p>
    <w:p w14:paraId="18F26615" w14:textId="77777777" w:rsidR="00C01CA5" w:rsidRPr="00CE2804" w:rsidRDefault="00C01CA5">
      <w:pPr>
        <w:pBdr>
          <w:top w:val="nil"/>
          <w:left w:val="nil"/>
          <w:bottom w:val="nil"/>
          <w:right w:val="nil"/>
          <w:between w:val="nil"/>
        </w:pBdr>
        <w:spacing w:line="276" w:lineRule="auto"/>
        <w:ind w:left="360" w:hanging="360"/>
        <w:jc w:val="center"/>
        <w:rPr>
          <w:rFonts w:ascii="Arial" w:eastAsia="Arial" w:hAnsi="Arial" w:cs="Arial"/>
          <w:b/>
        </w:rPr>
      </w:pPr>
    </w:p>
    <w:p w14:paraId="2642F844" w14:textId="77777777" w:rsidR="00C01CA5" w:rsidRPr="00CE2804" w:rsidRDefault="00992725">
      <w:pPr>
        <w:pBdr>
          <w:top w:val="nil"/>
          <w:left w:val="nil"/>
          <w:bottom w:val="nil"/>
          <w:right w:val="nil"/>
          <w:between w:val="nil"/>
        </w:pBdr>
        <w:spacing w:line="276" w:lineRule="auto"/>
        <w:ind w:left="360" w:hanging="360"/>
        <w:jc w:val="center"/>
        <w:rPr>
          <w:rFonts w:ascii="Arial" w:eastAsia="Arial" w:hAnsi="Arial" w:cs="Arial"/>
          <w:b/>
        </w:rPr>
      </w:pPr>
      <w:r w:rsidRPr="00CE2804">
        <w:rPr>
          <w:rFonts w:ascii="Arial" w:eastAsia="Arial" w:hAnsi="Arial" w:cs="Arial"/>
          <w:b/>
        </w:rPr>
        <w:t>JUDGMENT</w:t>
      </w:r>
    </w:p>
    <w:p w14:paraId="723B0ADD" w14:textId="77777777" w:rsidR="00C01CA5" w:rsidRPr="00CE2804" w:rsidRDefault="00992725">
      <w:pPr>
        <w:pBdr>
          <w:top w:val="nil"/>
          <w:left w:val="nil"/>
          <w:bottom w:val="nil"/>
          <w:right w:val="nil"/>
          <w:between w:val="nil"/>
        </w:pBdr>
        <w:ind w:left="360" w:hanging="360"/>
        <w:rPr>
          <w:rFonts w:ascii="Arial" w:eastAsia="Arial" w:hAnsi="Arial" w:cs="Arial"/>
          <w:b/>
        </w:rPr>
      </w:pPr>
      <w:r w:rsidRPr="00CE2804">
        <w:rPr>
          <w:rFonts w:ascii="Arial" w:eastAsia="Arial" w:hAnsi="Arial" w:cs="Arial"/>
          <w:b/>
        </w:rPr>
        <w:t>___________________________________________________________________</w:t>
      </w:r>
    </w:p>
    <w:p w14:paraId="6CA2D3AE" w14:textId="1C3F1B0C" w:rsidR="00747A77" w:rsidRPr="00CE2804" w:rsidRDefault="00AA2FD7" w:rsidP="005D7D70">
      <w:pPr>
        <w:spacing w:before="240" w:after="240"/>
        <w:rPr>
          <w:rFonts w:ascii="Arial" w:eastAsia="Arial" w:hAnsi="Arial" w:cs="Arial"/>
          <w:b/>
        </w:rPr>
      </w:pPr>
      <w:proofErr w:type="spellStart"/>
      <w:r w:rsidRPr="00CE2804">
        <w:rPr>
          <w:rFonts w:ascii="Arial" w:eastAsia="Arial" w:hAnsi="Arial" w:cs="Arial"/>
          <w:b/>
        </w:rPr>
        <w:t>Saldulker</w:t>
      </w:r>
      <w:proofErr w:type="spellEnd"/>
      <w:r w:rsidR="00FF293C" w:rsidRPr="00CE2804">
        <w:rPr>
          <w:rFonts w:ascii="Arial" w:eastAsia="Arial" w:hAnsi="Arial" w:cs="Arial"/>
          <w:b/>
        </w:rPr>
        <w:t xml:space="preserve"> </w:t>
      </w:r>
      <w:r w:rsidRPr="00CE2804">
        <w:rPr>
          <w:rFonts w:ascii="Arial" w:eastAsia="Arial" w:hAnsi="Arial" w:cs="Arial"/>
          <w:b/>
        </w:rPr>
        <w:t>JA</w:t>
      </w:r>
      <w:r w:rsidR="00992725" w:rsidRPr="00CE2804">
        <w:rPr>
          <w:rFonts w:ascii="Arial" w:eastAsia="Arial" w:hAnsi="Arial" w:cs="Arial"/>
          <w:b/>
        </w:rPr>
        <w:t xml:space="preserve"> (</w:t>
      </w:r>
      <w:r w:rsidR="00F05314" w:rsidRPr="00CE2804">
        <w:rPr>
          <w:rFonts w:ascii="Arial" w:eastAsia="Arial" w:hAnsi="Arial" w:cs="Arial"/>
          <w:b/>
        </w:rPr>
        <w:t xml:space="preserve">Nicholls, </w:t>
      </w:r>
      <w:proofErr w:type="spellStart"/>
      <w:r w:rsidR="00F05314" w:rsidRPr="00CE2804">
        <w:rPr>
          <w:rFonts w:ascii="Arial" w:eastAsia="Arial" w:hAnsi="Arial" w:cs="Arial"/>
          <w:b/>
        </w:rPr>
        <w:t>Mabind</w:t>
      </w:r>
      <w:r w:rsidR="002B3CD1" w:rsidRPr="00CE2804">
        <w:rPr>
          <w:rFonts w:ascii="Arial" w:eastAsia="Arial" w:hAnsi="Arial" w:cs="Arial"/>
          <w:b/>
        </w:rPr>
        <w:t>l</w:t>
      </w:r>
      <w:r w:rsidR="00F05314" w:rsidRPr="00CE2804">
        <w:rPr>
          <w:rFonts w:ascii="Arial" w:eastAsia="Arial" w:hAnsi="Arial" w:cs="Arial"/>
          <w:b/>
        </w:rPr>
        <w:t>a-Boqwana</w:t>
      </w:r>
      <w:proofErr w:type="spellEnd"/>
      <w:r w:rsidR="00F05314" w:rsidRPr="00CE2804">
        <w:rPr>
          <w:rFonts w:ascii="Arial" w:eastAsia="Arial" w:hAnsi="Arial" w:cs="Arial"/>
          <w:b/>
        </w:rPr>
        <w:t xml:space="preserve"> and Weiner JJA and Olsen AJA</w:t>
      </w:r>
      <w:r w:rsidRPr="00CE2804">
        <w:rPr>
          <w:rFonts w:ascii="Arial" w:eastAsia="Arial" w:hAnsi="Arial" w:cs="Arial"/>
          <w:b/>
        </w:rPr>
        <w:t xml:space="preserve"> </w:t>
      </w:r>
      <w:r w:rsidR="00992725" w:rsidRPr="00CE2804">
        <w:rPr>
          <w:rFonts w:ascii="Arial" w:eastAsia="Arial" w:hAnsi="Arial" w:cs="Arial"/>
          <w:b/>
        </w:rPr>
        <w:t>concurring):</w:t>
      </w:r>
    </w:p>
    <w:p w14:paraId="75997555" w14:textId="4F2B1A76" w:rsidR="000C63CA" w:rsidRPr="00460B05" w:rsidRDefault="00460B05" w:rsidP="00460B05">
      <w:pPr>
        <w:rPr>
          <w:rFonts w:ascii="Arial" w:hAnsi="Arial" w:cs="Arial"/>
        </w:rPr>
      </w:pPr>
      <w:r w:rsidRPr="00CE2804">
        <w:rPr>
          <w:rFonts w:ascii="Arial" w:hAnsi="Arial" w:cs="Arial"/>
          <w:lang w:eastAsia="en-US"/>
        </w:rPr>
        <w:t>[1]</w:t>
      </w:r>
      <w:r w:rsidRPr="00CE2804">
        <w:rPr>
          <w:rFonts w:ascii="Arial" w:hAnsi="Arial" w:cs="Arial"/>
          <w:lang w:eastAsia="en-US"/>
        </w:rPr>
        <w:tab/>
      </w:r>
      <w:r w:rsidR="009E26E4" w:rsidRPr="00460B05">
        <w:rPr>
          <w:rFonts w:ascii="Arial" w:hAnsi="Arial" w:cs="Arial"/>
        </w:rPr>
        <w:t xml:space="preserve">At the hearing of this appeal, this </w:t>
      </w:r>
      <w:r w:rsidR="004A5995" w:rsidRPr="00460B05">
        <w:rPr>
          <w:rFonts w:ascii="Arial" w:hAnsi="Arial" w:cs="Arial"/>
        </w:rPr>
        <w:t xml:space="preserve">Court </w:t>
      </w:r>
      <w:r w:rsidR="009E26E4" w:rsidRPr="00460B05">
        <w:rPr>
          <w:rFonts w:ascii="Arial" w:hAnsi="Arial" w:cs="Arial"/>
        </w:rPr>
        <w:t>granted an order that the appeal is dismissed with no order as to costs</w:t>
      </w:r>
      <w:r w:rsidR="00C86BAC" w:rsidRPr="00460B05">
        <w:rPr>
          <w:rFonts w:ascii="Arial" w:hAnsi="Arial" w:cs="Arial"/>
        </w:rPr>
        <w:t>,</w:t>
      </w:r>
      <w:r w:rsidR="009E26E4" w:rsidRPr="00460B05">
        <w:rPr>
          <w:rFonts w:ascii="Arial" w:hAnsi="Arial" w:cs="Arial"/>
        </w:rPr>
        <w:t xml:space="preserve"> </w:t>
      </w:r>
      <w:r w:rsidR="00916BF5" w:rsidRPr="00460B05">
        <w:rPr>
          <w:rFonts w:ascii="Arial" w:hAnsi="Arial" w:cs="Arial"/>
        </w:rPr>
        <w:t xml:space="preserve">with </w:t>
      </w:r>
      <w:r w:rsidR="009E26E4" w:rsidRPr="00460B05">
        <w:rPr>
          <w:rFonts w:ascii="Arial" w:hAnsi="Arial" w:cs="Arial"/>
        </w:rPr>
        <w:t>reasons to follow.</w:t>
      </w:r>
      <w:r w:rsidR="00747A77" w:rsidRPr="00460B05">
        <w:rPr>
          <w:rFonts w:ascii="Arial" w:hAnsi="Arial" w:cs="Arial"/>
        </w:rPr>
        <w:t xml:space="preserve"> </w:t>
      </w:r>
      <w:r w:rsidR="00916BF5" w:rsidRPr="00460B05">
        <w:rPr>
          <w:rFonts w:ascii="Arial" w:hAnsi="Arial" w:cs="Arial"/>
        </w:rPr>
        <w:t xml:space="preserve">These </w:t>
      </w:r>
      <w:r w:rsidR="00C86BAC" w:rsidRPr="00460B05">
        <w:rPr>
          <w:rFonts w:ascii="Arial" w:hAnsi="Arial" w:cs="Arial"/>
        </w:rPr>
        <w:t>are the reasons.</w:t>
      </w:r>
    </w:p>
    <w:p w14:paraId="12D9EADF" w14:textId="77777777" w:rsidR="009305CD" w:rsidRPr="00CE2804" w:rsidRDefault="009305CD" w:rsidP="00CE2804">
      <w:pPr>
        <w:pStyle w:val="ListParagraph"/>
        <w:spacing w:line="360" w:lineRule="auto"/>
        <w:ind w:left="0"/>
        <w:rPr>
          <w:rFonts w:ascii="Arial" w:hAnsi="Arial" w:cs="Arial"/>
          <w:sz w:val="24"/>
          <w:szCs w:val="24"/>
        </w:rPr>
      </w:pPr>
    </w:p>
    <w:p w14:paraId="6E1491D0" w14:textId="3A31EE70" w:rsidR="00724220" w:rsidRPr="00460B05" w:rsidRDefault="00460B05" w:rsidP="00460B05">
      <w:pPr>
        <w:rPr>
          <w:rFonts w:ascii="Arial" w:hAnsi="Arial" w:cs="Arial"/>
        </w:rPr>
      </w:pPr>
      <w:r w:rsidRPr="00CE2804">
        <w:rPr>
          <w:rFonts w:ascii="Arial" w:hAnsi="Arial" w:cs="Arial"/>
          <w:lang w:eastAsia="en-US"/>
        </w:rPr>
        <w:t>[2]</w:t>
      </w:r>
      <w:r w:rsidRPr="00CE2804">
        <w:rPr>
          <w:rFonts w:ascii="Arial" w:hAnsi="Arial" w:cs="Arial"/>
          <w:lang w:eastAsia="en-US"/>
        </w:rPr>
        <w:tab/>
      </w:r>
      <w:r w:rsidR="000C63CA" w:rsidRPr="00460B05">
        <w:rPr>
          <w:rFonts w:ascii="Arial" w:hAnsi="Arial" w:cs="Arial"/>
        </w:rPr>
        <w:t xml:space="preserve">During March 2020, </w:t>
      </w:r>
      <w:r w:rsidR="00C86BAC" w:rsidRPr="00460B05">
        <w:rPr>
          <w:rFonts w:ascii="Arial" w:hAnsi="Arial" w:cs="Arial"/>
        </w:rPr>
        <w:t xml:space="preserve">a </w:t>
      </w:r>
      <w:r w:rsidR="002A5C8A" w:rsidRPr="00460B05">
        <w:rPr>
          <w:rFonts w:ascii="Arial" w:hAnsi="Arial" w:cs="Arial"/>
        </w:rPr>
        <w:t xml:space="preserve">novel contagious </w:t>
      </w:r>
      <w:r w:rsidR="00C86BAC" w:rsidRPr="00460B05">
        <w:rPr>
          <w:rFonts w:ascii="Arial" w:hAnsi="Arial" w:cs="Arial"/>
        </w:rPr>
        <w:t>virus</w:t>
      </w:r>
      <w:r w:rsidR="002A5C8A" w:rsidRPr="00460B05">
        <w:rPr>
          <w:rFonts w:ascii="Arial" w:hAnsi="Arial" w:cs="Arial"/>
        </w:rPr>
        <w:t xml:space="preserve"> (SARS-CoV-2), which can </w:t>
      </w:r>
      <w:r w:rsidR="00724220" w:rsidRPr="00460B05">
        <w:rPr>
          <w:rFonts w:ascii="Arial" w:hAnsi="Arial" w:cs="Arial"/>
        </w:rPr>
        <w:t xml:space="preserve">cause the illness </w:t>
      </w:r>
      <w:r w:rsidR="002A5C8A" w:rsidRPr="00460B05">
        <w:rPr>
          <w:rFonts w:ascii="Arial" w:hAnsi="Arial" w:cs="Arial"/>
        </w:rPr>
        <w:t>known as COVID-19,</w:t>
      </w:r>
      <w:r w:rsidR="00724220" w:rsidRPr="00460B05">
        <w:rPr>
          <w:rFonts w:ascii="Arial" w:hAnsi="Arial" w:cs="Arial"/>
        </w:rPr>
        <w:t xml:space="preserve"> led to a global pandemic and was the biggest threat to public health faced by the world in the past century. It has since resulted in millions of deaths globally. W</w:t>
      </w:r>
      <w:r w:rsidR="002D0FBC" w:rsidRPr="00460B05">
        <w:rPr>
          <w:rFonts w:ascii="Arial" w:hAnsi="Arial" w:cs="Arial"/>
        </w:rPr>
        <w:t>ith severe</w:t>
      </w:r>
      <w:r w:rsidR="00724220" w:rsidRPr="00460B05">
        <w:rPr>
          <w:rFonts w:ascii="Arial" w:hAnsi="Arial" w:cs="Arial"/>
        </w:rPr>
        <w:t xml:space="preserve"> effects socially, economically and financially, it</w:t>
      </w:r>
      <w:r w:rsidR="001D095C" w:rsidRPr="00460B05">
        <w:rPr>
          <w:rFonts w:ascii="Arial" w:hAnsi="Arial" w:cs="Arial"/>
        </w:rPr>
        <w:t xml:space="preserve"> affected the lives of people </w:t>
      </w:r>
      <w:r w:rsidR="00916BF5" w:rsidRPr="00460B05">
        <w:rPr>
          <w:rFonts w:ascii="Arial" w:hAnsi="Arial" w:cs="Arial"/>
        </w:rPr>
        <w:t>all over</w:t>
      </w:r>
      <w:r w:rsidR="00E6762B" w:rsidRPr="00460B05">
        <w:rPr>
          <w:rFonts w:ascii="Arial" w:hAnsi="Arial" w:cs="Arial"/>
        </w:rPr>
        <w:t xml:space="preserve"> </w:t>
      </w:r>
      <w:r w:rsidR="00776D73" w:rsidRPr="00460B05">
        <w:rPr>
          <w:rFonts w:ascii="Arial" w:hAnsi="Arial" w:cs="Arial"/>
        </w:rPr>
        <w:t>the world</w:t>
      </w:r>
      <w:r w:rsidR="00724220" w:rsidRPr="00460B05">
        <w:rPr>
          <w:rFonts w:ascii="Arial" w:hAnsi="Arial" w:cs="Arial"/>
        </w:rPr>
        <w:t>, including</w:t>
      </w:r>
      <w:r w:rsidR="001D095C" w:rsidRPr="00460B05">
        <w:rPr>
          <w:rFonts w:ascii="Arial" w:hAnsi="Arial" w:cs="Arial"/>
        </w:rPr>
        <w:t xml:space="preserve"> </w:t>
      </w:r>
      <w:r w:rsidR="00724220" w:rsidRPr="00460B05">
        <w:rPr>
          <w:rFonts w:ascii="Arial" w:hAnsi="Arial" w:cs="Arial"/>
        </w:rPr>
        <w:t xml:space="preserve">in South Africa. </w:t>
      </w:r>
    </w:p>
    <w:p w14:paraId="5DEDDC0F" w14:textId="77777777" w:rsidR="00724220" w:rsidRPr="00CE2804" w:rsidRDefault="00724220" w:rsidP="00CE2804">
      <w:pPr>
        <w:rPr>
          <w:rFonts w:ascii="Arial" w:hAnsi="Arial" w:cs="Arial"/>
        </w:rPr>
      </w:pPr>
    </w:p>
    <w:p w14:paraId="58B94876" w14:textId="52EF10AE" w:rsidR="00776D73" w:rsidRPr="00460B05" w:rsidRDefault="00460B05" w:rsidP="00460B05">
      <w:pPr>
        <w:rPr>
          <w:rFonts w:ascii="Arial" w:hAnsi="Arial" w:cs="Arial"/>
        </w:rPr>
      </w:pPr>
      <w:r w:rsidRPr="00CE2804">
        <w:rPr>
          <w:rFonts w:ascii="Arial" w:hAnsi="Arial" w:cs="Arial"/>
          <w:lang w:eastAsia="en-US"/>
        </w:rPr>
        <w:t>[3]</w:t>
      </w:r>
      <w:r w:rsidRPr="00CE2804">
        <w:rPr>
          <w:rFonts w:ascii="Arial" w:hAnsi="Arial" w:cs="Arial"/>
          <w:lang w:eastAsia="en-US"/>
        </w:rPr>
        <w:tab/>
      </w:r>
      <w:r w:rsidR="001D095C" w:rsidRPr="00460B05">
        <w:rPr>
          <w:rFonts w:ascii="Arial" w:hAnsi="Arial" w:cs="Arial"/>
        </w:rPr>
        <w:t>Acting in terms of the Disaster Management Act 57 of 2002 (DMA),</w:t>
      </w:r>
      <w:r w:rsidR="00C82B0C" w:rsidRPr="00CE2804">
        <w:rPr>
          <w:rStyle w:val="FootnoteReference"/>
          <w:rFonts w:ascii="Arial" w:hAnsi="Arial" w:cs="Arial"/>
        </w:rPr>
        <w:footnoteReference w:id="1"/>
      </w:r>
      <w:r w:rsidR="001D095C" w:rsidRPr="00460B05">
        <w:rPr>
          <w:rFonts w:ascii="Arial" w:hAnsi="Arial" w:cs="Arial"/>
        </w:rPr>
        <w:t xml:space="preserve"> </w:t>
      </w:r>
      <w:r w:rsidR="00747A77" w:rsidRPr="00460B05">
        <w:rPr>
          <w:rFonts w:ascii="Arial" w:hAnsi="Arial" w:cs="Arial"/>
        </w:rPr>
        <w:t>a national state of disa</w:t>
      </w:r>
      <w:r w:rsidR="001D095C" w:rsidRPr="00460B05">
        <w:rPr>
          <w:rFonts w:ascii="Arial" w:hAnsi="Arial" w:cs="Arial"/>
        </w:rPr>
        <w:t>ste</w:t>
      </w:r>
      <w:r w:rsidR="00C91925" w:rsidRPr="00460B05">
        <w:rPr>
          <w:rFonts w:ascii="Arial" w:hAnsi="Arial" w:cs="Arial"/>
        </w:rPr>
        <w:t>r</w:t>
      </w:r>
      <w:r w:rsidR="00D36379" w:rsidRPr="00460B05">
        <w:rPr>
          <w:rFonts w:ascii="Arial" w:hAnsi="Arial" w:cs="Arial"/>
        </w:rPr>
        <w:t xml:space="preserve"> </w:t>
      </w:r>
      <w:r w:rsidR="001D095C" w:rsidRPr="00460B05">
        <w:rPr>
          <w:rFonts w:ascii="Arial" w:hAnsi="Arial" w:cs="Arial"/>
        </w:rPr>
        <w:t>was declared</w:t>
      </w:r>
      <w:r w:rsidR="00776D73" w:rsidRPr="00460B05">
        <w:rPr>
          <w:rFonts w:ascii="Arial" w:hAnsi="Arial" w:cs="Arial"/>
        </w:rPr>
        <w:t xml:space="preserve"> by the Minister of Cooperative Governance and Traditional Affairs (the Minister)</w:t>
      </w:r>
      <w:r w:rsidR="009469FF" w:rsidRPr="00460B05">
        <w:rPr>
          <w:rFonts w:ascii="Arial" w:hAnsi="Arial" w:cs="Arial"/>
        </w:rPr>
        <w:t>.</w:t>
      </w:r>
      <w:r w:rsidR="002A5C8A" w:rsidRPr="00460B05">
        <w:rPr>
          <w:rFonts w:ascii="Arial" w:hAnsi="Arial" w:cs="Arial"/>
          <w:shd w:val="clear" w:color="auto" w:fill="FFFFFF"/>
        </w:rPr>
        <w:t xml:space="preserve"> </w:t>
      </w:r>
      <w:r w:rsidR="00C82B0C" w:rsidRPr="00460B05">
        <w:rPr>
          <w:rFonts w:ascii="Arial" w:hAnsi="Arial" w:cs="Arial"/>
        </w:rPr>
        <w:t>R</w:t>
      </w:r>
      <w:r w:rsidR="002A5C8A" w:rsidRPr="00460B05">
        <w:rPr>
          <w:rFonts w:ascii="Arial" w:hAnsi="Arial" w:cs="Arial"/>
        </w:rPr>
        <w:t xml:space="preserve">egulations were published </w:t>
      </w:r>
      <w:r w:rsidR="00C82B0C" w:rsidRPr="00460B05">
        <w:rPr>
          <w:rFonts w:ascii="Arial" w:hAnsi="Arial" w:cs="Arial"/>
        </w:rPr>
        <w:t xml:space="preserve">periodically </w:t>
      </w:r>
      <w:r w:rsidR="002A5C8A" w:rsidRPr="00460B05">
        <w:rPr>
          <w:rFonts w:ascii="Arial" w:hAnsi="Arial" w:cs="Arial"/>
        </w:rPr>
        <w:t>in response to the</w:t>
      </w:r>
      <w:r w:rsidR="00C82B0C" w:rsidRPr="00460B05">
        <w:rPr>
          <w:rFonts w:ascii="Arial" w:hAnsi="Arial" w:cs="Arial"/>
        </w:rPr>
        <w:t xml:space="preserve"> dynamic</w:t>
      </w:r>
      <w:r w:rsidR="002A5C8A" w:rsidRPr="00460B05">
        <w:rPr>
          <w:rFonts w:ascii="Arial" w:hAnsi="Arial" w:cs="Arial"/>
        </w:rPr>
        <w:t xml:space="preserve"> threat to national health and safety presented by the outbreak and transmission of </w:t>
      </w:r>
      <w:r w:rsidR="00C82B0C" w:rsidRPr="00460B05">
        <w:rPr>
          <w:rFonts w:ascii="Arial" w:hAnsi="Arial" w:cs="Arial"/>
        </w:rPr>
        <w:t>COVID-19.</w:t>
      </w:r>
      <w:r w:rsidR="002A5C8A" w:rsidRPr="00460B05">
        <w:rPr>
          <w:rFonts w:ascii="Arial" w:hAnsi="Arial" w:cs="Arial"/>
        </w:rPr>
        <w:t xml:space="preserve"> </w:t>
      </w:r>
    </w:p>
    <w:p w14:paraId="1FD39AA1" w14:textId="77777777" w:rsidR="009305CD" w:rsidRPr="00CE2804" w:rsidRDefault="009305CD" w:rsidP="00CE2804">
      <w:pPr>
        <w:rPr>
          <w:rFonts w:ascii="Arial" w:hAnsi="Arial" w:cs="Arial"/>
        </w:rPr>
      </w:pPr>
    </w:p>
    <w:p w14:paraId="20BBA28D" w14:textId="107151A7" w:rsidR="009469FF" w:rsidRPr="00460B05" w:rsidRDefault="00460B05" w:rsidP="00460B05">
      <w:pPr>
        <w:rPr>
          <w:rFonts w:ascii="Arial" w:hAnsi="Arial" w:cs="Arial"/>
        </w:rPr>
      </w:pPr>
      <w:r w:rsidRPr="00CE2804">
        <w:rPr>
          <w:rFonts w:ascii="Arial" w:hAnsi="Arial" w:cs="Arial"/>
          <w:lang w:eastAsia="en-US"/>
        </w:rPr>
        <w:t>[4]</w:t>
      </w:r>
      <w:r w:rsidRPr="00CE2804">
        <w:rPr>
          <w:rFonts w:ascii="Arial" w:hAnsi="Arial" w:cs="Arial"/>
          <w:lang w:eastAsia="en-US"/>
        </w:rPr>
        <w:tab/>
      </w:r>
      <w:r w:rsidR="001D095C" w:rsidRPr="00460B05">
        <w:rPr>
          <w:rFonts w:ascii="Arial" w:hAnsi="Arial" w:cs="Arial"/>
        </w:rPr>
        <w:t xml:space="preserve">The Minister </w:t>
      </w:r>
      <w:r w:rsidR="009469FF" w:rsidRPr="00460B05">
        <w:rPr>
          <w:rFonts w:ascii="Arial" w:hAnsi="Arial" w:cs="Arial"/>
        </w:rPr>
        <w:t xml:space="preserve">promulgated a series of regulations which imposed drastic measures that </w:t>
      </w:r>
      <w:r w:rsidR="00C91925" w:rsidRPr="00460B05">
        <w:rPr>
          <w:rFonts w:ascii="Arial" w:hAnsi="Arial" w:cs="Arial"/>
        </w:rPr>
        <w:t xml:space="preserve">sought </w:t>
      </w:r>
      <w:r w:rsidR="009469FF" w:rsidRPr="00460B05">
        <w:rPr>
          <w:rFonts w:ascii="Arial" w:hAnsi="Arial" w:cs="Arial"/>
        </w:rPr>
        <w:t xml:space="preserve">to combat the </w:t>
      </w:r>
      <w:r w:rsidR="00C91925" w:rsidRPr="00460B05">
        <w:rPr>
          <w:rFonts w:ascii="Arial" w:hAnsi="Arial" w:cs="Arial"/>
        </w:rPr>
        <w:t xml:space="preserve">COVID-19 </w:t>
      </w:r>
      <w:r w:rsidR="009469FF" w:rsidRPr="00460B05">
        <w:rPr>
          <w:rFonts w:ascii="Arial" w:hAnsi="Arial" w:cs="Arial"/>
        </w:rPr>
        <w:t xml:space="preserve">pandemic in South Africa. </w:t>
      </w:r>
      <w:r w:rsidR="00916BF5" w:rsidRPr="00460B05">
        <w:rPr>
          <w:rFonts w:ascii="Arial" w:hAnsi="Arial" w:cs="Arial"/>
        </w:rPr>
        <w:t xml:space="preserve">These </w:t>
      </w:r>
      <w:r w:rsidR="009469FF" w:rsidRPr="00460B05">
        <w:rPr>
          <w:rFonts w:ascii="Arial" w:hAnsi="Arial" w:cs="Arial"/>
        </w:rPr>
        <w:lastRenderedPageBreak/>
        <w:t>included</w:t>
      </w:r>
      <w:r w:rsidR="00C91925" w:rsidRPr="00460B05">
        <w:rPr>
          <w:rFonts w:ascii="Arial" w:hAnsi="Arial" w:cs="Arial"/>
        </w:rPr>
        <w:t>,</w:t>
      </w:r>
      <w:r w:rsidR="009469FF" w:rsidRPr="00460B05">
        <w:rPr>
          <w:rFonts w:ascii="Arial" w:hAnsi="Arial" w:cs="Arial"/>
        </w:rPr>
        <w:t xml:space="preserve"> inter alia:</w:t>
      </w:r>
      <w:r w:rsidR="00C91925" w:rsidRPr="00460B05">
        <w:rPr>
          <w:rFonts w:ascii="Arial" w:hAnsi="Arial" w:cs="Arial"/>
        </w:rPr>
        <w:t xml:space="preserve"> </w:t>
      </w:r>
      <w:r w:rsidR="009469FF" w:rsidRPr="00460B05">
        <w:rPr>
          <w:rFonts w:ascii="Arial" w:hAnsi="Arial" w:cs="Arial"/>
        </w:rPr>
        <w:t>(a) imposing a national lockdown;</w:t>
      </w:r>
      <w:r w:rsidR="00C91925" w:rsidRPr="00460B05">
        <w:rPr>
          <w:rFonts w:ascii="Arial" w:hAnsi="Arial" w:cs="Arial"/>
        </w:rPr>
        <w:t xml:space="preserve"> </w:t>
      </w:r>
      <w:r w:rsidR="009469FF" w:rsidRPr="00460B05">
        <w:rPr>
          <w:rFonts w:ascii="Arial" w:hAnsi="Arial" w:cs="Arial"/>
        </w:rPr>
        <w:t>(b)</w:t>
      </w:r>
      <w:r w:rsidR="009469FF" w:rsidRPr="00460B05">
        <w:rPr>
          <w:rFonts w:ascii="Arial" w:hAnsi="Arial" w:cs="Arial"/>
          <w:i/>
        </w:rPr>
        <w:t xml:space="preserve"> </w:t>
      </w:r>
      <w:r w:rsidR="009469FF" w:rsidRPr="00460B05">
        <w:rPr>
          <w:rFonts w:ascii="Arial" w:hAnsi="Arial" w:cs="Arial"/>
        </w:rPr>
        <w:t xml:space="preserve">restricting the movements of members of the public; (c) imposing </w:t>
      </w:r>
      <w:r w:rsidR="00C91925" w:rsidRPr="00460B05">
        <w:rPr>
          <w:rFonts w:ascii="Arial" w:hAnsi="Arial" w:cs="Arial"/>
        </w:rPr>
        <w:t xml:space="preserve">certain </w:t>
      </w:r>
      <w:r w:rsidR="009469FF" w:rsidRPr="00460B05">
        <w:rPr>
          <w:rFonts w:ascii="Arial" w:hAnsi="Arial" w:cs="Arial"/>
        </w:rPr>
        <w:t>healthcare protocols</w:t>
      </w:r>
      <w:r w:rsidR="00C91925" w:rsidRPr="00460B05">
        <w:rPr>
          <w:rFonts w:ascii="Arial" w:hAnsi="Arial" w:cs="Arial"/>
        </w:rPr>
        <w:t>,</w:t>
      </w:r>
      <w:r w:rsidR="009469FF" w:rsidRPr="00460B05">
        <w:rPr>
          <w:rFonts w:ascii="Arial" w:hAnsi="Arial" w:cs="Arial"/>
        </w:rPr>
        <w:t xml:space="preserve"> such as social distancing, the wearing of masks in public</w:t>
      </w:r>
      <w:r w:rsidR="00C91925" w:rsidRPr="00460B05">
        <w:rPr>
          <w:rFonts w:ascii="Arial" w:hAnsi="Arial" w:cs="Arial"/>
        </w:rPr>
        <w:t>,</w:t>
      </w:r>
      <w:r w:rsidR="009469FF" w:rsidRPr="00460B05">
        <w:rPr>
          <w:rFonts w:ascii="Arial" w:hAnsi="Arial" w:cs="Arial"/>
        </w:rPr>
        <w:t xml:space="preserve"> and </w:t>
      </w:r>
      <w:r w:rsidR="00C91925" w:rsidRPr="00460B05">
        <w:rPr>
          <w:rFonts w:ascii="Arial" w:hAnsi="Arial" w:cs="Arial"/>
        </w:rPr>
        <w:t xml:space="preserve">advisories to </w:t>
      </w:r>
      <w:r w:rsidR="009469FF" w:rsidRPr="00460B05">
        <w:rPr>
          <w:rFonts w:ascii="Arial" w:hAnsi="Arial" w:cs="Arial"/>
        </w:rPr>
        <w:t>sanitis</w:t>
      </w:r>
      <w:r w:rsidR="00C91925" w:rsidRPr="00460B05">
        <w:rPr>
          <w:rFonts w:ascii="Arial" w:hAnsi="Arial" w:cs="Arial"/>
        </w:rPr>
        <w:t>e one’s</w:t>
      </w:r>
      <w:r w:rsidR="009469FF" w:rsidRPr="00460B05">
        <w:rPr>
          <w:rFonts w:ascii="Arial" w:hAnsi="Arial" w:cs="Arial"/>
        </w:rPr>
        <w:t xml:space="preserve"> hands; </w:t>
      </w:r>
      <w:r w:rsidR="00C91925" w:rsidRPr="00460B05">
        <w:rPr>
          <w:rFonts w:ascii="Arial" w:hAnsi="Arial" w:cs="Arial"/>
        </w:rPr>
        <w:t xml:space="preserve">and </w:t>
      </w:r>
      <w:r w:rsidR="009469FF" w:rsidRPr="00460B05">
        <w:rPr>
          <w:rFonts w:ascii="Arial" w:hAnsi="Arial" w:cs="Arial"/>
        </w:rPr>
        <w:t>(d) imposing restrictions on public gathering</w:t>
      </w:r>
      <w:r w:rsidR="00916BF5" w:rsidRPr="00460B05">
        <w:rPr>
          <w:rFonts w:ascii="Arial" w:hAnsi="Arial" w:cs="Arial"/>
        </w:rPr>
        <w:t>s</w:t>
      </w:r>
      <w:r w:rsidR="009469FF" w:rsidRPr="00460B05">
        <w:rPr>
          <w:rFonts w:ascii="Arial" w:hAnsi="Arial" w:cs="Arial"/>
        </w:rPr>
        <w:t>, which included religious o</w:t>
      </w:r>
      <w:r w:rsidR="00F3433C" w:rsidRPr="00460B05">
        <w:rPr>
          <w:rFonts w:ascii="Arial" w:hAnsi="Arial" w:cs="Arial"/>
        </w:rPr>
        <w:t>r faith-based gatherings</w:t>
      </w:r>
      <w:r w:rsidR="00E6762B" w:rsidRPr="00460B05">
        <w:rPr>
          <w:rFonts w:ascii="Arial" w:hAnsi="Arial" w:cs="Arial"/>
        </w:rPr>
        <w:t>.</w:t>
      </w:r>
    </w:p>
    <w:p w14:paraId="68493FDA" w14:textId="77777777" w:rsidR="009305CD" w:rsidRPr="00CE2804" w:rsidRDefault="009305CD" w:rsidP="00CE2804">
      <w:pPr>
        <w:rPr>
          <w:rFonts w:ascii="Arial" w:hAnsi="Arial" w:cs="Arial"/>
        </w:rPr>
      </w:pPr>
    </w:p>
    <w:p w14:paraId="76806730" w14:textId="103360BB" w:rsidR="0015706C" w:rsidRPr="00460B05" w:rsidRDefault="00460B05" w:rsidP="00460B05">
      <w:pPr>
        <w:rPr>
          <w:rFonts w:ascii="Arial" w:hAnsi="Arial" w:cs="Arial"/>
        </w:rPr>
      </w:pPr>
      <w:r w:rsidRPr="00CE2804">
        <w:rPr>
          <w:rFonts w:ascii="Arial" w:hAnsi="Arial" w:cs="Arial"/>
          <w:lang w:eastAsia="en-US"/>
        </w:rPr>
        <w:t>[5]</w:t>
      </w:r>
      <w:r w:rsidRPr="00CE2804">
        <w:rPr>
          <w:rFonts w:ascii="Arial" w:hAnsi="Arial" w:cs="Arial"/>
          <w:lang w:eastAsia="en-US"/>
        </w:rPr>
        <w:tab/>
      </w:r>
      <w:r w:rsidR="00C91925" w:rsidRPr="00460B05">
        <w:rPr>
          <w:rFonts w:ascii="Arial" w:hAnsi="Arial" w:cs="Arial"/>
        </w:rPr>
        <w:t>A</w:t>
      </w:r>
      <w:r w:rsidR="00776D73" w:rsidRPr="00460B05">
        <w:rPr>
          <w:rFonts w:ascii="Arial" w:hAnsi="Arial" w:cs="Arial"/>
        </w:rPr>
        <w:t>xiomatically, the national lockdown had a severe effect on human activity and movement. E</w:t>
      </w:r>
      <w:r w:rsidR="00747A77" w:rsidRPr="00460B05">
        <w:rPr>
          <w:rFonts w:ascii="Arial" w:hAnsi="Arial" w:cs="Arial"/>
        </w:rPr>
        <w:t>very person</w:t>
      </w:r>
      <w:r w:rsidR="007B68EE" w:rsidRPr="00460B05">
        <w:rPr>
          <w:rFonts w:ascii="Arial" w:hAnsi="Arial" w:cs="Arial"/>
        </w:rPr>
        <w:t xml:space="preserve"> –</w:t>
      </w:r>
      <w:r w:rsidR="00747A77" w:rsidRPr="00460B05">
        <w:rPr>
          <w:rFonts w:ascii="Arial" w:hAnsi="Arial" w:cs="Arial"/>
        </w:rPr>
        <w:t xml:space="preserve"> except those</w:t>
      </w:r>
      <w:r w:rsidR="007B68EE" w:rsidRPr="00460B05">
        <w:rPr>
          <w:rFonts w:ascii="Arial" w:hAnsi="Arial" w:cs="Arial"/>
        </w:rPr>
        <w:t xml:space="preserve"> specifically </w:t>
      </w:r>
      <w:r w:rsidR="00F72F72" w:rsidRPr="00460B05">
        <w:rPr>
          <w:rFonts w:ascii="Arial" w:hAnsi="Arial" w:cs="Arial"/>
        </w:rPr>
        <w:t xml:space="preserve">excluded, such as those </w:t>
      </w:r>
      <w:r w:rsidR="007B68EE" w:rsidRPr="00460B05">
        <w:rPr>
          <w:rFonts w:ascii="Arial" w:hAnsi="Arial" w:cs="Arial"/>
        </w:rPr>
        <w:t>designated as</w:t>
      </w:r>
      <w:r w:rsidR="00747A77" w:rsidRPr="00460B05">
        <w:rPr>
          <w:rFonts w:ascii="Arial" w:hAnsi="Arial" w:cs="Arial"/>
        </w:rPr>
        <w:t xml:space="preserve"> performing </w:t>
      </w:r>
      <w:r w:rsidR="007B68EE" w:rsidRPr="00460B05">
        <w:rPr>
          <w:rFonts w:ascii="Arial" w:hAnsi="Arial" w:cs="Arial"/>
        </w:rPr>
        <w:t>‘</w:t>
      </w:r>
      <w:r w:rsidR="00747A77" w:rsidRPr="00460B05">
        <w:rPr>
          <w:rFonts w:ascii="Arial" w:hAnsi="Arial" w:cs="Arial"/>
        </w:rPr>
        <w:t>essential services</w:t>
      </w:r>
      <w:r w:rsidR="007B68EE" w:rsidRPr="00460B05">
        <w:rPr>
          <w:rFonts w:ascii="Arial" w:hAnsi="Arial" w:cs="Arial"/>
        </w:rPr>
        <w:t>’ –</w:t>
      </w:r>
      <w:r w:rsidR="00747A77" w:rsidRPr="00460B05">
        <w:rPr>
          <w:rFonts w:ascii="Arial" w:hAnsi="Arial" w:cs="Arial"/>
        </w:rPr>
        <w:t xml:space="preserve"> was confined to </w:t>
      </w:r>
      <w:r w:rsidR="007B68EE" w:rsidRPr="00460B05">
        <w:rPr>
          <w:rFonts w:ascii="Arial" w:hAnsi="Arial" w:cs="Arial"/>
        </w:rPr>
        <w:t>their</w:t>
      </w:r>
      <w:r w:rsidR="00747A77" w:rsidRPr="00460B05">
        <w:rPr>
          <w:rFonts w:ascii="Arial" w:hAnsi="Arial" w:cs="Arial"/>
        </w:rPr>
        <w:t xml:space="preserve"> place of residence; schools were closed; businesses, except those </w:t>
      </w:r>
      <w:r w:rsidR="003A4AAE" w:rsidRPr="00460B05">
        <w:rPr>
          <w:rFonts w:ascii="Arial" w:hAnsi="Arial" w:cs="Arial"/>
        </w:rPr>
        <w:t xml:space="preserve">designated as </w:t>
      </w:r>
      <w:r w:rsidR="00747A77" w:rsidRPr="00460B05">
        <w:rPr>
          <w:rFonts w:ascii="Arial" w:hAnsi="Arial" w:cs="Arial"/>
        </w:rPr>
        <w:t>providing essential services, w</w:t>
      </w:r>
      <w:r w:rsidR="00776D73" w:rsidRPr="00460B05">
        <w:rPr>
          <w:rFonts w:ascii="Arial" w:hAnsi="Arial" w:cs="Arial"/>
        </w:rPr>
        <w:t>ere prohibited from operating</w:t>
      </w:r>
      <w:r w:rsidR="007B68EE" w:rsidRPr="00460B05">
        <w:rPr>
          <w:rFonts w:ascii="Arial" w:hAnsi="Arial" w:cs="Arial"/>
        </w:rPr>
        <w:t>;</w:t>
      </w:r>
      <w:r w:rsidR="00776D73" w:rsidRPr="00460B05">
        <w:rPr>
          <w:rFonts w:ascii="Arial" w:hAnsi="Arial" w:cs="Arial"/>
        </w:rPr>
        <w:t xml:space="preserve"> </w:t>
      </w:r>
      <w:r w:rsidR="00747A77" w:rsidRPr="00460B05">
        <w:rPr>
          <w:rFonts w:ascii="Arial" w:hAnsi="Arial" w:cs="Arial"/>
        </w:rPr>
        <w:t xml:space="preserve">and social gatherings were prohibited. The </w:t>
      </w:r>
      <w:r w:rsidR="007B68EE" w:rsidRPr="00460B05">
        <w:rPr>
          <w:rFonts w:ascii="Arial" w:hAnsi="Arial" w:cs="Arial"/>
        </w:rPr>
        <w:t xml:space="preserve">period during which the national </w:t>
      </w:r>
      <w:r w:rsidR="00747A77" w:rsidRPr="00460B05">
        <w:rPr>
          <w:rFonts w:ascii="Arial" w:hAnsi="Arial" w:cs="Arial"/>
        </w:rPr>
        <w:t>lockdown</w:t>
      </w:r>
      <w:r w:rsidR="007B68EE" w:rsidRPr="00460B05">
        <w:rPr>
          <w:rFonts w:ascii="Arial" w:hAnsi="Arial" w:cs="Arial"/>
        </w:rPr>
        <w:t xml:space="preserve"> was </w:t>
      </w:r>
      <w:r w:rsidR="003A4AAE" w:rsidRPr="00460B05">
        <w:rPr>
          <w:rFonts w:ascii="Arial" w:hAnsi="Arial" w:cs="Arial"/>
        </w:rPr>
        <w:t xml:space="preserve">its </w:t>
      </w:r>
      <w:r w:rsidR="007B68EE" w:rsidRPr="00460B05">
        <w:rPr>
          <w:rFonts w:ascii="Arial" w:hAnsi="Arial" w:cs="Arial"/>
        </w:rPr>
        <w:t>most restrictive</w:t>
      </w:r>
      <w:r w:rsidR="00747A77" w:rsidRPr="00460B05">
        <w:rPr>
          <w:rFonts w:ascii="Arial" w:hAnsi="Arial" w:cs="Arial"/>
        </w:rPr>
        <w:t xml:space="preserve"> lasted for 21 days. Thereafter, the Minister introduced a risk-adjusted </w:t>
      </w:r>
      <w:r w:rsidR="000F6371" w:rsidRPr="00460B05">
        <w:rPr>
          <w:rFonts w:ascii="Arial" w:hAnsi="Arial" w:cs="Arial"/>
        </w:rPr>
        <w:t>approach, which comprised of various</w:t>
      </w:r>
      <w:r w:rsidR="003A4AAE" w:rsidRPr="00460B05">
        <w:rPr>
          <w:rFonts w:ascii="Arial" w:hAnsi="Arial" w:cs="Arial"/>
        </w:rPr>
        <w:t xml:space="preserve"> stages known as</w:t>
      </w:r>
      <w:r w:rsidR="000F6371" w:rsidRPr="00460B05">
        <w:rPr>
          <w:rFonts w:ascii="Arial" w:hAnsi="Arial" w:cs="Arial"/>
        </w:rPr>
        <w:t xml:space="preserve"> </w:t>
      </w:r>
      <w:r w:rsidR="003A4AAE" w:rsidRPr="00460B05">
        <w:rPr>
          <w:rFonts w:ascii="Arial" w:hAnsi="Arial" w:cs="Arial"/>
        </w:rPr>
        <w:t>‘</w:t>
      </w:r>
      <w:r w:rsidR="000F6371" w:rsidRPr="00460B05">
        <w:rPr>
          <w:rFonts w:ascii="Arial" w:hAnsi="Arial" w:cs="Arial"/>
        </w:rPr>
        <w:t>Alert Levels</w:t>
      </w:r>
      <w:r w:rsidR="003A4AAE" w:rsidRPr="00460B05">
        <w:rPr>
          <w:rFonts w:ascii="Arial" w:hAnsi="Arial" w:cs="Arial"/>
        </w:rPr>
        <w:t>’</w:t>
      </w:r>
      <w:r w:rsidR="000F6371" w:rsidRPr="00460B05">
        <w:rPr>
          <w:rFonts w:ascii="Arial" w:hAnsi="Arial" w:cs="Arial"/>
        </w:rPr>
        <w:t xml:space="preserve">, with regulations </w:t>
      </w:r>
      <w:r w:rsidR="003A4AAE" w:rsidRPr="00460B05">
        <w:rPr>
          <w:rFonts w:ascii="Arial" w:hAnsi="Arial" w:cs="Arial"/>
        </w:rPr>
        <w:t xml:space="preserve">of variable degrees of restrictiveness </w:t>
      </w:r>
      <w:r w:rsidR="000F6371" w:rsidRPr="00460B05">
        <w:rPr>
          <w:rFonts w:ascii="Arial" w:hAnsi="Arial" w:cs="Arial"/>
        </w:rPr>
        <w:t>published from time to time</w:t>
      </w:r>
      <w:r w:rsidR="003A4AAE" w:rsidRPr="00460B05">
        <w:rPr>
          <w:rFonts w:ascii="Arial" w:hAnsi="Arial" w:cs="Arial"/>
        </w:rPr>
        <w:t xml:space="preserve"> </w:t>
      </w:r>
      <w:r w:rsidR="000F6371" w:rsidRPr="00460B05">
        <w:rPr>
          <w:rFonts w:ascii="Arial" w:hAnsi="Arial" w:cs="Arial"/>
        </w:rPr>
        <w:t xml:space="preserve">to regulate the restrictions </w:t>
      </w:r>
      <w:r w:rsidR="00747A77" w:rsidRPr="00460B05">
        <w:rPr>
          <w:rFonts w:ascii="Arial" w:hAnsi="Arial" w:cs="Arial"/>
        </w:rPr>
        <w:t xml:space="preserve">imposed under each level. </w:t>
      </w:r>
      <w:r w:rsidR="000F6371" w:rsidRPr="00460B05">
        <w:rPr>
          <w:rFonts w:ascii="Arial" w:hAnsi="Arial" w:cs="Arial"/>
        </w:rPr>
        <w:t>T</w:t>
      </w:r>
      <w:r w:rsidR="003C4780" w:rsidRPr="00460B05">
        <w:rPr>
          <w:rFonts w:ascii="Arial" w:hAnsi="Arial" w:cs="Arial"/>
        </w:rPr>
        <w:t xml:space="preserve">he regulations severely limited </w:t>
      </w:r>
      <w:r w:rsidR="00DF25D4" w:rsidRPr="00460B05">
        <w:rPr>
          <w:rFonts w:ascii="Arial" w:hAnsi="Arial" w:cs="Arial"/>
        </w:rPr>
        <w:t xml:space="preserve">movement </w:t>
      </w:r>
      <w:r w:rsidR="00F65E5F" w:rsidRPr="00460B05">
        <w:rPr>
          <w:rFonts w:ascii="Arial" w:hAnsi="Arial" w:cs="Arial"/>
        </w:rPr>
        <w:t xml:space="preserve">for </w:t>
      </w:r>
      <w:r w:rsidR="003C4780" w:rsidRPr="00460B05">
        <w:rPr>
          <w:rFonts w:ascii="Arial" w:hAnsi="Arial" w:cs="Arial"/>
        </w:rPr>
        <w:t xml:space="preserve">all </w:t>
      </w:r>
      <w:r w:rsidR="00F65E5F" w:rsidRPr="00460B05">
        <w:rPr>
          <w:rFonts w:ascii="Arial" w:hAnsi="Arial" w:cs="Arial"/>
        </w:rPr>
        <w:t>people</w:t>
      </w:r>
      <w:r w:rsidR="00506411" w:rsidRPr="00460B05">
        <w:rPr>
          <w:rFonts w:ascii="Arial" w:hAnsi="Arial" w:cs="Arial"/>
        </w:rPr>
        <w:t xml:space="preserve">, </w:t>
      </w:r>
      <w:r w:rsidR="003C4780" w:rsidRPr="00460B05">
        <w:rPr>
          <w:rFonts w:ascii="Arial" w:hAnsi="Arial" w:cs="Arial"/>
        </w:rPr>
        <w:t>including those at</w:t>
      </w:r>
      <w:r w:rsidR="00DF25D4" w:rsidRPr="00460B05">
        <w:rPr>
          <w:rFonts w:ascii="Arial" w:hAnsi="Arial" w:cs="Arial"/>
        </w:rPr>
        <w:t>tending</w:t>
      </w:r>
      <w:r w:rsidR="005F6120" w:rsidRPr="00460B05">
        <w:rPr>
          <w:rFonts w:ascii="Arial" w:hAnsi="Arial" w:cs="Arial"/>
        </w:rPr>
        <w:t xml:space="preserve"> faith</w:t>
      </w:r>
      <w:r w:rsidR="003A4AAE" w:rsidRPr="00460B05">
        <w:rPr>
          <w:rFonts w:ascii="Arial" w:hAnsi="Arial" w:cs="Arial"/>
        </w:rPr>
        <w:t>-</w:t>
      </w:r>
      <w:r w:rsidR="005F6120" w:rsidRPr="00460B05">
        <w:rPr>
          <w:rFonts w:ascii="Arial" w:hAnsi="Arial" w:cs="Arial"/>
        </w:rPr>
        <w:t xml:space="preserve">based institutions. </w:t>
      </w:r>
      <w:r w:rsidR="003C4780" w:rsidRPr="00460B05">
        <w:rPr>
          <w:rFonts w:ascii="Arial" w:hAnsi="Arial" w:cs="Arial"/>
        </w:rPr>
        <w:t>The restrictions were</w:t>
      </w:r>
      <w:r w:rsidR="00FE61E4" w:rsidRPr="00460B05">
        <w:rPr>
          <w:rFonts w:ascii="Arial" w:hAnsi="Arial" w:cs="Arial"/>
        </w:rPr>
        <w:t xml:space="preserve"> gradually</w:t>
      </w:r>
      <w:r w:rsidR="003C4780" w:rsidRPr="00460B05">
        <w:rPr>
          <w:rFonts w:ascii="Arial" w:hAnsi="Arial" w:cs="Arial"/>
        </w:rPr>
        <w:t xml:space="preserve"> eased</w:t>
      </w:r>
      <w:r w:rsidR="0015706C" w:rsidRPr="00460B05">
        <w:rPr>
          <w:rFonts w:ascii="Arial" w:hAnsi="Arial" w:cs="Arial"/>
        </w:rPr>
        <w:t>,</w:t>
      </w:r>
      <w:r w:rsidR="000C554A" w:rsidRPr="00460B05">
        <w:rPr>
          <w:rFonts w:ascii="Arial" w:hAnsi="Arial" w:cs="Arial"/>
        </w:rPr>
        <w:t xml:space="preserve"> subject to </w:t>
      </w:r>
      <w:r w:rsidR="00FE61E4" w:rsidRPr="00460B05">
        <w:rPr>
          <w:rFonts w:ascii="Arial" w:hAnsi="Arial" w:cs="Arial"/>
        </w:rPr>
        <w:t>limits</w:t>
      </w:r>
      <w:r w:rsidR="000C554A" w:rsidRPr="00460B05">
        <w:rPr>
          <w:rFonts w:ascii="Arial" w:hAnsi="Arial" w:cs="Arial"/>
        </w:rPr>
        <w:t xml:space="preserve"> on </w:t>
      </w:r>
      <w:r w:rsidR="00FE61E4" w:rsidRPr="00460B05">
        <w:rPr>
          <w:rFonts w:ascii="Arial" w:hAnsi="Arial" w:cs="Arial"/>
        </w:rPr>
        <w:t xml:space="preserve">the </w:t>
      </w:r>
      <w:r w:rsidR="000C554A" w:rsidRPr="00460B05">
        <w:rPr>
          <w:rFonts w:ascii="Arial" w:hAnsi="Arial" w:cs="Arial"/>
        </w:rPr>
        <w:t>number</w:t>
      </w:r>
      <w:r w:rsidR="003A4AAE" w:rsidRPr="00460B05">
        <w:rPr>
          <w:rFonts w:ascii="Arial" w:hAnsi="Arial" w:cs="Arial"/>
        </w:rPr>
        <w:t xml:space="preserve"> of people gathering</w:t>
      </w:r>
      <w:r w:rsidR="000C554A" w:rsidRPr="00460B05">
        <w:rPr>
          <w:rFonts w:ascii="Arial" w:hAnsi="Arial" w:cs="Arial"/>
        </w:rPr>
        <w:t xml:space="preserve"> and </w:t>
      </w:r>
      <w:r w:rsidR="003A4AAE" w:rsidRPr="00460B05">
        <w:rPr>
          <w:rFonts w:ascii="Arial" w:hAnsi="Arial" w:cs="Arial"/>
        </w:rPr>
        <w:t xml:space="preserve">the </w:t>
      </w:r>
      <w:r w:rsidR="000C554A" w:rsidRPr="00460B05">
        <w:rPr>
          <w:rFonts w:ascii="Arial" w:hAnsi="Arial" w:cs="Arial"/>
        </w:rPr>
        <w:t xml:space="preserve">adherence to </w:t>
      </w:r>
      <w:r w:rsidR="003A4AAE" w:rsidRPr="00460B05">
        <w:rPr>
          <w:rFonts w:ascii="Arial" w:hAnsi="Arial" w:cs="Arial"/>
        </w:rPr>
        <w:t xml:space="preserve">health and safety </w:t>
      </w:r>
      <w:r w:rsidR="000C554A" w:rsidRPr="00460B05">
        <w:rPr>
          <w:rFonts w:ascii="Arial" w:hAnsi="Arial" w:cs="Arial"/>
        </w:rPr>
        <w:t>protocols</w:t>
      </w:r>
      <w:r w:rsidR="003A4AAE" w:rsidRPr="00460B05">
        <w:rPr>
          <w:rFonts w:ascii="Arial" w:hAnsi="Arial" w:cs="Arial"/>
        </w:rPr>
        <w:t xml:space="preserve">. </w:t>
      </w:r>
      <w:r w:rsidR="00F72F72" w:rsidRPr="00460B05">
        <w:rPr>
          <w:rFonts w:ascii="Arial" w:hAnsi="Arial" w:cs="Arial"/>
        </w:rPr>
        <w:t>However</w:t>
      </w:r>
      <w:r w:rsidR="003A4AAE" w:rsidRPr="00460B05">
        <w:rPr>
          <w:rFonts w:ascii="Arial" w:hAnsi="Arial" w:cs="Arial"/>
        </w:rPr>
        <w:t>,</w:t>
      </w:r>
      <w:r w:rsidR="0015706C" w:rsidRPr="00460B05">
        <w:rPr>
          <w:rFonts w:ascii="Arial" w:hAnsi="Arial" w:cs="Arial"/>
        </w:rPr>
        <w:t xml:space="preserve"> </w:t>
      </w:r>
      <w:r w:rsidR="00F3433C" w:rsidRPr="00460B05">
        <w:rPr>
          <w:rFonts w:ascii="Arial" w:hAnsi="Arial" w:cs="Arial"/>
        </w:rPr>
        <w:t xml:space="preserve">the </w:t>
      </w:r>
      <w:r w:rsidR="00E6762B" w:rsidRPr="00460B05">
        <w:rPr>
          <w:rFonts w:ascii="Arial" w:hAnsi="Arial" w:cs="Arial"/>
        </w:rPr>
        <w:t xml:space="preserve">restrictions </w:t>
      </w:r>
      <w:r w:rsidR="00F3433C" w:rsidRPr="00460B05">
        <w:rPr>
          <w:rFonts w:ascii="Arial" w:hAnsi="Arial" w:cs="Arial"/>
        </w:rPr>
        <w:t xml:space="preserve">on </w:t>
      </w:r>
      <w:r w:rsidR="00955825" w:rsidRPr="00460B05">
        <w:rPr>
          <w:rFonts w:ascii="Arial" w:hAnsi="Arial" w:cs="Arial"/>
        </w:rPr>
        <w:t xml:space="preserve">religious gatherings </w:t>
      </w:r>
      <w:r w:rsidR="000756B5" w:rsidRPr="00460B05">
        <w:rPr>
          <w:rFonts w:ascii="Arial" w:hAnsi="Arial" w:cs="Arial"/>
        </w:rPr>
        <w:t>continued</w:t>
      </w:r>
      <w:r w:rsidR="0015706C" w:rsidRPr="00460B05">
        <w:rPr>
          <w:rFonts w:ascii="Arial" w:hAnsi="Arial" w:cs="Arial"/>
        </w:rPr>
        <w:t>.</w:t>
      </w:r>
    </w:p>
    <w:p w14:paraId="60AE29E1" w14:textId="77777777" w:rsidR="009305CD" w:rsidRPr="00CE2804" w:rsidRDefault="009305CD" w:rsidP="00CE2804">
      <w:pPr>
        <w:rPr>
          <w:rFonts w:ascii="Arial" w:hAnsi="Arial" w:cs="Arial"/>
        </w:rPr>
      </w:pPr>
    </w:p>
    <w:p w14:paraId="2BEF7039" w14:textId="7BD822FE" w:rsidR="00955825" w:rsidRPr="00460B05" w:rsidRDefault="00460B05" w:rsidP="00460B05">
      <w:pPr>
        <w:rPr>
          <w:rFonts w:ascii="Arial" w:hAnsi="Arial" w:cs="Arial"/>
        </w:rPr>
      </w:pPr>
      <w:r w:rsidRPr="00CE2804">
        <w:rPr>
          <w:rFonts w:ascii="Arial" w:hAnsi="Arial" w:cs="Arial"/>
          <w:lang w:eastAsia="en-US"/>
        </w:rPr>
        <w:t>[6]</w:t>
      </w:r>
      <w:r w:rsidRPr="00CE2804">
        <w:rPr>
          <w:rFonts w:ascii="Arial" w:hAnsi="Arial" w:cs="Arial"/>
          <w:lang w:eastAsia="en-US"/>
        </w:rPr>
        <w:tab/>
      </w:r>
      <w:r w:rsidR="00747A77" w:rsidRPr="00460B05">
        <w:rPr>
          <w:rFonts w:ascii="Arial" w:hAnsi="Arial" w:cs="Arial"/>
        </w:rPr>
        <w:t>In January 202</w:t>
      </w:r>
      <w:r w:rsidR="00E17155" w:rsidRPr="00460B05">
        <w:rPr>
          <w:rFonts w:ascii="Arial" w:hAnsi="Arial" w:cs="Arial"/>
        </w:rPr>
        <w:t>1</w:t>
      </w:r>
      <w:r w:rsidR="00747A77" w:rsidRPr="00460B05">
        <w:rPr>
          <w:rFonts w:ascii="Arial" w:hAnsi="Arial" w:cs="Arial"/>
        </w:rPr>
        <w:t xml:space="preserve">, </w:t>
      </w:r>
      <w:proofErr w:type="spellStart"/>
      <w:r w:rsidR="00236B0F" w:rsidRPr="00460B05">
        <w:rPr>
          <w:rFonts w:ascii="Arial" w:hAnsi="Arial" w:cs="Arial"/>
        </w:rPr>
        <w:t>Solidariteit</w:t>
      </w:r>
      <w:proofErr w:type="spellEnd"/>
      <w:r w:rsidR="00236B0F" w:rsidRPr="00460B05">
        <w:rPr>
          <w:rFonts w:ascii="Arial" w:hAnsi="Arial" w:cs="Arial"/>
        </w:rPr>
        <w:t xml:space="preserve"> </w:t>
      </w:r>
      <w:proofErr w:type="spellStart"/>
      <w:r w:rsidR="00236B0F" w:rsidRPr="00460B05">
        <w:rPr>
          <w:rFonts w:ascii="Arial" w:hAnsi="Arial" w:cs="Arial"/>
        </w:rPr>
        <w:t>Helpende</w:t>
      </w:r>
      <w:proofErr w:type="spellEnd"/>
      <w:r w:rsidR="00236B0F" w:rsidRPr="00460B05">
        <w:rPr>
          <w:rFonts w:ascii="Arial" w:hAnsi="Arial" w:cs="Arial"/>
        </w:rPr>
        <w:t xml:space="preserve"> Hand NP</w:t>
      </w:r>
      <w:r w:rsidR="000756B5" w:rsidRPr="00460B05">
        <w:rPr>
          <w:rFonts w:ascii="Arial" w:hAnsi="Arial" w:cs="Arial"/>
        </w:rPr>
        <w:t>C</w:t>
      </w:r>
      <w:r w:rsidR="00236B0F" w:rsidRPr="00460B05">
        <w:rPr>
          <w:rFonts w:ascii="Arial" w:hAnsi="Arial" w:cs="Arial"/>
        </w:rPr>
        <w:t xml:space="preserve">, </w:t>
      </w:r>
      <w:r w:rsidR="00FE29FF" w:rsidRPr="00460B05">
        <w:rPr>
          <w:rFonts w:ascii="Arial" w:hAnsi="Arial" w:cs="Arial"/>
        </w:rPr>
        <w:t>t</w:t>
      </w:r>
      <w:r w:rsidR="00236B0F" w:rsidRPr="00460B05">
        <w:rPr>
          <w:rFonts w:ascii="Arial" w:hAnsi="Arial" w:cs="Arial"/>
        </w:rPr>
        <w:t>he South African National Christian Forum (SANCF), the Musl</w:t>
      </w:r>
      <w:r w:rsidR="00201652" w:rsidRPr="00460B05">
        <w:rPr>
          <w:rFonts w:ascii="Arial" w:hAnsi="Arial" w:cs="Arial"/>
        </w:rPr>
        <w:t>im Lawyers Association</w:t>
      </w:r>
      <w:r w:rsidR="00FE29FF" w:rsidRPr="00460B05">
        <w:rPr>
          <w:rFonts w:ascii="Arial" w:hAnsi="Arial" w:cs="Arial"/>
        </w:rPr>
        <w:t>,</w:t>
      </w:r>
      <w:r w:rsidR="00201652" w:rsidRPr="00460B05">
        <w:rPr>
          <w:rFonts w:ascii="Arial" w:hAnsi="Arial" w:cs="Arial"/>
        </w:rPr>
        <w:t xml:space="preserve"> and </w:t>
      </w:r>
      <w:r w:rsidR="00236B0F" w:rsidRPr="00460B05">
        <w:rPr>
          <w:rFonts w:ascii="Arial" w:hAnsi="Arial" w:cs="Arial"/>
        </w:rPr>
        <w:t>Freedom of Religion South Afri</w:t>
      </w:r>
      <w:r w:rsidR="00201652" w:rsidRPr="00460B05">
        <w:rPr>
          <w:rFonts w:ascii="Arial" w:hAnsi="Arial" w:cs="Arial"/>
        </w:rPr>
        <w:t>ca NPC</w:t>
      </w:r>
      <w:r w:rsidR="006E1D39" w:rsidRPr="00CE2804">
        <w:rPr>
          <w:rStyle w:val="FootnoteReference"/>
          <w:rFonts w:ascii="Arial" w:hAnsi="Arial" w:cs="Arial"/>
        </w:rPr>
        <w:footnoteReference w:id="2"/>
      </w:r>
      <w:r w:rsidR="00236B0F" w:rsidRPr="00460B05">
        <w:rPr>
          <w:rFonts w:ascii="Arial" w:hAnsi="Arial" w:cs="Arial"/>
        </w:rPr>
        <w:t>, launched sep</w:t>
      </w:r>
      <w:r w:rsidR="00AE2D2E" w:rsidRPr="00460B05">
        <w:rPr>
          <w:rFonts w:ascii="Arial" w:hAnsi="Arial" w:cs="Arial"/>
        </w:rPr>
        <w:t>arate applications against</w:t>
      </w:r>
      <w:r w:rsidR="000C63CA" w:rsidRPr="00460B05">
        <w:rPr>
          <w:rFonts w:ascii="Arial" w:hAnsi="Arial" w:cs="Arial"/>
        </w:rPr>
        <w:t xml:space="preserve"> the Minister,</w:t>
      </w:r>
      <w:r w:rsidR="00236B0F" w:rsidRPr="00460B05">
        <w:rPr>
          <w:rFonts w:ascii="Arial" w:hAnsi="Arial" w:cs="Arial"/>
        </w:rPr>
        <w:t xml:space="preserve"> </w:t>
      </w:r>
      <w:r w:rsidR="00747A77" w:rsidRPr="00460B05">
        <w:rPr>
          <w:rFonts w:ascii="Arial" w:hAnsi="Arial" w:cs="Arial"/>
        </w:rPr>
        <w:t>challeng</w:t>
      </w:r>
      <w:r w:rsidR="00236B0F" w:rsidRPr="00460B05">
        <w:rPr>
          <w:rFonts w:ascii="Arial" w:hAnsi="Arial" w:cs="Arial"/>
        </w:rPr>
        <w:t xml:space="preserve">ing </w:t>
      </w:r>
      <w:r w:rsidR="00747A77" w:rsidRPr="00460B05">
        <w:rPr>
          <w:rFonts w:ascii="Arial" w:hAnsi="Arial" w:cs="Arial"/>
        </w:rPr>
        <w:t>the</w:t>
      </w:r>
      <w:r w:rsidR="00955825" w:rsidRPr="00460B05">
        <w:rPr>
          <w:rFonts w:ascii="Arial" w:hAnsi="Arial" w:cs="Arial"/>
        </w:rPr>
        <w:t xml:space="preserve"> regulations </w:t>
      </w:r>
      <w:r w:rsidR="00AE2D2E" w:rsidRPr="00460B05">
        <w:rPr>
          <w:rFonts w:ascii="Arial" w:hAnsi="Arial" w:cs="Arial"/>
        </w:rPr>
        <w:t>concerning religious gatherings. The impugned regulations were</w:t>
      </w:r>
      <w:r w:rsidR="00955825" w:rsidRPr="00460B05">
        <w:rPr>
          <w:rFonts w:ascii="Arial" w:hAnsi="Arial" w:cs="Arial"/>
        </w:rPr>
        <w:t>:</w:t>
      </w:r>
    </w:p>
    <w:p w14:paraId="1BB1161F" w14:textId="55D12495" w:rsidR="00955825" w:rsidRPr="00CE2804" w:rsidRDefault="00B8422B" w:rsidP="00CE2804">
      <w:pPr>
        <w:rPr>
          <w:rFonts w:ascii="Arial" w:hAnsi="Arial" w:cs="Arial"/>
        </w:rPr>
      </w:pPr>
      <w:r>
        <w:rPr>
          <w:rFonts w:ascii="Arial" w:hAnsi="Arial" w:cs="Arial"/>
        </w:rPr>
        <w:t>(a)</w:t>
      </w:r>
      <w:r>
        <w:rPr>
          <w:rFonts w:ascii="Arial" w:hAnsi="Arial" w:cs="Arial"/>
        </w:rPr>
        <w:tab/>
      </w:r>
      <w:r w:rsidR="00955825" w:rsidRPr="00CE2804">
        <w:rPr>
          <w:rFonts w:ascii="Arial" w:hAnsi="Arial" w:cs="Arial"/>
        </w:rPr>
        <w:t>regulations 36(3) and 84(3)</w:t>
      </w:r>
      <w:r w:rsidR="00AE2D2E" w:rsidRPr="00CE2804">
        <w:rPr>
          <w:rFonts w:ascii="Arial" w:hAnsi="Arial" w:cs="Arial"/>
        </w:rPr>
        <w:t xml:space="preserve"> p</w:t>
      </w:r>
      <w:r w:rsidR="00955825" w:rsidRPr="00CE2804">
        <w:rPr>
          <w:rFonts w:ascii="Arial" w:hAnsi="Arial" w:cs="Arial"/>
        </w:rPr>
        <w:t xml:space="preserve">ublished </w:t>
      </w:r>
      <w:r w:rsidR="0047099D" w:rsidRPr="00CE2804">
        <w:rPr>
          <w:rFonts w:ascii="Arial" w:hAnsi="Arial" w:cs="Arial"/>
        </w:rPr>
        <w:t xml:space="preserve">under Government Notice number R1423 in </w:t>
      </w:r>
      <w:r w:rsidR="0047099D" w:rsidRPr="00CE2804">
        <w:rPr>
          <w:rFonts w:ascii="Arial" w:hAnsi="Arial" w:cs="Arial"/>
          <w:i/>
        </w:rPr>
        <w:t>Government Gazette</w:t>
      </w:r>
      <w:r w:rsidR="0047099D" w:rsidRPr="00CE2804">
        <w:rPr>
          <w:rFonts w:ascii="Arial" w:hAnsi="Arial" w:cs="Arial"/>
        </w:rPr>
        <w:t xml:space="preserve"> number 44044 of 29 December 2020 </w:t>
      </w:r>
      <w:r w:rsidR="006006BF" w:rsidRPr="00CE2804">
        <w:rPr>
          <w:rFonts w:ascii="Arial" w:hAnsi="Arial" w:cs="Arial"/>
        </w:rPr>
        <w:t>(the December</w:t>
      </w:r>
      <w:r w:rsidR="0047099D" w:rsidRPr="00CE2804">
        <w:rPr>
          <w:rFonts w:ascii="Arial" w:hAnsi="Arial" w:cs="Arial"/>
        </w:rPr>
        <w:t xml:space="preserve"> regulations)</w:t>
      </w:r>
      <w:r w:rsidR="00955825" w:rsidRPr="00CE2804">
        <w:rPr>
          <w:rFonts w:ascii="Arial" w:hAnsi="Arial" w:cs="Arial"/>
        </w:rPr>
        <w:t>;</w:t>
      </w:r>
      <w:r w:rsidR="00FE29FF" w:rsidRPr="00CE2804">
        <w:rPr>
          <w:rStyle w:val="FootnoteReference"/>
          <w:rFonts w:ascii="Arial" w:hAnsi="Arial" w:cs="Arial"/>
        </w:rPr>
        <w:footnoteReference w:id="3"/>
      </w:r>
      <w:r w:rsidR="00955825" w:rsidRPr="00CE2804">
        <w:rPr>
          <w:rFonts w:ascii="Arial" w:hAnsi="Arial" w:cs="Arial"/>
        </w:rPr>
        <w:t xml:space="preserve"> and </w:t>
      </w:r>
    </w:p>
    <w:p w14:paraId="73AA6DD0" w14:textId="2E20440E" w:rsidR="00955825" w:rsidRPr="00CE2804" w:rsidRDefault="00B8422B" w:rsidP="00CE2804">
      <w:pPr>
        <w:rPr>
          <w:rFonts w:ascii="Arial" w:hAnsi="Arial" w:cs="Arial"/>
        </w:rPr>
      </w:pPr>
      <w:r>
        <w:rPr>
          <w:rFonts w:ascii="Arial" w:hAnsi="Arial" w:cs="Arial"/>
        </w:rPr>
        <w:t>(b)</w:t>
      </w:r>
      <w:r>
        <w:rPr>
          <w:rFonts w:ascii="Arial" w:hAnsi="Arial" w:cs="Arial"/>
        </w:rPr>
        <w:tab/>
      </w:r>
      <w:r w:rsidR="00AE2D2E" w:rsidRPr="00CE2804">
        <w:rPr>
          <w:rFonts w:ascii="Arial" w:hAnsi="Arial" w:cs="Arial"/>
        </w:rPr>
        <w:t xml:space="preserve">regulations 36(3) and 84(3) </w:t>
      </w:r>
      <w:r w:rsidR="00955825" w:rsidRPr="00CE2804">
        <w:rPr>
          <w:rFonts w:ascii="Arial" w:hAnsi="Arial" w:cs="Arial"/>
        </w:rPr>
        <w:t xml:space="preserve">published </w:t>
      </w:r>
      <w:r w:rsidR="0047099D" w:rsidRPr="00CE2804">
        <w:rPr>
          <w:rFonts w:ascii="Arial" w:hAnsi="Arial" w:cs="Arial"/>
        </w:rPr>
        <w:t xml:space="preserve">under Government Notice R11 in </w:t>
      </w:r>
      <w:r w:rsidR="0047099D" w:rsidRPr="00CE2804">
        <w:rPr>
          <w:rFonts w:ascii="Arial" w:hAnsi="Arial" w:cs="Arial"/>
          <w:i/>
        </w:rPr>
        <w:t>Government Gazette</w:t>
      </w:r>
      <w:r w:rsidR="0047099D" w:rsidRPr="00CE2804">
        <w:rPr>
          <w:rFonts w:ascii="Arial" w:hAnsi="Arial" w:cs="Arial"/>
        </w:rPr>
        <w:t xml:space="preserve"> number 44066 </w:t>
      </w:r>
      <w:r w:rsidR="006006BF" w:rsidRPr="00CE2804">
        <w:rPr>
          <w:rFonts w:ascii="Arial" w:hAnsi="Arial" w:cs="Arial"/>
        </w:rPr>
        <w:t>of 11 January 2021 (the January</w:t>
      </w:r>
      <w:r w:rsidR="0047099D" w:rsidRPr="00CE2804">
        <w:rPr>
          <w:rFonts w:ascii="Arial" w:hAnsi="Arial" w:cs="Arial"/>
        </w:rPr>
        <w:t xml:space="preserve"> regulations)</w:t>
      </w:r>
      <w:r w:rsidR="00955825" w:rsidRPr="00CE2804">
        <w:rPr>
          <w:rFonts w:ascii="Arial" w:hAnsi="Arial" w:cs="Arial"/>
        </w:rPr>
        <w:t>.</w:t>
      </w:r>
      <w:r w:rsidR="00955825" w:rsidRPr="00CE2804">
        <w:rPr>
          <w:rStyle w:val="FootnoteReference"/>
          <w:rFonts w:ascii="Arial" w:hAnsi="Arial" w:cs="Arial"/>
        </w:rPr>
        <w:footnoteReference w:id="4"/>
      </w:r>
      <w:r w:rsidR="00955825" w:rsidRPr="00CE2804">
        <w:rPr>
          <w:rFonts w:ascii="Arial" w:hAnsi="Arial" w:cs="Arial"/>
        </w:rPr>
        <w:t xml:space="preserve"> </w:t>
      </w:r>
    </w:p>
    <w:p w14:paraId="6C43BA7F" w14:textId="77777777" w:rsidR="00955825" w:rsidRPr="00CE2804" w:rsidRDefault="00955825" w:rsidP="00CE2804">
      <w:pPr>
        <w:rPr>
          <w:rFonts w:ascii="Arial" w:hAnsi="Arial" w:cs="Arial"/>
        </w:rPr>
      </w:pPr>
    </w:p>
    <w:p w14:paraId="63104E8A" w14:textId="4BB49129" w:rsidR="006006BF" w:rsidRPr="00460B05" w:rsidRDefault="00460B05" w:rsidP="00460B05">
      <w:pPr>
        <w:rPr>
          <w:rFonts w:ascii="Arial" w:hAnsi="Arial" w:cs="Arial"/>
        </w:rPr>
      </w:pPr>
      <w:r w:rsidRPr="00CE2804">
        <w:rPr>
          <w:rFonts w:ascii="Arial" w:hAnsi="Arial" w:cs="Arial"/>
          <w:lang w:eastAsia="en-US"/>
        </w:rPr>
        <w:t>[7]</w:t>
      </w:r>
      <w:r w:rsidRPr="00CE2804">
        <w:rPr>
          <w:rFonts w:ascii="Arial" w:hAnsi="Arial" w:cs="Arial"/>
          <w:lang w:eastAsia="en-US"/>
        </w:rPr>
        <w:tab/>
      </w:r>
      <w:r w:rsidR="00955825" w:rsidRPr="00460B05">
        <w:rPr>
          <w:rFonts w:ascii="Arial" w:hAnsi="Arial" w:cs="Arial"/>
        </w:rPr>
        <w:t>Under the December regulations</w:t>
      </w:r>
      <w:r w:rsidR="00450D00" w:rsidRPr="00460B05">
        <w:rPr>
          <w:rFonts w:ascii="Arial" w:hAnsi="Arial" w:cs="Arial"/>
        </w:rPr>
        <w:t>,</w:t>
      </w:r>
      <w:r w:rsidR="00955825" w:rsidRPr="00460B05">
        <w:rPr>
          <w:rFonts w:ascii="Arial" w:hAnsi="Arial" w:cs="Arial"/>
        </w:rPr>
        <w:t xml:space="preserve"> all faith</w:t>
      </w:r>
      <w:r w:rsidR="00450D00" w:rsidRPr="00460B05">
        <w:rPr>
          <w:rFonts w:ascii="Arial" w:hAnsi="Arial" w:cs="Arial"/>
        </w:rPr>
        <w:t>-</w:t>
      </w:r>
      <w:r w:rsidR="00955825" w:rsidRPr="00460B05">
        <w:rPr>
          <w:rFonts w:ascii="Arial" w:hAnsi="Arial" w:cs="Arial"/>
        </w:rPr>
        <w:t xml:space="preserve">based gatherings were prohibited for two weeks, while the January regulations contained a blanket ban for an indefinite period. </w:t>
      </w:r>
    </w:p>
    <w:p w14:paraId="50DF50DF" w14:textId="77777777" w:rsidR="006006BF" w:rsidRPr="00CE2804" w:rsidRDefault="006006BF" w:rsidP="00CE2804">
      <w:pPr>
        <w:pStyle w:val="ListParagraph"/>
        <w:spacing w:line="360" w:lineRule="auto"/>
        <w:ind w:left="0"/>
        <w:rPr>
          <w:rFonts w:ascii="Arial" w:hAnsi="Arial" w:cs="Arial"/>
          <w:sz w:val="24"/>
          <w:szCs w:val="24"/>
        </w:rPr>
      </w:pPr>
    </w:p>
    <w:p w14:paraId="689217A1" w14:textId="539BC5C6" w:rsidR="00657EF2" w:rsidRPr="00460B05" w:rsidRDefault="00460B05" w:rsidP="00460B05">
      <w:pPr>
        <w:rPr>
          <w:rFonts w:ascii="Arial" w:hAnsi="Arial" w:cs="Arial"/>
        </w:rPr>
      </w:pPr>
      <w:r w:rsidRPr="00CE2804">
        <w:rPr>
          <w:rFonts w:ascii="Arial" w:hAnsi="Arial" w:cs="Arial"/>
          <w:lang w:eastAsia="en-US"/>
        </w:rPr>
        <w:t>[8]</w:t>
      </w:r>
      <w:r w:rsidRPr="00CE2804">
        <w:rPr>
          <w:rFonts w:ascii="Arial" w:hAnsi="Arial" w:cs="Arial"/>
          <w:lang w:eastAsia="en-US"/>
        </w:rPr>
        <w:tab/>
      </w:r>
      <w:r w:rsidR="00747A77" w:rsidRPr="00460B05">
        <w:rPr>
          <w:rFonts w:ascii="Arial" w:hAnsi="Arial" w:cs="Arial"/>
        </w:rPr>
        <w:t xml:space="preserve">The appellants each </w:t>
      </w:r>
      <w:r w:rsidR="00657EF2" w:rsidRPr="00460B05">
        <w:rPr>
          <w:rFonts w:ascii="Arial" w:hAnsi="Arial" w:cs="Arial"/>
        </w:rPr>
        <w:t>sought an order</w:t>
      </w:r>
      <w:r w:rsidR="00747A77" w:rsidRPr="00460B05">
        <w:rPr>
          <w:rFonts w:ascii="Arial" w:hAnsi="Arial" w:cs="Arial"/>
        </w:rPr>
        <w:t xml:space="preserve"> for interim relief and a review to set aside the impugned regulations in terms of the Promotion of Administrative Justice Act 3 of 2000 (PAJA). </w:t>
      </w:r>
      <w:r w:rsidR="00FC5CE0" w:rsidRPr="00460B05">
        <w:rPr>
          <w:rFonts w:ascii="Arial" w:hAnsi="Arial" w:cs="Arial"/>
        </w:rPr>
        <w:t>The appellants contended that the ban on religious gatherings infringed upon their constitutional rights,</w:t>
      </w:r>
      <w:r w:rsidR="006E799C" w:rsidRPr="00460B05">
        <w:rPr>
          <w:rFonts w:ascii="Arial" w:hAnsi="Arial" w:cs="Arial"/>
        </w:rPr>
        <w:t xml:space="preserve"> and </w:t>
      </w:r>
      <w:r w:rsidR="00FC5CE0" w:rsidRPr="00460B05">
        <w:rPr>
          <w:rFonts w:ascii="Arial" w:hAnsi="Arial" w:cs="Arial"/>
        </w:rPr>
        <w:t>could not be justified and w</w:t>
      </w:r>
      <w:r w:rsidR="00F72F72" w:rsidRPr="00460B05">
        <w:rPr>
          <w:rFonts w:ascii="Arial" w:hAnsi="Arial" w:cs="Arial"/>
        </w:rPr>
        <w:t>as</w:t>
      </w:r>
      <w:r w:rsidR="00FC5CE0" w:rsidRPr="00460B05">
        <w:rPr>
          <w:rFonts w:ascii="Arial" w:hAnsi="Arial" w:cs="Arial"/>
        </w:rPr>
        <w:t xml:space="preserve"> irrational. The</w:t>
      </w:r>
      <w:r w:rsidR="00D42D04" w:rsidRPr="00460B05">
        <w:rPr>
          <w:rFonts w:ascii="Arial" w:hAnsi="Arial" w:cs="Arial"/>
        </w:rPr>
        <w:t xml:space="preserve"> separate applications were subsequently consolidated into one application, and adjudi</w:t>
      </w:r>
      <w:r w:rsidR="00FC5CE0" w:rsidRPr="00460B05">
        <w:rPr>
          <w:rFonts w:ascii="Arial" w:hAnsi="Arial" w:cs="Arial"/>
        </w:rPr>
        <w:t xml:space="preserve">cated as such in the Gauteng Division of the </w:t>
      </w:r>
      <w:r w:rsidR="006006BF" w:rsidRPr="00460B05">
        <w:rPr>
          <w:rFonts w:ascii="Arial" w:hAnsi="Arial" w:cs="Arial"/>
        </w:rPr>
        <w:t>H</w:t>
      </w:r>
      <w:r w:rsidR="00FC5CE0" w:rsidRPr="00460B05">
        <w:rPr>
          <w:rFonts w:ascii="Arial" w:hAnsi="Arial" w:cs="Arial"/>
        </w:rPr>
        <w:t xml:space="preserve">igh </w:t>
      </w:r>
      <w:r w:rsidR="006006BF" w:rsidRPr="00460B05">
        <w:rPr>
          <w:rFonts w:ascii="Arial" w:hAnsi="Arial" w:cs="Arial"/>
        </w:rPr>
        <w:t>C</w:t>
      </w:r>
      <w:r w:rsidR="00FC5CE0" w:rsidRPr="00460B05">
        <w:rPr>
          <w:rFonts w:ascii="Arial" w:hAnsi="Arial" w:cs="Arial"/>
        </w:rPr>
        <w:t>ourt, Johannesburg (the high court)</w:t>
      </w:r>
      <w:r w:rsidR="00D42D04" w:rsidRPr="00460B05">
        <w:rPr>
          <w:rFonts w:ascii="Arial" w:hAnsi="Arial" w:cs="Arial"/>
        </w:rPr>
        <w:t>.</w:t>
      </w:r>
    </w:p>
    <w:p w14:paraId="3A92882F" w14:textId="77777777" w:rsidR="009305CD" w:rsidRPr="00CE2804" w:rsidRDefault="009305CD" w:rsidP="00CE2804">
      <w:pPr>
        <w:pStyle w:val="ListParagraph"/>
        <w:spacing w:line="360" w:lineRule="auto"/>
        <w:ind w:left="0"/>
        <w:rPr>
          <w:rFonts w:ascii="Arial" w:hAnsi="Arial" w:cs="Arial"/>
          <w:sz w:val="24"/>
          <w:szCs w:val="24"/>
        </w:rPr>
      </w:pPr>
    </w:p>
    <w:p w14:paraId="6A939769" w14:textId="73A39447" w:rsidR="00747A77" w:rsidRPr="00460B05" w:rsidRDefault="00460B05" w:rsidP="00460B05">
      <w:pPr>
        <w:rPr>
          <w:rFonts w:ascii="Arial" w:hAnsi="Arial" w:cs="Arial"/>
        </w:rPr>
      </w:pPr>
      <w:r w:rsidRPr="00CE2804">
        <w:rPr>
          <w:rFonts w:ascii="Arial" w:hAnsi="Arial" w:cs="Arial"/>
          <w:lang w:eastAsia="en-US"/>
        </w:rPr>
        <w:t>[9]</w:t>
      </w:r>
      <w:r w:rsidRPr="00CE2804">
        <w:rPr>
          <w:rFonts w:ascii="Arial" w:hAnsi="Arial" w:cs="Arial"/>
          <w:lang w:eastAsia="en-US"/>
        </w:rPr>
        <w:tab/>
      </w:r>
      <w:r w:rsidR="00657EF2" w:rsidRPr="00460B05">
        <w:rPr>
          <w:rFonts w:ascii="Arial" w:hAnsi="Arial" w:cs="Arial"/>
        </w:rPr>
        <w:t>Be</w:t>
      </w:r>
      <w:r w:rsidR="00FC5CE0" w:rsidRPr="00460B05">
        <w:rPr>
          <w:rFonts w:ascii="Arial" w:hAnsi="Arial" w:cs="Arial"/>
        </w:rPr>
        <w:t xml:space="preserve">fore the application was heard in the high court, </w:t>
      </w:r>
      <w:r w:rsidR="00AE2D2E" w:rsidRPr="00460B05">
        <w:rPr>
          <w:rFonts w:ascii="Arial" w:hAnsi="Arial" w:cs="Arial"/>
        </w:rPr>
        <w:t>the Minister</w:t>
      </w:r>
      <w:r w:rsidR="00747A77" w:rsidRPr="00460B05">
        <w:rPr>
          <w:rFonts w:ascii="Arial" w:hAnsi="Arial" w:cs="Arial"/>
        </w:rPr>
        <w:t xml:space="preserve"> </w:t>
      </w:r>
      <w:r w:rsidR="007B076E" w:rsidRPr="00460B05">
        <w:rPr>
          <w:rFonts w:ascii="Arial" w:hAnsi="Arial" w:cs="Arial"/>
        </w:rPr>
        <w:t xml:space="preserve">amended </w:t>
      </w:r>
      <w:r w:rsidR="00747A77" w:rsidRPr="00460B05">
        <w:rPr>
          <w:rFonts w:ascii="Arial" w:hAnsi="Arial" w:cs="Arial"/>
        </w:rPr>
        <w:t>the</w:t>
      </w:r>
      <w:r w:rsidR="00201652" w:rsidRPr="00460B05">
        <w:rPr>
          <w:rFonts w:ascii="Arial" w:hAnsi="Arial" w:cs="Arial"/>
        </w:rPr>
        <w:t xml:space="preserve"> </w:t>
      </w:r>
      <w:r w:rsidR="00747A77" w:rsidRPr="00460B05">
        <w:rPr>
          <w:rFonts w:ascii="Arial" w:hAnsi="Arial" w:cs="Arial"/>
        </w:rPr>
        <w:t xml:space="preserve">January regulations </w:t>
      </w:r>
      <w:r w:rsidR="00AE2D2E" w:rsidRPr="00460B05">
        <w:rPr>
          <w:rFonts w:ascii="Arial" w:hAnsi="Arial" w:cs="Arial"/>
        </w:rPr>
        <w:t xml:space="preserve">and promulgated </w:t>
      </w:r>
      <w:r w:rsidR="00747A77" w:rsidRPr="00460B05">
        <w:rPr>
          <w:rFonts w:ascii="Arial" w:hAnsi="Arial" w:cs="Arial"/>
        </w:rPr>
        <w:t>new regulations, dated 1 February 2021</w:t>
      </w:r>
      <w:r w:rsidR="009032D3" w:rsidRPr="00460B05">
        <w:rPr>
          <w:rFonts w:ascii="Arial" w:hAnsi="Arial" w:cs="Arial"/>
        </w:rPr>
        <w:t>.</w:t>
      </w:r>
      <w:r w:rsidR="000B63BB" w:rsidRPr="00CE2804">
        <w:rPr>
          <w:rStyle w:val="FootnoteReference"/>
          <w:rFonts w:ascii="Arial" w:hAnsi="Arial" w:cs="Arial"/>
        </w:rPr>
        <w:footnoteReference w:id="5"/>
      </w:r>
      <w:r w:rsidR="00747A77" w:rsidRPr="00460B05">
        <w:rPr>
          <w:rFonts w:ascii="Arial" w:hAnsi="Arial" w:cs="Arial"/>
        </w:rPr>
        <w:t xml:space="preserve"> </w:t>
      </w:r>
      <w:r w:rsidR="009032D3" w:rsidRPr="00460B05">
        <w:rPr>
          <w:rFonts w:ascii="Arial" w:hAnsi="Arial" w:cs="Arial"/>
        </w:rPr>
        <w:t>These</w:t>
      </w:r>
      <w:r w:rsidR="00747A77" w:rsidRPr="00460B05">
        <w:rPr>
          <w:rFonts w:ascii="Arial" w:hAnsi="Arial" w:cs="Arial"/>
        </w:rPr>
        <w:t xml:space="preserve"> lifted the ban on religious gatherings</w:t>
      </w:r>
      <w:r w:rsidR="009032D3" w:rsidRPr="00460B05">
        <w:rPr>
          <w:rFonts w:ascii="Arial" w:hAnsi="Arial" w:cs="Arial"/>
        </w:rPr>
        <w:t>,</w:t>
      </w:r>
      <w:r w:rsidR="00094927" w:rsidRPr="00460B05">
        <w:rPr>
          <w:rFonts w:ascii="Arial" w:hAnsi="Arial" w:cs="Arial"/>
        </w:rPr>
        <w:t xml:space="preserve"> albeit with restrictions</w:t>
      </w:r>
      <w:r w:rsidR="00D42D04" w:rsidRPr="00460B05">
        <w:rPr>
          <w:rFonts w:ascii="Arial" w:hAnsi="Arial" w:cs="Arial"/>
        </w:rPr>
        <w:t xml:space="preserve"> </w:t>
      </w:r>
      <w:r w:rsidR="009032D3" w:rsidRPr="00460B05">
        <w:rPr>
          <w:rFonts w:ascii="Arial" w:hAnsi="Arial" w:cs="Arial"/>
        </w:rPr>
        <w:t>on</w:t>
      </w:r>
      <w:r w:rsidR="00D42D04" w:rsidRPr="00460B05">
        <w:rPr>
          <w:rFonts w:ascii="Arial" w:hAnsi="Arial" w:cs="Arial"/>
        </w:rPr>
        <w:t xml:space="preserve"> the number of atte</w:t>
      </w:r>
      <w:r w:rsidR="00201652" w:rsidRPr="00460B05">
        <w:rPr>
          <w:rFonts w:ascii="Arial" w:hAnsi="Arial" w:cs="Arial"/>
        </w:rPr>
        <w:t>ndees</w:t>
      </w:r>
      <w:r w:rsidR="000D3104" w:rsidRPr="00460B05">
        <w:rPr>
          <w:rFonts w:ascii="Arial" w:hAnsi="Arial" w:cs="Arial"/>
        </w:rPr>
        <w:t>,</w:t>
      </w:r>
      <w:r w:rsidR="009032D3" w:rsidRPr="00460B05">
        <w:rPr>
          <w:rFonts w:ascii="Arial" w:hAnsi="Arial" w:cs="Arial"/>
        </w:rPr>
        <w:t xml:space="preserve"> provided that there was</w:t>
      </w:r>
      <w:r w:rsidR="00D42D04" w:rsidRPr="00460B05">
        <w:rPr>
          <w:rFonts w:ascii="Arial" w:hAnsi="Arial" w:cs="Arial"/>
        </w:rPr>
        <w:t xml:space="preserve"> </w:t>
      </w:r>
      <w:r w:rsidR="009032D3" w:rsidRPr="00460B05">
        <w:rPr>
          <w:rFonts w:ascii="Arial" w:hAnsi="Arial" w:cs="Arial"/>
        </w:rPr>
        <w:t xml:space="preserve">adherence to </w:t>
      </w:r>
      <w:r w:rsidR="00D42D04" w:rsidRPr="00460B05">
        <w:rPr>
          <w:rFonts w:ascii="Arial" w:hAnsi="Arial" w:cs="Arial"/>
        </w:rPr>
        <w:t>social distancing and health protocols.</w:t>
      </w:r>
      <w:r w:rsidR="007B076E" w:rsidRPr="00CE2804">
        <w:rPr>
          <w:rStyle w:val="FootnoteReference"/>
          <w:rFonts w:ascii="Arial" w:hAnsi="Arial" w:cs="Arial"/>
        </w:rPr>
        <w:footnoteReference w:id="6"/>
      </w:r>
      <w:r w:rsidR="00AD0224" w:rsidRPr="00460B05">
        <w:rPr>
          <w:rFonts w:ascii="Arial" w:hAnsi="Arial" w:cs="Arial"/>
        </w:rPr>
        <w:t xml:space="preserve"> </w:t>
      </w:r>
      <w:r w:rsidR="00D42D04" w:rsidRPr="00460B05">
        <w:rPr>
          <w:rFonts w:ascii="Arial" w:hAnsi="Arial" w:cs="Arial"/>
        </w:rPr>
        <w:t xml:space="preserve">These changes reflected the reduction </w:t>
      </w:r>
      <w:r w:rsidR="00F3433C" w:rsidRPr="00460B05">
        <w:rPr>
          <w:rFonts w:ascii="Arial" w:hAnsi="Arial" w:cs="Arial"/>
        </w:rPr>
        <w:t>of C</w:t>
      </w:r>
      <w:r w:rsidR="009032D3" w:rsidRPr="00460B05">
        <w:rPr>
          <w:rFonts w:ascii="Arial" w:hAnsi="Arial" w:cs="Arial"/>
        </w:rPr>
        <w:t>OVID</w:t>
      </w:r>
      <w:r w:rsidR="00F3433C" w:rsidRPr="00460B05">
        <w:rPr>
          <w:rFonts w:ascii="Arial" w:hAnsi="Arial" w:cs="Arial"/>
        </w:rPr>
        <w:t>-</w:t>
      </w:r>
      <w:r w:rsidR="00960886" w:rsidRPr="00460B05">
        <w:rPr>
          <w:rFonts w:ascii="Arial" w:hAnsi="Arial" w:cs="Arial"/>
        </w:rPr>
        <w:t xml:space="preserve">19 </w:t>
      </w:r>
      <w:r w:rsidR="009032D3" w:rsidRPr="00460B05">
        <w:rPr>
          <w:rFonts w:ascii="Arial" w:hAnsi="Arial" w:cs="Arial"/>
        </w:rPr>
        <w:t xml:space="preserve">case numbers and </w:t>
      </w:r>
      <w:r w:rsidR="00960886" w:rsidRPr="00460B05">
        <w:rPr>
          <w:rFonts w:ascii="Arial" w:hAnsi="Arial" w:cs="Arial"/>
        </w:rPr>
        <w:t>related infections</w:t>
      </w:r>
      <w:r w:rsidR="00D42D04" w:rsidRPr="00460B05">
        <w:rPr>
          <w:rFonts w:ascii="Arial" w:hAnsi="Arial" w:cs="Arial"/>
        </w:rPr>
        <w:t>, hospital admissions and fatalities. Subsequent thereto</w:t>
      </w:r>
      <w:r w:rsidR="009032D3" w:rsidRPr="00460B05">
        <w:rPr>
          <w:rFonts w:ascii="Arial" w:hAnsi="Arial" w:cs="Arial"/>
        </w:rPr>
        <w:t>,</w:t>
      </w:r>
      <w:r w:rsidR="00D42D04" w:rsidRPr="00460B05">
        <w:rPr>
          <w:rFonts w:ascii="Arial" w:hAnsi="Arial" w:cs="Arial"/>
        </w:rPr>
        <w:t xml:space="preserve"> the Minister promulgated further relaxations of restrictions on </w:t>
      </w:r>
      <w:r w:rsidR="00AD0224" w:rsidRPr="00460B05">
        <w:rPr>
          <w:rFonts w:ascii="Arial" w:hAnsi="Arial" w:cs="Arial"/>
        </w:rPr>
        <w:t>attendees at faith-based gatherings</w:t>
      </w:r>
      <w:r w:rsidR="009032D3" w:rsidRPr="00460B05">
        <w:rPr>
          <w:rFonts w:ascii="Arial" w:hAnsi="Arial" w:cs="Arial"/>
        </w:rPr>
        <w:t>,</w:t>
      </w:r>
      <w:r w:rsidR="00AD0224" w:rsidRPr="00460B05">
        <w:rPr>
          <w:rFonts w:ascii="Arial" w:hAnsi="Arial" w:cs="Arial"/>
        </w:rPr>
        <w:t xml:space="preserve"> subject to health p</w:t>
      </w:r>
      <w:r w:rsidR="00201652" w:rsidRPr="00460B05">
        <w:rPr>
          <w:rFonts w:ascii="Arial" w:hAnsi="Arial" w:cs="Arial"/>
        </w:rPr>
        <w:t>rotocols and social distancing.</w:t>
      </w:r>
    </w:p>
    <w:p w14:paraId="2535DE80" w14:textId="77777777" w:rsidR="009305CD" w:rsidRPr="00CE2804" w:rsidRDefault="009305CD" w:rsidP="00CE2804">
      <w:pPr>
        <w:rPr>
          <w:rFonts w:ascii="Arial" w:hAnsi="Arial" w:cs="Arial"/>
        </w:rPr>
      </w:pPr>
    </w:p>
    <w:p w14:paraId="24B343C8" w14:textId="649AB9F6" w:rsidR="000F3B49" w:rsidRPr="00460B05" w:rsidRDefault="00460B05" w:rsidP="00460B05">
      <w:pPr>
        <w:rPr>
          <w:rFonts w:ascii="Arial" w:hAnsi="Arial" w:cs="Arial"/>
        </w:rPr>
      </w:pPr>
      <w:r w:rsidRPr="00CE2804">
        <w:rPr>
          <w:rFonts w:ascii="Arial" w:hAnsi="Arial" w:cs="Arial"/>
          <w:lang w:eastAsia="en-US"/>
        </w:rPr>
        <w:t>[10]</w:t>
      </w:r>
      <w:r w:rsidRPr="00CE2804">
        <w:rPr>
          <w:rFonts w:ascii="Arial" w:hAnsi="Arial" w:cs="Arial"/>
          <w:lang w:eastAsia="en-US"/>
        </w:rPr>
        <w:tab/>
      </w:r>
      <w:r w:rsidR="000F3B49" w:rsidRPr="00460B05">
        <w:rPr>
          <w:rFonts w:ascii="Arial" w:hAnsi="Arial" w:cs="Arial"/>
        </w:rPr>
        <w:t xml:space="preserve">In the high court, </w:t>
      </w:r>
      <w:proofErr w:type="spellStart"/>
      <w:r w:rsidR="00747A77" w:rsidRPr="00460B05">
        <w:rPr>
          <w:rFonts w:ascii="Arial" w:hAnsi="Arial" w:cs="Arial"/>
        </w:rPr>
        <w:t>Vally</w:t>
      </w:r>
      <w:proofErr w:type="spellEnd"/>
      <w:r w:rsidR="00747A77" w:rsidRPr="00460B05">
        <w:rPr>
          <w:rFonts w:ascii="Arial" w:hAnsi="Arial" w:cs="Arial"/>
        </w:rPr>
        <w:t xml:space="preserve"> J</w:t>
      </w:r>
      <w:r w:rsidR="00883907" w:rsidRPr="00460B05">
        <w:rPr>
          <w:rFonts w:ascii="Arial" w:hAnsi="Arial" w:cs="Arial"/>
        </w:rPr>
        <w:t xml:space="preserve"> dismissed the application</w:t>
      </w:r>
      <w:r w:rsidR="00AD0224" w:rsidRPr="00460B05">
        <w:rPr>
          <w:rFonts w:ascii="Arial" w:hAnsi="Arial" w:cs="Arial"/>
        </w:rPr>
        <w:t xml:space="preserve"> on the basis </w:t>
      </w:r>
      <w:r w:rsidR="00747A77" w:rsidRPr="00460B05">
        <w:rPr>
          <w:rFonts w:ascii="Arial" w:hAnsi="Arial" w:cs="Arial"/>
        </w:rPr>
        <w:t>that the matter was moot</w:t>
      </w:r>
      <w:r w:rsidR="009032D3" w:rsidRPr="00460B05">
        <w:rPr>
          <w:rFonts w:ascii="Arial" w:hAnsi="Arial" w:cs="Arial"/>
        </w:rPr>
        <w:t>,</w:t>
      </w:r>
      <w:r w:rsidR="00747A77" w:rsidRPr="00460B05">
        <w:rPr>
          <w:rFonts w:ascii="Arial" w:hAnsi="Arial" w:cs="Arial"/>
        </w:rPr>
        <w:t xml:space="preserve"> because the ban on religious gatherings </w:t>
      </w:r>
      <w:r w:rsidR="00F72F72" w:rsidRPr="00460B05">
        <w:rPr>
          <w:rFonts w:ascii="Arial" w:hAnsi="Arial" w:cs="Arial"/>
        </w:rPr>
        <w:t>had been</w:t>
      </w:r>
      <w:r w:rsidR="00747A77" w:rsidRPr="00460B05">
        <w:rPr>
          <w:rFonts w:ascii="Arial" w:hAnsi="Arial" w:cs="Arial"/>
        </w:rPr>
        <w:t xml:space="preserve"> lifted before the matter was heard by the high court.</w:t>
      </w:r>
      <w:r w:rsidR="005F5019" w:rsidRPr="00CE2804">
        <w:rPr>
          <w:rStyle w:val="FootnoteReference"/>
          <w:rFonts w:ascii="Arial" w:hAnsi="Arial" w:cs="Arial"/>
        </w:rPr>
        <w:footnoteReference w:id="7"/>
      </w:r>
      <w:r w:rsidR="00747A77" w:rsidRPr="00460B05">
        <w:rPr>
          <w:rFonts w:ascii="Arial" w:hAnsi="Arial" w:cs="Arial"/>
        </w:rPr>
        <w:t xml:space="preserve"> The high court held that the declaratory order sought would have no practical effect and would merely be of academic interest. </w:t>
      </w:r>
      <w:r w:rsidR="009032D3" w:rsidRPr="00460B05">
        <w:rPr>
          <w:rFonts w:ascii="Arial" w:hAnsi="Arial" w:cs="Arial"/>
        </w:rPr>
        <w:lastRenderedPageBreak/>
        <w:t>Nevertheless</w:t>
      </w:r>
      <w:r w:rsidR="00747A77" w:rsidRPr="00460B05">
        <w:rPr>
          <w:rFonts w:ascii="Arial" w:hAnsi="Arial" w:cs="Arial"/>
        </w:rPr>
        <w:t xml:space="preserve">, the high court went on to decide the question of whether subordinate legislation made by the executive constituted administrative action in terms of s 1 of PAJA. The high court held that such law-making was </w:t>
      </w:r>
      <w:r w:rsidR="009032D3" w:rsidRPr="00460B05">
        <w:rPr>
          <w:rFonts w:ascii="Arial" w:hAnsi="Arial" w:cs="Arial"/>
        </w:rPr>
        <w:t xml:space="preserve">indeed </w:t>
      </w:r>
      <w:r w:rsidR="00747A77" w:rsidRPr="00460B05">
        <w:rPr>
          <w:rFonts w:ascii="Arial" w:hAnsi="Arial" w:cs="Arial"/>
        </w:rPr>
        <w:t xml:space="preserve">executive action. </w:t>
      </w:r>
      <w:r w:rsidR="009032D3" w:rsidRPr="00460B05">
        <w:rPr>
          <w:rFonts w:ascii="Arial" w:hAnsi="Arial" w:cs="Arial"/>
        </w:rPr>
        <w:t>The</w:t>
      </w:r>
      <w:r w:rsidR="00747A77" w:rsidRPr="00460B05">
        <w:rPr>
          <w:rFonts w:ascii="Arial" w:hAnsi="Arial" w:cs="Arial"/>
        </w:rPr>
        <w:t xml:space="preserve"> high court did not </w:t>
      </w:r>
      <w:r w:rsidR="000C63CA" w:rsidRPr="00460B05">
        <w:rPr>
          <w:rFonts w:ascii="Arial" w:hAnsi="Arial" w:cs="Arial"/>
        </w:rPr>
        <w:t xml:space="preserve">deal with the merits of the application brought by the appellants, and did not </w:t>
      </w:r>
      <w:r w:rsidR="00747A77" w:rsidRPr="00460B05">
        <w:rPr>
          <w:rFonts w:ascii="Arial" w:hAnsi="Arial" w:cs="Arial"/>
        </w:rPr>
        <w:t>pronounce on whether the impugned regulation</w:t>
      </w:r>
      <w:r w:rsidR="00E1635D" w:rsidRPr="00460B05">
        <w:rPr>
          <w:rFonts w:ascii="Arial" w:hAnsi="Arial" w:cs="Arial"/>
        </w:rPr>
        <w:t>s</w:t>
      </w:r>
      <w:r w:rsidR="00747A77" w:rsidRPr="00460B05">
        <w:rPr>
          <w:rFonts w:ascii="Arial" w:hAnsi="Arial" w:cs="Arial"/>
        </w:rPr>
        <w:t xml:space="preserve"> infringed upon the appellants</w:t>
      </w:r>
      <w:r w:rsidR="00883907" w:rsidRPr="00460B05">
        <w:rPr>
          <w:rFonts w:ascii="Arial" w:hAnsi="Arial" w:cs="Arial"/>
        </w:rPr>
        <w:t>’</w:t>
      </w:r>
      <w:r w:rsidR="00747A77" w:rsidRPr="00460B05">
        <w:rPr>
          <w:rFonts w:ascii="Arial" w:hAnsi="Arial" w:cs="Arial"/>
        </w:rPr>
        <w:t xml:space="preserve"> rights. </w:t>
      </w:r>
      <w:r w:rsidR="006E799C" w:rsidRPr="00460B05">
        <w:rPr>
          <w:rFonts w:ascii="Arial" w:hAnsi="Arial" w:cs="Arial"/>
        </w:rPr>
        <w:t>It is unnecessary to pronounce on the PAJA issue</w:t>
      </w:r>
      <w:r w:rsidR="006F4CFE" w:rsidRPr="00460B05">
        <w:rPr>
          <w:rFonts w:ascii="Arial" w:hAnsi="Arial" w:cs="Arial"/>
        </w:rPr>
        <w:t>,</w:t>
      </w:r>
      <w:r w:rsidR="006E799C" w:rsidRPr="00460B05">
        <w:rPr>
          <w:rFonts w:ascii="Arial" w:hAnsi="Arial" w:cs="Arial"/>
        </w:rPr>
        <w:t xml:space="preserve"> as it became irrelevant once the court decided that the matter was moot.</w:t>
      </w:r>
    </w:p>
    <w:p w14:paraId="5BE8F513" w14:textId="77777777" w:rsidR="009305CD" w:rsidRPr="00CE2804" w:rsidRDefault="009305CD" w:rsidP="00CE2804">
      <w:pPr>
        <w:rPr>
          <w:rFonts w:ascii="Arial" w:hAnsi="Arial" w:cs="Arial"/>
        </w:rPr>
      </w:pPr>
    </w:p>
    <w:p w14:paraId="1D718A2E" w14:textId="14B9756E" w:rsidR="006E1D39" w:rsidRPr="00460B05" w:rsidRDefault="00460B05" w:rsidP="00460B05">
      <w:pPr>
        <w:rPr>
          <w:rFonts w:ascii="Arial" w:hAnsi="Arial" w:cs="Arial"/>
        </w:rPr>
      </w:pPr>
      <w:r w:rsidRPr="00CE2804">
        <w:rPr>
          <w:rFonts w:ascii="Arial" w:hAnsi="Arial" w:cs="Arial"/>
          <w:lang w:eastAsia="en-US"/>
        </w:rPr>
        <w:t>[11]</w:t>
      </w:r>
      <w:r w:rsidRPr="00CE2804">
        <w:rPr>
          <w:rFonts w:ascii="Arial" w:hAnsi="Arial" w:cs="Arial"/>
          <w:lang w:eastAsia="en-US"/>
        </w:rPr>
        <w:tab/>
      </w:r>
      <w:r w:rsidR="0001374E" w:rsidRPr="00460B05">
        <w:rPr>
          <w:rFonts w:ascii="Arial" w:hAnsi="Arial" w:cs="Arial"/>
        </w:rPr>
        <w:t xml:space="preserve">It is important to highlight that by the time the appeal came before us, </w:t>
      </w:r>
      <w:r w:rsidR="00A702F2" w:rsidRPr="00460B05">
        <w:rPr>
          <w:rFonts w:ascii="Arial" w:hAnsi="Arial" w:cs="Arial"/>
        </w:rPr>
        <w:t xml:space="preserve">all of </w:t>
      </w:r>
      <w:r w:rsidR="0001374E" w:rsidRPr="00460B05">
        <w:rPr>
          <w:rFonts w:ascii="Arial" w:hAnsi="Arial" w:cs="Arial"/>
        </w:rPr>
        <w:t xml:space="preserve">the regulations promulgated in terms of the DMA to combat the effects of </w:t>
      </w:r>
      <w:r w:rsidR="00A702F2" w:rsidRPr="00460B05">
        <w:rPr>
          <w:rFonts w:ascii="Arial" w:hAnsi="Arial" w:cs="Arial"/>
        </w:rPr>
        <w:t xml:space="preserve">the </w:t>
      </w:r>
      <w:r w:rsidR="0001374E" w:rsidRPr="00460B05">
        <w:rPr>
          <w:rFonts w:ascii="Arial" w:hAnsi="Arial" w:cs="Arial"/>
        </w:rPr>
        <w:t>C</w:t>
      </w:r>
      <w:r w:rsidR="00A702F2" w:rsidRPr="00460B05">
        <w:rPr>
          <w:rFonts w:ascii="Arial" w:hAnsi="Arial" w:cs="Arial"/>
        </w:rPr>
        <w:t>OVID</w:t>
      </w:r>
      <w:r w:rsidR="0001374E" w:rsidRPr="00460B05">
        <w:rPr>
          <w:rFonts w:ascii="Arial" w:hAnsi="Arial" w:cs="Arial"/>
        </w:rPr>
        <w:t xml:space="preserve">-19 </w:t>
      </w:r>
      <w:r w:rsidR="00A702F2" w:rsidRPr="00460B05">
        <w:rPr>
          <w:rFonts w:ascii="Arial" w:hAnsi="Arial" w:cs="Arial"/>
        </w:rPr>
        <w:t xml:space="preserve">pandemic </w:t>
      </w:r>
      <w:r w:rsidR="0001374E" w:rsidRPr="00460B05">
        <w:rPr>
          <w:rFonts w:ascii="Arial" w:hAnsi="Arial" w:cs="Arial"/>
        </w:rPr>
        <w:t xml:space="preserve">had been repealed. </w:t>
      </w:r>
      <w:r w:rsidR="00A702F2" w:rsidRPr="00460B05">
        <w:rPr>
          <w:rFonts w:ascii="Arial" w:hAnsi="Arial" w:cs="Arial"/>
        </w:rPr>
        <w:t>The appellants, nevertheless</w:t>
      </w:r>
      <w:r w:rsidR="0001374E" w:rsidRPr="00460B05">
        <w:rPr>
          <w:rFonts w:ascii="Arial" w:hAnsi="Arial" w:cs="Arial"/>
        </w:rPr>
        <w:t>, contended that when the matter served before the high court, it was not moot and the high court was enjoined to deal with the merits. A</w:t>
      </w:r>
      <w:r w:rsidR="005F6120" w:rsidRPr="00460B05">
        <w:rPr>
          <w:rFonts w:ascii="Arial" w:hAnsi="Arial" w:cs="Arial"/>
        </w:rPr>
        <w:t>dditionally</w:t>
      </w:r>
      <w:r w:rsidR="00A702F2" w:rsidRPr="00460B05">
        <w:rPr>
          <w:rFonts w:ascii="Arial" w:hAnsi="Arial" w:cs="Arial"/>
        </w:rPr>
        <w:t>,</w:t>
      </w:r>
      <w:r w:rsidR="005F6120" w:rsidRPr="00460B05">
        <w:rPr>
          <w:rFonts w:ascii="Arial" w:hAnsi="Arial" w:cs="Arial"/>
        </w:rPr>
        <w:t xml:space="preserve"> </w:t>
      </w:r>
      <w:r w:rsidR="00A702F2" w:rsidRPr="00460B05">
        <w:rPr>
          <w:rFonts w:ascii="Arial" w:hAnsi="Arial" w:cs="Arial"/>
        </w:rPr>
        <w:t>the appellants</w:t>
      </w:r>
      <w:r w:rsidR="005F6120" w:rsidRPr="00460B05">
        <w:rPr>
          <w:rFonts w:ascii="Arial" w:hAnsi="Arial" w:cs="Arial"/>
        </w:rPr>
        <w:t xml:space="preserve"> contended that</w:t>
      </w:r>
      <w:r w:rsidR="0001374E" w:rsidRPr="00460B05">
        <w:rPr>
          <w:rFonts w:ascii="Arial" w:hAnsi="Arial" w:cs="Arial"/>
        </w:rPr>
        <w:t>, even though the regulations were now no longer in place, it was in the interests of justice fo</w:t>
      </w:r>
      <w:r w:rsidR="00FD107F" w:rsidRPr="00460B05">
        <w:rPr>
          <w:rFonts w:ascii="Arial" w:hAnsi="Arial" w:cs="Arial"/>
        </w:rPr>
        <w:t xml:space="preserve">r this </w:t>
      </w:r>
      <w:r w:rsidR="00A702F2" w:rsidRPr="00460B05">
        <w:rPr>
          <w:rFonts w:ascii="Arial" w:hAnsi="Arial" w:cs="Arial"/>
        </w:rPr>
        <w:t>C</w:t>
      </w:r>
      <w:r w:rsidR="00FD107F" w:rsidRPr="00460B05">
        <w:rPr>
          <w:rFonts w:ascii="Arial" w:hAnsi="Arial" w:cs="Arial"/>
        </w:rPr>
        <w:t xml:space="preserve">ourt </w:t>
      </w:r>
      <w:r w:rsidR="0001374E" w:rsidRPr="00460B05">
        <w:rPr>
          <w:rFonts w:ascii="Arial" w:hAnsi="Arial" w:cs="Arial"/>
        </w:rPr>
        <w:t>to determine their constitutionality</w:t>
      </w:r>
      <w:r w:rsidR="00A702F2" w:rsidRPr="00460B05">
        <w:rPr>
          <w:rFonts w:ascii="Arial" w:hAnsi="Arial" w:cs="Arial"/>
        </w:rPr>
        <w:t>.</w:t>
      </w:r>
      <w:r w:rsidR="00916BF5" w:rsidRPr="00460B05">
        <w:rPr>
          <w:rFonts w:ascii="Arial" w:hAnsi="Arial" w:cs="Arial"/>
        </w:rPr>
        <w:t xml:space="preserve"> Before us it was argued that</w:t>
      </w:r>
      <w:r w:rsidR="00A702F2" w:rsidRPr="00460B05">
        <w:rPr>
          <w:rFonts w:ascii="Arial" w:hAnsi="Arial" w:cs="Arial"/>
        </w:rPr>
        <w:t xml:space="preserve"> </w:t>
      </w:r>
      <w:r w:rsidR="00916BF5" w:rsidRPr="00460B05">
        <w:rPr>
          <w:rFonts w:ascii="Arial" w:hAnsi="Arial" w:cs="Arial"/>
        </w:rPr>
        <w:t>t</w:t>
      </w:r>
      <w:r w:rsidR="00A702F2" w:rsidRPr="00460B05">
        <w:rPr>
          <w:rFonts w:ascii="Arial" w:hAnsi="Arial" w:cs="Arial"/>
        </w:rPr>
        <w:t>his was</w:t>
      </w:r>
      <w:r w:rsidR="006F4CFE" w:rsidRPr="00460B05">
        <w:rPr>
          <w:rFonts w:ascii="Arial" w:hAnsi="Arial" w:cs="Arial"/>
        </w:rPr>
        <w:t>,</w:t>
      </w:r>
      <w:r w:rsidR="00916BF5" w:rsidRPr="00460B05">
        <w:rPr>
          <w:rFonts w:ascii="Arial" w:hAnsi="Arial" w:cs="Arial"/>
        </w:rPr>
        <w:t xml:space="preserve"> inter alia</w:t>
      </w:r>
      <w:r w:rsidR="006F4CFE" w:rsidRPr="00460B05">
        <w:rPr>
          <w:rFonts w:ascii="Arial" w:hAnsi="Arial" w:cs="Arial"/>
        </w:rPr>
        <w:t>,</w:t>
      </w:r>
      <w:r w:rsidR="00A702F2" w:rsidRPr="00460B05">
        <w:rPr>
          <w:rFonts w:ascii="Arial" w:hAnsi="Arial" w:cs="Arial"/>
        </w:rPr>
        <w:t xml:space="preserve"> because</w:t>
      </w:r>
      <w:r w:rsidR="0001374E" w:rsidRPr="00460B05">
        <w:rPr>
          <w:rFonts w:ascii="Arial" w:hAnsi="Arial" w:cs="Arial"/>
        </w:rPr>
        <w:t xml:space="preserve"> the implementation</w:t>
      </w:r>
      <w:r w:rsidR="00A702F2" w:rsidRPr="00460B05">
        <w:rPr>
          <w:rFonts w:ascii="Arial" w:hAnsi="Arial" w:cs="Arial"/>
        </w:rPr>
        <w:t xml:space="preserve"> of the regulations</w:t>
      </w:r>
      <w:r w:rsidR="0001374E" w:rsidRPr="00460B05">
        <w:rPr>
          <w:rFonts w:ascii="Arial" w:hAnsi="Arial" w:cs="Arial"/>
        </w:rPr>
        <w:t xml:space="preserve"> still had an effect on those </w:t>
      </w:r>
      <w:r w:rsidR="00916BF5" w:rsidRPr="00460B05">
        <w:rPr>
          <w:rFonts w:ascii="Arial" w:hAnsi="Arial" w:cs="Arial"/>
        </w:rPr>
        <w:t xml:space="preserve">who </w:t>
      </w:r>
      <w:r w:rsidR="0001374E" w:rsidRPr="00460B05">
        <w:rPr>
          <w:rFonts w:ascii="Arial" w:hAnsi="Arial" w:cs="Arial"/>
        </w:rPr>
        <w:t>wer</w:t>
      </w:r>
      <w:r w:rsidR="00FD107F" w:rsidRPr="00460B05">
        <w:rPr>
          <w:rFonts w:ascii="Arial" w:hAnsi="Arial" w:cs="Arial"/>
        </w:rPr>
        <w:t>e arrested by the S</w:t>
      </w:r>
      <w:r w:rsidR="0001374E" w:rsidRPr="00460B05">
        <w:rPr>
          <w:rFonts w:ascii="Arial" w:hAnsi="Arial" w:cs="Arial"/>
        </w:rPr>
        <w:t xml:space="preserve">outh African </w:t>
      </w:r>
      <w:r w:rsidR="00A702F2" w:rsidRPr="00460B05">
        <w:rPr>
          <w:rFonts w:ascii="Arial" w:hAnsi="Arial" w:cs="Arial"/>
        </w:rPr>
        <w:t>P</w:t>
      </w:r>
      <w:r w:rsidR="0001374E" w:rsidRPr="00460B05">
        <w:rPr>
          <w:rFonts w:ascii="Arial" w:hAnsi="Arial" w:cs="Arial"/>
        </w:rPr>
        <w:t xml:space="preserve">olice </w:t>
      </w:r>
      <w:r w:rsidR="00A702F2" w:rsidRPr="00460B05">
        <w:rPr>
          <w:rFonts w:ascii="Arial" w:hAnsi="Arial" w:cs="Arial"/>
        </w:rPr>
        <w:t>S</w:t>
      </w:r>
      <w:r w:rsidR="0001374E" w:rsidRPr="00460B05">
        <w:rPr>
          <w:rFonts w:ascii="Arial" w:hAnsi="Arial" w:cs="Arial"/>
        </w:rPr>
        <w:t>ervice</w:t>
      </w:r>
      <w:r w:rsidR="00A702F2" w:rsidRPr="00460B05">
        <w:rPr>
          <w:rFonts w:ascii="Arial" w:hAnsi="Arial" w:cs="Arial"/>
        </w:rPr>
        <w:t xml:space="preserve"> (SAPS)</w:t>
      </w:r>
      <w:r w:rsidR="0001374E" w:rsidRPr="00460B05">
        <w:rPr>
          <w:rFonts w:ascii="Arial" w:hAnsi="Arial" w:cs="Arial"/>
        </w:rPr>
        <w:t xml:space="preserve"> at the time, some of whom may want to institute claims for damages in the future.</w:t>
      </w:r>
      <w:r w:rsidR="001A6F13" w:rsidRPr="00460B05">
        <w:rPr>
          <w:rFonts w:ascii="Arial" w:hAnsi="Arial" w:cs="Arial"/>
        </w:rPr>
        <w:t xml:space="preserve"> </w:t>
      </w:r>
      <w:r w:rsidR="00916BF5" w:rsidRPr="00460B05">
        <w:rPr>
          <w:rFonts w:ascii="Arial" w:hAnsi="Arial" w:cs="Arial"/>
        </w:rPr>
        <w:t xml:space="preserve">I will revert later to this subject. </w:t>
      </w:r>
      <w:r w:rsidR="001A6F13" w:rsidRPr="00460B05">
        <w:rPr>
          <w:rFonts w:ascii="Arial" w:hAnsi="Arial" w:cs="Arial"/>
        </w:rPr>
        <w:t>For the purposes of this ap</w:t>
      </w:r>
      <w:r w:rsidR="005F6120" w:rsidRPr="00460B05">
        <w:rPr>
          <w:rFonts w:ascii="Arial" w:hAnsi="Arial" w:cs="Arial"/>
        </w:rPr>
        <w:t xml:space="preserve">peal and for the reasons given </w:t>
      </w:r>
      <w:r w:rsidR="001A6F13" w:rsidRPr="00460B05">
        <w:rPr>
          <w:rFonts w:ascii="Arial" w:hAnsi="Arial" w:cs="Arial"/>
        </w:rPr>
        <w:t xml:space="preserve">later in this judgment, this </w:t>
      </w:r>
      <w:r w:rsidR="006E1D39" w:rsidRPr="00460B05">
        <w:rPr>
          <w:rFonts w:ascii="Arial" w:hAnsi="Arial" w:cs="Arial"/>
        </w:rPr>
        <w:t>C</w:t>
      </w:r>
      <w:r w:rsidR="001A6F13" w:rsidRPr="00460B05">
        <w:rPr>
          <w:rFonts w:ascii="Arial" w:hAnsi="Arial" w:cs="Arial"/>
        </w:rPr>
        <w:t xml:space="preserve">ourt did not require the appellants to deal with the merits, as the issue of mootness was dispositive of this appeal. </w:t>
      </w:r>
      <w:r w:rsidR="006E1D39" w:rsidRPr="00460B05">
        <w:rPr>
          <w:rFonts w:ascii="Arial" w:hAnsi="Arial" w:cs="Arial"/>
        </w:rPr>
        <w:t>This appeal is with the leave of the court below.</w:t>
      </w:r>
    </w:p>
    <w:p w14:paraId="6A8B92C9" w14:textId="77777777" w:rsidR="00561BA0" w:rsidRPr="00CE2804" w:rsidRDefault="00561BA0" w:rsidP="00CE2804">
      <w:pPr>
        <w:pStyle w:val="ListParagraph"/>
        <w:spacing w:line="360" w:lineRule="auto"/>
        <w:ind w:left="0"/>
        <w:rPr>
          <w:rFonts w:ascii="Arial" w:hAnsi="Arial" w:cs="Arial"/>
          <w:sz w:val="24"/>
          <w:szCs w:val="24"/>
        </w:rPr>
      </w:pPr>
    </w:p>
    <w:p w14:paraId="10B1976F" w14:textId="797E4D2C" w:rsidR="00747A77" w:rsidRPr="00460B05" w:rsidRDefault="00460B05" w:rsidP="00460B05">
      <w:pPr>
        <w:rPr>
          <w:rFonts w:ascii="Arial" w:hAnsi="Arial" w:cs="Arial"/>
        </w:rPr>
      </w:pPr>
      <w:r w:rsidRPr="00CE2804">
        <w:rPr>
          <w:rFonts w:ascii="Arial" w:hAnsi="Arial" w:cs="Arial"/>
          <w:lang w:eastAsia="en-US"/>
        </w:rPr>
        <w:t>[12]</w:t>
      </w:r>
      <w:r w:rsidRPr="00CE2804">
        <w:rPr>
          <w:rFonts w:ascii="Arial" w:hAnsi="Arial" w:cs="Arial"/>
          <w:lang w:eastAsia="en-US"/>
        </w:rPr>
        <w:tab/>
      </w:r>
      <w:r w:rsidR="00747A77" w:rsidRPr="00460B05">
        <w:rPr>
          <w:rFonts w:ascii="Arial" w:hAnsi="Arial" w:cs="Arial"/>
        </w:rPr>
        <w:t>The general principle is that a matter is moot when a court’s judgment will have no practical effect on the parties.</w:t>
      </w:r>
      <w:r w:rsidR="00747A77" w:rsidRPr="00CE2804">
        <w:rPr>
          <w:rStyle w:val="FootnoteReference"/>
          <w:rFonts w:ascii="Arial" w:hAnsi="Arial" w:cs="Arial"/>
        </w:rPr>
        <w:footnoteReference w:id="8"/>
      </w:r>
      <w:r w:rsidR="00747A77" w:rsidRPr="00460B05">
        <w:rPr>
          <w:rFonts w:ascii="Arial" w:hAnsi="Arial" w:cs="Arial"/>
        </w:rPr>
        <w:t xml:space="preserve"> This usually occurs where there is no longer an existing or live controversy between the parties.</w:t>
      </w:r>
      <w:r w:rsidR="00747A77" w:rsidRPr="00CE2804">
        <w:rPr>
          <w:rStyle w:val="FootnoteReference"/>
          <w:rFonts w:ascii="Arial" w:hAnsi="Arial" w:cs="Arial"/>
        </w:rPr>
        <w:footnoteReference w:id="9"/>
      </w:r>
      <w:r w:rsidR="00747A77" w:rsidRPr="00460B05">
        <w:rPr>
          <w:rFonts w:ascii="Arial" w:hAnsi="Arial" w:cs="Arial"/>
        </w:rPr>
        <w:t xml:space="preserve"> A court should refrain from making rulings on such matters</w:t>
      </w:r>
      <w:r w:rsidR="00525018" w:rsidRPr="00460B05">
        <w:rPr>
          <w:rFonts w:ascii="Arial" w:hAnsi="Arial" w:cs="Arial"/>
        </w:rPr>
        <w:t>,</w:t>
      </w:r>
      <w:r w:rsidR="00747A77" w:rsidRPr="00460B05">
        <w:rPr>
          <w:rFonts w:ascii="Arial" w:hAnsi="Arial" w:cs="Arial"/>
        </w:rPr>
        <w:t xml:space="preserve"> as the court’s decision will merely amount to an advisory opinion on the identified legal questions, which are abstract, academic or hypothetical and have no direct effect</w:t>
      </w:r>
      <w:r w:rsidR="00916BF5" w:rsidRPr="00460B05">
        <w:rPr>
          <w:rFonts w:ascii="Arial" w:hAnsi="Arial" w:cs="Arial"/>
        </w:rPr>
        <w:t>;</w:t>
      </w:r>
      <w:r w:rsidR="00201652" w:rsidRPr="00CE2804">
        <w:rPr>
          <w:rStyle w:val="FootnoteReference"/>
          <w:rFonts w:ascii="Arial" w:hAnsi="Arial" w:cs="Arial"/>
        </w:rPr>
        <w:footnoteReference w:id="10"/>
      </w:r>
      <w:r w:rsidR="006E5C16" w:rsidRPr="00460B05">
        <w:rPr>
          <w:rFonts w:ascii="Arial" w:hAnsi="Arial" w:cs="Arial"/>
        </w:rPr>
        <w:t xml:space="preserve"> </w:t>
      </w:r>
      <w:r w:rsidR="00916BF5" w:rsidRPr="00460B05">
        <w:rPr>
          <w:rFonts w:ascii="Arial" w:hAnsi="Arial" w:cs="Arial"/>
        </w:rPr>
        <w:t>one of the</w:t>
      </w:r>
      <w:r w:rsidR="00E6762B" w:rsidRPr="00460B05">
        <w:rPr>
          <w:rFonts w:ascii="Arial" w:hAnsi="Arial" w:cs="Arial"/>
        </w:rPr>
        <w:t xml:space="preserve"> reasons</w:t>
      </w:r>
      <w:r w:rsidR="00916BF5" w:rsidRPr="00460B05">
        <w:rPr>
          <w:rFonts w:ascii="Arial" w:hAnsi="Arial" w:cs="Arial"/>
        </w:rPr>
        <w:t xml:space="preserve"> for that rule</w:t>
      </w:r>
      <w:r w:rsidR="00747A77" w:rsidRPr="00460B05">
        <w:rPr>
          <w:rFonts w:ascii="Arial" w:hAnsi="Arial" w:cs="Arial"/>
        </w:rPr>
        <w:t xml:space="preserve"> being that a court’s purpose is </w:t>
      </w:r>
      <w:r w:rsidR="00DF25D4" w:rsidRPr="00460B05">
        <w:rPr>
          <w:rFonts w:ascii="Arial" w:hAnsi="Arial" w:cs="Arial"/>
        </w:rPr>
        <w:t xml:space="preserve">to </w:t>
      </w:r>
      <w:r w:rsidR="00747A77" w:rsidRPr="00460B05">
        <w:rPr>
          <w:rFonts w:ascii="Arial" w:hAnsi="Arial" w:cs="Arial"/>
        </w:rPr>
        <w:t xml:space="preserve">adjudicate existing legal disputes and its scarce resources should not be wasted </w:t>
      </w:r>
      <w:r w:rsidR="00747A77" w:rsidRPr="00460B05">
        <w:rPr>
          <w:rFonts w:ascii="Arial" w:hAnsi="Arial" w:cs="Arial"/>
        </w:rPr>
        <w:lastRenderedPageBreak/>
        <w:t>away on abstract questions of law.</w:t>
      </w:r>
      <w:r w:rsidR="00747A77" w:rsidRPr="00CE2804">
        <w:rPr>
          <w:rStyle w:val="FootnoteReference"/>
          <w:rFonts w:ascii="Arial" w:hAnsi="Arial" w:cs="Arial"/>
        </w:rPr>
        <w:footnoteReference w:id="11"/>
      </w:r>
      <w:r w:rsidR="00747A77" w:rsidRPr="00460B05">
        <w:rPr>
          <w:rFonts w:ascii="Arial" w:hAnsi="Arial" w:cs="Arial"/>
        </w:rPr>
        <w:t xml:space="preserve"> In </w:t>
      </w:r>
      <w:r w:rsidR="00747A77" w:rsidRPr="00460B05">
        <w:rPr>
          <w:rFonts w:ascii="Arial" w:hAnsi="Arial" w:cs="Arial"/>
          <w:i/>
        </w:rPr>
        <w:t xml:space="preserve">President of </w:t>
      </w:r>
      <w:r w:rsidR="00D04C88" w:rsidRPr="00460B05">
        <w:rPr>
          <w:rFonts w:ascii="Arial" w:hAnsi="Arial" w:cs="Arial"/>
          <w:i/>
        </w:rPr>
        <w:t xml:space="preserve">the </w:t>
      </w:r>
      <w:r w:rsidR="00747A77" w:rsidRPr="00460B05">
        <w:rPr>
          <w:rFonts w:ascii="Arial" w:hAnsi="Arial" w:cs="Arial"/>
          <w:i/>
        </w:rPr>
        <w:t>Republic of South Africa v Democratic Alliance</w:t>
      </w:r>
      <w:r w:rsidR="00D04C88" w:rsidRPr="00460B05">
        <w:rPr>
          <w:rFonts w:ascii="Arial" w:hAnsi="Arial" w:cs="Arial"/>
        </w:rPr>
        <w:t>,</w:t>
      </w:r>
      <w:r w:rsidR="00D04C88" w:rsidRPr="00CE2804">
        <w:rPr>
          <w:rStyle w:val="FootnoteReference"/>
          <w:rFonts w:ascii="Arial" w:hAnsi="Arial" w:cs="Arial"/>
        </w:rPr>
        <w:footnoteReference w:id="12"/>
      </w:r>
      <w:r w:rsidR="00747A77" w:rsidRPr="00460B05">
        <w:rPr>
          <w:rFonts w:ascii="Arial" w:hAnsi="Arial" w:cs="Arial"/>
          <w:i/>
        </w:rPr>
        <w:t xml:space="preserve"> </w:t>
      </w:r>
      <w:r w:rsidR="00747A77" w:rsidRPr="00460B05">
        <w:rPr>
          <w:rFonts w:ascii="Arial" w:hAnsi="Arial" w:cs="Arial"/>
        </w:rPr>
        <w:t>the Constitutional Court cautioned that ‘courts should be loath to fulfil an advisory role, particularly for the benefit of those who have dependable advice abundantly available to them and in circumstances where no actual purpose would be served by that decision</w:t>
      </w:r>
      <w:r w:rsidR="00D04C88" w:rsidRPr="00460B05">
        <w:rPr>
          <w:rFonts w:ascii="Arial" w:hAnsi="Arial" w:cs="Arial"/>
        </w:rPr>
        <w:t>, now</w:t>
      </w:r>
      <w:r w:rsidR="00747A77" w:rsidRPr="00460B05">
        <w:rPr>
          <w:rFonts w:ascii="Arial" w:hAnsi="Arial" w:cs="Arial"/>
        </w:rPr>
        <w:t>’.</w:t>
      </w:r>
    </w:p>
    <w:p w14:paraId="080B342D" w14:textId="77777777" w:rsidR="00747A77" w:rsidRPr="00CE2804" w:rsidRDefault="00747A77" w:rsidP="00CE2804">
      <w:pPr>
        <w:rPr>
          <w:rFonts w:ascii="Arial" w:hAnsi="Arial" w:cs="Arial"/>
        </w:rPr>
      </w:pPr>
    </w:p>
    <w:p w14:paraId="30DD5453" w14:textId="5E4AFD12" w:rsidR="00747A77" w:rsidRPr="00460B05" w:rsidRDefault="00460B05" w:rsidP="00460B05">
      <w:pPr>
        <w:rPr>
          <w:rFonts w:ascii="Arial" w:hAnsi="Arial" w:cs="Arial"/>
        </w:rPr>
      </w:pPr>
      <w:r w:rsidRPr="00CE2804">
        <w:rPr>
          <w:rFonts w:ascii="Arial" w:hAnsi="Arial" w:cs="Arial"/>
          <w:lang w:eastAsia="en-US"/>
        </w:rPr>
        <w:t>[13]</w:t>
      </w:r>
      <w:r w:rsidRPr="00CE2804">
        <w:rPr>
          <w:rFonts w:ascii="Arial" w:hAnsi="Arial" w:cs="Arial"/>
          <w:lang w:eastAsia="en-US"/>
        </w:rPr>
        <w:tab/>
      </w:r>
      <w:r w:rsidR="00747A77" w:rsidRPr="00460B05">
        <w:rPr>
          <w:rFonts w:ascii="Arial" w:hAnsi="Arial" w:cs="Arial"/>
        </w:rPr>
        <w:t>However, this principle is not an absolute bar against deciding moot matters. A</w:t>
      </w:r>
      <w:r w:rsidR="00916BF5" w:rsidRPr="00460B05">
        <w:rPr>
          <w:rFonts w:ascii="Arial" w:hAnsi="Arial" w:cs="Arial"/>
        </w:rPr>
        <w:t>n</w:t>
      </w:r>
      <w:r w:rsidR="00747A77" w:rsidRPr="00460B05">
        <w:rPr>
          <w:rFonts w:ascii="Arial" w:hAnsi="Arial" w:cs="Arial"/>
        </w:rPr>
        <w:t xml:space="preserve"> </w:t>
      </w:r>
      <w:r w:rsidR="00916BF5" w:rsidRPr="00460B05">
        <w:rPr>
          <w:rFonts w:ascii="Arial" w:hAnsi="Arial" w:cs="Arial"/>
        </w:rPr>
        <w:t xml:space="preserve">appeal </w:t>
      </w:r>
      <w:r w:rsidR="00747A77" w:rsidRPr="00460B05">
        <w:rPr>
          <w:rFonts w:ascii="Arial" w:hAnsi="Arial" w:cs="Arial"/>
        </w:rPr>
        <w:t xml:space="preserve">court has a discretion to decide </w:t>
      </w:r>
      <w:r w:rsidR="000C554A" w:rsidRPr="00460B05">
        <w:rPr>
          <w:rFonts w:ascii="Arial" w:hAnsi="Arial" w:cs="Arial"/>
        </w:rPr>
        <w:t xml:space="preserve">a matter even if it has become academic or moot </w:t>
      </w:r>
      <w:r w:rsidR="00747A77" w:rsidRPr="00460B05">
        <w:rPr>
          <w:rFonts w:ascii="Arial" w:hAnsi="Arial" w:cs="Arial"/>
        </w:rPr>
        <w:t xml:space="preserve">in circumstances where </w:t>
      </w:r>
      <w:r w:rsidR="00472EFD" w:rsidRPr="00460B05">
        <w:rPr>
          <w:rFonts w:ascii="Arial" w:hAnsi="Arial" w:cs="Arial"/>
        </w:rPr>
        <w:t>‘</w:t>
      </w:r>
      <w:r w:rsidR="00747A77" w:rsidRPr="00460B05">
        <w:rPr>
          <w:rFonts w:ascii="Arial" w:hAnsi="Arial" w:cs="Arial"/>
        </w:rPr>
        <w:t>the interests of justice require that it be decided’.</w:t>
      </w:r>
      <w:r w:rsidR="00747A77" w:rsidRPr="00CE2804">
        <w:rPr>
          <w:rStyle w:val="FootnoteReference"/>
          <w:rFonts w:ascii="Arial" w:hAnsi="Arial" w:cs="Arial"/>
        </w:rPr>
        <w:footnoteReference w:id="13"/>
      </w:r>
      <w:r w:rsidR="00747A77" w:rsidRPr="00460B05">
        <w:rPr>
          <w:rFonts w:ascii="Arial" w:hAnsi="Arial" w:cs="Arial"/>
        </w:rPr>
        <w:t xml:space="preserve"> In </w:t>
      </w:r>
      <w:r w:rsidR="00747A77" w:rsidRPr="00460B05">
        <w:rPr>
          <w:rFonts w:ascii="Arial" w:hAnsi="Arial" w:cs="Arial"/>
          <w:i/>
        </w:rPr>
        <w:t xml:space="preserve">Independent Electoral Commission v </w:t>
      </w:r>
      <w:proofErr w:type="spellStart"/>
      <w:r w:rsidR="00747A77" w:rsidRPr="00460B05">
        <w:rPr>
          <w:rFonts w:ascii="Arial" w:hAnsi="Arial" w:cs="Arial"/>
          <w:i/>
        </w:rPr>
        <w:t>Langeberg</w:t>
      </w:r>
      <w:proofErr w:type="spellEnd"/>
      <w:r w:rsidR="00747A77" w:rsidRPr="00460B05">
        <w:rPr>
          <w:rFonts w:ascii="Arial" w:hAnsi="Arial" w:cs="Arial"/>
          <w:i/>
        </w:rPr>
        <w:t xml:space="preserve"> Municipality</w:t>
      </w:r>
      <w:r w:rsidR="00747A77" w:rsidRPr="00460B05">
        <w:rPr>
          <w:rFonts w:ascii="Arial" w:hAnsi="Arial" w:cs="Arial"/>
        </w:rPr>
        <w:t>,</w:t>
      </w:r>
      <w:r w:rsidR="00472EFD" w:rsidRPr="00CE2804">
        <w:rPr>
          <w:rStyle w:val="FootnoteReference"/>
          <w:rFonts w:ascii="Arial" w:hAnsi="Arial" w:cs="Arial"/>
        </w:rPr>
        <w:footnoteReference w:id="14"/>
      </w:r>
      <w:r w:rsidR="00747A77" w:rsidRPr="00460B05">
        <w:rPr>
          <w:rFonts w:ascii="Arial" w:hAnsi="Arial" w:cs="Arial"/>
        </w:rPr>
        <w:t xml:space="preserve"> the Constitutional Court held as follows: </w:t>
      </w:r>
    </w:p>
    <w:p w14:paraId="435CE59F" w14:textId="309BE9E5" w:rsidR="00201652" w:rsidRPr="000A2797" w:rsidRDefault="00747A77" w:rsidP="00CE2804">
      <w:pPr>
        <w:rPr>
          <w:rFonts w:ascii="Arial" w:hAnsi="Arial" w:cs="Arial"/>
          <w:sz w:val="22"/>
          <w:szCs w:val="22"/>
        </w:rPr>
      </w:pPr>
      <w:r w:rsidRPr="000A2797">
        <w:rPr>
          <w:rFonts w:ascii="Arial" w:hAnsi="Arial" w:cs="Arial"/>
          <w:sz w:val="22"/>
          <w:szCs w:val="22"/>
        </w:rPr>
        <w:t>‘This Court has a discretion to decide issues on appeal even if they no longer present existing or live controversies. That discretion must be exercised according to what the interests of justice require. A prerequisite for the exercise of the discretion is that any order which this</w:t>
      </w:r>
      <w:r w:rsidR="00975466" w:rsidRPr="000A2797">
        <w:rPr>
          <w:rFonts w:ascii="Arial" w:hAnsi="Arial" w:cs="Arial"/>
          <w:sz w:val="22"/>
          <w:szCs w:val="22"/>
        </w:rPr>
        <w:t xml:space="preserve"> Court may make</w:t>
      </w:r>
      <w:r w:rsidRPr="000A2797">
        <w:rPr>
          <w:rFonts w:ascii="Arial" w:hAnsi="Arial" w:cs="Arial"/>
          <w:sz w:val="22"/>
          <w:szCs w:val="22"/>
        </w:rPr>
        <w:t xml:space="preserve"> will have some practical effect either on the parties or on others. Other factors that may be relevant will include the nature and extent of the practical effect that any possible order might have, the importance of the issue, its complexity</w:t>
      </w:r>
      <w:r w:rsidR="00975466" w:rsidRPr="000A2797">
        <w:rPr>
          <w:rFonts w:ascii="Arial" w:hAnsi="Arial" w:cs="Arial"/>
          <w:sz w:val="22"/>
          <w:szCs w:val="22"/>
        </w:rPr>
        <w:t>,</w:t>
      </w:r>
      <w:r w:rsidRPr="000A2797">
        <w:rPr>
          <w:rFonts w:ascii="Arial" w:hAnsi="Arial" w:cs="Arial"/>
          <w:sz w:val="22"/>
          <w:szCs w:val="22"/>
        </w:rPr>
        <w:t xml:space="preserve"> and the fullness or otherwise of the argument advanced.’</w:t>
      </w:r>
      <w:r w:rsidR="008440C6" w:rsidRPr="000A2797">
        <w:rPr>
          <w:rFonts w:ascii="Arial" w:hAnsi="Arial" w:cs="Arial"/>
          <w:sz w:val="22"/>
          <w:szCs w:val="22"/>
        </w:rPr>
        <w:t xml:space="preserve"> </w:t>
      </w:r>
    </w:p>
    <w:p w14:paraId="79DE7194" w14:textId="77777777" w:rsidR="00747A77" w:rsidRPr="00CE2804" w:rsidRDefault="00747A77" w:rsidP="00CE2804">
      <w:pPr>
        <w:rPr>
          <w:rFonts w:ascii="Arial" w:hAnsi="Arial" w:cs="Arial"/>
        </w:rPr>
      </w:pPr>
    </w:p>
    <w:p w14:paraId="6C390B3B" w14:textId="79F3238E" w:rsidR="00874923" w:rsidRPr="00460B05" w:rsidRDefault="00460B05" w:rsidP="00460B05">
      <w:pPr>
        <w:rPr>
          <w:rFonts w:ascii="Arial" w:hAnsi="Arial" w:cs="Arial"/>
          <w:i/>
        </w:rPr>
      </w:pPr>
      <w:r w:rsidRPr="00CE2804">
        <w:rPr>
          <w:rFonts w:ascii="Arial" w:hAnsi="Arial" w:cs="Arial"/>
          <w:lang w:eastAsia="en-US"/>
        </w:rPr>
        <w:t>[14]</w:t>
      </w:r>
      <w:r w:rsidRPr="00CE2804">
        <w:rPr>
          <w:rFonts w:ascii="Arial" w:hAnsi="Arial" w:cs="Arial"/>
          <w:lang w:eastAsia="en-US"/>
        </w:rPr>
        <w:tab/>
      </w:r>
      <w:r w:rsidR="00747A77" w:rsidRPr="00460B05">
        <w:rPr>
          <w:rFonts w:ascii="Arial" w:hAnsi="Arial" w:cs="Arial"/>
        </w:rPr>
        <w:t xml:space="preserve">It is so </w:t>
      </w:r>
      <w:r w:rsidR="001A6F13" w:rsidRPr="00460B05">
        <w:rPr>
          <w:rFonts w:ascii="Arial" w:hAnsi="Arial" w:cs="Arial"/>
        </w:rPr>
        <w:t xml:space="preserve">that </w:t>
      </w:r>
      <w:r w:rsidR="00747A77" w:rsidRPr="00460B05">
        <w:rPr>
          <w:rFonts w:ascii="Arial" w:hAnsi="Arial" w:cs="Arial"/>
        </w:rPr>
        <w:t xml:space="preserve">the courts, in a number of cases, have dealt with the merits of </w:t>
      </w:r>
      <w:r w:rsidR="001A6F13" w:rsidRPr="00460B05">
        <w:rPr>
          <w:rFonts w:ascii="Arial" w:hAnsi="Arial" w:cs="Arial"/>
        </w:rPr>
        <w:t xml:space="preserve">an </w:t>
      </w:r>
      <w:r w:rsidR="00747A77" w:rsidRPr="00460B05">
        <w:rPr>
          <w:rFonts w:ascii="Arial" w:hAnsi="Arial" w:cs="Arial"/>
        </w:rPr>
        <w:t>appeal, notwithstanding the mootness of the dispute between the parties. Those cases involved legal issues ‘of public importance . . .</w:t>
      </w:r>
      <w:r w:rsidR="00966BF6" w:rsidRPr="00460B05">
        <w:rPr>
          <w:rFonts w:ascii="Arial" w:hAnsi="Arial" w:cs="Arial"/>
        </w:rPr>
        <w:t xml:space="preserve"> </w:t>
      </w:r>
      <w:r w:rsidR="00747A77" w:rsidRPr="00460B05">
        <w:rPr>
          <w:rFonts w:ascii="Arial" w:hAnsi="Arial" w:cs="Arial"/>
        </w:rPr>
        <w:t xml:space="preserve">that would affect matters in the future and on which </w:t>
      </w:r>
      <w:r w:rsidR="00966BF6" w:rsidRPr="00460B05">
        <w:rPr>
          <w:rFonts w:ascii="Arial" w:hAnsi="Arial" w:cs="Arial"/>
        </w:rPr>
        <w:t xml:space="preserve">the </w:t>
      </w:r>
      <w:r w:rsidR="00747A77" w:rsidRPr="00460B05">
        <w:rPr>
          <w:rFonts w:ascii="Arial" w:hAnsi="Arial" w:cs="Arial"/>
        </w:rPr>
        <w:t xml:space="preserve">adjudication </w:t>
      </w:r>
      <w:r w:rsidR="00966BF6" w:rsidRPr="00460B05">
        <w:rPr>
          <w:rFonts w:ascii="Arial" w:hAnsi="Arial" w:cs="Arial"/>
        </w:rPr>
        <w:t xml:space="preserve">of this court </w:t>
      </w:r>
      <w:r w:rsidR="00747A77" w:rsidRPr="00460B05">
        <w:rPr>
          <w:rFonts w:ascii="Arial" w:hAnsi="Arial" w:cs="Arial"/>
        </w:rPr>
        <w:t>was required’</w:t>
      </w:r>
      <w:r w:rsidR="00966BF6" w:rsidRPr="00460B05">
        <w:rPr>
          <w:rFonts w:ascii="Arial" w:hAnsi="Arial" w:cs="Arial"/>
        </w:rPr>
        <w:t>.</w:t>
      </w:r>
      <w:r w:rsidR="00966BF6" w:rsidRPr="00CE2804">
        <w:rPr>
          <w:rStyle w:val="FootnoteReference"/>
          <w:rFonts w:ascii="Arial" w:hAnsi="Arial" w:cs="Arial"/>
        </w:rPr>
        <w:footnoteReference w:id="15"/>
      </w:r>
    </w:p>
    <w:p w14:paraId="3E11D0F4" w14:textId="77777777" w:rsidR="00CE2804" w:rsidRPr="00CE2804" w:rsidRDefault="00CE2804" w:rsidP="00CE2804">
      <w:pPr>
        <w:pStyle w:val="ListParagraph"/>
        <w:spacing w:line="360" w:lineRule="auto"/>
        <w:ind w:left="0"/>
        <w:rPr>
          <w:rFonts w:ascii="Arial" w:hAnsi="Arial" w:cs="Arial"/>
          <w:sz w:val="24"/>
          <w:szCs w:val="24"/>
        </w:rPr>
      </w:pPr>
    </w:p>
    <w:p w14:paraId="1D951CFB" w14:textId="4043A15A" w:rsidR="00874923" w:rsidRPr="00460B05" w:rsidRDefault="00460B05" w:rsidP="00460B05">
      <w:pPr>
        <w:rPr>
          <w:rFonts w:ascii="Arial" w:hAnsi="Arial" w:cs="Arial"/>
          <w:i/>
        </w:rPr>
      </w:pPr>
      <w:r w:rsidRPr="00CE2804">
        <w:rPr>
          <w:rFonts w:ascii="Arial" w:hAnsi="Arial" w:cs="Arial"/>
          <w:lang w:eastAsia="en-US"/>
        </w:rPr>
        <w:t>[15]</w:t>
      </w:r>
      <w:r w:rsidRPr="00CE2804">
        <w:rPr>
          <w:rFonts w:ascii="Arial" w:hAnsi="Arial" w:cs="Arial"/>
          <w:lang w:eastAsia="en-US"/>
        </w:rPr>
        <w:tab/>
      </w:r>
      <w:r w:rsidR="00F65E5F" w:rsidRPr="00460B05">
        <w:rPr>
          <w:rFonts w:ascii="Arial" w:hAnsi="Arial" w:cs="Arial"/>
        </w:rPr>
        <w:t>As previously stated, the main relief sought by the appellants in the high court was for the setting aside of the impugned regulations.</w:t>
      </w:r>
      <w:r w:rsidR="00930DA9" w:rsidRPr="00460B05">
        <w:rPr>
          <w:rFonts w:ascii="Arial" w:hAnsi="Arial" w:cs="Arial"/>
        </w:rPr>
        <w:t xml:space="preserve"> </w:t>
      </w:r>
      <w:r w:rsidR="00F65E5F" w:rsidRPr="00460B05">
        <w:rPr>
          <w:rFonts w:ascii="Arial" w:hAnsi="Arial" w:cs="Arial"/>
        </w:rPr>
        <w:t>Having regard to the fact that the impugned regulations were long</w:t>
      </w:r>
      <w:r w:rsidR="00F5089B" w:rsidRPr="00460B05">
        <w:rPr>
          <w:rFonts w:ascii="Arial" w:hAnsi="Arial" w:cs="Arial"/>
        </w:rPr>
        <w:t xml:space="preserve"> since</w:t>
      </w:r>
      <w:r w:rsidR="00F65E5F" w:rsidRPr="00460B05">
        <w:rPr>
          <w:rFonts w:ascii="Arial" w:hAnsi="Arial" w:cs="Arial"/>
        </w:rPr>
        <w:t xml:space="preserve"> repealed</w:t>
      </w:r>
      <w:r w:rsidR="005F6120" w:rsidRPr="00460B05">
        <w:rPr>
          <w:rFonts w:ascii="Arial" w:hAnsi="Arial" w:cs="Arial"/>
        </w:rPr>
        <w:t xml:space="preserve"> and no longer in force</w:t>
      </w:r>
      <w:r w:rsidR="00F65E5F" w:rsidRPr="00460B05">
        <w:rPr>
          <w:rFonts w:ascii="Arial" w:hAnsi="Arial" w:cs="Arial"/>
        </w:rPr>
        <w:t xml:space="preserve"> before </w:t>
      </w:r>
      <w:r w:rsidR="001A6F13" w:rsidRPr="00460B05">
        <w:rPr>
          <w:rFonts w:ascii="Arial" w:hAnsi="Arial" w:cs="Arial"/>
        </w:rPr>
        <w:t xml:space="preserve">the </w:t>
      </w:r>
      <w:r w:rsidR="001A6F13" w:rsidRPr="00460B05">
        <w:rPr>
          <w:rFonts w:ascii="Arial" w:hAnsi="Arial" w:cs="Arial"/>
        </w:rPr>
        <w:lastRenderedPageBreak/>
        <w:t>matter came before the high court</w:t>
      </w:r>
      <w:r w:rsidR="005F6120" w:rsidRPr="00460B05">
        <w:rPr>
          <w:rFonts w:ascii="Arial" w:hAnsi="Arial" w:cs="Arial"/>
        </w:rPr>
        <w:t>,</w:t>
      </w:r>
      <w:r w:rsidR="006C703D" w:rsidRPr="00460B05">
        <w:rPr>
          <w:rFonts w:ascii="Arial" w:hAnsi="Arial" w:cs="Arial"/>
        </w:rPr>
        <w:t xml:space="preserve"> there was </w:t>
      </w:r>
      <w:r w:rsidR="00F65E5F" w:rsidRPr="00460B05">
        <w:rPr>
          <w:rFonts w:ascii="Arial" w:hAnsi="Arial" w:cs="Arial"/>
        </w:rPr>
        <w:t>nothing to set aside.</w:t>
      </w:r>
      <w:r w:rsidR="001C15AF" w:rsidRPr="00460B05">
        <w:rPr>
          <w:rFonts w:ascii="Arial" w:hAnsi="Arial" w:cs="Arial"/>
        </w:rPr>
        <w:t xml:space="preserve"> There was no live issue for th</w:t>
      </w:r>
      <w:r w:rsidR="00E6762B" w:rsidRPr="00460B05">
        <w:rPr>
          <w:rFonts w:ascii="Arial" w:hAnsi="Arial" w:cs="Arial"/>
        </w:rPr>
        <w:t>at</w:t>
      </w:r>
      <w:r w:rsidR="001C15AF" w:rsidRPr="00460B05">
        <w:rPr>
          <w:rFonts w:ascii="Arial" w:hAnsi="Arial" w:cs="Arial"/>
        </w:rPr>
        <w:t xml:space="preserve"> </w:t>
      </w:r>
      <w:r w:rsidR="00B01C71" w:rsidRPr="00460B05">
        <w:rPr>
          <w:rFonts w:ascii="Arial" w:hAnsi="Arial" w:cs="Arial"/>
        </w:rPr>
        <w:t>c</w:t>
      </w:r>
      <w:r w:rsidR="001C15AF" w:rsidRPr="00460B05">
        <w:rPr>
          <w:rFonts w:ascii="Arial" w:hAnsi="Arial" w:cs="Arial"/>
        </w:rPr>
        <w:t>ourt to adjudicate upon.</w:t>
      </w:r>
      <w:r w:rsidR="001C15AF" w:rsidRPr="00CE2804">
        <w:rPr>
          <w:rStyle w:val="FootnoteReference"/>
          <w:rFonts w:ascii="Arial" w:hAnsi="Arial" w:cs="Arial"/>
        </w:rPr>
        <w:footnoteReference w:id="16"/>
      </w:r>
    </w:p>
    <w:p w14:paraId="7E0C4F2C" w14:textId="77777777" w:rsidR="00CE2804" w:rsidRPr="00CE2804" w:rsidRDefault="00CE2804" w:rsidP="00CE2804">
      <w:pPr>
        <w:pStyle w:val="ListParagraph"/>
        <w:spacing w:line="360" w:lineRule="auto"/>
        <w:rPr>
          <w:rFonts w:ascii="Arial" w:hAnsi="Arial" w:cs="Arial"/>
          <w:i/>
          <w:sz w:val="24"/>
          <w:szCs w:val="24"/>
        </w:rPr>
      </w:pPr>
    </w:p>
    <w:p w14:paraId="568F169D" w14:textId="1BBD3983" w:rsidR="00492AC4" w:rsidRPr="00460B05" w:rsidRDefault="00460B05" w:rsidP="00460B05">
      <w:pPr>
        <w:rPr>
          <w:rFonts w:ascii="Arial" w:hAnsi="Arial" w:cs="Arial"/>
          <w:i/>
        </w:rPr>
      </w:pPr>
      <w:r w:rsidRPr="00CE2804">
        <w:rPr>
          <w:rFonts w:ascii="Arial" w:hAnsi="Arial" w:cs="Arial"/>
          <w:lang w:eastAsia="en-US"/>
        </w:rPr>
        <w:t>[16]</w:t>
      </w:r>
      <w:r w:rsidRPr="00CE2804">
        <w:rPr>
          <w:rFonts w:ascii="Arial" w:hAnsi="Arial" w:cs="Arial"/>
          <w:lang w:eastAsia="en-US"/>
        </w:rPr>
        <w:tab/>
      </w:r>
      <w:r w:rsidR="002043FB" w:rsidRPr="00460B05">
        <w:rPr>
          <w:rFonts w:ascii="Arial" w:hAnsi="Arial" w:cs="Arial"/>
        </w:rPr>
        <w:t xml:space="preserve">The </w:t>
      </w:r>
      <w:r w:rsidR="00930DA9" w:rsidRPr="00460B05">
        <w:rPr>
          <w:rFonts w:ascii="Arial" w:hAnsi="Arial" w:cs="Arial"/>
        </w:rPr>
        <w:t>appellants conceded that the impugned regulations have been repealed an</w:t>
      </w:r>
      <w:r w:rsidR="005F6120" w:rsidRPr="00460B05">
        <w:rPr>
          <w:rFonts w:ascii="Arial" w:hAnsi="Arial" w:cs="Arial"/>
        </w:rPr>
        <w:t xml:space="preserve">d thus </w:t>
      </w:r>
      <w:r w:rsidR="002043FB" w:rsidRPr="00460B05">
        <w:rPr>
          <w:rFonts w:ascii="Arial" w:hAnsi="Arial" w:cs="Arial"/>
        </w:rPr>
        <w:t xml:space="preserve">are </w:t>
      </w:r>
      <w:r w:rsidR="005F6120" w:rsidRPr="00460B05">
        <w:rPr>
          <w:rFonts w:ascii="Arial" w:hAnsi="Arial" w:cs="Arial"/>
        </w:rPr>
        <w:t xml:space="preserve">no longer in operation. </w:t>
      </w:r>
      <w:r w:rsidR="00F65E5F" w:rsidRPr="00460B05">
        <w:rPr>
          <w:rFonts w:ascii="Arial" w:hAnsi="Arial" w:cs="Arial"/>
        </w:rPr>
        <w:t xml:space="preserve">However, the appellants urged this Court to decide that </w:t>
      </w:r>
      <w:r w:rsidR="000C554A" w:rsidRPr="00460B05">
        <w:rPr>
          <w:rFonts w:ascii="Arial" w:hAnsi="Arial" w:cs="Arial"/>
        </w:rPr>
        <w:t xml:space="preserve">it was in the interests of justice that </w:t>
      </w:r>
      <w:r w:rsidR="00F65E5F" w:rsidRPr="00460B05">
        <w:rPr>
          <w:rFonts w:ascii="Arial" w:hAnsi="Arial" w:cs="Arial"/>
        </w:rPr>
        <w:t xml:space="preserve">the appeal </w:t>
      </w:r>
      <w:r w:rsidR="000C554A" w:rsidRPr="00460B05">
        <w:rPr>
          <w:rFonts w:ascii="Arial" w:hAnsi="Arial" w:cs="Arial"/>
        </w:rPr>
        <w:t xml:space="preserve">be entertained. Even though the </w:t>
      </w:r>
      <w:r w:rsidR="002043FB" w:rsidRPr="00460B05">
        <w:rPr>
          <w:rFonts w:ascii="Arial" w:hAnsi="Arial" w:cs="Arial"/>
        </w:rPr>
        <w:t xml:space="preserve">national </w:t>
      </w:r>
      <w:r w:rsidR="000C554A" w:rsidRPr="00460B05">
        <w:rPr>
          <w:rFonts w:ascii="Arial" w:hAnsi="Arial" w:cs="Arial"/>
        </w:rPr>
        <w:t>state of disaster may have been lifted, the</w:t>
      </w:r>
      <w:r w:rsidR="002043FB" w:rsidRPr="00460B05">
        <w:rPr>
          <w:rFonts w:ascii="Arial" w:hAnsi="Arial" w:cs="Arial"/>
        </w:rPr>
        <w:t xml:space="preserve"> appellants contended that the</w:t>
      </w:r>
      <w:r w:rsidR="000C554A" w:rsidRPr="00460B05">
        <w:rPr>
          <w:rFonts w:ascii="Arial" w:hAnsi="Arial" w:cs="Arial"/>
        </w:rPr>
        <w:t xml:space="preserve"> Minister’s powe</w:t>
      </w:r>
      <w:r w:rsidR="007C17B3" w:rsidRPr="00460B05">
        <w:rPr>
          <w:rFonts w:ascii="Arial" w:hAnsi="Arial" w:cs="Arial"/>
        </w:rPr>
        <w:t>r</w:t>
      </w:r>
      <w:r w:rsidR="000C554A" w:rsidRPr="00460B05">
        <w:rPr>
          <w:rFonts w:ascii="Arial" w:hAnsi="Arial" w:cs="Arial"/>
        </w:rPr>
        <w:t xml:space="preserve">s under the DMA ought not to escape scrutiny. </w:t>
      </w:r>
      <w:r w:rsidR="00CD5320" w:rsidRPr="00460B05">
        <w:rPr>
          <w:rFonts w:ascii="Arial" w:hAnsi="Arial" w:cs="Arial"/>
        </w:rPr>
        <w:t>The impugned regulations</w:t>
      </w:r>
      <w:r w:rsidR="002043FB" w:rsidRPr="00460B05">
        <w:rPr>
          <w:rFonts w:ascii="Arial" w:hAnsi="Arial" w:cs="Arial"/>
        </w:rPr>
        <w:t>,</w:t>
      </w:r>
      <w:r w:rsidR="00CD5320" w:rsidRPr="00460B05">
        <w:rPr>
          <w:rFonts w:ascii="Arial" w:hAnsi="Arial" w:cs="Arial"/>
        </w:rPr>
        <w:t xml:space="preserve"> they contended</w:t>
      </w:r>
      <w:r w:rsidR="002043FB" w:rsidRPr="00460B05">
        <w:rPr>
          <w:rFonts w:ascii="Arial" w:hAnsi="Arial" w:cs="Arial"/>
        </w:rPr>
        <w:t>,</w:t>
      </w:r>
      <w:r w:rsidR="00CD5320" w:rsidRPr="00460B05">
        <w:rPr>
          <w:rFonts w:ascii="Arial" w:hAnsi="Arial" w:cs="Arial"/>
        </w:rPr>
        <w:t xml:space="preserve"> had forbidden the practice of worship with </w:t>
      </w:r>
      <w:r w:rsidR="002043FB" w:rsidRPr="00460B05">
        <w:rPr>
          <w:rFonts w:ascii="Arial" w:hAnsi="Arial" w:cs="Arial"/>
        </w:rPr>
        <w:t xml:space="preserve">the threat of </w:t>
      </w:r>
      <w:r w:rsidR="00CD5320" w:rsidRPr="00460B05">
        <w:rPr>
          <w:rFonts w:ascii="Arial" w:hAnsi="Arial" w:cs="Arial"/>
        </w:rPr>
        <w:t>criminal sanction, including the possibility of incarceration.</w:t>
      </w:r>
      <w:r w:rsidR="006C703D" w:rsidRPr="00460B05">
        <w:rPr>
          <w:rFonts w:ascii="Arial" w:hAnsi="Arial" w:cs="Arial"/>
        </w:rPr>
        <w:t xml:space="preserve"> In support of this submission they relied upon the fact </w:t>
      </w:r>
      <w:r w:rsidR="00DF25D4" w:rsidRPr="00460B05">
        <w:rPr>
          <w:rFonts w:ascii="Arial" w:hAnsi="Arial" w:cs="Arial"/>
        </w:rPr>
        <w:t xml:space="preserve">that </w:t>
      </w:r>
      <w:r w:rsidR="007C17B3" w:rsidRPr="00460B05">
        <w:rPr>
          <w:rFonts w:ascii="Arial" w:hAnsi="Arial" w:cs="Arial"/>
        </w:rPr>
        <w:t>the contravention of the impugned regulation</w:t>
      </w:r>
      <w:r w:rsidR="002043FB" w:rsidRPr="00460B05">
        <w:rPr>
          <w:rFonts w:ascii="Arial" w:hAnsi="Arial" w:cs="Arial"/>
        </w:rPr>
        <w:t>s</w:t>
      </w:r>
      <w:r w:rsidR="007C17B3" w:rsidRPr="00460B05">
        <w:rPr>
          <w:rFonts w:ascii="Arial" w:hAnsi="Arial" w:cs="Arial"/>
        </w:rPr>
        <w:t xml:space="preserve"> had given rise to criminal liability. </w:t>
      </w:r>
      <w:r w:rsidR="00A1212F" w:rsidRPr="00460B05">
        <w:rPr>
          <w:rFonts w:ascii="Arial" w:hAnsi="Arial" w:cs="Arial"/>
        </w:rPr>
        <w:t>The appellants claim that at</w:t>
      </w:r>
      <w:r w:rsidR="00832962" w:rsidRPr="00460B05">
        <w:rPr>
          <w:rFonts w:ascii="Arial" w:hAnsi="Arial" w:cs="Arial"/>
        </w:rPr>
        <w:t xml:space="preserve"> least </w:t>
      </w:r>
      <w:r w:rsidR="00F65E5F" w:rsidRPr="00460B05">
        <w:rPr>
          <w:rFonts w:ascii="Arial" w:hAnsi="Arial" w:cs="Arial"/>
        </w:rPr>
        <w:t xml:space="preserve">400 000 people </w:t>
      </w:r>
      <w:r w:rsidR="00832962" w:rsidRPr="00460B05">
        <w:rPr>
          <w:rFonts w:ascii="Arial" w:hAnsi="Arial" w:cs="Arial"/>
        </w:rPr>
        <w:t>(this figure was not verified by any evidence</w:t>
      </w:r>
      <w:r w:rsidR="00F3433C" w:rsidRPr="00460B05">
        <w:rPr>
          <w:rFonts w:ascii="Arial" w:hAnsi="Arial" w:cs="Arial"/>
        </w:rPr>
        <w:t xml:space="preserve"> except </w:t>
      </w:r>
      <w:r w:rsidR="00E6762B" w:rsidRPr="00460B05">
        <w:rPr>
          <w:rFonts w:ascii="Arial" w:hAnsi="Arial" w:cs="Arial"/>
        </w:rPr>
        <w:t xml:space="preserve">that </w:t>
      </w:r>
      <w:r w:rsidR="006E799C" w:rsidRPr="00460B05">
        <w:rPr>
          <w:rFonts w:ascii="Arial" w:hAnsi="Arial" w:cs="Arial"/>
        </w:rPr>
        <w:t xml:space="preserve">tendered </w:t>
      </w:r>
      <w:r w:rsidR="00F3433C" w:rsidRPr="00460B05">
        <w:rPr>
          <w:rFonts w:ascii="Arial" w:hAnsi="Arial" w:cs="Arial"/>
        </w:rPr>
        <w:t xml:space="preserve">from the </w:t>
      </w:r>
      <w:r w:rsidR="00A1212F" w:rsidRPr="00460B05">
        <w:rPr>
          <w:rFonts w:ascii="Arial" w:hAnsi="Arial" w:cs="Arial"/>
        </w:rPr>
        <w:t>b</w:t>
      </w:r>
      <w:r w:rsidR="00F3433C" w:rsidRPr="00460B05">
        <w:rPr>
          <w:rFonts w:ascii="Arial" w:hAnsi="Arial" w:cs="Arial"/>
        </w:rPr>
        <w:t>ar by the counsel for SANCF, who had obtained thi</w:t>
      </w:r>
      <w:r w:rsidR="005F6120" w:rsidRPr="00460B05">
        <w:rPr>
          <w:rFonts w:ascii="Arial" w:hAnsi="Arial" w:cs="Arial"/>
        </w:rPr>
        <w:t xml:space="preserve">s number from </w:t>
      </w:r>
      <w:r w:rsidR="00A1212F" w:rsidRPr="00460B05">
        <w:rPr>
          <w:rFonts w:ascii="Arial" w:hAnsi="Arial" w:cs="Arial"/>
        </w:rPr>
        <w:t>‘</w:t>
      </w:r>
      <w:r w:rsidR="005F6120" w:rsidRPr="00460B05">
        <w:rPr>
          <w:rFonts w:ascii="Arial" w:hAnsi="Arial" w:cs="Arial"/>
        </w:rPr>
        <w:t>a Google search</w:t>
      </w:r>
      <w:r w:rsidR="00A1212F" w:rsidRPr="00460B05">
        <w:rPr>
          <w:rFonts w:ascii="Arial" w:hAnsi="Arial" w:cs="Arial"/>
        </w:rPr>
        <w:t>’</w:t>
      </w:r>
      <w:r w:rsidR="00832962" w:rsidRPr="00460B05">
        <w:rPr>
          <w:rFonts w:ascii="Arial" w:hAnsi="Arial" w:cs="Arial"/>
        </w:rPr>
        <w:t>) had been arrested as a result</w:t>
      </w:r>
      <w:r w:rsidR="00F65E5F" w:rsidRPr="00460B05">
        <w:rPr>
          <w:rFonts w:ascii="Arial" w:hAnsi="Arial" w:cs="Arial"/>
        </w:rPr>
        <w:t xml:space="preserve"> of a</w:t>
      </w:r>
      <w:r w:rsidR="00205904" w:rsidRPr="00460B05">
        <w:rPr>
          <w:rFonts w:ascii="Arial" w:hAnsi="Arial" w:cs="Arial"/>
        </w:rPr>
        <w:t>ttending faith</w:t>
      </w:r>
      <w:r w:rsidR="00A1212F" w:rsidRPr="00460B05">
        <w:rPr>
          <w:rFonts w:ascii="Arial" w:hAnsi="Arial" w:cs="Arial"/>
        </w:rPr>
        <w:t>-</w:t>
      </w:r>
      <w:r w:rsidR="00205904" w:rsidRPr="00460B05">
        <w:rPr>
          <w:rFonts w:ascii="Arial" w:hAnsi="Arial" w:cs="Arial"/>
        </w:rPr>
        <w:t xml:space="preserve">based gatherings during the lockdown period, </w:t>
      </w:r>
      <w:r w:rsidR="00832962" w:rsidRPr="00460B05">
        <w:rPr>
          <w:rFonts w:ascii="Arial" w:hAnsi="Arial" w:cs="Arial"/>
        </w:rPr>
        <w:t>and the outcome</w:t>
      </w:r>
      <w:r w:rsidR="00A1212F" w:rsidRPr="00460B05">
        <w:rPr>
          <w:rFonts w:ascii="Arial" w:hAnsi="Arial" w:cs="Arial"/>
        </w:rPr>
        <w:t>s</w:t>
      </w:r>
      <w:r w:rsidR="00832962" w:rsidRPr="00460B05">
        <w:rPr>
          <w:rFonts w:ascii="Arial" w:hAnsi="Arial" w:cs="Arial"/>
        </w:rPr>
        <w:t xml:space="preserve"> of the cases were still being determined in the lower courts. </w:t>
      </w:r>
      <w:r w:rsidR="007C17B3" w:rsidRPr="00460B05">
        <w:rPr>
          <w:rFonts w:ascii="Arial" w:hAnsi="Arial" w:cs="Arial"/>
        </w:rPr>
        <w:t>Therefore</w:t>
      </w:r>
      <w:r w:rsidR="001A6F13" w:rsidRPr="00460B05">
        <w:rPr>
          <w:rFonts w:ascii="Arial" w:hAnsi="Arial" w:cs="Arial"/>
        </w:rPr>
        <w:t>,</w:t>
      </w:r>
      <w:r w:rsidR="007C17B3" w:rsidRPr="00460B05">
        <w:rPr>
          <w:rFonts w:ascii="Arial" w:hAnsi="Arial" w:cs="Arial"/>
        </w:rPr>
        <w:t xml:space="preserve"> the appellants urged</w:t>
      </w:r>
      <w:r w:rsidR="00812BA2" w:rsidRPr="00460B05">
        <w:rPr>
          <w:rFonts w:ascii="Arial" w:hAnsi="Arial" w:cs="Arial"/>
        </w:rPr>
        <w:t xml:space="preserve"> </w:t>
      </w:r>
      <w:r w:rsidR="00506411" w:rsidRPr="00460B05">
        <w:rPr>
          <w:rFonts w:ascii="Arial" w:hAnsi="Arial" w:cs="Arial"/>
        </w:rPr>
        <w:t xml:space="preserve">this </w:t>
      </w:r>
      <w:r w:rsidR="00A1212F" w:rsidRPr="00460B05">
        <w:rPr>
          <w:rFonts w:ascii="Arial" w:hAnsi="Arial" w:cs="Arial"/>
        </w:rPr>
        <w:t>C</w:t>
      </w:r>
      <w:r w:rsidR="00506411" w:rsidRPr="00460B05">
        <w:rPr>
          <w:rFonts w:ascii="Arial" w:hAnsi="Arial" w:cs="Arial"/>
        </w:rPr>
        <w:t>ourt to hear the matter,</w:t>
      </w:r>
      <w:r w:rsidR="007C17B3" w:rsidRPr="00460B05">
        <w:rPr>
          <w:rFonts w:ascii="Arial" w:hAnsi="Arial" w:cs="Arial"/>
        </w:rPr>
        <w:t xml:space="preserve"> as this </w:t>
      </w:r>
      <w:r w:rsidR="00A1212F" w:rsidRPr="00460B05">
        <w:rPr>
          <w:rFonts w:ascii="Arial" w:hAnsi="Arial" w:cs="Arial"/>
        </w:rPr>
        <w:t>C</w:t>
      </w:r>
      <w:r w:rsidR="007C17B3" w:rsidRPr="00460B05">
        <w:rPr>
          <w:rFonts w:ascii="Arial" w:hAnsi="Arial" w:cs="Arial"/>
        </w:rPr>
        <w:t xml:space="preserve">ourt’s decision on the lawfulness of the impugned regulations </w:t>
      </w:r>
      <w:r w:rsidR="00A1212F" w:rsidRPr="00460B05">
        <w:rPr>
          <w:rFonts w:ascii="Arial" w:hAnsi="Arial" w:cs="Arial"/>
        </w:rPr>
        <w:t>would</w:t>
      </w:r>
      <w:r w:rsidR="007C17B3" w:rsidRPr="00460B05">
        <w:rPr>
          <w:rFonts w:ascii="Arial" w:hAnsi="Arial" w:cs="Arial"/>
        </w:rPr>
        <w:t xml:space="preserve"> affect the rights of those accused persons, and may prevent further and costly litigation related to the prosecution of those persons.</w:t>
      </w:r>
    </w:p>
    <w:p w14:paraId="0A07DD15" w14:textId="77777777" w:rsidR="00CE2804" w:rsidRPr="00CE2804" w:rsidRDefault="00CE2804" w:rsidP="00CE2804">
      <w:pPr>
        <w:pStyle w:val="ListParagraph"/>
        <w:spacing w:line="360" w:lineRule="auto"/>
        <w:ind w:left="0"/>
        <w:rPr>
          <w:rFonts w:ascii="Arial" w:hAnsi="Arial" w:cs="Arial"/>
          <w:i/>
          <w:sz w:val="24"/>
          <w:szCs w:val="24"/>
        </w:rPr>
      </w:pPr>
    </w:p>
    <w:p w14:paraId="5AD4E71B" w14:textId="1419A320" w:rsidR="009305CD" w:rsidRPr="00460B05" w:rsidRDefault="00460B05" w:rsidP="00460B05">
      <w:pPr>
        <w:rPr>
          <w:rFonts w:ascii="Arial" w:hAnsi="Arial" w:cs="Arial"/>
          <w:i/>
        </w:rPr>
      </w:pPr>
      <w:r w:rsidRPr="00CE2804">
        <w:rPr>
          <w:rFonts w:ascii="Arial" w:hAnsi="Arial" w:cs="Arial"/>
          <w:lang w:eastAsia="en-US"/>
        </w:rPr>
        <w:t>[17]</w:t>
      </w:r>
      <w:r w:rsidRPr="00CE2804">
        <w:rPr>
          <w:rFonts w:ascii="Arial" w:hAnsi="Arial" w:cs="Arial"/>
          <w:lang w:eastAsia="en-US"/>
        </w:rPr>
        <w:tab/>
      </w:r>
      <w:r w:rsidR="00B01C71" w:rsidRPr="00460B05">
        <w:rPr>
          <w:rFonts w:ascii="Arial" w:hAnsi="Arial" w:cs="Arial"/>
        </w:rPr>
        <w:t xml:space="preserve">This </w:t>
      </w:r>
      <w:r w:rsidR="00ED0EE8" w:rsidRPr="00460B05">
        <w:rPr>
          <w:rFonts w:ascii="Arial" w:hAnsi="Arial" w:cs="Arial"/>
        </w:rPr>
        <w:t>Court is in effect being asked to regard the appellants</w:t>
      </w:r>
      <w:r w:rsidR="000D28F5" w:rsidRPr="00460B05">
        <w:rPr>
          <w:rFonts w:ascii="Arial" w:hAnsi="Arial" w:cs="Arial"/>
        </w:rPr>
        <w:t xml:space="preserve"> as</w:t>
      </w:r>
      <w:r w:rsidR="00ED0EE8" w:rsidRPr="00460B05">
        <w:rPr>
          <w:rFonts w:ascii="Arial" w:hAnsi="Arial" w:cs="Arial"/>
        </w:rPr>
        <w:t xml:space="preserve"> litigants claiming </w:t>
      </w:r>
      <w:r w:rsidR="00ED0EE8" w:rsidRPr="00460B05">
        <w:rPr>
          <w:rFonts w:ascii="Arial" w:hAnsi="Arial" w:cs="Arial"/>
          <w:i/>
        </w:rPr>
        <w:t xml:space="preserve">locus </w:t>
      </w:r>
      <w:proofErr w:type="spellStart"/>
      <w:r w:rsidR="00ED0EE8" w:rsidRPr="00460B05">
        <w:rPr>
          <w:rFonts w:ascii="Arial" w:hAnsi="Arial" w:cs="Arial"/>
          <w:i/>
        </w:rPr>
        <w:t>standi</w:t>
      </w:r>
      <w:proofErr w:type="spellEnd"/>
      <w:r w:rsidR="00ED0EE8" w:rsidRPr="00460B05">
        <w:rPr>
          <w:rFonts w:ascii="Arial" w:hAnsi="Arial" w:cs="Arial"/>
          <w:i/>
        </w:rPr>
        <w:t xml:space="preserve"> </w:t>
      </w:r>
      <w:r w:rsidR="00ED0EE8" w:rsidRPr="00460B05">
        <w:rPr>
          <w:rFonts w:ascii="Arial" w:hAnsi="Arial" w:cs="Arial"/>
        </w:rPr>
        <w:t>under s 38</w:t>
      </w:r>
      <w:r w:rsidR="00ED0EE8" w:rsidRPr="00460B05">
        <w:rPr>
          <w:rFonts w:ascii="Arial" w:hAnsi="Arial" w:cs="Arial"/>
          <w:i/>
        </w:rPr>
        <w:t>(c)</w:t>
      </w:r>
      <w:r w:rsidR="00ED0EE8" w:rsidRPr="00460B05">
        <w:rPr>
          <w:rFonts w:ascii="Arial" w:hAnsi="Arial" w:cs="Arial"/>
        </w:rPr>
        <w:t xml:space="preserve"> of the Constitution</w:t>
      </w:r>
      <w:r w:rsidR="000D28F5" w:rsidRPr="00460B05">
        <w:rPr>
          <w:rFonts w:ascii="Arial" w:hAnsi="Arial" w:cs="Arial"/>
        </w:rPr>
        <w:t>,</w:t>
      </w:r>
      <w:r w:rsidR="00492AC4" w:rsidRPr="00CE2804">
        <w:rPr>
          <w:rStyle w:val="FootnoteReference"/>
          <w:rFonts w:ascii="Arial" w:hAnsi="Arial" w:cs="Arial"/>
        </w:rPr>
        <w:footnoteReference w:id="17"/>
      </w:r>
      <w:r w:rsidR="00ED0EE8" w:rsidRPr="00460B05">
        <w:rPr>
          <w:rFonts w:ascii="Arial" w:hAnsi="Arial" w:cs="Arial"/>
        </w:rPr>
        <w:t xml:space="preserve"> as they approach the court asking for relief to the advantage of a group or class of persons, namely</w:t>
      </w:r>
      <w:r w:rsidR="00296B94" w:rsidRPr="00460B05">
        <w:rPr>
          <w:rFonts w:ascii="Arial" w:hAnsi="Arial" w:cs="Arial"/>
        </w:rPr>
        <w:t>,</w:t>
      </w:r>
      <w:r w:rsidR="00ED0EE8" w:rsidRPr="00460B05">
        <w:rPr>
          <w:rFonts w:ascii="Arial" w:hAnsi="Arial" w:cs="Arial"/>
        </w:rPr>
        <w:t xml:space="preserve"> those either charged with or convicted of breaches of the </w:t>
      </w:r>
      <w:r w:rsidR="00296B94" w:rsidRPr="00460B05">
        <w:rPr>
          <w:rFonts w:ascii="Arial" w:hAnsi="Arial" w:cs="Arial"/>
        </w:rPr>
        <w:t xml:space="preserve">impugned </w:t>
      </w:r>
      <w:r w:rsidR="00ED0EE8" w:rsidRPr="00460B05">
        <w:rPr>
          <w:rFonts w:ascii="Arial" w:hAnsi="Arial" w:cs="Arial"/>
        </w:rPr>
        <w:t xml:space="preserve">regulations. The aim would be to mount </w:t>
      </w:r>
      <w:r w:rsidR="000D28F5" w:rsidRPr="00460B05">
        <w:rPr>
          <w:rFonts w:ascii="Arial" w:hAnsi="Arial" w:cs="Arial"/>
        </w:rPr>
        <w:lastRenderedPageBreak/>
        <w:t>a</w:t>
      </w:r>
      <w:r w:rsidR="00ED0EE8" w:rsidRPr="00460B05">
        <w:rPr>
          <w:rFonts w:ascii="Arial" w:hAnsi="Arial" w:cs="Arial"/>
        </w:rPr>
        <w:t xml:space="preserve"> collateral challenge </w:t>
      </w:r>
      <w:r w:rsidR="000D28F5" w:rsidRPr="00460B05">
        <w:rPr>
          <w:rFonts w:ascii="Arial" w:hAnsi="Arial" w:cs="Arial"/>
        </w:rPr>
        <w:t>to the constitutionality and lawfulness of the regulations, an issue which in the ordinary course would be raised by each individual concerned in the correct forum in the first instance. That is not the case presented by the appellants in their founding papers; and if it had been</w:t>
      </w:r>
      <w:r w:rsidR="00E6762B" w:rsidRPr="00460B05">
        <w:rPr>
          <w:rFonts w:ascii="Arial" w:hAnsi="Arial" w:cs="Arial"/>
        </w:rPr>
        <w:t>,</w:t>
      </w:r>
      <w:r w:rsidR="000D28F5" w:rsidRPr="00460B05">
        <w:rPr>
          <w:rFonts w:ascii="Arial" w:hAnsi="Arial" w:cs="Arial"/>
        </w:rPr>
        <w:t xml:space="preserve"> it would have been obvious that the National Prosecution Authority, if not also the Minister of Justice, would have been necessary parties. As to the related submission, that a decision by this Court would assist such persons in prosecuting claims for damages, there is the additional consideration that no attempt has been made to establish the existence of any viable cause of action for such relief.</w:t>
      </w:r>
      <w:r w:rsidR="0051032C" w:rsidRPr="00460B05">
        <w:rPr>
          <w:rFonts w:ascii="Arial" w:hAnsi="Arial" w:cs="Arial"/>
        </w:rPr>
        <w:t xml:space="preserve"> In any such action</w:t>
      </w:r>
      <w:r w:rsidR="00E6762B" w:rsidRPr="00460B05">
        <w:rPr>
          <w:rFonts w:ascii="Arial" w:hAnsi="Arial" w:cs="Arial"/>
        </w:rPr>
        <w:t>,</w:t>
      </w:r>
      <w:r w:rsidR="0051032C" w:rsidRPr="00460B05">
        <w:rPr>
          <w:rFonts w:ascii="Arial" w:hAnsi="Arial" w:cs="Arial"/>
        </w:rPr>
        <w:t xml:space="preserve"> a question which would arise immediately would be</w:t>
      </w:r>
      <w:r w:rsidR="00E6762B" w:rsidRPr="00460B05">
        <w:rPr>
          <w:rFonts w:ascii="Arial" w:hAnsi="Arial" w:cs="Arial"/>
        </w:rPr>
        <w:t>, whether</w:t>
      </w:r>
      <w:r w:rsidR="0051032C" w:rsidRPr="00460B05">
        <w:rPr>
          <w:rFonts w:ascii="Arial" w:hAnsi="Arial" w:cs="Arial"/>
        </w:rPr>
        <w:t xml:space="preserve"> either the arrest or prosecution</w:t>
      </w:r>
      <w:r w:rsidR="00E6762B" w:rsidRPr="00460B05">
        <w:rPr>
          <w:rFonts w:ascii="Arial" w:hAnsi="Arial" w:cs="Arial"/>
        </w:rPr>
        <w:t>,</w:t>
      </w:r>
      <w:r w:rsidR="0051032C" w:rsidRPr="00460B05">
        <w:rPr>
          <w:rFonts w:ascii="Arial" w:hAnsi="Arial" w:cs="Arial"/>
        </w:rPr>
        <w:t xml:space="preserve"> could be held to be wrongful, given that at the material time</w:t>
      </w:r>
      <w:r w:rsidR="00E6762B" w:rsidRPr="00460B05">
        <w:rPr>
          <w:rFonts w:ascii="Arial" w:hAnsi="Arial" w:cs="Arial"/>
        </w:rPr>
        <w:t>,</w:t>
      </w:r>
      <w:r w:rsidR="0051032C" w:rsidRPr="00460B05">
        <w:rPr>
          <w:rFonts w:ascii="Arial" w:hAnsi="Arial" w:cs="Arial"/>
        </w:rPr>
        <w:t xml:space="preserve"> the </w:t>
      </w:r>
      <w:r w:rsidR="00B36B33" w:rsidRPr="00460B05">
        <w:rPr>
          <w:rFonts w:ascii="Arial" w:hAnsi="Arial" w:cs="Arial"/>
        </w:rPr>
        <w:t xml:space="preserve">impugned </w:t>
      </w:r>
      <w:r w:rsidR="0051032C" w:rsidRPr="00460B05">
        <w:rPr>
          <w:rFonts w:ascii="Arial" w:hAnsi="Arial" w:cs="Arial"/>
        </w:rPr>
        <w:t>regulations were enforceable, and would remain so until either repealed or set aside.</w:t>
      </w:r>
      <w:r w:rsidR="000D28F5" w:rsidRPr="00460B05">
        <w:rPr>
          <w:rFonts w:ascii="Arial" w:hAnsi="Arial" w:cs="Arial"/>
        </w:rPr>
        <w:t xml:space="preserve"> </w:t>
      </w:r>
    </w:p>
    <w:p w14:paraId="12F7B814" w14:textId="77777777" w:rsidR="00CE2804" w:rsidRPr="00CE2804" w:rsidRDefault="00CE2804" w:rsidP="00CE2804">
      <w:pPr>
        <w:pStyle w:val="ListParagraph"/>
        <w:spacing w:line="360" w:lineRule="auto"/>
        <w:ind w:left="0"/>
        <w:rPr>
          <w:rFonts w:ascii="Arial" w:hAnsi="Arial" w:cs="Arial"/>
          <w:i/>
          <w:sz w:val="24"/>
          <w:szCs w:val="24"/>
        </w:rPr>
      </w:pPr>
    </w:p>
    <w:p w14:paraId="723BA08A" w14:textId="7313FB0F" w:rsidR="002D13C9" w:rsidRPr="00460B05" w:rsidRDefault="00460B05" w:rsidP="00460B05">
      <w:pPr>
        <w:rPr>
          <w:rFonts w:ascii="Arial" w:hAnsi="Arial" w:cs="Arial"/>
          <w:i/>
        </w:rPr>
      </w:pPr>
      <w:r w:rsidRPr="00CE2804">
        <w:rPr>
          <w:rFonts w:ascii="Arial" w:hAnsi="Arial" w:cs="Arial"/>
          <w:lang w:eastAsia="en-US"/>
        </w:rPr>
        <w:t>[18]</w:t>
      </w:r>
      <w:r w:rsidRPr="00CE2804">
        <w:rPr>
          <w:rFonts w:ascii="Arial" w:hAnsi="Arial" w:cs="Arial"/>
          <w:lang w:eastAsia="en-US"/>
        </w:rPr>
        <w:tab/>
      </w:r>
      <w:r w:rsidR="006630AC" w:rsidRPr="00460B05">
        <w:rPr>
          <w:rFonts w:ascii="Arial" w:hAnsi="Arial" w:cs="Arial"/>
        </w:rPr>
        <w:t>It must be borne in mind that s</w:t>
      </w:r>
      <w:r w:rsidR="005F6120" w:rsidRPr="00460B05">
        <w:rPr>
          <w:rFonts w:ascii="Arial" w:hAnsi="Arial" w:cs="Arial"/>
        </w:rPr>
        <w:t xml:space="preserve"> </w:t>
      </w:r>
      <w:r w:rsidR="006630AC" w:rsidRPr="00460B05">
        <w:rPr>
          <w:rFonts w:ascii="Arial" w:hAnsi="Arial" w:cs="Arial"/>
        </w:rPr>
        <w:t>16(2)</w:t>
      </w:r>
      <w:r w:rsidR="006630AC" w:rsidRPr="00460B05">
        <w:rPr>
          <w:rFonts w:ascii="Arial" w:hAnsi="Arial" w:cs="Arial"/>
          <w:i/>
        </w:rPr>
        <w:t>(a)</w:t>
      </w:r>
      <w:r w:rsidR="006630AC" w:rsidRPr="00460B05">
        <w:rPr>
          <w:rFonts w:ascii="Arial" w:hAnsi="Arial" w:cs="Arial"/>
        </w:rPr>
        <w:t>(</w:t>
      </w:r>
      <w:proofErr w:type="spellStart"/>
      <w:r w:rsidR="006630AC" w:rsidRPr="00460B05">
        <w:rPr>
          <w:rFonts w:ascii="Arial" w:hAnsi="Arial" w:cs="Arial"/>
        </w:rPr>
        <w:t>i</w:t>
      </w:r>
      <w:proofErr w:type="spellEnd"/>
      <w:r w:rsidR="006630AC" w:rsidRPr="00460B05">
        <w:rPr>
          <w:rFonts w:ascii="Arial" w:hAnsi="Arial" w:cs="Arial"/>
        </w:rPr>
        <w:t xml:space="preserve">) </w:t>
      </w:r>
      <w:r w:rsidR="00A1212F" w:rsidRPr="00460B05">
        <w:rPr>
          <w:rFonts w:ascii="Arial" w:hAnsi="Arial" w:cs="Arial"/>
        </w:rPr>
        <w:t>of the</w:t>
      </w:r>
      <w:r w:rsidR="0022709D" w:rsidRPr="00460B05">
        <w:rPr>
          <w:rFonts w:ascii="Arial" w:hAnsi="Arial" w:cs="Arial"/>
          <w:b/>
          <w:bCs/>
          <w:shd w:val="clear" w:color="auto" w:fill="FFFFFF"/>
        </w:rPr>
        <w:t xml:space="preserve"> </w:t>
      </w:r>
      <w:r w:rsidR="0022709D" w:rsidRPr="00460B05">
        <w:rPr>
          <w:rFonts w:ascii="Arial" w:hAnsi="Arial" w:cs="Arial"/>
          <w:bCs/>
        </w:rPr>
        <w:t>Superior Courts Act</w:t>
      </w:r>
      <w:r w:rsidR="0022709D" w:rsidRPr="00460B05">
        <w:rPr>
          <w:rFonts w:ascii="Arial" w:hAnsi="Arial" w:cs="Arial"/>
        </w:rPr>
        <w:t xml:space="preserve"> </w:t>
      </w:r>
      <w:r w:rsidR="006630AC" w:rsidRPr="00460B05">
        <w:rPr>
          <w:rFonts w:ascii="Arial" w:hAnsi="Arial" w:cs="Arial"/>
        </w:rPr>
        <w:t>confers a discretion on a court of appeal to hear an appeal notwithstanding mootness. Therefore, when a court of first instance has determined that the subject matter of litigation has ceased to exist before judgment, it has no jurisdiction to entertain the merits of the matter. Only an appeal court has a discretion to hear an appeal no</w:t>
      </w:r>
      <w:r w:rsidR="005F6120" w:rsidRPr="00460B05">
        <w:rPr>
          <w:rFonts w:ascii="Arial" w:hAnsi="Arial" w:cs="Arial"/>
        </w:rPr>
        <w:t>twithstanding mootness. In the</w:t>
      </w:r>
      <w:r w:rsidR="006630AC" w:rsidRPr="00460B05">
        <w:rPr>
          <w:rFonts w:ascii="Arial" w:hAnsi="Arial" w:cs="Arial"/>
        </w:rPr>
        <w:t xml:space="preserve"> matter of </w:t>
      </w:r>
      <w:r w:rsidR="006630AC" w:rsidRPr="00460B05">
        <w:rPr>
          <w:rFonts w:ascii="Arial" w:hAnsi="Arial" w:cs="Arial"/>
          <w:i/>
        </w:rPr>
        <w:t xml:space="preserve">Minister of Justice and Correctional Services v Estate Late </w:t>
      </w:r>
      <w:proofErr w:type="spellStart"/>
      <w:r w:rsidR="006630AC" w:rsidRPr="00460B05">
        <w:rPr>
          <w:rFonts w:ascii="Arial" w:hAnsi="Arial" w:cs="Arial"/>
          <w:i/>
        </w:rPr>
        <w:t>Stransham</w:t>
      </w:r>
      <w:proofErr w:type="spellEnd"/>
      <w:r w:rsidR="006630AC" w:rsidRPr="00460B05">
        <w:rPr>
          <w:rFonts w:ascii="Arial" w:hAnsi="Arial" w:cs="Arial"/>
          <w:i/>
        </w:rPr>
        <w:t>-Ford</w:t>
      </w:r>
      <w:r w:rsidR="005F6120" w:rsidRPr="00460B05">
        <w:rPr>
          <w:rFonts w:ascii="Arial" w:hAnsi="Arial" w:cs="Arial"/>
        </w:rPr>
        <w:t>,</w:t>
      </w:r>
      <w:r w:rsidR="002D13C9" w:rsidRPr="00CE2804">
        <w:rPr>
          <w:rStyle w:val="FootnoteReference"/>
          <w:rFonts w:ascii="Arial" w:hAnsi="Arial" w:cs="Arial"/>
        </w:rPr>
        <w:footnoteReference w:id="18"/>
      </w:r>
      <w:r w:rsidR="005F6120" w:rsidRPr="00460B05">
        <w:rPr>
          <w:rFonts w:ascii="Arial" w:hAnsi="Arial" w:cs="Arial"/>
        </w:rPr>
        <w:t xml:space="preserve"> this Court said</w:t>
      </w:r>
      <w:r w:rsidR="002D13C9" w:rsidRPr="00460B05">
        <w:rPr>
          <w:rFonts w:ascii="Arial" w:hAnsi="Arial" w:cs="Arial"/>
        </w:rPr>
        <w:t>:</w:t>
      </w:r>
    </w:p>
    <w:p w14:paraId="6A57D6DE" w14:textId="7927A6C8" w:rsidR="002D13C9" w:rsidRPr="00B36B33" w:rsidRDefault="005F6120" w:rsidP="00CE2804">
      <w:pPr>
        <w:pStyle w:val="ListParagraph"/>
        <w:spacing w:line="360" w:lineRule="auto"/>
        <w:ind w:left="0"/>
        <w:rPr>
          <w:rFonts w:ascii="Arial" w:hAnsi="Arial" w:cs="Arial"/>
          <w:sz w:val="22"/>
          <w:szCs w:val="22"/>
        </w:rPr>
      </w:pPr>
      <w:r w:rsidRPr="00B36B33">
        <w:rPr>
          <w:rFonts w:ascii="Arial" w:hAnsi="Arial" w:cs="Arial"/>
          <w:sz w:val="22"/>
          <w:szCs w:val="22"/>
        </w:rPr>
        <w:t>‘</w:t>
      </w:r>
      <w:r w:rsidR="002D13C9" w:rsidRPr="00B36B33">
        <w:rPr>
          <w:rFonts w:ascii="Arial" w:hAnsi="Arial" w:cs="Arial"/>
          <w:sz w:val="22"/>
          <w:szCs w:val="22"/>
        </w:rPr>
        <w:t>The appeal court’s jurisdiction was exercised because “a discrete legal issue of public importance arose that would affect matters in the future and on which the adjudication of this court was required”. The high court is not vested with similar powers. Its function is to determine cases that present live issues for determination.</w:t>
      </w:r>
    </w:p>
    <w:p w14:paraId="400A9BD6" w14:textId="77777777" w:rsidR="002D13C9" w:rsidRPr="00B36B33" w:rsidRDefault="002D13C9" w:rsidP="00CE2804">
      <w:pPr>
        <w:rPr>
          <w:rFonts w:ascii="Arial" w:hAnsi="Arial" w:cs="Arial"/>
          <w:sz w:val="22"/>
          <w:szCs w:val="22"/>
        </w:rPr>
      </w:pPr>
      <w:r w:rsidRPr="00B36B33">
        <w:rPr>
          <w:rFonts w:ascii="Arial" w:hAnsi="Arial" w:cs="Arial"/>
          <w:sz w:val="22"/>
          <w:szCs w:val="22"/>
        </w:rPr>
        <w:t>. . .</w:t>
      </w:r>
    </w:p>
    <w:p w14:paraId="5CEA7CAF" w14:textId="5FE5987B" w:rsidR="00CE2804" w:rsidRPr="00B36B33" w:rsidRDefault="006630AC" w:rsidP="00CE2804">
      <w:pPr>
        <w:pStyle w:val="ListParagraph"/>
        <w:spacing w:line="360" w:lineRule="auto"/>
        <w:ind w:left="0"/>
        <w:rPr>
          <w:rFonts w:ascii="Arial" w:hAnsi="Arial" w:cs="Arial"/>
          <w:sz w:val="22"/>
          <w:szCs w:val="22"/>
        </w:rPr>
      </w:pPr>
      <w:r w:rsidRPr="00B36B33">
        <w:rPr>
          <w:rFonts w:ascii="Arial" w:hAnsi="Arial" w:cs="Arial"/>
          <w:sz w:val="22"/>
          <w:szCs w:val="22"/>
        </w:rPr>
        <w:t xml:space="preserve">If a cause of action ceases to exist before judgment in the court of first instance, there is no longer a claim before </w:t>
      </w:r>
      <w:r w:rsidR="005F6120" w:rsidRPr="00B36B33">
        <w:rPr>
          <w:rFonts w:ascii="Arial" w:hAnsi="Arial" w:cs="Arial"/>
          <w:sz w:val="22"/>
          <w:szCs w:val="22"/>
        </w:rPr>
        <w:t>the court for its adjudication</w:t>
      </w:r>
      <w:r w:rsidR="002D13C9" w:rsidRPr="00B36B33">
        <w:rPr>
          <w:rFonts w:ascii="Arial" w:hAnsi="Arial" w:cs="Arial"/>
          <w:sz w:val="22"/>
          <w:szCs w:val="22"/>
        </w:rPr>
        <w:t>.’</w:t>
      </w:r>
    </w:p>
    <w:p w14:paraId="52A13475" w14:textId="27827918" w:rsidR="00F65E5F" w:rsidRPr="00CE2804" w:rsidRDefault="00F65E5F" w:rsidP="00CE2804">
      <w:pPr>
        <w:pStyle w:val="ListParagraph"/>
        <w:spacing w:line="360" w:lineRule="auto"/>
        <w:ind w:left="0"/>
        <w:rPr>
          <w:rFonts w:ascii="Arial" w:hAnsi="Arial" w:cs="Arial"/>
          <w:sz w:val="24"/>
          <w:szCs w:val="24"/>
        </w:rPr>
      </w:pPr>
    </w:p>
    <w:p w14:paraId="73254E3A" w14:textId="788A0AC9" w:rsidR="0047565C" w:rsidRPr="00460B05" w:rsidRDefault="00460B05" w:rsidP="00460B05">
      <w:pPr>
        <w:rPr>
          <w:rFonts w:ascii="Arial" w:hAnsi="Arial" w:cs="Arial"/>
        </w:rPr>
      </w:pPr>
      <w:r w:rsidRPr="00CE2804">
        <w:rPr>
          <w:rFonts w:ascii="Arial" w:hAnsi="Arial" w:cs="Arial"/>
          <w:lang w:eastAsia="en-US"/>
        </w:rPr>
        <w:t>[19]</w:t>
      </w:r>
      <w:r w:rsidRPr="00CE2804">
        <w:rPr>
          <w:rFonts w:ascii="Arial" w:hAnsi="Arial" w:cs="Arial"/>
          <w:lang w:eastAsia="en-US"/>
        </w:rPr>
        <w:tab/>
      </w:r>
      <w:r w:rsidR="00F65E5F" w:rsidRPr="00460B05">
        <w:rPr>
          <w:rFonts w:ascii="Arial" w:hAnsi="Arial" w:cs="Arial"/>
        </w:rPr>
        <w:t xml:space="preserve">In </w:t>
      </w:r>
      <w:r w:rsidR="0047565C" w:rsidRPr="00460B05">
        <w:rPr>
          <w:rFonts w:ascii="Arial" w:hAnsi="Arial" w:cs="Arial"/>
        </w:rPr>
        <w:t xml:space="preserve">a recent judgment, </w:t>
      </w:r>
      <w:r w:rsidR="0047565C" w:rsidRPr="00460B05">
        <w:rPr>
          <w:rFonts w:ascii="Arial" w:hAnsi="Arial" w:cs="Arial"/>
          <w:i/>
        </w:rPr>
        <w:t xml:space="preserve">Minister of Tourism v </w:t>
      </w:r>
      <w:proofErr w:type="spellStart"/>
      <w:r w:rsidR="0047565C" w:rsidRPr="00460B05">
        <w:rPr>
          <w:rFonts w:ascii="Arial" w:hAnsi="Arial" w:cs="Arial"/>
          <w:i/>
        </w:rPr>
        <w:t>Afriforum</w:t>
      </w:r>
      <w:proofErr w:type="spellEnd"/>
      <w:r w:rsidR="0047565C" w:rsidRPr="00460B05">
        <w:rPr>
          <w:rFonts w:ascii="Arial" w:hAnsi="Arial" w:cs="Arial"/>
          <w:i/>
        </w:rPr>
        <w:t xml:space="preserve"> NPC</w:t>
      </w:r>
      <w:r w:rsidR="0047565C" w:rsidRPr="00460B05">
        <w:rPr>
          <w:rFonts w:ascii="Arial" w:hAnsi="Arial" w:cs="Arial"/>
        </w:rPr>
        <w:t>,</w:t>
      </w:r>
      <w:r w:rsidR="004557F8" w:rsidRPr="00CE2804">
        <w:rPr>
          <w:rStyle w:val="FootnoteReference"/>
          <w:rFonts w:ascii="Arial" w:hAnsi="Arial" w:cs="Arial"/>
        </w:rPr>
        <w:footnoteReference w:id="19"/>
      </w:r>
      <w:r w:rsidR="0047565C" w:rsidRPr="00460B05">
        <w:rPr>
          <w:rFonts w:ascii="Arial" w:hAnsi="Arial" w:cs="Arial"/>
        </w:rPr>
        <w:t xml:space="preserve"> dated 8 February 2023</w:t>
      </w:r>
      <w:r w:rsidR="00812BA2" w:rsidRPr="00460B05">
        <w:rPr>
          <w:rFonts w:ascii="Arial" w:hAnsi="Arial" w:cs="Arial"/>
        </w:rPr>
        <w:t>, and also dealing with the effects of the C</w:t>
      </w:r>
      <w:r w:rsidR="00230F28" w:rsidRPr="00460B05">
        <w:rPr>
          <w:rFonts w:ascii="Arial" w:hAnsi="Arial" w:cs="Arial"/>
        </w:rPr>
        <w:t>OVID-</w:t>
      </w:r>
      <w:r w:rsidR="00812BA2" w:rsidRPr="00460B05">
        <w:rPr>
          <w:rFonts w:ascii="Arial" w:hAnsi="Arial" w:cs="Arial"/>
        </w:rPr>
        <w:t>19 pandemic</w:t>
      </w:r>
      <w:r w:rsidR="0047565C" w:rsidRPr="00460B05">
        <w:rPr>
          <w:rFonts w:ascii="Arial" w:hAnsi="Arial" w:cs="Arial"/>
        </w:rPr>
        <w:t xml:space="preserve">, </w:t>
      </w:r>
      <w:r w:rsidR="006A0522" w:rsidRPr="00460B05">
        <w:rPr>
          <w:rFonts w:ascii="Arial" w:hAnsi="Arial" w:cs="Arial"/>
        </w:rPr>
        <w:t>the Constitutional C</w:t>
      </w:r>
      <w:r w:rsidR="00205904" w:rsidRPr="00460B05">
        <w:rPr>
          <w:rFonts w:ascii="Arial" w:hAnsi="Arial" w:cs="Arial"/>
        </w:rPr>
        <w:t xml:space="preserve">ourt </w:t>
      </w:r>
      <w:r w:rsidR="0047565C" w:rsidRPr="00460B05">
        <w:rPr>
          <w:rFonts w:ascii="Arial" w:hAnsi="Arial" w:cs="Arial"/>
        </w:rPr>
        <w:t>stated as follows:</w:t>
      </w:r>
    </w:p>
    <w:p w14:paraId="232482E8" w14:textId="5CBB37C3" w:rsidR="0047565C" w:rsidRPr="00B36B33" w:rsidRDefault="005F6120" w:rsidP="00CE2804">
      <w:pPr>
        <w:rPr>
          <w:rFonts w:ascii="Arial" w:hAnsi="Arial" w:cs="Arial"/>
          <w:sz w:val="22"/>
          <w:szCs w:val="22"/>
        </w:rPr>
      </w:pPr>
      <w:r w:rsidRPr="00B36B33">
        <w:rPr>
          <w:rFonts w:ascii="Arial" w:hAnsi="Arial" w:cs="Arial"/>
          <w:sz w:val="22"/>
          <w:szCs w:val="22"/>
        </w:rPr>
        <w:lastRenderedPageBreak/>
        <w:t>‘</w:t>
      </w:r>
      <w:r w:rsidR="0047565C" w:rsidRPr="00B36B33">
        <w:rPr>
          <w:rFonts w:ascii="Arial" w:hAnsi="Arial" w:cs="Arial"/>
          <w:sz w:val="22"/>
          <w:szCs w:val="22"/>
        </w:rPr>
        <w:t xml:space="preserve">A case is moot when there is no longer a live dispute or controversy between the parties which would be practically affected in one way or another by a court’s decision or which would be resolved by a court’s decision. A case </w:t>
      </w:r>
      <w:r w:rsidR="00D61F57" w:rsidRPr="00B36B33">
        <w:rPr>
          <w:rFonts w:ascii="Arial" w:hAnsi="Arial" w:cs="Arial"/>
          <w:sz w:val="22"/>
          <w:szCs w:val="22"/>
        </w:rPr>
        <w:t>is</w:t>
      </w:r>
      <w:r w:rsidR="0047565C" w:rsidRPr="00B36B33">
        <w:rPr>
          <w:rFonts w:ascii="Arial" w:hAnsi="Arial" w:cs="Arial"/>
          <w:sz w:val="22"/>
          <w:szCs w:val="22"/>
        </w:rPr>
        <w:t xml:space="preserve"> also moot when a court’s decision wou</w:t>
      </w:r>
      <w:r w:rsidRPr="00B36B33">
        <w:rPr>
          <w:rFonts w:ascii="Arial" w:hAnsi="Arial" w:cs="Arial"/>
          <w:sz w:val="22"/>
          <w:szCs w:val="22"/>
        </w:rPr>
        <w:t>ld be of academic interest only.’</w:t>
      </w:r>
    </w:p>
    <w:p w14:paraId="15572B0E" w14:textId="7C48B37C" w:rsidR="00CE2804" w:rsidRPr="00CE2804" w:rsidRDefault="00CE2804" w:rsidP="00CE2804">
      <w:pPr>
        <w:rPr>
          <w:rFonts w:ascii="Arial" w:hAnsi="Arial" w:cs="Arial"/>
        </w:rPr>
      </w:pPr>
    </w:p>
    <w:p w14:paraId="45909102" w14:textId="7EC80700" w:rsidR="00061DD8" w:rsidRPr="00460B05" w:rsidRDefault="00460B05" w:rsidP="00460B05">
      <w:pPr>
        <w:rPr>
          <w:rFonts w:ascii="Arial" w:hAnsi="Arial" w:cs="Arial"/>
        </w:rPr>
      </w:pPr>
      <w:r w:rsidRPr="00CE2804">
        <w:rPr>
          <w:rFonts w:ascii="Arial" w:hAnsi="Arial" w:cs="Arial"/>
          <w:lang w:eastAsia="en-US"/>
        </w:rPr>
        <w:t>[20]</w:t>
      </w:r>
      <w:r w:rsidRPr="00CE2804">
        <w:rPr>
          <w:rFonts w:ascii="Arial" w:hAnsi="Arial" w:cs="Arial"/>
          <w:lang w:eastAsia="en-US"/>
        </w:rPr>
        <w:tab/>
      </w:r>
      <w:r w:rsidR="005F6120" w:rsidRPr="00460B05">
        <w:rPr>
          <w:rFonts w:ascii="Arial" w:hAnsi="Arial" w:cs="Arial"/>
        </w:rPr>
        <w:t>There is no discrete</w:t>
      </w:r>
      <w:r w:rsidR="005E293E" w:rsidRPr="00460B05">
        <w:rPr>
          <w:rFonts w:ascii="Arial" w:hAnsi="Arial" w:cs="Arial"/>
        </w:rPr>
        <w:t xml:space="preserve"> issue before us. </w:t>
      </w:r>
      <w:r w:rsidR="00832962" w:rsidRPr="00460B05">
        <w:rPr>
          <w:rFonts w:ascii="Arial" w:hAnsi="Arial" w:cs="Arial"/>
        </w:rPr>
        <w:t>In the circumstances, it was not necessary to go into the merits of the matter.</w:t>
      </w:r>
      <w:r w:rsidR="005E293E" w:rsidRPr="00460B05">
        <w:rPr>
          <w:rFonts w:ascii="Arial" w:hAnsi="Arial" w:cs="Arial"/>
        </w:rPr>
        <w:t xml:space="preserve"> </w:t>
      </w:r>
      <w:r w:rsidR="00747A77" w:rsidRPr="00460B05">
        <w:rPr>
          <w:rFonts w:ascii="Arial" w:hAnsi="Arial" w:cs="Arial"/>
        </w:rPr>
        <w:t>T</w:t>
      </w:r>
      <w:r w:rsidR="0071121C" w:rsidRPr="00460B05">
        <w:rPr>
          <w:rFonts w:ascii="Arial" w:hAnsi="Arial" w:cs="Arial"/>
        </w:rPr>
        <w:t xml:space="preserve">o adjudicate </w:t>
      </w:r>
      <w:r w:rsidR="005E293E" w:rsidRPr="00460B05">
        <w:rPr>
          <w:rFonts w:ascii="Arial" w:hAnsi="Arial" w:cs="Arial"/>
        </w:rPr>
        <w:t xml:space="preserve">on </w:t>
      </w:r>
      <w:r w:rsidR="0071121C" w:rsidRPr="00460B05">
        <w:rPr>
          <w:rFonts w:ascii="Arial" w:hAnsi="Arial" w:cs="Arial"/>
        </w:rPr>
        <w:t>t</w:t>
      </w:r>
      <w:r w:rsidR="00747A77" w:rsidRPr="00460B05">
        <w:rPr>
          <w:rFonts w:ascii="Arial" w:hAnsi="Arial" w:cs="Arial"/>
        </w:rPr>
        <w:t>he</w:t>
      </w:r>
      <w:r w:rsidR="001F5DA6" w:rsidRPr="00460B05">
        <w:rPr>
          <w:rFonts w:ascii="Arial" w:hAnsi="Arial" w:cs="Arial"/>
        </w:rPr>
        <w:t xml:space="preserve"> </w:t>
      </w:r>
      <w:r w:rsidR="00747A77" w:rsidRPr="00460B05">
        <w:rPr>
          <w:rFonts w:ascii="Arial" w:hAnsi="Arial" w:cs="Arial"/>
        </w:rPr>
        <w:t>circumstances that gave rise to the limitation on the right to freed</w:t>
      </w:r>
      <w:r w:rsidR="001A6F13" w:rsidRPr="00460B05">
        <w:rPr>
          <w:rFonts w:ascii="Arial" w:hAnsi="Arial" w:cs="Arial"/>
        </w:rPr>
        <w:t xml:space="preserve">om of religion </w:t>
      </w:r>
      <w:r w:rsidR="00991662" w:rsidRPr="00460B05">
        <w:rPr>
          <w:rFonts w:ascii="Arial" w:hAnsi="Arial" w:cs="Arial"/>
        </w:rPr>
        <w:t xml:space="preserve">that </w:t>
      </w:r>
      <w:r w:rsidR="001A6F13" w:rsidRPr="00460B05">
        <w:rPr>
          <w:rFonts w:ascii="Arial" w:hAnsi="Arial" w:cs="Arial"/>
        </w:rPr>
        <w:t xml:space="preserve">no longer exist would be to do so in a vacuum. </w:t>
      </w:r>
      <w:r w:rsidR="00747A77" w:rsidRPr="00460B05">
        <w:rPr>
          <w:rFonts w:ascii="Arial" w:hAnsi="Arial" w:cs="Arial"/>
        </w:rPr>
        <w:t xml:space="preserve">Therefore, if the court were to decide on the validity of the limitation, there would be no effect other than a mere declaration that the limitation was either valid or not. Such a </w:t>
      </w:r>
      <w:proofErr w:type="spellStart"/>
      <w:r w:rsidR="00747A77" w:rsidRPr="00460B05">
        <w:rPr>
          <w:rFonts w:ascii="Arial" w:hAnsi="Arial" w:cs="Arial"/>
        </w:rPr>
        <w:t>declarator</w:t>
      </w:r>
      <w:proofErr w:type="spellEnd"/>
      <w:r w:rsidR="00747A77" w:rsidRPr="00460B05">
        <w:rPr>
          <w:rFonts w:ascii="Arial" w:hAnsi="Arial" w:cs="Arial"/>
        </w:rPr>
        <w:t xml:space="preserve"> would </w:t>
      </w:r>
      <w:r w:rsidR="006E799C" w:rsidRPr="00460B05">
        <w:rPr>
          <w:rFonts w:ascii="Arial" w:hAnsi="Arial" w:cs="Arial"/>
        </w:rPr>
        <w:t xml:space="preserve">in all likelihood </w:t>
      </w:r>
      <w:r w:rsidR="00747A77" w:rsidRPr="00460B05">
        <w:rPr>
          <w:rFonts w:ascii="Arial" w:hAnsi="Arial" w:cs="Arial"/>
        </w:rPr>
        <w:t xml:space="preserve">have no effect on future regulations introduced either to combat another strain of </w:t>
      </w:r>
      <w:r w:rsidR="00991662" w:rsidRPr="00460B05">
        <w:rPr>
          <w:rFonts w:ascii="Arial" w:hAnsi="Arial" w:cs="Arial"/>
        </w:rPr>
        <w:t>COVID</w:t>
      </w:r>
      <w:r w:rsidR="00747A77" w:rsidRPr="00460B05">
        <w:rPr>
          <w:rFonts w:ascii="Arial" w:hAnsi="Arial" w:cs="Arial"/>
        </w:rPr>
        <w:t>-19 or the emergence of a new pandemic</w:t>
      </w:r>
      <w:r w:rsidR="00991662" w:rsidRPr="00460B05">
        <w:rPr>
          <w:rFonts w:ascii="Arial" w:hAnsi="Arial" w:cs="Arial"/>
        </w:rPr>
        <w:t>,</w:t>
      </w:r>
      <w:r w:rsidR="00747A77" w:rsidRPr="00460B05">
        <w:rPr>
          <w:rFonts w:ascii="Arial" w:hAnsi="Arial" w:cs="Arial"/>
        </w:rPr>
        <w:t xml:space="preserve"> because those regulations would be </w:t>
      </w:r>
      <w:r w:rsidR="004C793C" w:rsidRPr="00460B05">
        <w:rPr>
          <w:rFonts w:ascii="Arial" w:hAnsi="Arial" w:cs="Arial"/>
        </w:rPr>
        <w:t>fact</w:t>
      </w:r>
      <w:r w:rsidR="00F65E5F" w:rsidRPr="00460B05">
        <w:rPr>
          <w:rFonts w:ascii="Arial" w:hAnsi="Arial" w:cs="Arial"/>
        </w:rPr>
        <w:t>-</w:t>
      </w:r>
      <w:r w:rsidR="00747A77" w:rsidRPr="00460B05">
        <w:rPr>
          <w:rFonts w:ascii="Arial" w:hAnsi="Arial" w:cs="Arial"/>
        </w:rPr>
        <w:t xml:space="preserve">specific to circumstances present during that </w:t>
      </w:r>
      <w:r w:rsidR="001F5DA6" w:rsidRPr="00460B05">
        <w:rPr>
          <w:rFonts w:ascii="Arial" w:hAnsi="Arial" w:cs="Arial"/>
        </w:rPr>
        <w:t xml:space="preserve">relevant </w:t>
      </w:r>
      <w:r w:rsidR="00747A77" w:rsidRPr="00460B05">
        <w:rPr>
          <w:rFonts w:ascii="Arial" w:hAnsi="Arial" w:cs="Arial"/>
        </w:rPr>
        <w:t>time. As a result, th</w:t>
      </w:r>
      <w:r w:rsidR="004C793C" w:rsidRPr="00460B05">
        <w:rPr>
          <w:rFonts w:ascii="Arial" w:hAnsi="Arial" w:cs="Arial"/>
        </w:rPr>
        <w:t>is</w:t>
      </w:r>
      <w:r w:rsidR="00201652" w:rsidRPr="00460B05">
        <w:rPr>
          <w:rFonts w:ascii="Arial" w:hAnsi="Arial" w:cs="Arial"/>
        </w:rPr>
        <w:t xml:space="preserve"> C</w:t>
      </w:r>
      <w:r w:rsidR="00747A77" w:rsidRPr="00460B05">
        <w:rPr>
          <w:rFonts w:ascii="Arial" w:hAnsi="Arial" w:cs="Arial"/>
        </w:rPr>
        <w:t>ourt</w:t>
      </w:r>
      <w:r w:rsidR="00201652" w:rsidRPr="00460B05">
        <w:rPr>
          <w:rFonts w:ascii="Arial" w:hAnsi="Arial" w:cs="Arial"/>
        </w:rPr>
        <w:t>’</w:t>
      </w:r>
      <w:r w:rsidR="00747A77" w:rsidRPr="00460B05">
        <w:rPr>
          <w:rFonts w:ascii="Arial" w:hAnsi="Arial" w:cs="Arial"/>
        </w:rPr>
        <w:t>s decision in respect of the impugned regulat</w:t>
      </w:r>
      <w:r w:rsidR="001A6F13" w:rsidRPr="00460B05">
        <w:rPr>
          <w:rFonts w:ascii="Arial" w:hAnsi="Arial" w:cs="Arial"/>
        </w:rPr>
        <w:t xml:space="preserve">ions </w:t>
      </w:r>
      <w:r w:rsidR="006E799C" w:rsidRPr="00460B05">
        <w:rPr>
          <w:rFonts w:ascii="Arial" w:hAnsi="Arial" w:cs="Arial"/>
        </w:rPr>
        <w:t xml:space="preserve">based on the current facts </w:t>
      </w:r>
      <w:r w:rsidR="001A6F13" w:rsidRPr="00460B05">
        <w:rPr>
          <w:rFonts w:ascii="Arial" w:hAnsi="Arial" w:cs="Arial"/>
        </w:rPr>
        <w:t>would have no effect</w:t>
      </w:r>
      <w:r w:rsidR="00991662" w:rsidRPr="00460B05">
        <w:rPr>
          <w:rFonts w:ascii="Arial" w:hAnsi="Arial" w:cs="Arial"/>
        </w:rPr>
        <w:t>,</w:t>
      </w:r>
      <w:r w:rsidR="001A6F13" w:rsidRPr="00460B05">
        <w:rPr>
          <w:rFonts w:ascii="Arial" w:hAnsi="Arial" w:cs="Arial"/>
        </w:rPr>
        <w:t xml:space="preserve"> as there are no regulation</w:t>
      </w:r>
      <w:r w:rsidR="00991662" w:rsidRPr="00460B05">
        <w:rPr>
          <w:rFonts w:ascii="Arial" w:hAnsi="Arial" w:cs="Arial"/>
        </w:rPr>
        <w:t>s</w:t>
      </w:r>
      <w:r w:rsidR="001A6F13" w:rsidRPr="00460B05">
        <w:rPr>
          <w:rFonts w:ascii="Arial" w:hAnsi="Arial" w:cs="Arial"/>
        </w:rPr>
        <w:t xml:space="preserve"> in place at the </w:t>
      </w:r>
      <w:r w:rsidR="007B0DE4" w:rsidRPr="00460B05">
        <w:rPr>
          <w:rFonts w:ascii="Arial" w:hAnsi="Arial" w:cs="Arial"/>
        </w:rPr>
        <w:t xml:space="preserve">present </w:t>
      </w:r>
      <w:r w:rsidR="001A6F13" w:rsidRPr="00460B05">
        <w:rPr>
          <w:rFonts w:ascii="Arial" w:hAnsi="Arial" w:cs="Arial"/>
        </w:rPr>
        <w:t>moment</w:t>
      </w:r>
      <w:r w:rsidR="007B0DE4" w:rsidRPr="00460B05">
        <w:rPr>
          <w:rFonts w:ascii="Arial" w:hAnsi="Arial" w:cs="Arial"/>
        </w:rPr>
        <w:t xml:space="preserve">. </w:t>
      </w:r>
      <w:r w:rsidR="00201652" w:rsidRPr="00460B05">
        <w:rPr>
          <w:rFonts w:ascii="Arial" w:hAnsi="Arial" w:cs="Arial"/>
        </w:rPr>
        <w:t>This C</w:t>
      </w:r>
      <w:r w:rsidR="001F5DA6" w:rsidRPr="00460B05">
        <w:rPr>
          <w:rFonts w:ascii="Arial" w:hAnsi="Arial" w:cs="Arial"/>
        </w:rPr>
        <w:t xml:space="preserve">ourt in </w:t>
      </w:r>
      <w:r w:rsidR="001F5DA6" w:rsidRPr="00460B05">
        <w:rPr>
          <w:rFonts w:ascii="Arial" w:hAnsi="Arial" w:cs="Arial"/>
          <w:i/>
        </w:rPr>
        <w:t xml:space="preserve">Estate </w:t>
      </w:r>
      <w:r w:rsidR="00991662" w:rsidRPr="00460B05">
        <w:rPr>
          <w:rFonts w:ascii="Arial" w:hAnsi="Arial" w:cs="Arial"/>
          <w:i/>
        </w:rPr>
        <w:t>L</w:t>
      </w:r>
      <w:r w:rsidR="001F5DA6" w:rsidRPr="00460B05">
        <w:rPr>
          <w:rFonts w:ascii="Arial" w:hAnsi="Arial" w:cs="Arial"/>
          <w:i/>
        </w:rPr>
        <w:t xml:space="preserve">ate </w:t>
      </w:r>
      <w:proofErr w:type="spellStart"/>
      <w:r w:rsidR="001F5DA6" w:rsidRPr="00460B05">
        <w:rPr>
          <w:rFonts w:ascii="Arial" w:hAnsi="Arial" w:cs="Arial"/>
          <w:i/>
        </w:rPr>
        <w:t>Stransham</w:t>
      </w:r>
      <w:proofErr w:type="spellEnd"/>
      <w:r w:rsidR="001F5DA6" w:rsidRPr="00460B05">
        <w:rPr>
          <w:rFonts w:ascii="Arial" w:hAnsi="Arial" w:cs="Arial"/>
          <w:i/>
        </w:rPr>
        <w:t>-Ford</w:t>
      </w:r>
      <w:r w:rsidR="00987107" w:rsidRPr="00460B05">
        <w:rPr>
          <w:rFonts w:ascii="Arial" w:hAnsi="Arial" w:cs="Arial"/>
        </w:rPr>
        <w:t xml:space="preserve"> said the following</w:t>
      </w:r>
      <w:r w:rsidR="00061DD8" w:rsidRPr="00460B05">
        <w:rPr>
          <w:rFonts w:ascii="Arial" w:hAnsi="Arial" w:cs="Arial"/>
        </w:rPr>
        <w:t>:</w:t>
      </w:r>
    </w:p>
    <w:p w14:paraId="2733AD2C" w14:textId="3323552A" w:rsidR="00061DD8" w:rsidRPr="00B36B33" w:rsidRDefault="00061DD8" w:rsidP="00CE2804">
      <w:pPr>
        <w:rPr>
          <w:rFonts w:ascii="Arial" w:hAnsi="Arial" w:cs="Arial"/>
          <w:sz w:val="22"/>
          <w:szCs w:val="22"/>
        </w:rPr>
      </w:pPr>
      <w:r w:rsidRPr="00B36B33">
        <w:rPr>
          <w:rFonts w:ascii="Arial" w:hAnsi="Arial" w:cs="Arial"/>
          <w:sz w:val="22"/>
          <w:szCs w:val="22"/>
        </w:rPr>
        <w:t>‘Dealing with the situation where events subsequent to the commencement of litigation resulted in there no longer being an issue for determination, Ackermann J said</w:t>
      </w:r>
      <w:r w:rsidRPr="00B36B33">
        <w:rPr>
          <w:rFonts w:ascii="Arial" w:hAnsi="Arial" w:cs="Arial"/>
          <w:sz w:val="22"/>
          <w:szCs w:val="22"/>
          <w:lang w:val="en-ZA"/>
        </w:rPr>
        <w:t xml:space="preserve"> in </w:t>
      </w:r>
      <w:r w:rsidRPr="00B36B33">
        <w:rPr>
          <w:rFonts w:ascii="Arial" w:hAnsi="Arial" w:cs="Arial"/>
          <w:i/>
          <w:sz w:val="22"/>
          <w:szCs w:val="22"/>
          <w:lang w:val="en-ZA"/>
        </w:rPr>
        <w:t>National Coalition for Gay and Lesbian Equality &amp; others v Minister of Home Affairs &amp; others</w:t>
      </w:r>
      <w:r w:rsidRPr="00B36B33">
        <w:rPr>
          <w:rFonts w:ascii="Arial" w:hAnsi="Arial" w:cs="Arial"/>
          <w:sz w:val="22"/>
          <w:szCs w:val="22"/>
          <w:lang w:val="en-ZA"/>
        </w:rPr>
        <w:t>:</w:t>
      </w:r>
    </w:p>
    <w:p w14:paraId="1C8C47A2" w14:textId="77777777" w:rsidR="00991662" w:rsidRPr="00B36B33" w:rsidRDefault="00DA2F61" w:rsidP="00CE2804">
      <w:pPr>
        <w:rPr>
          <w:rFonts w:ascii="Arial" w:hAnsi="Arial" w:cs="Arial"/>
          <w:sz w:val="22"/>
          <w:szCs w:val="22"/>
          <w:lang w:val="en-ZA"/>
        </w:rPr>
      </w:pPr>
      <w:r w:rsidRPr="00B36B33">
        <w:rPr>
          <w:rFonts w:ascii="Arial" w:hAnsi="Arial" w:cs="Arial"/>
          <w:sz w:val="22"/>
          <w:szCs w:val="22"/>
          <w:lang w:val="en-ZA"/>
        </w:rPr>
        <w:t>“</w:t>
      </w:r>
      <w:r w:rsidR="00061DD8" w:rsidRPr="00B36B33">
        <w:rPr>
          <w:rFonts w:ascii="Arial" w:hAnsi="Arial" w:cs="Arial"/>
          <w:sz w:val="22"/>
          <w:szCs w:val="22"/>
          <w:lang w:val="en-ZA"/>
        </w:rPr>
        <w:t xml:space="preserve">A case is moot and therefore not justiciable if it no longer presents an existing or live controversy which should exist if the Court is to avoid giving advisory opinions on abstract propositions of </w:t>
      </w:r>
      <w:r w:rsidR="006E3D8B" w:rsidRPr="00B36B33">
        <w:rPr>
          <w:rFonts w:ascii="Arial" w:hAnsi="Arial" w:cs="Arial"/>
          <w:sz w:val="22"/>
          <w:szCs w:val="22"/>
          <w:lang w:val="en-ZA"/>
        </w:rPr>
        <w:t>law.</w:t>
      </w:r>
      <w:r w:rsidR="00991662" w:rsidRPr="00B36B33">
        <w:rPr>
          <w:rFonts w:ascii="Arial" w:hAnsi="Arial" w:cs="Arial"/>
          <w:sz w:val="22"/>
          <w:szCs w:val="22"/>
          <w:lang w:val="en-ZA"/>
        </w:rPr>
        <w:t>”</w:t>
      </w:r>
      <w:r w:rsidR="006E3D8B" w:rsidRPr="00B36B33">
        <w:rPr>
          <w:rFonts w:ascii="Arial" w:hAnsi="Arial" w:cs="Arial"/>
          <w:sz w:val="22"/>
          <w:szCs w:val="22"/>
          <w:lang w:val="en-ZA"/>
        </w:rPr>
        <w:t xml:space="preserve"> </w:t>
      </w:r>
    </w:p>
    <w:p w14:paraId="53D00386" w14:textId="6D86F59C" w:rsidR="00061DD8" w:rsidRPr="00B36B33" w:rsidRDefault="00061DD8" w:rsidP="00CE2804">
      <w:pPr>
        <w:rPr>
          <w:rFonts w:ascii="Arial" w:hAnsi="Arial" w:cs="Arial"/>
          <w:sz w:val="22"/>
          <w:szCs w:val="22"/>
          <w:lang w:val="en-ZA"/>
        </w:rPr>
      </w:pPr>
      <w:r w:rsidRPr="00B36B33">
        <w:rPr>
          <w:rFonts w:ascii="Arial" w:hAnsi="Arial" w:cs="Arial"/>
          <w:sz w:val="22"/>
          <w:szCs w:val="22"/>
          <w:lang w:val="en-ZA"/>
        </w:rPr>
        <w:t xml:space="preserve">At the time that </w:t>
      </w:r>
      <w:proofErr w:type="spellStart"/>
      <w:r w:rsidRPr="00B36B33">
        <w:rPr>
          <w:rFonts w:ascii="Arial" w:hAnsi="Arial" w:cs="Arial"/>
          <w:sz w:val="22"/>
          <w:szCs w:val="22"/>
          <w:lang w:val="en-ZA"/>
        </w:rPr>
        <w:t>Fabricius</w:t>
      </w:r>
      <w:proofErr w:type="spellEnd"/>
      <w:r w:rsidRPr="00B36B33">
        <w:rPr>
          <w:rFonts w:ascii="Arial" w:hAnsi="Arial" w:cs="Arial"/>
          <w:sz w:val="22"/>
          <w:szCs w:val="22"/>
          <w:lang w:val="en-ZA"/>
        </w:rPr>
        <w:t xml:space="preserve"> J delivered his judgment there was no longer an existing controversy for him to pronounce upon. The case was no longer justiciable.</w:t>
      </w:r>
      <w:r w:rsidR="00F65E5F" w:rsidRPr="00B36B33">
        <w:rPr>
          <w:rFonts w:ascii="Arial" w:hAnsi="Arial" w:cs="Arial"/>
          <w:sz w:val="22"/>
          <w:szCs w:val="22"/>
          <w:lang w:val="en-ZA"/>
        </w:rPr>
        <w:t>’</w:t>
      </w:r>
    </w:p>
    <w:p w14:paraId="6258F829" w14:textId="5F5D1D87" w:rsidR="008F03F4" w:rsidRPr="00CE2804" w:rsidRDefault="008F03F4" w:rsidP="00CE2804">
      <w:pPr>
        <w:rPr>
          <w:rFonts w:ascii="Arial" w:hAnsi="Arial" w:cs="Arial"/>
        </w:rPr>
      </w:pPr>
    </w:p>
    <w:p w14:paraId="454DBB54" w14:textId="764C8B38" w:rsidR="00DF25D4" w:rsidRPr="00460B05" w:rsidRDefault="00460B05" w:rsidP="00460B05">
      <w:pPr>
        <w:rPr>
          <w:rFonts w:ascii="Arial" w:hAnsi="Arial" w:cs="Arial"/>
        </w:rPr>
      </w:pPr>
      <w:r w:rsidRPr="00CE2804">
        <w:rPr>
          <w:rFonts w:ascii="Arial" w:hAnsi="Arial" w:cs="Arial"/>
          <w:lang w:eastAsia="en-US"/>
        </w:rPr>
        <w:t>[21]</w:t>
      </w:r>
      <w:r w:rsidRPr="00CE2804">
        <w:rPr>
          <w:rFonts w:ascii="Arial" w:hAnsi="Arial" w:cs="Arial"/>
          <w:lang w:eastAsia="en-US"/>
        </w:rPr>
        <w:tab/>
      </w:r>
      <w:r w:rsidR="008F03F4" w:rsidRPr="00460B05">
        <w:rPr>
          <w:rFonts w:ascii="Arial" w:hAnsi="Arial" w:cs="Arial"/>
        </w:rPr>
        <w:t xml:space="preserve">In view of the </w:t>
      </w:r>
      <w:proofErr w:type="spellStart"/>
      <w:r w:rsidR="00DA3B66" w:rsidRPr="00460B05">
        <w:rPr>
          <w:rFonts w:ascii="Arial" w:hAnsi="Arial" w:cs="Arial"/>
        </w:rPr>
        <w:t>aforegoing</w:t>
      </w:r>
      <w:proofErr w:type="spellEnd"/>
      <w:r w:rsidR="00DA3B66" w:rsidRPr="00460B05">
        <w:rPr>
          <w:rFonts w:ascii="Arial" w:hAnsi="Arial" w:cs="Arial"/>
        </w:rPr>
        <w:t xml:space="preserve">, the high court was </w:t>
      </w:r>
      <w:r w:rsidR="008F03F4" w:rsidRPr="00460B05">
        <w:rPr>
          <w:rFonts w:ascii="Arial" w:hAnsi="Arial" w:cs="Arial"/>
        </w:rPr>
        <w:t>correct in fin</w:t>
      </w:r>
      <w:r w:rsidR="00DA3B66" w:rsidRPr="00460B05">
        <w:rPr>
          <w:rFonts w:ascii="Arial" w:hAnsi="Arial" w:cs="Arial"/>
        </w:rPr>
        <w:t>ding that the matte</w:t>
      </w:r>
      <w:r w:rsidR="005F6120" w:rsidRPr="00460B05">
        <w:rPr>
          <w:rFonts w:ascii="Arial" w:hAnsi="Arial" w:cs="Arial"/>
        </w:rPr>
        <w:t>r was moot</w:t>
      </w:r>
      <w:r w:rsidR="00055C92" w:rsidRPr="00460B05">
        <w:rPr>
          <w:rFonts w:ascii="Arial" w:hAnsi="Arial" w:cs="Arial"/>
        </w:rPr>
        <w:t>.</w:t>
      </w:r>
      <w:r w:rsidR="005F6120" w:rsidRPr="00460B05">
        <w:rPr>
          <w:rFonts w:ascii="Arial" w:hAnsi="Arial" w:cs="Arial"/>
        </w:rPr>
        <w:t xml:space="preserve"> </w:t>
      </w:r>
      <w:r w:rsidR="00055C92" w:rsidRPr="00460B05">
        <w:rPr>
          <w:rFonts w:ascii="Arial" w:hAnsi="Arial" w:cs="Arial"/>
        </w:rPr>
        <w:t>Its</w:t>
      </w:r>
      <w:r w:rsidR="005F6120" w:rsidRPr="00460B05">
        <w:rPr>
          <w:rFonts w:ascii="Arial" w:hAnsi="Arial" w:cs="Arial"/>
        </w:rPr>
        <w:t xml:space="preserve"> findings </w:t>
      </w:r>
      <w:r w:rsidR="00DA3B66" w:rsidRPr="00460B05">
        <w:rPr>
          <w:rFonts w:ascii="Arial" w:hAnsi="Arial" w:cs="Arial"/>
        </w:rPr>
        <w:t>are</w:t>
      </w:r>
      <w:r w:rsidR="008F03F4" w:rsidRPr="00460B05">
        <w:rPr>
          <w:rFonts w:ascii="Arial" w:hAnsi="Arial" w:cs="Arial"/>
        </w:rPr>
        <w:t xml:space="preserve"> unassailable. </w:t>
      </w:r>
      <w:r w:rsidR="006E799C" w:rsidRPr="00460B05">
        <w:rPr>
          <w:rFonts w:ascii="Arial" w:hAnsi="Arial" w:cs="Arial"/>
        </w:rPr>
        <w:t>Even if it was wrong at the time, as things stand, the regulations are no lon</w:t>
      </w:r>
      <w:r w:rsidR="002B28CE" w:rsidRPr="00460B05">
        <w:rPr>
          <w:rFonts w:ascii="Arial" w:hAnsi="Arial" w:cs="Arial"/>
        </w:rPr>
        <w:t>g</w:t>
      </w:r>
      <w:r w:rsidR="006E799C" w:rsidRPr="00460B05">
        <w:rPr>
          <w:rFonts w:ascii="Arial" w:hAnsi="Arial" w:cs="Arial"/>
        </w:rPr>
        <w:t xml:space="preserve">er in place. The national state of disaster </w:t>
      </w:r>
      <w:r w:rsidR="002B28CE" w:rsidRPr="00460B05">
        <w:rPr>
          <w:rFonts w:ascii="Arial" w:hAnsi="Arial" w:cs="Arial"/>
        </w:rPr>
        <w:t xml:space="preserve">has been terminated. </w:t>
      </w:r>
      <w:r w:rsidR="005E293E" w:rsidRPr="00460B05">
        <w:rPr>
          <w:rFonts w:ascii="Arial" w:hAnsi="Arial" w:cs="Arial"/>
        </w:rPr>
        <w:t xml:space="preserve">For </w:t>
      </w:r>
      <w:r w:rsidR="00AA61EE" w:rsidRPr="00460B05">
        <w:rPr>
          <w:rFonts w:ascii="Arial" w:hAnsi="Arial" w:cs="Arial"/>
        </w:rPr>
        <w:t xml:space="preserve">all of </w:t>
      </w:r>
      <w:r w:rsidR="005E293E" w:rsidRPr="00460B05">
        <w:rPr>
          <w:rFonts w:ascii="Arial" w:hAnsi="Arial" w:cs="Arial"/>
        </w:rPr>
        <w:t>the above reasons</w:t>
      </w:r>
      <w:r w:rsidR="00D550F0" w:rsidRPr="00460B05">
        <w:rPr>
          <w:rFonts w:ascii="Arial" w:hAnsi="Arial" w:cs="Arial"/>
        </w:rPr>
        <w:t>,</w:t>
      </w:r>
      <w:r w:rsidR="005E293E" w:rsidRPr="00460B05">
        <w:rPr>
          <w:rFonts w:ascii="Arial" w:hAnsi="Arial" w:cs="Arial"/>
        </w:rPr>
        <w:t xml:space="preserve"> </w:t>
      </w:r>
      <w:r w:rsidR="006A0522" w:rsidRPr="00460B05">
        <w:rPr>
          <w:rFonts w:ascii="Arial" w:hAnsi="Arial" w:cs="Arial"/>
        </w:rPr>
        <w:t>there is no real purpose to be served by entertaining this</w:t>
      </w:r>
      <w:r w:rsidR="002B28CE" w:rsidRPr="00460B05">
        <w:rPr>
          <w:rFonts w:ascii="Arial" w:hAnsi="Arial" w:cs="Arial"/>
        </w:rPr>
        <w:t xml:space="preserve"> appeal.</w:t>
      </w:r>
      <w:r w:rsidR="006A0522" w:rsidRPr="00460B05">
        <w:rPr>
          <w:rFonts w:ascii="Arial" w:hAnsi="Arial" w:cs="Arial"/>
        </w:rPr>
        <w:t xml:space="preserve"> Thus</w:t>
      </w:r>
      <w:r w:rsidR="004D5A38" w:rsidRPr="00460B05">
        <w:rPr>
          <w:rFonts w:ascii="Arial" w:hAnsi="Arial" w:cs="Arial"/>
        </w:rPr>
        <w:t>,</w:t>
      </w:r>
      <w:r w:rsidR="006A0522" w:rsidRPr="00460B05">
        <w:rPr>
          <w:rFonts w:ascii="Arial" w:hAnsi="Arial" w:cs="Arial"/>
        </w:rPr>
        <w:t xml:space="preserve"> </w:t>
      </w:r>
      <w:r w:rsidR="001A198E" w:rsidRPr="00460B05">
        <w:rPr>
          <w:rFonts w:ascii="Arial" w:hAnsi="Arial" w:cs="Arial"/>
        </w:rPr>
        <w:t xml:space="preserve">this </w:t>
      </w:r>
      <w:r w:rsidR="004D5A38" w:rsidRPr="00460B05">
        <w:rPr>
          <w:rFonts w:ascii="Arial" w:hAnsi="Arial" w:cs="Arial"/>
        </w:rPr>
        <w:t>C</w:t>
      </w:r>
      <w:r w:rsidR="001A198E" w:rsidRPr="00460B05">
        <w:rPr>
          <w:rFonts w:ascii="Arial" w:hAnsi="Arial" w:cs="Arial"/>
        </w:rPr>
        <w:t xml:space="preserve">ourt made an </w:t>
      </w:r>
      <w:r w:rsidR="00506411" w:rsidRPr="00460B05">
        <w:rPr>
          <w:rFonts w:ascii="Arial" w:hAnsi="Arial" w:cs="Arial"/>
        </w:rPr>
        <w:t xml:space="preserve">order dismissing the appeal on </w:t>
      </w:r>
      <w:r w:rsidR="001A198E" w:rsidRPr="00460B05">
        <w:rPr>
          <w:rFonts w:ascii="Arial" w:hAnsi="Arial" w:cs="Arial"/>
        </w:rPr>
        <w:t xml:space="preserve">14 </w:t>
      </w:r>
      <w:r w:rsidR="001A198E" w:rsidRPr="00460B05">
        <w:rPr>
          <w:rFonts w:ascii="Arial" w:hAnsi="Arial" w:cs="Arial"/>
        </w:rPr>
        <w:lastRenderedPageBreak/>
        <w:t>March 2023</w:t>
      </w:r>
      <w:r w:rsidR="004D5A38" w:rsidRPr="00460B05">
        <w:rPr>
          <w:rFonts w:ascii="Arial" w:hAnsi="Arial" w:cs="Arial"/>
        </w:rPr>
        <w:t>.</w:t>
      </w:r>
      <w:r w:rsidR="001A198E" w:rsidRPr="00460B05">
        <w:rPr>
          <w:rFonts w:ascii="Arial" w:hAnsi="Arial" w:cs="Arial"/>
        </w:rPr>
        <w:t xml:space="preserve"> </w:t>
      </w:r>
      <w:r w:rsidR="00487792" w:rsidRPr="00460B05">
        <w:rPr>
          <w:rFonts w:ascii="Arial" w:hAnsi="Arial" w:cs="Arial"/>
        </w:rPr>
        <w:t>In</w:t>
      </w:r>
      <w:r w:rsidR="001A198E" w:rsidRPr="00460B05">
        <w:rPr>
          <w:rFonts w:ascii="Arial" w:hAnsi="Arial" w:cs="Arial"/>
        </w:rPr>
        <w:t xml:space="preserve"> accordance with</w:t>
      </w:r>
      <w:r w:rsidR="00492AC4" w:rsidRPr="00460B05">
        <w:rPr>
          <w:rFonts w:ascii="Arial" w:hAnsi="Arial" w:cs="Arial"/>
        </w:rPr>
        <w:t xml:space="preserve"> the</w:t>
      </w:r>
      <w:r w:rsidR="001A198E" w:rsidRPr="00460B05">
        <w:rPr>
          <w:rFonts w:ascii="Arial" w:hAnsi="Arial" w:cs="Arial"/>
        </w:rPr>
        <w:t xml:space="preserve"> </w:t>
      </w:r>
      <w:proofErr w:type="spellStart"/>
      <w:r w:rsidR="001A198E" w:rsidRPr="00460B05">
        <w:rPr>
          <w:rFonts w:ascii="Arial" w:hAnsi="Arial" w:cs="Arial"/>
          <w:i/>
        </w:rPr>
        <w:t>Biowatch</w:t>
      </w:r>
      <w:proofErr w:type="spellEnd"/>
      <w:r w:rsidR="00492AC4" w:rsidRPr="00460B05">
        <w:rPr>
          <w:rFonts w:ascii="Arial" w:hAnsi="Arial" w:cs="Arial"/>
          <w:i/>
        </w:rPr>
        <w:t xml:space="preserve"> </w:t>
      </w:r>
      <w:r w:rsidR="00492AC4" w:rsidRPr="00460B05">
        <w:rPr>
          <w:rFonts w:ascii="Arial" w:hAnsi="Arial" w:cs="Arial"/>
        </w:rPr>
        <w:t>principle</w:t>
      </w:r>
      <w:r w:rsidR="001A198E" w:rsidRPr="00460B05">
        <w:rPr>
          <w:rFonts w:ascii="Arial" w:hAnsi="Arial" w:cs="Arial"/>
        </w:rPr>
        <w:t>,</w:t>
      </w:r>
      <w:r w:rsidR="004D5A38" w:rsidRPr="00AF05E1">
        <w:rPr>
          <w:rStyle w:val="FootnoteReference"/>
          <w:rFonts w:ascii="Arial" w:hAnsi="Arial" w:cs="Arial"/>
        </w:rPr>
        <w:footnoteReference w:id="20"/>
      </w:r>
      <w:r w:rsidR="00487792" w:rsidRPr="00460B05">
        <w:rPr>
          <w:rFonts w:ascii="Arial" w:hAnsi="Arial" w:cs="Arial"/>
        </w:rPr>
        <w:t xml:space="preserve"> this </w:t>
      </w:r>
      <w:r w:rsidR="00492AC4" w:rsidRPr="00460B05">
        <w:rPr>
          <w:rFonts w:ascii="Arial" w:hAnsi="Arial" w:cs="Arial"/>
        </w:rPr>
        <w:t>C</w:t>
      </w:r>
      <w:r w:rsidR="00487792" w:rsidRPr="00460B05">
        <w:rPr>
          <w:rFonts w:ascii="Arial" w:hAnsi="Arial" w:cs="Arial"/>
        </w:rPr>
        <w:t>ourt</w:t>
      </w:r>
      <w:r w:rsidR="004D5A38" w:rsidRPr="00460B05">
        <w:rPr>
          <w:rFonts w:ascii="Arial" w:hAnsi="Arial" w:cs="Arial"/>
          <w:i/>
        </w:rPr>
        <w:t xml:space="preserve"> </w:t>
      </w:r>
      <w:r w:rsidR="00EA12AB" w:rsidRPr="00460B05">
        <w:rPr>
          <w:rFonts w:ascii="Arial" w:hAnsi="Arial" w:cs="Arial"/>
        </w:rPr>
        <w:t>made no order as to costs.</w:t>
      </w:r>
    </w:p>
    <w:p w14:paraId="285CB6D2" w14:textId="77777777" w:rsidR="00CE2804" w:rsidRPr="00CE2804" w:rsidRDefault="00CE2804" w:rsidP="00CE2804">
      <w:pPr>
        <w:pStyle w:val="ListParagraph"/>
        <w:spacing w:line="360" w:lineRule="auto"/>
        <w:ind w:left="0"/>
        <w:rPr>
          <w:rFonts w:ascii="Arial" w:hAnsi="Arial" w:cs="Arial"/>
          <w:sz w:val="24"/>
          <w:szCs w:val="24"/>
        </w:rPr>
      </w:pPr>
    </w:p>
    <w:p w14:paraId="0B6AF4D6" w14:textId="6B997440" w:rsidR="00CF294D" w:rsidRPr="00460B05" w:rsidRDefault="00460B05" w:rsidP="00460B05">
      <w:pPr>
        <w:rPr>
          <w:rFonts w:ascii="Arial" w:hAnsi="Arial" w:cs="Arial"/>
        </w:rPr>
      </w:pPr>
      <w:r w:rsidRPr="00CE2804">
        <w:rPr>
          <w:rFonts w:ascii="Arial" w:hAnsi="Arial" w:cs="Arial"/>
          <w:lang w:eastAsia="en-US"/>
        </w:rPr>
        <w:t>[22]</w:t>
      </w:r>
      <w:r w:rsidRPr="00CE2804">
        <w:rPr>
          <w:rFonts w:ascii="Arial" w:hAnsi="Arial" w:cs="Arial"/>
          <w:lang w:eastAsia="en-US"/>
        </w:rPr>
        <w:tab/>
      </w:r>
      <w:r w:rsidR="005E293E" w:rsidRPr="00460B05">
        <w:rPr>
          <w:rFonts w:ascii="Arial" w:hAnsi="Arial" w:cs="Arial"/>
        </w:rPr>
        <w:t>I</w:t>
      </w:r>
      <w:r w:rsidR="003A5E11" w:rsidRPr="00460B05">
        <w:rPr>
          <w:rFonts w:ascii="Arial" w:hAnsi="Arial" w:cs="Arial"/>
        </w:rPr>
        <w:t>n the result</w:t>
      </w:r>
      <w:r w:rsidR="004D5A38" w:rsidRPr="00460B05">
        <w:rPr>
          <w:rFonts w:ascii="Arial" w:hAnsi="Arial" w:cs="Arial"/>
        </w:rPr>
        <w:t>,</w:t>
      </w:r>
      <w:r w:rsidR="003A5E11" w:rsidRPr="00460B05">
        <w:rPr>
          <w:rFonts w:ascii="Arial" w:hAnsi="Arial" w:cs="Arial"/>
        </w:rPr>
        <w:t xml:space="preserve"> the following order was made:</w:t>
      </w:r>
      <w:r w:rsidR="00506411" w:rsidRPr="00460B05">
        <w:rPr>
          <w:rFonts w:ascii="Arial" w:hAnsi="Arial" w:cs="Arial"/>
        </w:rPr>
        <w:t xml:space="preserve">  </w:t>
      </w:r>
    </w:p>
    <w:p w14:paraId="5712C6C4" w14:textId="05068734" w:rsidR="00AA2FD7" w:rsidRPr="00CE2804" w:rsidRDefault="00AA201E" w:rsidP="00CE2804">
      <w:pPr>
        <w:rPr>
          <w:rFonts w:ascii="Arial" w:eastAsia="Arial" w:hAnsi="Arial" w:cs="Arial"/>
        </w:rPr>
      </w:pPr>
      <w:r w:rsidRPr="00CE2804">
        <w:rPr>
          <w:rFonts w:ascii="Arial" w:eastAsia="Arial" w:hAnsi="Arial" w:cs="Arial"/>
        </w:rPr>
        <w:t>The appeal is dismissed with no order as to costs.</w:t>
      </w:r>
    </w:p>
    <w:p w14:paraId="779822EA" w14:textId="6FCFC863" w:rsidR="00B36B33" w:rsidRDefault="00B36B33" w:rsidP="00B36B33">
      <w:pPr>
        <w:pStyle w:val="NoSpacing"/>
        <w:spacing w:line="360" w:lineRule="auto"/>
        <w:jc w:val="right"/>
        <w:rPr>
          <w:rFonts w:ascii="Arial" w:eastAsia="Arial" w:hAnsi="Arial" w:cs="Arial"/>
        </w:rPr>
      </w:pPr>
    </w:p>
    <w:p w14:paraId="278E71CD" w14:textId="159B083F" w:rsidR="005E11AB" w:rsidRPr="00CE2804" w:rsidRDefault="007B684A" w:rsidP="00B36B33">
      <w:pPr>
        <w:pStyle w:val="NoSpacing"/>
        <w:spacing w:line="360" w:lineRule="auto"/>
        <w:jc w:val="right"/>
        <w:rPr>
          <w:rFonts w:ascii="Arial" w:eastAsia="Arial" w:hAnsi="Arial" w:cs="Arial"/>
        </w:rPr>
      </w:pPr>
      <w:r w:rsidRPr="00CE2804">
        <w:rPr>
          <w:rFonts w:ascii="Arial" w:eastAsia="Arial" w:hAnsi="Arial" w:cs="Arial"/>
        </w:rPr>
        <w:t>_______</w:t>
      </w:r>
      <w:r w:rsidR="00F72BF1" w:rsidRPr="00CE2804">
        <w:rPr>
          <w:rFonts w:ascii="Arial" w:eastAsia="Arial" w:hAnsi="Arial" w:cs="Arial"/>
        </w:rPr>
        <w:t>________</w:t>
      </w:r>
      <w:r w:rsidR="003408B4" w:rsidRPr="00CE2804">
        <w:rPr>
          <w:rFonts w:ascii="Arial" w:eastAsia="Arial" w:hAnsi="Arial" w:cs="Arial"/>
        </w:rPr>
        <w:t>_</w:t>
      </w:r>
      <w:r w:rsidR="00F72BF1" w:rsidRPr="00CE2804">
        <w:rPr>
          <w:rFonts w:ascii="Arial" w:eastAsia="Arial" w:hAnsi="Arial" w:cs="Arial"/>
        </w:rPr>
        <w:t>_</w:t>
      </w:r>
    </w:p>
    <w:p w14:paraId="0C56D8C0" w14:textId="54158902" w:rsidR="00C01CA5" w:rsidRPr="00CE2804" w:rsidRDefault="00AA2FD7" w:rsidP="00B36B33">
      <w:pPr>
        <w:pStyle w:val="NoSpacing"/>
        <w:spacing w:line="360" w:lineRule="auto"/>
        <w:jc w:val="right"/>
        <w:rPr>
          <w:rFonts w:ascii="Arial" w:eastAsia="Arial" w:hAnsi="Arial" w:cs="Arial"/>
        </w:rPr>
      </w:pPr>
      <w:r w:rsidRPr="00CE2804">
        <w:rPr>
          <w:rFonts w:ascii="Arial" w:eastAsia="Arial" w:hAnsi="Arial" w:cs="Arial"/>
        </w:rPr>
        <w:t>H K SALDULKER</w:t>
      </w:r>
    </w:p>
    <w:p w14:paraId="2D0AAC76" w14:textId="36EF1678" w:rsidR="003408B4" w:rsidRPr="00CE2804" w:rsidRDefault="00992725" w:rsidP="00B36B33">
      <w:pPr>
        <w:pStyle w:val="NoSpacing"/>
        <w:spacing w:line="360" w:lineRule="auto"/>
        <w:jc w:val="right"/>
        <w:rPr>
          <w:rFonts w:ascii="Arial" w:eastAsia="Arial" w:hAnsi="Arial" w:cs="Arial"/>
        </w:rPr>
      </w:pPr>
      <w:r w:rsidRPr="00CE2804">
        <w:rPr>
          <w:rFonts w:ascii="Arial" w:eastAsia="Arial" w:hAnsi="Arial" w:cs="Arial"/>
        </w:rPr>
        <w:t>JUDGE OF APPEAL</w:t>
      </w:r>
    </w:p>
    <w:p w14:paraId="3A0C6058" w14:textId="77777777" w:rsidR="00103BBD" w:rsidRPr="00CE2804" w:rsidRDefault="00103BBD" w:rsidP="00CE2804">
      <w:pPr>
        <w:rPr>
          <w:rFonts w:ascii="Arial" w:eastAsia="Arial" w:hAnsi="Arial" w:cs="Arial"/>
        </w:rPr>
      </w:pPr>
    </w:p>
    <w:p w14:paraId="73ACCF4F" w14:textId="61AD783A" w:rsidR="00103BBD" w:rsidRPr="00CE2804" w:rsidRDefault="00561BA0" w:rsidP="00CE2804">
      <w:pPr>
        <w:rPr>
          <w:rFonts w:ascii="Arial" w:eastAsia="Arial" w:hAnsi="Arial" w:cs="Arial"/>
        </w:rPr>
      </w:pPr>
      <w:r w:rsidRPr="00CE2804">
        <w:rPr>
          <w:rFonts w:ascii="Arial" w:eastAsia="Arial" w:hAnsi="Arial" w:cs="Arial"/>
        </w:rPr>
        <w:br w:type="page"/>
      </w:r>
    </w:p>
    <w:p w14:paraId="4B43CC62" w14:textId="07D8F041" w:rsidR="00C01CA5" w:rsidRPr="00CE2804" w:rsidRDefault="00992725" w:rsidP="00CE2804">
      <w:pPr>
        <w:rPr>
          <w:rFonts w:ascii="Arial" w:eastAsia="Arial" w:hAnsi="Arial" w:cs="Arial"/>
        </w:rPr>
      </w:pPr>
      <w:r w:rsidRPr="00CE2804">
        <w:rPr>
          <w:rFonts w:ascii="Arial" w:eastAsia="Arial" w:hAnsi="Arial" w:cs="Arial"/>
        </w:rPr>
        <w:lastRenderedPageBreak/>
        <w:t>Appearances</w:t>
      </w:r>
    </w:p>
    <w:p w14:paraId="0304AB10" w14:textId="3A5E37A5" w:rsidR="00C01CA5" w:rsidRPr="00CE2804" w:rsidRDefault="00C01CA5" w:rsidP="00CE2804">
      <w:pPr>
        <w:rPr>
          <w:rFonts w:ascii="Arial" w:eastAsia="Arial" w:hAnsi="Arial" w:cs="Arial"/>
        </w:rPr>
      </w:pPr>
    </w:p>
    <w:p w14:paraId="71AC6311" w14:textId="798214D2" w:rsidR="00BE31DA" w:rsidRPr="00CE2804" w:rsidRDefault="00BE31DA" w:rsidP="00CE2804">
      <w:pPr>
        <w:tabs>
          <w:tab w:val="left" w:pos="3969"/>
        </w:tabs>
        <w:rPr>
          <w:rFonts w:ascii="Arial" w:eastAsia="Arial" w:hAnsi="Arial" w:cs="Arial"/>
        </w:rPr>
      </w:pPr>
      <w:r w:rsidRPr="00CE2804">
        <w:rPr>
          <w:rFonts w:ascii="Arial" w:eastAsia="Arial" w:hAnsi="Arial" w:cs="Arial"/>
        </w:rPr>
        <w:t xml:space="preserve">For the first appellant: </w:t>
      </w:r>
      <w:r w:rsidRPr="00CE2804">
        <w:rPr>
          <w:rFonts w:ascii="Arial" w:eastAsia="Arial" w:hAnsi="Arial" w:cs="Arial"/>
        </w:rPr>
        <w:tab/>
        <w:t xml:space="preserve">M J </w:t>
      </w:r>
      <w:proofErr w:type="spellStart"/>
      <w:r w:rsidRPr="00CE2804">
        <w:rPr>
          <w:rFonts w:ascii="Arial" w:eastAsia="Arial" w:hAnsi="Arial" w:cs="Arial"/>
        </w:rPr>
        <w:t>Engelbrecht</w:t>
      </w:r>
      <w:proofErr w:type="spellEnd"/>
      <w:r w:rsidRPr="00CE2804">
        <w:rPr>
          <w:rFonts w:ascii="Arial" w:eastAsia="Arial" w:hAnsi="Arial" w:cs="Arial"/>
        </w:rPr>
        <w:t xml:space="preserve"> SC </w:t>
      </w:r>
    </w:p>
    <w:p w14:paraId="7D618792" w14:textId="0E65AAD0" w:rsidR="00BE31DA" w:rsidRPr="00CE2804" w:rsidRDefault="00BE31DA" w:rsidP="00CE2804">
      <w:pPr>
        <w:tabs>
          <w:tab w:val="left" w:pos="3969"/>
        </w:tabs>
        <w:rPr>
          <w:rFonts w:ascii="Arial" w:eastAsia="Arial" w:hAnsi="Arial" w:cs="Arial"/>
        </w:rPr>
      </w:pPr>
      <w:r w:rsidRPr="00CE2804">
        <w:rPr>
          <w:rFonts w:ascii="Arial" w:eastAsia="Arial" w:hAnsi="Arial" w:cs="Arial"/>
        </w:rPr>
        <w:t>Instructed by:</w:t>
      </w:r>
      <w:r w:rsidRPr="00CE2804">
        <w:rPr>
          <w:rFonts w:ascii="Arial" w:eastAsia="Arial" w:hAnsi="Arial" w:cs="Arial"/>
        </w:rPr>
        <w:tab/>
        <w:t xml:space="preserve">Hurter Spies </w:t>
      </w:r>
      <w:proofErr w:type="spellStart"/>
      <w:r w:rsidR="001433AF" w:rsidRPr="00CE2804">
        <w:rPr>
          <w:rFonts w:ascii="Arial" w:eastAsia="Arial" w:hAnsi="Arial" w:cs="Arial"/>
        </w:rPr>
        <w:t>Inc</w:t>
      </w:r>
      <w:proofErr w:type="spellEnd"/>
      <w:r w:rsidRPr="00CE2804">
        <w:rPr>
          <w:rFonts w:ascii="Arial" w:eastAsia="Arial" w:hAnsi="Arial" w:cs="Arial"/>
        </w:rPr>
        <w:t>, Pretoria</w:t>
      </w:r>
    </w:p>
    <w:p w14:paraId="219AEABF" w14:textId="2EF9D37B" w:rsidR="00BE31DA" w:rsidRPr="00CE2804" w:rsidRDefault="00232766" w:rsidP="00CE2804">
      <w:pPr>
        <w:tabs>
          <w:tab w:val="left" w:pos="3969"/>
        </w:tabs>
        <w:ind w:left="3969"/>
        <w:rPr>
          <w:rFonts w:ascii="Arial" w:eastAsia="Arial" w:hAnsi="Arial" w:cs="Arial"/>
        </w:rPr>
      </w:pPr>
      <w:proofErr w:type="spellStart"/>
      <w:r w:rsidRPr="00CE2804">
        <w:rPr>
          <w:rFonts w:ascii="Arial" w:eastAsia="Arial" w:hAnsi="Arial" w:cs="Arial"/>
        </w:rPr>
        <w:t>Handre</w:t>
      </w:r>
      <w:proofErr w:type="spellEnd"/>
      <w:r w:rsidRPr="00CE2804">
        <w:rPr>
          <w:rFonts w:ascii="Arial" w:eastAsia="Arial" w:hAnsi="Arial" w:cs="Arial"/>
        </w:rPr>
        <w:t xml:space="preserve"> </w:t>
      </w:r>
      <w:proofErr w:type="spellStart"/>
      <w:r w:rsidR="001433AF" w:rsidRPr="00CE2804">
        <w:rPr>
          <w:rFonts w:ascii="Arial" w:eastAsia="Arial" w:hAnsi="Arial" w:cs="Arial"/>
        </w:rPr>
        <w:t>Conradie</w:t>
      </w:r>
      <w:proofErr w:type="spellEnd"/>
      <w:r w:rsidR="00BE31DA" w:rsidRPr="00CE2804">
        <w:rPr>
          <w:rFonts w:ascii="Arial" w:eastAsia="Arial" w:hAnsi="Arial" w:cs="Arial"/>
        </w:rPr>
        <w:t xml:space="preserve"> </w:t>
      </w:r>
      <w:proofErr w:type="spellStart"/>
      <w:r w:rsidR="001433AF" w:rsidRPr="00CE2804">
        <w:rPr>
          <w:rFonts w:ascii="Arial" w:eastAsia="Arial" w:hAnsi="Arial" w:cs="Arial"/>
        </w:rPr>
        <w:t>Inc</w:t>
      </w:r>
      <w:proofErr w:type="spellEnd"/>
      <w:r w:rsidR="00BE31DA" w:rsidRPr="00CE2804">
        <w:rPr>
          <w:rFonts w:ascii="Arial" w:eastAsia="Arial" w:hAnsi="Arial" w:cs="Arial"/>
        </w:rPr>
        <w:t>, Bloemfontein</w:t>
      </w:r>
    </w:p>
    <w:p w14:paraId="4B899719" w14:textId="0320BD77" w:rsidR="00BE31DA" w:rsidRPr="00CE2804" w:rsidRDefault="00BE31DA" w:rsidP="00CE2804">
      <w:pPr>
        <w:rPr>
          <w:rFonts w:ascii="Arial" w:eastAsia="Arial" w:hAnsi="Arial" w:cs="Arial"/>
        </w:rPr>
      </w:pPr>
    </w:p>
    <w:p w14:paraId="411D9099" w14:textId="37B0169E" w:rsidR="00684830" w:rsidRPr="00CE2804" w:rsidRDefault="00684830" w:rsidP="00CE2804">
      <w:pPr>
        <w:tabs>
          <w:tab w:val="left" w:pos="3969"/>
        </w:tabs>
        <w:ind w:left="3969" w:hanging="3969"/>
        <w:rPr>
          <w:rFonts w:ascii="Arial" w:eastAsia="Arial" w:hAnsi="Arial" w:cs="Arial"/>
        </w:rPr>
      </w:pPr>
      <w:r w:rsidRPr="00CE2804">
        <w:rPr>
          <w:rFonts w:ascii="Arial" w:eastAsia="Arial" w:hAnsi="Arial" w:cs="Arial"/>
        </w:rPr>
        <w:t>For the second appellant:</w:t>
      </w:r>
      <w:r w:rsidRPr="00CE2804">
        <w:rPr>
          <w:rFonts w:ascii="Arial" w:eastAsia="Arial" w:hAnsi="Arial" w:cs="Arial"/>
        </w:rPr>
        <w:tab/>
        <w:t xml:space="preserve">A C Botha SC (with </w:t>
      </w:r>
      <w:r w:rsidR="001E0911" w:rsidRPr="00CE2804">
        <w:rPr>
          <w:rFonts w:ascii="Arial" w:eastAsia="Arial" w:hAnsi="Arial" w:cs="Arial"/>
        </w:rPr>
        <w:t xml:space="preserve">R Crompton, </w:t>
      </w:r>
      <w:r w:rsidRPr="00CE2804">
        <w:rPr>
          <w:rFonts w:ascii="Arial" w:eastAsia="Arial" w:hAnsi="Arial" w:cs="Arial"/>
        </w:rPr>
        <w:t>S J Martin)</w:t>
      </w:r>
    </w:p>
    <w:p w14:paraId="2A321BA6" w14:textId="0D1D05FF" w:rsidR="00684830" w:rsidRPr="00CE2804" w:rsidRDefault="00684830" w:rsidP="00CE2804">
      <w:pPr>
        <w:tabs>
          <w:tab w:val="left" w:pos="3969"/>
        </w:tabs>
        <w:rPr>
          <w:rFonts w:ascii="Arial" w:eastAsia="Arial" w:hAnsi="Arial" w:cs="Arial"/>
        </w:rPr>
      </w:pPr>
      <w:r w:rsidRPr="00CE2804">
        <w:rPr>
          <w:rFonts w:ascii="Arial" w:eastAsia="Arial" w:hAnsi="Arial" w:cs="Arial"/>
        </w:rPr>
        <w:t>Instructed by:</w:t>
      </w:r>
      <w:r w:rsidRPr="00CE2804">
        <w:rPr>
          <w:rFonts w:ascii="Arial" w:eastAsia="Arial" w:hAnsi="Arial" w:cs="Arial"/>
        </w:rPr>
        <w:tab/>
      </w:r>
      <w:r w:rsidR="00B85B64" w:rsidRPr="00CE2804">
        <w:rPr>
          <w:rFonts w:ascii="Arial" w:eastAsia="Arial" w:hAnsi="Arial" w:cs="Arial"/>
        </w:rPr>
        <w:t xml:space="preserve">NLA Legal </w:t>
      </w:r>
      <w:proofErr w:type="spellStart"/>
      <w:r w:rsidR="00B85B64" w:rsidRPr="00CE2804">
        <w:rPr>
          <w:rFonts w:ascii="Arial" w:eastAsia="Arial" w:hAnsi="Arial" w:cs="Arial"/>
        </w:rPr>
        <w:t>Inc</w:t>
      </w:r>
      <w:proofErr w:type="spellEnd"/>
      <w:r w:rsidR="00B85B64" w:rsidRPr="00CE2804">
        <w:rPr>
          <w:rFonts w:ascii="Arial" w:eastAsia="Arial" w:hAnsi="Arial" w:cs="Arial"/>
        </w:rPr>
        <w:t xml:space="preserve">, </w:t>
      </w:r>
      <w:proofErr w:type="spellStart"/>
      <w:r w:rsidR="00B85B64" w:rsidRPr="00CE2804">
        <w:rPr>
          <w:rFonts w:ascii="Arial" w:eastAsia="Arial" w:hAnsi="Arial" w:cs="Arial"/>
        </w:rPr>
        <w:t>Sandton</w:t>
      </w:r>
      <w:proofErr w:type="spellEnd"/>
    </w:p>
    <w:p w14:paraId="28F89398" w14:textId="2D7BC1B5" w:rsidR="00684830" w:rsidRPr="00CE2804" w:rsidRDefault="00684830" w:rsidP="00CE2804">
      <w:pPr>
        <w:tabs>
          <w:tab w:val="left" w:pos="3969"/>
        </w:tabs>
        <w:rPr>
          <w:rFonts w:ascii="Arial" w:eastAsia="Arial" w:hAnsi="Arial" w:cs="Arial"/>
        </w:rPr>
      </w:pPr>
      <w:r w:rsidRPr="00CE2804">
        <w:rPr>
          <w:rFonts w:ascii="Arial" w:eastAsia="Arial" w:hAnsi="Arial" w:cs="Arial"/>
        </w:rPr>
        <w:tab/>
      </w:r>
      <w:proofErr w:type="spellStart"/>
      <w:r w:rsidR="00232766" w:rsidRPr="00CE2804">
        <w:rPr>
          <w:rFonts w:ascii="Arial" w:eastAsia="Arial" w:hAnsi="Arial" w:cs="Arial"/>
        </w:rPr>
        <w:t>Handre</w:t>
      </w:r>
      <w:proofErr w:type="spellEnd"/>
      <w:r w:rsidR="00232766" w:rsidRPr="00CE2804">
        <w:rPr>
          <w:rFonts w:ascii="Arial" w:eastAsia="Arial" w:hAnsi="Arial" w:cs="Arial"/>
        </w:rPr>
        <w:t xml:space="preserve"> </w:t>
      </w:r>
      <w:proofErr w:type="spellStart"/>
      <w:r w:rsidRPr="00CE2804">
        <w:rPr>
          <w:rFonts w:ascii="Arial" w:eastAsia="Arial" w:hAnsi="Arial" w:cs="Arial"/>
        </w:rPr>
        <w:t>Conradie</w:t>
      </w:r>
      <w:proofErr w:type="spellEnd"/>
      <w:r w:rsidRPr="00CE2804">
        <w:rPr>
          <w:rFonts w:ascii="Arial" w:eastAsia="Arial" w:hAnsi="Arial" w:cs="Arial"/>
        </w:rPr>
        <w:t xml:space="preserve"> </w:t>
      </w:r>
      <w:proofErr w:type="spellStart"/>
      <w:r w:rsidRPr="00CE2804">
        <w:rPr>
          <w:rFonts w:ascii="Arial" w:eastAsia="Arial" w:hAnsi="Arial" w:cs="Arial"/>
        </w:rPr>
        <w:t>Inc</w:t>
      </w:r>
      <w:proofErr w:type="spellEnd"/>
      <w:r w:rsidRPr="00CE2804">
        <w:rPr>
          <w:rFonts w:ascii="Arial" w:eastAsia="Arial" w:hAnsi="Arial" w:cs="Arial"/>
        </w:rPr>
        <w:t xml:space="preserve">, Bloemfontein </w:t>
      </w:r>
    </w:p>
    <w:p w14:paraId="56E71F88" w14:textId="77777777" w:rsidR="00684830" w:rsidRPr="00CE2804" w:rsidRDefault="00684830" w:rsidP="00CE2804">
      <w:pPr>
        <w:tabs>
          <w:tab w:val="left" w:pos="3969"/>
        </w:tabs>
        <w:rPr>
          <w:rFonts w:ascii="Arial" w:eastAsia="Arial" w:hAnsi="Arial" w:cs="Arial"/>
        </w:rPr>
      </w:pPr>
    </w:p>
    <w:p w14:paraId="65234805" w14:textId="78F64605" w:rsidR="00C01CA5" w:rsidRPr="00CE2804" w:rsidRDefault="00684830" w:rsidP="00CE2804">
      <w:pPr>
        <w:tabs>
          <w:tab w:val="left" w:pos="3969"/>
        </w:tabs>
        <w:rPr>
          <w:rFonts w:ascii="Arial" w:eastAsia="Arial" w:hAnsi="Arial" w:cs="Arial"/>
        </w:rPr>
      </w:pPr>
      <w:r w:rsidRPr="00CE2804">
        <w:rPr>
          <w:rFonts w:ascii="Arial" w:eastAsia="Arial" w:hAnsi="Arial" w:cs="Arial"/>
        </w:rPr>
        <w:t xml:space="preserve">For the third appellant: </w:t>
      </w:r>
      <w:r w:rsidR="00992725" w:rsidRPr="00CE2804">
        <w:rPr>
          <w:rFonts w:ascii="Arial" w:eastAsia="Arial" w:hAnsi="Arial" w:cs="Arial"/>
        </w:rPr>
        <w:tab/>
      </w:r>
      <w:r w:rsidR="00DF25D4" w:rsidRPr="00CE2804">
        <w:rPr>
          <w:rFonts w:ascii="Arial" w:eastAsia="Arial" w:hAnsi="Arial" w:cs="Arial"/>
        </w:rPr>
        <w:t xml:space="preserve">M </w:t>
      </w:r>
      <w:proofErr w:type="spellStart"/>
      <w:r w:rsidR="00DF25D4" w:rsidRPr="00CE2804">
        <w:rPr>
          <w:rFonts w:ascii="Arial" w:eastAsia="Arial" w:hAnsi="Arial" w:cs="Arial"/>
        </w:rPr>
        <w:t>Karolia</w:t>
      </w:r>
      <w:proofErr w:type="spellEnd"/>
      <w:r w:rsidR="00DF25D4" w:rsidRPr="00CE2804">
        <w:rPr>
          <w:rFonts w:ascii="Arial" w:eastAsia="Arial" w:hAnsi="Arial" w:cs="Arial"/>
        </w:rPr>
        <w:t xml:space="preserve"> </w:t>
      </w:r>
    </w:p>
    <w:p w14:paraId="17C5F90E" w14:textId="77777777" w:rsidR="00684830" w:rsidRPr="00CE2804" w:rsidRDefault="00992725" w:rsidP="00CE2804">
      <w:pPr>
        <w:tabs>
          <w:tab w:val="left" w:pos="3969"/>
        </w:tabs>
        <w:rPr>
          <w:rFonts w:ascii="Arial" w:eastAsia="Arial" w:hAnsi="Arial" w:cs="Arial"/>
        </w:rPr>
      </w:pPr>
      <w:r w:rsidRPr="00CE2804">
        <w:rPr>
          <w:rFonts w:ascii="Arial" w:eastAsia="Arial" w:hAnsi="Arial" w:cs="Arial"/>
        </w:rPr>
        <w:t xml:space="preserve">Instructed by: </w:t>
      </w:r>
      <w:r w:rsidRPr="00CE2804">
        <w:rPr>
          <w:rFonts w:ascii="Arial" w:eastAsia="Arial" w:hAnsi="Arial" w:cs="Arial"/>
        </w:rPr>
        <w:tab/>
      </w:r>
      <w:r w:rsidR="00C72209" w:rsidRPr="00CE2804">
        <w:rPr>
          <w:rFonts w:ascii="Arial" w:eastAsia="Arial" w:hAnsi="Arial" w:cs="Arial"/>
        </w:rPr>
        <w:t xml:space="preserve">Mahmood Mia </w:t>
      </w:r>
      <w:r w:rsidR="00684830" w:rsidRPr="00CE2804">
        <w:rPr>
          <w:rFonts w:ascii="Arial" w:eastAsia="Arial" w:hAnsi="Arial" w:cs="Arial"/>
        </w:rPr>
        <w:t>Attorneys, Johannesburg</w:t>
      </w:r>
    </w:p>
    <w:p w14:paraId="4A598E31" w14:textId="2DC70226" w:rsidR="00C01CA5" w:rsidRPr="00CE2804" w:rsidRDefault="005F6120" w:rsidP="00CE2804">
      <w:pPr>
        <w:tabs>
          <w:tab w:val="left" w:pos="3969"/>
        </w:tabs>
        <w:rPr>
          <w:rFonts w:ascii="Arial" w:eastAsia="Arial" w:hAnsi="Arial" w:cs="Arial"/>
        </w:rPr>
      </w:pPr>
      <w:r w:rsidRPr="00CE2804">
        <w:rPr>
          <w:rFonts w:ascii="Arial" w:eastAsia="Arial" w:hAnsi="Arial" w:cs="Arial"/>
        </w:rPr>
        <w:tab/>
      </w:r>
      <w:proofErr w:type="spellStart"/>
      <w:r w:rsidR="00232766" w:rsidRPr="00CE2804">
        <w:rPr>
          <w:rFonts w:ascii="Arial" w:eastAsia="Arial" w:hAnsi="Arial" w:cs="Arial"/>
        </w:rPr>
        <w:t>Handre</w:t>
      </w:r>
      <w:proofErr w:type="spellEnd"/>
      <w:r w:rsidR="00232766" w:rsidRPr="00CE2804">
        <w:rPr>
          <w:rFonts w:ascii="Arial" w:eastAsia="Arial" w:hAnsi="Arial" w:cs="Arial"/>
        </w:rPr>
        <w:t xml:space="preserve"> </w:t>
      </w:r>
      <w:proofErr w:type="spellStart"/>
      <w:r w:rsidR="00684830" w:rsidRPr="00CE2804">
        <w:rPr>
          <w:rFonts w:ascii="Arial" w:eastAsia="Arial" w:hAnsi="Arial" w:cs="Arial"/>
        </w:rPr>
        <w:t>Conradie</w:t>
      </w:r>
      <w:proofErr w:type="spellEnd"/>
      <w:r w:rsidR="00684830" w:rsidRPr="00CE2804">
        <w:rPr>
          <w:rFonts w:ascii="Arial" w:eastAsia="Arial" w:hAnsi="Arial" w:cs="Arial"/>
        </w:rPr>
        <w:t xml:space="preserve"> </w:t>
      </w:r>
      <w:proofErr w:type="spellStart"/>
      <w:r w:rsidR="00684830" w:rsidRPr="00CE2804">
        <w:rPr>
          <w:rFonts w:ascii="Arial" w:eastAsia="Arial" w:hAnsi="Arial" w:cs="Arial"/>
        </w:rPr>
        <w:t>Inc</w:t>
      </w:r>
      <w:proofErr w:type="spellEnd"/>
      <w:r w:rsidR="00684830" w:rsidRPr="00CE2804">
        <w:rPr>
          <w:rFonts w:ascii="Arial" w:eastAsia="Arial" w:hAnsi="Arial" w:cs="Arial"/>
        </w:rPr>
        <w:t>,</w:t>
      </w:r>
      <w:r w:rsidR="00C72209" w:rsidRPr="00CE2804">
        <w:rPr>
          <w:rFonts w:ascii="Arial" w:eastAsia="Arial" w:hAnsi="Arial" w:cs="Arial"/>
        </w:rPr>
        <w:t xml:space="preserve"> Bloemfontein</w:t>
      </w:r>
    </w:p>
    <w:p w14:paraId="5753D75F" w14:textId="2C9409E4" w:rsidR="00E74183" w:rsidRPr="00CE2804" w:rsidRDefault="00E74183" w:rsidP="00CE2804">
      <w:pPr>
        <w:tabs>
          <w:tab w:val="left" w:pos="3969"/>
        </w:tabs>
        <w:rPr>
          <w:rFonts w:ascii="Arial" w:eastAsia="Arial" w:hAnsi="Arial" w:cs="Arial"/>
        </w:rPr>
      </w:pPr>
    </w:p>
    <w:p w14:paraId="63970283" w14:textId="34418210" w:rsidR="00DF1ED8" w:rsidRPr="00CE2804" w:rsidRDefault="00DF25D4" w:rsidP="00CE2804">
      <w:pPr>
        <w:tabs>
          <w:tab w:val="left" w:pos="3969"/>
        </w:tabs>
        <w:ind w:left="3969" w:hanging="3969"/>
        <w:rPr>
          <w:rFonts w:ascii="Arial" w:eastAsia="Arial" w:hAnsi="Arial" w:cs="Arial"/>
        </w:rPr>
      </w:pPr>
      <w:r w:rsidRPr="00CE2804">
        <w:rPr>
          <w:rFonts w:ascii="Arial" w:eastAsia="Arial" w:hAnsi="Arial" w:cs="Arial"/>
        </w:rPr>
        <w:t>For</w:t>
      </w:r>
      <w:r w:rsidR="00684830" w:rsidRPr="00CE2804">
        <w:rPr>
          <w:rFonts w:ascii="Arial" w:eastAsia="Arial" w:hAnsi="Arial" w:cs="Arial"/>
        </w:rPr>
        <w:t xml:space="preserve"> the respondent</w:t>
      </w:r>
      <w:r w:rsidR="00DF1ED8" w:rsidRPr="00CE2804">
        <w:rPr>
          <w:rFonts w:ascii="Arial" w:eastAsia="Arial" w:hAnsi="Arial" w:cs="Arial"/>
        </w:rPr>
        <w:t>:</w:t>
      </w:r>
      <w:r w:rsidR="00DF1ED8" w:rsidRPr="00CE2804">
        <w:rPr>
          <w:rFonts w:ascii="Arial" w:eastAsia="Arial" w:hAnsi="Arial" w:cs="Arial"/>
        </w:rPr>
        <w:tab/>
      </w:r>
      <w:r w:rsidR="00232766" w:rsidRPr="00CE2804">
        <w:rPr>
          <w:rFonts w:ascii="Arial" w:eastAsia="Arial" w:hAnsi="Arial" w:cs="Arial"/>
        </w:rPr>
        <w:t xml:space="preserve">S J </w:t>
      </w:r>
      <w:r w:rsidR="00F92036" w:rsidRPr="00CE2804">
        <w:rPr>
          <w:rFonts w:ascii="Arial" w:eastAsia="Arial" w:hAnsi="Arial" w:cs="Arial"/>
        </w:rPr>
        <w:t xml:space="preserve">R </w:t>
      </w:r>
      <w:proofErr w:type="spellStart"/>
      <w:r w:rsidR="00F92036" w:rsidRPr="00CE2804">
        <w:rPr>
          <w:rFonts w:ascii="Arial" w:eastAsia="Arial" w:hAnsi="Arial" w:cs="Arial"/>
        </w:rPr>
        <w:t>Mogagabe</w:t>
      </w:r>
      <w:proofErr w:type="spellEnd"/>
      <w:r w:rsidR="00F92036" w:rsidRPr="00CE2804">
        <w:rPr>
          <w:rFonts w:ascii="Arial" w:eastAsia="Arial" w:hAnsi="Arial" w:cs="Arial"/>
        </w:rPr>
        <w:t xml:space="preserve"> SC</w:t>
      </w:r>
      <w:r w:rsidR="00DF1ED8" w:rsidRPr="00CE2804">
        <w:rPr>
          <w:rFonts w:ascii="Arial" w:eastAsia="Arial" w:hAnsi="Arial" w:cs="Arial"/>
        </w:rPr>
        <w:t xml:space="preserve"> (</w:t>
      </w:r>
      <w:r w:rsidRPr="00CE2804">
        <w:rPr>
          <w:rFonts w:ascii="Arial" w:eastAsia="Arial" w:hAnsi="Arial" w:cs="Arial"/>
        </w:rPr>
        <w:t xml:space="preserve">with </w:t>
      </w:r>
      <w:r w:rsidR="001E0911" w:rsidRPr="00CE2804">
        <w:rPr>
          <w:rFonts w:ascii="Arial" w:eastAsia="Arial" w:hAnsi="Arial" w:cs="Arial"/>
        </w:rPr>
        <w:t xml:space="preserve">I </w:t>
      </w:r>
      <w:proofErr w:type="spellStart"/>
      <w:r w:rsidR="001E0911" w:rsidRPr="00CE2804">
        <w:rPr>
          <w:rFonts w:ascii="Arial" w:eastAsia="Arial" w:hAnsi="Arial" w:cs="Arial"/>
        </w:rPr>
        <w:t>Tshoma</w:t>
      </w:r>
      <w:proofErr w:type="spellEnd"/>
      <w:r w:rsidR="001E0911" w:rsidRPr="00CE2804">
        <w:rPr>
          <w:rFonts w:ascii="Arial" w:eastAsia="Arial" w:hAnsi="Arial" w:cs="Arial"/>
        </w:rPr>
        <w:t xml:space="preserve">, N </w:t>
      </w:r>
      <w:proofErr w:type="spellStart"/>
      <w:r w:rsidR="001E0911" w:rsidRPr="00CE2804">
        <w:rPr>
          <w:rFonts w:ascii="Arial" w:eastAsia="Arial" w:hAnsi="Arial" w:cs="Arial"/>
        </w:rPr>
        <w:t>Kekana</w:t>
      </w:r>
      <w:proofErr w:type="spellEnd"/>
      <w:r w:rsidR="001E0911" w:rsidRPr="00CE2804">
        <w:rPr>
          <w:rFonts w:ascii="Arial" w:eastAsia="Arial" w:hAnsi="Arial" w:cs="Arial"/>
        </w:rPr>
        <w:t xml:space="preserve"> and Z Buthelezi</w:t>
      </w:r>
      <w:r w:rsidR="00EA12AB" w:rsidRPr="00CE2804">
        <w:rPr>
          <w:rFonts w:ascii="Arial" w:eastAsia="Arial" w:hAnsi="Arial" w:cs="Arial"/>
        </w:rPr>
        <w:t>)</w:t>
      </w:r>
    </w:p>
    <w:p w14:paraId="334841A5" w14:textId="7D8E655C" w:rsidR="00DF1ED8" w:rsidRPr="00CE2804" w:rsidRDefault="00DF1ED8" w:rsidP="00CE2804">
      <w:pPr>
        <w:tabs>
          <w:tab w:val="left" w:pos="3969"/>
        </w:tabs>
        <w:rPr>
          <w:rFonts w:ascii="Arial" w:eastAsia="Arial" w:hAnsi="Arial" w:cs="Arial"/>
        </w:rPr>
      </w:pPr>
      <w:r w:rsidRPr="00CE2804">
        <w:rPr>
          <w:rFonts w:ascii="Arial" w:eastAsia="Arial" w:hAnsi="Arial" w:cs="Arial"/>
        </w:rPr>
        <w:t>Instructed by:</w:t>
      </w:r>
      <w:r w:rsidRPr="00CE2804">
        <w:rPr>
          <w:rFonts w:ascii="Arial" w:eastAsia="Arial" w:hAnsi="Arial" w:cs="Arial"/>
        </w:rPr>
        <w:tab/>
      </w:r>
      <w:r w:rsidR="00927AC3" w:rsidRPr="00CE2804">
        <w:rPr>
          <w:rFonts w:ascii="Arial" w:eastAsia="Arial" w:hAnsi="Arial" w:cs="Arial"/>
        </w:rPr>
        <w:t>State Attorney</w:t>
      </w:r>
      <w:r w:rsidR="00F15491" w:rsidRPr="00CE2804">
        <w:rPr>
          <w:rFonts w:ascii="Arial" w:eastAsia="Arial" w:hAnsi="Arial" w:cs="Arial"/>
        </w:rPr>
        <w:t>, Johannesburg</w:t>
      </w:r>
    </w:p>
    <w:p w14:paraId="5C694388" w14:textId="50276040" w:rsidR="00927AC3" w:rsidRPr="00CE2804" w:rsidRDefault="00DA2F61" w:rsidP="00CE2804">
      <w:pPr>
        <w:tabs>
          <w:tab w:val="left" w:pos="3969"/>
        </w:tabs>
        <w:rPr>
          <w:rFonts w:ascii="Arial" w:eastAsia="Arial" w:hAnsi="Arial" w:cs="Arial"/>
        </w:rPr>
      </w:pPr>
      <w:r w:rsidRPr="00CE2804">
        <w:rPr>
          <w:rFonts w:ascii="Arial" w:eastAsia="Arial" w:hAnsi="Arial" w:cs="Arial"/>
        </w:rPr>
        <w:tab/>
      </w:r>
      <w:r w:rsidR="00927AC3" w:rsidRPr="00CE2804">
        <w:rPr>
          <w:rFonts w:ascii="Arial" w:eastAsia="Arial" w:hAnsi="Arial" w:cs="Arial"/>
        </w:rPr>
        <w:t>State Attorney, Bloemfontein</w:t>
      </w:r>
    </w:p>
    <w:p w14:paraId="55063E9F" w14:textId="4B1961A5" w:rsidR="00C01CA5" w:rsidRPr="00CE2804" w:rsidRDefault="00C01CA5" w:rsidP="009305CD">
      <w:pPr>
        <w:tabs>
          <w:tab w:val="left" w:pos="3969"/>
        </w:tabs>
        <w:rPr>
          <w:rFonts w:ascii="Arial" w:eastAsia="Arial" w:hAnsi="Arial" w:cs="Arial"/>
        </w:rPr>
      </w:pPr>
    </w:p>
    <w:sectPr w:rsidR="00C01CA5" w:rsidRPr="00CE2804">
      <w:head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3661" w14:textId="77777777" w:rsidR="005A325F" w:rsidRDefault="005A325F">
      <w:pPr>
        <w:spacing w:line="240" w:lineRule="auto"/>
      </w:pPr>
      <w:r>
        <w:separator/>
      </w:r>
    </w:p>
  </w:endnote>
  <w:endnote w:type="continuationSeparator" w:id="0">
    <w:p w14:paraId="357B96A9" w14:textId="77777777" w:rsidR="005A325F" w:rsidRDefault="005A3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B63A" w14:textId="77777777" w:rsidR="005A325F" w:rsidRDefault="005A325F">
      <w:pPr>
        <w:spacing w:line="240" w:lineRule="auto"/>
      </w:pPr>
      <w:r>
        <w:separator/>
      </w:r>
    </w:p>
  </w:footnote>
  <w:footnote w:type="continuationSeparator" w:id="0">
    <w:p w14:paraId="3FAF27B2" w14:textId="77777777" w:rsidR="005A325F" w:rsidRDefault="005A325F">
      <w:pPr>
        <w:spacing w:line="240" w:lineRule="auto"/>
      </w:pPr>
      <w:r>
        <w:continuationSeparator/>
      </w:r>
    </w:p>
  </w:footnote>
  <w:footnote w:id="1">
    <w:p w14:paraId="4A626FC2" w14:textId="21091856"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Section 27 of the DMA.</w:t>
      </w:r>
    </w:p>
  </w:footnote>
  <w:footnote w:id="2">
    <w:p w14:paraId="26C04AA1" w14:textId="58D5A00A"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Freedom of Religion South Africa NPC has abandoned their appeal. There are only three appellants before this Court.</w:t>
      </w:r>
    </w:p>
  </w:footnote>
  <w:footnote w:id="3">
    <w:p w14:paraId="0CBBFF1D" w14:textId="77777777"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Regulations 36(3) and 84(3) of the December regulations provide as follows:</w:t>
      </w:r>
    </w:p>
    <w:p w14:paraId="2336A9B1" w14:textId="06341CA0" w:rsidR="00472EFD" w:rsidRPr="00CE2804" w:rsidRDefault="00472EFD" w:rsidP="00CE2804">
      <w:pPr>
        <w:pStyle w:val="FootnoteText"/>
        <w:rPr>
          <w:rFonts w:ascii="Arial" w:hAnsi="Arial" w:cs="Arial"/>
        </w:rPr>
      </w:pPr>
      <w:r w:rsidRPr="00CE2804">
        <w:rPr>
          <w:rFonts w:ascii="Arial" w:hAnsi="Arial" w:cs="Arial"/>
        </w:rPr>
        <w:t>‘All social gatherings, including faith-based gatherings are prohibited for two weeks, after which this provision will be reviewed.’</w:t>
      </w:r>
    </w:p>
  </w:footnote>
  <w:footnote w:id="4">
    <w:p w14:paraId="1DEE88FB" w14:textId="11A4592F"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Regulations 36(3) and 84(3) prohibited faith-based gatherings indefinitely. </w:t>
      </w:r>
    </w:p>
  </w:footnote>
  <w:footnote w:id="5">
    <w:p w14:paraId="0851B303" w14:textId="3C367203"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National State of Disaster Regulations, GN R69, </w:t>
      </w:r>
      <w:r w:rsidRPr="00CE2804">
        <w:rPr>
          <w:rFonts w:ascii="Arial" w:hAnsi="Arial" w:cs="Arial"/>
          <w:i/>
        </w:rPr>
        <w:t>Government Gazette</w:t>
      </w:r>
      <w:r w:rsidRPr="00CE2804">
        <w:rPr>
          <w:rFonts w:ascii="Arial" w:hAnsi="Arial" w:cs="Arial"/>
        </w:rPr>
        <w:t xml:space="preserve"> 44130, 1 February 2021.</w:t>
      </w:r>
    </w:p>
  </w:footnote>
  <w:footnote w:id="6">
    <w:p w14:paraId="7C5647AF" w14:textId="07E28E38"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Chapter 7 (within which </w:t>
      </w:r>
      <w:proofErr w:type="spellStart"/>
      <w:r w:rsidRPr="00CE2804">
        <w:rPr>
          <w:rFonts w:ascii="Arial" w:hAnsi="Arial" w:cs="Arial"/>
        </w:rPr>
        <w:t>reg</w:t>
      </w:r>
      <w:proofErr w:type="spellEnd"/>
      <w:r w:rsidRPr="00CE2804">
        <w:rPr>
          <w:rFonts w:ascii="Arial" w:hAnsi="Arial" w:cs="Arial"/>
        </w:rPr>
        <w:t xml:space="preserve"> 84(3) was contained) was deleted. Regulation 36 was amended as below.</w:t>
      </w:r>
    </w:p>
    <w:p w14:paraId="69DE55A3" w14:textId="12EF2B21" w:rsidR="00472EFD" w:rsidRPr="00CE2804" w:rsidRDefault="00472EFD" w:rsidP="00CE2804">
      <w:pPr>
        <w:pStyle w:val="FootnoteText"/>
        <w:rPr>
          <w:rFonts w:ascii="Arial" w:hAnsi="Arial" w:cs="Arial"/>
          <w:lang w:val="en-GB"/>
        </w:rPr>
      </w:pPr>
      <w:r w:rsidRPr="00CE2804">
        <w:rPr>
          <w:rFonts w:ascii="Arial" w:hAnsi="Arial" w:cs="Arial"/>
        </w:rPr>
        <w:t>Regulation 36(3)</w:t>
      </w:r>
      <w:r w:rsidRPr="00CE2804">
        <w:rPr>
          <w:rFonts w:ascii="Arial" w:hAnsi="Arial" w:cs="Arial"/>
          <w:i/>
          <w:lang w:val="en-GB"/>
        </w:rPr>
        <w:t>(a)</w:t>
      </w:r>
      <w:r w:rsidRPr="00CE2804">
        <w:rPr>
          <w:rFonts w:ascii="Arial" w:hAnsi="Arial" w:cs="Arial"/>
          <w:lang w:val="en-GB"/>
        </w:rPr>
        <w:t xml:space="preserve"> stated that: </w:t>
      </w:r>
    </w:p>
    <w:p w14:paraId="6305FF16" w14:textId="385DB8A3" w:rsidR="00472EFD" w:rsidRPr="00CE2804" w:rsidRDefault="00472EFD" w:rsidP="00CE2804">
      <w:pPr>
        <w:pStyle w:val="FootnoteText"/>
        <w:rPr>
          <w:rFonts w:ascii="Arial" w:hAnsi="Arial" w:cs="Arial"/>
        </w:rPr>
      </w:pPr>
      <w:r w:rsidRPr="00CE2804">
        <w:rPr>
          <w:rFonts w:ascii="Arial" w:hAnsi="Arial" w:cs="Arial"/>
          <w:lang w:val="en-GB"/>
        </w:rPr>
        <w:t>‘Gatherings at faith-based institutions, are permitted but limited to 50 persons or less for indoor venues and 100 persons or less for outdoor venues and if the venue is too small to hold the prescribed number of persons observing a distance of at least one and a half metres from each other, then not more than 50 percent of the capacity of the venue may be used: Provided that all health protocols and social distancing measures are adhered to as provided for in directions issued by the Cabinet member responsible for cooperative governance and traditional affairs: Provided further that there is strict adherence to the hours of curfew as provided for in regulation 33(1).’</w:t>
      </w:r>
    </w:p>
  </w:footnote>
  <w:footnote w:id="7">
    <w:p w14:paraId="1668A050" w14:textId="606E53DF"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The matter was heard on 22, 23 and 24 November 2021, and judgment was delivered on 13 December 2021.</w:t>
      </w:r>
    </w:p>
  </w:footnote>
  <w:footnote w:id="8">
    <w:p w14:paraId="5E508E8D" w14:textId="7893DF1F"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Section 16(2)</w:t>
      </w:r>
      <w:r w:rsidRPr="00CE2804">
        <w:rPr>
          <w:rFonts w:ascii="Arial" w:hAnsi="Arial" w:cs="Arial"/>
          <w:i/>
        </w:rPr>
        <w:t>(a)</w:t>
      </w:r>
      <w:r w:rsidRPr="00CE2804">
        <w:rPr>
          <w:rFonts w:ascii="Arial" w:hAnsi="Arial" w:cs="Arial"/>
        </w:rPr>
        <w:t>(</w:t>
      </w:r>
      <w:proofErr w:type="spellStart"/>
      <w:r w:rsidRPr="00CE2804">
        <w:rPr>
          <w:rFonts w:ascii="Arial" w:hAnsi="Arial" w:cs="Arial"/>
        </w:rPr>
        <w:t>i</w:t>
      </w:r>
      <w:proofErr w:type="spellEnd"/>
      <w:r w:rsidRPr="00CE2804">
        <w:rPr>
          <w:rFonts w:ascii="Arial" w:hAnsi="Arial" w:cs="Arial"/>
        </w:rPr>
        <w:t xml:space="preserve">) of the Superior Courts Act 10 of 2013; </w:t>
      </w:r>
      <w:r w:rsidRPr="00CE2804">
        <w:rPr>
          <w:rFonts w:ascii="Arial" w:hAnsi="Arial" w:cs="Arial"/>
          <w:i/>
        </w:rPr>
        <w:t xml:space="preserve">A B and Another v </w:t>
      </w:r>
      <w:proofErr w:type="spellStart"/>
      <w:r w:rsidRPr="00CE2804">
        <w:rPr>
          <w:rFonts w:ascii="Arial" w:hAnsi="Arial" w:cs="Arial"/>
          <w:i/>
        </w:rPr>
        <w:t>Pridwin</w:t>
      </w:r>
      <w:proofErr w:type="spellEnd"/>
      <w:r w:rsidRPr="00CE2804">
        <w:rPr>
          <w:rFonts w:ascii="Arial" w:hAnsi="Arial" w:cs="Arial"/>
          <w:i/>
        </w:rPr>
        <w:t xml:space="preserve"> Preparatory School and Others</w:t>
      </w:r>
      <w:r w:rsidRPr="00CE2804">
        <w:rPr>
          <w:rFonts w:ascii="Arial" w:hAnsi="Arial" w:cs="Arial"/>
        </w:rPr>
        <w:t xml:space="preserve"> [2020] ZACC 12; 2020 (9) BCLR 1029 (CC); 2020 (5) SA 327 (CC). </w:t>
      </w:r>
    </w:p>
  </w:footnote>
  <w:footnote w:id="9">
    <w:p w14:paraId="5379A597" w14:textId="5BE39EF2"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w:t>
      </w:r>
      <w:proofErr w:type="spellStart"/>
      <w:r w:rsidRPr="00CE2804">
        <w:rPr>
          <w:rFonts w:ascii="Arial" w:hAnsi="Arial" w:cs="Arial"/>
          <w:i/>
        </w:rPr>
        <w:t>Pridwin</w:t>
      </w:r>
      <w:proofErr w:type="spellEnd"/>
      <w:r w:rsidRPr="00CE2804">
        <w:rPr>
          <w:rFonts w:ascii="Arial" w:hAnsi="Arial" w:cs="Arial"/>
        </w:rPr>
        <w:t xml:space="preserve"> para 50.</w:t>
      </w:r>
    </w:p>
  </w:footnote>
  <w:footnote w:id="10">
    <w:p w14:paraId="5126ABE1" w14:textId="4875B42C" w:rsidR="00472EFD" w:rsidRPr="00CE2804" w:rsidRDefault="00472EFD" w:rsidP="00CE2804">
      <w:pPr>
        <w:pStyle w:val="FootnoteText"/>
        <w:rPr>
          <w:rFonts w:ascii="Arial" w:hAnsi="Arial" w:cs="Arial"/>
          <w:lang w:val="en-GB"/>
        </w:rPr>
      </w:pPr>
      <w:r w:rsidRPr="00CE2804">
        <w:rPr>
          <w:rStyle w:val="FootnoteReference"/>
          <w:rFonts w:ascii="Arial" w:hAnsi="Arial" w:cs="Arial"/>
        </w:rPr>
        <w:footnoteRef/>
      </w:r>
      <w:r w:rsidRPr="00CE2804">
        <w:rPr>
          <w:rFonts w:ascii="Arial" w:hAnsi="Arial" w:cs="Arial"/>
        </w:rPr>
        <w:t xml:space="preserve"> </w:t>
      </w:r>
      <w:r w:rsidRPr="00CE2804">
        <w:rPr>
          <w:rFonts w:ascii="Arial" w:hAnsi="Arial" w:cs="Arial"/>
          <w:i/>
        </w:rPr>
        <w:t xml:space="preserve">National Coalition for Gay and Lesbian Equality and Others </w:t>
      </w:r>
      <w:proofErr w:type="gramStart"/>
      <w:r w:rsidRPr="00CE2804">
        <w:rPr>
          <w:rFonts w:ascii="Arial" w:hAnsi="Arial" w:cs="Arial"/>
          <w:i/>
        </w:rPr>
        <w:t>v</w:t>
      </w:r>
      <w:proofErr w:type="gramEnd"/>
      <w:r w:rsidRPr="00CE2804">
        <w:rPr>
          <w:rFonts w:ascii="Arial" w:hAnsi="Arial" w:cs="Arial"/>
          <w:i/>
        </w:rPr>
        <w:t xml:space="preserve"> Minister of Home Affairs and Others </w:t>
      </w:r>
      <w:r w:rsidRPr="00CE2804">
        <w:rPr>
          <w:rFonts w:ascii="Arial" w:hAnsi="Arial" w:cs="Arial"/>
        </w:rPr>
        <w:t xml:space="preserve">2000 (2) SA 1 (CC); 2000 (1) BCLR 39 (CC) para 21 </w:t>
      </w:r>
      <w:proofErr w:type="spellStart"/>
      <w:r w:rsidRPr="00CE2804">
        <w:rPr>
          <w:rFonts w:ascii="Arial" w:hAnsi="Arial" w:cs="Arial"/>
        </w:rPr>
        <w:t>fn</w:t>
      </w:r>
      <w:proofErr w:type="spellEnd"/>
      <w:r w:rsidRPr="00CE2804">
        <w:rPr>
          <w:rFonts w:ascii="Arial" w:hAnsi="Arial" w:cs="Arial"/>
        </w:rPr>
        <w:t xml:space="preserve"> 18.</w:t>
      </w:r>
    </w:p>
  </w:footnote>
  <w:footnote w:id="11">
    <w:p w14:paraId="7CD2810C" w14:textId="668DE0FC"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w:t>
      </w:r>
      <w:r w:rsidRPr="00CE2804">
        <w:rPr>
          <w:rFonts w:ascii="Arial" w:hAnsi="Arial" w:cs="Arial"/>
          <w:i/>
        </w:rPr>
        <w:t>Police and Prisons Civil Rights Union v South African Correctional Services Workers' Union and Others</w:t>
      </w:r>
      <w:r w:rsidRPr="00CE2804">
        <w:rPr>
          <w:rFonts w:ascii="Arial" w:hAnsi="Arial" w:cs="Arial"/>
        </w:rPr>
        <w:t xml:space="preserve"> [2018] ZACC 24; 2018 (11) BCLR 1411 (CC); 2019 (1) SA 73 (CC) para 43. </w:t>
      </w:r>
    </w:p>
  </w:footnote>
  <w:footnote w:id="12">
    <w:p w14:paraId="37C40E2A" w14:textId="77777777"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w:t>
      </w:r>
      <w:r w:rsidRPr="00CE2804">
        <w:rPr>
          <w:rFonts w:ascii="Arial" w:hAnsi="Arial" w:cs="Arial"/>
          <w:i/>
          <w:iCs/>
        </w:rPr>
        <w:t>President of the Republic of South Africa v Democratic Alliance and Others</w:t>
      </w:r>
      <w:r w:rsidRPr="00CE2804">
        <w:rPr>
          <w:rFonts w:ascii="Arial" w:hAnsi="Arial" w:cs="Arial"/>
        </w:rPr>
        <w:t> </w:t>
      </w:r>
      <w:r w:rsidRPr="00CE2804">
        <w:rPr>
          <w:rFonts w:ascii="Arial" w:hAnsi="Arial" w:cs="Arial"/>
          <w:bCs/>
        </w:rPr>
        <w:t>[2019] ZACC 35</w:t>
      </w:r>
      <w:r w:rsidRPr="00CE2804">
        <w:rPr>
          <w:rFonts w:ascii="Arial" w:hAnsi="Arial" w:cs="Arial"/>
        </w:rPr>
        <w:t xml:space="preserve">; 2019 (11) BCLR 1403 (CC); 2020 (1) SA 428 (CC) para 35. </w:t>
      </w:r>
    </w:p>
  </w:footnote>
  <w:footnote w:id="13">
    <w:p w14:paraId="721A8FBC" w14:textId="6BFD1E0D" w:rsidR="00472EFD" w:rsidRPr="00CE2804" w:rsidRDefault="00472EFD" w:rsidP="00CE2804">
      <w:pPr>
        <w:pStyle w:val="FootnoteText"/>
        <w:rPr>
          <w:rFonts w:ascii="Arial" w:hAnsi="Arial" w:cs="Arial"/>
          <w:i/>
        </w:rPr>
      </w:pPr>
      <w:r w:rsidRPr="00CE2804">
        <w:rPr>
          <w:rStyle w:val="FootnoteReference"/>
          <w:rFonts w:ascii="Arial" w:hAnsi="Arial" w:cs="Arial"/>
        </w:rPr>
        <w:footnoteRef/>
      </w:r>
      <w:r w:rsidRPr="00CE2804">
        <w:rPr>
          <w:rFonts w:ascii="Arial" w:hAnsi="Arial" w:cs="Arial"/>
        </w:rPr>
        <w:t xml:space="preserve"> </w:t>
      </w:r>
      <w:proofErr w:type="spellStart"/>
      <w:r w:rsidRPr="00CE2804">
        <w:rPr>
          <w:rFonts w:ascii="Arial" w:hAnsi="Arial" w:cs="Arial"/>
          <w:i/>
        </w:rPr>
        <w:t>Sebola</w:t>
      </w:r>
      <w:proofErr w:type="spellEnd"/>
      <w:r w:rsidRPr="00CE2804">
        <w:rPr>
          <w:rFonts w:ascii="Arial" w:hAnsi="Arial" w:cs="Arial"/>
          <w:i/>
        </w:rPr>
        <w:t xml:space="preserve"> and Another </w:t>
      </w:r>
      <w:proofErr w:type="gramStart"/>
      <w:r w:rsidRPr="00CE2804">
        <w:rPr>
          <w:rFonts w:ascii="Arial" w:hAnsi="Arial" w:cs="Arial"/>
          <w:i/>
        </w:rPr>
        <w:t>v</w:t>
      </w:r>
      <w:proofErr w:type="gramEnd"/>
      <w:r w:rsidRPr="00CE2804">
        <w:rPr>
          <w:rFonts w:ascii="Arial" w:hAnsi="Arial" w:cs="Arial"/>
          <w:i/>
        </w:rPr>
        <w:t xml:space="preserve"> Standard Bank of South Africa Ltd and Another</w:t>
      </w:r>
      <w:r w:rsidRPr="00CE2804">
        <w:rPr>
          <w:rFonts w:ascii="Arial" w:hAnsi="Arial" w:cs="Arial"/>
        </w:rPr>
        <w:t xml:space="preserve"> [2012] ZACC 11; 2012 (5) SA 142 (CC); 2012 (8) BCLR 785 (CC) para 32.</w:t>
      </w:r>
    </w:p>
  </w:footnote>
  <w:footnote w:id="14">
    <w:p w14:paraId="09662146" w14:textId="7925CA37" w:rsidR="00472EFD" w:rsidRPr="00CE2804" w:rsidRDefault="00472EFD"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w:t>
      </w:r>
      <w:r w:rsidRPr="00CE2804">
        <w:rPr>
          <w:rFonts w:ascii="Arial" w:hAnsi="Arial" w:cs="Arial"/>
          <w:i/>
        </w:rPr>
        <w:t xml:space="preserve">Independent Electoral Commission v </w:t>
      </w:r>
      <w:proofErr w:type="spellStart"/>
      <w:r w:rsidRPr="00CE2804">
        <w:rPr>
          <w:rFonts w:ascii="Arial" w:hAnsi="Arial" w:cs="Arial"/>
          <w:i/>
        </w:rPr>
        <w:t>Langeberg</w:t>
      </w:r>
      <w:proofErr w:type="spellEnd"/>
      <w:r w:rsidRPr="00CE2804">
        <w:rPr>
          <w:rFonts w:ascii="Arial" w:hAnsi="Arial" w:cs="Arial"/>
          <w:i/>
        </w:rPr>
        <w:t xml:space="preserve"> Municipality</w:t>
      </w:r>
      <w:r w:rsidRPr="00CE2804">
        <w:rPr>
          <w:rFonts w:ascii="Arial" w:hAnsi="Arial" w:cs="Arial"/>
        </w:rPr>
        <w:t xml:space="preserve"> [2001] ZACC 23; 2001 (3) SA 925 (CC); 2001 (9) BCLR 883 (CC)</w:t>
      </w:r>
      <w:r w:rsidRPr="00CE2804">
        <w:rPr>
          <w:rFonts w:ascii="Arial" w:hAnsi="Arial" w:cs="Arial"/>
          <w:i/>
        </w:rPr>
        <w:t xml:space="preserve"> </w:t>
      </w:r>
      <w:r w:rsidRPr="00CE2804">
        <w:rPr>
          <w:rFonts w:ascii="Arial" w:hAnsi="Arial" w:cs="Arial"/>
        </w:rPr>
        <w:t xml:space="preserve">para 11. </w:t>
      </w:r>
    </w:p>
  </w:footnote>
  <w:footnote w:id="15">
    <w:p w14:paraId="16EAD72F" w14:textId="19C62F96" w:rsidR="00966BF6" w:rsidRPr="00CE2804" w:rsidRDefault="00966BF6"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w:t>
      </w:r>
      <w:r w:rsidRPr="00CE2804">
        <w:rPr>
          <w:rFonts w:ascii="Arial" w:hAnsi="Arial" w:cs="Arial"/>
          <w:i/>
        </w:rPr>
        <w:t xml:space="preserve">Centre for Child Law </w:t>
      </w:r>
      <w:proofErr w:type="gramStart"/>
      <w:r w:rsidRPr="00CE2804">
        <w:rPr>
          <w:rFonts w:ascii="Arial" w:hAnsi="Arial" w:cs="Arial"/>
          <w:i/>
        </w:rPr>
        <w:t>v</w:t>
      </w:r>
      <w:proofErr w:type="gramEnd"/>
      <w:r w:rsidRPr="00CE2804">
        <w:rPr>
          <w:rFonts w:ascii="Arial" w:hAnsi="Arial" w:cs="Arial"/>
          <w:i/>
        </w:rPr>
        <w:t xml:space="preserve"> The Governing Body of </w:t>
      </w:r>
      <w:proofErr w:type="spellStart"/>
      <w:r w:rsidRPr="00CE2804">
        <w:rPr>
          <w:rFonts w:ascii="Arial" w:hAnsi="Arial" w:cs="Arial"/>
          <w:i/>
        </w:rPr>
        <w:t>Hoërskool</w:t>
      </w:r>
      <w:proofErr w:type="spellEnd"/>
      <w:r w:rsidRPr="00CE2804">
        <w:rPr>
          <w:rFonts w:ascii="Arial" w:hAnsi="Arial" w:cs="Arial"/>
          <w:i/>
        </w:rPr>
        <w:t xml:space="preserve"> </w:t>
      </w:r>
      <w:proofErr w:type="spellStart"/>
      <w:r w:rsidRPr="00CE2804">
        <w:rPr>
          <w:rFonts w:ascii="Arial" w:hAnsi="Arial" w:cs="Arial"/>
          <w:i/>
        </w:rPr>
        <w:t>Fochville</w:t>
      </w:r>
      <w:proofErr w:type="spellEnd"/>
      <w:r w:rsidRPr="00CE2804">
        <w:rPr>
          <w:rFonts w:ascii="Arial" w:hAnsi="Arial" w:cs="Arial"/>
          <w:i/>
        </w:rPr>
        <w:t xml:space="preserve"> and Another</w:t>
      </w:r>
      <w:r w:rsidRPr="00CE2804">
        <w:rPr>
          <w:rFonts w:ascii="Arial" w:hAnsi="Arial" w:cs="Arial"/>
        </w:rPr>
        <w:t xml:space="preserve"> [2015] ZASCA 155; [2015] 4 All SA 571 (SCA); 2016 (2) SA 121 (SCA) para 14. See also </w:t>
      </w:r>
      <w:r w:rsidRPr="00CE2804">
        <w:rPr>
          <w:rFonts w:ascii="Arial" w:hAnsi="Arial" w:cs="Arial"/>
          <w:i/>
        </w:rPr>
        <w:t xml:space="preserve">MEC for Education, KwaZulu-Natal and Others v Pillay </w:t>
      </w:r>
      <w:r w:rsidRPr="00CE2804">
        <w:rPr>
          <w:rFonts w:ascii="Arial" w:hAnsi="Arial" w:cs="Arial"/>
        </w:rPr>
        <w:t>[2007] ZACC 21; 2008 (1) SA 474 (CC); 2008 (2) BCLR 99 (CC) para 32.</w:t>
      </w:r>
    </w:p>
  </w:footnote>
  <w:footnote w:id="16">
    <w:p w14:paraId="1F449469" w14:textId="00BC385E" w:rsidR="001C15AF" w:rsidRPr="00CE2804" w:rsidRDefault="001C15AF" w:rsidP="00CE2804">
      <w:pPr>
        <w:spacing w:line="240" w:lineRule="auto"/>
        <w:rPr>
          <w:rFonts w:ascii="Arial" w:hAnsi="Arial" w:cs="Arial"/>
          <w:i/>
          <w:sz w:val="20"/>
          <w:szCs w:val="20"/>
        </w:rPr>
      </w:pPr>
      <w:r w:rsidRPr="00CE2804">
        <w:rPr>
          <w:rStyle w:val="FootnoteReference"/>
          <w:rFonts w:ascii="Arial" w:hAnsi="Arial" w:cs="Arial"/>
          <w:sz w:val="20"/>
          <w:szCs w:val="20"/>
        </w:rPr>
        <w:footnoteRef/>
      </w:r>
      <w:r w:rsidRPr="00CE2804">
        <w:rPr>
          <w:rFonts w:ascii="Arial" w:hAnsi="Arial" w:cs="Arial"/>
          <w:sz w:val="20"/>
          <w:szCs w:val="20"/>
        </w:rPr>
        <w:t xml:space="preserve"> At the time of the hearing 22-24 November 2021, the following regulations were in effect (in terms of Alert Level 1 of the lockdown). Regulation 69(4) of the regulations published under Government Notice number R959 in </w:t>
      </w:r>
      <w:r w:rsidRPr="00CE2804">
        <w:rPr>
          <w:rFonts w:ascii="Arial" w:hAnsi="Arial" w:cs="Arial"/>
          <w:i/>
          <w:sz w:val="20"/>
          <w:szCs w:val="20"/>
        </w:rPr>
        <w:t>Government Gazette</w:t>
      </w:r>
      <w:r w:rsidRPr="00CE2804">
        <w:rPr>
          <w:rFonts w:ascii="Arial" w:hAnsi="Arial" w:cs="Arial"/>
          <w:sz w:val="20"/>
          <w:szCs w:val="20"/>
        </w:rPr>
        <w:t xml:space="preserve"> number 45253 of 30 September 2021. It stated: ‘All – (</w:t>
      </w:r>
      <w:proofErr w:type="spellStart"/>
      <w:r w:rsidRPr="00CE2804">
        <w:rPr>
          <w:rFonts w:ascii="Arial" w:hAnsi="Arial" w:cs="Arial"/>
          <w:sz w:val="20"/>
          <w:szCs w:val="20"/>
        </w:rPr>
        <w:t>i</w:t>
      </w:r>
      <w:proofErr w:type="spellEnd"/>
      <w:r w:rsidRPr="00CE2804">
        <w:rPr>
          <w:rFonts w:ascii="Arial" w:hAnsi="Arial" w:cs="Arial"/>
          <w:sz w:val="20"/>
          <w:szCs w:val="20"/>
        </w:rPr>
        <w:t>) faith-based or religious gatherings; and (ii) social, political and cultural gatherings; are permitted but limited to 750 persons or less for indoor venues and 2000 persons or less for outdoor venues and if the venue is too small to hold the prescribed number of persons observing a distance of at least one and a half metres from each other, then not more than 50 percent of the capacity of the venue may be used, subject to strict adherence to all health protocols and social distancing measures</w:t>
      </w:r>
      <w:r w:rsidR="00813BDC">
        <w:rPr>
          <w:rFonts w:ascii="Arial" w:hAnsi="Arial" w:cs="Arial"/>
          <w:sz w:val="20"/>
          <w:szCs w:val="20"/>
        </w:rPr>
        <w:t>’</w:t>
      </w:r>
      <w:r w:rsidRPr="00CE2804">
        <w:rPr>
          <w:rFonts w:ascii="Arial" w:hAnsi="Arial" w:cs="Arial"/>
          <w:sz w:val="20"/>
          <w:szCs w:val="20"/>
        </w:rPr>
        <w:t>.</w:t>
      </w:r>
    </w:p>
  </w:footnote>
  <w:footnote w:id="17">
    <w:p w14:paraId="3D74458E" w14:textId="77777777" w:rsidR="00813BDC" w:rsidRDefault="00492AC4" w:rsidP="00CE2804">
      <w:pPr>
        <w:spacing w:line="240" w:lineRule="auto"/>
        <w:rPr>
          <w:rFonts w:ascii="Arial" w:hAnsi="Arial" w:cs="Arial"/>
          <w:sz w:val="20"/>
          <w:szCs w:val="20"/>
        </w:rPr>
      </w:pPr>
      <w:r w:rsidRPr="00CE2804">
        <w:rPr>
          <w:rStyle w:val="FootnoteReference"/>
          <w:rFonts w:ascii="Arial" w:hAnsi="Arial" w:cs="Arial"/>
          <w:sz w:val="20"/>
          <w:szCs w:val="20"/>
        </w:rPr>
        <w:footnoteRef/>
      </w:r>
      <w:r w:rsidRPr="00CE2804">
        <w:rPr>
          <w:rFonts w:ascii="Arial" w:hAnsi="Arial" w:cs="Arial"/>
          <w:sz w:val="20"/>
          <w:szCs w:val="20"/>
        </w:rPr>
        <w:t xml:space="preserve"> </w:t>
      </w:r>
      <w:r w:rsidR="00813BDC">
        <w:rPr>
          <w:rFonts w:ascii="Arial" w:hAnsi="Arial" w:cs="Arial"/>
          <w:sz w:val="20"/>
          <w:szCs w:val="20"/>
        </w:rPr>
        <w:t>Section 38</w:t>
      </w:r>
      <w:r w:rsidR="00813BDC" w:rsidRPr="001750CB">
        <w:rPr>
          <w:rFonts w:ascii="Arial" w:hAnsi="Arial" w:cs="Arial"/>
          <w:i/>
          <w:sz w:val="20"/>
          <w:szCs w:val="20"/>
        </w:rPr>
        <w:t>(c)</w:t>
      </w:r>
      <w:r w:rsidR="00813BDC">
        <w:rPr>
          <w:rFonts w:ascii="Arial" w:hAnsi="Arial" w:cs="Arial"/>
          <w:sz w:val="20"/>
          <w:szCs w:val="20"/>
        </w:rPr>
        <w:t xml:space="preserve"> of the Constitution provides:</w:t>
      </w:r>
    </w:p>
    <w:p w14:paraId="1307C80D" w14:textId="0BA524F0" w:rsidR="007D4333" w:rsidRPr="00CE2804" w:rsidRDefault="007D4333" w:rsidP="00CE2804">
      <w:pPr>
        <w:spacing w:line="240" w:lineRule="auto"/>
        <w:rPr>
          <w:rFonts w:ascii="Arial" w:hAnsi="Arial" w:cs="Arial"/>
          <w:sz w:val="20"/>
          <w:szCs w:val="20"/>
        </w:rPr>
      </w:pPr>
      <w:r w:rsidRPr="00AF05E1">
        <w:rPr>
          <w:rFonts w:ascii="Arial" w:hAnsi="Arial" w:cs="Arial"/>
          <w:sz w:val="20"/>
          <w:szCs w:val="20"/>
        </w:rPr>
        <w:t>‘</w:t>
      </w:r>
      <w:r w:rsidRPr="00CE2804">
        <w:rPr>
          <w:rFonts w:ascii="Arial" w:hAnsi="Arial" w:cs="Arial"/>
          <w:sz w:val="20"/>
          <w:szCs w:val="20"/>
        </w:rPr>
        <w:t xml:space="preserve">Anyone listed in this section has the right to approach a competent court, alleging that a right in the Bill of Rights has been infringed or threatened, and the court may grant appropriate relief, including a declaration of rights. The persons who may approach a court are— </w:t>
      </w:r>
    </w:p>
    <w:p w14:paraId="2C925372" w14:textId="77777777" w:rsidR="007D4333" w:rsidRPr="00CE2804" w:rsidRDefault="007D4333" w:rsidP="00CE2804">
      <w:pPr>
        <w:spacing w:line="240" w:lineRule="auto"/>
        <w:rPr>
          <w:rFonts w:ascii="Arial" w:hAnsi="Arial" w:cs="Arial"/>
          <w:sz w:val="20"/>
          <w:szCs w:val="20"/>
        </w:rPr>
      </w:pPr>
      <w:r w:rsidRPr="00CE2804">
        <w:rPr>
          <w:rFonts w:ascii="Arial" w:hAnsi="Arial" w:cs="Arial"/>
          <w:sz w:val="20"/>
          <w:szCs w:val="20"/>
        </w:rPr>
        <w:t>. . .</w:t>
      </w:r>
    </w:p>
    <w:p w14:paraId="749662C8" w14:textId="5986C422" w:rsidR="00492AC4" w:rsidRPr="00CE2804" w:rsidRDefault="007D4333" w:rsidP="00CE2804">
      <w:pPr>
        <w:spacing w:line="240" w:lineRule="auto"/>
        <w:rPr>
          <w:rFonts w:ascii="Arial" w:hAnsi="Arial" w:cs="Arial"/>
          <w:sz w:val="20"/>
          <w:szCs w:val="20"/>
        </w:rPr>
      </w:pPr>
      <w:r w:rsidRPr="001750CB">
        <w:rPr>
          <w:rFonts w:ascii="Arial" w:hAnsi="Arial" w:cs="Arial"/>
          <w:i/>
          <w:sz w:val="20"/>
          <w:szCs w:val="20"/>
        </w:rPr>
        <w:t>(c)</w:t>
      </w:r>
      <w:r w:rsidRPr="00CE2804">
        <w:rPr>
          <w:rFonts w:ascii="Arial" w:hAnsi="Arial" w:cs="Arial"/>
          <w:sz w:val="20"/>
          <w:szCs w:val="20"/>
        </w:rPr>
        <w:t xml:space="preserve"> anyone acting as a member of, or in the interest of, a group or class of persons’</w:t>
      </w:r>
    </w:p>
  </w:footnote>
  <w:footnote w:id="18">
    <w:p w14:paraId="76538895" w14:textId="3A2B7F3F" w:rsidR="002D13C9" w:rsidRPr="00CE2804" w:rsidRDefault="002D13C9"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w:t>
      </w:r>
      <w:r w:rsidRPr="00CE2804">
        <w:rPr>
          <w:rFonts w:ascii="Arial" w:hAnsi="Arial" w:cs="Arial"/>
          <w:i/>
        </w:rPr>
        <w:t xml:space="preserve">Minister of Justice and Correctional Services and Others </w:t>
      </w:r>
      <w:proofErr w:type="gramStart"/>
      <w:r w:rsidRPr="00CE2804">
        <w:rPr>
          <w:rFonts w:ascii="Arial" w:hAnsi="Arial" w:cs="Arial"/>
          <w:i/>
        </w:rPr>
        <w:t>v</w:t>
      </w:r>
      <w:proofErr w:type="gramEnd"/>
      <w:r w:rsidRPr="00CE2804">
        <w:rPr>
          <w:rFonts w:ascii="Arial" w:hAnsi="Arial" w:cs="Arial"/>
          <w:i/>
        </w:rPr>
        <w:t xml:space="preserve"> Estate Late </w:t>
      </w:r>
      <w:proofErr w:type="spellStart"/>
      <w:r w:rsidRPr="00CE2804">
        <w:rPr>
          <w:rFonts w:ascii="Arial" w:hAnsi="Arial" w:cs="Arial"/>
          <w:i/>
        </w:rPr>
        <w:t>Stransham</w:t>
      </w:r>
      <w:proofErr w:type="spellEnd"/>
      <w:r w:rsidRPr="00CE2804">
        <w:rPr>
          <w:rFonts w:ascii="Arial" w:hAnsi="Arial" w:cs="Arial"/>
          <w:i/>
        </w:rPr>
        <w:t>-Ford</w:t>
      </w:r>
      <w:r w:rsidRPr="00CE2804">
        <w:rPr>
          <w:rFonts w:ascii="Arial" w:hAnsi="Arial" w:cs="Arial"/>
        </w:rPr>
        <w:t xml:space="preserve"> [2016] ZASCA 197; [2017] 1 All SA 354 (SCA); 2017 (3) BCLR 364 (SCA); 2017</w:t>
      </w:r>
      <w:r w:rsidR="00D550F0">
        <w:rPr>
          <w:rFonts w:ascii="Arial" w:hAnsi="Arial" w:cs="Arial"/>
        </w:rPr>
        <w:t xml:space="preserve"> </w:t>
      </w:r>
      <w:r w:rsidRPr="00CE2804">
        <w:rPr>
          <w:rFonts w:ascii="Arial" w:hAnsi="Arial" w:cs="Arial"/>
        </w:rPr>
        <w:t>(3) SA 152 (SCA) paras 25 and 26.</w:t>
      </w:r>
    </w:p>
  </w:footnote>
  <w:footnote w:id="19">
    <w:p w14:paraId="591E8A57" w14:textId="7AE26899" w:rsidR="004557F8" w:rsidRPr="00CE2804" w:rsidRDefault="004557F8"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w:t>
      </w:r>
      <w:r w:rsidRPr="00CE2804">
        <w:rPr>
          <w:rFonts w:ascii="Arial" w:hAnsi="Arial" w:cs="Arial"/>
          <w:i/>
        </w:rPr>
        <w:t xml:space="preserve">Minister of Tourism and Others v </w:t>
      </w:r>
      <w:proofErr w:type="spellStart"/>
      <w:r w:rsidRPr="00CE2804">
        <w:rPr>
          <w:rFonts w:ascii="Arial" w:hAnsi="Arial" w:cs="Arial"/>
          <w:i/>
        </w:rPr>
        <w:t>Afriforum</w:t>
      </w:r>
      <w:proofErr w:type="spellEnd"/>
      <w:r w:rsidRPr="00CE2804">
        <w:rPr>
          <w:rFonts w:ascii="Arial" w:hAnsi="Arial" w:cs="Arial"/>
          <w:i/>
        </w:rPr>
        <w:t xml:space="preserve"> NPC and Another</w:t>
      </w:r>
      <w:r w:rsidRPr="00CE2804">
        <w:rPr>
          <w:rFonts w:ascii="Arial" w:hAnsi="Arial" w:cs="Arial"/>
        </w:rPr>
        <w:t xml:space="preserve"> [2023] ZACC 7 (CC)</w:t>
      </w:r>
      <w:r w:rsidR="00D61F57" w:rsidRPr="00CE2804">
        <w:rPr>
          <w:rFonts w:ascii="Arial" w:hAnsi="Arial" w:cs="Arial"/>
        </w:rPr>
        <w:t xml:space="preserve"> para 23.</w:t>
      </w:r>
    </w:p>
  </w:footnote>
  <w:footnote w:id="20">
    <w:p w14:paraId="65A7160B" w14:textId="61568C8C" w:rsidR="004D5A38" w:rsidRPr="00CE2804" w:rsidRDefault="004D5A38" w:rsidP="00CE2804">
      <w:pPr>
        <w:pStyle w:val="FootnoteText"/>
        <w:rPr>
          <w:rFonts w:ascii="Arial" w:hAnsi="Arial" w:cs="Arial"/>
        </w:rPr>
      </w:pPr>
      <w:r w:rsidRPr="00CE2804">
        <w:rPr>
          <w:rStyle w:val="FootnoteReference"/>
          <w:rFonts w:ascii="Arial" w:hAnsi="Arial" w:cs="Arial"/>
        </w:rPr>
        <w:footnoteRef/>
      </w:r>
      <w:r w:rsidRPr="00CE2804">
        <w:rPr>
          <w:rFonts w:ascii="Arial" w:hAnsi="Arial" w:cs="Arial"/>
        </w:rPr>
        <w:t xml:space="preserve"> </w:t>
      </w:r>
      <w:proofErr w:type="spellStart"/>
      <w:r w:rsidRPr="00CE2804">
        <w:rPr>
          <w:rFonts w:ascii="Arial" w:hAnsi="Arial" w:cs="Arial"/>
          <w:i/>
          <w:lang w:val="en-GB"/>
        </w:rPr>
        <w:t>Biowatch</w:t>
      </w:r>
      <w:proofErr w:type="spellEnd"/>
      <w:r w:rsidRPr="00CE2804">
        <w:rPr>
          <w:rFonts w:ascii="Arial" w:hAnsi="Arial" w:cs="Arial"/>
          <w:i/>
          <w:lang w:val="en-GB"/>
        </w:rPr>
        <w:t xml:space="preserve"> Trust </w:t>
      </w:r>
      <w:proofErr w:type="gramStart"/>
      <w:r w:rsidRPr="00CE2804">
        <w:rPr>
          <w:rFonts w:ascii="Arial" w:hAnsi="Arial" w:cs="Arial"/>
          <w:i/>
          <w:lang w:val="en-GB"/>
        </w:rPr>
        <w:t>v</w:t>
      </w:r>
      <w:proofErr w:type="gramEnd"/>
      <w:r w:rsidRPr="00CE2804">
        <w:rPr>
          <w:rFonts w:ascii="Arial" w:hAnsi="Arial" w:cs="Arial"/>
          <w:i/>
          <w:lang w:val="en-GB"/>
        </w:rPr>
        <w:t xml:space="preserve"> Registrar, Genetic Resources and Others </w:t>
      </w:r>
      <w:r w:rsidRPr="00CE2804">
        <w:rPr>
          <w:rFonts w:ascii="Arial" w:hAnsi="Arial" w:cs="Arial"/>
          <w:lang w:val="en-GB"/>
        </w:rPr>
        <w:t>[2009] ZACC 14; 2009 (6) SA 232 (CC); 2009 (10) BCLR 1014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3ED5" w14:textId="003D24A2" w:rsidR="00472EFD" w:rsidRPr="009305CD" w:rsidRDefault="00472EFD">
    <w:pPr>
      <w:pBdr>
        <w:top w:val="nil"/>
        <w:left w:val="nil"/>
        <w:bottom w:val="nil"/>
        <w:right w:val="nil"/>
        <w:between w:val="nil"/>
      </w:pBdr>
      <w:tabs>
        <w:tab w:val="center" w:pos="4513"/>
        <w:tab w:val="right" w:pos="9026"/>
      </w:tabs>
      <w:jc w:val="right"/>
      <w:rPr>
        <w:rFonts w:ascii="Arial" w:hAnsi="Arial" w:cs="Arial"/>
        <w:color w:val="000000"/>
      </w:rPr>
    </w:pPr>
    <w:r w:rsidRPr="009305CD">
      <w:rPr>
        <w:rFonts w:ascii="Arial" w:hAnsi="Arial" w:cs="Arial"/>
        <w:color w:val="000000"/>
      </w:rPr>
      <w:fldChar w:fldCharType="begin"/>
    </w:r>
    <w:r w:rsidRPr="009305CD">
      <w:rPr>
        <w:rFonts w:ascii="Arial" w:hAnsi="Arial" w:cs="Arial"/>
        <w:color w:val="000000"/>
      </w:rPr>
      <w:instrText>PAGE</w:instrText>
    </w:r>
    <w:r w:rsidRPr="009305CD">
      <w:rPr>
        <w:rFonts w:ascii="Arial" w:hAnsi="Arial" w:cs="Arial"/>
        <w:color w:val="000000"/>
      </w:rPr>
      <w:fldChar w:fldCharType="separate"/>
    </w:r>
    <w:r w:rsidR="00460B05">
      <w:rPr>
        <w:rFonts w:ascii="Arial" w:hAnsi="Arial" w:cs="Arial"/>
        <w:noProof/>
        <w:color w:val="000000"/>
      </w:rPr>
      <w:t>11</w:t>
    </w:r>
    <w:r w:rsidRPr="009305CD">
      <w:rPr>
        <w:rFonts w:ascii="Arial" w:hAnsi="Arial" w:cs="Arial"/>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7CFA0548"/>
    <w:lvl w:ilvl="0" w:tplc="4A448992">
      <w:start w:val="1"/>
      <w:numFmt w:val="decimal"/>
      <w:lvlText w:val="[%1]"/>
      <w:lvlJc w:val="left"/>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D2A1B15"/>
    <w:multiLevelType w:val="hybridMultilevel"/>
    <w:tmpl w:val="35185834"/>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395FED"/>
    <w:multiLevelType w:val="hybridMultilevel"/>
    <w:tmpl w:val="1C820CE0"/>
    <w:lvl w:ilvl="0" w:tplc="64523D1C">
      <w:start w:val="1"/>
      <w:numFmt w:val="decimal"/>
      <w:lvlText w:val="[%1]"/>
      <w:lvlJc w:val="left"/>
      <w:pPr>
        <w:ind w:left="720" w:hanging="360"/>
      </w:pPr>
      <w:rPr>
        <w:rFonts w:ascii="Arial" w:hAnsi="Arial" w:cs="Arial" w:hint="default"/>
        <w:b w:val="0"/>
        <w:i w:val="0"/>
        <w:strike w:val="0"/>
        <w:color w:val="auto"/>
        <w:sz w:val="24"/>
        <w:szCs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46C6DD1"/>
    <w:multiLevelType w:val="hybridMultilevel"/>
    <w:tmpl w:val="6A1AD7E6"/>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5"/>
    <w:rsid w:val="0000455C"/>
    <w:rsid w:val="00005B5E"/>
    <w:rsid w:val="0000751D"/>
    <w:rsid w:val="0001374E"/>
    <w:rsid w:val="00016460"/>
    <w:rsid w:val="00025122"/>
    <w:rsid w:val="00055C92"/>
    <w:rsid w:val="000563B6"/>
    <w:rsid w:val="00061DD8"/>
    <w:rsid w:val="000756B5"/>
    <w:rsid w:val="0009467D"/>
    <w:rsid w:val="00094927"/>
    <w:rsid w:val="000A2797"/>
    <w:rsid w:val="000A41EC"/>
    <w:rsid w:val="000B00C2"/>
    <w:rsid w:val="000B63BB"/>
    <w:rsid w:val="000C554A"/>
    <w:rsid w:val="000C63CA"/>
    <w:rsid w:val="000D28F5"/>
    <w:rsid w:val="000D3104"/>
    <w:rsid w:val="000D559D"/>
    <w:rsid w:val="000F3B49"/>
    <w:rsid w:val="000F6371"/>
    <w:rsid w:val="00103BBD"/>
    <w:rsid w:val="001100AF"/>
    <w:rsid w:val="00111BB6"/>
    <w:rsid w:val="00117283"/>
    <w:rsid w:val="00121D54"/>
    <w:rsid w:val="00126AC6"/>
    <w:rsid w:val="00132C9A"/>
    <w:rsid w:val="00133111"/>
    <w:rsid w:val="0014052E"/>
    <w:rsid w:val="001410C8"/>
    <w:rsid w:val="001433AF"/>
    <w:rsid w:val="00146931"/>
    <w:rsid w:val="00152DB7"/>
    <w:rsid w:val="00154E3D"/>
    <w:rsid w:val="0015706C"/>
    <w:rsid w:val="00162904"/>
    <w:rsid w:val="00162B5E"/>
    <w:rsid w:val="001750CB"/>
    <w:rsid w:val="00176E14"/>
    <w:rsid w:val="0018775D"/>
    <w:rsid w:val="001A198E"/>
    <w:rsid w:val="001A3B93"/>
    <w:rsid w:val="001A6F13"/>
    <w:rsid w:val="001B058D"/>
    <w:rsid w:val="001C15AF"/>
    <w:rsid w:val="001C16C5"/>
    <w:rsid w:val="001D0222"/>
    <w:rsid w:val="001D095C"/>
    <w:rsid w:val="001E0911"/>
    <w:rsid w:val="001F5DA6"/>
    <w:rsid w:val="00201652"/>
    <w:rsid w:val="002043FB"/>
    <w:rsid w:val="00205904"/>
    <w:rsid w:val="0022709D"/>
    <w:rsid w:val="00230F28"/>
    <w:rsid w:val="00232766"/>
    <w:rsid w:val="00236B0F"/>
    <w:rsid w:val="002459AC"/>
    <w:rsid w:val="002529F9"/>
    <w:rsid w:val="0026462C"/>
    <w:rsid w:val="0027473E"/>
    <w:rsid w:val="00296B94"/>
    <w:rsid w:val="002A5C8A"/>
    <w:rsid w:val="002A7DD9"/>
    <w:rsid w:val="002B28CE"/>
    <w:rsid w:val="002B3CD1"/>
    <w:rsid w:val="002B491B"/>
    <w:rsid w:val="002D0FBC"/>
    <w:rsid w:val="002D13C9"/>
    <w:rsid w:val="002E28EB"/>
    <w:rsid w:val="002F2622"/>
    <w:rsid w:val="002F4537"/>
    <w:rsid w:val="0030235B"/>
    <w:rsid w:val="003115DE"/>
    <w:rsid w:val="003141D3"/>
    <w:rsid w:val="003158D9"/>
    <w:rsid w:val="0033512F"/>
    <w:rsid w:val="003408B4"/>
    <w:rsid w:val="00342B32"/>
    <w:rsid w:val="00354B39"/>
    <w:rsid w:val="003569B4"/>
    <w:rsid w:val="00372780"/>
    <w:rsid w:val="003862BA"/>
    <w:rsid w:val="003975F1"/>
    <w:rsid w:val="003A4AAE"/>
    <w:rsid w:val="003A5E11"/>
    <w:rsid w:val="003B2CD0"/>
    <w:rsid w:val="003C4780"/>
    <w:rsid w:val="003C66B6"/>
    <w:rsid w:val="003E2740"/>
    <w:rsid w:val="00403996"/>
    <w:rsid w:val="00450D00"/>
    <w:rsid w:val="004557F8"/>
    <w:rsid w:val="00460B05"/>
    <w:rsid w:val="0047099D"/>
    <w:rsid w:val="00472EFD"/>
    <w:rsid w:val="0047565C"/>
    <w:rsid w:val="00487792"/>
    <w:rsid w:val="00492AC4"/>
    <w:rsid w:val="00495289"/>
    <w:rsid w:val="004A5995"/>
    <w:rsid w:val="004A6C89"/>
    <w:rsid w:val="004B509D"/>
    <w:rsid w:val="004C793C"/>
    <w:rsid w:val="004D5038"/>
    <w:rsid w:val="004D5A38"/>
    <w:rsid w:val="004F1223"/>
    <w:rsid w:val="00502046"/>
    <w:rsid w:val="00505D03"/>
    <w:rsid w:val="00506411"/>
    <w:rsid w:val="0051032C"/>
    <w:rsid w:val="0052185A"/>
    <w:rsid w:val="00525018"/>
    <w:rsid w:val="00561BA0"/>
    <w:rsid w:val="00563B5E"/>
    <w:rsid w:val="00576F74"/>
    <w:rsid w:val="00587DD4"/>
    <w:rsid w:val="00591BAD"/>
    <w:rsid w:val="005A325F"/>
    <w:rsid w:val="005D7481"/>
    <w:rsid w:val="005D7D70"/>
    <w:rsid w:val="005E11AB"/>
    <w:rsid w:val="005E293E"/>
    <w:rsid w:val="005E5B37"/>
    <w:rsid w:val="005E614E"/>
    <w:rsid w:val="005E6954"/>
    <w:rsid w:val="005E71AE"/>
    <w:rsid w:val="005F0E50"/>
    <w:rsid w:val="005F5019"/>
    <w:rsid w:val="005F6120"/>
    <w:rsid w:val="005F6700"/>
    <w:rsid w:val="006006BF"/>
    <w:rsid w:val="0060223D"/>
    <w:rsid w:val="00616668"/>
    <w:rsid w:val="00630B5F"/>
    <w:rsid w:val="006461B9"/>
    <w:rsid w:val="006530A5"/>
    <w:rsid w:val="00657EF2"/>
    <w:rsid w:val="006630AC"/>
    <w:rsid w:val="0066747F"/>
    <w:rsid w:val="00684830"/>
    <w:rsid w:val="00692C96"/>
    <w:rsid w:val="006A0522"/>
    <w:rsid w:val="006A0D77"/>
    <w:rsid w:val="006C313D"/>
    <w:rsid w:val="006C703D"/>
    <w:rsid w:val="006D2A1E"/>
    <w:rsid w:val="006E0C9F"/>
    <w:rsid w:val="006E1D39"/>
    <w:rsid w:val="006E3D8B"/>
    <w:rsid w:val="006E5C16"/>
    <w:rsid w:val="006E799C"/>
    <w:rsid w:val="006F0C31"/>
    <w:rsid w:val="006F236E"/>
    <w:rsid w:val="006F4CFE"/>
    <w:rsid w:val="0070015A"/>
    <w:rsid w:val="0071121C"/>
    <w:rsid w:val="00716891"/>
    <w:rsid w:val="00724220"/>
    <w:rsid w:val="00726D17"/>
    <w:rsid w:val="00747A77"/>
    <w:rsid w:val="00750C2C"/>
    <w:rsid w:val="0076487C"/>
    <w:rsid w:val="00776D73"/>
    <w:rsid w:val="00787B5D"/>
    <w:rsid w:val="007A1BB0"/>
    <w:rsid w:val="007B076E"/>
    <w:rsid w:val="007B0DE4"/>
    <w:rsid w:val="007B5A5A"/>
    <w:rsid w:val="007B684A"/>
    <w:rsid w:val="007B68EE"/>
    <w:rsid w:val="007C17B3"/>
    <w:rsid w:val="007C1C2F"/>
    <w:rsid w:val="007D3E7E"/>
    <w:rsid w:val="007D4333"/>
    <w:rsid w:val="007D6B3D"/>
    <w:rsid w:val="00812264"/>
    <w:rsid w:val="00812BA2"/>
    <w:rsid w:val="00813BDC"/>
    <w:rsid w:val="00821960"/>
    <w:rsid w:val="00832962"/>
    <w:rsid w:val="008356B0"/>
    <w:rsid w:val="008362F0"/>
    <w:rsid w:val="008440C6"/>
    <w:rsid w:val="008445EC"/>
    <w:rsid w:val="00874923"/>
    <w:rsid w:val="00883907"/>
    <w:rsid w:val="008A5BD3"/>
    <w:rsid w:val="008B24F2"/>
    <w:rsid w:val="008C3A6D"/>
    <w:rsid w:val="008D18BD"/>
    <w:rsid w:val="008F03F4"/>
    <w:rsid w:val="008F1BA3"/>
    <w:rsid w:val="009032D3"/>
    <w:rsid w:val="009102FE"/>
    <w:rsid w:val="00916BF5"/>
    <w:rsid w:val="00924125"/>
    <w:rsid w:val="00927AC3"/>
    <w:rsid w:val="009305CD"/>
    <w:rsid w:val="00930DA9"/>
    <w:rsid w:val="009469FF"/>
    <w:rsid w:val="00952B81"/>
    <w:rsid w:val="009535A3"/>
    <w:rsid w:val="00955825"/>
    <w:rsid w:val="009577E1"/>
    <w:rsid w:val="00960886"/>
    <w:rsid w:val="00966BB3"/>
    <w:rsid w:val="00966BF6"/>
    <w:rsid w:val="00974EB6"/>
    <w:rsid w:val="00975466"/>
    <w:rsid w:val="00981226"/>
    <w:rsid w:val="00985B40"/>
    <w:rsid w:val="00987107"/>
    <w:rsid w:val="00987E21"/>
    <w:rsid w:val="00991662"/>
    <w:rsid w:val="00992725"/>
    <w:rsid w:val="0099484A"/>
    <w:rsid w:val="009A53CF"/>
    <w:rsid w:val="009A5F60"/>
    <w:rsid w:val="009B683D"/>
    <w:rsid w:val="009E26E4"/>
    <w:rsid w:val="009F6EA1"/>
    <w:rsid w:val="00A1212F"/>
    <w:rsid w:val="00A14659"/>
    <w:rsid w:val="00A532C1"/>
    <w:rsid w:val="00A557F5"/>
    <w:rsid w:val="00A702F2"/>
    <w:rsid w:val="00A7151D"/>
    <w:rsid w:val="00A87BB2"/>
    <w:rsid w:val="00AA201E"/>
    <w:rsid w:val="00AA2FD7"/>
    <w:rsid w:val="00AA61EE"/>
    <w:rsid w:val="00AD0224"/>
    <w:rsid w:val="00AD1EC0"/>
    <w:rsid w:val="00AE0411"/>
    <w:rsid w:val="00AE2D2E"/>
    <w:rsid w:val="00AF05E1"/>
    <w:rsid w:val="00AF7F8F"/>
    <w:rsid w:val="00B01C71"/>
    <w:rsid w:val="00B11913"/>
    <w:rsid w:val="00B13669"/>
    <w:rsid w:val="00B237E8"/>
    <w:rsid w:val="00B23CF1"/>
    <w:rsid w:val="00B35423"/>
    <w:rsid w:val="00B36B33"/>
    <w:rsid w:val="00B41C39"/>
    <w:rsid w:val="00B47B44"/>
    <w:rsid w:val="00B54133"/>
    <w:rsid w:val="00B578AB"/>
    <w:rsid w:val="00B763B2"/>
    <w:rsid w:val="00B82DBA"/>
    <w:rsid w:val="00B8422B"/>
    <w:rsid w:val="00B85B64"/>
    <w:rsid w:val="00BD7AC3"/>
    <w:rsid w:val="00BE0C22"/>
    <w:rsid w:val="00BE31DA"/>
    <w:rsid w:val="00BF6F00"/>
    <w:rsid w:val="00C01CA5"/>
    <w:rsid w:val="00C27406"/>
    <w:rsid w:val="00C42AC5"/>
    <w:rsid w:val="00C5426E"/>
    <w:rsid w:val="00C72209"/>
    <w:rsid w:val="00C82B0C"/>
    <w:rsid w:val="00C86BAC"/>
    <w:rsid w:val="00C91925"/>
    <w:rsid w:val="00C97B0A"/>
    <w:rsid w:val="00CB74D3"/>
    <w:rsid w:val="00CD5320"/>
    <w:rsid w:val="00CE2804"/>
    <w:rsid w:val="00CE3E4E"/>
    <w:rsid w:val="00CE655A"/>
    <w:rsid w:val="00CF294D"/>
    <w:rsid w:val="00D04C88"/>
    <w:rsid w:val="00D10226"/>
    <w:rsid w:val="00D335BD"/>
    <w:rsid w:val="00D36061"/>
    <w:rsid w:val="00D36379"/>
    <w:rsid w:val="00D42D04"/>
    <w:rsid w:val="00D530AB"/>
    <w:rsid w:val="00D550F0"/>
    <w:rsid w:val="00D61F57"/>
    <w:rsid w:val="00D81EDB"/>
    <w:rsid w:val="00D832EF"/>
    <w:rsid w:val="00D835B6"/>
    <w:rsid w:val="00D966CD"/>
    <w:rsid w:val="00DA2638"/>
    <w:rsid w:val="00DA2F61"/>
    <w:rsid w:val="00DA3B66"/>
    <w:rsid w:val="00DA6164"/>
    <w:rsid w:val="00DC6A52"/>
    <w:rsid w:val="00DF1ED8"/>
    <w:rsid w:val="00DF25D4"/>
    <w:rsid w:val="00E023E3"/>
    <w:rsid w:val="00E1635D"/>
    <w:rsid w:val="00E17155"/>
    <w:rsid w:val="00E27A7C"/>
    <w:rsid w:val="00E50A40"/>
    <w:rsid w:val="00E6762B"/>
    <w:rsid w:val="00E74183"/>
    <w:rsid w:val="00EA12AB"/>
    <w:rsid w:val="00ED0EE8"/>
    <w:rsid w:val="00ED7298"/>
    <w:rsid w:val="00EF68DC"/>
    <w:rsid w:val="00F02953"/>
    <w:rsid w:val="00F02EF8"/>
    <w:rsid w:val="00F05314"/>
    <w:rsid w:val="00F06710"/>
    <w:rsid w:val="00F15491"/>
    <w:rsid w:val="00F24B9D"/>
    <w:rsid w:val="00F2739F"/>
    <w:rsid w:val="00F3433C"/>
    <w:rsid w:val="00F445E9"/>
    <w:rsid w:val="00F5089B"/>
    <w:rsid w:val="00F54D7E"/>
    <w:rsid w:val="00F55F22"/>
    <w:rsid w:val="00F60796"/>
    <w:rsid w:val="00F64948"/>
    <w:rsid w:val="00F65E5F"/>
    <w:rsid w:val="00F72BF1"/>
    <w:rsid w:val="00F72F72"/>
    <w:rsid w:val="00F877C0"/>
    <w:rsid w:val="00F92036"/>
    <w:rsid w:val="00F9789F"/>
    <w:rsid w:val="00FC5CE0"/>
    <w:rsid w:val="00FC655A"/>
    <w:rsid w:val="00FC6ACB"/>
    <w:rsid w:val="00FD107F"/>
    <w:rsid w:val="00FE29FF"/>
    <w:rsid w:val="00FE61E4"/>
    <w:rsid w:val="00FF293C"/>
    <w:rsid w:val="00FF4E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C797"/>
  <w15:docId w15:val="{BF91DFC0-3E9F-4FD7-A869-998006A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6C89"/>
    <w:pPr>
      <w:spacing w:line="240" w:lineRule="auto"/>
      <w:jc w:val="left"/>
    </w:p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semiHidden/>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semiHidden/>
    <w:rsid w:val="004A6C89"/>
    <w:rPr>
      <w:sz w:val="20"/>
      <w:szCs w:val="20"/>
    </w:rPr>
  </w:style>
  <w:style w:type="paragraph" w:styleId="CommentSubject">
    <w:name w:val="annotation subject"/>
    <w:basedOn w:val="CommentText"/>
    <w:next w:val="CommentText"/>
    <w:link w:val="CommentSubjectChar"/>
    <w:uiPriority w:val="99"/>
    <w:semiHidden/>
    <w:unhideWhenUsed/>
    <w:rsid w:val="004A6C89"/>
    <w:rPr>
      <w:b/>
      <w:bCs/>
    </w:rPr>
  </w:style>
  <w:style w:type="character" w:customStyle="1" w:styleId="CommentSubjectChar">
    <w:name w:val="Comment Subject Char"/>
    <w:basedOn w:val="CommentTextChar"/>
    <w:link w:val="CommentSubject"/>
    <w:uiPriority w:val="99"/>
    <w:semiHidden/>
    <w:rsid w:val="004A6C89"/>
    <w:rPr>
      <w:b/>
      <w:bCs/>
      <w:sz w:val="20"/>
      <w:szCs w:val="20"/>
    </w:rPr>
  </w:style>
  <w:style w:type="paragraph" w:styleId="BalloonText">
    <w:name w:val="Balloon Text"/>
    <w:basedOn w:val="Normal"/>
    <w:link w:val="BalloonTextChar"/>
    <w:uiPriority w:val="99"/>
    <w:semiHidden/>
    <w:unhideWhenUsed/>
    <w:rsid w:val="0060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 w:type="paragraph" w:styleId="FootnoteText">
    <w:name w:val="footnote text"/>
    <w:basedOn w:val="Normal"/>
    <w:link w:val="FootnoteTextChar"/>
    <w:uiPriority w:val="99"/>
    <w:unhideWhenUsed/>
    <w:rsid w:val="00D832EF"/>
    <w:pPr>
      <w:spacing w:line="240" w:lineRule="auto"/>
    </w:pPr>
    <w:rPr>
      <w:rFonts w:asciiTheme="minorHAnsi" w:eastAsiaTheme="minorHAnsi" w:hAnsiTheme="minorHAnsi" w:cstheme="minorBidi"/>
      <w:sz w:val="20"/>
      <w:szCs w:val="20"/>
      <w:lang w:val="en-ZA" w:eastAsia="en-US"/>
    </w:rPr>
  </w:style>
  <w:style w:type="character" w:customStyle="1" w:styleId="FootnoteTextChar">
    <w:name w:val="Footnote Text Char"/>
    <w:basedOn w:val="DefaultParagraphFont"/>
    <w:link w:val="FootnoteText"/>
    <w:uiPriority w:val="99"/>
    <w:rsid w:val="00D832EF"/>
    <w:rPr>
      <w:rFonts w:asciiTheme="minorHAnsi" w:eastAsiaTheme="minorHAnsi" w:hAnsiTheme="minorHAnsi" w:cstheme="minorBidi"/>
      <w:sz w:val="20"/>
      <w:szCs w:val="20"/>
      <w:lang w:val="en-ZA" w:eastAsia="en-US"/>
    </w:rPr>
  </w:style>
  <w:style w:type="character" w:styleId="FootnoteReference">
    <w:name w:val="footnote reference"/>
    <w:basedOn w:val="DefaultParagraphFont"/>
    <w:uiPriority w:val="99"/>
    <w:unhideWhenUsed/>
    <w:rsid w:val="00D832EF"/>
    <w:rPr>
      <w:vertAlign w:val="superscript"/>
    </w:rPr>
  </w:style>
  <w:style w:type="paragraph" w:customStyle="1" w:styleId="Default">
    <w:name w:val="Default"/>
    <w:rsid w:val="00D832EF"/>
    <w:pPr>
      <w:autoSpaceDE w:val="0"/>
      <w:autoSpaceDN w:val="0"/>
      <w:adjustRightInd w:val="0"/>
      <w:spacing w:line="240" w:lineRule="auto"/>
      <w:jc w:val="left"/>
    </w:pPr>
    <w:rPr>
      <w:rFonts w:eastAsiaTheme="minorHAnsi"/>
      <w:color w:val="000000"/>
      <w:lang w:val="en-ZA" w:eastAsia="en-US"/>
    </w:rPr>
  </w:style>
  <w:style w:type="character" w:styleId="Hyperlink">
    <w:name w:val="Hyperlink"/>
    <w:basedOn w:val="DefaultParagraphFont"/>
    <w:uiPriority w:val="99"/>
    <w:unhideWhenUsed/>
    <w:rsid w:val="00D832EF"/>
    <w:rPr>
      <w:color w:val="0000FF"/>
      <w:u w:val="single"/>
    </w:rPr>
  </w:style>
  <w:style w:type="paragraph" w:styleId="NoSpacing">
    <w:name w:val="No Spacing"/>
    <w:uiPriority w:val="1"/>
    <w:qFormat/>
    <w:rsid w:val="00D832EF"/>
    <w:pPr>
      <w:spacing w:line="240" w:lineRule="auto"/>
    </w:pPr>
  </w:style>
  <w:style w:type="paragraph" w:styleId="ListParagraph">
    <w:name w:val="List Paragraph"/>
    <w:basedOn w:val="Normal"/>
    <w:uiPriority w:val="34"/>
    <w:qFormat/>
    <w:rsid w:val="00061DD8"/>
    <w:pPr>
      <w:spacing w:line="480" w:lineRule="auto"/>
      <w:ind w:left="720"/>
      <w:contextualSpacing/>
    </w:pPr>
    <w:rPr>
      <w:sz w:val="28"/>
      <w:szCs w:val="28"/>
      <w:lang w:eastAsia="en-US"/>
    </w:rPr>
  </w:style>
  <w:style w:type="paragraph" w:styleId="Header">
    <w:name w:val="header"/>
    <w:basedOn w:val="Normal"/>
    <w:link w:val="HeaderChar"/>
    <w:uiPriority w:val="99"/>
    <w:unhideWhenUsed/>
    <w:rsid w:val="009305CD"/>
    <w:pPr>
      <w:tabs>
        <w:tab w:val="center" w:pos="4513"/>
        <w:tab w:val="right" w:pos="9026"/>
      </w:tabs>
      <w:spacing w:line="240" w:lineRule="auto"/>
    </w:pPr>
  </w:style>
  <w:style w:type="character" w:customStyle="1" w:styleId="HeaderChar">
    <w:name w:val="Header Char"/>
    <w:basedOn w:val="DefaultParagraphFont"/>
    <w:link w:val="Header"/>
    <w:uiPriority w:val="99"/>
    <w:rsid w:val="009305CD"/>
  </w:style>
  <w:style w:type="paragraph" w:styleId="Footer">
    <w:name w:val="footer"/>
    <w:basedOn w:val="Normal"/>
    <w:link w:val="FooterChar"/>
    <w:uiPriority w:val="99"/>
    <w:unhideWhenUsed/>
    <w:rsid w:val="009305CD"/>
    <w:pPr>
      <w:tabs>
        <w:tab w:val="center" w:pos="4513"/>
        <w:tab w:val="right" w:pos="9026"/>
      </w:tabs>
      <w:spacing w:line="240" w:lineRule="auto"/>
    </w:pPr>
  </w:style>
  <w:style w:type="character" w:customStyle="1" w:styleId="FooterChar">
    <w:name w:val="Footer Char"/>
    <w:basedOn w:val="DefaultParagraphFont"/>
    <w:link w:val="Footer"/>
    <w:uiPriority w:val="99"/>
    <w:rsid w:val="0093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5976">
      <w:bodyDiv w:val="1"/>
      <w:marLeft w:val="0"/>
      <w:marRight w:val="0"/>
      <w:marTop w:val="0"/>
      <w:marBottom w:val="0"/>
      <w:divBdr>
        <w:top w:val="none" w:sz="0" w:space="0" w:color="auto"/>
        <w:left w:val="none" w:sz="0" w:space="0" w:color="auto"/>
        <w:bottom w:val="none" w:sz="0" w:space="0" w:color="auto"/>
        <w:right w:val="none" w:sz="0" w:space="0" w:color="auto"/>
      </w:divBdr>
    </w:div>
    <w:div w:id="648897388">
      <w:bodyDiv w:val="1"/>
      <w:marLeft w:val="0"/>
      <w:marRight w:val="0"/>
      <w:marTop w:val="0"/>
      <w:marBottom w:val="0"/>
      <w:divBdr>
        <w:top w:val="none" w:sz="0" w:space="0" w:color="auto"/>
        <w:left w:val="none" w:sz="0" w:space="0" w:color="auto"/>
        <w:bottom w:val="none" w:sz="0" w:space="0" w:color="auto"/>
        <w:right w:val="none" w:sz="0" w:space="0" w:color="auto"/>
      </w:divBdr>
    </w:div>
    <w:div w:id="698044163">
      <w:bodyDiv w:val="1"/>
      <w:marLeft w:val="0"/>
      <w:marRight w:val="0"/>
      <w:marTop w:val="0"/>
      <w:marBottom w:val="0"/>
      <w:divBdr>
        <w:top w:val="none" w:sz="0" w:space="0" w:color="auto"/>
        <w:left w:val="none" w:sz="0" w:space="0" w:color="auto"/>
        <w:bottom w:val="none" w:sz="0" w:space="0" w:color="auto"/>
        <w:right w:val="none" w:sz="0" w:space="0" w:color="auto"/>
      </w:divBdr>
    </w:div>
    <w:div w:id="698899529">
      <w:bodyDiv w:val="1"/>
      <w:marLeft w:val="0"/>
      <w:marRight w:val="0"/>
      <w:marTop w:val="0"/>
      <w:marBottom w:val="0"/>
      <w:divBdr>
        <w:top w:val="none" w:sz="0" w:space="0" w:color="auto"/>
        <w:left w:val="none" w:sz="0" w:space="0" w:color="auto"/>
        <w:bottom w:val="none" w:sz="0" w:space="0" w:color="auto"/>
        <w:right w:val="none" w:sz="0" w:space="0" w:color="auto"/>
      </w:divBdr>
    </w:div>
    <w:div w:id="1119757350">
      <w:bodyDiv w:val="1"/>
      <w:marLeft w:val="0"/>
      <w:marRight w:val="0"/>
      <w:marTop w:val="0"/>
      <w:marBottom w:val="0"/>
      <w:divBdr>
        <w:top w:val="none" w:sz="0" w:space="0" w:color="auto"/>
        <w:left w:val="none" w:sz="0" w:space="0" w:color="auto"/>
        <w:bottom w:val="none" w:sz="0" w:space="0" w:color="auto"/>
        <w:right w:val="none" w:sz="0" w:space="0" w:color="auto"/>
      </w:divBdr>
    </w:div>
    <w:div w:id="188482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1570-61D3-45F7-BFB5-17DC72E6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Nko</dc:creator>
  <cp:lastModifiedBy>Mary Bruce</cp:lastModifiedBy>
  <cp:revision>3</cp:revision>
  <cp:lastPrinted>2023-03-20T10:29:00Z</cp:lastPrinted>
  <dcterms:created xsi:type="dcterms:W3CDTF">2023-03-30T07:01:00Z</dcterms:created>
  <dcterms:modified xsi:type="dcterms:W3CDTF">2023-03-31T15:02:00Z</dcterms:modified>
</cp:coreProperties>
</file>