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8F9" w:rsidRPr="00A678F9" w:rsidRDefault="00A678F9" w:rsidP="00A678F9">
      <w:pPr>
        <w:widowControl/>
        <w:autoSpaceDE/>
        <w:autoSpaceDN/>
        <w:spacing w:line="360" w:lineRule="auto"/>
        <w:jc w:val="center"/>
        <w:rPr>
          <w:b/>
          <w:sz w:val="28"/>
          <w:szCs w:val="28"/>
          <w:lang w:val="en-GB" w:eastAsia="en-ZA"/>
        </w:rPr>
      </w:pPr>
      <w:bookmarkStart w:id="0" w:name="_GoBack"/>
      <w:bookmarkEnd w:id="0"/>
    </w:p>
    <w:p w:rsidR="00A678F9" w:rsidRPr="00A678F9" w:rsidRDefault="00A678F9" w:rsidP="00A678F9">
      <w:pPr>
        <w:widowControl/>
        <w:autoSpaceDE/>
        <w:autoSpaceDN/>
        <w:spacing w:line="360" w:lineRule="auto"/>
        <w:jc w:val="center"/>
        <w:rPr>
          <w:b/>
          <w:sz w:val="28"/>
          <w:szCs w:val="28"/>
          <w:lang w:val="en-GB" w:eastAsia="en-ZA"/>
        </w:rPr>
      </w:pPr>
    </w:p>
    <w:p w:rsidR="00A678F9" w:rsidRPr="00A678F9" w:rsidRDefault="00A678F9" w:rsidP="00A678F9">
      <w:pPr>
        <w:widowControl/>
        <w:autoSpaceDE/>
        <w:autoSpaceDN/>
        <w:spacing w:line="360" w:lineRule="auto"/>
        <w:jc w:val="center"/>
        <w:rPr>
          <w:b/>
          <w:sz w:val="28"/>
          <w:szCs w:val="28"/>
          <w:lang w:val="en-GB" w:eastAsia="en-ZA"/>
        </w:rPr>
      </w:pPr>
      <w:r w:rsidRPr="00A678F9">
        <w:rPr>
          <w:rFonts w:ascii="Times New Roman" w:eastAsia="Times New Roman" w:hAnsi="Times New Roman" w:cs="Times New Roman"/>
          <w:noProof/>
          <w:sz w:val="24"/>
          <w:szCs w:val="24"/>
          <w:lang w:val="en-ZA" w:eastAsia="en-ZA"/>
        </w:rPr>
        <w:drawing>
          <wp:anchor distT="0" distB="0" distL="114300" distR="114300" simplePos="0" relativeHeight="251666432" behindDoc="0" locked="0" layoutInCell="1" hidden="0" allowOverlap="1" wp14:anchorId="795956EB" wp14:editId="73686490">
            <wp:simplePos x="0" y="0"/>
            <wp:positionH relativeFrom="column">
              <wp:posOffset>2465705</wp:posOffset>
            </wp:positionH>
            <wp:positionV relativeFrom="paragraph">
              <wp:posOffset>-683891</wp:posOffset>
            </wp:positionV>
            <wp:extent cx="800100" cy="9144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914400"/>
                    </a:xfrm>
                    <a:prstGeom prst="rect">
                      <a:avLst/>
                    </a:prstGeom>
                    <a:ln/>
                  </pic:spPr>
                </pic:pic>
              </a:graphicData>
            </a:graphic>
          </wp:anchor>
        </w:drawing>
      </w:r>
    </w:p>
    <w:p w:rsidR="00A678F9" w:rsidRPr="00A678F9" w:rsidRDefault="00A678F9" w:rsidP="00A678F9">
      <w:pPr>
        <w:widowControl/>
        <w:autoSpaceDE/>
        <w:autoSpaceDN/>
        <w:spacing w:line="360" w:lineRule="auto"/>
        <w:jc w:val="center"/>
        <w:rPr>
          <w:b/>
          <w:sz w:val="28"/>
          <w:szCs w:val="28"/>
          <w:lang w:val="en-GB" w:eastAsia="en-ZA"/>
        </w:rPr>
      </w:pPr>
    </w:p>
    <w:p w:rsidR="00A678F9" w:rsidRPr="00A678F9" w:rsidRDefault="00A678F9" w:rsidP="00A678F9">
      <w:pPr>
        <w:widowControl/>
        <w:autoSpaceDE/>
        <w:autoSpaceDN/>
        <w:spacing w:line="360" w:lineRule="auto"/>
        <w:jc w:val="center"/>
        <w:rPr>
          <w:b/>
          <w:sz w:val="24"/>
          <w:szCs w:val="24"/>
          <w:lang w:val="en-GB" w:eastAsia="en-ZA"/>
        </w:rPr>
      </w:pPr>
      <w:r w:rsidRPr="00A678F9">
        <w:rPr>
          <w:b/>
          <w:sz w:val="24"/>
          <w:szCs w:val="24"/>
          <w:lang w:val="en-GB" w:eastAsia="en-ZA"/>
        </w:rPr>
        <w:t>THE SUPREME COURT OF APPEAL OF SOUTH AFRICA</w:t>
      </w:r>
    </w:p>
    <w:p w:rsidR="00A678F9" w:rsidRPr="00A678F9" w:rsidRDefault="00A678F9" w:rsidP="00A678F9">
      <w:pPr>
        <w:keepNext/>
        <w:widowControl/>
        <w:autoSpaceDE/>
        <w:autoSpaceDN/>
        <w:spacing w:line="360" w:lineRule="auto"/>
        <w:jc w:val="center"/>
        <w:outlineLvl w:val="2"/>
        <w:rPr>
          <w:rFonts w:eastAsia="Times New Roman"/>
          <w:b/>
          <w:iCs/>
          <w:sz w:val="28"/>
          <w:szCs w:val="24"/>
          <w:lang w:val="en-GB" w:eastAsia="en-ZA"/>
        </w:rPr>
      </w:pPr>
      <w:r w:rsidRPr="00A678F9">
        <w:rPr>
          <w:rFonts w:eastAsia="Times New Roman"/>
          <w:b/>
          <w:iCs/>
          <w:sz w:val="24"/>
          <w:szCs w:val="24"/>
          <w:lang w:val="en-GB" w:eastAsia="en-ZA"/>
        </w:rPr>
        <w:t>JUDGMENT</w:t>
      </w:r>
    </w:p>
    <w:p w:rsidR="00A678F9" w:rsidRPr="00A678F9" w:rsidRDefault="00A678F9" w:rsidP="00A678F9">
      <w:pPr>
        <w:widowControl/>
        <w:autoSpaceDE/>
        <w:autoSpaceDN/>
        <w:spacing w:line="360" w:lineRule="auto"/>
        <w:rPr>
          <w:b/>
          <w:sz w:val="24"/>
          <w:szCs w:val="24"/>
          <w:lang w:val="en-GB" w:eastAsia="en-ZA"/>
        </w:rPr>
      </w:pPr>
    </w:p>
    <w:p w:rsidR="00A678F9" w:rsidRPr="00A678F9" w:rsidRDefault="00F558EB" w:rsidP="00A678F9">
      <w:pPr>
        <w:widowControl/>
        <w:autoSpaceDE/>
        <w:autoSpaceDN/>
        <w:spacing w:line="360" w:lineRule="auto"/>
        <w:jc w:val="right"/>
        <w:rPr>
          <w:b/>
          <w:sz w:val="24"/>
          <w:szCs w:val="24"/>
          <w:lang w:val="en-GB" w:eastAsia="en-ZA"/>
        </w:rPr>
      </w:pPr>
      <w:r w:rsidRPr="00F558EB">
        <w:rPr>
          <w:b/>
          <w:sz w:val="24"/>
          <w:szCs w:val="24"/>
          <w:lang w:val="en-GB" w:eastAsia="en-ZA"/>
        </w:rPr>
        <w:t>Reportable</w:t>
      </w:r>
    </w:p>
    <w:p w:rsidR="00A678F9" w:rsidRPr="00A678F9" w:rsidRDefault="00A678F9" w:rsidP="00A678F9">
      <w:pPr>
        <w:widowControl/>
        <w:autoSpaceDE/>
        <w:autoSpaceDN/>
        <w:spacing w:line="360" w:lineRule="auto"/>
        <w:jc w:val="right"/>
        <w:rPr>
          <w:sz w:val="24"/>
          <w:szCs w:val="24"/>
          <w:lang w:val="en-GB" w:eastAsia="en-ZA"/>
        </w:rPr>
      </w:pPr>
      <w:r w:rsidRPr="00A678F9">
        <w:rPr>
          <w:sz w:val="24"/>
          <w:szCs w:val="24"/>
          <w:lang w:val="en-GB" w:eastAsia="en-ZA"/>
        </w:rPr>
        <w:t xml:space="preserve">Case no: </w:t>
      </w:r>
      <w:r w:rsidR="007A39FA" w:rsidRPr="007A39FA">
        <w:rPr>
          <w:sz w:val="24"/>
          <w:szCs w:val="24"/>
          <w:lang w:val="en-GB" w:eastAsia="en-ZA"/>
        </w:rPr>
        <w:t>1299</w:t>
      </w:r>
      <w:r w:rsidRPr="00A678F9">
        <w:rPr>
          <w:sz w:val="24"/>
          <w:szCs w:val="24"/>
          <w:lang w:val="en-GB" w:eastAsia="en-ZA"/>
        </w:rPr>
        <w:t>/2021</w:t>
      </w:r>
    </w:p>
    <w:p w:rsidR="00A678F9" w:rsidRPr="00A678F9" w:rsidRDefault="00A678F9" w:rsidP="00A678F9">
      <w:pPr>
        <w:widowControl/>
        <w:autoSpaceDE/>
        <w:autoSpaceDN/>
        <w:spacing w:line="360" w:lineRule="auto"/>
        <w:jc w:val="both"/>
        <w:rPr>
          <w:sz w:val="24"/>
          <w:szCs w:val="24"/>
          <w:lang w:val="en-GB" w:eastAsia="en-ZA"/>
        </w:rPr>
      </w:pPr>
      <w:r w:rsidRPr="00A678F9">
        <w:rPr>
          <w:sz w:val="24"/>
          <w:szCs w:val="24"/>
          <w:lang w:val="en-GB" w:eastAsia="en-ZA"/>
        </w:rPr>
        <w:t>In the matter between:</w:t>
      </w:r>
    </w:p>
    <w:p w:rsidR="00A678F9" w:rsidRPr="00A678F9" w:rsidRDefault="00A678F9" w:rsidP="00A678F9">
      <w:pPr>
        <w:tabs>
          <w:tab w:val="right" w:pos="9360"/>
        </w:tabs>
        <w:autoSpaceDE/>
        <w:autoSpaceDN/>
        <w:spacing w:line="360" w:lineRule="auto"/>
        <w:jc w:val="both"/>
        <w:rPr>
          <w:b/>
          <w:sz w:val="24"/>
          <w:szCs w:val="24"/>
          <w:lang w:val="en-GB" w:eastAsia="en-ZA"/>
        </w:rPr>
      </w:pPr>
    </w:p>
    <w:p w:rsidR="00A678F9" w:rsidRPr="00A678F9" w:rsidRDefault="00A678F9" w:rsidP="00A678F9">
      <w:pPr>
        <w:tabs>
          <w:tab w:val="right" w:pos="9360"/>
        </w:tabs>
        <w:autoSpaceDE/>
        <w:autoSpaceDN/>
        <w:spacing w:after="120" w:line="360" w:lineRule="auto"/>
        <w:jc w:val="both"/>
        <w:rPr>
          <w:b/>
          <w:sz w:val="24"/>
          <w:szCs w:val="24"/>
          <w:lang w:val="en-GB" w:eastAsia="en-ZA"/>
        </w:rPr>
      </w:pPr>
      <w:r w:rsidRPr="00A678F9">
        <w:rPr>
          <w:b/>
          <w:sz w:val="24"/>
          <w:szCs w:val="24"/>
          <w:lang w:val="en-GB" w:eastAsia="en-ZA"/>
        </w:rPr>
        <w:t xml:space="preserve">THE COMMISSIONER FOR THE </w:t>
      </w:r>
    </w:p>
    <w:p w:rsidR="00A678F9" w:rsidRPr="00A678F9" w:rsidRDefault="00806396" w:rsidP="00A678F9">
      <w:pPr>
        <w:tabs>
          <w:tab w:val="right" w:pos="9360"/>
        </w:tabs>
        <w:autoSpaceDE/>
        <w:autoSpaceDN/>
        <w:spacing w:after="120" w:line="360" w:lineRule="auto"/>
        <w:jc w:val="both"/>
        <w:rPr>
          <w:b/>
          <w:sz w:val="24"/>
          <w:szCs w:val="24"/>
          <w:lang w:val="en-GB" w:eastAsia="en-ZA"/>
        </w:rPr>
      </w:pPr>
      <w:r>
        <w:rPr>
          <w:b/>
          <w:sz w:val="24"/>
          <w:szCs w:val="24"/>
          <w:lang w:val="en-GB" w:eastAsia="en-ZA"/>
        </w:rPr>
        <w:t>SOUTH</w:t>
      </w:r>
      <w:r w:rsidR="002E21E0">
        <w:rPr>
          <w:b/>
          <w:sz w:val="24"/>
          <w:szCs w:val="24"/>
          <w:lang w:val="en-GB" w:eastAsia="en-ZA"/>
        </w:rPr>
        <w:t xml:space="preserve"> AFRICAN REVENUE SERVICE</w:t>
      </w:r>
      <w:r w:rsidR="002E21E0">
        <w:rPr>
          <w:b/>
          <w:sz w:val="24"/>
          <w:szCs w:val="24"/>
          <w:lang w:val="en-GB" w:eastAsia="en-ZA"/>
        </w:rPr>
        <w:tab/>
      </w:r>
      <w:r w:rsidR="007A39FA" w:rsidRPr="007A39FA">
        <w:rPr>
          <w:b/>
          <w:sz w:val="24"/>
          <w:szCs w:val="24"/>
          <w:lang w:val="en-GB" w:eastAsia="en-ZA"/>
        </w:rPr>
        <w:t xml:space="preserve">FIRST </w:t>
      </w:r>
      <w:r w:rsidR="00A678F9" w:rsidRPr="00A678F9">
        <w:rPr>
          <w:b/>
          <w:sz w:val="24"/>
          <w:szCs w:val="24"/>
          <w:lang w:val="en-GB" w:eastAsia="en-ZA"/>
        </w:rPr>
        <w:t>APPELLANT</w:t>
      </w:r>
    </w:p>
    <w:p w:rsidR="007A39FA" w:rsidRDefault="007A39FA" w:rsidP="00A678F9">
      <w:pPr>
        <w:tabs>
          <w:tab w:val="right" w:pos="9360"/>
        </w:tabs>
        <w:autoSpaceDE/>
        <w:autoSpaceDN/>
        <w:spacing w:line="360" w:lineRule="auto"/>
        <w:jc w:val="both"/>
        <w:rPr>
          <w:b/>
          <w:sz w:val="24"/>
          <w:szCs w:val="24"/>
          <w:lang w:val="en-GB" w:eastAsia="en-ZA"/>
        </w:rPr>
      </w:pPr>
      <w:r>
        <w:rPr>
          <w:b/>
          <w:sz w:val="24"/>
          <w:szCs w:val="24"/>
          <w:lang w:val="en-GB" w:eastAsia="en-ZA"/>
        </w:rPr>
        <w:t xml:space="preserve">THE CHAIRPERSON, EXCISE APPEAL </w:t>
      </w:r>
    </w:p>
    <w:p w:rsidR="00A678F9" w:rsidRPr="00A678F9" w:rsidRDefault="007A39FA" w:rsidP="00A678F9">
      <w:pPr>
        <w:tabs>
          <w:tab w:val="right" w:pos="9360"/>
        </w:tabs>
        <w:autoSpaceDE/>
        <w:autoSpaceDN/>
        <w:spacing w:line="360" w:lineRule="auto"/>
        <w:jc w:val="both"/>
        <w:rPr>
          <w:b/>
          <w:sz w:val="24"/>
          <w:szCs w:val="24"/>
          <w:lang w:val="en-GB" w:eastAsia="en-ZA"/>
        </w:rPr>
      </w:pPr>
      <w:r>
        <w:rPr>
          <w:b/>
          <w:sz w:val="24"/>
          <w:szCs w:val="24"/>
          <w:lang w:val="en-GB" w:eastAsia="en-ZA"/>
        </w:rPr>
        <w:t>COMMITTEE</w:t>
      </w:r>
      <w:r w:rsidR="002E21E0">
        <w:rPr>
          <w:b/>
          <w:sz w:val="24"/>
          <w:szCs w:val="24"/>
          <w:lang w:val="en-GB" w:eastAsia="en-ZA"/>
        </w:rPr>
        <w:tab/>
      </w:r>
      <w:r w:rsidR="00806396">
        <w:rPr>
          <w:b/>
          <w:sz w:val="24"/>
          <w:szCs w:val="24"/>
          <w:lang w:val="en-GB" w:eastAsia="en-ZA"/>
        </w:rPr>
        <w:t>SECOND</w:t>
      </w:r>
      <w:r w:rsidR="002E21E0">
        <w:rPr>
          <w:b/>
          <w:sz w:val="24"/>
          <w:szCs w:val="24"/>
          <w:lang w:val="en-GB" w:eastAsia="en-ZA"/>
        </w:rPr>
        <w:t xml:space="preserve"> </w:t>
      </w:r>
      <w:r w:rsidR="002E21E0" w:rsidRPr="00F558EB">
        <w:rPr>
          <w:b/>
          <w:sz w:val="24"/>
          <w:szCs w:val="24"/>
          <w:lang w:val="en-GB" w:eastAsia="en-ZA"/>
        </w:rPr>
        <w:t>APPEL</w:t>
      </w:r>
      <w:r w:rsidR="00E96653" w:rsidRPr="00F558EB">
        <w:rPr>
          <w:b/>
          <w:sz w:val="24"/>
          <w:szCs w:val="24"/>
          <w:lang w:val="en-GB" w:eastAsia="en-ZA"/>
        </w:rPr>
        <w:t>LA</w:t>
      </w:r>
      <w:r w:rsidR="002E21E0" w:rsidRPr="00F558EB">
        <w:rPr>
          <w:b/>
          <w:sz w:val="24"/>
          <w:szCs w:val="24"/>
          <w:lang w:val="en-GB" w:eastAsia="en-ZA"/>
        </w:rPr>
        <w:t>NT</w:t>
      </w:r>
    </w:p>
    <w:p w:rsidR="00EF0353" w:rsidRDefault="00EF0353" w:rsidP="00A678F9">
      <w:pPr>
        <w:autoSpaceDE/>
        <w:autoSpaceDN/>
        <w:spacing w:line="360" w:lineRule="auto"/>
        <w:jc w:val="both"/>
        <w:rPr>
          <w:sz w:val="24"/>
          <w:szCs w:val="24"/>
          <w:lang w:val="en-GB" w:eastAsia="en-ZA"/>
        </w:rPr>
      </w:pPr>
    </w:p>
    <w:p w:rsidR="00A678F9" w:rsidRPr="00A678F9" w:rsidRDefault="00A678F9" w:rsidP="00A678F9">
      <w:pPr>
        <w:autoSpaceDE/>
        <w:autoSpaceDN/>
        <w:spacing w:line="360" w:lineRule="auto"/>
        <w:jc w:val="both"/>
        <w:rPr>
          <w:sz w:val="24"/>
          <w:szCs w:val="24"/>
          <w:lang w:val="en-GB" w:eastAsia="en-ZA"/>
        </w:rPr>
      </w:pPr>
      <w:r w:rsidRPr="00A678F9">
        <w:rPr>
          <w:sz w:val="24"/>
          <w:szCs w:val="24"/>
          <w:lang w:val="en-GB" w:eastAsia="en-ZA"/>
        </w:rPr>
        <w:t>and</w:t>
      </w:r>
    </w:p>
    <w:p w:rsidR="00A678F9" w:rsidRPr="00A678F9" w:rsidRDefault="00A678F9" w:rsidP="00A678F9">
      <w:pPr>
        <w:autoSpaceDE/>
        <w:autoSpaceDN/>
        <w:spacing w:line="360" w:lineRule="auto"/>
        <w:jc w:val="both"/>
        <w:rPr>
          <w:sz w:val="24"/>
          <w:szCs w:val="24"/>
          <w:lang w:val="en-GB" w:eastAsia="en-ZA"/>
        </w:rPr>
      </w:pPr>
    </w:p>
    <w:p w:rsidR="00806396" w:rsidRDefault="007A39FA" w:rsidP="00A678F9">
      <w:pPr>
        <w:tabs>
          <w:tab w:val="right" w:pos="9360"/>
        </w:tabs>
        <w:autoSpaceDE/>
        <w:autoSpaceDN/>
        <w:spacing w:after="120" w:line="360" w:lineRule="auto"/>
        <w:jc w:val="both"/>
        <w:rPr>
          <w:b/>
          <w:sz w:val="24"/>
          <w:szCs w:val="24"/>
          <w:lang w:val="en-GB" w:eastAsia="en-ZA"/>
        </w:rPr>
      </w:pPr>
      <w:r w:rsidRPr="007A39FA">
        <w:rPr>
          <w:b/>
          <w:sz w:val="24"/>
          <w:szCs w:val="24"/>
          <w:lang w:val="en-GB" w:eastAsia="en-ZA"/>
        </w:rPr>
        <w:t xml:space="preserve">RICHARDS BAY COAL TERMINAL </w:t>
      </w:r>
    </w:p>
    <w:p w:rsidR="00A678F9" w:rsidRPr="00A678F9" w:rsidRDefault="007A39FA" w:rsidP="00A678F9">
      <w:pPr>
        <w:tabs>
          <w:tab w:val="right" w:pos="9360"/>
        </w:tabs>
        <w:autoSpaceDE/>
        <w:autoSpaceDN/>
        <w:spacing w:after="120" w:line="360" w:lineRule="auto"/>
        <w:jc w:val="both"/>
        <w:rPr>
          <w:b/>
          <w:sz w:val="24"/>
          <w:szCs w:val="24"/>
          <w:lang w:val="en-GB" w:eastAsia="en-ZA"/>
        </w:rPr>
      </w:pPr>
      <w:r w:rsidRPr="007A39FA">
        <w:rPr>
          <w:b/>
          <w:sz w:val="24"/>
          <w:szCs w:val="24"/>
          <w:lang w:val="en-GB" w:eastAsia="en-ZA"/>
        </w:rPr>
        <w:t>(PTY) LTD</w:t>
      </w:r>
      <w:r w:rsidR="002E21E0">
        <w:rPr>
          <w:b/>
          <w:sz w:val="24"/>
          <w:szCs w:val="24"/>
          <w:lang w:val="en-GB" w:eastAsia="en-ZA"/>
        </w:rPr>
        <w:tab/>
      </w:r>
      <w:r w:rsidR="00A678F9" w:rsidRPr="00A678F9">
        <w:rPr>
          <w:b/>
          <w:sz w:val="24"/>
          <w:szCs w:val="24"/>
          <w:lang w:val="en-GB" w:eastAsia="en-ZA"/>
        </w:rPr>
        <w:t>RESPONDENT</w:t>
      </w:r>
    </w:p>
    <w:p w:rsidR="00A678F9" w:rsidRPr="00A678F9" w:rsidRDefault="00A678F9" w:rsidP="00A678F9">
      <w:pPr>
        <w:tabs>
          <w:tab w:val="right" w:pos="9360"/>
        </w:tabs>
        <w:autoSpaceDE/>
        <w:autoSpaceDN/>
        <w:spacing w:line="360" w:lineRule="auto"/>
        <w:jc w:val="both"/>
        <w:rPr>
          <w:i/>
          <w:sz w:val="24"/>
          <w:szCs w:val="24"/>
          <w:lang w:val="en-GB" w:eastAsia="en-ZA"/>
        </w:rPr>
      </w:pPr>
    </w:p>
    <w:p w:rsidR="00A678F9" w:rsidRPr="00A678F9" w:rsidRDefault="00A678F9" w:rsidP="00A678F9">
      <w:pPr>
        <w:widowControl/>
        <w:autoSpaceDE/>
        <w:autoSpaceDN/>
        <w:spacing w:line="360" w:lineRule="auto"/>
        <w:ind w:left="2160" w:hanging="2160"/>
        <w:jc w:val="both"/>
        <w:rPr>
          <w:b/>
          <w:sz w:val="24"/>
          <w:szCs w:val="24"/>
          <w:lang w:val="en-GB" w:eastAsia="en-ZA"/>
        </w:rPr>
      </w:pPr>
      <w:r w:rsidRPr="00A678F9">
        <w:rPr>
          <w:b/>
          <w:sz w:val="24"/>
          <w:szCs w:val="24"/>
          <w:lang w:val="en-GB" w:eastAsia="en-ZA"/>
        </w:rPr>
        <w:t>Neutral citation:</w:t>
      </w:r>
      <w:r w:rsidRPr="00A678F9">
        <w:rPr>
          <w:b/>
          <w:sz w:val="24"/>
          <w:szCs w:val="24"/>
          <w:lang w:val="en-GB" w:eastAsia="en-ZA"/>
        </w:rPr>
        <w:tab/>
      </w:r>
      <w:r w:rsidRPr="00A678F9">
        <w:rPr>
          <w:i/>
          <w:sz w:val="24"/>
          <w:szCs w:val="24"/>
          <w:lang w:val="en-GB" w:eastAsia="en-ZA"/>
        </w:rPr>
        <w:t>Commissioner for the South African Revenue Service</w:t>
      </w:r>
      <w:r w:rsidR="00806396" w:rsidRPr="00806396">
        <w:rPr>
          <w:i/>
          <w:sz w:val="24"/>
          <w:szCs w:val="24"/>
          <w:lang w:val="en-GB" w:eastAsia="en-ZA"/>
        </w:rPr>
        <w:t xml:space="preserve"> and Another</w:t>
      </w:r>
      <w:r w:rsidRPr="00A678F9">
        <w:rPr>
          <w:i/>
          <w:sz w:val="24"/>
          <w:szCs w:val="24"/>
          <w:lang w:val="en-GB" w:eastAsia="en-ZA"/>
        </w:rPr>
        <w:t xml:space="preserve"> v</w:t>
      </w:r>
      <w:r w:rsidR="00806396" w:rsidRPr="00806396">
        <w:rPr>
          <w:i/>
          <w:sz w:val="24"/>
          <w:szCs w:val="24"/>
          <w:lang w:val="en-GB" w:eastAsia="en-ZA"/>
        </w:rPr>
        <w:t xml:space="preserve"> Richards Bay Coal Terminal</w:t>
      </w:r>
      <w:r w:rsidRPr="00A678F9">
        <w:rPr>
          <w:i/>
          <w:sz w:val="24"/>
          <w:szCs w:val="24"/>
          <w:lang w:val="en-GB" w:eastAsia="en-ZA"/>
        </w:rPr>
        <w:t xml:space="preserve"> (Pty) Ltd </w:t>
      </w:r>
      <w:r w:rsidR="00806396" w:rsidRPr="00806396">
        <w:rPr>
          <w:sz w:val="24"/>
          <w:szCs w:val="24"/>
          <w:lang w:val="en-GB" w:eastAsia="en-ZA"/>
        </w:rPr>
        <w:t>(Case no 1299</w:t>
      </w:r>
      <w:r w:rsidR="00806396">
        <w:rPr>
          <w:sz w:val="24"/>
          <w:szCs w:val="24"/>
          <w:lang w:val="en-GB" w:eastAsia="en-ZA"/>
        </w:rPr>
        <w:t>/2021) [2023</w:t>
      </w:r>
      <w:r w:rsidRPr="00A678F9">
        <w:rPr>
          <w:sz w:val="24"/>
          <w:szCs w:val="24"/>
          <w:lang w:val="en-GB" w:eastAsia="en-ZA"/>
        </w:rPr>
        <w:t xml:space="preserve">] </w:t>
      </w:r>
      <w:r w:rsidRPr="00BC3DCB">
        <w:rPr>
          <w:sz w:val="24"/>
          <w:szCs w:val="24"/>
          <w:lang w:val="en-GB" w:eastAsia="en-ZA"/>
        </w:rPr>
        <w:t>ZASCA</w:t>
      </w:r>
      <w:r w:rsidR="00BC3DCB" w:rsidRPr="00BC3DCB">
        <w:rPr>
          <w:sz w:val="24"/>
          <w:szCs w:val="24"/>
          <w:lang w:val="en-GB" w:eastAsia="en-ZA"/>
        </w:rPr>
        <w:t xml:space="preserve"> 39 (31 March</w:t>
      </w:r>
      <w:r w:rsidRPr="00BC3DCB">
        <w:rPr>
          <w:sz w:val="24"/>
          <w:szCs w:val="24"/>
          <w:lang w:val="en-GB" w:eastAsia="en-ZA"/>
        </w:rPr>
        <w:t>2023)</w:t>
      </w:r>
    </w:p>
    <w:p w:rsidR="00A678F9" w:rsidRPr="00A678F9" w:rsidRDefault="00A678F9" w:rsidP="00A678F9">
      <w:pPr>
        <w:widowControl/>
        <w:autoSpaceDE/>
        <w:autoSpaceDN/>
        <w:spacing w:line="360" w:lineRule="auto"/>
        <w:ind w:left="1440" w:hanging="1440"/>
        <w:jc w:val="both"/>
        <w:rPr>
          <w:b/>
          <w:sz w:val="24"/>
          <w:szCs w:val="24"/>
          <w:lang w:val="en-GB" w:eastAsia="en-ZA"/>
        </w:rPr>
      </w:pPr>
      <w:r w:rsidRPr="00A678F9">
        <w:rPr>
          <w:b/>
          <w:sz w:val="24"/>
          <w:szCs w:val="24"/>
          <w:lang w:val="en-GB" w:eastAsia="en-ZA"/>
        </w:rPr>
        <w:t>Coram:</w:t>
      </w:r>
      <w:r w:rsidRPr="00A678F9">
        <w:rPr>
          <w:sz w:val="24"/>
          <w:szCs w:val="24"/>
          <w:lang w:val="en-GB" w:eastAsia="en-ZA"/>
        </w:rPr>
        <w:tab/>
      </w:r>
      <w:r w:rsidR="007A39FA" w:rsidRPr="007A39FA">
        <w:rPr>
          <w:sz w:val="24"/>
          <w:szCs w:val="24"/>
          <w:lang w:val="en-GB" w:eastAsia="en-ZA"/>
        </w:rPr>
        <w:t>PONNAN ADP and MOCUMIE</w:t>
      </w:r>
      <w:r w:rsidR="00447879">
        <w:rPr>
          <w:sz w:val="24"/>
          <w:szCs w:val="24"/>
          <w:lang w:val="en-GB" w:eastAsia="en-ZA"/>
        </w:rPr>
        <w:t xml:space="preserve">, </w:t>
      </w:r>
      <w:r w:rsidR="007A39FA" w:rsidRPr="007A39FA">
        <w:rPr>
          <w:sz w:val="24"/>
          <w:szCs w:val="24"/>
          <w:lang w:val="en-GB" w:eastAsia="en-ZA"/>
        </w:rPr>
        <w:t xml:space="preserve">GORVEN and GOOSEN </w:t>
      </w:r>
      <w:r w:rsidR="00447879">
        <w:rPr>
          <w:sz w:val="24"/>
          <w:szCs w:val="24"/>
          <w:lang w:val="en-GB" w:eastAsia="en-ZA"/>
        </w:rPr>
        <w:t xml:space="preserve">JJA </w:t>
      </w:r>
      <w:r w:rsidR="007A39FA" w:rsidRPr="007A39FA">
        <w:rPr>
          <w:sz w:val="24"/>
          <w:szCs w:val="24"/>
          <w:lang w:val="en-GB" w:eastAsia="en-ZA"/>
        </w:rPr>
        <w:t>and UNTERHALTER</w:t>
      </w:r>
      <w:r w:rsidRPr="00A678F9">
        <w:rPr>
          <w:sz w:val="24"/>
          <w:szCs w:val="24"/>
          <w:lang w:val="en-GB" w:eastAsia="en-ZA"/>
        </w:rPr>
        <w:t xml:space="preserve"> A</w:t>
      </w:r>
      <w:r w:rsidR="007A39FA" w:rsidRPr="007A39FA">
        <w:rPr>
          <w:sz w:val="24"/>
          <w:szCs w:val="24"/>
          <w:lang w:val="en-GB" w:eastAsia="en-ZA"/>
        </w:rPr>
        <w:t>J</w:t>
      </w:r>
      <w:r w:rsidRPr="00A678F9">
        <w:rPr>
          <w:sz w:val="24"/>
          <w:szCs w:val="24"/>
          <w:lang w:val="en-GB" w:eastAsia="en-ZA"/>
        </w:rPr>
        <w:t>A</w:t>
      </w:r>
    </w:p>
    <w:p w:rsidR="00A678F9" w:rsidRPr="00A678F9" w:rsidRDefault="00A678F9" w:rsidP="00A678F9">
      <w:pPr>
        <w:widowControl/>
        <w:autoSpaceDE/>
        <w:autoSpaceDN/>
        <w:spacing w:line="360" w:lineRule="auto"/>
        <w:rPr>
          <w:b/>
          <w:sz w:val="24"/>
          <w:szCs w:val="24"/>
          <w:lang w:val="en-GB" w:eastAsia="en-ZA"/>
        </w:rPr>
      </w:pPr>
      <w:r w:rsidRPr="00A678F9">
        <w:rPr>
          <w:b/>
          <w:sz w:val="24"/>
          <w:szCs w:val="24"/>
          <w:lang w:val="en-GB" w:eastAsia="en-ZA"/>
        </w:rPr>
        <w:t>Heard</w:t>
      </w:r>
      <w:r w:rsidRPr="00A678F9">
        <w:rPr>
          <w:sz w:val="24"/>
          <w:szCs w:val="24"/>
          <w:lang w:val="en-GB" w:eastAsia="en-ZA"/>
        </w:rPr>
        <w:t>:</w:t>
      </w:r>
      <w:r w:rsidRPr="00A678F9">
        <w:rPr>
          <w:sz w:val="24"/>
          <w:szCs w:val="24"/>
          <w:lang w:val="en-GB" w:eastAsia="en-ZA"/>
        </w:rPr>
        <w:tab/>
      </w:r>
      <w:r w:rsidR="007A39FA" w:rsidRPr="007A39FA">
        <w:rPr>
          <w:sz w:val="24"/>
          <w:szCs w:val="24"/>
          <w:lang w:val="en-GB" w:eastAsia="en-ZA"/>
        </w:rPr>
        <w:t>28</w:t>
      </w:r>
      <w:r w:rsidRPr="00A678F9">
        <w:rPr>
          <w:sz w:val="24"/>
          <w:szCs w:val="24"/>
          <w:lang w:val="en-GB" w:eastAsia="en-ZA"/>
        </w:rPr>
        <w:t xml:space="preserve"> February 2023</w:t>
      </w:r>
    </w:p>
    <w:p w:rsidR="00A678F9" w:rsidRPr="00A678F9" w:rsidRDefault="00A678F9" w:rsidP="00A678F9">
      <w:pPr>
        <w:widowControl/>
        <w:autoSpaceDE/>
        <w:autoSpaceDN/>
        <w:spacing w:line="360" w:lineRule="auto"/>
        <w:jc w:val="both"/>
        <w:rPr>
          <w:b/>
          <w:sz w:val="24"/>
          <w:szCs w:val="24"/>
          <w:lang w:val="en-GB" w:eastAsia="en-ZA"/>
        </w:rPr>
      </w:pPr>
      <w:r w:rsidRPr="00A678F9">
        <w:rPr>
          <w:b/>
          <w:sz w:val="24"/>
          <w:szCs w:val="24"/>
          <w:lang w:val="en-GB" w:eastAsia="en-ZA"/>
        </w:rPr>
        <w:t>Delivered</w:t>
      </w:r>
      <w:r w:rsidRPr="00A678F9">
        <w:rPr>
          <w:sz w:val="24"/>
          <w:szCs w:val="24"/>
          <w:lang w:val="en-GB" w:eastAsia="en-ZA"/>
        </w:rPr>
        <w:t>:</w:t>
      </w:r>
      <w:r w:rsidRPr="00A678F9">
        <w:rPr>
          <w:sz w:val="24"/>
          <w:szCs w:val="24"/>
          <w:lang w:val="en-GB" w:eastAsia="en-ZA"/>
        </w:rPr>
        <w:tab/>
      </w:r>
      <w:r w:rsidR="00BC3DCB" w:rsidRPr="00BC3DCB">
        <w:rPr>
          <w:sz w:val="24"/>
          <w:szCs w:val="24"/>
          <w:lang w:val="en-GB" w:eastAsia="en-ZA"/>
        </w:rPr>
        <w:t xml:space="preserve">31 March </w:t>
      </w:r>
      <w:r w:rsidRPr="00BC3DCB">
        <w:rPr>
          <w:sz w:val="24"/>
          <w:szCs w:val="24"/>
          <w:lang w:val="en-GB" w:eastAsia="en-ZA"/>
        </w:rPr>
        <w:t>2023</w:t>
      </w:r>
    </w:p>
    <w:p w:rsidR="005E25D9" w:rsidRPr="00C131AD" w:rsidRDefault="005E25D9" w:rsidP="005E25D9">
      <w:pPr>
        <w:widowControl/>
        <w:autoSpaceDE/>
        <w:autoSpaceDN/>
        <w:spacing w:line="360" w:lineRule="auto"/>
        <w:jc w:val="both"/>
        <w:rPr>
          <w:sz w:val="24"/>
          <w:szCs w:val="24"/>
        </w:rPr>
      </w:pPr>
      <w:r w:rsidRPr="00A678F9">
        <w:rPr>
          <w:b/>
          <w:sz w:val="24"/>
          <w:szCs w:val="24"/>
          <w:lang w:val="en-GB" w:eastAsia="en-ZA"/>
        </w:rPr>
        <w:t>Summary:</w:t>
      </w:r>
      <w:r w:rsidRPr="00A678F9">
        <w:rPr>
          <w:b/>
          <w:sz w:val="24"/>
          <w:szCs w:val="24"/>
          <w:lang w:val="en-GB" w:eastAsia="en-ZA"/>
        </w:rPr>
        <w:tab/>
      </w:r>
      <w:r w:rsidRPr="003A4985">
        <w:rPr>
          <w:sz w:val="24"/>
          <w:szCs w:val="24"/>
        </w:rPr>
        <w:t xml:space="preserve">Customs and Excise Act 91 of 1964 </w:t>
      </w:r>
      <w:r>
        <w:rPr>
          <w:sz w:val="24"/>
          <w:szCs w:val="24"/>
        </w:rPr>
        <w:t>– taxpayer</w:t>
      </w:r>
      <w:r w:rsidRPr="003A4985">
        <w:rPr>
          <w:sz w:val="24"/>
          <w:szCs w:val="24"/>
        </w:rPr>
        <w:t xml:space="preserve"> </w:t>
      </w:r>
      <w:r>
        <w:rPr>
          <w:sz w:val="24"/>
          <w:szCs w:val="24"/>
        </w:rPr>
        <w:t>not</w:t>
      </w:r>
      <w:r w:rsidRPr="003A4985">
        <w:rPr>
          <w:sz w:val="24"/>
          <w:szCs w:val="24"/>
        </w:rPr>
        <w:t xml:space="preserve"> confined</w:t>
      </w:r>
      <w:r w:rsidRPr="003A4985">
        <w:rPr>
          <w:spacing w:val="-16"/>
          <w:sz w:val="24"/>
          <w:szCs w:val="24"/>
        </w:rPr>
        <w:t xml:space="preserve"> </w:t>
      </w:r>
      <w:r w:rsidRPr="003A4985">
        <w:rPr>
          <w:sz w:val="24"/>
          <w:szCs w:val="24"/>
        </w:rPr>
        <w:t>to</w:t>
      </w:r>
      <w:r w:rsidRPr="003A4985">
        <w:rPr>
          <w:spacing w:val="-16"/>
          <w:sz w:val="24"/>
          <w:szCs w:val="24"/>
        </w:rPr>
        <w:t xml:space="preserve"> </w:t>
      </w:r>
      <w:r w:rsidRPr="003A4985">
        <w:rPr>
          <w:sz w:val="24"/>
          <w:szCs w:val="24"/>
        </w:rPr>
        <w:t>the</w:t>
      </w:r>
      <w:r w:rsidRPr="003A4985">
        <w:rPr>
          <w:spacing w:val="-16"/>
          <w:sz w:val="24"/>
          <w:szCs w:val="24"/>
        </w:rPr>
        <w:t xml:space="preserve"> </w:t>
      </w:r>
      <w:r w:rsidRPr="003A4985">
        <w:rPr>
          <w:sz w:val="24"/>
          <w:szCs w:val="24"/>
        </w:rPr>
        <w:t>remedy</w:t>
      </w:r>
      <w:r w:rsidRPr="003A4985">
        <w:rPr>
          <w:spacing w:val="-16"/>
          <w:sz w:val="24"/>
          <w:szCs w:val="24"/>
        </w:rPr>
        <w:t xml:space="preserve"> </w:t>
      </w:r>
      <w:r w:rsidRPr="003A4985">
        <w:rPr>
          <w:sz w:val="24"/>
          <w:szCs w:val="24"/>
        </w:rPr>
        <w:t>of</w:t>
      </w:r>
      <w:r w:rsidRPr="003A4985">
        <w:rPr>
          <w:spacing w:val="-16"/>
          <w:sz w:val="24"/>
          <w:szCs w:val="24"/>
        </w:rPr>
        <w:t xml:space="preserve"> </w:t>
      </w:r>
      <w:r w:rsidRPr="003A4985">
        <w:rPr>
          <w:sz w:val="24"/>
          <w:szCs w:val="24"/>
        </w:rPr>
        <w:t>a</w:t>
      </w:r>
      <w:r w:rsidRPr="003A4985">
        <w:rPr>
          <w:spacing w:val="-16"/>
          <w:sz w:val="24"/>
          <w:szCs w:val="24"/>
        </w:rPr>
        <w:t xml:space="preserve"> </w:t>
      </w:r>
      <w:r w:rsidRPr="003A4985">
        <w:rPr>
          <w:sz w:val="24"/>
          <w:szCs w:val="24"/>
        </w:rPr>
        <w:t>wide appeal</w:t>
      </w:r>
      <w:r w:rsidRPr="003A4985">
        <w:rPr>
          <w:spacing w:val="-16"/>
          <w:sz w:val="24"/>
          <w:szCs w:val="24"/>
        </w:rPr>
        <w:t xml:space="preserve"> </w:t>
      </w:r>
      <w:r w:rsidRPr="003A4985">
        <w:rPr>
          <w:sz w:val="24"/>
          <w:szCs w:val="24"/>
        </w:rPr>
        <w:t>under</w:t>
      </w:r>
      <w:r w:rsidRPr="003A4985">
        <w:rPr>
          <w:spacing w:val="-5"/>
          <w:sz w:val="24"/>
          <w:szCs w:val="24"/>
        </w:rPr>
        <w:t xml:space="preserve"> </w:t>
      </w:r>
      <w:r w:rsidRPr="003A4985">
        <w:rPr>
          <w:sz w:val="24"/>
          <w:szCs w:val="24"/>
        </w:rPr>
        <w:t>s</w:t>
      </w:r>
      <w:r w:rsidRPr="003A4985">
        <w:rPr>
          <w:spacing w:val="-9"/>
          <w:sz w:val="24"/>
          <w:szCs w:val="24"/>
        </w:rPr>
        <w:t xml:space="preserve"> </w:t>
      </w:r>
      <w:r w:rsidRPr="003A4985">
        <w:rPr>
          <w:sz w:val="24"/>
          <w:szCs w:val="24"/>
        </w:rPr>
        <w:t>47(9)</w:t>
      </w:r>
      <w:r w:rsidRPr="00453055">
        <w:rPr>
          <w:i/>
          <w:sz w:val="24"/>
          <w:szCs w:val="24"/>
        </w:rPr>
        <w:t>(e)</w:t>
      </w:r>
      <w:r w:rsidRPr="00A678F9">
        <w:rPr>
          <w:sz w:val="24"/>
          <w:szCs w:val="24"/>
          <w:lang w:val="en-GB" w:eastAsia="en-ZA"/>
        </w:rPr>
        <w:t xml:space="preserve"> </w:t>
      </w:r>
      <w:r>
        <w:rPr>
          <w:sz w:val="24"/>
          <w:szCs w:val="24"/>
          <w:lang w:val="en-GB" w:eastAsia="en-ZA"/>
        </w:rPr>
        <w:t xml:space="preserve">– </w:t>
      </w:r>
      <w:r>
        <w:rPr>
          <w:sz w:val="24"/>
          <w:szCs w:val="24"/>
        </w:rPr>
        <w:t>can also</w:t>
      </w:r>
      <w:r w:rsidRPr="003A4985">
        <w:rPr>
          <w:sz w:val="24"/>
          <w:szCs w:val="24"/>
        </w:rPr>
        <w:t xml:space="preserve"> review </w:t>
      </w:r>
      <w:r>
        <w:rPr>
          <w:sz w:val="24"/>
          <w:szCs w:val="24"/>
        </w:rPr>
        <w:t>a</w:t>
      </w:r>
      <w:r w:rsidRPr="003A4985">
        <w:rPr>
          <w:sz w:val="24"/>
          <w:szCs w:val="24"/>
        </w:rPr>
        <w:t xml:space="preserve"> tariff determination under the Promotion of Administrative Justice Act 3 of 2000, alternatively the principle of legality</w:t>
      </w:r>
      <w:r>
        <w:rPr>
          <w:sz w:val="24"/>
          <w:szCs w:val="24"/>
        </w:rPr>
        <w:t>.</w:t>
      </w:r>
    </w:p>
    <w:p w:rsidR="00447879" w:rsidRPr="00447879" w:rsidRDefault="00447879" w:rsidP="00447879">
      <w:pPr>
        <w:widowControl/>
        <w:autoSpaceDE/>
        <w:autoSpaceDN/>
        <w:spacing w:line="360" w:lineRule="auto"/>
        <w:jc w:val="both"/>
        <w:rPr>
          <w:sz w:val="24"/>
          <w:szCs w:val="24"/>
          <w:lang w:val="en-GB" w:eastAsia="en-ZA"/>
        </w:rPr>
      </w:pPr>
    </w:p>
    <w:p w:rsidR="00A678F9" w:rsidRPr="00A678F9" w:rsidRDefault="00A678F9" w:rsidP="005E25D9">
      <w:pPr>
        <w:widowControl/>
        <w:autoSpaceDE/>
        <w:autoSpaceDN/>
        <w:spacing w:line="360" w:lineRule="auto"/>
        <w:ind w:right="360"/>
        <w:jc w:val="both"/>
        <w:rPr>
          <w:rFonts w:ascii="Times New Roman" w:hAnsi="Times New Roman" w:cs="Times New Roman"/>
          <w:sz w:val="24"/>
          <w:szCs w:val="24"/>
          <w:lang w:val="en-GB" w:eastAsia="en-ZA"/>
        </w:rPr>
      </w:pPr>
      <w:r w:rsidRPr="00A678F9">
        <w:rPr>
          <w:b/>
          <w:sz w:val="24"/>
          <w:szCs w:val="24"/>
          <w:lang w:val="en-GB" w:eastAsia="en-ZA"/>
        </w:rPr>
        <w:lastRenderedPageBreak/>
        <w:t>___________________________________________________________________</w:t>
      </w:r>
    </w:p>
    <w:p w:rsidR="00A678F9" w:rsidRPr="00A678F9" w:rsidRDefault="00A678F9" w:rsidP="005E25D9">
      <w:pPr>
        <w:widowControl/>
        <w:autoSpaceDE/>
        <w:autoSpaceDN/>
        <w:spacing w:line="276" w:lineRule="auto"/>
        <w:ind w:right="360"/>
        <w:jc w:val="center"/>
        <w:rPr>
          <w:b/>
          <w:sz w:val="24"/>
          <w:szCs w:val="24"/>
          <w:lang w:val="en-GB" w:eastAsia="en-ZA"/>
        </w:rPr>
      </w:pPr>
    </w:p>
    <w:p w:rsidR="00A678F9" w:rsidRPr="00A678F9" w:rsidRDefault="00A678F9" w:rsidP="005E25D9">
      <w:pPr>
        <w:widowControl/>
        <w:autoSpaceDE/>
        <w:autoSpaceDN/>
        <w:spacing w:line="276" w:lineRule="auto"/>
        <w:ind w:right="360"/>
        <w:jc w:val="center"/>
        <w:rPr>
          <w:b/>
          <w:sz w:val="24"/>
          <w:szCs w:val="24"/>
          <w:lang w:val="en-GB" w:eastAsia="en-ZA"/>
        </w:rPr>
      </w:pPr>
      <w:r w:rsidRPr="00A678F9">
        <w:rPr>
          <w:b/>
          <w:sz w:val="24"/>
          <w:szCs w:val="24"/>
          <w:lang w:val="en-GB" w:eastAsia="en-ZA"/>
        </w:rPr>
        <w:t>ORDER</w:t>
      </w:r>
    </w:p>
    <w:p w:rsidR="00063E67" w:rsidRPr="002E21E0" w:rsidRDefault="00A678F9" w:rsidP="005E25D9">
      <w:pPr>
        <w:widowControl/>
        <w:autoSpaceDE/>
        <w:autoSpaceDN/>
        <w:spacing w:line="276" w:lineRule="auto"/>
        <w:ind w:right="360"/>
        <w:jc w:val="both"/>
        <w:rPr>
          <w:b/>
          <w:sz w:val="24"/>
          <w:szCs w:val="24"/>
          <w:lang w:val="en-GB" w:eastAsia="en-ZA"/>
        </w:rPr>
      </w:pPr>
      <w:r w:rsidRPr="00A678F9">
        <w:rPr>
          <w:b/>
          <w:sz w:val="24"/>
          <w:szCs w:val="24"/>
          <w:lang w:val="en-GB" w:eastAsia="en-ZA"/>
        </w:rPr>
        <w:t>___________________________________________________________________</w:t>
      </w:r>
    </w:p>
    <w:p w:rsidR="006B121C" w:rsidRDefault="006B121C" w:rsidP="005E25D9">
      <w:pPr>
        <w:widowControl/>
        <w:autoSpaceDE/>
        <w:autoSpaceDN/>
        <w:spacing w:line="360" w:lineRule="auto"/>
        <w:ind w:right="360"/>
        <w:jc w:val="both"/>
        <w:rPr>
          <w:b/>
          <w:color w:val="000000"/>
          <w:sz w:val="24"/>
          <w:szCs w:val="24"/>
          <w:lang w:val="en-GB" w:eastAsia="en-ZA"/>
        </w:rPr>
      </w:pPr>
    </w:p>
    <w:p w:rsidR="004E4009" w:rsidRPr="002E21E0" w:rsidRDefault="00A678F9" w:rsidP="005E25D9">
      <w:pPr>
        <w:widowControl/>
        <w:autoSpaceDE/>
        <w:autoSpaceDN/>
        <w:spacing w:line="360" w:lineRule="auto"/>
        <w:ind w:right="360"/>
        <w:jc w:val="both"/>
        <w:rPr>
          <w:rFonts w:eastAsia="Times New Roman"/>
          <w:sz w:val="24"/>
          <w:szCs w:val="24"/>
          <w:lang w:val="en-GB" w:eastAsia="en-ZA"/>
        </w:rPr>
      </w:pPr>
      <w:r w:rsidRPr="00A678F9">
        <w:rPr>
          <w:b/>
          <w:color w:val="000000"/>
          <w:sz w:val="24"/>
          <w:szCs w:val="24"/>
          <w:lang w:val="en-GB" w:eastAsia="en-ZA"/>
        </w:rPr>
        <w:t>On appeal from</w:t>
      </w:r>
      <w:r w:rsidRPr="00A678F9">
        <w:rPr>
          <w:color w:val="000000"/>
          <w:sz w:val="24"/>
          <w:szCs w:val="24"/>
          <w:lang w:val="en-GB" w:eastAsia="en-ZA"/>
        </w:rPr>
        <w:t xml:space="preserve">: </w:t>
      </w:r>
      <w:r w:rsidR="00806396" w:rsidRPr="00806396">
        <w:rPr>
          <w:rFonts w:eastAsia="Times New Roman"/>
          <w:sz w:val="24"/>
          <w:szCs w:val="24"/>
          <w:lang w:val="en-GB" w:eastAsia="en-ZA"/>
        </w:rPr>
        <w:t>KwaZulu-Natal Division of the High Court, Durban</w:t>
      </w:r>
      <w:r w:rsidRPr="00A678F9">
        <w:rPr>
          <w:rFonts w:eastAsia="Times New Roman"/>
          <w:sz w:val="24"/>
          <w:szCs w:val="24"/>
          <w:lang w:val="en-GB" w:eastAsia="en-ZA"/>
        </w:rPr>
        <w:t xml:space="preserve"> (</w:t>
      </w:r>
      <w:r w:rsidR="00806396" w:rsidRPr="00806396">
        <w:rPr>
          <w:rFonts w:eastAsia="Times New Roman"/>
          <w:sz w:val="24"/>
          <w:szCs w:val="24"/>
          <w:lang w:val="en-GB" w:eastAsia="en-ZA"/>
        </w:rPr>
        <w:t>Topping</w:t>
      </w:r>
      <w:r w:rsidRPr="00A678F9">
        <w:rPr>
          <w:rFonts w:eastAsia="Times New Roman"/>
          <w:sz w:val="24"/>
          <w:szCs w:val="24"/>
          <w:lang w:val="en-GB" w:eastAsia="en-ZA"/>
        </w:rPr>
        <w:t xml:space="preserve"> </w:t>
      </w:r>
      <w:r w:rsidR="00806396" w:rsidRPr="00806396">
        <w:rPr>
          <w:rFonts w:eastAsia="Times New Roman"/>
          <w:sz w:val="24"/>
          <w:szCs w:val="24"/>
          <w:lang w:val="en-GB" w:eastAsia="en-ZA"/>
        </w:rPr>
        <w:t>A</w:t>
      </w:r>
      <w:r w:rsidRPr="00A678F9">
        <w:rPr>
          <w:rFonts w:eastAsia="Times New Roman"/>
          <w:sz w:val="24"/>
          <w:szCs w:val="24"/>
          <w:lang w:val="en-GB" w:eastAsia="en-ZA"/>
        </w:rPr>
        <w:t>J, sitting as court of first instance):</w:t>
      </w:r>
    </w:p>
    <w:p w:rsidR="004E4009" w:rsidRPr="006E2F1E" w:rsidRDefault="004E4009" w:rsidP="005E25D9">
      <w:pPr>
        <w:pStyle w:val="Heading1"/>
        <w:spacing w:before="63" w:line="360" w:lineRule="auto"/>
        <w:ind w:left="0" w:right="360"/>
        <w:jc w:val="both"/>
        <w:rPr>
          <w:rFonts w:eastAsia="Times New Roman"/>
          <w:sz w:val="24"/>
          <w:szCs w:val="24"/>
          <w:lang w:eastAsia="en-ZA"/>
        </w:rPr>
      </w:pPr>
      <w:r>
        <w:rPr>
          <w:sz w:val="24"/>
          <w:szCs w:val="24"/>
        </w:rPr>
        <w:t xml:space="preserve">The appeal is </w:t>
      </w:r>
      <w:r w:rsidRPr="006E2F1E">
        <w:rPr>
          <w:sz w:val="24"/>
          <w:szCs w:val="24"/>
        </w:rPr>
        <w:t>dismissed with costs, including those of two counsel</w:t>
      </w:r>
      <w:r w:rsidR="00063E67">
        <w:rPr>
          <w:sz w:val="24"/>
          <w:szCs w:val="24"/>
        </w:rPr>
        <w:t xml:space="preserve"> where so employed</w:t>
      </w:r>
      <w:r w:rsidR="002E21E0">
        <w:rPr>
          <w:sz w:val="24"/>
          <w:szCs w:val="24"/>
        </w:rPr>
        <w:t>.</w:t>
      </w:r>
    </w:p>
    <w:p w:rsidR="004E4009" w:rsidRPr="006E2F1E" w:rsidRDefault="004E4009" w:rsidP="005E25D9">
      <w:pPr>
        <w:ind w:right="360"/>
        <w:rPr>
          <w:sz w:val="24"/>
          <w:szCs w:val="24"/>
        </w:rPr>
      </w:pPr>
    </w:p>
    <w:p w:rsidR="00A678F9" w:rsidRPr="00A678F9" w:rsidRDefault="00A678F9" w:rsidP="005E25D9">
      <w:pPr>
        <w:widowControl/>
        <w:pBdr>
          <w:top w:val="nil"/>
          <w:left w:val="nil"/>
          <w:bottom w:val="nil"/>
          <w:right w:val="nil"/>
          <w:between w:val="nil"/>
        </w:pBdr>
        <w:autoSpaceDE/>
        <w:autoSpaceDN/>
        <w:spacing w:line="276" w:lineRule="auto"/>
        <w:ind w:left="360" w:right="360" w:hanging="360"/>
        <w:jc w:val="both"/>
        <w:rPr>
          <w:b/>
          <w:color w:val="000000"/>
          <w:sz w:val="24"/>
          <w:szCs w:val="24"/>
          <w:lang w:val="en-GB" w:eastAsia="en-ZA"/>
        </w:rPr>
      </w:pPr>
      <w:r w:rsidRPr="00A678F9">
        <w:rPr>
          <w:b/>
          <w:color w:val="000000"/>
          <w:sz w:val="24"/>
          <w:szCs w:val="24"/>
          <w:lang w:val="en-GB" w:eastAsia="en-ZA"/>
        </w:rPr>
        <w:t>___________________________________________________________________</w:t>
      </w:r>
    </w:p>
    <w:p w:rsidR="00A678F9" w:rsidRPr="00A678F9" w:rsidRDefault="00A678F9" w:rsidP="005E25D9">
      <w:pPr>
        <w:widowControl/>
        <w:pBdr>
          <w:top w:val="nil"/>
          <w:left w:val="nil"/>
          <w:bottom w:val="nil"/>
          <w:right w:val="nil"/>
          <w:between w:val="nil"/>
        </w:pBdr>
        <w:autoSpaceDE/>
        <w:autoSpaceDN/>
        <w:spacing w:line="276" w:lineRule="auto"/>
        <w:ind w:left="360" w:right="360" w:hanging="360"/>
        <w:jc w:val="center"/>
        <w:rPr>
          <w:b/>
          <w:color w:val="000000"/>
          <w:sz w:val="24"/>
          <w:szCs w:val="24"/>
          <w:lang w:val="en-GB" w:eastAsia="en-ZA"/>
        </w:rPr>
      </w:pPr>
    </w:p>
    <w:p w:rsidR="00A678F9" w:rsidRPr="00A678F9" w:rsidRDefault="00A678F9" w:rsidP="005E25D9">
      <w:pPr>
        <w:widowControl/>
        <w:pBdr>
          <w:top w:val="nil"/>
          <w:left w:val="nil"/>
          <w:bottom w:val="nil"/>
          <w:right w:val="nil"/>
          <w:between w:val="nil"/>
        </w:pBdr>
        <w:autoSpaceDE/>
        <w:autoSpaceDN/>
        <w:spacing w:line="276" w:lineRule="auto"/>
        <w:ind w:left="360" w:right="360" w:hanging="360"/>
        <w:jc w:val="center"/>
        <w:rPr>
          <w:b/>
          <w:color w:val="000000"/>
          <w:sz w:val="24"/>
          <w:szCs w:val="24"/>
          <w:lang w:val="en-GB" w:eastAsia="en-ZA"/>
        </w:rPr>
      </w:pPr>
      <w:r w:rsidRPr="00A678F9">
        <w:rPr>
          <w:b/>
          <w:color w:val="000000"/>
          <w:sz w:val="24"/>
          <w:szCs w:val="24"/>
          <w:lang w:val="en-GB" w:eastAsia="en-ZA"/>
        </w:rPr>
        <w:t>JUDGMENT</w:t>
      </w:r>
    </w:p>
    <w:p w:rsidR="004E4009" w:rsidRPr="002E21E0" w:rsidRDefault="00A678F9" w:rsidP="005E25D9">
      <w:pPr>
        <w:widowControl/>
        <w:pBdr>
          <w:top w:val="nil"/>
          <w:left w:val="nil"/>
          <w:bottom w:val="nil"/>
          <w:right w:val="nil"/>
          <w:between w:val="nil"/>
        </w:pBdr>
        <w:autoSpaceDE/>
        <w:autoSpaceDN/>
        <w:spacing w:line="360" w:lineRule="auto"/>
        <w:ind w:left="360" w:right="360" w:hanging="360"/>
        <w:jc w:val="both"/>
        <w:rPr>
          <w:b/>
          <w:color w:val="000000"/>
          <w:sz w:val="24"/>
          <w:szCs w:val="24"/>
          <w:lang w:val="en-GB" w:eastAsia="en-ZA"/>
        </w:rPr>
      </w:pPr>
      <w:r w:rsidRPr="00A678F9">
        <w:rPr>
          <w:b/>
          <w:color w:val="000000"/>
          <w:sz w:val="24"/>
          <w:szCs w:val="24"/>
          <w:lang w:val="en-GB" w:eastAsia="en-ZA"/>
        </w:rPr>
        <w:t>___________________________________________________________________</w:t>
      </w:r>
    </w:p>
    <w:p w:rsidR="006B121C" w:rsidRDefault="006B121C" w:rsidP="00806396">
      <w:pPr>
        <w:widowControl/>
        <w:autoSpaceDE/>
        <w:autoSpaceDN/>
        <w:spacing w:line="360" w:lineRule="auto"/>
        <w:jc w:val="both"/>
        <w:rPr>
          <w:b/>
          <w:sz w:val="24"/>
          <w:szCs w:val="24"/>
          <w:lang w:val="en-GB" w:eastAsia="en-ZA"/>
        </w:rPr>
      </w:pPr>
    </w:p>
    <w:p w:rsidR="00E57F0D" w:rsidRPr="00806396" w:rsidRDefault="00F558EB" w:rsidP="00806396">
      <w:pPr>
        <w:widowControl/>
        <w:autoSpaceDE/>
        <w:autoSpaceDN/>
        <w:spacing w:line="360" w:lineRule="auto"/>
        <w:jc w:val="both"/>
        <w:rPr>
          <w:b/>
          <w:sz w:val="24"/>
          <w:szCs w:val="24"/>
          <w:lang w:val="en-GB" w:eastAsia="en-ZA"/>
        </w:rPr>
      </w:pPr>
      <w:r>
        <w:rPr>
          <w:b/>
          <w:sz w:val="24"/>
          <w:szCs w:val="24"/>
          <w:lang w:val="en-GB" w:eastAsia="en-ZA"/>
        </w:rPr>
        <w:t xml:space="preserve">Ponnan ADP (Mocumie, Gorven and Goosen JJA and Unterhalter AJA </w:t>
      </w:r>
      <w:r w:rsidR="00A678F9" w:rsidRPr="00A678F9">
        <w:rPr>
          <w:b/>
          <w:sz w:val="24"/>
          <w:szCs w:val="24"/>
          <w:lang w:val="en-GB" w:eastAsia="en-ZA"/>
        </w:rPr>
        <w:t>concurring)</w:t>
      </w:r>
    </w:p>
    <w:p w:rsidR="006B121C" w:rsidRDefault="006B121C" w:rsidP="00A678F9">
      <w:pPr>
        <w:spacing w:before="182" w:line="360" w:lineRule="auto"/>
        <w:jc w:val="both"/>
        <w:rPr>
          <w:sz w:val="24"/>
          <w:szCs w:val="24"/>
        </w:rPr>
      </w:pPr>
    </w:p>
    <w:p w:rsidR="00B45AFA" w:rsidRPr="003A4985" w:rsidRDefault="00A678F9" w:rsidP="00A678F9">
      <w:pPr>
        <w:spacing w:before="182" w:line="360" w:lineRule="auto"/>
        <w:jc w:val="both"/>
        <w:rPr>
          <w:sz w:val="24"/>
          <w:szCs w:val="24"/>
        </w:rPr>
      </w:pPr>
      <w:r>
        <w:rPr>
          <w:sz w:val="24"/>
          <w:szCs w:val="24"/>
        </w:rPr>
        <w:t>[1]</w:t>
      </w:r>
      <w:r>
        <w:rPr>
          <w:sz w:val="24"/>
          <w:szCs w:val="24"/>
        </w:rPr>
        <w:tab/>
      </w:r>
      <w:r w:rsidR="00606BBA" w:rsidRPr="003A4985">
        <w:rPr>
          <w:sz w:val="24"/>
          <w:szCs w:val="24"/>
        </w:rPr>
        <w:t>This appeal turns on whether an aggrieved taxpayer</w:t>
      </w:r>
      <w:r w:rsidR="003A4985">
        <w:rPr>
          <w:sz w:val="24"/>
          <w:szCs w:val="24"/>
        </w:rPr>
        <w:t xml:space="preserve">, seeking to challenge a tariff </w:t>
      </w:r>
      <w:r w:rsidR="00606BBA" w:rsidRPr="003A4985">
        <w:rPr>
          <w:sz w:val="24"/>
          <w:szCs w:val="24"/>
        </w:rPr>
        <w:t xml:space="preserve">determination </w:t>
      </w:r>
      <w:r w:rsidR="006B121C">
        <w:rPr>
          <w:sz w:val="24"/>
          <w:szCs w:val="24"/>
        </w:rPr>
        <w:t>in terms of</w:t>
      </w:r>
      <w:r w:rsidR="00D35AFC" w:rsidRPr="003A4985">
        <w:rPr>
          <w:sz w:val="24"/>
          <w:szCs w:val="24"/>
        </w:rPr>
        <w:t xml:space="preserve"> the Customs and Excise Act 91 of 1964 (the CEA), </w:t>
      </w:r>
      <w:r w:rsidR="00606BBA" w:rsidRPr="003A4985">
        <w:rPr>
          <w:sz w:val="24"/>
          <w:szCs w:val="24"/>
        </w:rPr>
        <w:t>is confined</w:t>
      </w:r>
      <w:r w:rsidR="00606BBA" w:rsidRPr="003A4985">
        <w:rPr>
          <w:spacing w:val="-16"/>
          <w:sz w:val="24"/>
          <w:szCs w:val="24"/>
        </w:rPr>
        <w:t xml:space="preserve"> </w:t>
      </w:r>
      <w:r w:rsidR="00606BBA" w:rsidRPr="003A4985">
        <w:rPr>
          <w:sz w:val="24"/>
          <w:szCs w:val="24"/>
        </w:rPr>
        <w:t>to</w:t>
      </w:r>
      <w:r w:rsidR="00606BBA" w:rsidRPr="003A4985">
        <w:rPr>
          <w:spacing w:val="-16"/>
          <w:sz w:val="24"/>
          <w:szCs w:val="24"/>
        </w:rPr>
        <w:t xml:space="preserve"> </w:t>
      </w:r>
      <w:r w:rsidR="00606BBA" w:rsidRPr="003A4985">
        <w:rPr>
          <w:sz w:val="24"/>
          <w:szCs w:val="24"/>
        </w:rPr>
        <w:t>the</w:t>
      </w:r>
      <w:r w:rsidR="00606BBA" w:rsidRPr="003A4985">
        <w:rPr>
          <w:spacing w:val="-16"/>
          <w:sz w:val="24"/>
          <w:szCs w:val="24"/>
        </w:rPr>
        <w:t xml:space="preserve"> </w:t>
      </w:r>
      <w:r w:rsidR="00606BBA" w:rsidRPr="003A4985">
        <w:rPr>
          <w:sz w:val="24"/>
          <w:szCs w:val="24"/>
        </w:rPr>
        <w:t>remedy</w:t>
      </w:r>
      <w:r w:rsidR="00606BBA" w:rsidRPr="003A4985">
        <w:rPr>
          <w:spacing w:val="-16"/>
          <w:sz w:val="24"/>
          <w:szCs w:val="24"/>
        </w:rPr>
        <w:t xml:space="preserve"> </w:t>
      </w:r>
      <w:r w:rsidR="00606BBA" w:rsidRPr="003A4985">
        <w:rPr>
          <w:sz w:val="24"/>
          <w:szCs w:val="24"/>
        </w:rPr>
        <w:t>of</w:t>
      </w:r>
      <w:r w:rsidR="00606BBA" w:rsidRPr="003A4985">
        <w:rPr>
          <w:spacing w:val="-16"/>
          <w:sz w:val="24"/>
          <w:szCs w:val="24"/>
        </w:rPr>
        <w:t xml:space="preserve"> </w:t>
      </w:r>
      <w:r w:rsidR="00606BBA" w:rsidRPr="003A4985">
        <w:rPr>
          <w:sz w:val="24"/>
          <w:szCs w:val="24"/>
        </w:rPr>
        <w:t>a</w:t>
      </w:r>
      <w:r w:rsidR="00606BBA" w:rsidRPr="003A4985">
        <w:rPr>
          <w:spacing w:val="-16"/>
          <w:sz w:val="24"/>
          <w:szCs w:val="24"/>
        </w:rPr>
        <w:t xml:space="preserve"> </w:t>
      </w:r>
      <w:r w:rsidR="00D3067C" w:rsidRPr="003A4985">
        <w:rPr>
          <w:sz w:val="24"/>
          <w:szCs w:val="24"/>
        </w:rPr>
        <w:t xml:space="preserve">wide </w:t>
      </w:r>
      <w:r w:rsidR="00606BBA" w:rsidRPr="003A4985">
        <w:rPr>
          <w:sz w:val="24"/>
          <w:szCs w:val="24"/>
        </w:rPr>
        <w:t>appeal</w:t>
      </w:r>
      <w:r w:rsidR="00606BBA" w:rsidRPr="003A4985">
        <w:rPr>
          <w:spacing w:val="-16"/>
          <w:sz w:val="24"/>
          <w:szCs w:val="24"/>
        </w:rPr>
        <w:t xml:space="preserve"> </w:t>
      </w:r>
      <w:r w:rsidR="00606BBA" w:rsidRPr="003A4985">
        <w:rPr>
          <w:sz w:val="24"/>
          <w:szCs w:val="24"/>
        </w:rPr>
        <w:t>under</w:t>
      </w:r>
      <w:r w:rsidR="00606BBA" w:rsidRPr="003A4985">
        <w:rPr>
          <w:spacing w:val="-5"/>
          <w:sz w:val="24"/>
          <w:szCs w:val="24"/>
        </w:rPr>
        <w:t xml:space="preserve"> </w:t>
      </w:r>
      <w:r w:rsidR="00D35AFC" w:rsidRPr="003A4985">
        <w:rPr>
          <w:sz w:val="24"/>
          <w:szCs w:val="24"/>
        </w:rPr>
        <w:t>s</w:t>
      </w:r>
      <w:r w:rsidR="00606BBA" w:rsidRPr="003A4985">
        <w:rPr>
          <w:spacing w:val="-9"/>
          <w:sz w:val="24"/>
          <w:szCs w:val="24"/>
        </w:rPr>
        <w:t xml:space="preserve"> </w:t>
      </w:r>
      <w:r w:rsidR="00606BBA" w:rsidRPr="003A4985">
        <w:rPr>
          <w:sz w:val="24"/>
          <w:szCs w:val="24"/>
        </w:rPr>
        <w:t>47(9)</w:t>
      </w:r>
      <w:r w:rsidR="00606BBA" w:rsidRPr="00453055">
        <w:rPr>
          <w:i/>
          <w:sz w:val="24"/>
          <w:szCs w:val="24"/>
        </w:rPr>
        <w:t>(e)</w:t>
      </w:r>
      <w:r w:rsidR="00606BBA" w:rsidRPr="003A4985">
        <w:rPr>
          <w:spacing w:val="-10"/>
          <w:sz w:val="24"/>
          <w:szCs w:val="24"/>
        </w:rPr>
        <w:t xml:space="preserve"> </w:t>
      </w:r>
      <w:r w:rsidR="00D73717">
        <w:rPr>
          <w:spacing w:val="-10"/>
          <w:sz w:val="24"/>
          <w:szCs w:val="24"/>
        </w:rPr>
        <w:t>of th</w:t>
      </w:r>
      <w:r w:rsidR="006F2E88">
        <w:rPr>
          <w:spacing w:val="-10"/>
          <w:sz w:val="24"/>
          <w:szCs w:val="24"/>
        </w:rPr>
        <w:t>e CEA</w:t>
      </w:r>
      <w:r w:rsidR="00D73717">
        <w:rPr>
          <w:spacing w:val="-10"/>
          <w:sz w:val="24"/>
          <w:szCs w:val="24"/>
        </w:rPr>
        <w:t>.</w:t>
      </w:r>
      <w:r w:rsidR="00D73717">
        <w:rPr>
          <w:sz w:val="24"/>
          <w:szCs w:val="24"/>
        </w:rPr>
        <w:t xml:space="preserve"> It</w:t>
      </w:r>
      <w:r w:rsidR="00B45AFA" w:rsidRPr="003A4985">
        <w:rPr>
          <w:sz w:val="24"/>
          <w:szCs w:val="24"/>
        </w:rPr>
        <w:t xml:space="preserve"> arises from a challenge by the respondent, Richards Bay Coal Terminal (Pty) Ltd (RBCT)</w:t>
      </w:r>
      <w:r w:rsidR="00E57F0D">
        <w:rPr>
          <w:sz w:val="24"/>
          <w:szCs w:val="24"/>
        </w:rPr>
        <w:t>,</w:t>
      </w:r>
      <w:r w:rsidR="00B45AFA" w:rsidRPr="003A4985">
        <w:rPr>
          <w:sz w:val="24"/>
          <w:szCs w:val="24"/>
        </w:rPr>
        <w:t xml:space="preserve"> to a tariff determination by the first appellant, the Commissioner, South African Revenue Service</w:t>
      </w:r>
      <w:r w:rsidR="00E57F0D">
        <w:rPr>
          <w:sz w:val="24"/>
          <w:szCs w:val="24"/>
        </w:rPr>
        <w:t xml:space="preserve"> (SARS)</w:t>
      </w:r>
      <w:r w:rsidR="00B45AFA" w:rsidRPr="003A4985">
        <w:rPr>
          <w:sz w:val="24"/>
          <w:szCs w:val="24"/>
        </w:rPr>
        <w:t xml:space="preserve">. </w:t>
      </w:r>
      <w:r w:rsidR="00453055">
        <w:rPr>
          <w:sz w:val="24"/>
          <w:szCs w:val="24"/>
        </w:rPr>
        <w:t>RBCT’</w:t>
      </w:r>
      <w:r w:rsidR="00B45AFA" w:rsidRPr="003A4985">
        <w:rPr>
          <w:sz w:val="24"/>
          <w:szCs w:val="24"/>
        </w:rPr>
        <w:t xml:space="preserve">s challenge was two-pronged: </w:t>
      </w:r>
      <w:r w:rsidR="00447879">
        <w:rPr>
          <w:sz w:val="24"/>
          <w:szCs w:val="24"/>
        </w:rPr>
        <w:t>I</w:t>
      </w:r>
      <w:r w:rsidR="00B45AFA" w:rsidRPr="003A4985">
        <w:rPr>
          <w:sz w:val="24"/>
          <w:szCs w:val="24"/>
        </w:rPr>
        <w:t xml:space="preserve">t sought both </w:t>
      </w:r>
      <w:r w:rsidR="00D3067C" w:rsidRPr="003A4985">
        <w:rPr>
          <w:sz w:val="24"/>
          <w:szCs w:val="24"/>
        </w:rPr>
        <w:t>to appeal the determination in terms of the statutory appeal provision in s 47(9)</w:t>
      </w:r>
      <w:r w:rsidR="00D3067C" w:rsidRPr="00453055">
        <w:rPr>
          <w:i/>
          <w:sz w:val="24"/>
          <w:szCs w:val="24"/>
        </w:rPr>
        <w:t>(e)</w:t>
      </w:r>
      <w:r w:rsidR="00D3067C" w:rsidRPr="003A4985">
        <w:rPr>
          <w:sz w:val="24"/>
          <w:szCs w:val="24"/>
        </w:rPr>
        <w:t xml:space="preserve"> of the CEA</w:t>
      </w:r>
      <w:r w:rsidR="00447879">
        <w:rPr>
          <w:sz w:val="24"/>
          <w:szCs w:val="24"/>
        </w:rPr>
        <w:t>,</w:t>
      </w:r>
      <w:r w:rsidR="00D3067C" w:rsidRPr="003A4985">
        <w:rPr>
          <w:sz w:val="24"/>
          <w:szCs w:val="24"/>
        </w:rPr>
        <w:t xml:space="preserve"> a</w:t>
      </w:r>
      <w:r w:rsidR="00D73717">
        <w:rPr>
          <w:sz w:val="24"/>
          <w:szCs w:val="24"/>
        </w:rPr>
        <w:t>s</w:t>
      </w:r>
      <w:r w:rsidR="00D3067C" w:rsidRPr="003A4985">
        <w:rPr>
          <w:sz w:val="24"/>
          <w:szCs w:val="24"/>
        </w:rPr>
        <w:t xml:space="preserve"> also</w:t>
      </w:r>
      <w:r w:rsidR="00D73717">
        <w:rPr>
          <w:sz w:val="24"/>
          <w:szCs w:val="24"/>
        </w:rPr>
        <w:t>,</w:t>
      </w:r>
      <w:r w:rsidR="00D3067C" w:rsidRPr="003A4985">
        <w:rPr>
          <w:sz w:val="24"/>
          <w:szCs w:val="24"/>
        </w:rPr>
        <w:t xml:space="preserve"> at the same time</w:t>
      </w:r>
      <w:r w:rsidR="00E57F0D">
        <w:rPr>
          <w:sz w:val="24"/>
          <w:szCs w:val="24"/>
        </w:rPr>
        <w:t>,</w:t>
      </w:r>
      <w:r w:rsidR="00D3067C" w:rsidRPr="003A4985">
        <w:rPr>
          <w:sz w:val="24"/>
          <w:szCs w:val="24"/>
        </w:rPr>
        <w:t xml:space="preserve"> </w:t>
      </w:r>
      <w:r w:rsidR="00B45AFA" w:rsidRPr="003A4985">
        <w:rPr>
          <w:sz w:val="24"/>
          <w:szCs w:val="24"/>
        </w:rPr>
        <w:t xml:space="preserve">to review </w:t>
      </w:r>
      <w:r w:rsidR="00447879">
        <w:rPr>
          <w:sz w:val="24"/>
          <w:szCs w:val="24"/>
        </w:rPr>
        <w:t>it</w:t>
      </w:r>
      <w:r w:rsidR="00D3067C" w:rsidRPr="003A4985">
        <w:rPr>
          <w:sz w:val="24"/>
          <w:szCs w:val="24"/>
        </w:rPr>
        <w:t xml:space="preserve"> </w:t>
      </w:r>
      <w:r w:rsidR="00B45AFA" w:rsidRPr="003A4985">
        <w:rPr>
          <w:sz w:val="24"/>
          <w:szCs w:val="24"/>
        </w:rPr>
        <w:t>under the Promotion of</w:t>
      </w:r>
      <w:r w:rsidR="00D3067C" w:rsidRPr="003A4985">
        <w:rPr>
          <w:sz w:val="24"/>
          <w:szCs w:val="24"/>
        </w:rPr>
        <w:t xml:space="preserve"> </w:t>
      </w:r>
      <w:r w:rsidR="00B45AFA" w:rsidRPr="003A4985">
        <w:rPr>
          <w:sz w:val="24"/>
          <w:szCs w:val="24"/>
        </w:rPr>
        <w:t>Adminis</w:t>
      </w:r>
      <w:r w:rsidR="00D3067C" w:rsidRPr="003A4985">
        <w:rPr>
          <w:sz w:val="24"/>
          <w:szCs w:val="24"/>
        </w:rPr>
        <w:t>trative Justice Act 3 of 2000 (PAJA</w:t>
      </w:r>
      <w:r w:rsidR="00B45AFA" w:rsidRPr="003A4985">
        <w:rPr>
          <w:sz w:val="24"/>
          <w:szCs w:val="24"/>
        </w:rPr>
        <w:t>), alternat</w:t>
      </w:r>
      <w:r w:rsidR="00D3067C" w:rsidRPr="003A4985">
        <w:rPr>
          <w:sz w:val="24"/>
          <w:szCs w:val="24"/>
        </w:rPr>
        <w:t>ively the principle of legality.</w:t>
      </w:r>
    </w:p>
    <w:p w:rsidR="004416C3" w:rsidRDefault="004416C3" w:rsidP="003E2F5C">
      <w:pPr>
        <w:tabs>
          <w:tab w:val="left" w:pos="2029"/>
        </w:tabs>
        <w:spacing w:before="182" w:line="360" w:lineRule="auto"/>
        <w:ind w:right="-46"/>
        <w:jc w:val="both"/>
        <w:rPr>
          <w:sz w:val="24"/>
          <w:szCs w:val="24"/>
        </w:rPr>
      </w:pPr>
    </w:p>
    <w:p w:rsidR="00FB77B7" w:rsidRPr="003A4985" w:rsidRDefault="00A678F9" w:rsidP="002E21E0">
      <w:pPr>
        <w:spacing w:before="182" w:line="360" w:lineRule="auto"/>
        <w:jc w:val="both"/>
        <w:rPr>
          <w:sz w:val="24"/>
          <w:szCs w:val="24"/>
        </w:rPr>
      </w:pPr>
      <w:r>
        <w:rPr>
          <w:sz w:val="24"/>
          <w:szCs w:val="24"/>
        </w:rPr>
        <w:t>[</w:t>
      </w:r>
      <w:r w:rsidR="00D73717">
        <w:rPr>
          <w:sz w:val="24"/>
          <w:szCs w:val="24"/>
        </w:rPr>
        <w:t>2</w:t>
      </w:r>
      <w:r>
        <w:rPr>
          <w:sz w:val="24"/>
          <w:szCs w:val="24"/>
        </w:rPr>
        <w:t>]</w:t>
      </w:r>
      <w:r>
        <w:rPr>
          <w:sz w:val="24"/>
          <w:szCs w:val="24"/>
        </w:rPr>
        <w:tab/>
      </w:r>
      <w:r w:rsidR="00FB77B7">
        <w:rPr>
          <w:sz w:val="24"/>
          <w:szCs w:val="24"/>
        </w:rPr>
        <w:t xml:space="preserve">As an incident of the review application, RBCT sought the record of the tariff determination in terms of </w:t>
      </w:r>
      <w:r w:rsidR="00447879">
        <w:rPr>
          <w:sz w:val="24"/>
          <w:szCs w:val="24"/>
        </w:rPr>
        <w:t>U</w:t>
      </w:r>
      <w:r w:rsidR="00FB77B7">
        <w:rPr>
          <w:sz w:val="24"/>
          <w:szCs w:val="24"/>
        </w:rPr>
        <w:t xml:space="preserve">niform </w:t>
      </w:r>
      <w:r w:rsidR="00F232C4">
        <w:rPr>
          <w:sz w:val="24"/>
          <w:szCs w:val="24"/>
        </w:rPr>
        <w:t>r</w:t>
      </w:r>
      <w:r w:rsidR="00FB77B7">
        <w:rPr>
          <w:sz w:val="24"/>
          <w:szCs w:val="24"/>
        </w:rPr>
        <w:t>ule 53</w:t>
      </w:r>
      <w:r w:rsidR="00073108">
        <w:rPr>
          <w:sz w:val="24"/>
          <w:szCs w:val="24"/>
        </w:rPr>
        <w:t>.</w:t>
      </w:r>
      <w:r w:rsidR="006B121C" w:rsidRPr="006B121C">
        <w:rPr>
          <w:sz w:val="24"/>
          <w:szCs w:val="24"/>
        </w:rPr>
        <w:t xml:space="preserve"> </w:t>
      </w:r>
      <w:r w:rsidR="00073108">
        <w:rPr>
          <w:sz w:val="24"/>
          <w:szCs w:val="24"/>
        </w:rPr>
        <w:t>I</w:t>
      </w:r>
      <w:r w:rsidR="006B121C">
        <w:rPr>
          <w:sz w:val="24"/>
          <w:szCs w:val="24"/>
        </w:rPr>
        <w:t>n the alternative, RBCT also sought the documents constit</w:t>
      </w:r>
      <w:r w:rsidR="00F232C4">
        <w:rPr>
          <w:sz w:val="24"/>
          <w:szCs w:val="24"/>
        </w:rPr>
        <w:t>uting the record under Uniform r</w:t>
      </w:r>
      <w:r w:rsidR="006B121C">
        <w:rPr>
          <w:sz w:val="24"/>
          <w:szCs w:val="24"/>
        </w:rPr>
        <w:t xml:space="preserve">ule 35(11). </w:t>
      </w:r>
      <w:r w:rsidR="00FB77B7">
        <w:rPr>
          <w:sz w:val="24"/>
          <w:szCs w:val="24"/>
        </w:rPr>
        <w:t xml:space="preserve">SARS resisted production of the record on the basis that as the review was not competent, RBCT is consequently not entitled to the record. </w:t>
      </w:r>
    </w:p>
    <w:p w:rsidR="00A14DB1" w:rsidRDefault="00A14DB1" w:rsidP="00A678F9">
      <w:pPr>
        <w:spacing w:before="182" w:line="360" w:lineRule="auto"/>
        <w:ind w:right="-46"/>
        <w:jc w:val="both"/>
        <w:rPr>
          <w:sz w:val="24"/>
          <w:szCs w:val="24"/>
        </w:rPr>
      </w:pPr>
    </w:p>
    <w:p w:rsidR="006B121C" w:rsidRDefault="00A678F9" w:rsidP="002E21E0">
      <w:pPr>
        <w:spacing w:before="182" w:line="360" w:lineRule="auto"/>
        <w:jc w:val="both"/>
        <w:rPr>
          <w:sz w:val="24"/>
          <w:szCs w:val="24"/>
        </w:rPr>
      </w:pPr>
      <w:r>
        <w:rPr>
          <w:sz w:val="24"/>
          <w:szCs w:val="24"/>
        </w:rPr>
        <w:lastRenderedPageBreak/>
        <w:t>[</w:t>
      </w:r>
      <w:r w:rsidR="00D73717">
        <w:rPr>
          <w:sz w:val="24"/>
          <w:szCs w:val="24"/>
        </w:rPr>
        <w:t>3</w:t>
      </w:r>
      <w:r>
        <w:rPr>
          <w:sz w:val="24"/>
          <w:szCs w:val="24"/>
        </w:rPr>
        <w:t>]</w:t>
      </w:r>
      <w:r>
        <w:rPr>
          <w:sz w:val="24"/>
          <w:szCs w:val="24"/>
        </w:rPr>
        <w:tab/>
      </w:r>
      <w:r w:rsidR="00FB77B7">
        <w:rPr>
          <w:sz w:val="24"/>
          <w:szCs w:val="24"/>
        </w:rPr>
        <w:t>The</w:t>
      </w:r>
      <w:r w:rsidR="00D73717">
        <w:rPr>
          <w:sz w:val="24"/>
          <w:szCs w:val="24"/>
        </w:rPr>
        <w:t xml:space="preserve"> factual backdrop, </w:t>
      </w:r>
      <w:r w:rsidR="0030581D">
        <w:rPr>
          <w:sz w:val="24"/>
          <w:szCs w:val="24"/>
        </w:rPr>
        <w:t xml:space="preserve">against which the issue arises for consideration (and </w:t>
      </w:r>
      <w:r w:rsidR="00D73717">
        <w:rPr>
          <w:sz w:val="24"/>
          <w:szCs w:val="24"/>
        </w:rPr>
        <w:t xml:space="preserve">which by and large </w:t>
      </w:r>
      <w:r w:rsidR="006B121C">
        <w:rPr>
          <w:sz w:val="24"/>
          <w:szCs w:val="24"/>
        </w:rPr>
        <w:t>is</w:t>
      </w:r>
      <w:r w:rsidR="0030581D">
        <w:rPr>
          <w:sz w:val="24"/>
          <w:szCs w:val="24"/>
        </w:rPr>
        <w:t xml:space="preserve"> </w:t>
      </w:r>
      <w:r w:rsidR="00D73717">
        <w:rPr>
          <w:sz w:val="24"/>
          <w:szCs w:val="24"/>
        </w:rPr>
        <w:t>either common cause or undisputed</w:t>
      </w:r>
      <w:r w:rsidR="0030581D">
        <w:rPr>
          <w:sz w:val="24"/>
          <w:szCs w:val="24"/>
        </w:rPr>
        <w:t>)</w:t>
      </w:r>
      <w:r w:rsidR="00D73717">
        <w:rPr>
          <w:sz w:val="24"/>
          <w:szCs w:val="24"/>
        </w:rPr>
        <w:t xml:space="preserve">, </w:t>
      </w:r>
      <w:r w:rsidR="00447879">
        <w:rPr>
          <w:sz w:val="24"/>
          <w:szCs w:val="24"/>
        </w:rPr>
        <w:t>may be summarised as follows</w:t>
      </w:r>
      <w:r w:rsidR="00FB77B7">
        <w:rPr>
          <w:sz w:val="24"/>
          <w:szCs w:val="24"/>
        </w:rPr>
        <w:t>:</w:t>
      </w:r>
      <w:r w:rsidR="00D73717">
        <w:rPr>
          <w:sz w:val="24"/>
          <w:szCs w:val="24"/>
        </w:rPr>
        <w:t xml:space="preserve"> </w:t>
      </w:r>
      <w:r w:rsidR="00D73717" w:rsidRPr="00D73717">
        <w:rPr>
          <w:sz w:val="24"/>
          <w:szCs w:val="24"/>
        </w:rPr>
        <w:t xml:space="preserve">In his </w:t>
      </w:r>
      <w:r w:rsidR="00D73717">
        <w:rPr>
          <w:sz w:val="24"/>
          <w:szCs w:val="24"/>
        </w:rPr>
        <w:t xml:space="preserve">2001 </w:t>
      </w:r>
      <w:r w:rsidR="00D73717" w:rsidRPr="00D73717">
        <w:rPr>
          <w:sz w:val="24"/>
          <w:szCs w:val="24"/>
        </w:rPr>
        <w:t>budget speech</w:t>
      </w:r>
      <w:r w:rsidR="0030581D">
        <w:rPr>
          <w:sz w:val="24"/>
          <w:szCs w:val="24"/>
        </w:rPr>
        <w:t>,</w:t>
      </w:r>
      <w:r w:rsidR="00D73717" w:rsidRPr="00D73717">
        <w:rPr>
          <w:sz w:val="24"/>
          <w:szCs w:val="24"/>
        </w:rPr>
        <w:t xml:space="preserve"> the then Minister of Finance, </w:t>
      </w:r>
      <w:r w:rsidR="00447879">
        <w:rPr>
          <w:sz w:val="24"/>
          <w:szCs w:val="24"/>
        </w:rPr>
        <w:t>made the following announcement</w:t>
      </w:r>
      <w:r w:rsidR="00D73717" w:rsidRPr="00D73717">
        <w:rPr>
          <w:sz w:val="24"/>
          <w:szCs w:val="24"/>
        </w:rPr>
        <w:t>:</w:t>
      </w:r>
    </w:p>
    <w:p w:rsidR="00D73717" w:rsidRDefault="0032096F" w:rsidP="00CF45E2">
      <w:pPr>
        <w:spacing w:before="182" w:line="360" w:lineRule="auto"/>
        <w:jc w:val="both"/>
      </w:pPr>
      <w:r>
        <w:t xml:space="preserve"> </w:t>
      </w:r>
      <w:r w:rsidR="0030581D">
        <w:t>‘</w:t>
      </w:r>
      <w:r w:rsidR="00D73717">
        <w:t>In the 2000 budget, a diesel fuel concession was reintroduced for fishing and coastal shipping. Government committed itself to explore the possibility of extending this to other primary producers, contingent on developing an administrative regime to minimise the risk of fraud; and ensuring the concession is affordable within the broader fiscal framework. The bulk of diesel fuel used in farming, forestry and mining is used off road. Given this, and to encourage the international competitiveness of especially our farmers, foresters and miners, the following diesel fuel concessions are proposed:</w:t>
      </w:r>
    </w:p>
    <w:p w:rsidR="00D73717" w:rsidRDefault="003F5593" w:rsidP="003F5593">
      <w:pPr>
        <w:spacing w:before="182" w:line="360" w:lineRule="auto"/>
        <w:ind w:left="720" w:right="-46" w:hanging="360"/>
      </w:pPr>
      <w:r>
        <w:rPr>
          <w:rFonts w:ascii="Symbol" w:hAnsi="Symbol"/>
        </w:rPr>
        <w:t></w:t>
      </w:r>
      <w:r>
        <w:rPr>
          <w:rFonts w:ascii="Symbol" w:hAnsi="Symbol"/>
        </w:rPr>
        <w:tab/>
      </w:r>
      <w:r w:rsidR="00D73717">
        <w:t>25.6 cents a litre of the general fuel levy on qualifying consumption,</w:t>
      </w:r>
    </w:p>
    <w:p w:rsidR="00D73717" w:rsidRDefault="003F5593" w:rsidP="003F5593">
      <w:pPr>
        <w:spacing w:before="182" w:line="360" w:lineRule="auto"/>
        <w:ind w:left="720" w:right="-46" w:hanging="360"/>
      </w:pPr>
      <w:r>
        <w:rPr>
          <w:rFonts w:ascii="Symbol" w:hAnsi="Symbol"/>
        </w:rPr>
        <w:t></w:t>
      </w:r>
      <w:r>
        <w:rPr>
          <w:rFonts w:ascii="Symbol" w:hAnsi="Symbol"/>
        </w:rPr>
        <w:tab/>
      </w:r>
      <w:r w:rsidR="00D73717">
        <w:t>The full 16.5 cents a litre Road Accident Fund levy on qualifying consumption.</w:t>
      </w:r>
    </w:p>
    <w:p w:rsidR="00D73717" w:rsidRDefault="00D73717" w:rsidP="00A81E74">
      <w:pPr>
        <w:spacing w:before="182" w:line="360" w:lineRule="auto"/>
        <w:jc w:val="both"/>
      </w:pPr>
      <w:r>
        <w:t xml:space="preserve">Qualifying consumption will be 80 per cent of total consumption. Diesel concessions will be implemented on 4 July 2001 and will cost R417 </w:t>
      </w:r>
      <w:r w:rsidR="005E25D9">
        <w:t>million a year.’</w:t>
      </w:r>
    </w:p>
    <w:p w:rsidR="0030581D" w:rsidRDefault="0030581D" w:rsidP="0030581D">
      <w:pPr>
        <w:spacing w:before="182" w:line="360" w:lineRule="auto"/>
        <w:ind w:right="-46"/>
        <w:jc w:val="both"/>
        <w:rPr>
          <w:sz w:val="24"/>
          <w:szCs w:val="24"/>
        </w:rPr>
      </w:pPr>
    </w:p>
    <w:p w:rsidR="00FB77B7" w:rsidRDefault="006F2E88" w:rsidP="002E21E0">
      <w:pPr>
        <w:spacing w:before="182" w:line="360" w:lineRule="auto"/>
        <w:jc w:val="both"/>
        <w:rPr>
          <w:sz w:val="24"/>
          <w:szCs w:val="24"/>
        </w:rPr>
      </w:pPr>
      <w:r>
        <w:rPr>
          <w:sz w:val="24"/>
          <w:szCs w:val="24"/>
        </w:rPr>
        <w:t>[4]</w:t>
      </w:r>
      <w:r>
        <w:rPr>
          <w:sz w:val="24"/>
          <w:szCs w:val="24"/>
        </w:rPr>
        <w:tab/>
      </w:r>
      <w:r w:rsidR="00FB77B7">
        <w:rPr>
          <w:sz w:val="24"/>
          <w:szCs w:val="24"/>
        </w:rPr>
        <w:t>RBCT is one of the leading coal export terminals in the world. Its shareholders are South Africa’s major coal exporters, with mines situat</w:t>
      </w:r>
      <w:r w:rsidR="005E25D9">
        <w:rPr>
          <w:sz w:val="24"/>
          <w:szCs w:val="24"/>
        </w:rPr>
        <w:t>ed primarily in Mpumalanga and n</w:t>
      </w:r>
      <w:r w:rsidR="00FB77B7">
        <w:rPr>
          <w:sz w:val="24"/>
          <w:szCs w:val="24"/>
        </w:rPr>
        <w:t>orthern KwaZulu-Natal. Coal is sourced from these mines and transported to RBCT in Richards Bay, where it is stockpiled and loaded onto vessels for export.</w:t>
      </w:r>
      <w:r>
        <w:rPr>
          <w:sz w:val="24"/>
          <w:szCs w:val="24"/>
        </w:rPr>
        <w:t xml:space="preserve"> </w:t>
      </w:r>
      <w:r w:rsidR="006B121C" w:rsidRPr="0030581D">
        <w:rPr>
          <w:sz w:val="24"/>
          <w:szCs w:val="24"/>
        </w:rPr>
        <w:t>The administrative regime that was set up to implement the diesel rebate scheme was introduced by t</w:t>
      </w:r>
      <w:r w:rsidR="006B121C">
        <w:rPr>
          <w:sz w:val="24"/>
          <w:szCs w:val="24"/>
        </w:rPr>
        <w:t>he Department of Finance in 2001,</w:t>
      </w:r>
      <w:r w:rsidR="006B121C" w:rsidRPr="0030581D">
        <w:rPr>
          <w:sz w:val="24"/>
          <w:szCs w:val="24"/>
        </w:rPr>
        <w:t xml:space="preserve"> in the exercise of the powers provided for in s 75 of the </w:t>
      </w:r>
      <w:r w:rsidR="006B121C">
        <w:rPr>
          <w:sz w:val="24"/>
          <w:szCs w:val="24"/>
        </w:rPr>
        <w:t>CEA.</w:t>
      </w:r>
      <w:r w:rsidR="006B121C" w:rsidRPr="0030581D">
        <w:rPr>
          <w:sz w:val="24"/>
          <w:szCs w:val="24"/>
        </w:rPr>
        <w:t xml:space="preserve"> </w:t>
      </w:r>
      <w:r w:rsidR="00FB77B7">
        <w:rPr>
          <w:sz w:val="24"/>
          <w:szCs w:val="24"/>
        </w:rPr>
        <w:t>In 2009, RBCT registered for the diesel fuel levy refund scheme</w:t>
      </w:r>
      <w:r>
        <w:rPr>
          <w:sz w:val="24"/>
          <w:szCs w:val="24"/>
        </w:rPr>
        <w:t>.</w:t>
      </w:r>
      <w:r w:rsidR="00FB77B7">
        <w:rPr>
          <w:sz w:val="24"/>
          <w:szCs w:val="24"/>
        </w:rPr>
        <w:t xml:space="preserve"> </w:t>
      </w:r>
      <w:r>
        <w:rPr>
          <w:sz w:val="24"/>
          <w:szCs w:val="24"/>
        </w:rPr>
        <w:t>I</w:t>
      </w:r>
      <w:r w:rsidR="00FB77B7">
        <w:rPr>
          <w:sz w:val="24"/>
          <w:szCs w:val="24"/>
        </w:rPr>
        <w:t xml:space="preserve">t </w:t>
      </w:r>
      <w:r>
        <w:rPr>
          <w:sz w:val="24"/>
          <w:szCs w:val="24"/>
        </w:rPr>
        <w:t xml:space="preserve">thereafter </w:t>
      </w:r>
      <w:r w:rsidR="00FB77B7">
        <w:rPr>
          <w:sz w:val="24"/>
          <w:szCs w:val="24"/>
        </w:rPr>
        <w:t>claimed rebates</w:t>
      </w:r>
      <w:r w:rsidR="003F3044">
        <w:rPr>
          <w:sz w:val="24"/>
          <w:szCs w:val="24"/>
        </w:rPr>
        <w:t xml:space="preserve"> </w:t>
      </w:r>
      <w:r w:rsidR="00FB77B7">
        <w:rPr>
          <w:sz w:val="24"/>
          <w:szCs w:val="24"/>
        </w:rPr>
        <w:t xml:space="preserve">for the period 2009 to 2017. On 22 April 2015, SARS launched an investigation into </w:t>
      </w:r>
      <w:r>
        <w:rPr>
          <w:sz w:val="24"/>
          <w:szCs w:val="24"/>
        </w:rPr>
        <w:t>those claims</w:t>
      </w:r>
      <w:r w:rsidR="00FB77B7">
        <w:rPr>
          <w:sz w:val="24"/>
          <w:szCs w:val="24"/>
        </w:rPr>
        <w:t xml:space="preserve">. On 15 August 2017, SARS sent </w:t>
      </w:r>
      <w:r w:rsidR="00E57F0D">
        <w:rPr>
          <w:sz w:val="24"/>
          <w:szCs w:val="24"/>
        </w:rPr>
        <w:t>RBCT an audit engagement letter</w:t>
      </w:r>
      <w:r w:rsidR="00FB77B7">
        <w:rPr>
          <w:sz w:val="24"/>
          <w:szCs w:val="24"/>
        </w:rPr>
        <w:t xml:space="preserve"> and</w:t>
      </w:r>
      <w:r w:rsidR="00E57F0D">
        <w:rPr>
          <w:sz w:val="24"/>
          <w:szCs w:val="24"/>
        </w:rPr>
        <w:t>,</w:t>
      </w:r>
      <w:r w:rsidR="00FB77B7">
        <w:rPr>
          <w:sz w:val="24"/>
          <w:szCs w:val="24"/>
        </w:rPr>
        <w:t xml:space="preserve"> on 5 October 2017</w:t>
      </w:r>
      <w:r w:rsidR="00E57F0D">
        <w:rPr>
          <w:sz w:val="24"/>
          <w:szCs w:val="24"/>
        </w:rPr>
        <w:t>,</w:t>
      </w:r>
      <w:r w:rsidR="00FB77B7">
        <w:rPr>
          <w:sz w:val="24"/>
          <w:szCs w:val="24"/>
        </w:rPr>
        <w:t xml:space="preserve"> it sent RBCT a </w:t>
      </w:r>
      <w:r w:rsidR="003F3044">
        <w:rPr>
          <w:sz w:val="24"/>
          <w:szCs w:val="24"/>
        </w:rPr>
        <w:t>N</w:t>
      </w:r>
      <w:r w:rsidR="00FB77B7">
        <w:rPr>
          <w:sz w:val="24"/>
          <w:szCs w:val="24"/>
        </w:rPr>
        <w:t xml:space="preserve">otice of </w:t>
      </w:r>
      <w:r w:rsidR="003F3044">
        <w:rPr>
          <w:sz w:val="24"/>
          <w:szCs w:val="24"/>
        </w:rPr>
        <w:t>I</w:t>
      </w:r>
      <w:r w:rsidR="00FB77B7">
        <w:rPr>
          <w:sz w:val="24"/>
          <w:szCs w:val="24"/>
        </w:rPr>
        <w:t xml:space="preserve">ntention to </w:t>
      </w:r>
      <w:r w:rsidR="003F3044">
        <w:rPr>
          <w:sz w:val="24"/>
          <w:szCs w:val="24"/>
        </w:rPr>
        <w:t>A</w:t>
      </w:r>
      <w:r w:rsidR="00FB77B7">
        <w:rPr>
          <w:sz w:val="24"/>
          <w:szCs w:val="24"/>
        </w:rPr>
        <w:t>ssess</w:t>
      </w:r>
      <w:r w:rsidR="00746874">
        <w:rPr>
          <w:sz w:val="24"/>
          <w:szCs w:val="24"/>
        </w:rPr>
        <w:t xml:space="preserve">. SARS’ </w:t>
      </w:r>
      <w:r w:rsidR="00746874" w:rsidRPr="00746874">
        <w:rPr>
          <w:i/>
          <w:sz w:val="24"/>
          <w:szCs w:val="24"/>
        </w:rPr>
        <w:t>prima facie</w:t>
      </w:r>
      <w:r w:rsidR="00746874">
        <w:rPr>
          <w:sz w:val="24"/>
          <w:szCs w:val="24"/>
        </w:rPr>
        <w:t xml:space="preserve"> view, as communicated to RBCT</w:t>
      </w:r>
      <w:r w:rsidR="00E57F0D">
        <w:rPr>
          <w:sz w:val="24"/>
          <w:szCs w:val="24"/>
        </w:rPr>
        <w:t>,</w:t>
      </w:r>
      <w:r w:rsidR="00746874">
        <w:rPr>
          <w:sz w:val="24"/>
          <w:szCs w:val="24"/>
        </w:rPr>
        <w:t xml:space="preserve"> was that the latter had claimed refunds </w:t>
      </w:r>
      <w:r>
        <w:rPr>
          <w:sz w:val="24"/>
          <w:szCs w:val="24"/>
        </w:rPr>
        <w:t>for</w:t>
      </w:r>
      <w:r w:rsidR="00746874">
        <w:rPr>
          <w:sz w:val="24"/>
          <w:szCs w:val="24"/>
        </w:rPr>
        <w:t xml:space="preserve"> ‘non-qualifying activity’</w:t>
      </w:r>
      <w:r w:rsidR="00453055">
        <w:rPr>
          <w:sz w:val="24"/>
          <w:szCs w:val="24"/>
        </w:rPr>
        <w:t xml:space="preserve"> </w:t>
      </w:r>
      <w:r w:rsidR="00746874">
        <w:rPr>
          <w:sz w:val="24"/>
          <w:szCs w:val="24"/>
        </w:rPr>
        <w:t>in excess of R7 million for the period March 2013 to August 2017. RBCT was given 14 days within which to respond to the Notice, which it did on 15 November 2017.</w:t>
      </w:r>
    </w:p>
    <w:p w:rsidR="00A678F9" w:rsidRDefault="00A678F9" w:rsidP="00A678F9">
      <w:pPr>
        <w:spacing w:before="182" w:line="360" w:lineRule="auto"/>
        <w:jc w:val="both"/>
        <w:rPr>
          <w:sz w:val="24"/>
          <w:szCs w:val="24"/>
        </w:rPr>
      </w:pPr>
    </w:p>
    <w:p w:rsidR="00746874" w:rsidRPr="003A4985" w:rsidRDefault="00A678F9" w:rsidP="00A678F9">
      <w:pPr>
        <w:spacing w:before="182" w:line="360" w:lineRule="auto"/>
        <w:jc w:val="both"/>
        <w:rPr>
          <w:sz w:val="24"/>
          <w:szCs w:val="24"/>
        </w:rPr>
      </w:pPr>
      <w:r>
        <w:rPr>
          <w:sz w:val="24"/>
          <w:szCs w:val="24"/>
        </w:rPr>
        <w:t>[</w:t>
      </w:r>
      <w:r w:rsidR="006F2E88">
        <w:rPr>
          <w:sz w:val="24"/>
          <w:szCs w:val="24"/>
        </w:rPr>
        <w:t>5</w:t>
      </w:r>
      <w:r>
        <w:rPr>
          <w:sz w:val="24"/>
          <w:szCs w:val="24"/>
        </w:rPr>
        <w:t>]</w:t>
      </w:r>
      <w:r>
        <w:rPr>
          <w:sz w:val="24"/>
          <w:szCs w:val="24"/>
        </w:rPr>
        <w:tab/>
      </w:r>
      <w:r w:rsidR="00746874">
        <w:rPr>
          <w:sz w:val="24"/>
          <w:szCs w:val="24"/>
        </w:rPr>
        <w:t xml:space="preserve">On 4 December 2017, SARS issued a </w:t>
      </w:r>
      <w:r w:rsidR="006F2E88">
        <w:rPr>
          <w:sz w:val="24"/>
          <w:szCs w:val="24"/>
        </w:rPr>
        <w:t>l</w:t>
      </w:r>
      <w:r w:rsidR="00746874">
        <w:rPr>
          <w:sz w:val="24"/>
          <w:szCs w:val="24"/>
        </w:rPr>
        <w:t xml:space="preserve">etter of </w:t>
      </w:r>
      <w:r w:rsidR="006F2E88">
        <w:rPr>
          <w:sz w:val="24"/>
          <w:szCs w:val="24"/>
        </w:rPr>
        <w:t>d</w:t>
      </w:r>
      <w:r w:rsidR="00746874">
        <w:rPr>
          <w:sz w:val="24"/>
          <w:szCs w:val="24"/>
        </w:rPr>
        <w:t>emand to RBCT under s 75</w:t>
      </w:r>
      <w:r w:rsidR="006F2E88" w:rsidRPr="006F2E88">
        <w:rPr>
          <w:sz w:val="24"/>
          <w:szCs w:val="24"/>
        </w:rPr>
        <w:t xml:space="preserve"> </w:t>
      </w:r>
      <w:r w:rsidR="003F3044">
        <w:rPr>
          <w:sz w:val="24"/>
          <w:szCs w:val="24"/>
        </w:rPr>
        <w:t>(</w:t>
      </w:r>
      <w:r w:rsidR="006F2E88">
        <w:rPr>
          <w:sz w:val="24"/>
          <w:szCs w:val="24"/>
        </w:rPr>
        <w:t xml:space="preserve">read </w:t>
      </w:r>
      <w:r w:rsidR="006F2E88">
        <w:rPr>
          <w:sz w:val="24"/>
          <w:szCs w:val="24"/>
        </w:rPr>
        <w:lastRenderedPageBreak/>
        <w:t>with Part 3 of Schedule 6</w:t>
      </w:r>
      <w:r w:rsidR="003F3044">
        <w:rPr>
          <w:sz w:val="24"/>
          <w:szCs w:val="24"/>
        </w:rPr>
        <w:t>)</w:t>
      </w:r>
      <w:r w:rsidR="00746874">
        <w:rPr>
          <w:sz w:val="24"/>
          <w:szCs w:val="24"/>
        </w:rPr>
        <w:t xml:space="preserve"> of the CEA. SARS demanded repayment of R7 126 934.63, plus interest. On 9 February 2018, RBCT lodged an internal appeal in terms of s 77 of th</w:t>
      </w:r>
      <w:r w:rsidR="00E57F0D">
        <w:rPr>
          <w:sz w:val="24"/>
          <w:szCs w:val="24"/>
        </w:rPr>
        <w:t>e CEA. On 7 February 2019, the internal administrative appeal c</w:t>
      </w:r>
      <w:r w:rsidR="00746874">
        <w:rPr>
          <w:sz w:val="24"/>
          <w:szCs w:val="24"/>
        </w:rPr>
        <w:t xml:space="preserve">ommittee of SARS, the Excise Appeal Committee (the EAC), rejected RBCT’s appeal. </w:t>
      </w:r>
      <w:r w:rsidR="00112838">
        <w:rPr>
          <w:sz w:val="24"/>
          <w:szCs w:val="24"/>
        </w:rPr>
        <w:t>Following</w:t>
      </w:r>
      <w:r w:rsidR="00746874">
        <w:rPr>
          <w:sz w:val="24"/>
          <w:szCs w:val="24"/>
        </w:rPr>
        <w:t xml:space="preserve"> engagement between the parties concerning the reasons for the dismissal of the appeal, as wel</w:t>
      </w:r>
      <w:r w:rsidR="00B47C40">
        <w:rPr>
          <w:sz w:val="24"/>
          <w:szCs w:val="24"/>
        </w:rPr>
        <w:t xml:space="preserve">l as the appropriateness of </w:t>
      </w:r>
      <w:r w:rsidR="00746874">
        <w:rPr>
          <w:sz w:val="24"/>
          <w:szCs w:val="24"/>
        </w:rPr>
        <w:t xml:space="preserve">alternative dispute </w:t>
      </w:r>
      <w:r w:rsidR="00E57F0D">
        <w:rPr>
          <w:sz w:val="24"/>
          <w:szCs w:val="24"/>
        </w:rPr>
        <w:t xml:space="preserve">resolution, RBCT applied to the </w:t>
      </w:r>
      <w:r w:rsidR="00E57F0D" w:rsidRPr="003A4985">
        <w:rPr>
          <w:spacing w:val="-3"/>
          <w:sz w:val="24"/>
          <w:szCs w:val="24"/>
        </w:rPr>
        <w:t xml:space="preserve">KwaZulu-Natal Division of the </w:t>
      </w:r>
      <w:r w:rsidR="00E57F0D" w:rsidRPr="003A4985">
        <w:rPr>
          <w:sz w:val="24"/>
          <w:szCs w:val="24"/>
        </w:rPr>
        <w:t>High Court, Durban (the high court)</w:t>
      </w:r>
      <w:r w:rsidR="00E57F0D">
        <w:rPr>
          <w:sz w:val="24"/>
          <w:szCs w:val="24"/>
        </w:rPr>
        <w:t xml:space="preserve"> </w:t>
      </w:r>
      <w:r w:rsidR="00746874">
        <w:rPr>
          <w:sz w:val="24"/>
          <w:szCs w:val="24"/>
        </w:rPr>
        <w:t>on 26 November 2019. It sought to appeal the decision of the EAC (wh</w:t>
      </w:r>
      <w:r w:rsidR="003F3044">
        <w:rPr>
          <w:sz w:val="24"/>
          <w:szCs w:val="24"/>
        </w:rPr>
        <w:t>ich</w:t>
      </w:r>
      <w:r w:rsidR="00746874">
        <w:rPr>
          <w:sz w:val="24"/>
          <w:szCs w:val="24"/>
        </w:rPr>
        <w:t xml:space="preserve"> was cited as the second respondent in the application) and, if successful on that score, for the decision of the</w:t>
      </w:r>
      <w:r w:rsidR="00B47C40">
        <w:rPr>
          <w:sz w:val="24"/>
          <w:szCs w:val="24"/>
        </w:rPr>
        <w:t xml:space="preserve"> EAC to be substituted with one: (a</w:t>
      </w:r>
      <w:r w:rsidR="00746874">
        <w:rPr>
          <w:sz w:val="24"/>
          <w:szCs w:val="24"/>
        </w:rPr>
        <w:t>) upholdi</w:t>
      </w:r>
      <w:r w:rsidR="00B47C40">
        <w:rPr>
          <w:sz w:val="24"/>
          <w:szCs w:val="24"/>
        </w:rPr>
        <w:t>ng RBCT’s appeal to it, and, (b</w:t>
      </w:r>
      <w:r w:rsidR="00746874">
        <w:rPr>
          <w:sz w:val="24"/>
          <w:szCs w:val="24"/>
        </w:rPr>
        <w:t>) setting aside SARS’</w:t>
      </w:r>
      <w:r w:rsidR="00FD3367">
        <w:rPr>
          <w:sz w:val="24"/>
          <w:szCs w:val="24"/>
        </w:rPr>
        <w:t xml:space="preserve"> letter of demand. In the alternative, RBCT sought to review and set aside both</w:t>
      </w:r>
      <w:r w:rsidR="003F3044">
        <w:rPr>
          <w:sz w:val="24"/>
          <w:szCs w:val="24"/>
        </w:rPr>
        <w:t xml:space="preserve"> </w:t>
      </w:r>
      <w:r w:rsidR="00FD3367">
        <w:rPr>
          <w:sz w:val="24"/>
          <w:szCs w:val="24"/>
        </w:rPr>
        <w:t>the EAC’s decision to reject its appeal and</w:t>
      </w:r>
      <w:r w:rsidR="003F3044">
        <w:rPr>
          <w:sz w:val="24"/>
          <w:szCs w:val="24"/>
        </w:rPr>
        <w:t xml:space="preserve"> </w:t>
      </w:r>
      <w:r w:rsidR="00FD3367">
        <w:rPr>
          <w:sz w:val="24"/>
          <w:szCs w:val="24"/>
        </w:rPr>
        <w:t>SARS’ decision to issue the letter of demand.</w:t>
      </w:r>
    </w:p>
    <w:p w:rsidR="003A177C" w:rsidRPr="003A4985" w:rsidRDefault="003A177C" w:rsidP="00453055">
      <w:pPr>
        <w:pStyle w:val="Heading1"/>
        <w:spacing w:before="63" w:line="360" w:lineRule="auto"/>
        <w:ind w:left="0"/>
        <w:jc w:val="both"/>
        <w:rPr>
          <w:sz w:val="24"/>
          <w:szCs w:val="24"/>
        </w:rPr>
      </w:pPr>
    </w:p>
    <w:p w:rsidR="005265BC" w:rsidRDefault="00A678F9" w:rsidP="00453055">
      <w:pPr>
        <w:pStyle w:val="Heading1"/>
        <w:spacing w:before="63" w:line="360" w:lineRule="auto"/>
        <w:ind w:left="0"/>
        <w:jc w:val="both"/>
        <w:rPr>
          <w:sz w:val="24"/>
          <w:szCs w:val="24"/>
        </w:rPr>
      </w:pPr>
      <w:r>
        <w:rPr>
          <w:sz w:val="24"/>
          <w:szCs w:val="24"/>
        </w:rPr>
        <w:t>[</w:t>
      </w:r>
      <w:r w:rsidR="00112838">
        <w:rPr>
          <w:sz w:val="24"/>
          <w:szCs w:val="24"/>
        </w:rPr>
        <w:t>6</w:t>
      </w:r>
      <w:r>
        <w:rPr>
          <w:sz w:val="24"/>
          <w:szCs w:val="24"/>
        </w:rPr>
        <w:t>]</w:t>
      </w:r>
      <w:r>
        <w:rPr>
          <w:sz w:val="24"/>
          <w:szCs w:val="24"/>
        </w:rPr>
        <w:tab/>
      </w:r>
      <w:r w:rsidR="003A177C" w:rsidRPr="003A4985">
        <w:rPr>
          <w:sz w:val="24"/>
          <w:szCs w:val="24"/>
        </w:rPr>
        <w:t xml:space="preserve">RBCT </w:t>
      </w:r>
      <w:r w:rsidR="00112838">
        <w:rPr>
          <w:sz w:val="24"/>
          <w:szCs w:val="24"/>
        </w:rPr>
        <w:t>also</w:t>
      </w:r>
      <w:r w:rsidR="003A177C" w:rsidRPr="003A4985">
        <w:rPr>
          <w:sz w:val="24"/>
          <w:szCs w:val="24"/>
        </w:rPr>
        <w:t xml:space="preserve"> sought the</w:t>
      </w:r>
      <w:r w:rsidR="003A177C" w:rsidRPr="003A4985">
        <w:rPr>
          <w:spacing w:val="-3"/>
          <w:sz w:val="24"/>
          <w:szCs w:val="24"/>
        </w:rPr>
        <w:t xml:space="preserve"> </w:t>
      </w:r>
      <w:r w:rsidR="003A177C" w:rsidRPr="003A4985">
        <w:rPr>
          <w:sz w:val="24"/>
          <w:szCs w:val="24"/>
        </w:rPr>
        <w:t>record of decision from SARS. On 24 January 2020, SARS informed RBCT that it did not consider the</w:t>
      </w:r>
      <w:r w:rsidR="00A81E74">
        <w:rPr>
          <w:sz w:val="24"/>
          <w:szCs w:val="24"/>
        </w:rPr>
        <w:t xml:space="preserve"> matter a review, but instead a</w:t>
      </w:r>
      <w:r w:rsidR="003A177C" w:rsidRPr="003A4985">
        <w:rPr>
          <w:sz w:val="24"/>
          <w:szCs w:val="24"/>
        </w:rPr>
        <w:t xml:space="preserve"> </w:t>
      </w:r>
      <w:r w:rsidR="006E19A8">
        <w:rPr>
          <w:sz w:val="24"/>
          <w:szCs w:val="24"/>
        </w:rPr>
        <w:t xml:space="preserve">‘wide’ </w:t>
      </w:r>
      <w:r w:rsidR="003A177C" w:rsidRPr="003A4985">
        <w:rPr>
          <w:sz w:val="24"/>
          <w:szCs w:val="24"/>
        </w:rPr>
        <w:t>appeal under s 47(9)</w:t>
      </w:r>
      <w:r w:rsidR="003A177C" w:rsidRPr="00453055">
        <w:rPr>
          <w:i/>
          <w:sz w:val="24"/>
          <w:szCs w:val="24"/>
        </w:rPr>
        <w:t>(e)</w:t>
      </w:r>
      <w:r w:rsidR="003A177C" w:rsidRPr="003A4985">
        <w:rPr>
          <w:sz w:val="24"/>
          <w:szCs w:val="24"/>
        </w:rPr>
        <w:t xml:space="preserve"> and indicated that it would therefore not</w:t>
      </w:r>
      <w:r w:rsidR="003A177C" w:rsidRPr="003A4985">
        <w:rPr>
          <w:spacing w:val="-3"/>
          <w:sz w:val="24"/>
          <w:szCs w:val="24"/>
        </w:rPr>
        <w:t xml:space="preserve"> </w:t>
      </w:r>
      <w:r w:rsidR="003A177C" w:rsidRPr="003A4985">
        <w:rPr>
          <w:sz w:val="24"/>
          <w:szCs w:val="24"/>
        </w:rPr>
        <w:t>be delivering the</w:t>
      </w:r>
      <w:r w:rsidR="003A177C" w:rsidRPr="003A4985">
        <w:rPr>
          <w:spacing w:val="-3"/>
          <w:sz w:val="24"/>
          <w:szCs w:val="24"/>
        </w:rPr>
        <w:t xml:space="preserve"> </w:t>
      </w:r>
      <w:r w:rsidR="003A177C" w:rsidRPr="003A4985">
        <w:rPr>
          <w:sz w:val="24"/>
          <w:szCs w:val="24"/>
        </w:rPr>
        <w:t>record. In response, on 30 January 2020, RBCT served a Rule 30A notice on SARS calling on it to comply with Rule 53, alternatively with Rule 35(11). When SARS persisted in its refusal, RBCT launched the application</w:t>
      </w:r>
      <w:r w:rsidR="00B47C40">
        <w:rPr>
          <w:sz w:val="24"/>
          <w:szCs w:val="24"/>
        </w:rPr>
        <w:t>,</w:t>
      </w:r>
      <w:r w:rsidR="003A177C" w:rsidRPr="003A4985">
        <w:rPr>
          <w:sz w:val="24"/>
          <w:szCs w:val="24"/>
        </w:rPr>
        <w:t xml:space="preserve"> the subject of this appeal (the compelling application)</w:t>
      </w:r>
      <w:r w:rsidR="00B47C40">
        <w:rPr>
          <w:sz w:val="24"/>
          <w:szCs w:val="24"/>
        </w:rPr>
        <w:t>,</w:t>
      </w:r>
      <w:r w:rsidR="003A177C" w:rsidRPr="003A4985">
        <w:rPr>
          <w:sz w:val="24"/>
          <w:szCs w:val="24"/>
        </w:rPr>
        <w:t xml:space="preserve"> on 11 March 2020.</w:t>
      </w:r>
      <w:r w:rsidR="004E2DFB" w:rsidRPr="003A4985">
        <w:rPr>
          <w:sz w:val="24"/>
          <w:szCs w:val="24"/>
        </w:rPr>
        <w:t xml:space="preserve"> </w:t>
      </w:r>
      <w:r w:rsidR="00112838" w:rsidRPr="00112838">
        <w:rPr>
          <w:sz w:val="24"/>
          <w:szCs w:val="24"/>
        </w:rPr>
        <w:t>SARS</w:t>
      </w:r>
      <w:r w:rsidR="00112838" w:rsidRPr="00112838">
        <w:rPr>
          <w:spacing w:val="-16"/>
          <w:sz w:val="24"/>
          <w:szCs w:val="24"/>
        </w:rPr>
        <w:t xml:space="preserve"> </w:t>
      </w:r>
      <w:r w:rsidR="00112838">
        <w:rPr>
          <w:sz w:val="24"/>
          <w:szCs w:val="24"/>
        </w:rPr>
        <w:t>took the view</w:t>
      </w:r>
      <w:r w:rsidR="00112838" w:rsidRPr="00112838">
        <w:rPr>
          <w:sz w:val="24"/>
          <w:szCs w:val="24"/>
        </w:rPr>
        <w:t xml:space="preserve"> that if</w:t>
      </w:r>
      <w:r w:rsidR="00112838" w:rsidRPr="00112838">
        <w:rPr>
          <w:spacing w:val="-16"/>
          <w:sz w:val="24"/>
          <w:szCs w:val="24"/>
        </w:rPr>
        <w:t xml:space="preserve"> </w:t>
      </w:r>
      <w:r w:rsidR="00112838" w:rsidRPr="00112838">
        <w:rPr>
          <w:sz w:val="24"/>
          <w:szCs w:val="24"/>
        </w:rPr>
        <w:t>the</w:t>
      </w:r>
      <w:r w:rsidR="00112838" w:rsidRPr="00112838">
        <w:rPr>
          <w:spacing w:val="-16"/>
          <w:sz w:val="24"/>
          <w:szCs w:val="24"/>
        </w:rPr>
        <w:t xml:space="preserve"> </w:t>
      </w:r>
      <w:r w:rsidR="00112838" w:rsidRPr="00112838">
        <w:rPr>
          <w:sz w:val="24"/>
          <w:szCs w:val="24"/>
        </w:rPr>
        <w:t>high</w:t>
      </w:r>
      <w:r w:rsidR="00112838" w:rsidRPr="00112838">
        <w:rPr>
          <w:spacing w:val="-16"/>
          <w:sz w:val="24"/>
          <w:szCs w:val="24"/>
        </w:rPr>
        <w:t xml:space="preserve"> </w:t>
      </w:r>
      <w:r w:rsidR="00112838" w:rsidRPr="00112838">
        <w:rPr>
          <w:sz w:val="24"/>
          <w:szCs w:val="24"/>
        </w:rPr>
        <w:t>court</w:t>
      </w:r>
      <w:r w:rsidR="00112838" w:rsidRPr="00112838">
        <w:rPr>
          <w:spacing w:val="-16"/>
          <w:sz w:val="24"/>
          <w:szCs w:val="24"/>
        </w:rPr>
        <w:t xml:space="preserve"> </w:t>
      </w:r>
      <w:r w:rsidR="00112838" w:rsidRPr="00112838">
        <w:rPr>
          <w:sz w:val="24"/>
          <w:szCs w:val="24"/>
        </w:rPr>
        <w:t>lacks</w:t>
      </w:r>
      <w:r w:rsidR="00112838" w:rsidRPr="00112838">
        <w:rPr>
          <w:spacing w:val="-16"/>
          <w:sz w:val="24"/>
          <w:szCs w:val="24"/>
        </w:rPr>
        <w:t xml:space="preserve"> </w:t>
      </w:r>
      <w:r w:rsidR="00112838" w:rsidRPr="00112838">
        <w:rPr>
          <w:sz w:val="24"/>
          <w:szCs w:val="24"/>
        </w:rPr>
        <w:t>review</w:t>
      </w:r>
      <w:r w:rsidR="00112838" w:rsidRPr="00112838">
        <w:rPr>
          <w:spacing w:val="-16"/>
          <w:sz w:val="24"/>
          <w:szCs w:val="24"/>
        </w:rPr>
        <w:t xml:space="preserve"> </w:t>
      </w:r>
      <w:r w:rsidR="00112838" w:rsidRPr="00112838">
        <w:rPr>
          <w:sz w:val="24"/>
          <w:szCs w:val="24"/>
        </w:rPr>
        <w:t>jurisdiction,</w:t>
      </w:r>
      <w:r w:rsidR="00112838" w:rsidRPr="00112838">
        <w:rPr>
          <w:spacing w:val="-5"/>
          <w:sz w:val="24"/>
          <w:szCs w:val="24"/>
        </w:rPr>
        <w:t xml:space="preserve"> </w:t>
      </w:r>
      <w:r w:rsidR="00112838" w:rsidRPr="00112838">
        <w:rPr>
          <w:sz w:val="24"/>
          <w:szCs w:val="24"/>
        </w:rPr>
        <w:t>then Rule</w:t>
      </w:r>
      <w:r w:rsidR="00112838" w:rsidRPr="00112838">
        <w:rPr>
          <w:spacing w:val="-15"/>
          <w:sz w:val="24"/>
          <w:szCs w:val="24"/>
        </w:rPr>
        <w:t xml:space="preserve"> </w:t>
      </w:r>
      <w:r w:rsidR="00112838" w:rsidRPr="00112838">
        <w:rPr>
          <w:sz w:val="24"/>
          <w:szCs w:val="24"/>
        </w:rPr>
        <w:t>53</w:t>
      </w:r>
      <w:r w:rsidR="00112838" w:rsidRPr="00112838">
        <w:rPr>
          <w:spacing w:val="-13"/>
          <w:sz w:val="24"/>
          <w:szCs w:val="24"/>
        </w:rPr>
        <w:t xml:space="preserve"> </w:t>
      </w:r>
      <w:r w:rsidR="00112838" w:rsidRPr="00112838">
        <w:rPr>
          <w:sz w:val="24"/>
          <w:szCs w:val="24"/>
        </w:rPr>
        <w:t>does</w:t>
      </w:r>
      <w:r w:rsidR="00112838" w:rsidRPr="00112838">
        <w:rPr>
          <w:spacing w:val="-8"/>
          <w:sz w:val="24"/>
          <w:szCs w:val="24"/>
        </w:rPr>
        <w:t xml:space="preserve"> </w:t>
      </w:r>
      <w:r w:rsidR="00112838" w:rsidRPr="00112838">
        <w:rPr>
          <w:sz w:val="24"/>
          <w:szCs w:val="24"/>
        </w:rPr>
        <w:t>not</w:t>
      </w:r>
      <w:r w:rsidR="00112838" w:rsidRPr="00112838">
        <w:rPr>
          <w:spacing w:val="-16"/>
          <w:sz w:val="24"/>
          <w:szCs w:val="24"/>
        </w:rPr>
        <w:t xml:space="preserve"> </w:t>
      </w:r>
      <w:r w:rsidR="00112838" w:rsidRPr="00112838">
        <w:rPr>
          <w:sz w:val="24"/>
          <w:szCs w:val="24"/>
        </w:rPr>
        <w:t>apply</w:t>
      </w:r>
      <w:r w:rsidR="00112838" w:rsidRPr="00112838">
        <w:rPr>
          <w:spacing w:val="-4"/>
          <w:sz w:val="24"/>
          <w:szCs w:val="24"/>
        </w:rPr>
        <w:t xml:space="preserve"> </w:t>
      </w:r>
      <w:r w:rsidR="00112838" w:rsidRPr="00112838">
        <w:rPr>
          <w:sz w:val="24"/>
          <w:szCs w:val="24"/>
        </w:rPr>
        <w:t>and</w:t>
      </w:r>
      <w:r w:rsidR="00112838" w:rsidRPr="00112838">
        <w:rPr>
          <w:spacing w:val="-12"/>
          <w:sz w:val="24"/>
          <w:szCs w:val="24"/>
        </w:rPr>
        <w:t xml:space="preserve"> </w:t>
      </w:r>
      <w:r w:rsidR="00112838" w:rsidRPr="00112838">
        <w:rPr>
          <w:sz w:val="24"/>
          <w:szCs w:val="24"/>
        </w:rPr>
        <w:t>there</w:t>
      </w:r>
      <w:r w:rsidR="00112838" w:rsidRPr="00112838">
        <w:rPr>
          <w:spacing w:val="-12"/>
          <w:sz w:val="24"/>
          <w:szCs w:val="24"/>
        </w:rPr>
        <w:t xml:space="preserve"> </w:t>
      </w:r>
      <w:r w:rsidR="00112838">
        <w:rPr>
          <w:sz w:val="24"/>
          <w:szCs w:val="24"/>
        </w:rPr>
        <w:t>would accordingly be</w:t>
      </w:r>
      <w:r w:rsidR="00112838" w:rsidRPr="00112838">
        <w:rPr>
          <w:spacing w:val="-12"/>
          <w:sz w:val="24"/>
          <w:szCs w:val="24"/>
        </w:rPr>
        <w:t xml:space="preserve"> </w:t>
      </w:r>
      <w:r w:rsidR="00112838" w:rsidRPr="00112838">
        <w:rPr>
          <w:sz w:val="24"/>
          <w:szCs w:val="24"/>
        </w:rPr>
        <w:t>no</w:t>
      </w:r>
      <w:r w:rsidR="00112838" w:rsidRPr="00112838">
        <w:rPr>
          <w:spacing w:val="-11"/>
          <w:sz w:val="24"/>
          <w:szCs w:val="24"/>
        </w:rPr>
        <w:t xml:space="preserve"> </w:t>
      </w:r>
      <w:r w:rsidR="00112838" w:rsidRPr="00112838">
        <w:rPr>
          <w:sz w:val="24"/>
          <w:szCs w:val="24"/>
        </w:rPr>
        <w:t>basis</w:t>
      </w:r>
      <w:r w:rsidR="00112838" w:rsidRPr="00112838">
        <w:rPr>
          <w:spacing w:val="-8"/>
          <w:sz w:val="24"/>
          <w:szCs w:val="24"/>
        </w:rPr>
        <w:t xml:space="preserve"> </w:t>
      </w:r>
      <w:r w:rsidR="00112838" w:rsidRPr="00112838">
        <w:rPr>
          <w:sz w:val="24"/>
          <w:szCs w:val="24"/>
        </w:rPr>
        <w:t>upon</w:t>
      </w:r>
      <w:r w:rsidR="00112838" w:rsidRPr="00112838">
        <w:rPr>
          <w:spacing w:val="-6"/>
          <w:sz w:val="24"/>
          <w:szCs w:val="24"/>
        </w:rPr>
        <w:t xml:space="preserve"> </w:t>
      </w:r>
      <w:r w:rsidR="00112838" w:rsidRPr="00112838">
        <w:rPr>
          <w:sz w:val="24"/>
          <w:szCs w:val="24"/>
        </w:rPr>
        <w:t>which</w:t>
      </w:r>
      <w:r w:rsidR="00112838" w:rsidRPr="00112838">
        <w:rPr>
          <w:spacing w:val="-3"/>
          <w:sz w:val="24"/>
          <w:szCs w:val="24"/>
        </w:rPr>
        <w:t xml:space="preserve"> </w:t>
      </w:r>
      <w:r w:rsidR="00112838" w:rsidRPr="00112838">
        <w:rPr>
          <w:sz w:val="24"/>
          <w:szCs w:val="24"/>
        </w:rPr>
        <w:t>to</w:t>
      </w:r>
      <w:r w:rsidR="00112838" w:rsidRPr="00112838">
        <w:rPr>
          <w:spacing w:val="-8"/>
          <w:sz w:val="24"/>
          <w:szCs w:val="24"/>
        </w:rPr>
        <w:t xml:space="preserve"> </w:t>
      </w:r>
      <w:r w:rsidR="00112838" w:rsidRPr="00112838">
        <w:rPr>
          <w:sz w:val="24"/>
          <w:szCs w:val="24"/>
        </w:rPr>
        <w:t>compel</w:t>
      </w:r>
      <w:r w:rsidR="00112838" w:rsidRPr="00112838">
        <w:rPr>
          <w:spacing w:val="-16"/>
          <w:sz w:val="24"/>
          <w:szCs w:val="24"/>
        </w:rPr>
        <w:t xml:space="preserve"> </w:t>
      </w:r>
      <w:r w:rsidR="00112838">
        <w:rPr>
          <w:sz w:val="24"/>
          <w:szCs w:val="24"/>
        </w:rPr>
        <w:t>it</w:t>
      </w:r>
      <w:r w:rsidR="00112838" w:rsidRPr="00112838">
        <w:rPr>
          <w:spacing w:val="-5"/>
          <w:sz w:val="24"/>
          <w:szCs w:val="24"/>
        </w:rPr>
        <w:t xml:space="preserve"> </w:t>
      </w:r>
      <w:r w:rsidR="00112838" w:rsidRPr="00112838">
        <w:rPr>
          <w:sz w:val="24"/>
          <w:szCs w:val="24"/>
        </w:rPr>
        <w:t>to produce the record.</w:t>
      </w:r>
      <w:r w:rsidR="00112838" w:rsidRPr="003A4985">
        <w:rPr>
          <w:sz w:val="24"/>
          <w:szCs w:val="24"/>
        </w:rPr>
        <w:t xml:space="preserve"> </w:t>
      </w:r>
      <w:r w:rsidR="004E2DFB" w:rsidRPr="003A4985">
        <w:rPr>
          <w:sz w:val="24"/>
          <w:szCs w:val="24"/>
        </w:rPr>
        <w:t>In a judgment delivered on 12 August 2021, the</w:t>
      </w:r>
      <w:r w:rsidR="004E2DFB" w:rsidRPr="003A4985">
        <w:rPr>
          <w:spacing w:val="-8"/>
          <w:sz w:val="24"/>
          <w:szCs w:val="24"/>
        </w:rPr>
        <w:t xml:space="preserve"> </w:t>
      </w:r>
      <w:r w:rsidR="004E2DFB" w:rsidRPr="003A4985">
        <w:rPr>
          <w:sz w:val="24"/>
          <w:szCs w:val="24"/>
        </w:rPr>
        <w:t>high</w:t>
      </w:r>
      <w:r w:rsidR="004E2DFB" w:rsidRPr="003A4985">
        <w:rPr>
          <w:spacing w:val="-5"/>
          <w:sz w:val="24"/>
          <w:szCs w:val="24"/>
        </w:rPr>
        <w:t xml:space="preserve"> </w:t>
      </w:r>
      <w:r w:rsidR="004E2DFB" w:rsidRPr="003A4985">
        <w:rPr>
          <w:sz w:val="24"/>
          <w:szCs w:val="24"/>
        </w:rPr>
        <w:t>court (per Topping AJ) direct</w:t>
      </w:r>
      <w:r w:rsidR="005E25D9">
        <w:rPr>
          <w:sz w:val="24"/>
          <w:szCs w:val="24"/>
        </w:rPr>
        <w:t>ed SARS to comply with Uniform r</w:t>
      </w:r>
      <w:r w:rsidR="004E2DFB" w:rsidRPr="003A4985">
        <w:rPr>
          <w:sz w:val="24"/>
          <w:szCs w:val="24"/>
        </w:rPr>
        <w:t>ule 53(1)</w:t>
      </w:r>
      <w:r w:rsidR="004E2DFB" w:rsidRPr="00453055">
        <w:rPr>
          <w:i/>
          <w:sz w:val="24"/>
          <w:szCs w:val="24"/>
        </w:rPr>
        <w:t>(b)</w:t>
      </w:r>
      <w:r w:rsidR="004E2DFB" w:rsidRPr="003A4985">
        <w:rPr>
          <w:sz w:val="24"/>
          <w:szCs w:val="24"/>
        </w:rPr>
        <w:t xml:space="preserve"> within ten days, by dispatching to RB</w:t>
      </w:r>
      <w:r w:rsidR="00B47C40">
        <w:rPr>
          <w:sz w:val="24"/>
          <w:szCs w:val="24"/>
        </w:rPr>
        <w:t>CT a complete record relating to the decisions that</w:t>
      </w:r>
      <w:r w:rsidR="004E2DFB" w:rsidRPr="003A4985">
        <w:rPr>
          <w:sz w:val="24"/>
          <w:szCs w:val="24"/>
        </w:rPr>
        <w:t xml:space="preserve"> are subject to the appeal and review.</w:t>
      </w:r>
      <w:r w:rsidR="00112838">
        <w:rPr>
          <w:sz w:val="24"/>
          <w:szCs w:val="24"/>
        </w:rPr>
        <w:t xml:space="preserve"> The appeal by SARS against that order is before this Court with the leave of Topping </w:t>
      </w:r>
      <w:r w:rsidR="005E25D9">
        <w:rPr>
          <w:sz w:val="24"/>
          <w:szCs w:val="24"/>
        </w:rPr>
        <w:t>A</w:t>
      </w:r>
      <w:r w:rsidR="00112838">
        <w:rPr>
          <w:sz w:val="24"/>
          <w:szCs w:val="24"/>
        </w:rPr>
        <w:t>J.</w:t>
      </w:r>
      <w:r w:rsidR="00A7173D">
        <w:rPr>
          <w:sz w:val="24"/>
          <w:szCs w:val="24"/>
        </w:rPr>
        <w:t xml:space="preserve"> </w:t>
      </w:r>
    </w:p>
    <w:p w:rsidR="00B41CA0" w:rsidRPr="006B7B93" w:rsidRDefault="00B41CA0" w:rsidP="00453055">
      <w:pPr>
        <w:pStyle w:val="Heading1"/>
        <w:spacing w:before="63" w:line="360" w:lineRule="auto"/>
        <w:ind w:left="0"/>
        <w:jc w:val="both"/>
        <w:rPr>
          <w:rFonts w:eastAsia="Times New Roman"/>
          <w:sz w:val="24"/>
          <w:szCs w:val="24"/>
          <w:lang w:eastAsia="en-ZA"/>
        </w:rPr>
      </w:pPr>
    </w:p>
    <w:p w:rsidR="00FD3367" w:rsidRPr="00B91069" w:rsidRDefault="00A678F9" w:rsidP="00B91069">
      <w:pPr>
        <w:pStyle w:val="BodyText"/>
        <w:spacing w:before="208" w:line="360" w:lineRule="auto"/>
        <w:jc w:val="both"/>
        <w:rPr>
          <w:sz w:val="24"/>
          <w:szCs w:val="24"/>
        </w:rPr>
      </w:pPr>
      <w:r>
        <w:rPr>
          <w:rFonts w:eastAsia="Times New Roman"/>
          <w:sz w:val="24"/>
          <w:szCs w:val="24"/>
          <w:lang w:val="en-GB" w:eastAsia="en-ZA"/>
        </w:rPr>
        <w:t>[</w:t>
      </w:r>
      <w:r w:rsidR="00112838">
        <w:rPr>
          <w:rFonts w:eastAsia="Times New Roman"/>
          <w:sz w:val="24"/>
          <w:szCs w:val="24"/>
          <w:lang w:val="en-GB" w:eastAsia="en-ZA"/>
        </w:rPr>
        <w:t>7</w:t>
      </w:r>
      <w:r>
        <w:rPr>
          <w:rFonts w:eastAsia="Times New Roman"/>
          <w:sz w:val="24"/>
          <w:szCs w:val="24"/>
          <w:lang w:val="en-GB" w:eastAsia="en-ZA"/>
        </w:rPr>
        <w:t>]</w:t>
      </w:r>
      <w:r>
        <w:rPr>
          <w:rFonts w:eastAsia="Times New Roman"/>
          <w:sz w:val="24"/>
          <w:szCs w:val="24"/>
          <w:lang w:val="en-GB" w:eastAsia="en-ZA"/>
        </w:rPr>
        <w:tab/>
      </w:r>
      <w:r w:rsidR="00B91069" w:rsidRPr="003A4985">
        <w:rPr>
          <w:sz w:val="24"/>
          <w:szCs w:val="24"/>
        </w:rPr>
        <w:t xml:space="preserve"> </w:t>
      </w:r>
      <w:r w:rsidR="00ED1211" w:rsidRPr="003A4985">
        <w:rPr>
          <w:rFonts w:eastAsia="Times New Roman"/>
          <w:sz w:val="24"/>
          <w:szCs w:val="24"/>
          <w:lang w:val="en-GB" w:eastAsia="en-ZA"/>
        </w:rPr>
        <w:t>Parenthetically, it is</w:t>
      </w:r>
      <w:r w:rsidR="0038371D" w:rsidRPr="003A4985">
        <w:rPr>
          <w:rFonts w:eastAsia="Times New Roman"/>
          <w:sz w:val="24"/>
          <w:szCs w:val="24"/>
          <w:lang w:val="en-GB" w:eastAsia="en-ZA"/>
        </w:rPr>
        <w:t xml:space="preserve"> perhaps necessary to pass certain preliminary</w:t>
      </w:r>
      <w:r w:rsidR="00ED1211" w:rsidRPr="003A4985">
        <w:rPr>
          <w:rFonts w:eastAsia="Times New Roman"/>
          <w:sz w:val="24"/>
          <w:szCs w:val="24"/>
          <w:lang w:val="en-GB" w:eastAsia="en-ZA"/>
        </w:rPr>
        <w:t xml:space="preserve"> observations. First, i</w:t>
      </w:r>
      <w:r w:rsidR="005265BC" w:rsidRPr="003A4985">
        <w:rPr>
          <w:sz w:val="24"/>
          <w:szCs w:val="24"/>
          <w:lang w:val="en-GB"/>
        </w:rPr>
        <w:t xml:space="preserve">n </w:t>
      </w:r>
      <w:r w:rsidR="005265BC" w:rsidRPr="003A4985">
        <w:rPr>
          <w:i/>
          <w:sz w:val="24"/>
          <w:szCs w:val="24"/>
          <w:lang w:val="en-GB"/>
        </w:rPr>
        <w:t xml:space="preserve">Competition Commission of South Africa v </w:t>
      </w:r>
      <w:r w:rsidR="005265BC" w:rsidRPr="003A4985">
        <w:rPr>
          <w:i/>
          <w:iCs/>
          <w:sz w:val="24"/>
          <w:szCs w:val="24"/>
          <w:lang w:val="en-GB"/>
        </w:rPr>
        <w:t>Standard Bank</w:t>
      </w:r>
      <w:r w:rsidR="005265BC" w:rsidRPr="003A4985">
        <w:rPr>
          <w:sz w:val="24"/>
          <w:szCs w:val="24"/>
          <w:vertAlign w:val="superscript"/>
          <w:lang w:val="en-GB"/>
        </w:rPr>
        <w:footnoteReference w:id="1"/>
      </w:r>
      <w:r w:rsidR="005265BC" w:rsidRPr="003A4985">
        <w:rPr>
          <w:sz w:val="24"/>
          <w:szCs w:val="24"/>
          <w:lang w:val="en-GB"/>
        </w:rPr>
        <w:t xml:space="preserve"> (</w:t>
      </w:r>
      <w:r w:rsidR="005265BC" w:rsidRPr="003A4985">
        <w:rPr>
          <w:i/>
          <w:iCs/>
          <w:sz w:val="24"/>
          <w:szCs w:val="24"/>
          <w:lang w:val="en-GB"/>
        </w:rPr>
        <w:t>Standard Bank</w:t>
      </w:r>
      <w:r w:rsidR="005265BC" w:rsidRPr="003A4985">
        <w:rPr>
          <w:sz w:val="24"/>
          <w:szCs w:val="24"/>
          <w:lang w:val="en-GB"/>
        </w:rPr>
        <w:t xml:space="preserve">) </w:t>
      </w:r>
      <w:r w:rsidR="00377038" w:rsidRPr="003A4985">
        <w:rPr>
          <w:sz w:val="24"/>
          <w:szCs w:val="24"/>
          <w:lang w:val="en-GB"/>
        </w:rPr>
        <w:t xml:space="preserve">the Constitutional Court held </w:t>
      </w:r>
      <w:r w:rsidR="005265BC" w:rsidRPr="003A4985">
        <w:rPr>
          <w:sz w:val="24"/>
          <w:szCs w:val="24"/>
          <w:lang w:val="en-GB"/>
        </w:rPr>
        <w:t xml:space="preserve">that an order compelling a respondent in a review to deliver the record of its decision in terms of </w:t>
      </w:r>
      <w:r w:rsidR="003F3044">
        <w:rPr>
          <w:sz w:val="24"/>
          <w:szCs w:val="24"/>
          <w:lang w:val="en-GB"/>
        </w:rPr>
        <w:t>R</w:t>
      </w:r>
      <w:r w:rsidR="005265BC" w:rsidRPr="003A4985">
        <w:rPr>
          <w:sz w:val="24"/>
          <w:szCs w:val="24"/>
          <w:lang w:val="en-GB"/>
        </w:rPr>
        <w:t xml:space="preserve">ule 53, is </w:t>
      </w:r>
      <w:r w:rsidR="00ED1211" w:rsidRPr="003A4985">
        <w:rPr>
          <w:sz w:val="24"/>
          <w:szCs w:val="24"/>
          <w:lang w:val="en-GB"/>
        </w:rPr>
        <w:t xml:space="preserve">indeed </w:t>
      </w:r>
      <w:r w:rsidR="005265BC" w:rsidRPr="003A4985">
        <w:rPr>
          <w:sz w:val="24"/>
          <w:szCs w:val="24"/>
          <w:lang w:val="en-GB"/>
        </w:rPr>
        <w:t xml:space="preserve">appealable. </w:t>
      </w:r>
      <w:r w:rsidR="00ED1211" w:rsidRPr="003A4985">
        <w:rPr>
          <w:sz w:val="24"/>
          <w:szCs w:val="24"/>
          <w:lang w:val="en-GB"/>
        </w:rPr>
        <w:t>Second, b</w:t>
      </w:r>
      <w:r w:rsidR="005265BC" w:rsidRPr="003A4985">
        <w:rPr>
          <w:sz w:val="24"/>
          <w:szCs w:val="24"/>
          <w:lang w:val="en-GB"/>
        </w:rPr>
        <w:t xml:space="preserve">oth the majority </w:t>
      </w:r>
      <w:r w:rsidR="005265BC" w:rsidRPr="003A4985">
        <w:rPr>
          <w:sz w:val="24"/>
          <w:szCs w:val="24"/>
          <w:lang w:val="en-GB"/>
        </w:rPr>
        <w:lastRenderedPageBreak/>
        <w:t>and minority</w:t>
      </w:r>
      <w:r w:rsidR="005265BC" w:rsidRPr="003A4985">
        <w:rPr>
          <w:sz w:val="24"/>
          <w:szCs w:val="24"/>
          <w:vertAlign w:val="superscript"/>
          <w:lang w:val="en-GB"/>
        </w:rPr>
        <w:footnoteReference w:id="2"/>
      </w:r>
      <w:r w:rsidR="005265BC" w:rsidRPr="003A4985">
        <w:rPr>
          <w:sz w:val="24"/>
          <w:szCs w:val="24"/>
          <w:lang w:val="en-GB"/>
        </w:rPr>
        <w:t xml:space="preserve"> </w:t>
      </w:r>
      <w:r w:rsidR="00ED1211" w:rsidRPr="003A4985">
        <w:rPr>
          <w:sz w:val="24"/>
          <w:szCs w:val="24"/>
          <w:lang w:val="en-GB"/>
        </w:rPr>
        <w:t xml:space="preserve">in </w:t>
      </w:r>
      <w:r w:rsidR="00ED1211" w:rsidRPr="003A4985">
        <w:rPr>
          <w:i/>
          <w:sz w:val="24"/>
          <w:szCs w:val="24"/>
          <w:lang w:val="en-GB"/>
        </w:rPr>
        <w:t xml:space="preserve">Standard Bank </w:t>
      </w:r>
      <w:r w:rsidR="005265BC" w:rsidRPr="003A4985">
        <w:rPr>
          <w:sz w:val="24"/>
          <w:szCs w:val="24"/>
          <w:lang w:val="en-GB"/>
        </w:rPr>
        <w:t xml:space="preserve">held that the court may only order the production of the record of a decision under </w:t>
      </w:r>
      <w:r w:rsidR="003F3044">
        <w:rPr>
          <w:sz w:val="24"/>
          <w:szCs w:val="24"/>
          <w:lang w:val="en-GB"/>
        </w:rPr>
        <w:t>R</w:t>
      </w:r>
      <w:r w:rsidR="005265BC" w:rsidRPr="003A4985">
        <w:rPr>
          <w:sz w:val="24"/>
          <w:szCs w:val="24"/>
          <w:lang w:val="en-GB"/>
        </w:rPr>
        <w:t>ule 53 after it has determined that it has jurisdiction in the review. The majority put it as follows:</w:t>
      </w:r>
    </w:p>
    <w:p w:rsidR="005265BC" w:rsidRPr="00AD2795" w:rsidRDefault="005265BC" w:rsidP="00225E35">
      <w:pPr>
        <w:pStyle w:val="Heading1"/>
        <w:spacing w:before="63" w:line="360" w:lineRule="auto"/>
        <w:ind w:left="0"/>
        <w:jc w:val="both"/>
        <w:rPr>
          <w:sz w:val="22"/>
          <w:szCs w:val="22"/>
          <w:lang w:val="en-GB"/>
        </w:rPr>
      </w:pPr>
      <w:r w:rsidRPr="00AD2795">
        <w:rPr>
          <w:sz w:val="22"/>
          <w:szCs w:val="22"/>
          <w:lang w:val="en-GB"/>
        </w:rPr>
        <w:t>‘Therefore, [</w:t>
      </w:r>
      <w:r w:rsidR="003F3044">
        <w:rPr>
          <w:sz w:val="22"/>
          <w:szCs w:val="22"/>
          <w:lang w:val="en-GB"/>
        </w:rPr>
        <w:t>r</w:t>
      </w:r>
      <w:r w:rsidRPr="00AD2795">
        <w:rPr>
          <w:sz w:val="22"/>
          <w:szCs w:val="22"/>
          <w:lang w:val="en-GB"/>
        </w:rPr>
        <w:t>ule 53] enables an applicant to raise relevant grounds of review</w:t>
      </w:r>
      <w:r w:rsidR="00B01272">
        <w:rPr>
          <w:sz w:val="22"/>
          <w:szCs w:val="22"/>
          <w:lang w:val="en-GB"/>
        </w:rPr>
        <w:t>,</w:t>
      </w:r>
      <w:r w:rsidRPr="00AD2795">
        <w:rPr>
          <w:sz w:val="22"/>
          <w:szCs w:val="22"/>
          <w:lang w:val="en-GB"/>
        </w:rPr>
        <w:t xml:space="preserve"> and the court adjudicating the matter to prope</w:t>
      </w:r>
      <w:r w:rsidR="00B01272">
        <w:rPr>
          <w:sz w:val="22"/>
          <w:szCs w:val="22"/>
          <w:lang w:val="en-GB"/>
        </w:rPr>
        <w:t>rly perform its review function</w:t>
      </w:r>
      <w:r w:rsidRPr="00AD2795">
        <w:rPr>
          <w:sz w:val="22"/>
          <w:szCs w:val="22"/>
          <w:lang w:val="en-GB"/>
        </w:rPr>
        <w:t>. However, for a court to perform this function, it must have the necessary authority. It is not prudent for a court whose authority to adjudicate a review application is challenged to proceed to enforce rule 53 and order that disclosure should be made, before the issue of jurisdiction is settled. The object of rule 53 may not be achieved in a court that lacks jurisdiction.</w:t>
      </w:r>
    </w:p>
    <w:p w:rsidR="005E25D9" w:rsidRPr="005E25D9" w:rsidRDefault="005E25D9" w:rsidP="005E25D9">
      <w:pPr>
        <w:spacing w:line="360" w:lineRule="auto"/>
        <w:jc w:val="both"/>
        <w:outlineLvl w:val="0"/>
        <w:rPr>
          <w:lang w:val="en-GB"/>
        </w:rPr>
      </w:pPr>
      <w:r w:rsidRPr="005E25D9">
        <w:rPr>
          <w:lang w:val="en-GB"/>
        </w:rPr>
        <w:t>For these additional reasons, we agree with the first judgment [of Theron J] that Boqwana JA erred in ordering that the Commission should disclose its record of investigation before the question of jurisdiction was determined. Once carried out, and in the event that the Competition Appeal Court concluded that it has no jurisdiction, what is to be done in terms of the order cannot be undone.’</w:t>
      </w:r>
      <w:r w:rsidRPr="005E25D9">
        <w:rPr>
          <w:vertAlign w:val="superscript"/>
          <w:lang w:val="en-GB"/>
        </w:rPr>
        <w:footnoteReference w:id="3"/>
      </w:r>
    </w:p>
    <w:p w:rsidR="00B91069" w:rsidRPr="00806396" w:rsidRDefault="00B91069" w:rsidP="00806396">
      <w:pPr>
        <w:pStyle w:val="Heading1"/>
        <w:spacing w:before="63" w:line="360" w:lineRule="auto"/>
        <w:jc w:val="both"/>
        <w:rPr>
          <w:sz w:val="22"/>
          <w:szCs w:val="22"/>
          <w:lang w:val="en-GB"/>
        </w:rPr>
      </w:pPr>
    </w:p>
    <w:p w:rsidR="005E25D9" w:rsidRPr="005E25D9" w:rsidRDefault="00A678F9" w:rsidP="005E25D9">
      <w:pPr>
        <w:pStyle w:val="Heading1"/>
        <w:spacing w:before="63" w:line="360" w:lineRule="auto"/>
        <w:ind w:left="0"/>
        <w:jc w:val="both"/>
      </w:pPr>
      <w:r>
        <w:rPr>
          <w:rFonts w:eastAsia="Times New Roman"/>
          <w:sz w:val="24"/>
          <w:szCs w:val="24"/>
          <w:lang w:val="en-GB" w:eastAsia="en-ZA"/>
        </w:rPr>
        <w:t>[</w:t>
      </w:r>
      <w:r w:rsidR="00112838">
        <w:rPr>
          <w:rFonts w:eastAsia="Times New Roman"/>
          <w:sz w:val="24"/>
          <w:szCs w:val="24"/>
          <w:lang w:val="en-GB" w:eastAsia="en-ZA"/>
        </w:rPr>
        <w:t>8</w:t>
      </w:r>
      <w:r>
        <w:rPr>
          <w:rFonts w:eastAsia="Times New Roman"/>
          <w:sz w:val="24"/>
          <w:szCs w:val="24"/>
          <w:lang w:val="en-GB" w:eastAsia="en-ZA"/>
        </w:rPr>
        <w:t>]</w:t>
      </w:r>
      <w:r>
        <w:rPr>
          <w:rFonts w:eastAsia="Times New Roman"/>
          <w:sz w:val="24"/>
          <w:szCs w:val="24"/>
          <w:lang w:val="en-GB" w:eastAsia="en-ZA"/>
        </w:rPr>
        <w:tab/>
      </w:r>
      <w:r w:rsidR="00ED1211" w:rsidRPr="003A4985">
        <w:rPr>
          <w:rFonts w:eastAsia="Times New Roman"/>
          <w:sz w:val="24"/>
          <w:szCs w:val="24"/>
          <w:lang w:val="en-GB" w:eastAsia="en-ZA"/>
        </w:rPr>
        <w:t>Third,</w:t>
      </w:r>
      <w:r w:rsidR="00A026BC" w:rsidRPr="003A4985">
        <w:rPr>
          <w:rFonts w:eastAsia="Times New Roman"/>
          <w:sz w:val="24"/>
          <w:szCs w:val="24"/>
          <w:lang w:val="en-GB" w:eastAsia="en-ZA"/>
        </w:rPr>
        <w:t xml:space="preserve"> </w:t>
      </w:r>
      <w:r w:rsidR="00377038" w:rsidRPr="003A4985">
        <w:rPr>
          <w:rFonts w:eastAsia="Times New Roman"/>
          <w:sz w:val="24"/>
          <w:szCs w:val="24"/>
          <w:lang w:val="en-GB" w:eastAsia="en-ZA"/>
        </w:rPr>
        <w:t xml:space="preserve">the notice of motion in this matter did not necessarily conduce to clarity. </w:t>
      </w:r>
      <w:r w:rsidR="00ED1211" w:rsidRPr="003A4985">
        <w:rPr>
          <w:rFonts w:eastAsia="Times New Roman"/>
          <w:sz w:val="24"/>
          <w:szCs w:val="24"/>
          <w:lang w:val="en-GB" w:eastAsia="en-ZA"/>
        </w:rPr>
        <w:t>T</w:t>
      </w:r>
      <w:r w:rsidR="00377038" w:rsidRPr="003A4985">
        <w:rPr>
          <w:rFonts w:eastAsia="Times New Roman"/>
          <w:sz w:val="24"/>
          <w:szCs w:val="24"/>
          <w:lang w:val="en-GB" w:eastAsia="en-ZA"/>
        </w:rPr>
        <w:t xml:space="preserve">he review </w:t>
      </w:r>
      <w:r w:rsidR="003B083F" w:rsidRPr="003A4985">
        <w:rPr>
          <w:rFonts w:eastAsia="Times New Roman"/>
          <w:sz w:val="24"/>
          <w:szCs w:val="24"/>
          <w:lang w:val="en-GB" w:eastAsia="en-ZA"/>
        </w:rPr>
        <w:t>was advanced</w:t>
      </w:r>
      <w:r w:rsidR="00377038" w:rsidRPr="003A4985">
        <w:rPr>
          <w:rFonts w:eastAsia="Times New Roman"/>
          <w:sz w:val="24"/>
          <w:szCs w:val="24"/>
          <w:lang w:val="en-GB" w:eastAsia="en-ZA"/>
        </w:rPr>
        <w:t xml:space="preserve"> in the alternative</w:t>
      </w:r>
      <w:r w:rsidR="003B083F" w:rsidRPr="003A4985">
        <w:rPr>
          <w:rFonts w:eastAsia="Times New Roman"/>
          <w:sz w:val="24"/>
          <w:szCs w:val="24"/>
          <w:lang w:val="en-GB" w:eastAsia="en-ZA"/>
        </w:rPr>
        <w:t xml:space="preserve"> to</w:t>
      </w:r>
      <w:r w:rsidR="00ED1211" w:rsidRPr="003A4985">
        <w:rPr>
          <w:rFonts w:eastAsia="Times New Roman"/>
          <w:sz w:val="24"/>
          <w:szCs w:val="24"/>
          <w:lang w:val="en-GB" w:eastAsia="en-ZA"/>
        </w:rPr>
        <w:t xml:space="preserve"> the appeal. Thus,</w:t>
      </w:r>
      <w:r w:rsidR="00377038" w:rsidRPr="003A4985">
        <w:rPr>
          <w:rFonts w:eastAsia="Times New Roman"/>
          <w:sz w:val="24"/>
          <w:szCs w:val="24"/>
          <w:lang w:val="en-GB" w:eastAsia="en-ZA"/>
        </w:rPr>
        <w:t xml:space="preserve"> if the appeal</w:t>
      </w:r>
      <w:r w:rsidR="003B083F" w:rsidRPr="003A4985">
        <w:rPr>
          <w:rFonts w:eastAsia="Times New Roman"/>
          <w:sz w:val="24"/>
          <w:szCs w:val="24"/>
          <w:lang w:val="en-GB" w:eastAsia="en-ZA"/>
        </w:rPr>
        <w:t xml:space="preserve"> </w:t>
      </w:r>
      <w:r w:rsidR="00863C5D" w:rsidRPr="003A4985">
        <w:rPr>
          <w:rFonts w:eastAsia="Times New Roman"/>
          <w:sz w:val="24"/>
          <w:szCs w:val="24"/>
          <w:lang w:val="en-GB" w:eastAsia="en-ZA"/>
        </w:rPr>
        <w:t>(</w:t>
      </w:r>
      <w:r w:rsidR="003B083F" w:rsidRPr="003A4985">
        <w:rPr>
          <w:rFonts w:eastAsia="Times New Roman"/>
          <w:sz w:val="24"/>
          <w:szCs w:val="24"/>
          <w:lang w:val="en-GB" w:eastAsia="en-ZA"/>
        </w:rPr>
        <w:t>being the main relief that was sought</w:t>
      </w:r>
      <w:r w:rsidR="00863C5D" w:rsidRPr="003A4985">
        <w:rPr>
          <w:rFonts w:eastAsia="Times New Roman"/>
          <w:sz w:val="24"/>
          <w:szCs w:val="24"/>
          <w:lang w:val="en-GB" w:eastAsia="en-ZA"/>
        </w:rPr>
        <w:t>)</w:t>
      </w:r>
      <w:r w:rsidR="00377038" w:rsidRPr="003A4985">
        <w:rPr>
          <w:rFonts w:eastAsia="Times New Roman"/>
          <w:sz w:val="24"/>
          <w:szCs w:val="24"/>
          <w:lang w:val="en-GB" w:eastAsia="en-ZA"/>
        </w:rPr>
        <w:t xml:space="preserve"> were to succeed, </w:t>
      </w:r>
      <w:r w:rsidR="00ED1211" w:rsidRPr="003A4985">
        <w:rPr>
          <w:rFonts w:eastAsia="Times New Roman"/>
          <w:sz w:val="24"/>
          <w:szCs w:val="24"/>
          <w:lang w:val="en-GB" w:eastAsia="en-ZA"/>
        </w:rPr>
        <w:t xml:space="preserve">the high court </w:t>
      </w:r>
      <w:r w:rsidR="003B083F" w:rsidRPr="003A4985">
        <w:rPr>
          <w:rFonts w:eastAsia="Times New Roman"/>
          <w:sz w:val="24"/>
          <w:szCs w:val="24"/>
          <w:lang w:val="en-GB" w:eastAsia="en-ZA"/>
        </w:rPr>
        <w:t xml:space="preserve">may </w:t>
      </w:r>
      <w:r w:rsidR="00ED1211" w:rsidRPr="003A4985">
        <w:rPr>
          <w:rFonts w:eastAsia="Times New Roman"/>
          <w:sz w:val="24"/>
          <w:szCs w:val="24"/>
          <w:lang w:val="en-GB" w:eastAsia="en-ZA"/>
        </w:rPr>
        <w:t xml:space="preserve">notionally </w:t>
      </w:r>
      <w:r w:rsidR="003B083F" w:rsidRPr="003A4985">
        <w:rPr>
          <w:rFonts w:eastAsia="Times New Roman"/>
          <w:sz w:val="24"/>
          <w:szCs w:val="24"/>
          <w:lang w:val="en-GB" w:eastAsia="en-ZA"/>
        </w:rPr>
        <w:t>simply</w:t>
      </w:r>
      <w:r w:rsidR="00377038" w:rsidRPr="003A4985">
        <w:rPr>
          <w:rFonts w:eastAsia="Times New Roman"/>
          <w:sz w:val="24"/>
          <w:szCs w:val="24"/>
          <w:lang w:val="en-GB" w:eastAsia="en-ZA"/>
        </w:rPr>
        <w:t xml:space="preserve"> </w:t>
      </w:r>
      <w:r w:rsidR="003B083F" w:rsidRPr="003A4985">
        <w:rPr>
          <w:rFonts w:eastAsia="Times New Roman"/>
          <w:sz w:val="24"/>
          <w:szCs w:val="24"/>
          <w:lang w:val="en-GB" w:eastAsia="en-ZA"/>
        </w:rPr>
        <w:t>not ge</w:t>
      </w:r>
      <w:r w:rsidR="00377038" w:rsidRPr="003A4985">
        <w:rPr>
          <w:rFonts w:eastAsia="Times New Roman"/>
          <w:sz w:val="24"/>
          <w:szCs w:val="24"/>
          <w:lang w:val="en-GB" w:eastAsia="en-ZA"/>
        </w:rPr>
        <w:t>t to the review</w:t>
      </w:r>
      <w:r w:rsidR="00ED1211" w:rsidRPr="003A4985">
        <w:rPr>
          <w:rFonts w:eastAsia="Times New Roman"/>
          <w:sz w:val="24"/>
          <w:szCs w:val="24"/>
          <w:lang w:val="en-GB" w:eastAsia="en-ZA"/>
        </w:rPr>
        <w:t>; much less</w:t>
      </w:r>
      <w:r w:rsidR="003B083F" w:rsidRPr="003A4985">
        <w:rPr>
          <w:rFonts w:eastAsia="Times New Roman"/>
          <w:sz w:val="24"/>
          <w:szCs w:val="24"/>
          <w:lang w:val="en-GB" w:eastAsia="en-ZA"/>
        </w:rPr>
        <w:t xml:space="preserve">, </w:t>
      </w:r>
      <w:r w:rsidR="003B083F" w:rsidRPr="003A4985">
        <w:rPr>
          <w:sz w:val="24"/>
          <w:szCs w:val="24"/>
        </w:rPr>
        <w:t>t</w:t>
      </w:r>
      <w:r w:rsidR="004D128F" w:rsidRPr="003A4985">
        <w:rPr>
          <w:sz w:val="24"/>
          <w:szCs w:val="24"/>
        </w:rPr>
        <w:t>he compelling application</w:t>
      </w:r>
      <w:r w:rsidR="003B083F" w:rsidRPr="003A4985">
        <w:rPr>
          <w:sz w:val="24"/>
          <w:szCs w:val="24"/>
        </w:rPr>
        <w:t xml:space="preserve"> that was incidental to the review. </w:t>
      </w:r>
      <w:r w:rsidR="00B47C40">
        <w:rPr>
          <w:sz w:val="24"/>
          <w:szCs w:val="24"/>
        </w:rPr>
        <w:t xml:space="preserve">The approach favoured by RBCT </w:t>
      </w:r>
      <w:r w:rsidR="006E19A8">
        <w:rPr>
          <w:sz w:val="24"/>
          <w:szCs w:val="24"/>
        </w:rPr>
        <w:t xml:space="preserve">thus </w:t>
      </w:r>
      <w:r w:rsidR="00863C5D" w:rsidRPr="003A4985">
        <w:rPr>
          <w:sz w:val="24"/>
          <w:szCs w:val="24"/>
        </w:rPr>
        <w:t>opened the door to a fractional disposal of issues and the piecemeal hearing of appeals</w:t>
      </w:r>
      <w:r w:rsidR="00B47C40">
        <w:rPr>
          <w:sz w:val="24"/>
          <w:szCs w:val="24"/>
        </w:rPr>
        <w:t xml:space="preserve">. </w:t>
      </w:r>
      <w:r w:rsidR="005E25D9" w:rsidRPr="005E25D9">
        <w:rPr>
          <w:sz w:val="24"/>
          <w:szCs w:val="24"/>
        </w:rPr>
        <w:t>However, as there are dissonant high court judgments and because the present – as well as future – litigants will likely benefit, there may well be a practical need, as also some public interest, in this Court expressing its view on the point raised.</w:t>
      </w:r>
    </w:p>
    <w:p w:rsidR="00A678F9" w:rsidRDefault="00A678F9" w:rsidP="005E25D9">
      <w:pPr>
        <w:pStyle w:val="Heading1"/>
        <w:spacing w:before="63" w:line="360" w:lineRule="auto"/>
        <w:ind w:left="0"/>
        <w:jc w:val="both"/>
        <w:rPr>
          <w:sz w:val="24"/>
          <w:szCs w:val="24"/>
        </w:rPr>
      </w:pPr>
    </w:p>
    <w:p w:rsidR="00AD2795" w:rsidRDefault="00B41CA0" w:rsidP="003E2F5C">
      <w:pPr>
        <w:pStyle w:val="BodyText"/>
        <w:spacing w:before="208" w:line="360" w:lineRule="auto"/>
        <w:jc w:val="both"/>
        <w:rPr>
          <w:sz w:val="24"/>
          <w:szCs w:val="24"/>
        </w:rPr>
      </w:pPr>
      <w:r>
        <w:rPr>
          <w:sz w:val="24"/>
          <w:szCs w:val="24"/>
        </w:rPr>
        <w:t>[</w:t>
      </w:r>
      <w:r w:rsidR="006E19A8">
        <w:rPr>
          <w:sz w:val="24"/>
          <w:szCs w:val="24"/>
        </w:rPr>
        <w:t>9</w:t>
      </w:r>
      <w:r w:rsidR="00A678F9">
        <w:rPr>
          <w:sz w:val="24"/>
          <w:szCs w:val="24"/>
        </w:rPr>
        <w:t>]</w:t>
      </w:r>
      <w:r w:rsidR="00A678F9">
        <w:rPr>
          <w:sz w:val="24"/>
          <w:szCs w:val="24"/>
        </w:rPr>
        <w:tab/>
      </w:r>
      <w:r w:rsidR="002F7461">
        <w:rPr>
          <w:sz w:val="24"/>
          <w:szCs w:val="24"/>
        </w:rPr>
        <w:t>The dictum of Trollip J in</w:t>
      </w:r>
      <w:r w:rsidR="00B91069">
        <w:rPr>
          <w:sz w:val="24"/>
          <w:szCs w:val="24"/>
        </w:rPr>
        <w:t xml:space="preserve"> </w:t>
      </w:r>
      <w:r w:rsidR="00B91069" w:rsidRPr="005F0AB0">
        <w:rPr>
          <w:i/>
          <w:sz w:val="24"/>
          <w:szCs w:val="24"/>
        </w:rPr>
        <w:t>Tikly</w:t>
      </w:r>
      <w:r w:rsidR="00B91069">
        <w:rPr>
          <w:sz w:val="24"/>
          <w:szCs w:val="24"/>
        </w:rPr>
        <w:t>,</w:t>
      </w:r>
      <w:r w:rsidR="00B91069" w:rsidRPr="00B91069">
        <w:rPr>
          <w:rStyle w:val="FootnoteReference"/>
          <w:sz w:val="24"/>
          <w:szCs w:val="24"/>
        </w:rPr>
        <w:footnoteReference w:id="4"/>
      </w:r>
      <w:r w:rsidR="00B91069">
        <w:rPr>
          <w:sz w:val="24"/>
          <w:szCs w:val="24"/>
        </w:rPr>
        <w:t xml:space="preserve"> </w:t>
      </w:r>
      <w:r w:rsidR="003F3044">
        <w:rPr>
          <w:sz w:val="24"/>
          <w:szCs w:val="24"/>
        </w:rPr>
        <w:t>is perhaps</w:t>
      </w:r>
      <w:r w:rsidR="002F7461">
        <w:rPr>
          <w:sz w:val="24"/>
          <w:szCs w:val="24"/>
        </w:rPr>
        <w:t xml:space="preserve"> a useful starting point. He there </w:t>
      </w:r>
      <w:r w:rsidR="006E19A8">
        <w:rPr>
          <w:sz w:val="24"/>
          <w:szCs w:val="24"/>
        </w:rPr>
        <w:t xml:space="preserve">pointed out that </w:t>
      </w:r>
      <w:r w:rsidR="00B91069">
        <w:rPr>
          <w:sz w:val="24"/>
          <w:szCs w:val="24"/>
        </w:rPr>
        <w:t>the word</w:t>
      </w:r>
      <w:r w:rsidR="00FD3367">
        <w:rPr>
          <w:sz w:val="24"/>
          <w:szCs w:val="24"/>
        </w:rPr>
        <w:t xml:space="preserve"> </w:t>
      </w:r>
      <w:r w:rsidR="00B91069">
        <w:rPr>
          <w:sz w:val="24"/>
          <w:szCs w:val="24"/>
        </w:rPr>
        <w:t>‘</w:t>
      </w:r>
      <w:r w:rsidR="00FD3367">
        <w:rPr>
          <w:sz w:val="24"/>
          <w:szCs w:val="24"/>
        </w:rPr>
        <w:t>appeal</w:t>
      </w:r>
      <w:r w:rsidR="00B91069">
        <w:rPr>
          <w:sz w:val="24"/>
          <w:szCs w:val="24"/>
        </w:rPr>
        <w:t>’</w:t>
      </w:r>
      <w:r w:rsidR="00FD3367">
        <w:rPr>
          <w:sz w:val="24"/>
          <w:szCs w:val="24"/>
        </w:rPr>
        <w:t xml:space="preserve"> </w:t>
      </w:r>
      <w:r w:rsidR="00B91069">
        <w:rPr>
          <w:sz w:val="24"/>
          <w:szCs w:val="24"/>
        </w:rPr>
        <w:t>can have different connotations</w:t>
      </w:r>
      <w:r w:rsidR="002F7461">
        <w:rPr>
          <w:sz w:val="24"/>
          <w:szCs w:val="24"/>
        </w:rPr>
        <w:t xml:space="preserve"> and</w:t>
      </w:r>
      <w:r w:rsidR="00B91069">
        <w:rPr>
          <w:sz w:val="24"/>
          <w:szCs w:val="24"/>
        </w:rPr>
        <w:t xml:space="preserve"> </w:t>
      </w:r>
      <w:r w:rsidR="00FD3367">
        <w:rPr>
          <w:sz w:val="24"/>
          <w:szCs w:val="24"/>
        </w:rPr>
        <w:t>explained</w:t>
      </w:r>
      <w:r w:rsidR="00B91069">
        <w:rPr>
          <w:sz w:val="24"/>
          <w:szCs w:val="24"/>
        </w:rPr>
        <w:t xml:space="preserve"> that it could mean</w:t>
      </w:r>
      <w:r w:rsidR="00FD3367">
        <w:rPr>
          <w:sz w:val="24"/>
          <w:szCs w:val="24"/>
        </w:rPr>
        <w:t>:</w:t>
      </w:r>
    </w:p>
    <w:p w:rsidR="00D02EF1" w:rsidRDefault="00AD2795" w:rsidP="003E2F5C">
      <w:pPr>
        <w:pStyle w:val="BodyText"/>
        <w:spacing w:before="208" w:line="360" w:lineRule="auto"/>
        <w:jc w:val="both"/>
        <w:rPr>
          <w:sz w:val="22"/>
          <w:szCs w:val="22"/>
        </w:rPr>
      </w:pPr>
      <w:r w:rsidRPr="00AD2795">
        <w:rPr>
          <w:sz w:val="22"/>
          <w:szCs w:val="22"/>
        </w:rPr>
        <w:t>‘</w:t>
      </w:r>
      <w:r w:rsidR="00B91069">
        <w:rPr>
          <w:sz w:val="22"/>
          <w:szCs w:val="22"/>
        </w:rPr>
        <w:t>(i)</w:t>
      </w:r>
      <w:r w:rsidR="00FD3367" w:rsidRPr="00AD2795">
        <w:rPr>
          <w:sz w:val="22"/>
          <w:szCs w:val="22"/>
        </w:rPr>
        <w:t xml:space="preserve"> </w:t>
      </w:r>
      <w:r w:rsidR="00B91069">
        <w:rPr>
          <w:sz w:val="22"/>
          <w:szCs w:val="22"/>
        </w:rPr>
        <w:t>an appeal in the wide sense, that</w:t>
      </w:r>
      <w:r w:rsidR="00FD3367" w:rsidRPr="00AD2795">
        <w:rPr>
          <w:sz w:val="22"/>
          <w:szCs w:val="22"/>
        </w:rPr>
        <w:t xml:space="preserve"> is</w:t>
      </w:r>
      <w:r w:rsidR="00B91069">
        <w:rPr>
          <w:sz w:val="22"/>
          <w:szCs w:val="22"/>
        </w:rPr>
        <w:t>,</w:t>
      </w:r>
      <w:r w:rsidR="00FD3367" w:rsidRPr="00AD2795">
        <w:rPr>
          <w:sz w:val="22"/>
          <w:szCs w:val="22"/>
        </w:rPr>
        <w:t xml:space="preserve"> a complete re-hearing of, and fresh determinat</w:t>
      </w:r>
      <w:r w:rsidR="005E25D9">
        <w:rPr>
          <w:sz w:val="22"/>
          <w:szCs w:val="22"/>
        </w:rPr>
        <w:t>ion on the merits of the matter</w:t>
      </w:r>
      <w:r w:rsidR="00FD3367" w:rsidRPr="00AD2795">
        <w:rPr>
          <w:sz w:val="22"/>
          <w:szCs w:val="22"/>
        </w:rPr>
        <w:t xml:space="preserve"> with or without additional evidence or information</w:t>
      </w:r>
      <w:r w:rsidR="00D02EF1">
        <w:rPr>
          <w:sz w:val="22"/>
          <w:szCs w:val="22"/>
        </w:rPr>
        <w:t xml:space="preserve"> . . .;</w:t>
      </w:r>
    </w:p>
    <w:p w:rsidR="00D02EF1" w:rsidRDefault="00D02EF1" w:rsidP="003E2F5C">
      <w:pPr>
        <w:pStyle w:val="BodyText"/>
        <w:spacing w:before="208" w:line="360" w:lineRule="auto"/>
        <w:jc w:val="both"/>
        <w:rPr>
          <w:sz w:val="22"/>
          <w:szCs w:val="22"/>
        </w:rPr>
      </w:pPr>
      <w:r>
        <w:rPr>
          <w:sz w:val="22"/>
          <w:szCs w:val="22"/>
        </w:rPr>
        <w:lastRenderedPageBreak/>
        <w:t>(ii)</w:t>
      </w:r>
      <w:r w:rsidR="00FD3367" w:rsidRPr="00AD2795">
        <w:rPr>
          <w:sz w:val="22"/>
          <w:szCs w:val="22"/>
        </w:rPr>
        <w:t xml:space="preserve"> </w:t>
      </w:r>
      <w:r>
        <w:rPr>
          <w:sz w:val="22"/>
          <w:szCs w:val="22"/>
        </w:rPr>
        <w:t>an appeal in the ordinary strict sense, that</w:t>
      </w:r>
      <w:r w:rsidR="00FD3367" w:rsidRPr="00AD2795">
        <w:rPr>
          <w:sz w:val="22"/>
          <w:szCs w:val="22"/>
        </w:rPr>
        <w:t xml:space="preserve"> is</w:t>
      </w:r>
      <w:r>
        <w:rPr>
          <w:sz w:val="22"/>
          <w:szCs w:val="22"/>
        </w:rPr>
        <w:t>,</w:t>
      </w:r>
      <w:r w:rsidR="00FD3367" w:rsidRPr="00AD2795">
        <w:rPr>
          <w:sz w:val="22"/>
          <w:szCs w:val="22"/>
        </w:rPr>
        <w:t xml:space="preserve"> </w:t>
      </w:r>
      <w:r w:rsidR="005E25D9" w:rsidRPr="00AD2795">
        <w:rPr>
          <w:sz w:val="22"/>
          <w:szCs w:val="22"/>
        </w:rPr>
        <w:t>a</w:t>
      </w:r>
      <w:r w:rsidR="005E25D9">
        <w:rPr>
          <w:sz w:val="22"/>
          <w:szCs w:val="22"/>
        </w:rPr>
        <w:t xml:space="preserve"> </w:t>
      </w:r>
      <w:r w:rsidR="005E25D9" w:rsidRPr="00AD2795">
        <w:rPr>
          <w:sz w:val="22"/>
          <w:szCs w:val="22"/>
        </w:rPr>
        <w:t xml:space="preserve">re-hearing on the merits </w:t>
      </w:r>
      <w:r w:rsidR="00FD3367" w:rsidRPr="00AD2795">
        <w:rPr>
          <w:sz w:val="22"/>
          <w:szCs w:val="22"/>
        </w:rPr>
        <w:t>but limited to the evidence or information on which the decision under appeal was given, and in which the only determination is whether that decision was right or wrong</w:t>
      </w:r>
      <w:r>
        <w:rPr>
          <w:sz w:val="22"/>
          <w:szCs w:val="22"/>
        </w:rPr>
        <w:t xml:space="preserve"> . . .; </w:t>
      </w:r>
    </w:p>
    <w:p w:rsidR="005E25D9" w:rsidRPr="005E25D9" w:rsidRDefault="00D02EF1" w:rsidP="005E25D9">
      <w:pPr>
        <w:pStyle w:val="BodyText"/>
        <w:spacing w:before="208" w:line="360" w:lineRule="auto"/>
        <w:jc w:val="both"/>
        <w:rPr>
          <w:sz w:val="22"/>
          <w:szCs w:val="22"/>
        </w:rPr>
      </w:pPr>
      <w:r>
        <w:rPr>
          <w:sz w:val="22"/>
          <w:szCs w:val="22"/>
        </w:rPr>
        <w:t xml:space="preserve">(iii) a review, </w:t>
      </w:r>
      <w:r w:rsidR="00FD3367" w:rsidRPr="00AD2795">
        <w:rPr>
          <w:sz w:val="22"/>
          <w:szCs w:val="22"/>
        </w:rPr>
        <w:t xml:space="preserve">that is, a limited re-hearing with or without additional </w:t>
      </w:r>
      <w:r>
        <w:rPr>
          <w:sz w:val="22"/>
          <w:szCs w:val="22"/>
        </w:rPr>
        <w:t xml:space="preserve">evidence or information </w:t>
      </w:r>
      <w:r w:rsidR="00FD3367" w:rsidRPr="00AD2795">
        <w:rPr>
          <w:sz w:val="22"/>
          <w:szCs w:val="22"/>
        </w:rPr>
        <w:t>to determine</w:t>
      </w:r>
      <w:r>
        <w:rPr>
          <w:sz w:val="22"/>
          <w:szCs w:val="22"/>
        </w:rPr>
        <w:t>,</w:t>
      </w:r>
      <w:r w:rsidR="00FD3367" w:rsidRPr="00AD2795">
        <w:rPr>
          <w:sz w:val="22"/>
          <w:szCs w:val="22"/>
        </w:rPr>
        <w:t xml:space="preserve"> not whether the decision under appeal was correct or not, but whether the arbiters </w:t>
      </w:r>
      <w:r w:rsidR="005E25D9" w:rsidRPr="005E25D9">
        <w:rPr>
          <w:sz w:val="22"/>
          <w:szCs w:val="22"/>
        </w:rPr>
        <w:t>had exercised their powers and discretion honestly and properly . . .’.</w:t>
      </w:r>
      <w:r w:rsidR="005E25D9" w:rsidRPr="005E25D9">
        <w:rPr>
          <w:sz w:val="22"/>
          <w:szCs w:val="22"/>
          <w:vertAlign w:val="superscript"/>
        </w:rPr>
        <w:footnoteReference w:id="5"/>
      </w:r>
      <w:r w:rsidR="005E25D9" w:rsidRPr="005E25D9">
        <w:rPr>
          <w:sz w:val="22"/>
          <w:szCs w:val="22"/>
        </w:rPr>
        <w:t xml:space="preserve"> </w:t>
      </w:r>
      <w:r w:rsidR="005E25D9" w:rsidRPr="005E25D9">
        <w:rPr>
          <w:sz w:val="24"/>
          <w:szCs w:val="24"/>
        </w:rPr>
        <w:t>(Footnotes omitted.)</w:t>
      </w:r>
    </w:p>
    <w:p w:rsidR="00801519" w:rsidRPr="003A4985" w:rsidRDefault="00801519" w:rsidP="005E25D9">
      <w:pPr>
        <w:pStyle w:val="BodyText"/>
        <w:spacing w:before="208" w:line="360" w:lineRule="auto"/>
        <w:jc w:val="both"/>
        <w:rPr>
          <w:sz w:val="24"/>
          <w:szCs w:val="24"/>
        </w:rPr>
      </w:pPr>
    </w:p>
    <w:p w:rsidR="00CF5C06" w:rsidRPr="00022B4F" w:rsidRDefault="00B41CA0" w:rsidP="00022B4F">
      <w:pPr>
        <w:spacing w:line="360" w:lineRule="auto"/>
        <w:jc w:val="both"/>
        <w:rPr>
          <w:sz w:val="24"/>
          <w:szCs w:val="24"/>
        </w:rPr>
      </w:pPr>
      <w:r>
        <w:rPr>
          <w:sz w:val="24"/>
          <w:szCs w:val="24"/>
        </w:rPr>
        <w:t>[1</w:t>
      </w:r>
      <w:r w:rsidR="003F3044">
        <w:rPr>
          <w:sz w:val="24"/>
          <w:szCs w:val="24"/>
        </w:rPr>
        <w:t>0</w:t>
      </w:r>
      <w:r w:rsidR="00A678F9">
        <w:rPr>
          <w:sz w:val="24"/>
          <w:szCs w:val="24"/>
        </w:rPr>
        <w:t>]</w:t>
      </w:r>
      <w:r w:rsidR="00A678F9">
        <w:rPr>
          <w:sz w:val="24"/>
          <w:szCs w:val="24"/>
        </w:rPr>
        <w:tab/>
      </w:r>
      <w:r w:rsidR="00064A7C">
        <w:rPr>
          <w:sz w:val="24"/>
          <w:szCs w:val="24"/>
        </w:rPr>
        <w:t xml:space="preserve">The thrust of </w:t>
      </w:r>
      <w:r w:rsidR="00022B4F" w:rsidRPr="003A4985">
        <w:rPr>
          <w:sz w:val="24"/>
          <w:szCs w:val="24"/>
        </w:rPr>
        <w:t>SARS</w:t>
      </w:r>
      <w:r w:rsidR="00064A7C">
        <w:rPr>
          <w:sz w:val="24"/>
          <w:szCs w:val="24"/>
        </w:rPr>
        <w:t>’</w:t>
      </w:r>
      <w:r w:rsidR="00022B4F" w:rsidRPr="003A4985">
        <w:rPr>
          <w:sz w:val="24"/>
          <w:szCs w:val="24"/>
        </w:rPr>
        <w:t xml:space="preserve"> </w:t>
      </w:r>
      <w:r w:rsidR="00C15433" w:rsidRPr="00F558EB">
        <w:rPr>
          <w:sz w:val="24"/>
          <w:szCs w:val="24"/>
        </w:rPr>
        <w:t>case</w:t>
      </w:r>
      <w:r w:rsidR="00C15433" w:rsidRPr="00026EAB">
        <w:rPr>
          <w:color w:val="FF0000"/>
          <w:sz w:val="24"/>
          <w:szCs w:val="24"/>
        </w:rPr>
        <w:t xml:space="preserve"> </w:t>
      </w:r>
      <w:r w:rsidR="00064A7C">
        <w:rPr>
          <w:sz w:val="24"/>
          <w:szCs w:val="24"/>
        </w:rPr>
        <w:t>is</w:t>
      </w:r>
      <w:r w:rsidR="00022B4F" w:rsidRPr="003A4985">
        <w:rPr>
          <w:sz w:val="24"/>
          <w:szCs w:val="24"/>
        </w:rPr>
        <w:t xml:space="preserve"> that because a s </w:t>
      </w:r>
      <w:r w:rsidR="004E1B8E" w:rsidRPr="003A4985">
        <w:rPr>
          <w:sz w:val="24"/>
          <w:szCs w:val="24"/>
        </w:rPr>
        <w:t>47(9)</w:t>
      </w:r>
      <w:r w:rsidR="004E1B8E">
        <w:rPr>
          <w:i/>
          <w:sz w:val="24"/>
          <w:szCs w:val="24"/>
        </w:rPr>
        <w:t>(e)</w:t>
      </w:r>
      <w:r w:rsidR="004E1B8E" w:rsidRPr="003A4985">
        <w:rPr>
          <w:sz w:val="24"/>
          <w:szCs w:val="24"/>
        </w:rPr>
        <w:t xml:space="preserve"> </w:t>
      </w:r>
      <w:r w:rsidR="00022B4F" w:rsidRPr="003A4985">
        <w:rPr>
          <w:sz w:val="24"/>
          <w:szCs w:val="24"/>
        </w:rPr>
        <w:t>appeal is an appeal</w:t>
      </w:r>
      <w:r w:rsidR="00022B4F" w:rsidRPr="003A4985">
        <w:rPr>
          <w:spacing w:val="-16"/>
          <w:sz w:val="24"/>
          <w:szCs w:val="24"/>
        </w:rPr>
        <w:t xml:space="preserve"> </w:t>
      </w:r>
      <w:r w:rsidR="00022B4F" w:rsidRPr="003A4985">
        <w:rPr>
          <w:sz w:val="24"/>
          <w:szCs w:val="24"/>
        </w:rPr>
        <w:t>in</w:t>
      </w:r>
      <w:r w:rsidR="00022B4F" w:rsidRPr="003A4985">
        <w:rPr>
          <w:spacing w:val="-16"/>
          <w:sz w:val="24"/>
          <w:szCs w:val="24"/>
        </w:rPr>
        <w:t xml:space="preserve"> </w:t>
      </w:r>
      <w:r w:rsidR="00022B4F" w:rsidRPr="003A4985">
        <w:rPr>
          <w:sz w:val="24"/>
          <w:szCs w:val="24"/>
        </w:rPr>
        <w:t>the</w:t>
      </w:r>
      <w:r w:rsidR="00022B4F" w:rsidRPr="003A4985">
        <w:rPr>
          <w:spacing w:val="-16"/>
          <w:sz w:val="24"/>
          <w:szCs w:val="24"/>
        </w:rPr>
        <w:t xml:space="preserve"> </w:t>
      </w:r>
      <w:r w:rsidR="00022B4F" w:rsidRPr="003A4985">
        <w:rPr>
          <w:sz w:val="24"/>
          <w:szCs w:val="24"/>
        </w:rPr>
        <w:t>wide</w:t>
      </w:r>
      <w:r w:rsidR="00022B4F" w:rsidRPr="003A4985">
        <w:rPr>
          <w:spacing w:val="-12"/>
          <w:sz w:val="24"/>
          <w:szCs w:val="24"/>
        </w:rPr>
        <w:t xml:space="preserve"> </w:t>
      </w:r>
      <w:r w:rsidR="00022B4F" w:rsidRPr="003A4985">
        <w:rPr>
          <w:sz w:val="24"/>
          <w:szCs w:val="24"/>
        </w:rPr>
        <w:t>sense</w:t>
      </w:r>
      <w:r w:rsidR="00064A7C">
        <w:rPr>
          <w:sz w:val="24"/>
          <w:szCs w:val="24"/>
        </w:rPr>
        <w:t xml:space="preserve"> as </w:t>
      </w:r>
      <w:r w:rsidR="003F3044">
        <w:rPr>
          <w:sz w:val="24"/>
          <w:szCs w:val="24"/>
        </w:rPr>
        <w:t>articulated</w:t>
      </w:r>
      <w:r w:rsidR="00064A7C">
        <w:rPr>
          <w:sz w:val="24"/>
          <w:szCs w:val="24"/>
        </w:rPr>
        <w:t xml:space="preserve"> by Trollip J in (i) above</w:t>
      </w:r>
      <w:r w:rsidR="00022B4F" w:rsidRPr="003A4985">
        <w:rPr>
          <w:sz w:val="24"/>
          <w:szCs w:val="24"/>
        </w:rPr>
        <w:t>,</w:t>
      </w:r>
      <w:r w:rsidR="00022B4F" w:rsidRPr="003A4985">
        <w:rPr>
          <w:spacing w:val="-10"/>
          <w:sz w:val="24"/>
          <w:szCs w:val="24"/>
        </w:rPr>
        <w:t xml:space="preserve"> </w:t>
      </w:r>
      <w:r w:rsidR="00022B4F" w:rsidRPr="003A4985">
        <w:rPr>
          <w:sz w:val="24"/>
          <w:szCs w:val="24"/>
        </w:rPr>
        <w:t>a</w:t>
      </w:r>
      <w:r w:rsidR="00022B4F" w:rsidRPr="003A4985">
        <w:rPr>
          <w:spacing w:val="-16"/>
          <w:sz w:val="24"/>
          <w:szCs w:val="24"/>
        </w:rPr>
        <w:t xml:space="preserve"> </w:t>
      </w:r>
      <w:r w:rsidR="00022B4F" w:rsidRPr="003A4985">
        <w:rPr>
          <w:sz w:val="24"/>
          <w:szCs w:val="24"/>
        </w:rPr>
        <w:t>complete</w:t>
      </w:r>
      <w:r w:rsidR="00022B4F" w:rsidRPr="003A4985">
        <w:rPr>
          <w:spacing w:val="-16"/>
          <w:sz w:val="24"/>
          <w:szCs w:val="24"/>
        </w:rPr>
        <w:t xml:space="preserve"> </w:t>
      </w:r>
      <w:r w:rsidR="00022B4F" w:rsidRPr="003A4985">
        <w:rPr>
          <w:sz w:val="24"/>
          <w:szCs w:val="24"/>
        </w:rPr>
        <w:t>rehearing</w:t>
      </w:r>
      <w:r w:rsidR="00022B4F" w:rsidRPr="003A4985">
        <w:rPr>
          <w:spacing w:val="-11"/>
          <w:sz w:val="24"/>
          <w:szCs w:val="24"/>
        </w:rPr>
        <w:t xml:space="preserve"> </w:t>
      </w:r>
      <w:r w:rsidR="00022B4F" w:rsidRPr="003A4985">
        <w:rPr>
          <w:sz w:val="24"/>
          <w:szCs w:val="24"/>
        </w:rPr>
        <w:t>of</w:t>
      </w:r>
      <w:r w:rsidR="00022B4F" w:rsidRPr="003A4985">
        <w:rPr>
          <w:spacing w:val="-16"/>
          <w:sz w:val="24"/>
          <w:szCs w:val="24"/>
        </w:rPr>
        <w:t xml:space="preserve"> </w:t>
      </w:r>
      <w:r w:rsidR="00022B4F" w:rsidRPr="003A4985">
        <w:rPr>
          <w:sz w:val="24"/>
          <w:szCs w:val="24"/>
        </w:rPr>
        <w:t>the</w:t>
      </w:r>
      <w:r w:rsidR="00022B4F" w:rsidRPr="003A4985">
        <w:rPr>
          <w:spacing w:val="-16"/>
          <w:sz w:val="24"/>
          <w:szCs w:val="24"/>
        </w:rPr>
        <w:t xml:space="preserve"> </w:t>
      </w:r>
      <w:r w:rsidR="00022B4F" w:rsidRPr="003A4985">
        <w:rPr>
          <w:sz w:val="24"/>
          <w:szCs w:val="24"/>
        </w:rPr>
        <w:t xml:space="preserve">matter is </w:t>
      </w:r>
      <w:r w:rsidR="003F3044">
        <w:rPr>
          <w:sz w:val="24"/>
          <w:szCs w:val="24"/>
        </w:rPr>
        <w:t>envisaged</w:t>
      </w:r>
      <w:r w:rsidR="00022B4F" w:rsidRPr="003A4985">
        <w:rPr>
          <w:sz w:val="24"/>
          <w:szCs w:val="24"/>
        </w:rPr>
        <w:t xml:space="preserve">. This means a </w:t>
      </w:r>
      <w:r w:rsidR="00022B4F" w:rsidRPr="003A4985">
        <w:rPr>
          <w:i/>
          <w:sz w:val="24"/>
          <w:szCs w:val="24"/>
        </w:rPr>
        <w:t xml:space="preserve">de novo </w:t>
      </w:r>
      <w:r w:rsidR="00022B4F" w:rsidRPr="003A4985">
        <w:rPr>
          <w:sz w:val="24"/>
          <w:szCs w:val="24"/>
        </w:rPr>
        <w:t>reconsideration</w:t>
      </w:r>
      <w:r w:rsidR="00022B4F" w:rsidRPr="003A4985">
        <w:rPr>
          <w:spacing w:val="-2"/>
          <w:sz w:val="24"/>
          <w:szCs w:val="24"/>
        </w:rPr>
        <w:t xml:space="preserve"> </w:t>
      </w:r>
      <w:r w:rsidR="00022B4F" w:rsidRPr="003A4985">
        <w:rPr>
          <w:sz w:val="24"/>
          <w:szCs w:val="24"/>
        </w:rPr>
        <w:t>of the tariff determination, with or without new evidence and information.</w:t>
      </w:r>
      <w:r w:rsidR="00022B4F" w:rsidRPr="003A4985">
        <w:rPr>
          <w:spacing w:val="-2"/>
          <w:sz w:val="24"/>
          <w:szCs w:val="24"/>
        </w:rPr>
        <w:t xml:space="preserve"> </w:t>
      </w:r>
      <w:r w:rsidR="00022B4F">
        <w:rPr>
          <w:sz w:val="24"/>
          <w:szCs w:val="24"/>
        </w:rPr>
        <w:t xml:space="preserve">Accordingly, so the </w:t>
      </w:r>
      <w:r w:rsidR="00064A7C">
        <w:rPr>
          <w:sz w:val="24"/>
          <w:szCs w:val="24"/>
        </w:rPr>
        <w:t>argument proceeds</w:t>
      </w:r>
      <w:r w:rsidR="00022B4F">
        <w:rPr>
          <w:sz w:val="24"/>
          <w:szCs w:val="24"/>
        </w:rPr>
        <w:t>, a</w:t>
      </w:r>
      <w:r w:rsidR="00801519" w:rsidRPr="003A4985">
        <w:rPr>
          <w:sz w:val="24"/>
          <w:szCs w:val="24"/>
        </w:rPr>
        <w:t xml:space="preserve"> party seeking to challenge a tari</w:t>
      </w:r>
      <w:r w:rsidR="00022B4F">
        <w:rPr>
          <w:sz w:val="24"/>
          <w:szCs w:val="24"/>
        </w:rPr>
        <w:t xml:space="preserve">ff determination is </w:t>
      </w:r>
      <w:r w:rsidR="00801519" w:rsidRPr="003A4985">
        <w:rPr>
          <w:sz w:val="24"/>
          <w:szCs w:val="24"/>
        </w:rPr>
        <w:t>confined to the wide statutory appeal</w:t>
      </w:r>
      <w:r w:rsidR="00022B4F">
        <w:rPr>
          <w:sz w:val="24"/>
          <w:szCs w:val="24"/>
        </w:rPr>
        <w:t xml:space="preserve"> envisaged by </w:t>
      </w:r>
      <w:r w:rsidR="00022B4F" w:rsidRPr="003A4985">
        <w:rPr>
          <w:sz w:val="24"/>
          <w:szCs w:val="24"/>
        </w:rPr>
        <w:t>s 47(9)</w:t>
      </w:r>
      <w:r w:rsidR="00022B4F" w:rsidRPr="00AD2795">
        <w:rPr>
          <w:i/>
          <w:sz w:val="24"/>
          <w:szCs w:val="24"/>
        </w:rPr>
        <w:t>(e)</w:t>
      </w:r>
      <w:r w:rsidR="00CC3A16">
        <w:rPr>
          <w:sz w:val="24"/>
          <w:szCs w:val="24"/>
        </w:rPr>
        <w:t>, to the exclusion of review proceedings</w:t>
      </w:r>
      <w:r w:rsidR="00801519" w:rsidRPr="003A4985">
        <w:rPr>
          <w:sz w:val="24"/>
          <w:szCs w:val="24"/>
        </w:rPr>
        <w:t>.</w:t>
      </w:r>
      <w:r w:rsidR="00022B4F">
        <w:rPr>
          <w:sz w:val="24"/>
          <w:szCs w:val="24"/>
        </w:rPr>
        <w:t xml:space="preserve"> </w:t>
      </w:r>
      <w:r w:rsidR="00064A7C">
        <w:rPr>
          <w:rFonts w:eastAsia="Times New Roman"/>
          <w:sz w:val="24"/>
          <w:szCs w:val="24"/>
          <w:lang w:eastAsia="en-ZA"/>
        </w:rPr>
        <w:t>That provision reads</w:t>
      </w:r>
      <w:r w:rsidR="00CF5C06" w:rsidRPr="003A4985">
        <w:rPr>
          <w:rFonts w:eastAsia="Times New Roman"/>
          <w:sz w:val="24"/>
          <w:szCs w:val="24"/>
          <w:lang w:eastAsia="en-ZA"/>
        </w:rPr>
        <w:t>:</w:t>
      </w:r>
    </w:p>
    <w:p w:rsidR="00A678F9" w:rsidRDefault="00CF5C06" w:rsidP="00064A7C">
      <w:pPr>
        <w:pStyle w:val="Heading1"/>
        <w:spacing w:before="63" w:line="360" w:lineRule="auto"/>
        <w:ind w:left="0"/>
        <w:jc w:val="both"/>
        <w:rPr>
          <w:rFonts w:eastAsia="Times New Roman"/>
          <w:sz w:val="22"/>
          <w:szCs w:val="22"/>
          <w:lang w:eastAsia="en-ZA"/>
        </w:rPr>
      </w:pPr>
      <w:r w:rsidRPr="005F0AB0">
        <w:rPr>
          <w:rFonts w:eastAsia="Times New Roman"/>
          <w:sz w:val="22"/>
          <w:szCs w:val="22"/>
          <w:lang w:eastAsia="en-ZA"/>
        </w:rPr>
        <w:t>‘An appeal against any such determination shall lie to the division of the High Court of South Africa having jurisdiction to hear appeals in the area wherein the determination was made, or the goods in question were entered for home consumption.’</w:t>
      </w:r>
    </w:p>
    <w:p w:rsidR="00064A7C" w:rsidRPr="00064A7C" w:rsidRDefault="00064A7C" w:rsidP="00064A7C">
      <w:pPr>
        <w:pStyle w:val="Heading1"/>
        <w:spacing w:before="63" w:line="360" w:lineRule="auto"/>
        <w:ind w:left="0"/>
        <w:jc w:val="both"/>
        <w:rPr>
          <w:rFonts w:eastAsia="Times New Roman"/>
          <w:sz w:val="22"/>
          <w:szCs w:val="22"/>
          <w:lang w:eastAsia="en-ZA"/>
        </w:rPr>
      </w:pPr>
    </w:p>
    <w:p w:rsidR="005F0AB0" w:rsidRDefault="00B41CA0" w:rsidP="00A678F9">
      <w:pPr>
        <w:spacing w:before="225" w:line="360" w:lineRule="auto"/>
        <w:jc w:val="both"/>
        <w:rPr>
          <w:sz w:val="24"/>
          <w:szCs w:val="24"/>
        </w:rPr>
      </w:pPr>
      <w:r>
        <w:rPr>
          <w:sz w:val="24"/>
          <w:szCs w:val="24"/>
        </w:rPr>
        <w:t>[1</w:t>
      </w:r>
      <w:r w:rsidR="003F3044">
        <w:rPr>
          <w:sz w:val="24"/>
          <w:szCs w:val="24"/>
        </w:rPr>
        <w:t>1</w:t>
      </w:r>
      <w:r w:rsidR="00A678F9">
        <w:rPr>
          <w:sz w:val="24"/>
          <w:szCs w:val="24"/>
        </w:rPr>
        <w:t>]</w:t>
      </w:r>
      <w:r w:rsidR="00A678F9">
        <w:rPr>
          <w:sz w:val="24"/>
          <w:szCs w:val="24"/>
        </w:rPr>
        <w:tab/>
      </w:r>
      <w:r w:rsidR="004E1B8E">
        <w:rPr>
          <w:sz w:val="24"/>
          <w:szCs w:val="24"/>
        </w:rPr>
        <w:t>SARS’ contention raises a question of statutory construction: Does the fact that the CEA creat</w:t>
      </w:r>
      <w:r w:rsidR="004E1B8E" w:rsidRPr="00026EAB">
        <w:rPr>
          <w:sz w:val="24"/>
          <w:szCs w:val="24"/>
        </w:rPr>
        <w:t>e</w:t>
      </w:r>
      <w:r w:rsidR="00E96653" w:rsidRPr="00F558EB">
        <w:rPr>
          <w:sz w:val="24"/>
          <w:szCs w:val="24"/>
        </w:rPr>
        <w:t>s</w:t>
      </w:r>
      <w:r w:rsidR="004E1B8E">
        <w:rPr>
          <w:sz w:val="24"/>
          <w:szCs w:val="24"/>
        </w:rPr>
        <w:t xml:space="preserve"> a tailor-made remedy, necessarily exclude a taxpayer’s right of review? The question has been considered by the high court on four separate occasions. In </w:t>
      </w:r>
      <w:r w:rsidR="004E1B8E" w:rsidRPr="005F0AB0">
        <w:rPr>
          <w:i/>
          <w:sz w:val="24"/>
          <w:szCs w:val="24"/>
        </w:rPr>
        <w:t xml:space="preserve">Distell </w:t>
      </w:r>
      <w:r w:rsidR="005F0AB0" w:rsidRPr="005F0AB0">
        <w:rPr>
          <w:i/>
          <w:sz w:val="24"/>
          <w:szCs w:val="24"/>
        </w:rPr>
        <w:t>Limited</w:t>
      </w:r>
      <w:r w:rsidR="005F0AB0">
        <w:rPr>
          <w:sz w:val="24"/>
          <w:szCs w:val="24"/>
        </w:rPr>
        <w:t xml:space="preserve">, a Full Court </w:t>
      </w:r>
      <w:r w:rsidR="00EF642C">
        <w:rPr>
          <w:sz w:val="24"/>
          <w:szCs w:val="24"/>
        </w:rPr>
        <w:t xml:space="preserve">held: </w:t>
      </w:r>
    </w:p>
    <w:p w:rsidR="00FC0DF6" w:rsidRPr="005F0AB0" w:rsidRDefault="005F0AB0" w:rsidP="005F0AB0">
      <w:pPr>
        <w:tabs>
          <w:tab w:val="left" w:pos="2043"/>
        </w:tabs>
        <w:spacing w:before="225" w:line="360" w:lineRule="auto"/>
        <w:jc w:val="both"/>
      </w:pPr>
      <w:r w:rsidRPr="005F0AB0">
        <w:t>‘With regard to the applicability, or not, of PAJA:</w:t>
      </w:r>
    </w:p>
    <w:p w:rsidR="00EF6FF3" w:rsidRPr="005F0AB0" w:rsidRDefault="00EF6FF3" w:rsidP="003E2F5C">
      <w:pPr>
        <w:tabs>
          <w:tab w:val="left" w:pos="3255"/>
        </w:tabs>
        <w:spacing w:before="214" w:line="360" w:lineRule="auto"/>
        <w:jc w:val="both"/>
        <w:rPr>
          <w:spacing w:val="40"/>
        </w:rPr>
      </w:pPr>
      <w:r w:rsidRPr="005F0AB0">
        <w:t xml:space="preserve">(a) The wording of the Act is trenchant and that the prescribed remedy of an </w:t>
      </w:r>
      <w:r w:rsidRPr="005F0AB0">
        <w:rPr>
          <w:w w:val="95"/>
        </w:rPr>
        <w:t>aggrieved party against</w:t>
      </w:r>
      <w:r w:rsidRPr="005F0AB0">
        <w:rPr>
          <w:spacing w:val="-2"/>
          <w:w w:val="95"/>
        </w:rPr>
        <w:t xml:space="preserve"> </w:t>
      </w:r>
      <w:r w:rsidRPr="005F0AB0">
        <w:rPr>
          <w:w w:val="95"/>
        </w:rPr>
        <w:t>a</w:t>
      </w:r>
      <w:r w:rsidRPr="005F0AB0">
        <w:rPr>
          <w:spacing w:val="-3"/>
          <w:w w:val="95"/>
        </w:rPr>
        <w:t xml:space="preserve"> </w:t>
      </w:r>
      <w:r w:rsidRPr="005F0AB0">
        <w:rPr>
          <w:w w:val="95"/>
        </w:rPr>
        <w:t>tariff</w:t>
      </w:r>
      <w:r w:rsidRPr="005F0AB0">
        <w:rPr>
          <w:spacing w:val="-5"/>
          <w:w w:val="95"/>
        </w:rPr>
        <w:t xml:space="preserve"> </w:t>
      </w:r>
      <w:r w:rsidRPr="005F0AB0">
        <w:rPr>
          <w:w w:val="95"/>
        </w:rPr>
        <w:t>determination, irrespective of whether it</w:t>
      </w:r>
      <w:r w:rsidRPr="005F0AB0">
        <w:rPr>
          <w:spacing w:val="-10"/>
          <w:w w:val="95"/>
        </w:rPr>
        <w:t xml:space="preserve"> </w:t>
      </w:r>
      <w:r w:rsidRPr="005F0AB0">
        <w:rPr>
          <w:w w:val="95"/>
        </w:rPr>
        <w:t>is</w:t>
      </w:r>
      <w:r w:rsidRPr="005F0AB0">
        <w:rPr>
          <w:spacing w:val="-3"/>
          <w:w w:val="95"/>
        </w:rPr>
        <w:t xml:space="preserve"> </w:t>
      </w:r>
      <w:r w:rsidRPr="005F0AB0">
        <w:rPr>
          <w:w w:val="95"/>
        </w:rPr>
        <w:t xml:space="preserve">founded </w:t>
      </w:r>
      <w:r w:rsidRPr="005F0AB0">
        <w:t xml:space="preserve">on the Commissioner’s alleged wrong interpretation of the relevant statutory provisions (i.e. the first step in the classification process), or his incorrect </w:t>
      </w:r>
      <w:r w:rsidRPr="005F0AB0">
        <w:rPr>
          <w:w w:val="95"/>
        </w:rPr>
        <w:t xml:space="preserve">application </w:t>
      </w:r>
      <w:r w:rsidRPr="005F0AB0">
        <w:rPr>
          <w:color w:val="151515"/>
          <w:w w:val="95"/>
        </w:rPr>
        <w:t>of</w:t>
      </w:r>
      <w:r w:rsidRPr="005F0AB0">
        <w:rPr>
          <w:color w:val="151515"/>
          <w:spacing w:val="-1"/>
          <w:w w:val="95"/>
        </w:rPr>
        <w:t xml:space="preserve"> </w:t>
      </w:r>
      <w:r w:rsidRPr="005F0AB0">
        <w:rPr>
          <w:w w:val="95"/>
        </w:rPr>
        <w:t>the</w:t>
      </w:r>
      <w:r w:rsidRPr="005F0AB0">
        <w:rPr>
          <w:spacing w:val="-2"/>
          <w:w w:val="95"/>
        </w:rPr>
        <w:t xml:space="preserve"> </w:t>
      </w:r>
      <w:r w:rsidRPr="005F0AB0">
        <w:rPr>
          <w:w w:val="95"/>
        </w:rPr>
        <w:t>said</w:t>
      </w:r>
      <w:r w:rsidRPr="005F0AB0">
        <w:rPr>
          <w:spacing w:val="-7"/>
          <w:w w:val="95"/>
        </w:rPr>
        <w:t xml:space="preserve"> </w:t>
      </w:r>
      <w:r w:rsidRPr="005F0AB0">
        <w:rPr>
          <w:w w:val="95"/>
        </w:rPr>
        <w:t>provisions to</w:t>
      </w:r>
      <w:r w:rsidRPr="005F0AB0">
        <w:rPr>
          <w:spacing w:val="-11"/>
          <w:w w:val="95"/>
        </w:rPr>
        <w:t xml:space="preserve"> </w:t>
      </w:r>
      <w:r w:rsidRPr="005F0AB0">
        <w:rPr>
          <w:w w:val="95"/>
        </w:rPr>
        <w:t>the</w:t>
      </w:r>
      <w:r w:rsidRPr="005F0AB0">
        <w:rPr>
          <w:spacing w:val="-9"/>
          <w:w w:val="95"/>
        </w:rPr>
        <w:t xml:space="preserve"> </w:t>
      </w:r>
      <w:r w:rsidRPr="005F0AB0">
        <w:rPr>
          <w:w w:val="95"/>
        </w:rPr>
        <w:t>facts</w:t>
      </w:r>
      <w:r w:rsidRPr="005F0AB0">
        <w:rPr>
          <w:spacing w:val="-6"/>
          <w:w w:val="95"/>
        </w:rPr>
        <w:t xml:space="preserve"> </w:t>
      </w:r>
      <w:r w:rsidRPr="005F0AB0">
        <w:rPr>
          <w:w w:val="95"/>
        </w:rPr>
        <w:t>(i.e.</w:t>
      </w:r>
      <w:r w:rsidRPr="005F0AB0">
        <w:rPr>
          <w:spacing w:val="-12"/>
          <w:w w:val="95"/>
        </w:rPr>
        <w:t xml:space="preserve"> </w:t>
      </w:r>
      <w:r w:rsidRPr="005F0AB0">
        <w:rPr>
          <w:w w:val="95"/>
        </w:rPr>
        <w:t>the</w:t>
      </w:r>
      <w:r w:rsidRPr="005F0AB0">
        <w:rPr>
          <w:spacing w:val="-7"/>
          <w:w w:val="95"/>
        </w:rPr>
        <w:t xml:space="preserve"> </w:t>
      </w:r>
      <w:r w:rsidRPr="005F0AB0">
        <w:rPr>
          <w:w w:val="95"/>
        </w:rPr>
        <w:t>second and</w:t>
      </w:r>
      <w:r w:rsidRPr="005F0AB0">
        <w:rPr>
          <w:spacing w:val="-13"/>
          <w:w w:val="95"/>
        </w:rPr>
        <w:t xml:space="preserve"> </w:t>
      </w:r>
      <w:r w:rsidRPr="005F0AB0">
        <w:rPr>
          <w:w w:val="95"/>
        </w:rPr>
        <w:t>third steps of</w:t>
      </w:r>
      <w:r w:rsidRPr="005F0AB0">
        <w:rPr>
          <w:spacing w:val="-6"/>
          <w:w w:val="95"/>
        </w:rPr>
        <w:t xml:space="preserve"> </w:t>
      </w:r>
      <w:r w:rsidRPr="005F0AB0">
        <w:rPr>
          <w:w w:val="95"/>
        </w:rPr>
        <w:t>the classification</w:t>
      </w:r>
      <w:r w:rsidRPr="005F0AB0">
        <w:rPr>
          <w:spacing w:val="-13"/>
          <w:w w:val="95"/>
        </w:rPr>
        <w:t xml:space="preserve"> </w:t>
      </w:r>
      <w:r w:rsidRPr="005F0AB0">
        <w:rPr>
          <w:w w:val="95"/>
        </w:rPr>
        <w:t>process)),</w:t>
      </w:r>
      <w:r w:rsidRPr="005F0AB0">
        <w:rPr>
          <w:spacing w:val="-11"/>
          <w:w w:val="95"/>
        </w:rPr>
        <w:t xml:space="preserve"> </w:t>
      </w:r>
      <w:r w:rsidRPr="005F0AB0">
        <w:rPr>
          <w:w w:val="95"/>
        </w:rPr>
        <w:t>is</w:t>
      </w:r>
      <w:r w:rsidRPr="005F0AB0">
        <w:rPr>
          <w:spacing w:val="-8"/>
          <w:w w:val="95"/>
        </w:rPr>
        <w:t xml:space="preserve"> </w:t>
      </w:r>
      <w:r w:rsidRPr="005F0AB0">
        <w:rPr>
          <w:w w:val="95"/>
        </w:rPr>
        <w:t>an</w:t>
      </w:r>
      <w:r w:rsidRPr="005F0AB0">
        <w:rPr>
          <w:spacing w:val="-13"/>
          <w:w w:val="95"/>
        </w:rPr>
        <w:t xml:space="preserve"> </w:t>
      </w:r>
      <w:r w:rsidRPr="005F0AB0">
        <w:rPr>
          <w:w w:val="95"/>
        </w:rPr>
        <w:t>appeal</w:t>
      </w:r>
      <w:r w:rsidRPr="005F0AB0">
        <w:rPr>
          <w:spacing w:val="-12"/>
          <w:w w:val="95"/>
        </w:rPr>
        <w:t xml:space="preserve"> </w:t>
      </w:r>
      <w:r w:rsidRPr="005F0AB0">
        <w:rPr>
          <w:w w:val="95"/>
        </w:rPr>
        <w:t>in</w:t>
      </w:r>
      <w:r w:rsidRPr="005F0AB0">
        <w:rPr>
          <w:spacing w:val="-12"/>
          <w:w w:val="95"/>
        </w:rPr>
        <w:t xml:space="preserve"> </w:t>
      </w:r>
      <w:r w:rsidRPr="005F0AB0">
        <w:rPr>
          <w:w w:val="95"/>
        </w:rPr>
        <w:t>terms</w:t>
      </w:r>
      <w:r w:rsidRPr="005F0AB0">
        <w:rPr>
          <w:spacing w:val="-2"/>
          <w:w w:val="95"/>
        </w:rPr>
        <w:t xml:space="preserve"> </w:t>
      </w:r>
      <w:r w:rsidRPr="005F0AB0">
        <w:rPr>
          <w:w w:val="95"/>
        </w:rPr>
        <w:t>of</w:t>
      </w:r>
      <w:r w:rsidRPr="005F0AB0">
        <w:rPr>
          <w:spacing w:val="-7"/>
          <w:w w:val="95"/>
        </w:rPr>
        <w:t xml:space="preserve"> </w:t>
      </w:r>
      <w:r w:rsidRPr="005F0AB0">
        <w:rPr>
          <w:w w:val="95"/>
        </w:rPr>
        <w:t>section</w:t>
      </w:r>
      <w:r w:rsidRPr="005F0AB0">
        <w:rPr>
          <w:spacing w:val="-8"/>
          <w:w w:val="95"/>
        </w:rPr>
        <w:t xml:space="preserve"> </w:t>
      </w:r>
      <w:r w:rsidR="006A0ED9" w:rsidRPr="005F0AB0">
        <w:t>47(9)</w:t>
      </w:r>
      <w:r w:rsidR="006A0ED9" w:rsidRPr="006A0ED9">
        <w:rPr>
          <w:i/>
        </w:rPr>
        <w:t>(e)</w:t>
      </w:r>
      <w:r w:rsidR="006A0ED9">
        <w:rPr>
          <w:i/>
        </w:rPr>
        <w:t xml:space="preserve"> </w:t>
      </w:r>
      <w:r w:rsidRPr="005F0AB0">
        <w:rPr>
          <w:w w:val="95"/>
        </w:rPr>
        <w:t>of</w:t>
      </w:r>
      <w:r w:rsidRPr="005F0AB0">
        <w:rPr>
          <w:spacing w:val="-13"/>
          <w:w w:val="95"/>
        </w:rPr>
        <w:t xml:space="preserve"> </w:t>
      </w:r>
      <w:r w:rsidRPr="005F0AB0">
        <w:rPr>
          <w:w w:val="95"/>
        </w:rPr>
        <w:t>the Act.</w:t>
      </w:r>
      <w:r w:rsidRPr="005F0AB0">
        <w:rPr>
          <w:spacing w:val="40"/>
        </w:rPr>
        <w:t xml:space="preserve"> </w:t>
      </w:r>
    </w:p>
    <w:p w:rsidR="00307B8A" w:rsidRPr="00EF642C" w:rsidRDefault="00EF6FF3" w:rsidP="003E2F5C">
      <w:pPr>
        <w:tabs>
          <w:tab w:val="left" w:pos="3255"/>
          <w:tab w:val="left" w:pos="8820"/>
        </w:tabs>
        <w:spacing w:before="214" w:line="360" w:lineRule="auto"/>
        <w:jc w:val="both"/>
      </w:pPr>
      <w:r w:rsidRPr="005F0AB0">
        <w:t xml:space="preserve">(b) </w:t>
      </w:r>
      <w:r w:rsidRPr="005F0AB0">
        <w:rPr>
          <w:w w:val="95"/>
        </w:rPr>
        <w:t>Because the Act governs both the procedural and substantive prescripts and requirements</w:t>
      </w:r>
      <w:r w:rsidRPr="005F0AB0">
        <w:rPr>
          <w:spacing w:val="-13"/>
          <w:w w:val="95"/>
        </w:rPr>
        <w:t xml:space="preserve"> </w:t>
      </w:r>
      <w:r w:rsidRPr="005F0AB0">
        <w:rPr>
          <w:w w:val="95"/>
        </w:rPr>
        <w:t>of</w:t>
      </w:r>
      <w:r w:rsidRPr="005F0AB0">
        <w:rPr>
          <w:spacing w:val="-10"/>
          <w:w w:val="95"/>
        </w:rPr>
        <w:t xml:space="preserve"> </w:t>
      </w:r>
      <w:r w:rsidRPr="005F0AB0">
        <w:rPr>
          <w:w w:val="95"/>
        </w:rPr>
        <w:t>an</w:t>
      </w:r>
      <w:r w:rsidRPr="005F0AB0">
        <w:rPr>
          <w:spacing w:val="-3"/>
          <w:w w:val="95"/>
        </w:rPr>
        <w:t xml:space="preserve"> </w:t>
      </w:r>
      <w:r w:rsidRPr="005F0AB0">
        <w:rPr>
          <w:w w:val="95"/>
        </w:rPr>
        <w:t>aggrieved party's rights</w:t>
      </w:r>
      <w:r w:rsidRPr="005F0AB0">
        <w:rPr>
          <w:spacing w:val="-1"/>
          <w:w w:val="95"/>
        </w:rPr>
        <w:t xml:space="preserve"> </w:t>
      </w:r>
      <w:r w:rsidRPr="005F0AB0">
        <w:rPr>
          <w:w w:val="95"/>
        </w:rPr>
        <w:t>and</w:t>
      </w:r>
      <w:r w:rsidRPr="005F0AB0">
        <w:rPr>
          <w:spacing w:val="-3"/>
          <w:w w:val="95"/>
        </w:rPr>
        <w:t xml:space="preserve"> </w:t>
      </w:r>
      <w:r w:rsidRPr="005F0AB0">
        <w:rPr>
          <w:w w:val="95"/>
        </w:rPr>
        <w:t>remedies and</w:t>
      </w:r>
      <w:r w:rsidRPr="005F0AB0">
        <w:rPr>
          <w:spacing w:val="-9"/>
          <w:w w:val="95"/>
        </w:rPr>
        <w:t xml:space="preserve"> </w:t>
      </w:r>
      <w:r w:rsidRPr="005F0AB0">
        <w:rPr>
          <w:w w:val="95"/>
        </w:rPr>
        <w:t xml:space="preserve">because an appeal </w:t>
      </w:r>
      <w:r w:rsidRPr="005F0AB0">
        <w:t>in terms of section 47(9)</w:t>
      </w:r>
      <w:r w:rsidRPr="006A0ED9">
        <w:rPr>
          <w:i/>
        </w:rPr>
        <w:t>(e)</w:t>
      </w:r>
      <w:r w:rsidRPr="005F0AB0">
        <w:t xml:space="preserve"> is an appeal "in the wide sense" i.e. a complete </w:t>
      </w:r>
      <w:r w:rsidRPr="005F0AB0">
        <w:rPr>
          <w:w w:val="95"/>
        </w:rPr>
        <w:t>rehearing</w:t>
      </w:r>
      <w:r w:rsidRPr="005F0AB0">
        <w:rPr>
          <w:spacing w:val="-13"/>
          <w:w w:val="95"/>
        </w:rPr>
        <w:t xml:space="preserve"> </w:t>
      </w:r>
      <w:r w:rsidRPr="005F0AB0">
        <w:rPr>
          <w:w w:val="95"/>
        </w:rPr>
        <w:t>of</w:t>
      </w:r>
      <w:r w:rsidRPr="005F0AB0">
        <w:rPr>
          <w:spacing w:val="-12"/>
          <w:w w:val="95"/>
        </w:rPr>
        <w:t xml:space="preserve"> </w:t>
      </w:r>
      <w:r w:rsidRPr="005F0AB0">
        <w:rPr>
          <w:w w:val="95"/>
        </w:rPr>
        <w:t>the</w:t>
      </w:r>
      <w:r w:rsidRPr="005F0AB0">
        <w:rPr>
          <w:spacing w:val="-7"/>
          <w:w w:val="95"/>
        </w:rPr>
        <w:t xml:space="preserve"> </w:t>
      </w:r>
      <w:r w:rsidRPr="005F0AB0">
        <w:rPr>
          <w:w w:val="95"/>
        </w:rPr>
        <w:t>whole</w:t>
      </w:r>
      <w:r w:rsidRPr="005F0AB0">
        <w:rPr>
          <w:spacing w:val="-2"/>
          <w:w w:val="95"/>
        </w:rPr>
        <w:t xml:space="preserve"> </w:t>
      </w:r>
      <w:r w:rsidRPr="005F0AB0">
        <w:rPr>
          <w:w w:val="95"/>
        </w:rPr>
        <w:t xml:space="preserve">issue, </w:t>
      </w:r>
      <w:bookmarkStart w:id="2" w:name="_Hlk130637268"/>
      <w:r w:rsidRPr="005F0AB0">
        <w:rPr>
          <w:w w:val="95"/>
        </w:rPr>
        <w:t>there</w:t>
      </w:r>
      <w:r w:rsidRPr="005F0AB0">
        <w:rPr>
          <w:spacing w:val="-7"/>
          <w:w w:val="95"/>
        </w:rPr>
        <w:t xml:space="preserve"> </w:t>
      </w:r>
      <w:r w:rsidRPr="005F0AB0">
        <w:rPr>
          <w:w w:val="95"/>
        </w:rPr>
        <w:t>is</w:t>
      </w:r>
      <w:r w:rsidRPr="005F0AB0">
        <w:rPr>
          <w:spacing w:val="-13"/>
          <w:w w:val="95"/>
        </w:rPr>
        <w:t xml:space="preserve"> </w:t>
      </w:r>
      <w:r w:rsidRPr="005F0AB0">
        <w:rPr>
          <w:w w:val="95"/>
        </w:rPr>
        <w:t>simply</w:t>
      </w:r>
      <w:r w:rsidRPr="005F0AB0">
        <w:rPr>
          <w:spacing w:val="-4"/>
          <w:w w:val="95"/>
        </w:rPr>
        <w:t xml:space="preserve"> </w:t>
      </w:r>
      <w:r w:rsidRPr="005F0AB0">
        <w:rPr>
          <w:w w:val="95"/>
        </w:rPr>
        <w:t>no</w:t>
      </w:r>
      <w:r w:rsidRPr="005F0AB0">
        <w:rPr>
          <w:spacing w:val="-9"/>
          <w:w w:val="95"/>
        </w:rPr>
        <w:t xml:space="preserve"> </w:t>
      </w:r>
      <w:r w:rsidRPr="005F0AB0">
        <w:rPr>
          <w:w w:val="95"/>
        </w:rPr>
        <w:t>need</w:t>
      </w:r>
      <w:r w:rsidRPr="005F0AB0">
        <w:rPr>
          <w:spacing w:val="-13"/>
          <w:w w:val="95"/>
        </w:rPr>
        <w:t xml:space="preserve"> </w:t>
      </w:r>
      <w:r w:rsidRPr="005F0AB0">
        <w:rPr>
          <w:w w:val="95"/>
        </w:rPr>
        <w:t>to</w:t>
      </w:r>
      <w:r w:rsidRPr="005F0AB0">
        <w:rPr>
          <w:spacing w:val="-12"/>
          <w:w w:val="95"/>
        </w:rPr>
        <w:t xml:space="preserve"> </w:t>
      </w:r>
      <w:r w:rsidRPr="005F0AB0">
        <w:rPr>
          <w:w w:val="95"/>
        </w:rPr>
        <w:lastRenderedPageBreak/>
        <w:t>resort</w:t>
      </w:r>
      <w:r w:rsidRPr="005F0AB0">
        <w:rPr>
          <w:spacing w:val="-9"/>
          <w:w w:val="95"/>
        </w:rPr>
        <w:t xml:space="preserve"> </w:t>
      </w:r>
      <w:r w:rsidRPr="005F0AB0">
        <w:rPr>
          <w:w w:val="95"/>
        </w:rPr>
        <w:t>to</w:t>
      </w:r>
      <w:r w:rsidRPr="005F0AB0">
        <w:rPr>
          <w:spacing w:val="-13"/>
          <w:w w:val="95"/>
        </w:rPr>
        <w:t xml:space="preserve"> </w:t>
      </w:r>
      <w:r w:rsidRPr="005F0AB0">
        <w:rPr>
          <w:w w:val="95"/>
        </w:rPr>
        <w:t>the</w:t>
      </w:r>
      <w:r w:rsidRPr="005F0AB0">
        <w:rPr>
          <w:spacing w:val="-12"/>
          <w:w w:val="95"/>
        </w:rPr>
        <w:t xml:space="preserve"> </w:t>
      </w:r>
      <w:r w:rsidRPr="005F0AB0">
        <w:rPr>
          <w:w w:val="95"/>
        </w:rPr>
        <w:t xml:space="preserve">corresponding </w:t>
      </w:r>
      <w:r w:rsidRPr="005F0AB0">
        <w:t>provisions of</w:t>
      </w:r>
      <w:r w:rsidRPr="005F0AB0">
        <w:rPr>
          <w:spacing w:val="-11"/>
        </w:rPr>
        <w:t xml:space="preserve"> </w:t>
      </w:r>
      <w:r w:rsidRPr="005F0AB0">
        <w:t>PAJA</w:t>
      </w:r>
      <w:bookmarkEnd w:id="2"/>
      <w:r w:rsidRPr="005F0AB0">
        <w:t>.</w:t>
      </w:r>
      <w:r w:rsidR="005F0AB0" w:rsidRPr="005F0AB0">
        <w:t>’</w:t>
      </w:r>
      <w:r w:rsidR="00EF642C">
        <w:rPr>
          <w:rStyle w:val="FootnoteReference"/>
        </w:rPr>
        <w:footnoteReference w:id="6"/>
      </w:r>
    </w:p>
    <w:p w:rsidR="006B7B93" w:rsidRDefault="006B7B93" w:rsidP="003E2F5C">
      <w:pPr>
        <w:tabs>
          <w:tab w:val="left" w:pos="3255"/>
          <w:tab w:val="left" w:pos="8820"/>
        </w:tabs>
        <w:spacing w:before="214" w:line="360" w:lineRule="auto"/>
        <w:jc w:val="both"/>
      </w:pPr>
    </w:p>
    <w:p w:rsidR="00065C80" w:rsidRPr="001412BC" w:rsidRDefault="00500C7A" w:rsidP="006B7B93">
      <w:pPr>
        <w:spacing w:before="214" w:line="360" w:lineRule="auto"/>
        <w:jc w:val="both"/>
        <w:rPr>
          <w:sz w:val="24"/>
          <w:szCs w:val="24"/>
        </w:rPr>
      </w:pPr>
      <w:r>
        <w:rPr>
          <w:sz w:val="24"/>
          <w:szCs w:val="24"/>
        </w:rPr>
        <w:t>[12</w:t>
      </w:r>
      <w:r w:rsidR="001412BC" w:rsidRPr="001412BC">
        <w:rPr>
          <w:sz w:val="24"/>
          <w:szCs w:val="24"/>
        </w:rPr>
        <w:t>]</w:t>
      </w:r>
      <w:r w:rsidR="001412BC" w:rsidRPr="001412BC">
        <w:rPr>
          <w:sz w:val="24"/>
          <w:szCs w:val="24"/>
        </w:rPr>
        <w:tab/>
        <w:t xml:space="preserve">In that matter, before Seriti J </w:t>
      </w:r>
      <w:r w:rsidR="001412BC">
        <w:rPr>
          <w:sz w:val="24"/>
          <w:szCs w:val="24"/>
        </w:rPr>
        <w:t xml:space="preserve">in </w:t>
      </w:r>
      <w:r w:rsidR="001412BC" w:rsidRPr="001412BC">
        <w:rPr>
          <w:sz w:val="24"/>
          <w:szCs w:val="24"/>
        </w:rPr>
        <w:t>the court of first instance</w:t>
      </w:r>
      <w:r w:rsidR="006B7B93" w:rsidRPr="001412BC">
        <w:rPr>
          <w:sz w:val="24"/>
          <w:szCs w:val="24"/>
        </w:rPr>
        <w:t>,</w:t>
      </w:r>
      <w:r w:rsidR="00D063FA" w:rsidRPr="001412BC">
        <w:rPr>
          <w:sz w:val="24"/>
          <w:szCs w:val="24"/>
        </w:rPr>
        <w:t xml:space="preserve"> Distell had relied on both the statutory appeal in terms of s 47(9)</w:t>
      </w:r>
      <w:r w:rsidR="00D063FA" w:rsidRPr="001412BC">
        <w:rPr>
          <w:i/>
          <w:sz w:val="24"/>
          <w:szCs w:val="24"/>
        </w:rPr>
        <w:t xml:space="preserve">(e) </w:t>
      </w:r>
      <w:r w:rsidR="00D063FA" w:rsidRPr="001412BC">
        <w:rPr>
          <w:sz w:val="24"/>
          <w:szCs w:val="24"/>
        </w:rPr>
        <w:t>and on a review in terms of PAJA in attacking the tariff determinations made by the Commissioner.</w:t>
      </w:r>
      <w:r w:rsidR="001412BC" w:rsidRPr="001412BC">
        <w:rPr>
          <w:rStyle w:val="FootnoteReference"/>
          <w:sz w:val="24"/>
          <w:szCs w:val="24"/>
        </w:rPr>
        <w:footnoteReference w:id="7"/>
      </w:r>
      <w:r w:rsidR="00D063FA" w:rsidRPr="001412BC">
        <w:rPr>
          <w:sz w:val="24"/>
          <w:szCs w:val="24"/>
        </w:rPr>
        <w:t xml:space="preserve"> In dismissing Distell’s application, Seriti J</w:t>
      </w:r>
      <w:r w:rsidR="001412BC">
        <w:rPr>
          <w:sz w:val="24"/>
          <w:szCs w:val="24"/>
        </w:rPr>
        <w:t xml:space="preserve"> found that: (i) </w:t>
      </w:r>
      <w:r w:rsidR="00D063FA" w:rsidRPr="001412BC">
        <w:rPr>
          <w:sz w:val="24"/>
          <w:szCs w:val="24"/>
        </w:rPr>
        <w:t xml:space="preserve">the proceedings attacking some of the tariff determinations were instituted too late, whether under PAJA or under the </w:t>
      </w:r>
      <w:r w:rsidR="001412BC">
        <w:rPr>
          <w:sz w:val="24"/>
          <w:szCs w:val="24"/>
        </w:rPr>
        <w:t>CEA</w:t>
      </w:r>
      <w:r w:rsidR="00D063FA" w:rsidRPr="001412BC">
        <w:rPr>
          <w:sz w:val="24"/>
          <w:szCs w:val="24"/>
        </w:rPr>
        <w:t>;</w:t>
      </w:r>
      <w:r w:rsidR="001412BC">
        <w:rPr>
          <w:sz w:val="24"/>
          <w:szCs w:val="24"/>
        </w:rPr>
        <w:t xml:space="preserve"> and (ii) </w:t>
      </w:r>
      <w:r w:rsidR="00D063FA" w:rsidRPr="001412BC">
        <w:rPr>
          <w:sz w:val="24"/>
          <w:szCs w:val="24"/>
        </w:rPr>
        <w:t xml:space="preserve">the tariff determinations which could still be attacked, were correct on </w:t>
      </w:r>
      <w:r w:rsidR="00073108">
        <w:rPr>
          <w:sz w:val="24"/>
          <w:szCs w:val="24"/>
        </w:rPr>
        <w:t xml:space="preserve">the </w:t>
      </w:r>
      <w:r w:rsidR="00D063FA" w:rsidRPr="001412BC">
        <w:rPr>
          <w:sz w:val="24"/>
          <w:szCs w:val="24"/>
        </w:rPr>
        <w:t>merits.</w:t>
      </w:r>
      <w:r w:rsidR="001412BC">
        <w:rPr>
          <w:sz w:val="24"/>
          <w:szCs w:val="24"/>
        </w:rPr>
        <w:t xml:space="preserve"> </w:t>
      </w:r>
      <w:r w:rsidR="00D063FA" w:rsidRPr="001412BC">
        <w:rPr>
          <w:sz w:val="24"/>
          <w:szCs w:val="24"/>
        </w:rPr>
        <w:t xml:space="preserve">The matter then went on appeal to the Full </w:t>
      </w:r>
      <w:r w:rsidR="001412BC">
        <w:rPr>
          <w:sz w:val="24"/>
          <w:szCs w:val="24"/>
        </w:rPr>
        <w:t>Court</w:t>
      </w:r>
      <w:r w:rsidR="00D063FA" w:rsidRPr="001412BC">
        <w:rPr>
          <w:sz w:val="24"/>
          <w:szCs w:val="24"/>
        </w:rPr>
        <w:t xml:space="preserve"> where Ebersohn AJ, </w:t>
      </w:r>
      <w:r w:rsidR="001412BC">
        <w:rPr>
          <w:sz w:val="24"/>
          <w:szCs w:val="24"/>
        </w:rPr>
        <w:t>on behalf of</w:t>
      </w:r>
      <w:r w:rsidR="00D063FA" w:rsidRPr="001412BC">
        <w:rPr>
          <w:sz w:val="24"/>
          <w:szCs w:val="24"/>
        </w:rPr>
        <w:t xml:space="preserve"> </w:t>
      </w:r>
      <w:r w:rsidR="001412BC">
        <w:rPr>
          <w:sz w:val="24"/>
          <w:szCs w:val="24"/>
        </w:rPr>
        <w:t>that Court</w:t>
      </w:r>
      <w:r w:rsidR="00D063FA" w:rsidRPr="001412BC">
        <w:rPr>
          <w:sz w:val="24"/>
          <w:szCs w:val="24"/>
        </w:rPr>
        <w:t xml:space="preserve">, </w:t>
      </w:r>
      <w:r w:rsidR="001412BC">
        <w:rPr>
          <w:sz w:val="24"/>
          <w:szCs w:val="24"/>
        </w:rPr>
        <w:t>observed</w:t>
      </w:r>
      <w:r w:rsidR="00D063FA" w:rsidRPr="001412BC">
        <w:rPr>
          <w:sz w:val="24"/>
          <w:szCs w:val="24"/>
        </w:rPr>
        <w:t>:</w:t>
      </w:r>
      <w:r w:rsidR="001412BC">
        <w:rPr>
          <w:sz w:val="24"/>
          <w:szCs w:val="24"/>
        </w:rPr>
        <w:t xml:space="preserve"> ‘</w:t>
      </w:r>
      <w:r w:rsidR="00D063FA" w:rsidRPr="001412BC">
        <w:rPr>
          <w:sz w:val="24"/>
          <w:szCs w:val="24"/>
        </w:rPr>
        <w:t>The only is</w:t>
      </w:r>
      <w:r w:rsidR="007B447B">
        <w:rPr>
          <w:sz w:val="24"/>
          <w:szCs w:val="24"/>
        </w:rPr>
        <w:t>sue which falls to be decided in</w:t>
      </w:r>
      <w:r w:rsidR="00D063FA" w:rsidRPr="001412BC">
        <w:rPr>
          <w:sz w:val="24"/>
          <w:szCs w:val="24"/>
        </w:rPr>
        <w:t xml:space="preserve"> this appeal is the merits of the classification issue. . .</w:t>
      </w:r>
      <w:r w:rsidR="001412BC">
        <w:rPr>
          <w:sz w:val="24"/>
          <w:szCs w:val="24"/>
        </w:rPr>
        <w:t>’ S</w:t>
      </w:r>
      <w:r w:rsidR="00065C80" w:rsidRPr="001412BC">
        <w:rPr>
          <w:sz w:val="24"/>
          <w:szCs w:val="24"/>
        </w:rPr>
        <w:t xml:space="preserve">omewhat confusingly, the learned Judge then referred to certain other issues </w:t>
      </w:r>
      <w:r w:rsidR="006B121C">
        <w:rPr>
          <w:sz w:val="24"/>
          <w:szCs w:val="24"/>
        </w:rPr>
        <w:t xml:space="preserve">that </w:t>
      </w:r>
      <w:r w:rsidR="00065C80" w:rsidRPr="001412BC">
        <w:rPr>
          <w:sz w:val="24"/>
          <w:szCs w:val="24"/>
        </w:rPr>
        <w:t>had to be decided, including whether two of the tariff determinations</w:t>
      </w:r>
      <w:r w:rsidR="001412BC">
        <w:rPr>
          <w:sz w:val="24"/>
          <w:szCs w:val="24"/>
        </w:rPr>
        <w:t>,</w:t>
      </w:r>
      <w:r w:rsidR="00065C80" w:rsidRPr="001412BC">
        <w:rPr>
          <w:sz w:val="24"/>
          <w:szCs w:val="24"/>
        </w:rPr>
        <w:t xml:space="preserve"> which had been made as long ago as 1995 and 1996</w:t>
      </w:r>
      <w:r w:rsidR="001412BC">
        <w:rPr>
          <w:sz w:val="24"/>
          <w:szCs w:val="24"/>
        </w:rPr>
        <w:t>,</w:t>
      </w:r>
      <w:r w:rsidR="00065C80" w:rsidRPr="001412BC">
        <w:rPr>
          <w:sz w:val="24"/>
          <w:szCs w:val="24"/>
        </w:rPr>
        <w:t xml:space="preserve"> may be impugned, </w:t>
      </w:r>
      <w:r w:rsidR="0078485A">
        <w:rPr>
          <w:sz w:val="24"/>
          <w:szCs w:val="24"/>
        </w:rPr>
        <w:t>whether under</w:t>
      </w:r>
      <w:r w:rsidR="00065C80" w:rsidRPr="001412BC">
        <w:rPr>
          <w:sz w:val="24"/>
          <w:szCs w:val="24"/>
        </w:rPr>
        <w:t xml:space="preserve"> s 47(9) of the </w:t>
      </w:r>
      <w:r w:rsidR="0078485A">
        <w:rPr>
          <w:sz w:val="24"/>
          <w:szCs w:val="24"/>
        </w:rPr>
        <w:t>CEA</w:t>
      </w:r>
      <w:r w:rsidR="006B121C">
        <w:rPr>
          <w:sz w:val="24"/>
          <w:szCs w:val="24"/>
        </w:rPr>
        <w:t>, the common law</w:t>
      </w:r>
      <w:r w:rsidR="00065C80" w:rsidRPr="001412BC">
        <w:rPr>
          <w:sz w:val="24"/>
          <w:szCs w:val="24"/>
        </w:rPr>
        <w:t xml:space="preserve"> </w:t>
      </w:r>
      <w:r w:rsidR="0078485A">
        <w:rPr>
          <w:sz w:val="24"/>
          <w:szCs w:val="24"/>
        </w:rPr>
        <w:t xml:space="preserve">or </w:t>
      </w:r>
      <w:r w:rsidR="00065C80" w:rsidRPr="001412BC">
        <w:rPr>
          <w:sz w:val="24"/>
          <w:szCs w:val="24"/>
        </w:rPr>
        <w:t xml:space="preserve">alternatively s 7(1) </w:t>
      </w:r>
      <w:r w:rsidR="0078485A">
        <w:rPr>
          <w:sz w:val="24"/>
          <w:szCs w:val="24"/>
        </w:rPr>
        <w:t>(</w:t>
      </w:r>
      <w:r w:rsidR="00065C80" w:rsidRPr="001412BC">
        <w:rPr>
          <w:sz w:val="24"/>
          <w:szCs w:val="24"/>
        </w:rPr>
        <w:t>read with s 9</w:t>
      </w:r>
      <w:r w:rsidR="0078485A">
        <w:rPr>
          <w:sz w:val="24"/>
          <w:szCs w:val="24"/>
        </w:rPr>
        <w:t>)</w:t>
      </w:r>
      <w:r w:rsidR="00065C80" w:rsidRPr="001412BC">
        <w:rPr>
          <w:sz w:val="24"/>
          <w:szCs w:val="24"/>
        </w:rPr>
        <w:t xml:space="preserve"> of PAJ</w:t>
      </w:r>
      <w:r w:rsidR="0078485A">
        <w:rPr>
          <w:sz w:val="24"/>
          <w:szCs w:val="24"/>
        </w:rPr>
        <w:t xml:space="preserve">A. </w:t>
      </w:r>
      <w:r w:rsidR="0078485A" w:rsidRPr="00F558EB">
        <w:rPr>
          <w:sz w:val="24"/>
          <w:szCs w:val="24"/>
        </w:rPr>
        <w:t xml:space="preserve">Ebersohn </w:t>
      </w:r>
      <w:r w:rsidR="00C15433" w:rsidRPr="00F558EB">
        <w:rPr>
          <w:sz w:val="24"/>
          <w:szCs w:val="24"/>
        </w:rPr>
        <w:t>A</w:t>
      </w:r>
      <w:r w:rsidR="0078485A" w:rsidRPr="00F558EB">
        <w:rPr>
          <w:sz w:val="24"/>
          <w:szCs w:val="24"/>
        </w:rPr>
        <w:t>J then</w:t>
      </w:r>
      <w:r w:rsidR="0078485A" w:rsidRPr="001412BC">
        <w:rPr>
          <w:sz w:val="24"/>
          <w:szCs w:val="24"/>
        </w:rPr>
        <w:t xml:space="preserve"> considered and applied the principles relating to tariff classification</w:t>
      </w:r>
      <w:r w:rsidR="0014283B">
        <w:rPr>
          <w:sz w:val="24"/>
          <w:szCs w:val="24"/>
        </w:rPr>
        <w:t xml:space="preserve"> and</w:t>
      </w:r>
      <w:r w:rsidR="0078485A" w:rsidRPr="001412BC">
        <w:rPr>
          <w:sz w:val="24"/>
          <w:szCs w:val="24"/>
        </w:rPr>
        <w:t xml:space="preserve"> held that the Commissioner’s determinations had been correct on the merits and dismissed the appeal.</w:t>
      </w:r>
      <w:r w:rsidR="0078485A">
        <w:rPr>
          <w:sz w:val="24"/>
          <w:szCs w:val="24"/>
        </w:rPr>
        <w:t xml:space="preserve"> It</w:t>
      </w:r>
      <w:r w:rsidR="00065C80" w:rsidRPr="001412BC">
        <w:rPr>
          <w:sz w:val="24"/>
          <w:szCs w:val="24"/>
        </w:rPr>
        <w:t xml:space="preserve"> </w:t>
      </w:r>
      <w:r w:rsidR="00065C80" w:rsidRPr="00F558EB">
        <w:rPr>
          <w:sz w:val="24"/>
          <w:szCs w:val="24"/>
        </w:rPr>
        <w:t xml:space="preserve">is </w:t>
      </w:r>
      <w:r w:rsidR="00E96653" w:rsidRPr="00F558EB">
        <w:rPr>
          <w:sz w:val="24"/>
          <w:szCs w:val="24"/>
        </w:rPr>
        <w:t xml:space="preserve">in </w:t>
      </w:r>
      <w:r w:rsidR="00065C80" w:rsidRPr="00F558EB">
        <w:rPr>
          <w:sz w:val="24"/>
          <w:szCs w:val="24"/>
        </w:rPr>
        <w:t>th</w:t>
      </w:r>
      <w:r w:rsidR="0078485A" w:rsidRPr="00F558EB">
        <w:rPr>
          <w:sz w:val="24"/>
          <w:szCs w:val="24"/>
        </w:rPr>
        <w:t>is</w:t>
      </w:r>
      <w:r w:rsidR="00065C80" w:rsidRPr="001412BC">
        <w:rPr>
          <w:sz w:val="24"/>
          <w:szCs w:val="24"/>
        </w:rPr>
        <w:t xml:space="preserve"> context </w:t>
      </w:r>
      <w:r w:rsidR="0078485A">
        <w:rPr>
          <w:sz w:val="24"/>
          <w:szCs w:val="24"/>
        </w:rPr>
        <w:t>that</w:t>
      </w:r>
      <w:r w:rsidR="00065C80" w:rsidRPr="001412BC">
        <w:rPr>
          <w:sz w:val="24"/>
          <w:szCs w:val="24"/>
        </w:rPr>
        <w:t xml:space="preserve"> the </w:t>
      </w:r>
      <w:r w:rsidR="0078485A">
        <w:rPr>
          <w:sz w:val="24"/>
          <w:szCs w:val="24"/>
        </w:rPr>
        <w:t>quoted excerpts in the preceding paragraph from the Full Court judgment concluding with the words: ‘</w:t>
      </w:r>
      <w:r w:rsidR="0078485A" w:rsidRPr="0078485A">
        <w:rPr>
          <w:sz w:val="24"/>
          <w:szCs w:val="24"/>
        </w:rPr>
        <w:t>there is simply no need to resort to the corresponding provisions of PAJA</w:t>
      </w:r>
      <w:r w:rsidR="0078485A">
        <w:rPr>
          <w:sz w:val="24"/>
          <w:szCs w:val="24"/>
        </w:rPr>
        <w:t>’,</w:t>
      </w:r>
      <w:r w:rsidR="0078485A" w:rsidRPr="0078485A">
        <w:rPr>
          <w:sz w:val="24"/>
          <w:szCs w:val="24"/>
        </w:rPr>
        <w:t xml:space="preserve"> </w:t>
      </w:r>
      <w:r w:rsidR="0078485A">
        <w:rPr>
          <w:sz w:val="24"/>
          <w:szCs w:val="24"/>
        </w:rPr>
        <w:t>must be read</w:t>
      </w:r>
      <w:r w:rsidR="00065C80" w:rsidRPr="001412BC">
        <w:rPr>
          <w:sz w:val="24"/>
          <w:szCs w:val="24"/>
        </w:rPr>
        <w:t xml:space="preserve">. </w:t>
      </w:r>
    </w:p>
    <w:p w:rsidR="0078485A" w:rsidRDefault="0078485A" w:rsidP="006B7B93">
      <w:pPr>
        <w:spacing w:before="214" w:line="360" w:lineRule="auto"/>
        <w:jc w:val="both"/>
        <w:rPr>
          <w:sz w:val="24"/>
          <w:szCs w:val="24"/>
        </w:rPr>
      </w:pPr>
    </w:p>
    <w:p w:rsidR="00D72974" w:rsidRPr="001412BC" w:rsidRDefault="0078485A" w:rsidP="006B7B93">
      <w:pPr>
        <w:spacing w:before="214" w:line="360" w:lineRule="auto"/>
        <w:jc w:val="both"/>
        <w:rPr>
          <w:sz w:val="24"/>
          <w:szCs w:val="24"/>
        </w:rPr>
      </w:pPr>
      <w:r>
        <w:rPr>
          <w:sz w:val="24"/>
          <w:szCs w:val="24"/>
        </w:rPr>
        <w:t>[1</w:t>
      </w:r>
      <w:r w:rsidR="0014283B">
        <w:rPr>
          <w:sz w:val="24"/>
          <w:szCs w:val="24"/>
        </w:rPr>
        <w:t>3</w:t>
      </w:r>
      <w:r>
        <w:rPr>
          <w:sz w:val="24"/>
          <w:szCs w:val="24"/>
        </w:rPr>
        <w:t>]</w:t>
      </w:r>
      <w:r>
        <w:rPr>
          <w:sz w:val="24"/>
          <w:szCs w:val="24"/>
        </w:rPr>
        <w:tab/>
        <w:t>On further appeal</w:t>
      </w:r>
      <w:r w:rsidR="00F24594">
        <w:rPr>
          <w:sz w:val="24"/>
          <w:szCs w:val="24"/>
        </w:rPr>
        <w:t>,</w:t>
      </w:r>
      <w:r>
        <w:rPr>
          <w:sz w:val="24"/>
          <w:szCs w:val="24"/>
        </w:rPr>
        <w:t xml:space="preserve"> </w:t>
      </w:r>
      <w:r w:rsidR="006F3EFD" w:rsidRPr="001412BC">
        <w:rPr>
          <w:sz w:val="24"/>
          <w:szCs w:val="24"/>
        </w:rPr>
        <w:t>this Court</w:t>
      </w:r>
      <w:r w:rsidR="00F24594">
        <w:rPr>
          <w:sz w:val="24"/>
          <w:szCs w:val="24"/>
        </w:rPr>
        <w:t xml:space="preserve"> took the</w:t>
      </w:r>
      <w:r w:rsidR="006F3EFD" w:rsidRPr="001412BC">
        <w:rPr>
          <w:sz w:val="24"/>
          <w:szCs w:val="24"/>
        </w:rPr>
        <w:t xml:space="preserve"> view </w:t>
      </w:r>
      <w:r w:rsidR="00F24594">
        <w:rPr>
          <w:sz w:val="24"/>
          <w:szCs w:val="24"/>
        </w:rPr>
        <w:t xml:space="preserve">that </w:t>
      </w:r>
      <w:r w:rsidR="006F3EFD" w:rsidRPr="001412BC">
        <w:rPr>
          <w:sz w:val="24"/>
          <w:szCs w:val="24"/>
        </w:rPr>
        <w:t xml:space="preserve">the relief sought by Distell in the courts below </w:t>
      </w:r>
      <w:r w:rsidR="00F24594">
        <w:rPr>
          <w:sz w:val="24"/>
          <w:szCs w:val="24"/>
        </w:rPr>
        <w:t>‘took</w:t>
      </w:r>
      <w:r w:rsidR="006F3EFD" w:rsidRPr="001412BC">
        <w:rPr>
          <w:sz w:val="24"/>
          <w:szCs w:val="24"/>
        </w:rPr>
        <w:t xml:space="preserve"> the form of appeals in terms of s 47(9)</w:t>
      </w:r>
      <w:r w:rsidR="006F3EFD" w:rsidRPr="001412BC">
        <w:rPr>
          <w:i/>
          <w:sz w:val="24"/>
          <w:szCs w:val="24"/>
        </w:rPr>
        <w:t>(e)</w:t>
      </w:r>
      <w:r w:rsidR="006F3EFD" w:rsidRPr="001412BC">
        <w:rPr>
          <w:sz w:val="24"/>
          <w:szCs w:val="24"/>
        </w:rPr>
        <w:t xml:space="preserve">, or, as an alternative, applications to compel the Commissioner to correct determinations </w:t>
      </w:r>
      <w:r w:rsidR="00F24594">
        <w:rPr>
          <w:sz w:val="24"/>
          <w:szCs w:val="24"/>
        </w:rPr>
        <w:t>“</w:t>
      </w:r>
      <w:r w:rsidR="006F3EFD" w:rsidRPr="001412BC">
        <w:rPr>
          <w:sz w:val="24"/>
          <w:szCs w:val="24"/>
        </w:rPr>
        <w:t>made in error</w:t>
      </w:r>
      <w:r w:rsidR="00F24594">
        <w:rPr>
          <w:sz w:val="24"/>
          <w:szCs w:val="24"/>
        </w:rPr>
        <w:t>”</w:t>
      </w:r>
      <w:r w:rsidR="006F3EFD" w:rsidRPr="001412BC">
        <w:rPr>
          <w:sz w:val="24"/>
          <w:szCs w:val="24"/>
        </w:rPr>
        <w:t>, as contemplated in s 47(9)</w:t>
      </w:r>
      <w:r w:rsidR="006F3EFD" w:rsidRPr="001412BC">
        <w:rPr>
          <w:i/>
          <w:sz w:val="24"/>
          <w:szCs w:val="24"/>
        </w:rPr>
        <w:t>(d)(i)</w:t>
      </w:r>
      <w:r w:rsidR="00073108">
        <w:rPr>
          <w:sz w:val="24"/>
          <w:szCs w:val="24"/>
        </w:rPr>
        <w:t>, and</w:t>
      </w:r>
      <w:r w:rsidR="006F3EFD" w:rsidRPr="001412BC">
        <w:rPr>
          <w:sz w:val="24"/>
          <w:szCs w:val="24"/>
        </w:rPr>
        <w:t xml:space="preserve"> </w:t>
      </w:r>
      <w:r w:rsidR="00F24594">
        <w:rPr>
          <w:sz w:val="24"/>
          <w:szCs w:val="24"/>
        </w:rPr>
        <w:t>. . .</w:t>
      </w:r>
      <w:r w:rsidR="006F3EFD" w:rsidRPr="001412BC">
        <w:rPr>
          <w:sz w:val="24"/>
          <w:szCs w:val="24"/>
        </w:rPr>
        <w:t xml:space="preserve"> declaratory relief.</w:t>
      </w:r>
      <w:r w:rsidR="00F24594">
        <w:rPr>
          <w:sz w:val="24"/>
          <w:szCs w:val="24"/>
        </w:rPr>
        <w:t>’</w:t>
      </w:r>
      <w:r w:rsidR="00F24594">
        <w:rPr>
          <w:rStyle w:val="FootnoteReference"/>
          <w:sz w:val="24"/>
          <w:szCs w:val="24"/>
        </w:rPr>
        <w:footnoteReference w:id="8"/>
      </w:r>
      <w:r w:rsidR="006F3EFD" w:rsidRPr="001412BC">
        <w:rPr>
          <w:sz w:val="24"/>
          <w:szCs w:val="24"/>
        </w:rPr>
        <w:t xml:space="preserve"> Th</w:t>
      </w:r>
      <w:r w:rsidR="00357A2F">
        <w:rPr>
          <w:sz w:val="24"/>
          <w:szCs w:val="24"/>
        </w:rPr>
        <w:t>is Court</w:t>
      </w:r>
      <w:r w:rsidR="006F3EFD" w:rsidRPr="001412BC">
        <w:rPr>
          <w:sz w:val="24"/>
          <w:szCs w:val="24"/>
        </w:rPr>
        <w:t xml:space="preserve"> recorded that the appellants </w:t>
      </w:r>
      <w:r w:rsidR="00D72974" w:rsidRPr="001412BC">
        <w:rPr>
          <w:sz w:val="24"/>
          <w:szCs w:val="24"/>
        </w:rPr>
        <w:t xml:space="preserve">had refined the relief claimed without objection from the respondent before the </w:t>
      </w:r>
      <w:r w:rsidR="0014283B">
        <w:rPr>
          <w:sz w:val="24"/>
          <w:szCs w:val="24"/>
        </w:rPr>
        <w:t>F</w:t>
      </w:r>
      <w:r w:rsidR="00D72974" w:rsidRPr="001412BC">
        <w:rPr>
          <w:sz w:val="24"/>
          <w:szCs w:val="24"/>
        </w:rPr>
        <w:t xml:space="preserve">ull </w:t>
      </w:r>
      <w:r w:rsidR="0014283B">
        <w:rPr>
          <w:sz w:val="24"/>
          <w:szCs w:val="24"/>
        </w:rPr>
        <w:t>Court</w:t>
      </w:r>
      <w:r w:rsidR="00D72974" w:rsidRPr="001412BC">
        <w:rPr>
          <w:sz w:val="24"/>
          <w:szCs w:val="24"/>
        </w:rPr>
        <w:t xml:space="preserve"> and persisted with such refined relief in t</w:t>
      </w:r>
      <w:r w:rsidR="00357A2F">
        <w:rPr>
          <w:sz w:val="24"/>
          <w:szCs w:val="24"/>
        </w:rPr>
        <w:t>he appeal</w:t>
      </w:r>
      <w:r w:rsidR="00D72974" w:rsidRPr="001412BC">
        <w:rPr>
          <w:sz w:val="24"/>
          <w:szCs w:val="24"/>
        </w:rPr>
        <w:t>.</w:t>
      </w:r>
      <w:r w:rsidR="00357A2F">
        <w:rPr>
          <w:rStyle w:val="FootnoteReference"/>
          <w:sz w:val="24"/>
          <w:szCs w:val="24"/>
        </w:rPr>
        <w:footnoteReference w:id="9"/>
      </w:r>
      <w:r w:rsidR="00D72974" w:rsidRPr="001412BC">
        <w:rPr>
          <w:sz w:val="24"/>
          <w:szCs w:val="24"/>
        </w:rPr>
        <w:t xml:space="preserve"> </w:t>
      </w:r>
      <w:r w:rsidR="0014283B">
        <w:rPr>
          <w:sz w:val="24"/>
          <w:szCs w:val="24"/>
        </w:rPr>
        <w:t>As</w:t>
      </w:r>
      <w:r w:rsidR="00357A2F">
        <w:rPr>
          <w:sz w:val="24"/>
          <w:szCs w:val="24"/>
        </w:rPr>
        <w:t xml:space="preserve"> the </w:t>
      </w:r>
      <w:r w:rsidR="0014283B" w:rsidRPr="001412BC">
        <w:rPr>
          <w:sz w:val="24"/>
          <w:szCs w:val="24"/>
        </w:rPr>
        <w:t xml:space="preserve">separate concurring judgment of Harms DP </w:t>
      </w:r>
      <w:r w:rsidR="0014283B">
        <w:rPr>
          <w:sz w:val="24"/>
          <w:szCs w:val="24"/>
        </w:rPr>
        <w:t xml:space="preserve">in this Court </w:t>
      </w:r>
      <w:r w:rsidR="00357A2F">
        <w:rPr>
          <w:sz w:val="24"/>
          <w:szCs w:val="24"/>
        </w:rPr>
        <w:t xml:space="preserve">makes </w:t>
      </w:r>
      <w:r w:rsidR="0014283B">
        <w:rPr>
          <w:sz w:val="24"/>
          <w:szCs w:val="24"/>
        </w:rPr>
        <w:t>perfectly plain,</w:t>
      </w:r>
      <w:r w:rsidR="00357A2F">
        <w:rPr>
          <w:sz w:val="24"/>
          <w:szCs w:val="24"/>
        </w:rPr>
        <w:t xml:space="preserve"> </w:t>
      </w:r>
      <w:r w:rsidR="00D72974" w:rsidRPr="001412BC">
        <w:rPr>
          <w:sz w:val="24"/>
          <w:szCs w:val="24"/>
        </w:rPr>
        <w:t xml:space="preserve">Distell had </w:t>
      </w:r>
      <w:r w:rsidR="00357A2F">
        <w:rPr>
          <w:sz w:val="24"/>
          <w:szCs w:val="24"/>
        </w:rPr>
        <w:t xml:space="preserve">neither </w:t>
      </w:r>
      <w:r w:rsidR="00D72974" w:rsidRPr="001412BC">
        <w:rPr>
          <w:sz w:val="24"/>
          <w:szCs w:val="24"/>
        </w:rPr>
        <w:t xml:space="preserve">sought any relief on review </w:t>
      </w:r>
      <w:r w:rsidR="00357A2F">
        <w:rPr>
          <w:sz w:val="24"/>
          <w:szCs w:val="24"/>
        </w:rPr>
        <w:t>n</w:t>
      </w:r>
      <w:r w:rsidR="00D72974" w:rsidRPr="001412BC">
        <w:rPr>
          <w:sz w:val="24"/>
          <w:szCs w:val="24"/>
        </w:rPr>
        <w:t>or relied on PAJA before the Full Court.</w:t>
      </w:r>
      <w:r w:rsidR="00357A2F">
        <w:rPr>
          <w:sz w:val="24"/>
          <w:szCs w:val="24"/>
        </w:rPr>
        <w:t xml:space="preserve"> </w:t>
      </w:r>
      <w:r w:rsidR="00D72974" w:rsidRPr="001412BC">
        <w:rPr>
          <w:sz w:val="24"/>
          <w:szCs w:val="24"/>
        </w:rPr>
        <w:t>Harms DP</w:t>
      </w:r>
      <w:r w:rsidR="0014283B">
        <w:rPr>
          <w:sz w:val="24"/>
          <w:szCs w:val="24"/>
        </w:rPr>
        <w:t xml:space="preserve"> </w:t>
      </w:r>
      <w:r w:rsidR="00357A2F">
        <w:rPr>
          <w:sz w:val="24"/>
          <w:szCs w:val="24"/>
        </w:rPr>
        <w:t>had this to say</w:t>
      </w:r>
      <w:r w:rsidR="00D72974" w:rsidRPr="001412BC">
        <w:rPr>
          <w:sz w:val="24"/>
          <w:szCs w:val="24"/>
        </w:rPr>
        <w:t>:</w:t>
      </w:r>
    </w:p>
    <w:p w:rsidR="0014283B" w:rsidRPr="0032096F" w:rsidRDefault="00357A2F" w:rsidP="006B7B93">
      <w:pPr>
        <w:spacing w:before="214" w:line="360" w:lineRule="auto"/>
        <w:jc w:val="both"/>
      </w:pPr>
      <w:r>
        <w:lastRenderedPageBreak/>
        <w:t>‘</w:t>
      </w:r>
      <w:r w:rsidR="00D72974">
        <w:t xml:space="preserve">The Full Court added a discussion of matter not raised by either party, namely, the application of [PAJA] to the case. In the </w:t>
      </w:r>
      <w:r w:rsidR="00D72974" w:rsidRPr="00F558EB">
        <w:t>course of this the issue, which ought to be a straightforward interpretation issue, became blurred.</w:t>
      </w:r>
      <w:r w:rsidRPr="00F558EB">
        <w:t>’</w:t>
      </w:r>
      <w:r w:rsidR="00E96653" w:rsidRPr="00F558EB">
        <w:rPr>
          <w:rStyle w:val="FootnoteReference"/>
        </w:rPr>
        <w:footnoteReference w:id="10"/>
      </w:r>
    </w:p>
    <w:p w:rsidR="006B121C" w:rsidRPr="007B447B" w:rsidRDefault="006B121C" w:rsidP="006B7B93">
      <w:pPr>
        <w:spacing w:before="214" w:line="360" w:lineRule="auto"/>
        <w:jc w:val="both"/>
      </w:pPr>
    </w:p>
    <w:p w:rsidR="00D72974" w:rsidRPr="00514E84" w:rsidRDefault="0014283B" w:rsidP="006B7B93">
      <w:pPr>
        <w:spacing w:before="214" w:line="360" w:lineRule="auto"/>
        <w:jc w:val="both"/>
        <w:rPr>
          <w:sz w:val="24"/>
          <w:szCs w:val="24"/>
        </w:rPr>
      </w:pPr>
      <w:r>
        <w:rPr>
          <w:sz w:val="24"/>
          <w:szCs w:val="24"/>
        </w:rPr>
        <w:t>[14]</w:t>
      </w:r>
      <w:r>
        <w:rPr>
          <w:sz w:val="24"/>
          <w:szCs w:val="24"/>
        </w:rPr>
        <w:tab/>
      </w:r>
      <w:r w:rsidR="00D72974" w:rsidRPr="007120FD">
        <w:rPr>
          <w:sz w:val="24"/>
          <w:szCs w:val="24"/>
        </w:rPr>
        <w:t>This Court applied the principles of tariff classification and concluded that the Commissioner’s tariff determinations were wrong on the merits</w:t>
      </w:r>
      <w:r>
        <w:rPr>
          <w:sz w:val="24"/>
          <w:szCs w:val="24"/>
        </w:rPr>
        <w:t>. It thus</w:t>
      </w:r>
      <w:r w:rsidR="00D72974" w:rsidRPr="007120FD">
        <w:rPr>
          <w:sz w:val="24"/>
          <w:szCs w:val="24"/>
        </w:rPr>
        <w:t xml:space="preserve"> upheld the appeal (except in relation to the determinations in respect of which the appellants had not timeously instituted litigation).</w:t>
      </w:r>
      <w:r w:rsidR="007120FD" w:rsidRPr="007120FD">
        <w:rPr>
          <w:sz w:val="24"/>
          <w:szCs w:val="24"/>
        </w:rPr>
        <w:t xml:space="preserve"> </w:t>
      </w:r>
      <w:r w:rsidR="00D72974" w:rsidRPr="007120FD">
        <w:rPr>
          <w:sz w:val="24"/>
          <w:szCs w:val="24"/>
        </w:rPr>
        <w:t>But</w:t>
      </w:r>
      <w:r w:rsidR="007120FD">
        <w:rPr>
          <w:sz w:val="24"/>
          <w:szCs w:val="24"/>
        </w:rPr>
        <w:t>, it</w:t>
      </w:r>
      <w:r w:rsidR="00D72974" w:rsidRPr="007120FD">
        <w:rPr>
          <w:sz w:val="24"/>
          <w:szCs w:val="24"/>
        </w:rPr>
        <w:t xml:space="preserve"> did not </w:t>
      </w:r>
      <w:r w:rsidR="007120FD">
        <w:rPr>
          <w:sz w:val="24"/>
          <w:szCs w:val="24"/>
        </w:rPr>
        <w:t xml:space="preserve">(nor was it required to) </w:t>
      </w:r>
      <w:r w:rsidR="00514E84">
        <w:rPr>
          <w:sz w:val="24"/>
          <w:szCs w:val="24"/>
        </w:rPr>
        <w:t xml:space="preserve">give any consideration to </w:t>
      </w:r>
      <w:r w:rsidR="00D72974" w:rsidRPr="007120FD">
        <w:rPr>
          <w:sz w:val="24"/>
          <w:szCs w:val="24"/>
        </w:rPr>
        <w:t xml:space="preserve">whether a review is ousted by the appeal provisions </w:t>
      </w:r>
      <w:r w:rsidR="009D7ACC" w:rsidRPr="007120FD">
        <w:rPr>
          <w:sz w:val="24"/>
          <w:szCs w:val="24"/>
        </w:rPr>
        <w:t>in the CEA.</w:t>
      </w:r>
      <w:r w:rsidR="00514E84">
        <w:rPr>
          <w:sz w:val="24"/>
          <w:szCs w:val="24"/>
        </w:rPr>
        <w:t xml:space="preserve"> It follows that SARS’ reliance on </w:t>
      </w:r>
      <w:r w:rsidR="00514E84">
        <w:rPr>
          <w:i/>
          <w:iCs/>
          <w:sz w:val="24"/>
          <w:szCs w:val="24"/>
        </w:rPr>
        <w:t xml:space="preserve">Distell </w:t>
      </w:r>
      <w:r w:rsidR="00514E84">
        <w:rPr>
          <w:sz w:val="24"/>
          <w:szCs w:val="24"/>
        </w:rPr>
        <w:t>is misplaced.</w:t>
      </w:r>
    </w:p>
    <w:p w:rsidR="006A0ED9" w:rsidRPr="003A4985" w:rsidRDefault="006A0ED9" w:rsidP="003E2F5C">
      <w:pPr>
        <w:tabs>
          <w:tab w:val="left" w:pos="2691"/>
          <w:tab w:val="left" w:pos="7938"/>
        </w:tabs>
        <w:spacing w:before="171" w:line="360" w:lineRule="auto"/>
        <w:jc w:val="both"/>
        <w:rPr>
          <w:w w:val="90"/>
          <w:sz w:val="24"/>
          <w:szCs w:val="24"/>
        </w:rPr>
      </w:pPr>
    </w:p>
    <w:p w:rsidR="00FD7FAE" w:rsidRDefault="00725F55" w:rsidP="00A678F9">
      <w:pPr>
        <w:spacing w:before="185" w:line="360" w:lineRule="auto"/>
        <w:jc w:val="both"/>
        <w:rPr>
          <w:sz w:val="24"/>
          <w:szCs w:val="24"/>
        </w:rPr>
      </w:pPr>
      <w:r>
        <w:rPr>
          <w:sz w:val="24"/>
          <w:szCs w:val="24"/>
        </w:rPr>
        <w:t>[1</w:t>
      </w:r>
      <w:r w:rsidR="00514E84">
        <w:rPr>
          <w:sz w:val="24"/>
          <w:szCs w:val="24"/>
        </w:rPr>
        <w:t>5</w:t>
      </w:r>
      <w:r w:rsidR="00A678F9">
        <w:rPr>
          <w:sz w:val="24"/>
          <w:szCs w:val="24"/>
        </w:rPr>
        <w:t>]</w:t>
      </w:r>
      <w:r w:rsidR="00A678F9">
        <w:rPr>
          <w:sz w:val="24"/>
          <w:szCs w:val="24"/>
        </w:rPr>
        <w:tab/>
      </w:r>
      <w:r w:rsidR="00955FC0" w:rsidRPr="003A4985">
        <w:rPr>
          <w:sz w:val="24"/>
          <w:szCs w:val="24"/>
        </w:rPr>
        <w:t>In</w:t>
      </w:r>
      <w:r w:rsidR="007120FD">
        <w:rPr>
          <w:sz w:val="24"/>
          <w:szCs w:val="24"/>
        </w:rPr>
        <w:t xml:space="preserve"> </w:t>
      </w:r>
      <w:r w:rsidR="007B447B">
        <w:rPr>
          <w:sz w:val="24"/>
          <w:szCs w:val="24"/>
        </w:rPr>
        <w:t xml:space="preserve">the </w:t>
      </w:r>
      <w:r w:rsidR="007120FD">
        <w:rPr>
          <w:sz w:val="24"/>
          <w:szCs w:val="24"/>
        </w:rPr>
        <w:t xml:space="preserve">next matter, </w:t>
      </w:r>
      <w:r w:rsidR="00937766" w:rsidRPr="003A4985">
        <w:rPr>
          <w:i/>
          <w:sz w:val="24"/>
          <w:szCs w:val="24"/>
        </w:rPr>
        <w:t>BCE</w:t>
      </w:r>
      <w:r w:rsidR="00937766">
        <w:rPr>
          <w:i/>
          <w:sz w:val="24"/>
          <w:szCs w:val="24"/>
        </w:rPr>
        <w:t xml:space="preserve"> </w:t>
      </w:r>
      <w:r w:rsidR="00937766" w:rsidRPr="007120FD">
        <w:rPr>
          <w:i/>
          <w:sz w:val="24"/>
          <w:szCs w:val="24"/>
        </w:rPr>
        <w:t xml:space="preserve">Food </w:t>
      </w:r>
      <w:r w:rsidR="00937766" w:rsidRPr="00FD7FAE">
        <w:rPr>
          <w:iCs/>
          <w:sz w:val="24"/>
          <w:szCs w:val="24"/>
        </w:rPr>
        <w:t>Service</w:t>
      </w:r>
      <w:r w:rsidR="00937766" w:rsidRPr="007120FD">
        <w:rPr>
          <w:i/>
          <w:sz w:val="24"/>
          <w:szCs w:val="24"/>
        </w:rPr>
        <w:t xml:space="preserve"> Equipment </w:t>
      </w:r>
      <w:r w:rsidR="00937766">
        <w:rPr>
          <w:i/>
          <w:sz w:val="24"/>
          <w:szCs w:val="24"/>
        </w:rPr>
        <w:t>v Commissioner, S</w:t>
      </w:r>
      <w:r w:rsidR="00514E84">
        <w:rPr>
          <w:i/>
          <w:sz w:val="24"/>
          <w:szCs w:val="24"/>
        </w:rPr>
        <w:t xml:space="preserve">outh </w:t>
      </w:r>
      <w:r w:rsidR="00937766">
        <w:rPr>
          <w:i/>
          <w:sz w:val="24"/>
          <w:szCs w:val="24"/>
        </w:rPr>
        <w:t>A</w:t>
      </w:r>
      <w:r w:rsidR="00514E84">
        <w:rPr>
          <w:i/>
          <w:sz w:val="24"/>
          <w:szCs w:val="24"/>
        </w:rPr>
        <w:t xml:space="preserve">frican </w:t>
      </w:r>
      <w:r w:rsidR="00937766">
        <w:rPr>
          <w:i/>
          <w:sz w:val="24"/>
          <w:szCs w:val="24"/>
        </w:rPr>
        <w:t>R</w:t>
      </w:r>
      <w:r w:rsidR="00514E84">
        <w:rPr>
          <w:i/>
          <w:sz w:val="24"/>
          <w:szCs w:val="24"/>
        </w:rPr>
        <w:t xml:space="preserve">evenue </w:t>
      </w:r>
      <w:r w:rsidR="00937766">
        <w:rPr>
          <w:i/>
          <w:sz w:val="24"/>
          <w:szCs w:val="24"/>
        </w:rPr>
        <w:t>S</w:t>
      </w:r>
      <w:r w:rsidR="00514E84">
        <w:rPr>
          <w:i/>
          <w:sz w:val="24"/>
          <w:szCs w:val="24"/>
        </w:rPr>
        <w:t>ervice</w:t>
      </w:r>
      <w:r w:rsidR="004E1B8E">
        <w:rPr>
          <w:i/>
          <w:sz w:val="24"/>
          <w:szCs w:val="24"/>
        </w:rPr>
        <w:t xml:space="preserve"> </w:t>
      </w:r>
      <w:r w:rsidR="004E1B8E">
        <w:rPr>
          <w:iCs/>
          <w:sz w:val="24"/>
          <w:szCs w:val="24"/>
        </w:rPr>
        <w:t>(</w:t>
      </w:r>
      <w:r w:rsidR="004E1B8E" w:rsidRPr="00C131AD">
        <w:rPr>
          <w:i/>
          <w:sz w:val="24"/>
          <w:szCs w:val="24"/>
        </w:rPr>
        <w:t>BCE</w:t>
      </w:r>
      <w:r w:rsidR="004E1B8E">
        <w:rPr>
          <w:iCs/>
          <w:sz w:val="24"/>
          <w:szCs w:val="24"/>
        </w:rPr>
        <w:t>)</w:t>
      </w:r>
      <w:r w:rsidR="00937766">
        <w:rPr>
          <w:i/>
          <w:sz w:val="24"/>
          <w:szCs w:val="24"/>
        </w:rPr>
        <w:t xml:space="preserve">, </w:t>
      </w:r>
      <w:r w:rsidR="00937766">
        <w:rPr>
          <w:iCs/>
          <w:sz w:val="24"/>
          <w:szCs w:val="24"/>
        </w:rPr>
        <w:t>t</w:t>
      </w:r>
      <w:r w:rsidR="00937766" w:rsidRPr="00937766">
        <w:rPr>
          <w:iCs/>
          <w:sz w:val="24"/>
          <w:szCs w:val="24"/>
        </w:rPr>
        <w:t>he applica</w:t>
      </w:r>
      <w:r w:rsidR="00073108">
        <w:rPr>
          <w:iCs/>
          <w:sz w:val="24"/>
          <w:szCs w:val="24"/>
        </w:rPr>
        <w:t>nt</w:t>
      </w:r>
      <w:r w:rsidR="00937766">
        <w:rPr>
          <w:iCs/>
          <w:sz w:val="24"/>
          <w:szCs w:val="24"/>
        </w:rPr>
        <w:t xml:space="preserve"> </w:t>
      </w:r>
      <w:r w:rsidR="00514E84" w:rsidRPr="00937766">
        <w:rPr>
          <w:iCs/>
          <w:sz w:val="24"/>
          <w:szCs w:val="24"/>
        </w:rPr>
        <w:t>elected not to pursue any rights that it may have h</w:t>
      </w:r>
      <w:r w:rsidR="00514E84">
        <w:rPr>
          <w:iCs/>
          <w:sz w:val="24"/>
          <w:szCs w:val="24"/>
        </w:rPr>
        <w:t>ad of</w:t>
      </w:r>
      <w:r w:rsidR="00514E84" w:rsidRPr="00937766">
        <w:rPr>
          <w:iCs/>
          <w:sz w:val="24"/>
          <w:szCs w:val="24"/>
        </w:rPr>
        <w:t xml:space="preserve"> appeal under s 47(9)</w:t>
      </w:r>
      <w:r w:rsidR="00514E84" w:rsidRPr="00514E84">
        <w:rPr>
          <w:i/>
          <w:sz w:val="24"/>
          <w:szCs w:val="24"/>
        </w:rPr>
        <w:t>(e)</w:t>
      </w:r>
      <w:r w:rsidR="00514E84" w:rsidRPr="00937766">
        <w:rPr>
          <w:i/>
          <w:iCs/>
          <w:sz w:val="24"/>
          <w:szCs w:val="24"/>
        </w:rPr>
        <w:t xml:space="preserve"> </w:t>
      </w:r>
      <w:r w:rsidR="00514E84">
        <w:rPr>
          <w:sz w:val="24"/>
          <w:szCs w:val="24"/>
        </w:rPr>
        <w:t>of the CEA,</w:t>
      </w:r>
      <w:r w:rsidR="00514E84" w:rsidRPr="00937766">
        <w:rPr>
          <w:iCs/>
          <w:sz w:val="24"/>
          <w:szCs w:val="24"/>
        </w:rPr>
        <w:t xml:space="preserve"> </w:t>
      </w:r>
      <w:r w:rsidR="00514E84">
        <w:rPr>
          <w:iCs/>
          <w:sz w:val="24"/>
          <w:szCs w:val="24"/>
        </w:rPr>
        <w:t>preferring instead to confine itself to</w:t>
      </w:r>
      <w:r w:rsidR="00937766" w:rsidRPr="00937766">
        <w:rPr>
          <w:iCs/>
          <w:sz w:val="24"/>
          <w:szCs w:val="24"/>
        </w:rPr>
        <w:t xml:space="preserve"> review </w:t>
      </w:r>
      <w:r w:rsidR="00514E84">
        <w:rPr>
          <w:iCs/>
          <w:sz w:val="24"/>
          <w:szCs w:val="24"/>
        </w:rPr>
        <w:t>the</w:t>
      </w:r>
      <w:r w:rsidR="00937766" w:rsidRPr="00937766">
        <w:rPr>
          <w:iCs/>
          <w:sz w:val="24"/>
          <w:szCs w:val="24"/>
        </w:rPr>
        <w:t xml:space="preserve"> decision of the respondent</w:t>
      </w:r>
      <w:r w:rsidR="00514E84">
        <w:rPr>
          <w:iCs/>
          <w:sz w:val="24"/>
          <w:szCs w:val="24"/>
        </w:rPr>
        <w:t>, SARS</w:t>
      </w:r>
      <w:r w:rsidR="00937766" w:rsidRPr="00937766">
        <w:rPr>
          <w:iCs/>
          <w:sz w:val="24"/>
          <w:szCs w:val="24"/>
        </w:rPr>
        <w:t>.</w:t>
      </w:r>
      <w:r w:rsidR="00FD7FAE">
        <w:rPr>
          <w:rStyle w:val="FootnoteReference"/>
          <w:iCs/>
          <w:sz w:val="24"/>
          <w:szCs w:val="24"/>
        </w:rPr>
        <w:footnoteReference w:id="11"/>
      </w:r>
      <w:r w:rsidR="00937766" w:rsidRPr="00937766">
        <w:rPr>
          <w:iCs/>
          <w:sz w:val="24"/>
          <w:szCs w:val="24"/>
        </w:rPr>
        <w:t xml:space="preserve"> </w:t>
      </w:r>
      <w:r w:rsidR="00FD7FAE">
        <w:rPr>
          <w:iCs/>
          <w:sz w:val="24"/>
          <w:szCs w:val="24"/>
        </w:rPr>
        <w:t>As here, SARS argued ‘</w:t>
      </w:r>
      <w:r w:rsidR="00FD7FAE" w:rsidRPr="00FD7FAE">
        <w:rPr>
          <w:iCs/>
          <w:sz w:val="24"/>
          <w:szCs w:val="24"/>
        </w:rPr>
        <w:t>that the review proceedings were not available to the applicant and that the applicant’s remedy was limited to one in terms of s 47(9)</w:t>
      </w:r>
      <w:r w:rsidR="00FD7FAE" w:rsidRPr="007B447B">
        <w:rPr>
          <w:i/>
          <w:iCs/>
          <w:sz w:val="24"/>
          <w:szCs w:val="24"/>
        </w:rPr>
        <w:t>(e)</w:t>
      </w:r>
      <w:r w:rsidR="00FD7FAE" w:rsidRPr="00FD7FAE">
        <w:rPr>
          <w:iCs/>
          <w:sz w:val="24"/>
          <w:szCs w:val="24"/>
        </w:rPr>
        <w:t>, ie, an appeal as is provided for in the section</w:t>
      </w:r>
      <w:r w:rsidR="00FD7FAE">
        <w:rPr>
          <w:iCs/>
          <w:sz w:val="24"/>
          <w:szCs w:val="24"/>
        </w:rPr>
        <w:t>’</w:t>
      </w:r>
      <w:r w:rsidR="00FD7FAE" w:rsidRPr="00FD7FAE">
        <w:rPr>
          <w:iCs/>
          <w:sz w:val="24"/>
          <w:szCs w:val="24"/>
        </w:rPr>
        <w:t>.</w:t>
      </w:r>
      <w:r w:rsidR="00FD7FAE">
        <w:rPr>
          <w:rStyle w:val="FootnoteReference"/>
          <w:iCs/>
          <w:sz w:val="24"/>
          <w:szCs w:val="24"/>
        </w:rPr>
        <w:footnoteReference w:id="12"/>
      </w:r>
      <w:r w:rsidR="00FD7FAE">
        <w:rPr>
          <w:iCs/>
          <w:sz w:val="24"/>
          <w:szCs w:val="24"/>
        </w:rPr>
        <w:t xml:space="preserve"> </w:t>
      </w:r>
      <w:r w:rsidR="00FD7FAE">
        <w:rPr>
          <w:sz w:val="24"/>
          <w:szCs w:val="24"/>
        </w:rPr>
        <w:t>T</w:t>
      </w:r>
      <w:r w:rsidR="00955FC0" w:rsidRPr="003A4985">
        <w:rPr>
          <w:sz w:val="24"/>
          <w:szCs w:val="24"/>
        </w:rPr>
        <w:t>he</w:t>
      </w:r>
      <w:r w:rsidR="00955FC0" w:rsidRPr="003A4985">
        <w:rPr>
          <w:spacing w:val="-17"/>
          <w:sz w:val="24"/>
          <w:szCs w:val="24"/>
        </w:rPr>
        <w:t xml:space="preserve"> </w:t>
      </w:r>
      <w:r w:rsidR="00FD7FAE">
        <w:rPr>
          <w:sz w:val="24"/>
          <w:szCs w:val="24"/>
        </w:rPr>
        <w:t>h</w:t>
      </w:r>
      <w:r w:rsidR="00955FC0" w:rsidRPr="003A4985">
        <w:rPr>
          <w:sz w:val="24"/>
          <w:szCs w:val="24"/>
        </w:rPr>
        <w:t>igh</w:t>
      </w:r>
      <w:r w:rsidR="00955FC0" w:rsidRPr="003A4985">
        <w:rPr>
          <w:spacing w:val="-17"/>
          <w:sz w:val="24"/>
          <w:szCs w:val="24"/>
        </w:rPr>
        <w:t xml:space="preserve"> </w:t>
      </w:r>
      <w:r w:rsidR="00FD7FAE">
        <w:rPr>
          <w:sz w:val="24"/>
          <w:szCs w:val="24"/>
        </w:rPr>
        <w:t>c</w:t>
      </w:r>
      <w:r w:rsidR="00955FC0" w:rsidRPr="003A4985">
        <w:rPr>
          <w:sz w:val="24"/>
          <w:szCs w:val="24"/>
        </w:rPr>
        <w:t>ourt</w:t>
      </w:r>
      <w:r w:rsidR="00955FC0" w:rsidRPr="003A4985">
        <w:rPr>
          <w:spacing w:val="-16"/>
          <w:sz w:val="24"/>
          <w:szCs w:val="24"/>
        </w:rPr>
        <w:t xml:space="preserve"> </w:t>
      </w:r>
      <w:r w:rsidR="00955FC0" w:rsidRPr="003A4985">
        <w:rPr>
          <w:sz w:val="24"/>
          <w:szCs w:val="24"/>
        </w:rPr>
        <w:t>(per</w:t>
      </w:r>
      <w:r w:rsidR="00955FC0" w:rsidRPr="003A4985">
        <w:rPr>
          <w:spacing w:val="-17"/>
          <w:sz w:val="24"/>
          <w:szCs w:val="24"/>
        </w:rPr>
        <w:t xml:space="preserve"> </w:t>
      </w:r>
      <w:r w:rsidR="00955FC0" w:rsidRPr="003A4985">
        <w:rPr>
          <w:sz w:val="24"/>
          <w:szCs w:val="24"/>
        </w:rPr>
        <w:t>Wepener</w:t>
      </w:r>
      <w:r w:rsidR="00955FC0" w:rsidRPr="003A4985">
        <w:rPr>
          <w:spacing w:val="-17"/>
          <w:sz w:val="24"/>
          <w:szCs w:val="24"/>
        </w:rPr>
        <w:t xml:space="preserve"> </w:t>
      </w:r>
      <w:r w:rsidR="00955FC0" w:rsidRPr="003A4985">
        <w:rPr>
          <w:sz w:val="24"/>
          <w:szCs w:val="24"/>
        </w:rPr>
        <w:t>J)</w:t>
      </w:r>
      <w:r w:rsidR="00955FC0" w:rsidRPr="003A4985">
        <w:rPr>
          <w:spacing w:val="-16"/>
          <w:sz w:val="24"/>
          <w:szCs w:val="24"/>
        </w:rPr>
        <w:t xml:space="preserve"> </w:t>
      </w:r>
      <w:r w:rsidR="00955FC0" w:rsidRPr="003A4985">
        <w:rPr>
          <w:sz w:val="24"/>
          <w:szCs w:val="24"/>
        </w:rPr>
        <w:t>held</w:t>
      </w:r>
      <w:r w:rsidR="00FD7FAE">
        <w:rPr>
          <w:sz w:val="24"/>
          <w:szCs w:val="24"/>
        </w:rPr>
        <w:t>:</w:t>
      </w:r>
    </w:p>
    <w:p w:rsidR="000F67F7" w:rsidRDefault="00FD7FAE" w:rsidP="00FD7FAE">
      <w:pPr>
        <w:spacing w:before="185" w:line="360" w:lineRule="auto"/>
        <w:jc w:val="both"/>
        <w:rPr>
          <w:lang w:val="en-ZA"/>
        </w:rPr>
      </w:pPr>
      <w:r>
        <w:rPr>
          <w:lang w:val="en-ZA"/>
        </w:rPr>
        <w:t>‘</w:t>
      </w:r>
      <w:r w:rsidRPr="00FD7FAE">
        <w:rPr>
          <w:lang w:val="en-ZA"/>
        </w:rPr>
        <w:t>Section 47 bestows a right on a party, which right would not have existed but for the provisions of the section. There is no common law or other legislative provisions which an aggrieved party could employ in order to challenge a determination of the respondent, save of course for a common law review or the provisions of PAJA. There is no indication in the Customs and Excise Act that the provisions of PAJA have been ousted and that an aggrieved party is limited to the appeal procedure provided for in that Act. The test is whether the legislation obliges and restricts an aggrieved person to utilise the remedy pr</w:t>
      </w:r>
      <w:r w:rsidR="00846434">
        <w:rPr>
          <w:lang w:val="en-ZA"/>
        </w:rPr>
        <w:t xml:space="preserve">ovided for in that legislation. </w:t>
      </w:r>
      <w:r w:rsidRPr="00FD7FAE">
        <w:rPr>
          <w:lang w:val="en-ZA"/>
        </w:rPr>
        <w:t>No such construction can be placed on s 47 of the Customs and Excise Act and there is no language contained in the Act that leads to a conclusion that the legislature has confined a complainant to the particular statutory remedy. The decisions on which the respondent relied during argument</w:t>
      </w:r>
      <w:r>
        <w:rPr>
          <w:lang w:val="en-ZA"/>
        </w:rPr>
        <w:t xml:space="preserve"> </w:t>
      </w:r>
      <w:r w:rsidRPr="00FD7FAE">
        <w:rPr>
          <w:lang w:val="en-ZA"/>
        </w:rPr>
        <w:t xml:space="preserve">in support of the contention that a party may not utilise the provisions of PAJA, do not say that and it would have </w:t>
      </w:r>
      <w:r w:rsidRPr="00FD7FAE">
        <w:rPr>
          <w:lang w:val="en-ZA"/>
        </w:rPr>
        <w:lastRenderedPageBreak/>
        <w:t>been surprising if they did deprive an aggrieved person of the rights afforded him or her in terms of PAJA and the Constitution.</w:t>
      </w:r>
      <w:r w:rsidR="000F67F7">
        <w:rPr>
          <w:lang w:val="en-ZA"/>
        </w:rPr>
        <w:t>’</w:t>
      </w:r>
      <w:r w:rsidR="000F67F7">
        <w:rPr>
          <w:rStyle w:val="FootnoteReference"/>
          <w:lang w:val="en-ZA"/>
        </w:rPr>
        <w:footnoteReference w:id="13"/>
      </w:r>
      <w:r w:rsidR="000F67F7" w:rsidRPr="00FD7FAE">
        <w:rPr>
          <w:lang w:val="en-ZA"/>
        </w:rPr>
        <w:t xml:space="preserve"> </w:t>
      </w:r>
    </w:p>
    <w:p w:rsidR="000F67F7" w:rsidRDefault="000F67F7" w:rsidP="00FD7FAE">
      <w:pPr>
        <w:spacing w:before="185" w:line="360" w:lineRule="auto"/>
        <w:jc w:val="both"/>
        <w:rPr>
          <w:lang w:val="en-ZA"/>
        </w:rPr>
      </w:pPr>
    </w:p>
    <w:p w:rsidR="00FD7FAE" w:rsidRPr="00514E84" w:rsidRDefault="000F67F7" w:rsidP="00FD7FAE">
      <w:pPr>
        <w:spacing w:before="185" w:line="360" w:lineRule="auto"/>
        <w:jc w:val="both"/>
        <w:rPr>
          <w:sz w:val="24"/>
          <w:szCs w:val="24"/>
        </w:rPr>
      </w:pPr>
      <w:r w:rsidRPr="000F67F7">
        <w:rPr>
          <w:sz w:val="24"/>
          <w:szCs w:val="24"/>
          <w:lang w:val="en-ZA"/>
        </w:rPr>
        <w:t>[1</w:t>
      </w:r>
      <w:r w:rsidR="00514E84">
        <w:rPr>
          <w:sz w:val="24"/>
          <w:szCs w:val="24"/>
          <w:lang w:val="en-ZA"/>
        </w:rPr>
        <w:t>6</w:t>
      </w:r>
      <w:r w:rsidRPr="000F67F7">
        <w:rPr>
          <w:sz w:val="24"/>
          <w:szCs w:val="24"/>
          <w:lang w:val="en-ZA"/>
        </w:rPr>
        <w:t xml:space="preserve">] </w:t>
      </w:r>
      <w:r w:rsidRPr="000F67F7">
        <w:rPr>
          <w:sz w:val="24"/>
          <w:szCs w:val="24"/>
          <w:lang w:val="en-ZA"/>
        </w:rPr>
        <w:tab/>
      </w:r>
      <w:r w:rsidR="000E1E46" w:rsidRPr="00514E84">
        <w:rPr>
          <w:sz w:val="24"/>
          <w:szCs w:val="24"/>
          <w:lang w:val="en-ZA"/>
        </w:rPr>
        <w:t xml:space="preserve">In finding against SARS on the point, </w:t>
      </w:r>
      <w:r w:rsidR="00D00B04" w:rsidRPr="00514E84">
        <w:rPr>
          <w:sz w:val="24"/>
          <w:szCs w:val="24"/>
          <w:lang w:val="en-ZA"/>
        </w:rPr>
        <w:t xml:space="preserve">Wepener J </w:t>
      </w:r>
      <w:r w:rsidR="00514E84">
        <w:rPr>
          <w:sz w:val="24"/>
          <w:szCs w:val="24"/>
          <w:lang w:val="en-ZA"/>
        </w:rPr>
        <w:t>called in aid</w:t>
      </w:r>
      <w:r w:rsidR="000E1E46" w:rsidRPr="00514E84">
        <w:rPr>
          <w:sz w:val="24"/>
          <w:szCs w:val="24"/>
          <w:lang w:val="en-ZA"/>
        </w:rPr>
        <w:t xml:space="preserve"> the dicta of</w:t>
      </w:r>
      <w:r w:rsidR="00D00B04" w:rsidRPr="00514E84">
        <w:rPr>
          <w:sz w:val="24"/>
          <w:szCs w:val="24"/>
          <w:lang w:val="en-ZA"/>
        </w:rPr>
        <w:t xml:space="preserve"> </w:t>
      </w:r>
      <w:r w:rsidR="00016715" w:rsidRPr="00514E84">
        <w:rPr>
          <w:sz w:val="24"/>
          <w:szCs w:val="24"/>
          <w:lang w:val="en-ZA"/>
        </w:rPr>
        <w:t xml:space="preserve">Kriegler J </w:t>
      </w:r>
      <w:r w:rsidR="00691629" w:rsidRPr="00514E84">
        <w:rPr>
          <w:sz w:val="24"/>
          <w:szCs w:val="24"/>
          <w:lang w:val="en-ZA"/>
        </w:rPr>
        <w:t>in</w:t>
      </w:r>
      <w:r w:rsidR="00691629">
        <w:rPr>
          <w:sz w:val="24"/>
          <w:szCs w:val="24"/>
          <w:lang w:val="en-ZA"/>
        </w:rPr>
        <w:t xml:space="preserve"> </w:t>
      </w:r>
      <w:r w:rsidR="00691629" w:rsidRPr="00C131AD">
        <w:rPr>
          <w:i/>
          <w:iCs/>
          <w:sz w:val="24"/>
          <w:szCs w:val="24"/>
          <w:lang w:val="en-ZA"/>
        </w:rPr>
        <w:t>Metcash v Commissioner, South African Revenue Service</w:t>
      </w:r>
      <w:r w:rsidR="00691629">
        <w:rPr>
          <w:i/>
          <w:iCs/>
          <w:sz w:val="24"/>
          <w:szCs w:val="24"/>
          <w:lang w:val="en-ZA"/>
        </w:rPr>
        <w:t xml:space="preserve"> </w:t>
      </w:r>
      <w:r w:rsidR="00691629">
        <w:rPr>
          <w:sz w:val="24"/>
          <w:szCs w:val="24"/>
          <w:lang w:val="en-ZA"/>
        </w:rPr>
        <w:t>(</w:t>
      </w:r>
      <w:r w:rsidR="00691629" w:rsidRPr="00C131AD">
        <w:rPr>
          <w:i/>
          <w:iCs/>
          <w:sz w:val="24"/>
          <w:szCs w:val="24"/>
          <w:lang w:val="en-ZA"/>
        </w:rPr>
        <w:t>Metcash</w:t>
      </w:r>
      <w:r w:rsidR="00691629">
        <w:rPr>
          <w:sz w:val="24"/>
          <w:szCs w:val="24"/>
          <w:lang w:val="en-ZA"/>
        </w:rPr>
        <w:t>)</w:t>
      </w:r>
      <w:r w:rsidR="000E1E46" w:rsidRPr="00514E84">
        <w:rPr>
          <w:iCs/>
          <w:spacing w:val="-2"/>
          <w:w w:val="90"/>
          <w:sz w:val="24"/>
          <w:szCs w:val="24"/>
        </w:rPr>
        <w:t>.</w:t>
      </w:r>
      <w:r w:rsidR="00016715" w:rsidRPr="00514E84">
        <w:rPr>
          <w:rStyle w:val="FootnoteReference"/>
          <w:iCs/>
          <w:spacing w:val="-2"/>
          <w:sz w:val="24"/>
          <w:szCs w:val="24"/>
        </w:rPr>
        <w:footnoteReference w:id="14"/>
      </w:r>
      <w:r w:rsidR="000E1E46" w:rsidRPr="00514E84">
        <w:rPr>
          <w:iCs/>
          <w:spacing w:val="-2"/>
          <w:w w:val="90"/>
          <w:sz w:val="24"/>
          <w:szCs w:val="24"/>
        </w:rPr>
        <w:t xml:space="preserve"> There, i</w:t>
      </w:r>
      <w:r w:rsidR="000E1E46" w:rsidRPr="00514E84">
        <w:rPr>
          <w:sz w:val="24"/>
          <w:szCs w:val="24"/>
          <w:lang w:val="en-ZA"/>
        </w:rPr>
        <w:t xml:space="preserve">n an analogous context, Kriegler J </w:t>
      </w:r>
      <w:r w:rsidR="00984DFC">
        <w:rPr>
          <w:sz w:val="24"/>
          <w:szCs w:val="24"/>
          <w:lang w:val="en-ZA"/>
        </w:rPr>
        <w:t>stated</w:t>
      </w:r>
      <w:r w:rsidR="000E1E46" w:rsidRPr="00514E84">
        <w:rPr>
          <w:sz w:val="24"/>
          <w:szCs w:val="24"/>
          <w:lang w:val="en-ZA"/>
        </w:rPr>
        <w:t>:</w:t>
      </w:r>
    </w:p>
    <w:p w:rsidR="00FD7FAE" w:rsidRPr="00FD7FAE" w:rsidRDefault="00FD7FAE" w:rsidP="00FD7FAE">
      <w:pPr>
        <w:spacing w:before="185" w:line="360" w:lineRule="auto"/>
        <w:jc w:val="both"/>
        <w:rPr>
          <w:lang w:val="en-ZA"/>
        </w:rPr>
      </w:pPr>
      <w:r w:rsidRPr="00FD7FAE">
        <w:rPr>
          <w:lang w:val="en-ZA"/>
        </w:rPr>
        <w:t>‘It is important to have clarity about the effec</w:t>
      </w:r>
      <w:r w:rsidR="00582927">
        <w:rPr>
          <w:lang w:val="en-ZA"/>
        </w:rPr>
        <w:t xml:space="preserve">t of the mechanism created by sections 33 and </w:t>
      </w:r>
      <w:r w:rsidRPr="00FD7FAE">
        <w:rPr>
          <w:lang w:val="en-ZA"/>
        </w:rPr>
        <w:t>33A of the Act. Were it not for this special “appeal” procedure, the avenues for substantive redress available to vendors aggrieved by the rejection of their objections to assessments and decisions by the Commissioner would probably have been common-law judicial review as now buttressed by the right to just administrative action under s</w:t>
      </w:r>
      <w:r w:rsidR="00582927">
        <w:rPr>
          <w:lang w:val="en-ZA"/>
        </w:rPr>
        <w:t xml:space="preserve">ection 33 </w:t>
      </w:r>
      <w:r w:rsidRPr="00FD7FAE">
        <w:rPr>
          <w:lang w:val="en-ZA"/>
        </w:rPr>
        <w:t>of the Constitution, and as fleshed out in the Promotion of Administrative Justice Act.</w:t>
      </w:r>
    </w:p>
    <w:p w:rsidR="00FD7FAE" w:rsidRPr="00FD7FAE" w:rsidRDefault="000E1E46" w:rsidP="00FD7FAE">
      <w:pPr>
        <w:spacing w:before="185" w:line="360" w:lineRule="auto"/>
        <w:jc w:val="both"/>
        <w:rPr>
          <w:lang w:val="en-ZA"/>
        </w:rPr>
      </w:pPr>
      <w:r>
        <w:rPr>
          <w:lang w:val="en-ZA"/>
        </w:rPr>
        <w:t xml:space="preserve"> . . .</w:t>
      </w:r>
    </w:p>
    <w:p w:rsidR="00955FC0" w:rsidRPr="00CA1EBC" w:rsidRDefault="00FD7FAE" w:rsidP="00A678F9">
      <w:pPr>
        <w:spacing w:before="185" w:line="360" w:lineRule="auto"/>
        <w:jc w:val="both"/>
        <w:rPr>
          <w:lang w:val="en-ZA"/>
        </w:rPr>
      </w:pPr>
      <w:r w:rsidRPr="00FD7FAE">
        <w:rPr>
          <w:lang w:val="en-ZA"/>
        </w:rPr>
        <w:t>But, and this is crucial to</w:t>
      </w:r>
      <w:r w:rsidR="00582927">
        <w:rPr>
          <w:lang w:val="en-ZA"/>
        </w:rPr>
        <w:t xml:space="preserve"> an understanding of this part</w:t>
      </w:r>
      <w:r w:rsidRPr="00FD7FAE">
        <w:rPr>
          <w:lang w:val="en-ZA"/>
        </w:rPr>
        <w:t xml:space="preserve"> of the case, the Act nowhere excludes judicial review in the ordinary course. The Act creates a tailor-made mechanism for redressing complaints about the Commissioner’s decisions</w:t>
      </w:r>
      <w:r w:rsidR="00582927">
        <w:rPr>
          <w:lang w:val="en-ZA"/>
        </w:rPr>
        <w:t>,</w:t>
      </w:r>
      <w:r w:rsidRPr="00FD7FAE">
        <w:rPr>
          <w:lang w:val="en-ZA"/>
        </w:rPr>
        <w:t xml:space="preserve"> but leaves intact all other avenues of relief’.</w:t>
      </w:r>
      <w:r w:rsidR="000E1E46">
        <w:rPr>
          <w:rStyle w:val="FootnoteReference"/>
          <w:lang w:val="en-ZA"/>
        </w:rPr>
        <w:footnoteReference w:id="15"/>
      </w:r>
    </w:p>
    <w:p w:rsidR="006A0ED9" w:rsidRPr="003A4985" w:rsidRDefault="006A0ED9" w:rsidP="003E2F5C">
      <w:pPr>
        <w:tabs>
          <w:tab w:val="left" w:pos="1984"/>
          <w:tab w:val="left" w:pos="7891"/>
          <w:tab w:val="left" w:pos="7938"/>
        </w:tabs>
        <w:spacing w:before="185" w:line="360" w:lineRule="auto"/>
        <w:jc w:val="both"/>
        <w:rPr>
          <w:color w:val="0F0F0F"/>
          <w:sz w:val="24"/>
          <w:szCs w:val="24"/>
        </w:rPr>
      </w:pPr>
    </w:p>
    <w:p w:rsidR="00310B15" w:rsidRPr="003A4985" w:rsidRDefault="00725F55" w:rsidP="00A678F9">
      <w:pPr>
        <w:spacing w:before="215" w:line="360" w:lineRule="auto"/>
        <w:jc w:val="both"/>
        <w:rPr>
          <w:sz w:val="24"/>
          <w:szCs w:val="24"/>
        </w:rPr>
      </w:pPr>
      <w:r>
        <w:rPr>
          <w:sz w:val="24"/>
          <w:szCs w:val="24"/>
        </w:rPr>
        <w:t>[1</w:t>
      </w:r>
      <w:r w:rsidR="00846434">
        <w:rPr>
          <w:sz w:val="24"/>
          <w:szCs w:val="24"/>
        </w:rPr>
        <w:t>7</w:t>
      </w:r>
      <w:r w:rsidR="00A678F9">
        <w:rPr>
          <w:sz w:val="24"/>
          <w:szCs w:val="24"/>
        </w:rPr>
        <w:t>]</w:t>
      </w:r>
      <w:r w:rsidR="00A678F9">
        <w:rPr>
          <w:sz w:val="24"/>
          <w:szCs w:val="24"/>
        </w:rPr>
        <w:tab/>
      </w:r>
      <w:r w:rsidR="00310B15" w:rsidRPr="003A4985">
        <w:rPr>
          <w:sz w:val="24"/>
          <w:szCs w:val="24"/>
        </w:rPr>
        <w:t>In</w:t>
      </w:r>
      <w:r w:rsidR="00310B15" w:rsidRPr="003A4985">
        <w:rPr>
          <w:spacing w:val="-16"/>
          <w:sz w:val="24"/>
          <w:szCs w:val="24"/>
        </w:rPr>
        <w:t xml:space="preserve"> </w:t>
      </w:r>
      <w:r w:rsidR="00310B15" w:rsidRPr="003A4985">
        <w:rPr>
          <w:sz w:val="24"/>
          <w:szCs w:val="24"/>
        </w:rPr>
        <w:t>the</w:t>
      </w:r>
      <w:r w:rsidR="00310B15" w:rsidRPr="003A4985">
        <w:rPr>
          <w:spacing w:val="-16"/>
          <w:sz w:val="24"/>
          <w:szCs w:val="24"/>
        </w:rPr>
        <w:t xml:space="preserve"> </w:t>
      </w:r>
      <w:r w:rsidR="00310B15" w:rsidRPr="003A4985">
        <w:rPr>
          <w:sz w:val="24"/>
          <w:szCs w:val="24"/>
        </w:rPr>
        <w:t>present</w:t>
      </w:r>
      <w:r w:rsidR="00310B15" w:rsidRPr="003A4985">
        <w:rPr>
          <w:spacing w:val="-2"/>
          <w:sz w:val="24"/>
          <w:szCs w:val="24"/>
        </w:rPr>
        <w:t xml:space="preserve"> </w:t>
      </w:r>
      <w:r w:rsidR="00310B15" w:rsidRPr="003A4985">
        <w:rPr>
          <w:sz w:val="24"/>
          <w:szCs w:val="24"/>
        </w:rPr>
        <w:t>matter, Topping</w:t>
      </w:r>
      <w:r w:rsidR="00310B15" w:rsidRPr="003A4985">
        <w:rPr>
          <w:spacing w:val="-2"/>
          <w:sz w:val="24"/>
          <w:szCs w:val="24"/>
        </w:rPr>
        <w:t xml:space="preserve"> </w:t>
      </w:r>
      <w:r w:rsidR="00310B15" w:rsidRPr="003A4985">
        <w:rPr>
          <w:sz w:val="24"/>
          <w:szCs w:val="24"/>
        </w:rPr>
        <w:t>AJ</w:t>
      </w:r>
      <w:r w:rsidR="00310B15" w:rsidRPr="003A4985">
        <w:rPr>
          <w:spacing w:val="-16"/>
          <w:sz w:val="24"/>
          <w:szCs w:val="24"/>
        </w:rPr>
        <w:t xml:space="preserve"> </w:t>
      </w:r>
      <w:r w:rsidR="00310B15" w:rsidRPr="003A4985">
        <w:rPr>
          <w:sz w:val="24"/>
          <w:szCs w:val="24"/>
        </w:rPr>
        <w:t>held</w:t>
      </w:r>
      <w:r w:rsidR="00310B15" w:rsidRPr="003A4985">
        <w:rPr>
          <w:spacing w:val="-8"/>
          <w:sz w:val="24"/>
          <w:szCs w:val="24"/>
        </w:rPr>
        <w:t xml:space="preserve"> </w:t>
      </w:r>
      <w:r w:rsidR="00310B15" w:rsidRPr="003A4985">
        <w:rPr>
          <w:sz w:val="24"/>
          <w:szCs w:val="24"/>
        </w:rPr>
        <w:t>that</w:t>
      </w:r>
      <w:r w:rsidR="00310B15" w:rsidRPr="003A4985">
        <w:rPr>
          <w:spacing w:val="-7"/>
          <w:sz w:val="24"/>
          <w:szCs w:val="24"/>
        </w:rPr>
        <w:t xml:space="preserve"> </w:t>
      </w:r>
      <w:r w:rsidR="00310B15" w:rsidRPr="003A4985">
        <w:rPr>
          <w:sz w:val="24"/>
          <w:szCs w:val="24"/>
        </w:rPr>
        <w:t>a</w:t>
      </w:r>
      <w:r w:rsidR="00310B15" w:rsidRPr="003A4985">
        <w:rPr>
          <w:spacing w:val="-16"/>
          <w:sz w:val="24"/>
          <w:szCs w:val="24"/>
        </w:rPr>
        <w:t xml:space="preserve"> </w:t>
      </w:r>
      <w:r w:rsidR="00310B15" w:rsidRPr="003A4985">
        <w:rPr>
          <w:sz w:val="24"/>
          <w:szCs w:val="24"/>
        </w:rPr>
        <w:t>review of</w:t>
      </w:r>
      <w:r w:rsidR="00310B15" w:rsidRPr="003A4985">
        <w:rPr>
          <w:spacing w:val="-14"/>
          <w:sz w:val="24"/>
          <w:szCs w:val="24"/>
        </w:rPr>
        <w:t xml:space="preserve"> </w:t>
      </w:r>
      <w:r w:rsidR="00310B15" w:rsidRPr="003A4985">
        <w:rPr>
          <w:sz w:val="24"/>
          <w:szCs w:val="24"/>
        </w:rPr>
        <w:t>a</w:t>
      </w:r>
      <w:r w:rsidR="00310B15" w:rsidRPr="003A4985">
        <w:rPr>
          <w:spacing w:val="-9"/>
          <w:sz w:val="24"/>
          <w:szCs w:val="24"/>
        </w:rPr>
        <w:t xml:space="preserve"> </w:t>
      </w:r>
      <w:r w:rsidR="00310B15" w:rsidRPr="003A4985">
        <w:rPr>
          <w:sz w:val="24"/>
          <w:szCs w:val="24"/>
        </w:rPr>
        <w:t>tariff</w:t>
      </w:r>
      <w:r w:rsidR="00310B15" w:rsidRPr="003A4985">
        <w:rPr>
          <w:spacing w:val="-9"/>
          <w:sz w:val="24"/>
          <w:szCs w:val="24"/>
        </w:rPr>
        <w:t xml:space="preserve"> </w:t>
      </w:r>
      <w:r w:rsidR="00310B15" w:rsidRPr="003A4985">
        <w:rPr>
          <w:sz w:val="24"/>
          <w:szCs w:val="24"/>
        </w:rPr>
        <w:t>determination is</w:t>
      </w:r>
      <w:r w:rsidR="00310B15" w:rsidRPr="003A4985">
        <w:rPr>
          <w:spacing w:val="-7"/>
          <w:sz w:val="24"/>
          <w:szCs w:val="24"/>
        </w:rPr>
        <w:t xml:space="preserve"> </w:t>
      </w:r>
      <w:r w:rsidR="00310B15" w:rsidRPr="003A4985">
        <w:rPr>
          <w:sz w:val="24"/>
          <w:szCs w:val="24"/>
        </w:rPr>
        <w:t xml:space="preserve">competent. </w:t>
      </w:r>
      <w:r w:rsidR="00310B15" w:rsidRPr="003A4985">
        <w:rPr>
          <w:noProof/>
          <w:sz w:val="24"/>
          <w:szCs w:val="24"/>
          <w:lang w:val="en-ZA" w:eastAsia="en-ZA"/>
        </w:rPr>
        <w:drawing>
          <wp:anchor distT="0" distB="0" distL="0" distR="0" simplePos="0" relativeHeight="251664384" behindDoc="0" locked="0" layoutInCell="1" allowOverlap="1" wp14:anchorId="06E6D76F" wp14:editId="60E37F2F">
            <wp:simplePos x="0" y="0"/>
            <wp:positionH relativeFrom="page">
              <wp:posOffset>7400053</wp:posOffset>
            </wp:positionH>
            <wp:positionV relativeFrom="paragraph">
              <wp:posOffset>906896</wp:posOffset>
            </wp:positionV>
            <wp:extent cx="13670" cy="77463"/>
            <wp:effectExtent l="0" t="0" r="0" b="0"/>
            <wp:wrapNone/>
            <wp:docPr id="9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1.png"/>
                    <pic:cNvPicPr/>
                  </pic:nvPicPr>
                  <pic:blipFill>
                    <a:blip r:embed="rId9" cstate="print"/>
                    <a:stretch>
                      <a:fillRect/>
                    </a:stretch>
                  </pic:blipFill>
                  <pic:spPr>
                    <a:xfrm>
                      <a:off x="0" y="0"/>
                      <a:ext cx="13670" cy="77463"/>
                    </a:xfrm>
                    <a:prstGeom prst="rect">
                      <a:avLst/>
                    </a:prstGeom>
                  </pic:spPr>
                </pic:pic>
              </a:graphicData>
            </a:graphic>
          </wp:anchor>
        </w:drawing>
      </w:r>
      <w:r w:rsidR="00310B15" w:rsidRPr="003A4985">
        <w:rPr>
          <w:sz w:val="24"/>
          <w:szCs w:val="24"/>
        </w:rPr>
        <w:t>The</w:t>
      </w:r>
      <w:r w:rsidR="00310B15" w:rsidRPr="003A4985">
        <w:rPr>
          <w:spacing w:val="-14"/>
          <w:sz w:val="24"/>
          <w:szCs w:val="24"/>
        </w:rPr>
        <w:t xml:space="preserve"> </w:t>
      </w:r>
      <w:r w:rsidR="00310B15" w:rsidRPr="003A4985">
        <w:rPr>
          <w:sz w:val="24"/>
          <w:szCs w:val="24"/>
        </w:rPr>
        <w:t>learned judge</w:t>
      </w:r>
      <w:r w:rsidR="00310B15" w:rsidRPr="003A4985">
        <w:rPr>
          <w:spacing w:val="-9"/>
          <w:sz w:val="24"/>
          <w:szCs w:val="24"/>
        </w:rPr>
        <w:t xml:space="preserve"> </w:t>
      </w:r>
      <w:r w:rsidR="00310B15" w:rsidRPr="003A4985">
        <w:rPr>
          <w:sz w:val="24"/>
          <w:szCs w:val="24"/>
        </w:rPr>
        <w:t>accepted that</w:t>
      </w:r>
      <w:r w:rsidR="00310B15" w:rsidRPr="003A4985">
        <w:rPr>
          <w:spacing w:val="-7"/>
          <w:sz w:val="24"/>
          <w:szCs w:val="24"/>
        </w:rPr>
        <w:t xml:space="preserve"> </w:t>
      </w:r>
      <w:r w:rsidR="00310B15" w:rsidRPr="003A4985">
        <w:rPr>
          <w:sz w:val="24"/>
          <w:szCs w:val="24"/>
        </w:rPr>
        <w:t>the</w:t>
      </w:r>
      <w:r w:rsidR="00310B15" w:rsidRPr="003A4985">
        <w:rPr>
          <w:spacing w:val="-12"/>
          <w:sz w:val="24"/>
          <w:szCs w:val="24"/>
        </w:rPr>
        <w:t xml:space="preserve"> </w:t>
      </w:r>
      <w:r w:rsidR="00310B15" w:rsidRPr="003A4985">
        <w:rPr>
          <w:sz w:val="24"/>
          <w:szCs w:val="24"/>
        </w:rPr>
        <w:t>s</w:t>
      </w:r>
      <w:r w:rsidR="00310B15" w:rsidRPr="003A4985">
        <w:rPr>
          <w:spacing w:val="-7"/>
          <w:sz w:val="24"/>
          <w:szCs w:val="24"/>
        </w:rPr>
        <w:t xml:space="preserve"> </w:t>
      </w:r>
      <w:r w:rsidR="00310B15" w:rsidRPr="003A4985">
        <w:rPr>
          <w:sz w:val="24"/>
          <w:szCs w:val="24"/>
        </w:rPr>
        <w:t>47(9)</w:t>
      </w:r>
      <w:r w:rsidR="00310B15" w:rsidRPr="0015050D">
        <w:rPr>
          <w:i/>
          <w:sz w:val="24"/>
          <w:szCs w:val="24"/>
        </w:rPr>
        <w:t>(e)</w:t>
      </w:r>
      <w:r w:rsidR="00310B15" w:rsidRPr="003A4985">
        <w:rPr>
          <w:spacing w:val="-4"/>
          <w:sz w:val="24"/>
          <w:szCs w:val="24"/>
        </w:rPr>
        <w:t xml:space="preserve"> </w:t>
      </w:r>
      <w:r w:rsidR="00310B15" w:rsidRPr="003A4985">
        <w:rPr>
          <w:sz w:val="24"/>
          <w:szCs w:val="24"/>
        </w:rPr>
        <w:t>appeal</w:t>
      </w:r>
      <w:r w:rsidR="00310B15" w:rsidRPr="003A4985">
        <w:rPr>
          <w:spacing w:val="-10"/>
          <w:sz w:val="24"/>
          <w:szCs w:val="24"/>
        </w:rPr>
        <w:t xml:space="preserve"> </w:t>
      </w:r>
      <w:r w:rsidR="00310B15" w:rsidRPr="003A4985">
        <w:rPr>
          <w:sz w:val="24"/>
          <w:szCs w:val="24"/>
        </w:rPr>
        <w:t>is</w:t>
      </w:r>
      <w:r w:rsidR="00310B15" w:rsidRPr="003A4985">
        <w:rPr>
          <w:spacing w:val="-15"/>
          <w:sz w:val="24"/>
          <w:szCs w:val="24"/>
        </w:rPr>
        <w:t xml:space="preserve"> </w:t>
      </w:r>
      <w:r w:rsidR="00310B15" w:rsidRPr="003A4985">
        <w:rPr>
          <w:sz w:val="24"/>
          <w:szCs w:val="24"/>
        </w:rPr>
        <w:t>‘an</w:t>
      </w:r>
      <w:r w:rsidR="00310B15" w:rsidRPr="003A4985">
        <w:rPr>
          <w:spacing w:val="-11"/>
          <w:sz w:val="24"/>
          <w:szCs w:val="24"/>
        </w:rPr>
        <w:t xml:space="preserve"> </w:t>
      </w:r>
      <w:r w:rsidR="00310B15" w:rsidRPr="003A4985">
        <w:rPr>
          <w:sz w:val="24"/>
          <w:szCs w:val="24"/>
        </w:rPr>
        <w:t>appeal</w:t>
      </w:r>
      <w:r w:rsidR="00310B15" w:rsidRPr="003A4985">
        <w:rPr>
          <w:spacing w:val="-4"/>
          <w:sz w:val="24"/>
          <w:szCs w:val="24"/>
        </w:rPr>
        <w:t xml:space="preserve"> </w:t>
      </w:r>
      <w:r w:rsidR="00310B15" w:rsidRPr="003A4985">
        <w:rPr>
          <w:sz w:val="24"/>
          <w:szCs w:val="24"/>
        </w:rPr>
        <w:t>in</w:t>
      </w:r>
      <w:r w:rsidR="00310B15" w:rsidRPr="003A4985">
        <w:rPr>
          <w:spacing w:val="-10"/>
          <w:sz w:val="24"/>
          <w:szCs w:val="24"/>
        </w:rPr>
        <w:t xml:space="preserve"> </w:t>
      </w:r>
      <w:r w:rsidR="00310B15" w:rsidRPr="003A4985">
        <w:rPr>
          <w:sz w:val="24"/>
          <w:szCs w:val="24"/>
        </w:rPr>
        <w:t>the wide sense and constitutes a rehearing of the matter’, in which ‘additional evidence</w:t>
      </w:r>
      <w:r w:rsidR="00310B15" w:rsidRPr="003A4985">
        <w:rPr>
          <w:spacing w:val="-5"/>
          <w:sz w:val="24"/>
          <w:szCs w:val="24"/>
        </w:rPr>
        <w:t xml:space="preserve"> </w:t>
      </w:r>
      <w:r w:rsidR="00310B15" w:rsidRPr="003A4985">
        <w:rPr>
          <w:sz w:val="24"/>
          <w:szCs w:val="24"/>
        </w:rPr>
        <w:t>or</w:t>
      </w:r>
      <w:r w:rsidR="00310B15" w:rsidRPr="003A4985">
        <w:rPr>
          <w:spacing w:val="-16"/>
          <w:sz w:val="24"/>
          <w:szCs w:val="24"/>
        </w:rPr>
        <w:t xml:space="preserve"> </w:t>
      </w:r>
      <w:r w:rsidR="00310B15" w:rsidRPr="003A4985">
        <w:rPr>
          <w:sz w:val="24"/>
          <w:szCs w:val="24"/>
        </w:rPr>
        <w:t>information</w:t>
      </w:r>
      <w:r w:rsidR="00310B15" w:rsidRPr="003A4985">
        <w:rPr>
          <w:spacing w:val="-6"/>
          <w:sz w:val="24"/>
          <w:szCs w:val="24"/>
        </w:rPr>
        <w:t xml:space="preserve"> </w:t>
      </w:r>
      <w:r w:rsidR="00310B15" w:rsidRPr="003A4985">
        <w:rPr>
          <w:sz w:val="24"/>
          <w:szCs w:val="24"/>
        </w:rPr>
        <w:t>may</w:t>
      </w:r>
      <w:r w:rsidR="00310B15" w:rsidRPr="003A4985">
        <w:rPr>
          <w:spacing w:val="-12"/>
          <w:sz w:val="24"/>
          <w:szCs w:val="24"/>
        </w:rPr>
        <w:t xml:space="preserve"> </w:t>
      </w:r>
      <w:r w:rsidR="00310B15" w:rsidRPr="003A4985">
        <w:rPr>
          <w:sz w:val="24"/>
          <w:szCs w:val="24"/>
        </w:rPr>
        <w:t>be</w:t>
      </w:r>
      <w:r w:rsidR="00310B15" w:rsidRPr="003A4985">
        <w:rPr>
          <w:spacing w:val="-16"/>
          <w:sz w:val="24"/>
          <w:szCs w:val="24"/>
        </w:rPr>
        <w:t xml:space="preserve"> </w:t>
      </w:r>
      <w:r w:rsidR="00310B15" w:rsidRPr="003A4985">
        <w:rPr>
          <w:sz w:val="24"/>
          <w:szCs w:val="24"/>
        </w:rPr>
        <w:t>adduced’</w:t>
      </w:r>
      <w:r w:rsidR="00310B15" w:rsidRPr="003A4985">
        <w:rPr>
          <w:spacing w:val="-2"/>
          <w:sz w:val="24"/>
          <w:szCs w:val="24"/>
        </w:rPr>
        <w:t xml:space="preserve"> </w:t>
      </w:r>
      <w:r w:rsidR="00310B15" w:rsidRPr="003A4985">
        <w:rPr>
          <w:sz w:val="24"/>
          <w:szCs w:val="24"/>
        </w:rPr>
        <w:t>and</w:t>
      </w:r>
      <w:r w:rsidR="00310B15" w:rsidRPr="003A4985">
        <w:rPr>
          <w:spacing w:val="-10"/>
          <w:sz w:val="24"/>
          <w:szCs w:val="24"/>
        </w:rPr>
        <w:t xml:space="preserve"> </w:t>
      </w:r>
      <w:r w:rsidR="00CA1EBC">
        <w:rPr>
          <w:spacing w:val="-10"/>
          <w:sz w:val="24"/>
          <w:szCs w:val="24"/>
        </w:rPr>
        <w:t xml:space="preserve">that </w:t>
      </w:r>
      <w:r w:rsidR="00310B15" w:rsidRPr="003A4985">
        <w:rPr>
          <w:sz w:val="24"/>
          <w:szCs w:val="24"/>
        </w:rPr>
        <w:t>the</w:t>
      </w:r>
      <w:r w:rsidR="00310B15" w:rsidRPr="003A4985">
        <w:rPr>
          <w:spacing w:val="-16"/>
          <w:sz w:val="24"/>
          <w:szCs w:val="24"/>
        </w:rPr>
        <w:t xml:space="preserve"> </w:t>
      </w:r>
      <w:r w:rsidR="00310B15" w:rsidRPr="003A4985">
        <w:rPr>
          <w:sz w:val="24"/>
          <w:szCs w:val="24"/>
        </w:rPr>
        <w:t>high</w:t>
      </w:r>
      <w:r w:rsidR="00310B15" w:rsidRPr="003A4985">
        <w:rPr>
          <w:spacing w:val="-16"/>
          <w:sz w:val="24"/>
          <w:szCs w:val="24"/>
        </w:rPr>
        <w:t xml:space="preserve"> </w:t>
      </w:r>
      <w:r w:rsidR="00310B15" w:rsidRPr="003A4985">
        <w:rPr>
          <w:sz w:val="24"/>
          <w:szCs w:val="24"/>
        </w:rPr>
        <w:t>court</w:t>
      </w:r>
      <w:r w:rsidR="00310B15" w:rsidRPr="003A4985">
        <w:rPr>
          <w:spacing w:val="-10"/>
          <w:sz w:val="24"/>
          <w:szCs w:val="24"/>
        </w:rPr>
        <w:t xml:space="preserve"> </w:t>
      </w:r>
      <w:r w:rsidR="00310B15" w:rsidRPr="003A4985">
        <w:rPr>
          <w:sz w:val="24"/>
          <w:szCs w:val="24"/>
        </w:rPr>
        <w:t>‘is</w:t>
      </w:r>
      <w:r w:rsidR="00310B15" w:rsidRPr="003A4985">
        <w:rPr>
          <w:spacing w:val="-14"/>
          <w:sz w:val="24"/>
          <w:szCs w:val="24"/>
        </w:rPr>
        <w:t xml:space="preserve"> </w:t>
      </w:r>
      <w:r w:rsidR="00310B15" w:rsidRPr="003A4985">
        <w:rPr>
          <w:sz w:val="24"/>
          <w:szCs w:val="24"/>
        </w:rPr>
        <w:t>not</w:t>
      </w:r>
      <w:r w:rsidR="00310B15" w:rsidRPr="003A4985">
        <w:rPr>
          <w:spacing w:val="-15"/>
          <w:sz w:val="24"/>
          <w:szCs w:val="24"/>
        </w:rPr>
        <w:t xml:space="preserve"> </w:t>
      </w:r>
      <w:r w:rsidR="00310B15" w:rsidRPr="003A4985">
        <w:rPr>
          <w:sz w:val="24"/>
          <w:szCs w:val="24"/>
        </w:rPr>
        <w:t xml:space="preserve">confined to the record and is placed in the same position as a court of first-instance, with the power to reconsider and, if necessary, replace the first-instance </w:t>
      </w:r>
      <w:r w:rsidR="00310B15" w:rsidRPr="003A4985">
        <w:rPr>
          <w:spacing w:val="-2"/>
          <w:sz w:val="24"/>
          <w:szCs w:val="24"/>
        </w:rPr>
        <w:t xml:space="preserve">decision.’ </w:t>
      </w:r>
      <w:r w:rsidR="00310B15" w:rsidRPr="003A4985">
        <w:rPr>
          <w:sz w:val="24"/>
          <w:szCs w:val="24"/>
        </w:rPr>
        <w:t xml:space="preserve">Relying on </w:t>
      </w:r>
      <w:r w:rsidR="00310B15" w:rsidRPr="003A4985">
        <w:rPr>
          <w:i/>
          <w:sz w:val="24"/>
          <w:szCs w:val="24"/>
        </w:rPr>
        <w:t xml:space="preserve">BCE, </w:t>
      </w:r>
      <w:r w:rsidR="00CA1EBC">
        <w:rPr>
          <w:sz w:val="24"/>
          <w:szCs w:val="24"/>
        </w:rPr>
        <w:t>Topping AJ</w:t>
      </w:r>
      <w:r w:rsidR="00310B15" w:rsidRPr="003A4985">
        <w:rPr>
          <w:sz w:val="24"/>
          <w:szCs w:val="24"/>
        </w:rPr>
        <w:t xml:space="preserve"> </w:t>
      </w:r>
      <w:r w:rsidR="00521E42">
        <w:rPr>
          <w:sz w:val="24"/>
          <w:szCs w:val="24"/>
        </w:rPr>
        <w:t xml:space="preserve">concluded ‘that [the] Court’s review jurisdiction had not been excluded . . . and that [he was] therefore entitled to grant an order directing </w:t>
      </w:r>
      <w:r w:rsidR="004B17BB">
        <w:rPr>
          <w:sz w:val="24"/>
          <w:szCs w:val="24"/>
        </w:rPr>
        <w:t xml:space="preserve">compliance </w:t>
      </w:r>
      <w:r w:rsidR="00691629">
        <w:rPr>
          <w:sz w:val="24"/>
          <w:szCs w:val="24"/>
        </w:rPr>
        <w:t>with the provisions of Rule 53(1)(b)’</w:t>
      </w:r>
      <w:r w:rsidR="00691629" w:rsidRPr="003A4985">
        <w:rPr>
          <w:sz w:val="24"/>
          <w:szCs w:val="24"/>
        </w:rPr>
        <w:t>.</w:t>
      </w:r>
    </w:p>
    <w:p w:rsidR="004F601E" w:rsidRPr="003A4985" w:rsidRDefault="004F601E" w:rsidP="003E2F5C">
      <w:pPr>
        <w:tabs>
          <w:tab w:val="left" w:pos="2723"/>
        </w:tabs>
        <w:spacing w:before="206" w:line="360" w:lineRule="auto"/>
        <w:ind w:right="1037"/>
        <w:rPr>
          <w:sz w:val="24"/>
          <w:szCs w:val="24"/>
        </w:rPr>
      </w:pPr>
    </w:p>
    <w:p w:rsidR="00050DDF" w:rsidRPr="003A4985" w:rsidRDefault="00725F55" w:rsidP="002E21E0">
      <w:pPr>
        <w:spacing w:before="205" w:line="360" w:lineRule="auto"/>
        <w:jc w:val="both"/>
        <w:rPr>
          <w:sz w:val="24"/>
          <w:szCs w:val="24"/>
        </w:rPr>
      </w:pPr>
      <w:r>
        <w:rPr>
          <w:sz w:val="24"/>
          <w:szCs w:val="24"/>
        </w:rPr>
        <w:t>[1</w:t>
      </w:r>
      <w:r w:rsidR="00846434">
        <w:rPr>
          <w:sz w:val="24"/>
          <w:szCs w:val="24"/>
        </w:rPr>
        <w:t>8</w:t>
      </w:r>
      <w:r w:rsidR="00A678F9">
        <w:rPr>
          <w:sz w:val="24"/>
          <w:szCs w:val="24"/>
        </w:rPr>
        <w:t>]</w:t>
      </w:r>
      <w:r w:rsidR="00A678F9">
        <w:rPr>
          <w:sz w:val="24"/>
          <w:szCs w:val="24"/>
        </w:rPr>
        <w:tab/>
      </w:r>
      <w:r w:rsidR="00310B15" w:rsidRPr="003A4985">
        <w:rPr>
          <w:sz w:val="24"/>
          <w:szCs w:val="24"/>
        </w:rPr>
        <w:t>Mo</w:t>
      </w:r>
      <w:r w:rsidR="004B17BB">
        <w:rPr>
          <w:sz w:val="24"/>
          <w:szCs w:val="24"/>
        </w:rPr>
        <w:t>st</w:t>
      </w:r>
      <w:r w:rsidR="00310B15" w:rsidRPr="003A4985">
        <w:rPr>
          <w:spacing w:val="-10"/>
          <w:sz w:val="24"/>
          <w:szCs w:val="24"/>
        </w:rPr>
        <w:t xml:space="preserve"> </w:t>
      </w:r>
      <w:r w:rsidR="00310B15" w:rsidRPr="003A4985">
        <w:rPr>
          <w:sz w:val="24"/>
          <w:szCs w:val="24"/>
        </w:rPr>
        <w:t>recently,</w:t>
      </w:r>
      <w:r w:rsidR="00310B15" w:rsidRPr="003A4985">
        <w:rPr>
          <w:spacing w:val="-7"/>
          <w:sz w:val="24"/>
          <w:szCs w:val="24"/>
        </w:rPr>
        <w:t xml:space="preserve"> </w:t>
      </w:r>
      <w:r w:rsidR="004B17BB" w:rsidRPr="003A4985">
        <w:rPr>
          <w:sz w:val="24"/>
          <w:szCs w:val="24"/>
        </w:rPr>
        <w:t>in</w:t>
      </w:r>
      <w:r w:rsidR="004B17BB" w:rsidRPr="003A4985">
        <w:rPr>
          <w:spacing w:val="-12"/>
          <w:sz w:val="24"/>
          <w:szCs w:val="24"/>
        </w:rPr>
        <w:t xml:space="preserve"> </w:t>
      </w:r>
      <w:r w:rsidR="00691629" w:rsidRPr="00B35677">
        <w:rPr>
          <w:i/>
          <w:iCs/>
          <w:sz w:val="24"/>
          <w:szCs w:val="24"/>
        </w:rPr>
        <w:t xml:space="preserve">Cell C (Pty) Ltd v Commissioner for the South African Revenue </w:t>
      </w:r>
      <w:r w:rsidR="00691629" w:rsidRPr="00B35677">
        <w:rPr>
          <w:i/>
          <w:iCs/>
          <w:sz w:val="24"/>
          <w:szCs w:val="24"/>
        </w:rPr>
        <w:lastRenderedPageBreak/>
        <w:t>Service</w:t>
      </w:r>
      <w:r w:rsidR="004B17BB">
        <w:rPr>
          <w:i/>
          <w:iCs/>
          <w:spacing w:val="-12"/>
          <w:sz w:val="24"/>
          <w:szCs w:val="24"/>
        </w:rPr>
        <w:t>,</w:t>
      </w:r>
      <w:r w:rsidR="004B17BB" w:rsidRPr="003A4985">
        <w:rPr>
          <w:sz w:val="24"/>
          <w:szCs w:val="24"/>
        </w:rPr>
        <w:t xml:space="preserve"> </w:t>
      </w:r>
      <w:r w:rsidR="00310B15" w:rsidRPr="003A4985">
        <w:rPr>
          <w:sz w:val="24"/>
          <w:szCs w:val="24"/>
        </w:rPr>
        <w:t>the</w:t>
      </w:r>
      <w:r w:rsidR="00310B15" w:rsidRPr="003A4985">
        <w:rPr>
          <w:spacing w:val="-14"/>
          <w:sz w:val="24"/>
          <w:szCs w:val="24"/>
        </w:rPr>
        <w:t xml:space="preserve"> </w:t>
      </w:r>
      <w:r w:rsidR="00310B15" w:rsidRPr="003A4985">
        <w:rPr>
          <w:sz w:val="24"/>
          <w:szCs w:val="24"/>
        </w:rPr>
        <w:t>Pretoria</w:t>
      </w:r>
      <w:r w:rsidR="00310B15" w:rsidRPr="003A4985">
        <w:rPr>
          <w:spacing w:val="-1"/>
          <w:sz w:val="24"/>
          <w:szCs w:val="24"/>
        </w:rPr>
        <w:t xml:space="preserve"> </w:t>
      </w:r>
      <w:r w:rsidR="00310B15" w:rsidRPr="003A4985">
        <w:rPr>
          <w:sz w:val="24"/>
          <w:szCs w:val="24"/>
        </w:rPr>
        <w:t>High</w:t>
      </w:r>
      <w:r w:rsidR="00310B15" w:rsidRPr="003A4985">
        <w:rPr>
          <w:spacing w:val="-7"/>
          <w:sz w:val="24"/>
          <w:szCs w:val="24"/>
        </w:rPr>
        <w:t xml:space="preserve"> </w:t>
      </w:r>
      <w:r w:rsidR="00310B15" w:rsidRPr="003A4985">
        <w:rPr>
          <w:sz w:val="24"/>
          <w:szCs w:val="24"/>
        </w:rPr>
        <w:t>Court</w:t>
      </w:r>
      <w:r w:rsidR="00310B15" w:rsidRPr="003A4985">
        <w:rPr>
          <w:spacing w:val="-12"/>
          <w:sz w:val="24"/>
          <w:szCs w:val="24"/>
        </w:rPr>
        <w:t xml:space="preserve"> </w:t>
      </w:r>
      <w:r w:rsidR="00310B15" w:rsidRPr="003A4985">
        <w:rPr>
          <w:sz w:val="24"/>
          <w:szCs w:val="24"/>
        </w:rPr>
        <w:t>(per</w:t>
      </w:r>
      <w:r w:rsidR="00310B15" w:rsidRPr="003A4985">
        <w:rPr>
          <w:spacing w:val="-9"/>
          <w:sz w:val="24"/>
          <w:szCs w:val="24"/>
        </w:rPr>
        <w:t xml:space="preserve"> </w:t>
      </w:r>
      <w:r w:rsidR="00310B15" w:rsidRPr="003A4985">
        <w:rPr>
          <w:sz w:val="24"/>
          <w:szCs w:val="24"/>
        </w:rPr>
        <w:t>Tolmay J)</w:t>
      </w:r>
      <w:r w:rsidR="00310B15" w:rsidRPr="003A4985">
        <w:rPr>
          <w:spacing w:val="-14"/>
          <w:sz w:val="24"/>
          <w:szCs w:val="24"/>
        </w:rPr>
        <w:t xml:space="preserve"> </w:t>
      </w:r>
      <w:r w:rsidR="00310B15" w:rsidRPr="003A4985">
        <w:rPr>
          <w:sz w:val="24"/>
          <w:szCs w:val="24"/>
        </w:rPr>
        <w:t xml:space="preserve">concluded that </w:t>
      </w:r>
      <w:r w:rsidR="00310B15" w:rsidRPr="003A4985">
        <w:rPr>
          <w:color w:val="0C0C0C"/>
          <w:sz w:val="24"/>
          <w:szCs w:val="24"/>
        </w:rPr>
        <w:t xml:space="preserve">it </w:t>
      </w:r>
      <w:r w:rsidR="00310B15" w:rsidRPr="003A4985">
        <w:rPr>
          <w:sz w:val="24"/>
          <w:szCs w:val="24"/>
        </w:rPr>
        <w:t xml:space="preserve">lacked jurisdiction to hear a review of a tariff determination, and </w:t>
      </w:r>
      <w:r w:rsidR="004B17BB">
        <w:rPr>
          <w:sz w:val="24"/>
          <w:szCs w:val="24"/>
        </w:rPr>
        <w:t xml:space="preserve">accordingly </w:t>
      </w:r>
      <w:r w:rsidR="00310B15" w:rsidRPr="003A4985">
        <w:rPr>
          <w:sz w:val="24"/>
          <w:szCs w:val="24"/>
        </w:rPr>
        <w:t>dismissed</w:t>
      </w:r>
      <w:r w:rsidR="004F601E" w:rsidRPr="003A4985">
        <w:rPr>
          <w:sz w:val="24"/>
          <w:szCs w:val="24"/>
        </w:rPr>
        <w:t xml:space="preserve"> </w:t>
      </w:r>
      <w:r w:rsidR="00310B15" w:rsidRPr="00CA1EBC">
        <w:rPr>
          <w:iCs/>
          <w:sz w:val="24"/>
          <w:szCs w:val="24"/>
        </w:rPr>
        <w:t>Cell</w:t>
      </w:r>
      <w:r w:rsidR="00310B15" w:rsidRPr="00CA1EBC">
        <w:rPr>
          <w:iCs/>
          <w:spacing w:val="-9"/>
          <w:sz w:val="24"/>
          <w:szCs w:val="24"/>
        </w:rPr>
        <w:t xml:space="preserve"> </w:t>
      </w:r>
      <w:r w:rsidR="00310B15" w:rsidRPr="00CA1EBC">
        <w:rPr>
          <w:iCs/>
          <w:color w:val="131313"/>
          <w:sz w:val="24"/>
          <w:szCs w:val="24"/>
        </w:rPr>
        <w:t>C's</w:t>
      </w:r>
      <w:r w:rsidR="00310B15" w:rsidRPr="003A4985">
        <w:rPr>
          <w:color w:val="131313"/>
          <w:spacing w:val="-14"/>
          <w:sz w:val="24"/>
          <w:szCs w:val="24"/>
        </w:rPr>
        <w:t xml:space="preserve"> </w:t>
      </w:r>
      <w:r w:rsidR="00310B15" w:rsidRPr="003A4985">
        <w:rPr>
          <w:sz w:val="24"/>
          <w:szCs w:val="24"/>
        </w:rPr>
        <w:t>Rule</w:t>
      </w:r>
      <w:r w:rsidR="00310B15" w:rsidRPr="003A4985">
        <w:rPr>
          <w:spacing w:val="-10"/>
          <w:sz w:val="24"/>
          <w:szCs w:val="24"/>
        </w:rPr>
        <w:t xml:space="preserve"> </w:t>
      </w:r>
      <w:r w:rsidR="00310B15" w:rsidRPr="003A4985">
        <w:rPr>
          <w:sz w:val="24"/>
          <w:szCs w:val="24"/>
        </w:rPr>
        <w:t>30A</w:t>
      </w:r>
      <w:r w:rsidR="00310B15" w:rsidRPr="003A4985">
        <w:rPr>
          <w:spacing w:val="-2"/>
          <w:sz w:val="24"/>
          <w:szCs w:val="24"/>
        </w:rPr>
        <w:t xml:space="preserve"> </w:t>
      </w:r>
      <w:r w:rsidR="00310B15" w:rsidRPr="003A4985">
        <w:rPr>
          <w:sz w:val="24"/>
          <w:szCs w:val="24"/>
        </w:rPr>
        <w:t xml:space="preserve">application </w:t>
      </w:r>
      <w:r w:rsidR="00310B15" w:rsidRPr="003A4985">
        <w:rPr>
          <w:color w:val="1D1D1D"/>
          <w:sz w:val="24"/>
          <w:szCs w:val="24"/>
        </w:rPr>
        <w:t>to</w:t>
      </w:r>
      <w:r w:rsidR="00310B15" w:rsidRPr="003A4985">
        <w:rPr>
          <w:color w:val="1D1D1D"/>
          <w:spacing w:val="-1"/>
          <w:sz w:val="24"/>
          <w:szCs w:val="24"/>
        </w:rPr>
        <w:t xml:space="preserve"> </w:t>
      </w:r>
      <w:r w:rsidR="00310B15" w:rsidRPr="003A4985">
        <w:rPr>
          <w:sz w:val="24"/>
          <w:szCs w:val="24"/>
        </w:rPr>
        <w:t>compel the</w:t>
      </w:r>
      <w:r w:rsidR="00310B15" w:rsidRPr="003A4985">
        <w:rPr>
          <w:spacing w:val="-8"/>
          <w:sz w:val="24"/>
          <w:szCs w:val="24"/>
        </w:rPr>
        <w:t xml:space="preserve"> </w:t>
      </w:r>
      <w:r w:rsidR="00310B15" w:rsidRPr="003A4985">
        <w:rPr>
          <w:sz w:val="24"/>
          <w:szCs w:val="24"/>
        </w:rPr>
        <w:t>Rule 53</w:t>
      </w:r>
      <w:r w:rsidR="00310B15" w:rsidRPr="003A4985">
        <w:rPr>
          <w:spacing w:val="-2"/>
          <w:sz w:val="24"/>
          <w:szCs w:val="24"/>
        </w:rPr>
        <w:t xml:space="preserve"> </w:t>
      </w:r>
      <w:r w:rsidR="00310B15" w:rsidRPr="003A4985">
        <w:rPr>
          <w:sz w:val="24"/>
          <w:szCs w:val="24"/>
        </w:rPr>
        <w:t>record</w:t>
      </w:r>
      <w:r w:rsidR="00310B15" w:rsidRPr="003A4985">
        <w:rPr>
          <w:spacing w:val="-2"/>
          <w:sz w:val="24"/>
          <w:szCs w:val="24"/>
        </w:rPr>
        <w:t xml:space="preserve"> </w:t>
      </w:r>
      <w:r w:rsidR="00310B15" w:rsidRPr="003A4985">
        <w:rPr>
          <w:sz w:val="24"/>
          <w:szCs w:val="24"/>
        </w:rPr>
        <w:t>on</w:t>
      </w:r>
      <w:r w:rsidR="00310B15" w:rsidRPr="003A4985">
        <w:rPr>
          <w:spacing w:val="-8"/>
          <w:sz w:val="24"/>
          <w:szCs w:val="24"/>
        </w:rPr>
        <w:t xml:space="preserve"> </w:t>
      </w:r>
      <w:r w:rsidR="00310B15" w:rsidRPr="003A4985">
        <w:rPr>
          <w:sz w:val="24"/>
          <w:szCs w:val="24"/>
        </w:rPr>
        <w:t>that</w:t>
      </w:r>
      <w:r w:rsidR="00310B15" w:rsidRPr="003A4985">
        <w:rPr>
          <w:spacing w:val="-3"/>
          <w:sz w:val="24"/>
          <w:szCs w:val="24"/>
        </w:rPr>
        <w:t xml:space="preserve"> </w:t>
      </w:r>
      <w:r w:rsidR="00310B15" w:rsidRPr="003A4985">
        <w:rPr>
          <w:sz w:val="24"/>
          <w:szCs w:val="24"/>
        </w:rPr>
        <w:t>basis.</w:t>
      </w:r>
      <w:r w:rsidR="00310B15" w:rsidRPr="003A4985">
        <w:rPr>
          <w:rStyle w:val="FootnoteReference"/>
          <w:sz w:val="24"/>
          <w:szCs w:val="24"/>
        </w:rPr>
        <w:footnoteReference w:id="16"/>
      </w:r>
      <w:r w:rsidR="00310B15" w:rsidRPr="003A4985">
        <w:rPr>
          <w:sz w:val="24"/>
          <w:szCs w:val="24"/>
        </w:rPr>
        <w:t xml:space="preserve"> </w:t>
      </w:r>
      <w:r w:rsidR="00CA6227">
        <w:rPr>
          <w:sz w:val="24"/>
          <w:szCs w:val="24"/>
        </w:rPr>
        <w:t>Tolma</w:t>
      </w:r>
      <w:r w:rsidR="00CA1EBC">
        <w:rPr>
          <w:sz w:val="24"/>
          <w:szCs w:val="24"/>
        </w:rPr>
        <w:t>y J</w:t>
      </w:r>
      <w:r w:rsidR="00CA6227">
        <w:rPr>
          <w:sz w:val="24"/>
          <w:szCs w:val="24"/>
        </w:rPr>
        <w:t xml:space="preserve"> stated:</w:t>
      </w:r>
      <w:r w:rsidR="004F601E" w:rsidRPr="003A4985">
        <w:rPr>
          <w:sz w:val="24"/>
          <w:szCs w:val="24"/>
        </w:rPr>
        <w:t xml:space="preserve"> </w:t>
      </w:r>
      <w:r w:rsidR="00CA6227">
        <w:rPr>
          <w:sz w:val="24"/>
          <w:szCs w:val="24"/>
        </w:rPr>
        <w:t xml:space="preserve">‘The </w:t>
      </w:r>
      <w:r w:rsidR="004F601E" w:rsidRPr="003A4985">
        <w:rPr>
          <w:i/>
          <w:sz w:val="24"/>
          <w:szCs w:val="24"/>
        </w:rPr>
        <w:t xml:space="preserve">Distell </w:t>
      </w:r>
      <w:r w:rsidR="00CA6227">
        <w:rPr>
          <w:sz w:val="24"/>
          <w:szCs w:val="24"/>
        </w:rPr>
        <w:t xml:space="preserve">Full Court finding is </w:t>
      </w:r>
      <w:r w:rsidR="004F601E" w:rsidRPr="003A4985">
        <w:rPr>
          <w:sz w:val="24"/>
          <w:szCs w:val="24"/>
        </w:rPr>
        <w:t>not</w:t>
      </w:r>
      <w:r w:rsidR="004F601E" w:rsidRPr="003A4985">
        <w:rPr>
          <w:spacing w:val="-14"/>
          <w:sz w:val="24"/>
          <w:szCs w:val="24"/>
        </w:rPr>
        <w:t xml:space="preserve"> </w:t>
      </w:r>
      <w:r w:rsidR="004F601E" w:rsidRPr="003A4985">
        <w:rPr>
          <w:sz w:val="24"/>
          <w:szCs w:val="24"/>
        </w:rPr>
        <w:t>binding</w:t>
      </w:r>
      <w:r w:rsidR="004F601E" w:rsidRPr="003A4985">
        <w:rPr>
          <w:spacing w:val="-11"/>
          <w:sz w:val="24"/>
          <w:szCs w:val="24"/>
        </w:rPr>
        <w:t xml:space="preserve"> </w:t>
      </w:r>
      <w:r w:rsidR="004F601E" w:rsidRPr="003A4985">
        <w:rPr>
          <w:sz w:val="24"/>
          <w:szCs w:val="24"/>
        </w:rPr>
        <w:t>authority</w:t>
      </w:r>
      <w:r w:rsidR="004F601E" w:rsidRPr="003A4985">
        <w:rPr>
          <w:spacing w:val="-6"/>
          <w:sz w:val="24"/>
          <w:szCs w:val="24"/>
        </w:rPr>
        <w:t xml:space="preserve"> </w:t>
      </w:r>
      <w:r w:rsidR="004F601E" w:rsidRPr="003A4985">
        <w:rPr>
          <w:sz w:val="24"/>
          <w:szCs w:val="24"/>
        </w:rPr>
        <w:t>for</w:t>
      </w:r>
      <w:r w:rsidR="004F601E" w:rsidRPr="003A4985">
        <w:rPr>
          <w:spacing w:val="-12"/>
          <w:sz w:val="24"/>
          <w:szCs w:val="24"/>
        </w:rPr>
        <w:t xml:space="preserve"> </w:t>
      </w:r>
      <w:r w:rsidR="004F601E" w:rsidRPr="003A4985">
        <w:rPr>
          <w:sz w:val="24"/>
          <w:szCs w:val="24"/>
        </w:rPr>
        <w:t>the</w:t>
      </w:r>
      <w:r w:rsidR="004F601E" w:rsidRPr="003A4985">
        <w:rPr>
          <w:spacing w:val="-16"/>
          <w:sz w:val="24"/>
          <w:szCs w:val="24"/>
        </w:rPr>
        <w:t xml:space="preserve"> </w:t>
      </w:r>
      <w:r w:rsidR="004F601E" w:rsidRPr="003A4985">
        <w:rPr>
          <w:sz w:val="24"/>
          <w:szCs w:val="24"/>
        </w:rPr>
        <w:t>proposition</w:t>
      </w:r>
      <w:r w:rsidR="004F601E" w:rsidRPr="003A4985">
        <w:rPr>
          <w:spacing w:val="-6"/>
          <w:sz w:val="24"/>
          <w:szCs w:val="24"/>
        </w:rPr>
        <w:t xml:space="preserve"> </w:t>
      </w:r>
      <w:r w:rsidR="004F601E" w:rsidRPr="003A4985">
        <w:rPr>
          <w:sz w:val="24"/>
          <w:szCs w:val="24"/>
        </w:rPr>
        <w:t>that</w:t>
      </w:r>
      <w:r w:rsidR="004F601E" w:rsidRPr="003A4985">
        <w:rPr>
          <w:spacing w:val="-11"/>
          <w:sz w:val="24"/>
          <w:szCs w:val="24"/>
        </w:rPr>
        <w:t xml:space="preserve"> </w:t>
      </w:r>
      <w:r w:rsidR="004F601E" w:rsidRPr="003A4985">
        <w:rPr>
          <w:sz w:val="24"/>
          <w:szCs w:val="24"/>
        </w:rPr>
        <w:t>reliance</w:t>
      </w:r>
      <w:r w:rsidR="004F601E" w:rsidRPr="003A4985">
        <w:rPr>
          <w:spacing w:val="-13"/>
          <w:sz w:val="24"/>
          <w:szCs w:val="24"/>
        </w:rPr>
        <w:t xml:space="preserve"> </w:t>
      </w:r>
      <w:r w:rsidR="004F601E" w:rsidRPr="003A4985">
        <w:rPr>
          <w:sz w:val="24"/>
          <w:szCs w:val="24"/>
        </w:rPr>
        <w:t>on</w:t>
      </w:r>
      <w:r w:rsidR="004F601E" w:rsidRPr="003A4985">
        <w:rPr>
          <w:spacing w:val="-16"/>
          <w:sz w:val="24"/>
          <w:szCs w:val="24"/>
        </w:rPr>
        <w:t xml:space="preserve"> </w:t>
      </w:r>
      <w:r w:rsidR="004F601E" w:rsidRPr="003A4985">
        <w:rPr>
          <w:sz w:val="24"/>
          <w:szCs w:val="24"/>
        </w:rPr>
        <w:t>PAJA</w:t>
      </w:r>
      <w:r w:rsidR="004F601E" w:rsidRPr="003A4985">
        <w:rPr>
          <w:spacing w:val="-7"/>
          <w:sz w:val="24"/>
          <w:szCs w:val="24"/>
        </w:rPr>
        <w:t xml:space="preserve"> </w:t>
      </w:r>
      <w:r w:rsidR="00CA6227">
        <w:rPr>
          <w:sz w:val="24"/>
          <w:szCs w:val="24"/>
        </w:rPr>
        <w:t xml:space="preserve">is excluded in terms of the CEA. It should nevertheless be said that, the remark that </w:t>
      </w:r>
      <w:r w:rsidR="004F601E" w:rsidRPr="003A4985">
        <w:rPr>
          <w:sz w:val="24"/>
          <w:szCs w:val="24"/>
        </w:rPr>
        <w:t>no need to</w:t>
      </w:r>
      <w:r w:rsidR="004F601E" w:rsidRPr="003A4985">
        <w:rPr>
          <w:spacing w:val="-9"/>
          <w:sz w:val="24"/>
          <w:szCs w:val="24"/>
        </w:rPr>
        <w:t xml:space="preserve"> </w:t>
      </w:r>
      <w:r w:rsidR="004F601E" w:rsidRPr="003A4985">
        <w:rPr>
          <w:sz w:val="24"/>
          <w:szCs w:val="24"/>
        </w:rPr>
        <w:t>resort</w:t>
      </w:r>
      <w:r w:rsidR="004F601E" w:rsidRPr="003A4985">
        <w:rPr>
          <w:spacing w:val="-1"/>
          <w:sz w:val="24"/>
          <w:szCs w:val="24"/>
        </w:rPr>
        <w:t xml:space="preserve"> </w:t>
      </w:r>
      <w:r w:rsidR="004F601E" w:rsidRPr="003A4985">
        <w:rPr>
          <w:color w:val="131313"/>
          <w:sz w:val="24"/>
          <w:szCs w:val="24"/>
        </w:rPr>
        <w:t>to</w:t>
      </w:r>
      <w:r w:rsidR="004F601E" w:rsidRPr="003A4985">
        <w:rPr>
          <w:color w:val="131313"/>
          <w:spacing w:val="-4"/>
          <w:sz w:val="24"/>
          <w:szCs w:val="24"/>
        </w:rPr>
        <w:t xml:space="preserve"> </w:t>
      </w:r>
      <w:r w:rsidR="004F601E" w:rsidRPr="003A4985">
        <w:rPr>
          <w:sz w:val="24"/>
          <w:szCs w:val="24"/>
        </w:rPr>
        <w:t xml:space="preserve">PAJA </w:t>
      </w:r>
      <w:r w:rsidR="00CA6227">
        <w:rPr>
          <w:sz w:val="24"/>
          <w:szCs w:val="24"/>
        </w:rPr>
        <w:t xml:space="preserve">exists due to the </w:t>
      </w:r>
      <w:r w:rsidR="005F64C6">
        <w:rPr>
          <w:sz w:val="24"/>
          <w:szCs w:val="24"/>
        </w:rPr>
        <w:t xml:space="preserve">nature of a </w:t>
      </w:r>
      <w:r w:rsidR="004F601E" w:rsidRPr="003A4985">
        <w:rPr>
          <w:sz w:val="24"/>
          <w:szCs w:val="24"/>
        </w:rPr>
        <w:t>wide appeal</w:t>
      </w:r>
      <w:r w:rsidR="00CA6227">
        <w:rPr>
          <w:sz w:val="24"/>
          <w:szCs w:val="24"/>
        </w:rPr>
        <w:t>, is correct’</w:t>
      </w:r>
      <w:r w:rsidR="004F601E" w:rsidRPr="003A4985">
        <w:rPr>
          <w:sz w:val="24"/>
          <w:szCs w:val="24"/>
        </w:rPr>
        <w:t>.</w:t>
      </w:r>
      <w:r w:rsidR="00CA6227">
        <w:rPr>
          <w:rStyle w:val="FootnoteReference"/>
          <w:sz w:val="24"/>
          <w:szCs w:val="24"/>
        </w:rPr>
        <w:footnoteReference w:id="17"/>
      </w:r>
      <w:r w:rsidR="00F7413E">
        <w:rPr>
          <w:sz w:val="24"/>
          <w:szCs w:val="24"/>
        </w:rPr>
        <w:t xml:space="preserve"> The </w:t>
      </w:r>
      <w:r w:rsidR="00CA1EBC">
        <w:rPr>
          <w:sz w:val="24"/>
          <w:szCs w:val="24"/>
        </w:rPr>
        <w:t>learned judge</w:t>
      </w:r>
      <w:r w:rsidR="004F601E" w:rsidRPr="003A4985">
        <w:rPr>
          <w:sz w:val="24"/>
          <w:szCs w:val="24"/>
        </w:rPr>
        <w:t xml:space="preserve"> also considered the decision in </w:t>
      </w:r>
      <w:r w:rsidR="004F601E" w:rsidRPr="003A4985">
        <w:rPr>
          <w:i/>
          <w:sz w:val="24"/>
          <w:szCs w:val="24"/>
        </w:rPr>
        <w:t xml:space="preserve">BCE </w:t>
      </w:r>
      <w:r w:rsidR="004F601E" w:rsidRPr="003A4985">
        <w:rPr>
          <w:i/>
          <w:color w:val="2D2D2D"/>
          <w:w w:val="90"/>
          <w:sz w:val="24"/>
          <w:szCs w:val="24"/>
        </w:rPr>
        <w:t xml:space="preserve">— </w:t>
      </w:r>
      <w:r w:rsidR="004F601E" w:rsidRPr="003A4985">
        <w:rPr>
          <w:color w:val="0C0C0C"/>
          <w:sz w:val="24"/>
          <w:szCs w:val="24"/>
        </w:rPr>
        <w:t xml:space="preserve">by </w:t>
      </w:r>
      <w:r w:rsidR="004F601E" w:rsidRPr="003A4985">
        <w:rPr>
          <w:sz w:val="24"/>
          <w:szCs w:val="24"/>
        </w:rPr>
        <w:t xml:space="preserve">which it was bound unless it </w:t>
      </w:r>
      <w:r w:rsidR="004F601E" w:rsidRPr="003A4985">
        <w:rPr>
          <w:color w:val="0C0C0C"/>
          <w:sz w:val="24"/>
          <w:szCs w:val="24"/>
        </w:rPr>
        <w:t xml:space="preserve">was </w:t>
      </w:r>
      <w:r w:rsidR="004F601E" w:rsidRPr="003A4985">
        <w:rPr>
          <w:sz w:val="24"/>
          <w:szCs w:val="24"/>
        </w:rPr>
        <w:t xml:space="preserve">clearly wrong </w:t>
      </w:r>
      <w:r w:rsidR="004F601E" w:rsidRPr="003A4985">
        <w:rPr>
          <w:w w:val="90"/>
          <w:sz w:val="24"/>
          <w:szCs w:val="24"/>
        </w:rPr>
        <w:t xml:space="preserve">— </w:t>
      </w:r>
      <w:r w:rsidR="004F601E" w:rsidRPr="003A4985">
        <w:rPr>
          <w:color w:val="111111"/>
          <w:sz w:val="24"/>
          <w:szCs w:val="24"/>
        </w:rPr>
        <w:t xml:space="preserve">as </w:t>
      </w:r>
      <w:r w:rsidR="004F601E" w:rsidRPr="003A4985">
        <w:rPr>
          <w:sz w:val="24"/>
          <w:szCs w:val="24"/>
        </w:rPr>
        <w:t xml:space="preserve">well </w:t>
      </w:r>
      <w:r w:rsidR="004F601E" w:rsidRPr="003A4985">
        <w:rPr>
          <w:color w:val="282828"/>
          <w:sz w:val="24"/>
          <w:szCs w:val="24"/>
        </w:rPr>
        <w:t xml:space="preserve">as </w:t>
      </w:r>
      <w:r w:rsidR="004F601E" w:rsidRPr="003A4985">
        <w:rPr>
          <w:sz w:val="24"/>
          <w:szCs w:val="24"/>
        </w:rPr>
        <w:t xml:space="preserve">the decision of Topping </w:t>
      </w:r>
      <w:r w:rsidR="004F601E" w:rsidRPr="003A4985">
        <w:rPr>
          <w:color w:val="0E0E0E"/>
          <w:sz w:val="24"/>
          <w:szCs w:val="24"/>
        </w:rPr>
        <w:t xml:space="preserve">AJ </w:t>
      </w:r>
      <w:r w:rsidR="004F601E" w:rsidRPr="003A4985">
        <w:rPr>
          <w:sz w:val="24"/>
          <w:szCs w:val="24"/>
        </w:rPr>
        <w:t xml:space="preserve">in the present matter, which had followed </w:t>
      </w:r>
      <w:r w:rsidR="004F601E" w:rsidRPr="003A4985">
        <w:rPr>
          <w:i/>
          <w:sz w:val="24"/>
          <w:szCs w:val="24"/>
        </w:rPr>
        <w:t>BCE.</w:t>
      </w:r>
      <w:r w:rsidR="004F601E" w:rsidRPr="003A4985">
        <w:rPr>
          <w:sz w:val="24"/>
          <w:szCs w:val="24"/>
        </w:rPr>
        <w:t xml:space="preserve"> </w:t>
      </w:r>
      <w:r w:rsidR="004F601E" w:rsidRPr="003A4985">
        <w:rPr>
          <w:color w:val="181818"/>
          <w:sz w:val="24"/>
          <w:szCs w:val="24"/>
        </w:rPr>
        <w:t>T</w:t>
      </w:r>
      <w:r w:rsidR="00CA1EBC">
        <w:rPr>
          <w:color w:val="181818"/>
          <w:sz w:val="24"/>
          <w:szCs w:val="24"/>
        </w:rPr>
        <w:t>olmay J</w:t>
      </w:r>
      <w:r w:rsidR="004F601E" w:rsidRPr="003A4985">
        <w:rPr>
          <w:color w:val="151515"/>
          <w:sz w:val="24"/>
          <w:szCs w:val="24"/>
        </w:rPr>
        <w:t xml:space="preserve"> </w:t>
      </w:r>
      <w:r w:rsidR="00F7413E">
        <w:rPr>
          <w:color w:val="151515"/>
          <w:sz w:val="24"/>
          <w:szCs w:val="24"/>
        </w:rPr>
        <w:t xml:space="preserve">concluded: </w:t>
      </w:r>
    </w:p>
    <w:p w:rsidR="00050DDF" w:rsidRDefault="00073108" w:rsidP="002E21E0">
      <w:pPr>
        <w:spacing w:before="205" w:line="360" w:lineRule="auto"/>
        <w:jc w:val="both"/>
      </w:pPr>
      <w:r>
        <w:t>‘</w:t>
      </w:r>
      <w:r w:rsidR="00A4765C">
        <w:t xml:space="preserve">It is clear from the above that the court’s general review jurisdiction is not ousted, but in the light of the ambit of a wide appeal the need for a review falls away when such an appeal is available. The court can, as was illustrated above, exercise its own discretion and substitute its decision on all grounds with that of the Commissioner. To allow a wide appeal and a review in these circumstances will also result in the remedies to be cumulative and will lead to confusion. The vastly different legal principles applicable to a wide appeal and a review will result in a legally untenable situation. In doing so the purpose of treating the tariff determination being provisional and preliminary will be subverted. The fact of the matter is that the CEA does not require the Commissioner to keep a record or give reasons as was said in </w:t>
      </w:r>
      <w:r w:rsidR="00A4765C" w:rsidRPr="00A4765C">
        <w:rPr>
          <w:i/>
        </w:rPr>
        <w:t>Pahad</w:t>
      </w:r>
      <w:r w:rsidR="005F64C6">
        <w:t xml:space="preserve">. Accordingly </w:t>
      </w:r>
      <w:r w:rsidR="00A4765C">
        <w:t>it would not be appropriate for a court to compel the Commissioner to provide a record where he is not legally required to keep one. In any event, in a wide appeal the applicant will be able to obtain access to all relevant documents by way of discovery in terms of Rule 35 of the Uniform Rules of Court.’</w:t>
      </w:r>
      <w:r w:rsidR="00691629">
        <w:rPr>
          <w:rStyle w:val="FootnoteReference"/>
        </w:rPr>
        <w:footnoteReference w:id="18"/>
      </w:r>
    </w:p>
    <w:p w:rsidR="00CA1EBC" w:rsidRPr="00A4765C" w:rsidRDefault="00CA1EBC" w:rsidP="00A678F9">
      <w:pPr>
        <w:spacing w:before="205" w:line="360" w:lineRule="auto"/>
        <w:ind w:right="-46"/>
        <w:jc w:val="both"/>
      </w:pPr>
    </w:p>
    <w:p w:rsidR="005A7E7B" w:rsidRDefault="00725F55" w:rsidP="00001254">
      <w:pPr>
        <w:tabs>
          <w:tab w:val="left" w:pos="851"/>
        </w:tabs>
        <w:spacing w:before="205" w:line="360" w:lineRule="auto"/>
        <w:jc w:val="both"/>
        <w:rPr>
          <w:sz w:val="24"/>
          <w:szCs w:val="24"/>
        </w:rPr>
      </w:pPr>
      <w:r>
        <w:rPr>
          <w:sz w:val="24"/>
          <w:szCs w:val="24"/>
        </w:rPr>
        <w:t>[1</w:t>
      </w:r>
      <w:r w:rsidR="005F64C6">
        <w:rPr>
          <w:sz w:val="24"/>
          <w:szCs w:val="24"/>
        </w:rPr>
        <w:t>9</w:t>
      </w:r>
      <w:r>
        <w:rPr>
          <w:sz w:val="24"/>
          <w:szCs w:val="24"/>
        </w:rPr>
        <w:t>]</w:t>
      </w:r>
      <w:r>
        <w:rPr>
          <w:sz w:val="24"/>
          <w:szCs w:val="24"/>
        </w:rPr>
        <w:tab/>
      </w:r>
      <w:r w:rsidR="00B56A86">
        <w:rPr>
          <w:sz w:val="24"/>
          <w:szCs w:val="24"/>
        </w:rPr>
        <w:t xml:space="preserve">In my view, for the reasons </w:t>
      </w:r>
      <w:r w:rsidR="004B17BB">
        <w:rPr>
          <w:sz w:val="24"/>
          <w:szCs w:val="24"/>
        </w:rPr>
        <w:t>that</w:t>
      </w:r>
      <w:r w:rsidR="00B56A86">
        <w:rPr>
          <w:sz w:val="24"/>
          <w:szCs w:val="24"/>
        </w:rPr>
        <w:t xml:space="preserve"> follow, </w:t>
      </w:r>
      <w:r w:rsidR="00B56A86" w:rsidRPr="00B56A86">
        <w:rPr>
          <w:sz w:val="24"/>
          <w:szCs w:val="24"/>
        </w:rPr>
        <w:t xml:space="preserve">the </w:t>
      </w:r>
      <w:r w:rsidR="004B17BB">
        <w:rPr>
          <w:sz w:val="24"/>
          <w:szCs w:val="24"/>
        </w:rPr>
        <w:t xml:space="preserve">conclusion reached by Tolmay J </w:t>
      </w:r>
      <w:r w:rsidR="00B56A86" w:rsidRPr="00B56A86">
        <w:rPr>
          <w:sz w:val="24"/>
          <w:szCs w:val="24"/>
        </w:rPr>
        <w:t>in</w:t>
      </w:r>
      <w:r w:rsidR="00B56A86">
        <w:rPr>
          <w:i/>
          <w:iCs/>
          <w:sz w:val="24"/>
          <w:szCs w:val="24"/>
        </w:rPr>
        <w:t xml:space="preserve"> Cell C </w:t>
      </w:r>
      <w:r w:rsidR="004B17BB">
        <w:rPr>
          <w:sz w:val="24"/>
          <w:szCs w:val="24"/>
        </w:rPr>
        <w:t>cannot be supported</w:t>
      </w:r>
      <w:r w:rsidR="00B56A86" w:rsidRPr="00B56A86">
        <w:rPr>
          <w:sz w:val="24"/>
          <w:szCs w:val="24"/>
        </w:rPr>
        <w:t>.</w:t>
      </w:r>
      <w:r w:rsidR="00B56A86">
        <w:rPr>
          <w:sz w:val="24"/>
          <w:szCs w:val="24"/>
        </w:rPr>
        <w:t xml:space="preserve"> </w:t>
      </w:r>
      <w:r w:rsidR="00C44717" w:rsidRPr="003A4985">
        <w:rPr>
          <w:sz w:val="24"/>
          <w:szCs w:val="24"/>
        </w:rPr>
        <w:t xml:space="preserve">In </w:t>
      </w:r>
      <w:r w:rsidR="00C44717" w:rsidRPr="003A4985">
        <w:rPr>
          <w:i/>
          <w:sz w:val="24"/>
          <w:szCs w:val="24"/>
        </w:rPr>
        <w:t>Zondi</w:t>
      </w:r>
      <w:r w:rsidR="00C44717" w:rsidRPr="003A4985">
        <w:rPr>
          <w:sz w:val="24"/>
          <w:szCs w:val="24"/>
        </w:rPr>
        <w:t>,</w:t>
      </w:r>
      <w:r w:rsidR="006B121C">
        <w:rPr>
          <w:rStyle w:val="FootnoteReference"/>
          <w:sz w:val="24"/>
          <w:szCs w:val="24"/>
        </w:rPr>
        <w:footnoteReference w:id="19"/>
      </w:r>
      <w:r w:rsidR="00C44717" w:rsidRPr="003A4985">
        <w:rPr>
          <w:sz w:val="24"/>
          <w:szCs w:val="24"/>
        </w:rPr>
        <w:t xml:space="preserve"> the Constitut</w:t>
      </w:r>
      <w:r w:rsidR="00691629">
        <w:rPr>
          <w:sz w:val="24"/>
          <w:szCs w:val="24"/>
        </w:rPr>
        <w:t xml:space="preserve">ional Court stated that PAJA </w:t>
      </w:r>
      <w:r w:rsidR="00C44717" w:rsidRPr="003A4985">
        <w:rPr>
          <w:sz w:val="24"/>
          <w:szCs w:val="24"/>
        </w:rPr>
        <w:t>is not ordinary legislation. It was enacted</w:t>
      </w:r>
      <w:r w:rsidR="00F7413E">
        <w:rPr>
          <w:sz w:val="24"/>
          <w:szCs w:val="24"/>
        </w:rPr>
        <w:t>, pursuant to the provisions of s 33 of the Constitution,</w:t>
      </w:r>
      <w:r w:rsidR="00C44717" w:rsidRPr="003A4985">
        <w:rPr>
          <w:sz w:val="24"/>
          <w:szCs w:val="24"/>
        </w:rPr>
        <w:t xml:space="preserve"> to give effect to the right to just administrative action. In applying PAJA, the </w:t>
      </w:r>
      <w:r w:rsidR="00B56A86">
        <w:rPr>
          <w:sz w:val="24"/>
          <w:szCs w:val="24"/>
        </w:rPr>
        <w:t>C</w:t>
      </w:r>
      <w:r w:rsidR="00C44717" w:rsidRPr="003A4985">
        <w:rPr>
          <w:sz w:val="24"/>
          <w:szCs w:val="24"/>
        </w:rPr>
        <w:t xml:space="preserve">ourt held that all decision-makers, </w:t>
      </w:r>
      <w:r w:rsidR="00C15433" w:rsidRPr="00F558EB">
        <w:rPr>
          <w:sz w:val="24"/>
          <w:szCs w:val="24"/>
        </w:rPr>
        <w:t xml:space="preserve">who enjoy </w:t>
      </w:r>
      <w:r w:rsidR="00C44717" w:rsidRPr="00F558EB">
        <w:rPr>
          <w:sz w:val="24"/>
          <w:szCs w:val="24"/>
        </w:rPr>
        <w:t>authority</w:t>
      </w:r>
      <w:r w:rsidR="00C44717" w:rsidRPr="003A4985">
        <w:rPr>
          <w:sz w:val="24"/>
          <w:szCs w:val="24"/>
        </w:rPr>
        <w:t xml:space="preserve"> to</w:t>
      </w:r>
      <w:r w:rsidR="00F7413E">
        <w:rPr>
          <w:sz w:val="24"/>
          <w:szCs w:val="24"/>
        </w:rPr>
        <w:t xml:space="preserve"> make administrative decisions by any statute</w:t>
      </w:r>
      <w:r w:rsidR="00C44717" w:rsidRPr="003A4985">
        <w:rPr>
          <w:sz w:val="24"/>
          <w:szCs w:val="24"/>
        </w:rPr>
        <w:t xml:space="preserve"> must do so in a manner that is consistent with PAJA. </w:t>
      </w:r>
      <w:r w:rsidR="00F7413E">
        <w:rPr>
          <w:sz w:val="24"/>
          <w:szCs w:val="24"/>
        </w:rPr>
        <w:t>Statutes that authori</w:t>
      </w:r>
      <w:r w:rsidR="00E06016">
        <w:rPr>
          <w:sz w:val="24"/>
          <w:szCs w:val="24"/>
        </w:rPr>
        <w:t>s</w:t>
      </w:r>
      <w:r w:rsidR="00F7413E">
        <w:rPr>
          <w:sz w:val="24"/>
          <w:szCs w:val="24"/>
        </w:rPr>
        <w:t>e administrative action must now be read together with PAJA</w:t>
      </w:r>
      <w:r w:rsidR="006F36D9">
        <w:rPr>
          <w:sz w:val="24"/>
          <w:szCs w:val="24"/>
        </w:rPr>
        <w:t xml:space="preserve">. </w:t>
      </w:r>
      <w:r w:rsidR="00C44717" w:rsidRPr="003A4985">
        <w:rPr>
          <w:sz w:val="24"/>
          <w:szCs w:val="24"/>
        </w:rPr>
        <w:t xml:space="preserve">The </w:t>
      </w:r>
      <w:r w:rsidR="00B56A86">
        <w:rPr>
          <w:sz w:val="24"/>
          <w:szCs w:val="24"/>
        </w:rPr>
        <w:t xml:space="preserve">Constitutional </w:t>
      </w:r>
      <w:r w:rsidR="00C44717" w:rsidRPr="003A4985">
        <w:rPr>
          <w:sz w:val="24"/>
          <w:szCs w:val="24"/>
        </w:rPr>
        <w:t xml:space="preserve">Court </w:t>
      </w:r>
      <w:r w:rsidR="00C44717" w:rsidRPr="003A4985">
        <w:rPr>
          <w:sz w:val="24"/>
          <w:szCs w:val="24"/>
        </w:rPr>
        <w:lastRenderedPageBreak/>
        <w:t>indicated that the only exception to this rule would be the instance where</w:t>
      </w:r>
      <w:r w:rsidR="00691629">
        <w:rPr>
          <w:sz w:val="24"/>
          <w:szCs w:val="24"/>
        </w:rPr>
        <w:t>,</w:t>
      </w:r>
      <w:r w:rsidR="00C44717" w:rsidRPr="003A4985">
        <w:rPr>
          <w:sz w:val="24"/>
          <w:szCs w:val="24"/>
        </w:rPr>
        <w:t xml:space="preserve"> on a proper construction of the statute</w:t>
      </w:r>
      <w:r w:rsidR="00691629">
        <w:rPr>
          <w:sz w:val="24"/>
          <w:szCs w:val="24"/>
        </w:rPr>
        <w:t>,</w:t>
      </w:r>
      <w:r w:rsidR="00C44717" w:rsidRPr="003A4985">
        <w:rPr>
          <w:sz w:val="24"/>
          <w:szCs w:val="24"/>
        </w:rPr>
        <w:t xml:space="preserve"> its provisions are inconsistent with PAJA. However, </w:t>
      </w:r>
      <w:r w:rsidR="00B56A86">
        <w:rPr>
          <w:sz w:val="24"/>
          <w:szCs w:val="24"/>
        </w:rPr>
        <w:t>it</w:t>
      </w:r>
      <w:r w:rsidR="00C44717" w:rsidRPr="003A4985">
        <w:rPr>
          <w:sz w:val="24"/>
          <w:szCs w:val="24"/>
        </w:rPr>
        <w:t xml:space="preserve"> held that before inconsistency can be found, consider</w:t>
      </w:r>
      <w:r w:rsidR="00B56A86">
        <w:rPr>
          <w:sz w:val="24"/>
          <w:szCs w:val="24"/>
        </w:rPr>
        <w:t>ation must first be given to</w:t>
      </w:r>
      <w:r w:rsidR="00C44717" w:rsidRPr="003A4985">
        <w:rPr>
          <w:sz w:val="24"/>
          <w:szCs w:val="24"/>
        </w:rPr>
        <w:t xml:space="preserve"> whether the provisions can possibly be read in a manner that is consistent with the Constitution.</w:t>
      </w:r>
      <w:r w:rsidR="00C44717" w:rsidRPr="003A4985">
        <w:rPr>
          <w:rStyle w:val="FootnoteReference"/>
          <w:sz w:val="24"/>
          <w:szCs w:val="24"/>
        </w:rPr>
        <w:footnoteReference w:id="20"/>
      </w:r>
    </w:p>
    <w:p w:rsidR="006B121C" w:rsidRPr="003A4985" w:rsidRDefault="006B121C" w:rsidP="00001254">
      <w:pPr>
        <w:tabs>
          <w:tab w:val="left" w:pos="851"/>
        </w:tabs>
        <w:spacing w:before="205" w:line="360" w:lineRule="auto"/>
        <w:jc w:val="both"/>
        <w:rPr>
          <w:sz w:val="24"/>
          <w:szCs w:val="24"/>
        </w:rPr>
      </w:pPr>
    </w:p>
    <w:p w:rsidR="005A7E7B" w:rsidRPr="003A4985" w:rsidRDefault="005F64C6" w:rsidP="00E06016">
      <w:pPr>
        <w:spacing w:before="206" w:line="360" w:lineRule="auto"/>
        <w:jc w:val="both"/>
        <w:rPr>
          <w:sz w:val="24"/>
          <w:szCs w:val="24"/>
        </w:rPr>
      </w:pPr>
      <w:r>
        <w:rPr>
          <w:sz w:val="24"/>
          <w:szCs w:val="24"/>
        </w:rPr>
        <w:t>[20</w:t>
      </w:r>
      <w:r w:rsidR="00A678F9">
        <w:rPr>
          <w:sz w:val="24"/>
          <w:szCs w:val="24"/>
        </w:rPr>
        <w:t>]</w:t>
      </w:r>
      <w:r w:rsidR="00A678F9">
        <w:rPr>
          <w:sz w:val="24"/>
          <w:szCs w:val="24"/>
        </w:rPr>
        <w:tab/>
      </w:r>
      <w:r w:rsidR="00E06016" w:rsidRPr="003A4985">
        <w:rPr>
          <w:sz w:val="24"/>
          <w:szCs w:val="24"/>
        </w:rPr>
        <w:t>SARS’ argument appears not to take into account the clear wording of s 33 of the Constitution that everyone has the right to administrative action that is lawful, r</w:t>
      </w:r>
      <w:r w:rsidR="006B121C">
        <w:rPr>
          <w:sz w:val="24"/>
          <w:szCs w:val="24"/>
        </w:rPr>
        <w:t>easonable and procedurally fair or</w:t>
      </w:r>
      <w:r w:rsidR="00E06016" w:rsidRPr="003A4985">
        <w:rPr>
          <w:sz w:val="24"/>
          <w:szCs w:val="24"/>
        </w:rPr>
        <w:t xml:space="preserve"> that all public power (which would include tariff determinations) is subject to constitutional control and must comply with the Constitution and the doctrine of legality.</w:t>
      </w:r>
      <w:r w:rsidR="00E06016" w:rsidRPr="003A4985">
        <w:rPr>
          <w:rStyle w:val="FootnoteReference"/>
          <w:sz w:val="24"/>
          <w:szCs w:val="24"/>
        </w:rPr>
        <w:footnoteReference w:id="21"/>
      </w:r>
      <w:r w:rsidR="00E06016" w:rsidRPr="003A4985">
        <w:rPr>
          <w:sz w:val="24"/>
          <w:szCs w:val="24"/>
        </w:rPr>
        <w:t xml:space="preserve"> </w:t>
      </w:r>
      <w:r w:rsidR="005A7E7B" w:rsidRPr="003A4985">
        <w:rPr>
          <w:sz w:val="24"/>
          <w:szCs w:val="24"/>
        </w:rPr>
        <w:t xml:space="preserve">As it was put in </w:t>
      </w:r>
      <w:r w:rsidR="005A7E7B" w:rsidRPr="003A4985">
        <w:rPr>
          <w:i/>
          <w:sz w:val="24"/>
          <w:szCs w:val="24"/>
        </w:rPr>
        <w:t>Pharmaceutical Manufacturers</w:t>
      </w:r>
      <w:r w:rsidR="005A7E7B" w:rsidRPr="003A4985">
        <w:rPr>
          <w:sz w:val="24"/>
          <w:szCs w:val="24"/>
        </w:rPr>
        <w:t>:</w:t>
      </w:r>
    </w:p>
    <w:p w:rsidR="005A7E7B" w:rsidRPr="003A4985" w:rsidRDefault="005A7E7B" w:rsidP="002E21E0">
      <w:pPr>
        <w:tabs>
          <w:tab w:val="left" w:pos="2716"/>
        </w:tabs>
        <w:spacing w:before="205" w:line="360" w:lineRule="auto"/>
        <w:jc w:val="both"/>
        <w:rPr>
          <w:sz w:val="24"/>
          <w:szCs w:val="24"/>
        </w:rPr>
      </w:pPr>
      <w:r w:rsidRPr="0015050D">
        <w:t>‘Courts no longer have to cl</w:t>
      </w:r>
      <w:r w:rsidR="006F36D9">
        <w:t>aim space and push boundaries to fin</w:t>
      </w:r>
      <w:r w:rsidRPr="0015050D">
        <w:t xml:space="preserve">d means </w:t>
      </w:r>
      <w:r w:rsidR="006F36D9">
        <w:t>of controlling public power. That</w:t>
      </w:r>
      <w:r w:rsidRPr="0015050D">
        <w:t xml:space="preserve"> control is vested </w:t>
      </w:r>
      <w:r w:rsidR="00D90D13">
        <w:t xml:space="preserve">in them under the Constitution </w:t>
      </w:r>
      <w:r w:rsidRPr="0015050D">
        <w:t>which defines the role of the courts, their powers in relation to other arms of government</w:t>
      </w:r>
      <w:r w:rsidR="00D90D13">
        <w:t>,</w:t>
      </w:r>
      <w:r w:rsidRPr="0015050D">
        <w:t xml:space="preserve"> and the constraints subject to which public power has to be exercised.</w:t>
      </w:r>
      <w:r w:rsidR="0015050D" w:rsidRPr="0015050D">
        <w:t>’</w:t>
      </w:r>
      <w:r w:rsidRPr="003A4985">
        <w:rPr>
          <w:rStyle w:val="FootnoteReference"/>
          <w:sz w:val="24"/>
          <w:szCs w:val="24"/>
        </w:rPr>
        <w:footnoteReference w:id="22"/>
      </w:r>
    </w:p>
    <w:p w:rsidR="004F601E" w:rsidRPr="003A4985" w:rsidRDefault="004F601E" w:rsidP="003E2F5C">
      <w:pPr>
        <w:tabs>
          <w:tab w:val="left" w:pos="2723"/>
          <w:tab w:val="left" w:pos="7938"/>
        </w:tabs>
        <w:spacing w:before="206" w:line="360" w:lineRule="auto"/>
        <w:ind w:right="1037"/>
        <w:jc w:val="both"/>
        <w:rPr>
          <w:sz w:val="24"/>
          <w:szCs w:val="24"/>
        </w:rPr>
      </w:pPr>
    </w:p>
    <w:p w:rsidR="001317EE" w:rsidRDefault="00725F55" w:rsidP="0067050A">
      <w:pPr>
        <w:spacing w:before="206" w:line="360" w:lineRule="auto"/>
        <w:jc w:val="both"/>
        <w:rPr>
          <w:sz w:val="24"/>
          <w:szCs w:val="24"/>
        </w:rPr>
      </w:pPr>
      <w:r>
        <w:rPr>
          <w:sz w:val="24"/>
          <w:szCs w:val="24"/>
        </w:rPr>
        <w:t>[</w:t>
      </w:r>
      <w:r w:rsidR="005F64C6">
        <w:rPr>
          <w:sz w:val="24"/>
          <w:szCs w:val="24"/>
        </w:rPr>
        <w:t>21</w:t>
      </w:r>
      <w:r w:rsidR="00A678F9">
        <w:rPr>
          <w:sz w:val="24"/>
          <w:szCs w:val="24"/>
        </w:rPr>
        <w:t>]</w:t>
      </w:r>
      <w:r w:rsidR="00A678F9">
        <w:rPr>
          <w:sz w:val="24"/>
          <w:szCs w:val="24"/>
        </w:rPr>
        <w:tab/>
      </w:r>
      <w:r w:rsidR="00D624ED" w:rsidRPr="003A4985">
        <w:rPr>
          <w:sz w:val="24"/>
          <w:szCs w:val="24"/>
        </w:rPr>
        <w:t>SARS argues that RBCT has no entitlement to the record of decision because all that matters is whether the ultimate decision is ‘correct’ and it does not really matter how it arrived at that decision. This argument misconstrues what is sought to be vindicated in a review, namely, the right to just administrative action.</w:t>
      </w:r>
      <w:r w:rsidR="00FE7461">
        <w:rPr>
          <w:rStyle w:val="FootnoteReference"/>
          <w:sz w:val="24"/>
          <w:szCs w:val="24"/>
        </w:rPr>
        <w:footnoteReference w:id="23"/>
      </w:r>
      <w:r w:rsidR="00D624ED" w:rsidRPr="003A4985">
        <w:rPr>
          <w:sz w:val="24"/>
          <w:szCs w:val="24"/>
        </w:rPr>
        <w:t xml:space="preserve"> </w:t>
      </w:r>
      <w:r w:rsidR="00C15433" w:rsidRPr="00F558EB">
        <w:rPr>
          <w:sz w:val="24"/>
          <w:szCs w:val="24"/>
        </w:rPr>
        <w:t>A decision may be correct but taken unlawfull</w:t>
      </w:r>
      <w:r w:rsidR="0032096F" w:rsidRPr="00F558EB">
        <w:rPr>
          <w:sz w:val="24"/>
          <w:szCs w:val="24"/>
        </w:rPr>
        <w:t>y</w:t>
      </w:r>
      <w:r w:rsidR="00C15433" w:rsidRPr="00F558EB">
        <w:rPr>
          <w:sz w:val="24"/>
          <w:szCs w:val="24"/>
        </w:rPr>
        <w:t xml:space="preserve"> or unfairly. The correctness of a decision in no way negates the right of a person adversely affected by administrative action to a lawful and fair decision. </w:t>
      </w:r>
      <w:r w:rsidR="0032096F" w:rsidRPr="00F558EB">
        <w:rPr>
          <w:sz w:val="24"/>
          <w:szCs w:val="24"/>
        </w:rPr>
        <w:t xml:space="preserve">SARS’ argument </w:t>
      </w:r>
      <w:r w:rsidR="00D624ED" w:rsidRPr="00F558EB">
        <w:rPr>
          <w:sz w:val="24"/>
          <w:szCs w:val="24"/>
        </w:rPr>
        <w:t>also flies in the face of the principles that underpin the exercise of all public</w:t>
      </w:r>
      <w:r w:rsidR="00D624ED" w:rsidRPr="003A4985">
        <w:rPr>
          <w:sz w:val="24"/>
          <w:szCs w:val="24"/>
        </w:rPr>
        <w:t xml:space="preserve"> power</w:t>
      </w:r>
      <w:r w:rsidR="00D624ED" w:rsidRPr="003A4985">
        <w:rPr>
          <w:rStyle w:val="FootnoteReference"/>
          <w:sz w:val="24"/>
          <w:szCs w:val="24"/>
        </w:rPr>
        <w:footnoteReference w:id="24"/>
      </w:r>
      <w:r w:rsidR="00D624ED" w:rsidRPr="003A4985">
        <w:rPr>
          <w:sz w:val="24"/>
          <w:szCs w:val="24"/>
        </w:rPr>
        <w:t xml:space="preserve"> </w:t>
      </w:r>
      <w:r w:rsidR="006E2F1E">
        <w:rPr>
          <w:sz w:val="24"/>
          <w:szCs w:val="24"/>
        </w:rPr>
        <w:t>and</w:t>
      </w:r>
      <w:r w:rsidR="00D624ED" w:rsidRPr="003A4985">
        <w:rPr>
          <w:sz w:val="24"/>
          <w:szCs w:val="24"/>
        </w:rPr>
        <w:t xml:space="preserve"> undermines the very important principle in our law that decisions should not be taken in secret and that administrative bodies such as SARS can and should be held accountable for their actions. Thus, disclosure of the record is essential to give effect to </w:t>
      </w:r>
      <w:r w:rsidR="00D624ED" w:rsidRPr="003A4985">
        <w:rPr>
          <w:sz w:val="24"/>
          <w:szCs w:val="24"/>
        </w:rPr>
        <w:lastRenderedPageBreak/>
        <w:t>a litigant’s rights under section 34 of the Constitution.</w:t>
      </w:r>
      <w:r w:rsidR="00D624ED" w:rsidRPr="003A4985">
        <w:rPr>
          <w:rStyle w:val="FootnoteReference"/>
          <w:sz w:val="24"/>
          <w:szCs w:val="24"/>
        </w:rPr>
        <w:footnoteReference w:id="25"/>
      </w:r>
    </w:p>
    <w:p w:rsidR="00CD429F" w:rsidRPr="003A4985" w:rsidRDefault="00CD429F" w:rsidP="0067050A">
      <w:pPr>
        <w:spacing w:before="206" w:line="360" w:lineRule="auto"/>
        <w:jc w:val="both"/>
        <w:rPr>
          <w:sz w:val="24"/>
          <w:szCs w:val="24"/>
        </w:rPr>
      </w:pPr>
    </w:p>
    <w:p w:rsidR="001317EE" w:rsidRDefault="00725F55" w:rsidP="00A678F9">
      <w:pPr>
        <w:tabs>
          <w:tab w:val="left" w:pos="851"/>
        </w:tabs>
        <w:spacing w:before="206" w:line="360" w:lineRule="auto"/>
        <w:jc w:val="both"/>
        <w:rPr>
          <w:sz w:val="24"/>
          <w:szCs w:val="24"/>
        </w:rPr>
      </w:pPr>
      <w:r>
        <w:rPr>
          <w:sz w:val="24"/>
          <w:szCs w:val="24"/>
        </w:rPr>
        <w:t>[2</w:t>
      </w:r>
      <w:r w:rsidR="005F64C6">
        <w:rPr>
          <w:sz w:val="24"/>
          <w:szCs w:val="24"/>
        </w:rPr>
        <w:t>2</w:t>
      </w:r>
      <w:r w:rsidR="00A678F9">
        <w:rPr>
          <w:sz w:val="24"/>
          <w:szCs w:val="24"/>
        </w:rPr>
        <w:t>]</w:t>
      </w:r>
      <w:r w:rsidR="00A678F9">
        <w:rPr>
          <w:sz w:val="24"/>
          <w:szCs w:val="24"/>
        </w:rPr>
        <w:tab/>
      </w:r>
      <w:r w:rsidR="001317EE" w:rsidRPr="003A4985">
        <w:rPr>
          <w:sz w:val="24"/>
          <w:szCs w:val="24"/>
        </w:rPr>
        <w:t xml:space="preserve">The audit conducted by SARS and the subsequent ruling by the EAC are quintessentially administrative action as defined in s 1 of PAJA. SARS does not contend otherwise. </w:t>
      </w:r>
      <w:r w:rsidR="006E2F1E">
        <w:rPr>
          <w:sz w:val="24"/>
          <w:szCs w:val="24"/>
        </w:rPr>
        <w:t xml:space="preserve">It follows that </w:t>
      </w:r>
      <w:r w:rsidR="00DD5FD2">
        <w:rPr>
          <w:sz w:val="24"/>
          <w:szCs w:val="24"/>
        </w:rPr>
        <w:t>SARS was obliged to</w:t>
      </w:r>
      <w:r w:rsidR="00DD5FD2" w:rsidRPr="00DD5FD2">
        <w:rPr>
          <w:sz w:val="24"/>
          <w:szCs w:val="24"/>
        </w:rPr>
        <w:t xml:space="preserve"> engage the taxpayer in an administratively fai</w:t>
      </w:r>
      <w:r w:rsidR="00DD5FD2">
        <w:rPr>
          <w:sz w:val="24"/>
          <w:szCs w:val="24"/>
        </w:rPr>
        <w:t>r manner.</w:t>
      </w:r>
      <w:r w:rsidR="00DD5FD2">
        <w:rPr>
          <w:rStyle w:val="FootnoteReference"/>
          <w:sz w:val="24"/>
          <w:szCs w:val="24"/>
        </w:rPr>
        <w:footnoteReference w:id="26"/>
      </w:r>
      <w:r w:rsidR="00DD5FD2">
        <w:rPr>
          <w:sz w:val="24"/>
          <w:szCs w:val="24"/>
        </w:rPr>
        <w:t xml:space="preserve"> </w:t>
      </w:r>
      <w:r w:rsidR="001317EE" w:rsidRPr="003A4985">
        <w:rPr>
          <w:sz w:val="24"/>
          <w:szCs w:val="24"/>
        </w:rPr>
        <w:t>Even if the determinations sought to be impugned by RBCT in these proceedings are not administrative action, they would fall under the exercise of public power that is subject to the ru</w:t>
      </w:r>
      <w:r w:rsidR="00073108">
        <w:rPr>
          <w:sz w:val="24"/>
          <w:szCs w:val="24"/>
        </w:rPr>
        <w:t>le of law and are</w:t>
      </w:r>
      <w:r w:rsidR="001317EE" w:rsidRPr="003A4985">
        <w:rPr>
          <w:sz w:val="24"/>
          <w:szCs w:val="24"/>
        </w:rPr>
        <w:t xml:space="preserve"> reviewable under the principle of legality.</w:t>
      </w:r>
      <w:r w:rsidR="001317EE" w:rsidRPr="003A4985">
        <w:rPr>
          <w:rStyle w:val="FootnoteReference"/>
          <w:sz w:val="24"/>
          <w:szCs w:val="24"/>
        </w:rPr>
        <w:footnoteReference w:id="27"/>
      </w:r>
    </w:p>
    <w:p w:rsidR="0015050D" w:rsidRPr="003A4985" w:rsidRDefault="0015050D" w:rsidP="003E2F5C">
      <w:pPr>
        <w:tabs>
          <w:tab w:val="left" w:pos="2723"/>
          <w:tab w:val="left" w:pos="7938"/>
        </w:tabs>
        <w:spacing w:before="206" w:line="360" w:lineRule="auto"/>
        <w:jc w:val="both"/>
        <w:rPr>
          <w:sz w:val="24"/>
          <w:szCs w:val="24"/>
        </w:rPr>
      </w:pPr>
    </w:p>
    <w:p w:rsidR="00195FEB" w:rsidRPr="00195FEB" w:rsidRDefault="00725F55" w:rsidP="00195FEB">
      <w:pPr>
        <w:tabs>
          <w:tab w:val="left" w:pos="709"/>
        </w:tabs>
        <w:spacing w:before="206" w:line="360" w:lineRule="auto"/>
        <w:jc w:val="both"/>
        <w:rPr>
          <w:sz w:val="24"/>
          <w:szCs w:val="24"/>
        </w:rPr>
      </w:pPr>
      <w:r>
        <w:rPr>
          <w:sz w:val="24"/>
          <w:szCs w:val="24"/>
        </w:rPr>
        <w:t>[2</w:t>
      </w:r>
      <w:r w:rsidR="005F64C6">
        <w:rPr>
          <w:sz w:val="24"/>
          <w:szCs w:val="24"/>
        </w:rPr>
        <w:t>3</w:t>
      </w:r>
      <w:r w:rsidR="007A39FA">
        <w:rPr>
          <w:sz w:val="24"/>
          <w:szCs w:val="24"/>
        </w:rPr>
        <w:t>]</w:t>
      </w:r>
      <w:r w:rsidR="007A39FA">
        <w:rPr>
          <w:sz w:val="24"/>
          <w:szCs w:val="24"/>
        </w:rPr>
        <w:tab/>
      </w:r>
      <w:r w:rsidR="001317EE" w:rsidRPr="003A4985">
        <w:rPr>
          <w:sz w:val="24"/>
          <w:szCs w:val="24"/>
        </w:rPr>
        <w:t>I</w:t>
      </w:r>
      <w:r w:rsidR="006E2F1E">
        <w:rPr>
          <w:sz w:val="24"/>
          <w:szCs w:val="24"/>
        </w:rPr>
        <w:t>t follows that</w:t>
      </w:r>
      <w:r w:rsidR="001317EE" w:rsidRPr="003A4985">
        <w:rPr>
          <w:sz w:val="24"/>
          <w:szCs w:val="24"/>
        </w:rPr>
        <w:t xml:space="preserve"> SARS’ argument cannot be sustained. </w:t>
      </w:r>
      <w:r w:rsidR="00745BB2" w:rsidRPr="003A4985">
        <w:rPr>
          <w:sz w:val="24"/>
          <w:szCs w:val="24"/>
        </w:rPr>
        <w:t xml:space="preserve">The fundamental flaw in SARS’ argument is that it conflates the remedy to vindicate the constitutional right to just administrative action and the remedy to rectify a decision on its merits. </w:t>
      </w:r>
      <w:r w:rsidR="001317EE" w:rsidRPr="003A4985">
        <w:rPr>
          <w:sz w:val="24"/>
          <w:szCs w:val="24"/>
        </w:rPr>
        <w:t>The undeniable</w:t>
      </w:r>
      <w:r w:rsidR="00737DE2" w:rsidRPr="003A4985">
        <w:rPr>
          <w:sz w:val="24"/>
          <w:szCs w:val="24"/>
        </w:rPr>
        <w:t xml:space="preserve"> effect of SARS’ argument is that it would deprive affected persons of the right to just administrative action and render its decisions immune from judicial review in terms of s</w:t>
      </w:r>
      <w:r w:rsidR="00D90D13">
        <w:rPr>
          <w:sz w:val="24"/>
          <w:szCs w:val="24"/>
        </w:rPr>
        <w:t> </w:t>
      </w:r>
      <w:r w:rsidR="00737DE2" w:rsidRPr="003A4985">
        <w:rPr>
          <w:sz w:val="24"/>
          <w:szCs w:val="24"/>
        </w:rPr>
        <w:t>33 of the Constitution, PAJA and under the rule of law. Affording s</w:t>
      </w:r>
      <w:r w:rsidR="009A4F9D" w:rsidRPr="003A4985">
        <w:rPr>
          <w:sz w:val="24"/>
          <w:szCs w:val="24"/>
        </w:rPr>
        <w:t xml:space="preserve"> 47(9)</w:t>
      </w:r>
      <w:r w:rsidR="009A4F9D" w:rsidRPr="00D90D13">
        <w:rPr>
          <w:i/>
          <w:sz w:val="24"/>
          <w:szCs w:val="24"/>
        </w:rPr>
        <w:t>(e)</w:t>
      </w:r>
      <w:r w:rsidR="009A4F9D" w:rsidRPr="003A4985">
        <w:rPr>
          <w:sz w:val="24"/>
          <w:szCs w:val="24"/>
        </w:rPr>
        <w:t xml:space="preserve"> of the CEA </w:t>
      </w:r>
      <w:r w:rsidR="006E2F1E">
        <w:rPr>
          <w:sz w:val="24"/>
          <w:szCs w:val="24"/>
        </w:rPr>
        <w:t>the construction advanced by SARS</w:t>
      </w:r>
      <w:r w:rsidR="009A4F9D" w:rsidRPr="003A4985">
        <w:rPr>
          <w:sz w:val="24"/>
          <w:szCs w:val="24"/>
        </w:rPr>
        <w:t>, would bring it into conflict with: (i) s 33 of the Constitution, which protects the right to just administrative action, and provides for a fundamental right to review administrative action by a court if it is not lawful, reasona</w:t>
      </w:r>
      <w:r w:rsidR="0067050A">
        <w:rPr>
          <w:sz w:val="24"/>
          <w:szCs w:val="24"/>
        </w:rPr>
        <w:t xml:space="preserve">ble and procedurally fair; </w:t>
      </w:r>
      <w:r w:rsidR="009A4F9D" w:rsidRPr="003A4985">
        <w:rPr>
          <w:sz w:val="24"/>
          <w:szCs w:val="24"/>
        </w:rPr>
        <w:t>(ii) the rule of law and s 169 of the Constitution, which gives the high court the power to decide any violation of the principle of legality (sa</w:t>
      </w:r>
      <w:r w:rsidR="006E2F1E">
        <w:rPr>
          <w:sz w:val="24"/>
          <w:szCs w:val="24"/>
        </w:rPr>
        <w:t>ve</w:t>
      </w:r>
      <w:r w:rsidR="009A4F9D" w:rsidRPr="003A4985">
        <w:rPr>
          <w:sz w:val="24"/>
          <w:szCs w:val="24"/>
        </w:rPr>
        <w:t xml:space="preserve"> for certain specific exclusions that do not apply here)</w:t>
      </w:r>
      <w:r w:rsidR="0067050A">
        <w:rPr>
          <w:sz w:val="24"/>
          <w:szCs w:val="24"/>
        </w:rPr>
        <w:t>;</w:t>
      </w:r>
      <w:r w:rsidR="009A4F9D" w:rsidRPr="003A4985">
        <w:rPr>
          <w:sz w:val="24"/>
          <w:szCs w:val="24"/>
        </w:rPr>
        <w:t xml:space="preserve"> and</w:t>
      </w:r>
      <w:r w:rsidR="0067050A">
        <w:rPr>
          <w:sz w:val="24"/>
          <w:szCs w:val="24"/>
        </w:rPr>
        <w:t>, (iii)</w:t>
      </w:r>
      <w:r w:rsidR="009A4F9D" w:rsidRPr="003A4985">
        <w:rPr>
          <w:sz w:val="24"/>
          <w:szCs w:val="24"/>
        </w:rPr>
        <w:t xml:space="preserve"> s 172</w:t>
      </w:r>
      <w:r w:rsidR="00737DE2" w:rsidRPr="003A4985">
        <w:rPr>
          <w:sz w:val="24"/>
          <w:szCs w:val="24"/>
        </w:rPr>
        <w:t xml:space="preserve"> </w:t>
      </w:r>
      <w:r w:rsidR="009A4F9D" w:rsidRPr="003A4985">
        <w:rPr>
          <w:sz w:val="24"/>
          <w:szCs w:val="24"/>
        </w:rPr>
        <w:t xml:space="preserve">of the Constitution, </w:t>
      </w:r>
      <w:r w:rsidR="00195FEB" w:rsidRPr="00195FEB">
        <w:rPr>
          <w:sz w:val="24"/>
          <w:szCs w:val="24"/>
        </w:rPr>
        <w:t>which affords courts the power to make a declaratory order that the conduct complained of is inconsistent with the Constitution and invalid to the extent of such inconsistency and to make such an order that, in the circumstances, is just and equitable.</w:t>
      </w:r>
    </w:p>
    <w:p w:rsidR="00310B15" w:rsidRPr="003A4985" w:rsidRDefault="00310B15" w:rsidP="00745BB2">
      <w:pPr>
        <w:tabs>
          <w:tab w:val="left" w:pos="709"/>
        </w:tabs>
        <w:spacing w:before="206" w:line="360" w:lineRule="auto"/>
        <w:jc w:val="both"/>
        <w:rPr>
          <w:sz w:val="24"/>
          <w:szCs w:val="24"/>
        </w:rPr>
      </w:pPr>
    </w:p>
    <w:p w:rsidR="00110810" w:rsidRDefault="00725F55" w:rsidP="00612B78">
      <w:pPr>
        <w:spacing w:before="215" w:line="360" w:lineRule="auto"/>
        <w:jc w:val="both"/>
        <w:rPr>
          <w:rFonts w:eastAsia="Times New Roman"/>
          <w:sz w:val="24"/>
          <w:szCs w:val="24"/>
          <w:lang w:eastAsia="en-ZA"/>
        </w:rPr>
      </w:pPr>
      <w:r>
        <w:rPr>
          <w:sz w:val="24"/>
          <w:szCs w:val="24"/>
        </w:rPr>
        <w:t>[2</w:t>
      </w:r>
      <w:r w:rsidR="005F64C6">
        <w:rPr>
          <w:sz w:val="24"/>
          <w:szCs w:val="24"/>
        </w:rPr>
        <w:t>4</w:t>
      </w:r>
      <w:r w:rsidR="007A39FA">
        <w:rPr>
          <w:sz w:val="24"/>
          <w:szCs w:val="24"/>
        </w:rPr>
        <w:t>]</w:t>
      </w:r>
      <w:r w:rsidR="007A39FA">
        <w:rPr>
          <w:sz w:val="24"/>
          <w:szCs w:val="24"/>
        </w:rPr>
        <w:tab/>
      </w:r>
      <w:r w:rsidR="00841857" w:rsidRPr="003A4985">
        <w:rPr>
          <w:sz w:val="24"/>
          <w:szCs w:val="24"/>
        </w:rPr>
        <w:t>Even in our pre-constitutional era, there was a strong presu</w:t>
      </w:r>
      <w:r w:rsidR="003E1450">
        <w:rPr>
          <w:sz w:val="24"/>
          <w:szCs w:val="24"/>
        </w:rPr>
        <w:t>mption</w:t>
      </w:r>
      <w:r w:rsidR="00725937">
        <w:rPr>
          <w:sz w:val="24"/>
          <w:szCs w:val="24"/>
        </w:rPr>
        <w:t xml:space="preserve"> against </w:t>
      </w:r>
      <w:r w:rsidR="00745BB2">
        <w:rPr>
          <w:sz w:val="24"/>
          <w:szCs w:val="24"/>
        </w:rPr>
        <w:t>the ouster or curtailment of a court</w:t>
      </w:r>
      <w:r w:rsidR="00725937">
        <w:rPr>
          <w:sz w:val="24"/>
          <w:szCs w:val="24"/>
        </w:rPr>
        <w:t>’s jurisdiction</w:t>
      </w:r>
      <w:r w:rsidR="00841857" w:rsidRPr="003A4985">
        <w:rPr>
          <w:sz w:val="24"/>
          <w:szCs w:val="24"/>
        </w:rPr>
        <w:t xml:space="preserve">. </w:t>
      </w:r>
      <w:r w:rsidR="005B1B6B">
        <w:rPr>
          <w:sz w:val="24"/>
          <w:szCs w:val="24"/>
        </w:rPr>
        <w:t xml:space="preserve">It has been stated that the curtailment of the </w:t>
      </w:r>
      <w:r w:rsidR="005B1B6B">
        <w:rPr>
          <w:sz w:val="24"/>
          <w:szCs w:val="24"/>
        </w:rPr>
        <w:lastRenderedPageBreak/>
        <w:t>powers of a court of law is, in the absence of an express or clear implication to the contrary, not to be presumed.</w:t>
      </w:r>
      <w:r w:rsidR="005B1B6B">
        <w:rPr>
          <w:rStyle w:val="FootnoteReference"/>
          <w:sz w:val="24"/>
          <w:szCs w:val="24"/>
        </w:rPr>
        <w:footnoteReference w:id="28"/>
      </w:r>
      <w:r w:rsidR="005B1B6B" w:rsidRPr="003A4985">
        <w:rPr>
          <w:sz w:val="24"/>
          <w:szCs w:val="24"/>
        </w:rPr>
        <w:t xml:space="preserve"> </w:t>
      </w:r>
      <w:r w:rsidR="00B752ED" w:rsidRPr="003A4985">
        <w:rPr>
          <w:sz w:val="24"/>
          <w:szCs w:val="24"/>
        </w:rPr>
        <w:t xml:space="preserve">These principles </w:t>
      </w:r>
      <w:r w:rsidR="005B1B6B">
        <w:rPr>
          <w:sz w:val="24"/>
          <w:szCs w:val="24"/>
        </w:rPr>
        <w:t xml:space="preserve">continue to </w:t>
      </w:r>
      <w:r w:rsidR="005B1B6B" w:rsidRPr="00F558EB">
        <w:rPr>
          <w:sz w:val="24"/>
          <w:szCs w:val="24"/>
        </w:rPr>
        <w:t>apply</w:t>
      </w:r>
      <w:r w:rsidR="0032096F" w:rsidRPr="00F558EB">
        <w:rPr>
          <w:sz w:val="24"/>
          <w:szCs w:val="24"/>
        </w:rPr>
        <w:t>,</w:t>
      </w:r>
      <w:r w:rsidR="00C40342" w:rsidRPr="00F558EB">
        <w:rPr>
          <w:sz w:val="24"/>
          <w:szCs w:val="24"/>
        </w:rPr>
        <w:t xml:space="preserve"> now</w:t>
      </w:r>
      <w:r w:rsidR="0032096F" w:rsidRPr="00F558EB">
        <w:rPr>
          <w:sz w:val="24"/>
          <w:szCs w:val="24"/>
        </w:rPr>
        <w:t xml:space="preserve"> </w:t>
      </w:r>
      <w:r w:rsidR="00E06016" w:rsidRPr="00F558EB">
        <w:rPr>
          <w:sz w:val="24"/>
          <w:szCs w:val="24"/>
        </w:rPr>
        <w:t>buttressed by</w:t>
      </w:r>
      <w:r w:rsidR="00745BB2" w:rsidRPr="00F558EB">
        <w:rPr>
          <w:sz w:val="24"/>
          <w:szCs w:val="24"/>
        </w:rPr>
        <w:t xml:space="preserve"> the</w:t>
      </w:r>
      <w:r w:rsidR="00745BB2">
        <w:rPr>
          <w:sz w:val="24"/>
          <w:szCs w:val="24"/>
        </w:rPr>
        <w:t xml:space="preserve"> Constitution.</w:t>
      </w:r>
      <w:r w:rsidR="00B752ED" w:rsidRPr="003A4985">
        <w:rPr>
          <w:rStyle w:val="FootnoteReference"/>
          <w:sz w:val="24"/>
          <w:szCs w:val="24"/>
        </w:rPr>
        <w:footnoteReference w:id="29"/>
      </w:r>
      <w:r w:rsidR="00612B78">
        <w:rPr>
          <w:sz w:val="24"/>
          <w:szCs w:val="24"/>
        </w:rPr>
        <w:t xml:space="preserve"> </w:t>
      </w:r>
      <w:r w:rsidR="00612B78">
        <w:rPr>
          <w:rFonts w:eastAsia="Times New Roman"/>
          <w:sz w:val="24"/>
          <w:szCs w:val="24"/>
          <w:lang w:eastAsia="en-ZA"/>
        </w:rPr>
        <w:t>Nothing in the CEA ex</w:t>
      </w:r>
      <w:r w:rsidR="00556DC9" w:rsidRPr="003A4985">
        <w:rPr>
          <w:rFonts w:eastAsia="Times New Roman"/>
          <w:sz w:val="24"/>
          <w:szCs w:val="24"/>
          <w:lang w:eastAsia="en-ZA"/>
        </w:rPr>
        <w:t>p</w:t>
      </w:r>
      <w:r w:rsidR="00612B78">
        <w:rPr>
          <w:rFonts w:eastAsia="Times New Roman"/>
          <w:sz w:val="24"/>
          <w:szCs w:val="24"/>
          <w:lang w:eastAsia="en-ZA"/>
        </w:rPr>
        <w:t>ressly ousts</w:t>
      </w:r>
      <w:r w:rsidR="00556DC9" w:rsidRPr="003A4985">
        <w:rPr>
          <w:rFonts w:eastAsia="Times New Roman"/>
          <w:sz w:val="24"/>
          <w:szCs w:val="24"/>
          <w:lang w:eastAsia="en-ZA"/>
        </w:rPr>
        <w:t xml:space="preserve"> the jurisdiction of the high court to review a tariff determination decisio</w:t>
      </w:r>
      <w:r w:rsidR="00612B78">
        <w:rPr>
          <w:rFonts w:eastAsia="Times New Roman"/>
          <w:sz w:val="24"/>
          <w:szCs w:val="24"/>
          <w:lang w:eastAsia="en-ZA"/>
        </w:rPr>
        <w:t>n. SARS does not suggest that it does. In fact, there may well be certain</w:t>
      </w:r>
      <w:r w:rsidR="00556DC9" w:rsidRPr="003A4985">
        <w:rPr>
          <w:rFonts w:eastAsia="Times New Roman"/>
          <w:sz w:val="24"/>
          <w:szCs w:val="24"/>
          <w:lang w:eastAsia="en-ZA"/>
        </w:rPr>
        <w:t xml:space="preserve"> indicators in the </w:t>
      </w:r>
      <w:r w:rsidR="00612B78">
        <w:rPr>
          <w:rFonts w:eastAsia="Times New Roman"/>
          <w:sz w:val="24"/>
          <w:szCs w:val="24"/>
          <w:lang w:eastAsia="en-ZA"/>
        </w:rPr>
        <w:t>language of the CEA that point</w:t>
      </w:r>
      <w:r w:rsidR="00556DC9" w:rsidRPr="003A4985">
        <w:rPr>
          <w:rFonts w:eastAsia="Times New Roman"/>
          <w:sz w:val="24"/>
          <w:szCs w:val="24"/>
          <w:lang w:eastAsia="en-ZA"/>
        </w:rPr>
        <w:t xml:space="preserve"> in the</w:t>
      </w:r>
      <w:r w:rsidR="00612B78">
        <w:rPr>
          <w:rFonts w:eastAsia="Times New Roman"/>
          <w:sz w:val="24"/>
          <w:szCs w:val="24"/>
          <w:lang w:eastAsia="en-ZA"/>
        </w:rPr>
        <w:t xml:space="preserve"> opposite direction. </w:t>
      </w:r>
      <w:r w:rsidR="0067050A">
        <w:rPr>
          <w:rFonts w:eastAsia="Times New Roman"/>
          <w:sz w:val="24"/>
          <w:szCs w:val="24"/>
          <w:lang w:eastAsia="en-ZA"/>
        </w:rPr>
        <w:t>First, s</w:t>
      </w:r>
      <w:r w:rsidR="00612B78">
        <w:rPr>
          <w:rFonts w:eastAsia="Times New Roman"/>
          <w:sz w:val="24"/>
          <w:szCs w:val="24"/>
          <w:lang w:eastAsia="en-ZA"/>
        </w:rPr>
        <w:t xml:space="preserve"> 77B</w:t>
      </w:r>
      <w:r w:rsidR="00556DC9" w:rsidRPr="003A4985">
        <w:rPr>
          <w:rFonts w:eastAsia="Times New Roman"/>
          <w:sz w:val="24"/>
          <w:szCs w:val="24"/>
          <w:lang w:eastAsia="en-ZA"/>
        </w:rPr>
        <w:t xml:space="preserve"> of the CEA </w:t>
      </w:r>
      <w:r w:rsidR="00171096">
        <w:rPr>
          <w:rFonts w:eastAsia="Times New Roman"/>
          <w:sz w:val="24"/>
          <w:szCs w:val="24"/>
          <w:lang w:eastAsia="en-ZA"/>
        </w:rPr>
        <w:t xml:space="preserve">headed ‘Persons who may appeal’ provides in subsection 1 </w:t>
      </w:r>
      <w:r w:rsidR="00556DC9" w:rsidRPr="003A4985">
        <w:rPr>
          <w:rFonts w:eastAsia="Times New Roman"/>
          <w:sz w:val="24"/>
          <w:szCs w:val="24"/>
          <w:lang w:eastAsia="en-ZA"/>
        </w:rPr>
        <w:t xml:space="preserve">that </w:t>
      </w:r>
      <w:r w:rsidR="00195FEB">
        <w:rPr>
          <w:rFonts w:eastAsia="Times New Roman"/>
          <w:sz w:val="24"/>
          <w:szCs w:val="24"/>
          <w:lang w:eastAsia="en-ZA"/>
        </w:rPr>
        <w:t xml:space="preserve">‘[a]ny </w:t>
      </w:r>
      <w:r w:rsidR="00171096">
        <w:rPr>
          <w:rFonts w:eastAsia="Times New Roman"/>
          <w:sz w:val="24"/>
          <w:szCs w:val="24"/>
          <w:lang w:eastAsia="en-ZA"/>
        </w:rPr>
        <w:t>person</w:t>
      </w:r>
      <w:r w:rsidR="00556DC9" w:rsidRPr="003A4985">
        <w:rPr>
          <w:rFonts w:eastAsia="Times New Roman"/>
          <w:sz w:val="24"/>
          <w:szCs w:val="24"/>
          <w:lang w:eastAsia="en-ZA"/>
        </w:rPr>
        <w:t xml:space="preserve"> who may </w:t>
      </w:r>
      <w:r w:rsidR="00171096">
        <w:rPr>
          <w:rFonts w:eastAsia="Times New Roman"/>
          <w:sz w:val="24"/>
          <w:szCs w:val="24"/>
          <w:lang w:eastAsia="en-ZA"/>
        </w:rPr>
        <w:t xml:space="preserve">institute judicial proceedings in respect of any decision . . . </w:t>
      </w:r>
      <w:r w:rsidR="00556DC9" w:rsidRPr="003A4985">
        <w:rPr>
          <w:rFonts w:eastAsia="Times New Roman"/>
          <w:sz w:val="24"/>
          <w:szCs w:val="24"/>
          <w:lang w:eastAsia="en-ZA"/>
        </w:rPr>
        <w:t>may</w:t>
      </w:r>
      <w:r w:rsidR="00171096">
        <w:rPr>
          <w:rFonts w:eastAsia="Times New Roman"/>
          <w:sz w:val="24"/>
          <w:szCs w:val="24"/>
          <w:lang w:eastAsia="en-ZA"/>
        </w:rPr>
        <w:t>, before or as an alternative to instituting such proceedings,</w:t>
      </w:r>
      <w:r w:rsidR="0067050A">
        <w:rPr>
          <w:rFonts w:eastAsia="Times New Roman"/>
          <w:sz w:val="24"/>
          <w:szCs w:val="24"/>
          <w:lang w:eastAsia="en-ZA"/>
        </w:rPr>
        <w:t xml:space="preserve"> lodge an appeal’. Thus recognis</w:t>
      </w:r>
      <w:r w:rsidR="00171096">
        <w:rPr>
          <w:rFonts w:eastAsia="Times New Roman"/>
          <w:sz w:val="24"/>
          <w:szCs w:val="24"/>
          <w:lang w:eastAsia="en-ZA"/>
        </w:rPr>
        <w:t>ing, so it seems,</w:t>
      </w:r>
      <w:r w:rsidR="00556DC9" w:rsidRPr="003A4985">
        <w:rPr>
          <w:rFonts w:eastAsia="Times New Roman"/>
          <w:sz w:val="24"/>
          <w:szCs w:val="24"/>
          <w:lang w:eastAsia="en-ZA"/>
        </w:rPr>
        <w:t xml:space="preserve"> that affected taxpayers </w:t>
      </w:r>
      <w:r w:rsidR="00E06016">
        <w:rPr>
          <w:rFonts w:eastAsia="Times New Roman"/>
          <w:sz w:val="24"/>
          <w:szCs w:val="24"/>
          <w:lang w:eastAsia="en-ZA"/>
        </w:rPr>
        <w:t xml:space="preserve">also </w:t>
      </w:r>
      <w:r w:rsidR="00556DC9" w:rsidRPr="003A4985">
        <w:rPr>
          <w:rFonts w:eastAsia="Times New Roman"/>
          <w:sz w:val="24"/>
          <w:szCs w:val="24"/>
          <w:lang w:eastAsia="en-ZA"/>
        </w:rPr>
        <w:t xml:space="preserve">have other remedies </w:t>
      </w:r>
      <w:r w:rsidR="00E96653" w:rsidRPr="00F558EB">
        <w:rPr>
          <w:rFonts w:eastAsia="Times New Roman"/>
          <w:sz w:val="24"/>
          <w:szCs w:val="24"/>
          <w:lang w:eastAsia="en-ZA"/>
        </w:rPr>
        <w:t xml:space="preserve">in addition </w:t>
      </w:r>
      <w:r w:rsidR="00556DC9" w:rsidRPr="00F558EB">
        <w:rPr>
          <w:rFonts w:eastAsia="Times New Roman"/>
          <w:sz w:val="24"/>
          <w:szCs w:val="24"/>
          <w:lang w:eastAsia="en-ZA"/>
        </w:rPr>
        <w:t>to an</w:t>
      </w:r>
      <w:r w:rsidR="00556DC9" w:rsidRPr="003A4985">
        <w:rPr>
          <w:rFonts w:eastAsia="Times New Roman"/>
          <w:sz w:val="24"/>
          <w:szCs w:val="24"/>
          <w:lang w:eastAsia="en-ZA"/>
        </w:rPr>
        <w:t xml:space="preserve"> appeal under s 47(9)</w:t>
      </w:r>
      <w:r w:rsidR="00556DC9" w:rsidRPr="0015050D">
        <w:rPr>
          <w:rFonts w:eastAsia="Times New Roman"/>
          <w:i/>
          <w:sz w:val="24"/>
          <w:szCs w:val="24"/>
          <w:lang w:eastAsia="en-ZA"/>
        </w:rPr>
        <w:t>(e).</w:t>
      </w:r>
      <w:r w:rsidR="0067050A">
        <w:rPr>
          <w:rFonts w:eastAsia="Times New Roman"/>
          <w:sz w:val="24"/>
          <w:szCs w:val="24"/>
          <w:lang w:eastAsia="en-ZA"/>
        </w:rPr>
        <w:t xml:space="preserve"> Second, s</w:t>
      </w:r>
      <w:r w:rsidR="00556DC9" w:rsidRPr="003A4985">
        <w:rPr>
          <w:rFonts w:eastAsia="Times New Roman"/>
          <w:sz w:val="24"/>
          <w:szCs w:val="24"/>
          <w:lang w:eastAsia="en-ZA"/>
        </w:rPr>
        <w:t xml:space="preserve"> 47(9)</w:t>
      </w:r>
      <w:r w:rsidR="00556DC9" w:rsidRPr="0015050D">
        <w:rPr>
          <w:rFonts w:eastAsia="Times New Roman"/>
          <w:i/>
          <w:sz w:val="24"/>
          <w:szCs w:val="24"/>
          <w:lang w:eastAsia="en-ZA"/>
        </w:rPr>
        <w:t>(d)(i)(bb)</w:t>
      </w:r>
      <w:r w:rsidR="00556DC9" w:rsidRPr="003A4985">
        <w:rPr>
          <w:rFonts w:eastAsia="Times New Roman"/>
          <w:sz w:val="24"/>
          <w:szCs w:val="24"/>
          <w:lang w:eastAsia="en-ZA"/>
        </w:rPr>
        <w:t xml:space="preserve"> of the CEA </w:t>
      </w:r>
      <w:r w:rsidR="00171096">
        <w:rPr>
          <w:rFonts w:eastAsia="Times New Roman"/>
          <w:sz w:val="24"/>
          <w:szCs w:val="24"/>
          <w:lang w:eastAsia="en-ZA"/>
        </w:rPr>
        <w:t xml:space="preserve">affords to the Commissioner the power </w:t>
      </w:r>
      <w:r w:rsidR="00556DC9" w:rsidRPr="003A4985">
        <w:rPr>
          <w:rFonts w:eastAsia="Times New Roman"/>
          <w:sz w:val="24"/>
          <w:szCs w:val="24"/>
          <w:lang w:eastAsia="en-ZA"/>
        </w:rPr>
        <w:t xml:space="preserve">to </w:t>
      </w:r>
      <w:r w:rsidR="00171096">
        <w:rPr>
          <w:rFonts w:eastAsia="Times New Roman"/>
          <w:sz w:val="24"/>
          <w:szCs w:val="24"/>
          <w:lang w:eastAsia="en-ZA"/>
        </w:rPr>
        <w:t>‘</w:t>
      </w:r>
      <w:r w:rsidR="00556DC9" w:rsidRPr="003A4985">
        <w:rPr>
          <w:rFonts w:eastAsia="Times New Roman"/>
          <w:sz w:val="24"/>
          <w:szCs w:val="24"/>
          <w:lang w:eastAsia="en-ZA"/>
        </w:rPr>
        <w:t xml:space="preserve">amend </w:t>
      </w:r>
      <w:r w:rsidR="00195FEB" w:rsidRPr="003A4985">
        <w:rPr>
          <w:rFonts w:eastAsia="Times New Roman"/>
          <w:sz w:val="24"/>
          <w:szCs w:val="24"/>
          <w:lang w:eastAsia="en-ZA"/>
        </w:rPr>
        <w:t>a</w:t>
      </w:r>
      <w:r w:rsidR="00195FEB">
        <w:rPr>
          <w:rFonts w:eastAsia="Times New Roman"/>
          <w:sz w:val="24"/>
          <w:szCs w:val="24"/>
          <w:lang w:eastAsia="en-ZA"/>
        </w:rPr>
        <w:t>ny</w:t>
      </w:r>
      <w:r w:rsidR="00556DC9" w:rsidRPr="003A4985">
        <w:rPr>
          <w:rFonts w:eastAsia="Times New Roman"/>
          <w:sz w:val="24"/>
          <w:szCs w:val="24"/>
          <w:lang w:eastAsia="en-ZA"/>
        </w:rPr>
        <w:t xml:space="preserve"> det</w:t>
      </w:r>
      <w:r w:rsidR="00171096">
        <w:rPr>
          <w:rFonts w:eastAsia="Times New Roman"/>
          <w:sz w:val="24"/>
          <w:szCs w:val="24"/>
          <w:lang w:eastAsia="en-ZA"/>
        </w:rPr>
        <w:t xml:space="preserve">ermination or to withdraw it and </w:t>
      </w:r>
      <w:r w:rsidR="00556DC9" w:rsidRPr="003A4985">
        <w:rPr>
          <w:rFonts w:eastAsia="Times New Roman"/>
          <w:sz w:val="24"/>
          <w:szCs w:val="24"/>
          <w:lang w:eastAsia="en-ZA"/>
        </w:rPr>
        <w:t>make a new deter</w:t>
      </w:r>
      <w:r w:rsidR="00171096">
        <w:rPr>
          <w:rFonts w:eastAsia="Times New Roman"/>
          <w:sz w:val="24"/>
          <w:szCs w:val="24"/>
          <w:lang w:eastAsia="en-ZA"/>
        </w:rPr>
        <w:t>mination if it was made in error or any condition or obligation on which it was issued is no longer fulfilled or on any other good cause shown including any relevant ground for review</w:t>
      </w:r>
      <w:r w:rsidR="004C1FF2">
        <w:rPr>
          <w:rFonts w:eastAsia="Times New Roman"/>
          <w:sz w:val="24"/>
          <w:szCs w:val="24"/>
          <w:lang w:eastAsia="en-ZA"/>
        </w:rPr>
        <w:t xml:space="preserve"> contemplated in </w:t>
      </w:r>
      <w:r w:rsidR="00556DC9" w:rsidRPr="003A4985">
        <w:rPr>
          <w:rFonts w:eastAsia="Times New Roman"/>
          <w:sz w:val="24"/>
          <w:szCs w:val="24"/>
          <w:lang w:eastAsia="en-ZA"/>
        </w:rPr>
        <w:t>s</w:t>
      </w:r>
      <w:r w:rsidR="004C1FF2">
        <w:rPr>
          <w:rFonts w:eastAsia="Times New Roman"/>
          <w:sz w:val="24"/>
          <w:szCs w:val="24"/>
          <w:lang w:eastAsia="en-ZA"/>
        </w:rPr>
        <w:t>ection</w:t>
      </w:r>
      <w:r w:rsidR="00556DC9" w:rsidRPr="003A4985">
        <w:rPr>
          <w:rFonts w:eastAsia="Times New Roman"/>
          <w:sz w:val="24"/>
          <w:szCs w:val="24"/>
          <w:lang w:eastAsia="en-ZA"/>
        </w:rPr>
        <w:t xml:space="preserve"> 6 of </w:t>
      </w:r>
      <w:r w:rsidR="004C1FF2">
        <w:rPr>
          <w:rFonts w:eastAsia="Times New Roman"/>
          <w:sz w:val="24"/>
          <w:szCs w:val="24"/>
          <w:lang w:eastAsia="en-ZA"/>
        </w:rPr>
        <w:t>[</w:t>
      </w:r>
      <w:r w:rsidR="00556DC9" w:rsidRPr="003A4985">
        <w:rPr>
          <w:rFonts w:eastAsia="Times New Roman"/>
          <w:sz w:val="24"/>
          <w:szCs w:val="24"/>
          <w:lang w:eastAsia="en-ZA"/>
        </w:rPr>
        <w:t>PAJA</w:t>
      </w:r>
      <w:r w:rsidR="004C1FF2">
        <w:rPr>
          <w:rFonts w:eastAsia="Times New Roman"/>
          <w:sz w:val="24"/>
          <w:szCs w:val="24"/>
          <w:lang w:eastAsia="en-ZA"/>
        </w:rPr>
        <w:t>]’</w:t>
      </w:r>
      <w:r w:rsidR="00556DC9" w:rsidRPr="003A4985">
        <w:rPr>
          <w:rFonts w:eastAsia="Times New Roman"/>
          <w:sz w:val="24"/>
          <w:szCs w:val="24"/>
          <w:lang w:eastAsia="en-ZA"/>
        </w:rPr>
        <w:t xml:space="preserve">. It would </w:t>
      </w:r>
      <w:r w:rsidR="006E2F1E">
        <w:rPr>
          <w:rFonts w:eastAsia="Times New Roman"/>
          <w:sz w:val="24"/>
          <w:szCs w:val="24"/>
          <w:lang w:eastAsia="en-ZA"/>
        </w:rPr>
        <w:t xml:space="preserve">certainly </w:t>
      </w:r>
      <w:r w:rsidR="00556DC9" w:rsidRPr="003A4985">
        <w:rPr>
          <w:rFonts w:eastAsia="Times New Roman"/>
          <w:sz w:val="24"/>
          <w:szCs w:val="24"/>
          <w:lang w:eastAsia="en-ZA"/>
        </w:rPr>
        <w:t>be anomalous that the Commissioner can interfere with a decision on a PAJA ground, but a court cannot.</w:t>
      </w:r>
    </w:p>
    <w:p w:rsidR="00612B78" w:rsidRPr="00612B78" w:rsidRDefault="00612B78" w:rsidP="00612B78">
      <w:pPr>
        <w:spacing w:before="215" w:line="360" w:lineRule="auto"/>
        <w:jc w:val="both"/>
        <w:rPr>
          <w:sz w:val="24"/>
          <w:szCs w:val="24"/>
        </w:rPr>
      </w:pPr>
    </w:p>
    <w:p w:rsidR="003A4985" w:rsidRDefault="00725F55" w:rsidP="006A0ED9">
      <w:pPr>
        <w:pStyle w:val="Heading1"/>
        <w:spacing w:before="63" w:line="360" w:lineRule="auto"/>
        <w:ind w:left="0"/>
        <w:jc w:val="both"/>
        <w:rPr>
          <w:rFonts w:eastAsia="Times New Roman"/>
          <w:sz w:val="24"/>
          <w:szCs w:val="24"/>
          <w:lang w:eastAsia="en-ZA"/>
        </w:rPr>
      </w:pPr>
      <w:r>
        <w:rPr>
          <w:rFonts w:eastAsia="Times New Roman"/>
          <w:sz w:val="24"/>
          <w:szCs w:val="24"/>
          <w:lang w:eastAsia="en-ZA"/>
        </w:rPr>
        <w:t>[2</w:t>
      </w:r>
      <w:r w:rsidR="005F64C6">
        <w:rPr>
          <w:rFonts w:eastAsia="Times New Roman"/>
          <w:sz w:val="24"/>
          <w:szCs w:val="24"/>
          <w:lang w:eastAsia="en-ZA"/>
        </w:rPr>
        <w:t>5</w:t>
      </w:r>
      <w:r w:rsidR="007A39FA">
        <w:rPr>
          <w:rFonts w:eastAsia="Times New Roman"/>
          <w:sz w:val="24"/>
          <w:szCs w:val="24"/>
          <w:lang w:eastAsia="en-ZA"/>
        </w:rPr>
        <w:t>]</w:t>
      </w:r>
      <w:r w:rsidR="007A39FA">
        <w:rPr>
          <w:rFonts w:eastAsia="Times New Roman"/>
          <w:sz w:val="24"/>
          <w:szCs w:val="24"/>
          <w:lang w:eastAsia="en-ZA"/>
        </w:rPr>
        <w:tab/>
      </w:r>
      <w:r w:rsidR="00556DC9" w:rsidRPr="003A4985">
        <w:rPr>
          <w:rFonts w:eastAsia="Times New Roman"/>
          <w:sz w:val="24"/>
          <w:szCs w:val="24"/>
          <w:lang w:eastAsia="en-ZA"/>
        </w:rPr>
        <w:t xml:space="preserve">In </w:t>
      </w:r>
      <w:r w:rsidR="00556DC9" w:rsidRPr="003A4985">
        <w:rPr>
          <w:rFonts w:eastAsia="Times New Roman"/>
          <w:i/>
          <w:sz w:val="24"/>
          <w:szCs w:val="24"/>
          <w:lang w:eastAsia="en-ZA"/>
        </w:rPr>
        <w:t>Metcash</w:t>
      </w:r>
      <w:r w:rsidR="00556DC9" w:rsidRPr="003A4985">
        <w:rPr>
          <w:rFonts w:eastAsia="Times New Roman"/>
          <w:sz w:val="24"/>
          <w:szCs w:val="24"/>
          <w:lang w:eastAsia="en-ZA"/>
        </w:rPr>
        <w:t>, the Constitutional Court made clear that the mere fact that a party has a statutory appeal against a decision of SARS does not preclude such party from instituting</w:t>
      </w:r>
      <w:r w:rsidR="004C1FF2">
        <w:rPr>
          <w:rFonts w:eastAsia="Times New Roman"/>
          <w:sz w:val="24"/>
          <w:szCs w:val="24"/>
          <w:lang w:eastAsia="en-ZA"/>
        </w:rPr>
        <w:t xml:space="preserve"> a review against that decision</w:t>
      </w:r>
      <w:r w:rsidR="00643D88" w:rsidRPr="003A4985">
        <w:rPr>
          <w:rFonts w:eastAsia="Times New Roman"/>
          <w:sz w:val="24"/>
          <w:szCs w:val="24"/>
          <w:lang w:eastAsia="en-ZA"/>
        </w:rPr>
        <w:t>.</w:t>
      </w:r>
      <w:r w:rsidR="00556DC9" w:rsidRPr="003A4985">
        <w:rPr>
          <w:rFonts w:eastAsia="Times New Roman"/>
          <w:sz w:val="24"/>
          <w:szCs w:val="24"/>
          <w:lang w:eastAsia="en-ZA"/>
        </w:rPr>
        <w:t xml:space="preserve"> </w:t>
      </w:r>
      <w:r w:rsidR="00643D88" w:rsidRPr="003A4985">
        <w:rPr>
          <w:rFonts w:eastAsia="Times New Roman"/>
          <w:sz w:val="24"/>
          <w:szCs w:val="24"/>
          <w:lang w:eastAsia="en-ZA"/>
        </w:rPr>
        <w:t>There is nothing repugnant to our principles of justice in the notion that an affected person may enjoy both a right of appeal in the wide sense as well as a right of review. It is fallacious to treat the right of review as a hollow remedy, simply because a taxpayer is afforded a wide right of appeal. Had</w:t>
      </w:r>
      <w:r w:rsidR="00556DC9" w:rsidRPr="003A4985">
        <w:rPr>
          <w:rFonts w:eastAsia="Times New Roman"/>
          <w:sz w:val="24"/>
          <w:szCs w:val="24"/>
          <w:lang w:eastAsia="en-ZA"/>
        </w:rPr>
        <w:t xml:space="preserve"> the CEA intended to remove the court’s jurisdiction to review SARS’ determinations, it could and</w:t>
      </w:r>
      <w:r w:rsidR="004C1FF2">
        <w:rPr>
          <w:rFonts w:eastAsia="Times New Roman"/>
          <w:sz w:val="24"/>
          <w:szCs w:val="24"/>
          <w:lang w:eastAsia="en-ZA"/>
        </w:rPr>
        <w:t>, one suspects,</w:t>
      </w:r>
      <w:r w:rsidR="00556DC9" w:rsidRPr="003A4985">
        <w:rPr>
          <w:rFonts w:eastAsia="Times New Roman"/>
          <w:sz w:val="24"/>
          <w:szCs w:val="24"/>
          <w:lang w:eastAsia="en-ZA"/>
        </w:rPr>
        <w:t xml:space="preserve"> would have said so expressly</w:t>
      </w:r>
      <w:r w:rsidR="007A39FA">
        <w:rPr>
          <w:rFonts w:eastAsia="Times New Roman"/>
          <w:sz w:val="24"/>
          <w:szCs w:val="24"/>
          <w:lang w:eastAsia="en-ZA"/>
        </w:rPr>
        <w:t>.</w:t>
      </w:r>
      <w:r w:rsidR="004C1FF2">
        <w:rPr>
          <w:rFonts w:eastAsia="Times New Roman"/>
          <w:sz w:val="24"/>
          <w:szCs w:val="24"/>
          <w:lang w:eastAsia="en-ZA"/>
        </w:rPr>
        <w:t xml:space="preserve">  </w:t>
      </w:r>
      <w:r w:rsidR="006E2F1E">
        <w:rPr>
          <w:rFonts w:eastAsia="Times New Roman"/>
          <w:sz w:val="24"/>
          <w:szCs w:val="24"/>
          <w:lang w:eastAsia="en-ZA"/>
        </w:rPr>
        <w:t>Accordingly</w:t>
      </w:r>
      <w:r w:rsidR="004C1FF2">
        <w:rPr>
          <w:rFonts w:eastAsia="Times New Roman"/>
          <w:sz w:val="24"/>
          <w:szCs w:val="24"/>
          <w:lang w:eastAsia="en-ZA"/>
        </w:rPr>
        <w:t xml:space="preserve">, no warrant appears to exist for the conclusion that a taxpayer, who is dissatisfied with a determination by </w:t>
      </w:r>
      <w:r w:rsidR="004C1FF2" w:rsidRPr="00F558EB">
        <w:rPr>
          <w:rFonts w:eastAsia="Times New Roman"/>
          <w:sz w:val="24"/>
          <w:szCs w:val="24"/>
          <w:lang w:eastAsia="en-ZA"/>
        </w:rPr>
        <w:t>SARS</w:t>
      </w:r>
      <w:r w:rsidR="003069E6" w:rsidRPr="00F558EB">
        <w:rPr>
          <w:rFonts w:eastAsia="Times New Roman"/>
          <w:sz w:val="24"/>
          <w:szCs w:val="24"/>
          <w:lang w:eastAsia="en-ZA"/>
        </w:rPr>
        <w:t>,</w:t>
      </w:r>
      <w:r w:rsidR="004C1FF2" w:rsidRPr="00F558EB">
        <w:rPr>
          <w:rFonts w:eastAsia="Times New Roman"/>
          <w:sz w:val="24"/>
          <w:szCs w:val="24"/>
          <w:lang w:eastAsia="en-ZA"/>
        </w:rPr>
        <w:t xml:space="preserve"> does</w:t>
      </w:r>
      <w:r w:rsidR="004C1FF2">
        <w:rPr>
          <w:rFonts w:eastAsia="Times New Roman"/>
          <w:sz w:val="24"/>
          <w:szCs w:val="24"/>
          <w:lang w:eastAsia="en-ZA"/>
        </w:rPr>
        <w:t xml:space="preserve"> not enjoy the right to review the determination in terms of PAJA. </w:t>
      </w:r>
    </w:p>
    <w:p w:rsidR="006E2F1E" w:rsidRDefault="006E2F1E" w:rsidP="006A0ED9">
      <w:pPr>
        <w:pStyle w:val="Heading1"/>
        <w:spacing w:before="63" w:line="360" w:lineRule="auto"/>
        <w:ind w:left="0"/>
        <w:jc w:val="both"/>
        <w:rPr>
          <w:rFonts w:eastAsia="Times New Roman"/>
          <w:sz w:val="24"/>
          <w:szCs w:val="24"/>
          <w:lang w:eastAsia="en-ZA"/>
        </w:rPr>
      </w:pPr>
    </w:p>
    <w:p w:rsidR="00842ED1" w:rsidRDefault="006E2F1E" w:rsidP="006A0ED9">
      <w:pPr>
        <w:pStyle w:val="Heading1"/>
        <w:spacing w:before="63" w:line="360" w:lineRule="auto"/>
        <w:ind w:left="0"/>
        <w:jc w:val="both"/>
        <w:rPr>
          <w:rFonts w:eastAsia="Times New Roman"/>
          <w:sz w:val="24"/>
          <w:szCs w:val="24"/>
          <w:lang w:eastAsia="en-ZA"/>
        </w:rPr>
      </w:pPr>
      <w:r>
        <w:rPr>
          <w:rFonts w:eastAsia="Times New Roman"/>
          <w:sz w:val="24"/>
          <w:szCs w:val="24"/>
          <w:lang w:eastAsia="en-ZA"/>
        </w:rPr>
        <w:t>[2</w:t>
      </w:r>
      <w:r w:rsidR="005F64C6">
        <w:rPr>
          <w:rFonts w:eastAsia="Times New Roman"/>
          <w:sz w:val="24"/>
          <w:szCs w:val="24"/>
          <w:lang w:eastAsia="en-ZA"/>
        </w:rPr>
        <w:t>6</w:t>
      </w:r>
      <w:r>
        <w:rPr>
          <w:rFonts w:eastAsia="Times New Roman"/>
          <w:sz w:val="24"/>
          <w:szCs w:val="24"/>
          <w:lang w:eastAsia="en-ZA"/>
        </w:rPr>
        <w:t>]</w:t>
      </w:r>
      <w:r w:rsidR="009D7ACC" w:rsidRPr="006E2F1E">
        <w:rPr>
          <w:rFonts w:eastAsia="Times New Roman"/>
          <w:sz w:val="24"/>
          <w:szCs w:val="24"/>
          <w:lang w:eastAsia="en-ZA"/>
        </w:rPr>
        <w:tab/>
        <w:t xml:space="preserve">In the context of the duty to discover </w:t>
      </w:r>
      <w:r w:rsidR="0067050A">
        <w:rPr>
          <w:rFonts w:eastAsia="Times New Roman"/>
          <w:sz w:val="24"/>
          <w:szCs w:val="24"/>
          <w:lang w:eastAsia="en-ZA"/>
        </w:rPr>
        <w:t>documents, it is well to remember</w:t>
      </w:r>
      <w:r w:rsidR="009D7ACC" w:rsidRPr="006E2F1E">
        <w:rPr>
          <w:rFonts w:eastAsia="Times New Roman"/>
          <w:sz w:val="24"/>
          <w:szCs w:val="24"/>
          <w:lang w:eastAsia="en-ZA"/>
        </w:rPr>
        <w:t xml:space="preserve"> Lord Denning’s observation in </w:t>
      </w:r>
      <w:bookmarkStart w:id="3" w:name="_Hlk130644896"/>
      <w:r w:rsidR="009D7ACC" w:rsidRPr="006E2F1E">
        <w:rPr>
          <w:rFonts w:eastAsia="Times New Roman"/>
          <w:i/>
          <w:sz w:val="24"/>
          <w:szCs w:val="24"/>
          <w:lang w:eastAsia="en-ZA"/>
        </w:rPr>
        <w:t>Riddick v Thomas Board Mills Ltd</w:t>
      </w:r>
      <w:bookmarkEnd w:id="3"/>
      <w:r w:rsidR="00764106">
        <w:rPr>
          <w:rFonts w:eastAsia="Times New Roman"/>
          <w:sz w:val="24"/>
          <w:szCs w:val="24"/>
          <w:lang w:eastAsia="en-ZA"/>
        </w:rPr>
        <w:t xml:space="preserve"> </w:t>
      </w:r>
      <w:r w:rsidR="00511EDC">
        <w:rPr>
          <w:rFonts w:eastAsia="Times New Roman"/>
          <w:sz w:val="24"/>
          <w:szCs w:val="24"/>
          <w:lang w:eastAsia="en-ZA"/>
        </w:rPr>
        <w:t xml:space="preserve">that </w:t>
      </w:r>
      <w:r w:rsidR="009D7ACC" w:rsidRPr="006E2F1E">
        <w:rPr>
          <w:rFonts w:eastAsia="Times New Roman"/>
          <w:sz w:val="24"/>
          <w:szCs w:val="24"/>
          <w:lang w:eastAsia="en-ZA"/>
        </w:rPr>
        <w:t xml:space="preserve">it is a tool for the </w:t>
      </w:r>
      <w:r w:rsidR="009D7ACC" w:rsidRPr="006E2F1E">
        <w:rPr>
          <w:rFonts w:eastAsia="Times New Roman"/>
          <w:sz w:val="24"/>
          <w:szCs w:val="24"/>
          <w:lang w:eastAsia="en-ZA"/>
        </w:rPr>
        <w:lastRenderedPageBreak/>
        <w:t>discovery of the truth.</w:t>
      </w:r>
      <w:r w:rsidR="00511EDC">
        <w:rPr>
          <w:rStyle w:val="FootnoteReference"/>
          <w:rFonts w:eastAsia="Times New Roman"/>
          <w:sz w:val="24"/>
          <w:szCs w:val="24"/>
          <w:lang w:eastAsia="en-ZA"/>
        </w:rPr>
        <w:footnoteReference w:id="30"/>
      </w:r>
      <w:r w:rsidR="00511EDC">
        <w:rPr>
          <w:rFonts w:eastAsia="Times New Roman"/>
          <w:sz w:val="24"/>
          <w:szCs w:val="24"/>
          <w:lang w:eastAsia="en-ZA"/>
        </w:rPr>
        <w:t xml:space="preserve"> </w:t>
      </w:r>
      <w:r w:rsidR="00775E36" w:rsidRPr="006E2F1E">
        <w:rPr>
          <w:rFonts w:eastAsia="Times New Roman"/>
          <w:sz w:val="24"/>
          <w:szCs w:val="24"/>
          <w:lang w:eastAsia="en-ZA"/>
        </w:rPr>
        <w:t>In this matter, RBCT seeks disclosure of the record</w:t>
      </w:r>
      <w:r w:rsidR="00764106">
        <w:rPr>
          <w:rFonts w:eastAsia="Times New Roman"/>
          <w:sz w:val="24"/>
          <w:szCs w:val="24"/>
          <w:lang w:eastAsia="en-ZA"/>
        </w:rPr>
        <w:t xml:space="preserve"> to ensure that it can fully access justice in a manner that is real, meaningful and not illusory</w:t>
      </w:r>
      <w:r w:rsidR="00775E36" w:rsidRPr="006E2F1E">
        <w:rPr>
          <w:rFonts w:eastAsia="Times New Roman"/>
          <w:sz w:val="24"/>
          <w:szCs w:val="24"/>
          <w:lang w:eastAsia="en-ZA"/>
        </w:rPr>
        <w:t>. The reasoning and information on which the impugned decisions were made is a core issue in the case</w:t>
      </w:r>
      <w:r w:rsidR="00764106">
        <w:rPr>
          <w:rFonts w:eastAsia="Times New Roman"/>
          <w:sz w:val="24"/>
          <w:szCs w:val="24"/>
          <w:lang w:eastAsia="en-ZA"/>
        </w:rPr>
        <w:t>; of which, as things presently stand, o</w:t>
      </w:r>
      <w:r w:rsidR="00775E36" w:rsidRPr="006E2F1E">
        <w:rPr>
          <w:rFonts w:eastAsia="Times New Roman"/>
          <w:sz w:val="24"/>
          <w:szCs w:val="24"/>
          <w:lang w:eastAsia="en-ZA"/>
        </w:rPr>
        <w:t>nly SARS is aware. There is a heightened need for the record where SARS has refused to provide any reasons. SARS cannot shield its own conduct from scrutiny by refusing to make disclosure of the details relevant to its conduct.</w:t>
      </w:r>
      <w:r w:rsidR="00775E36" w:rsidRPr="006E2F1E">
        <w:rPr>
          <w:rStyle w:val="FootnoteReference"/>
          <w:rFonts w:eastAsia="Times New Roman"/>
          <w:sz w:val="24"/>
          <w:szCs w:val="24"/>
          <w:lang w:eastAsia="en-ZA"/>
        </w:rPr>
        <w:footnoteReference w:id="31"/>
      </w:r>
      <w:r w:rsidR="00764106">
        <w:rPr>
          <w:rFonts w:eastAsia="Times New Roman"/>
          <w:sz w:val="24"/>
          <w:szCs w:val="24"/>
          <w:lang w:eastAsia="en-ZA"/>
        </w:rPr>
        <w:t xml:space="preserve"> </w:t>
      </w:r>
      <w:r w:rsidR="00775E36" w:rsidRPr="006E2F1E">
        <w:rPr>
          <w:rFonts w:eastAsia="Times New Roman"/>
          <w:sz w:val="24"/>
          <w:szCs w:val="24"/>
          <w:lang w:eastAsia="en-ZA"/>
        </w:rPr>
        <w:t xml:space="preserve">There is </w:t>
      </w:r>
      <w:r w:rsidR="00764106">
        <w:rPr>
          <w:rFonts w:eastAsia="Times New Roman"/>
          <w:sz w:val="24"/>
          <w:szCs w:val="24"/>
          <w:lang w:eastAsia="en-ZA"/>
        </w:rPr>
        <w:t xml:space="preserve">moreover </w:t>
      </w:r>
      <w:r w:rsidR="00775E36" w:rsidRPr="006E2F1E">
        <w:rPr>
          <w:rFonts w:eastAsia="Times New Roman"/>
          <w:sz w:val="24"/>
          <w:szCs w:val="24"/>
          <w:lang w:eastAsia="en-ZA"/>
        </w:rPr>
        <w:t xml:space="preserve">a duty on public officials to take the </w:t>
      </w:r>
      <w:r w:rsidR="00764106">
        <w:rPr>
          <w:rFonts w:eastAsia="Times New Roman"/>
          <w:sz w:val="24"/>
          <w:szCs w:val="24"/>
          <w:lang w:eastAsia="en-ZA"/>
        </w:rPr>
        <w:t>c</w:t>
      </w:r>
      <w:r w:rsidR="00775E36" w:rsidRPr="006E2F1E">
        <w:rPr>
          <w:rFonts w:eastAsia="Times New Roman"/>
          <w:sz w:val="24"/>
          <w:szCs w:val="24"/>
          <w:lang w:eastAsia="en-ZA"/>
        </w:rPr>
        <w:t xml:space="preserve">ourt into </w:t>
      </w:r>
      <w:r w:rsidR="00E06016">
        <w:rPr>
          <w:rFonts w:eastAsia="Times New Roman"/>
          <w:sz w:val="24"/>
          <w:szCs w:val="24"/>
          <w:lang w:eastAsia="en-ZA"/>
        </w:rPr>
        <w:t>their</w:t>
      </w:r>
      <w:r w:rsidR="00775E36" w:rsidRPr="006E2F1E">
        <w:rPr>
          <w:rFonts w:eastAsia="Times New Roman"/>
          <w:sz w:val="24"/>
          <w:szCs w:val="24"/>
          <w:lang w:eastAsia="en-ZA"/>
        </w:rPr>
        <w:t xml:space="preserve"> confidence and disclose all relevant information so that </w:t>
      </w:r>
      <w:r w:rsidR="00842ED1">
        <w:rPr>
          <w:rFonts w:eastAsia="Times New Roman"/>
          <w:sz w:val="24"/>
          <w:szCs w:val="24"/>
          <w:lang w:eastAsia="en-ZA"/>
        </w:rPr>
        <w:t>it</w:t>
      </w:r>
      <w:r w:rsidR="00775E36" w:rsidRPr="006E2F1E">
        <w:rPr>
          <w:rFonts w:eastAsia="Times New Roman"/>
          <w:sz w:val="24"/>
          <w:szCs w:val="24"/>
          <w:lang w:eastAsia="en-ZA"/>
        </w:rPr>
        <w:t xml:space="preserve"> is </w:t>
      </w:r>
      <w:r w:rsidR="00842ED1">
        <w:rPr>
          <w:rFonts w:eastAsia="Times New Roman"/>
          <w:sz w:val="24"/>
          <w:szCs w:val="24"/>
          <w:lang w:eastAsia="en-ZA"/>
        </w:rPr>
        <w:t xml:space="preserve">properly </w:t>
      </w:r>
      <w:r w:rsidR="00775E36" w:rsidRPr="006E2F1E">
        <w:rPr>
          <w:rFonts w:eastAsia="Times New Roman"/>
          <w:sz w:val="24"/>
          <w:szCs w:val="24"/>
          <w:lang w:eastAsia="en-ZA"/>
        </w:rPr>
        <w:t xml:space="preserve">placed in an informed position to make a decision in the public interest to </w:t>
      </w:r>
      <w:r w:rsidR="00E06016">
        <w:rPr>
          <w:rFonts w:eastAsia="Times New Roman"/>
          <w:sz w:val="24"/>
          <w:szCs w:val="24"/>
          <w:lang w:eastAsia="en-ZA"/>
        </w:rPr>
        <w:t>ensure</w:t>
      </w:r>
      <w:r w:rsidR="00775E36" w:rsidRPr="006E2F1E">
        <w:rPr>
          <w:rFonts w:eastAsia="Times New Roman"/>
          <w:sz w:val="24"/>
          <w:szCs w:val="24"/>
          <w:lang w:eastAsia="en-ZA"/>
        </w:rPr>
        <w:t xml:space="preserve"> good governance.</w:t>
      </w:r>
    </w:p>
    <w:p w:rsidR="0067050A" w:rsidRDefault="0067050A" w:rsidP="006A0ED9">
      <w:pPr>
        <w:pStyle w:val="Heading1"/>
        <w:spacing w:before="63" w:line="360" w:lineRule="auto"/>
        <w:ind w:left="0"/>
        <w:jc w:val="both"/>
        <w:rPr>
          <w:rFonts w:eastAsia="Times New Roman"/>
          <w:sz w:val="24"/>
          <w:szCs w:val="24"/>
          <w:lang w:eastAsia="en-ZA"/>
        </w:rPr>
      </w:pPr>
    </w:p>
    <w:p w:rsidR="00842ED1" w:rsidRDefault="00842ED1" w:rsidP="006A0ED9">
      <w:pPr>
        <w:pStyle w:val="Heading1"/>
        <w:spacing w:before="63" w:line="360" w:lineRule="auto"/>
        <w:ind w:left="0"/>
        <w:jc w:val="both"/>
        <w:rPr>
          <w:rFonts w:eastAsia="Times New Roman"/>
          <w:sz w:val="24"/>
          <w:szCs w:val="24"/>
          <w:lang w:eastAsia="en-ZA"/>
        </w:rPr>
      </w:pPr>
      <w:r>
        <w:rPr>
          <w:rFonts w:eastAsia="Times New Roman"/>
          <w:sz w:val="24"/>
          <w:szCs w:val="24"/>
          <w:lang w:eastAsia="en-ZA"/>
        </w:rPr>
        <w:t>[2</w:t>
      </w:r>
      <w:r w:rsidR="005F64C6">
        <w:rPr>
          <w:rFonts w:eastAsia="Times New Roman"/>
          <w:sz w:val="24"/>
          <w:szCs w:val="24"/>
          <w:lang w:eastAsia="en-ZA"/>
        </w:rPr>
        <w:t>7</w:t>
      </w:r>
      <w:r>
        <w:rPr>
          <w:rFonts w:eastAsia="Times New Roman"/>
          <w:sz w:val="24"/>
          <w:szCs w:val="24"/>
          <w:lang w:eastAsia="en-ZA"/>
        </w:rPr>
        <w:t>]</w:t>
      </w:r>
      <w:r>
        <w:rPr>
          <w:rFonts w:eastAsia="Times New Roman"/>
          <w:sz w:val="24"/>
          <w:szCs w:val="24"/>
          <w:lang w:eastAsia="en-ZA"/>
        </w:rPr>
        <w:tab/>
      </w:r>
      <w:r w:rsidRPr="00E06016">
        <w:rPr>
          <w:rFonts w:eastAsia="Times New Roman"/>
          <w:sz w:val="24"/>
          <w:szCs w:val="24"/>
          <w:lang w:eastAsia="en-ZA"/>
        </w:rPr>
        <w:t xml:space="preserve">In the matter of </w:t>
      </w:r>
      <w:r w:rsidRPr="00E06016">
        <w:rPr>
          <w:i/>
          <w:sz w:val="24"/>
          <w:szCs w:val="24"/>
          <w:lang w:val="en-ZA"/>
        </w:rPr>
        <w:t>Helen Suzman Foundation v Judicial Service Commission,</w:t>
      </w:r>
      <w:r w:rsidRPr="00E06016">
        <w:rPr>
          <w:sz w:val="24"/>
          <w:szCs w:val="24"/>
          <w:lang w:val="en-ZA"/>
        </w:rPr>
        <w:t xml:space="preserve"> </w:t>
      </w:r>
      <w:r w:rsidRPr="00E06016">
        <w:rPr>
          <w:rFonts w:eastAsia="Times New Roman"/>
          <w:sz w:val="24"/>
          <w:szCs w:val="24"/>
          <w:lang w:eastAsia="en-ZA"/>
        </w:rPr>
        <w:t>the applicant had sought to review a decision of an organ of state, the Judicial Service Commission (the JSC) and had</w:t>
      </w:r>
      <w:r w:rsidRPr="006E2F1E">
        <w:rPr>
          <w:rFonts w:eastAsia="Times New Roman"/>
          <w:sz w:val="24"/>
          <w:szCs w:val="24"/>
          <w:lang w:eastAsia="en-ZA"/>
        </w:rPr>
        <w:t xml:space="preserve"> sought disclosure of the record of decision.</w:t>
      </w:r>
      <w:r w:rsidR="00775E36" w:rsidRPr="006E2F1E">
        <w:rPr>
          <w:rStyle w:val="FootnoteReference"/>
          <w:rFonts w:eastAsia="Times New Roman"/>
          <w:sz w:val="24"/>
          <w:szCs w:val="24"/>
          <w:lang w:eastAsia="en-ZA"/>
        </w:rPr>
        <w:footnoteReference w:id="32"/>
      </w:r>
      <w:r w:rsidR="00775E36" w:rsidRPr="006E2F1E">
        <w:rPr>
          <w:rFonts w:eastAsia="Times New Roman"/>
          <w:sz w:val="24"/>
          <w:szCs w:val="24"/>
          <w:lang w:eastAsia="en-ZA"/>
        </w:rPr>
        <w:t xml:space="preserve"> The JSC refused to provide the applicant </w:t>
      </w:r>
      <w:r w:rsidR="00B41CA0" w:rsidRPr="006E2F1E">
        <w:rPr>
          <w:rFonts w:eastAsia="Times New Roman"/>
          <w:sz w:val="24"/>
          <w:szCs w:val="24"/>
          <w:lang w:eastAsia="en-ZA"/>
        </w:rPr>
        <w:t xml:space="preserve">with the deliberations of the JSC </w:t>
      </w:r>
      <w:r>
        <w:rPr>
          <w:rFonts w:eastAsia="Times New Roman"/>
          <w:sz w:val="24"/>
          <w:szCs w:val="24"/>
          <w:lang w:eastAsia="en-ZA"/>
        </w:rPr>
        <w:t>that</w:t>
      </w:r>
      <w:r w:rsidR="00B41CA0" w:rsidRPr="006E2F1E">
        <w:rPr>
          <w:rFonts w:eastAsia="Times New Roman"/>
          <w:sz w:val="24"/>
          <w:szCs w:val="24"/>
          <w:lang w:eastAsia="en-ZA"/>
        </w:rPr>
        <w:t xml:space="preserve"> had preceded its decision. The Constitutional Court ordered the disclosure of those records.</w:t>
      </w:r>
      <w:r>
        <w:rPr>
          <w:rFonts w:eastAsia="Times New Roman"/>
          <w:sz w:val="24"/>
          <w:szCs w:val="24"/>
          <w:lang w:eastAsia="en-ZA"/>
        </w:rPr>
        <w:t xml:space="preserve"> </w:t>
      </w:r>
      <w:r w:rsidR="00B41CA0" w:rsidRPr="006E2F1E">
        <w:rPr>
          <w:rFonts w:eastAsia="Times New Roman"/>
          <w:sz w:val="24"/>
          <w:szCs w:val="24"/>
          <w:lang w:eastAsia="en-ZA"/>
        </w:rPr>
        <w:t>Madlanga J (for the majority) emphasised the importance of openness and accountability as well as the danger of illegalities being concealed from scrutiny</w:t>
      </w:r>
      <w:r w:rsidR="00E06016">
        <w:rPr>
          <w:rFonts w:eastAsia="Times New Roman"/>
          <w:sz w:val="24"/>
          <w:szCs w:val="24"/>
          <w:lang w:eastAsia="en-ZA"/>
        </w:rPr>
        <w:t>, as well as</w:t>
      </w:r>
      <w:r w:rsidR="00B41CA0" w:rsidRPr="006E2F1E">
        <w:rPr>
          <w:rFonts w:eastAsia="Times New Roman"/>
          <w:sz w:val="24"/>
          <w:szCs w:val="24"/>
          <w:lang w:eastAsia="en-ZA"/>
        </w:rPr>
        <w:t xml:space="preserve"> the impact of non-disclosure on the fairness of the trial.</w:t>
      </w:r>
      <w:r>
        <w:rPr>
          <w:rStyle w:val="FootnoteReference"/>
          <w:rFonts w:eastAsia="Times New Roman"/>
          <w:sz w:val="24"/>
          <w:szCs w:val="24"/>
          <w:lang w:eastAsia="en-ZA"/>
        </w:rPr>
        <w:footnoteReference w:id="33"/>
      </w:r>
    </w:p>
    <w:p w:rsidR="004C1FF2" w:rsidRPr="006E2F1E" w:rsidRDefault="00B41CA0" w:rsidP="006A0ED9">
      <w:pPr>
        <w:pStyle w:val="Heading1"/>
        <w:spacing w:before="63" w:line="360" w:lineRule="auto"/>
        <w:ind w:left="0"/>
        <w:jc w:val="both"/>
        <w:rPr>
          <w:rFonts w:eastAsia="Times New Roman"/>
          <w:sz w:val="24"/>
          <w:szCs w:val="24"/>
          <w:lang w:eastAsia="en-ZA"/>
        </w:rPr>
      </w:pPr>
      <w:r w:rsidRPr="006E2F1E">
        <w:rPr>
          <w:rFonts w:eastAsia="Times New Roman"/>
          <w:sz w:val="24"/>
          <w:szCs w:val="24"/>
          <w:lang w:eastAsia="en-ZA"/>
        </w:rPr>
        <w:t xml:space="preserve"> </w:t>
      </w:r>
    </w:p>
    <w:p w:rsidR="00311B61" w:rsidRPr="006E2F1E" w:rsidRDefault="00842ED1" w:rsidP="00A7173D">
      <w:pPr>
        <w:pStyle w:val="Heading1"/>
        <w:spacing w:before="63" w:line="360" w:lineRule="auto"/>
        <w:ind w:left="0"/>
        <w:jc w:val="both"/>
        <w:rPr>
          <w:sz w:val="24"/>
          <w:szCs w:val="24"/>
        </w:rPr>
      </w:pPr>
      <w:r>
        <w:rPr>
          <w:rFonts w:eastAsia="Times New Roman"/>
          <w:sz w:val="24"/>
          <w:szCs w:val="24"/>
          <w:lang w:eastAsia="en-ZA"/>
        </w:rPr>
        <w:t>[2</w:t>
      </w:r>
      <w:r w:rsidR="005F64C6">
        <w:rPr>
          <w:rFonts w:eastAsia="Times New Roman"/>
          <w:sz w:val="24"/>
          <w:szCs w:val="24"/>
          <w:lang w:eastAsia="en-ZA"/>
        </w:rPr>
        <w:t>8</w:t>
      </w:r>
      <w:r>
        <w:rPr>
          <w:rFonts w:eastAsia="Times New Roman"/>
          <w:sz w:val="24"/>
          <w:szCs w:val="24"/>
          <w:lang w:eastAsia="en-ZA"/>
        </w:rPr>
        <w:t>]</w:t>
      </w:r>
      <w:r>
        <w:rPr>
          <w:rFonts w:eastAsia="Times New Roman"/>
          <w:sz w:val="24"/>
          <w:szCs w:val="24"/>
          <w:lang w:eastAsia="en-ZA"/>
        </w:rPr>
        <w:tab/>
      </w:r>
      <w:r w:rsidR="004C1FF2" w:rsidRPr="006E2F1E">
        <w:rPr>
          <w:rFonts w:eastAsia="Times New Roman"/>
          <w:sz w:val="24"/>
          <w:szCs w:val="24"/>
          <w:lang w:eastAsia="en-ZA"/>
        </w:rPr>
        <w:t xml:space="preserve">It </w:t>
      </w:r>
      <w:r>
        <w:rPr>
          <w:rFonts w:eastAsia="Times New Roman"/>
          <w:sz w:val="24"/>
          <w:szCs w:val="24"/>
          <w:lang w:eastAsia="en-ZA"/>
        </w:rPr>
        <w:t>remains to</w:t>
      </w:r>
      <w:r w:rsidR="004C1FF2" w:rsidRPr="006E2F1E">
        <w:rPr>
          <w:rFonts w:eastAsia="Times New Roman"/>
          <w:sz w:val="24"/>
          <w:szCs w:val="24"/>
          <w:lang w:eastAsia="en-ZA"/>
        </w:rPr>
        <w:t xml:space="preserve"> add</w:t>
      </w:r>
      <w:r>
        <w:rPr>
          <w:rFonts w:eastAsia="Times New Roman"/>
          <w:sz w:val="24"/>
          <w:szCs w:val="24"/>
          <w:lang w:eastAsia="en-ZA"/>
        </w:rPr>
        <w:t xml:space="preserve"> that</w:t>
      </w:r>
      <w:r w:rsidR="00EE3964" w:rsidRPr="006E2F1E">
        <w:rPr>
          <w:rFonts w:eastAsia="Times New Roman"/>
          <w:sz w:val="24"/>
          <w:szCs w:val="24"/>
          <w:lang w:eastAsia="en-ZA"/>
        </w:rPr>
        <w:t xml:space="preserve"> </w:t>
      </w:r>
      <w:r w:rsidR="004C1FF2" w:rsidRPr="006E2F1E">
        <w:rPr>
          <w:rFonts w:eastAsia="Times New Roman"/>
          <w:sz w:val="24"/>
          <w:szCs w:val="24"/>
          <w:lang w:eastAsia="en-ZA"/>
        </w:rPr>
        <w:t xml:space="preserve">even on </w:t>
      </w:r>
      <w:r w:rsidR="00063E67">
        <w:rPr>
          <w:rFonts w:eastAsia="Times New Roman"/>
          <w:sz w:val="24"/>
          <w:szCs w:val="24"/>
          <w:lang w:eastAsia="en-ZA"/>
        </w:rPr>
        <w:t>its own</w:t>
      </w:r>
      <w:r w:rsidR="009D0DCE" w:rsidRPr="006E2F1E">
        <w:rPr>
          <w:rFonts w:eastAsia="Times New Roman"/>
          <w:sz w:val="24"/>
          <w:szCs w:val="24"/>
          <w:lang w:eastAsia="en-ZA"/>
        </w:rPr>
        <w:t xml:space="preserve"> approach</w:t>
      </w:r>
      <w:r w:rsidR="00EE3964" w:rsidRPr="006E2F1E">
        <w:rPr>
          <w:rFonts w:eastAsia="Times New Roman"/>
          <w:sz w:val="24"/>
          <w:szCs w:val="24"/>
          <w:lang w:eastAsia="en-ZA"/>
        </w:rPr>
        <w:t>,</w:t>
      </w:r>
      <w:r w:rsidR="004C1FF2" w:rsidRPr="006E2F1E">
        <w:rPr>
          <w:rFonts w:eastAsia="Times New Roman"/>
          <w:sz w:val="24"/>
          <w:szCs w:val="24"/>
          <w:lang w:eastAsia="en-ZA"/>
        </w:rPr>
        <w:t xml:space="preserve"> namely</w:t>
      </w:r>
      <w:r w:rsidR="00EE3964" w:rsidRPr="006E2F1E">
        <w:rPr>
          <w:rFonts w:eastAsia="Times New Roman"/>
          <w:sz w:val="24"/>
          <w:szCs w:val="24"/>
          <w:lang w:eastAsia="en-ZA"/>
        </w:rPr>
        <w:t xml:space="preserve"> that </w:t>
      </w:r>
      <w:r w:rsidR="009D0DCE" w:rsidRPr="006E2F1E">
        <w:rPr>
          <w:rFonts w:eastAsia="Times New Roman"/>
          <w:sz w:val="24"/>
          <w:szCs w:val="24"/>
          <w:lang w:eastAsia="en-ZA"/>
        </w:rPr>
        <w:t>because the appeal under s 47(9)</w:t>
      </w:r>
      <w:r w:rsidR="009D0DCE" w:rsidRPr="006E2F1E">
        <w:rPr>
          <w:rFonts w:eastAsia="Times New Roman"/>
          <w:i/>
          <w:sz w:val="24"/>
          <w:szCs w:val="24"/>
          <w:lang w:eastAsia="en-ZA"/>
        </w:rPr>
        <w:t>(e)</w:t>
      </w:r>
      <w:r w:rsidR="009D0DCE" w:rsidRPr="006E2F1E">
        <w:rPr>
          <w:rFonts w:eastAsia="Times New Roman"/>
          <w:sz w:val="24"/>
          <w:szCs w:val="24"/>
          <w:lang w:eastAsia="en-ZA"/>
        </w:rPr>
        <w:t xml:space="preserve"> </w:t>
      </w:r>
      <w:r w:rsidR="00EE3964" w:rsidRPr="006E2F1E">
        <w:rPr>
          <w:rFonts w:eastAsia="Times New Roman"/>
          <w:sz w:val="24"/>
          <w:szCs w:val="24"/>
          <w:lang w:eastAsia="en-ZA"/>
        </w:rPr>
        <w:t xml:space="preserve">is a </w:t>
      </w:r>
      <w:r w:rsidR="009D0DCE" w:rsidRPr="006E2F1E">
        <w:rPr>
          <w:rFonts w:eastAsia="Times New Roman"/>
          <w:sz w:val="24"/>
          <w:szCs w:val="24"/>
          <w:lang w:eastAsia="en-ZA"/>
        </w:rPr>
        <w:t xml:space="preserve">wide appeal, </w:t>
      </w:r>
      <w:r w:rsidR="00063E67">
        <w:rPr>
          <w:rFonts w:eastAsia="Times New Roman"/>
          <w:sz w:val="24"/>
          <w:szCs w:val="24"/>
          <w:lang w:eastAsia="en-ZA"/>
        </w:rPr>
        <w:t>RBCT can</w:t>
      </w:r>
      <w:r w:rsidR="00EE3964" w:rsidRPr="006E2F1E">
        <w:rPr>
          <w:rFonts w:eastAsia="Times New Roman"/>
          <w:sz w:val="24"/>
          <w:szCs w:val="24"/>
          <w:lang w:eastAsia="en-ZA"/>
        </w:rPr>
        <w:t xml:space="preserve"> </w:t>
      </w:r>
      <w:r w:rsidR="00063E67">
        <w:rPr>
          <w:rFonts w:eastAsia="Times New Roman"/>
          <w:sz w:val="24"/>
          <w:szCs w:val="24"/>
          <w:lang w:eastAsia="en-ZA"/>
        </w:rPr>
        <w:t>raise ‘</w:t>
      </w:r>
      <w:r w:rsidR="00EE3964" w:rsidRPr="006E2F1E">
        <w:rPr>
          <w:rFonts w:eastAsia="Times New Roman"/>
          <w:sz w:val="24"/>
          <w:szCs w:val="24"/>
          <w:lang w:eastAsia="en-ZA"/>
        </w:rPr>
        <w:t>any ground, including grounds that resemble grounds of review’</w:t>
      </w:r>
      <w:r w:rsidR="00DA26DF" w:rsidRPr="006E2F1E">
        <w:rPr>
          <w:rFonts w:eastAsia="Times New Roman"/>
          <w:sz w:val="24"/>
          <w:szCs w:val="24"/>
          <w:lang w:eastAsia="en-ZA"/>
        </w:rPr>
        <w:t xml:space="preserve">, </w:t>
      </w:r>
      <w:r w:rsidR="00063E67">
        <w:rPr>
          <w:rFonts w:eastAsia="Times New Roman"/>
          <w:sz w:val="24"/>
          <w:szCs w:val="24"/>
          <w:lang w:eastAsia="en-ZA"/>
        </w:rPr>
        <w:t>SARS</w:t>
      </w:r>
      <w:r w:rsidR="00DA26DF" w:rsidRPr="006E2F1E">
        <w:rPr>
          <w:rFonts w:eastAsia="Times New Roman"/>
          <w:sz w:val="24"/>
          <w:szCs w:val="24"/>
          <w:lang w:eastAsia="en-ZA"/>
        </w:rPr>
        <w:t xml:space="preserve"> can hardly resist production of the record. </w:t>
      </w:r>
      <w:r w:rsidR="004E4009">
        <w:rPr>
          <w:rFonts w:eastAsia="Times New Roman"/>
          <w:sz w:val="24"/>
          <w:szCs w:val="24"/>
          <w:lang w:eastAsia="en-ZA"/>
        </w:rPr>
        <w:t xml:space="preserve">How, it must be asked, can RBCT meaningfully raise ‘grounds that resemble grounds of review’, without the benefit of the record. </w:t>
      </w:r>
      <w:r w:rsidR="00DA26DF" w:rsidRPr="006E2F1E">
        <w:rPr>
          <w:rFonts w:eastAsia="Times New Roman"/>
          <w:sz w:val="24"/>
          <w:szCs w:val="24"/>
          <w:lang w:eastAsia="en-ZA"/>
        </w:rPr>
        <w:t xml:space="preserve">It is unclear why SARS refuses to disclose the documents. It could have </w:t>
      </w:r>
      <w:r w:rsidR="004E4009">
        <w:rPr>
          <w:rFonts w:eastAsia="Times New Roman"/>
          <w:sz w:val="24"/>
          <w:szCs w:val="24"/>
          <w:lang w:eastAsia="en-ZA"/>
        </w:rPr>
        <w:t>disclosed the record</w:t>
      </w:r>
      <w:r w:rsidR="00DA26DF" w:rsidRPr="006E2F1E">
        <w:rPr>
          <w:rFonts w:eastAsia="Times New Roman"/>
          <w:sz w:val="24"/>
          <w:szCs w:val="24"/>
          <w:lang w:eastAsia="en-ZA"/>
        </w:rPr>
        <w:t xml:space="preserve"> without prejudice to its rights to raise the jurisdiction point</w:t>
      </w:r>
      <w:r w:rsidR="00A7173D" w:rsidRPr="006E2F1E">
        <w:rPr>
          <w:rFonts w:eastAsia="Times New Roman"/>
          <w:sz w:val="24"/>
          <w:szCs w:val="24"/>
          <w:lang w:eastAsia="en-ZA"/>
        </w:rPr>
        <w:t>, but elected not to</w:t>
      </w:r>
      <w:r w:rsidR="00DA26DF" w:rsidRPr="006E2F1E">
        <w:rPr>
          <w:rFonts w:eastAsia="Times New Roman"/>
          <w:sz w:val="24"/>
          <w:szCs w:val="24"/>
          <w:lang w:eastAsia="en-ZA"/>
        </w:rPr>
        <w:t xml:space="preserve">.  </w:t>
      </w:r>
      <w:r w:rsidR="004E4009" w:rsidRPr="006E2F1E">
        <w:rPr>
          <w:sz w:val="24"/>
          <w:szCs w:val="24"/>
        </w:rPr>
        <w:t xml:space="preserve">What discernible benefit SARS hoped to derive by adopting this course, remains unexplained. On the other hand, the prejudice to RBCT is plainly self-evident. </w:t>
      </w:r>
      <w:r w:rsidR="00A7173D" w:rsidRPr="006E2F1E">
        <w:rPr>
          <w:rFonts w:eastAsia="Times New Roman"/>
          <w:sz w:val="24"/>
          <w:szCs w:val="24"/>
          <w:lang w:eastAsia="en-ZA"/>
        </w:rPr>
        <w:t xml:space="preserve">There is no gainsaying that </w:t>
      </w:r>
      <w:r w:rsidR="00A7173D" w:rsidRPr="006E2F1E">
        <w:rPr>
          <w:sz w:val="24"/>
          <w:szCs w:val="24"/>
        </w:rPr>
        <w:t>i</w:t>
      </w:r>
      <w:r w:rsidR="00B91069" w:rsidRPr="006E2F1E">
        <w:rPr>
          <w:sz w:val="24"/>
          <w:szCs w:val="24"/>
        </w:rPr>
        <w:t>f a</w:t>
      </w:r>
      <w:r w:rsidR="00B91069" w:rsidRPr="006E2F1E">
        <w:rPr>
          <w:spacing w:val="-8"/>
          <w:sz w:val="24"/>
          <w:szCs w:val="24"/>
        </w:rPr>
        <w:t xml:space="preserve"> </w:t>
      </w:r>
      <w:r w:rsidR="00B91069" w:rsidRPr="006E2F1E">
        <w:rPr>
          <w:sz w:val="24"/>
          <w:szCs w:val="24"/>
        </w:rPr>
        <w:t>review application is</w:t>
      </w:r>
      <w:r w:rsidR="00B91069" w:rsidRPr="006E2F1E">
        <w:rPr>
          <w:spacing w:val="-6"/>
          <w:sz w:val="24"/>
          <w:szCs w:val="24"/>
        </w:rPr>
        <w:t xml:space="preserve"> </w:t>
      </w:r>
      <w:r w:rsidR="00B91069" w:rsidRPr="006E2F1E">
        <w:rPr>
          <w:sz w:val="24"/>
          <w:szCs w:val="24"/>
        </w:rPr>
        <w:t>launched</w:t>
      </w:r>
      <w:r w:rsidR="00B91069" w:rsidRPr="006E2F1E">
        <w:rPr>
          <w:spacing w:val="-2"/>
          <w:sz w:val="24"/>
          <w:szCs w:val="24"/>
        </w:rPr>
        <w:t xml:space="preserve"> </w:t>
      </w:r>
      <w:r w:rsidR="00B91069" w:rsidRPr="006E2F1E">
        <w:rPr>
          <w:sz w:val="24"/>
          <w:szCs w:val="24"/>
        </w:rPr>
        <w:t>in</w:t>
      </w:r>
      <w:r w:rsidR="00B91069" w:rsidRPr="006E2F1E">
        <w:rPr>
          <w:spacing w:val="-8"/>
          <w:sz w:val="24"/>
          <w:szCs w:val="24"/>
        </w:rPr>
        <w:t xml:space="preserve"> </w:t>
      </w:r>
      <w:r w:rsidR="00B91069" w:rsidRPr="006E2F1E">
        <w:rPr>
          <w:sz w:val="24"/>
          <w:szCs w:val="24"/>
        </w:rPr>
        <w:t>a</w:t>
      </w:r>
      <w:r w:rsidR="00B91069" w:rsidRPr="006E2F1E">
        <w:rPr>
          <w:spacing w:val="-9"/>
          <w:sz w:val="24"/>
          <w:szCs w:val="24"/>
        </w:rPr>
        <w:t xml:space="preserve"> </w:t>
      </w:r>
      <w:r w:rsidR="00B91069" w:rsidRPr="006E2F1E">
        <w:rPr>
          <w:sz w:val="24"/>
          <w:szCs w:val="24"/>
        </w:rPr>
        <w:t>forum</w:t>
      </w:r>
      <w:r w:rsidR="00B91069" w:rsidRPr="006E2F1E">
        <w:rPr>
          <w:spacing w:val="-1"/>
          <w:sz w:val="24"/>
          <w:szCs w:val="24"/>
        </w:rPr>
        <w:t xml:space="preserve"> </w:t>
      </w:r>
      <w:r w:rsidR="00B91069" w:rsidRPr="006E2F1E">
        <w:rPr>
          <w:sz w:val="24"/>
          <w:szCs w:val="24"/>
        </w:rPr>
        <w:t>that enjoys</w:t>
      </w:r>
      <w:r w:rsidR="00B91069" w:rsidRPr="006E2F1E">
        <w:rPr>
          <w:spacing w:val="-4"/>
          <w:sz w:val="24"/>
          <w:szCs w:val="24"/>
        </w:rPr>
        <w:t xml:space="preserve"> </w:t>
      </w:r>
      <w:r w:rsidR="00B91069" w:rsidRPr="006E2F1E">
        <w:rPr>
          <w:sz w:val="24"/>
          <w:szCs w:val="24"/>
        </w:rPr>
        <w:t>jurisdiction, then</w:t>
      </w:r>
      <w:r w:rsidR="00B91069" w:rsidRPr="006E2F1E">
        <w:rPr>
          <w:spacing w:val="-8"/>
          <w:sz w:val="24"/>
          <w:szCs w:val="24"/>
        </w:rPr>
        <w:t xml:space="preserve"> </w:t>
      </w:r>
      <w:r w:rsidR="00B91069" w:rsidRPr="006E2F1E">
        <w:rPr>
          <w:sz w:val="24"/>
          <w:szCs w:val="24"/>
        </w:rPr>
        <w:t>a</w:t>
      </w:r>
      <w:r w:rsidR="00B91069" w:rsidRPr="006E2F1E">
        <w:rPr>
          <w:spacing w:val="-9"/>
          <w:sz w:val="24"/>
          <w:szCs w:val="24"/>
        </w:rPr>
        <w:t xml:space="preserve"> </w:t>
      </w:r>
      <w:r w:rsidR="00B91069" w:rsidRPr="006E2F1E">
        <w:rPr>
          <w:sz w:val="24"/>
          <w:szCs w:val="24"/>
        </w:rPr>
        <w:t>party</w:t>
      </w:r>
      <w:r w:rsidR="00B91069" w:rsidRPr="006E2F1E">
        <w:rPr>
          <w:spacing w:val="-2"/>
          <w:sz w:val="24"/>
          <w:szCs w:val="24"/>
        </w:rPr>
        <w:t xml:space="preserve"> </w:t>
      </w:r>
      <w:r w:rsidR="00B91069" w:rsidRPr="006E2F1E">
        <w:rPr>
          <w:sz w:val="24"/>
          <w:szCs w:val="24"/>
        </w:rPr>
        <w:t>is entitled</w:t>
      </w:r>
      <w:r w:rsidR="00B91069" w:rsidRPr="006E2F1E">
        <w:rPr>
          <w:spacing w:val="-9"/>
          <w:sz w:val="24"/>
          <w:szCs w:val="24"/>
        </w:rPr>
        <w:t xml:space="preserve"> </w:t>
      </w:r>
      <w:r w:rsidR="00B91069" w:rsidRPr="006E2F1E">
        <w:rPr>
          <w:sz w:val="24"/>
          <w:szCs w:val="24"/>
        </w:rPr>
        <w:t>to</w:t>
      </w:r>
      <w:r w:rsidR="00B91069" w:rsidRPr="006E2F1E">
        <w:rPr>
          <w:spacing w:val="-14"/>
          <w:sz w:val="24"/>
          <w:szCs w:val="24"/>
        </w:rPr>
        <w:t xml:space="preserve"> </w:t>
      </w:r>
      <w:r w:rsidR="00B91069" w:rsidRPr="006E2F1E">
        <w:rPr>
          <w:sz w:val="24"/>
          <w:szCs w:val="24"/>
        </w:rPr>
        <w:t>the</w:t>
      </w:r>
      <w:r w:rsidR="00B91069" w:rsidRPr="006E2F1E">
        <w:rPr>
          <w:spacing w:val="-13"/>
          <w:sz w:val="24"/>
          <w:szCs w:val="24"/>
        </w:rPr>
        <w:t xml:space="preserve"> </w:t>
      </w:r>
      <w:r w:rsidR="00B91069" w:rsidRPr="006E2F1E">
        <w:rPr>
          <w:sz w:val="24"/>
          <w:szCs w:val="24"/>
        </w:rPr>
        <w:t>record even</w:t>
      </w:r>
      <w:r w:rsidR="00B91069" w:rsidRPr="006E2F1E">
        <w:rPr>
          <w:spacing w:val="-4"/>
          <w:sz w:val="24"/>
          <w:szCs w:val="24"/>
        </w:rPr>
        <w:t xml:space="preserve"> </w:t>
      </w:r>
      <w:r w:rsidR="00B91069" w:rsidRPr="006E2F1E">
        <w:rPr>
          <w:sz w:val="24"/>
          <w:szCs w:val="24"/>
        </w:rPr>
        <w:t>if</w:t>
      </w:r>
      <w:r w:rsidR="00B91069" w:rsidRPr="006E2F1E">
        <w:rPr>
          <w:spacing w:val="-11"/>
          <w:sz w:val="24"/>
          <w:szCs w:val="24"/>
        </w:rPr>
        <w:t xml:space="preserve"> </w:t>
      </w:r>
      <w:r w:rsidR="00B91069" w:rsidRPr="006E2F1E">
        <w:rPr>
          <w:sz w:val="24"/>
          <w:szCs w:val="24"/>
        </w:rPr>
        <w:t>their</w:t>
      </w:r>
      <w:r w:rsidR="00B91069" w:rsidRPr="006E2F1E">
        <w:rPr>
          <w:spacing w:val="-2"/>
          <w:sz w:val="24"/>
          <w:szCs w:val="24"/>
        </w:rPr>
        <w:t xml:space="preserve"> </w:t>
      </w:r>
      <w:r w:rsidR="00B91069" w:rsidRPr="006E2F1E">
        <w:rPr>
          <w:sz w:val="24"/>
          <w:szCs w:val="24"/>
        </w:rPr>
        <w:t>grounds of</w:t>
      </w:r>
      <w:r w:rsidR="00B91069" w:rsidRPr="006E2F1E">
        <w:rPr>
          <w:spacing w:val="-8"/>
          <w:sz w:val="24"/>
          <w:szCs w:val="24"/>
        </w:rPr>
        <w:t xml:space="preserve"> </w:t>
      </w:r>
      <w:r w:rsidR="00B91069" w:rsidRPr="006E2F1E">
        <w:rPr>
          <w:sz w:val="24"/>
          <w:szCs w:val="24"/>
        </w:rPr>
        <w:lastRenderedPageBreak/>
        <w:t>review</w:t>
      </w:r>
      <w:r w:rsidR="00B91069" w:rsidRPr="006E2F1E">
        <w:rPr>
          <w:spacing w:val="-9"/>
          <w:sz w:val="24"/>
          <w:szCs w:val="24"/>
        </w:rPr>
        <w:t xml:space="preserve"> </w:t>
      </w:r>
      <w:r w:rsidR="00B91069" w:rsidRPr="006E2F1E">
        <w:rPr>
          <w:sz w:val="24"/>
          <w:szCs w:val="24"/>
        </w:rPr>
        <w:t>are</w:t>
      </w:r>
      <w:r w:rsidR="00B91069" w:rsidRPr="006E2F1E">
        <w:rPr>
          <w:spacing w:val="-13"/>
          <w:sz w:val="24"/>
          <w:szCs w:val="24"/>
        </w:rPr>
        <w:t xml:space="preserve"> </w:t>
      </w:r>
      <w:r w:rsidR="00B91069" w:rsidRPr="006E2F1E">
        <w:rPr>
          <w:sz w:val="24"/>
          <w:szCs w:val="24"/>
        </w:rPr>
        <w:t>meritless.</w:t>
      </w:r>
      <w:r w:rsidR="00B91069" w:rsidRPr="006E2F1E">
        <w:rPr>
          <w:rStyle w:val="FootnoteReference"/>
          <w:sz w:val="24"/>
          <w:szCs w:val="24"/>
        </w:rPr>
        <w:footnoteReference w:id="34"/>
      </w:r>
      <w:r w:rsidR="00B91069" w:rsidRPr="006E2F1E">
        <w:rPr>
          <w:sz w:val="24"/>
          <w:szCs w:val="24"/>
          <w:vertAlign w:val="superscript"/>
        </w:rPr>
        <w:t xml:space="preserve"> </w:t>
      </w:r>
      <w:r w:rsidR="00B91069" w:rsidRPr="006E2F1E">
        <w:rPr>
          <w:sz w:val="24"/>
          <w:szCs w:val="24"/>
        </w:rPr>
        <w:t xml:space="preserve">SARS accordingly accepts that if the institution of </w:t>
      </w:r>
      <w:r w:rsidR="00A7173D" w:rsidRPr="006E2F1E">
        <w:rPr>
          <w:sz w:val="24"/>
          <w:szCs w:val="24"/>
        </w:rPr>
        <w:t xml:space="preserve">the </w:t>
      </w:r>
      <w:r w:rsidR="00B91069" w:rsidRPr="006E2F1E">
        <w:rPr>
          <w:sz w:val="24"/>
          <w:szCs w:val="24"/>
        </w:rPr>
        <w:t>review proceedings is competent</w:t>
      </w:r>
      <w:r w:rsidR="00A7173D" w:rsidRPr="006E2F1E">
        <w:rPr>
          <w:sz w:val="24"/>
          <w:szCs w:val="24"/>
        </w:rPr>
        <w:t xml:space="preserve"> (as </w:t>
      </w:r>
      <w:r w:rsidR="00063E67">
        <w:rPr>
          <w:sz w:val="24"/>
          <w:szCs w:val="24"/>
        </w:rPr>
        <w:t>we have</w:t>
      </w:r>
      <w:r w:rsidR="00A7173D" w:rsidRPr="006E2F1E">
        <w:rPr>
          <w:sz w:val="24"/>
          <w:szCs w:val="24"/>
        </w:rPr>
        <w:t xml:space="preserve"> found)</w:t>
      </w:r>
      <w:r w:rsidR="00B91069" w:rsidRPr="006E2F1E">
        <w:rPr>
          <w:sz w:val="24"/>
          <w:szCs w:val="24"/>
        </w:rPr>
        <w:t>, then it does not dispute that it is obliged to produce the record</w:t>
      </w:r>
      <w:r w:rsidR="00443F5D">
        <w:rPr>
          <w:sz w:val="24"/>
          <w:szCs w:val="24"/>
        </w:rPr>
        <w:t xml:space="preserve"> of its decision under Uniform r</w:t>
      </w:r>
      <w:r w:rsidR="00B91069" w:rsidRPr="006E2F1E">
        <w:rPr>
          <w:sz w:val="24"/>
          <w:szCs w:val="24"/>
        </w:rPr>
        <w:t>ule 53.</w:t>
      </w:r>
      <w:r w:rsidR="00A7173D" w:rsidRPr="006E2F1E">
        <w:rPr>
          <w:sz w:val="24"/>
          <w:szCs w:val="24"/>
        </w:rPr>
        <w:t xml:space="preserve"> </w:t>
      </w:r>
      <w:r w:rsidR="00311B61" w:rsidRPr="006E2F1E">
        <w:rPr>
          <w:sz w:val="24"/>
          <w:szCs w:val="24"/>
        </w:rPr>
        <w:t xml:space="preserve">This conclusion renders it unnecessary to consider RBCT’s alternative case founded upon </w:t>
      </w:r>
      <w:r w:rsidR="00063E67">
        <w:rPr>
          <w:sz w:val="24"/>
          <w:szCs w:val="24"/>
        </w:rPr>
        <w:t>R</w:t>
      </w:r>
      <w:r w:rsidR="00311B61" w:rsidRPr="006E2F1E">
        <w:rPr>
          <w:sz w:val="24"/>
          <w:szCs w:val="24"/>
        </w:rPr>
        <w:t>ule 35.</w:t>
      </w:r>
    </w:p>
    <w:p w:rsidR="00311B61" w:rsidRPr="006E2F1E" w:rsidRDefault="00311B61" w:rsidP="00A7173D">
      <w:pPr>
        <w:pStyle w:val="Heading1"/>
        <w:spacing w:before="63" w:line="360" w:lineRule="auto"/>
        <w:ind w:left="0"/>
        <w:jc w:val="both"/>
        <w:rPr>
          <w:sz w:val="24"/>
          <w:szCs w:val="24"/>
        </w:rPr>
      </w:pPr>
    </w:p>
    <w:p w:rsidR="00B91069" w:rsidRPr="006E2F1E" w:rsidRDefault="004E4009" w:rsidP="009F79E9">
      <w:pPr>
        <w:pStyle w:val="Heading1"/>
        <w:spacing w:before="63" w:line="360" w:lineRule="auto"/>
        <w:ind w:left="0"/>
        <w:jc w:val="both"/>
        <w:rPr>
          <w:rFonts w:eastAsia="Times New Roman"/>
          <w:sz w:val="24"/>
          <w:szCs w:val="24"/>
          <w:lang w:eastAsia="en-ZA"/>
        </w:rPr>
      </w:pPr>
      <w:r>
        <w:rPr>
          <w:sz w:val="24"/>
          <w:szCs w:val="24"/>
        </w:rPr>
        <w:t>[2</w:t>
      </w:r>
      <w:r w:rsidR="005F64C6">
        <w:rPr>
          <w:sz w:val="24"/>
          <w:szCs w:val="24"/>
        </w:rPr>
        <w:t>9</w:t>
      </w:r>
      <w:r>
        <w:rPr>
          <w:sz w:val="24"/>
          <w:szCs w:val="24"/>
        </w:rPr>
        <w:t>]</w:t>
      </w:r>
      <w:r>
        <w:rPr>
          <w:sz w:val="24"/>
          <w:szCs w:val="24"/>
        </w:rPr>
        <w:tab/>
      </w:r>
      <w:r w:rsidR="00311B61" w:rsidRPr="006E2F1E">
        <w:rPr>
          <w:sz w:val="24"/>
          <w:szCs w:val="24"/>
        </w:rPr>
        <w:t>In the result, the appeal must fail and it is accordingly dismissed with costs, in</w:t>
      </w:r>
      <w:r w:rsidR="00073108">
        <w:rPr>
          <w:sz w:val="24"/>
          <w:szCs w:val="24"/>
        </w:rPr>
        <w:t>cluding those of two counsel where so employed.</w:t>
      </w:r>
    </w:p>
    <w:p w:rsidR="00B91069" w:rsidRDefault="00B91069" w:rsidP="009F79E9">
      <w:pPr>
        <w:jc w:val="both"/>
        <w:rPr>
          <w:sz w:val="24"/>
          <w:szCs w:val="24"/>
        </w:rPr>
      </w:pPr>
    </w:p>
    <w:p w:rsidR="009329EA" w:rsidRPr="006E2F1E" w:rsidRDefault="009329EA" w:rsidP="009F79E9">
      <w:pPr>
        <w:jc w:val="both"/>
        <w:rPr>
          <w:sz w:val="24"/>
          <w:szCs w:val="24"/>
        </w:rPr>
      </w:pPr>
    </w:p>
    <w:p w:rsidR="00A7173D" w:rsidRPr="006E2F1E" w:rsidRDefault="00A7173D" w:rsidP="00623B2F">
      <w:pPr>
        <w:spacing w:line="360" w:lineRule="auto"/>
        <w:jc w:val="both"/>
        <w:rPr>
          <w:sz w:val="24"/>
          <w:szCs w:val="24"/>
        </w:rPr>
      </w:pPr>
    </w:p>
    <w:p w:rsidR="00725F55" w:rsidRDefault="00725F55" w:rsidP="00725F55">
      <w:pPr>
        <w:jc w:val="right"/>
        <w:rPr>
          <w:sz w:val="24"/>
          <w:szCs w:val="24"/>
        </w:rPr>
      </w:pPr>
      <w:r>
        <w:rPr>
          <w:sz w:val="24"/>
          <w:szCs w:val="24"/>
          <w:u w:val="single"/>
        </w:rPr>
        <w:tab/>
      </w:r>
      <w:r>
        <w:rPr>
          <w:sz w:val="24"/>
          <w:szCs w:val="24"/>
          <w:u w:val="single"/>
        </w:rPr>
        <w:tab/>
      </w:r>
      <w:r>
        <w:rPr>
          <w:sz w:val="24"/>
          <w:szCs w:val="24"/>
          <w:u w:val="single"/>
        </w:rPr>
        <w:tab/>
      </w:r>
    </w:p>
    <w:p w:rsidR="00725F55" w:rsidRDefault="00725F55" w:rsidP="00725F55">
      <w:pPr>
        <w:jc w:val="right"/>
        <w:rPr>
          <w:sz w:val="24"/>
          <w:szCs w:val="24"/>
        </w:rPr>
      </w:pPr>
      <w:r>
        <w:rPr>
          <w:sz w:val="24"/>
          <w:szCs w:val="24"/>
        </w:rPr>
        <w:t>V M PONNAN</w:t>
      </w:r>
    </w:p>
    <w:p w:rsidR="00063E67" w:rsidRDefault="00725F55" w:rsidP="009F79E9">
      <w:pPr>
        <w:jc w:val="right"/>
        <w:rPr>
          <w:sz w:val="24"/>
          <w:szCs w:val="24"/>
        </w:rPr>
      </w:pPr>
      <w:r>
        <w:rPr>
          <w:sz w:val="24"/>
          <w:szCs w:val="24"/>
        </w:rPr>
        <w:t>JUDGE OF APPEAL</w:t>
      </w:r>
    </w:p>
    <w:p w:rsidR="00443F5D" w:rsidRDefault="00443F5D" w:rsidP="00623B2F">
      <w:pPr>
        <w:spacing w:line="360" w:lineRule="auto"/>
        <w:jc w:val="both"/>
        <w:rPr>
          <w:sz w:val="24"/>
          <w:szCs w:val="24"/>
        </w:rPr>
      </w:pPr>
    </w:p>
    <w:p w:rsidR="003640C7" w:rsidRDefault="003640C7" w:rsidP="00623B2F">
      <w:pPr>
        <w:spacing w:line="360" w:lineRule="auto"/>
        <w:jc w:val="both"/>
        <w:rPr>
          <w:sz w:val="24"/>
          <w:szCs w:val="24"/>
        </w:rPr>
      </w:pPr>
    </w:p>
    <w:p w:rsidR="003640C7" w:rsidRDefault="003640C7" w:rsidP="00623B2F">
      <w:pPr>
        <w:spacing w:line="360" w:lineRule="auto"/>
        <w:jc w:val="both"/>
        <w:rPr>
          <w:sz w:val="24"/>
          <w:szCs w:val="24"/>
        </w:rPr>
      </w:pPr>
    </w:p>
    <w:p w:rsidR="003640C7" w:rsidRDefault="003640C7" w:rsidP="00623B2F">
      <w:pPr>
        <w:spacing w:line="360" w:lineRule="auto"/>
        <w:jc w:val="both"/>
        <w:rPr>
          <w:sz w:val="24"/>
          <w:szCs w:val="24"/>
        </w:rPr>
      </w:pPr>
    </w:p>
    <w:p w:rsidR="003640C7" w:rsidRDefault="003640C7" w:rsidP="00623B2F">
      <w:pPr>
        <w:spacing w:line="360" w:lineRule="auto"/>
        <w:jc w:val="both"/>
        <w:rPr>
          <w:sz w:val="24"/>
          <w:szCs w:val="24"/>
        </w:rPr>
      </w:pPr>
    </w:p>
    <w:p w:rsidR="003640C7" w:rsidRDefault="003640C7" w:rsidP="00623B2F">
      <w:pPr>
        <w:spacing w:line="360" w:lineRule="auto"/>
        <w:jc w:val="both"/>
        <w:rPr>
          <w:sz w:val="24"/>
          <w:szCs w:val="24"/>
        </w:rPr>
      </w:pPr>
    </w:p>
    <w:p w:rsidR="003640C7" w:rsidRDefault="003640C7" w:rsidP="00623B2F">
      <w:pPr>
        <w:spacing w:line="360" w:lineRule="auto"/>
        <w:jc w:val="both"/>
        <w:rPr>
          <w:sz w:val="24"/>
          <w:szCs w:val="24"/>
        </w:rPr>
      </w:pPr>
    </w:p>
    <w:p w:rsidR="003640C7" w:rsidRDefault="003640C7" w:rsidP="00623B2F">
      <w:pPr>
        <w:spacing w:line="360" w:lineRule="auto"/>
        <w:jc w:val="both"/>
        <w:rPr>
          <w:sz w:val="24"/>
          <w:szCs w:val="24"/>
        </w:rPr>
      </w:pPr>
    </w:p>
    <w:p w:rsidR="003640C7" w:rsidRDefault="003640C7" w:rsidP="00623B2F">
      <w:pPr>
        <w:spacing w:line="360" w:lineRule="auto"/>
        <w:jc w:val="both"/>
        <w:rPr>
          <w:sz w:val="24"/>
          <w:szCs w:val="24"/>
        </w:rPr>
      </w:pPr>
    </w:p>
    <w:p w:rsidR="003640C7" w:rsidRDefault="003640C7" w:rsidP="00623B2F">
      <w:pPr>
        <w:spacing w:line="360" w:lineRule="auto"/>
        <w:jc w:val="both"/>
        <w:rPr>
          <w:sz w:val="24"/>
          <w:szCs w:val="24"/>
        </w:rPr>
      </w:pPr>
    </w:p>
    <w:p w:rsidR="003640C7" w:rsidRDefault="003640C7" w:rsidP="00623B2F">
      <w:pPr>
        <w:spacing w:line="360" w:lineRule="auto"/>
        <w:jc w:val="both"/>
        <w:rPr>
          <w:sz w:val="24"/>
          <w:szCs w:val="24"/>
        </w:rPr>
      </w:pPr>
    </w:p>
    <w:p w:rsidR="003640C7" w:rsidRDefault="003640C7" w:rsidP="00623B2F">
      <w:pPr>
        <w:spacing w:line="360" w:lineRule="auto"/>
        <w:jc w:val="both"/>
        <w:rPr>
          <w:sz w:val="24"/>
          <w:szCs w:val="24"/>
        </w:rPr>
      </w:pPr>
    </w:p>
    <w:p w:rsidR="003640C7" w:rsidRDefault="003640C7" w:rsidP="00623B2F">
      <w:pPr>
        <w:spacing w:line="360" w:lineRule="auto"/>
        <w:jc w:val="both"/>
        <w:rPr>
          <w:sz w:val="24"/>
          <w:szCs w:val="24"/>
        </w:rPr>
      </w:pPr>
    </w:p>
    <w:p w:rsidR="003640C7" w:rsidRDefault="003640C7" w:rsidP="00623B2F">
      <w:pPr>
        <w:spacing w:line="360" w:lineRule="auto"/>
        <w:jc w:val="both"/>
        <w:rPr>
          <w:sz w:val="24"/>
          <w:szCs w:val="24"/>
        </w:rPr>
      </w:pPr>
    </w:p>
    <w:p w:rsidR="003640C7" w:rsidRDefault="003640C7" w:rsidP="00623B2F">
      <w:pPr>
        <w:spacing w:line="360" w:lineRule="auto"/>
        <w:jc w:val="both"/>
        <w:rPr>
          <w:sz w:val="24"/>
          <w:szCs w:val="24"/>
        </w:rPr>
      </w:pPr>
    </w:p>
    <w:p w:rsidR="003640C7" w:rsidRDefault="003640C7" w:rsidP="00623B2F">
      <w:pPr>
        <w:spacing w:line="360" w:lineRule="auto"/>
        <w:jc w:val="both"/>
        <w:rPr>
          <w:sz w:val="24"/>
          <w:szCs w:val="24"/>
        </w:rPr>
      </w:pPr>
    </w:p>
    <w:p w:rsidR="003640C7" w:rsidRDefault="003640C7" w:rsidP="00623B2F">
      <w:pPr>
        <w:spacing w:line="360" w:lineRule="auto"/>
        <w:jc w:val="both"/>
        <w:rPr>
          <w:sz w:val="24"/>
          <w:szCs w:val="24"/>
        </w:rPr>
      </w:pPr>
    </w:p>
    <w:p w:rsidR="003640C7" w:rsidRDefault="003640C7" w:rsidP="00623B2F">
      <w:pPr>
        <w:spacing w:line="360" w:lineRule="auto"/>
        <w:jc w:val="both"/>
        <w:rPr>
          <w:sz w:val="24"/>
          <w:szCs w:val="24"/>
        </w:rPr>
      </w:pPr>
    </w:p>
    <w:p w:rsidR="003640C7" w:rsidRDefault="003640C7" w:rsidP="00623B2F">
      <w:pPr>
        <w:spacing w:line="360" w:lineRule="auto"/>
        <w:jc w:val="both"/>
        <w:rPr>
          <w:sz w:val="24"/>
          <w:szCs w:val="24"/>
        </w:rPr>
      </w:pPr>
    </w:p>
    <w:p w:rsidR="00CD429F" w:rsidRDefault="00CD429F" w:rsidP="00623B2F">
      <w:pPr>
        <w:spacing w:line="360" w:lineRule="auto"/>
        <w:jc w:val="both"/>
        <w:rPr>
          <w:sz w:val="24"/>
          <w:szCs w:val="24"/>
        </w:rPr>
      </w:pPr>
    </w:p>
    <w:p w:rsidR="00623B2F" w:rsidRPr="00623B2F" w:rsidRDefault="00623B2F" w:rsidP="00623B2F">
      <w:pPr>
        <w:spacing w:line="360" w:lineRule="auto"/>
        <w:jc w:val="both"/>
        <w:rPr>
          <w:sz w:val="24"/>
          <w:szCs w:val="24"/>
        </w:rPr>
      </w:pPr>
      <w:r w:rsidRPr="00623B2F">
        <w:rPr>
          <w:sz w:val="24"/>
          <w:szCs w:val="24"/>
        </w:rPr>
        <w:lastRenderedPageBreak/>
        <w:t>APPEARANCES</w:t>
      </w:r>
    </w:p>
    <w:p w:rsidR="00623B2F" w:rsidRPr="00623B2F" w:rsidRDefault="00623B2F" w:rsidP="00623B2F">
      <w:pPr>
        <w:spacing w:line="360" w:lineRule="auto"/>
        <w:jc w:val="both"/>
        <w:rPr>
          <w:sz w:val="24"/>
          <w:szCs w:val="24"/>
        </w:rPr>
      </w:pPr>
    </w:p>
    <w:p w:rsidR="00623B2F" w:rsidRPr="002978A2" w:rsidRDefault="00623B2F" w:rsidP="00623B2F">
      <w:pPr>
        <w:tabs>
          <w:tab w:val="left" w:pos="3969"/>
        </w:tabs>
        <w:spacing w:line="360" w:lineRule="auto"/>
        <w:jc w:val="both"/>
        <w:rPr>
          <w:sz w:val="24"/>
          <w:szCs w:val="24"/>
        </w:rPr>
      </w:pPr>
      <w:r w:rsidRPr="00623B2F">
        <w:rPr>
          <w:sz w:val="24"/>
          <w:szCs w:val="24"/>
        </w:rPr>
        <w:t>For appellant:</w:t>
      </w:r>
      <w:r w:rsidRPr="00623B2F">
        <w:rPr>
          <w:color w:val="FF0000"/>
          <w:sz w:val="24"/>
          <w:szCs w:val="24"/>
        </w:rPr>
        <w:tab/>
      </w:r>
      <w:r w:rsidR="002978A2" w:rsidRPr="002978A2">
        <w:rPr>
          <w:sz w:val="24"/>
          <w:szCs w:val="24"/>
        </w:rPr>
        <w:t>C J P</w:t>
      </w:r>
      <w:r w:rsidRPr="002978A2">
        <w:rPr>
          <w:sz w:val="24"/>
          <w:szCs w:val="24"/>
        </w:rPr>
        <w:t>ammenter SC and G J Marcus SC</w:t>
      </w:r>
    </w:p>
    <w:p w:rsidR="00623B2F" w:rsidRPr="00623B2F" w:rsidRDefault="002978A2" w:rsidP="00623B2F">
      <w:pPr>
        <w:tabs>
          <w:tab w:val="left" w:pos="3969"/>
        </w:tabs>
        <w:spacing w:line="360" w:lineRule="auto"/>
        <w:jc w:val="both"/>
        <w:rPr>
          <w:sz w:val="24"/>
          <w:szCs w:val="24"/>
        </w:rPr>
      </w:pPr>
      <w:r w:rsidRPr="002978A2">
        <w:rPr>
          <w:sz w:val="24"/>
          <w:szCs w:val="24"/>
        </w:rPr>
        <w:tab/>
        <w:t>and M Mbikiwa</w:t>
      </w:r>
    </w:p>
    <w:p w:rsidR="00623B2F" w:rsidRPr="00623B2F" w:rsidRDefault="00623B2F" w:rsidP="00623B2F">
      <w:pPr>
        <w:tabs>
          <w:tab w:val="left" w:pos="3969"/>
        </w:tabs>
        <w:spacing w:line="360" w:lineRule="auto"/>
        <w:jc w:val="both"/>
        <w:rPr>
          <w:sz w:val="24"/>
          <w:szCs w:val="24"/>
        </w:rPr>
      </w:pPr>
      <w:r w:rsidRPr="00623B2F">
        <w:rPr>
          <w:sz w:val="24"/>
          <w:szCs w:val="24"/>
        </w:rPr>
        <w:t xml:space="preserve">Instructed by: </w:t>
      </w:r>
      <w:r w:rsidRPr="00623B2F">
        <w:rPr>
          <w:sz w:val="24"/>
          <w:szCs w:val="24"/>
        </w:rPr>
        <w:tab/>
      </w:r>
      <w:r>
        <w:rPr>
          <w:sz w:val="24"/>
          <w:szCs w:val="24"/>
        </w:rPr>
        <w:t>Linda Mazibuko and Associates, Durban</w:t>
      </w:r>
    </w:p>
    <w:p w:rsidR="00623B2F" w:rsidRPr="00623B2F" w:rsidRDefault="00623B2F" w:rsidP="00623B2F">
      <w:pPr>
        <w:tabs>
          <w:tab w:val="left" w:pos="3969"/>
        </w:tabs>
        <w:spacing w:line="360" w:lineRule="auto"/>
        <w:ind w:left="459" w:firstLine="1701"/>
        <w:jc w:val="both"/>
        <w:rPr>
          <w:sz w:val="24"/>
          <w:szCs w:val="24"/>
        </w:rPr>
      </w:pPr>
      <w:r>
        <w:rPr>
          <w:sz w:val="24"/>
          <w:szCs w:val="24"/>
        </w:rPr>
        <w:tab/>
        <w:t>Honey Attorneys</w:t>
      </w:r>
      <w:r w:rsidRPr="00623B2F">
        <w:rPr>
          <w:sz w:val="24"/>
          <w:szCs w:val="24"/>
        </w:rPr>
        <w:t>, Bloemfontein</w:t>
      </w:r>
    </w:p>
    <w:p w:rsidR="00623B2F" w:rsidRPr="00623B2F" w:rsidRDefault="00623B2F" w:rsidP="00623B2F">
      <w:pPr>
        <w:spacing w:line="360" w:lineRule="auto"/>
        <w:jc w:val="both"/>
        <w:rPr>
          <w:sz w:val="24"/>
          <w:szCs w:val="24"/>
        </w:rPr>
      </w:pPr>
    </w:p>
    <w:p w:rsidR="00623B2F" w:rsidRPr="00623B2F" w:rsidRDefault="00623B2F" w:rsidP="00623B2F">
      <w:pPr>
        <w:tabs>
          <w:tab w:val="left" w:pos="3969"/>
        </w:tabs>
        <w:spacing w:line="360" w:lineRule="auto"/>
        <w:jc w:val="both"/>
        <w:rPr>
          <w:sz w:val="24"/>
          <w:szCs w:val="24"/>
        </w:rPr>
      </w:pPr>
      <w:r>
        <w:rPr>
          <w:sz w:val="24"/>
          <w:szCs w:val="24"/>
        </w:rPr>
        <w:t>For respondent:</w:t>
      </w:r>
      <w:r>
        <w:rPr>
          <w:sz w:val="24"/>
          <w:szCs w:val="24"/>
        </w:rPr>
        <w:tab/>
        <w:t>M Chaskalson SC</w:t>
      </w:r>
    </w:p>
    <w:p w:rsidR="00623B2F" w:rsidRPr="00623B2F" w:rsidRDefault="00623B2F" w:rsidP="00623B2F">
      <w:pPr>
        <w:tabs>
          <w:tab w:val="left" w:pos="3969"/>
        </w:tabs>
        <w:spacing w:line="360" w:lineRule="auto"/>
        <w:jc w:val="both"/>
        <w:rPr>
          <w:sz w:val="24"/>
          <w:szCs w:val="24"/>
        </w:rPr>
      </w:pPr>
      <w:r w:rsidRPr="00623B2F">
        <w:rPr>
          <w:sz w:val="24"/>
          <w:szCs w:val="24"/>
        </w:rPr>
        <w:t>Instructed by:</w:t>
      </w:r>
      <w:r w:rsidRPr="00623B2F">
        <w:rPr>
          <w:color w:val="FF0000"/>
          <w:sz w:val="24"/>
          <w:szCs w:val="24"/>
        </w:rPr>
        <w:tab/>
      </w:r>
      <w:r>
        <w:rPr>
          <w:sz w:val="24"/>
          <w:szCs w:val="24"/>
        </w:rPr>
        <w:t>Shepstone &amp; Wylie, Durban</w:t>
      </w:r>
    </w:p>
    <w:p w:rsidR="00623B2F" w:rsidRPr="00623B2F" w:rsidRDefault="00623B2F" w:rsidP="00623B2F">
      <w:pPr>
        <w:tabs>
          <w:tab w:val="left" w:pos="3969"/>
        </w:tabs>
        <w:spacing w:line="360" w:lineRule="auto"/>
        <w:jc w:val="both"/>
        <w:rPr>
          <w:sz w:val="24"/>
          <w:szCs w:val="24"/>
        </w:rPr>
      </w:pPr>
      <w:r>
        <w:rPr>
          <w:sz w:val="24"/>
          <w:szCs w:val="24"/>
        </w:rPr>
        <w:tab/>
        <w:t>Matsepes Inc</w:t>
      </w:r>
      <w:r w:rsidRPr="00623B2F">
        <w:rPr>
          <w:sz w:val="24"/>
          <w:szCs w:val="24"/>
        </w:rPr>
        <w:t>, Bloemfontein</w:t>
      </w:r>
    </w:p>
    <w:p w:rsidR="00806396" w:rsidRPr="006A0ED9" w:rsidRDefault="00806396" w:rsidP="006A0ED9">
      <w:pPr>
        <w:pStyle w:val="Heading1"/>
        <w:spacing w:before="63" w:line="360" w:lineRule="auto"/>
        <w:ind w:left="0"/>
        <w:jc w:val="both"/>
        <w:rPr>
          <w:rFonts w:eastAsia="Times New Roman"/>
          <w:sz w:val="24"/>
          <w:szCs w:val="24"/>
          <w:lang w:eastAsia="en-ZA"/>
        </w:rPr>
      </w:pPr>
    </w:p>
    <w:sectPr w:rsidR="00806396" w:rsidRPr="006A0ED9" w:rsidSect="009B2BE6">
      <w:headerReference w:type="default" r:id="rId10"/>
      <w:pgSz w:w="11906" w:h="16838"/>
      <w:pgMar w:top="1440" w:right="110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6FD" w:rsidRDefault="008076FD" w:rsidP="005265BC">
      <w:r>
        <w:separator/>
      </w:r>
    </w:p>
  </w:endnote>
  <w:endnote w:type="continuationSeparator" w:id="0">
    <w:p w:rsidR="008076FD" w:rsidRDefault="008076FD" w:rsidP="0052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6FD" w:rsidRDefault="008076FD" w:rsidP="005265BC">
      <w:r>
        <w:separator/>
      </w:r>
    </w:p>
  </w:footnote>
  <w:footnote w:type="continuationSeparator" w:id="0">
    <w:p w:rsidR="008076FD" w:rsidRDefault="008076FD" w:rsidP="005265BC">
      <w:r>
        <w:continuationSeparator/>
      </w:r>
    </w:p>
  </w:footnote>
  <w:footnote w:id="1">
    <w:p w:rsidR="005A7E7B" w:rsidRPr="004F6669" w:rsidRDefault="005A7E7B" w:rsidP="00725F55">
      <w:pPr>
        <w:pStyle w:val="FootnoteText"/>
        <w:jc w:val="both"/>
      </w:pPr>
      <w:r w:rsidRPr="00331CA0">
        <w:rPr>
          <w:rStyle w:val="FootnoteReference"/>
        </w:rPr>
        <w:footnoteRef/>
      </w:r>
      <w:r w:rsidRPr="00331CA0">
        <w:t xml:space="preserve"> </w:t>
      </w:r>
      <w:bookmarkStart w:id="1" w:name="_Hlk128126936"/>
      <w:r w:rsidRPr="00331CA0">
        <w:rPr>
          <w:i/>
        </w:rPr>
        <w:t xml:space="preserve">Competition Commission of South Africa </w:t>
      </w:r>
      <w:bookmarkEnd w:id="1"/>
      <w:r w:rsidRPr="00331CA0">
        <w:rPr>
          <w:i/>
        </w:rPr>
        <w:t>v Standard Bank of South Africa</w:t>
      </w:r>
      <w:r>
        <w:t xml:space="preserve"> [2020] ZACC 2;</w:t>
      </w:r>
      <w:r w:rsidRPr="00B2677D">
        <w:t xml:space="preserve"> </w:t>
      </w:r>
      <w:r w:rsidRPr="000548C1">
        <w:t>2020 (4) BCLR 429 CC</w:t>
      </w:r>
      <w:r>
        <w:t xml:space="preserve"> (</w:t>
      </w:r>
      <w:r w:rsidRPr="001C1610">
        <w:rPr>
          <w:i/>
        </w:rPr>
        <w:t>Standard Bank</w:t>
      </w:r>
      <w:r>
        <w:t>).</w:t>
      </w:r>
    </w:p>
  </w:footnote>
  <w:footnote w:id="2">
    <w:p w:rsidR="005A7E7B" w:rsidRPr="00B0021D" w:rsidRDefault="005A7E7B" w:rsidP="00725F55">
      <w:pPr>
        <w:pStyle w:val="FootnoteText"/>
        <w:jc w:val="both"/>
      </w:pPr>
      <w:r w:rsidRPr="00B0021D">
        <w:rPr>
          <w:rStyle w:val="FootnoteReference"/>
        </w:rPr>
        <w:footnoteRef/>
      </w:r>
      <w:r w:rsidR="00A81E74">
        <w:t xml:space="preserve"> </w:t>
      </w:r>
      <w:r w:rsidR="005E25D9" w:rsidRPr="005E25D9">
        <w:t>Ibid paras 118-119.</w:t>
      </w:r>
    </w:p>
  </w:footnote>
  <w:footnote w:id="3">
    <w:p w:rsidR="005E25D9" w:rsidRPr="009200D2" w:rsidRDefault="005E25D9" w:rsidP="005E25D9">
      <w:pPr>
        <w:pStyle w:val="FootnoteText"/>
        <w:jc w:val="both"/>
        <w:rPr>
          <w:lang w:val="en-ZA"/>
        </w:rPr>
      </w:pPr>
      <w:r w:rsidRPr="009200D2">
        <w:rPr>
          <w:rStyle w:val="FootnoteReference"/>
        </w:rPr>
        <w:footnoteRef/>
      </w:r>
      <w:r w:rsidRPr="009200D2">
        <w:t xml:space="preserve"> </w:t>
      </w:r>
      <w:r w:rsidRPr="005E25D9">
        <w:t>Ibid paras 202-203.</w:t>
      </w:r>
    </w:p>
  </w:footnote>
  <w:footnote w:id="4">
    <w:p w:rsidR="00B91069" w:rsidRPr="00022B4F" w:rsidRDefault="00B91069" w:rsidP="00725F55">
      <w:pPr>
        <w:pStyle w:val="FootnoteText"/>
        <w:jc w:val="both"/>
        <w:rPr>
          <w:lang w:val="en-ZA"/>
        </w:rPr>
      </w:pPr>
      <w:r>
        <w:rPr>
          <w:rStyle w:val="FootnoteReference"/>
        </w:rPr>
        <w:footnoteRef/>
      </w:r>
      <w:r>
        <w:t xml:space="preserve"> </w:t>
      </w:r>
      <w:r w:rsidR="00022B4F">
        <w:rPr>
          <w:i/>
        </w:rPr>
        <w:t xml:space="preserve">Tikly &amp; Others v Johannes NO &amp; Others </w:t>
      </w:r>
      <w:r w:rsidR="00022B4F">
        <w:t>1963 (2) SA 588 (T).</w:t>
      </w:r>
    </w:p>
  </w:footnote>
  <w:footnote w:id="5">
    <w:p w:rsidR="005E25D9" w:rsidRPr="009200D2" w:rsidRDefault="005E25D9" w:rsidP="005E25D9">
      <w:pPr>
        <w:pStyle w:val="FootnoteText"/>
        <w:jc w:val="both"/>
        <w:rPr>
          <w:lang w:val="en-ZA"/>
        </w:rPr>
      </w:pPr>
      <w:r w:rsidRPr="009200D2">
        <w:rPr>
          <w:rStyle w:val="FootnoteReference"/>
        </w:rPr>
        <w:footnoteRef/>
      </w:r>
      <w:r w:rsidRPr="009200D2">
        <w:t xml:space="preserve"> </w:t>
      </w:r>
      <w:r w:rsidR="004E1B8E">
        <w:t>Ibid at 590F–</w:t>
      </w:r>
      <w:r w:rsidRPr="009200D2">
        <w:t>591A.</w:t>
      </w:r>
    </w:p>
  </w:footnote>
  <w:footnote w:id="6">
    <w:p w:rsidR="00EF642C" w:rsidRPr="00EF642C" w:rsidRDefault="00EF642C" w:rsidP="007B447B">
      <w:pPr>
        <w:pStyle w:val="FootnoteText"/>
        <w:jc w:val="both"/>
      </w:pPr>
      <w:r>
        <w:rPr>
          <w:rStyle w:val="FootnoteReference"/>
        </w:rPr>
        <w:footnoteRef/>
      </w:r>
      <w:r>
        <w:t xml:space="preserve"> </w:t>
      </w:r>
      <w:r>
        <w:rPr>
          <w:i/>
          <w:iCs/>
        </w:rPr>
        <w:t xml:space="preserve">Distell Ltd &amp; Others v Commissioner for SARS &amp; Another </w:t>
      </w:r>
      <w:r>
        <w:t>[2009] 23384 (GNP)</w:t>
      </w:r>
      <w:r w:rsidR="004E1B8E">
        <w:t xml:space="preserve"> para 35</w:t>
      </w:r>
      <w:r w:rsidR="001412BC">
        <w:t>.</w:t>
      </w:r>
    </w:p>
  </w:footnote>
  <w:footnote w:id="7">
    <w:p w:rsidR="001412BC" w:rsidRDefault="001412BC" w:rsidP="007B447B">
      <w:pPr>
        <w:pStyle w:val="FootnoteText"/>
        <w:jc w:val="both"/>
      </w:pPr>
      <w:r>
        <w:rPr>
          <w:rStyle w:val="FootnoteReference"/>
        </w:rPr>
        <w:footnoteRef/>
      </w:r>
      <w:r>
        <w:t xml:space="preserve"> </w:t>
      </w:r>
      <w:r>
        <w:rPr>
          <w:i/>
          <w:iCs/>
        </w:rPr>
        <w:t xml:space="preserve">Distell Ltd &amp; Others v Commissioner for SARS &amp; Another </w:t>
      </w:r>
      <w:r>
        <w:t>[2006] 18682 (GNP).</w:t>
      </w:r>
    </w:p>
  </w:footnote>
  <w:footnote w:id="8">
    <w:p w:rsidR="00F24594" w:rsidRPr="00357A2F" w:rsidRDefault="00357A2F" w:rsidP="007B447B">
      <w:pPr>
        <w:pStyle w:val="FootnoteText"/>
        <w:jc w:val="both"/>
      </w:pPr>
      <w:r>
        <w:rPr>
          <w:rStyle w:val="FootnoteReference"/>
        </w:rPr>
        <w:footnoteRef/>
      </w:r>
      <w:r>
        <w:t xml:space="preserve"> </w:t>
      </w:r>
      <w:r w:rsidR="004E1B8E" w:rsidRPr="009200D2">
        <w:rPr>
          <w:i/>
          <w:iCs/>
        </w:rPr>
        <w:t xml:space="preserve">Distell v CSARS </w:t>
      </w:r>
      <w:r w:rsidR="004E1B8E" w:rsidRPr="009200D2">
        <w:t>[2010] ZASCA 103; [2011] 1 All SA 225 (SCA</w:t>
      </w:r>
      <w:r w:rsidR="004E1B8E">
        <w:t>) para</w:t>
      </w:r>
      <w:r>
        <w:t xml:space="preserve"> 4.</w:t>
      </w:r>
    </w:p>
  </w:footnote>
  <w:footnote w:id="9">
    <w:p w:rsidR="00357A2F" w:rsidRDefault="00357A2F" w:rsidP="007B447B">
      <w:pPr>
        <w:pStyle w:val="FootnoteText"/>
        <w:jc w:val="both"/>
      </w:pPr>
      <w:r>
        <w:rPr>
          <w:rStyle w:val="FootnoteReference"/>
        </w:rPr>
        <w:footnoteRef/>
      </w:r>
      <w:r>
        <w:t xml:space="preserve"> Ibid para 20.</w:t>
      </w:r>
    </w:p>
  </w:footnote>
  <w:footnote w:id="10">
    <w:p w:rsidR="00E96653" w:rsidRPr="0032096F" w:rsidRDefault="00E96653">
      <w:pPr>
        <w:pStyle w:val="FootnoteText"/>
        <w:rPr>
          <w:lang w:val="en-ZA"/>
        </w:rPr>
      </w:pPr>
      <w:r w:rsidRPr="00F558EB">
        <w:rPr>
          <w:rStyle w:val="FootnoteReference"/>
        </w:rPr>
        <w:footnoteRef/>
      </w:r>
      <w:r w:rsidRPr="00F558EB">
        <w:t xml:space="preserve"> Ibid para 74.</w:t>
      </w:r>
    </w:p>
  </w:footnote>
  <w:footnote w:id="11">
    <w:p w:rsidR="00FD7FAE" w:rsidRDefault="00FD7FAE" w:rsidP="007B447B">
      <w:pPr>
        <w:pStyle w:val="FootnoteText"/>
        <w:jc w:val="both"/>
      </w:pPr>
      <w:r>
        <w:rPr>
          <w:rStyle w:val="FootnoteReference"/>
        </w:rPr>
        <w:footnoteRef/>
      </w:r>
      <w:r>
        <w:t xml:space="preserve"> </w:t>
      </w:r>
      <w:r w:rsidRPr="00725F55">
        <w:rPr>
          <w:i/>
          <w:spacing w:val="-2"/>
        </w:rPr>
        <w:t>BCE</w:t>
      </w:r>
      <w:r w:rsidRPr="00725F55">
        <w:rPr>
          <w:spacing w:val="-5"/>
        </w:rPr>
        <w:t xml:space="preserve"> </w:t>
      </w:r>
      <w:r w:rsidRPr="00725F55">
        <w:rPr>
          <w:i/>
          <w:spacing w:val="-2"/>
        </w:rPr>
        <w:t>Food</w:t>
      </w:r>
      <w:r w:rsidRPr="00725F55">
        <w:rPr>
          <w:i/>
          <w:spacing w:val="5"/>
        </w:rPr>
        <w:t xml:space="preserve"> </w:t>
      </w:r>
      <w:r w:rsidRPr="00725F55">
        <w:rPr>
          <w:i/>
          <w:spacing w:val="-2"/>
        </w:rPr>
        <w:t>Service</w:t>
      </w:r>
      <w:r w:rsidRPr="00725F55">
        <w:rPr>
          <w:i/>
          <w:spacing w:val="17"/>
        </w:rPr>
        <w:t xml:space="preserve"> </w:t>
      </w:r>
      <w:r w:rsidRPr="00725F55">
        <w:rPr>
          <w:i/>
          <w:spacing w:val="-2"/>
        </w:rPr>
        <w:t>Equipment</w:t>
      </w:r>
      <w:r w:rsidRPr="00725F55">
        <w:rPr>
          <w:i/>
          <w:spacing w:val="20"/>
        </w:rPr>
        <w:t xml:space="preserve"> </w:t>
      </w:r>
      <w:r w:rsidRPr="00725F55">
        <w:rPr>
          <w:i/>
          <w:spacing w:val="-2"/>
        </w:rPr>
        <w:t>(Pty)</w:t>
      </w:r>
      <w:r w:rsidRPr="00725F55">
        <w:rPr>
          <w:i/>
          <w:spacing w:val="8"/>
        </w:rPr>
        <w:t xml:space="preserve"> </w:t>
      </w:r>
      <w:r w:rsidRPr="00725F55">
        <w:rPr>
          <w:i/>
          <w:spacing w:val="-2"/>
        </w:rPr>
        <w:t>Ltd</w:t>
      </w:r>
      <w:r w:rsidRPr="00725F55">
        <w:rPr>
          <w:i/>
          <w:spacing w:val="7"/>
        </w:rPr>
        <w:t xml:space="preserve"> </w:t>
      </w:r>
      <w:r w:rsidRPr="00725F55">
        <w:rPr>
          <w:i/>
          <w:color w:val="0F0F0F"/>
          <w:spacing w:val="-2"/>
        </w:rPr>
        <w:t>v</w:t>
      </w:r>
      <w:r w:rsidRPr="00725F55">
        <w:rPr>
          <w:i/>
          <w:color w:val="0F0F0F"/>
          <w:spacing w:val="7"/>
        </w:rPr>
        <w:t xml:space="preserve"> </w:t>
      </w:r>
      <w:r w:rsidRPr="00725F55">
        <w:rPr>
          <w:i/>
          <w:spacing w:val="-2"/>
        </w:rPr>
        <w:t>Commissioner</w:t>
      </w:r>
      <w:r w:rsidRPr="00725F55">
        <w:rPr>
          <w:i/>
          <w:spacing w:val="27"/>
        </w:rPr>
        <w:t xml:space="preserve"> </w:t>
      </w:r>
      <w:r w:rsidRPr="00725F55">
        <w:rPr>
          <w:i/>
          <w:spacing w:val="-2"/>
        </w:rPr>
        <w:t>for</w:t>
      </w:r>
      <w:r w:rsidRPr="00725F55">
        <w:rPr>
          <w:i/>
          <w:spacing w:val="9"/>
        </w:rPr>
        <w:t xml:space="preserve"> </w:t>
      </w:r>
      <w:r w:rsidRPr="00725F55">
        <w:rPr>
          <w:i/>
          <w:spacing w:val="-2"/>
        </w:rPr>
        <w:t>the</w:t>
      </w:r>
      <w:r w:rsidRPr="00725F55">
        <w:rPr>
          <w:i/>
          <w:spacing w:val="13"/>
        </w:rPr>
        <w:t xml:space="preserve"> </w:t>
      </w:r>
      <w:r w:rsidRPr="00725F55">
        <w:rPr>
          <w:i/>
          <w:spacing w:val="-2"/>
        </w:rPr>
        <w:t>South</w:t>
      </w:r>
      <w:r w:rsidRPr="00725F55">
        <w:rPr>
          <w:i/>
          <w:spacing w:val="16"/>
        </w:rPr>
        <w:t xml:space="preserve"> </w:t>
      </w:r>
      <w:r w:rsidRPr="00725F55">
        <w:rPr>
          <w:i/>
          <w:spacing w:val="-2"/>
        </w:rPr>
        <w:t>African</w:t>
      </w:r>
      <w:r w:rsidRPr="00725F55">
        <w:rPr>
          <w:i/>
          <w:spacing w:val="13"/>
        </w:rPr>
        <w:t xml:space="preserve"> </w:t>
      </w:r>
      <w:r w:rsidRPr="00725F55">
        <w:rPr>
          <w:i/>
          <w:spacing w:val="-2"/>
        </w:rPr>
        <w:t>Revenue</w:t>
      </w:r>
      <w:r w:rsidRPr="00725F55">
        <w:rPr>
          <w:i/>
          <w:spacing w:val="4"/>
        </w:rPr>
        <w:t xml:space="preserve"> </w:t>
      </w:r>
      <w:r w:rsidRPr="00725F55">
        <w:rPr>
          <w:i/>
          <w:spacing w:val="-2"/>
        </w:rPr>
        <w:t>Service</w:t>
      </w:r>
      <w:r w:rsidRPr="00725F55">
        <w:rPr>
          <w:i/>
          <w:spacing w:val="19"/>
        </w:rPr>
        <w:t xml:space="preserve"> </w:t>
      </w:r>
      <w:r w:rsidRPr="00725F55">
        <w:rPr>
          <w:spacing w:val="-2"/>
        </w:rPr>
        <w:t>[2017]</w:t>
      </w:r>
      <w:r w:rsidRPr="00725F55">
        <w:rPr>
          <w:spacing w:val="4"/>
        </w:rPr>
        <w:t xml:space="preserve"> </w:t>
      </w:r>
      <w:r w:rsidRPr="00725F55">
        <w:rPr>
          <w:spacing w:val="-2"/>
        </w:rPr>
        <w:t>ZAGPJ</w:t>
      </w:r>
      <w:r w:rsidRPr="00725F55">
        <w:rPr>
          <w:spacing w:val="-27"/>
        </w:rPr>
        <w:t xml:space="preserve"> </w:t>
      </w:r>
      <w:r w:rsidRPr="00725F55">
        <w:rPr>
          <w:color w:val="0F0F0F"/>
          <w:spacing w:val="-5"/>
        </w:rPr>
        <w:t xml:space="preserve">HC </w:t>
      </w:r>
      <w:r w:rsidRPr="00725F55">
        <w:rPr>
          <w:spacing w:val="-2"/>
        </w:rPr>
        <w:t>243</w:t>
      </w:r>
      <w:r>
        <w:rPr>
          <w:spacing w:val="-2"/>
        </w:rPr>
        <w:t>.</w:t>
      </w:r>
    </w:p>
  </w:footnote>
  <w:footnote w:id="12">
    <w:p w:rsidR="00FD7FAE" w:rsidRDefault="00FD7FAE" w:rsidP="007B447B">
      <w:pPr>
        <w:pStyle w:val="FootnoteText"/>
        <w:jc w:val="both"/>
      </w:pPr>
      <w:r>
        <w:rPr>
          <w:rStyle w:val="FootnoteReference"/>
        </w:rPr>
        <w:footnoteRef/>
      </w:r>
      <w:r>
        <w:t xml:space="preserve"> Ibid para 3.</w:t>
      </w:r>
    </w:p>
  </w:footnote>
  <w:footnote w:id="13">
    <w:p w:rsidR="000F67F7" w:rsidRDefault="000F67F7" w:rsidP="007B447B">
      <w:pPr>
        <w:pStyle w:val="FootnoteText"/>
        <w:jc w:val="both"/>
      </w:pPr>
      <w:r>
        <w:rPr>
          <w:rStyle w:val="FootnoteReference"/>
        </w:rPr>
        <w:footnoteRef/>
      </w:r>
      <w:r>
        <w:t xml:space="preserve"> Ibid para 7.</w:t>
      </w:r>
    </w:p>
  </w:footnote>
  <w:footnote w:id="14">
    <w:p w:rsidR="00016715" w:rsidRPr="00691629" w:rsidRDefault="00016715" w:rsidP="00691629">
      <w:pPr>
        <w:pStyle w:val="FootnoteText"/>
        <w:rPr>
          <w:lang w:val="en-ZA"/>
        </w:rPr>
      </w:pPr>
      <w:r w:rsidRPr="00016715">
        <w:rPr>
          <w:rStyle w:val="FootnoteReference"/>
        </w:rPr>
        <w:footnoteRef/>
      </w:r>
      <w:r w:rsidRPr="00016715">
        <w:t xml:space="preserve"> </w:t>
      </w:r>
      <w:r w:rsidR="00691629" w:rsidRPr="008C32DD">
        <w:rPr>
          <w:i/>
          <w:iCs/>
        </w:rPr>
        <w:t>Metcash Trading Limited v Commissioner, South African Revenue Service and Another</w:t>
      </w:r>
      <w:r w:rsidR="00691629" w:rsidRPr="008C32DD">
        <w:t xml:space="preserve"> </w:t>
      </w:r>
      <w:r w:rsidR="00691629">
        <w:t xml:space="preserve">[2000] ZACC 21; </w:t>
      </w:r>
      <w:r w:rsidR="00691629" w:rsidRPr="008C32DD">
        <w:t>2001</w:t>
      </w:r>
      <w:r w:rsidR="00691629">
        <w:t xml:space="preserve"> </w:t>
      </w:r>
      <w:r w:rsidR="00691629" w:rsidRPr="008C32DD">
        <w:t>(1) SA 1109 (CC).</w:t>
      </w:r>
    </w:p>
  </w:footnote>
  <w:footnote w:id="15">
    <w:p w:rsidR="000E1E46" w:rsidRDefault="000E1E46" w:rsidP="00582927">
      <w:pPr>
        <w:pStyle w:val="FootnoteText"/>
        <w:jc w:val="both"/>
      </w:pPr>
      <w:r>
        <w:rPr>
          <w:rStyle w:val="FootnoteReference"/>
        </w:rPr>
        <w:footnoteRef/>
      </w:r>
      <w:r>
        <w:t xml:space="preserve"> </w:t>
      </w:r>
      <w:r w:rsidR="00CA1EBC">
        <w:t>Ibid para 33.</w:t>
      </w:r>
    </w:p>
  </w:footnote>
  <w:footnote w:id="16">
    <w:p w:rsidR="005A7E7B" w:rsidRPr="00725F55" w:rsidRDefault="005A7E7B" w:rsidP="00001254">
      <w:pPr>
        <w:pStyle w:val="FootnoteText"/>
        <w:rPr>
          <w:lang w:val="en-ZA"/>
        </w:rPr>
      </w:pPr>
      <w:r w:rsidRPr="00725F55">
        <w:rPr>
          <w:rStyle w:val="FootnoteReference"/>
        </w:rPr>
        <w:footnoteRef/>
      </w:r>
      <w:r w:rsidRPr="00725F55">
        <w:t xml:space="preserve"> </w:t>
      </w:r>
      <w:r w:rsidR="00001254" w:rsidRPr="00001254">
        <w:rPr>
          <w:i/>
          <w:iCs/>
          <w:lang w:val="en-ZA"/>
        </w:rPr>
        <w:t>Cell C (Pty) Ltd v Commissioner for the South African Revenue Service</w:t>
      </w:r>
      <w:r w:rsidR="00001254" w:rsidRPr="00001254">
        <w:rPr>
          <w:lang w:val="en-ZA"/>
        </w:rPr>
        <w:t xml:space="preserve"> [2022] ZAGPPHC 152; 2022 (4) SA 183 (GP); 84 SATC 369.</w:t>
      </w:r>
    </w:p>
  </w:footnote>
  <w:footnote w:id="17">
    <w:p w:rsidR="00CA6227" w:rsidRPr="00725F55" w:rsidRDefault="00CA6227" w:rsidP="00725F55">
      <w:pPr>
        <w:pStyle w:val="FootnoteText"/>
        <w:jc w:val="both"/>
        <w:rPr>
          <w:lang w:val="en-ZA"/>
        </w:rPr>
      </w:pPr>
      <w:r w:rsidRPr="00725F55">
        <w:rPr>
          <w:rStyle w:val="FootnoteReference"/>
        </w:rPr>
        <w:footnoteRef/>
      </w:r>
      <w:r w:rsidRPr="00725F55">
        <w:t xml:space="preserve"> Ibid para 20.</w:t>
      </w:r>
    </w:p>
  </w:footnote>
  <w:footnote w:id="18">
    <w:p w:rsidR="00691629" w:rsidRPr="00691629" w:rsidRDefault="00691629">
      <w:pPr>
        <w:pStyle w:val="FootnoteText"/>
        <w:rPr>
          <w:lang w:val="en-ZA"/>
        </w:rPr>
      </w:pPr>
      <w:r>
        <w:rPr>
          <w:rStyle w:val="FootnoteReference"/>
        </w:rPr>
        <w:footnoteRef/>
      </w:r>
      <w:r>
        <w:t xml:space="preserve"> </w:t>
      </w:r>
      <w:r w:rsidRPr="00691629">
        <w:rPr>
          <w:lang w:val="en-ZA"/>
        </w:rPr>
        <w:t>Ibid para 36.</w:t>
      </w:r>
    </w:p>
  </w:footnote>
  <w:footnote w:id="19">
    <w:p w:rsidR="006B121C" w:rsidRPr="006B121C" w:rsidRDefault="006B121C">
      <w:pPr>
        <w:pStyle w:val="FootnoteText"/>
        <w:rPr>
          <w:lang w:val="en-ZA"/>
        </w:rPr>
      </w:pPr>
      <w:r w:rsidRPr="006B121C">
        <w:rPr>
          <w:rStyle w:val="FootnoteReference"/>
        </w:rPr>
        <w:footnoteRef/>
      </w:r>
      <w:r w:rsidRPr="006B121C">
        <w:t xml:space="preserve"> </w:t>
      </w:r>
      <w:r w:rsidRPr="006B121C">
        <w:rPr>
          <w:i/>
        </w:rPr>
        <w:t xml:space="preserve">Zondi v MEC for Traditional and Local Government Affairs and others </w:t>
      </w:r>
      <w:r w:rsidRPr="006B121C">
        <w:t>2005 (3) SA 589 (CC)</w:t>
      </w:r>
      <w:r>
        <w:t>.</w:t>
      </w:r>
    </w:p>
  </w:footnote>
  <w:footnote w:id="20">
    <w:p w:rsidR="005A7E7B" w:rsidRPr="00C44717" w:rsidRDefault="005A7E7B" w:rsidP="00725F55">
      <w:pPr>
        <w:pStyle w:val="FootnoteText"/>
        <w:jc w:val="both"/>
      </w:pPr>
      <w:r w:rsidRPr="00C44717">
        <w:rPr>
          <w:rStyle w:val="FootnoteReference"/>
        </w:rPr>
        <w:footnoteRef/>
      </w:r>
      <w:r w:rsidRPr="00C44717">
        <w:t xml:space="preserve"> </w:t>
      </w:r>
      <w:r w:rsidR="006B121C">
        <w:t xml:space="preserve">Ibid </w:t>
      </w:r>
      <w:r>
        <w:t>para</w:t>
      </w:r>
      <w:r w:rsidR="006B121C">
        <w:t>s</w:t>
      </w:r>
      <w:r w:rsidR="00520A86">
        <w:t xml:space="preserve"> 101–</w:t>
      </w:r>
      <w:r>
        <w:t xml:space="preserve">102. See also </w:t>
      </w:r>
      <w:r w:rsidRPr="00C44717">
        <w:rPr>
          <w:i/>
        </w:rPr>
        <w:t>Walele</w:t>
      </w:r>
      <w:r>
        <w:rPr>
          <w:i/>
        </w:rPr>
        <w:t xml:space="preserve"> v City of Cape Town </w:t>
      </w:r>
      <w:r>
        <w:t>2008 (6) SA 129 (CC) para 51.</w:t>
      </w:r>
    </w:p>
  </w:footnote>
  <w:footnote w:id="21">
    <w:p w:rsidR="00E06016" w:rsidRPr="005A7E7B" w:rsidRDefault="00E06016" w:rsidP="00E06016">
      <w:pPr>
        <w:pStyle w:val="FootnoteText"/>
        <w:jc w:val="both"/>
      </w:pPr>
      <w:r>
        <w:rPr>
          <w:rStyle w:val="FootnoteReference"/>
        </w:rPr>
        <w:footnoteRef/>
      </w:r>
      <w:r>
        <w:t xml:space="preserve"> </w:t>
      </w:r>
      <w:r w:rsidR="00001254" w:rsidRPr="00001254">
        <w:rPr>
          <w:lang w:val="en-ZA"/>
        </w:rPr>
        <w:t xml:space="preserve">See for example </w:t>
      </w:r>
      <w:r w:rsidR="00001254" w:rsidRPr="00001254">
        <w:rPr>
          <w:i/>
          <w:lang w:val="en-ZA"/>
        </w:rPr>
        <w:t xml:space="preserve">Fedsure Life Assurance Limited and Others v Greater Johannesburg Transitional Metropolitan Council and Others </w:t>
      </w:r>
      <w:r w:rsidR="00001254" w:rsidRPr="00001254">
        <w:rPr>
          <w:lang w:val="en-ZA"/>
        </w:rPr>
        <w:t>[1998] ZACC 17; 1999 (1) SA 374.</w:t>
      </w:r>
    </w:p>
  </w:footnote>
  <w:footnote w:id="22">
    <w:p w:rsidR="005A7E7B" w:rsidRPr="005A7E7B" w:rsidRDefault="005A7E7B" w:rsidP="00725F55">
      <w:pPr>
        <w:pStyle w:val="FootnoteText"/>
        <w:jc w:val="both"/>
        <w:rPr>
          <w:i/>
        </w:rPr>
      </w:pPr>
      <w:r>
        <w:rPr>
          <w:rStyle w:val="FootnoteReference"/>
        </w:rPr>
        <w:footnoteRef/>
      </w:r>
      <w:r>
        <w:t xml:space="preserve"> </w:t>
      </w:r>
      <w:r>
        <w:rPr>
          <w:i/>
          <w:lang w:val="en-ZA"/>
        </w:rPr>
        <w:t xml:space="preserve">Pharmaceutical Manufacturers Association of SA and Another: In re Ex parte President of the Republic of South Africa and Others </w:t>
      </w:r>
      <w:r>
        <w:rPr>
          <w:lang w:val="en-ZA"/>
        </w:rPr>
        <w:t>2000 (2) SA 674 (CC) para 45.</w:t>
      </w:r>
      <w:r>
        <w:rPr>
          <w:i/>
          <w:lang w:val="en-ZA"/>
        </w:rPr>
        <w:t xml:space="preserve"> </w:t>
      </w:r>
    </w:p>
  </w:footnote>
  <w:footnote w:id="23">
    <w:p w:rsidR="00FE7461" w:rsidRPr="00FE7461" w:rsidRDefault="00FE7461" w:rsidP="00725F55">
      <w:pPr>
        <w:pStyle w:val="FootnoteText"/>
        <w:jc w:val="both"/>
        <w:rPr>
          <w:lang w:val="en-ZA"/>
        </w:rPr>
      </w:pPr>
      <w:r>
        <w:rPr>
          <w:rStyle w:val="FootnoteReference"/>
        </w:rPr>
        <w:footnoteRef/>
      </w:r>
      <w:r>
        <w:t xml:space="preserve"> See for example </w:t>
      </w:r>
      <w:r w:rsidRPr="00FE7461">
        <w:rPr>
          <w:i/>
          <w:lang w:val="en-ZA"/>
        </w:rPr>
        <w:t>Commissioner South African Revenue Services v Pretoria East Motors (Pty) Ltd</w:t>
      </w:r>
      <w:r>
        <w:rPr>
          <w:lang w:val="en-ZA"/>
        </w:rPr>
        <w:t xml:space="preserve"> </w:t>
      </w:r>
      <w:r w:rsidRPr="00FE7461">
        <w:rPr>
          <w:lang w:val="en-ZA"/>
        </w:rPr>
        <w:t>[2014] ZASCA 91; [2014] 3 All SA 266 (SCA); 2014 (5) SA 231 (SCA)</w:t>
      </w:r>
      <w:r>
        <w:rPr>
          <w:lang w:val="en-ZA"/>
        </w:rPr>
        <w:t xml:space="preserve"> para 11.</w:t>
      </w:r>
    </w:p>
  </w:footnote>
  <w:footnote w:id="24">
    <w:p w:rsidR="00D624ED" w:rsidRDefault="00D624ED" w:rsidP="00725F55">
      <w:pPr>
        <w:pStyle w:val="FootnoteText"/>
        <w:jc w:val="both"/>
      </w:pPr>
      <w:r>
        <w:rPr>
          <w:rStyle w:val="FootnoteReference"/>
        </w:rPr>
        <w:footnoteRef/>
      </w:r>
      <w:r>
        <w:t xml:space="preserve"> </w:t>
      </w:r>
      <w:r>
        <w:rPr>
          <w:lang w:val="en-ZA"/>
        </w:rPr>
        <w:t>Section 195 of the Constitution establishes various principles applicable to all organs of state including that ‘people's needs must be responded to’ and that ‘transparency must be fostered by providing the public with timely, accessible and accurate information’.</w:t>
      </w:r>
    </w:p>
  </w:footnote>
  <w:footnote w:id="25">
    <w:p w:rsidR="00D624ED" w:rsidRPr="00D624ED" w:rsidRDefault="00D624ED" w:rsidP="00725F55">
      <w:pPr>
        <w:pStyle w:val="FootnoteText"/>
        <w:jc w:val="both"/>
      </w:pPr>
      <w:r>
        <w:rPr>
          <w:rStyle w:val="FootnoteReference"/>
        </w:rPr>
        <w:footnoteRef/>
      </w:r>
      <w:r>
        <w:t xml:space="preserve"> </w:t>
      </w:r>
      <w:r w:rsidR="00001254" w:rsidRPr="00001254">
        <w:rPr>
          <w:i/>
          <w:lang w:val="en-ZA"/>
        </w:rPr>
        <w:t xml:space="preserve">Democratic Alliance and Others v Acting National Director of Public Prosecutions and Others </w:t>
      </w:r>
      <w:r w:rsidR="00001254" w:rsidRPr="00001254">
        <w:rPr>
          <w:iCs/>
          <w:lang w:val="en-ZA"/>
        </w:rPr>
        <w:t>[2012] ZASCA 15;</w:t>
      </w:r>
      <w:r w:rsidR="00001254" w:rsidRPr="00001254">
        <w:rPr>
          <w:i/>
          <w:lang w:val="en-ZA"/>
        </w:rPr>
        <w:t xml:space="preserve"> </w:t>
      </w:r>
      <w:r w:rsidR="00001254" w:rsidRPr="00001254">
        <w:rPr>
          <w:lang w:val="en-ZA"/>
        </w:rPr>
        <w:t>2012 (3) SA 486 (SCA) para 37 (</w:t>
      </w:r>
      <w:r w:rsidR="00001254" w:rsidRPr="00001254">
        <w:rPr>
          <w:i/>
          <w:iCs/>
          <w:lang w:val="en-ZA"/>
        </w:rPr>
        <w:t>DA v ANDPP</w:t>
      </w:r>
      <w:r w:rsidR="00001254" w:rsidRPr="00001254">
        <w:rPr>
          <w:lang w:val="en-ZA"/>
        </w:rPr>
        <w:t>).</w:t>
      </w:r>
    </w:p>
  </w:footnote>
  <w:footnote w:id="26">
    <w:p w:rsidR="00DD5FD2" w:rsidRPr="00DD5FD2" w:rsidRDefault="00DD5FD2" w:rsidP="00725F55">
      <w:pPr>
        <w:pStyle w:val="FootnoteText"/>
        <w:jc w:val="both"/>
        <w:rPr>
          <w:lang w:val="en-ZA"/>
        </w:rPr>
      </w:pPr>
      <w:r>
        <w:rPr>
          <w:rStyle w:val="FootnoteReference"/>
        </w:rPr>
        <w:footnoteRef/>
      </w:r>
      <w:r>
        <w:t xml:space="preserve"> </w:t>
      </w:r>
      <w:r w:rsidRPr="00FE7461">
        <w:rPr>
          <w:i/>
          <w:lang w:val="en-ZA"/>
        </w:rPr>
        <w:t>Commissioner South African Revenue Services v Pretoria East Motors (Pty) Ltd</w:t>
      </w:r>
      <w:r>
        <w:rPr>
          <w:lang w:val="en-ZA"/>
        </w:rPr>
        <w:t xml:space="preserve"> </w:t>
      </w:r>
      <w:r w:rsidR="0067050A" w:rsidRPr="0067050A">
        <w:rPr>
          <w:lang w:val="en-ZA"/>
        </w:rPr>
        <w:t>fn 22</w:t>
      </w:r>
      <w:r>
        <w:rPr>
          <w:lang w:val="en-ZA"/>
        </w:rPr>
        <w:t xml:space="preserve"> above.</w:t>
      </w:r>
    </w:p>
  </w:footnote>
  <w:footnote w:id="27">
    <w:p w:rsidR="001317EE" w:rsidRPr="001317EE" w:rsidRDefault="001317EE" w:rsidP="00725F55">
      <w:pPr>
        <w:pStyle w:val="FootnoteText"/>
        <w:jc w:val="both"/>
      </w:pPr>
      <w:r>
        <w:rPr>
          <w:rStyle w:val="FootnoteReference"/>
        </w:rPr>
        <w:footnoteRef/>
      </w:r>
      <w:r>
        <w:t xml:space="preserve"> </w:t>
      </w:r>
      <w:r>
        <w:rPr>
          <w:i/>
          <w:lang w:val="en-ZA"/>
        </w:rPr>
        <w:t xml:space="preserve">Fedsure Life Assurance Limited and Others v Greater Johannesburg Transitional Metropolitan Council and Others </w:t>
      </w:r>
      <w:r w:rsidR="0067050A" w:rsidRPr="0067050A">
        <w:rPr>
          <w:lang w:val="en-ZA"/>
        </w:rPr>
        <w:t xml:space="preserve">fn </w:t>
      </w:r>
      <w:r w:rsidRPr="0067050A">
        <w:rPr>
          <w:lang w:val="en-ZA"/>
        </w:rPr>
        <w:t>2</w:t>
      </w:r>
      <w:r w:rsidR="0067050A">
        <w:rPr>
          <w:lang w:val="en-ZA"/>
        </w:rPr>
        <w:t>0</w:t>
      </w:r>
      <w:r w:rsidRPr="001317EE">
        <w:rPr>
          <w:lang w:val="en-ZA"/>
        </w:rPr>
        <w:t xml:space="preserve"> above</w:t>
      </w:r>
      <w:r>
        <w:rPr>
          <w:i/>
          <w:lang w:val="en-ZA"/>
        </w:rPr>
        <w:t xml:space="preserve"> </w:t>
      </w:r>
      <w:r w:rsidR="0050622F">
        <w:rPr>
          <w:lang w:val="en-ZA"/>
        </w:rPr>
        <w:t>para 40</w:t>
      </w:r>
      <w:r>
        <w:rPr>
          <w:lang w:val="en-ZA"/>
        </w:rPr>
        <w:t>.</w:t>
      </w:r>
    </w:p>
  </w:footnote>
  <w:footnote w:id="28">
    <w:p w:rsidR="005B1B6B" w:rsidRPr="003E1450" w:rsidRDefault="005B1B6B" w:rsidP="00725F55">
      <w:pPr>
        <w:pStyle w:val="FootnoteText"/>
        <w:jc w:val="both"/>
        <w:rPr>
          <w:lang w:val="en-ZA"/>
        </w:rPr>
      </w:pPr>
      <w:r>
        <w:rPr>
          <w:rStyle w:val="FootnoteReference"/>
        </w:rPr>
        <w:footnoteRef/>
      </w:r>
      <w:r>
        <w:t xml:space="preserve"> </w:t>
      </w:r>
      <w:r>
        <w:rPr>
          <w:lang w:val="en-ZA"/>
        </w:rPr>
        <w:t xml:space="preserve">See </w:t>
      </w:r>
      <w:r>
        <w:rPr>
          <w:i/>
          <w:lang w:val="en-ZA"/>
        </w:rPr>
        <w:t xml:space="preserve">Nedbank Ltd v Mateman and Others; Nedbank Ltd v Stringer and Another </w:t>
      </w:r>
      <w:r w:rsidR="00195FEB">
        <w:rPr>
          <w:lang w:val="en-ZA"/>
        </w:rPr>
        <w:t>2008 (4) SA 276 (T) at 280I–</w:t>
      </w:r>
      <w:r>
        <w:rPr>
          <w:lang w:val="en-ZA"/>
        </w:rPr>
        <w:t>281I and the cases there cited.</w:t>
      </w:r>
    </w:p>
  </w:footnote>
  <w:footnote w:id="29">
    <w:p w:rsidR="00B752ED" w:rsidRPr="00F2036F" w:rsidRDefault="00B752ED" w:rsidP="00725F55">
      <w:pPr>
        <w:pStyle w:val="FootnoteText"/>
        <w:jc w:val="both"/>
      </w:pPr>
      <w:r>
        <w:rPr>
          <w:rStyle w:val="FootnoteReference"/>
        </w:rPr>
        <w:footnoteRef/>
      </w:r>
      <w:r>
        <w:t xml:space="preserve"> </w:t>
      </w:r>
      <w:r>
        <w:rPr>
          <w:i/>
          <w:lang w:val="en-ZA"/>
        </w:rPr>
        <w:t xml:space="preserve">De </w:t>
      </w:r>
      <w:r w:rsidR="00F2036F">
        <w:rPr>
          <w:i/>
          <w:lang w:val="en-ZA"/>
        </w:rPr>
        <w:t>Lille v Speaker of the National Assembly</w:t>
      </w:r>
      <w:r w:rsidR="00195FEB">
        <w:rPr>
          <w:lang w:val="en-ZA"/>
        </w:rPr>
        <w:t xml:space="preserve"> 1998 (3) SA 430 (C) para 40–</w:t>
      </w:r>
      <w:r w:rsidR="00F2036F">
        <w:rPr>
          <w:lang w:val="en-ZA"/>
        </w:rPr>
        <w:t>41.</w:t>
      </w:r>
    </w:p>
  </w:footnote>
  <w:footnote w:id="30">
    <w:p w:rsidR="00511EDC" w:rsidRDefault="00511EDC" w:rsidP="009F79E9">
      <w:pPr>
        <w:pStyle w:val="FootnoteText"/>
        <w:jc w:val="both"/>
      </w:pPr>
      <w:r>
        <w:rPr>
          <w:rStyle w:val="FootnoteReference"/>
        </w:rPr>
        <w:footnoteRef/>
      </w:r>
      <w:r>
        <w:t xml:space="preserve"> </w:t>
      </w:r>
      <w:r w:rsidR="00195FEB" w:rsidRPr="009200D2">
        <w:rPr>
          <w:i/>
        </w:rPr>
        <w:t>Riddick v Th</w:t>
      </w:r>
      <w:r w:rsidR="00195FEB">
        <w:rPr>
          <w:i/>
        </w:rPr>
        <w:t>a</w:t>
      </w:r>
      <w:r w:rsidR="00195FEB" w:rsidRPr="009200D2">
        <w:rPr>
          <w:i/>
        </w:rPr>
        <w:t>m</w:t>
      </w:r>
      <w:r w:rsidR="00195FEB">
        <w:rPr>
          <w:i/>
        </w:rPr>
        <w:t>e</w:t>
      </w:r>
      <w:r w:rsidR="00195FEB" w:rsidRPr="009200D2">
        <w:rPr>
          <w:i/>
        </w:rPr>
        <w:t xml:space="preserve">s Board Mills Ltd </w:t>
      </w:r>
      <w:r w:rsidR="00195FEB" w:rsidRPr="009200D2">
        <w:t xml:space="preserve">[1977] 3 All </w:t>
      </w:r>
      <w:r w:rsidR="00195FEB">
        <w:t>E</w:t>
      </w:r>
      <w:r w:rsidR="00195FEB" w:rsidRPr="009200D2">
        <w:t>R 677 (CA) at 687.</w:t>
      </w:r>
    </w:p>
  </w:footnote>
  <w:footnote w:id="31">
    <w:p w:rsidR="00775E36" w:rsidRPr="00775E36" w:rsidRDefault="00775E36" w:rsidP="009F79E9">
      <w:pPr>
        <w:pStyle w:val="FootnoteText"/>
        <w:jc w:val="both"/>
        <w:rPr>
          <w:lang w:val="en-ZA"/>
        </w:rPr>
      </w:pPr>
      <w:r>
        <w:rPr>
          <w:rStyle w:val="FootnoteReference"/>
        </w:rPr>
        <w:footnoteRef/>
      </w:r>
      <w:r>
        <w:t xml:space="preserve"> </w:t>
      </w:r>
      <w:r w:rsidRPr="00775E36">
        <w:rPr>
          <w:i/>
          <w:lang w:val="en-ZA"/>
        </w:rPr>
        <w:t>DA v Acting NDPP</w:t>
      </w:r>
      <w:r>
        <w:rPr>
          <w:lang w:val="en-ZA"/>
        </w:rPr>
        <w:t xml:space="preserve"> 2012 (3) SA 486 (SCA) para 37.</w:t>
      </w:r>
    </w:p>
  </w:footnote>
  <w:footnote w:id="32">
    <w:p w:rsidR="00775E36" w:rsidRPr="00775E36" w:rsidRDefault="00775E36" w:rsidP="009F79E9">
      <w:pPr>
        <w:pStyle w:val="FootnoteText"/>
        <w:jc w:val="both"/>
        <w:rPr>
          <w:lang w:val="en-ZA"/>
        </w:rPr>
      </w:pPr>
      <w:r>
        <w:rPr>
          <w:rStyle w:val="FootnoteReference"/>
        </w:rPr>
        <w:footnoteRef/>
      </w:r>
      <w:r>
        <w:t xml:space="preserve"> </w:t>
      </w:r>
      <w:r w:rsidRPr="00775E36">
        <w:rPr>
          <w:i/>
          <w:lang w:val="en-ZA"/>
        </w:rPr>
        <w:t>Helen Suzman Foundation v Judicial Service Commission</w:t>
      </w:r>
      <w:r>
        <w:rPr>
          <w:lang w:val="en-ZA"/>
        </w:rPr>
        <w:t xml:space="preserve"> 2018 (4) SA 1 (CC) para 59.</w:t>
      </w:r>
    </w:p>
  </w:footnote>
  <w:footnote w:id="33">
    <w:p w:rsidR="00842ED1" w:rsidRDefault="00842ED1" w:rsidP="009F79E9">
      <w:pPr>
        <w:pStyle w:val="FootnoteText"/>
        <w:jc w:val="both"/>
      </w:pPr>
      <w:r>
        <w:rPr>
          <w:rStyle w:val="FootnoteReference"/>
        </w:rPr>
        <w:footnoteRef/>
      </w:r>
      <w:r>
        <w:t xml:space="preserve"> Ibid paras 64 - 68 and 77</w:t>
      </w:r>
    </w:p>
  </w:footnote>
  <w:footnote w:id="34">
    <w:p w:rsidR="00B91069" w:rsidRPr="00443F5D" w:rsidRDefault="00B91069" w:rsidP="00725F55">
      <w:pPr>
        <w:pStyle w:val="FootnoteText"/>
        <w:jc w:val="both"/>
      </w:pPr>
      <w:r>
        <w:rPr>
          <w:rStyle w:val="FootnoteReference"/>
        </w:rPr>
        <w:footnoteRef/>
      </w:r>
      <w:r>
        <w:t xml:space="preserve"> </w:t>
      </w:r>
      <w:r w:rsidR="00443F5D" w:rsidRPr="00443F5D">
        <w:rPr>
          <w:i/>
        </w:rPr>
        <w:t>Standard Bank</w:t>
      </w:r>
      <w:r w:rsidR="00443F5D" w:rsidRPr="00443F5D">
        <w:t xml:space="preserve"> fn 1 </w:t>
      </w:r>
      <w:r w:rsidR="0067050A">
        <w:t xml:space="preserve">above </w:t>
      </w:r>
      <w:r w:rsidR="00443F5D" w:rsidRPr="00443F5D">
        <w:t>para 120.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277799"/>
      <w:docPartObj>
        <w:docPartGallery w:val="Page Numbers (Top of Page)"/>
        <w:docPartUnique/>
      </w:docPartObj>
    </w:sdtPr>
    <w:sdtEndPr>
      <w:rPr>
        <w:noProof/>
      </w:rPr>
    </w:sdtEndPr>
    <w:sdtContent>
      <w:p w:rsidR="009B2BE6" w:rsidRDefault="009B2BE6">
        <w:pPr>
          <w:pStyle w:val="Header"/>
          <w:jc w:val="right"/>
        </w:pPr>
        <w:r>
          <w:fldChar w:fldCharType="begin"/>
        </w:r>
        <w:r>
          <w:instrText xml:space="preserve"> PAGE   \* MERGEFORMAT </w:instrText>
        </w:r>
        <w:r>
          <w:fldChar w:fldCharType="separate"/>
        </w:r>
        <w:r w:rsidR="003F5593">
          <w:rPr>
            <w:noProof/>
          </w:rPr>
          <w:t>16</w:t>
        </w:r>
        <w:r>
          <w:rPr>
            <w:noProof/>
          </w:rPr>
          <w:fldChar w:fldCharType="end"/>
        </w:r>
      </w:p>
    </w:sdtContent>
  </w:sdt>
  <w:p w:rsidR="009B2BE6" w:rsidRDefault="009B2B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8C2"/>
    <w:multiLevelType w:val="hybridMultilevel"/>
    <w:tmpl w:val="DC58DF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975732"/>
    <w:multiLevelType w:val="multilevel"/>
    <w:tmpl w:val="3FB458C0"/>
    <w:lvl w:ilvl="0">
      <w:start w:val="11"/>
      <w:numFmt w:val="decimal"/>
      <w:lvlText w:val="%1"/>
      <w:lvlJc w:val="left"/>
      <w:pPr>
        <w:ind w:left="2037" w:hanging="535"/>
      </w:pPr>
      <w:rPr>
        <w:rFonts w:hint="default"/>
        <w:spacing w:val="-1"/>
        <w:w w:val="96"/>
        <w:lang w:val="en-US" w:eastAsia="en-US" w:bidi="ar-SA"/>
      </w:rPr>
    </w:lvl>
    <w:lvl w:ilvl="1">
      <w:start w:val="1"/>
      <w:numFmt w:val="decimal"/>
      <w:lvlText w:val="%1.%2"/>
      <w:lvlJc w:val="left"/>
      <w:pPr>
        <w:ind w:left="2678" w:hanging="635"/>
      </w:pPr>
      <w:rPr>
        <w:rFonts w:hint="default"/>
        <w:spacing w:val="-1"/>
        <w:w w:val="95"/>
        <w:lang w:val="en-US" w:eastAsia="en-US" w:bidi="ar-SA"/>
      </w:rPr>
    </w:lvl>
    <w:lvl w:ilvl="2">
      <w:start w:val="1"/>
      <w:numFmt w:val="decimal"/>
      <w:lvlText w:val="%1.%2.%3"/>
      <w:lvlJc w:val="left"/>
      <w:pPr>
        <w:ind w:left="3518" w:hanging="846"/>
      </w:pPr>
      <w:rPr>
        <w:rFonts w:ascii="Arial" w:eastAsia="Arial" w:hAnsi="Arial" w:cs="Arial" w:hint="default"/>
        <w:b w:val="0"/>
        <w:bCs w:val="0"/>
        <w:i w:val="0"/>
        <w:iCs w:val="0"/>
        <w:spacing w:val="-1"/>
        <w:w w:val="95"/>
        <w:sz w:val="23"/>
        <w:szCs w:val="23"/>
        <w:lang w:val="en-US" w:eastAsia="en-US" w:bidi="ar-SA"/>
      </w:rPr>
    </w:lvl>
    <w:lvl w:ilvl="3">
      <w:numFmt w:val="bullet"/>
      <w:lvlText w:val="•"/>
      <w:lvlJc w:val="left"/>
      <w:pPr>
        <w:ind w:left="2680" w:hanging="846"/>
      </w:pPr>
      <w:rPr>
        <w:rFonts w:hint="default"/>
        <w:lang w:val="en-US" w:eastAsia="en-US" w:bidi="ar-SA"/>
      </w:rPr>
    </w:lvl>
    <w:lvl w:ilvl="4">
      <w:numFmt w:val="bullet"/>
      <w:lvlText w:val="•"/>
      <w:lvlJc w:val="left"/>
      <w:pPr>
        <w:ind w:left="2880" w:hanging="846"/>
      </w:pPr>
      <w:rPr>
        <w:rFonts w:hint="default"/>
        <w:lang w:val="en-US" w:eastAsia="en-US" w:bidi="ar-SA"/>
      </w:rPr>
    </w:lvl>
    <w:lvl w:ilvl="5">
      <w:numFmt w:val="bullet"/>
      <w:lvlText w:val="•"/>
      <w:lvlJc w:val="left"/>
      <w:pPr>
        <w:ind w:left="3520" w:hanging="846"/>
      </w:pPr>
      <w:rPr>
        <w:rFonts w:hint="default"/>
        <w:lang w:val="en-US" w:eastAsia="en-US" w:bidi="ar-SA"/>
      </w:rPr>
    </w:lvl>
    <w:lvl w:ilvl="6">
      <w:numFmt w:val="bullet"/>
      <w:lvlText w:val="•"/>
      <w:lvlJc w:val="left"/>
      <w:pPr>
        <w:ind w:left="5120" w:hanging="846"/>
      </w:pPr>
      <w:rPr>
        <w:rFonts w:hint="default"/>
        <w:lang w:val="en-US" w:eastAsia="en-US" w:bidi="ar-SA"/>
      </w:rPr>
    </w:lvl>
    <w:lvl w:ilvl="7">
      <w:numFmt w:val="bullet"/>
      <w:lvlText w:val="•"/>
      <w:lvlJc w:val="left"/>
      <w:pPr>
        <w:ind w:left="6720" w:hanging="846"/>
      </w:pPr>
      <w:rPr>
        <w:rFonts w:hint="default"/>
        <w:lang w:val="en-US" w:eastAsia="en-US" w:bidi="ar-SA"/>
      </w:rPr>
    </w:lvl>
    <w:lvl w:ilvl="8">
      <w:numFmt w:val="bullet"/>
      <w:lvlText w:val="•"/>
      <w:lvlJc w:val="left"/>
      <w:pPr>
        <w:ind w:left="8320" w:hanging="846"/>
      </w:pPr>
      <w:rPr>
        <w:rFonts w:hint="default"/>
        <w:lang w:val="en-US" w:eastAsia="en-US" w:bidi="ar-SA"/>
      </w:rPr>
    </w:lvl>
  </w:abstractNum>
  <w:abstractNum w:abstractNumId="2" w15:restartNumberingAfterBreak="0">
    <w:nsid w:val="31BC3229"/>
    <w:multiLevelType w:val="hybridMultilevel"/>
    <w:tmpl w:val="10840146"/>
    <w:lvl w:ilvl="0" w:tplc="3F7AA8E0">
      <w:start w:val="62"/>
      <w:numFmt w:val="decimal"/>
      <w:lvlText w:val="%1"/>
      <w:lvlJc w:val="left"/>
      <w:pPr>
        <w:ind w:left="1717" w:hanging="265"/>
      </w:pPr>
      <w:rPr>
        <w:rFonts w:ascii="Arial" w:eastAsia="Arial" w:hAnsi="Arial" w:cs="Arial" w:hint="default"/>
        <w:b w:val="0"/>
        <w:bCs w:val="0"/>
        <w:i w:val="0"/>
        <w:iCs w:val="0"/>
        <w:spacing w:val="-1"/>
        <w:w w:val="63"/>
        <w:position w:val="6"/>
        <w:sz w:val="17"/>
        <w:szCs w:val="17"/>
        <w:lang w:val="en-US" w:eastAsia="en-US" w:bidi="ar-SA"/>
      </w:rPr>
    </w:lvl>
    <w:lvl w:ilvl="1" w:tplc="25C09444">
      <w:start w:val="67"/>
      <w:numFmt w:val="decimal"/>
      <w:lvlText w:val="%2"/>
      <w:lvlJc w:val="left"/>
      <w:pPr>
        <w:ind w:left="2066" w:hanging="530"/>
      </w:pPr>
      <w:rPr>
        <w:rFonts w:hint="default"/>
        <w:spacing w:val="-1"/>
        <w:w w:val="91"/>
        <w:lang w:val="en-US" w:eastAsia="en-US" w:bidi="ar-SA"/>
      </w:rPr>
    </w:lvl>
    <w:lvl w:ilvl="2" w:tplc="8A7C3530">
      <w:numFmt w:val="bullet"/>
      <w:lvlText w:val="•"/>
      <w:lvlJc w:val="left"/>
      <w:pPr>
        <w:ind w:left="2060" w:hanging="530"/>
      </w:pPr>
      <w:rPr>
        <w:rFonts w:hint="default"/>
        <w:lang w:val="en-US" w:eastAsia="en-US" w:bidi="ar-SA"/>
      </w:rPr>
    </w:lvl>
    <w:lvl w:ilvl="3" w:tplc="F38849C2">
      <w:numFmt w:val="bullet"/>
      <w:lvlText w:val="•"/>
      <w:lvlJc w:val="left"/>
      <w:pPr>
        <w:ind w:left="2280" w:hanging="530"/>
      </w:pPr>
      <w:rPr>
        <w:rFonts w:hint="default"/>
        <w:lang w:val="en-US" w:eastAsia="en-US" w:bidi="ar-SA"/>
      </w:rPr>
    </w:lvl>
    <w:lvl w:ilvl="4" w:tplc="EA0C5B7A">
      <w:numFmt w:val="bullet"/>
      <w:lvlText w:val="•"/>
      <w:lvlJc w:val="left"/>
      <w:pPr>
        <w:ind w:left="2680" w:hanging="530"/>
      </w:pPr>
      <w:rPr>
        <w:rFonts w:hint="default"/>
        <w:lang w:val="en-US" w:eastAsia="en-US" w:bidi="ar-SA"/>
      </w:rPr>
    </w:lvl>
    <w:lvl w:ilvl="5" w:tplc="BDA04DB2">
      <w:numFmt w:val="bullet"/>
      <w:lvlText w:val="•"/>
      <w:lvlJc w:val="left"/>
      <w:pPr>
        <w:ind w:left="4153" w:hanging="530"/>
      </w:pPr>
      <w:rPr>
        <w:rFonts w:hint="default"/>
        <w:lang w:val="en-US" w:eastAsia="en-US" w:bidi="ar-SA"/>
      </w:rPr>
    </w:lvl>
    <w:lvl w:ilvl="6" w:tplc="09EE2A42">
      <w:numFmt w:val="bullet"/>
      <w:lvlText w:val="•"/>
      <w:lvlJc w:val="left"/>
      <w:pPr>
        <w:ind w:left="5626" w:hanging="530"/>
      </w:pPr>
      <w:rPr>
        <w:rFonts w:hint="default"/>
        <w:lang w:val="en-US" w:eastAsia="en-US" w:bidi="ar-SA"/>
      </w:rPr>
    </w:lvl>
    <w:lvl w:ilvl="7" w:tplc="76FE75A0">
      <w:numFmt w:val="bullet"/>
      <w:lvlText w:val="•"/>
      <w:lvlJc w:val="left"/>
      <w:pPr>
        <w:ind w:left="7100" w:hanging="530"/>
      </w:pPr>
      <w:rPr>
        <w:rFonts w:hint="default"/>
        <w:lang w:val="en-US" w:eastAsia="en-US" w:bidi="ar-SA"/>
      </w:rPr>
    </w:lvl>
    <w:lvl w:ilvl="8" w:tplc="0FAED064">
      <w:numFmt w:val="bullet"/>
      <w:lvlText w:val="•"/>
      <w:lvlJc w:val="left"/>
      <w:pPr>
        <w:ind w:left="8573" w:hanging="530"/>
      </w:pPr>
      <w:rPr>
        <w:rFonts w:hint="default"/>
        <w:lang w:val="en-US" w:eastAsia="en-US" w:bidi="ar-SA"/>
      </w:rPr>
    </w:lvl>
  </w:abstractNum>
  <w:abstractNum w:abstractNumId="3" w15:restartNumberingAfterBreak="0">
    <w:nsid w:val="55FB4366"/>
    <w:multiLevelType w:val="multilevel"/>
    <w:tmpl w:val="8806DF0C"/>
    <w:lvl w:ilvl="0">
      <w:start w:val="78"/>
      <w:numFmt w:val="decimal"/>
      <w:lvlText w:val="%1"/>
      <w:lvlJc w:val="left"/>
      <w:pPr>
        <w:ind w:left="2000" w:hanging="523"/>
        <w:jc w:val="right"/>
      </w:pPr>
      <w:rPr>
        <w:rFonts w:hint="default"/>
        <w:spacing w:val="-1"/>
        <w:w w:val="98"/>
        <w:lang w:val="en-US" w:eastAsia="en-US" w:bidi="ar-SA"/>
      </w:rPr>
    </w:lvl>
    <w:lvl w:ilvl="1">
      <w:start w:val="1"/>
      <w:numFmt w:val="decimal"/>
      <w:lvlText w:val="%1.%2"/>
      <w:lvlJc w:val="left"/>
      <w:pPr>
        <w:ind w:left="2597" w:hanging="632"/>
        <w:jc w:val="right"/>
      </w:pPr>
      <w:rPr>
        <w:rFonts w:hint="default"/>
        <w:spacing w:val="-1"/>
        <w:w w:val="97"/>
        <w:lang w:val="en-US" w:eastAsia="en-US" w:bidi="ar-SA"/>
      </w:rPr>
    </w:lvl>
    <w:lvl w:ilvl="2">
      <w:start w:val="1"/>
      <w:numFmt w:val="lowerLetter"/>
      <w:lvlText w:val="(%3)"/>
      <w:lvlJc w:val="left"/>
      <w:pPr>
        <w:ind w:left="2891" w:hanging="632"/>
      </w:pPr>
      <w:rPr>
        <w:rFonts w:ascii="Arial" w:eastAsia="Arial" w:hAnsi="Arial" w:cs="Arial" w:hint="default"/>
        <w:b w:val="0"/>
        <w:bCs w:val="0"/>
        <w:i w:val="0"/>
        <w:iCs w:val="0"/>
        <w:spacing w:val="-1"/>
        <w:w w:val="90"/>
        <w:sz w:val="22"/>
        <w:szCs w:val="22"/>
        <w:lang w:val="en-US" w:eastAsia="en-US" w:bidi="ar-SA"/>
      </w:rPr>
    </w:lvl>
    <w:lvl w:ilvl="3">
      <w:numFmt w:val="bullet"/>
      <w:lvlText w:val="•"/>
      <w:lvlJc w:val="left"/>
      <w:pPr>
        <w:ind w:left="2680" w:hanging="632"/>
      </w:pPr>
      <w:rPr>
        <w:rFonts w:hint="default"/>
        <w:lang w:val="en-US" w:eastAsia="en-US" w:bidi="ar-SA"/>
      </w:rPr>
    </w:lvl>
    <w:lvl w:ilvl="4">
      <w:numFmt w:val="bullet"/>
      <w:lvlText w:val="•"/>
      <w:lvlJc w:val="left"/>
      <w:pPr>
        <w:ind w:left="2700" w:hanging="632"/>
      </w:pPr>
      <w:rPr>
        <w:rFonts w:hint="default"/>
        <w:lang w:val="en-US" w:eastAsia="en-US" w:bidi="ar-SA"/>
      </w:rPr>
    </w:lvl>
    <w:lvl w:ilvl="5">
      <w:numFmt w:val="bullet"/>
      <w:lvlText w:val="•"/>
      <w:lvlJc w:val="left"/>
      <w:pPr>
        <w:ind w:left="2720" w:hanging="632"/>
      </w:pPr>
      <w:rPr>
        <w:rFonts w:hint="default"/>
        <w:lang w:val="en-US" w:eastAsia="en-US" w:bidi="ar-SA"/>
      </w:rPr>
    </w:lvl>
    <w:lvl w:ilvl="6">
      <w:numFmt w:val="bullet"/>
      <w:lvlText w:val="•"/>
      <w:lvlJc w:val="left"/>
      <w:pPr>
        <w:ind w:left="2900" w:hanging="632"/>
      </w:pPr>
      <w:rPr>
        <w:rFonts w:hint="default"/>
        <w:lang w:val="en-US" w:eastAsia="en-US" w:bidi="ar-SA"/>
      </w:rPr>
    </w:lvl>
    <w:lvl w:ilvl="7">
      <w:numFmt w:val="bullet"/>
      <w:lvlText w:val="•"/>
      <w:lvlJc w:val="left"/>
      <w:pPr>
        <w:ind w:left="5055" w:hanging="632"/>
      </w:pPr>
      <w:rPr>
        <w:rFonts w:hint="default"/>
        <w:lang w:val="en-US" w:eastAsia="en-US" w:bidi="ar-SA"/>
      </w:rPr>
    </w:lvl>
    <w:lvl w:ilvl="8">
      <w:numFmt w:val="bullet"/>
      <w:lvlText w:val="•"/>
      <w:lvlJc w:val="left"/>
      <w:pPr>
        <w:ind w:left="7210" w:hanging="632"/>
      </w:pPr>
      <w:rPr>
        <w:rFonts w:hint="default"/>
        <w:lang w:val="en-US" w:eastAsia="en-US" w:bidi="ar-SA"/>
      </w:rPr>
    </w:lvl>
  </w:abstractNum>
  <w:abstractNum w:abstractNumId="4" w15:restartNumberingAfterBreak="0">
    <w:nsid w:val="675C086F"/>
    <w:multiLevelType w:val="multilevel"/>
    <w:tmpl w:val="58CAACFE"/>
    <w:lvl w:ilvl="0">
      <w:start w:val="1"/>
      <w:numFmt w:val="decimal"/>
      <w:lvlText w:val="%1"/>
      <w:lvlJc w:val="left"/>
      <w:pPr>
        <w:ind w:left="2026" w:hanging="522"/>
      </w:pPr>
      <w:rPr>
        <w:rFonts w:ascii="Arial" w:eastAsia="Arial" w:hAnsi="Arial" w:cs="Arial" w:hint="default"/>
        <w:b w:val="0"/>
        <w:bCs w:val="0"/>
        <w:i w:val="0"/>
        <w:iCs w:val="0"/>
        <w:w w:val="104"/>
        <w:sz w:val="23"/>
        <w:szCs w:val="23"/>
        <w:lang w:val="en-US" w:eastAsia="en-US" w:bidi="ar-SA"/>
      </w:rPr>
    </w:lvl>
    <w:lvl w:ilvl="1">
      <w:start w:val="1"/>
      <w:numFmt w:val="decimal"/>
      <w:lvlText w:val="%1.%2"/>
      <w:lvlJc w:val="left"/>
      <w:pPr>
        <w:ind w:left="2655" w:hanging="643"/>
      </w:pPr>
      <w:rPr>
        <w:rFonts w:hint="default"/>
        <w:spacing w:val="-1"/>
        <w:w w:val="99"/>
        <w:lang w:val="en-US" w:eastAsia="en-US" w:bidi="ar-SA"/>
      </w:rPr>
    </w:lvl>
    <w:lvl w:ilvl="2">
      <w:numFmt w:val="bullet"/>
      <w:lvlText w:val="•"/>
      <w:lvlJc w:val="left"/>
      <w:pPr>
        <w:ind w:left="2660" w:hanging="643"/>
      </w:pPr>
      <w:rPr>
        <w:rFonts w:hint="default"/>
        <w:lang w:val="en-US" w:eastAsia="en-US" w:bidi="ar-SA"/>
      </w:rPr>
    </w:lvl>
    <w:lvl w:ilvl="3">
      <w:numFmt w:val="bullet"/>
      <w:lvlText w:val="•"/>
      <w:lvlJc w:val="left"/>
      <w:pPr>
        <w:ind w:left="3767" w:hanging="643"/>
      </w:pPr>
      <w:rPr>
        <w:rFonts w:hint="default"/>
        <w:lang w:val="en-US" w:eastAsia="en-US" w:bidi="ar-SA"/>
      </w:rPr>
    </w:lvl>
    <w:lvl w:ilvl="4">
      <w:numFmt w:val="bullet"/>
      <w:lvlText w:val="•"/>
      <w:lvlJc w:val="left"/>
      <w:pPr>
        <w:ind w:left="4875" w:hanging="643"/>
      </w:pPr>
      <w:rPr>
        <w:rFonts w:hint="default"/>
        <w:lang w:val="en-US" w:eastAsia="en-US" w:bidi="ar-SA"/>
      </w:rPr>
    </w:lvl>
    <w:lvl w:ilvl="5">
      <w:numFmt w:val="bullet"/>
      <w:lvlText w:val="•"/>
      <w:lvlJc w:val="left"/>
      <w:pPr>
        <w:ind w:left="5982" w:hanging="643"/>
      </w:pPr>
      <w:rPr>
        <w:rFonts w:hint="default"/>
        <w:lang w:val="en-US" w:eastAsia="en-US" w:bidi="ar-SA"/>
      </w:rPr>
    </w:lvl>
    <w:lvl w:ilvl="6">
      <w:numFmt w:val="bullet"/>
      <w:lvlText w:val="•"/>
      <w:lvlJc w:val="left"/>
      <w:pPr>
        <w:ind w:left="7090" w:hanging="643"/>
      </w:pPr>
      <w:rPr>
        <w:rFonts w:hint="default"/>
        <w:lang w:val="en-US" w:eastAsia="en-US" w:bidi="ar-SA"/>
      </w:rPr>
    </w:lvl>
    <w:lvl w:ilvl="7">
      <w:numFmt w:val="bullet"/>
      <w:lvlText w:val="•"/>
      <w:lvlJc w:val="left"/>
      <w:pPr>
        <w:ind w:left="8197" w:hanging="643"/>
      </w:pPr>
      <w:rPr>
        <w:rFonts w:hint="default"/>
        <w:lang w:val="en-US" w:eastAsia="en-US" w:bidi="ar-SA"/>
      </w:rPr>
    </w:lvl>
    <w:lvl w:ilvl="8">
      <w:numFmt w:val="bullet"/>
      <w:lvlText w:val="•"/>
      <w:lvlJc w:val="left"/>
      <w:pPr>
        <w:ind w:left="9305" w:hanging="643"/>
      </w:pPr>
      <w:rPr>
        <w:rFonts w:hint="default"/>
        <w:lang w:val="en-US" w:eastAsia="en-US" w:bidi="ar-SA"/>
      </w:rPr>
    </w:lvl>
  </w:abstractNum>
  <w:abstractNum w:abstractNumId="5" w15:restartNumberingAfterBreak="0">
    <w:nsid w:val="724A511A"/>
    <w:multiLevelType w:val="multilevel"/>
    <w:tmpl w:val="3D601218"/>
    <w:lvl w:ilvl="0">
      <w:start w:val="42"/>
      <w:numFmt w:val="decimal"/>
      <w:lvlText w:val="%1"/>
      <w:lvlJc w:val="left"/>
      <w:pPr>
        <w:ind w:left="1968" w:hanging="528"/>
        <w:jc w:val="right"/>
      </w:pPr>
      <w:rPr>
        <w:rFonts w:hint="default"/>
        <w:spacing w:val="-1"/>
        <w:w w:val="89"/>
        <w:lang w:val="en-US" w:eastAsia="en-US" w:bidi="ar-SA"/>
      </w:rPr>
    </w:lvl>
    <w:lvl w:ilvl="1">
      <w:start w:val="1"/>
      <w:numFmt w:val="decimal"/>
      <w:lvlText w:val="%1.%2"/>
      <w:lvlJc w:val="left"/>
      <w:pPr>
        <w:ind w:left="2635" w:hanging="624"/>
      </w:pPr>
      <w:rPr>
        <w:rFonts w:hint="default"/>
        <w:spacing w:val="-1"/>
        <w:w w:val="93"/>
        <w:lang w:val="en-US" w:eastAsia="en-US" w:bidi="ar-SA"/>
      </w:rPr>
    </w:lvl>
    <w:lvl w:ilvl="2">
      <w:numFmt w:val="bullet"/>
      <w:lvlText w:val="•"/>
      <w:lvlJc w:val="left"/>
      <w:pPr>
        <w:ind w:left="2660" w:hanging="624"/>
      </w:pPr>
      <w:rPr>
        <w:rFonts w:hint="default"/>
        <w:lang w:val="en-US" w:eastAsia="en-US" w:bidi="ar-SA"/>
      </w:rPr>
    </w:lvl>
    <w:lvl w:ilvl="3">
      <w:numFmt w:val="bullet"/>
      <w:lvlText w:val="•"/>
      <w:lvlJc w:val="left"/>
      <w:pPr>
        <w:ind w:left="2680" w:hanging="624"/>
      </w:pPr>
      <w:rPr>
        <w:rFonts w:hint="default"/>
        <w:lang w:val="en-US" w:eastAsia="en-US" w:bidi="ar-SA"/>
      </w:rPr>
    </w:lvl>
    <w:lvl w:ilvl="4">
      <w:numFmt w:val="bullet"/>
      <w:lvlText w:val="•"/>
      <w:lvlJc w:val="left"/>
      <w:pPr>
        <w:ind w:left="3942" w:hanging="624"/>
      </w:pPr>
      <w:rPr>
        <w:rFonts w:hint="default"/>
        <w:lang w:val="en-US" w:eastAsia="en-US" w:bidi="ar-SA"/>
      </w:rPr>
    </w:lvl>
    <w:lvl w:ilvl="5">
      <w:numFmt w:val="bullet"/>
      <w:lvlText w:val="•"/>
      <w:lvlJc w:val="left"/>
      <w:pPr>
        <w:ind w:left="5205" w:hanging="624"/>
      </w:pPr>
      <w:rPr>
        <w:rFonts w:hint="default"/>
        <w:lang w:val="en-US" w:eastAsia="en-US" w:bidi="ar-SA"/>
      </w:rPr>
    </w:lvl>
    <w:lvl w:ilvl="6">
      <w:numFmt w:val="bullet"/>
      <w:lvlText w:val="•"/>
      <w:lvlJc w:val="left"/>
      <w:pPr>
        <w:ind w:left="6468" w:hanging="624"/>
      </w:pPr>
      <w:rPr>
        <w:rFonts w:hint="default"/>
        <w:lang w:val="en-US" w:eastAsia="en-US" w:bidi="ar-SA"/>
      </w:rPr>
    </w:lvl>
    <w:lvl w:ilvl="7">
      <w:numFmt w:val="bullet"/>
      <w:lvlText w:val="•"/>
      <w:lvlJc w:val="left"/>
      <w:pPr>
        <w:ind w:left="7731" w:hanging="624"/>
      </w:pPr>
      <w:rPr>
        <w:rFonts w:hint="default"/>
        <w:lang w:val="en-US" w:eastAsia="en-US" w:bidi="ar-SA"/>
      </w:rPr>
    </w:lvl>
    <w:lvl w:ilvl="8">
      <w:numFmt w:val="bullet"/>
      <w:lvlText w:val="•"/>
      <w:lvlJc w:val="left"/>
      <w:pPr>
        <w:ind w:left="8994" w:hanging="624"/>
      </w:pPr>
      <w:rPr>
        <w:rFonts w:hint="default"/>
        <w:lang w:val="en-US" w:eastAsia="en-US" w:bidi="ar-SA"/>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7748284-CD50-4451-8D5F-6A341BBDF79F}"/>
    <w:docVar w:name="dgnword-eventsink" w:val="2619954508080"/>
  </w:docVars>
  <w:rsids>
    <w:rsidRoot w:val="00606BBA"/>
    <w:rsid w:val="00001254"/>
    <w:rsid w:val="00016715"/>
    <w:rsid w:val="00022B4F"/>
    <w:rsid w:val="00026EAB"/>
    <w:rsid w:val="00036E70"/>
    <w:rsid w:val="00050DDF"/>
    <w:rsid w:val="00063E67"/>
    <w:rsid w:val="00064A7C"/>
    <w:rsid w:val="00065C80"/>
    <w:rsid w:val="00073108"/>
    <w:rsid w:val="00082AAF"/>
    <w:rsid w:val="000E1E46"/>
    <w:rsid w:val="000F34BB"/>
    <w:rsid w:val="000F67F7"/>
    <w:rsid w:val="00110810"/>
    <w:rsid w:val="00112838"/>
    <w:rsid w:val="001317EE"/>
    <w:rsid w:val="001412BC"/>
    <w:rsid w:val="001416FE"/>
    <w:rsid w:val="0014283B"/>
    <w:rsid w:val="001430A6"/>
    <w:rsid w:val="0015050D"/>
    <w:rsid w:val="00171096"/>
    <w:rsid w:val="00195FEB"/>
    <w:rsid w:val="00225E35"/>
    <w:rsid w:val="00226E48"/>
    <w:rsid w:val="002739CD"/>
    <w:rsid w:val="002978A2"/>
    <w:rsid w:val="002E21E0"/>
    <w:rsid w:val="002F7461"/>
    <w:rsid w:val="0030581D"/>
    <w:rsid w:val="003069E6"/>
    <w:rsid w:val="00307B8A"/>
    <w:rsid w:val="00310B15"/>
    <w:rsid w:val="00311B61"/>
    <w:rsid w:val="0032096F"/>
    <w:rsid w:val="00324C86"/>
    <w:rsid w:val="00357A2F"/>
    <w:rsid w:val="003640C7"/>
    <w:rsid w:val="00377038"/>
    <w:rsid w:val="0038371D"/>
    <w:rsid w:val="003A177C"/>
    <w:rsid w:val="003A4985"/>
    <w:rsid w:val="003B083F"/>
    <w:rsid w:val="003D2B7D"/>
    <w:rsid w:val="003E1450"/>
    <w:rsid w:val="003E2F5C"/>
    <w:rsid w:val="003F1A00"/>
    <w:rsid w:val="003F3044"/>
    <w:rsid w:val="003F5593"/>
    <w:rsid w:val="00423216"/>
    <w:rsid w:val="004416C3"/>
    <w:rsid w:val="00443F5D"/>
    <w:rsid w:val="00447879"/>
    <w:rsid w:val="00453055"/>
    <w:rsid w:val="004B17BB"/>
    <w:rsid w:val="004C1FF2"/>
    <w:rsid w:val="004D128F"/>
    <w:rsid w:val="004E1B8E"/>
    <w:rsid w:val="004E2DFB"/>
    <w:rsid w:val="004E4009"/>
    <w:rsid w:val="004F601E"/>
    <w:rsid w:val="00500C7A"/>
    <w:rsid w:val="0050622F"/>
    <w:rsid w:val="00511EDC"/>
    <w:rsid w:val="00514E84"/>
    <w:rsid w:val="00520A86"/>
    <w:rsid w:val="00521E42"/>
    <w:rsid w:val="005265BC"/>
    <w:rsid w:val="00556DC9"/>
    <w:rsid w:val="00561A61"/>
    <w:rsid w:val="00576208"/>
    <w:rsid w:val="0058143F"/>
    <w:rsid w:val="00582927"/>
    <w:rsid w:val="005A7E7B"/>
    <w:rsid w:val="005B1B6B"/>
    <w:rsid w:val="005E0CC4"/>
    <w:rsid w:val="005E25D9"/>
    <w:rsid w:val="005F0AB0"/>
    <w:rsid w:val="005F64C6"/>
    <w:rsid w:val="00606BBA"/>
    <w:rsid w:val="00612B78"/>
    <w:rsid w:val="00623B2F"/>
    <w:rsid w:val="00624DD3"/>
    <w:rsid w:val="00643D88"/>
    <w:rsid w:val="006569B3"/>
    <w:rsid w:val="0067050A"/>
    <w:rsid w:val="00691629"/>
    <w:rsid w:val="006A0ED9"/>
    <w:rsid w:val="006B121C"/>
    <w:rsid w:val="006B7B93"/>
    <w:rsid w:val="006E19A8"/>
    <w:rsid w:val="006E2F1E"/>
    <w:rsid w:val="006E73BB"/>
    <w:rsid w:val="006F2E88"/>
    <w:rsid w:val="006F36D9"/>
    <w:rsid w:val="006F3EFD"/>
    <w:rsid w:val="007120FD"/>
    <w:rsid w:val="00725937"/>
    <w:rsid w:val="00725F55"/>
    <w:rsid w:val="00737DE2"/>
    <w:rsid w:val="00745BB2"/>
    <w:rsid w:val="00746874"/>
    <w:rsid w:val="00764106"/>
    <w:rsid w:val="00775E36"/>
    <w:rsid w:val="0078485A"/>
    <w:rsid w:val="007A39FA"/>
    <w:rsid w:val="007B447B"/>
    <w:rsid w:val="007B7651"/>
    <w:rsid w:val="007E3AD0"/>
    <w:rsid w:val="00801519"/>
    <w:rsid w:val="00806396"/>
    <w:rsid w:val="008076FD"/>
    <w:rsid w:val="00841857"/>
    <w:rsid w:val="00842ED1"/>
    <w:rsid w:val="00846434"/>
    <w:rsid w:val="00863C5D"/>
    <w:rsid w:val="009329EA"/>
    <w:rsid w:val="00937766"/>
    <w:rsid w:val="00955FC0"/>
    <w:rsid w:val="0095707A"/>
    <w:rsid w:val="00984DFC"/>
    <w:rsid w:val="009A4F9D"/>
    <w:rsid w:val="009B2BE6"/>
    <w:rsid w:val="009D0DCE"/>
    <w:rsid w:val="009D7ACC"/>
    <w:rsid w:val="009F54CC"/>
    <w:rsid w:val="009F79E9"/>
    <w:rsid w:val="00A0078E"/>
    <w:rsid w:val="00A026BC"/>
    <w:rsid w:val="00A14DB1"/>
    <w:rsid w:val="00A4765C"/>
    <w:rsid w:val="00A47679"/>
    <w:rsid w:val="00A678F9"/>
    <w:rsid w:val="00A7173D"/>
    <w:rsid w:val="00A81777"/>
    <w:rsid w:val="00A81E74"/>
    <w:rsid w:val="00AD2795"/>
    <w:rsid w:val="00B01272"/>
    <w:rsid w:val="00B41CA0"/>
    <w:rsid w:val="00B45AFA"/>
    <w:rsid w:val="00B47C40"/>
    <w:rsid w:val="00B56A86"/>
    <w:rsid w:val="00B752ED"/>
    <w:rsid w:val="00B91069"/>
    <w:rsid w:val="00BC3DCB"/>
    <w:rsid w:val="00BC5A77"/>
    <w:rsid w:val="00C15433"/>
    <w:rsid w:val="00C40342"/>
    <w:rsid w:val="00C44717"/>
    <w:rsid w:val="00C87899"/>
    <w:rsid w:val="00CA1EBC"/>
    <w:rsid w:val="00CA6227"/>
    <w:rsid w:val="00CC3A16"/>
    <w:rsid w:val="00CD429F"/>
    <w:rsid w:val="00CF2485"/>
    <w:rsid w:val="00CF45E2"/>
    <w:rsid w:val="00CF5C06"/>
    <w:rsid w:val="00D00B04"/>
    <w:rsid w:val="00D02EF1"/>
    <w:rsid w:val="00D063FA"/>
    <w:rsid w:val="00D3067C"/>
    <w:rsid w:val="00D35AFC"/>
    <w:rsid w:val="00D624ED"/>
    <w:rsid w:val="00D6326D"/>
    <w:rsid w:val="00D72974"/>
    <w:rsid w:val="00D73717"/>
    <w:rsid w:val="00D8167D"/>
    <w:rsid w:val="00D90D13"/>
    <w:rsid w:val="00DA26DF"/>
    <w:rsid w:val="00DC4C5F"/>
    <w:rsid w:val="00DC7A46"/>
    <w:rsid w:val="00DD5FD2"/>
    <w:rsid w:val="00E06016"/>
    <w:rsid w:val="00E14B80"/>
    <w:rsid w:val="00E57F0D"/>
    <w:rsid w:val="00E840CF"/>
    <w:rsid w:val="00E96653"/>
    <w:rsid w:val="00EB2F76"/>
    <w:rsid w:val="00EB6435"/>
    <w:rsid w:val="00ED1211"/>
    <w:rsid w:val="00EE3964"/>
    <w:rsid w:val="00EF0353"/>
    <w:rsid w:val="00EF642C"/>
    <w:rsid w:val="00EF6FF3"/>
    <w:rsid w:val="00F2036F"/>
    <w:rsid w:val="00F232C4"/>
    <w:rsid w:val="00F24594"/>
    <w:rsid w:val="00F558EB"/>
    <w:rsid w:val="00F7413E"/>
    <w:rsid w:val="00F84463"/>
    <w:rsid w:val="00FA36BF"/>
    <w:rsid w:val="00FB77B7"/>
    <w:rsid w:val="00FC0DF6"/>
    <w:rsid w:val="00FD3367"/>
    <w:rsid w:val="00FD7FAE"/>
    <w:rsid w:val="00FE74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25D61-5324-4EBB-8786-19200CAE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6BBA"/>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EB2F76"/>
    <w:pPr>
      <w:spacing w:before="19"/>
      <w:ind w:left="60"/>
      <w:outlineLvl w:val="0"/>
    </w:pPr>
    <w:rPr>
      <w:sz w:val="26"/>
      <w:szCs w:val="26"/>
    </w:rPr>
  </w:style>
  <w:style w:type="paragraph" w:styleId="Heading2">
    <w:name w:val="heading 2"/>
    <w:basedOn w:val="Normal"/>
    <w:next w:val="Normal"/>
    <w:link w:val="Heading2Char"/>
    <w:uiPriority w:val="9"/>
    <w:semiHidden/>
    <w:unhideWhenUsed/>
    <w:qFormat/>
    <w:rsid w:val="007B76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78F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06BBA"/>
    <w:pPr>
      <w:spacing w:before="211"/>
      <w:ind w:left="2011" w:hanging="511"/>
      <w:jc w:val="both"/>
    </w:pPr>
  </w:style>
  <w:style w:type="character" w:customStyle="1" w:styleId="Heading1Char">
    <w:name w:val="Heading 1 Char"/>
    <w:basedOn w:val="DefaultParagraphFont"/>
    <w:link w:val="Heading1"/>
    <w:uiPriority w:val="1"/>
    <w:rsid w:val="00EB2F76"/>
    <w:rPr>
      <w:rFonts w:ascii="Arial" w:eastAsia="Arial" w:hAnsi="Arial" w:cs="Arial"/>
      <w:sz w:val="26"/>
      <w:szCs w:val="26"/>
      <w:lang w:val="en-US"/>
    </w:rPr>
  </w:style>
  <w:style w:type="paragraph" w:styleId="BodyText">
    <w:name w:val="Body Text"/>
    <w:basedOn w:val="Normal"/>
    <w:link w:val="BodyTextChar"/>
    <w:uiPriority w:val="1"/>
    <w:qFormat/>
    <w:rsid w:val="00EB2F76"/>
    <w:rPr>
      <w:sz w:val="23"/>
      <w:szCs w:val="23"/>
    </w:rPr>
  </w:style>
  <w:style w:type="character" w:customStyle="1" w:styleId="BodyTextChar">
    <w:name w:val="Body Text Char"/>
    <w:basedOn w:val="DefaultParagraphFont"/>
    <w:link w:val="BodyText"/>
    <w:uiPriority w:val="1"/>
    <w:rsid w:val="00EB2F76"/>
    <w:rPr>
      <w:rFonts w:ascii="Arial" w:eastAsia="Arial" w:hAnsi="Arial" w:cs="Arial"/>
      <w:sz w:val="23"/>
      <w:szCs w:val="23"/>
      <w:lang w:val="en-US"/>
    </w:rPr>
  </w:style>
  <w:style w:type="paragraph" w:styleId="BalloonText">
    <w:name w:val="Balloon Text"/>
    <w:basedOn w:val="Normal"/>
    <w:link w:val="BalloonTextChar"/>
    <w:uiPriority w:val="99"/>
    <w:semiHidden/>
    <w:unhideWhenUsed/>
    <w:rsid w:val="007B7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51"/>
    <w:rPr>
      <w:rFonts w:ascii="Segoe UI" w:eastAsia="Arial" w:hAnsi="Segoe UI" w:cs="Segoe UI"/>
      <w:sz w:val="18"/>
      <w:szCs w:val="18"/>
      <w:lang w:val="en-US"/>
    </w:rPr>
  </w:style>
  <w:style w:type="character" w:customStyle="1" w:styleId="Heading2Char">
    <w:name w:val="Heading 2 Char"/>
    <w:basedOn w:val="DefaultParagraphFont"/>
    <w:link w:val="Heading2"/>
    <w:uiPriority w:val="9"/>
    <w:semiHidden/>
    <w:rsid w:val="007B7651"/>
    <w:rPr>
      <w:rFonts w:asciiTheme="majorHAnsi" w:eastAsiaTheme="majorEastAsia" w:hAnsiTheme="majorHAnsi" w:cstheme="majorBidi"/>
      <w:color w:val="2E74B5" w:themeColor="accent1" w:themeShade="BF"/>
      <w:sz w:val="26"/>
      <w:szCs w:val="26"/>
      <w:lang w:val="en-US"/>
    </w:rPr>
  </w:style>
  <w:style w:type="paragraph" w:styleId="FootnoteText">
    <w:name w:val="footnote text"/>
    <w:basedOn w:val="Normal"/>
    <w:link w:val="FootnoteTextChar"/>
    <w:uiPriority w:val="99"/>
    <w:unhideWhenUsed/>
    <w:rsid w:val="005265BC"/>
    <w:rPr>
      <w:sz w:val="20"/>
      <w:szCs w:val="20"/>
    </w:rPr>
  </w:style>
  <w:style w:type="character" w:customStyle="1" w:styleId="FootnoteTextChar">
    <w:name w:val="Footnote Text Char"/>
    <w:basedOn w:val="DefaultParagraphFont"/>
    <w:link w:val="FootnoteText"/>
    <w:uiPriority w:val="99"/>
    <w:rsid w:val="005265BC"/>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5265BC"/>
    <w:rPr>
      <w:vertAlign w:val="superscript"/>
    </w:rPr>
  </w:style>
  <w:style w:type="character" w:customStyle="1" w:styleId="Heading3Char">
    <w:name w:val="Heading 3 Char"/>
    <w:basedOn w:val="DefaultParagraphFont"/>
    <w:link w:val="Heading3"/>
    <w:uiPriority w:val="9"/>
    <w:semiHidden/>
    <w:rsid w:val="00A678F9"/>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unhideWhenUsed/>
    <w:rsid w:val="00FD7FAE"/>
    <w:rPr>
      <w:color w:val="0563C1" w:themeColor="hyperlink"/>
      <w:u w:val="single"/>
    </w:rPr>
  </w:style>
  <w:style w:type="character" w:customStyle="1" w:styleId="UnresolvedMention">
    <w:name w:val="Unresolved Mention"/>
    <w:basedOn w:val="DefaultParagraphFont"/>
    <w:uiPriority w:val="99"/>
    <w:semiHidden/>
    <w:unhideWhenUsed/>
    <w:rsid w:val="00FD7FAE"/>
    <w:rPr>
      <w:color w:val="605E5C"/>
      <w:shd w:val="clear" w:color="auto" w:fill="E1DFDD"/>
    </w:rPr>
  </w:style>
  <w:style w:type="paragraph" w:styleId="Header">
    <w:name w:val="header"/>
    <w:basedOn w:val="Normal"/>
    <w:link w:val="HeaderChar"/>
    <w:uiPriority w:val="99"/>
    <w:unhideWhenUsed/>
    <w:rsid w:val="009B2BE6"/>
    <w:pPr>
      <w:tabs>
        <w:tab w:val="center" w:pos="4513"/>
        <w:tab w:val="right" w:pos="9026"/>
      </w:tabs>
    </w:pPr>
  </w:style>
  <w:style w:type="character" w:customStyle="1" w:styleId="HeaderChar">
    <w:name w:val="Header Char"/>
    <w:basedOn w:val="DefaultParagraphFont"/>
    <w:link w:val="Header"/>
    <w:uiPriority w:val="99"/>
    <w:rsid w:val="009B2BE6"/>
    <w:rPr>
      <w:rFonts w:ascii="Arial" w:eastAsia="Arial" w:hAnsi="Arial" w:cs="Arial"/>
      <w:lang w:val="en-US"/>
    </w:rPr>
  </w:style>
  <w:style w:type="paragraph" w:styleId="Footer">
    <w:name w:val="footer"/>
    <w:basedOn w:val="Normal"/>
    <w:link w:val="FooterChar"/>
    <w:uiPriority w:val="99"/>
    <w:unhideWhenUsed/>
    <w:rsid w:val="009B2BE6"/>
    <w:pPr>
      <w:tabs>
        <w:tab w:val="center" w:pos="4513"/>
        <w:tab w:val="right" w:pos="9026"/>
      </w:tabs>
    </w:pPr>
  </w:style>
  <w:style w:type="character" w:customStyle="1" w:styleId="FooterChar">
    <w:name w:val="Footer Char"/>
    <w:basedOn w:val="DefaultParagraphFont"/>
    <w:link w:val="Footer"/>
    <w:uiPriority w:val="99"/>
    <w:rsid w:val="009B2BE6"/>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2955">
      <w:bodyDiv w:val="1"/>
      <w:marLeft w:val="0"/>
      <w:marRight w:val="0"/>
      <w:marTop w:val="0"/>
      <w:marBottom w:val="0"/>
      <w:divBdr>
        <w:top w:val="none" w:sz="0" w:space="0" w:color="auto"/>
        <w:left w:val="none" w:sz="0" w:space="0" w:color="auto"/>
        <w:bottom w:val="none" w:sz="0" w:space="0" w:color="auto"/>
        <w:right w:val="none" w:sz="0" w:space="0" w:color="auto"/>
      </w:divBdr>
    </w:div>
    <w:div w:id="112556990">
      <w:bodyDiv w:val="1"/>
      <w:marLeft w:val="0"/>
      <w:marRight w:val="0"/>
      <w:marTop w:val="0"/>
      <w:marBottom w:val="0"/>
      <w:divBdr>
        <w:top w:val="none" w:sz="0" w:space="0" w:color="auto"/>
        <w:left w:val="none" w:sz="0" w:space="0" w:color="auto"/>
        <w:bottom w:val="none" w:sz="0" w:space="0" w:color="auto"/>
        <w:right w:val="none" w:sz="0" w:space="0" w:color="auto"/>
      </w:divBdr>
    </w:div>
    <w:div w:id="170418702">
      <w:bodyDiv w:val="1"/>
      <w:marLeft w:val="0"/>
      <w:marRight w:val="0"/>
      <w:marTop w:val="0"/>
      <w:marBottom w:val="0"/>
      <w:divBdr>
        <w:top w:val="none" w:sz="0" w:space="0" w:color="auto"/>
        <w:left w:val="none" w:sz="0" w:space="0" w:color="auto"/>
        <w:bottom w:val="none" w:sz="0" w:space="0" w:color="auto"/>
        <w:right w:val="none" w:sz="0" w:space="0" w:color="auto"/>
      </w:divBdr>
    </w:div>
    <w:div w:id="453134954">
      <w:bodyDiv w:val="1"/>
      <w:marLeft w:val="0"/>
      <w:marRight w:val="0"/>
      <w:marTop w:val="0"/>
      <w:marBottom w:val="0"/>
      <w:divBdr>
        <w:top w:val="none" w:sz="0" w:space="0" w:color="auto"/>
        <w:left w:val="none" w:sz="0" w:space="0" w:color="auto"/>
        <w:bottom w:val="none" w:sz="0" w:space="0" w:color="auto"/>
        <w:right w:val="none" w:sz="0" w:space="0" w:color="auto"/>
      </w:divBdr>
    </w:div>
    <w:div w:id="653028804">
      <w:bodyDiv w:val="1"/>
      <w:marLeft w:val="0"/>
      <w:marRight w:val="0"/>
      <w:marTop w:val="0"/>
      <w:marBottom w:val="0"/>
      <w:divBdr>
        <w:top w:val="none" w:sz="0" w:space="0" w:color="auto"/>
        <w:left w:val="none" w:sz="0" w:space="0" w:color="auto"/>
        <w:bottom w:val="none" w:sz="0" w:space="0" w:color="auto"/>
        <w:right w:val="none" w:sz="0" w:space="0" w:color="auto"/>
      </w:divBdr>
    </w:div>
    <w:div w:id="123057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0E3C0-7211-4FFD-8FD8-74C18AD8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4560</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Judge-V Ponnan</dc:creator>
  <cp:keywords/>
  <dc:description/>
  <cp:lastModifiedBy>Mary Bruce</cp:lastModifiedBy>
  <cp:revision>5</cp:revision>
  <cp:lastPrinted>2023-03-30T13:08:00Z</cp:lastPrinted>
  <dcterms:created xsi:type="dcterms:W3CDTF">2023-03-30T10:46:00Z</dcterms:created>
  <dcterms:modified xsi:type="dcterms:W3CDTF">2023-03-31T15:29:00Z</dcterms:modified>
</cp:coreProperties>
</file>